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D8A829">
      <w:pPr>
        <w:spacing w:line="360" w:lineRule="auto"/>
        <w:jc w:val="center"/>
        <w:rPr>
          <w:rFonts w:ascii="宋体" w:hAnsi="宋体" w:eastAsia="宋体"/>
          <w:b/>
          <w:bCs/>
          <w:color w:val="000000" w:themeColor="text1"/>
          <w:sz w:val="32"/>
          <w:szCs w:val="32"/>
          <w:highlight w:val="none"/>
        </w:rPr>
      </w:pPr>
    </w:p>
    <w:p w14:paraId="6FB7E790">
      <w:pPr>
        <w:spacing w:line="360" w:lineRule="auto"/>
        <w:jc w:val="center"/>
        <w:rPr>
          <w:rFonts w:ascii="宋体" w:hAnsi="宋体" w:eastAsia="宋体"/>
          <w:b/>
          <w:bCs/>
          <w:color w:val="000000" w:themeColor="text1"/>
          <w:sz w:val="32"/>
          <w:szCs w:val="32"/>
          <w:highlight w:val="none"/>
        </w:rPr>
      </w:pPr>
    </w:p>
    <w:p w14:paraId="7D3B61C4">
      <w:pPr>
        <w:spacing w:line="360" w:lineRule="auto"/>
        <w:jc w:val="center"/>
        <w:rPr>
          <w:rFonts w:ascii="宋体" w:hAnsi="宋体" w:eastAsia="宋体"/>
          <w:b/>
          <w:bCs/>
          <w:color w:val="000000" w:themeColor="text1"/>
          <w:sz w:val="32"/>
          <w:szCs w:val="32"/>
          <w:highlight w:val="none"/>
        </w:rPr>
      </w:pPr>
      <w:r>
        <w:rPr>
          <w:color w:val="000000" w:themeColor="text1"/>
          <w:sz w:val="44"/>
          <w:szCs w:val="44"/>
          <w:highlight w:val="none"/>
        </w:rPr>
        <w:drawing>
          <wp:anchor distT="0" distB="0" distL="114300" distR="114300" simplePos="0" relativeHeight="251659264" behindDoc="1" locked="0" layoutInCell="1" allowOverlap="1">
            <wp:simplePos x="0" y="0"/>
            <wp:positionH relativeFrom="column">
              <wp:posOffset>1829435</wp:posOffset>
            </wp:positionH>
            <wp:positionV relativeFrom="paragraph">
              <wp:posOffset>69215</wp:posOffset>
            </wp:positionV>
            <wp:extent cx="2091055" cy="1447165"/>
            <wp:effectExtent l="0" t="0" r="4445" b="635"/>
            <wp:wrapNone/>
            <wp:docPr id="2" name="图片 2" descr="陕西中经招标有限公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陕西中经招标有限公司"/>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2091055" cy="1447165"/>
                    </a:xfrm>
                    <a:prstGeom prst="rect">
                      <a:avLst/>
                    </a:prstGeom>
                    <a:noFill/>
                    <a:ln>
                      <a:noFill/>
                    </a:ln>
                  </pic:spPr>
                </pic:pic>
              </a:graphicData>
            </a:graphic>
          </wp:anchor>
        </w:drawing>
      </w:r>
    </w:p>
    <w:p w14:paraId="6A22A70B">
      <w:pPr>
        <w:spacing w:line="360" w:lineRule="auto"/>
        <w:jc w:val="center"/>
        <w:rPr>
          <w:rFonts w:ascii="宋体" w:hAnsi="宋体" w:eastAsia="宋体"/>
          <w:b/>
          <w:bCs/>
          <w:color w:val="000000" w:themeColor="text1"/>
          <w:sz w:val="32"/>
          <w:szCs w:val="32"/>
          <w:highlight w:val="none"/>
        </w:rPr>
      </w:pPr>
    </w:p>
    <w:p w14:paraId="4E6F412A">
      <w:pPr>
        <w:spacing w:line="360" w:lineRule="auto"/>
        <w:jc w:val="center"/>
        <w:rPr>
          <w:rFonts w:ascii="宋体" w:hAnsi="宋体" w:eastAsia="宋体"/>
          <w:b/>
          <w:bCs/>
          <w:color w:val="000000" w:themeColor="text1"/>
          <w:sz w:val="32"/>
          <w:szCs w:val="32"/>
          <w:highlight w:val="none"/>
        </w:rPr>
      </w:pPr>
    </w:p>
    <w:p w14:paraId="1D23BEE1">
      <w:pPr>
        <w:spacing w:line="360" w:lineRule="auto"/>
        <w:jc w:val="center"/>
        <w:rPr>
          <w:rFonts w:ascii="宋体" w:hAnsi="宋体" w:eastAsia="宋体"/>
          <w:b/>
          <w:bCs/>
          <w:color w:val="000000" w:themeColor="text1"/>
          <w:sz w:val="32"/>
          <w:szCs w:val="32"/>
          <w:highlight w:val="none"/>
        </w:rPr>
      </w:pPr>
    </w:p>
    <w:p w14:paraId="7F5E7050">
      <w:pPr>
        <w:spacing w:line="360" w:lineRule="auto"/>
        <w:jc w:val="center"/>
        <w:rPr>
          <w:rFonts w:ascii="宋体" w:hAnsi="宋体" w:eastAsia="宋体"/>
          <w:b/>
          <w:bCs/>
          <w:color w:val="000000" w:themeColor="text1"/>
          <w:sz w:val="32"/>
          <w:szCs w:val="32"/>
          <w:highlight w:val="none"/>
        </w:rPr>
      </w:pPr>
    </w:p>
    <w:p w14:paraId="65079E34">
      <w:pPr>
        <w:spacing w:line="360" w:lineRule="auto"/>
        <w:jc w:val="center"/>
        <w:rPr>
          <w:rFonts w:ascii="宋体" w:hAnsi="宋体" w:eastAsia="宋体"/>
          <w:b/>
          <w:bCs/>
          <w:color w:val="000000" w:themeColor="text1"/>
          <w:sz w:val="84"/>
          <w:szCs w:val="84"/>
          <w:highlight w:val="none"/>
        </w:rPr>
      </w:pPr>
      <w:r>
        <w:rPr>
          <w:rFonts w:hint="eastAsia" w:ascii="宋体" w:hAnsi="宋体" w:eastAsia="宋体"/>
          <w:b/>
          <w:bCs/>
          <w:color w:val="000000" w:themeColor="text1"/>
          <w:sz w:val="84"/>
          <w:szCs w:val="84"/>
          <w:highlight w:val="none"/>
        </w:rPr>
        <w:t>招 标 文 件</w:t>
      </w:r>
    </w:p>
    <w:p w14:paraId="704D1584">
      <w:pPr>
        <w:spacing w:line="360" w:lineRule="auto"/>
        <w:rPr>
          <w:rFonts w:ascii="宋体" w:hAnsi="宋体" w:eastAsia="宋体"/>
          <w:b/>
          <w:bCs/>
          <w:color w:val="000000" w:themeColor="text1"/>
          <w:sz w:val="28"/>
          <w:szCs w:val="28"/>
          <w:highlight w:val="none"/>
        </w:rPr>
      </w:pPr>
    </w:p>
    <w:p w14:paraId="583F66FB">
      <w:pPr>
        <w:spacing w:line="360" w:lineRule="auto"/>
        <w:rPr>
          <w:rFonts w:ascii="宋体" w:hAnsi="宋体" w:eastAsia="宋体"/>
          <w:b/>
          <w:bCs/>
          <w:color w:val="000000" w:themeColor="text1"/>
          <w:sz w:val="28"/>
          <w:szCs w:val="28"/>
          <w:highlight w:val="none"/>
        </w:rPr>
      </w:pPr>
    </w:p>
    <w:p w14:paraId="135E991B">
      <w:pPr>
        <w:spacing w:line="360" w:lineRule="auto"/>
        <w:rPr>
          <w:rFonts w:ascii="宋体" w:hAnsi="宋体" w:eastAsia="宋体"/>
          <w:b/>
          <w:bCs/>
          <w:color w:val="000000" w:themeColor="text1"/>
          <w:sz w:val="28"/>
          <w:szCs w:val="28"/>
          <w:highlight w:val="none"/>
        </w:rPr>
      </w:pPr>
    </w:p>
    <w:p w14:paraId="2F246632">
      <w:pPr>
        <w:spacing w:line="360" w:lineRule="auto"/>
        <w:rPr>
          <w:rFonts w:ascii="宋体" w:hAnsi="宋体" w:eastAsia="宋体"/>
          <w:b/>
          <w:bCs/>
          <w:color w:val="000000" w:themeColor="text1"/>
          <w:sz w:val="28"/>
          <w:szCs w:val="28"/>
          <w:highlight w:val="none"/>
        </w:rPr>
      </w:pPr>
    </w:p>
    <w:p w14:paraId="22714749">
      <w:pPr>
        <w:spacing w:line="360" w:lineRule="auto"/>
        <w:ind w:firstLine="1405" w:firstLineChars="500"/>
        <w:rPr>
          <w:rFonts w:ascii="宋体" w:hAnsi="宋体" w:eastAsia="宋体"/>
          <w:b/>
          <w:bCs/>
          <w:color w:val="000000" w:themeColor="text1"/>
          <w:sz w:val="28"/>
          <w:szCs w:val="28"/>
          <w:highlight w:val="none"/>
        </w:rPr>
      </w:pPr>
      <w:r>
        <w:rPr>
          <w:rFonts w:hint="eastAsia" w:ascii="宋体" w:hAnsi="宋体" w:eastAsia="宋体"/>
          <w:b/>
          <w:bCs/>
          <w:color w:val="000000" w:themeColor="text1"/>
          <w:sz w:val="28"/>
          <w:szCs w:val="28"/>
          <w:highlight w:val="none"/>
        </w:rPr>
        <w:t>项目名称：宝鸡市地震预警系统应用建设项目（一期）（二次）</w:t>
      </w:r>
    </w:p>
    <w:p w14:paraId="6EC87B0E">
      <w:pPr>
        <w:spacing w:line="360" w:lineRule="auto"/>
        <w:ind w:firstLine="1405" w:firstLineChars="500"/>
        <w:rPr>
          <w:rFonts w:ascii="宋体" w:hAnsi="宋体" w:eastAsia="宋体"/>
          <w:b/>
          <w:bCs/>
          <w:color w:val="000000" w:themeColor="text1"/>
          <w:sz w:val="28"/>
          <w:szCs w:val="28"/>
          <w:highlight w:val="none"/>
        </w:rPr>
      </w:pPr>
      <w:r>
        <w:rPr>
          <w:rFonts w:hint="eastAsia" w:ascii="宋体" w:hAnsi="宋体" w:eastAsia="宋体"/>
          <w:b/>
          <w:bCs/>
          <w:color w:val="000000" w:themeColor="text1"/>
          <w:sz w:val="28"/>
          <w:szCs w:val="28"/>
          <w:highlight w:val="none"/>
        </w:rPr>
        <w:t>项目编号：ZJZBSX-</w:t>
      </w:r>
      <w:r>
        <w:rPr>
          <w:rFonts w:ascii="宋体" w:hAnsi="宋体" w:eastAsia="宋体"/>
          <w:b/>
          <w:bCs/>
          <w:color w:val="000000" w:themeColor="text1"/>
          <w:sz w:val="28"/>
          <w:szCs w:val="28"/>
          <w:highlight w:val="none"/>
        </w:rPr>
        <w:t>250614-10884（2）</w:t>
      </w:r>
    </w:p>
    <w:p w14:paraId="1C25C97D">
      <w:pPr>
        <w:spacing w:line="360" w:lineRule="auto"/>
        <w:ind w:firstLine="1405" w:firstLineChars="500"/>
        <w:rPr>
          <w:rFonts w:ascii="宋体" w:hAnsi="宋体" w:eastAsia="宋体"/>
          <w:b/>
          <w:bCs/>
          <w:color w:val="000000" w:themeColor="text1"/>
          <w:sz w:val="28"/>
          <w:szCs w:val="28"/>
          <w:highlight w:val="none"/>
        </w:rPr>
      </w:pPr>
    </w:p>
    <w:p w14:paraId="70AF8E8F">
      <w:pPr>
        <w:spacing w:line="360" w:lineRule="auto"/>
        <w:rPr>
          <w:rFonts w:ascii="宋体" w:hAnsi="宋体" w:eastAsia="宋体"/>
          <w:b/>
          <w:bCs/>
          <w:color w:val="000000" w:themeColor="text1"/>
          <w:sz w:val="28"/>
          <w:szCs w:val="28"/>
          <w:highlight w:val="none"/>
        </w:rPr>
      </w:pPr>
    </w:p>
    <w:p w14:paraId="19FCEF19">
      <w:pPr>
        <w:spacing w:line="360" w:lineRule="auto"/>
        <w:jc w:val="center"/>
        <w:rPr>
          <w:rFonts w:ascii="宋体" w:hAnsi="宋体" w:eastAsia="宋体"/>
          <w:b/>
          <w:bCs/>
          <w:color w:val="000000" w:themeColor="text1"/>
          <w:sz w:val="28"/>
          <w:szCs w:val="28"/>
          <w:highlight w:val="none"/>
        </w:rPr>
      </w:pPr>
    </w:p>
    <w:p w14:paraId="176D6255">
      <w:pPr>
        <w:spacing w:line="360" w:lineRule="auto"/>
        <w:jc w:val="center"/>
        <w:rPr>
          <w:rFonts w:ascii="宋体" w:hAnsi="宋体" w:eastAsia="宋体"/>
          <w:b/>
          <w:bCs/>
          <w:color w:val="000000" w:themeColor="text1"/>
          <w:sz w:val="28"/>
          <w:szCs w:val="28"/>
          <w:highlight w:val="none"/>
        </w:rPr>
      </w:pPr>
    </w:p>
    <w:p w14:paraId="5A621EF5">
      <w:pPr>
        <w:spacing w:line="360" w:lineRule="auto"/>
        <w:jc w:val="center"/>
        <w:rPr>
          <w:rFonts w:ascii="宋体" w:hAnsi="宋体" w:eastAsia="宋体"/>
          <w:b/>
          <w:bCs/>
          <w:color w:val="000000" w:themeColor="text1"/>
          <w:sz w:val="28"/>
          <w:szCs w:val="28"/>
          <w:highlight w:val="none"/>
        </w:rPr>
      </w:pPr>
    </w:p>
    <w:p w14:paraId="014A932C">
      <w:pPr>
        <w:spacing w:line="360" w:lineRule="auto"/>
        <w:jc w:val="center"/>
        <w:rPr>
          <w:rFonts w:ascii="宋体" w:hAnsi="宋体" w:eastAsia="宋体"/>
          <w:b/>
          <w:bCs/>
          <w:color w:val="000000" w:themeColor="text1"/>
          <w:sz w:val="28"/>
          <w:szCs w:val="28"/>
          <w:highlight w:val="none"/>
        </w:rPr>
      </w:pPr>
      <w:r>
        <w:rPr>
          <w:rFonts w:hint="eastAsia" w:ascii="宋体" w:hAnsi="宋体" w:eastAsia="宋体"/>
          <w:b/>
          <w:bCs/>
          <w:color w:val="000000" w:themeColor="text1"/>
          <w:sz w:val="28"/>
          <w:szCs w:val="28"/>
          <w:highlight w:val="none"/>
        </w:rPr>
        <w:t>陕西中经招标有限公司</w:t>
      </w:r>
    </w:p>
    <w:p w14:paraId="24FC9D42">
      <w:pPr>
        <w:spacing w:line="360" w:lineRule="auto"/>
        <w:jc w:val="center"/>
        <w:rPr>
          <w:rFonts w:ascii="宋体" w:hAnsi="宋体" w:eastAsia="宋体"/>
          <w:b/>
          <w:bCs/>
          <w:color w:val="000000" w:themeColor="text1"/>
          <w:sz w:val="28"/>
          <w:szCs w:val="28"/>
          <w:highlight w:val="none"/>
        </w:rPr>
      </w:pPr>
      <w:r>
        <w:rPr>
          <w:rFonts w:hint="eastAsia" w:ascii="宋体" w:hAnsi="宋体" w:eastAsia="宋体"/>
          <w:b/>
          <w:bCs/>
          <w:color w:val="000000" w:themeColor="text1"/>
          <w:sz w:val="28"/>
          <w:szCs w:val="28"/>
          <w:highlight w:val="none"/>
        </w:rPr>
        <w:t>二〇二五年十月</w:t>
      </w:r>
    </w:p>
    <w:p w14:paraId="0A29AF25">
      <w:pPr>
        <w:widowControl/>
        <w:jc w:val="left"/>
        <w:rPr>
          <w:rFonts w:ascii="宋体" w:hAnsi="宋体" w:eastAsia="宋体"/>
          <w:b/>
          <w:bCs/>
          <w:color w:val="000000" w:themeColor="text1"/>
          <w:sz w:val="28"/>
          <w:szCs w:val="28"/>
          <w:highlight w:val="none"/>
        </w:rPr>
      </w:pPr>
      <w:r>
        <w:rPr>
          <w:rFonts w:ascii="宋体" w:hAnsi="宋体" w:eastAsia="宋体"/>
          <w:b/>
          <w:bCs/>
          <w:color w:val="000000" w:themeColor="text1"/>
          <w:sz w:val="28"/>
          <w:szCs w:val="28"/>
          <w:highlight w:val="none"/>
        </w:rPr>
        <w:br w:type="page"/>
      </w:r>
    </w:p>
    <w:p w14:paraId="7C30C5F6">
      <w:pPr>
        <w:spacing w:line="360" w:lineRule="auto"/>
        <w:jc w:val="left"/>
        <w:rPr>
          <w:rFonts w:ascii="宋体" w:hAnsi="宋体" w:eastAsia="宋体"/>
          <w:b/>
          <w:bCs/>
          <w:color w:val="000000" w:themeColor="text1"/>
          <w:sz w:val="24"/>
          <w:szCs w:val="24"/>
          <w:highlight w:val="none"/>
        </w:rPr>
      </w:pPr>
    </w:p>
    <w:p w14:paraId="76277AAB">
      <w:pPr>
        <w:spacing w:line="360" w:lineRule="auto"/>
        <w:jc w:val="center"/>
        <w:rPr>
          <w:rFonts w:ascii="宋体" w:hAnsi="宋体" w:eastAsia="宋体"/>
          <w:b/>
          <w:bCs/>
          <w:color w:val="000000" w:themeColor="text1"/>
          <w:sz w:val="28"/>
          <w:szCs w:val="28"/>
          <w:highlight w:val="none"/>
        </w:rPr>
      </w:pPr>
      <w:r>
        <w:rPr>
          <w:rFonts w:hint="eastAsia" w:ascii="宋体" w:hAnsi="宋体" w:eastAsia="宋体"/>
          <w:b/>
          <w:bCs/>
          <w:color w:val="000000" w:themeColor="text1"/>
          <w:sz w:val="28"/>
          <w:szCs w:val="28"/>
          <w:highlight w:val="none"/>
        </w:rPr>
        <w:t xml:space="preserve">目 </w:t>
      </w:r>
      <w:r>
        <w:rPr>
          <w:rFonts w:ascii="宋体" w:hAnsi="宋体" w:eastAsia="宋体"/>
          <w:b/>
          <w:bCs/>
          <w:color w:val="000000" w:themeColor="text1"/>
          <w:sz w:val="28"/>
          <w:szCs w:val="28"/>
          <w:highlight w:val="none"/>
        </w:rPr>
        <w:t xml:space="preserve">   </w:t>
      </w:r>
      <w:r>
        <w:rPr>
          <w:rFonts w:hint="eastAsia" w:ascii="宋体" w:hAnsi="宋体" w:eastAsia="宋体"/>
          <w:b/>
          <w:bCs/>
          <w:color w:val="000000" w:themeColor="text1"/>
          <w:sz w:val="28"/>
          <w:szCs w:val="28"/>
          <w:highlight w:val="none"/>
        </w:rPr>
        <w:t>录</w:t>
      </w:r>
    </w:p>
    <w:p w14:paraId="1705E265">
      <w:pPr>
        <w:pStyle w:val="21"/>
        <w:tabs>
          <w:tab w:val="right" w:leader="hyphen" w:pos="9061"/>
        </w:tabs>
        <w:rPr>
          <w:rFonts w:eastAsiaTheme="minorEastAsia"/>
          <w:color w:val="000000" w:themeColor="text1"/>
          <w:sz w:val="21"/>
          <w:highlight w:val="none"/>
        </w:rPr>
      </w:pPr>
      <w:r>
        <w:rPr>
          <w:rFonts w:ascii="宋体" w:hAnsi="宋体"/>
          <w:b/>
          <w:bCs/>
          <w:color w:val="000000" w:themeColor="text1"/>
          <w:szCs w:val="24"/>
          <w:highlight w:val="none"/>
        </w:rPr>
        <w:fldChar w:fldCharType="begin"/>
      </w:r>
      <w:r>
        <w:rPr>
          <w:rFonts w:ascii="宋体" w:hAnsi="宋体"/>
          <w:b/>
          <w:bCs/>
          <w:color w:val="000000" w:themeColor="text1"/>
          <w:szCs w:val="24"/>
          <w:highlight w:val="none"/>
        </w:rPr>
        <w:instrText xml:space="preserve"> TOC \o "1-3" \h \z \u </w:instrText>
      </w:r>
      <w:r>
        <w:rPr>
          <w:rFonts w:ascii="宋体" w:hAnsi="宋体"/>
          <w:b/>
          <w:bCs/>
          <w:color w:val="000000" w:themeColor="text1"/>
          <w:szCs w:val="24"/>
          <w:highlight w:val="none"/>
        </w:rPr>
        <w:fldChar w:fldCharType="separate"/>
      </w:r>
      <w:r>
        <w:rPr>
          <w:color w:val="000000" w:themeColor="text1"/>
          <w:highlight w:val="none"/>
        </w:rPr>
        <w:fldChar w:fldCharType="begin"/>
      </w:r>
      <w:r>
        <w:rPr>
          <w:color w:val="000000" w:themeColor="text1"/>
          <w:highlight w:val="none"/>
        </w:rPr>
        <w:instrText xml:space="preserve"> HYPERLINK \l "_Toc211442724" </w:instrText>
      </w:r>
      <w:r>
        <w:rPr>
          <w:color w:val="000000" w:themeColor="text1"/>
          <w:highlight w:val="none"/>
        </w:rPr>
        <w:fldChar w:fldCharType="separate"/>
      </w:r>
      <w:r>
        <w:rPr>
          <w:rStyle w:val="39"/>
          <w:rFonts w:ascii="宋体" w:hAnsi="宋体"/>
          <w:color w:val="000000" w:themeColor="text1"/>
          <w:highlight w:val="none"/>
        </w:rPr>
        <w:t>第一章  招标公告</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_Toc211442724 \h </w:instrText>
      </w:r>
      <w:r>
        <w:rPr>
          <w:color w:val="000000" w:themeColor="text1"/>
          <w:highlight w:val="none"/>
        </w:rPr>
        <w:fldChar w:fldCharType="separate"/>
      </w:r>
      <w:r>
        <w:rPr>
          <w:color w:val="000000" w:themeColor="text1"/>
          <w:highlight w:val="none"/>
        </w:rPr>
        <w:t>4</w:t>
      </w:r>
      <w:r>
        <w:rPr>
          <w:color w:val="000000" w:themeColor="text1"/>
          <w:highlight w:val="none"/>
        </w:rPr>
        <w:fldChar w:fldCharType="end"/>
      </w:r>
      <w:r>
        <w:rPr>
          <w:color w:val="000000" w:themeColor="text1"/>
          <w:highlight w:val="none"/>
        </w:rPr>
        <w:fldChar w:fldCharType="end"/>
      </w:r>
    </w:p>
    <w:p w14:paraId="57CAFCAE">
      <w:pPr>
        <w:pStyle w:val="25"/>
        <w:tabs>
          <w:tab w:val="right" w:leader="hyphen" w:pos="9061"/>
        </w:tabs>
        <w:rPr>
          <w:rFonts w:eastAsiaTheme="minorEastAsia"/>
          <w:color w:val="000000" w:themeColor="text1"/>
          <w:sz w:val="21"/>
          <w:highlight w:val="none"/>
        </w:rPr>
      </w:pPr>
      <w:r>
        <w:rPr>
          <w:color w:val="000000" w:themeColor="text1"/>
          <w:highlight w:val="none"/>
        </w:rPr>
        <w:fldChar w:fldCharType="begin"/>
      </w:r>
      <w:r>
        <w:rPr>
          <w:color w:val="000000" w:themeColor="text1"/>
          <w:highlight w:val="none"/>
        </w:rPr>
        <w:instrText xml:space="preserve"> HYPERLINK \l "_Toc211442725" </w:instrText>
      </w:r>
      <w:r>
        <w:rPr>
          <w:color w:val="000000" w:themeColor="text1"/>
          <w:highlight w:val="none"/>
        </w:rPr>
        <w:fldChar w:fldCharType="separate"/>
      </w:r>
      <w:r>
        <w:rPr>
          <w:rStyle w:val="39"/>
          <w:color w:val="000000" w:themeColor="text1"/>
          <w:highlight w:val="none"/>
        </w:rPr>
        <w:t>电子化招投标项目特别告知</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_Toc211442725 \h </w:instrText>
      </w:r>
      <w:r>
        <w:rPr>
          <w:color w:val="000000" w:themeColor="text1"/>
          <w:highlight w:val="none"/>
        </w:rPr>
        <w:fldChar w:fldCharType="separate"/>
      </w:r>
      <w:r>
        <w:rPr>
          <w:color w:val="000000" w:themeColor="text1"/>
          <w:highlight w:val="none"/>
        </w:rPr>
        <w:t>12</w:t>
      </w:r>
      <w:r>
        <w:rPr>
          <w:color w:val="000000" w:themeColor="text1"/>
          <w:highlight w:val="none"/>
        </w:rPr>
        <w:fldChar w:fldCharType="end"/>
      </w:r>
      <w:r>
        <w:rPr>
          <w:color w:val="000000" w:themeColor="text1"/>
          <w:highlight w:val="none"/>
        </w:rPr>
        <w:fldChar w:fldCharType="end"/>
      </w:r>
    </w:p>
    <w:p w14:paraId="214C7DB3">
      <w:pPr>
        <w:pStyle w:val="21"/>
        <w:tabs>
          <w:tab w:val="right" w:leader="hyphen" w:pos="9061"/>
        </w:tabs>
        <w:rPr>
          <w:rFonts w:eastAsiaTheme="minorEastAsia"/>
          <w:color w:val="000000" w:themeColor="text1"/>
          <w:sz w:val="21"/>
          <w:highlight w:val="none"/>
        </w:rPr>
      </w:pPr>
      <w:r>
        <w:rPr>
          <w:color w:val="000000" w:themeColor="text1"/>
          <w:highlight w:val="none"/>
        </w:rPr>
        <w:fldChar w:fldCharType="begin"/>
      </w:r>
      <w:r>
        <w:rPr>
          <w:color w:val="000000" w:themeColor="text1"/>
          <w:highlight w:val="none"/>
        </w:rPr>
        <w:instrText xml:space="preserve"> HYPERLINK \l "_Toc211442726" </w:instrText>
      </w:r>
      <w:r>
        <w:rPr>
          <w:color w:val="000000" w:themeColor="text1"/>
          <w:highlight w:val="none"/>
        </w:rPr>
        <w:fldChar w:fldCharType="separate"/>
      </w:r>
      <w:r>
        <w:rPr>
          <w:rStyle w:val="39"/>
          <w:rFonts w:ascii="宋体" w:hAnsi="宋体"/>
          <w:color w:val="000000" w:themeColor="text1"/>
          <w:highlight w:val="none"/>
        </w:rPr>
        <w:t>第二章  投标人须知及前附表</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_Toc211442726 \h </w:instrText>
      </w:r>
      <w:r>
        <w:rPr>
          <w:color w:val="000000" w:themeColor="text1"/>
          <w:highlight w:val="none"/>
        </w:rPr>
        <w:fldChar w:fldCharType="separate"/>
      </w:r>
      <w:r>
        <w:rPr>
          <w:color w:val="000000" w:themeColor="text1"/>
          <w:highlight w:val="none"/>
        </w:rPr>
        <w:t>14</w:t>
      </w:r>
      <w:r>
        <w:rPr>
          <w:color w:val="000000" w:themeColor="text1"/>
          <w:highlight w:val="none"/>
        </w:rPr>
        <w:fldChar w:fldCharType="end"/>
      </w:r>
      <w:r>
        <w:rPr>
          <w:color w:val="000000" w:themeColor="text1"/>
          <w:highlight w:val="none"/>
        </w:rPr>
        <w:fldChar w:fldCharType="end"/>
      </w:r>
    </w:p>
    <w:p w14:paraId="0E7EF161">
      <w:pPr>
        <w:pStyle w:val="25"/>
        <w:tabs>
          <w:tab w:val="right" w:leader="hyphen" w:pos="9061"/>
        </w:tabs>
        <w:rPr>
          <w:rFonts w:eastAsiaTheme="minorEastAsia"/>
          <w:color w:val="000000" w:themeColor="text1"/>
          <w:sz w:val="21"/>
          <w:highlight w:val="none"/>
        </w:rPr>
      </w:pPr>
      <w:r>
        <w:rPr>
          <w:color w:val="000000" w:themeColor="text1"/>
          <w:highlight w:val="none"/>
        </w:rPr>
        <w:fldChar w:fldCharType="begin"/>
      </w:r>
      <w:r>
        <w:rPr>
          <w:color w:val="000000" w:themeColor="text1"/>
          <w:highlight w:val="none"/>
        </w:rPr>
        <w:instrText xml:space="preserve"> HYPERLINK \l "_Toc211442727" </w:instrText>
      </w:r>
      <w:r>
        <w:rPr>
          <w:color w:val="000000" w:themeColor="text1"/>
          <w:highlight w:val="none"/>
        </w:rPr>
        <w:fldChar w:fldCharType="separate"/>
      </w:r>
      <w:r>
        <w:rPr>
          <w:rStyle w:val="39"/>
          <w:color w:val="000000" w:themeColor="text1"/>
          <w:highlight w:val="none"/>
        </w:rPr>
        <w:t>投标人须知前附表</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_Toc211442727 \h </w:instrText>
      </w:r>
      <w:r>
        <w:rPr>
          <w:color w:val="000000" w:themeColor="text1"/>
          <w:highlight w:val="none"/>
        </w:rPr>
        <w:fldChar w:fldCharType="separate"/>
      </w:r>
      <w:r>
        <w:rPr>
          <w:color w:val="000000" w:themeColor="text1"/>
          <w:highlight w:val="none"/>
        </w:rPr>
        <w:t>14</w:t>
      </w:r>
      <w:r>
        <w:rPr>
          <w:color w:val="000000" w:themeColor="text1"/>
          <w:highlight w:val="none"/>
        </w:rPr>
        <w:fldChar w:fldCharType="end"/>
      </w:r>
      <w:r>
        <w:rPr>
          <w:color w:val="000000" w:themeColor="text1"/>
          <w:highlight w:val="none"/>
        </w:rPr>
        <w:fldChar w:fldCharType="end"/>
      </w:r>
    </w:p>
    <w:p w14:paraId="36FED64E">
      <w:pPr>
        <w:pStyle w:val="25"/>
        <w:tabs>
          <w:tab w:val="right" w:leader="hyphen" w:pos="9061"/>
        </w:tabs>
        <w:rPr>
          <w:rFonts w:eastAsiaTheme="minorEastAsia"/>
          <w:color w:val="000000" w:themeColor="text1"/>
          <w:sz w:val="21"/>
          <w:highlight w:val="none"/>
        </w:rPr>
      </w:pPr>
      <w:r>
        <w:rPr>
          <w:color w:val="000000" w:themeColor="text1"/>
          <w:highlight w:val="none"/>
        </w:rPr>
        <w:fldChar w:fldCharType="begin"/>
      </w:r>
      <w:r>
        <w:rPr>
          <w:color w:val="000000" w:themeColor="text1"/>
          <w:highlight w:val="none"/>
        </w:rPr>
        <w:instrText xml:space="preserve"> HYPERLINK \l "_Toc211442728" </w:instrText>
      </w:r>
      <w:r>
        <w:rPr>
          <w:color w:val="000000" w:themeColor="text1"/>
          <w:highlight w:val="none"/>
        </w:rPr>
        <w:fldChar w:fldCharType="separate"/>
      </w:r>
      <w:r>
        <w:rPr>
          <w:rStyle w:val="39"/>
          <w:color w:val="000000" w:themeColor="text1"/>
          <w:highlight w:val="none"/>
        </w:rPr>
        <w:t>投标人须知</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_Toc211442728 \h </w:instrText>
      </w:r>
      <w:r>
        <w:rPr>
          <w:color w:val="000000" w:themeColor="text1"/>
          <w:highlight w:val="none"/>
        </w:rPr>
        <w:fldChar w:fldCharType="separate"/>
      </w:r>
      <w:r>
        <w:rPr>
          <w:color w:val="000000" w:themeColor="text1"/>
          <w:highlight w:val="none"/>
        </w:rPr>
        <w:t>26</w:t>
      </w:r>
      <w:r>
        <w:rPr>
          <w:color w:val="000000" w:themeColor="text1"/>
          <w:highlight w:val="none"/>
        </w:rPr>
        <w:fldChar w:fldCharType="end"/>
      </w:r>
      <w:r>
        <w:rPr>
          <w:color w:val="000000" w:themeColor="text1"/>
          <w:highlight w:val="none"/>
        </w:rPr>
        <w:fldChar w:fldCharType="end"/>
      </w:r>
    </w:p>
    <w:p w14:paraId="69702D6C">
      <w:pPr>
        <w:pStyle w:val="25"/>
        <w:tabs>
          <w:tab w:val="right" w:leader="hyphen" w:pos="9061"/>
        </w:tabs>
        <w:rPr>
          <w:rFonts w:eastAsiaTheme="minorEastAsia"/>
          <w:color w:val="000000" w:themeColor="text1"/>
          <w:sz w:val="21"/>
          <w:highlight w:val="none"/>
        </w:rPr>
      </w:pPr>
      <w:r>
        <w:rPr>
          <w:color w:val="000000" w:themeColor="text1"/>
          <w:highlight w:val="none"/>
        </w:rPr>
        <w:fldChar w:fldCharType="begin"/>
      </w:r>
      <w:r>
        <w:rPr>
          <w:color w:val="000000" w:themeColor="text1"/>
          <w:highlight w:val="none"/>
        </w:rPr>
        <w:instrText xml:space="preserve"> HYPERLINK \l "_Toc211442729" </w:instrText>
      </w:r>
      <w:r>
        <w:rPr>
          <w:color w:val="000000" w:themeColor="text1"/>
          <w:highlight w:val="none"/>
        </w:rPr>
        <w:fldChar w:fldCharType="separate"/>
      </w:r>
      <w:r>
        <w:rPr>
          <w:rStyle w:val="39"/>
          <w:color w:val="000000" w:themeColor="text1"/>
          <w:highlight w:val="none"/>
        </w:rPr>
        <w:t>一、总则</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_Toc211442729 \h </w:instrText>
      </w:r>
      <w:r>
        <w:rPr>
          <w:color w:val="000000" w:themeColor="text1"/>
          <w:highlight w:val="none"/>
        </w:rPr>
        <w:fldChar w:fldCharType="separate"/>
      </w:r>
      <w:r>
        <w:rPr>
          <w:color w:val="000000" w:themeColor="text1"/>
          <w:highlight w:val="none"/>
        </w:rPr>
        <w:t>26</w:t>
      </w:r>
      <w:r>
        <w:rPr>
          <w:color w:val="000000" w:themeColor="text1"/>
          <w:highlight w:val="none"/>
        </w:rPr>
        <w:fldChar w:fldCharType="end"/>
      </w:r>
      <w:r>
        <w:rPr>
          <w:color w:val="000000" w:themeColor="text1"/>
          <w:highlight w:val="none"/>
        </w:rPr>
        <w:fldChar w:fldCharType="end"/>
      </w:r>
    </w:p>
    <w:p w14:paraId="0F8B8631">
      <w:pPr>
        <w:pStyle w:val="25"/>
        <w:tabs>
          <w:tab w:val="right" w:leader="hyphen" w:pos="9061"/>
        </w:tabs>
        <w:rPr>
          <w:rFonts w:eastAsiaTheme="minorEastAsia"/>
          <w:color w:val="000000" w:themeColor="text1"/>
          <w:sz w:val="21"/>
          <w:highlight w:val="none"/>
        </w:rPr>
      </w:pPr>
      <w:r>
        <w:rPr>
          <w:color w:val="000000" w:themeColor="text1"/>
          <w:highlight w:val="none"/>
        </w:rPr>
        <w:fldChar w:fldCharType="begin"/>
      </w:r>
      <w:r>
        <w:rPr>
          <w:color w:val="000000" w:themeColor="text1"/>
          <w:highlight w:val="none"/>
        </w:rPr>
        <w:instrText xml:space="preserve"> HYPERLINK \l "_Toc211442730" </w:instrText>
      </w:r>
      <w:r>
        <w:rPr>
          <w:color w:val="000000" w:themeColor="text1"/>
          <w:highlight w:val="none"/>
        </w:rPr>
        <w:fldChar w:fldCharType="separate"/>
      </w:r>
      <w:r>
        <w:rPr>
          <w:rStyle w:val="39"/>
          <w:color w:val="000000" w:themeColor="text1"/>
          <w:highlight w:val="none"/>
        </w:rPr>
        <w:t>二、招标文件</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_Toc211442730 \h </w:instrText>
      </w:r>
      <w:r>
        <w:rPr>
          <w:color w:val="000000" w:themeColor="text1"/>
          <w:highlight w:val="none"/>
        </w:rPr>
        <w:fldChar w:fldCharType="separate"/>
      </w:r>
      <w:r>
        <w:rPr>
          <w:color w:val="000000" w:themeColor="text1"/>
          <w:highlight w:val="none"/>
        </w:rPr>
        <w:t>27</w:t>
      </w:r>
      <w:r>
        <w:rPr>
          <w:color w:val="000000" w:themeColor="text1"/>
          <w:highlight w:val="none"/>
        </w:rPr>
        <w:fldChar w:fldCharType="end"/>
      </w:r>
      <w:r>
        <w:rPr>
          <w:color w:val="000000" w:themeColor="text1"/>
          <w:highlight w:val="none"/>
        </w:rPr>
        <w:fldChar w:fldCharType="end"/>
      </w:r>
    </w:p>
    <w:p w14:paraId="76A7C63C">
      <w:pPr>
        <w:pStyle w:val="25"/>
        <w:tabs>
          <w:tab w:val="right" w:leader="hyphen" w:pos="9061"/>
        </w:tabs>
        <w:rPr>
          <w:rFonts w:eastAsiaTheme="minorEastAsia"/>
          <w:color w:val="000000" w:themeColor="text1"/>
          <w:sz w:val="21"/>
          <w:highlight w:val="none"/>
        </w:rPr>
      </w:pPr>
      <w:r>
        <w:rPr>
          <w:color w:val="000000" w:themeColor="text1"/>
          <w:highlight w:val="none"/>
        </w:rPr>
        <w:fldChar w:fldCharType="begin"/>
      </w:r>
      <w:r>
        <w:rPr>
          <w:color w:val="000000" w:themeColor="text1"/>
          <w:highlight w:val="none"/>
        </w:rPr>
        <w:instrText xml:space="preserve"> HYPERLINK \l "_Toc211442731" </w:instrText>
      </w:r>
      <w:r>
        <w:rPr>
          <w:color w:val="000000" w:themeColor="text1"/>
          <w:highlight w:val="none"/>
        </w:rPr>
        <w:fldChar w:fldCharType="separate"/>
      </w:r>
      <w:r>
        <w:rPr>
          <w:rStyle w:val="39"/>
          <w:color w:val="000000" w:themeColor="text1"/>
          <w:highlight w:val="none"/>
        </w:rPr>
        <w:t>三、投标文件的编制</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_Toc211442731 \h </w:instrText>
      </w:r>
      <w:r>
        <w:rPr>
          <w:color w:val="000000" w:themeColor="text1"/>
          <w:highlight w:val="none"/>
        </w:rPr>
        <w:fldChar w:fldCharType="separate"/>
      </w:r>
      <w:r>
        <w:rPr>
          <w:color w:val="000000" w:themeColor="text1"/>
          <w:highlight w:val="none"/>
        </w:rPr>
        <w:t>28</w:t>
      </w:r>
      <w:r>
        <w:rPr>
          <w:color w:val="000000" w:themeColor="text1"/>
          <w:highlight w:val="none"/>
        </w:rPr>
        <w:fldChar w:fldCharType="end"/>
      </w:r>
      <w:r>
        <w:rPr>
          <w:color w:val="000000" w:themeColor="text1"/>
          <w:highlight w:val="none"/>
        </w:rPr>
        <w:fldChar w:fldCharType="end"/>
      </w:r>
    </w:p>
    <w:p w14:paraId="1D6CF418">
      <w:pPr>
        <w:pStyle w:val="25"/>
        <w:tabs>
          <w:tab w:val="right" w:leader="hyphen" w:pos="9061"/>
        </w:tabs>
        <w:rPr>
          <w:rFonts w:eastAsiaTheme="minorEastAsia"/>
          <w:color w:val="000000" w:themeColor="text1"/>
          <w:sz w:val="21"/>
          <w:highlight w:val="none"/>
        </w:rPr>
      </w:pPr>
      <w:r>
        <w:rPr>
          <w:color w:val="000000" w:themeColor="text1"/>
          <w:highlight w:val="none"/>
        </w:rPr>
        <w:fldChar w:fldCharType="begin"/>
      </w:r>
      <w:r>
        <w:rPr>
          <w:color w:val="000000" w:themeColor="text1"/>
          <w:highlight w:val="none"/>
        </w:rPr>
        <w:instrText xml:space="preserve"> HYPERLINK \l "_Toc211442732" </w:instrText>
      </w:r>
      <w:r>
        <w:rPr>
          <w:color w:val="000000" w:themeColor="text1"/>
          <w:highlight w:val="none"/>
        </w:rPr>
        <w:fldChar w:fldCharType="separate"/>
      </w:r>
      <w:r>
        <w:rPr>
          <w:rStyle w:val="39"/>
          <w:color w:val="000000" w:themeColor="text1"/>
          <w:highlight w:val="none"/>
        </w:rPr>
        <w:t>四、投标文件的递交</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_Toc211442732 \h </w:instrText>
      </w:r>
      <w:r>
        <w:rPr>
          <w:color w:val="000000" w:themeColor="text1"/>
          <w:highlight w:val="none"/>
        </w:rPr>
        <w:fldChar w:fldCharType="separate"/>
      </w:r>
      <w:r>
        <w:rPr>
          <w:color w:val="000000" w:themeColor="text1"/>
          <w:highlight w:val="none"/>
        </w:rPr>
        <w:t>31</w:t>
      </w:r>
      <w:r>
        <w:rPr>
          <w:color w:val="000000" w:themeColor="text1"/>
          <w:highlight w:val="none"/>
        </w:rPr>
        <w:fldChar w:fldCharType="end"/>
      </w:r>
      <w:r>
        <w:rPr>
          <w:color w:val="000000" w:themeColor="text1"/>
          <w:highlight w:val="none"/>
        </w:rPr>
        <w:fldChar w:fldCharType="end"/>
      </w:r>
    </w:p>
    <w:p w14:paraId="77DCFFC7">
      <w:pPr>
        <w:pStyle w:val="25"/>
        <w:tabs>
          <w:tab w:val="right" w:leader="hyphen" w:pos="9061"/>
        </w:tabs>
        <w:rPr>
          <w:rFonts w:eastAsiaTheme="minorEastAsia"/>
          <w:color w:val="000000" w:themeColor="text1"/>
          <w:sz w:val="21"/>
          <w:highlight w:val="none"/>
        </w:rPr>
      </w:pPr>
      <w:r>
        <w:rPr>
          <w:color w:val="000000" w:themeColor="text1"/>
          <w:highlight w:val="none"/>
        </w:rPr>
        <w:fldChar w:fldCharType="begin"/>
      </w:r>
      <w:r>
        <w:rPr>
          <w:color w:val="000000" w:themeColor="text1"/>
          <w:highlight w:val="none"/>
        </w:rPr>
        <w:instrText xml:space="preserve"> HYPERLINK \l "_Toc211442733" </w:instrText>
      </w:r>
      <w:r>
        <w:rPr>
          <w:color w:val="000000" w:themeColor="text1"/>
          <w:highlight w:val="none"/>
        </w:rPr>
        <w:fldChar w:fldCharType="separate"/>
      </w:r>
      <w:r>
        <w:rPr>
          <w:rStyle w:val="39"/>
          <w:color w:val="000000" w:themeColor="text1"/>
          <w:highlight w:val="none"/>
        </w:rPr>
        <w:t>五、开标、审查与评标</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_Toc211442733 \h </w:instrText>
      </w:r>
      <w:r>
        <w:rPr>
          <w:color w:val="000000" w:themeColor="text1"/>
          <w:highlight w:val="none"/>
        </w:rPr>
        <w:fldChar w:fldCharType="separate"/>
      </w:r>
      <w:r>
        <w:rPr>
          <w:color w:val="000000" w:themeColor="text1"/>
          <w:highlight w:val="none"/>
        </w:rPr>
        <w:t>32</w:t>
      </w:r>
      <w:r>
        <w:rPr>
          <w:color w:val="000000" w:themeColor="text1"/>
          <w:highlight w:val="none"/>
        </w:rPr>
        <w:fldChar w:fldCharType="end"/>
      </w:r>
      <w:r>
        <w:rPr>
          <w:color w:val="000000" w:themeColor="text1"/>
          <w:highlight w:val="none"/>
        </w:rPr>
        <w:fldChar w:fldCharType="end"/>
      </w:r>
    </w:p>
    <w:p w14:paraId="744D64EF">
      <w:pPr>
        <w:pStyle w:val="25"/>
        <w:tabs>
          <w:tab w:val="right" w:leader="hyphen" w:pos="9061"/>
        </w:tabs>
        <w:rPr>
          <w:rFonts w:eastAsiaTheme="minorEastAsia"/>
          <w:color w:val="000000" w:themeColor="text1"/>
          <w:sz w:val="21"/>
          <w:highlight w:val="none"/>
        </w:rPr>
      </w:pPr>
      <w:r>
        <w:rPr>
          <w:color w:val="000000" w:themeColor="text1"/>
          <w:highlight w:val="none"/>
        </w:rPr>
        <w:fldChar w:fldCharType="begin"/>
      </w:r>
      <w:r>
        <w:rPr>
          <w:color w:val="000000" w:themeColor="text1"/>
          <w:highlight w:val="none"/>
        </w:rPr>
        <w:instrText xml:space="preserve"> HYPERLINK \l "_Toc211442734" </w:instrText>
      </w:r>
      <w:r>
        <w:rPr>
          <w:color w:val="000000" w:themeColor="text1"/>
          <w:highlight w:val="none"/>
        </w:rPr>
        <w:fldChar w:fldCharType="separate"/>
      </w:r>
      <w:r>
        <w:rPr>
          <w:rStyle w:val="39"/>
          <w:color w:val="000000" w:themeColor="text1"/>
          <w:highlight w:val="none"/>
        </w:rPr>
        <w:t>六、定标、中标通知与签约</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_Toc211442734 \h </w:instrText>
      </w:r>
      <w:r>
        <w:rPr>
          <w:color w:val="000000" w:themeColor="text1"/>
          <w:highlight w:val="none"/>
        </w:rPr>
        <w:fldChar w:fldCharType="separate"/>
      </w:r>
      <w:r>
        <w:rPr>
          <w:color w:val="000000" w:themeColor="text1"/>
          <w:highlight w:val="none"/>
        </w:rPr>
        <w:t>34</w:t>
      </w:r>
      <w:r>
        <w:rPr>
          <w:color w:val="000000" w:themeColor="text1"/>
          <w:highlight w:val="none"/>
        </w:rPr>
        <w:fldChar w:fldCharType="end"/>
      </w:r>
      <w:r>
        <w:rPr>
          <w:color w:val="000000" w:themeColor="text1"/>
          <w:highlight w:val="none"/>
        </w:rPr>
        <w:fldChar w:fldCharType="end"/>
      </w:r>
    </w:p>
    <w:p w14:paraId="5826178A">
      <w:pPr>
        <w:pStyle w:val="21"/>
        <w:tabs>
          <w:tab w:val="right" w:leader="hyphen" w:pos="9061"/>
        </w:tabs>
        <w:rPr>
          <w:rFonts w:eastAsiaTheme="minorEastAsia"/>
          <w:color w:val="000000" w:themeColor="text1"/>
          <w:sz w:val="21"/>
          <w:highlight w:val="none"/>
        </w:rPr>
      </w:pPr>
      <w:r>
        <w:rPr>
          <w:color w:val="000000" w:themeColor="text1"/>
          <w:highlight w:val="none"/>
        </w:rPr>
        <w:fldChar w:fldCharType="begin"/>
      </w:r>
      <w:r>
        <w:rPr>
          <w:color w:val="000000" w:themeColor="text1"/>
          <w:highlight w:val="none"/>
        </w:rPr>
        <w:instrText xml:space="preserve"> HYPERLINK \l "_Toc211442735" </w:instrText>
      </w:r>
      <w:r>
        <w:rPr>
          <w:color w:val="000000" w:themeColor="text1"/>
          <w:highlight w:val="none"/>
        </w:rPr>
        <w:fldChar w:fldCharType="separate"/>
      </w:r>
      <w:r>
        <w:rPr>
          <w:rStyle w:val="39"/>
          <w:rFonts w:ascii="宋体" w:hAnsi="宋体"/>
          <w:color w:val="000000" w:themeColor="text1"/>
          <w:highlight w:val="none"/>
        </w:rPr>
        <w:t>第三章  合同通用条款</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_Toc211442735 \h </w:instrText>
      </w:r>
      <w:r>
        <w:rPr>
          <w:color w:val="000000" w:themeColor="text1"/>
          <w:highlight w:val="none"/>
        </w:rPr>
        <w:fldChar w:fldCharType="separate"/>
      </w:r>
      <w:r>
        <w:rPr>
          <w:color w:val="000000" w:themeColor="text1"/>
          <w:highlight w:val="none"/>
        </w:rPr>
        <w:t>36</w:t>
      </w:r>
      <w:r>
        <w:rPr>
          <w:color w:val="000000" w:themeColor="text1"/>
          <w:highlight w:val="none"/>
        </w:rPr>
        <w:fldChar w:fldCharType="end"/>
      </w:r>
      <w:r>
        <w:rPr>
          <w:color w:val="000000" w:themeColor="text1"/>
          <w:highlight w:val="none"/>
        </w:rPr>
        <w:fldChar w:fldCharType="end"/>
      </w:r>
    </w:p>
    <w:p w14:paraId="4861E691">
      <w:pPr>
        <w:pStyle w:val="21"/>
        <w:tabs>
          <w:tab w:val="right" w:leader="hyphen" w:pos="9061"/>
        </w:tabs>
        <w:rPr>
          <w:rFonts w:eastAsiaTheme="minorEastAsia"/>
          <w:color w:val="000000" w:themeColor="text1"/>
          <w:sz w:val="21"/>
          <w:highlight w:val="none"/>
        </w:rPr>
      </w:pPr>
      <w:r>
        <w:rPr>
          <w:color w:val="000000" w:themeColor="text1"/>
          <w:highlight w:val="none"/>
        </w:rPr>
        <w:fldChar w:fldCharType="begin"/>
      </w:r>
      <w:r>
        <w:rPr>
          <w:color w:val="000000" w:themeColor="text1"/>
          <w:highlight w:val="none"/>
        </w:rPr>
        <w:instrText xml:space="preserve"> HYPERLINK \l "_Toc211442736" </w:instrText>
      </w:r>
      <w:r>
        <w:rPr>
          <w:color w:val="000000" w:themeColor="text1"/>
          <w:highlight w:val="none"/>
        </w:rPr>
        <w:fldChar w:fldCharType="separate"/>
      </w:r>
      <w:r>
        <w:rPr>
          <w:rStyle w:val="39"/>
          <w:rFonts w:ascii="宋体" w:hAnsi="宋体"/>
          <w:color w:val="000000" w:themeColor="text1"/>
          <w:highlight w:val="none"/>
        </w:rPr>
        <w:t>第四章  合同专用条款</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_Toc211442736 \h </w:instrText>
      </w:r>
      <w:r>
        <w:rPr>
          <w:color w:val="000000" w:themeColor="text1"/>
          <w:highlight w:val="none"/>
        </w:rPr>
        <w:fldChar w:fldCharType="separate"/>
      </w:r>
      <w:r>
        <w:rPr>
          <w:color w:val="000000" w:themeColor="text1"/>
          <w:highlight w:val="none"/>
        </w:rPr>
        <w:t>39</w:t>
      </w:r>
      <w:r>
        <w:rPr>
          <w:color w:val="000000" w:themeColor="text1"/>
          <w:highlight w:val="none"/>
        </w:rPr>
        <w:fldChar w:fldCharType="end"/>
      </w:r>
      <w:r>
        <w:rPr>
          <w:color w:val="000000" w:themeColor="text1"/>
          <w:highlight w:val="none"/>
        </w:rPr>
        <w:fldChar w:fldCharType="end"/>
      </w:r>
    </w:p>
    <w:p w14:paraId="6ED735EB">
      <w:pPr>
        <w:pStyle w:val="21"/>
        <w:tabs>
          <w:tab w:val="right" w:leader="hyphen" w:pos="9061"/>
        </w:tabs>
        <w:rPr>
          <w:rFonts w:eastAsiaTheme="minorEastAsia"/>
          <w:color w:val="000000" w:themeColor="text1"/>
          <w:sz w:val="21"/>
          <w:highlight w:val="none"/>
        </w:rPr>
      </w:pPr>
      <w:r>
        <w:rPr>
          <w:color w:val="000000" w:themeColor="text1"/>
          <w:highlight w:val="none"/>
        </w:rPr>
        <w:fldChar w:fldCharType="begin"/>
      </w:r>
      <w:r>
        <w:rPr>
          <w:color w:val="000000" w:themeColor="text1"/>
          <w:highlight w:val="none"/>
        </w:rPr>
        <w:instrText xml:space="preserve"> HYPERLINK \l "_Toc211442737" </w:instrText>
      </w:r>
      <w:r>
        <w:rPr>
          <w:color w:val="000000" w:themeColor="text1"/>
          <w:highlight w:val="none"/>
        </w:rPr>
        <w:fldChar w:fldCharType="separate"/>
      </w:r>
      <w:r>
        <w:rPr>
          <w:rStyle w:val="39"/>
          <w:rFonts w:ascii="宋体" w:hAnsi="宋体"/>
          <w:color w:val="000000" w:themeColor="text1"/>
          <w:highlight w:val="none"/>
        </w:rPr>
        <w:t>第五章  合同格式</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_Toc211442737 \h </w:instrText>
      </w:r>
      <w:r>
        <w:rPr>
          <w:color w:val="000000" w:themeColor="text1"/>
          <w:highlight w:val="none"/>
        </w:rPr>
        <w:fldChar w:fldCharType="separate"/>
      </w:r>
      <w:r>
        <w:rPr>
          <w:color w:val="000000" w:themeColor="text1"/>
          <w:highlight w:val="none"/>
        </w:rPr>
        <w:t>41</w:t>
      </w:r>
      <w:r>
        <w:rPr>
          <w:color w:val="000000" w:themeColor="text1"/>
          <w:highlight w:val="none"/>
        </w:rPr>
        <w:fldChar w:fldCharType="end"/>
      </w:r>
      <w:r>
        <w:rPr>
          <w:color w:val="000000" w:themeColor="text1"/>
          <w:highlight w:val="none"/>
        </w:rPr>
        <w:fldChar w:fldCharType="end"/>
      </w:r>
    </w:p>
    <w:p w14:paraId="513C7221">
      <w:pPr>
        <w:pStyle w:val="21"/>
        <w:tabs>
          <w:tab w:val="right" w:leader="hyphen" w:pos="9061"/>
        </w:tabs>
        <w:rPr>
          <w:rFonts w:eastAsiaTheme="minorEastAsia"/>
          <w:color w:val="000000" w:themeColor="text1"/>
          <w:sz w:val="21"/>
          <w:highlight w:val="none"/>
        </w:rPr>
      </w:pPr>
      <w:r>
        <w:rPr>
          <w:color w:val="000000" w:themeColor="text1"/>
          <w:highlight w:val="none"/>
        </w:rPr>
        <w:fldChar w:fldCharType="begin"/>
      </w:r>
      <w:r>
        <w:rPr>
          <w:color w:val="000000" w:themeColor="text1"/>
          <w:highlight w:val="none"/>
        </w:rPr>
        <w:instrText xml:space="preserve"> HYPERLINK \l "_Toc211442738" </w:instrText>
      </w:r>
      <w:r>
        <w:rPr>
          <w:color w:val="000000" w:themeColor="text1"/>
          <w:highlight w:val="none"/>
        </w:rPr>
        <w:fldChar w:fldCharType="separate"/>
      </w:r>
      <w:r>
        <w:rPr>
          <w:rStyle w:val="39"/>
          <w:rFonts w:ascii="宋体" w:hAnsi="宋体"/>
          <w:color w:val="000000" w:themeColor="text1"/>
          <w:highlight w:val="none"/>
        </w:rPr>
        <w:t>第六章  投标文件格式</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_Toc211442738 \h </w:instrText>
      </w:r>
      <w:r>
        <w:rPr>
          <w:color w:val="000000" w:themeColor="text1"/>
          <w:highlight w:val="none"/>
        </w:rPr>
        <w:fldChar w:fldCharType="separate"/>
      </w:r>
      <w:r>
        <w:rPr>
          <w:color w:val="000000" w:themeColor="text1"/>
          <w:highlight w:val="none"/>
        </w:rPr>
        <w:t>43</w:t>
      </w:r>
      <w:r>
        <w:rPr>
          <w:color w:val="000000" w:themeColor="text1"/>
          <w:highlight w:val="none"/>
        </w:rPr>
        <w:fldChar w:fldCharType="end"/>
      </w:r>
      <w:r>
        <w:rPr>
          <w:color w:val="000000" w:themeColor="text1"/>
          <w:highlight w:val="none"/>
        </w:rPr>
        <w:fldChar w:fldCharType="end"/>
      </w:r>
    </w:p>
    <w:p w14:paraId="16F33C46">
      <w:pPr>
        <w:pStyle w:val="25"/>
        <w:tabs>
          <w:tab w:val="right" w:leader="hyphen" w:pos="9061"/>
        </w:tabs>
        <w:rPr>
          <w:rFonts w:eastAsiaTheme="minorEastAsia"/>
          <w:color w:val="000000" w:themeColor="text1"/>
          <w:sz w:val="21"/>
          <w:highlight w:val="none"/>
        </w:rPr>
      </w:pPr>
      <w:r>
        <w:rPr>
          <w:color w:val="000000" w:themeColor="text1"/>
          <w:highlight w:val="none"/>
        </w:rPr>
        <w:fldChar w:fldCharType="begin"/>
      </w:r>
      <w:r>
        <w:rPr>
          <w:color w:val="000000" w:themeColor="text1"/>
          <w:highlight w:val="none"/>
        </w:rPr>
        <w:instrText xml:space="preserve"> HYPERLINK \l "_Toc211442739" </w:instrText>
      </w:r>
      <w:r>
        <w:rPr>
          <w:color w:val="000000" w:themeColor="text1"/>
          <w:highlight w:val="none"/>
        </w:rPr>
        <w:fldChar w:fldCharType="separate"/>
      </w:r>
      <w:r>
        <w:rPr>
          <w:rStyle w:val="39"/>
          <w:color w:val="000000" w:themeColor="text1"/>
          <w:highlight w:val="none"/>
        </w:rPr>
        <w:t>一、法人代表授权书</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_Toc211442739 \h </w:instrText>
      </w:r>
      <w:r>
        <w:rPr>
          <w:color w:val="000000" w:themeColor="text1"/>
          <w:highlight w:val="none"/>
        </w:rPr>
        <w:fldChar w:fldCharType="separate"/>
      </w:r>
      <w:r>
        <w:rPr>
          <w:color w:val="000000" w:themeColor="text1"/>
          <w:highlight w:val="none"/>
        </w:rPr>
        <w:t>44</w:t>
      </w:r>
      <w:r>
        <w:rPr>
          <w:color w:val="000000" w:themeColor="text1"/>
          <w:highlight w:val="none"/>
        </w:rPr>
        <w:fldChar w:fldCharType="end"/>
      </w:r>
      <w:r>
        <w:rPr>
          <w:color w:val="000000" w:themeColor="text1"/>
          <w:highlight w:val="none"/>
        </w:rPr>
        <w:fldChar w:fldCharType="end"/>
      </w:r>
    </w:p>
    <w:p w14:paraId="0C5C0C92">
      <w:pPr>
        <w:pStyle w:val="25"/>
        <w:tabs>
          <w:tab w:val="right" w:leader="hyphen" w:pos="9061"/>
        </w:tabs>
        <w:rPr>
          <w:rFonts w:eastAsiaTheme="minorEastAsia"/>
          <w:color w:val="000000" w:themeColor="text1"/>
          <w:sz w:val="21"/>
          <w:highlight w:val="none"/>
        </w:rPr>
      </w:pPr>
      <w:r>
        <w:rPr>
          <w:color w:val="000000" w:themeColor="text1"/>
          <w:highlight w:val="none"/>
        </w:rPr>
        <w:fldChar w:fldCharType="begin"/>
      </w:r>
      <w:r>
        <w:rPr>
          <w:color w:val="000000" w:themeColor="text1"/>
          <w:highlight w:val="none"/>
        </w:rPr>
        <w:instrText xml:space="preserve"> HYPERLINK \l "_Toc211442740" </w:instrText>
      </w:r>
      <w:r>
        <w:rPr>
          <w:color w:val="000000" w:themeColor="text1"/>
          <w:highlight w:val="none"/>
        </w:rPr>
        <w:fldChar w:fldCharType="separate"/>
      </w:r>
      <w:r>
        <w:rPr>
          <w:rStyle w:val="39"/>
          <w:color w:val="000000" w:themeColor="text1"/>
          <w:highlight w:val="none"/>
        </w:rPr>
        <w:t>二、政府采购供应商拒绝政府采购领域商业贿赂承诺书</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_Toc211442740 \h </w:instrText>
      </w:r>
      <w:r>
        <w:rPr>
          <w:color w:val="000000" w:themeColor="text1"/>
          <w:highlight w:val="none"/>
        </w:rPr>
        <w:fldChar w:fldCharType="separate"/>
      </w:r>
      <w:r>
        <w:rPr>
          <w:color w:val="000000" w:themeColor="text1"/>
          <w:highlight w:val="none"/>
        </w:rPr>
        <w:t>45</w:t>
      </w:r>
      <w:r>
        <w:rPr>
          <w:color w:val="000000" w:themeColor="text1"/>
          <w:highlight w:val="none"/>
        </w:rPr>
        <w:fldChar w:fldCharType="end"/>
      </w:r>
      <w:r>
        <w:rPr>
          <w:color w:val="000000" w:themeColor="text1"/>
          <w:highlight w:val="none"/>
        </w:rPr>
        <w:fldChar w:fldCharType="end"/>
      </w:r>
    </w:p>
    <w:p w14:paraId="425AE6ED">
      <w:pPr>
        <w:pStyle w:val="25"/>
        <w:tabs>
          <w:tab w:val="right" w:leader="hyphen" w:pos="9061"/>
        </w:tabs>
        <w:rPr>
          <w:rFonts w:eastAsiaTheme="minorEastAsia"/>
          <w:color w:val="000000" w:themeColor="text1"/>
          <w:sz w:val="21"/>
          <w:highlight w:val="none"/>
        </w:rPr>
      </w:pPr>
      <w:r>
        <w:rPr>
          <w:color w:val="000000" w:themeColor="text1"/>
          <w:highlight w:val="none"/>
        </w:rPr>
        <w:fldChar w:fldCharType="begin"/>
      </w:r>
      <w:r>
        <w:rPr>
          <w:color w:val="000000" w:themeColor="text1"/>
          <w:highlight w:val="none"/>
        </w:rPr>
        <w:instrText xml:space="preserve"> HYPERLINK \l "_Toc211442741" </w:instrText>
      </w:r>
      <w:r>
        <w:rPr>
          <w:color w:val="000000" w:themeColor="text1"/>
          <w:highlight w:val="none"/>
        </w:rPr>
        <w:fldChar w:fldCharType="separate"/>
      </w:r>
      <w:r>
        <w:rPr>
          <w:rStyle w:val="39"/>
          <w:color w:val="000000" w:themeColor="text1"/>
          <w:highlight w:val="none"/>
        </w:rPr>
        <w:t>三、资格证明文件</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_Toc211442741 \h </w:instrText>
      </w:r>
      <w:r>
        <w:rPr>
          <w:color w:val="000000" w:themeColor="text1"/>
          <w:highlight w:val="none"/>
        </w:rPr>
        <w:fldChar w:fldCharType="separate"/>
      </w:r>
      <w:r>
        <w:rPr>
          <w:color w:val="000000" w:themeColor="text1"/>
          <w:highlight w:val="none"/>
        </w:rPr>
        <w:t>46</w:t>
      </w:r>
      <w:r>
        <w:rPr>
          <w:color w:val="000000" w:themeColor="text1"/>
          <w:highlight w:val="none"/>
        </w:rPr>
        <w:fldChar w:fldCharType="end"/>
      </w:r>
      <w:r>
        <w:rPr>
          <w:color w:val="000000" w:themeColor="text1"/>
          <w:highlight w:val="none"/>
        </w:rPr>
        <w:fldChar w:fldCharType="end"/>
      </w:r>
    </w:p>
    <w:p w14:paraId="3459DA2E">
      <w:pPr>
        <w:pStyle w:val="25"/>
        <w:tabs>
          <w:tab w:val="right" w:leader="hyphen" w:pos="9061"/>
        </w:tabs>
        <w:rPr>
          <w:rFonts w:eastAsiaTheme="minorEastAsia"/>
          <w:color w:val="000000" w:themeColor="text1"/>
          <w:sz w:val="21"/>
          <w:highlight w:val="none"/>
        </w:rPr>
      </w:pPr>
      <w:r>
        <w:rPr>
          <w:color w:val="000000" w:themeColor="text1"/>
          <w:highlight w:val="none"/>
        </w:rPr>
        <w:fldChar w:fldCharType="begin"/>
      </w:r>
      <w:r>
        <w:rPr>
          <w:color w:val="000000" w:themeColor="text1"/>
          <w:highlight w:val="none"/>
        </w:rPr>
        <w:instrText xml:space="preserve"> HYPERLINK \l "_Toc211442742" </w:instrText>
      </w:r>
      <w:r>
        <w:rPr>
          <w:color w:val="000000" w:themeColor="text1"/>
          <w:highlight w:val="none"/>
        </w:rPr>
        <w:fldChar w:fldCharType="separate"/>
      </w:r>
      <w:r>
        <w:rPr>
          <w:rStyle w:val="39"/>
          <w:color w:val="000000" w:themeColor="text1"/>
          <w:highlight w:val="none"/>
        </w:rPr>
        <w:t>四、投标函</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_Toc211442742 \h </w:instrText>
      </w:r>
      <w:r>
        <w:rPr>
          <w:color w:val="000000" w:themeColor="text1"/>
          <w:highlight w:val="none"/>
        </w:rPr>
        <w:fldChar w:fldCharType="separate"/>
      </w:r>
      <w:r>
        <w:rPr>
          <w:color w:val="000000" w:themeColor="text1"/>
          <w:highlight w:val="none"/>
        </w:rPr>
        <w:t>54</w:t>
      </w:r>
      <w:r>
        <w:rPr>
          <w:color w:val="000000" w:themeColor="text1"/>
          <w:highlight w:val="none"/>
        </w:rPr>
        <w:fldChar w:fldCharType="end"/>
      </w:r>
      <w:r>
        <w:rPr>
          <w:color w:val="000000" w:themeColor="text1"/>
          <w:highlight w:val="none"/>
        </w:rPr>
        <w:fldChar w:fldCharType="end"/>
      </w:r>
    </w:p>
    <w:p w14:paraId="7613E682">
      <w:pPr>
        <w:pStyle w:val="25"/>
        <w:tabs>
          <w:tab w:val="right" w:leader="hyphen" w:pos="9061"/>
        </w:tabs>
        <w:rPr>
          <w:rFonts w:eastAsiaTheme="minorEastAsia"/>
          <w:color w:val="000000" w:themeColor="text1"/>
          <w:sz w:val="21"/>
          <w:highlight w:val="none"/>
        </w:rPr>
      </w:pPr>
      <w:r>
        <w:rPr>
          <w:color w:val="000000" w:themeColor="text1"/>
          <w:highlight w:val="none"/>
        </w:rPr>
        <w:fldChar w:fldCharType="begin"/>
      </w:r>
      <w:r>
        <w:rPr>
          <w:color w:val="000000" w:themeColor="text1"/>
          <w:highlight w:val="none"/>
        </w:rPr>
        <w:instrText xml:space="preserve"> HYPERLINK \l "_Toc211442743" </w:instrText>
      </w:r>
      <w:r>
        <w:rPr>
          <w:color w:val="000000" w:themeColor="text1"/>
          <w:highlight w:val="none"/>
        </w:rPr>
        <w:fldChar w:fldCharType="separate"/>
      </w:r>
      <w:r>
        <w:rPr>
          <w:rStyle w:val="39"/>
          <w:color w:val="000000" w:themeColor="text1"/>
          <w:highlight w:val="none"/>
        </w:rPr>
        <w:t>五、投标报价表</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_Toc211442743 \h </w:instrText>
      </w:r>
      <w:r>
        <w:rPr>
          <w:color w:val="000000" w:themeColor="text1"/>
          <w:highlight w:val="none"/>
        </w:rPr>
        <w:fldChar w:fldCharType="separate"/>
      </w:r>
      <w:r>
        <w:rPr>
          <w:color w:val="000000" w:themeColor="text1"/>
          <w:highlight w:val="none"/>
        </w:rPr>
        <w:t>55</w:t>
      </w:r>
      <w:r>
        <w:rPr>
          <w:color w:val="000000" w:themeColor="text1"/>
          <w:highlight w:val="none"/>
        </w:rPr>
        <w:fldChar w:fldCharType="end"/>
      </w:r>
      <w:r>
        <w:rPr>
          <w:color w:val="000000" w:themeColor="text1"/>
          <w:highlight w:val="none"/>
        </w:rPr>
        <w:fldChar w:fldCharType="end"/>
      </w:r>
    </w:p>
    <w:p w14:paraId="747EF439">
      <w:pPr>
        <w:pStyle w:val="25"/>
        <w:tabs>
          <w:tab w:val="right" w:leader="hyphen" w:pos="9061"/>
        </w:tabs>
        <w:rPr>
          <w:rFonts w:eastAsiaTheme="minorEastAsia"/>
          <w:color w:val="000000" w:themeColor="text1"/>
          <w:sz w:val="21"/>
          <w:highlight w:val="none"/>
        </w:rPr>
      </w:pPr>
      <w:r>
        <w:rPr>
          <w:color w:val="000000" w:themeColor="text1"/>
          <w:highlight w:val="none"/>
        </w:rPr>
        <w:fldChar w:fldCharType="begin"/>
      </w:r>
      <w:r>
        <w:rPr>
          <w:color w:val="000000" w:themeColor="text1"/>
          <w:highlight w:val="none"/>
        </w:rPr>
        <w:instrText xml:space="preserve"> HYPERLINK \l "_Toc211442744" </w:instrText>
      </w:r>
      <w:r>
        <w:rPr>
          <w:color w:val="000000" w:themeColor="text1"/>
          <w:highlight w:val="none"/>
        </w:rPr>
        <w:fldChar w:fldCharType="separate"/>
      </w:r>
      <w:r>
        <w:rPr>
          <w:rStyle w:val="39"/>
          <w:color w:val="000000" w:themeColor="text1"/>
          <w:highlight w:val="none"/>
        </w:rPr>
        <w:t>六、投标方案说明书</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_Toc211442744 \h </w:instrText>
      </w:r>
      <w:r>
        <w:rPr>
          <w:color w:val="000000" w:themeColor="text1"/>
          <w:highlight w:val="none"/>
        </w:rPr>
        <w:fldChar w:fldCharType="separate"/>
      </w:r>
      <w:r>
        <w:rPr>
          <w:color w:val="000000" w:themeColor="text1"/>
          <w:highlight w:val="none"/>
        </w:rPr>
        <w:t>55</w:t>
      </w:r>
      <w:r>
        <w:rPr>
          <w:color w:val="000000" w:themeColor="text1"/>
          <w:highlight w:val="none"/>
        </w:rPr>
        <w:fldChar w:fldCharType="end"/>
      </w:r>
      <w:r>
        <w:rPr>
          <w:color w:val="000000" w:themeColor="text1"/>
          <w:highlight w:val="none"/>
        </w:rPr>
        <w:fldChar w:fldCharType="end"/>
      </w:r>
    </w:p>
    <w:p w14:paraId="456C173B">
      <w:pPr>
        <w:pStyle w:val="21"/>
        <w:tabs>
          <w:tab w:val="right" w:leader="hyphen" w:pos="9061"/>
        </w:tabs>
        <w:rPr>
          <w:rFonts w:eastAsiaTheme="minorEastAsia"/>
          <w:color w:val="000000" w:themeColor="text1"/>
          <w:sz w:val="21"/>
          <w:highlight w:val="none"/>
        </w:rPr>
      </w:pPr>
      <w:r>
        <w:rPr>
          <w:color w:val="000000" w:themeColor="text1"/>
          <w:highlight w:val="none"/>
        </w:rPr>
        <w:fldChar w:fldCharType="begin"/>
      </w:r>
      <w:r>
        <w:rPr>
          <w:color w:val="000000" w:themeColor="text1"/>
          <w:highlight w:val="none"/>
        </w:rPr>
        <w:instrText xml:space="preserve"> HYPERLINK \l "_Toc211442745" </w:instrText>
      </w:r>
      <w:r>
        <w:rPr>
          <w:color w:val="000000" w:themeColor="text1"/>
          <w:highlight w:val="none"/>
        </w:rPr>
        <w:fldChar w:fldCharType="separate"/>
      </w:r>
      <w:r>
        <w:rPr>
          <w:rStyle w:val="39"/>
          <w:rFonts w:ascii="宋体" w:hAnsi="宋体"/>
          <w:color w:val="000000" w:themeColor="text1"/>
          <w:highlight w:val="none"/>
        </w:rPr>
        <w:t>第七章  招标内容及技术要求</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_Toc211442745 \h </w:instrText>
      </w:r>
      <w:r>
        <w:rPr>
          <w:color w:val="000000" w:themeColor="text1"/>
          <w:highlight w:val="none"/>
        </w:rPr>
        <w:fldChar w:fldCharType="separate"/>
      </w:r>
      <w:r>
        <w:rPr>
          <w:color w:val="000000" w:themeColor="text1"/>
          <w:highlight w:val="none"/>
        </w:rPr>
        <w:t>62</w:t>
      </w:r>
      <w:r>
        <w:rPr>
          <w:color w:val="000000" w:themeColor="text1"/>
          <w:highlight w:val="none"/>
        </w:rPr>
        <w:fldChar w:fldCharType="end"/>
      </w:r>
      <w:r>
        <w:rPr>
          <w:color w:val="000000" w:themeColor="text1"/>
          <w:highlight w:val="none"/>
        </w:rPr>
        <w:fldChar w:fldCharType="end"/>
      </w:r>
    </w:p>
    <w:p w14:paraId="5EC41B42">
      <w:pPr>
        <w:pStyle w:val="25"/>
        <w:tabs>
          <w:tab w:val="right" w:leader="hyphen" w:pos="9061"/>
        </w:tabs>
        <w:rPr>
          <w:rFonts w:eastAsiaTheme="minorEastAsia"/>
          <w:color w:val="000000" w:themeColor="text1"/>
          <w:sz w:val="21"/>
          <w:highlight w:val="none"/>
        </w:rPr>
      </w:pPr>
      <w:r>
        <w:rPr>
          <w:color w:val="000000" w:themeColor="text1"/>
          <w:highlight w:val="none"/>
        </w:rPr>
        <w:fldChar w:fldCharType="begin"/>
      </w:r>
      <w:r>
        <w:rPr>
          <w:color w:val="000000" w:themeColor="text1"/>
          <w:highlight w:val="none"/>
        </w:rPr>
        <w:instrText xml:space="preserve"> HYPERLINK \l "_Toc211442746" </w:instrText>
      </w:r>
      <w:r>
        <w:rPr>
          <w:color w:val="000000" w:themeColor="text1"/>
          <w:highlight w:val="none"/>
        </w:rPr>
        <w:fldChar w:fldCharType="separate"/>
      </w:r>
      <w:r>
        <w:rPr>
          <w:rStyle w:val="39"/>
          <w:color w:val="000000" w:themeColor="text1"/>
          <w:highlight w:val="none"/>
        </w:rPr>
        <w:t>一、项目概况</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_Toc211442746 \h </w:instrText>
      </w:r>
      <w:r>
        <w:rPr>
          <w:color w:val="000000" w:themeColor="text1"/>
          <w:highlight w:val="none"/>
        </w:rPr>
        <w:fldChar w:fldCharType="separate"/>
      </w:r>
      <w:r>
        <w:rPr>
          <w:color w:val="000000" w:themeColor="text1"/>
          <w:highlight w:val="none"/>
        </w:rPr>
        <w:t>62</w:t>
      </w:r>
      <w:r>
        <w:rPr>
          <w:color w:val="000000" w:themeColor="text1"/>
          <w:highlight w:val="none"/>
        </w:rPr>
        <w:fldChar w:fldCharType="end"/>
      </w:r>
      <w:r>
        <w:rPr>
          <w:color w:val="000000" w:themeColor="text1"/>
          <w:highlight w:val="none"/>
        </w:rPr>
        <w:fldChar w:fldCharType="end"/>
      </w:r>
    </w:p>
    <w:p w14:paraId="2456913D">
      <w:pPr>
        <w:pStyle w:val="25"/>
        <w:tabs>
          <w:tab w:val="right" w:leader="hyphen" w:pos="9061"/>
        </w:tabs>
        <w:rPr>
          <w:rFonts w:eastAsiaTheme="minorEastAsia"/>
          <w:color w:val="000000" w:themeColor="text1"/>
          <w:sz w:val="21"/>
          <w:highlight w:val="none"/>
        </w:rPr>
      </w:pPr>
      <w:r>
        <w:rPr>
          <w:color w:val="000000" w:themeColor="text1"/>
          <w:highlight w:val="none"/>
        </w:rPr>
        <w:fldChar w:fldCharType="begin"/>
      </w:r>
      <w:r>
        <w:rPr>
          <w:color w:val="000000" w:themeColor="text1"/>
          <w:highlight w:val="none"/>
        </w:rPr>
        <w:instrText xml:space="preserve"> HYPERLINK \l "_Toc211442747" </w:instrText>
      </w:r>
      <w:r>
        <w:rPr>
          <w:color w:val="000000" w:themeColor="text1"/>
          <w:highlight w:val="none"/>
        </w:rPr>
        <w:fldChar w:fldCharType="separate"/>
      </w:r>
      <w:r>
        <w:rPr>
          <w:rStyle w:val="39"/>
          <w:color w:val="000000" w:themeColor="text1"/>
          <w:highlight w:val="none"/>
        </w:rPr>
        <w:t>二、技术要求</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_Toc211442747 \h </w:instrText>
      </w:r>
      <w:r>
        <w:rPr>
          <w:color w:val="000000" w:themeColor="text1"/>
          <w:highlight w:val="none"/>
        </w:rPr>
        <w:fldChar w:fldCharType="separate"/>
      </w:r>
      <w:r>
        <w:rPr>
          <w:color w:val="000000" w:themeColor="text1"/>
          <w:highlight w:val="none"/>
        </w:rPr>
        <w:t>62</w:t>
      </w:r>
      <w:r>
        <w:rPr>
          <w:color w:val="000000" w:themeColor="text1"/>
          <w:highlight w:val="none"/>
        </w:rPr>
        <w:fldChar w:fldCharType="end"/>
      </w:r>
      <w:r>
        <w:rPr>
          <w:color w:val="000000" w:themeColor="text1"/>
          <w:highlight w:val="none"/>
        </w:rPr>
        <w:fldChar w:fldCharType="end"/>
      </w:r>
    </w:p>
    <w:p w14:paraId="280E97F8">
      <w:pPr>
        <w:pStyle w:val="25"/>
        <w:tabs>
          <w:tab w:val="right" w:leader="hyphen" w:pos="9061"/>
        </w:tabs>
        <w:rPr>
          <w:rFonts w:eastAsiaTheme="minorEastAsia"/>
          <w:color w:val="000000" w:themeColor="text1"/>
          <w:sz w:val="21"/>
          <w:highlight w:val="none"/>
        </w:rPr>
      </w:pPr>
      <w:r>
        <w:rPr>
          <w:color w:val="000000" w:themeColor="text1"/>
          <w:highlight w:val="none"/>
        </w:rPr>
        <w:fldChar w:fldCharType="begin"/>
      </w:r>
      <w:r>
        <w:rPr>
          <w:color w:val="000000" w:themeColor="text1"/>
          <w:highlight w:val="none"/>
        </w:rPr>
        <w:instrText xml:space="preserve"> HYPERLINK \l "_Toc211442748" </w:instrText>
      </w:r>
      <w:r>
        <w:rPr>
          <w:color w:val="000000" w:themeColor="text1"/>
          <w:highlight w:val="none"/>
        </w:rPr>
        <w:fldChar w:fldCharType="separate"/>
      </w:r>
      <w:r>
        <w:rPr>
          <w:rStyle w:val="39"/>
          <w:color w:val="000000" w:themeColor="text1"/>
          <w:highlight w:val="none"/>
        </w:rPr>
        <w:t>（一）合同包1：市、区公办中小学地震预警终端和监测预警中心工作站</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_Toc211442748 \h </w:instrText>
      </w:r>
      <w:r>
        <w:rPr>
          <w:color w:val="000000" w:themeColor="text1"/>
          <w:highlight w:val="none"/>
        </w:rPr>
        <w:fldChar w:fldCharType="separate"/>
      </w:r>
      <w:r>
        <w:rPr>
          <w:color w:val="000000" w:themeColor="text1"/>
          <w:highlight w:val="none"/>
        </w:rPr>
        <w:t>62</w:t>
      </w:r>
      <w:r>
        <w:rPr>
          <w:color w:val="000000" w:themeColor="text1"/>
          <w:highlight w:val="none"/>
        </w:rPr>
        <w:fldChar w:fldCharType="end"/>
      </w:r>
      <w:r>
        <w:rPr>
          <w:color w:val="000000" w:themeColor="text1"/>
          <w:highlight w:val="none"/>
        </w:rPr>
        <w:fldChar w:fldCharType="end"/>
      </w:r>
    </w:p>
    <w:p w14:paraId="52E8D185">
      <w:pPr>
        <w:pStyle w:val="25"/>
        <w:tabs>
          <w:tab w:val="right" w:leader="hyphen" w:pos="9061"/>
        </w:tabs>
        <w:rPr>
          <w:rFonts w:eastAsiaTheme="minorEastAsia"/>
          <w:color w:val="000000" w:themeColor="text1"/>
          <w:sz w:val="21"/>
          <w:highlight w:val="none"/>
        </w:rPr>
      </w:pPr>
      <w:r>
        <w:rPr>
          <w:color w:val="000000" w:themeColor="text1"/>
          <w:highlight w:val="none"/>
        </w:rPr>
        <w:fldChar w:fldCharType="begin"/>
      </w:r>
      <w:r>
        <w:rPr>
          <w:color w:val="000000" w:themeColor="text1"/>
          <w:highlight w:val="none"/>
        </w:rPr>
        <w:instrText xml:space="preserve"> HYPERLINK \l "_Toc211442749" </w:instrText>
      </w:r>
      <w:r>
        <w:rPr>
          <w:color w:val="000000" w:themeColor="text1"/>
          <w:highlight w:val="none"/>
        </w:rPr>
        <w:fldChar w:fldCharType="separate"/>
      </w:r>
      <w:r>
        <w:rPr>
          <w:rStyle w:val="39"/>
          <w:color w:val="000000" w:themeColor="text1"/>
          <w:highlight w:val="none"/>
        </w:rPr>
        <w:t>（二）合同包2：</w:t>
      </w:r>
      <w:r>
        <w:rPr>
          <w:rStyle w:val="39"/>
          <w:rFonts w:cs="宋体"/>
          <w:color w:val="000000" w:themeColor="text1"/>
          <w:highlight w:val="none"/>
        </w:rPr>
        <w:t>县级公办中小学</w:t>
      </w:r>
      <w:r>
        <w:rPr>
          <w:rStyle w:val="39"/>
          <w:color w:val="000000" w:themeColor="text1"/>
          <w:highlight w:val="none"/>
        </w:rPr>
        <w:t>地震预警终端和地震烈度速报系统</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_Toc211442749 \h </w:instrText>
      </w:r>
      <w:r>
        <w:rPr>
          <w:color w:val="000000" w:themeColor="text1"/>
          <w:highlight w:val="none"/>
        </w:rPr>
        <w:fldChar w:fldCharType="separate"/>
      </w:r>
      <w:r>
        <w:rPr>
          <w:color w:val="000000" w:themeColor="text1"/>
          <w:highlight w:val="none"/>
        </w:rPr>
        <w:t>77</w:t>
      </w:r>
      <w:r>
        <w:rPr>
          <w:color w:val="000000" w:themeColor="text1"/>
          <w:highlight w:val="none"/>
        </w:rPr>
        <w:fldChar w:fldCharType="end"/>
      </w:r>
      <w:r>
        <w:rPr>
          <w:color w:val="000000" w:themeColor="text1"/>
          <w:highlight w:val="none"/>
        </w:rPr>
        <w:fldChar w:fldCharType="end"/>
      </w:r>
    </w:p>
    <w:p w14:paraId="48BABFA5">
      <w:pPr>
        <w:pStyle w:val="25"/>
        <w:tabs>
          <w:tab w:val="right" w:leader="hyphen" w:pos="9061"/>
        </w:tabs>
        <w:rPr>
          <w:rFonts w:eastAsiaTheme="minorEastAsia"/>
          <w:color w:val="000000" w:themeColor="text1"/>
          <w:sz w:val="21"/>
          <w:highlight w:val="none"/>
        </w:rPr>
      </w:pPr>
      <w:r>
        <w:rPr>
          <w:color w:val="000000" w:themeColor="text1"/>
          <w:highlight w:val="none"/>
        </w:rPr>
        <w:fldChar w:fldCharType="begin"/>
      </w:r>
      <w:r>
        <w:rPr>
          <w:color w:val="000000" w:themeColor="text1"/>
          <w:highlight w:val="none"/>
        </w:rPr>
        <w:instrText xml:space="preserve"> HYPERLINK \l "_Toc211442750" </w:instrText>
      </w:r>
      <w:r>
        <w:rPr>
          <w:color w:val="000000" w:themeColor="text1"/>
          <w:highlight w:val="none"/>
        </w:rPr>
        <w:fldChar w:fldCharType="separate"/>
      </w:r>
      <w:r>
        <w:rPr>
          <w:rStyle w:val="39"/>
          <w:color w:val="000000" w:themeColor="text1"/>
          <w:highlight w:val="none"/>
        </w:rPr>
        <w:t>三、商务要求</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_Toc211442750 \h </w:instrText>
      </w:r>
      <w:r>
        <w:rPr>
          <w:color w:val="000000" w:themeColor="text1"/>
          <w:highlight w:val="none"/>
        </w:rPr>
        <w:fldChar w:fldCharType="separate"/>
      </w:r>
      <w:r>
        <w:rPr>
          <w:color w:val="000000" w:themeColor="text1"/>
          <w:highlight w:val="none"/>
        </w:rPr>
        <w:t>94</w:t>
      </w:r>
      <w:r>
        <w:rPr>
          <w:color w:val="000000" w:themeColor="text1"/>
          <w:highlight w:val="none"/>
        </w:rPr>
        <w:fldChar w:fldCharType="end"/>
      </w:r>
      <w:r>
        <w:rPr>
          <w:color w:val="000000" w:themeColor="text1"/>
          <w:highlight w:val="none"/>
        </w:rPr>
        <w:fldChar w:fldCharType="end"/>
      </w:r>
    </w:p>
    <w:p w14:paraId="3F56FF19">
      <w:pPr>
        <w:pStyle w:val="21"/>
        <w:tabs>
          <w:tab w:val="right" w:leader="hyphen" w:pos="9061"/>
        </w:tabs>
        <w:rPr>
          <w:rFonts w:eastAsiaTheme="minorEastAsia"/>
          <w:color w:val="000000" w:themeColor="text1"/>
          <w:sz w:val="21"/>
          <w:highlight w:val="none"/>
        </w:rPr>
      </w:pPr>
      <w:r>
        <w:rPr>
          <w:color w:val="000000" w:themeColor="text1"/>
          <w:highlight w:val="none"/>
        </w:rPr>
        <w:fldChar w:fldCharType="begin"/>
      </w:r>
      <w:r>
        <w:rPr>
          <w:color w:val="000000" w:themeColor="text1"/>
          <w:highlight w:val="none"/>
        </w:rPr>
        <w:instrText xml:space="preserve"> HYPERLINK \l "_Toc211442751" </w:instrText>
      </w:r>
      <w:r>
        <w:rPr>
          <w:color w:val="000000" w:themeColor="text1"/>
          <w:highlight w:val="none"/>
        </w:rPr>
        <w:fldChar w:fldCharType="separate"/>
      </w:r>
      <w:r>
        <w:rPr>
          <w:rStyle w:val="39"/>
          <w:rFonts w:ascii="宋体" w:hAnsi="宋体"/>
          <w:color w:val="000000" w:themeColor="text1"/>
          <w:highlight w:val="none"/>
        </w:rPr>
        <w:t>第八章  评标办法</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_Toc211442751 \h </w:instrText>
      </w:r>
      <w:r>
        <w:rPr>
          <w:color w:val="000000" w:themeColor="text1"/>
          <w:highlight w:val="none"/>
        </w:rPr>
        <w:fldChar w:fldCharType="separate"/>
      </w:r>
      <w:r>
        <w:rPr>
          <w:color w:val="000000" w:themeColor="text1"/>
          <w:highlight w:val="none"/>
        </w:rPr>
        <w:t>97</w:t>
      </w:r>
      <w:r>
        <w:rPr>
          <w:color w:val="000000" w:themeColor="text1"/>
          <w:highlight w:val="none"/>
        </w:rPr>
        <w:fldChar w:fldCharType="end"/>
      </w:r>
      <w:r>
        <w:rPr>
          <w:color w:val="000000" w:themeColor="text1"/>
          <w:highlight w:val="none"/>
        </w:rPr>
        <w:fldChar w:fldCharType="end"/>
      </w:r>
    </w:p>
    <w:p w14:paraId="078539FA">
      <w:pPr>
        <w:pStyle w:val="25"/>
        <w:tabs>
          <w:tab w:val="right" w:leader="hyphen" w:pos="9061"/>
        </w:tabs>
        <w:rPr>
          <w:rFonts w:eastAsiaTheme="minorEastAsia"/>
          <w:color w:val="000000" w:themeColor="text1"/>
          <w:sz w:val="21"/>
          <w:highlight w:val="none"/>
        </w:rPr>
      </w:pPr>
      <w:r>
        <w:rPr>
          <w:color w:val="000000" w:themeColor="text1"/>
          <w:highlight w:val="none"/>
        </w:rPr>
        <w:fldChar w:fldCharType="begin"/>
      </w:r>
      <w:r>
        <w:rPr>
          <w:color w:val="000000" w:themeColor="text1"/>
          <w:highlight w:val="none"/>
        </w:rPr>
        <w:instrText xml:space="preserve"> HYPERLINK \l "_Toc211442752" </w:instrText>
      </w:r>
      <w:r>
        <w:rPr>
          <w:color w:val="000000" w:themeColor="text1"/>
          <w:highlight w:val="none"/>
        </w:rPr>
        <w:fldChar w:fldCharType="separate"/>
      </w:r>
      <w:r>
        <w:rPr>
          <w:rStyle w:val="39"/>
          <w:color w:val="000000" w:themeColor="text1"/>
          <w:highlight w:val="none"/>
        </w:rPr>
        <w:t>资格性审查表</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_Toc211442752 \h </w:instrText>
      </w:r>
      <w:r>
        <w:rPr>
          <w:color w:val="000000" w:themeColor="text1"/>
          <w:highlight w:val="none"/>
        </w:rPr>
        <w:fldChar w:fldCharType="separate"/>
      </w:r>
      <w:r>
        <w:rPr>
          <w:color w:val="000000" w:themeColor="text1"/>
          <w:highlight w:val="none"/>
        </w:rPr>
        <w:t>102</w:t>
      </w:r>
      <w:r>
        <w:rPr>
          <w:color w:val="000000" w:themeColor="text1"/>
          <w:highlight w:val="none"/>
        </w:rPr>
        <w:fldChar w:fldCharType="end"/>
      </w:r>
      <w:r>
        <w:rPr>
          <w:color w:val="000000" w:themeColor="text1"/>
          <w:highlight w:val="none"/>
        </w:rPr>
        <w:fldChar w:fldCharType="end"/>
      </w:r>
    </w:p>
    <w:p w14:paraId="1D0DE1C5">
      <w:pPr>
        <w:pStyle w:val="25"/>
        <w:tabs>
          <w:tab w:val="right" w:leader="hyphen" w:pos="9061"/>
        </w:tabs>
        <w:rPr>
          <w:rFonts w:eastAsiaTheme="minorEastAsia"/>
          <w:color w:val="000000" w:themeColor="text1"/>
          <w:sz w:val="21"/>
          <w:highlight w:val="none"/>
        </w:rPr>
      </w:pPr>
      <w:r>
        <w:rPr>
          <w:color w:val="000000" w:themeColor="text1"/>
          <w:highlight w:val="none"/>
        </w:rPr>
        <w:fldChar w:fldCharType="begin"/>
      </w:r>
      <w:r>
        <w:rPr>
          <w:color w:val="000000" w:themeColor="text1"/>
          <w:highlight w:val="none"/>
        </w:rPr>
        <w:instrText xml:space="preserve"> HYPERLINK \l "_Toc211442753" </w:instrText>
      </w:r>
      <w:r>
        <w:rPr>
          <w:color w:val="000000" w:themeColor="text1"/>
          <w:highlight w:val="none"/>
        </w:rPr>
        <w:fldChar w:fldCharType="separate"/>
      </w:r>
      <w:r>
        <w:rPr>
          <w:rStyle w:val="39"/>
          <w:color w:val="000000" w:themeColor="text1"/>
          <w:highlight w:val="none"/>
        </w:rPr>
        <w:t>符合性审查表</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_Toc211442753 \h </w:instrText>
      </w:r>
      <w:r>
        <w:rPr>
          <w:color w:val="000000" w:themeColor="text1"/>
          <w:highlight w:val="none"/>
        </w:rPr>
        <w:fldChar w:fldCharType="separate"/>
      </w:r>
      <w:r>
        <w:rPr>
          <w:color w:val="000000" w:themeColor="text1"/>
          <w:highlight w:val="none"/>
        </w:rPr>
        <w:t>104</w:t>
      </w:r>
      <w:r>
        <w:rPr>
          <w:color w:val="000000" w:themeColor="text1"/>
          <w:highlight w:val="none"/>
        </w:rPr>
        <w:fldChar w:fldCharType="end"/>
      </w:r>
      <w:r>
        <w:rPr>
          <w:color w:val="000000" w:themeColor="text1"/>
          <w:highlight w:val="none"/>
        </w:rPr>
        <w:fldChar w:fldCharType="end"/>
      </w:r>
    </w:p>
    <w:p w14:paraId="389B1404">
      <w:pPr>
        <w:pStyle w:val="25"/>
        <w:tabs>
          <w:tab w:val="right" w:leader="hyphen" w:pos="9061"/>
        </w:tabs>
        <w:rPr>
          <w:rFonts w:eastAsiaTheme="minorEastAsia"/>
          <w:color w:val="000000" w:themeColor="text1"/>
          <w:sz w:val="21"/>
          <w:highlight w:val="none"/>
        </w:rPr>
      </w:pPr>
      <w:r>
        <w:rPr>
          <w:color w:val="000000" w:themeColor="text1"/>
          <w:highlight w:val="none"/>
        </w:rPr>
        <w:fldChar w:fldCharType="begin"/>
      </w:r>
      <w:r>
        <w:rPr>
          <w:color w:val="000000" w:themeColor="text1"/>
          <w:highlight w:val="none"/>
        </w:rPr>
        <w:instrText xml:space="preserve"> HYPERLINK \l "_Toc211442754" </w:instrText>
      </w:r>
      <w:r>
        <w:rPr>
          <w:color w:val="000000" w:themeColor="text1"/>
          <w:highlight w:val="none"/>
        </w:rPr>
        <w:fldChar w:fldCharType="separate"/>
      </w:r>
      <w:r>
        <w:rPr>
          <w:rStyle w:val="39"/>
          <w:color w:val="000000" w:themeColor="text1"/>
          <w:highlight w:val="none"/>
        </w:rPr>
        <w:t>包1  评审因素量化赋分表</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_Toc211442754 \h </w:instrText>
      </w:r>
      <w:r>
        <w:rPr>
          <w:color w:val="000000" w:themeColor="text1"/>
          <w:highlight w:val="none"/>
        </w:rPr>
        <w:fldChar w:fldCharType="separate"/>
      </w:r>
      <w:r>
        <w:rPr>
          <w:color w:val="000000" w:themeColor="text1"/>
          <w:highlight w:val="none"/>
        </w:rPr>
        <w:t>105</w:t>
      </w:r>
      <w:r>
        <w:rPr>
          <w:color w:val="000000" w:themeColor="text1"/>
          <w:highlight w:val="none"/>
        </w:rPr>
        <w:fldChar w:fldCharType="end"/>
      </w:r>
      <w:r>
        <w:rPr>
          <w:color w:val="000000" w:themeColor="text1"/>
          <w:highlight w:val="none"/>
        </w:rPr>
        <w:fldChar w:fldCharType="end"/>
      </w:r>
    </w:p>
    <w:p w14:paraId="305BA1F0">
      <w:pPr>
        <w:pStyle w:val="25"/>
        <w:tabs>
          <w:tab w:val="right" w:leader="hyphen" w:pos="9061"/>
        </w:tabs>
        <w:rPr>
          <w:rFonts w:eastAsiaTheme="minorEastAsia"/>
          <w:color w:val="000000" w:themeColor="text1"/>
          <w:sz w:val="21"/>
          <w:highlight w:val="none"/>
        </w:rPr>
      </w:pPr>
      <w:r>
        <w:rPr>
          <w:color w:val="000000" w:themeColor="text1"/>
          <w:highlight w:val="none"/>
        </w:rPr>
        <w:fldChar w:fldCharType="begin"/>
      </w:r>
      <w:r>
        <w:rPr>
          <w:color w:val="000000" w:themeColor="text1"/>
          <w:highlight w:val="none"/>
        </w:rPr>
        <w:instrText xml:space="preserve"> HYPERLINK \l "_Toc211442755" </w:instrText>
      </w:r>
      <w:r>
        <w:rPr>
          <w:color w:val="000000" w:themeColor="text1"/>
          <w:highlight w:val="none"/>
        </w:rPr>
        <w:fldChar w:fldCharType="separate"/>
      </w:r>
      <w:r>
        <w:rPr>
          <w:rStyle w:val="39"/>
          <w:color w:val="000000" w:themeColor="text1"/>
          <w:highlight w:val="none"/>
        </w:rPr>
        <w:t>包2  评审因素量化赋分表</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_Toc211442755 \h </w:instrText>
      </w:r>
      <w:r>
        <w:rPr>
          <w:color w:val="000000" w:themeColor="text1"/>
          <w:highlight w:val="none"/>
        </w:rPr>
        <w:fldChar w:fldCharType="separate"/>
      </w:r>
      <w:r>
        <w:rPr>
          <w:color w:val="000000" w:themeColor="text1"/>
          <w:highlight w:val="none"/>
        </w:rPr>
        <w:t>109</w:t>
      </w:r>
      <w:r>
        <w:rPr>
          <w:color w:val="000000" w:themeColor="text1"/>
          <w:highlight w:val="none"/>
        </w:rPr>
        <w:fldChar w:fldCharType="end"/>
      </w:r>
      <w:r>
        <w:rPr>
          <w:color w:val="000000" w:themeColor="text1"/>
          <w:highlight w:val="none"/>
        </w:rPr>
        <w:fldChar w:fldCharType="end"/>
      </w:r>
    </w:p>
    <w:p w14:paraId="72F3E7F2">
      <w:pPr>
        <w:spacing w:line="360" w:lineRule="auto"/>
        <w:jc w:val="left"/>
        <w:rPr>
          <w:rFonts w:ascii="宋体" w:hAnsi="宋体" w:eastAsia="宋体"/>
          <w:b/>
          <w:bCs/>
          <w:color w:val="000000" w:themeColor="text1"/>
          <w:sz w:val="24"/>
          <w:szCs w:val="24"/>
          <w:highlight w:val="none"/>
        </w:rPr>
      </w:pPr>
      <w:r>
        <w:rPr>
          <w:rFonts w:ascii="宋体" w:hAnsi="宋体" w:eastAsia="宋体"/>
          <w:b/>
          <w:bCs/>
          <w:color w:val="000000" w:themeColor="text1"/>
          <w:sz w:val="24"/>
          <w:szCs w:val="24"/>
          <w:highlight w:val="none"/>
        </w:rPr>
        <w:fldChar w:fldCharType="end"/>
      </w:r>
      <w:r>
        <w:rPr>
          <w:rFonts w:ascii="宋体" w:hAnsi="宋体" w:eastAsia="宋体"/>
          <w:b/>
          <w:bCs/>
          <w:color w:val="000000" w:themeColor="text1"/>
          <w:sz w:val="24"/>
          <w:szCs w:val="24"/>
          <w:highlight w:val="none"/>
        </w:rPr>
        <w:br w:type="page"/>
      </w:r>
    </w:p>
    <w:p w14:paraId="12162049">
      <w:pPr>
        <w:widowControl/>
        <w:spacing w:line="360" w:lineRule="auto"/>
        <w:jc w:val="left"/>
        <w:rPr>
          <w:rFonts w:ascii="宋体" w:hAnsi="宋体" w:eastAsia="宋体"/>
          <w:b/>
          <w:bCs/>
          <w:color w:val="000000" w:themeColor="text1"/>
          <w:sz w:val="24"/>
          <w:szCs w:val="24"/>
          <w:highlight w:val="none"/>
        </w:rPr>
      </w:pPr>
    </w:p>
    <w:p w14:paraId="75E13D40">
      <w:pPr>
        <w:pStyle w:val="27"/>
        <w:rPr>
          <w:rFonts w:ascii="宋体" w:hAnsi="宋体" w:eastAsia="宋体"/>
          <w:color w:val="000000" w:themeColor="text1"/>
          <w:highlight w:val="none"/>
        </w:rPr>
      </w:pPr>
      <w:bookmarkStart w:id="0" w:name="_Toc211442724"/>
      <w:r>
        <w:rPr>
          <w:rFonts w:hint="eastAsia" w:ascii="宋体" w:hAnsi="宋体" w:eastAsia="宋体"/>
          <w:color w:val="000000" w:themeColor="text1"/>
          <w:highlight w:val="none"/>
        </w:rPr>
        <w:t xml:space="preserve">第一章 </w:t>
      </w:r>
      <w:r>
        <w:rPr>
          <w:rFonts w:ascii="宋体" w:hAnsi="宋体" w:eastAsia="宋体"/>
          <w:color w:val="000000" w:themeColor="text1"/>
          <w:highlight w:val="none"/>
        </w:rPr>
        <w:t xml:space="preserve"> </w:t>
      </w:r>
      <w:r>
        <w:rPr>
          <w:rFonts w:hint="eastAsia" w:ascii="宋体" w:hAnsi="宋体" w:eastAsia="宋体"/>
          <w:color w:val="000000" w:themeColor="text1"/>
          <w:highlight w:val="none"/>
        </w:rPr>
        <w:t>招标公告</w:t>
      </w:r>
      <w:bookmarkEnd w:id="0"/>
    </w:p>
    <w:p w14:paraId="5CF7AAF2">
      <w:pPr>
        <w:spacing w:line="360" w:lineRule="auto"/>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项目概况</w:t>
      </w:r>
    </w:p>
    <w:p w14:paraId="2465F8EE">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宝鸡市地震预警系统应用建设项目（一期）（二次）的潜在投标人（也称“供应商”）应在全国公共资源交易平台（陕西省·宝鸡市）网站〖首页〉电子交易平台〉陕西政府采购交易系统〉企业端〗获取招标文件，并于202</w:t>
      </w:r>
      <w:r>
        <w:rPr>
          <w:rFonts w:ascii="宋体" w:hAnsi="宋体" w:eastAsia="宋体"/>
          <w:color w:val="000000" w:themeColor="text1"/>
          <w:sz w:val="24"/>
          <w:szCs w:val="24"/>
          <w:highlight w:val="none"/>
        </w:rPr>
        <w:t>5</w:t>
      </w:r>
      <w:r>
        <w:rPr>
          <w:rFonts w:hint="eastAsia" w:ascii="宋体" w:hAnsi="宋体" w:eastAsia="宋体"/>
          <w:color w:val="000000" w:themeColor="text1"/>
          <w:sz w:val="24"/>
          <w:szCs w:val="24"/>
          <w:highlight w:val="none"/>
        </w:rPr>
        <w:t>年</w:t>
      </w:r>
      <w:r>
        <w:rPr>
          <w:rFonts w:ascii="宋体" w:hAnsi="宋体" w:eastAsia="宋体"/>
          <w:color w:val="000000" w:themeColor="text1"/>
          <w:sz w:val="24"/>
          <w:szCs w:val="24"/>
          <w:highlight w:val="none"/>
        </w:rPr>
        <w:t>11</w:t>
      </w:r>
      <w:r>
        <w:rPr>
          <w:rFonts w:hint="eastAsia" w:ascii="宋体" w:hAnsi="宋体" w:eastAsia="宋体"/>
          <w:color w:val="000000" w:themeColor="text1"/>
          <w:sz w:val="24"/>
          <w:szCs w:val="24"/>
          <w:highlight w:val="none"/>
        </w:rPr>
        <w:t>月</w:t>
      </w:r>
      <w:r>
        <w:rPr>
          <w:rFonts w:ascii="宋体" w:hAnsi="宋体" w:eastAsia="宋体"/>
          <w:color w:val="000000" w:themeColor="text1"/>
          <w:sz w:val="24"/>
          <w:szCs w:val="24"/>
          <w:highlight w:val="none"/>
        </w:rPr>
        <w:t>6</w:t>
      </w:r>
      <w:r>
        <w:rPr>
          <w:rFonts w:hint="eastAsia" w:ascii="宋体" w:hAnsi="宋体" w:eastAsia="宋体"/>
          <w:color w:val="000000" w:themeColor="text1"/>
          <w:sz w:val="24"/>
          <w:szCs w:val="24"/>
          <w:highlight w:val="none"/>
        </w:rPr>
        <w:t>日9点</w:t>
      </w:r>
      <w:r>
        <w:rPr>
          <w:rFonts w:hint="eastAsia" w:ascii="宋体" w:hAnsi="宋体" w:eastAsia="宋体"/>
          <w:color w:val="000000" w:themeColor="text1"/>
          <w:sz w:val="24"/>
          <w:szCs w:val="24"/>
          <w:highlight w:val="none"/>
          <w:lang w:val="en-US" w:eastAsia="zh-CN"/>
        </w:rPr>
        <w:t>00</w:t>
      </w:r>
      <w:r>
        <w:rPr>
          <w:rFonts w:hint="eastAsia" w:ascii="宋体" w:hAnsi="宋体" w:eastAsia="宋体"/>
          <w:color w:val="000000" w:themeColor="text1"/>
          <w:sz w:val="24"/>
          <w:szCs w:val="24"/>
          <w:highlight w:val="none"/>
        </w:rPr>
        <w:t>分00秒（北京时间）（北京时间）前递交投标文件。</w:t>
      </w:r>
    </w:p>
    <w:p w14:paraId="770B9554">
      <w:pPr>
        <w:widowControl/>
        <w:spacing w:line="360" w:lineRule="auto"/>
        <w:jc w:val="left"/>
        <w:rPr>
          <w:rFonts w:ascii="宋体" w:hAnsi="宋体" w:eastAsia="宋体" w:cs="宋体"/>
          <w:color w:val="000000" w:themeColor="text1"/>
          <w:kern w:val="0"/>
          <w:sz w:val="24"/>
          <w:szCs w:val="24"/>
          <w:highlight w:val="none"/>
        </w:rPr>
      </w:pPr>
      <w:r>
        <w:rPr>
          <w:rFonts w:hint="eastAsia" w:ascii="宋体" w:hAnsi="宋体" w:eastAsia="宋体" w:cs="宋体"/>
          <w:b/>
          <w:bCs/>
          <w:color w:val="000000" w:themeColor="text1"/>
          <w:kern w:val="0"/>
          <w:sz w:val="24"/>
          <w:szCs w:val="24"/>
          <w:highlight w:val="none"/>
        </w:rPr>
        <w:t>一、项目基本情况</w:t>
      </w:r>
    </w:p>
    <w:p w14:paraId="126CB3AD">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项目编号：ZJZBSX-</w:t>
      </w:r>
      <w:r>
        <w:rPr>
          <w:rFonts w:ascii="宋体" w:hAnsi="宋体" w:eastAsia="宋体"/>
          <w:color w:val="000000" w:themeColor="text1"/>
          <w:sz w:val="24"/>
          <w:szCs w:val="24"/>
          <w:highlight w:val="none"/>
        </w:rPr>
        <w:t>250614-10884（2）</w:t>
      </w:r>
    </w:p>
    <w:p w14:paraId="6F35A692">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项目名称：宝鸡市地震预警系统应用建设项目（一期）（二次）</w:t>
      </w:r>
    </w:p>
    <w:p w14:paraId="78442E1D">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采购方式：公开招标</w:t>
      </w:r>
    </w:p>
    <w:p w14:paraId="6AAA1122">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预算金额：5,578,927.00元</w:t>
      </w:r>
    </w:p>
    <w:p w14:paraId="19603645">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采购需求：</w:t>
      </w:r>
    </w:p>
    <w:p w14:paraId="1B0EC4A5">
      <w:pPr>
        <w:spacing w:line="360" w:lineRule="auto"/>
        <w:ind w:firstLine="482" w:firstLineChars="200"/>
        <w:rPr>
          <w:rFonts w:ascii="宋体" w:hAnsi="宋体" w:eastAsia="宋体"/>
          <w:b/>
          <w:color w:val="000000" w:themeColor="text1"/>
          <w:sz w:val="24"/>
          <w:szCs w:val="24"/>
          <w:highlight w:val="none"/>
        </w:rPr>
      </w:pPr>
      <w:r>
        <w:rPr>
          <w:rFonts w:hint="eastAsia" w:ascii="宋体" w:hAnsi="宋体" w:eastAsia="宋体"/>
          <w:b/>
          <w:color w:val="000000" w:themeColor="text1"/>
          <w:sz w:val="24"/>
          <w:szCs w:val="24"/>
          <w:highlight w:val="none"/>
        </w:rPr>
        <w:t>合同包</w:t>
      </w:r>
      <w:r>
        <w:rPr>
          <w:rFonts w:ascii="宋体" w:hAnsi="宋体" w:eastAsia="宋体"/>
          <w:b/>
          <w:color w:val="000000" w:themeColor="text1"/>
          <w:sz w:val="24"/>
          <w:szCs w:val="24"/>
          <w:highlight w:val="none"/>
        </w:rPr>
        <w:t>1</w:t>
      </w:r>
      <w:r>
        <w:rPr>
          <w:rFonts w:hint="eastAsia" w:ascii="宋体" w:hAnsi="宋体" w:eastAsia="宋体"/>
          <w:b/>
          <w:color w:val="000000" w:themeColor="text1"/>
          <w:sz w:val="24"/>
          <w:szCs w:val="24"/>
          <w:highlight w:val="none"/>
        </w:rPr>
        <w:t>（市、区公办中小学地震预警终端和监测预警中心工作站）</w:t>
      </w:r>
    </w:p>
    <w:p w14:paraId="209A9DAC">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合同包预算金额：2,729,637.00元</w:t>
      </w:r>
    </w:p>
    <w:p w14:paraId="669F9E02">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合同包最高限价：2,526,780.00元</w:t>
      </w:r>
    </w:p>
    <w:tbl>
      <w:tblPr>
        <w:tblStyle w:val="30"/>
        <w:tblW w:w="490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6"/>
        <w:gridCol w:w="824"/>
        <w:gridCol w:w="1319"/>
        <w:gridCol w:w="907"/>
        <w:gridCol w:w="1545"/>
        <w:gridCol w:w="1777"/>
        <w:gridCol w:w="1773"/>
      </w:tblGrid>
      <w:tr w14:paraId="2FCB8E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0" w:type="pct"/>
            <w:vAlign w:val="center"/>
          </w:tcPr>
          <w:p w14:paraId="147D9A5B">
            <w:pPr>
              <w:spacing w:line="360" w:lineRule="auto"/>
              <w:jc w:val="center"/>
              <w:rPr>
                <w:rFonts w:ascii="宋体" w:hAnsi="宋体" w:eastAsia="宋体"/>
                <w:color w:val="000000" w:themeColor="text1"/>
                <w:szCs w:val="21"/>
                <w:highlight w:val="none"/>
              </w:rPr>
            </w:pPr>
            <w:r>
              <w:rPr>
                <w:rFonts w:hint="eastAsia" w:ascii="宋体" w:hAnsi="宋体" w:eastAsia="宋体"/>
                <w:color w:val="000000" w:themeColor="text1"/>
                <w:szCs w:val="21"/>
                <w:highlight w:val="none"/>
              </w:rPr>
              <w:t>品目号</w:t>
            </w:r>
          </w:p>
        </w:tc>
        <w:tc>
          <w:tcPr>
            <w:tcW w:w="452" w:type="pct"/>
            <w:vAlign w:val="center"/>
          </w:tcPr>
          <w:p w14:paraId="3197508E">
            <w:pPr>
              <w:spacing w:line="360" w:lineRule="auto"/>
              <w:jc w:val="center"/>
              <w:rPr>
                <w:rFonts w:ascii="宋体" w:hAnsi="宋体" w:eastAsia="宋体"/>
                <w:color w:val="000000" w:themeColor="text1"/>
                <w:szCs w:val="21"/>
                <w:highlight w:val="none"/>
              </w:rPr>
            </w:pPr>
            <w:r>
              <w:rPr>
                <w:rFonts w:hint="eastAsia" w:ascii="宋体" w:hAnsi="宋体" w:eastAsia="宋体"/>
                <w:color w:val="000000" w:themeColor="text1"/>
                <w:szCs w:val="21"/>
                <w:highlight w:val="none"/>
              </w:rPr>
              <w:t>品目名称</w:t>
            </w:r>
          </w:p>
        </w:tc>
        <w:tc>
          <w:tcPr>
            <w:tcW w:w="724" w:type="pct"/>
            <w:vAlign w:val="center"/>
          </w:tcPr>
          <w:p w14:paraId="14FA139B">
            <w:pPr>
              <w:spacing w:line="360" w:lineRule="auto"/>
              <w:jc w:val="center"/>
              <w:rPr>
                <w:rFonts w:ascii="宋体" w:hAnsi="宋体" w:eastAsia="宋体"/>
                <w:color w:val="000000" w:themeColor="text1"/>
                <w:szCs w:val="21"/>
                <w:highlight w:val="none"/>
              </w:rPr>
            </w:pPr>
            <w:r>
              <w:rPr>
                <w:rFonts w:hint="eastAsia" w:ascii="宋体" w:hAnsi="宋体" w:eastAsia="宋体"/>
                <w:color w:val="000000" w:themeColor="text1"/>
                <w:szCs w:val="21"/>
                <w:highlight w:val="none"/>
              </w:rPr>
              <w:t>采购标的</w:t>
            </w:r>
          </w:p>
        </w:tc>
        <w:tc>
          <w:tcPr>
            <w:tcW w:w="498" w:type="pct"/>
            <w:vAlign w:val="center"/>
          </w:tcPr>
          <w:p w14:paraId="58CEE7BD">
            <w:pPr>
              <w:spacing w:line="360" w:lineRule="auto"/>
              <w:jc w:val="center"/>
              <w:rPr>
                <w:rFonts w:ascii="宋体" w:hAnsi="宋体" w:eastAsia="宋体"/>
                <w:color w:val="000000" w:themeColor="text1"/>
                <w:szCs w:val="21"/>
                <w:highlight w:val="none"/>
              </w:rPr>
            </w:pPr>
            <w:r>
              <w:rPr>
                <w:rFonts w:hint="eastAsia" w:ascii="宋体" w:hAnsi="宋体" w:eastAsia="宋体"/>
                <w:color w:val="000000" w:themeColor="text1"/>
                <w:szCs w:val="21"/>
                <w:highlight w:val="none"/>
              </w:rPr>
              <w:t>数量</w:t>
            </w:r>
          </w:p>
          <w:p w14:paraId="149D33FA">
            <w:pPr>
              <w:spacing w:line="360" w:lineRule="auto"/>
              <w:jc w:val="center"/>
              <w:rPr>
                <w:rFonts w:ascii="宋体" w:hAnsi="宋体" w:eastAsia="宋体"/>
                <w:color w:val="000000" w:themeColor="text1"/>
                <w:szCs w:val="21"/>
                <w:highlight w:val="none"/>
              </w:rPr>
            </w:pPr>
            <w:r>
              <w:rPr>
                <w:rFonts w:hint="eastAsia" w:ascii="宋体" w:hAnsi="宋体" w:eastAsia="宋体"/>
                <w:color w:val="000000" w:themeColor="text1"/>
                <w:szCs w:val="21"/>
                <w:highlight w:val="none"/>
              </w:rPr>
              <w:t>（单位）</w:t>
            </w:r>
          </w:p>
        </w:tc>
        <w:tc>
          <w:tcPr>
            <w:tcW w:w="848" w:type="pct"/>
            <w:vAlign w:val="center"/>
          </w:tcPr>
          <w:p w14:paraId="6DDFAA07">
            <w:pPr>
              <w:spacing w:line="360" w:lineRule="auto"/>
              <w:jc w:val="center"/>
              <w:rPr>
                <w:rFonts w:ascii="宋体" w:hAnsi="宋体" w:eastAsia="宋体"/>
                <w:color w:val="000000" w:themeColor="text1"/>
                <w:szCs w:val="21"/>
                <w:highlight w:val="none"/>
              </w:rPr>
            </w:pPr>
            <w:r>
              <w:rPr>
                <w:rFonts w:hint="eastAsia" w:ascii="宋体" w:hAnsi="宋体" w:eastAsia="宋体"/>
                <w:color w:val="000000" w:themeColor="text1"/>
                <w:szCs w:val="21"/>
                <w:highlight w:val="none"/>
              </w:rPr>
              <w:t>技术规格、参数及要求</w:t>
            </w:r>
          </w:p>
        </w:tc>
        <w:tc>
          <w:tcPr>
            <w:tcW w:w="975" w:type="pct"/>
            <w:vAlign w:val="center"/>
          </w:tcPr>
          <w:p w14:paraId="388AAED4">
            <w:pPr>
              <w:spacing w:line="360" w:lineRule="auto"/>
              <w:jc w:val="center"/>
              <w:rPr>
                <w:rFonts w:ascii="宋体" w:hAnsi="宋体" w:eastAsia="宋体"/>
                <w:color w:val="000000" w:themeColor="text1"/>
                <w:szCs w:val="21"/>
                <w:highlight w:val="none"/>
              </w:rPr>
            </w:pPr>
            <w:r>
              <w:rPr>
                <w:rFonts w:hint="eastAsia" w:ascii="宋体" w:hAnsi="宋体" w:eastAsia="宋体"/>
                <w:color w:val="000000" w:themeColor="text1"/>
                <w:szCs w:val="21"/>
                <w:highlight w:val="none"/>
              </w:rPr>
              <w:t>品目预算（元）</w:t>
            </w:r>
          </w:p>
        </w:tc>
        <w:tc>
          <w:tcPr>
            <w:tcW w:w="975" w:type="pct"/>
            <w:vAlign w:val="center"/>
          </w:tcPr>
          <w:p w14:paraId="3B61BE3A">
            <w:pPr>
              <w:spacing w:line="360" w:lineRule="auto"/>
              <w:jc w:val="center"/>
              <w:rPr>
                <w:rFonts w:ascii="宋体" w:hAnsi="宋体" w:eastAsia="宋体"/>
                <w:color w:val="000000" w:themeColor="text1"/>
                <w:szCs w:val="21"/>
                <w:highlight w:val="none"/>
              </w:rPr>
            </w:pPr>
            <w:r>
              <w:rPr>
                <w:rFonts w:hint="eastAsia" w:ascii="宋体" w:hAnsi="宋体" w:eastAsia="宋体"/>
                <w:color w:val="000000" w:themeColor="text1"/>
                <w:szCs w:val="21"/>
                <w:highlight w:val="none"/>
              </w:rPr>
              <w:t>最高限价（元）</w:t>
            </w:r>
          </w:p>
        </w:tc>
      </w:tr>
      <w:tr w14:paraId="02A314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0" w:type="pct"/>
            <w:vAlign w:val="center"/>
          </w:tcPr>
          <w:p w14:paraId="2F1E70D8">
            <w:pPr>
              <w:spacing w:line="360" w:lineRule="auto"/>
              <w:jc w:val="center"/>
              <w:rPr>
                <w:rFonts w:ascii="宋体" w:hAnsi="宋体" w:eastAsia="宋体"/>
                <w:color w:val="000000" w:themeColor="text1"/>
                <w:szCs w:val="21"/>
                <w:highlight w:val="none"/>
              </w:rPr>
            </w:pPr>
            <w:r>
              <w:rPr>
                <w:rFonts w:hint="eastAsia" w:ascii="宋体" w:hAnsi="宋体" w:eastAsia="宋体"/>
                <w:color w:val="000000" w:themeColor="text1"/>
                <w:szCs w:val="21"/>
                <w:highlight w:val="none"/>
              </w:rPr>
              <w:t>1-1</w:t>
            </w:r>
          </w:p>
        </w:tc>
        <w:tc>
          <w:tcPr>
            <w:tcW w:w="452" w:type="pct"/>
            <w:vAlign w:val="center"/>
          </w:tcPr>
          <w:p w14:paraId="3DDBDEA4">
            <w:pPr>
              <w:spacing w:line="360" w:lineRule="auto"/>
              <w:jc w:val="center"/>
              <w:rPr>
                <w:rFonts w:ascii="宋体" w:hAnsi="宋体" w:eastAsia="宋体"/>
                <w:color w:val="000000" w:themeColor="text1"/>
                <w:szCs w:val="21"/>
                <w:highlight w:val="none"/>
              </w:rPr>
            </w:pPr>
            <w:r>
              <w:rPr>
                <w:rFonts w:hint="eastAsia" w:ascii="宋体" w:hAnsi="宋体" w:eastAsia="宋体"/>
                <w:color w:val="000000" w:themeColor="text1"/>
                <w:szCs w:val="21"/>
                <w:highlight w:val="none"/>
              </w:rPr>
              <w:t>地震仪器</w:t>
            </w:r>
          </w:p>
        </w:tc>
        <w:tc>
          <w:tcPr>
            <w:tcW w:w="724" w:type="pct"/>
            <w:vAlign w:val="center"/>
          </w:tcPr>
          <w:p w14:paraId="36F9210E">
            <w:pPr>
              <w:spacing w:line="360" w:lineRule="auto"/>
              <w:jc w:val="center"/>
              <w:rPr>
                <w:rFonts w:ascii="宋体" w:hAnsi="宋体" w:eastAsia="宋体"/>
                <w:color w:val="000000" w:themeColor="text1"/>
                <w:szCs w:val="21"/>
                <w:highlight w:val="none"/>
              </w:rPr>
            </w:pPr>
            <w:r>
              <w:rPr>
                <w:rFonts w:hint="eastAsia" w:ascii="宋体" w:hAnsi="宋体" w:eastAsia="宋体"/>
                <w:color w:val="000000" w:themeColor="text1"/>
                <w:szCs w:val="21"/>
                <w:highlight w:val="none"/>
              </w:rPr>
              <w:t>市直属学校、金台区、渭滨区、高新区、陈仓区、凤翔区公办中小学安装地震预警终端，市县地震预警终端综合管理平台，市地震监测预警中心工作站配套设备及改造、布线、地板更换等。</w:t>
            </w:r>
          </w:p>
        </w:tc>
        <w:tc>
          <w:tcPr>
            <w:tcW w:w="498" w:type="pct"/>
            <w:vAlign w:val="center"/>
          </w:tcPr>
          <w:p w14:paraId="0E75EA02">
            <w:pPr>
              <w:spacing w:line="360" w:lineRule="auto"/>
              <w:jc w:val="center"/>
              <w:rPr>
                <w:rFonts w:ascii="宋体" w:hAnsi="宋体" w:eastAsia="宋体"/>
                <w:color w:val="000000" w:themeColor="text1"/>
                <w:szCs w:val="21"/>
                <w:highlight w:val="none"/>
              </w:rPr>
            </w:pPr>
            <w:r>
              <w:rPr>
                <w:rFonts w:ascii="宋体" w:hAnsi="宋体" w:eastAsia="宋体"/>
                <w:color w:val="000000" w:themeColor="text1"/>
                <w:szCs w:val="21"/>
                <w:highlight w:val="none"/>
              </w:rPr>
              <w:t>1</w:t>
            </w:r>
            <w:r>
              <w:rPr>
                <w:rFonts w:hint="eastAsia" w:ascii="宋体" w:hAnsi="宋体" w:eastAsia="宋体"/>
                <w:color w:val="000000" w:themeColor="text1"/>
                <w:szCs w:val="21"/>
                <w:highlight w:val="none"/>
              </w:rPr>
              <w:t>（批）</w:t>
            </w:r>
          </w:p>
        </w:tc>
        <w:tc>
          <w:tcPr>
            <w:tcW w:w="848" w:type="pct"/>
            <w:vAlign w:val="center"/>
          </w:tcPr>
          <w:p w14:paraId="5C9F12FC">
            <w:pPr>
              <w:spacing w:line="360" w:lineRule="auto"/>
              <w:jc w:val="center"/>
              <w:rPr>
                <w:rFonts w:ascii="宋体" w:hAnsi="宋体" w:eastAsia="宋体"/>
                <w:color w:val="000000" w:themeColor="text1"/>
                <w:szCs w:val="21"/>
                <w:highlight w:val="none"/>
              </w:rPr>
            </w:pPr>
            <w:r>
              <w:rPr>
                <w:rFonts w:hint="eastAsia" w:ascii="宋体" w:hAnsi="宋体" w:eastAsia="宋体"/>
                <w:color w:val="000000" w:themeColor="text1"/>
                <w:szCs w:val="21"/>
                <w:highlight w:val="none"/>
              </w:rPr>
              <w:t>详见招标文件</w:t>
            </w:r>
          </w:p>
        </w:tc>
        <w:tc>
          <w:tcPr>
            <w:tcW w:w="975" w:type="pct"/>
            <w:vAlign w:val="center"/>
          </w:tcPr>
          <w:p w14:paraId="5DA83998">
            <w:pPr>
              <w:spacing w:line="360" w:lineRule="auto"/>
              <w:jc w:val="center"/>
              <w:rPr>
                <w:rFonts w:ascii="宋体" w:hAnsi="宋体" w:eastAsia="宋体"/>
                <w:color w:val="000000" w:themeColor="text1"/>
                <w:szCs w:val="21"/>
                <w:highlight w:val="none"/>
              </w:rPr>
            </w:pPr>
            <w:r>
              <w:rPr>
                <w:rFonts w:hint="eastAsia" w:ascii="宋体" w:hAnsi="宋体" w:eastAsia="宋体"/>
                <w:color w:val="000000" w:themeColor="text1"/>
                <w:szCs w:val="21"/>
                <w:highlight w:val="none"/>
              </w:rPr>
              <w:t>2,729,637.00</w:t>
            </w:r>
          </w:p>
        </w:tc>
        <w:tc>
          <w:tcPr>
            <w:tcW w:w="975" w:type="pct"/>
            <w:vAlign w:val="center"/>
          </w:tcPr>
          <w:p w14:paraId="19B65337">
            <w:pPr>
              <w:spacing w:line="360" w:lineRule="auto"/>
              <w:jc w:val="center"/>
              <w:rPr>
                <w:rFonts w:ascii="宋体" w:hAnsi="宋体" w:eastAsia="宋体"/>
                <w:color w:val="000000" w:themeColor="text1"/>
                <w:szCs w:val="21"/>
                <w:highlight w:val="none"/>
              </w:rPr>
            </w:pPr>
            <w:r>
              <w:rPr>
                <w:rFonts w:hint="eastAsia" w:ascii="宋体" w:hAnsi="宋体" w:eastAsia="宋体"/>
                <w:color w:val="000000" w:themeColor="text1"/>
                <w:szCs w:val="21"/>
                <w:highlight w:val="none"/>
              </w:rPr>
              <w:t>2,526,780.00</w:t>
            </w:r>
          </w:p>
        </w:tc>
      </w:tr>
    </w:tbl>
    <w:p w14:paraId="454479CE">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本合同包不接受联合体投标。</w:t>
      </w:r>
    </w:p>
    <w:p w14:paraId="6F01BA30">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合同履行期限：自合同签订之日起</w:t>
      </w:r>
      <w:r>
        <w:rPr>
          <w:rFonts w:ascii="宋体" w:hAnsi="宋体" w:eastAsia="宋体"/>
          <w:color w:val="000000" w:themeColor="text1"/>
          <w:sz w:val="24"/>
          <w:szCs w:val="24"/>
          <w:highlight w:val="none"/>
        </w:rPr>
        <w:t>100</w:t>
      </w:r>
      <w:r>
        <w:rPr>
          <w:rFonts w:hint="eastAsia" w:ascii="宋体" w:hAnsi="宋体" w:eastAsia="宋体"/>
          <w:color w:val="000000" w:themeColor="text1"/>
          <w:sz w:val="24"/>
          <w:szCs w:val="24"/>
          <w:highlight w:val="none"/>
        </w:rPr>
        <w:t>日历天。</w:t>
      </w:r>
    </w:p>
    <w:p w14:paraId="602CD58E">
      <w:pPr>
        <w:spacing w:line="360" w:lineRule="auto"/>
        <w:ind w:firstLine="480" w:firstLineChars="200"/>
        <w:rPr>
          <w:rFonts w:ascii="宋体" w:hAnsi="宋体" w:eastAsia="宋体"/>
          <w:color w:val="000000" w:themeColor="text1"/>
          <w:sz w:val="24"/>
          <w:szCs w:val="24"/>
          <w:highlight w:val="none"/>
        </w:rPr>
      </w:pPr>
    </w:p>
    <w:p w14:paraId="3050B8ED">
      <w:pPr>
        <w:spacing w:line="360" w:lineRule="auto"/>
        <w:ind w:firstLine="482" w:firstLineChars="200"/>
        <w:rPr>
          <w:rFonts w:ascii="宋体" w:hAnsi="宋体" w:eastAsia="宋体"/>
          <w:b/>
          <w:color w:val="000000" w:themeColor="text1"/>
          <w:sz w:val="24"/>
          <w:szCs w:val="24"/>
          <w:highlight w:val="none"/>
        </w:rPr>
      </w:pPr>
      <w:r>
        <w:rPr>
          <w:rFonts w:hint="eastAsia" w:ascii="宋体" w:hAnsi="宋体" w:eastAsia="宋体"/>
          <w:b/>
          <w:color w:val="000000" w:themeColor="text1"/>
          <w:sz w:val="24"/>
          <w:szCs w:val="24"/>
          <w:highlight w:val="none"/>
        </w:rPr>
        <w:t>合同包</w:t>
      </w:r>
      <w:r>
        <w:rPr>
          <w:rFonts w:ascii="宋体" w:hAnsi="宋体" w:eastAsia="宋体"/>
          <w:b/>
          <w:color w:val="000000" w:themeColor="text1"/>
          <w:sz w:val="24"/>
          <w:szCs w:val="24"/>
          <w:highlight w:val="none"/>
        </w:rPr>
        <w:t>2</w:t>
      </w:r>
      <w:r>
        <w:rPr>
          <w:rFonts w:hint="eastAsia" w:ascii="宋体" w:hAnsi="宋体" w:eastAsia="宋体"/>
          <w:b/>
          <w:color w:val="000000" w:themeColor="text1"/>
          <w:sz w:val="24"/>
          <w:szCs w:val="24"/>
          <w:highlight w:val="none"/>
        </w:rPr>
        <w:t>（</w:t>
      </w:r>
      <w:r>
        <w:rPr>
          <w:rFonts w:hint="eastAsia" w:ascii="宋体" w:hAnsi="宋体" w:eastAsia="宋体" w:cs="宋体"/>
          <w:b/>
          <w:color w:val="000000" w:themeColor="text1"/>
          <w:sz w:val="24"/>
          <w:szCs w:val="24"/>
          <w:highlight w:val="none"/>
        </w:rPr>
        <w:t>县级公办中小学</w:t>
      </w:r>
      <w:r>
        <w:rPr>
          <w:rFonts w:hint="eastAsia" w:ascii="宋体" w:hAnsi="宋体" w:eastAsia="宋体"/>
          <w:b/>
          <w:color w:val="000000" w:themeColor="text1"/>
          <w:sz w:val="24"/>
          <w:szCs w:val="24"/>
          <w:highlight w:val="none"/>
        </w:rPr>
        <w:t>地震预警终端和地震烈度速报系统）</w:t>
      </w:r>
    </w:p>
    <w:p w14:paraId="23D32EBF">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合同包预算金额：2,849,290.00元</w:t>
      </w:r>
    </w:p>
    <w:p w14:paraId="77B51646">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合同包最高限价：2,745,500.00元</w:t>
      </w:r>
    </w:p>
    <w:tbl>
      <w:tblPr>
        <w:tblStyle w:val="3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7"/>
        <w:gridCol w:w="816"/>
        <w:gridCol w:w="1839"/>
        <w:gridCol w:w="1122"/>
        <w:gridCol w:w="1492"/>
        <w:gridCol w:w="1476"/>
        <w:gridCol w:w="1585"/>
      </w:tblGrid>
      <w:tr w14:paraId="33DA46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5" w:type="pct"/>
            <w:vAlign w:val="center"/>
          </w:tcPr>
          <w:p w14:paraId="792460CE">
            <w:pPr>
              <w:spacing w:line="360" w:lineRule="auto"/>
              <w:jc w:val="center"/>
              <w:rPr>
                <w:rFonts w:ascii="宋体" w:hAnsi="宋体" w:eastAsia="宋体"/>
                <w:color w:val="000000" w:themeColor="text1"/>
                <w:szCs w:val="21"/>
                <w:highlight w:val="none"/>
              </w:rPr>
            </w:pPr>
            <w:r>
              <w:rPr>
                <w:rFonts w:hint="eastAsia" w:ascii="宋体" w:hAnsi="宋体" w:eastAsia="宋体"/>
                <w:color w:val="000000" w:themeColor="text1"/>
                <w:szCs w:val="21"/>
                <w:highlight w:val="none"/>
              </w:rPr>
              <w:t>品目号</w:t>
            </w:r>
          </w:p>
        </w:tc>
        <w:tc>
          <w:tcPr>
            <w:tcW w:w="459" w:type="pct"/>
            <w:vAlign w:val="center"/>
          </w:tcPr>
          <w:p w14:paraId="03A2B5E7">
            <w:pPr>
              <w:spacing w:line="360" w:lineRule="auto"/>
              <w:jc w:val="center"/>
              <w:rPr>
                <w:rFonts w:ascii="宋体" w:hAnsi="宋体" w:eastAsia="宋体"/>
                <w:color w:val="000000" w:themeColor="text1"/>
                <w:szCs w:val="21"/>
                <w:highlight w:val="none"/>
              </w:rPr>
            </w:pPr>
            <w:r>
              <w:rPr>
                <w:rFonts w:hint="eastAsia" w:ascii="宋体" w:hAnsi="宋体" w:eastAsia="宋体"/>
                <w:color w:val="000000" w:themeColor="text1"/>
                <w:szCs w:val="21"/>
                <w:highlight w:val="none"/>
              </w:rPr>
              <w:t>品目名称</w:t>
            </w:r>
          </w:p>
        </w:tc>
        <w:tc>
          <w:tcPr>
            <w:tcW w:w="1009" w:type="pct"/>
            <w:vAlign w:val="center"/>
          </w:tcPr>
          <w:p w14:paraId="14290429">
            <w:pPr>
              <w:spacing w:line="360" w:lineRule="auto"/>
              <w:jc w:val="center"/>
              <w:rPr>
                <w:rFonts w:ascii="宋体" w:hAnsi="宋体" w:eastAsia="宋体"/>
                <w:color w:val="000000" w:themeColor="text1"/>
                <w:szCs w:val="21"/>
                <w:highlight w:val="none"/>
              </w:rPr>
            </w:pPr>
            <w:r>
              <w:rPr>
                <w:rFonts w:hint="eastAsia" w:ascii="宋体" w:hAnsi="宋体" w:eastAsia="宋体"/>
                <w:color w:val="000000" w:themeColor="text1"/>
                <w:szCs w:val="21"/>
                <w:highlight w:val="none"/>
              </w:rPr>
              <w:t>采购标的</w:t>
            </w:r>
          </w:p>
        </w:tc>
        <w:tc>
          <w:tcPr>
            <w:tcW w:w="623" w:type="pct"/>
            <w:vAlign w:val="center"/>
          </w:tcPr>
          <w:p w14:paraId="049156F0">
            <w:pPr>
              <w:spacing w:line="360" w:lineRule="auto"/>
              <w:jc w:val="center"/>
              <w:rPr>
                <w:rFonts w:ascii="宋体" w:hAnsi="宋体" w:eastAsia="宋体"/>
                <w:color w:val="000000" w:themeColor="text1"/>
                <w:szCs w:val="21"/>
                <w:highlight w:val="none"/>
              </w:rPr>
            </w:pPr>
            <w:r>
              <w:rPr>
                <w:rFonts w:hint="eastAsia" w:ascii="宋体" w:hAnsi="宋体" w:eastAsia="宋体"/>
                <w:color w:val="000000" w:themeColor="text1"/>
                <w:szCs w:val="21"/>
                <w:highlight w:val="none"/>
              </w:rPr>
              <w:t>数量</w:t>
            </w:r>
          </w:p>
          <w:p w14:paraId="56C0F7F3">
            <w:pPr>
              <w:spacing w:line="360" w:lineRule="auto"/>
              <w:jc w:val="center"/>
              <w:rPr>
                <w:rFonts w:ascii="宋体" w:hAnsi="宋体" w:eastAsia="宋体"/>
                <w:color w:val="000000" w:themeColor="text1"/>
                <w:szCs w:val="21"/>
                <w:highlight w:val="none"/>
              </w:rPr>
            </w:pPr>
            <w:r>
              <w:rPr>
                <w:rFonts w:hint="eastAsia" w:ascii="宋体" w:hAnsi="宋体" w:eastAsia="宋体"/>
                <w:color w:val="000000" w:themeColor="text1"/>
                <w:szCs w:val="21"/>
                <w:highlight w:val="none"/>
              </w:rPr>
              <w:t>（单位）</w:t>
            </w:r>
          </w:p>
        </w:tc>
        <w:tc>
          <w:tcPr>
            <w:tcW w:w="822" w:type="pct"/>
            <w:vAlign w:val="center"/>
          </w:tcPr>
          <w:p w14:paraId="43F4F90C">
            <w:pPr>
              <w:spacing w:line="360" w:lineRule="auto"/>
              <w:jc w:val="center"/>
              <w:rPr>
                <w:rFonts w:ascii="宋体" w:hAnsi="宋体" w:eastAsia="宋体"/>
                <w:color w:val="000000" w:themeColor="text1"/>
                <w:szCs w:val="21"/>
                <w:highlight w:val="none"/>
              </w:rPr>
            </w:pPr>
            <w:r>
              <w:rPr>
                <w:rFonts w:hint="eastAsia" w:ascii="宋体" w:hAnsi="宋体" w:eastAsia="宋体"/>
                <w:color w:val="000000" w:themeColor="text1"/>
                <w:szCs w:val="21"/>
                <w:highlight w:val="none"/>
              </w:rPr>
              <w:t>技术规格、参数及要求</w:t>
            </w:r>
          </w:p>
        </w:tc>
        <w:tc>
          <w:tcPr>
            <w:tcW w:w="677" w:type="pct"/>
            <w:vAlign w:val="center"/>
          </w:tcPr>
          <w:p w14:paraId="28031E0C">
            <w:pPr>
              <w:spacing w:line="360" w:lineRule="auto"/>
              <w:jc w:val="center"/>
              <w:rPr>
                <w:rFonts w:ascii="宋体" w:hAnsi="宋体" w:eastAsia="宋体"/>
                <w:color w:val="000000" w:themeColor="text1"/>
                <w:szCs w:val="21"/>
                <w:highlight w:val="none"/>
              </w:rPr>
            </w:pPr>
            <w:r>
              <w:rPr>
                <w:rFonts w:hint="eastAsia" w:ascii="宋体" w:hAnsi="宋体" w:eastAsia="宋体"/>
                <w:color w:val="000000" w:themeColor="text1"/>
                <w:szCs w:val="21"/>
                <w:highlight w:val="none"/>
              </w:rPr>
              <w:t>品目预算（元）</w:t>
            </w:r>
          </w:p>
        </w:tc>
        <w:tc>
          <w:tcPr>
            <w:tcW w:w="872" w:type="pct"/>
            <w:vAlign w:val="center"/>
          </w:tcPr>
          <w:p w14:paraId="1AA4804A">
            <w:pPr>
              <w:spacing w:line="360" w:lineRule="auto"/>
              <w:jc w:val="center"/>
              <w:rPr>
                <w:rFonts w:ascii="宋体" w:hAnsi="宋体" w:eastAsia="宋体"/>
                <w:color w:val="000000" w:themeColor="text1"/>
                <w:szCs w:val="21"/>
                <w:highlight w:val="none"/>
              </w:rPr>
            </w:pPr>
            <w:r>
              <w:rPr>
                <w:rFonts w:hint="eastAsia" w:ascii="宋体" w:hAnsi="宋体" w:eastAsia="宋体"/>
                <w:color w:val="000000" w:themeColor="text1"/>
                <w:szCs w:val="21"/>
                <w:highlight w:val="none"/>
              </w:rPr>
              <w:t>最高限价（元）</w:t>
            </w:r>
          </w:p>
        </w:tc>
      </w:tr>
      <w:tr w14:paraId="25A220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5" w:type="pct"/>
            <w:vAlign w:val="center"/>
          </w:tcPr>
          <w:p w14:paraId="57D9834D">
            <w:pPr>
              <w:spacing w:line="360" w:lineRule="auto"/>
              <w:jc w:val="center"/>
              <w:rPr>
                <w:rFonts w:ascii="宋体" w:hAnsi="宋体" w:eastAsia="宋体"/>
                <w:color w:val="000000" w:themeColor="text1"/>
                <w:szCs w:val="21"/>
                <w:highlight w:val="none"/>
              </w:rPr>
            </w:pPr>
            <w:r>
              <w:rPr>
                <w:rFonts w:hint="eastAsia" w:ascii="宋体" w:hAnsi="宋体" w:eastAsia="宋体"/>
                <w:color w:val="000000" w:themeColor="text1"/>
                <w:szCs w:val="21"/>
                <w:highlight w:val="none"/>
              </w:rPr>
              <w:t>1-1</w:t>
            </w:r>
          </w:p>
        </w:tc>
        <w:tc>
          <w:tcPr>
            <w:tcW w:w="459" w:type="pct"/>
            <w:vAlign w:val="center"/>
          </w:tcPr>
          <w:p w14:paraId="4E8F005B">
            <w:pPr>
              <w:spacing w:line="360" w:lineRule="auto"/>
              <w:jc w:val="center"/>
              <w:rPr>
                <w:rFonts w:ascii="宋体" w:hAnsi="宋体" w:eastAsia="宋体"/>
                <w:color w:val="000000" w:themeColor="text1"/>
                <w:szCs w:val="21"/>
                <w:highlight w:val="none"/>
              </w:rPr>
            </w:pPr>
            <w:r>
              <w:rPr>
                <w:rFonts w:hint="eastAsia" w:ascii="宋体" w:hAnsi="宋体" w:eastAsia="宋体"/>
                <w:color w:val="000000" w:themeColor="text1"/>
                <w:szCs w:val="21"/>
                <w:highlight w:val="none"/>
              </w:rPr>
              <w:t>地震仪器</w:t>
            </w:r>
          </w:p>
        </w:tc>
        <w:tc>
          <w:tcPr>
            <w:tcW w:w="1009" w:type="pct"/>
            <w:vAlign w:val="center"/>
          </w:tcPr>
          <w:p w14:paraId="5F0D85AA">
            <w:pPr>
              <w:spacing w:line="360" w:lineRule="auto"/>
              <w:jc w:val="center"/>
              <w:rPr>
                <w:rFonts w:ascii="宋体" w:hAnsi="宋体" w:eastAsia="宋体"/>
                <w:color w:val="000000" w:themeColor="text1"/>
                <w:szCs w:val="21"/>
                <w:highlight w:val="none"/>
              </w:rPr>
            </w:pPr>
            <w:r>
              <w:rPr>
                <w:rFonts w:hint="eastAsia" w:ascii="宋体" w:hAnsi="宋体" w:eastAsia="宋体"/>
                <w:color w:val="000000" w:themeColor="text1"/>
                <w:szCs w:val="21"/>
                <w:highlight w:val="none"/>
              </w:rPr>
              <w:t>岐山县、扶风县、眉县、千阳县、陇县、凤县、麟游县、太白县公办中小学安装地震预警终端，市县地震预警终端综合管理平台，地震烈度速报系统。</w:t>
            </w:r>
          </w:p>
        </w:tc>
        <w:tc>
          <w:tcPr>
            <w:tcW w:w="623" w:type="pct"/>
            <w:vAlign w:val="center"/>
          </w:tcPr>
          <w:p w14:paraId="24CDA619">
            <w:pPr>
              <w:spacing w:line="360" w:lineRule="auto"/>
              <w:jc w:val="center"/>
              <w:rPr>
                <w:rFonts w:ascii="宋体" w:hAnsi="宋体" w:eastAsia="宋体"/>
                <w:color w:val="000000" w:themeColor="text1"/>
                <w:szCs w:val="21"/>
                <w:highlight w:val="none"/>
              </w:rPr>
            </w:pPr>
            <w:r>
              <w:rPr>
                <w:rFonts w:ascii="宋体" w:hAnsi="宋体" w:eastAsia="宋体"/>
                <w:color w:val="000000" w:themeColor="text1"/>
                <w:szCs w:val="21"/>
                <w:highlight w:val="none"/>
              </w:rPr>
              <w:t>1</w:t>
            </w:r>
            <w:r>
              <w:rPr>
                <w:rFonts w:hint="eastAsia" w:ascii="宋体" w:hAnsi="宋体" w:eastAsia="宋体"/>
                <w:color w:val="000000" w:themeColor="text1"/>
                <w:szCs w:val="21"/>
                <w:highlight w:val="none"/>
              </w:rPr>
              <w:t>（批）</w:t>
            </w:r>
          </w:p>
        </w:tc>
        <w:tc>
          <w:tcPr>
            <w:tcW w:w="822" w:type="pct"/>
            <w:vAlign w:val="center"/>
          </w:tcPr>
          <w:p w14:paraId="0069D0AC">
            <w:pPr>
              <w:spacing w:line="360" w:lineRule="auto"/>
              <w:jc w:val="center"/>
              <w:rPr>
                <w:rFonts w:ascii="宋体" w:hAnsi="宋体" w:eastAsia="宋体"/>
                <w:color w:val="000000" w:themeColor="text1"/>
                <w:szCs w:val="21"/>
                <w:highlight w:val="none"/>
              </w:rPr>
            </w:pPr>
            <w:r>
              <w:rPr>
                <w:rFonts w:hint="eastAsia" w:ascii="宋体" w:hAnsi="宋体" w:eastAsia="宋体"/>
                <w:color w:val="000000" w:themeColor="text1"/>
                <w:szCs w:val="21"/>
                <w:highlight w:val="none"/>
              </w:rPr>
              <w:t>详见招标文件</w:t>
            </w:r>
          </w:p>
        </w:tc>
        <w:tc>
          <w:tcPr>
            <w:tcW w:w="677" w:type="pct"/>
            <w:vAlign w:val="center"/>
          </w:tcPr>
          <w:p w14:paraId="767703D0">
            <w:pPr>
              <w:spacing w:line="360" w:lineRule="auto"/>
              <w:jc w:val="center"/>
              <w:rPr>
                <w:rFonts w:ascii="宋体" w:hAnsi="宋体" w:eastAsia="宋体"/>
                <w:color w:val="000000" w:themeColor="text1"/>
                <w:szCs w:val="21"/>
                <w:highlight w:val="none"/>
              </w:rPr>
            </w:pPr>
            <w:r>
              <w:rPr>
                <w:rFonts w:hint="eastAsia" w:ascii="宋体" w:hAnsi="宋体" w:eastAsia="宋体"/>
                <w:color w:val="000000" w:themeColor="text1"/>
                <w:szCs w:val="21"/>
                <w:highlight w:val="none"/>
              </w:rPr>
              <w:t>2,849,290.00</w:t>
            </w:r>
          </w:p>
        </w:tc>
        <w:tc>
          <w:tcPr>
            <w:tcW w:w="872" w:type="pct"/>
            <w:vAlign w:val="center"/>
          </w:tcPr>
          <w:p w14:paraId="4EDA3EA5">
            <w:pPr>
              <w:spacing w:line="360" w:lineRule="auto"/>
              <w:jc w:val="center"/>
              <w:rPr>
                <w:rFonts w:ascii="宋体" w:hAnsi="宋体" w:eastAsia="宋体"/>
                <w:color w:val="000000" w:themeColor="text1"/>
                <w:szCs w:val="21"/>
                <w:highlight w:val="none"/>
              </w:rPr>
            </w:pPr>
            <w:r>
              <w:rPr>
                <w:rFonts w:hint="eastAsia" w:ascii="宋体" w:hAnsi="宋体" w:eastAsia="宋体"/>
                <w:color w:val="000000" w:themeColor="text1"/>
                <w:szCs w:val="21"/>
                <w:highlight w:val="none"/>
              </w:rPr>
              <w:t>2,745,500.00</w:t>
            </w:r>
          </w:p>
        </w:tc>
      </w:tr>
    </w:tbl>
    <w:p w14:paraId="57C0D3F2">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本合同包不接受联合体投标。</w:t>
      </w:r>
    </w:p>
    <w:p w14:paraId="1B8FD949">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合同履行期限：自合同签订之日起</w:t>
      </w:r>
      <w:r>
        <w:rPr>
          <w:rFonts w:ascii="宋体" w:hAnsi="宋体" w:eastAsia="宋体"/>
          <w:color w:val="000000" w:themeColor="text1"/>
          <w:sz w:val="24"/>
          <w:szCs w:val="24"/>
          <w:highlight w:val="none"/>
        </w:rPr>
        <w:t>100</w:t>
      </w:r>
      <w:r>
        <w:rPr>
          <w:rFonts w:hint="eastAsia" w:ascii="宋体" w:hAnsi="宋体" w:eastAsia="宋体"/>
          <w:color w:val="000000" w:themeColor="text1"/>
          <w:sz w:val="24"/>
          <w:szCs w:val="24"/>
          <w:highlight w:val="none"/>
        </w:rPr>
        <w:t>日历天。</w:t>
      </w:r>
    </w:p>
    <w:p w14:paraId="788F8E59">
      <w:pPr>
        <w:widowControl/>
        <w:spacing w:line="360" w:lineRule="auto"/>
        <w:jc w:val="left"/>
        <w:rPr>
          <w:rFonts w:ascii="宋体" w:hAnsi="宋体" w:eastAsia="宋体" w:cs="宋体"/>
          <w:color w:val="000000" w:themeColor="text1"/>
          <w:kern w:val="0"/>
          <w:sz w:val="24"/>
          <w:szCs w:val="24"/>
          <w:highlight w:val="none"/>
        </w:rPr>
      </w:pPr>
      <w:r>
        <w:rPr>
          <w:rFonts w:hint="eastAsia" w:ascii="宋体" w:hAnsi="宋体" w:eastAsia="宋体" w:cs="宋体"/>
          <w:b/>
          <w:bCs/>
          <w:color w:val="000000" w:themeColor="text1"/>
          <w:kern w:val="0"/>
          <w:sz w:val="24"/>
          <w:szCs w:val="24"/>
          <w:highlight w:val="none"/>
        </w:rPr>
        <w:t>二、投标人的资格要求：</w:t>
      </w:r>
    </w:p>
    <w:p w14:paraId="3654DB74">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1.满足《中华人民共和国政府采购法》第二十二条规定；</w:t>
      </w:r>
    </w:p>
    <w:p w14:paraId="7073B300">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2.落实政府采购政策需满足的资格要求：</w:t>
      </w:r>
    </w:p>
    <w:p w14:paraId="21A6FA3E">
      <w:pPr>
        <w:spacing w:line="360" w:lineRule="auto"/>
        <w:ind w:firstLine="482" w:firstLineChars="200"/>
        <w:rPr>
          <w:rFonts w:ascii="宋体" w:hAnsi="宋体" w:eastAsia="宋体"/>
          <w:b/>
          <w:color w:val="000000" w:themeColor="text1"/>
          <w:sz w:val="24"/>
          <w:szCs w:val="24"/>
          <w:highlight w:val="none"/>
        </w:rPr>
      </w:pPr>
      <w:r>
        <w:rPr>
          <w:rFonts w:ascii="宋体" w:hAnsi="宋体" w:eastAsia="宋体"/>
          <w:b/>
          <w:color w:val="000000" w:themeColor="text1"/>
          <w:sz w:val="24"/>
          <w:szCs w:val="24"/>
          <w:highlight w:val="none"/>
        </w:rPr>
        <w:t>合同包1(</w:t>
      </w:r>
      <w:r>
        <w:rPr>
          <w:rFonts w:hint="eastAsia" w:ascii="宋体" w:hAnsi="宋体" w:eastAsia="宋体"/>
          <w:b/>
          <w:color w:val="000000" w:themeColor="text1"/>
          <w:sz w:val="24"/>
          <w:szCs w:val="24"/>
          <w:highlight w:val="none"/>
        </w:rPr>
        <w:t>市、区公办中小学地震预警终端和监测预警中心工作站</w:t>
      </w:r>
      <w:r>
        <w:rPr>
          <w:rFonts w:ascii="宋体" w:hAnsi="宋体" w:eastAsia="宋体"/>
          <w:b/>
          <w:color w:val="000000" w:themeColor="text1"/>
          <w:sz w:val="24"/>
          <w:szCs w:val="24"/>
          <w:highlight w:val="none"/>
        </w:rPr>
        <w:t>)落实政府采购政策需满足的资格要求如下</w:t>
      </w:r>
      <w:r>
        <w:rPr>
          <w:rFonts w:hint="eastAsia" w:ascii="宋体" w:hAnsi="宋体" w:eastAsia="宋体"/>
          <w:b/>
          <w:color w:val="000000" w:themeColor="text1"/>
          <w:sz w:val="24"/>
          <w:szCs w:val="24"/>
          <w:highlight w:val="none"/>
        </w:rPr>
        <w:t>：</w:t>
      </w:r>
    </w:p>
    <w:p w14:paraId="1DDADE17">
      <w:pPr>
        <w:shd w:val="clear" w:color="auto" w:fill="FFFFFF"/>
        <w:spacing w:line="360" w:lineRule="auto"/>
        <w:ind w:firstLine="480"/>
        <w:rPr>
          <w:rFonts w:ascii="宋体" w:hAnsi="宋体" w:eastAsia="宋体" w:cs="宋体"/>
          <w:color w:val="000000" w:themeColor="text1"/>
          <w:sz w:val="24"/>
          <w:szCs w:val="24"/>
          <w:highlight w:val="none"/>
        </w:rPr>
      </w:pPr>
      <w:bookmarkStart w:id="1" w:name="OLE_LINK43"/>
      <w:bookmarkStart w:id="2" w:name="OLE_LINK44"/>
      <w:bookmarkStart w:id="3" w:name="OLE_LINK42"/>
      <w:r>
        <w:rPr>
          <w:rFonts w:ascii="宋体" w:hAnsi="宋体" w:eastAsia="宋体" w:cs="宋体"/>
          <w:color w:val="000000" w:themeColor="text1"/>
          <w:sz w:val="24"/>
          <w:szCs w:val="24"/>
          <w:highlight w:val="none"/>
        </w:rPr>
        <w:t>（1）《政府采购促进中小企业发展管理办法》的通知--财库[2020]46号、财政部关于进一步加大政府采购支持中小企业力度的通知（财库﹝2022﹞19号）、陕西省财政厅关于进一步加大政府采购支持中小企业力度的通知（陕财办采〔2022〕5号）；</w:t>
      </w:r>
    </w:p>
    <w:p w14:paraId="7086C95B">
      <w:pPr>
        <w:shd w:val="clear" w:color="auto" w:fill="FFFFFF"/>
        <w:spacing w:line="360" w:lineRule="auto"/>
        <w:ind w:firstLine="480"/>
        <w:rPr>
          <w:rFonts w:ascii="宋体" w:hAnsi="宋体" w:eastAsia="宋体" w:cs="宋体"/>
          <w:color w:val="000000" w:themeColor="text1"/>
          <w:sz w:val="24"/>
          <w:szCs w:val="24"/>
          <w:highlight w:val="none"/>
        </w:rPr>
      </w:pPr>
      <w:r>
        <w:rPr>
          <w:rFonts w:ascii="宋体" w:hAnsi="宋体" w:eastAsia="宋体" w:cs="宋体"/>
          <w:color w:val="000000" w:themeColor="text1"/>
          <w:sz w:val="24"/>
          <w:szCs w:val="24"/>
          <w:highlight w:val="none"/>
        </w:rPr>
        <w:t>（2）财政部司法部关于政府采购支持监狱企业发展有关问题的通知--财库〔2014〕68号；</w:t>
      </w:r>
    </w:p>
    <w:p w14:paraId="7DE7A051">
      <w:pPr>
        <w:shd w:val="clear" w:color="auto" w:fill="FFFFFF"/>
        <w:spacing w:line="360" w:lineRule="auto"/>
        <w:ind w:firstLine="480"/>
        <w:rPr>
          <w:rFonts w:ascii="宋体" w:hAnsi="宋体" w:eastAsia="宋体" w:cs="宋体"/>
          <w:color w:val="000000" w:themeColor="text1"/>
          <w:sz w:val="24"/>
          <w:szCs w:val="24"/>
          <w:highlight w:val="none"/>
        </w:rPr>
      </w:pPr>
      <w:r>
        <w:rPr>
          <w:rFonts w:ascii="宋体" w:hAnsi="宋体" w:eastAsia="宋体" w:cs="宋体"/>
          <w:color w:val="000000" w:themeColor="text1"/>
          <w:sz w:val="24"/>
          <w:szCs w:val="24"/>
          <w:highlight w:val="none"/>
        </w:rPr>
        <w:t>（3）《国务院办公厅关于建立政府强制采购节能产品制度的通知》--国办发〔2007〕51号；</w:t>
      </w:r>
    </w:p>
    <w:p w14:paraId="39FE31CC">
      <w:pPr>
        <w:shd w:val="clear" w:color="auto" w:fill="FFFFFF"/>
        <w:spacing w:line="360" w:lineRule="auto"/>
        <w:ind w:firstLine="480"/>
        <w:rPr>
          <w:rFonts w:ascii="宋体" w:hAnsi="宋体" w:eastAsia="宋体" w:cs="宋体"/>
          <w:color w:val="000000" w:themeColor="text1"/>
          <w:sz w:val="24"/>
          <w:szCs w:val="24"/>
          <w:highlight w:val="none"/>
        </w:rPr>
      </w:pPr>
      <w:r>
        <w:rPr>
          <w:rFonts w:ascii="宋体" w:hAnsi="宋体" w:eastAsia="宋体" w:cs="宋体"/>
          <w:color w:val="000000" w:themeColor="text1"/>
          <w:sz w:val="24"/>
          <w:szCs w:val="24"/>
          <w:highlight w:val="none"/>
        </w:rPr>
        <w:t>（4）《财政部发展改革委生态环境部市场监</w:t>
      </w:r>
      <w:r>
        <w:rPr>
          <w:rFonts w:hint="eastAsia" w:ascii="宋体" w:hAnsi="宋体" w:eastAsia="宋体" w:cs="宋体"/>
          <w:color w:val="000000" w:themeColor="text1"/>
          <w:sz w:val="24"/>
          <w:szCs w:val="24"/>
          <w:highlight w:val="none"/>
        </w:rPr>
        <w:t>管</w:t>
      </w:r>
      <w:r>
        <w:rPr>
          <w:rFonts w:ascii="宋体" w:hAnsi="宋体" w:eastAsia="宋体" w:cs="宋体"/>
          <w:color w:val="000000" w:themeColor="text1"/>
          <w:sz w:val="24"/>
          <w:szCs w:val="24"/>
          <w:highlight w:val="none"/>
        </w:rPr>
        <w:t>总局关于调整优化节能产品、环境标志产品政府采购执行机制的通知》--（财库[2019]9号）；</w:t>
      </w:r>
    </w:p>
    <w:p w14:paraId="67C92803">
      <w:pPr>
        <w:shd w:val="clear" w:color="auto" w:fill="FFFFFF"/>
        <w:spacing w:line="360" w:lineRule="auto"/>
        <w:ind w:firstLine="480"/>
        <w:rPr>
          <w:rFonts w:ascii="宋体" w:hAnsi="宋体" w:eastAsia="宋体" w:cs="宋体"/>
          <w:color w:val="000000" w:themeColor="text1"/>
          <w:sz w:val="24"/>
          <w:szCs w:val="24"/>
          <w:highlight w:val="none"/>
        </w:rPr>
      </w:pPr>
      <w:r>
        <w:rPr>
          <w:rFonts w:ascii="宋体" w:hAnsi="宋体" w:eastAsia="宋体" w:cs="宋体"/>
          <w:color w:val="000000" w:themeColor="text1"/>
          <w:sz w:val="24"/>
          <w:szCs w:val="24"/>
          <w:highlight w:val="none"/>
        </w:rPr>
        <w:t>（5）《关于印发环境标志产品政府采购品目清单的通知》--（财库〔2019〕18号）；</w:t>
      </w:r>
    </w:p>
    <w:p w14:paraId="2B10F12E">
      <w:pPr>
        <w:shd w:val="clear" w:color="auto" w:fill="FFFFFF"/>
        <w:spacing w:line="360" w:lineRule="auto"/>
        <w:ind w:firstLine="480"/>
        <w:rPr>
          <w:rFonts w:ascii="宋体" w:hAnsi="宋体" w:eastAsia="宋体" w:cs="宋体"/>
          <w:color w:val="000000" w:themeColor="text1"/>
          <w:sz w:val="24"/>
          <w:szCs w:val="24"/>
          <w:highlight w:val="none"/>
        </w:rPr>
      </w:pPr>
      <w:r>
        <w:rPr>
          <w:rFonts w:ascii="宋体" w:hAnsi="宋体" w:eastAsia="宋体" w:cs="宋体"/>
          <w:color w:val="000000" w:themeColor="text1"/>
          <w:sz w:val="24"/>
          <w:szCs w:val="24"/>
          <w:highlight w:val="none"/>
        </w:rPr>
        <w:t>（6）《关于印发节能产品政府采购品目清单的通知》--（财库〔2019〕19号）；</w:t>
      </w:r>
    </w:p>
    <w:p w14:paraId="44012F61">
      <w:pPr>
        <w:shd w:val="clear" w:color="auto" w:fill="FFFFFF"/>
        <w:spacing w:line="360" w:lineRule="auto"/>
        <w:ind w:firstLine="480"/>
        <w:rPr>
          <w:rFonts w:ascii="宋体" w:hAnsi="宋体" w:eastAsia="宋体" w:cs="宋体"/>
          <w:color w:val="000000" w:themeColor="text1"/>
          <w:sz w:val="24"/>
          <w:szCs w:val="24"/>
          <w:highlight w:val="none"/>
        </w:rPr>
      </w:pPr>
      <w:r>
        <w:rPr>
          <w:rFonts w:ascii="宋体" w:hAnsi="宋体" w:eastAsia="宋体" w:cs="宋体"/>
          <w:color w:val="000000" w:themeColor="text1"/>
          <w:sz w:val="24"/>
          <w:szCs w:val="24"/>
          <w:highlight w:val="none"/>
        </w:rPr>
        <w:t>（7）《市场监</w:t>
      </w:r>
      <w:r>
        <w:rPr>
          <w:rFonts w:hint="eastAsia" w:ascii="宋体" w:hAnsi="宋体" w:eastAsia="宋体" w:cs="宋体"/>
          <w:color w:val="000000" w:themeColor="text1"/>
          <w:sz w:val="24"/>
          <w:szCs w:val="24"/>
          <w:highlight w:val="none"/>
        </w:rPr>
        <w:t>管</w:t>
      </w:r>
      <w:r>
        <w:rPr>
          <w:rFonts w:ascii="宋体" w:hAnsi="宋体" w:eastAsia="宋体" w:cs="宋体"/>
          <w:color w:val="000000" w:themeColor="text1"/>
          <w:sz w:val="24"/>
          <w:szCs w:val="24"/>
          <w:highlight w:val="none"/>
        </w:rPr>
        <w:t>总局关于发布参与实施政府采购节能产品、环境标志产品认证机构名录的公告》—2019年第16号；</w:t>
      </w:r>
    </w:p>
    <w:p w14:paraId="7C836285">
      <w:pPr>
        <w:shd w:val="clear" w:color="auto" w:fill="FFFFFF"/>
        <w:spacing w:line="360" w:lineRule="auto"/>
        <w:ind w:firstLine="480"/>
        <w:rPr>
          <w:rFonts w:ascii="宋体" w:hAnsi="宋体" w:eastAsia="宋体" w:cs="宋体"/>
          <w:color w:val="000000" w:themeColor="text1"/>
          <w:sz w:val="24"/>
          <w:szCs w:val="24"/>
          <w:highlight w:val="none"/>
        </w:rPr>
      </w:pPr>
      <w:r>
        <w:rPr>
          <w:rFonts w:ascii="宋体" w:hAnsi="宋体" w:eastAsia="宋体" w:cs="宋体"/>
          <w:color w:val="000000" w:themeColor="text1"/>
          <w:sz w:val="24"/>
          <w:szCs w:val="24"/>
          <w:highlight w:val="none"/>
        </w:rPr>
        <w:t>（8）《财政部民政部中国残疾人联合会关于促进残疾人就业政府采购政策的通知》--（财库〔2017〕141号）；</w:t>
      </w:r>
    </w:p>
    <w:p w14:paraId="576770B1">
      <w:pPr>
        <w:shd w:val="clear" w:color="auto" w:fill="FFFFFF"/>
        <w:spacing w:line="360" w:lineRule="auto"/>
        <w:ind w:firstLine="480"/>
        <w:rPr>
          <w:rFonts w:ascii="宋体" w:hAnsi="宋体" w:eastAsia="宋体" w:cs="宋体"/>
          <w:color w:val="000000" w:themeColor="text1"/>
          <w:sz w:val="24"/>
          <w:szCs w:val="24"/>
          <w:highlight w:val="none"/>
        </w:rPr>
      </w:pPr>
      <w:r>
        <w:rPr>
          <w:rFonts w:ascii="宋体" w:hAnsi="宋体" w:eastAsia="宋体" w:cs="宋体"/>
          <w:color w:val="000000" w:themeColor="text1"/>
          <w:sz w:val="24"/>
          <w:szCs w:val="24"/>
          <w:highlight w:val="none"/>
        </w:rPr>
        <w:t>（9）《关于运用政府采购政策支持乡村产业振兴的通知》（财库〔2021〕19号）；</w:t>
      </w:r>
    </w:p>
    <w:p w14:paraId="365B1131">
      <w:pPr>
        <w:shd w:val="clear" w:color="auto" w:fill="FFFFFF"/>
        <w:spacing w:line="360" w:lineRule="auto"/>
        <w:ind w:firstLine="480"/>
        <w:rPr>
          <w:rFonts w:ascii="宋体" w:hAnsi="宋体" w:eastAsia="宋体" w:cs="宋体"/>
          <w:color w:val="000000" w:themeColor="text1"/>
          <w:sz w:val="24"/>
          <w:szCs w:val="24"/>
          <w:highlight w:val="none"/>
        </w:rPr>
      </w:pPr>
      <w:r>
        <w:rPr>
          <w:rFonts w:ascii="宋体" w:hAnsi="宋体" w:eastAsia="宋体" w:cs="宋体"/>
          <w:color w:val="000000" w:themeColor="text1"/>
          <w:sz w:val="24"/>
          <w:szCs w:val="24"/>
          <w:highlight w:val="none"/>
        </w:rPr>
        <w:t>（10）陕西省财政厅关于印发《陕西省中小企业政府采购信用融资办法》（陕财办采〔2018〕23号）；</w:t>
      </w:r>
    </w:p>
    <w:p w14:paraId="5EAF44F0">
      <w:pPr>
        <w:shd w:val="clear" w:color="auto" w:fill="FFFFFF"/>
        <w:spacing w:line="360" w:lineRule="auto"/>
        <w:ind w:firstLine="480"/>
        <w:rPr>
          <w:rFonts w:ascii="宋体" w:hAnsi="宋体" w:eastAsia="宋体" w:cs="宋体"/>
          <w:color w:val="000000" w:themeColor="text1"/>
          <w:sz w:val="24"/>
          <w:szCs w:val="24"/>
          <w:highlight w:val="none"/>
        </w:rPr>
      </w:pPr>
      <w:r>
        <w:rPr>
          <w:rFonts w:ascii="宋体" w:hAnsi="宋体" w:eastAsia="宋体" w:cs="宋体"/>
          <w:color w:val="000000" w:themeColor="text1"/>
          <w:sz w:val="24"/>
          <w:szCs w:val="24"/>
          <w:highlight w:val="none"/>
        </w:rPr>
        <w:t>（11）《陕西省财政厅关于加快推进我省中小企业政府采购信用融资工作的通知》（陕财办采〔2020〕15号）；</w:t>
      </w:r>
    </w:p>
    <w:p w14:paraId="04F4979D">
      <w:pPr>
        <w:shd w:val="clear" w:color="auto" w:fill="FFFFFF"/>
        <w:spacing w:line="360" w:lineRule="auto"/>
        <w:ind w:firstLine="480"/>
        <w:rPr>
          <w:rFonts w:ascii="宋体" w:hAnsi="宋体" w:eastAsia="宋体" w:cs="宋体"/>
          <w:color w:val="000000" w:themeColor="text1"/>
          <w:sz w:val="24"/>
          <w:szCs w:val="24"/>
          <w:highlight w:val="none"/>
        </w:rPr>
      </w:pPr>
      <w:r>
        <w:rPr>
          <w:rFonts w:ascii="宋体" w:hAnsi="宋体" w:eastAsia="宋体" w:cs="宋体"/>
          <w:color w:val="000000" w:themeColor="text1"/>
          <w:sz w:val="24"/>
          <w:szCs w:val="24"/>
          <w:highlight w:val="none"/>
        </w:rPr>
        <w:t>（12）《关于进一步加强政府绿色采购有关问题的通知》（陕财办采〔2021〕29号）；</w:t>
      </w:r>
    </w:p>
    <w:p w14:paraId="36690F25">
      <w:pPr>
        <w:spacing w:line="360" w:lineRule="auto"/>
        <w:ind w:firstLine="480" w:firstLineChars="200"/>
        <w:rPr>
          <w:rFonts w:ascii="宋体" w:hAnsi="宋体" w:eastAsia="宋体"/>
          <w:color w:val="000000" w:themeColor="text1"/>
          <w:sz w:val="24"/>
          <w:szCs w:val="24"/>
          <w:highlight w:val="none"/>
        </w:rPr>
      </w:pPr>
      <w:r>
        <w:rPr>
          <w:rFonts w:ascii="宋体" w:hAnsi="宋体" w:eastAsia="宋体" w:cs="宋体"/>
          <w:color w:val="000000" w:themeColor="text1"/>
          <w:sz w:val="24"/>
          <w:szCs w:val="24"/>
          <w:highlight w:val="none"/>
        </w:rPr>
        <w:t>（13）其他需要落实的政府采购政策</w:t>
      </w:r>
      <w:r>
        <w:rPr>
          <w:rFonts w:hint="eastAsia" w:ascii="宋体" w:hAnsi="宋体" w:eastAsia="宋体" w:cs="宋体"/>
          <w:color w:val="000000" w:themeColor="text1"/>
          <w:sz w:val="24"/>
          <w:szCs w:val="24"/>
          <w:highlight w:val="none"/>
        </w:rPr>
        <w:t>，</w:t>
      </w:r>
      <w:r>
        <w:rPr>
          <w:rFonts w:hint="eastAsia" w:ascii="宋体" w:hAnsi="宋体" w:eastAsia="宋体"/>
          <w:color w:val="000000" w:themeColor="text1"/>
          <w:sz w:val="24"/>
          <w:szCs w:val="24"/>
          <w:highlight w:val="none"/>
        </w:rPr>
        <w:t>如有最新颁布的政府采购政策，按最新的文件执行</w:t>
      </w:r>
      <w:r>
        <w:rPr>
          <w:rFonts w:ascii="宋体" w:hAnsi="宋体" w:eastAsia="宋体" w:cs="宋体"/>
          <w:color w:val="000000" w:themeColor="text1"/>
          <w:sz w:val="24"/>
          <w:szCs w:val="24"/>
          <w:highlight w:val="none"/>
        </w:rPr>
        <w:t>；</w:t>
      </w:r>
    </w:p>
    <w:p w14:paraId="7776BF40">
      <w:pPr>
        <w:spacing w:line="360" w:lineRule="auto"/>
        <w:ind w:firstLine="480" w:firstLineChars="200"/>
        <w:rPr>
          <w:rFonts w:ascii="宋体" w:hAnsi="宋体" w:eastAsia="宋体"/>
          <w:color w:val="000000" w:themeColor="text1"/>
          <w:sz w:val="24"/>
          <w:szCs w:val="24"/>
          <w:highlight w:val="none"/>
        </w:rPr>
      </w:pPr>
      <w:r>
        <w:rPr>
          <w:rFonts w:ascii="宋体" w:hAnsi="宋体" w:eastAsia="宋体" w:cs="宋体"/>
          <w:color w:val="000000" w:themeColor="text1"/>
          <w:sz w:val="24"/>
          <w:szCs w:val="24"/>
          <w:highlight w:val="none"/>
        </w:rPr>
        <w:t>若享受以上政策优惠的企业，提供相应声明函或品目范围内产品有效认证证书。</w:t>
      </w:r>
    </w:p>
    <w:bookmarkEnd w:id="1"/>
    <w:bookmarkEnd w:id="2"/>
    <w:bookmarkEnd w:id="3"/>
    <w:p w14:paraId="2193FF06">
      <w:pPr>
        <w:spacing w:line="360" w:lineRule="auto"/>
        <w:ind w:firstLine="482" w:firstLineChars="200"/>
        <w:rPr>
          <w:rFonts w:ascii="宋体" w:hAnsi="宋体" w:eastAsia="宋体"/>
          <w:b/>
          <w:color w:val="000000" w:themeColor="text1"/>
          <w:sz w:val="24"/>
          <w:szCs w:val="24"/>
          <w:highlight w:val="none"/>
        </w:rPr>
      </w:pPr>
      <w:r>
        <w:rPr>
          <w:rFonts w:ascii="宋体" w:hAnsi="宋体" w:eastAsia="宋体"/>
          <w:b/>
          <w:color w:val="000000" w:themeColor="text1"/>
          <w:sz w:val="24"/>
          <w:szCs w:val="24"/>
          <w:highlight w:val="none"/>
        </w:rPr>
        <w:t>合同包</w:t>
      </w:r>
      <w:r>
        <w:rPr>
          <w:rFonts w:hint="eastAsia" w:ascii="宋体" w:hAnsi="宋体" w:eastAsia="宋体"/>
          <w:b/>
          <w:color w:val="000000" w:themeColor="text1"/>
          <w:sz w:val="24"/>
          <w:szCs w:val="24"/>
          <w:highlight w:val="none"/>
        </w:rPr>
        <w:t>2</w:t>
      </w:r>
      <w:r>
        <w:rPr>
          <w:rFonts w:ascii="宋体" w:hAnsi="宋体" w:eastAsia="宋体"/>
          <w:b/>
          <w:color w:val="000000" w:themeColor="text1"/>
          <w:sz w:val="24"/>
          <w:szCs w:val="24"/>
          <w:highlight w:val="none"/>
        </w:rPr>
        <w:t>(</w:t>
      </w:r>
      <w:r>
        <w:rPr>
          <w:rFonts w:hint="eastAsia" w:ascii="宋体" w:hAnsi="宋体" w:eastAsia="宋体" w:cs="宋体"/>
          <w:b/>
          <w:color w:val="000000" w:themeColor="text1"/>
          <w:sz w:val="24"/>
          <w:szCs w:val="24"/>
          <w:highlight w:val="none"/>
        </w:rPr>
        <w:t>县级公办中小学</w:t>
      </w:r>
      <w:r>
        <w:rPr>
          <w:rFonts w:hint="eastAsia" w:ascii="宋体" w:hAnsi="宋体" w:eastAsia="宋体"/>
          <w:b/>
          <w:color w:val="000000" w:themeColor="text1"/>
          <w:sz w:val="24"/>
          <w:szCs w:val="24"/>
          <w:highlight w:val="none"/>
        </w:rPr>
        <w:t>地震预警终端和地震烈度速报系统</w:t>
      </w:r>
      <w:r>
        <w:rPr>
          <w:rFonts w:ascii="宋体" w:hAnsi="宋体" w:eastAsia="宋体"/>
          <w:b/>
          <w:color w:val="000000" w:themeColor="text1"/>
          <w:sz w:val="24"/>
          <w:szCs w:val="24"/>
          <w:highlight w:val="none"/>
        </w:rPr>
        <w:t>)落实政府采购政策需满足的资格要求如下</w:t>
      </w:r>
      <w:r>
        <w:rPr>
          <w:rFonts w:hint="eastAsia" w:ascii="宋体" w:hAnsi="宋体" w:eastAsia="宋体"/>
          <w:b/>
          <w:color w:val="000000" w:themeColor="text1"/>
          <w:sz w:val="24"/>
          <w:szCs w:val="24"/>
          <w:highlight w:val="none"/>
        </w:rPr>
        <w:t>：</w:t>
      </w:r>
    </w:p>
    <w:p w14:paraId="45AB5DEC">
      <w:pPr>
        <w:shd w:val="clear" w:color="auto" w:fill="FFFFFF"/>
        <w:spacing w:line="360" w:lineRule="auto"/>
        <w:ind w:firstLine="480"/>
        <w:rPr>
          <w:rFonts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1）《政府采购促进中小企业发展管理办法》的通知--财库[2020]46号、财政部关于进一步加大政府采购支持中小企业力度的通知（财库﹝2022﹞19号）、陕西省财政厅关于进一步加大政府采购支持中小企业力度的通知（陕财办采〔2022〕5号）；</w:t>
      </w:r>
    </w:p>
    <w:p w14:paraId="5A3F1148">
      <w:pPr>
        <w:shd w:val="clear" w:color="auto" w:fill="FFFFFF"/>
        <w:spacing w:line="360" w:lineRule="auto"/>
        <w:ind w:firstLine="480"/>
        <w:rPr>
          <w:rFonts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（2）财政部司法部关于政府采购支持监狱企业发展有关问题的通知--财库〔2014〕68号；</w:t>
      </w:r>
    </w:p>
    <w:p w14:paraId="4086DC3C">
      <w:pPr>
        <w:shd w:val="clear" w:color="auto" w:fill="FFFFFF"/>
        <w:spacing w:line="360" w:lineRule="auto"/>
        <w:ind w:firstLine="480"/>
        <w:rPr>
          <w:rFonts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（3）《国务院办公厅关于建立政府强制采购节能产品制度的通知》--国办发〔2007〕51号；</w:t>
      </w:r>
    </w:p>
    <w:p w14:paraId="10BBC4EA">
      <w:pPr>
        <w:shd w:val="clear" w:color="auto" w:fill="FFFFFF"/>
        <w:spacing w:line="360" w:lineRule="auto"/>
        <w:ind w:firstLine="480"/>
        <w:rPr>
          <w:rFonts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（4）《财政部发展改革委生态环境部市场监管总局关于调整优化节能产品、环境标志产品政府采购执行机制的通知》--（财库[2019]9号）；</w:t>
      </w:r>
    </w:p>
    <w:p w14:paraId="0E7DF3B1">
      <w:pPr>
        <w:shd w:val="clear" w:color="auto" w:fill="FFFFFF"/>
        <w:spacing w:line="360" w:lineRule="auto"/>
        <w:ind w:firstLine="480"/>
        <w:rPr>
          <w:rFonts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（5）《关于印发环境标志产品政府采购品目清单的通知》--（财库〔2019〕18号）；</w:t>
      </w:r>
    </w:p>
    <w:p w14:paraId="10FA8700">
      <w:pPr>
        <w:shd w:val="clear" w:color="auto" w:fill="FFFFFF"/>
        <w:spacing w:line="360" w:lineRule="auto"/>
        <w:ind w:firstLine="480"/>
        <w:rPr>
          <w:rFonts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（6）《关于印发节能产品政府采购品目清单的通知》--（财库〔2019〕19号）；</w:t>
      </w:r>
    </w:p>
    <w:p w14:paraId="7619B93A">
      <w:pPr>
        <w:shd w:val="clear" w:color="auto" w:fill="FFFFFF"/>
        <w:spacing w:line="360" w:lineRule="auto"/>
        <w:ind w:firstLine="480"/>
        <w:rPr>
          <w:rFonts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（7）《市场监管总局关于发布参与实施政府采购节能产品、环境标志产品认证机构名录的公告》—2019年第16号；</w:t>
      </w:r>
    </w:p>
    <w:p w14:paraId="53E3E90B">
      <w:pPr>
        <w:shd w:val="clear" w:color="auto" w:fill="FFFFFF"/>
        <w:spacing w:line="360" w:lineRule="auto"/>
        <w:ind w:firstLine="480"/>
        <w:rPr>
          <w:rFonts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（8）《财政部民政部中国残疾人联合会关于促进残疾人就业政府采购政策的通知》--（财库〔2017〕141号）；</w:t>
      </w:r>
    </w:p>
    <w:p w14:paraId="69703850">
      <w:pPr>
        <w:shd w:val="clear" w:color="auto" w:fill="FFFFFF"/>
        <w:spacing w:line="360" w:lineRule="auto"/>
        <w:ind w:firstLine="480"/>
        <w:rPr>
          <w:rFonts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（9）《关于运用政府采购政策支持乡村产业振兴的通知》（财库〔2021〕19号）；</w:t>
      </w:r>
    </w:p>
    <w:p w14:paraId="112D55CB">
      <w:pPr>
        <w:shd w:val="clear" w:color="auto" w:fill="FFFFFF"/>
        <w:spacing w:line="360" w:lineRule="auto"/>
        <w:ind w:firstLine="480"/>
        <w:rPr>
          <w:rFonts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（10）陕西省财政厅关于印发《陕西省中小企业政府采购信用融资办法》（陕财办采〔2018〕23号）；</w:t>
      </w:r>
    </w:p>
    <w:p w14:paraId="13410279">
      <w:pPr>
        <w:shd w:val="clear" w:color="auto" w:fill="FFFFFF"/>
        <w:spacing w:line="360" w:lineRule="auto"/>
        <w:ind w:firstLine="480"/>
        <w:rPr>
          <w:rFonts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（11）《陕西省财政厅关于加快推进我省中小企业政府采购信用融资工作的通知》（陕财办采〔2020〕15号）；</w:t>
      </w:r>
    </w:p>
    <w:p w14:paraId="40089880">
      <w:pPr>
        <w:shd w:val="clear" w:color="auto" w:fill="FFFFFF"/>
        <w:spacing w:line="360" w:lineRule="auto"/>
        <w:ind w:firstLine="480"/>
        <w:rPr>
          <w:rFonts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（12）《关于进一步加强政府绿色采购有关问题的通知》（陕财办采〔2021〕29号）；</w:t>
      </w:r>
    </w:p>
    <w:p w14:paraId="24CF375A">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s="宋体"/>
          <w:color w:val="000000" w:themeColor="text1"/>
          <w:sz w:val="24"/>
          <w:szCs w:val="24"/>
          <w:highlight w:val="none"/>
        </w:rPr>
        <w:t>（13）其他需要落实的政府采购政策，</w:t>
      </w:r>
      <w:r>
        <w:rPr>
          <w:rFonts w:hint="eastAsia" w:ascii="宋体" w:hAnsi="宋体" w:eastAsia="宋体"/>
          <w:color w:val="000000" w:themeColor="text1"/>
          <w:sz w:val="24"/>
          <w:szCs w:val="24"/>
          <w:highlight w:val="none"/>
        </w:rPr>
        <w:t>如有最新颁布的政府采购政策，按最新的文件执行</w:t>
      </w:r>
      <w:r>
        <w:rPr>
          <w:rFonts w:hint="eastAsia" w:ascii="宋体" w:hAnsi="宋体" w:eastAsia="宋体" w:cs="宋体"/>
          <w:color w:val="000000" w:themeColor="text1"/>
          <w:sz w:val="24"/>
          <w:szCs w:val="24"/>
          <w:highlight w:val="none"/>
        </w:rPr>
        <w:t>；</w:t>
      </w:r>
    </w:p>
    <w:p w14:paraId="3C8B2ACC">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s="宋体"/>
          <w:color w:val="000000" w:themeColor="text1"/>
          <w:sz w:val="24"/>
          <w:szCs w:val="24"/>
          <w:highlight w:val="none"/>
        </w:rPr>
        <w:t>若享受以上政策优惠的企业，提供相应声明函或品目范围内产品有效认证证书。</w:t>
      </w:r>
    </w:p>
    <w:p w14:paraId="41F5A94E">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3.本项目的特定资格要求：</w:t>
      </w:r>
    </w:p>
    <w:p w14:paraId="086CDCF9">
      <w:pPr>
        <w:spacing w:line="360" w:lineRule="auto"/>
        <w:ind w:firstLine="482" w:firstLineChars="200"/>
        <w:rPr>
          <w:rFonts w:ascii="宋体" w:hAnsi="宋体" w:eastAsia="宋体"/>
          <w:b/>
          <w:color w:val="000000" w:themeColor="text1"/>
          <w:sz w:val="24"/>
          <w:szCs w:val="24"/>
          <w:highlight w:val="none"/>
        </w:rPr>
      </w:pPr>
      <w:r>
        <w:rPr>
          <w:rFonts w:hint="eastAsia" w:ascii="宋体" w:hAnsi="宋体" w:eastAsia="宋体"/>
          <w:b/>
          <w:color w:val="000000" w:themeColor="text1"/>
          <w:sz w:val="24"/>
          <w:szCs w:val="24"/>
          <w:highlight w:val="none"/>
        </w:rPr>
        <w:t>合同包1（市、区公办中小学地震预警终端和监测预警中心工作站）特定资格要求如下：</w:t>
      </w:r>
    </w:p>
    <w:p w14:paraId="5365E272">
      <w:pPr>
        <w:spacing w:line="360" w:lineRule="auto"/>
        <w:ind w:firstLine="480" w:firstLineChars="200"/>
        <w:rPr>
          <w:rFonts w:ascii="宋体" w:hAnsi="宋体" w:eastAsia="宋体"/>
          <w:color w:val="000000" w:themeColor="text1"/>
          <w:sz w:val="24"/>
          <w:szCs w:val="24"/>
          <w:highlight w:val="none"/>
        </w:rPr>
      </w:pPr>
      <w:bookmarkStart w:id="4" w:name="OLE_LINK8"/>
      <w:bookmarkStart w:id="5" w:name="OLE_LINK69"/>
      <w:bookmarkStart w:id="6" w:name="OLE_LINK3"/>
      <w:bookmarkStart w:id="7" w:name="OLE_LINK1"/>
      <w:r>
        <w:rPr>
          <w:rFonts w:hint="eastAsia" w:ascii="宋体" w:hAnsi="宋体" w:eastAsia="宋体"/>
          <w:color w:val="000000" w:themeColor="text1"/>
          <w:sz w:val="24"/>
          <w:szCs w:val="24"/>
          <w:highlight w:val="none"/>
        </w:rPr>
        <w:t>1）</w:t>
      </w:r>
      <w:r>
        <w:rPr>
          <w:rFonts w:ascii="宋体" w:hAnsi="宋体" w:eastAsia="宋体"/>
          <w:color w:val="000000" w:themeColor="text1"/>
          <w:sz w:val="24"/>
          <w:szCs w:val="24"/>
          <w:highlight w:val="none"/>
        </w:rPr>
        <w:t>有效的主体资格证明：</w:t>
      </w:r>
      <w:bookmarkStart w:id="8" w:name="OLE_LINK9"/>
      <w:bookmarkStart w:id="9" w:name="OLE_LINK2"/>
      <w:r>
        <w:rPr>
          <w:rFonts w:hint="eastAsia" w:ascii="宋体" w:hAnsi="宋体" w:eastAsia="宋体"/>
          <w:color w:val="000000" w:themeColor="text1"/>
          <w:sz w:val="24"/>
          <w:szCs w:val="24"/>
          <w:highlight w:val="none"/>
        </w:rPr>
        <w:t>投标人</w:t>
      </w:r>
      <w:bookmarkEnd w:id="8"/>
      <w:bookmarkEnd w:id="9"/>
      <w:r>
        <w:rPr>
          <w:rFonts w:hint="eastAsia" w:ascii="宋体" w:hAnsi="宋体" w:eastAsia="宋体"/>
          <w:color w:val="000000" w:themeColor="text1"/>
          <w:sz w:val="24"/>
          <w:szCs w:val="24"/>
          <w:highlight w:val="none"/>
        </w:rPr>
        <w:t>为响应招标并参加投标的合法注册的企业法人</w:t>
      </w:r>
      <w:r>
        <w:rPr>
          <w:rFonts w:ascii="宋体" w:hAnsi="宋体" w:eastAsia="宋体"/>
          <w:color w:val="000000" w:themeColor="text1"/>
          <w:sz w:val="24"/>
          <w:szCs w:val="24"/>
          <w:highlight w:val="none"/>
        </w:rPr>
        <w:t>（或其分支机构）</w:t>
      </w:r>
      <w:r>
        <w:rPr>
          <w:rFonts w:hint="eastAsia" w:ascii="宋体" w:hAnsi="宋体" w:eastAsia="宋体"/>
          <w:color w:val="000000" w:themeColor="text1"/>
          <w:sz w:val="24"/>
          <w:szCs w:val="24"/>
          <w:highlight w:val="none"/>
        </w:rPr>
        <w:t>、事业法人、其他组织</w:t>
      </w:r>
      <w:r>
        <w:rPr>
          <w:rFonts w:ascii="宋体" w:hAnsi="宋体" w:eastAsia="宋体"/>
          <w:color w:val="000000" w:themeColor="text1"/>
          <w:sz w:val="24"/>
          <w:szCs w:val="24"/>
          <w:highlight w:val="none"/>
        </w:rPr>
        <w:t>或自然人，具有独立承担民事责任的能力</w:t>
      </w:r>
      <w:r>
        <w:rPr>
          <w:rFonts w:hint="eastAsia" w:ascii="宋体" w:hAnsi="宋体" w:eastAsia="宋体"/>
          <w:color w:val="000000" w:themeColor="text1"/>
          <w:sz w:val="24"/>
          <w:szCs w:val="24"/>
          <w:highlight w:val="none"/>
        </w:rPr>
        <w:t>。企业法人应提供合法有效的标识有统一社会信用代码的营业执照；事业法人应提供事业单位法人证书；其他组织应提供合法登记证明文件；</w:t>
      </w:r>
      <w:r>
        <w:rPr>
          <w:rFonts w:ascii="宋体" w:hAnsi="宋体" w:eastAsia="宋体"/>
          <w:color w:val="000000" w:themeColor="text1"/>
          <w:sz w:val="24"/>
          <w:szCs w:val="24"/>
          <w:highlight w:val="none"/>
        </w:rPr>
        <w:t>投标人为自然人的提供身份证</w:t>
      </w:r>
      <w:r>
        <w:rPr>
          <w:rFonts w:hint="eastAsia" w:ascii="宋体" w:hAnsi="宋体" w:eastAsia="宋体"/>
          <w:color w:val="000000" w:themeColor="text1"/>
          <w:sz w:val="24"/>
          <w:szCs w:val="24"/>
          <w:highlight w:val="none"/>
        </w:rPr>
        <w:t>。</w:t>
      </w:r>
    </w:p>
    <w:p w14:paraId="06AD0CC7">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2）授权委托书：投标人授权合法的人员参加投标全过程，其中法定代表人/负责人直接投标，须提交法定代表人/负责人身份证明书和身份证复印件。法定代表人/负责人授权代表参加投标的，须出具法定代表人/负责人授权书及授权代表身份证复印件。招标文件中凡是需要法定代表人盖章之处，非法人单位的负责人均参照执行。</w:t>
      </w:r>
    </w:p>
    <w:p w14:paraId="37CFEE35">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3)财务状况报告：提供</w:t>
      </w:r>
      <w:r>
        <w:rPr>
          <w:rFonts w:ascii="宋体" w:hAnsi="宋体" w:eastAsia="宋体"/>
          <w:color w:val="000000" w:themeColor="text1"/>
          <w:sz w:val="24"/>
          <w:szCs w:val="24"/>
          <w:highlight w:val="none"/>
        </w:rPr>
        <w:t>2024年度经审计的财务报告（包含审计报告和审计报告中所涉及的财务报表和报表附注</w:t>
      </w:r>
      <w:r>
        <w:rPr>
          <w:rFonts w:hint="eastAsia" w:ascii="宋体" w:hAnsi="宋体" w:eastAsia="宋体"/>
          <w:color w:val="000000" w:themeColor="text1"/>
          <w:sz w:val="24"/>
          <w:szCs w:val="24"/>
          <w:highlight w:val="none"/>
        </w:rPr>
        <w:t>和会计事务所的资质</w:t>
      </w:r>
      <w:r>
        <w:rPr>
          <w:rFonts w:ascii="宋体" w:hAnsi="宋体" w:eastAsia="宋体"/>
          <w:color w:val="000000" w:themeColor="text1"/>
          <w:sz w:val="24"/>
          <w:szCs w:val="24"/>
          <w:highlight w:val="none"/>
        </w:rPr>
        <w:t>），或提供2025年1月1日以来银行出具的资信证明，或提供财政部门认可的政府采购专业担保机构出具的响应担保函，或</w:t>
      </w:r>
      <w:r>
        <w:rPr>
          <w:rFonts w:hint="eastAsia" w:ascii="宋体" w:hAnsi="宋体" w:eastAsia="宋体"/>
          <w:color w:val="000000" w:themeColor="text1"/>
          <w:sz w:val="24"/>
          <w:szCs w:val="24"/>
          <w:highlight w:val="none"/>
        </w:rPr>
        <w:t>投标人</w:t>
      </w:r>
      <w:r>
        <w:rPr>
          <w:rFonts w:ascii="宋体" w:hAnsi="宋体" w:eastAsia="宋体"/>
          <w:color w:val="000000" w:themeColor="text1"/>
          <w:sz w:val="24"/>
          <w:szCs w:val="24"/>
          <w:highlight w:val="none"/>
        </w:rPr>
        <w:t>注册时间至投标文件提交截止日不足一年的，也可提供在工商管理部门备案的公司章程（以上</w:t>
      </w:r>
      <w:r>
        <w:rPr>
          <w:rFonts w:hint="eastAsia" w:ascii="宋体" w:hAnsi="宋体" w:eastAsia="宋体"/>
          <w:color w:val="000000" w:themeColor="text1"/>
          <w:sz w:val="24"/>
          <w:szCs w:val="24"/>
          <w:highlight w:val="none"/>
        </w:rPr>
        <w:t>四</w:t>
      </w:r>
      <w:r>
        <w:rPr>
          <w:rFonts w:ascii="宋体" w:hAnsi="宋体" w:eastAsia="宋体"/>
          <w:color w:val="000000" w:themeColor="text1"/>
          <w:sz w:val="24"/>
          <w:szCs w:val="24"/>
          <w:highlight w:val="none"/>
        </w:rPr>
        <w:t>种形式的资料提供任何一种即可）</w:t>
      </w:r>
      <w:r>
        <w:rPr>
          <w:rFonts w:hint="eastAsia" w:ascii="宋体" w:hAnsi="宋体" w:eastAsia="宋体"/>
          <w:color w:val="000000" w:themeColor="text1"/>
          <w:sz w:val="24"/>
          <w:szCs w:val="24"/>
          <w:highlight w:val="none"/>
        </w:rPr>
        <w:t>。</w:t>
      </w:r>
    </w:p>
    <w:p w14:paraId="3EF23EC5">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4）社会保障资金缴纳证明：提供2025年1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w:t>
      </w:r>
    </w:p>
    <w:p w14:paraId="6E5EEB66">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5）税收缴纳证明：提供2025年1月1日至投标文件递交截止日已缴纳的任意一个月的纳税证明或完税证明（时间以税款所属日期为准，提供增值税、企业所得税、附加税至少一种），纳税证明或完税证明上应有代收机构或税务机关的公章，依法免税的单位应提供相关证明材料（以上二种形式的资料提供任何一种即可）。</w:t>
      </w:r>
    </w:p>
    <w:p w14:paraId="4A798E1B">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6）信用记录声明：提供《供应商信用记录书面声明函》（按格式填写，提供原件）。经查，投标人未被列入“信用中国”网站记录的“失信被执行人”或“重大税收违法失信主体”名单；不处于“中国政府采购网”记录的“政府采购严重违法失信行为记录名单”中的禁止参加政府采购活动期间。</w:t>
      </w:r>
    </w:p>
    <w:p w14:paraId="344D8AEF">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7）承诺书：提供具有履行合同所必需的设备和专业技术能力的承诺书。</w:t>
      </w:r>
    </w:p>
    <w:bookmarkEnd w:id="4"/>
    <w:bookmarkEnd w:id="5"/>
    <w:bookmarkEnd w:id="6"/>
    <w:bookmarkEnd w:id="7"/>
    <w:p w14:paraId="1DD7C699">
      <w:pPr>
        <w:spacing w:line="360" w:lineRule="auto"/>
        <w:ind w:firstLine="482" w:firstLineChars="200"/>
        <w:rPr>
          <w:rFonts w:ascii="宋体" w:hAnsi="宋体" w:eastAsia="宋体"/>
          <w:b/>
          <w:color w:val="000000" w:themeColor="text1"/>
          <w:sz w:val="24"/>
          <w:szCs w:val="24"/>
          <w:highlight w:val="none"/>
        </w:rPr>
      </w:pPr>
      <w:r>
        <w:rPr>
          <w:rFonts w:hint="eastAsia" w:ascii="宋体" w:hAnsi="宋体" w:eastAsia="宋体"/>
          <w:b/>
          <w:color w:val="000000" w:themeColor="text1"/>
          <w:sz w:val="24"/>
          <w:szCs w:val="24"/>
          <w:highlight w:val="none"/>
        </w:rPr>
        <w:t>合同包2（</w:t>
      </w:r>
      <w:r>
        <w:rPr>
          <w:rFonts w:hint="eastAsia" w:ascii="宋体" w:hAnsi="宋体" w:eastAsia="宋体" w:cs="宋体"/>
          <w:b/>
          <w:color w:val="000000" w:themeColor="text1"/>
          <w:sz w:val="24"/>
          <w:szCs w:val="24"/>
          <w:highlight w:val="none"/>
        </w:rPr>
        <w:t>县级公办中小学</w:t>
      </w:r>
      <w:r>
        <w:rPr>
          <w:rFonts w:hint="eastAsia" w:ascii="宋体" w:hAnsi="宋体" w:eastAsia="宋体"/>
          <w:b/>
          <w:color w:val="000000" w:themeColor="text1"/>
          <w:sz w:val="24"/>
          <w:szCs w:val="24"/>
          <w:highlight w:val="none"/>
        </w:rPr>
        <w:t>地震预警终端和地震烈度速报系统）特定资格要求如下：</w:t>
      </w:r>
    </w:p>
    <w:p w14:paraId="79EA91E7">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1）有效的主体资格证明：投标人为响应招标并参加投标的合法注册的企业法人（或其分支机构）、事业法人、其他组织或自然人，具有独立承担民事责任的能力。企业法人应提供合法有效的标识有统一社会信用代码的营业执照；事业法人应提供事业单位法人证书；其他组织应提供合法登记证明文件；投标人为自然人的提供身份证。</w:t>
      </w:r>
    </w:p>
    <w:p w14:paraId="36EC3F35">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2）授权委托书：投标人授权合法的人员参加投标全过程，其中法定代表人/负责人直接投标，须提交法定代表人/负责人身份证明书和身份证复印件。法定代表人/负责人授权代表参加投标的，须出具法定代表人/负责人授权书及授权代表身份证复印件。招标文件中凡是需要法定代表人盖章之处，非法人单位的负责人均参照执行。</w:t>
      </w:r>
    </w:p>
    <w:p w14:paraId="2041AA80">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3)财务状况报告：提供2024年度经审计的财务报告（包含审计报告和审计报告中所涉及的财务报表和报表附注和会计事务所的资质），或提供2025年1月1日以来银行出具的资信证明，或提供财政部门认可的政府采购专业担保机构出具的响应担保函，或投标人注册时间至投标文件提交截止日不足一年的，也可提供在工商管理部门备案的公司章程（以上四种形式的资料提供任何一种即可）。</w:t>
      </w:r>
    </w:p>
    <w:p w14:paraId="1236A69A">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4）社会保障资金缴纳证明：提供2025年1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w:t>
      </w:r>
    </w:p>
    <w:p w14:paraId="55A21AF7">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5）税收缴纳证明：提供2025年1月1日至投标文件递交截止日已缴纳的任意一个月的纳税证明或完税证明（时间以税款所属日期为准，提供增值税、企业所得税、附加税至少一种），纳税证明或完税证明上应有代收机构或税务机关的公章，依法免税的单位应提供相关证明材料（以上二种形式的资料提供任何一种即可）。</w:t>
      </w:r>
    </w:p>
    <w:p w14:paraId="46F15856">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6）信用记录声明：提供《供应商信用记录书面声明函》（按格式填写，提供原件）。经查，投标人未被列入“信用中国”网站记录的“失信被执行人”或“重大税收违法失信主体”名单；不处于“中国政府采购网”记录的“政府采购严重违法失信行为记录名单”中的禁止参加政府采购活动期间。</w:t>
      </w:r>
    </w:p>
    <w:p w14:paraId="33D6B695">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7）承诺书：提供具有履行合同所必需的设备和专业技术能力的承诺书。</w:t>
      </w:r>
    </w:p>
    <w:p w14:paraId="4F2735B7">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8）中小企业声明函：</w:t>
      </w:r>
      <w:r>
        <w:rPr>
          <w:rFonts w:hint="eastAsia" w:ascii="宋体" w:hAnsi="宋体" w:eastAsia="宋体"/>
          <w:b/>
          <w:color w:val="000000" w:themeColor="text1"/>
          <w:sz w:val="24"/>
          <w:szCs w:val="24"/>
          <w:highlight w:val="none"/>
        </w:rPr>
        <w:t>本合同包为专门面向中小企业采购</w:t>
      </w:r>
      <w:r>
        <w:rPr>
          <w:rFonts w:hint="eastAsia" w:ascii="宋体" w:hAnsi="宋体" w:eastAsia="宋体"/>
          <w:color w:val="000000" w:themeColor="text1"/>
          <w:sz w:val="24"/>
          <w:szCs w:val="24"/>
          <w:highlight w:val="none"/>
        </w:rPr>
        <w:t>，投标产品的制造商应为中型企业或小型、微型企业或监狱企业或残疾人福利性单位。投标产品的制造商为中型、小型、微型企业的，投标人提供《中小企业声明函》，且中小企业的划分标准所属行业为</w:t>
      </w:r>
      <w:r>
        <w:rPr>
          <w:rFonts w:hint="eastAsia" w:ascii="宋体" w:hAnsi="宋体" w:eastAsia="宋体"/>
          <w:b/>
          <w:color w:val="000000" w:themeColor="text1"/>
          <w:sz w:val="24"/>
          <w:szCs w:val="24"/>
          <w:highlight w:val="none"/>
        </w:rPr>
        <w:t>工业</w:t>
      </w:r>
      <w:r>
        <w:rPr>
          <w:rFonts w:hint="eastAsia" w:ascii="宋体" w:hAnsi="宋体" w:eastAsia="宋体"/>
          <w:color w:val="000000" w:themeColor="text1"/>
          <w:sz w:val="24"/>
          <w:szCs w:val="24"/>
          <w:highlight w:val="none"/>
        </w:rPr>
        <w:t>；投标产品的制造商为监狱企业的，投标人应提供投标产品制造商为监狱企业的证明文件（监狱企业视同小型、微型企业）；投标产品的制造商为残疾人福利性单位的，投标人应提供投标产品制造商为残疾人福利性单位的《残疾人福利性单位声明函》（残疾人福利性单位视同小型、微型企业）。</w:t>
      </w:r>
    </w:p>
    <w:p w14:paraId="2E44812D">
      <w:pPr>
        <w:widowControl/>
        <w:spacing w:line="360" w:lineRule="auto"/>
        <w:jc w:val="left"/>
        <w:rPr>
          <w:rFonts w:ascii="宋体" w:hAnsi="宋体" w:eastAsia="宋体" w:cs="宋体"/>
          <w:color w:val="000000" w:themeColor="text1"/>
          <w:kern w:val="0"/>
          <w:sz w:val="24"/>
          <w:szCs w:val="24"/>
          <w:highlight w:val="none"/>
        </w:rPr>
      </w:pPr>
      <w:r>
        <w:rPr>
          <w:rFonts w:hint="eastAsia" w:ascii="宋体" w:hAnsi="宋体" w:eastAsia="宋体" w:cs="宋体"/>
          <w:b/>
          <w:bCs/>
          <w:color w:val="000000" w:themeColor="text1"/>
          <w:kern w:val="0"/>
          <w:sz w:val="24"/>
          <w:szCs w:val="24"/>
          <w:highlight w:val="none"/>
        </w:rPr>
        <w:t>三、获取招标文件</w:t>
      </w:r>
    </w:p>
    <w:p w14:paraId="151C7112">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时间：202</w:t>
      </w:r>
      <w:r>
        <w:rPr>
          <w:rFonts w:ascii="宋体" w:hAnsi="宋体" w:eastAsia="宋体"/>
          <w:color w:val="000000" w:themeColor="text1"/>
          <w:sz w:val="24"/>
          <w:szCs w:val="24"/>
          <w:highlight w:val="none"/>
        </w:rPr>
        <w:t>5</w:t>
      </w:r>
      <w:r>
        <w:rPr>
          <w:rFonts w:hint="eastAsia" w:ascii="宋体" w:hAnsi="宋体" w:eastAsia="宋体"/>
          <w:color w:val="000000" w:themeColor="text1"/>
          <w:sz w:val="24"/>
          <w:szCs w:val="24"/>
          <w:highlight w:val="none"/>
        </w:rPr>
        <w:t>年</w:t>
      </w:r>
      <w:r>
        <w:rPr>
          <w:rFonts w:ascii="宋体" w:hAnsi="宋体" w:eastAsia="宋体"/>
          <w:color w:val="000000" w:themeColor="text1"/>
          <w:sz w:val="24"/>
          <w:szCs w:val="24"/>
          <w:highlight w:val="none"/>
        </w:rPr>
        <w:t>10</w:t>
      </w:r>
      <w:r>
        <w:rPr>
          <w:rFonts w:hint="eastAsia" w:ascii="宋体" w:hAnsi="宋体" w:eastAsia="宋体"/>
          <w:color w:val="000000" w:themeColor="text1"/>
          <w:sz w:val="24"/>
          <w:szCs w:val="24"/>
          <w:highlight w:val="none"/>
        </w:rPr>
        <w:t>月</w:t>
      </w:r>
      <w:r>
        <w:rPr>
          <w:rFonts w:ascii="宋体" w:hAnsi="宋体" w:eastAsia="宋体"/>
          <w:color w:val="000000" w:themeColor="text1"/>
          <w:sz w:val="24"/>
          <w:szCs w:val="24"/>
          <w:highlight w:val="none"/>
        </w:rPr>
        <w:t>16</w:t>
      </w:r>
      <w:r>
        <w:rPr>
          <w:rFonts w:hint="eastAsia" w:ascii="宋体" w:hAnsi="宋体" w:eastAsia="宋体"/>
          <w:color w:val="000000" w:themeColor="text1"/>
          <w:sz w:val="24"/>
          <w:szCs w:val="24"/>
          <w:highlight w:val="none"/>
        </w:rPr>
        <w:t>日至202</w:t>
      </w:r>
      <w:r>
        <w:rPr>
          <w:rFonts w:ascii="宋体" w:hAnsi="宋体" w:eastAsia="宋体"/>
          <w:color w:val="000000" w:themeColor="text1"/>
          <w:sz w:val="24"/>
          <w:szCs w:val="24"/>
          <w:highlight w:val="none"/>
        </w:rPr>
        <w:t>5</w:t>
      </w:r>
      <w:r>
        <w:rPr>
          <w:rFonts w:hint="eastAsia" w:ascii="宋体" w:hAnsi="宋体" w:eastAsia="宋体"/>
          <w:color w:val="000000" w:themeColor="text1"/>
          <w:sz w:val="24"/>
          <w:szCs w:val="24"/>
          <w:highlight w:val="none"/>
        </w:rPr>
        <w:t>年</w:t>
      </w:r>
      <w:r>
        <w:rPr>
          <w:rFonts w:ascii="宋体" w:hAnsi="宋体" w:eastAsia="宋体"/>
          <w:color w:val="000000" w:themeColor="text1"/>
          <w:sz w:val="24"/>
          <w:szCs w:val="24"/>
          <w:highlight w:val="none"/>
        </w:rPr>
        <w:t>10</w:t>
      </w:r>
      <w:r>
        <w:rPr>
          <w:rFonts w:hint="eastAsia" w:ascii="宋体" w:hAnsi="宋体" w:eastAsia="宋体"/>
          <w:color w:val="000000" w:themeColor="text1"/>
          <w:sz w:val="24"/>
          <w:szCs w:val="24"/>
          <w:highlight w:val="none"/>
        </w:rPr>
        <w:t>月</w:t>
      </w:r>
      <w:r>
        <w:rPr>
          <w:rFonts w:ascii="宋体" w:hAnsi="宋体" w:eastAsia="宋体"/>
          <w:color w:val="000000" w:themeColor="text1"/>
          <w:sz w:val="24"/>
          <w:szCs w:val="24"/>
          <w:highlight w:val="none"/>
        </w:rPr>
        <w:t>23</w:t>
      </w:r>
      <w:r>
        <w:rPr>
          <w:rFonts w:hint="eastAsia" w:ascii="宋体" w:hAnsi="宋体" w:eastAsia="宋体"/>
          <w:color w:val="000000" w:themeColor="text1"/>
          <w:sz w:val="24"/>
          <w:szCs w:val="24"/>
          <w:highlight w:val="none"/>
        </w:rPr>
        <w:t>日，每天上午00：00：00至12：00：00，下午12：00：00至23：59：59（北京时间）</w:t>
      </w:r>
    </w:p>
    <w:p w14:paraId="7F2A6B38">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地点：全国公共资源交易平台（陕西省·宝鸡市）网站〖首页〉电子交易平台〉陕西政府采购交易系统〉企业端〗</w:t>
      </w:r>
    </w:p>
    <w:p w14:paraId="19603F94">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方式：在线获取</w:t>
      </w:r>
    </w:p>
    <w:p w14:paraId="1C73CA8A">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售价：免费获取</w:t>
      </w:r>
    </w:p>
    <w:p w14:paraId="212DC556">
      <w:pPr>
        <w:widowControl/>
        <w:spacing w:line="360" w:lineRule="auto"/>
        <w:jc w:val="left"/>
        <w:rPr>
          <w:rFonts w:ascii="宋体" w:hAnsi="宋体" w:eastAsia="宋体" w:cs="宋体"/>
          <w:color w:val="000000" w:themeColor="text1"/>
          <w:kern w:val="0"/>
          <w:sz w:val="24"/>
          <w:szCs w:val="24"/>
          <w:highlight w:val="none"/>
        </w:rPr>
      </w:pPr>
      <w:r>
        <w:rPr>
          <w:rFonts w:hint="eastAsia" w:ascii="宋体" w:hAnsi="宋体" w:eastAsia="宋体" w:cs="宋体"/>
          <w:b/>
          <w:bCs/>
          <w:color w:val="000000" w:themeColor="text1"/>
          <w:kern w:val="0"/>
          <w:sz w:val="24"/>
          <w:szCs w:val="24"/>
          <w:highlight w:val="none"/>
        </w:rPr>
        <w:t>四、提交投标文件截止时间、开标时间和地点</w:t>
      </w:r>
    </w:p>
    <w:p w14:paraId="73F8265E">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时间：202</w:t>
      </w:r>
      <w:r>
        <w:rPr>
          <w:rFonts w:ascii="宋体" w:hAnsi="宋体" w:eastAsia="宋体"/>
          <w:color w:val="000000" w:themeColor="text1"/>
          <w:sz w:val="24"/>
          <w:szCs w:val="24"/>
          <w:highlight w:val="none"/>
        </w:rPr>
        <w:t>5</w:t>
      </w:r>
      <w:r>
        <w:rPr>
          <w:rFonts w:hint="eastAsia" w:ascii="宋体" w:hAnsi="宋体" w:eastAsia="宋体"/>
          <w:color w:val="000000" w:themeColor="text1"/>
          <w:sz w:val="24"/>
          <w:szCs w:val="24"/>
          <w:highlight w:val="none"/>
        </w:rPr>
        <w:t>年</w:t>
      </w:r>
      <w:r>
        <w:rPr>
          <w:rFonts w:ascii="宋体" w:hAnsi="宋体" w:eastAsia="宋体"/>
          <w:color w:val="000000" w:themeColor="text1"/>
          <w:sz w:val="24"/>
          <w:szCs w:val="24"/>
          <w:highlight w:val="none"/>
        </w:rPr>
        <w:t>11</w:t>
      </w:r>
      <w:r>
        <w:rPr>
          <w:rFonts w:hint="eastAsia" w:ascii="宋体" w:hAnsi="宋体" w:eastAsia="宋体"/>
          <w:color w:val="000000" w:themeColor="text1"/>
          <w:sz w:val="24"/>
          <w:szCs w:val="24"/>
          <w:highlight w:val="none"/>
        </w:rPr>
        <w:t>月</w:t>
      </w:r>
      <w:r>
        <w:rPr>
          <w:rFonts w:ascii="宋体" w:hAnsi="宋体" w:eastAsia="宋体"/>
          <w:color w:val="000000" w:themeColor="text1"/>
          <w:sz w:val="24"/>
          <w:szCs w:val="24"/>
          <w:highlight w:val="none"/>
        </w:rPr>
        <w:t>6</w:t>
      </w:r>
      <w:r>
        <w:rPr>
          <w:rFonts w:hint="eastAsia" w:ascii="宋体" w:hAnsi="宋体" w:eastAsia="宋体"/>
          <w:color w:val="000000" w:themeColor="text1"/>
          <w:sz w:val="24"/>
          <w:szCs w:val="24"/>
          <w:highlight w:val="none"/>
        </w:rPr>
        <w:t>日09点</w:t>
      </w:r>
      <w:r>
        <w:rPr>
          <w:rFonts w:hint="eastAsia" w:ascii="宋体" w:hAnsi="宋体" w:eastAsia="宋体"/>
          <w:color w:val="000000" w:themeColor="text1"/>
          <w:sz w:val="24"/>
          <w:szCs w:val="24"/>
          <w:highlight w:val="none"/>
          <w:lang w:val="en-US" w:eastAsia="zh-CN"/>
        </w:rPr>
        <w:t>00</w:t>
      </w:r>
      <w:r>
        <w:rPr>
          <w:rFonts w:hint="eastAsia" w:ascii="宋体" w:hAnsi="宋体" w:eastAsia="宋体"/>
          <w:color w:val="000000" w:themeColor="text1"/>
          <w:sz w:val="24"/>
          <w:szCs w:val="24"/>
          <w:highlight w:val="none"/>
        </w:rPr>
        <w:t>分00秒（北京时间）</w:t>
      </w:r>
    </w:p>
    <w:p w14:paraId="11E4D1D9">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提交投标文件地点：全国公共资源交易平台（陕西省•宝鸡市）网站〖首页〉电子交易平台〉陕西政府采购交易系统〉企业端〗，在线提交。</w:t>
      </w:r>
    </w:p>
    <w:p w14:paraId="12532250">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开标地点：全国公共资源交易平台（陕西省•宝鸡市）不见面开标大厅。</w:t>
      </w:r>
    </w:p>
    <w:p w14:paraId="1A581E8C">
      <w:pPr>
        <w:widowControl/>
        <w:spacing w:line="360" w:lineRule="auto"/>
        <w:jc w:val="left"/>
        <w:rPr>
          <w:rFonts w:ascii="宋体" w:hAnsi="宋体" w:eastAsia="宋体" w:cs="宋体"/>
          <w:color w:val="000000" w:themeColor="text1"/>
          <w:kern w:val="0"/>
          <w:sz w:val="24"/>
          <w:szCs w:val="24"/>
          <w:highlight w:val="none"/>
        </w:rPr>
      </w:pPr>
      <w:r>
        <w:rPr>
          <w:rFonts w:hint="eastAsia" w:ascii="宋体" w:hAnsi="宋体" w:eastAsia="宋体" w:cs="宋体"/>
          <w:b/>
          <w:bCs/>
          <w:color w:val="000000" w:themeColor="text1"/>
          <w:kern w:val="0"/>
          <w:sz w:val="24"/>
          <w:szCs w:val="24"/>
          <w:highlight w:val="none"/>
        </w:rPr>
        <w:t>五、公告期限</w:t>
      </w:r>
    </w:p>
    <w:p w14:paraId="41989F46">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自本公告发布之日起5个工作日。</w:t>
      </w:r>
    </w:p>
    <w:p w14:paraId="17232609">
      <w:pPr>
        <w:widowControl/>
        <w:spacing w:line="360" w:lineRule="auto"/>
        <w:jc w:val="left"/>
        <w:rPr>
          <w:rFonts w:ascii="宋体" w:hAnsi="宋体" w:eastAsia="宋体" w:cs="宋体"/>
          <w:color w:val="000000" w:themeColor="text1"/>
          <w:kern w:val="0"/>
          <w:sz w:val="24"/>
          <w:szCs w:val="24"/>
          <w:highlight w:val="none"/>
        </w:rPr>
      </w:pPr>
      <w:r>
        <w:rPr>
          <w:rFonts w:hint="eastAsia" w:ascii="宋体" w:hAnsi="宋体" w:eastAsia="宋体" w:cs="宋体"/>
          <w:b/>
          <w:bCs/>
          <w:color w:val="000000" w:themeColor="text1"/>
          <w:kern w:val="0"/>
          <w:sz w:val="24"/>
          <w:szCs w:val="24"/>
          <w:highlight w:val="none"/>
        </w:rPr>
        <w:t>六、其他补充事宜</w:t>
      </w:r>
    </w:p>
    <w:p w14:paraId="3A76E66F">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1.本项目采购标的对应的中小企业划分标准所属行业为“</w:t>
      </w:r>
      <w:r>
        <w:rPr>
          <w:rFonts w:hint="eastAsia" w:ascii="宋体" w:hAnsi="宋体" w:eastAsia="宋体"/>
          <w:b/>
          <w:color w:val="000000" w:themeColor="text1"/>
          <w:sz w:val="24"/>
          <w:szCs w:val="24"/>
          <w:highlight w:val="none"/>
        </w:rPr>
        <w:t>工业</w:t>
      </w:r>
      <w:r>
        <w:rPr>
          <w:rFonts w:hint="eastAsia" w:ascii="宋体" w:hAnsi="宋体" w:eastAsia="宋体"/>
          <w:color w:val="000000" w:themeColor="text1"/>
          <w:sz w:val="24"/>
          <w:szCs w:val="24"/>
          <w:highlight w:val="none"/>
        </w:rPr>
        <w:t>”。</w:t>
      </w:r>
    </w:p>
    <w:p w14:paraId="7E730EE1">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2.投标人须按照陕西省财政厅《关于政府采购供应商注册登记有关事项的通知》中的要求，通过陕西省政府采购网（http：//www.ccgp-shaanxi.gov.cn/）注册登记加入陕西省政府采购供应商库并及时办理</w:t>
      </w:r>
      <w:r>
        <w:rPr>
          <w:rFonts w:ascii="宋体" w:hAnsi="宋体" w:eastAsia="宋体"/>
          <w:color w:val="000000" w:themeColor="text1"/>
          <w:sz w:val="24"/>
          <w:szCs w:val="24"/>
          <w:highlight w:val="none"/>
        </w:rPr>
        <w:t xml:space="preserve"> CA 数字证书（陕西CA 锁</w:t>
      </w:r>
      <w:r>
        <w:rPr>
          <w:rFonts w:hint="eastAsia" w:ascii="宋体" w:hAnsi="宋体" w:eastAsia="宋体"/>
          <w:color w:val="000000" w:themeColor="text1"/>
          <w:sz w:val="24"/>
          <w:szCs w:val="24"/>
          <w:highlight w:val="none"/>
        </w:rPr>
        <w:t>或可通用的其他C</w:t>
      </w:r>
      <w:r>
        <w:rPr>
          <w:rFonts w:ascii="宋体" w:hAnsi="宋体" w:eastAsia="宋体"/>
          <w:color w:val="000000" w:themeColor="text1"/>
          <w:sz w:val="24"/>
          <w:szCs w:val="24"/>
          <w:highlight w:val="none"/>
        </w:rPr>
        <w:t>A</w:t>
      </w:r>
      <w:r>
        <w:rPr>
          <w:rFonts w:hint="eastAsia" w:ascii="宋体" w:hAnsi="宋体" w:eastAsia="宋体"/>
          <w:color w:val="000000" w:themeColor="text1"/>
          <w:sz w:val="24"/>
          <w:szCs w:val="24"/>
          <w:highlight w:val="none"/>
        </w:rPr>
        <w:t>锁</w:t>
      </w:r>
      <w:r>
        <w:rPr>
          <w:rFonts w:ascii="宋体" w:hAnsi="宋体" w:eastAsia="宋体"/>
          <w:color w:val="000000" w:themeColor="text1"/>
          <w:sz w:val="24"/>
          <w:szCs w:val="24"/>
          <w:highlight w:val="none"/>
        </w:rPr>
        <w:t>）</w:t>
      </w:r>
      <w:r>
        <w:rPr>
          <w:rFonts w:hint="eastAsia" w:ascii="宋体" w:hAnsi="宋体" w:eastAsia="宋体"/>
          <w:color w:val="000000" w:themeColor="text1"/>
          <w:sz w:val="24"/>
          <w:szCs w:val="24"/>
          <w:highlight w:val="none"/>
        </w:rPr>
        <w:t>。</w:t>
      </w:r>
    </w:p>
    <w:p w14:paraId="1F0ED6C9">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3</w:t>
      </w:r>
      <w:r>
        <w:rPr>
          <w:rFonts w:ascii="宋体" w:hAnsi="宋体" w:eastAsia="宋体"/>
          <w:color w:val="000000" w:themeColor="text1"/>
          <w:sz w:val="24"/>
          <w:szCs w:val="24"/>
          <w:highlight w:val="none"/>
        </w:rPr>
        <w:t>.</w:t>
      </w:r>
      <w:r>
        <w:rPr>
          <w:rFonts w:hint="eastAsia" w:ascii="宋体" w:hAnsi="宋体" w:eastAsia="宋体"/>
          <w:color w:val="000000" w:themeColor="text1"/>
          <w:sz w:val="24"/>
          <w:szCs w:val="24"/>
          <w:highlight w:val="none"/>
        </w:rPr>
        <w:t>发布公告的媒介：本次招标公告同时在陕西省政府采购网</w:t>
      </w:r>
      <w:r>
        <w:rPr>
          <w:rFonts w:ascii="宋体" w:hAnsi="宋体" w:eastAsia="宋体"/>
          <w:color w:val="000000" w:themeColor="text1"/>
          <w:sz w:val="24"/>
          <w:szCs w:val="24"/>
          <w:highlight w:val="none"/>
        </w:rPr>
        <w:t>(http://www.ccgp-shaanxi.gov.cn/)和全国公共资源交易平台（陕西省·宝鸡市）宝鸡市公共资源交易中心（http://ggzy.baoji.gov.cn/）同时发布。</w:t>
      </w:r>
    </w:p>
    <w:p w14:paraId="1752990A">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4</w:t>
      </w:r>
      <w:r>
        <w:rPr>
          <w:rFonts w:ascii="宋体" w:hAnsi="宋体" w:eastAsia="宋体"/>
          <w:color w:val="000000" w:themeColor="text1"/>
          <w:sz w:val="24"/>
          <w:szCs w:val="24"/>
          <w:highlight w:val="none"/>
        </w:rPr>
        <w:t>.</w:t>
      </w:r>
      <w:r>
        <w:rPr>
          <w:rFonts w:hint="eastAsia" w:ascii="宋体" w:hAnsi="宋体" w:eastAsia="宋体"/>
          <w:color w:val="000000" w:themeColor="text1"/>
          <w:sz w:val="24"/>
          <w:szCs w:val="24"/>
          <w:highlight w:val="none"/>
        </w:rPr>
        <w:t>本项目潜在投标人须使用捆绑</w:t>
      </w:r>
      <w:r>
        <w:rPr>
          <w:rFonts w:ascii="宋体" w:hAnsi="宋体" w:eastAsia="宋体"/>
          <w:color w:val="000000" w:themeColor="text1"/>
          <w:sz w:val="24"/>
          <w:szCs w:val="24"/>
          <w:highlight w:val="none"/>
        </w:rPr>
        <w:t>CA证书登录全国公共资源交易平台（陕西省·宝鸡市）宝鸡市公共资源交易中心网（http://ggzy.baoji.gov.cn/），交易平台〖首页〉电子交易平台〉企业端〗后，在〖招标公告/出让公告〗模块中选择有意向的项目点击“我要投标”，并打印回执单。在发售时间段内，从〖我的项目〉项目流程〉交易文件下载〗中下载电子招标文件（*.SXSZF格式）；</w:t>
      </w:r>
    </w:p>
    <w:p w14:paraId="56C5DB10">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5</w:t>
      </w:r>
      <w:r>
        <w:rPr>
          <w:rFonts w:ascii="宋体" w:hAnsi="宋体" w:eastAsia="宋体"/>
          <w:color w:val="000000" w:themeColor="text1"/>
          <w:sz w:val="24"/>
          <w:szCs w:val="24"/>
          <w:highlight w:val="none"/>
        </w:rPr>
        <w:t>.</w:t>
      </w:r>
      <w:r>
        <w:rPr>
          <w:rFonts w:hint="eastAsia" w:ascii="宋体" w:hAnsi="宋体" w:eastAsia="宋体"/>
          <w:color w:val="000000" w:themeColor="text1"/>
          <w:sz w:val="24"/>
          <w:szCs w:val="24"/>
          <w:highlight w:val="none"/>
        </w:rPr>
        <w:t>投标人在网上填写单位信息（单位名称、营业执照相关信息）时应与招标文件要求及后期上传的电子投标文件中相关信息一致，否则造成资格审查不通过的后果自负；</w:t>
      </w:r>
    </w:p>
    <w:p w14:paraId="7F71EB1F">
      <w:pPr>
        <w:spacing w:line="360" w:lineRule="auto"/>
        <w:ind w:firstLine="480" w:firstLineChars="200"/>
        <w:rPr>
          <w:rFonts w:ascii="宋体" w:hAnsi="宋体" w:eastAsia="宋体"/>
          <w:color w:val="000000" w:themeColor="text1"/>
          <w:sz w:val="24"/>
          <w:szCs w:val="24"/>
          <w:highlight w:val="none"/>
        </w:rPr>
      </w:pPr>
      <w:r>
        <w:rPr>
          <w:rFonts w:ascii="宋体" w:hAnsi="宋体" w:eastAsia="宋体"/>
          <w:color w:val="000000" w:themeColor="text1"/>
          <w:sz w:val="24"/>
          <w:szCs w:val="24"/>
          <w:highlight w:val="none"/>
        </w:rPr>
        <w:t>6.</w:t>
      </w:r>
      <w:r>
        <w:rPr>
          <w:rFonts w:hint="eastAsia" w:ascii="宋体" w:hAnsi="宋体" w:eastAsia="宋体"/>
          <w:color w:val="000000" w:themeColor="text1"/>
          <w:sz w:val="24"/>
          <w:szCs w:val="24"/>
          <w:highlight w:val="none"/>
        </w:rPr>
        <w:t>本项目为“全流程电子化”采购模式，实行线上电子投标方式，各投标人须自行在网上下载招标文件、缴纳投标保证金，并登录全国公共资源交易平台（陕西省·宝鸡市）宝鸡市公共资源交易中心（</w:t>
      </w:r>
      <w:r>
        <w:rPr>
          <w:rFonts w:ascii="宋体" w:hAnsi="宋体" w:eastAsia="宋体"/>
          <w:color w:val="000000" w:themeColor="text1"/>
          <w:sz w:val="24"/>
          <w:szCs w:val="24"/>
          <w:highlight w:val="none"/>
        </w:rPr>
        <w:t>http://ggzy.baoji.gov.cn/）-服务指南-下载专区-下载“宝鸡市不见面大厅投标人操作手册”，并下载政府采购电子标书制作工具，按照流程制作电子标书并在规定的投标截止时前上传电子投标文件；</w:t>
      </w:r>
    </w:p>
    <w:p w14:paraId="5055FD32">
      <w:pPr>
        <w:spacing w:line="360" w:lineRule="auto"/>
        <w:ind w:firstLine="480" w:firstLineChars="200"/>
        <w:rPr>
          <w:rFonts w:ascii="宋体" w:hAnsi="宋体" w:eastAsia="宋体"/>
          <w:color w:val="000000" w:themeColor="text1"/>
          <w:sz w:val="24"/>
          <w:szCs w:val="24"/>
          <w:highlight w:val="none"/>
        </w:rPr>
      </w:pPr>
      <w:r>
        <w:rPr>
          <w:rFonts w:ascii="宋体" w:hAnsi="宋体" w:eastAsia="宋体"/>
          <w:color w:val="000000" w:themeColor="text1"/>
          <w:sz w:val="24"/>
          <w:szCs w:val="24"/>
          <w:highlight w:val="none"/>
        </w:rPr>
        <w:t>7.为了保证远程不见面开标顺利进行，</w:t>
      </w:r>
      <w:r>
        <w:rPr>
          <w:rFonts w:hint="eastAsia" w:ascii="宋体" w:hAnsi="宋体" w:eastAsia="宋体"/>
          <w:color w:val="000000" w:themeColor="text1"/>
          <w:sz w:val="24"/>
          <w:szCs w:val="24"/>
          <w:highlight w:val="none"/>
        </w:rPr>
        <w:t>投标人</w:t>
      </w:r>
      <w:r>
        <w:rPr>
          <w:rFonts w:ascii="宋体" w:hAnsi="宋体" w:eastAsia="宋体"/>
          <w:color w:val="000000" w:themeColor="text1"/>
          <w:sz w:val="24"/>
          <w:szCs w:val="24"/>
          <w:highlight w:val="none"/>
        </w:rPr>
        <w:t>需使用配备相关设备的电脑提前一小时登录网络开标大厅进行线上签到。因</w:t>
      </w:r>
      <w:r>
        <w:rPr>
          <w:rFonts w:hint="eastAsia" w:ascii="宋体" w:hAnsi="宋体" w:eastAsia="宋体"/>
          <w:color w:val="000000" w:themeColor="text1"/>
          <w:sz w:val="24"/>
          <w:szCs w:val="24"/>
          <w:highlight w:val="none"/>
        </w:rPr>
        <w:t>投标人</w:t>
      </w:r>
      <w:r>
        <w:rPr>
          <w:rFonts w:ascii="宋体" w:hAnsi="宋体" w:eastAsia="宋体"/>
          <w:color w:val="000000" w:themeColor="text1"/>
          <w:sz w:val="24"/>
          <w:szCs w:val="24"/>
          <w:highlight w:val="none"/>
        </w:rPr>
        <w:t>自身设施故障或自身原因导致无法完成投标的，由</w:t>
      </w:r>
      <w:r>
        <w:rPr>
          <w:rFonts w:hint="eastAsia" w:ascii="宋体" w:hAnsi="宋体" w:eastAsia="宋体"/>
          <w:color w:val="000000" w:themeColor="text1"/>
          <w:sz w:val="24"/>
          <w:szCs w:val="24"/>
          <w:highlight w:val="none"/>
        </w:rPr>
        <w:t>投标人</w:t>
      </w:r>
      <w:r>
        <w:rPr>
          <w:rFonts w:ascii="宋体" w:hAnsi="宋体" w:eastAsia="宋体"/>
          <w:color w:val="000000" w:themeColor="text1"/>
          <w:sz w:val="24"/>
          <w:szCs w:val="24"/>
          <w:highlight w:val="none"/>
        </w:rPr>
        <w:t>自行承担后果。（建议使用IE11或者360极速浏览器兼容模式）</w:t>
      </w:r>
      <w:r>
        <w:rPr>
          <w:rFonts w:hint="eastAsia" w:ascii="宋体" w:hAnsi="宋体" w:eastAsia="宋体"/>
          <w:color w:val="000000" w:themeColor="text1"/>
          <w:sz w:val="24"/>
          <w:szCs w:val="24"/>
          <w:highlight w:val="none"/>
        </w:rPr>
        <w:t>。</w:t>
      </w:r>
    </w:p>
    <w:p w14:paraId="0DDF479A">
      <w:pPr>
        <w:spacing w:line="360" w:lineRule="auto"/>
        <w:ind w:firstLine="480" w:firstLineChars="200"/>
        <w:rPr>
          <w:rFonts w:ascii="宋体" w:hAnsi="宋体" w:eastAsia="宋体"/>
          <w:color w:val="000000" w:themeColor="text1"/>
          <w:sz w:val="24"/>
          <w:szCs w:val="24"/>
          <w:highlight w:val="none"/>
        </w:rPr>
      </w:pPr>
      <w:r>
        <w:rPr>
          <w:rFonts w:ascii="宋体" w:hAnsi="宋体" w:eastAsia="宋体"/>
          <w:color w:val="000000" w:themeColor="text1"/>
          <w:sz w:val="24"/>
          <w:szCs w:val="24"/>
          <w:highlight w:val="none"/>
        </w:rPr>
        <w:t>8.</w:t>
      </w:r>
      <w:r>
        <w:rPr>
          <w:rFonts w:hint="eastAsia" w:ascii="宋体" w:hAnsi="宋体" w:eastAsia="宋体"/>
          <w:color w:val="000000" w:themeColor="text1"/>
          <w:sz w:val="24"/>
          <w:szCs w:val="24"/>
          <w:highlight w:val="none"/>
        </w:rPr>
        <w:t>未完成网上投标或未在规定时间内在平台上下载电子招标文件的，导致无法完成后续流程的责任自负；</w:t>
      </w:r>
    </w:p>
    <w:p w14:paraId="49CA89A7">
      <w:pPr>
        <w:spacing w:line="360" w:lineRule="auto"/>
        <w:ind w:firstLine="480" w:firstLineChars="200"/>
        <w:rPr>
          <w:rFonts w:ascii="宋体" w:hAnsi="宋体" w:eastAsia="宋体"/>
          <w:b/>
          <w:color w:val="000000" w:themeColor="text1"/>
          <w:sz w:val="24"/>
          <w:szCs w:val="24"/>
          <w:highlight w:val="none"/>
        </w:rPr>
      </w:pPr>
      <w:r>
        <w:rPr>
          <w:rFonts w:hint="eastAsia" w:ascii="宋体" w:hAnsi="宋体" w:eastAsia="宋体"/>
          <w:color w:val="000000" w:themeColor="text1"/>
          <w:sz w:val="24"/>
          <w:szCs w:val="24"/>
          <w:highlight w:val="none"/>
        </w:rPr>
        <w:t>9</w:t>
      </w:r>
      <w:r>
        <w:rPr>
          <w:rFonts w:ascii="宋体" w:hAnsi="宋体" w:eastAsia="宋体"/>
          <w:color w:val="000000" w:themeColor="text1"/>
          <w:sz w:val="24"/>
          <w:szCs w:val="24"/>
          <w:highlight w:val="none"/>
        </w:rPr>
        <w:t>.</w:t>
      </w:r>
      <w:r>
        <w:rPr>
          <w:rFonts w:hint="eastAsia" w:ascii="宋体" w:hAnsi="宋体" w:eastAsia="宋体"/>
          <w:b/>
          <w:color w:val="000000" w:themeColor="text1"/>
          <w:sz w:val="24"/>
          <w:szCs w:val="24"/>
          <w:highlight w:val="none"/>
        </w:rPr>
        <w:t>兼投不兼中：为了保证项目进度，投标人可以同时投2个包段，但只能中1个包段。评标委员会按照包号1、2的顺序评审，若某投标人在前一包已被确定为排序第一名的中标候选人，则该投标人及其提供1包中同一设备生产厂商的核心产品的其他投标人在第2包段评审中只参与打分，不参加中标候选人推荐。</w:t>
      </w:r>
    </w:p>
    <w:p w14:paraId="7A0FBA09">
      <w:pPr>
        <w:widowControl/>
        <w:spacing w:line="360" w:lineRule="auto"/>
        <w:jc w:val="left"/>
        <w:rPr>
          <w:rFonts w:ascii="宋体" w:hAnsi="宋体" w:eastAsia="宋体"/>
          <w:b/>
          <w:color w:val="000000" w:themeColor="text1"/>
          <w:sz w:val="24"/>
          <w:szCs w:val="24"/>
          <w:highlight w:val="none"/>
        </w:rPr>
      </w:pPr>
      <w:r>
        <w:rPr>
          <w:rFonts w:hint="eastAsia" w:ascii="宋体" w:hAnsi="宋体" w:eastAsia="宋体"/>
          <w:b/>
          <w:color w:val="000000" w:themeColor="text1"/>
          <w:sz w:val="24"/>
          <w:szCs w:val="24"/>
          <w:highlight w:val="none"/>
        </w:rPr>
        <w:t>七、对本次招标提出询问，请按以下方式联系。</w:t>
      </w:r>
    </w:p>
    <w:p w14:paraId="4860DA77">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1.采购人信息</w:t>
      </w:r>
    </w:p>
    <w:p w14:paraId="46A9CFFC">
      <w:pPr>
        <w:spacing w:line="360" w:lineRule="auto"/>
        <w:ind w:firstLine="720" w:firstLineChars="3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名称：宝鸡市</w:t>
      </w:r>
      <w:bookmarkStart w:id="10" w:name="OLE_LINK15"/>
      <w:r>
        <w:rPr>
          <w:rFonts w:hint="eastAsia" w:ascii="宋体" w:hAnsi="宋体" w:eastAsia="宋体"/>
          <w:color w:val="000000" w:themeColor="text1"/>
          <w:sz w:val="24"/>
          <w:szCs w:val="24"/>
          <w:highlight w:val="none"/>
        </w:rPr>
        <w:t>地震局</w:t>
      </w:r>
      <w:bookmarkEnd w:id="10"/>
    </w:p>
    <w:p w14:paraId="7B9CDEB2">
      <w:pPr>
        <w:spacing w:line="360" w:lineRule="auto"/>
        <w:ind w:firstLine="720" w:firstLineChars="3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地址：宝鸡市宝虢路125号行政中心2号楼</w:t>
      </w:r>
    </w:p>
    <w:p w14:paraId="4C183EEF">
      <w:pPr>
        <w:spacing w:line="360" w:lineRule="auto"/>
        <w:ind w:firstLine="720" w:firstLineChars="3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联系方式：0</w:t>
      </w:r>
      <w:r>
        <w:rPr>
          <w:rFonts w:ascii="宋体" w:hAnsi="宋体" w:eastAsia="宋体"/>
          <w:color w:val="000000" w:themeColor="text1"/>
          <w:sz w:val="24"/>
          <w:szCs w:val="24"/>
          <w:highlight w:val="none"/>
        </w:rPr>
        <w:t>917-3262802</w:t>
      </w:r>
    </w:p>
    <w:p w14:paraId="593342CB">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2.采购代理机构信息</w:t>
      </w:r>
    </w:p>
    <w:p w14:paraId="1E965C23">
      <w:pPr>
        <w:spacing w:line="360" w:lineRule="auto"/>
        <w:ind w:firstLine="720" w:firstLineChars="3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名称：陕西中经招标有限公司</w:t>
      </w:r>
    </w:p>
    <w:p w14:paraId="09595DE5">
      <w:pPr>
        <w:spacing w:line="360" w:lineRule="auto"/>
        <w:ind w:firstLine="720" w:firstLineChars="3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地址：西安市碑林区长安北路8B陕西高速大厦16楼</w:t>
      </w:r>
    </w:p>
    <w:p w14:paraId="4473CFFD">
      <w:pPr>
        <w:spacing w:line="360" w:lineRule="auto"/>
        <w:ind w:firstLine="720" w:firstLineChars="3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联系方式：029-87888601-8003</w:t>
      </w:r>
    </w:p>
    <w:p w14:paraId="29FF06C9">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3.项目联系方式</w:t>
      </w:r>
    </w:p>
    <w:p w14:paraId="37B419BF">
      <w:pPr>
        <w:spacing w:line="360" w:lineRule="auto"/>
        <w:ind w:firstLine="720" w:firstLineChars="3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项目联系人：张锦、盖莲花、郭燕妮</w:t>
      </w:r>
    </w:p>
    <w:p w14:paraId="134C8E3B">
      <w:pPr>
        <w:spacing w:line="360" w:lineRule="auto"/>
        <w:ind w:firstLine="720" w:firstLineChars="3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电话：029-87888601-8003</w:t>
      </w:r>
    </w:p>
    <w:p w14:paraId="7AF918BD">
      <w:pPr>
        <w:widowControl/>
        <w:spacing w:line="360" w:lineRule="auto"/>
        <w:jc w:val="right"/>
        <w:rPr>
          <w:rFonts w:ascii="宋体" w:hAnsi="宋体" w:eastAsia="宋体"/>
          <w:color w:val="000000" w:themeColor="text1"/>
          <w:sz w:val="24"/>
          <w:szCs w:val="24"/>
          <w:highlight w:val="none"/>
        </w:rPr>
      </w:pPr>
    </w:p>
    <w:p w14:paraId="097DF792">
      <w:pPr>
        <w:widowControl/>
        <w:spacing w:line="360" w:lineRule="auto"/>
        <w:jc w:val="right"/>
        <w:rPr>
          <w:rFonts w:ascii="宋体" w:hAnsi="宋体" w:eastAsia="宋体"/>
          <w:color w:val="000000" w:themeColor="text1"/>
          <w:sz w:val="24"/>
          <w:szCs w:val="24"/>
          <w:highlight w:val="none"/>
        </w:rPr>
      </w:pPr>
    </w:p>
    <w:p w14:paraId="41370A6A">
      <w:pPr>
        <w:widowControl/>
        <w:spacing w:line="360" w:lineRule="auto"/>
        <w:jc w:val="righ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陕西中经招标有限公司</w:t>
      </w:r>
    </w:p>
    <w:p w14:paraId="779752CE">
      <w:pPr>
        <w:widowControl/>
        <w:spacing w:line="360" w:lineRule="auto"/>
        <w:jc w:val="right"/>
        <w:rPr>
          <w:rFonts w:ascii="宋体" w:hAnsi="宋体" w:eastAsia="宋体"/>
          <w:color w:val="000000" w:themeColor="text1"/>
          <w:sz w:val="24"/>
          <w:szCs w:val="24"/>
          <w:highlight w:val="none"/>
        </w:rPr>
      </w:pPr>
      <w:r>
        <w:rPr>
          <w:rFonts w:ascii="宋体" w:hAnsi="宋体" w:eastAsia="宋体"/>
          <w:color w:val="000000" w:themeColor="text1"/>
          <w:sz w:val="24"/>
          <w:szCs w:val="24"/>
          <w:highlight w:val="none"/>
        </w:rPr>
        <w:t>2025</w:t>
      </w:r>
      <w:r>
        <w:rPr>
          <w:rFonts w:hint="eastAsia" w:ascii="宋体" w:hAnsi="宋体" w:eastAsia="宋体"/>
          <w:color w:val="000000" w:themeColor="text1"/>
          <w:sz w:val="24"/>
          <w:szCs w:val="24"/>
          <w:highlight w:val="none"/>
        </w:rPr>
        <w:t>年</w:t>
      </w:r>
      <w:r>
        <w:rPr>
          <w:rFonts w:ascii="宋体" w:hAnsi="宋体" w:eastAsia="宋体"/>
          <w:color w:val="000000" w:themeColor="text1"/>
          <w:sz w:val="24"/>
          <w:szCs w:val="24"/>
          <w:highlight w:val="none"/>
        </w:rPr>
        <w:t>10</w:t>
      </w:r>
      <w:r>
        <w:rPr>
          <w:rFonts w:hint="eastAsia" w:ascii="宋体" w:hAnsi="宋体" w:eastAsia="宋体"/>
          <w:color w:val="000000" w:themeColor="text1"/>
          <w:sz w:val="24"/>
          <w:szCs w:val="24"/>
          <w:highlight w:val="none"/>
        </w:rPr>
        <w:t>月</w:t>
      </w:r>
      <w:r>
        <w:rPr>
          <w:rFonts w:ascii="宋体" w:hAnsi="宋体" w:eastAsia="宋体"/>
          <w:color w:val="000000" w:themeColor="text1"/>
          <w:sz w:val="24"/>
          <w:szCs w:val="24"/>
          <w:highlight w:val="none"/>
        </w:rPr>
        <w:t>16</w:t>
      </w:r>
      <w:r>
        <w:rPr>
          <w:rFonts w:hint="eastAsia" w:ascii="宋体" w:hAnsi="宋体" w:eastAsia="宋体"/>
          <w:color w:val="000000" w:themeColor="text1"/>
          <w:sz w:val="24"/>
          <w:szCs w:val="24"/>
          <w:highlight w:val="none"/>
        </w:rPr>
        <w:t>日</w:t>
      </w:r>
      <w:r>
        <w:rPr>
          <w:rFonts w:ascii="宋体" w:hAnsi="宋体" w:eastAsia="宋体"/>
          <w:color w:val="000000" w:themeColor="text1"/>
          <w:sz w:val="24"/>
          <w:szCs w:val="24"/>
          <w:highlight w:val="none"/>
        </w:rPr>
        <w:br w:type="page"/>
      </w:r>
    </w:p>
    <w:p w14:paraId="0350A1ED">
      <w:pPr>
        <w:widowControl/>
        <w:spacing w:line="360" w:lineRule="auto"/>
        <w:jc w:val="left"/>
        <w:rPr>
          <w:rFonts w:ascii="宋体" w:hAnsi="宋体" w:eastAsia="宋体"/>
          <w:color w:val="000000" w:themeColor="text1"/>
          <w:sz w:val="24"/>
          <w:szCs w:val="24"/>
          <w:highlight w:val="none"/>
        </w:rPr>
      </w:pPr>
    </w:p>
    <w:p w14:paraId="4760A297">
      <w:pPr>
        <w:pStyle w:val="23"/>
        <w:rPr>
          <w:color w:val="000000" w:themeColor="text1"/>
          <w:highlight w:val="none"/>
        </w:rPr>
      </w:pPr>
      <w:bookmarkStart w:id="11" w:name="_Toc211442725"/>
      <w:r>
        <w:rPr>
          <w:rFonts w:hint="eastAsia"/>
          <w:color w:val="000000" w:themeColor="text1"/>
          <w:highlight w:val="none"/>
        </w:rPr>
        <w:t>电子化招投标项目特别告知</w:t>
      </w:r>
      <w:bookmarkEnd w:id="11"/>
    </w:p>
    <w:p w14:paraId="614A5C1D">
      <w:pPr>
        <w:widowControl/>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一、说明</w:t>
      </w:r>
    </w:p>
    <w:p w14:paraId="7CBCAC88">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1.宝鸡市公共资源交易平台：即【全国公共资源交易平台（（陕西省·宝鸡市）】的简称，官网地址：</w:t>
      </w:r>
      <w:r>
        <w:rPr>
          <w:rFonts w:ascii="宋体" w:hAnsi="宋体" w:eastAsia="宋体"/>
          <w:color w:val="000000" w:themeColor="text1"/>
          <w:sz w:val="24"/>
          <w:szCs w:val="24"/>
          <w:highlight w:val="none"/>
        </w:rPr>
        <w:t>http://ggzy.baoji.gov.cn/</w:t>
      </w:r>
      <w:r>
        <w:rPr>
          <w:rFonts w:hint="eastAsia" w:ascii="宋体" w:hAnsi="宋体" w:eastAsia="宋体"/>
          <w:color w:val="000000" w:themeColor="text1"/>
          <w:sz w:val="24"/>
          <w:szCs w:val="24"/>
          <w:highlight w:val="none"/>
        </w:rPr>
        <w:t>。</w:t>
      </w:r>
    </w:p>
    <w:p w14:paraId="6D33E21A">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2.企业端：指宝鸡市公共资源交易平台〖首页〉电子交易平台〉陕西政府采购交易系统〉企业端〗，快捷登录网址：</w:t>
      </w:r>
      <w:r>
        <w:rPr>
          <w:color w:val="000000" w:themeColor="text1"/>
          <w:highlight w:val="none"/>
        </w:rPr>
        <w:fldChar w:fldCharType="begin"/>
      </w:r>
      <w:r>
        <w:rPr>
          <w:color w:val="000000" w:themeColor="text1"/>
          <w:highlight w:val="none"/>
        </w:rPr>
        <w:instrText xml:space="preserve"> HYPERLINK "http://ggzy.baoji.gov.cn/wblj/009001/jyxtlogin.html" </w:instrText>
      </w:r>
      <w:r>
        <w:rPr>
          <w:color w:val="000000" w:themeColor="text1"/>
          <w:highlight w:val="none"/>
        </w:rPr>
        <w:fldChar w:fldCharType="separate"/>
      </w:r>
      <w:r>
        <w:rPr>
          <w:rStyle w:val="39"/>
          <w:rFonts w:ascii="宋体" w:hAnsi="宋体" w:eastAsia="宋体"/>
          <w:color w:val="000000" w:themeColor="text1"/>
          <w:sz w:val="24"/>
          <w:szCs w:val="24"/>
          <w:highlight w:val="none"/>
        </w:rPr>
        <w:t>http://ggzy.baoji.gov.cn/wblj/009001/jyxtlogin.html</w:t>
      </w:r>
      <w:r>
        <w:rPr>
          <w:rStyle w:val="39"/>
          <w:rFonts w:ascii="宋体" w:hAnsi="宋体" w:eastAsia="宋体"/>
          <w:color w:val="000000" w:themeColor="text1"/>
          <w:sz w:val="24"/>
          <w:szCs w:val="24"/>
          <w:highlight w:val="none"/>
        </w:rPr>
        <w:fldChar w:fldCharType="end"/>
      </w:r>
    </w:p>
    <w:p w14:paraId="7A75F3A8">
      <w:pPr>
        <w:widowControl/>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二、供应商投标流程</w:t>
      </w:r>
    </w:p>
    <w:p w14:paraId="1A1169BF">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1</w:t>
      </w:r>
      <w:r>
        <w:rPr>
          <w:rFonts w:ascii="宋体" w:hAnsi="宋体" w:eastAsia="宋体"/>
          <w:color w:val="000000" w:themeColor="text1"/>
          <w:sz w:val="24"/>
          <w:szCs w:val="24"/>
          <w:highlight w:val="none"/>
        </w:rPr>
        <w:t>.</w:t>
      </w:r>
      <w:r>
        <w:rPr>
          <w:rFonts w:hint="eastAsia" w:ascii="宋体" w:hAnsi="宋体" w:eastAsia="宋体"/>
          <w:color w:val="000000" w:themeColor="text1"/>
          <w:sz w:val="24"/>
          <w:szCs w:val="24"/>
          <w:highlight w:val="none"/>
        </w:rPr>
        <w:t>使用电子交易系统（新点系统）的采购项目（即电子招投标线上全流程项目），将同时提供WORD\PDF格式（仅用于在线预览）和SXSZF格式（用于制作电子投标文件）两个版本，文件内容一致。</w:t>
      </w:r>
    </w:p>
    <w:p w14:paraId="291285A7">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2．办理注册登记（针对初次使用电子交易系统的用户）：</w:t>
      </w:r>
    </w:p>
    <w:p w14:paraId="469E1329">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（1）办理诚信入库注册：在决定参加本项目采购活动后，供应商应先在宝鸡市公共资源交易平台上完成“诚信入库登记”；</w:t>
      </w:r>
    </w:p>
    <w:p w14:paraId="3951EE47">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2）办理数字认证（CA锁）：一般分为法人锁（必选）、企业锁主锁（必选）及副锁（可选）。CA锁将用于对电子投标文件进行签章、加密、递交及开标时解密等相关操作。CA办理及售后服务统一由第三方机构（陕西省数字证书认证中心股份有限公司）负责。办理须知：</w:t>
      </w:r>
      <w:r>
        <w:rPr>
          <w:color w:val="000000" w:themeColor="text1"/>
          <w:highlight w:val="none"/>
        </w:rPr>
        <w:fldChar w:fldCharType="begin"/>
      </w:r>
      <w:r>
        <w:rPr>
          <w:color w:val="000000" w:themeColor="text1"/>
          <w:highlight w:val="none"/>
        </w:rPr>
        <w:instrText xml:space="preserve"> HYPERLINK "http://www.snca.com.cn/channel/show/27.html" </w:instrText>
      </w:r>
      <w:r>
        <w:rPr>
          <w:color w:val="000000" w:themeColor="text1"/>
          <w:highlight w:val="none"/>
        </w:rPr>
        <w:fldChar w:fldCharType="separate"/>
      </w:r>
      <w:r>
        <w:rPr>
          <w:rFonts w:hint="eastAsia" w:ascii="宋体" w:hAnsi="宋体" w:eastAsia="宋体"/>
          <w:color w:val="000000" w:themeColor="text1"/>
          <w:sz w:val="24"/>
          <w:szCs w:val="24"/>
          <w:highlight w:val="none"/>
        </w:rPr>
        <w:t>http：//www.snca.com.cn/channel/show/27.html</w:t>
      </w:r>
      <w:r>
        <w:rPr>
          <w:rFonts w:hint="eastAsia" w:ascii="宋体" w:hAnsi="宋体" w:eastAsia="宋体"/>
          <w:color w:val="000000" w:themeColor="text1"/>
          <w:sz w:val="24"/>
          <w:szCs w:val="24"/>
          <w:highlight w:val="none"/>
        </w:rPr>
        <w:fldChar w:fldCharType="end"/>
      </w:r>
    </w:p>
    <w:p w14:paraId="172EE03A">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（3）绑定和激活CA：将数字证书与诚信库中的供应商账户进行绑定。</w:t>
      </w:r>
    </w:p>
    <w:p w14:paraId="7C5CE104">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3．下载电子招标文件：供应商应登录宝鸡市公共资源交易平台〖首页〉电子交易平台〉陕西政府采购交易系统〉企业端〗，在〖招标公告/出让公告〗模块中预览全部可供参与的项目，然后选择有意向的项目点击〖我要投标〗，成功后切换到〖我的项目〗模块，依次点选〖项目流程〉项目管理〉交易文件下载〗免费获取本项目电子招标文件（*.SXSZF）。请务必在采购文件获取期限内及时下载电子招标文件并做好备份，逾期无法再下载！</w:t>
      </w:r>
    </w:p>
    <w:p w14:paraId="12314F64">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4．制作电子投标文件：</w:t>
      </w:r>
      <w:r>
        <w:rPr>
          <w:rFonts w:ascii="宋体" w:hAnsi="宋体" w:eastAsia="宋体"/>
          <w:color w:val="000000" w:themeColor="text1"/>
          <w:sz w:val="24"/>
          <w:szCs w:val="24"/>
          <w:highlight w:val="none"/>
        </w:rPr>
        <w:t>1.</w:t>
      </w:r>
      <w:bookmarkStart w:id="12" w:name="OLE_LINK18"/>
      <w:bookmarkStart w:id="13" w:name="OLE_LINK19"/>
      <w:r>
        <w:rPr>
          <w:rFonts w:ascii="宋体" w:hAnsi="宋体" w:eastAsia="宋体"/>
          <w:color w:val="000000" w:themeColor="text1"/>
          <w:sz w:val="24"/>
          <w:szCs w:val="24"/>
          <w:highlight w:val="none"/>
        </w:rPr>
        <w:t>制作电子</w:t>
      </w:r>
      <w:r>
        <w:rPr>
          <w:rFonts w:hint="eastAsia" w:ascii="宋体" w:hAnsi="宋体" w:eastAsia="宋体"/>
          <w:color w:val="000000" w:themeColor="text1"/>
          <w:sz w:val="24"/>
          <w:szCs w:val="24"/>
          <w:highlight w:val="none"/>
        </w:rPr>
        <w:t>投标</w:t>
      </w:r>
      <w:r>
        <w:rPr>
          <w:rFonts w:ascii="宋体" w:hAnsi="宋体" w:eastAsia="宋体"/>
          <w:color w:val="000000" w:themeColor="text1"/>
          <w:sz w:val="24"/>
          <w:szCs w:val="24"/>
          <w:highlight w:val="none"/>
        </w:rPr>
        <w:t>文件。供应商须在“全国公共资源交易中心平台(陕西省/宝鸡市)”的“服务指南”栏目“下载专区”中，免费下载“政府采购电子化交易-供应商培训实操演示及操作手册”，并使用该客户端制作电子</w:t>
      </w:r>
      <w:r>
        <w:rPr>
          <w:rFonts w:hint="eastAsia" w:ascii="宋体" w:hAnsi="宋体" w:eastAsia="宋体"/>
          <w:color w:val="000000" w:themeColor="text1"/>
          <w:sz w:val="24"/>
          <w:szCs w:val="24"/>
          <w:highlight w:val="none"/>
        </w:rPr>
        <w:t>投标</w:t>
      </w:r>
      <w:r>
        <w:rPr>
          <w:rFonts w:ascii="宋体" w:hAnsi="宋体" w:eastAsia="宋体"/>
          <w:color w:val="000000" w:themeColor="text1"/>
          <w:sz w:val="24"/>
          <w:szCs w:val="24"/>
          <w:highlight w:val="none"/>
        </w:rPr>
        <w:t>文件，制作扩展名为“.SXSTF”的电子</w:t>
      </w:r>
      <w:r>
        <w:rPr>
          <w:rFonts w:hint="eastAsia" w:ascii="宋体" w:hAnsi="宋体" w:eastAsia="宋体"/>
          <w:color w:val="000000" w:themeColor="text1"/>
          <w:sz w:val="24"/>
          <w:szCs w:val="24"/>
          <w:highlight w:val="none"/>
        </w:rPr>
        <w:t>投标</w:t>
      </w:r>
      <w:r>
        <w:rPr>
          <w:rFonts w:ascii="宋体" w:hAnsi="宋体" w:eastAsia="宋体"/>
          <w:color w:val="000000" w:themeColor="text1"/>
          <w:sz w:val="24"/>
          <w:szCs w:val="24"/>
          <w:highlight w:val="none"/>
        </w:rPr>
        <w:t>文件。</w:t>
      </w:r>
      <w:bookmarkEnd w:id="12"/>
      <w:bookmarkEnd w:id="13"/>
    </w:p>
    <w:p w14:paraId="08BF6967">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编制电子投标文件前，务必做好电子招标文件的备份工作。然后按操作手册中给出的方法将电子招标文件（*.SXSZF)或答疑文件（*.SXSCF，即更新后的电子招标文件）导入制作软件，最后按照章节分别编制投标文件各个部分。</w:t>
      </w:r>
    </w:p>
    <w:p w14:paraId="323B3F21">
      <w:pPr>
        <w:widowControl/>
        <w:spacing w:line="360" w:lineRule="auto"/>
        <w:ind w:firstLine="480" w:firstLineChars="200"/>
        <w:jc w:val="left"/>
        <w:rPr>
          <w:rFonts w:ascii="宋体" w:hAnsi="宋体" w:eastAsia="宋体"/>
          <w:color w:val="000000" w:themeColor="text1"/>
          <w:sz w:val="24"/>
          <w:szCs w:val="24"/>
          <w:highlight w:val="none"/>
        </w:rPr>
      </w:pPr>
      <w:r>
        <w:rPr>
          <w:rFonts w:ascii="宋体" w:hAnsi="宋体" w:eastAsia="宋体"/>
          <w:color w:val="000000" w:themeColor="text1"/>
          <w:sz w:val="24"/>
          <w:szCs w:val="24"/>
          <w:highlight w:val="none"/>
        </w:rPr>
        <w:t>5.</w:t>
      </w:r>
      <w:bookmarkStart w:id="14" w:name="OLE_LINK23"/>
      <w:bookmarkStart w:id="15" w:name="OLE_LINK22"/>
      <w:r>
        <w:rPr>
          <w:rFonts w:ascii="宋体" w:hAnsi="宋体" w:eastAsia="宋体"/>
          <w:color w:val="000000" w:themeColor="text1"/>
          <w:sz w:val="24"/>
          <w:szCs w:val="24"/>
          <w:highlight w:val="none"/>
        </w:rPr>
        <w:t>递交电子</w:t>
      </w:r>
      <w:r>
        <w:rPr>
          <w:rFonts w:hint="eastAsia" w:ascii="宋体" w:hAnsi="宋体" w:eastAsia="宋体"/>
          <w:color w:val="000000" w:themeColor="text1"/>
          <w:sz w:val="24"/>
          <w:szCs w:val="24"/>
          <w:highlight w:val="none"/>
        </w:rPr>
        <w:t>投标</w:t>
      </w:r>
      <w:r>
        <w:rPr>
          <w:rFonts w:ascii="宋体" w:hAnsi="宋体" w:eastAsia="宋体"/>
          <w:color w:val="000000" w:themeColor="text1"/>
          <w:sz w:val="24"/>
          <w:szCs w:val="24"/>
          <w:highlight w:val="none"/>
        </w:rPr>
        <w:t>文件</w:t>
      </w:r>
      <w:bookmarkEnd w:id="14"/>
      <w:bookmarkEnd w:id="15"/>
      <w:r>
        <w:rPr>
          <w:rFonts w:ascii="宋体" w:hAnsi="宋体" w:eastAsia="宋体"/>
          <w:color w:val="000000" w:themeColor="text1"/>
          <w:sz w:val="24"/>
          <w:szCs w:val="24"/>
          <w:highlight w:val="none"/>
        </w:rPr>
        <w:t>。</w:t>
      </w:r>
      <w:bookmarkStart w:id="16" w:name="OLE_LINK20"/>
      <w:bookmarkStart w:id="17" w:name="OLE_LINK21"/>
      <w:r>
        <w:rPr>
          <w:rFonts w:ascii="宋体" w:hAnsi="宋体" w:eastAsia="宋体"/>
          <w:color w:val="000000" w:themeColor="text1"/>
          <w:sz w:val="24"/>
          <w:szCs w:val="24"/>
          <w:highlight w:val="none"/>
        </w:rPr>
        <w:t>登录陕西省宝鸡市公共资源交易中心平台(http://ggzy.baoji.gov.cn/)，选择“电子交易平台-陕西政府采购交易系统-陕西省宝鸡市公共资源交易平台-供应商”进行登录，登录后选择“交易乙方”身份进入，选择“上传</w:t>
      </w:r>
      <w:r>
        <w:rPr>
          <w:rFonts w:hint="eastAsia" w:ascii="宋体" w:hAnsi="宋体" w:eastAsia="宋体"/>
          <w:color w:val="000000" w:themeColor="text1"/>
          <w:sz w:val="24"/>
          <w:szCs w:val="24"/>
          <w:highlight w:val="none"/>
        </w:rPr>
        <w:t>投标</w:t>
      </w:r>
      <w:r>
        <w:rPr>
          <w:rFonts w:ascii="宋体" w:hAnsi="宋体" w:eastAsia="宋体"/>
          <w:color w:val="000000" w:themeColor="text1"/>
          <w:sz w:val="24"/>
          <w:szCs w:val="24"/>
          <w:highlight w:val="none"/>
        </w:rPr>
        <w:t>文件”菜单页面，上传加密的电子化响应文件。上传成功后，电子化平台将予以记录。</w:t>
      </w:r>
      <w:bookmarkEnd w:id="16"/>
      <w:bookmarkEnd w:id="17"/>
    </w:p>
    <w:p w14:paraId="25F19CFF">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6．在线参加开标大会：开标当日，供应商法定代表人或其授权代表需提前登录“不见面开标”系统，并按要求及时签到。收到主持人“开始解密”指令后，使用CA锁（必须与加密文件时的CA锁为同一把锁）在线对电子投标文件进行解密。采用“不见面开标”系统后，供应商无需到达开标现场，即可在线参与整个开标过程。相关技术问题，请咨询软件开发商。</w:t>
      </w:r>
    </w:p>
    <w:p w14:paraId="4120AB78">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技术支持热线：400-998-0000/400-928-0095</w:t>
      </w:r>
    </w:p>
    <w:p w14:paraId="1D5EE35A">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7．等待专家评审：评审期间，可能需要对评审专家提出的问题进行澄清或答复。在主持人宣布评审结束前，供应商请勿擅自离席，否则由此造成的不利后果，由供应商自行承担。</w:t>
      </w:r>
    </w:p>
    <w:p w14:paraId="5C44B57B">
      <w:pPr>
        <w:widowControl/>
        <w:spacing w:line="360" w:lineRule="auto"/>
        <w:ind w:firstLine="480" w:firstLineChars="200"/>
        <w:jc w:val="left"/>
        <w:rPr>
          <w:rFonts w:ascii="宋体" w:hAnsi="宋体" w:eastAsia="宋体"/>
          <w:color w:val="000000" w:themeColor="text1"/>
          <w:sz w:val="24"/>
          <w:szCs w:val="24"/>
          <w:highlight w:val="none"/>
        </w:rPr>
      </w:pPr>
      <w:r>
        <w:rPr>
          <w:rFonts w:ascii="宋体" w:hAnsi="宋体" w:eastAsia="宋体"/>
          <w:color w:val="000000" w:themeColor="text1"/>
          <w:sz w:val="24"/>
          <w:szCs w:val="24"/>
          <w:highlight w:val="none"/>
        </w:rPr>
        <w:t>8</w:t>
      </w:r>
      <w:r>
        <w:rPr>
          <w:rFonts w:hint="eastAsia" w:ascii="宋体" w:hAnsi="宋体" w:eastAsia="宋体"/>
          <w:color w:val="000000" w:themeColor="text1"/>
          <w:sz w:val="24"/>
          <w:szCs w:val="24"/>
          <w:highlight w:val="none"/>
        </w:rPr>
        <w:t>.投标文件视为无效的情形</w:t>
      </w:r>
    </w:p>
    <w:p w14:paraId="52F31BF4">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（1）供应商放弃或拒绝对电子投标文件进行解密的；</w:t>
      </w:r>
    </w:p>
    <w:p w14:paraId="53844B89">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（2）因供应商自身原因，导致未在规定的解密时限内完整解密的，如忘带CA锁、或携带的CA锁与加密文件的CA锁不同、或使用旧版招标文件编制投标文件等情形；</w:t>
      </w:r>
    </w:p>
    <w:p w14:paraId="1552B631">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（3）上传的电子投标文件无法正常打开的。</w:t>
      </w:r>
    </w:p>
    <w:p w14:paraId="21242D1A">
      <w:pPr>
        <w:widowControl/>
        <w:jc w:val="left"/>
        <w:rPr>
          <w:rFonts w:ascii="宋体" w:hAnsi="宋体" w:eastAsia="宋体"/>
          <w:color w:val="000000" w:themeColor="text1"/>
          <w:sz w:val="24"/>
          <w:szCs w:val="24"/>
          <w:highlight w:val="none"/>
        </w:rPr>
      </w:pPr>
      <w:r>
        <w:rPr>
          <w:rFonts w:ascii="宋体" w:hAnsi="宋体" w:eastAsia="宋体"/>
          <w:color w:val="000000" w:themeColor="text1"/>
          <w:sz w:val="24"/>
          <w:szCs w:val="24"/>
          <w:highlight w:val="none"/>
        </w:rPr>
        <w:br w:type="page"/>
      </w:r>
    </w:p>
    <w:p w14:paraId="03E2F3E0">
      <w:pPr>
        <w:widowControl/>
        <w:spacing w:line="360" w:lineRule="auto"/>
        <w:jc w:val="left"/>
        <w:rPr>
          <w:rFonts w:ascii="宋体" w:hAnsi="宋体" w:eastAsia="宋体"/>
          <w:color w:val="000000" w:themeColor="text1"/>
          <w:sz w:val="24"/>
          <w:szCs w:val="24"/>
          <w:highlight w:val="none"/>
        </w:rPr>
      </w:pPr>
    </w:p>
    <w:p w14:paraId="34B2790B">
      <w:pPr>
        <w:pStyle w:val="27"/>
        <w:rPr>
          <w:rFonts w:ascii="宋体" w:hAnsi="宋体" w:eastAsia="宋体"/>
          <w:color w:val="000000" w:themeColor="text1"/>
          <w:highlight w:val="none"/>
        </w:rPr>
      </w:pPr>
      <w:bookmarkStart w:id="18" w:name="_Toc211442726"/>
      <w:r>
        <w:rPr>
          <w:rFonts w:hint="eastAsia" w:ascii="宋体" w:hAnsi="宋体" w:eastAsia="宋体"/>
          <w:color w:val="000000" w:themeColor="text1"/>
          <w:highlight w:val="none"/>
        </w:rPr>
        <w:t xml:space="preserve">第二章 </w:t>
      </w:r>
      <w:r>
        <w:rPr>
          <w:rFonts w:ascii="宋体" w:hAnsi="宋体" w:eastAsia="宋体"/>
          <w:color w:val="000000" w:themeColor="text1"/>
          <w:highlight w:val="none"/>
        </w:rPr>
        <w:t xml:space="preserve"> </w:t>
      </w:r>
      <w:r>
        <w:rPr>
          <w:rFonts w:hint="eastAsia" w:ascii="宋体" w:hAnsi="宋体" w:eastAsia="宋体"/>
          <w:color w:val="000000" w:themeColor="text1"/>
          <w:highlight w:val="none"/>
        </w:rPr>
        <w:t>投标人须知及前附表</w:t>
      </w:r>
      <w:bookmarkEnd w:id="18"/>
    </w:p>
    <w:p w14:paraId="3DDA7C54">
      <w:pPr>
        <w:pStyle w:val="23"/>
        <w:rPr>
          <w:color w:val="000000" w:themeColor="text1"/>
          <w:highlight w:val="none"/>
        </w:rPr>
      </w:pPr>
      <w:bookmarkStart w:id="19" w:name="_Toc211442727"/>
      <w:r>
        <w:rPr>
          <w:rFonts w:hint="eastAsia"/>
          <w:color w:val="000000" w:themeColor="text1"/>
          <w:highlight w:val="none"/>
        </w:rPr>
        <w:t>投标人须知前附表</w:t>
      </w:r>
      <w:bookmarkEnd w:id="19"/>
    </w:p>
    <w:p w14:paraId="01E07A7C">
      <w:pPr>
        <w:widowControl/>
        <w:spacing w:line="360" w:lineRule="auto"/>
        <w:jc w:val="left"/>
        <w:rPr>
          <w:rFonts w:ascii="宋体" w:hAnsi="宋体" w:eastAsia="宋体"/>
          <w:b/>
          <w:bCs/>
          <w:color w:val="000000" w:themeColor="text1"/>
          <w:sz w:val="24"/>
          <w:szCs w:val="24"/>
          <w:highlight w:val="none"/>
        </w:rPr>
      </w:pPr>
      <w:r>
        <w:rPr>
          <w:rFonts w:hint="eastAsia" w:ascii="宋体" w:hAnsi="宋体" w:eastAsia="宋体"/>
          <w:b/>
          <w:bCs/>
          <w:color w:val="000000" w:themeColor="text1"/>
          <w:sz w:val="24"/>
          <w:szCs w:val="24"/>
          <w:highlight w:val="none"/>
        </w:rPr>
        <w:t>（本表是对投标人须知的提示、补充和修改，如有矛盾，应以本表为准。）</w:t>
      </w:r>
    </w:p>
    <w:tbl>
      <w:tblPr>
        <w:tblStyle w:val="30"/>
        <w:tblW w:w="915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2098"/>
        <w:gridCol w:w="6349"/>
      </w:tblGrid>
      <w:tr w14:paraId="193FE2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1BC7A3F7">
            <w:pPr>
              <w:widowControl/>
              <w:spacing w:line="360" w:lineRule="auto"/>
              <w:jc w:val="center"/>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序号</w:t>
            </w:r>
          </w:p>
        </w:tc>
        <w:tc>
          <w:tcPr>
            <w:tcW w:w="2098" w:type="dxa"/>
            <w:vAlign w:val="center"/>
          </w:tcPr>
          <w:p w14:paraId="54EA080F">
            <w:pPr>
              <w:widowControl/>
              <w:spacing w:line="360" w:lineRule="auto"/>
              <w:jc w:val="center"/>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条款内容</w:t>
            </w:r>
          </w:p>
        </w:tc>
        <w:tc>
          <w:tcPr>
            <w:tcW w:w="6349" w:type="dxa"/>
            <w:vAlign w:val="center"/>
          </w:tcPr>
          <w:p w14:paraId="31440350">
            <w:pPr>
              <w:widowControl/>
              <w:spacing w:line="360" w:lineRule="auto"/>
              <w:jc w:val="center"/>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编列内容</w:t>
            </w:r>
          </w:p>
        </w:tc>
      </w:tr>
      <w:tr w14:paraId="5B258C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42D05D06">
            <w:pPr>
              <w:widowControl/>
              <w:spacing w:line="360" w:lineRule="auto"/>
              <w:jc w:val="center"/>
              <w:rPr>
                <w:rFonts w:ascii="宋体" w:hAnsi="宋体" w:eastAsia="宋体"/>
                <w:color w:val="000000" w:themeColor="text1"/>
                <w:sz w:val="24"/>
                <w:szCs w:val="24"/>
                <w:highlight w:val="none"/>
              </w:rPr>
            </w:pPr>
            <w:r>
              <w:rPr>
                <w:rFonts w:ascii="宋体" w:hAnsi="宋体" w:eastAsia="宋体"/>
                <w:color w:val="000000" w:themeColor="text1"/>
                <w:sz w:val="24"/>
                <w:szCs w:val="24"/>
                <w:highlight w:val="none"/>
              </w:rPr>
              <w:t>1</w:t>
            </w:r>
          </w:p>
        </w:tc>
        <w:tc>
          <w:tcPr>
            <w:tcW w:w="2098" w:type="dxa"/>
            <w:vAlign w:val="center"/>
          </w:tcPr>
          <w:p w14:paraId="4E8D8785">
            <w:pPr>
              <w:widowControl/>
              <w:spacing w:line="360" w:lineRule="auto"/>
              <w:jc w:val="center"/>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采购人</w:t>
            </w:r>
          </w:p>
        </w:tc>
        <w:tc>
          <w:tcPr>
            <w:tcW w:w="6349" w:type="dxa"/>
            <w:vAlign w:val="center"/>
          </w:tcPr>
          <w:p w14:paraId="2694D914">
            <w:pPr>
              <w:spacing w:line="360" w:lineRule="auto"/>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名称：宝鸡市地震局</w:t>
            </w:r>
          </w:p>
          <w:p w14:paraId="37588CFD">
            <w:pPr>
              <w:spacing w:line="360" w:lineRule="auto"/>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地址：宝鸡市宝虢路125号行政中心2号楼</w:t>
            </w:r>
          </w:p>
        </w:tc>
      </w:tr>
      <w:tr w14:paraId="172534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4A915B66">
            <w:pPr>
              <w:widowControl/>
              <w:spacing w:line="360" w:lineRule="auto"/>
              <w:jc w:val="center"/>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2</w:t>
            </w:r>
          </w:p>
        </w:tc>
        <w:tc>
          <w:tcPr>
            <w:tcW w:w="2098" w:type="dxa"/>
            <w:vAlign w:val="center"/>
          </w:tcPr>
          <w:p w14:paraId="456C4081">
            <w:pPr>
              <w:widowControl/>
              <w:spacing w:line="360" w:lineRule="auto"/>
              <w:jc w:val="center"/>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采购代理机构</w:t>
            </w:r>
          </w:p>
        </w:tc>
        <w:tc>
          <w:tcPr>
            <w:tcW w:w="6349" w:type="dxa"/>
            <w:vAlign w:val="center"/>
          </w:tcPr>
          <w:p w14:paraId="64F376A5">
            <w:pPr>
              <w:widowControl/>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名称：陕西中经招标有限公司</w:t>
            </w:r>
          </w:p>
          <w:p w14:paraId="6B1B735A">
            <w:pPr>
              <w:widowControl/>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地址：西安市碑林区长安北路8B陕西高速大厦16楼</w:t>
            </w:r>
          </w:p>
        </w:tc>
      </w:tr>
      <w:tr w14:paraId="3EF2F8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09603AB0">
            <w:pPr>
              <w:widowControl/>
              <w:spacing w:line="360" w:lineRule="auto"/>
              <w:jc w:val="center"/>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3</w:t>
            </w:r>
          </w:p>
        </w:tc>
        <w:tc>
          <w:tcPr>
            <w:tcW w:w="2098" w:type="dxa"/>
            <w:vAlign w:val="center"/>
          </w:tcPr>
          <w:p w14:paraId="4BB828A3">
            <w:pPr>
              <w:widowControl/>
              <w:spacing w:line="360" w:lineRule="auto"/>
              <w:jc w:val="center"/>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投标人信用信息查询</w:t>
            </w:r>
          </w:p>
        </w:tc>
        <w:tc>
          <w:tcPr>
            <w:tcW w:w="6349" w:type="dxa"/>
            <w:vAlign w:val="center"/>
          </w:tcPr>
          <w:p w14:paraId="72FBBF9E">
            <w:pPr>
              <w:widowControl/>
              <w:spacing w:line="360" w:lineRule="auto"/>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信用中国”网站（www.creditchina.gov.cn）和“中国政府采购网”（ccgp.gov.cn）为投标人信用信息查询渠道，如果投标人被查实在投标截止时间列入失信被执行人（页面跳转至“中国执行信息公开网”http：//zxgk.court.gov.cn/shixin/）、重大税收违法失信主体、政府采购严重违法失信行为记录名单，其投标为无效。</w:t>
            </w:r>
          </w:p>
        </w:tc>
      </w:tr>
      <w:tr w14:paraId="43C316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0A303F65">
            <w:pPr>
              <w:widowControl/>
              <w:spacing w:line="360" w:lineRule="auto"/>
              <w:jc w:val="center"/>
              <w:rPr>
                <w:rFonts w:ascii="宋体" w:hAnsi="宋体" w:eastAsia="宋体"/>
                <w:color w:val="000000" w:themeColor="text1"/>
                <w:sz w:val="24"/>
                <w:szCs w:val="24"/>
                <w:highlight w:val="none"/>
              </w:rPr>
            </w:pPr>
            <w:r>
              <w:rPr>
                <w:rFonts w:ascii="宋体" w:hAnsi="宋体" w:eastAsia="宋体"/>
                <w:color w:val="000000" w:themeColor="text1"/>
                <w:sz w:val="24"/>
                <w:szCs w:val="24"/>
                <w:highlight w:val="none"/>
              </w:rPr>
              <w:t>4</w:t>
            </w:r>
          </w:p>
        </w:tc>
        <w:tc>
          <w:tcPr>
            <w:tcW w:w="2098" w:type="dxa"/>
            <w:vAlign w:val="center"/>
          </w:tcPr>
          <w:p w14:paraId="77FCAD1A">
            <w:pPr>
              <w:widowControl/>
              <w:spacing w:line="360" w:lineRule="auto"/>
              <w:jc w:val="center"/>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招标内容的实质性响应要求</w:t>
            </w:r>
          </w:p>
        </w:tc>
        <w:tc>
          <w:tcPr>
            <w:tcW w:w="6349" w:type="dxa"/>
            <w:vAlign w:val="center"/>
          </w:tcPr>
          <w:p w14:paraId="3389AD1E">
            <w:pPr>
              <w:widowControl/>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招标文件第七章“招标内容”中技术和商务条款为不允许负偏离的实质性要求和条件，不满足实质性要求和条件的投标为无效投标。</w:t>
            </w:r>
          </w:p>
        </w:tc>
      </w:tr>
      <w:tr w14:paraId="07BAB7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2E3BE0AB">
            <w:pPr>
              <w:widowControl/>
              <w:spacing w:line="360" w:lineRule="auto"/>
              <w:jc w:val="center"/>
              <w:rPr>
                <w:rFonts w:ascii="宋体" w:hAnsi="宋体" w:eastAsia="宋体"/>
                <w:color w:val="000000" w:themeColor="text1"/>
                <w:sz w:val="24"/>
                <w:szCs w:val="24"/>
                <w:highlight w:val="none"/>
              </w:rPr>
            </w:pPr>
            <w:r>
              <w:rPr>
                <w:rFonts w:ascii="宋体" w:hAnsi="宋体" w:eastAsia="宋体"/>
                <w:color w:val="000000" w:themeColor="text1"/>
                <w:sz w:val="24"/>
                <w:szCs w:val="24"/>
                <w:highlight w:val="none"/>
              </w:rPr>
              <w:t>5</w:t>
            </w:r>
          </w:p>
        </w:tc>
        <w:tc>
          <w:tcPr>
            <w:tcW w:w="2098" w:type="dxa"/>
            <w:vAlign w:val="center"/>
          </w:tcPr>
          <w:p w14:paraId="4A26BF49">
            <w:pPr>
              <w:widowControl/>
              <w:spacing w:line="360" w:lineRule="auto"/>
              <w:jc w:val="center"/>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供应商提出质疑的时间及代理机构指定的接受质疑联系部门</w:t>
            </w:r>
          </w:p>
        </w:tc>
        <w:tc>
          <w:tcPr>
            <w:tcW w:w="6349" w:type="dxa"/>
            <w:vAlign w:val="center"/>
          </w:tcPr>
          <w:p w14:paraId="4B853214">
            <w:pPr>
              <w:widowControl/>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已经合法获取招标文件的供应商对招标文件有质疑的，可以在本项目招标文件公告期限届满之日起七个工作日内，针对同一采购程序环节以书面形式向采购代理机构一次性提出，在此之后提出的质疑均为无效，采购代理机构不予受理。</w:t>
            </w:r>
          </w:p>
          <w:p w14:paraId="4FDF0BF2">
            <w:pPr>
              <w:widowControl/>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质疑方式：</w:t>
            </w:r>
          </w:p>
          <w:p w14:paraId="3ADA2538">
            <w:pPr>
              <w:widowControl/>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1.在线质疑：登录宝鸡市公共资源交易平台〖首页〉电子交易平台〉陕西政府采购交易系统〉企业端〗，在〖我的项目〗中点击“项目流程〉提出质疑”，填写表单关提交质疑。</w:t>
            </w:r>
          </w:p>
          <w:p w14:paraId="5DD2BB2B">
            <w:pPr>
              <w:widowControl/>
              <w:spacing w:line="360" w:lineRule="auto"/>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2.书面质疑：格式见“中国政府采购网（www.ccgp.gov.cn）下载专区”；</w:t>
            </w:r>
          </w:p>
          <w:p w14:paraId="78635B0D">
            <w:pPr>
              <w:widowControl/>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3.联系部门：陕西中经招标有限公司；</w:t>
            </w:r>
          </w:p>
          <w:p w14:paraId="16A8FA49">
            <w:pPr>
              <w:widowControl/>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4.联系电话：029-87888601转8</w:t>
            </w:r>
            <w:r>
              <w:rPr>
                <w:rFonts w:ascii="宋体" w:hAnsi="宋体" w:eastAsia="宋体"/>
                <w:color w:val="000000" w:themeColor="text1"/>
                <w:sz w:val="24"/>
                <w:szCs w:val="24"/>
                <w:highlight w:val="none"/>
              </w:rPr>
              <w:t>003</w:t>
            </w:r>
          </w:p>
          <w:p w14:paraId="6B968009">
            <w:pPr>
              <w:widowControl/>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5.通讯地址：西安市碑林区长安北路8B陕西高速大厦16楼</w:t>
            </w:r>
          </w:p>
        </w:tc>
      </w:tr>
      <w:tr w14:paraId="51DB92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2130E271">
            <w:pPr>
              <w:widowControl/>
              <w:spacing w:line="360" w:lineRule="auto"/>
              <w:jc w:val="center"/>
              <w:rPr>
                <w:rFonts w:ascii="宋体" w:hAnsi="宋体" w:eastAsia="宋体"/>
                <w:color w:val="000000" w:themeColor="text1"/>
                <w:sz w:val="24"/>
                <w:szCs w:val="24"/>
                <w:highlight w:val="none"/>
              </w:rPr>
            </w:pPr>
            <w:r>
              <w:rPr>
                <w:rFonts w:ascii="宋体" w:hAnsi="宋体" w:eastAsia="宋体"/>
                <w:color w:val="000000" w:themeColor="text1"/>
                <w:sz w:val="24"/>
                <w:szCs w:val="24"/>
                <w:highlight w:val="none"/>
              </w:rPr>
              <w:t>6</w:t>
            </w:r>
          </w:p>
        </w:tc>
        <w:tc>
          <w:tcPr>
            <w:tcW w:w="2098" w:type="dxa"/>
            <w:vAlign w:val="center"/>
          </w:tcPr>
          <w:p w14:paraId="6B6BBCC0">
            <w:pPr>
              <w:widowControl/>
              <w:spacing w:line="360" w:lineRule="auto"/>
              <w:jc w:val="center"/>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质疑内容要求</w:t>
            </w:r>
          </w:p>
        </w:tc>
        <w:tc>
          <w:tcPr>
            <w:tcW w:w="6349" w:type="dxa"/>
            <w:vAlign w:val="center"/>
          </w:tcPr>
          <w:p w14:paraId="1F34F854">
            <w:pPr>
              <w:widowControl/>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供应商提出质疑应当提交质疑函和必要的证明材料原件。</w:t>
            </w:r>
          </w:p>
          <w:p w14:paraId="4E277B9E">
            <w:pPr>
              <w:widowControl/>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质疑函应当包括下列内容：</w:t>
            </w:r>
          </w:p>
          <w:p w14:paraId="5BBE32B7">
            <w:pPr>
              <w:widowControl/>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（一）供应商的姓名或者名称、地址、邮编、联系人及联系电话；</w:t>
            </w:r>
          </w:p>
          <w:p w14:paraId="2AAC79E9">
            <w:pPr>
              <w:widowControl/>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（二）质疑项目的名称、编号；</w:t>
            </w:r>
          </w:p>
          <w:p w14:paraId="35CDBAE8">
            <w:pPr>
              <w:widowControl/>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（三）具体、明确的质疑事项和与质疑事项相关的请求；</w:t>
            </w:r>
          </w:p>
          <w:p w14:paraId="30883943">
            <w:pPr>
              <w:widowControl/>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（四）事实依据；</w:t>
            </w:r>
          </w:p>
          <w:p w14:paraId="75099727">
            <w:pPr>
              <w:widowControl/>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（五）必要的法律依据；</w:t>
            </w:r>
          </w:p>
          <w:p w14:paraId="0BF8AEE1">
            <w:pPr>
              <w:widowControl/>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（六）提出质疑的日期。</w:t>
            </w:r>
          </w:p>
          <w:p w14:paraId="5E599D04">
            <w:pPr>
              <w:widowControl/>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供应商为自然人的，应当由本人签字；供应商为法人或者其他组织的，应当由法定代表人、主要负责人，或者其授权代表（附法人代表授权书）签字或者盖章（鲜章），并加盖公章（鲜章）。</w:t>
            </w:r>
          </w:p>
          <w:p w14:paraId="2EE993E5">
            <w:pPr>
              <w:widowControl/>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质疑函格式应符合“政府采购供应商质疑函范本”要求，详见“中国政府采购网（www.ccgp.gov.cn）”下载专区。</w:t>
            </w:r>
          </w:p>
        </w:tc>
      </w:tr>
      <w:tr w14:paraId="2D62F6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6F83CE51">
            <w:pPr>
              <w:widowControl/>
              <w:spacing w:line="360" w:lineRule="auto"/>
              <w:jc w:val="center"/>
              <w:rPr>
                <w:rFonts w:ascii="宋体" w:hAnsi="宋体" w:eastAsia="宋体"/>
                <w:color w:val="000000" w:themeColor="text1"/>
                <w:sz w:val="24"/>
                <w:szCs w:val="24"/>
                <w:highlight w:val="none"/>
              </w:rPr>
            </w:pPr>
            <w:r>
              <w:rPr>
                <w:rFonts w:ascii="宋体" w:hAnsi="宋体" w:eastAsia="宋体"/>
                <w:color w:val="000000" w:themeColor="text1"/>
                <w:sz w:val="24"/>
                <w:szCs w:val="24"/>
                <w:highlight w:val="none"/>
              </w:rPr>
              <w:t>7</w:t>
            </w:r>
          </w:p>
        </w:tc>
        <w:tc>
          <w:tcPr>
            <w:tcW w:w="2098" w:type="dxa"/>
            <w:vAlign w:val="center"/>
          </w:tcPr>
          <w:p w14:paraId="2E8EF0F0">
            <w:pPr>
              <w:widowControl/>
              <w:spacing w:line="360" w:lineRule="auto"/>
              <w:jc w:val="center"/>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采购代理机构答疑的时间</w:t>
            </w:r>
          </w:p>
        </w:tc>
        <w:tc>
          <w:tcPr>
            <w:tcW w:w="6349" w:type="dxa"/>
            <w:vAlign w:val="center"/>
          </w:tcPr>
          <w:p w14:paraId="3CBDF63D">
            <w:pPr>
              <w:widowControl/>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1.对于供应商依法提出的询问，采购代理机构将在三个工作日内答复。</w:t>
            </w:r>
          </w:p>
          <w:p w14:paraId="5E9C4DD6">
            <w:pPr>
              <w:widowControl/>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2.对于供应商在规定时间内依法提出的质疑，采购代理机构将在七个工作日内答复。</w:t>
            </w:r>
          </w:p>
        </w:tc>
      </w:tr>
      <w:tr w14:paraId="5C2DBB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48889B8A">
            <w:pPr>
              <w:widowControl/>
              <w:spacing w:line="360" w:lineRule="auto"/>
              <w:jc w:val="center"/>
              <w:rPr>
                <w:rFonts w:ascii="宋体" w:hAnsi="宋体" w:eastAsia="宋体"/>
                <w:color w:val="000000" w:themeColor="text1"/>
                <w:sz w:val="24"/>
                <w:szCs w:val="24"/>
                <w:highlight w:val="none"/>
              </w:rPr>
            </w:pPr>
            <w:r>
              <w:rPr>
                <w:rFonts w:ascii="宋体" w:hAnsi="宋体" w:eastAsia="宋体"/>
                <w:color w:val="000000" w:themeColor="text1"/>
                <w:sz w:val="24"/>
                <w:szCs w:val="24"/>
                <w:highlight w:val="none"/>
              </w:rPr>
              <w:t>8</w:t>
            </w:r>
          </w:p>
        </w:tc>
        <w:tc>
          <w:tcPr>
            <w:tcW w:w="2098" w:type="dxa"/>
            <w:vAlign w:val="center"/>
          </w:tcPr>
          <w:p w14:paraId="3BC3D147">
            <w:pPr>
              <w:widowControl/>
              <w:spacing w:line="360" w:lineRule="auto"/>
              <w:jc w:val="center"/>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报价要求</w:t>
            </w:r>
          </w:p>
        </w:tc>
        <w:tc>
          <w:tcPr>
            <w:tcW w:w="6349" w:type="dxa"/>
            <w:vAlign w:val="center"/>
          </w:tcPr>
          <w:p w14:paraId="624069F5">
            <w:pPr>
              <w:widowControl/>
              <w:spacing w:line="360" w:lineRule="auto"/>
              <w:jc w:val="left"/>
              <w:rPr>
                <w:rFonts w:ascii="宋体" w:hAnsi="宋体" w:eastAsia="宋体"/>
                <w:color w:val="000000" w:themeColor="text1"/>
                <w:sz w:val="24"/>
                <w:szCs w:val="24"/>
                <w:highlight w:val="none"/>
              </w:rPr>
            </w:pPr>
            <w:r>
              <w:rPr>
                <w:rFonts w:hint="eastAsia" w:ascii="宋体" w:hAnsi="宋体" w:eastAsia="宋体" w:cs="Times New Roman"/>
                <w:color w:val="000000" w:themeColor="text1"/>
                <w:sz w:val="24"/>
                <w:szCs w:val="24"/>
                <w:highlight w:val="none"/>
              </w:rPr>
              <w:t>报价以人民币填写，单位为元，保留2位小数。投标报价包括但不限于完成本项目的设备（软、硬件）采购、运输、安装（含供电线路铺设）、材料、人工、调试、验收、试运行等所有费用（含税费）。</w:t>
            </w:r>
          </w:p>
        </w:tc>
      </w:tr>
      <w:tr w14:paraId="31D14A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6186270D">
            <w:pPr>
              <w:widowControl/>
              <w:spacing w:line="360" w:lineRule="auto"/>
              <w:jc w:val="center"/>
              <w:rPr>
                <w:rFonts w:ascii="宋体" w:hAnsi="宋体" w:eastAsia="宋体"/>
                <w:color w:val="000000" w:themeColor="text1"/>
                <w:sz w:val="24"/>
                <w:szCs w:val="24"/>
                <w:highlight w:val="none"/>
              </w:rPr>
            </w:pPr>
            <w:r>
              <w:rPr>
                <w:rFonts w:ascii="宋体" w:hAnsi="宋体" w:eastAsia="宋体"/>
                <w:color w:val="000000" w:themeColor="text1"/>
                <w:sz w:val="24"/>
                <w:szCs w:val="24"/>
                <w:highlight w:val="none"/>
              </w:rPr>
              <w:t>9</w:t>
            </w:r>
          </w:p>
        </w:tc>
        <w:tc>
          <w:tcPr>
            <w:tcW w:w="2098" w:type="dxa"/>
            <w:vAlign w:val="center"/>
          </w:tcPr>
          <w:p w14:paraId="72950EF0">
            <w:pPr>
              <w:widowControl/>
              <w:spacing w:line="360" w:lineRule="auto"/>
              <w:jc w:val="center"/>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是否允许备选方案</w:t>
            </w:r>
          </w:p>
        </w:tc>
        <w:tc>
          <w:tcPr>
            <w:tcW w:w="6349" w:type="dxa"/>
            <w:vAlign w:val="center"/>
          </w:tcPr>
          <w:p w14:paraId="5B6AF8A2">
            <w:pPr>
              <w:widowControl/>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否</w:t>
            </w:r>
          </w:p>
        </w:tc>
      </w:tr>
      <w:tr w14:paraId="51E014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4536106B">
            <w:pPr>
              <w:widowControl/>
              <w:spacing w:line="360" w:lineRule="auto"/>
              <w:jc w:val="center"/>
              <w:rPr>
                <w:rFonts w:ascii="宋体" w:hAnsi="宋体" w:eastAsia="宋体"/>
                <w:color w:val="000000" w:themeColor="text1"/>
                <w:sz w:val="24"/>
                <w:szCs w:val="24"/>
                <w:highlight w:val="none"/>
              </w:rPr>
            </w:pPr>
            <w:r>
              <w:rPr>
                <w:rFonts w:ascii="宋体" w:hAnsi="宋体" w:eastAsia="宋体"/>
                <w:color w:val="000000" w:themeColor="text1"/>
                <w:sz w:val="24"/>
                <w:szCs w:val="24"/>
                <w:highlight w:val="none"/>
              </w:rPr>
              <w:t>10</w:t>
            </w:r>
          </w:p>
        </w:tc>
        <w:tc>
          <w:tcPr>
            <w:tcW w:w="2098" w:type="dxa"/>
            <w:vAlign w:val="center"/>
          </w:tcPr>
          <w:p w14:paraId="4620AA2B">
            <w:pPr>
              <w:widowControl/>
              <w:spacing w:line="360" w:lineRule="auto"/>
              <w:jc w:val="center"/>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本次投标的最小单元要求</w:t>
            </w:r>
          </w:p>
        </w:tc>
        <w:tc>
          <w:tcPr>
            <w:tcW w:w="6349" w:type="dxa"/>
            <w:vAlign w:val="center"/>
          </w:tcPr>
          <w:p w14:paraId="6E2D1088">
            <w:pPr>
              <w:widowControl/>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本次投标的最小单元为“包”，不能对包中的内容或者分项内容进行不完全投标。任何不完全的投标将按照无效投标处理。</w:t>
            </w:r>
          </w:p>
        </w:tc>
      </w:tr>
      <w:tr w14:paraId="48FE72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1C75321E">
            <w:pPr>
              <w:widowControl/>
              <w:spacing w:line="360" w:lineRule="auto"/>
              <w:jc w:val="center"/>
              <w:rPr>
                <w:rFonts w:ascii="宋体" w:hAnsi="宋体" w:eastAsia="宋体"/>
                <w:color w:val="000000" w:themeColor="text1"/>
                <w:sz w:val="24"/>
                <w:szCs w:val="24"/>
                <w:highlight w:val="none"/>
              </w:rPr>
            </w:pPr>
            <w:r>
              <w:rPr>
                <w:rFonts w:hint="eastAsia" w:ascii="宋体" w:hAnsi="宋体" w:eastAsia="宋体"/>
                <w:b/>
                <w:color w:val="000000" w:themeColor="text1"/>
                <w:sz w:val="24"/>
                <w:szCs w:val="24"/>
                <w:highlight w:val="none"/>
              </w:rPr>
              <w:t>*</w:t>
            </w:r>
            <w:r>
              <w:rPr>
                <w:rFonts w:ascii="宋体" w:hAnsi="宋体" w:eastAsia="宋体"/>
                <w:color w:val="000000" w:themeColor="text1"/>
                <w:sz w:val="24"/>
                <w:szCs w:val="24"/>
                <w:highlight w:val="none"/>
              </w:rPr>
              <w:t>11</w:t>
            </w:r>
          </w:p>
        </w:tc>
        <w:tc>
          <w:tcPr>
            <w:tcW w:w="2098" w:type="dxa"/>
            <w:vAlign w:val="center"/>
          </w:tcPr>
          <w:p w14:paraId="57106716">
            <w:pPr>
              <w:widowControl/>
              <w:spacing w:line="360" w:lineRule="auto"/>
              <w:jc w:val="center"/>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投标人资格证明文件</w:t>
            </w:r>
          </w:p>
        </w:tc>
        <w:tc>
          <w:tcPr>
            <w:tcW w:w="6349" w:type="dxa"/>
            <w:vAlign w:val="center"/>
          </w:tcPr>
          <w:p w14:paraId="2B4FAE0E">
            <w:pPr>
              <w:widowControl/>
              <w:spacing w:line="360" w:lineRule="auto"/>
              <w:jc w:val="left"/>
              <w:rPr>
                <w:rFonts w:ascii="宋体" w:hAnsi="宋体" w:eastAsia="宋体" w:cs="宋体"/>
                <w:color w:val="000000" w:themeColor="text1"/>
                <w:kern w:val="0"/>
                <w:sz w:val="24"/>
                <w:szCs w:val="24"/>
                <w:highlight w:val="none"/>
              </w:rPr>
            </w:pPr>
            <w:r>
              <w:rPr>
                <w:rFonts w:hint="eastAsia" w:ascii="宋体" w:hAnsi="宋体" w:eastAsia="宋体" w:cs="宋体"/>
                <w:b/>
                <w:bCs/>
                <w:color w:val="000000" w:themeColor="text1"/>
                <w:kern w:val="0"/>
                <w:sz w:val="24"/>
                <w:szCs w:val="24"/>
                <w:highlight w:val="none"/>
              </w:rPr>
              <w:t>（一）有效的主体资格证明。</w:t>
            </w:r>
          </w:p>
          <w:p w14:paraId="2AD51A9E">
            <w:pPr>
              <w:widowControl/>
              <w:spacing w:line="360" w:lineRule="auto"/>
              <w:jc w:val="left"/>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企业法人应提供合法有效的标识有统一社会信用代码的营业执照；事业法人应提供事业单位法人证书；其他组织应提供合法登记证明文件；</w:t>
            </w:r>
            <w:r>
              <w:rPr>
                <w:rFonts w:ascii="宋体" w:hAnsi="宋体" w:eastAsia="宋体" w:cs="宋体"/>
                <w:color w:val="000000" w:themeColor="text1"/>
                <w:kern w:val="0"/>
                <w:sz w:val="24"/>
                <w:szCs w:val="24"/>
                <w:highlight w:val="none"/>
              </w:rPr>
              <w:t>投标人为自然人的提供身份证</w:t>
            </w:r>
            <w:r>
              <w:rPr>
                <w:rFonts w:hint="eastAsia" w:ascii="宋体" w:hAnsi="宋体" w:eastAsia="宋体" w:cs="宋体"/>
                <w:color w:val="000000" w:themeColor="text1"/>
                <w:kern w:val="0"/>
                <w:sz w:val="24"/>
                <w:szCs w:val="24"/>
                <w:highlight w:val="none"/>
              </w:rPr>
              <w:t>明文件。</w:t>
            </w:r>
          </w:p>
          <w:p w14:paraId="4C6AD678">
            <w:pPr>
              <w:widowControl/>
              <w:spacing w:line="360" w:lineRule="auto"/>
              <w:jc w:val="left"/>
              <w:rPr>
                <w:rFonts w:ascii="宋体" w:hAnsi="宋体" w:eastAsia="宋体" w:cs="宋体"/>
                <w:b/>
                <w:bCs/>
                <w:color w:val="000000" w:themeColor="text1"/>
                <w:kern w:val="0"/>
                <w:sz w:val="24"/>
                <w:szCs w:val="24"/>
                <w:highlight w:val="none"/>
              </w:rPr>
            </w:pPr>
            <w:r>
              <w:rPr>
                <w:rFonts w:hint="eastAsia" w:ascii="宋体" w:hAnsi="宋体" w:eastAsia="宋体" w:cs="宋体"/>
                <w:b/>
                <w:bCs/>
                <w:color w:val="000000" w:themeColor="text1"/>
                <w:kern w:val="0"/>
                <w:sz w:val="24"/>
                <w:szCs w:val="24"/>
                <w:highlight w:val="none"/>
              </w:rPr>
              <w:t>（二）法定代表人授权书。</w:t>
            </w:r>
          </w:p>
          <w:p w14:paraId="39B2A6D7">
            <w:pPr>
              <w:widowControl/>
              <w:spacing w:line="360" w:lineRule="auto"/>
              <w:jc w:val="left"/>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法定代表人直接投标，须提交法定代表人身份证明书和身份证复印件。法定代表人授权代表参加投标的，须出具法定代表人授权书及授权代表身份证复印件。</w:t>
            </w:r>
          </w:p>
          <w:p w14:paraId="15B75981">
            <w:pPr>
              <w:widowControl/>
              <w:spacing w:line="360" w:lineRule="auto"/>
              <w:jc w:val="left"/>
              <w:rPr>
                <w:rFonts w:ascii="宋体" w:hAnsi="宋体" w:eastAsia="宋体" w:cs="宋体"/>
                <w:color w:val="000000" w:themeColor="text1"/>
                <w:kern w:val="0"/>
                <w:sz w:val="24"/>
                <w:szCs w:val="24"/>
                <w:highlight w:val="none"/>
              </w:rPr>
            </w:pPr>
            <w:r>
              <w:rPr>
                <w:rFonts w:hint="eastAsia" w:ascii="宋体" w:hAnsi="宋体" w:eastAsia="宋体" w:cs="宋体"/>
                <w:b/>
                <w:bCs/>
                <w:color w:val="000000" w:themeColor="text1"/>
                <w:kern w:val="0"/>
                <w:sz w:val="24"/>
                <w:szCs w:val="24"/>
                <w:highlight w:val="none"/>
              </w:rPr>
              <w:t>（三）财务状况报告。</w:t>
            </w:r>
          </w:p>
          <w:p w14:paraId="35F163B5">
            <w:pPr>
              <w:widowControl/>
              <w:spacing w:line="360" w:lineRule="auto"/>
              <w:jc w:val="left"/>
              <w:rPr>
                <w:rFonts w:ascii="宋体" w:hAnsi="宋体" w:eastAsia="宋体"/>
                <w:color w:val="000000" w:themeColor="text1"/>
                <w:sz w:val="24"/>
                <w:szCs w:val="24"/>
                <w:highlight w:val="none"/>
              </w:rPr>
            </w:pPr>
            <w:bookmarkStart w:id="20" w:name="OLE_LINK6"/>
            <w:bookmarkStart w:id="21" w:name="OLE_LINK7"/>
            <w:r>
              <w:rPr>
                <w:rFonts w:hint="eastAsia" w:ascii="宋体" w:hAnsi="宋体" w:eastAsia="宋体"/>
                <w:color w:val="000000" w:themeColor="text1"/>
                <w:sz w:val="24"/>
                <w:szCs w:val="24"/>
                <w:highlight w:val="none"/>
              </w:rPr>
              <w:t>提供</w:t>
            </w:r>
            <w:r>
              <w:rPr>
                <w:rFonts w:ascii="宋体" w:hAnsi="宋体" w:eastAsia="宋体"/>
                <w:color w:val="000000" w:themeColor="text1"/>
                <w:sz w:val="24"/>
                <w:szCs w:val="24"/>
                <w:highlight w:val="none"/>
              </w:rPr>
              <w:t>2024年度经审计的财务报告（包含审计报告和审计报告中所涉及的财务报表和报表附注</w:t>
            </w:r>
            <w:r>
              <w:rPr>
                <w:rFonts w:hint="eastAsia" w:ascii="宋体" w:hAnsi="宋体" w:eastAsia="宋体"/>
                <w:color w:val="000000" w:themeColor="text1"/>
                <w:sz w:val="24"/>
                <w:szCs w:val="24"/>
                <w:highlight w:val="none"/>
              </w:rPr>
              <w:t>和会计事务所的资质</w:t>
            </w:r>
            <w:r>
              <w:rPr>
                <w:rFonts w:ascii="宋体" w:hAnsi="宋体" w:eastAsia="宋体"/>
                <w:color w:val="000000" w:themeColor="text1"/>
                <w:sz w:val="24"/>
                <w:szCs w:val="24"/>
                <w:highlight w:val="none"/>
              </w:rPr>
              <w:t>），或提供2025年1月1日以来银行出具的资信证明，或提供财政部门认可的政府采购专业担保机构出具的响应担保函，或供应商注册时间至投标文件提交截止日不足一年的，也可提供在工商管理部门备案的公司章程（以上</w:t>
            </w:r>
            <w:r>
              <w:rPr>
                <w:rFonts w:hint="eastAsia" w:ascii="宋体" w:hAnsi="宋体" w:eastAsia="宋体"/>
                <w:color w:val="000000" w:themeColor="text1"/>
                <w:sz w:val="24"/>
                <w:szCs w:val="24"/>
                <w:highlight w:val="none"/>
              </w:rPr>
              <w:t>四</w:t>
            </w:r>
            <w:r>
              <w:rPr>
                <w:rFonts w:ascii="宋体" w:hAnsi="宋体" w:eastAsia="宋体"/>
                <w:color w:val="000000" w:themeColor="text1"/>
                <w:sz w:val="24"/>
                <w:szCs w:val="24"/>
                <w:highlight w:val="none"/>
              </w:rPr>
              <w:t>种形式的资料提供任何一种即可）</w:t>
            </w:r>
            <w:r>
              <w:rPr>
                <w:rFonts w:hint="eastAsia" w:ascii="宋体" w:hAnsi="宋体" w:eastAsia="宋体"/>
                <w:color w:val="000000" w:themeColor="text1"/>
                <w:sz w:val="24"/>
                <w:szCs w:val="24"/>
                <w:highlight w:val="none"/>
              </w:rPr>
              <w:t>。</w:t>
            </w:r>
            <w:bookmarkEnd w:id="20"/>
            <w:bookmarkEnd w:id="21"/>
          </w:p>
          <w:p w14:paraId="088AF94A">
            <w:pPr>
              <w:widowControl/>
              <w:spacing w:line="360" w:lineRule="auto"/>
              <w:jc w:val="left"/>
              <w:rPr>
                <w:rFonts w:ascii="宋体" w:hAnsi="宋体" w:eastAsia="宋体" w:cs="宋体"/>
                <w:b/>
                <w:bCs/>
                <w:color w:val="000000" w:themeColor="text1"/>
                <w:kern w:val="0"/>
                <w:sz w:val="24"/>
                <w:szCs w:val="24"/>
                <w:highlight w:val="none"/>
              </w:rPr>
            </w:pPr>
            <w:r>
              <w:rPr>
                <w:rFonts w:hint="eastAsia" w:ascii="宋体" w:hAnsi="宋体" w:eastAsia="宋体" w:cs="宋体"/>
                <w:b/>
                <w:bCs/>
                <w:color w:val="000000" w:themeColor="text1"/>
                <w:kern w:val="0"/>
                <w:sz w:val="24"/>
                <w:szCs w:val="24"/>
                <w:highlight w:val="none"/>
              </w:rPr>
              <w:t>（四）社会保障资金缴纳证明。</w:t>
            </w:r>
          </w:p>
          <w:p w14:paraId="568A39E3">
            <w:pPr>
              <w:widowControl/>
              <w:spacing w:line="360" w:lineRule="auto"/>
              <w:jc w:val="left"/>
              <w:rPr>
                <w:rFonts w:ascii="宋体" w:hAnsi="宋体" w:eastAsia="宋体"/>
                <w:color w:val="000000" w:themeColor="text1"/>
                <w:kern w:val="0"/>
                <w:sz w:val="24"/>
                <w:szCs w:val="24"/>
                <w:highlight w:val="none"/>
              </w:rPr>
            </w:pPr>
            <w:r>
              <w:rPr>
                <w:rFonts w:hint="eastAsia" w:ascii="宋体" w:hAnsi="宋体" w:eastAsia="宋体"/>
                <w:color w:val="000000" w:themeColor="text1"/>
                <w:kern w:val="0"/>
                <w:sz w:val="24"/>
                <w:szCs w:val="24"/>
                <w:highlight w:val="none"/>
              </w:rPr>
              <w:t>提供2025年1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w:t>
            </w:r>
          </w:p>
          <w:p w14:paraId="0FDBA78A">
            <w:pPr>
              <w:widowControl/>
              <w:spacing w:line="360" w:lineRule="auto"/>
              <w:jc w:val="left"/>
              <w:rPr>
                <w:rFonts w:ascii="宋体" w:hAnsi="宋体" w:eastAsia="宋体" w:cs="宋体"/>
                <w:color w:val="000000" w:themeColor="text1"/>
                <w:kern w:val="0"/>
                <w:sz w:val="24"/>
                <w:szCs w:val="24"/>
                <w:highlight w:val="none"/>
              </w:rPr>
            </w:pPr>
            <w:r>
              <w:rPr>
                <w:rFonts w:hint="eastAsia" w:ascii="宋体" w:hAnsi="宋体" w:eastAsia="宋体" w:cs="宋体"/>
                <w:b/>
                <w:bCs/>
                <w:color w:val="000000" w:themeColor="text1"/>
                <w:kern w:val="0"/>
                <w:sz w:val="24"/>
                <w:szCs w:val="24"/>
                <w:highlight w:val="none"/>
              </w:rPr>
              <w:t>（五）税收缴纳证明。</w:t>
            </w:r>
          </w:p>
          <w:p w14:paraId="78B70616">
            <w:pPr>
              <w:widowControl/>
              <w:spacing w:line="360" w:lineRule="auto"/>
              <w:jc w:val="left"/>
              <w:rPr>
                <w:rFonts w:ascii="宋体" w:hAnsi="宋体" w:eastAsia="宋体"/>
                <w:color w:val="000000" w:themeColor="text1"/>
                <w:kern w:val="0"/>
                <w:sz w:val="24"/>
                <w:szCs w:val="24"/>
                <w:highlight w:val="none"/>
              </w:rPr>
            </w:pPr>
            <w:r>
              <w:rPr>
                <w:rFonts w:hint="eastAsia" w:ascii="宋体" w:hAnsi="宋体" w:eastAsia="宋体"/>
                <w:color w:val="000000" w:themeColor="text1"/>
                <w:kern w:val="0"/>
                <w:sz w:val="24"/>
                <w:szCs w:val="24"/>
                <w:highlight w:val="none"/>
              </w:rPr>
              <w:t>提供2025年1月1日至投标文件递交截止日已缴纳的任意一个月的纳税证明或完税证明（时间以税款所属日期为准，提供增值税、企业所得税、附加税至少一种），纳税证明或完税证明上应有代收机构或税务机关的公章，依法免税的单位应提供相关证明材料（以上二种形式的资料提供任何一种即可）。</w:t>
            </w:r>
          </w:p>
          <w:p w14:paraId="20717999">
            <w:pPr>
              <w:widowControl/>
              <w:spacing w:line="360" w:lineRule="auto"/>
              <w:jc w:val="left"/>
              <w:rPr>
                <w:rFonts w:ascii="宋体" w:hAnsi="宋体" w:eastAsia="宋体" w:cs="宋体"/>
                <w:b/>
                <w:bCs/>
                <w:color w:val="000000" w:themeColor="text1"/>
                <w:kern w:val="0"/>
                <w:sz w:val="24"/>
                <w:szCs w:val="24"/>
                <w:highlight w:val="none"/>
              </w:rPr>
            </w:pPr>
            <w:r>
              <w:rPr>
                <w:rFonts w:hint="eastAsia" w:ascii="宋体" w:hAnsi="宋体" w:eastAsia="宋体" w:cs="宋体"/>
                <w:b/>
                <w:bCs/>
                <w:color w:val="000000" w:themeColor="text1"/>
                <w:kern w:val="0"/>
                <w:sz w:val="24"/>
                <w:szCs w:val="24"/>
                <w:highlight w:val="none"/>
              </w:rPr>
              <w:t>（六）</w:t>
            </w:r>
            <w:r>
              <w:rPr>
                <w:rFonts w:hint="eastAsia" w:ascii="宋体" w:hAnsi="宋体" w:eastAsia="宋体"/>
                <w:b/>
                <w:color w:val="000000" w:themeColor="text1"/>
                <w:sz w:val="24"/>
                <w:szCs w:val="24"/>
                <w:highlight w:val="none"/>
              </w:rPr>
              <w:t>信用记录声明</w:t>
            </w:r>
            <w:r>
              <w:rPr>
                <w:rFonts w:hint="eastAsia" w:ascii="宋体" w:hAnsi="宋体" w:eastAsia="宋体" w:cs="宋体"/>
                <w:b/>
                <w:bCs/>
                <w:color w:val="000000" w:themeColor="text1"/>
                <w:kern w:val="0"/>
                <w:sz w:val="24"/>
                <w:szCs w:val="24"/>
                <w:highlight w:val="none"/>
              </w:rPr>
              <w:t>。</w:t>
            </w:r>
          </w:p>
          <w:p w14:paraId="3C52A2F2">
            <w:pPr>
              <w:widowControl/>
              <w:spacing w:line="360" w:lineRule="auto"/>
              <w:jc w:val="left"/>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提供《供应商信用记录书面声明函》（按格式填写，提供原件）。经查，投标人未被列入“信用中国”网站记录的“失信被执行人”或“重大税收违法失信主体”名单；不处于“中国政府采购网”记录的“政府采购严重违法失信行为记录名单”中的禁止参加政府采购活动期间。</w:t>
            </w:r>
          </w:p>
          <w:p w14:paraId="4941F8E0">
            <w:pPr>
              <w:widowControl/>
              <w:spacing w:line="360" w:lineRule="auto"/>
              <w:jc w:val="left"/>
              <w:rPr>
                <w:rFonts w:ascii="宋体" w:hAnsi="宋体" w:eastAsia="宋体" w:cs="宋体"/>
                <w:color w:val="000000" w:themeColor="text1"/>
                <w:kern w:val="0"/>
                <w:sz w:val="24"/>
                <w:szCs w:val="24"/>
                <w:highlight w:val="none"/>
              </w:rPr>
            </w:pPr>
            <w:r>
              <w:rPr>
                <w:rFonts w:hint="eastAsia" w:ascii="宋体" w:hAnsi="宋体" w:eastAsia="宋体" w:cs="宋体"/>
                <w:b/>
                <w:bCs/>
                <w:color w:val="000000" w:themeColor="text1"/>
                <w:kern w:val="0"/>
                <w:sz w:val="24"/>
                <w:szCs w:val="24"/>
                <w:highlight w:val="none"/>
              </w:rPr>
              <w:t>（七）具有履行合同所必需的设备和专业技术能力。</w:t>
            </w:r>
          </w:p>
          <w:p w14:paraId="02F596D9">
            <w:pPr>
              <w:widowControl/>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提供具有履行合同所必需的设备和专业技术能力的承诺书。</w:t>
            </w:r>
            <w:bookmarkStart w:id="22" w:name="OLE_LINK5"/>
            <w:bookmarkStart w:id="23" w:name="OLE_LINK4"/>
          </w:p>
          <w:p w14:paraId="22A8C4C5">
            <w:pPr>
              <w:spacing w:line="360" w:lineRule="auto"/>
              <w:rPr>
                <w:rFonts w:ascii="宋体" w:hAnsi="宋体" w:eastAsia="宋体"/>
                <w:color w:val="000000" w:themeColor="text1"/>
                <w:sz w:val="24"/>
                <w:szCs w:val="24"/>
                <w:highlight w:val="none"/>
              </w:rPr>
            </w:pPr>
            <w:r>
              <w:rPr>
                <w:rFonts w:hint="eastAsia" w:ascii="宋体" w:hAnsi="宋体" w:eastAsia="宋体" w:cs="宋体"/>
                <w:b/>
                <w:bCs/>
                <w:color w:val="000000" w:themeColor="text1"/>
                <w:kern w:val="0"/>
                <w:sz w:val="24"/>
                <w:szCs w:val="24"/>
                <w:highlight w:val="none"/>
              </w:rPr>
              <w:t>（八）中小企业声明函（只针对合同包2）</w:t>
            </w:r>
          </w:p>
          <w:p w14:paraId="3F918D6A">
            <w:pPr>
              <w:spacing w:line="360" w:lineRule="auto"/>
              <w:rPr>
                <w:rFonts w:ascii="宋体" w:hAnsi="宋体" w:eastAsia="宋体"/>
                <w:color w:val="000000" w:themeColor="text1"/>
                <w:sz w:val="24"/>
                <w:szCs w:val="24"/>
                <w:highlight w:val="none"/>
              </w:rPr>
            </w:pPr>
            <w:r>
              <w:rPr>
                <w:rFonts w:hint="eastAsia" w:ascii="宋体" w:hAnsi="宋体" w:eastAsia="宋体" w:cs="宋体"/>
                <w:b/>
                <w:bCs/>
                <w:color w:val="000000" w:themeColor="text1"/>
                <w:kern w:val="0"/>
                <w:sz w:val="24"/>
                <w:szCs w:val="24"/>
                <w:highlight w:val="none"/>
              </w:rPr>
              <w:t>本合同包为专门面向中小企业采购，</w:t>
            </w:r>
            <w:r>
              <w:rPr>
                <w:rFonts w:hint="eastAsia" w:ascii="宋体" w:hAnsi="宋体" w:eastAsia="宋体"/>
                <w:color w:val="000000" w:themeColor="text1"/>
                <w:sz w:val="24"/>
                <w:szCs w:val="24"/>
                <w:highlight w:val="none"/>
              </w:rPr>
              <w:t>投标产品的制造商应为中型企业或小型、微型企业或监狱企业或残疾人福利性单位。投标产品的制造商为中型、小型、微型企业的，投标人提供《中小企业声明函》，且中小企业的划分标准所属行业为</w:t>
            </w:r>
            <w:r>
              <w:rPr>
                <w:rFonts w:hint="eastAsia" w:ascii="宋体" w:hAnsi="宋体" w:eastAsia="宋体"/>
                <w:b/>
                <w:color w:val="000000" w:themeColor="text1"/>
                <w:sz w:val="24"/>
                <w:szCs w:val="24"/>
                <w:highlight w:val="none"/>
              </w:rPr>
              <w:t>工业</w:t>
            </w:r>
            <w:r>
              <w:rPr>
                <w:rFonts w:hint="eastAsia" w:ascii="宋体" w:hAnsi="宋体" w:eastAsia="宋体"/>
                <w:color w:val="000000" w:themeColor="text1"/>
                <w:sz w:val="24"/>
                <w:szCs w:val="24"/>
                <w:highlight w:val="none"/>
              </w:rPr>
              <w:t>；投标产品的制造商为监狱企业的，投标人应提供投标产品制造商为监狱企业的证明文件（监狱企业视同小型、微型企业）；投标产品的制造商为残疾人福利性单位的，投标人应提供投标产品制造商为残疾人福利性单位的《残疾人福利性单位声明函》（残疾人福利性单位视同小型、微型企业）。</w:t>
            </w:r>
          </w:p>
          <w:bookmarkEnd w:id="22"/>
          <w:bookmarkEnd w:id="23"/>
          <w:p w14:paraId="4DEAEFCD">
            <w:pPr>
              <w:widowControl/>
              <w:spacing w:line="360" w:lineRule="auto"/>
              <w:jc w:val="left"/>
              <w:rPr>
                <w:rFonts w:ascii="宋体" w:hAnsi="宋体" w:eastAsia="宋体"/>
                <w:color w:val="000000" w:themeColor="text1"/>
                <w:sz w:val="24"/>
                <w:szCs w:val="24"/>
                <w:highlight w:val="none"/>
              </w:rPr>
            </w:pPr>
            <w:r>
              <w:rPr>
                <w:rFonts w:hint="eastAsia" w:ascii="宋体" w:hAnsi="宋体" w:eastAsia="宋体" w:cs="宋体"/>
                <w:b/>
                <w:bCs/>
                <w:color w:val="000000" w:themeColor="text1"/>
                <w:kern w:val="0"/>
                <w:sz w:val="24"/>
                <w:szCs w:val="24"/>
                <w:highlight w:val="none"/>
              </w:rPr>
              <w:t>注：以上资格证明文件投标人必须完全提供，一项不合格即按照无效投标处理。</w:t>
            </w:r>
          </w:p>
        </w:tc>
      </w:tr>
      <w:tr w14:paraId="60944B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647E48D7">
            <w:pPr>
              <w:widowControl/>
              <w:spacing w:line="360" w:lineRule="auto"/>
              <w:jc w:val="center"/>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1</w:t>
            </w:r>
            <w:r>
              <w:rPr>
                <w:rFonts w:ascii="宋体" w:hAnsi="宋体" w:eastAsia="宋体"/>
                <w:color w:val="000000" w:themeColor="text1"/>
                <w:sz w:val="24"/>
                <w:szCs w:val="24"/>
                <w:highlight w:val="none"/>
              </w:rPr>
              <w:t>2</w:t>
            </w:r>
          </w:p>
        </w:tc>
        <w:tc>
          <w:tcPr>
            <w:tcW w:w="2098" w:type="dxa"/>
            <w:vAlign w:val="center"/>
          </w:tcPr>
          <w:p w14:paraId="5BBD5F55">
            <w:pPr>
              <w:widowControl/>
              <w:spacing w:line="360" w:lineRule="auto"/>
              <w:jc w:val="center"/>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投标保证金</w:t>
            </w:r>
          </w:p>
        </w:tc>
        <w:tc>
          <w:tcPr>
            <w:tcW w:w="6349" w:type="dxa"/>
            <w:vAlign w:val="center"/>
          </w:tcPr>
          <w:p w14:paraId="0AFF2A0E">
            <w:pPr>
              <w:widowControl/>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参与投标的供应商必须在投标截止时间前，按照采购代理机构指定账户以转帐方式交纳投标保证金。</w:t>
            </w:r>
          </w:p>
          <w:p w14:paraId="79FD1D52">
            <w:pPr>
              <w:widowControl/>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1</w:t>
            </w:r>
            <w:r>
              <w:rPr>
                <w:rFonts w:ascii="宋体" w:hAnsi="宋体" w:eastAsia="宋体"/>
                <w:color w:val="000000" w:themeColor="text1"/>
                <w:sz w:val="24"/>
                <w:szCs w:val="24"/>
                <w:highlight w:val="none"/>
              </w:rPr>
              <w:t>.</w:t>
            </w:r>
            <w:r>
              <w:rPr>
                <w:rFonts w:hint="eastAsia" w:ascii="宋体" w:hAnsi="宋体" w:eastAsia="宋体"/>
                <w:color w:val="000000" w:themeColor="text1"/>
                <w:sz w:val="24"/>
                <w:szCs w:val="24"/>
                <w:highlight w:val="none"/>
              </w:rPr>
              <w:t>缴纳形式：网银、支票、汇票、本票或者金融机构、担保机构出具的保函等非现金形式提交（需通过实体账户、户名及开户行信息提交）。</w:t>
            </w:r>
          </w:p>
          <w:p w14:paraId="7E5AC281">
            <w:pPr>
              <w:widowControl/>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2</w:t>
            </w:r>
            <w:r>
              <w:rPr>
                <w:rFonts w:ascii="宋体" w:hAnsi="宋体" w:eastAsia="宋体"/>
                <w:color w:val="000000" w:themeColor="text1"/>
                <w:sz w:val="24"/>
                <w:szCs w:val="24"/>
                <w:highlight w:val="none"/>
              </w:rPr>
              <w:t>.</w:t>
            </w:r>
            <w:r>
              <w:rPr>
                <w:rFonts w:hint="eastAsia" w:ascii="宋体" w:hAnsi="宋体" w:eastAsia="宋体"/>
                <w:color w:val="000000" w:themeColor="text1"/>
                <w:sz w:val="24"/>
                <w:szCs w:val="24"/>
                <w:highlight w:val="none"/>
              </w:rPr>
              <w:t>保证金金额：每包¥50,000.00</w:t>
            </w:r>
            <w:r>
              <w:rPr>
                <w:rFonts w:ascii="宋体" w:hAnsi="宋体" w:eastAsia="宋体"/>
                <w:color w:val="000000" w:themeColor="text1"/>
                <w:sz w:val="24"/>
                <w:szCs w:val="24"/>
                <w:highlight w:val="none"/>
              </w:rPr>
              <w:t>元。</w:t>
            </w:r>
          </w:p>
          <w:p w14:paraId="7AE4C878">
            <w:pPr>
              <w:widowControl/>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3</w:t>
            </w:r>
            <w:r>
              <w:rPr>
                <w:rFonts w:ascii="宋体" w:hAnsi="宋体" w:eastAsia="宋体"/>
                <w:color w:val="000000" w:themeColor="text1"/>
                <w:sz w:val="24"/>
                <w:szCs w:val="24"/>
                <w:highlight w:val="none"/>
              </w:rPr>
              <w:t>.</w:t>
            </w:r>
            <w:r>
              <w:rPr>
                <w:rFonts w:hint="eastAsia" w:ascii="宋体" w:hAnsi="宋体" w:eastAsia="宋体"/>
                <w:color w:val="000000" w:themeColor="text1"/>
                <w:sz w:val="24"/>
                <w:szCs w:val="24"/>
                <w:highlight w:val="none"/>
              </w:rPr>
              <w:t>保证金收款账号信息：</w:t>
            </w:r>
          </w:p>
          <w:p w14:paraId="35EB9C4E">
            <w:pPr>
              <w:widowControl/>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开户单位：宝鸡市公共资源交易中心保证金专户</w:t>
            </w:r>
          </w:p>
          <w:p w14:paraId="2AD827CA">
            <w:pPr>
              <w:widowControl/>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开户银行：长安银行股份有限公司宝鸡分行营业部</w:t>
            </w:r>
          </w:p>
          <w:p w14:paraId="74A60A92">
            <w:pPr>
              <w:widowControl/>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账</w:t>
            </w:r>
            <w:r>
              <w:rPr>
                <w:rFonts w:ascii="宋体" w:hAnsi="宋体" w:eastAsia="宋体"/>
                <w:color w:val="000000" w:themeColor="text1"/>
                <w:sz w:val="24"/>
                <w:szCs w:val="24"/>
                <w:highlight w:val="none"/>
              </w:rPr>
              <w:t>号：（包1）</w:t>
            </w:r>
            <w:r>
              <w:rPr>
                <w:rFonts w:hint="eastAsia" w:ascii="宋体" w:hAnsi="宋体" w:eastAsia="宋体"/>
                <w:color w:val="000000" w:themeColor="text1"/>
                <w:sz w:val="24"/>
                <w:szCs w:val="24"/>
                <w:highlight w:val="none"/>
              </w:rPr>
              <w:t>80602000142101980615497</w:t>
            </w:r>
          </w:p>
          <w:p w14:paraId="417B46DA">
            <w:pPr>
              <w:widowControl/>
              <w:spacing w:line="360" w:lineRule="auto"/>
              <w:ind w:firstLine="720" w:firstLineChars="300"/>
              <w:jc w:val="left"/>
              <w:rPr>
                <w:rFonts w:ascii="宋体" w:hAnsi="宋体" w:eastAsia="宋体"/>
                <w:color w:val="000000" w:themeColor="text1"/>
                <w:sz w:val="24"/>
                <w:szCs w:val="24"/>
                <w:highlight w:val="none"/>
              </w:rPr>
            </w:pPr>
            <w:r>
              <w:rPr>
                <w:rFonts w:ascii="宋体" w:hAnsi="宋体" w:eastAsia="宋体"/>
                <w:color w:val="000000" w:themeColor="text1"/>
                <w:sz w:val="24"/>
                <w:szCs w:val="24"/>
                <w:highlight w:val="none"/>
              </w:rPr>
              <w:t>（包2）</w:t>
            </w:r>
            <w:r>
              <w:rPr>
                <w:rFonts w:hint="eastAsia" w:ascii="宋体" w:hAnsi="宋体" w:eastAsia="宋体"/>
                <w:color w:val="000000" w:themeColor="text1"/>
                <w:sz w:val="24"/>
                <w:szCs w:val="24"/>
                <w:highlight w:val="none"/>
              </w:rPr>
              <w:t>80602000142101980615496</w:t>
            </w:r>
            <w:bookmarkStart w:id="88" w:name="_GoBack"/>
            <w:bookmarkEnd w:id="88"/>
          </w:p>
          <w:p w14:paraId="3159E433">
            <w:pPr>
              <w:widowControl/>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转账时必须备注：2</w:t>
            </w:r>
            <w:r>
              <w:rPr>
                <w:rFonts w:ascii="宋体" w:hAnsi="宋体" w:eastAsia="宋体"/>
                <w:color w:val="000000" w:themeColor="text1"/>
                <w:sz w:val="24"/>
                <w:szCs w:val="24"/>
                <w:highlight w:val="none"/>
              </w:rPr>
              <w:t>50614-10884（2）</w:t>
            </w:r>
            <w:r>
              <w:rPr>
                <w:rFonts w:hint="eastAsia" w:ascii="宋体" w:hAnsi="宋体" w:eastAsia="宋体"/>
                <w:color w:val="000000" w:themeColor="text1"/>
                <w:sz w:val="24"/>
                <w:szCs w:val="24"/>
                <w:highlight w:val="none"/>
              </w:rPr>
              <w:t>保证金</w:t>
            </w:r>
            <w:r>
              <w:rPr>
                <w:rFonts w:ascii="宋体" w:hAnsi="宋体" w:eastAsia="宋体"/>
                <w:color w:val="000000" w:themeColor="text1"/>
                <w:sz w:val="24"/>
                <w:szCs w:val="24"/>
                <w:highlight w:val="none"/>
              </w:rPr>
              <w:t>，否则导致的查账延误责任自负。</w:t>
            </w:r>
          </w:p>
        </w:tc>
      </w:tr>
      <w:tr w14:paraId="1622D0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34231D97">
            <w:pPr>
              <w:widowControl/>
              <w:spacing w:line="360" w:lineRule="auto"/>
              <w:jc w:val="center"/>
              <w:rPr>
                <w:rFonts w:ascii="宋体" w:hAnsi="宋体" w:eastAsia="宋体"/>
                <w:color w:val="000000" w:themeColor="text1"/>
                <w:sz w:val="24"/>
                <w:szCs w:val="24"/>
                <w:highlight w:val="none"/>
              </w:rPr>
            </w:pPr>
            <w:r>
              <w:rPr>
                <w:rFonts w:ascii="宋体" w:hAnsi="宋体" w:eastAsia="宋体"/>
                <w:color w:val="000000" w:themeColor="text1"/>
                <w:sz w:val="24"/>
                <w:szCs w:val="24"/>
                <w:highlight w:val="none"/>
              </w:rPr>
              <w:t>13</w:t>
            </w:r>
          </w:p>
        </w:tc>
        <w:tc>
          <w:tcPr>
            <w:tcW w:w="2098" w:type="dxa"/>
            <w:vAlign w:val="center"/>
          </w:tcPr>
          <w:p w14:paraId="4232FAA1">
            <w:pPr>
              <w:widowControl/>
              <w:spacing w:line="360" w:lineRule="auto"/>
              <w:jc w:val="center"/>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投标保证金的退还</w:t>
            </w:r>
          </w:p>
        </w:tc>
        <w:tc>
          <w:tcPr>
            <w:tcW w:w="6349" w:type="dxa"/>
            <w:vAlign w:val="center"/>
          </w:tcPr>
          <w:p w14:paraId="38C5C4FC">
            <w:pPr>
              <w:widowControl/>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未中标人的投标保证金，在中标通知书发出后五个工作日内退还；中标人的投标保证金，在采购合同签订后五个工作日内退还。</w:t>
            </w:r>
          </w:p>
        </w:tc>
      </w:tr>
      <w:tr w14:paraId="66DAAD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50B3758B">
            <w:pPr>
              <w:widowControl/>
              <w:spacing w:line="360" w:lineRule="auto"/>
              <w:jc w:val="center"/>
              <w:rPr>
                <w:rFonts w:ascii="宋体" w:hAnsi="宋体" w:eastAsia="宋体"/>
                <w:color w:val="000000" w:themeColor="text1"/>
                <w:sz w:val="24"/>
                <w:szCs w:val="24"/>
                <w:highlight w:val="none"/>
              </w:rPr>
            </w:pPr>
            <w:r>
              <w:rPr>
                <w:rFonts w:ascii="宋体" w:hAnsi="宋体" w:eastAsia="宋体"/>
                <w:color w:val="000000" w:themeColor="text1"/>
                <w:sz w:val="24"/>
                <w:szCs w:val="24"/>
                <w:highlight w:val="none"/>
              </w:rPr>
              <w:t>14</w:t>
            </w:r>
          </w:p>
        </w:tc>
        <w:tc>
          <w:tcPr>
            <w:tcW w:w="2098" w:type="dxa"/>
            <w:vAlign w:val="center"/>
          </w:tcPr>
          <w:p w14:paraId="0FB1255F">
            <w:pPr>
              <w:widowControl/>
              <w:spacing w:line="360" w:lineRule="auto"/>
              <w:jc w:val="center"/>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政府采购政策功能</w:t>
            </w:r>
          </w:p>
        </w:tc>
        <w:tc>
          <w:tcPr>
            <w:tcW w:w="6349" w:type="dxa"/>
            <w:vAlign w:val="center"/>
          </w:tcPr>
          <w:p w14:paraId="19F3791E">
            <w:pPr>
              <w:widowControl/>
              <w:spacing w:line="360" w:lineRule="auto"/>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1.根据《陕西省财政厅关于印发的通知》（陕财办采〔2018〕23号，详见本章附件1）相关规定，有融资需求的供应商可根据自身情况，在陕西省政府采购信用融资平台http：//www.ccgpshaanxi.gov.cn/zcdservice/zcd/shanxi/）自主选择金融机构及其融资产品，凭政府采购中标（成交）通知书或政府采购合同提出融资申请。</w:t>
            </w:r>
          </w:p>
          <w:p w14:paraId="2C7A31F1">
            <w:pPr>
              <w:widowControl/>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2.对于投标人符合政府采购政策关于小微企业、残疾人福利性单位及监狱企业等规定的，在评标时给予相应的价格折扣，具体办法详见第八章“评标办法”。</w:t>
            </w:r>
          </w:p>
        </w:tc>
      </w:tr>
      <w:tr w14:paraId="42F2A2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6E37A9D4">
            <w:pPr>
              <w:widowControl/>
              <w:spacing w:line="360" w:lineRule="auto"/>
              <w:jc w:val="center"/>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w:t>
            </w:r>
            <w:r>
              <w:rPr>
                <w:rFonts w:ascii="宋体" w:hAnsi="宋体" w:eastAsia="宋体"/>
                <w:color w:val="000000" w:themeColor="text1"/>
                <w:sz w:val="24"/>
                <w:szCs w:val="24"/>
                <w:highlight w:val="none"/>
              </w:rPr>
              <w:t>15</w:t>
            </w:r>
          </w:p>
        </w:tc>
        <w:tc>
          <w:tcPr>
            <w:tcW w:w="2098" w:type="dxa"/>
            <w:vAlign w:val="center"/>
          </w:tcPr>
          <w:p w14:paraId="687B2D10">
            <w:pPr>
              <w:widowControl/>
              <w:spacing w:line="360" w:lineRule="auto"/>
              <w:jc w:val="center"/>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投标有效期</w:t>
            </w:r>
          </w:p>
        </w:tc>
        <w:tc>
          <w:tcPr>
            <w:tcW w:w="6349" w:type="dxa"/>
            <w:vAlign w:val="center"/>
          </w:tcPr>
          <w:p w14:paraId="587CB32D">
            <w:pPr>
              <w:widowControl/>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投标截止之日起计算不少于</w:t>
            </w:r>
            <w:r>
              <w:rPr>
                <w:rFonts w:ascii="宋体" w:hAnsi="宋体" w:eastAsia="宋体"/>
                <w:color w:val="000000" w:themeColor="text1"/>
                <w:sz w:val="24"/>
                <w:szCs w:val="24"/>
                <w:highlight w:val="none"/>
              </w:rPr>
              <w:t>90天</w:t>
            </w:r>
            <w:r>
              <w:rPr>
                <w:rFonts w:hint="eastAsia" w:ascii="宋体" w:hAnsi="宋体" w:eastAsia="宋体"/>
                <w:color w:val="000000" w:themeColor="text1"/>
                <w:sz w:val="24"/>
                <w:szCs w:val="24"/>
                <w:highlight w:val="none"/>
              </w:rPr>
              <w:t>。</w:t>
            </w:r>
          </w:p>
        </w:tc>
      </w:tr>
      <w:tr w14:paraId="7409FB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71532049">
            <w:pPr>
              <w:widowControl/>
              <w:spacing w:line="360" w:lineRule="auto"/>
              <w:jc w:val="center"/>
              <w:rPr>
                <w:rFonts w:ascii="宋体" w:hAnsi="宋体" w:eastAsia="宋体"/>
                <w:color w:val="000000" w:themeColor="text1"/>
                <w:sz w:val="24"/>
                <w:szCs w:val="24"/>
                <w:highlight w:val="none"/>
              </w:rPr>
            </w:pPr>
            <w:r>
              <w:rPr>
                <w:rFonts w:ascii="宋体" w:hAnsi="宋体" w:eastAsia="宋体"/>
                <w:color w:val="000000" w:themeColor="text1"/>
                <w:sz w:val="24"/>
                <w:szCs w:val="24"/>
                <w:highlight w:val="none"/>
              </w:rPr>
              <w:t>16</w:t>
            </w:r>
          </w:p>
        </w:tc>
        <w:tc>
          <w:tcPr>
            <w:tcW w:w="2098" w:type="dxa"/>
            <w:vAlign w:val="center"/>
          </w:tcPr>
          <w:p w14:paraId="1D0A96A5">
            <w:pPr>
              <w:widowControl/>
              <w:spacing w:line="360" w:lineRule="auto"/>
              <w:jc w:val="center"/>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投标文件份数</w:t>
            </w:r>
          </w:p>
        </w:tc>
        <w:tc>
          <w:tcPr>
            <w:tcW w:w="6349" w:type="dxa"/>
            <w:vAlign w:val="center"/>
          </w:tcPr>
          <w:p w14:paraId="3A41F0D0">
            <w:pPr>
              <w:widowControl/>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1</w:t>
            </w:r>
            <w:r>
              <w:rPr>
                <w:rFonts w:ascii="宋体" w:hAnsi="宋体" w:eastAsia="宋体"/>
                <w:color w:val="000000" w:themeColor="text1"/>
                <w:sz w:val="24"/>
                <w:szCs w:val="24"/>
                <w:highlight w:val="none"/>
              </w:rPr>
              <w:t>.</w:t>
            </w:r>
            <w:r>
              <w:rPr>
                <w:rFonts w:hint="eastAsia" w:ascii="宋体" w:hAnsi="宋体" w:eastAsia="宋体"/>
                <w:color w:val="000000" w:themeColor="text1"/>
                <w:sz w:val="24"/>
                <w:szCs w:val="24"/>
                <w:highlight w:val="none"/>
              </w:rPr>
              <w:t>投标供应商无需提供纸质文件；</w:t>
            </w:r>
          </w:p>
          <w:p w14:paraId="0EC0303C">
            <w:pPr>
              <w:widowControl/>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2</w:t>
            </w:r>
            <w:r>
              <w:rPr>
                <w:rFonts w:ascii="宋体" w:hAnsi="宋体" w:eastAsia="宋体"/>
                <w:color w:val="000000" w:themeColor="text1"/>
                <w:sz w:val="24"/>
                <w:szCs w:val="24"/>
                <w:highlight w:val="none"/>
              </w:rPr>
              <w:t>.</w:t>
            </w:r>
            <w:r>
              <w:rPr>
                <w:rFonts w:hint="eastAsia" w:ascii="宋体" w:hAnsi="宋体" w:eastAsia="宋体"/>
                <w:color w:val="000000" w:themeColor="text1"/>
                <w:sz w:val="24"/>
                <w:szCs w:val="24"/>
                <w:highlight w:val="none"/>
              </w:rPr>
              <w:t>中标供应商下载中标（成交）通知书后，向采购代理机构提供一正两副（可根据需要调整数量）纸质投标（响应）文件用于备案及档案保存。</w:t>
            </w:r>
          </w:p>
          <w:p w14:paraId="7E072B03">
            <w:pPr>
              <w:widowControl/>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3</w:t>
            </w:r>
            <w:r>
              <w:rPr>
                <w:rFonts w:ascii="宋体" w:hAnsi="宋体" w:eastAsia="宋体"/>
                <w:color w:val="000000" w:themeColor="text1"/>
                <w:sz w:val="24"/>
                <w:szCs w:val="24"/>
                <w:highlight w:val="none"/>
              </w:rPr>
              <w:t>.</w:t>
            </w:r>
            <w:r>
              <w:rPr>
                <w:rFonts w:hint="eastAsia" w:ascii="宋体" w:hAnsi="宋体" w:eastAsia="宋体"/>
                <w:color w:val="000000" w:themeColor="text1"/>
                <w:sz w:val="24"/>
                <w:szCs w:val="24"/>
                <w:highlight w:val="none"/>
              </w:rPr>
              <w:t>在公告中标（成交）结果的同时，代理机构在线向中标（成交）供应商发出中标（成交）通知书，供应商可登录【全国公共资源交易平台（陕西省•宝鸡市）】网站〖首页〉电子交易平台〉企业端〗后，在〖我的项目/项目流程〗模块中点击下载“中标（成交）通知书”。</w:t>
            </w:r>
          </w:p>
        </w:tc>
      </w:tr>
      <w:tr w14:paraId="1C8FB9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3DFA209F">
            <w:pPr>
              <w:widowControl/>
              <w:spacing w:line="360" w:lineRule="auto"/>
              <w:jc w:val="center"/>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1</w:t>
            </w:r>
            <w:r>
              <w:rPr>
                <w:rFonts w:ascii="宋体" w:hAnsi="宋体" w:eastAsia="宋体"/>
                <w:color w:val="000000" w:themeColor="text1"/>
                <w:sz w:val="24"/>
                <w:szCs w:val="24"/>
                <w:highlight w:val="none"/>
              </w:rPr>
              <w:t>7</w:t>
            </w:r>
          </w:p>
        </w:tc>
        <w:tc>
          <w:tcPr>
            <w:tcW w:w="2098" w:type="dxa"/>
            <w:vAlign w:val="center"/>
          </w:tcPr>
          <w:p w14:paraId="3FC24C67">
            <w:pPr>
              <w:widowControl/>
              <w:spacing w:line="360" w:lineRule="auto"/>
              <w:jc w:val="center"/>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电子投标文件要求</w:t>
            </w:r>
          </w:p>
        </w:tc>
        <w:tc>
          <w:tcPr>
            <w:tcW w:w="6349" w:type="dxa"/>
            <w:vAlign w:val="center"/>
          </w:tcPr>
          <w:p w14:paraId="1BF9E0B0">
            <w:pPr>
              <w:widowControl/>
              <w:spacing w:line="360" w:lineRule="auto"/>
              <w:jc w:val="left"/>
              <w:rPr>
                <w:color w:val="000000" w:themeColor="text1"/>
                <w:highlight w:val="none"/>
              </w:rPr>
            </w:pPr>
            <w:r>
              <w:rPr>
                <w:rFonts w:hint="eastAsia" w:ascii="宋体" w:hAnsi="宋体" w:eastAsia="宋体" w:cs="宋体"/>
                <w:color w:val="000000" w:themeColor="text1"/>
                <w:kern w:val="0"/>
                <w:sz w:val="24"/>
                <w:szCs w:val="24"/>
                <w:highlight w:val="none"/>
              </w:rPr>
              <w:t>1.</w:t>
            </w:r>
            <w:r>
              <w:rPr>
                <w:rFonts w:ascii="宋体" w:hAnsi="宋体" w:eastAsia="宋体"/>
                <w:color w:val="000000" w:themeColor="text1"/>
                <w:sz w:val="24"/>
                <w:szCs w:val="24"/>
                <w:highlight w:val="none"/>
              </w:rPr>
              <w:t>制作电子</w:t>
            </w:r>
            <w:r>
              <w:rPr>
                <w:rFonts w:hint="eastAsia" w:ascii="宋体" w:hAnsi="宋体" w:eastAsia="宋体"/>
                <w:color w:val="000000" w:themeColor="text1"/>
                <w:sz w:val="24"/>
                <w:szCs w:val="24"/>
                <w:highlight w:val="none"/>
              </w:rPr>
              <w:t>投标</w:t>
            </w:r>
            <w:r>
              <w:rPr>
                <w:rFonts w:ascii="宋体" w:hAnsi="宋体" w:eastAsia="宋体"/>
                <w:color w:val="000000" w:themeColor="text1"/>
                <w:sz w:val="24"/>
                <w:szCs w:val="24"/>
                <w:highlight w:val="none"/>
              </w:rPr>
              <w:t>文件。供应商须在“全国公共资源交易中心平台(陕西省/宝鸡市)”的“服务指南”栏目“下载专区”中，免费下载“政府采购电子化交易-供应商培训实操演示及操作手册”，并使用该客户端制作电子</w:t>
            </w:r>
            <w:r>
              <w:rPr>
                <w:rFonts w:hint="eastAsia" w:ascii="宋体" w:hAnsi="宋体" w:eastAsia="宋体"/>
                <w:color w:val="000000" w:themeColor="text1"/>
                <w:sz w:val="24"/>
                <w:szCs w:val="24"/>
                <w:highlight w:val="none"/>
              </w:rPr>
              <w:t>投标</w:t>
            </w:r>
            <w:r>
              <w:rPr>
                <w:rFonts w:ascii="宋体" w:hAnsi="宋体" w:eastAsia="宋体"/>
                <w:color w:val="000000" w:themeColor="text1"/>
                <w:sz w:val="24"/>
                <w:szCs w:val="24"/>
                <w:highlight w:val="none"/>
              </w:rPr>
              <w:t>文件，制作扩展名为“.SXSTF”的电子</w:t>
            </w:r>
            <w:r>
              <w:rPr>
                <w:rFonts w:hint="eastAsia" w:ascii="宋体" w:hAnsi="宋体" w:eastAsia="宋体"/>
                <w:color w:val="000000" w:themeColor="text1"/>
                <w:sz w:val="24"/>
                <w:szCs w:val="24"/>
                <w:highlight w:val="none"/>
              </w:rPr>
              <w:t>投标</w:t>
            </w:r>
            <w:r>
              <w:rPr>
                <w:rFonts w:ascii="宋体" w:hAnsi="宋体" w:eastAsia="宋体"/>
                <w:color w:val="000000" w:themeColor="text1"/>
                <w:sz w:val="24"/>
                <w:szCs w:val="24"/>
                <w:highlight w:val="none"/>
              </w:rPr>
              <w:t>文件。</w:t>
            </w:r>
          </w:p>
          <w:p w14:paraId="5C2D8E89">
            <w:pPr>
              <w:widowControl/>
              <w:spacing w:line="360" w:lineRule="auto"/>
              <w:jc w:val="left"/>
              <w:rPr>
                <w:rFonts w:ascii="宋体" w:hAnsi="宋体" w:eastAsia="宋体" w:cs="宋体"/>
                <w:color w:val="000000" w:themeColor="text1"/>
                <w:kern w:val="0"/>
                <w:sz w:val="24"/>
                <w:szCs w:val="24"/>
                <w:highlight w:val="none"/>
              </w:rPr>
            </w:pPr>
            <w:r>
              <w:rPr>
                <w:rFonts w:ascii="宋体" w:hAnsi="宋体" w:eastAsia="宋体" w:cs="宋体"/>
                <w:color w:val="000000" w:themeColor="text1"/>
                <w:kern w:val="0"/>
                <w:sz w:val="24"/>
                <w:szCs w:val="24"/>
                <w:highlight w:val="none"/>
              </w:rPr>
              <w:t>2.</w:t>
            </w:r>
            <w:r>
              <w:rPr>
                <w:rFonts w:hint="eastAsia" w:ascii="宋体" w:hAnsi="宋体" w:eastAsia="宋体" w:cs="宋体"/>
                <w:color w:val="000000" w:themeColor="text1"/>
                <w:kern w:val="0"/>
                <w:sz w:val="24"/>
                <w:szCs w:val="24"/>
                <w:highlight w:val="none"/>
              </w:rPr>
              <w:t>编制电子投标文件前，务必先做好电子招标文件的备份工作。然后按操作手册中给出的方法将电子招标文件（*.SXSZF）或答疑文件（*.SXSCF，即更新后的电子招标文件）导入制作软件，最后按照章节分别编制投标文件各个部分。</w:t>
            </w:r>
          </w:p>
          <w:p w14:paraId="5AC20C5D">
            <w:pPr>
              <w:widowControl/>
              <w:spacing w:line="360" w:lineRule="auto"/>
              <w:jc w:val="left"/>
              <w:rPr>
                <w:rFonts w:ascii="宋体" w:hAnsi="宋体" w:eastAsia="宋体" w:cs="宋体"/>
                <w:color w:val="000000" w:themeColor="text1"/>
                <w:kern w:val="0"/>
                <w:sz w:val="24"/>
                <w:szCs w:val="24"/>
                <w:highlight w:val="none"/>
              </w:rPr>
            </w:pPr>
            <w:r>
              <w:rPr>
                <w:rFonts w:hint="eastAsia" w:ascii="宋体" w:hAnsi="宋体" w:eastAsia="宋体" w:cs="宋体"/>
                <w:b/>
                <w:bCs/>
                <w:color w:val="000000" w:themeColor="text1"/>
                <w:kern w:val="0"/>
                <w:sz w:val="24"/>
                <w:szCs w:val="24"/>
                <w:highlight w:val="none"/>
              </w:rPr>
              <w:t>再次提醒：提交投标文件截止时间前，供应商应随时留意“政府采购信息发布媒体”上可能发布的变更公告。若变更公告中明确注明本项目伴有变更文件的，供应商应登录企业端后，从〖项目流程·〉项目管理·〉答疑文件下载〗获取更新后的电子招标文件（*.SXSCF），使用旧版电子招标文件制作的电子投标文件（*.SXSTF），系统将拒绝接收。</w:t>
            </w:r>
          </w:p>
          <w:p w14:paraId="61612985">
            <w:pPr>
              <w:widowControl/>
              <w:spacing w:line="360" w:lineRule="auto"/>
              <w:jc w:val="left"/>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3.电子投标文件制作过程中，需要法定代表人签字或盖章的地方，请使用“法人CA锁”进行签章或直接签字或盖章；需要加盖供应商公章的地方，请使用“企业CA锁”进行签章。</w:t>
            </w:r>
          </w:p>
          <w:p w14:paraId="6782B612">
            <w:pPr>
              <w:widowControl/>
              <w:spacing w:line="360" w:lineRule="auto"/>
              <w:jc w:val="left"/>
              <w:rPr>
                <w:rFonts w:ascii="宋体" w:hAnsi="宋体" w:eastAsia="宋体"/>
                <w:color w:val="000000" w:themeColor="text1"/>
                <w:sz w:val="24"/>
                <w:szCs w:val="24"/>
                <w:highlight w:val="none"/>
              </w:rPr>
            </w:pPr>
            <w:r>
              <w:rPr>
                <w:rFonts w:ascii="宋体" w:hAnsi="宋体" w:eastAsia="宋体" w:cs="宋体"/>
                <w:color w:val="000000" w:themeColor="text1"/>
                <w:kern w:val="0"/>
                <w:sz w:val="24"/>
                <w:szCs w:val="24"/>
                <w:highlight w:val="none"/>
              </w:rPr>
              <w:t>4.</w:t>
            </w:r>
            <w:r>
              <w:rPr>
                <w:rFonts w:hint="eastAsia" w:ascii="宋体" w:hAnsi="宋体" w:eastAsia="宋体" w:cs="宋体"/>
                <w:color w:val="000000" w:themeColor="text1"/>
                <w:kern w:val="0"/>
                <w:sz w:val="24"/>
                <w:szCs w:val="24"/>
                <w:highlight w:val="none"/>
              </w:rPr>
              <w:t>若导出的PDF文件里看不到签章，请尝试使用专用制作软件中的“查看投标文件工具”打开未加密的电子投标文件重新导出。在制作过程中，如有其他技术性问题，请先翻阅操作手册，或致电软件开发商。</w:t>
            </w:r>
          </w:p>
        </w:tc>
      </w:tr>
      <w:tr w14:paraId="276A3C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50D84245">
            <w:pPr>
              <w:widowControl/>
              <w:spacing w:line="360" w:lineRule="auto"/>
              <w:jc w:val="center"/>
              <w:rPr>
                <w:rFonts w:ascii="宋体" w:hAnsi="宋体" w:eastAsia="宋体"/>
                <w:color w:val="000000" w:themeColor="text1"/>
                <w:sz w:val="24"/>
                <w:szCs w:val="24"/>
                <w:highlight w:val="none"/>
              </w:rPr>
            </w:pPr>
            <w:r>
              <w:rPr>
                <w:rFonts w:ascii="宋体" w:hAnsi="宋体" w:eastAsia="宋体"/>
                <w:color w:val="000000" w:themeColor="text1"/>
                <w:sz w:val="24"/>
                <w:szCs w:val="24"/>
                <w:highlight w:val="none"/>
              </w:rPr>
              <w:t>18</w:t>
            </w:r>
          </w:p>
        </w:tc>
        <w:tc>
          <w:tcPr>
            <w:tcW w:w="2098" w:type="dxa"/>
            <w:vAlign w:val="center"/>
          </w:tcPr>
          <w:p w14:paraId="13732583">
            <w:pPr>
              <w:widowControl/>
              <w:spacing w:line="360" w:lineRule="auto"/>
              <w:jc w:val="center"/>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签字盖章</w:t>
            </w:r>
          </w:p>
        </w:tc>
        <w:tc>
          <w:tcPr>
            <w:tcW w:w="6349" w:type="dxa"/>
            <w:vAlign w:val="center"/>
          </w:tcPr>
          <w:p w14:paraId="4372E144">
            <w:pPr>
              <w:widowControl/>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1</w:t>
            </w:r>
            <w:r>
              <w:rPr>
                <w:rFonts w:ascii="宋体" w:hAnsi="宋体" w:eastAsia="宋体"/>
                <w:color w:val="000000" w:themeColor="text1"/>
                <w:sz w:val="24"/>
                <w:szCs w:val="24"/>
                <w:highlight w:val="none"/>
              </w:rPr>
              <w:t>.</w:t>
            </w:r>
            <w:r>
              <w:rPr>
                <w:rFonts w:hint="eastAsia" w:ascii="宋体" w:hAnsi="宋体" w:eastAsia="宋体"/>
                <w:color w:val="000000" w:themeColor="text1"/>
                <w:sz w:val="24"/>
                <w:szCs w:val="24"/>
                <w:highlight w:val="none"/>
              </w:rPr>
              <w:t>电子投标文件制作过程中，需要法定代表人签字或盖章的地方，请使用“法人CA锁”进行签章或直接签字或盖章；需要加盖供应商公章的地方，请使用“企业CA锁”进行签章。</w:t>
            </w:r>
          </w:p>
          <w:p w14:paraId="2938BCE7">
            <w:pPr>
              <w:widowControl/>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2</w:t>
            </w:r>
            <w:r>
              <w:rPr>
                <w:rFonts w:ascii="宋体" w:hAnsi="宋体" w:eastAsia="宋体"/>
                <w:color w:val="000000" w:themeColor="text1"/>
                <w:sz w:val="24"/>
                <w:szCs w:val="24"/>
                <w:highlight w:val="none"/>
              </w:rPr>
              <w:t>.</w:t>
            </w:r>
            <w:r>
              <w:rPr>
                <w:rFonts w:hint="eastAsia" w:ascii="宋体" w:hAnsi="宋体" w:eastAsia="宋体"/>
                <w:color w:val="000000" w:themeColor="text1"/>
                <w:sz w:val="24"/>
                <w:szCs w:val="24"/>
                <w:highlight w:val="none"/>
              </w:rPr>
              <w:t>若导出的PDF文件里看不到签章，请尝试使用专用制作软件中的“查看投标文件工具”打开未加密的电子投标文件重新导出。在制作过程中，如有其他技术性问题，请先翻阅操作手册，或致电软件开发商。</w:t>
            </w:r>
          </w:p>
          <w:p w14:paraId="00B3C389">
            <w:pPr>
              <w:pStyle w:val="24"/>
              <w:spacing w:after="0" w:line="440" w:lineRule="exact"/>
              <w:ind w:left="0" w:leftChars="0"/>
              <w:rPr>
                <w:rFonts w:ascii="宋体" w:hAnsi="宋体" w:cs="宋体"/>
                <w:color w:val="000000" w:themeColor="text1"/>
                <w:sz w:val="24"/>
                <w:szCs w:val="24"/>
                <w:highlight w:val="none"/>
              </w:rPr>
            </w:pPr>
            <w:r>
              <w:rPr>
                <w:rFonts w:hint="eastAsia" w:ascii="宋体" w:hAnsi="宋体"/>
                <w:color w:val="000000" w:themeColor="text1"/>
                <w:sz w:val="24"/>
                <w:szCs w:val="24"/>
                <w:highlight w:val="none"/>
              </w:rPr>
              <w:t>3</w:t>
            </w:r>
            <w:r>
              <w:rPr>
                <w:rFonts w:ascii="宋体" w:hAnsi="宋体"/>
                <w:color w:val="000000" w:themeColor="text1"/>
                <w:sz w:val="24"/>
                <w:szCs w:val="24"/>
                <w:highlight w:val="none"/>
              </w:rPr>
              <w:t>.</w:t>
            </w:r>
            <w:bookmarkStart w:id="24" w:name="OLE_LINK53"/>
            <w:bookmarkStart w:id="25" w:name="OLE_LINK52"/>
            <w:r>
              <w:rPr>
                <w:rFonts w:hint="eastAsia" w:ascii="宋体" w:hAnsi="宋体"/>
                <w:color w:val="000000" w:themeColor="text1"/>
                <w:sz w:val="24"/>
                <w:szCs w:val="24"/>
                <w:highlight w:val="none"/>
              </w:rPr>
              <w:t>投标</w:t>
            </w:r>
            <w:r>
              <w:rPr>
                <w:rFonts w:hint="eastAsia" w:ascii="宋体" w:hAnsi="宋体" w:cs="宋体"/>
                <w:color w:val="000000" w:themeColor="text1"/>
                <w:sz w:val="24"/>
                <w:szCs w:val="24"/>
                <w:highlight w:val="none"/>
              </w:rPr>
              <w:t>文件要求指定位置“签字</w:t>
            </w:r>
            <w:r>
              <w:rPr>
                <w:rFonts w:hint="eastAsia" w:ascii="宋体" w:hAnsi="宋体" w:cs="宋体"/>
                <w:b/>
                <w:color w:val="000000" w:themeColor="text1"/>
                <w:sz w:val="24"/>
                <w:szCs w:val="24"/>
                <w:highlight w:val="none"/>
              </w:rPr>
              <w:t>或</w:t>
            </w:r>
            <w:r>
              <w:rPr>
                <w:rFonts w:hint="eastAsia" w:ascii="宋体" w:hAnsi="宋体" w:cs="宋体"/>
                <w:color w:val="000000" w:themeColor="text1"/>
                <w:sz w:val="24"/>
                <w:szCs w:val="24"/>
                <w:highlight w:val="none"/>
              </w:rPr>
              <w:t>盖章”的，供应商实施一项内容即可；</w:t>
            </w:r>
          </w:p>
          <w:p w14:paraId="0B611B8A">
            <w:pPr>
              <w:widowControl/>
              <w:spacing w:line="360" w:lineRule="auto"/>
              <w:jc w:val="left"/>
              <w:rPr>
                <w:rFonts w:ascii="宋体" w:hAnsi="宋体" w:eastAsia="宋体"/>
                <w:color w:val="000000" w:themeColor="text1"/>
                <w:sz w:val="24"/>
                <w:szCs w:val="24"/>
                <w:highlight w:val="none"/>
              </w:rPr>
            </w:pPr>
            <w:r>
              <w:rPr>
                <w:rFonts w:hint="eastAsia" w:ascii="宋体" w:hAnsi="宋体" w:eastAsia="宋体" w:cs="宋体"/>
                <w:color w:val="000000" w:themeColor="text1"/>
                <w:sz w:val="24"/>
                <w:szCs w:val="24"/>
                <w:highlight w:val="none"/>
              </w:rPr>
              <w:t>投标文件要求指定位置“签字</w:t>
            </w:r>
            <w:r>
              <w:rPr>
                <w:rFonts w:hint="eastAsia" w:ascii="宋体" w:hAnsi="宋体" w:eastAsia="宋体" w:cs="宋体"/>
                <w:b/>
                <w:color w:val="000000" w:themeColor="text1"/>
                <w:sz w:val="24"/>
                <w:szCs w:val="24"/>
                <w:highlight w:val="none"/>
              </w:rPr>
              <w:t>和</w:t>
            </w:r>
            <w:r>
              <w:rPr>
                <w:rFonts w:hint="eastAsia" w:ascii="宋体" w:hAnsi="宋体" w:eastAsia="宋体" w:cs="宋体"/>
                <w:color w:val="000000" w:themeColor="text1"/>
                <w:sz w:val="24"/>
                <w:szCs w:val="24"/>
                <w:highlight w:val="none"/>
              </w:rPr>
              <w:t>盖章”的，供应商必须既签字又盖章。</w:t>
            </w:r>
            <w:bookmarkEnd w:id="24"/>
            <w:bookmarkEnd w:id="25"/>
          </w:p>
        </w:tc>
      </w:tr>
      <w:tr w14:paraId="613C9C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31A0B949">
            <w:pPr>
              <w:widowControl/>
              <w:spacing w:line="360" w:lineRule="auto"/>
              <w:jc w:val="center"/>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1</w:t>
            </w:r>
            <w:r>
              <w:rPr>
                <w:rFonts w:ascii="宋体" w:hAnsi="宋体" w:eastAsia="宋体"/>
                <w:color w:val="000000" w:themeColor="text1"/>
                <w:sz w:val="24"/>
                <w:szCs w:val="24"/>
                <w:highlight w:val="none"/>
              </w:rPr>
              <w:t>9</w:t>
            </w:r>
          </w:p>
        </w:tc>
        <w:tc>
          <w:tcPr>
            <w:tcW w:w="2098" w:type="dxa"/>
            <w:vAlign w:val="center"/>
          </w:tcPr>
          <w:p w14:paraId="7DF0E41E">
            <w:pPr>
              <w:widowControl/>
              <w:spacing w:line="360" w:lineRule="auto"/>
              <w:jc w:val="center"/>
              <w:rPr>
                <w:rFonts w:ascii="宋体" w:hAnsi="宋体" w:eastAsia="宋体"/>
                <w:color w:val="000000" w:themeColor="text1"/>
                <w:sz w:val="24"/>
                <w:szCs w:val="24"/>
                <w:highlight w:val="none"/>
              </w:rPr>
            </w:pPr>
            <w:r>
              <w:rPr>
                <w:rFonts w:hint="eastAsia" w:ascii="宋体" w:hAnsi="宋体" w:eastAsia="宋体"/>
                <w:bCs/>
                <w:color w:val="000000" w:themeColor="text1"/>
                <w:sz w:val="24"/>
                <w:szCs w:val="24"/>
                <w:highlight w:val="none"/>
              </w:rPr>
              <w:t>投标文件的装订、密封和标记；投标文件的加密</w:t>
            </w:r>
          </w:p>
        </w:tc>
        <w:tc>
          <w:tcPr>
            <w:tcW w:w="6349" w:type="dxa"/>
            <w:vAlign w:val="center"/>
          </w:tcPr>
          <w:p w14:paraId="1D6C5D1B">
            <w:pPr>
              <w:widowControl/>
              <w:spacing w:line="360" w:lineRule="auto"/>
              <w:jc w:val="left"/>
              <w:rPr>
                <w:rFonts w:ascii="宋体" w:hAnsi="宋体" w:eastAsia="宋体"/>
                <w:color w:val="000000" w:themeColor="text1"/>
                <w:sz w:val="24"/>
                <w:szCs w:val="24"/>
                <w:highlight w:val="none"/>
              </w:rPr>
            </w:pPr>
            <w:r>
              <w:rPr>
                <w:rFonts w:hint="eastAsia" w:ascii="宋体" w:hAnsi="宋体" w:eastAsia="宋体"/>
                <w:bCs/>
                <w:color w:val="000000" w:themeColor="text1"/>
                <w:sz w:val="24"/>
                <w:szCs w:val="24"/>
                <w:highlight w:val="none"/>
              </w:rPr>
              <w:t>本项目为电子化招投标项目，不需要递交纸质投标文件。</w:t>
            </w:r>
          </w:p>
        </w:tc>
      </w:tr>
      <w:tr w14:paraId="6330B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6D5E867F">
            <w:pPr>
              <w:widowControl/>
              <w:spacing w:line="360" w:lineRule="auto"/>
              <w:jc w:val="center"/>
              <w:rPr>
                <w:rFonts w:ascii="宋体" w:hAnsi="宋体" w:eastAsia="宋体"/>
                <w:color w:val="000000" w:themeColor="text1"/>
                <w:sz w:val="24"/>
                <w:szCs w:val="24"/>
                <w:highlight w:val="none"/>
              </w:rPr>
            </w:pPr>
            <w:r>
              <w:rPr>
                <w:rFonts w:ascii="宋体" w:hAnsi="宋体" w:eastAsia="宋体"/>
                <w:color w:val="000000" w:themeColor="text1"/>
                <w:sz w:val="24"/>
                <w:szCs w:val="24"/>
                <w:highlight w:val="none"/>
              </w:rPr>
              <w:t>20</w:t>
            </w:r>
          </w:p>
        </w:tc>
        <w:tc>
          <w:tcPr>
            <w:tcW w:w="2098" w:type="dxa"/>
            <w:vAlign w:val="center"/>
          </w:tcPr>
          <w:p w14:paraId="5E5A9D03">
            <w:pPr>
              <w:widowControl/>
              <w:spacing w:line="360" w:lineRule="auto"/>
              <w:jc w:val="center"/>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投标文件的递交</w:t>
            </w:r>
          </w:p>
        </w:tc>
        <w:tc>
          <w:tcPr>
            <w:tcW w:w="6349" w:type="dxa"/>
            <w:vAlign w:val="center"/>
          </w:tcPr>
          <w:p w14:paraId="55466510">
            <w:pPr>
              <w:spacing w:line="360" w:lineRule="auto"/>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1</w:t>
            </w:r>
            <w:r>
              <w:rPr>
                <w:rFonts w:ascii="宋体" w:hAnsi="宋体" w:eastAsia="宋体"/>
                <w:color w:val="000000" w:themeColor="text1"/>
                <w:sz w:val="24"/>
                <w:szCs w:val="24"/>
                <w:highlight w:val="none"/>
              </w:rPr>
              <w:t>.</w:t>
            </w:r>
            <w:r>
              <w:rPr>
                <w:rFonts w:hint="eastAsia" w:ascii="宋体" w:hAnsi="宋体" w:eastAsia="宋体"/>
                <w:color w:val="000000" w:themeColor="text1"/>
                <w:sz w:val="24"/>
                <w:szCs w:val="24"/>
                <w:highlight w:val="none"/>
              </w:rPr>
              <w:t>递交电子投标文件：登录陕西省宝鸡市公共资源交易中心平台(http://ggzy.baoji.gov.cn/)，选择“电子交易平台-陕西政府采购交易系统-陕西省宝鸡市公共资源交易平台-供应商”进行登录，登录后选择“交易乙方”身份进入，选择“上传投标文件”菜单页面，上传加密的电子化响应文件。上传成功后，电子化平台将予以记录。</w:t>
            </w:r>
          </w:p>
          <w:p w14:paraId="08A00303">
            <w:pPr>
              <w:spacing w:line="360" w:lineRule="auto"/>
              <w:rPr>
                <w:rFonts w:ascii="宋体" w:hAnsi="宋体" w:eastAsia="宋体"/>
                <w:color w:val="000000" w:themeColor="text1"/>
                <w:sz w:val="24"/>
                <w:szCs w:val="24"/>
                <w:highlight w:val="none"/>
              </w:rPr>
            </w:pPr>
            <w:r>
              <w:rPr>
                <w:rFonts w:ascii="宋体" w:hAnsi="宋体" w:eastAsia="宋体"/>
                <w:color w:val="000000" w:themeColor="text1"/>
                <w:sz w:val="24"/>
                <w:szCs w:val="24"/>
                <w:highlight w:val="none"/>
              </w:rPr>
              <w:t>2.</w:t>
            </w:r>
            <w:r>
              <w:rPr>
                <w:rFonts w:hint="eastAsia" w:ascii="宋体" w:hAnsi="宋体" w:eastAsia="宋体"/>
                <w:color w:val="000000" w:themeColor="text1"/>
                <w:sz w:val="24"/>
                <w:szCs w:val="24"/>
                <w:highlight w:val="none"/>
              </w:rPr>
              <w:t>投标截止时间：202</w:t>
            </w:r>
            <w:r>
              <w:rPr>
                <w:rFonts w:ascii="宋体" w:hAnsi="宋体" w:eastAsia="宋体"/>
                <w:color w:val="000000" w:themeColor="text1"/>
                <w:sz w:val="24"/>
                <w:szCs w:val="24"/>
                <w:highlight w:val="none"/>
              </w:rPr>
              <w:t>5</w:t>
            </w:r>
            <w:r>
              <w:rPr>
                <w:rFonts w:hint="eastAsia" w:ascii="宋体" w:hAnsi="宋体" w:eastAsia="宋体"/>
                <w:color w:val="000000" w:themeColor="text1"/>
                <w:sz w:val="24"/>
                <w:szCs w:val="24"/>
                <w:highlight w:val="none"/>
              </w:rPr>
              <w:t>年</w:t>
            </w:r>
            <w:r>
              <w:rPr>
                <w:rFonts w:ascii="宋体" w:hAnsi="宋体" w:eastAsia="宋体"/>
                <w:color w:val="000000" w:themeColor="text1"/>
                <w:sz w:val="24"/>
                <w:szCs w:val="24"/>
                <w:highlight w:val="none"/>
              </w:rPr>
              <w:t>11</w:t>
            </w:r>
            <w:r>
              <w:rPr>
                <w:rFonts w:hint="eastAsia" w:ascii="宋体" w:hAnsi="宋体" w:eastAsia="宋体"/>
                <w:color w:val="000000" w:themeColor="text1"/>
                <w:sz w:val="24"/>
                <w:szCs w:val="24"/>
                <w:highlight w:val="none"/>
              </w:rPr>
              <w:t>月</w:t>
            </w:r>
            <w:r>
              <w:rPr>
                <w:rFonts w:ascii="宋体" w:hAnsi="宋体" w:eastAsia="宋体"/>
                <w:color w:val="000000" w:themeColor="text1"/>
                <w:sz w:val="24"/>
                <w:szCs w:val="24"/>
                <w:highlight w:val="none"/>
              </w:rPr>
              <w:t>6</w:t>
            </w:r>
            <w:r>
              <w:rPr>
                <w:rFonts w:hint="eastAsia" w:ascii="宋体" w:hAnsi="宋体" w:eastAsia="宋体"/>
                <w:color w:val="000000" w:themeColor="text1"/>
                <w:sz w:val="24"/>
                <w:szCs w:val="24"/>
                <w:highlight w:val="none"/>
              </w:rPr>
              <w:t>日09点</w:t>
            </w:r>
            <w:r>
              <w:rPr>
                <w:rFonts w:ascii="宋体" w:hAnsi="宋体" w:eastAsia="宋体"/>
                <w:color w:val="000000" w:themeColor="text1"/>
                <w:sz w:val="24"/>
                <w:szCs w:val="24"/>
                <w:highlight w:val="none"/>
              </w:rPr>
              <w:t>30</w:t>
            </w:r>
            <w:r>
              <w:rPr>
                <w:rFonts w:hint="eastAsia" w:ascii="宋体" w:hAnsi="宋体" w:eastAsia="宋体"/>
                <w:color w:val="000000" w:themeColor="text1"/>
                <w:sz w:val="24"/>
                <w:szCs w:val="24"/>
                <w:highlight w:val="none"/>
              </w:rPr>
              <w:t>分00秒（北京时间）</w:t>
            </w:r>
          </w:p>
          <w:p w14:paraId="7DA048A7">
            <w:pPr>
              <w:spacing w:line="360" w:lineRule="auto"/>
              <w:rPr>
                <w:rFonts w:ascii="宋体" w:hAnsi="宋体" w:eastAsia="宋体"/>
                <w:color w:val="000000" w:themeColor="text1"/>
                <w:sz w:val="24"/>
                <w:szCs w:val="24"/>
                <w:highlight w:val="none"/>
              </w:rPr>
            </w:pPr>
            <w:r>
              <w:rPr>
                <w:rFonts w:ascii="宋体" w:hAnsi="宋体" w:eastAsia="宋体"/>
                <w:color w:val="000000" w:themeColor="text1"/>
                <w:sz w:val="24"/>
                <w:szCs w:val="24"/>
                <w:highlight w:val="none"/>
              </w:rPr>
              <w:t>3.</w:t>
            </w:r>
            <w:r>
              <w:rPr>
                <w:rFonts w:hint="eastAsia" w:ascii="宋体" w:hAnsi="宋体" w:eastAsia="宋体"/>
                <w:color w:val="000000" w:themeColor="text1"/>
                <w:sz w:val="24"/>
                <w:szCs w:val="24"/>
                <w:highlight w:val="none"/>
              </w:rPr>
              <w:t>提示：供应商上传完加密投标文件后，还需单独填写开标一览表信息，且须与投标文件开标一览表内容保持一致。</w:t>
            </w:r>
          </w:p>
          <w:p w14:paraId="09102236">
            <w:pPr>
              <w:widowControl/>
              <w:spacing w:line="360" w:lineRule="auto"/>
              <w:jc w:val="left"/>
              <w:rPr>
                <w:rFonts w:ascii="宋体" w:hAnsi="宋体" w:eastAsia="宋体" w:cs="宋体"/>
                <w:b/>
                <w:bCs/>
                <w:color w:val="000000" w:themeColor="text1"/>
                <w:kern w:val="0"/>
                <w:sz w:val="24"/>
                <w:szCs w:val="24"/>
                <w:highlight w:val="none"/>
              </w:rPr>
            </w:pPr>
            <w:r>
              <w:rPr>
                <w:rFonts w:hint="eastAsia" w:ascii="宋体" w:hAnsi="宋体" w:eastAsia="宋体" w:cs="宋体"/>
                <w:b/>
                <w:bCs/>
                <w:color w:val="000000" w:themeColor="text1"/>
                <w:kern w:val="0"/>
                <w:sz w:val="24"/>
                <w:szCs w:val="24"/>
                <w:highlight w:val="none"/>
              </w:rPr>
              <w:t>注：</w:t>
            </w:r>
          </w:p>
          <w:p w14:paraId="4AFD28B0">
            <w:pPr>
              <w:widowControl/>
              <w:spacing w:line="360" w:lineRule="auto"/>
              <w:jc w:val="left"/>
              <w:rPr>
                <w:rFonts w:ascii="宋体" w:hAnsi="宋体" w:eastAsia="宋体" w:cs="宋体"/>
                <w:b/>
                <w:bCs/>
                <w:color w:val="000000" w:themeColor="text1"/>
                <w:kern w:val="0"/>
                <w:sz w:val="24"/>
                <w:szCs w:val="24"/>
                <w:highlight w:val="none"/>
              </w:rPr>
            </w:pPr>
            <w:r>
              <w:rPr>
                <w:rFonts w:hint="eastAsia" w:ascii="宋体" w:hAnsi="宋体" w:eastAsia="宋体" w:cs="宋体"/>
                <w:b/>
                <w:bCs/>
                <w:color w:val="000000" w:themeColor="text1"/>
                <w:kern w:val="0"/>
                <w:sz w:val="24"/>
                <w:szCs w:val="24"/>
                <w:highlight w:val="none"/>
              </w:rPr>
              <w:t>（1）在生成电子投标文件时，需要使用CA锁对投标文件进行加密。加密投标文件和开标时解密投标文件应当使用同一CA，否则将会导致解密失败。</w:t>
            </w:r>
          </w:p>
          <w:p w14:paraId="6D0ED52E">
            <w:pPr>
              <w:widowControl/>
              <w:spacing w:line="360" w:lineRule="auto"/>
              <w:jc w:val="left"/>
              <w:rPr>
                <w:rFonts w:ascii="宋体" w:hAnsi="宋体" w:eastAsia="宋体" w:cs="宋体"/>
                <w:b/>
                <w:bCs/>
                <w:color w:val="000000" w:themeColor="text1"/>
                <w:kern w:val="0"/>
                <w:sz w:val="24"/>
                <w:szCs w:val="24"/>
                <w:highlight w:val="none"/>
              </w:rPr>
            </w:pPr>
            <w:r>
              <w:rPr>
                <w:rFonts w:hint="eastAsia" w:ascii="宋体" w:hAnsi="宋体" w:eastAsia="宋体" w:cs="宋体"/>
                <w:b/>
                <w:bCs/>
                <w:color w:val="000000" w:themeColor="text1"/>
                <w:kern w:val="0"/>
                <w:sz w:val="24"/>
                <w:szCs w:val="24"/>
                <w:highlight w:val="none"/>
              </w:rPr>
              <w:t>（2）电子投标文件可于提交投标文件截止时间前任意时段，登录宝鸡市公共资源交易平台〖首页·〉电子交易平台·〉企业端〗，登录后切换到〖我的项目〗模块下，依次点选〖项目流程·〉项目管理·〉上传响应文件〗，上传加密后的电子投标文件（*.SXSTF）。上传成功后，宝鸡市公共资源交易平台政府采购系统将予以记录。</w:t>
            </w:r>
          </w:p>
          <w:p w14:paraId="6D153F78">
            <w:pPr>
              <w:widowControl/>
              <w:spacing w:line="360" w:lineRule="auto"/>
              <w:jc w:val="left"/>
              <w:rPr>
                <w:rFonts w:ascii="宋体" w:hAnsi="宋体" w:eastAsia="宋体"/>
                <w:color w:val="000000" w:themeColor="text1"/>
                <w:sz w:val="24"/>
                <w:szCs w:val="24"/>
                <w:highlight w:val="none"/>
              </w:rPr>
            </w:pPr>
            <w:r>
              <w:rPr>
                <w:rFonts w:hint="eastAsia" w:ascii="宋体" w:hAnsi="宋体" w:eastAsia="宋体" w:cs="宋体"/>
                <w:b/>
                <w:bCs/>
                <w:color w:val="000000" w:themeColor="text1"/>
                <w:kern w:val="0"/>
                <w:sz w:val="24"/>
                <w:szCs w:val="24"/>
                <w:highlight w:val="none"/>
              </w:rPr>
              <w:t>（3）上传文件有误或需要重新提交的，可先撤销已经上传的文件，然后重新上传新文件。</w:t>
            </w:r>
          </w:p>
        </w:tc>
      </w:tr>
      <w:tr w14:paraId="5A3247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601780F3">
            <w:pPr>
              <w:widowControl/>
              <w:spacing w:line="360" w:lineRule="auto"/>
              <w:jc w:val="center"/>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21</w:t>
            </w:r>
          </w:p>
        </w:tc>
        <w:tc>
          <w:tcPr>
            <w:tcW w:w="2098" w:type="dxa"/>
            <w:vAlign w:val="center"/>
          </w:tcPr>
          <w:p w14:paraId="00BAC180">
            <w:pPr>
              <w:widowControl/>
              <w:spacing w:line="360" w:lineRule="auto"/>
              <w:jc w:val="center"/>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开标时间和地点</w:t>
            </w:r>
          </w:p>
        </w:tc>
        <w:tc>
          <w:tcPr>
            <w:tcW w:w="6349" w:type="dxa"/>
            <w:vAlign w:val="center"/>
          </w:tcPr>
          <w:p w14:paraId="179DE919">
            <w:pPr>
              <w:widowControl/>
              <w:spacing w:line="360" w:lineRule="auto"/>
              <w:jc w:val="left"/>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1.开标时间：同投标文件递交截止时间</w:t>
            </w:r>
          </w:p>
          <w:p w14:paraId="20043442">
            <w:pPr>
              <w:spacing w:line="360" w:lineRule="auto"/>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2</w:t>
            </w:r>
            <w:r>
              <w:rPr>
                <w:rFonts w:ascii="宋体" w:hAnsi="宋体" w:eastAsia="宋体"/>
                <w:color w:val="000000" w:themeColor="text1"/>
                <w:sz w:val="24"/>
                <w:szCs w:val="24"/>
                <w:highlight w:val="none"/>
              </w:rPr>
              <w:t>.</w:t>
            </w:r>
            <w:r>
              <w:rPr>
                <w:rFonts w:hint="eastAsia" w:ascii="宋体" w:hAnsi="宋体" w:eastAsia="宋体"/>
                <w:color w:val="000000" w:themeColor="text1"/>
                <w:sz w:val="24"/>
                <w:szCs w:val="24"/>
                <w:highlight w:val="none"/>
              </w:rPr>
              <w:t>开标地点：全国公共资源交易平台（陕西省·宝鸡市）不见面开标大厅，详见“特别告知”及“投标人须知”。</w:t>
            </w:r>
          </w:p>
          <w:p w14:paraId="5C559497">
            <w:pPr>
              <w:widowControl/>
              <w:spacing w:line="360" w:lineRule="auto"/>
              <w:jc w:val="left"/>
              <w:rPr>
                <w:rFonts w:ascii="宋体" w:hAnsi="宋体" w:eastAsia="宋体"/>
                <w:color w:val="000000" w:themeColor="text1"/>
                <w:sz w:val="24"/>
                <w:szCs w:val="24"/>
                <w:highlight w:val="none"/>
              </w:rPr>
            </w:pPr>
            <w:r>
              <w:rPr>
                <w:rFonts w:hint="eastAsia" w:ascii="宋体" w:hAnsi="宋体" w:eastAsia="宋体" w:cs="宋体"/>
                <w:b/>
                <w:bCs/>
                <w:color w:val="000000" w:themeColor="text1"/>
                <w:kern w:val="0"/>
                <w:sz w:val="24"/>
                <w:szCs w:val="24"/>
                <w:highlight w:val="none"/>
              </w:rPr>
              <w:t>注：本项目采用“不见面开标”。不见面开标大厅登录方式为：全国公共资源交易平台（陕西省·宝鸡市）宝鸡市公共资源交易中心网-不见面开标系统。建议供应商在投标截止时间（开标时间）前</w:t>
            </w:r>
            <w:r>
              <w:rPr>
                <w:rFonts w:ascii="宋体" w:hAnsi="宋体" w:eastAsia="宋体" w:cs="宋体"/>
                <w:b/>
                <w:bCs/>
                <w:color w:val="000000" w:themeColor="text1"/>
                <w:kern w:val="0"/>
                <w:sz w:val="24"/>
                <w:szCs w:val="24"/>
                <w:highlight w:val="none"/>
              </w:rPr>
              <w:t>60</w:t>
            </w:r>
            <w:r>
              <w:rPr>
                <w:rFonts w:hint="eastAsia" w:ascii="宋体" w:hAnsi="宋体" w:eastAsia="宋体" w:cs="宋体"/>
                <w:b/>
                <w:bCs/>
                <w:color w:val="000000" w:themeColor="text1"/>
                <w:kern w:val="0"/>
                <w:sz w:val="24"/>
                <w:szCs w:val="24"/>
                <w:highlight w:val="none"/>
              </w:rPr>
              <w:t>分钟内登录不见面开标大厅，并及时签到，否则将无法参与不见面开标活动。</w:t>
            </w:r>
          </w:p>
        </w:tc>
      </w:tr>
      <w:tr w14:paraId="1C5EF6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55EAE53B">
            <w:pPr>
              <w:widowControl/>
              <w:spacing w:line="360" w:lineRule="auto"/>
              <w:jc w:val="center"/>
              <w:rPr>
                <w:rFonts w:ascii="宋体" w:hAnsi="宋体" w:eastAsia="宋体"/>
                <w:color w:val="000000" w:themeColor="text1"/>
                <w:sz w:val="24"/>
                <w:szCs w:val="24"/>
                <w:highlight w:val="none"/>
              </w:rPr>
            </w:pPr>
            <w:r>
              <w:rPr>
                <w:rFonts w:ascii="宋体" w:hAnsi="宋体" w:eastAsia="宋体"/>
                <w:color w:val="000000" w:themeColor="text1"/>
                <w:sz w:val="24"/>
                <w:szCs w:val="24"/>
                <w:highlight w:val="none"/>
              </w:rPr>
              <w:t>22</w:t>
            </w:r>
          </w:p>
        </w:tc>
        <w:tc>
          <w:tcPr>
            <w:tcW w:w="2098" w:type="dxa"/>
            <w:vAlign w:val="center"/>
          </w:tcPr>
          <w:p w14:paraId="2F68F0F6">
            <w:pPr>
              <w:widowControl/>
              <w:spacing w:line="360" w:lineRule="auto"/>
              <w:jc w:val="center"/>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唱标</w:t>
            </w:r>
          </w:p>
        </w:tc>
        <w:tc>
          <w:tcPr>
            <w:tcW w:w="6349" w:type="dxa"/>
            <w:vAlign w:val="center"/>
          </w:tcPr>
          <w:p w14:paraId="67F0CFC0">
            <w:pPr>
              <w:widowControl/>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系统将自动展示供应商名单及其投标报价</w:t>
            </w:r>
          </w:p>
        </w:tc>
      </w:tr>
      <w:tr w14:paraId="06FD1C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021FBEB7">
            <w:pPr>
              <w:widowControl/>
              <w:spacing w:line="360" w:lineRule="auto"/>
              <w:jc w:val="center"/>
              <w:rPr>
                <w:rFonts w:ascii="宋体" w:hAnsi="宋体" w:eastAsia="宋体"/>
                <w:color w:val="000000" w:themeColor="text1"/>
                <w:sz w:val="24"/>
                <w:szCs w:val="24"/>
                <w:highlight w:val="none"/>
              </w:rPr>
            </w:pPr>
            <w:r>
              <w:rPr>
                <w:rFonts w:ascii="宋体" w:hAnsi="宋体" w:eastAsia="宋体"/>
                <w:color w:val="000000" w:themeColor="text1"/>
                <w:sz w:val="24"/>
                <w:szCs w:val="24"/>
                <w:highlight w:val="none"/>
              </w:rPr>
              <w:t>23</w:t>
            </w:r>
          </w:p>
        </w:tc>
        <w:tc>
          <w:tcPr>
            <w:tcW w:w="2098" w:type="dxa"/>
            <w:vAlign w:val="center"/>
          </w:tcPr>
          <w:p w14:paraId="16E4182C">
            <w:pPr>
              <w:widowControl/>
              <w:spacing w:line="360" w:lineRule="auto"/>
              <w:jc w:val="center"/>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投标人资格审查</w:t>
            </w:r>
          </w:p>
        </w:tc>
        <w:tc>
          <w:tcPr>
            <w:tcW w:w="6349" w:type="dxa"/>
            <w:vAlign w:val="center"/>
          </w:tcPr>
          <w:p w14:paraId="47801179">
            <w:pPr>
              <w:widowControl/>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1</w:t>
            </w:r>
            <w:r>
              <w:rPr>
                <w:rFonts w:ascii="宋体" w:hAnsi="宋体" w:eastAsia="宋体"/>
                <w:color w:val="000000" w:themeColor="text1"/>
                <w:sz w:val="24"/>
                <w:szCs w:val="24"/>
                <w:highlight w:val="none"/>
              </w:rPr>
              <w:t>.</w:t>
            </w:r>
            <w:r>
              <w:rPr>
                <w:rFonts w:hint="eastAsia" w:ascii="宋体" w:hAnsi="宋体" w:eastAsia="宋体"/>
                <w:color w:val="000000" w:themeColor="text1"/>
                <w:sz w:val="24"/>
                <w:szCs w:val="24"/>
                <w:highlight w:val="none"/>
              </w:rPr>
              <w:t>审查时间：开标结束后；</w:t>
            </w:r>
          </w:p>
          <w:p w14:paraId="172B365C">
            <w:pPr>
              <w:widowControl/>
              <w:spacing w:line="360" w:lineRule="auto"/>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2</w:t>
            </w:r>
            <w:r>
              <w:rPr>
                <w:rFonts w:ascii="宋体" w:hAnsi="宋体" w:eastAsia="宋体"/>
                <w:color w:val="000000" w:themeColor="text1"/>
                <w:sz w:val="24"/>
                <w:szCs w:val="24"/>
                <w:highlight w:val="none"/>
              </w:rPr>
              <w:t>.</w:t>
            </w:r>
            <w:r>
              <w:rPr>
                <w:rFonts w:hint="eastAsia" w:ascii="宋体" w:hAnsi="宋体" w:eastAsia="宋体"/>
                <w:color w:val="000000" w:themeColor="text1"/>
                <w:sz w:val="24"/>
                <w:szCs w:val="24"/>
                <w:highlight w:val="none"/>
              </w:rPr>
              <w:t>审查内容：在“信用中国”网站（www.creditchina.gov.cn）和“中国政府采购网”（ccgp.gov.cn）对投标人信用信息进行查询，如果投标人被查实在投标截止时间前列入失信被执行人（页面跳转至“中国执行信息公开网”http：//zxgk.court.gov.cn/shixin/）、重大税收违法失信主体、政府采购严重违法失信行为记录名单，其投标为无效。</w:t>
            </w:r>
          </w:p>
          <w:p w14:paraId="6FD1345F">
            <w:pPr>
              <w:widowControl/>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3</w:t>
            </w:r>
            <w:r>
              <w:rPr>
                <w:rFonts w:ascii="宋体" w:hAnsi="宋体" w:eastAsia="宋体"/>
                <w:color w:val="000000" w:themeColor="text1"/>
                <w:sz w:val="24"/>
                <w:szCs w:val="24"/>
                <w:highlight w:val="none"/>
              </w:rPr>
              <w:t>.</w:t>
            </w:r>
            <w:r>
              <w:rPr>
                <w:rFonts w:hint="eastAsia" w:ascii="宋体" w:hAnsi="宋体" w:eastAsia="宋体"/>
                <w:color w:val="000000" w:themeColor="text1"/>
                <w:sz w:val="24"/>
                <w:szCs w:val="24"/>
                <w:highlight w:val="none"/>
              </w:rPr>
              <w:t>审查投标人资格证明文件是否符合国家法律法规和招标文件的要求，并且齐全、真实、有效。资格证明文件不合格的，其投标为无效。</w:t>
            </w:r>
          </w:p>
          <w:p w14:paraId="47D30F41">
            <w:pPr>
              <w:widowControl/>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4</w:t>
            </w:r>
            <w:r>
              <w:rPr>
                <w:rFonts w:ascii="宋体" w:hAnsi="宋体" w:eastAsia="宋体"/>
                <w:color w:val="000000" w:themeColor="text1"/>
                <w:sz w:val="24"/>
                <w:szCs w:val="24"/>
                <w:highlight w:val="none"/>
              </w:rPr>
              <w:t>.</w:t>
            </w:r>
            <w:r>
              <w:rPr>
                <w:rFonts w:hint="eastAsia" w:ascii="宋体" w:hAnsi="宋体" w:eastAsia="宋体"/>
                <w:color w:val="000000" w:themeColor="text1"/>
                <w:sz w:val="24"/>
                <w:szCs w:val="24"/>
                <w:highlight w:val="none"/>
              </w:rPr>
              <w:t>通过资格审查的投标人不足三家的，不进行评标。</w:t>
            </w:r>
          </w:p>
        </w:tc>
      </w:tr>
      <w:tr w14:paraId="43686B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3738B6C6">
            <w:pPr>
              <w:widowControl/>
              <w:spacing w:line="360" w:lineRule="auto"/>
              <w:jc w:val="center"/>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24</w:t>
            </w:r>
          </w:p>
        </w:tc>
        <w:tc>
          <w:tcPr>
            <w:tcW w:w="2098" w:type="dxa"/>
            <w:vAlign w:val="center"/>
          </w:tcPr>
          <w:p w14:paraId="15C8ABB7">
            <w:pPr>
              <w:widowControl/>
              <w:spacing w:line="360" w:lineRule="auto"/>
              <w:jc w:val="center"/>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评标方法</w:t>
            </w:r>
          </w:p>
        </w:tc>
        <w:tc>
          <w:tcPr>
            <w:tcW w:w="6349" w:type="dxa"/>
            <w:vAlign w:val="center"/>
          </w:tcPr>
          <w:p w14:paraId="4E704087">
            <w:pPr>
              <w:widowControl/>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综合评分法（详见第八章评标方法）。</w:t>
            </w:r>
          </w:p>
        </w:tc>
      </w:tr>
      <w:tr w14:paraId="596BA6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18028BF2">
            <w:pPr>
              <w:widowControl/>
              <w:spacing w:line="360" w:lineRule="auto"/>
              <w:jc w:val="center"/>
              <w:rPr>
                <w:rFonts w:ascii="宋体" w:hAnsi="宋体" w:eastAsia="宋体"/>
                <w:color w:val="000000" w:themeColor="text1"/>
                <w:sz w:val="24"/>
                <w:szCs w:val="24"/>
                <w:highlight w:val="none"/>
              </w:rPr>
            </w:pPr>
            <w:r>
              <w:rPr>
                <w:rFonts w:ascii="宋体" w:hAnsi="宋体" w:eastAsia="宋体"/>
                <w:color w:val="000000" w:themeColor="text1"/>
                <w:sz w:val="24"/>
                <w:szCs w:val="24"/>
                <w:highlight w:val="none"/>
              </w:rPr>
              <w:t>25</w:t>
            </w:r>
          </w:p>
        </w:tc>
        <w:tc>
          <w:tcPr>
            <w:tcW w:w="2098" w:type="dxa"/>
            <w:vAlign w:val="center"/>
          </w:tcPr>
          <w:p w14:paraId="34BF72A5">
            <w:pPr>
              <w:widowControl/>
              <w:spacing w:line="360" w:lineRule="auto"/>
              <w:jc w:val="center"/>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中标候选人数量</w:t>
            </w:r>
          </w:p>
        </w:tc>
        <w:tc>
          <w:tcPr>
            <w:tcW w:w="6349" w:type="dxa"/>
            <w:vAlign w:val="center"/>
          </w:tcPr>
          <w:p w14:paraId="2F9DF278">
            <w:pPr>
              <w:widowControl/>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推荐3名中标候选人。</w:t>
            </w:r>
          </w:p>
        </w:tc>
      </w:tr>
      <w:tr w14:paraId="0A9D50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11ED016B">
            <w:pPr>
              <w:widowControl/>
              <w:spacing w:line="360" w:lineRule="auto"/>
              <w:jc w:val="center"/>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2</w:t>
            </w:r>
            <w:r>
              <w:rPr>
                <w:rFonts w:ascii="宋体" w:hAnsi="宋体" w:eastAsia="宋体"/>
                <w:color w:val="000000" w:themeColor="text1"/>
                <w:sz w:val="24"/>
                <w:szCs w:val="24"/>
                <w:highlight w:val="none"/>
              </w:rPr>
              <w:t>6</w:t>
            </w:r>
          </w:p>
        </w:tc>
        <w:tc>
          <w:tcPr>
            <w:tcW w:w="2098" w:type="dxa"/>
            <w:vAlign w:val="center"/>
          </w:tcPr>
          <w:p w14:paraId="4C5C21E3">
            <w:pPr>
              <w:widowControl/>
              <w:spacing w:line="360" w:lineRule="auto"/>
              <w:jc w:val="center"/>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推荐中标候选人原则</w:t>
            </w:r>
          </w:p>
        </w:tc>
        <w:tc>
          <w:tcPr>
            <w:tcW w:w="6349" w:type="dxa"/>
            <w:vAlign w:val="center"/>
          </w:tcPr>
          <w:p w14:paraId="058CEE44">
            <w:pPr>
              <w:widowControl/>
              <w:spacing w:line="360" w:lineRule="auto"/>
              <w:jc w:val="left"/>
              <w:rPr>
                <w:rFonts w:ascii="宋体" w:hAnsi="宋体" w:eastAsia="宋体"/>
                <w:color w:val="000000" w:themeColor="text1"/>
                <w:sz w:val="24"/>
                <w:szCs w:val="24"/>
                <w:highlight w:val="none"/>
              </w:rPr>
            </w:pPr>
            <w:bookmarkStart w:id="26" w:name="OLE_LINK46"/>
            <w:bookmarkStart w:id="27" w:name="OLE_LINK47"/>
            <w:r>
              <w:rPr>
                <w:rFonts w:hint="eastAsia" w:ascii="宋体" w:hAnsi="宋体" w:eastAsia="宋体"/>
                <w:b/>
                <w:color w:val="000000" w:themeColor="text1"/>
                <w:sz w:val="24"/>
                <w:szCs w:val="24"/>
                <w:highlight w:val="none"/>
              </w:rPr>
              <w:t>兼投不兼中：为了保证项目进度，投标人可以同时投2个包段，但只能中1个包段。评标委员会按照包号1、2的顺序评审，若某投标人在前一包已被确定为排序第一名的中标候选人，则该投标人及其提供1包中同一设备生产厂商的核心产品的其他投标人在第2包段评审中只参与打分，不参加中标候选人推荐。</w:t>
            </w:r>
            <w:bookmarkEnd w:id="26"/>
            <w:bookmarkEnd w:id="27"/>
          </w:p>
        </w:tc>
      </w:tr>
      <w:tr w14:paraId="0DA33E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501DF974">
            <w:pPr>
              <w:widowControl/>
              <w:spacing w:line="360" w:lineRule="auto"/>
              <w:jc w:val="center"/>
              <w:rPr>
                <w:rFonts w:ascii="宋体" w:hAnsi="宋体" w:eastAsia="宋体"/>
                <w:color w:val="000000" w:themeColor="text1"/>
                <w:sz w:val="24"/>
                <w:szCs w:val="24"/>
                <w:highlight w:val="none"/>
              </w:rPr>
            </w:pPr>
            <w:r>
              <w:rPr>
                <w:rFonts w:ascii="宋体" w:hAnsi="宋体" w:eastAsia="宋体"/>
                <w:color w:val="000000" w:themeColor="text1"/>
                <w:sz w:val="24"/>
                <w:szCs w:val="24"/>
                <w:highlight w:val="none"/>
              </w:rPr>
              <w:t>27</w:t>
            </w:r>
          </w:p>
        </w:tc>
        <w:tc>
          <w:tcPr>
            <w:tcW w:w="2098" w:type="dxa"/>
            <w:vAlign w:val="center"/>
          </w:tcPr>
          <w:p w14:paraId="28F7B76D">
            <w:pPr>
              <w:widowControl/>
              <w:spacing w:line="360" w:lineRule="auto"/>
              <w:jc w:val="center"/>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招标代理服务费</w:t>
            </w:r>
          </w:p>
        </w:tc>
        <w:tc>
          <w:tcPr>
            <w:tcW w:w="6349" w:type="dxa"/>
            <w:vAlign w:val="center"/>
          </w:tcPr>
          <w:p w14:paraId="424493BC">
            <w:pPr>
              <w:widowControl/>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1.参照《国家计委关于印发</w:t>
            </w:r>
            <w:r>
              <w:rPr>
                <w:rFonts w:ascii="宋体" w:hAnsi="宋体" w:eastAsia="宋体"/>
                <w:color w:val="000000" w:themeColor="text1"/>
                <w:sz w:val="24"/>
                <w:szCs w:val="24"/>
                <w:highlight w:val="none"/>
              </w:rPr>
              <w:t>&lt;招标代理服务收费管理暂行办法&gt;的通知》（计价格【2002】1980号）规定标准计算，招标代理服务费实际收费为标准计算值的80%收取</w:t>
            </w:r>
            <w:r>
              <w:rPr>
                <w:rFonts w:hint="eastAsia" w:ascii="宋体" w:hAnsi="宋体" w:eastAsia="宋体"/>
                <w:color w:val="000000" w:themeColor="text1"/>
                <w:sz w:val="24"/>
                <w:szCs w:val="24"/>
                <w:highlight w:val="none"/>
              </w:rPr>
              <w:t>。</w:t>
            </w:r>
          </w:p>
          <w:p w14:paraId="5BE4638B">
            <w:pPr>
              <w:widowControl/>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2.缴费时间：由中标人向招标代理机构一次付清招标代理服务费。</w:t>
            </w:r>
          </w:p>
          <w:p w14:paraId="63CBB9F0">
            <w:pPr>
              <w:widowControl/>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3.银行信息：</w:t>
            </w:r>
          </w:p>
          <w:p w14:paraId="19A9225A">
            <w:pPr>
              <w:widowControl/>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户名：陕西中经招标有限公司</w:t>
            </w:r>
          </w:p>
          <w:p w14:paraId="08979B55">
            <w:pPr>
              <w:widowControl/>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开户银行：中国工商银行股份有限公司西安南关支行</w:t>
            </w:r>
          </w:p>
          <w:p w14:paraId="3B2ECE0B">
            <w:pPr>
              <w:widowControl/>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账号：</w:t>
            </w:r>
            <w:r>
              <w:rPr>
                <w:rFonts w:ascii="宋体" w:hAnsi="宋体" w:eastAsia="宋体"/>
                <w:color w:val="000000" w:themeColor="text1"/>
                <w:sz w:val="24"/>
                <w:szCs w:val="24"/>
                <w:highlight w:val="none"/>
              </w:rPr>
              <w:t>3700021509024616202</w:t>
            </w:r>
          </w:p>
        </w:tc>
      </w:tr>
      <w:tr w14:paraId="154F29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4A9D0CE5">
            <w:pPr>
              <w:widowControl/>
              <w:spacing w:line="360" w:lineRule="auto"/>
              <w:jc w:val="center"/>
              <w:rPr>
                <w:rFonts w:ascii="宋体" w:hAnsi="宋体" w:eastAsia="宋体"/>
                <w:color w:val="000000" w:themeColor="text1"/>
                <w:sz w:val="24"/>
                <w:szCs w:val="24"/>
                <w:highlight w:val="none"/>
              </w:rPr>
            </w:pPr>
            <w:r>
              <w:rPr>
                <w:rFonts w:ascii="宋体" w:hAnsi="宋体" w:eastAsia="宋体"/>
                <w:bCs/>
                <w:color w:val="000000" w:themeColor="text1"/>
                <w:sz w:val="24"/>
                <w:szCs w:val="24"/>
                <w:highlight w:val="none"/>
              </w:rPr>
              <w:t>28</w:t>
            </w:r>
          </w:p>
        </w:tc>
        <w:tc>
          <w:tcPr>
            <w:tcW w:w="2098" w:type="dxa"/>
            <w:vAlign w:val="center"/>
          </w:tcPr>
          <w:p w14:paraId="06047820">
            <w:pPr>
              <w:widowControl/>
              <w:spacing w:line="360" w:lineRule="auto"/>
              <w:jc w:val="center"/>
              <w:rPr>
                <w:rFonts w:ascii="宋体" w:hAnsi="宋体" w:eastAsia="宋体"/>
                <w:color w:val="000000" w:themeColor="text1"/>
                <w:sz w:val="24"/>
                <w:szCs w:val="24"/>
                <w:highlight w:val="none"/>
              </w:rPr>
            </w:pPr>
            <w:r>
              <w:rPr>
                <w:rFonts w:hint="eastAsia" w:ascii="宋体" w:hAnsi="宋体" w:eastAsia="宋体"/>
                <w:bCs/>
                <w:color w:val="000000" w:themeColor="text1"/>
                <w:sz w:val="24"/>
                <w:szCs w:val="24"/>
                <w:highlight w:val="none"/>
              </w:rPr>
              <w:t>对应的中小企业划分标准</w:t>
            </w:r>
          </w:p>
        </w:tc>
        <w:tc>
          <w:tcPr>
            <w:tcW w:w="6349" w:type="dxa"/>
            <w:vAlign w:val="center"/>
          </w:tcPr>
          <w:p w14:paraId="74810950">
            <w:pPr>
              <w:widowControl/>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工业</w:t>
            </w:r>
          </w:p>
        </w:tc>
      </w:tr>
      <w:tr w14:paraId="402691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1907C68F">
            <w:pPr>
              <w:widowControl/>
              <w:spacing w:line="360" w:lineRule="auto"/>
              <w:jc w:val="center"/>
              <w:rPr>
                <w:rFonts w:ascii="宋体" w:hAnsi="宋体" w:eastAsia="宋体"/>
                <w:bCs/>
                <w:color w:val="000000" w:themeColor="text1"/>
                <w:sz w:val="24"/>
                <w:szCs w:val="24"/>
                <w:highlight w:val="none"/>
              </w:rPr>
            </w:pPr>
            <w:r>
              <w:rPr>
                <w:rFonts w:ascii="宋体" w:hAnsi="宋体" w:eastAsia="宋体"/>
                <w:bCs/>
                <w:color w:val="000000" w:themeColor="text1"/>
                <w:sz w:val="24"/>
                <w:szCs w:val="24"/>
                <w:highlight w:val="none"/>
              </w:rPr>
              <w:t>29</w:t>
            </w:r>
          </w:p>
        </w:tc>
        <w:tc>
          <w:tcPr>
            <w:tcW w:w="2098" w:type="dxa"/>
            <w:vAlign w:val="center"/>
          </w:tcPr>
          <w:p w14:paraId="5A59198A">
            <w:pPr>
              <w:widowControl/>
              <w:spacing w:line="360" w:lineRule="auto"/>
              <w:jc w:val="center"/>
              <w:rPr>
                <w:rFonts w:ascii="宋体" w:hAnsi="宋体" w:eastAsia="宋体"/>
                <w:bCs/>
                <w:color w:val="000000" w:themeColor="text1"/>
                <w:sz w:val="24"/>
                <w:szCs w:val="24"/>
                <w:highlight w:val="none"/>
              </w:rPr>
            </w:pPr>
            <w:r>
              <w:rPr>
                <w:rFonts w:hint="eastAsia" w:ascii="宋体" w:hAnsi="宋体" w:eastAsia="宋体"/>
                <w:bCs/>
                <w:color w:val="000000" w:themeColor="text1"/>
                <w:sz w:val="24"/>
                <w:szCs w:val="24"/>
                <w:highlight w:val="none"/>
              </w:rPr>
              <w:t>关于投标文件的雷同性分析</w:t>
            </w:r>
          </w:p>
        </w:tc>
        <w:tc>
          <w:tcPr>
            <w:tcW w:w="6349" w:type="dxa"/>
            <w:vAlign w:val="center"/>
          </w:tcPr>
          <w:p w14:paraId="2735A8D0">
            <w:pPr>
              <w:widowControl/>
              <w:spacing w:line="360" w:lineRule="auto"/>
              <w:jc w:val="left"/>
              <w:rPr>
                <w:rFonts w:ascii="宋体" w:hAnsi="宋体" w:eastAsia="宋体"/>
                <w:bCs/>
                <w:color w:val="000000" w:themeColor="text1"/>
                <w:sz w:val="24"/>
                <w:szCs w:val="24"/>
                <w:highlight w:val="none"/>
              </w:rPr>
            </w:pPr>
            <w:r>
              <w:rPr>
                <w:rFonts w:hint="eastAsia" w:ascii="宋体" w:hAnsi="宋体" w:eastAsia="宋体"/>
                <w:bCs/>
                <w:color w:val="000000" w:themeColor="text1"/>
                <w:sz w:val="24"/>
                <w:szCs w:val="24"/>
                <w:highlight w:val="none"/>
              </w:rPr>
              <w:t>1.根据陕西省公共资源交易中心2021年7月22日印发的《关于在政府采购交易系统中开通标书雷同性分析功能的通知》，在符合性审查环节，将由评标委员会在评标系统中对供应商的电子投标文件进行雷同性分析。</w:t>
            </w:r>
          </w:p>
          <w:p w14:paraId="5099F9B2">
            <w:pPr>
              <w:widowControl/>
              <w:spacing w:line="360" w:lineRule="auto"/>
              <w:jc w:val="left"/>
              <w:rPr>
                <w:rFonts w:ascii="宋体" w:hAnsi="宋体" w:eastAsia="宋体"/>
                <w:bCs/>
                <w:color w:val="000000" w:themeColor="text1"/>
                <w:sz w:val="24"/>
                <w:szCs w:val="24"/>
                <w:highlight w:val="none"/>
              </w:rPr>
            </w:pPr>
            <w:r>
              <w:rPr>
                <w:rFonts w:hint="eastAsia" w:ascii="宋体" w:hAnsi="宋体" w:eastAsia="宋体"/>
                <w:bCs/>
                <w:color w:val="000000" w:themeColor="text1"/>
                <w:sz w:val="24"/>
                <w:szCs w:val="24"/>
                <w:highlight w:val="none"/>
              </w:rPr>
              <w:t>2.雷同性分析由两项指标组成，分别是“文件制作机器码”和“文件创建标识码”。其中，前者通过验证电子投标文件制作设备的特征信息（如MAC地址、硬盘序列号、CPU编号、主板号等），判断电子投标文件是否出自同一台设备。</w:t>
            </w:r>
          </w:p>
          <w:p w14:paraId="3E0CFC1A">
            <w:pPr>
              <w:widowControl/>
              <w:spacing w:line="360" w:lineRule="auto"/>
              <w:jc w:val="left"/>
              <w:rPr>
                <w:rFonts w:ascii="宋体" w:hAnsi="宋体" w:eastAsia="宋体"/>
                <w:bCs/>
                <w:color w:val="000000" w:themeColor="text1"/>
                <w:sz w:val="24"/>
                <w:szCs w:val="24"/>
                <w:highlight w:val="none"/>
              </w:rPr>
            </w:pPr>
            <w:r>
              <w:rPr>
                <w:rFonts w:hint="eastAsia" w:ascii="宋体" w:hAnsi="宋体" w:eastAsia="宋体"/>
                <w:bCs/>
                <w:color w:val="000000" w:themeColor="text1"/>
                <w:sz w:val="24"/>
                <w:szCs w:val="24"/>
                <w:highlight w:val="none"/>
              </w:rPr>
              <w:t>2.1若“文件制作机器码”一致，则表明不同投标供应商的电子投标文件出自同一台制作设备，根据《陕西省财政厅关于政府采购有关政策的复函》（陕财办采函〔2019〕18号），该情形可以视为投标供应商串通投标，其投标无效。</w:t>
            </w:r>
          </w:p>
          <w:p w14:paraId="13305481">
            <w:pPr>
              <w:widowControl/>
              <w:spacing w:line="360" w:lineRule="auto"/>
              <w:jc w:val="left"/>
              <w:rPr>
                <w:rFonts w:ascii="宋体" w:hAnsi="宋体" w:eastAsia="宋体"/>
                <w:bCs/>
                <w:color w:val="000000" w:themeColor="text1"/>
                <w:sz w:val="24"/>
                <w:szCs w:val="24"/>
                <w:highlight w:val="none"/>
              </w:rPr>
            </w:pPr>
            <w:r>
              <w:rPr>
                <w:rFonts w:hint="eastAsia" w:ascii="宋体" w:hAnsi="宋体" w:eastAsia="宋体"/>
                <w:bCs/>
                <w:color w:val="000000" w:themeColor="text1"/>
                <w:sz w:val="24"/>
                <w:szCs w:val="24"/>
                <w:highlight w:val="none"/>
              </w:rPr>
              <w:t>2.2若“文件创建标识码”一致，则表示不同投标供应商使用投标文件制作软件时，使用同一源工程文件，该情形建议由评标委员会结合项目情况综合判定。</w:t>
            </w:r>
          </w:p>
        </w:tc>
      </w:tr>
      <w:tr w14:paraId="34A0C5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22A06EBE">
            <w:pPr>
              <w:widowControl/>
              <w:spacing w:line="360" w:lineRule="auto"/>
              <w:jc w:val="center"/>
              <w:rPr>
                <w:rFonts w:ascii="宋体" w:hAnsi="宋体" w:eastAsia="宋体"/>
                <w:bCs/>
                <w:color w:val="000000" w:themeColor="text1"/>
                <w:sz w:val="24"/>
                <w:szCs w:val="24"/>
                <w:highlight w:val="none"/>
              </w:rPr>
            </w:pPr>
            <w:r>
              <w:rPr>
                <w:rFonts w:ascii="宋体" w:hAnsi="宋体" w:eastAsia="宋体"/>
                <w:bCs/>
                <w:color w:val="000000" w:themeColor="text1"/>
                <w:sz w:val="24"/>
                <w:szCs w:val="24"/>
                <w:highlight w:val="none"/>
              </w:rPr>
              <w:t>30</w:t>
            </w:r>
          </w:p>
        </w:tc>
        <w:tc>
          <w:tcPr>
            <w:tcW w:w="2098" w:type="dxa"/>
            <w:vAlign w:val="center"/>
          </w:tcPr>
          <w:p w14:paraId="7FC544F6">
            <w:pPr>
              <w:widowControl/>
              <w:spacing w:line="360" w:lineRule="auto"/>
              <w:jc w:val="center"/>
              <w:rPr>
                <w:rFonts w:ascii="宋体" w:hAnsi="宋体" w:eastAsia="宋体"/>
                <w:bCs/>
                <w:color w:val="000000" w:themeColor="text1"/>
                <w:sz w:val="24"/>
                <w:szCs w:val="24"/>
                <w:highlight w:val="none"/>
              </w:rPr>
            </w:pPr>
            <w:r>
              <w:rPr>
                <w:rFonts w:hint="eastAsia" w:ascii="宋体" w:hAnsi="宋体" w:eastAsia="宋体"/>
                <w:bCs/>
                <w:color w:val="000000" w:themeColor="text1"/>
                <w:sz w:val="24"/>
                <w:szCs w:val="24"/>
                <w:highlight w:val="none"/>
              </w:rPr>
              <w:t>政府采购信息发布媒体（采购公告、采购结果公告、变更公告）</w:t>
            </w:r>
          </w:p>
        </w:tc>
        <w:tc>
          <w:tcPr>
            <w:tcW w:w="6349" w:type="dxa"/>
            <w:vAlign w:val="center"/>
          </w:tcPr>
          <w:p w14:paraId="4DF39EAE">
            <w:pPr>
              <w:widowControl/>
              <w:spacing w:line="360" w:lineRule="auto"/>
              <w:jc w:val="left"/>
              <w:rPr>
                <w:rFonts w:ascii="宋体" w:hAnsi="宋体" w:eastAsia="宋体"/>
                <w:bCs/>
                <w:color w:val="000000" w:themeColor="text1"/>
                <w:sz w:val="24"/>
                <w:szCs w:val="24"/>
                <w:highlight w:val="none"/>
              </w:rPr>
            </w:pPr>
            <w:r>
              <w:rPr>
                <w:rFonts w:hint="eastAsia" w:ascii="宋体" w:hAnsi="宋体" w:eastAsia="宋体"/>
                <w:bCs/>
                <w:color w:val="000000" w:themeColor="text1"/>
                <w:sz w:val="24"/>
                <w:szCs w:val="24"/>
                <w:highlight w:val="none"/>
              </w:rPr>
              <w:t>1.陕西省政府采购网：仅提供项目公告，官网地址：</w:t>
            </w:r>
            <w:r>
              <w:rPr>
                <w:color w:val="000000" w:themeColor="text1"/>
                <w:highlight w:val="none"/>
              </w:rPr>
              <w:fldChar w:fldCharType="begin"/>
            </w:r>
            <w:r>
              <w:rPr>
                <w:color w:val="000000" w:themeColor="text1"/>
                <w:highlight w:val="none"/>
              </w:rPr>
              <w:instrText xml:space="preserve"> HYPERLINK "https://www.ccgp-shaanxi.gov.cn/" </w:instrText>
            </w:r>
            <w:r>
              <w:rPr>
                <w:color w:val="000000" w:themeColor="text1"/>
                <w:highlight w:val="none"/>
              </w:rPr>
              <w:fldChar w:fldCharType="separate"/>
            </w:r>
            <w:r>
              <w:rPr>
                <w:rFonts w:ascii="宋体" w:hAnsi="宋体" w:eastAsia="宋体"/>
                <w:bCs/>
                <w:color w:val="000000" w:themeColor="text1"/>
                <w:sz w:val="24"/>
                <w:szCs w:val="24"/>
                <w:highlight w:val="none"/>
              </w:rPr>
              <w:t>https://www.ccgp-shaanxi.gov.cn/</w:t>
            </w:r>
            <w:r>
              <w:rPr>
                <w:rFonts w:ascii="宋体" w:hAnsi="宋体" w:eastAsia="宋体"/>
                <w:bCs/>
                <w:color w:val="000000" w:themeColor="text1"/>
                <w:sz w:val="24"/>
                <w:szCs w:val="24"/>
                <w:highlight w:val="none"/>
              </w:rPr>
              <w:fldChar w:fldCharType="end"/>
            </w:r>
            <w:r>
              <w:rPr>
                <w:rFonts w:hint="eastAsia" w:ascii="宋体" w:hAnsi="宋体" w:eastAsia="宋体"/>
                <w:bCs/>
                <w:color w:val="000000" w:themeColor="text1"/>
                <w:sz w:val="24"/>
                <w:szCs w:val="24"/>
                <w:highlight w:val="none"/>
              </w:rPr>
              <w:t>。</w:t>
            </w:r>
          </w:p>
          <w:p w14:paraId="161B693B">
            <w:pPr>
              <w:widowControl/>
              <w:spacing w:line="360" w:lineRule="auto"/>
              <w:jc w:val="left"/>
              <w:rPr>
                <w:rFonts w:ascii="宋体" w:hAnsi="宋体" w:eastAsia="宋体"/>
                <w:bCs/>
                <w:color w:val="000000" w:themeColor="text1"/>
                <w:sz w:val="24"/>
                <w:szCs w:val="24"/>
                <w:highlight w:val="none"/>
              </w:rPr>
            </w:pPr>
            <w:r>
              <w:rPr>
                <w:rFonts w:ascii="宋体" w:hAnsi="宋体" w:eastAsia="宋体"/>
                <w:bCs/>
                <w:color w:val="000000" w:themeColor="text1"/>
                <w:sz w:val="24"/>
                <w:szCs w:val="24"/>
                <w:highlight w:val="none"/>
              </w:rPr>
              <w:t>2.</w:t>
            </w:r>
            <w:r>
              <w:rPr>
                <w:rFonts w:hint="eastAsia" w:ascii="宋体" w:hAnsi="宋体" w:eastAsia="宋体"/>
                <w:bCs/>
                <w:color w:val="000000" w:themeColor="text1"/>
                <w:sz w:val="24"/>
                <w:szCs w:val="24"/>
                <w:highlight w:val="none"/>
              </w:rPr>
              <w:t>全国公共资源交易平台（陕西省·宝鸡市）：即宝鸡市公共资源交易平台，提供项目公告和采购文件下载。官网地址：</w:t>
            </w:r>
            <w:bookmarkStart w:id="28" w:name="OLE_LINK25"/>
            <w:bookmarkStart w:id="29" w:name="OLE_LINK24"/>
            <w:r>
              <w:rPr>
                <w:rFonts w:ascii="宋体" w:hAnsi="宋体" w:eastAsia="宋体"/>
                <w:bCs/>
                <w:color w:val="000000" w:themeColor="text1"/>
                <w:sz w:val="24"/>
                <w:szCs w:val="24"/>
                <w:highlight w:val="none"/>
              </w:rPr>
              <w:t>http://ggzy.baoji.gov.cn/</w:t>
            </w:r>
            <w:bookmarkEnd w:id="28"/>
            <w:bookmarkEnd w:id="29"/>
            <w:r>
              <w:rPr>
                <w:rFonts w:hint="eastAsia" w:ascii="宋体" w:hAnsi="宋体" w:eastAsia="宋体"/>
                <w:bCs/>
                <w:color w:val="000000" w:themeColor="text1"/>
                <w:sz w:val="24"/>
                <w:szCs w:val="24"/>
                <w:highlight w:val="none"/>
              </w:rPr>
              <w:t>）</w:t>
            </w:r>
          </w:p>
        </w:tc>
      </w:tr>
    </w:tbl>
    <w:p w14:paraId="16B6CAB8">
      <w:pPr>
        <w:widowControl/>
        <w:spacing w:line="360" w:lineRule="auto"/>
        <w:jc w:val="left"/>
        <w:rPr>
          <w:rFonts w:ascii="宋体" w:hAnsi="宋体" w:eastAsia="宋体"/>
          <w:color w:val="000000" w:themeColor="text1"/>
          <w:sz w:val="24"/>
          <w:szCs w:val="24"/>
          <w:highlight w:val="none"/>
        </w:rPr>
      </w:pPr>
      <w:r>
        <w:rPr>
          <w:rFonts w:ascii="宋体" w:hAnsi="宋体" w:eastAsia="宋体"/>
          <w:color w:val="000000" w:themeColor="text1"/>
          <w:sz w:val="24"/>
          <w:szCs w:val="24"/>
          <w:highlight w:val="none"/>
        </w:rPr>
        <w:br w:type="page"/>
      </w:r>
    </w:p>
    <w:p w14:paraId="7D8BBEDF">
      <w:pPr>
        <w:widowControl/>
        <w:spacing w:line="360" w:lineRule="auto"/>
        <w:jc w:val="left"/>
        <w:rPr>
          <w:rFonts w:ascii="宋体" w:hAnsi="宋体" w:eastAsia="宋体" w:cs="宋体"/>
          <w:b/>
          <w:bCs/>
          <w:color w:val="000000" w:themeColor="text1"/>
          <w:kern w:val="0"/>
          <w:sz w:val="28"/>
          <w:szCs w:val="28"/>
          <w:highlight w:val="none"/>
        </w:rPr>
      </w:pPr>
    </w:p>
    <w:p w14:paraId="75265C88">
      <w:pPr>
        <w:widowControl/>
        <w:spacing w:line="360" w:lineRule="auto"/>
        <w:jc w:val="left"/>
        <w:rPr>
          <w:rFonts w:ascii="宋体" w:hAnsi="宋体" w:eastAsia="宋体" w:cs="宋体"/>
          <w:color w:val="000000" w:themeColor="text1"/>
          <w:kern w:val="0"/>
          <w:sz w:val="28"/>
          <w:szCs w:val="28"/>
          <w:highlight w:val="none"/>
        </w:rPr>
      </w:pPr>
      <w:r>
        <w:rPr>
          <w:rFonts w:hint="eastAsia" w:ascii="宋体" w:hAnsi="宋体" w:eastAsia="宋体" w:cs="宋体"/>
          <w:b/>
          <w:bCs/>
          <w:color w:val="000000" w:themeColor="text1"/>
          <w:kern w:val="0"/>
          <w:sz w:val="28"/>
          <w:szCs w:val="28"/>
          <w:highlight w:val="none"/>
        </w:rPr>
        <w:t>附件1</w:t>
      </w:r>
    </w:p>
    <w:p w14:paraId="5BB8C06B">
      <w:pPr>
        <w:widowControl/>
        <w:spacing w:line="360" w:lineRule="auto"/>
        <w:jc w:val="center"/>
        <w:rPr>
          <w:rFonts w:ascii="宋体" w:hAnsi="宋体" w:eastAsia="宋体" w:cs="宋体"/>
          <w:b/>
          <w:color w:val="000000" w:themeColor="text1"/>
          <w:kern w:val="0"/>
          <w:sz w:val="28"/>
          <w:szCs w:val="28"/>
          <w:highlight w:val="none"/>
        </w:rPr>
      </w:pPr>
    </w:p>
    <w:p w14:paraId="59BAC22E">
      <w:pPr>
        <w:widowControl/>
        <w:spacing w:line="360" w:lineRule="auto"/>
        <w:jc w:val="center"/>
        <w:rPr>
          <w:rFonts w:ascii="宋体" w:hAnsi="宋体" w:eastAsia="宋体" w:cs="宋体"/>
          <w:b/>
          <w:color w:val="000000" w:themeColor="text1"/>
          <w:kern w:val="0"/>
          <w:sz w:val="28"/>
          <w:szCs w:val="28"/>
          <w:highlight w:val="none"/>
        </w:rPr>
      </w:pPr>
      <w:r>
        <w:rPr>
          <w:rFonts w:hint="eastAsia" w:ascii="宋体" w:hAnsi="宋体" w:eastAsia="宋体" w:cs="宋体"/>
          <w:b/>
          <w:color w:val="000000" w:themeColor="text1"/>
          <w:kern w:val="0"/>
          <w:sz w:val="28"/>
          <w:szCs w:val="28"/>
          <w:highlight w:val="none"/>
        </w:rPr>
        <w:t>陕西省财政厅关于印发《陕西省中小企业政府采购信用融资办法》</w:t>
      </w:r>
    </w:p>
    <w:p w14:paraId="6CB83B78">
      <w:pPr>
        <w:widowControl/>
        <w:spacing w:line="360" w:lineRule="auto"/>
        <w:jc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陕财办采〔2018〕23号</w:t>
      </w:r>
    </w:p>
    <w:p w14:paraId="72CE65D9">
      <w:pPr>
        <w:widowControl/>
        <w:spacing w:line="360" w:lineRule="auto"/>
        <w:jc w:val="left"/>
        <w:rPr>
          <w:rFonts w:ascii="宋体" w:hAnsi="宋体" w:eastAsia="宋体" w:cs="宋体"/>
          <w:color w:val="000000" w:themeColor="text1"/>
          <w:kern w:val="0"/>
          <w:sz w:val="24"/>
          <w:szCs w:val="24"/>
          <w:highlight w:val="none"/>
        </w:rPr>
      </w:pPr>
    </w:p>
    <w:p w14:paraId="73262E64">
      <w:pPr>
        <w:widowControl/>
        <w:spacing w:line="360" w:lineRule="auto"/>
        <w:jc w:val="left"/>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各设区市、西咸新区、韩城市财政局，省级各部门、单位，各有关金融机构、有关企业：</w:t>
      </w:r>
    </w:p>
    <w:p w14:paraId="1ACE9636">
      <w:pPr>
        <w:widowControl/>
        <w:spacing w:line="360" w:lineRule="auto"/>
        <w:ind w:firstLine="480" w:firstLineChars="200"/>
        <w:jc w:val="left"/>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自2012年起，我省启动了政府采购信用担保融资试点工作，取得了一定成效。为进一步贯彻落实国务院和我省关于支持中小企业发展的政策措施，发挥政府采购政策导向作用，充分利用信息化技术，通过搭建信息对称、相互对接的平台，有效缓解中小企业融资难、融资贵问题。结合我省政府采购信息化建设实际，我们制定了《陕西省中小企业政府采购信用融资办法》，现印发给你们，请遵照执行。</w:t>
      </w:r>
    </w:p>
    <w:p w14:paraId="02654E0B">
      <w:pPr>
        <w:widowControl/>
        <w:spacing w:line="360" w:lineRule="auto"/>
        <w:jc w:val="left"/>
        <w:rPr>
          <w:rFonts w:ascii="宋体" w:hAnsi="宋体" w:eastAsia="宋体" w:cs="宋体"/>
          <w:color w:val="000000" w:themeColor="text1"/>
          <w:kern w:val="0"/>
          <w:sz w:val="24"/>
          <w:szCs w:val="24"/>
          <w:highlight w:val="none"/>
        </w:rPr>
      </w:pPr>
    </w:p>
    <w:p w14:paraId="036FA6DC">
      <w:pPr>
        <w:widowControl/>
        <w:spacing w:line="360" w:lineRule="auto"/>
        <w:jc w:val="right"/>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陕西省财政厅</w:t>
      </w:r>
    </w:p>
    <w:p w14:paraId="6D60F580">
      <w:pPr>
        <w:widowControl/>
        <w:spacing w:line="360" w:lineRule="auto"/>
        <w:jc w:val="right"/>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2018年10月8日</w:t>
      </w:r>
    </w:p>
    <w:p w14:paraId="3BB72D72">
      <w:pPr>
        <w:widowControl/>
        <w:spacing w:line="360" w:lineRule="auto"/>
        <w:jc w:val="left"/>
        <w:rPr>
          <w:rFonts w:ascii="宋体" w:hAnsi="宋体" w:eastAsia="宋体" w:cs="宋体"/>
          <w:color w:val="000000" w:themeColor="text1"/>
          <w:kern w:val="0"/>
          <w:sz w:val="24"/>
          <w:szCs w:val="24"/>
          <w:highlight w:val="none"/>
        </w:rPr>
      </w:pPr>
    </w:p>
    <w:p w14:paraId="7D574600">
      <w:pPr>
        <w:widowControl/>
        <w:spacing w:line="360" w:lineRule="auto"/>
        <w:jc w:val="center"/>
        <w:rPr>
          <w:rFonts w:ascii="宋体" w:hAnsi="宋体" w:eastAsia="宋体" w:cs="宋体"/>
          <w:b/>
          <w:color w:val="000000" w:themeColor="text1"/>
          <w:kern w:val="0"/>
          <w:sz w:val="28"/>
          <w:szCs w:val="28"/>
          <w:highlight w:val="none"/>
        </w:rPr>
      </w:pPr>
      <w:r>
        <w:rPr>
          <w:rFonts w:hint="eastAsia" w:ascii="宋体" w:hAnsi="宋体" w:eastAsia="宋体" w:cs="宋体"/>
          <w:b/>
          <w:color w:val="000000" w:themeColor="text1"/>
          <w:kern w:val="0"/>
          <w:sz w:val="28"/>
          <w:szCs w:val="28"/>
          <w:highlight w:val="none"/>
        </w:rPr>
        <w:t>陕西省中小企业政府采购信用融资办法</w:t>
      </w:r>
    </w:p>
    <w:p w14:paraId="18257B2B">
      <w:pPr>
        <w:widowControl/>
        <w:spacing w:line="360" w:lineRule="auto"/>
        <w:ind w:firstLine="480" w:firstLineChars="200"/>
        <w:jc w:val="left"/>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第一条  为进一步贯彻落实国务院和我省关于支持中小企业发展的政策措施，发挥政府采购政策导向作用，充分利用信息化技术，通过搭建信息对称、相互对接的平台，有效缓解中小企业融资难、融资贵问题。根据《中华人民共和国政府采购法》以及《政府采购促进中小企业发展暂行办法》等有关规定，结合本省实际，制定本办法。</w:t>
      </w:r>
    </w:p>
    <w:p w14:paraId="70F2DC30">
      <w:pPr>
        <w:widowControl/>
        <w:spacing w:line="360" w:lineRule="auto"/>
        <w:ind w:firstLine="480" w:firstLineChars="200"/>
        <w:jc w:val="left"/>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第二条  本办法所称“中小企业”包括中型、小型及微型企业，其划型标准按照《关于印发中小企业划型标准规定的通知》（工信部联企业〔2011〕300号）规定执行。</w:t>
      </w:r>
    </w:p>
    <w:p w14:paraId="2FF606CA">
      <w:pPr>
        <w:widowControl/>
        <w:spacing w:line="360" w:lineRule="auto"/>
        <w:ind w:firstLine="480" w:firstLineChars="200"/>
        <w:jc w:val="left"/>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第三条  本办法所称的政府采购信用融资，是指银行业金融机构（以下简称银行）以政府采购诚信考核和信用审查为基础，凭借政府采购合同，按优于一般中小企业的贷款利率直接向申请贷款的供应商发放贷款的一种融资方式。</w:t>
      </w:r>
    </w:p>
    <w:p w14:paraId="0C6F35D9">
      <w:pPr>
        <w:widowControl/>
        <w:spacing w:line="360" w:lineRule="auto"/>
        <w:ind w:firstLine="480" w:firstLineChars="200"/>
        <w:jc w:val="left"/>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第四条  开展政府采购信用融资的银行，应当为在陕西省境内注册或设立分支机构，并经财政部门审核且在我省政府采购信息系统搭建服务链接窗口的金融机构。</w:t>
      </w:r>
    </w:p>
    <w:p w14:paraId="21717DBB">
      <w:pPr>
        <w:widowControl/>
        <w:spacing w:line="360" w:lineRule="auto"/>
        <w:ind w:firstLine="480" w:firstLineChars="200"/>
        <w:jc w:val="left"/>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第五条  政府采购信用融资应当坚持“财政引导，市场运行，银企自愿，互惠共赢”的原则。</w:t>
      </w:r>
    </w:p>
    <w:p w14:paraId="19F135BE">
      <w:pPr>
        <w:widowControl/>
        <w:spacing w:line="360" w:lineRule="auto"/>
        <w:ind w:firstLine="480" w:firstLineChars="200"/>
        <w:jc w:val="left"/>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第六条  省财政厅以全省统一的电子化政府采购系统为平台，对接银行信息化系统，推进政府采购中标成交信息、合同信息、融资信息、支付信息和信用信息等信息资源共享。</w:t>
      </w:r>
    </w:p>
    <w:p w14:paraId="55A78673">
      <w:pPr>
        <w:widowControl/>
        <w:spacing w:line="360" w:lineRule="auto"/>
        <w:ind w:firstLine="480" w:firstLineChars="200"/>
        <w:jc w:val="left"/>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第七条  各级财政部门应当以政府采购诚信考核和信息化建设为基础，积极为中小企业信用融资搭建平台，提供银企对接的机会和相关的服务支持，但不得为相关贷款项目提供任何形式的担保。</w:t>
      </w:r>
    </w:p>
    <w:p w14:paraId="16DDCE1C">
      <w:pPr>
        <w:widowControl/>
        <w:spacing w:line="360" w:lineRule="auto"/>
        <w:ind w:firstLine="480" w:firstLineChars="200"/>
        <w:jc w:val="left"/>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第八条  各银行可自主决定是否提供政府采购信用融资以及融资额度，并与供应商签订融资协议；各供应商也可自行决定是否参加政府采购信用融资，并自愿选择合适的融资银行及在该银行开设银行账户。任何单位和个人均不得干预银企双方开展政府采购信用融资业务。</w:t>
      </w:r>
    </w:p>
    <w:p w14:paraId="5638C3F7">
      <w:pPr>
        <w:widowControl/>
        <w:spacing w:line="360" w:lineRule="auto"/>
        <w:ind w:firstLine="480" w:firstLineChars="200"/>
        <w:jc w:val="left"/>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第九条  政府采购供应商申请信用融资时，如融资金额未超过政府采购合同金额的，银行原则上不得要求供应商提供财产抵押或第三方担保，或附加其他任何形式的担保条件，切实做到以政府采购信用为基础，简化手续，提高效率，降低供应商融资成本。</w:t>
      </w:r>
    </w:p>
    <w:p w14:paraId="5AC2B29F">
      <w:pPr>
        <w:widowControl/>
        <w:spacing w:line="360" w:lineRule="auto"/>
        <w:ind w:firstLine="480" w:firstLineChars="200"/>
        <w:jc w:val="left"/>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第十条  银行为参与政府采购融资的中小企业提供的产品，应以信用贷款为主，贷款利率应当优于一般中小企业的贷款利率水平，并将产品信息（包括贷款发放条件、利率优惠、贷款金额）等在陕西政府采购网予以展示。</w:t>
      </w:r>
    </w:p>
    <w:p w14:paraId="7A4B5A12">
      <w:pPr>
        <w:widowControl/>
        <w:spacing w:line="360" w:lineRule="auto"/>
        <w:ind w:firstLine="480" w:firstLineChars="200"/>
        <w:jc w:val="left"/>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第十一条  中小企业可根据各银行提供的方案，自行选择符合自身情况的金融产品，并根据方案中列明的联系方式和要求向相关银行提出信用融资申请。银行根据中小企业的申请开展尽职调查，合理确定融资授信额度。中小企业获得政府采购合同后，凭政府采购合同向银行提出融资申请。</w:t>
      </w:r>
    </w:p>
    <w:p w14:paraId="37CB5C5A">
      <w:pPr>
        <w:widowControl/>
        <w:spacing w:line="360" w:lineRule="auto"/>
        <w:ind w:firstLine="480" w:firstLineChars="200"/>
        <w:jc w:val="left"/>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第十二条  银行应按规定对申请信用融资的供应商的政府采购合同信息进行审查，必要时可通过陕西政府采购网对该政府采购合同进行审核，以确保政府采购合同的真实性和有效性。</w:t>
      </w:r>
    </w:p>
    <w:p w14:paraId="0FA2AD42">
      <w:pPr>
        <w:widowControl/>
        <w:spacing w:line="360" w:lineRule="auto"/>
        <w:ind w:firstLine="480" w:firstLineChars="200"/>
        <w:jc w:val="left"/>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第十三条  对拟用于信用融资的政府采购合同，供应商在签署合同时应当向采购单位或采购代理机构申明或提示该合同将用于申请信用融资，并在合同中注明融资银行名称及在该银行开设的收款账号信息。采购单位或采购代理机构在进行政府采购合同备案时，应当将上述信息在政府采购合同中予以特别标记。</w:t>
      </w:r>
    </w:p>
    <w:p w14:paraId="6EDD782B">
      <w:pPr>
        <w:widowControl/>
        <w:spacing w:line="360" w:lineRule="auto"/>
        <w:ind w:firstLine="480" w:firstLineChars="200"/>
        <w:jc w:val="left"/>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第十四条  各银行应当建立政府采购合同融资绿色通道，配备专业人员定向服务，简化贷款审批程序，制定相应业务管理规范，审核无误后，银行应当凭合同和事先约定的优惠利率及时予以放款，提供快捷、方便、专业的融资服务。</w:t>
      </w:r>
    </w:p>
    <w:p w14:paraId="4157F67E">
      <w:pPr>
        <w:widowControl/>
        <w:spacing w:line="360" w:lineRule="auto"/>
        <w:ind w:firstLine="480" w:firstLineChars="200"/>
        <w:jc w:val="left"/>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第十五条  省本级政府采购资金支付时，各采购单位必须将采购资金支付到备案合同中指定的融资银行及收款账号，以保障贷款资金的安全回收。</w:t>
      </w:r>
    </w:p>
    <w:p w14:paraId="669816C3">
      <w:pPr>
        <w:widowControl/>
        <w:spacing w:line="360" w:lineRule="auto"/>
        <w:ind w:firstLine="480" w:firstLineChars="200"/>
        <w:jc w:val="left"/>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第十六条  各市县操作程序由各地结合本地实际自行拟定，但应当体现“便捷高效、监管有效、风险可控”的原则。</w:t>
      </w:r>
    </w:p>
    <w:p w14:paraId="73AE329E">
      <w:pPr>
        <w:widowControl/>
        <w:spacing w:line="360" w:lineRule="auto"/>
        <w:ind w:firstLine="480" w:firstLineChars="200"/>
        <w:jc w:val="left"/>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第十七条  供应商弄虚作假或以伪造政府采购合同等方式违规获取政府采购信用融资，或无故不及时还款的，或出现其他违反本办法规定情形的，除按融资合同约定承担违约责任外，同级财政部门应当将其行为按“不良行为”记入供应商诚信档案；情节严重的，应记入供应商“黑名单”；涉嫌犯罪的，移送司法机关处理。</w:t>
      </w:r>
    </w:p>
    <w:p w14:paraId="7CD8DA4B">
      <w:pPr>
        <w:widowControl/>
        <w:spacing w:line="360" w:lineRule="auto"/>
        <w:ind w:firstLine="480" w:firstLineChars="200"/>
        <w:jc w:val="left"/>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第十八条  本办法由陕西省财政厅负责解释。</w:t>
      </w:r>
    </w:p>
    <w:p w14:paraId="263B7C0A">
      <w:pPr>
        <w:widowControl/>
        <w:spacing w:line="360" w:lineRule="auto"/>
        <w:ind w:firstLine="480" w:firstLineChars="200"/>
        <w:jc w:val="left"/>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第十九条  本办法自2018年11月1日起施行。</w:t>
      </w:r>
    </w:p>
    <w:p w14:paraId="53124ACC">
      <w:pPr>
        <w:widowControl/>
        <w:jc w:val="left"/>
        <w:rPr>
          <w:rFonts w:ascii="宋体" w:hAnsi="宋体" w:eastAsia="宋体" w:cs="宋体"/>
          <w:color w:val="000000" w:themeColor="text1"/>
          <w:kern w:val="0"/>
          <w:sz w:val="24"/>
          <w:szCs w:val="24"/>
          <w:highlight w:val="none"/>
        </w:rPr>
      </w:pPr>
      <w:r>
        <w:rPr>
          <w:rFonts w:ascii="宋体" w:hAnsi="宋体" w:eastAsia="宋体" w:cs="宋体"/>
          <w:color w:val="000000" w:themeColor="text1"/>
          <w:kern w:val="0"/>
          <w:sz w:val="24"/>
          <w:szCs w:val="24"/>
          <w:highlight w:val="none"/>
        </w:rPr>
        <w:br w:type="page"/>
      </w:r>
    </w:p>
    <w:p w14:paraId="7FCC52AA">
      <w:pPr>
        <w:widowControl/>
        <w:spacing w:line="360" w:lineRule="auto"/>
        <w:jc w:val="left"/>
        <w:rPr>
          <w:rFonts w:ascii="宋体" w:hAnsi="宋体" w:eastAsia="宋体"/>
          <w:color w:val="000000" w:themeColor="text1"/>
          <w:sz w:val="24"/>
          <w:szCs w:val="24"/>
          <w:highlight w:val="none"/>
        </w:rPr>
      </w:pPr>
    </w:p>
    <w:p w14:paraId="5C8C4CCD">
      <w:pPr>
        <w:pStyle w:val="23"/>
        <w:rPr>
          <w:color w:val="000000" w:themeColor="text1"/>
          <w:highlight w:val="none"/>
        </w:rPr>
      </w:pPr>
      <w:bookmarkStart w:id="30" w:name="_Toc211442728"/>
      <w:r>
        <w:rPr>
          <w:rFonts w:hint="eastAsia"/>
          <w:color w:val="000000" w:themeColor="text1"/>
          <w:highlight w:val="none"/>
        </w:rPr>
        <w:t>投标人须知</w:t>
      </w:r>
      <w:bookmarkEnd w:id="30"/>
    </w:p>
    <w:p w14:paraId="0D6B36DB">
      <w:pPr>
        <w:pStyle w:val="23"/>
        <w:rPr>
          <w:color w:val="000000" w:themeColor="text1"/>
          <w:highlight w:val="none"/>
        </w:rPr>
      </w:pPr>
      <w:bookmarkStart w:id="31" w:name="_Toc211442729"/>
      <w:r>
        <w:rPr>
          <w:rFonts w:hint="eastAsia"/>
          <w:color w:val="000000" w:themeColor="text1"/>
          <w:highlight w:val="none"/>
        </w:rPr>
        <w:t>一、总则</w:t>
      </w:r>
      <w:bookmarkEnd w:id="31"/>
    </w:p>
    <w:p w14:paraId="652435FD">
      <w:pPr>
        <w:spacing w:line="360" w:lineRule="auto"/>
        <w:rPr>
          <w:rFonts w:ascii="宋体" w:hAnsi="宋体" w:eastAsia="宋体"/>
          <w:b/>
          <w:bCs/>
          <w:color w:val="000000" w:themeColor="text1"/>
          <w:sz w:val="24"/>
          <w:szCs w:val="24"/>
          <w:highlight w:val="none"/>
        </w:rPr>
      </w:pPr>
      <w:r>
        <w:rPr>
          <w:rFonts w:hint="eastAsia" w:ascii="宋体" w:hAnsi="宋体" w:eastAsia="宋体"/>
          <w:b/>
          <w:bCs/>
          <w:color w:val="000000" w:themeColor="text1"/>
          <w:sz w:val="24"/>
          <w:szCs w:val="24"/>
          <w:highlight w:val="none"/>
        </w:rPr>
        <w:t>1.采购人、采购代理机构和资金来源</w:t>
      </w:r>
    </w:p>
    <w:p w14:paraId="39382139">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1.1采购人名称、地址见前附表。</w:t>
      </w:r>
    </w:p>
    <w:p w14:paraId="395F5A47">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1.2实施本次招标的采购代理机构为陕西中经招标有限公司。陕西中经招标有限公司在陕西省政府采购网登记备案。</w:t>
      </w:r>
    </w:p>
    <w:p w14:paraId="1A173614">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1.3本次招标采购所签订合同将使用财政性资金支付，资金已落实到位。</w:t>
      </w:r>
    </w:p>
    <w:p w14:paraId="07826068">
      <w:pPr>
        <w:widowControl/>
        <w:spacing w:line="360" w:lineRule="auto"/>
        <w:jc w:val="left"/>
        <w:rPr>
          <w:rFonts w:ascii="宋体" w:hAnsi="宋体" w:eastAsia="宋体" w:cs="宋体"/>
          <w:color w:val="000000" w:themeColor="text1"/>
          <w:kern w:val="0"/>
          <w:sz w:val="24"/>
          <w:szCs w:val="24"/>
          <w:highlight w:val="none"/>
        </w:rPr>
      </w:pPr>
      <w:r>
        <w:rPr>
          <w:rFonts w:hint="eastAsia" w:ascii="宋体" w:hAnsi="宋体" w:eastAsia="宋体" w:cs="宋体"/>
          <w:b/>
          <w:bCs/>
          <w:color w:val="000000" w:themeColor="text1"/>
          <w:kern w:val="0"/>
          <w:sz w:val="24"/>
          <w:szCs w:val="24"/>
          <w:highlight w:val="none"/>
        </w:rPr>
        <w:t>2.合格的投标人</w:t>
      </w:r>
    </w:p>
    <w:p w14:paraId="2FB91FAB">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2.1合格投标人条件</w:t>
      </w:r>
    </w:p>
    <w:p w14:paraId="6C00AB33">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1）具有独立承担民事责任的能力；</w:t>
      </w:r>
    </w:p>
    <w:p w14:paraId="70B4B9B0">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2）具有良好的商业信誉和健全的财务会计制度；</w:t>
      </w:r>
    </w:p>
    <w:p w14:paraId="60448002">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3）具有履行合同所必需的设备和专业技术能力；</w:t>
      </w:r>
    </w:p>
    <w:p w14:paraId="3EEFBC4C">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4）有依法缴纳税收和社会保障资金的良好纪录；</w:t>
      </w:r>
    </w:p>
    <w:p w14:paraId="0E1774D9">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5）参加政府采购活动前三年内，在经营活动中没有重大违法纪录；</w:t>
      </w:r>
    </w:p>
    <w:p w14:paraId="34EA5604">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6）中华人民共和国法律、行政法规规定的其他条件（见投标人须知前附表）；</w:t>
      </w:r>
    </w:p>
    <w:p w14:paraId="1CF29F3D">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7）根据本次采购项目的特殊要求，规定的供应商特定条件（见投标人须知前附表）。</w:t>
      </w:r>
    </w:p>
    <w:p w14:paraId="22D39B16">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2.2单位负责人为同一人或者存在直接控股、管理关系的不同供应商，不得参加本项目同一合同项下的投标。如果投标人在投标中隐瞒了上述关系，则该投标无效。</w:t>
      </w:r>
    </w:p>
    <w:p w14:paraId="2AF1701D">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2.3为本采购项目提供整体设计、规范编制或者项目管理、监理、检测等服务的供应商，不得再参加本采购项目的投标。如果投标人在投标中隐瞒了上述事实，则该投标无效。</w:t>
      </w:r>
    </w:p>
    <w:p w14:paraId="0B66C934">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2.4</w:t>
      </w:r>
      <w:r>
        <w:rPr>
          <w:rFonts w:hint="eastAsia" w:ascii="宋体" w:hAnsi="宋体" w:eastAsia="宋体"/>
          <w:b/>
          <w:color w:val="000000" w:themeColor="text1"/>
          <w:sz w:val="24"/>
          <w:szCs w:val="24"/>
          <w:highlight w:val="none"/>
        </w:rPr>
        <w:t>本项目不允许联合体投标</w:t>
      </w:r>
    </w:p>
    <w:p w14:paraId="01417A01">
      <w:pPr>
        <w:spacing w:line="360" w:lineRule="auto"/>
        <w:ind w:firstLine="480" w:firstLineChars="200"/>
        <w:rPr>
          <w:rFonts w:ascii="宋体" w:hAnsi="宋体" w:eastAsia="宋体" w:cs="宋体"/>
          <w:color w:val="000000" w:themeColor="text1"/>
          <w:kern w:val="0"/>
          <w:sz w:val="24"/>
          <w:szCs w:val="24"/>
          <w:highlight w:val="none"/>
        </w:rPr>
      </w:pPr>
      <w:r>
        <w:rPr>
          <w:rFonts w:hint="eastAsia" w:ascii="宋体" w:hAnsi="宋体" w:eastAsia="宋体"/>
          <w:color w:val="000000" w:themeColor="text1"/>
          <w:sz w:val="24"/>
          <w:szCs w:val="24"/>
          <w:highlight w:val="none"/>
        </w:rPr>
        <w:t>2.5投标人必须在按要求依法获取招标文件，方可参加投标。招标文件</w:t>
      </w:r>
      <w:r>
        <w:rPr>
          <w:rFonts w:hint="eastAsia" w:ascii="宋体" w:hAnsi="宋体" w:eastAsia="宋体" w:cs="宋体"/>
          <w:color w:val="000000" w:themeColor="text1"/>
          <w:kern w:val="0"/>
          <w:sz w:val="24"/>
          <w:szCs w:val="24"/>
          <w:highlight w:val="none"/>
        </w:rPr>
        <w:t>售后不退。</w:t>
      </w:r>
    </w:p>
    <w:p w14:paraId="47F22EFC">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2.6投标费用自理。不论投标的结果如何，投标人均应自行承担所有与参加投标有关的费用。</w:t>
      </w:r>
    </w:p>
    <w:p w14:paraId="31016359">
      <w:pPr>
        <w:widowControl/>
        <w:spacing w:line="360" w:lineRule="auto"/>
        <w:jc w:val="left"/>
        <w:rPr>
          <w:rFonts w:ascii="宋体" w:hAnsi="宋体" w:eastAsia="宋体" w:cs="宋体"/>
          <w:color w:val="000000" w:themeColor="text1"/>
          <w:kern w:val="0"/>
          <w:sz w:val="24"/>
          <w:szCs w:val="24"/>
          <w:highlight w:val="none"/>
        </w:rPr>
      </w:pPr>
      <w:r>
        <w:rPr>
          <w:rFonts w:hint="eastAsia" w:ascii="宋体" w:hAnsi="宋体" w:eastAsia="宋体" w:cs="宋体"/>
          <w:b/>
          <w:bCs/>
          <w:color w:val="000000" w:themeColor="text1"/>
          <w:kern w:val="0"/>
          <w:sz w:val="24"/>
          <w:szCs w:val="24"/>
          <w:highlight w:val="none"/>
        </w:rPr>
        <w:t>3.投标人信用记录查询及使用</w:t>
      </w:r>
    </w:p>
    <w:p w14:paraId="1D4D1E8F">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信用中国”网站（www.creditchina.gov.cn）和“中国政府采购网”（ccgp.gov.cn）为投标人信用信息查询渠道，如果投标人被查实在投标截止时间列入、失信被执行人、重大税收违法案件当事人名单、政府采购严重违法失信行为记录名单，其投标为无效。采购代理机构将打印查询记录作为证据留存。</w:t>
      </w:r>
    </w:p>
    <w:p w14:paraId="329A0388">
      <w:pPr>
        <w:widowControl/>
        <w:spacing w:line="360" w:lineRule="auto"/>
        <w:jc w:val="left"/>
        <w:rPr>
          <w:rFonts w:ascii="宋体" w:hAnsi="宋体" w:eastAsia="宋体" w:cs="宋体"/>
          <w:color w:val="000000" w:themeColor="text1"/>
          <w:kern w:val="0"/>
          <w:sz w:val="24"/>
          <w:szCs w:val="24"/>
          <w:highlight w:val="none"/>
        </w:rPr>
      </w:pPr>
      <w:r>
        <w:rPr>
          <w:rFonts w:hint="eastAsia" w:ascii="宋体" w:hAnsi="宋体" w:eastAsia="宋体" w:cs="宋体"/>
          <w:b/>
          <w:bCs/>
          <w:color w:val="000000" w:themeColor="text1"/>
          <w:kern w:val="0"/>
          <w:sz w:val="24"/>
          <w:szCs w:val="24"/>
          <w:highlight w:val="none"/>
        </w:rPr>
        <w:t>4.投标文件内容的真实性</w:t>
      </w:r>
    </w:p>
    <w:p w14:paraId="598638FE">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4.1投标人应保证其投标文件中所提供的所有有关投标的资料、信息是真实的，并且来源于合法的渠道。因投标文件中所提供的有关投标的资料、信息不真实，或者其来源不合法而导致的所有法律责任，由投标人自行承担。</w:t>
      </w:r>
    </w:p>
    <w:p w14:paraId="0D455825">
      <w:pPr>
        <w:widowControl/>
        <w:spacing w:line="360" w:lineRule="auto"/>
        <w:jc w:val="left"/>
        <w:rPr>
          <w:rFonts w:ascii="宋体" w:hAnsi="宋体" w:eastAsia="宋体" w:cs="宋体"/>
          <w:color w:val="000000" w:themeColor="text1"/>
          <w:kern w:val="0"/>
          <w:sz w:val="24"/>
          <w:szCs w:val="24"/>
          <w:highlight w:val="none"/>
        </w:rPr>
      </w:pPr>
      <w:r>
        <w:rPr>
          <w:rFonts w:hint="eastAsia" w:ascii="宋体" w:hAnsi="宋体" w:eastAsia="宋体" w:cs="宋体"/>
          <w:b/>
          <w:bCs/>
          <w:color w:val="000000" w:themeColor="text1"/>
          <w:kern w:val="0"/>
          <w:sz w:val="24"/>
          <w:szCs w:val="24"/>
          <w:highlight w:val="none"/>
        </w:rPr>
        <w:t>5.招标过程的监督和管理</w:t>
      </w:r>
    </w:p>
    <w:p w14:paraId="38533E30">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5.1同级人民政府财政部门及有关部门依法履行对招标过程的监督管理职责。</w:t>
      </w:r>
    </w:p>
    <w:p w14:paraId="6C857A7F">
      <w:pPr>
        <w:pStyle w:val="23"/>
        <w:rPr>
          <w:color w:val="000000" w:themeColor="text1"/>
          <w:highlight w:val="none"/>
        </w:rPr>
      </w:pPr>
      <w:bookmarkStart w:id="32" w:name="_Toc211442730"/>
      <w:r>
        <w:rPr>
          <w:rFonts w:hint="eastAsia"/>
          <w:color w:val="000000" w:themeColor="text1"/>
          <w:highlight w:val="none"/>
        </w:rPr>
        <w:t>二、招标文件</w:t>
      </w:r>
      <w:bookmarkEnd w:id="32"/>
    </w:p>
    <w:p w14:paraId="57B949C7">
      <w:pPr>
        <w:widowControl/>
        <w:spacing w:line="360" w:lineRule="auto"/>
        <w:jc w:val="left"/>
        <w:rPr>
          <w:rFonts w:ascii="宋体" w:hAnsi="宋体" w:eastAsia="宋体" w:cs="宋体"/>
          <w:color w:val="000000" w:themeColor="text1"/>
          <w:kern w:val="0"/>
          <w:sz w:val="24"/>
          <w:szCs w:val="24"/>
          <w:highlight w:val="none"/>
        </w:rPr>
      </w:pPr>
      <w:r>
        <w:rPr>
          <w:rFonts w:hint="eastAsia" w:ascii="宋体" w:hAnsi="宋体" w:eastAsia="宋体" w:cs="宋体"/>
          <w:b/>
          <w:bCs/>
          <w:color w:val="000000" w:themeColor="text1"/>
          <w:kern w:val="0"/>
          <w:sz w:val="24"/>
          <w:szCs w:val="24"/>
          <w:highlight w:val="none"/>
        </w:rPr>
        <w:t>6.招标文件构成</w:t>
      </w:r>
    </w:p>
    <w:p w14:paraId="7A504A01">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6.1招标文件规定了要求提供的货物和服务。招标程序和合同条件在招标文件中均有说明。招标文件共八章，内容如下：</w:t>
      </w:r>
    </w:p>
    <w:p w14:paraId="75340C16">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第一章 招标公告</w:t>
      </w:r>
    </w:p>
    <w:p w14:paraId="68C08E6B">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第二章 投标人须知及前附表</w:t>
      </w:r>
    </w:p>
    <w:p w14:paraId="3E248466">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第三章 合同通用条款</w:t>
      </w:r>
    </w:p>
    <w:p w14:paraId="19F81B9E">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第四章 合同专用条款</w:t>
      </w:r>
    </w:p>
    <w:p w14:paraId="5E4838B7">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第五章 合同格式</w:t>
      </w:r>
    </w:p>
    <w:p w14:paraId="13B4A6CA">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第六章 投标文件格式</w:t>
      </w:r>
    </w:p>
    <w:p w14:paraId="146F52DA">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第七章 招标内容及技术要求</w:t>
      </w:r>
    </w:p>
    <w:p w14:paraId="0DCA22E8">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第八章 评标方法</w:t>
      </w:r>
    </w:p>
    <w:p w14:paraId="1EA9CA1E">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6.2投标人应认真阅读招标文件中所有的事项、格式、条款和规范等要求。如果投标人没有按照招标文件的要求提交全部必要的资料，由此带来的不利于投标人的评标结果，其风险由投标人承担。</w:t>
      </w:r>
    </w:p>
    <w:p w14:paraId="72BB9E56">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6.3如果投标文件没有对招标内容做出实质性响应，其投标为无效投标。</w:t>
      </w:r>
    </w:p>
    <w:p w14:paraId="22B64759">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6.4本招标文件的解释权归陕西中经招标有限公司。</w:t>
      </w:r>
    </w:p>
    <w:p w14:paraId="45DBEFC8">
      <w:pPr>
        <w:widowControl/>
        <w:spacing w:line="360" w:lineRule="auto"/>
        <w:jc w:val="left"/>
        <w:rPr>
          <w:rFonts w:ascii="宋体" w:hAnsi="宋体" w:eastAsia="宋体" w:cs="宋体"/>
          <w:color w:val="000000" w:themeColor="text1"/>
          <w:kern w:val="0"/>
          <w:sz w:val="24"/>
          <w:szCs w:val="24"/>
          <w:highlight w:val="none"/>
        </w:rPr>
      </w:pPr>
      <w:r>
        <w:rPr>
          <w:rFonts w:hint="eastAsia" w:ascii="宋体" w:hAnsi="宋体" w:eastAsia="宋体" w:cs="宋体"/>
          <w:b/>
          <w:bCs/>
          <w:color w:val="000000" w:themeColor="text1"/>
          <w:kern w:val="0"/>
          <w:sz w:val="24"/>
          <w:szCs w:val="24"/>
          <w:highlight w:val="none"/>
        </w:rPr>
        <w:t>7.招标文件的澄清修改</w:t>
      </w:r>
    </w:p>
    <w:p w14:paraId="218AAC51">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7.1采购人如果对已发出的招标文件进行必要的澄清或者修改，将在原公告发布媒体上发布澄清公告。澄清或者修改的内容为招标文件的组成部分。</w:t>
      </w:r>
    </w:p>
    <w:p w14:paraId="60015F0A">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7.</w:t>
      </w:r>
      <w:r>
        <w:rPr>
          <w:rFonts w:ascii="宋体" w:hAnsi="宋体" w:eastAsia="宋体"/>
          <w:color w:val="000000" w:themeColor="text1"/>
          <w:sz w:val="24"/>
          <w:szCs w:val="24"/>
          <w:highlight w:val="none"/>
        </w:rPr>
        <w:t>2</w:t>
      </w:r>
      <w:r>
        <w:rPr>
          <w:rFonts w:hint="eastAsia" w:ascii="宋体" w:hAnsi="宋体" w:eastAsia="宋体"/>
          <w:color w:val="000000" w:themeColor="text1"/>
          <w:sz w:val="24"/>
          <w:szCs w:val="24"/>
          <w:highlight w:val="none"/>
        </w:rPr>
        <w:t>采购人如果对已发出的招标文件进行必要的澄清或者修改，将在交易平台发布答疑文件（*.SXSCF，即更新后的电子招标文件）。供应商应及时从宝鸡市公共资源交易平台〖首页·〉电子交易平台·〉陕西政府采购交易系统·〉企业端〗登录，登录后切换到〖我的项目〗模块，从【项目流程·&gt;项目管理·&gt;答疑文件下载〗获取更新后的电子招标文件（*.SXSCF）,使用旧版电子招标文件制作的电子投标文件（*.SXSTF），系统将拒绝接收。</w:t>
      </w:r>
    </w:p>
    <w:p w14:paraId="2FA7E4A4">
      <w:pPr>
        <w:widowControl/>
        <w:spacing w:line="360" w:lineRule="auto"/>
        <w:jc w:val="left"/>
        <w:rPr>
          <w:rFonts w:ascii="宋体" w:hAnsi="宋体" w:eastAsia="宋体" w:cs="宋体"/>
          <w:color w:val="000000" w:themeColor="text1"/>
          <w:kern w:val="0"/>
          <w:sz w:val="24"/>
          <w:szCs w:val="24"/>
          <w:highlight w:val="none"/>
        </w:rPr>
      </w:pPr>
      <w:r>
        <w:rPr>
          <w:rFonts w:hint="eastAsia" w:ascii="宋体" w:hAnsi="宋体" w:eastAsia="宋体" w:cs="宋体"/>
          <w:b/>
          <w:bCs/>
          <w:color w:val="000000" w:themeColor="text1"/>
          <w:kern w:val="0"/>
          <w:sz w:val="24"/>
          <w:szCs w:val="24"/>
          <w:highlight w:val="none"/>
        </w:rPr>
        <w:t>8.招标文件的质疑答复</w:t>
      </w:r>
    </w:p>
    <w:p w14:paraId="56FB3188">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8.1已经合法获取招标文件的供应商对招标文件有疑问或者认为招标文件使自己的权益受到损害的，应当在“投标人须知前附表”规定的时间内，以书面形式向采购代理机构指定的联系部门提出询问或者质疑，在此之后提出的质疑均为无效，采购代理机构不予受理。</w:t>
      </w:r>
    </w:p>
    <w:p w14:paraId="7DA812F5">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8.</w:t>
      </w:r>
      <w:r>
        <w:rPr>
          <w:rFonts w:ascii="宋体" w:hAnsi="宋体" w:eastAsia="宋体"/>
          <w:color w:val="000000" w:themeColor="text1"/>
          <w:sz w:val="24"/>
          <w:szCs w:val="24"/>
          <w:highlight w:val="none"/>
        </w:rPr>
        <w:t>2</w:t>
      </w:r>
      <w:r>
        <w:rPr>
          <w:rFonts w:hint="eastAsia" w:ascii="宋体" w:hAnsi="宋体" w:eastAsia="宋体"/>
          <w:color w:val="000000" w:themeColor="text1"/>
          <w:sz w:val="24"/>
          <w:szCs w:val="24"/>
          <w:highlight w:val="none"/>
        </w:rPr>
        <w:t>已经合法获取招标文件的供应商认为招标文件使自己的权益受到损害的，应当在“投标人须知前附表”规定的时间内，以投标人须知前附表“规定的形式向采购代理机构指定的联系部门提出质疑，在此之后提出的质疑均为无效，采购代理机构不予受理。</w:t>
      </w:r>
    </w:p>
    <w:p w14:paraId="33EC3811">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8.</w:t>
      </w:r>
      <w:r>
        <w:rPr>
          <w:rFonts w:ascii="宋体" w:hAnsi="宋体" w:eastAsia="宋体"/>
          <w:color w:val="000000" w:themeColor="text1"/>
          <w:sz w:val="24"/>
          <w:szCs w:val="24"/>
          <w:highlight w:val="none"/>
        </w:rPr>
        <w:t>3</w:t>
      </w:r>
      <w:r>
        <w:rPr>
          <w:rFonts w:hint="eastAsia" w:ascii="宋体" w:hAnsi="宋体" w:eastAsia="宋体"/>
          <w:color w:val="000000" w:themeColor="text1"/>
          <w:sz w:val="24"/>
          <w:szCs w:val="24"/>
          <w:highlight w:val="none"/>
        </w:rPr>
        <w:t>供应商提出质疑应当按照“投标人须知前附表”的要求提交质疑函和必要的证明材料。</w:t>
      </w:r>
    </w:p>
    <w:p w14:paraId="082FAFC8">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8.</w:t>
      </w:r>
      <w:r>
        <w:rPr>
          <w:rFonts w:ascii="宋体" w:hAnsi="宋体" w:eastAsia="宋体"/>
          <w:color w:val="000000" w:themeColor="text1"/>
          <w:sz w:val="24"/>
          <w:szCs w:val="24"/>
          <w:highlight w:val="none"/>
        </w:rPr>
        <w:t>4</w:t>
      </w:r>
      <w:r>
        <w:rPr>
          <w:rFonts w:hint="eastAsia" w:ascii="宋体" w:hAnsi="宋体" w:eastAsia="宋体"/>
          <w:color w:val="000000" w:themeColor="text1"/>
          <w:sz w:val="24"/>
          <w:szCs w:val="24"/>
          <w:highlight w:val="none"/>
        </w:rPr>
        <w:t>对于在规定时间内收到的供应商依法提出的询问或者质疑，采购代理机构将按程序在规定的时间内予以答复。</w:t>
      </w:r>
    </w:p>
    <w:p w14:paraId="287749B3">
      <w:pPr>
        <w:pStyle w:val="23"/>
        <w:rPr>
          <w:color w:val="000000" w:themeColor="text1"/>
          <w:highlight w:val="none"/>
        </w:rPr>
      </w:pPr>
      <w:bookmarkStart w:id="33" w:name="_Toc211442731"/>
      <w:r>
        <w:rPr>
          <w:rFonts w:hint="eastAsia"/>
          <w:color w:val="000000" w:themeColor="text1"/>
          <w:highlight w:val="none"/>
        </w:rPr>
        <w:t>三、投标文件的编制</w:t>
      </w:r>
      <w:bookmarkEnd w:id="33"/>
    </w:p>
    <w:p w14:paraId="03531ACB">
      <w:pPr>
        <w:widowControl/>
        <w:spacing w:line="360" w:lineRule="auto"/>
        <w:jc w:val="left"/>
        <w:rPr>
          <w:rFonts w:ascii="宋体" w:hAnsi="宋体" w:eastAsia="宋体" w:cs="宋体"/>
          <w:color w:val="000000" w:themeColor="text1"/>
          <w:kern w:val="0"/>
          <w:sz w:val="24"/>
          <w:szCs w:val="24"/>
          <w:highlight w:val="none"/>
        </w:rPr>
      </w:pPr>
      <w:r>
        <w:rPr>
          <w:rFonts w:hint="eastAsia" w:ascii="宋体" w:hAnsi="宋体" w:eastAsia="宋体" w:cs="宋体"/>
          <w:b/>
          <w:bCs/>
          <w:color w:val="000000" w:themeColor="text1"/>
          <w:kern w:val="0"/>
          <w:sz w:val="24"/>
          <w:szCs w:val="24"/>
          <w:highlight w:val="none"/>
        </w:rPr>
        <w:t>9.投标语言和投标货币</w:t>
      </w:r>
    </w:p>
    <w:p w14:paraId="26378B28">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9.1投标人提交的投标文件以及投标人与采购代理机构就有关投标的所有来往函电均应使用中文。对不同文字文本投标文件（包括产品样本、彩页、说明书等）的解释发生异议的，以中文文本为准。</w:t>
      </w:r>
    </w:p>
    <w:p w14:paraId="3BE233DB">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9.2投标应以人民币报价。任何包含非人民币报价的投标均按照无效投标处理。</w:t>
      </w:r>
    </w:p>
    <w:p w14:paraId="6FEC3D7C">
      <w:pPr>
        <w:widowControl/>
        <w:spacing w:line="360" w:lineRule="auto"/>
        <w:jc w:val="left"/>
        <w:rPr>
          <w:rFonts w:ascii="宋体" w:hAnsi="宋体" w:eastAsia="宋体" w:cs="宋体"/>
          <w:color w:val="000000" w:themeColor="text1"/>
          <w:kern w:val="0"/>
          <w:sz w:val="24"/>
          <w:szCs w:val="24"/>
          <w:highlight w:val="none"/>
        </w:rPr>
      </w:pPr>
      <w:r>
        <w:rPr>
          <w:rFonts w:hint="eastAsia" w:ascii="宋体" w:hAnsi="宋体" w:eastAsia="宋体" w:cs="宋体"/>
          <w:b/>
          <w:bCs/>
          <w:color w:val="000000" w:themeColor="text1"/>
          <w:kern w:val="0"/>
          <w:sz w:val="24"/>
          <w:szCs w:val="24"/>
          <w:highlight w:val="none"/>
        </w:rPr>
        <w:t>10.投标文件格式</w:t>
      </w:r>
    </w:p>
    <w:p w14:paraId="54FFB196">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10.1投标人应按照招标文件中“投标文件格式”所提供的格式和要求制作投标文件，明确表达投标意愿，详细说明投标方案和投标价格。</w:t>
      </w:r>
    </w:p>
    <w:p w14:paraId="704CA4ED">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10.2投标人应完整地提供招标文件要求的所有数据和资料。</w:t>
      </w:r>
    </w:p>
    <w:p w14:paraId="47600558">
      <w:pPr>
        <w:widowControl/>
        <w:spacing w:line="360" w:lineRule="auto"/>
        <w:jc w:val="left"/>
        <w:rPr>
          <w:rFonts w:ascii="宋体" w:hAnsi="宋体" w:eastAsia="宋体" w:cs="宋体"/>
          <w:color w:val="000000" w:themeColor="text1"/>
          <w:kern w:val="0"/>
          <w:sz w:val="24"/>
          <w:szCs w:val="24"/>
          <w:highlight w:val="none"/>
        </w:rPr>
      </w:pPr>
      <w:r>
        <w:rPr>
          <w:rFonts w:hint="eastAsia" w:ascii="宋体" w:hAnsi="宋体" w:eastAsia="宋体" w:cs="宋体"/>
          <w:b/>
          <w:bCs/>
          <w:color w:val="000000" w:themeColor="text1"/>
          <w:kern w:val="0"/>
          <w:sz w:val="24"/>
          <w:szCs w:val="24"/>
          <w:highlight w:val="none"/>
        </w:rPr>
        <w:t>11.投标报价和投标方案要求</w:t>
      </w:r>
    </w:p>
    <w:p w14:paraId="49B9D483">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11.1投标人应按照“投标人须知前附表”中的规定和要求报价，任何不符合报价要求的投标将按照无效投标处理。</w:t>
      </w:r>
    </w:p>
    <w:p w14:paraId="791A93BB">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11.2投标人应按照投标报价表的内容标明投标的所有单项价格和总价。投标报价表中标明的价格应为履行合同的固定价格，不得以任何理由予以变更。任何有选择的报价及以可调整价格提交的投标均按照无效投标处理。</w:t>
      </w:r>
    </w:p>
    <w:p w14:paraId="0BA26D97">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11.3如果在招标文件中没有允许提供备选方案，则每个投标人只允许提交一个投标方案，否则，其投标按照无效投标处理。如果允许提供备选方案，则按照评标方法中的规定对备选方案进行评审。</w:t>
      </w:r>
    </w:p>
    <w:p w14:paraId="7152E8AF">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11.4本次投标的最小单元见“投标人须知前附表”中的规定，投标人可对任一最小单元进行投标，但不能对最小单元中的部分内容或者分项内容进行不完全投标。任何不完全的投标将按照无效投标处理。</w:t>
      </w:r>
    </w:p>
    <w:p w14:paraId="14B56F92">
      <w:pPr>
        <w:widowControl/>
        <w:spacing w:line="360" w:lineRule="auto"/>
        <w:jc w:val="left"/>
        <w:rPr>
          <w:rFonts w:ascii="宋体" w:hAnsi="宋体" w:eastAsia="宋体" w:cs="宋体"/>
          <w:color w:val="000000" w:themeColor="text1"/>
          <w:kern w:val="0"/>
          <w:sz w:val="24"/>
          <w:szCs w:val="24"/>
          <w:highlight w:val="none"/>
        </w:rPr>
      </w:pPr>
      <w:r>
        <w:rPr>
          <w:rFonts w:hint="eastAsia" w:ascii="宋体" w:hAnsi="宋体" w:eastAsia="宋体" w:cs="宋体"/>
          <w:b/>
          <w:bCs/>
          <w:color w:val="000000" w:themeColor="text1"/>
          <w:kern w:val="0"/>
          <w:sz w:val="24"/>
          <w:szCs w:val="24"/>
          <w:highlight w:val="none"/>
        </w:rPr>
        <w:t>12.投标文件的构成</w:t>
      </w:r>
    </w:p>
    <w:p w14:paraId="0F860065">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投标人提交的投标文件应包括下列内容：</w:t>
      </w:r>
    </w:p>
    <w:p w14:paraId="22C9D9B1">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12.1按照投标人须知的要求和投标文件规定格式填写的投标书、投标报价表；按要求格式出具的法人代表授权书。</w:t>
      </w:r>
    </w:p>
    <w:p w14:paraId="34B11B37">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12.2按照招标文件要求提交的资格证明文件（详见“投标人须知前附表”）。</w:t>
      </w:r>
    </w:p>
    <w:p w14:paraId="096DE480">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12.3按照招标文件的要求编制的投标方案说明书，内容应包括投标文件格式中列出的以及与招标文件相符的一切有利于供应商投标的等。</w:t>
      </w:r>
    </w:p>
    <w:p w14:paraId="57E3BBF8">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12.3.1投标人应在投标文件中提交服务满足招标文件要求并符合国家法律法规、行业管理部门要求的其他强制性标准的证明及文件。缺少上述证明及文件或证明及文件不合格的投标，与招标文件要求有重大偏离的投标，不符合国家法律法规、行业管理部门要求的其他强制性标准的投标将按照无效投标处理。</w:t>
      </w:r>
    </w:p>
    <w:p w14:paraId="56AEFF25">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12.3.2上述证明可以是文字资料、图纸、图片和数据，也可以是实物，它包括：</w:t>
      </w:r>
    </w:p>
    <w:p w14:paraId="127F176B">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1)本次采购特别要求的合格性证明文件；</w:t>
      </w:r>
    </w:p>
    <w:p w14:paraId="30B229B5">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2）服务的详细说明；</w:t>
      </w:r>
    </w:p>
    <w:p w14:paraId="3DF6C352">
      <w:pPr>
        <w:spacing w:line="360" w:lineRule="auto"/>
        <w:ind w:firstLine="480" w:firstLineChars="200"/>
        <w:rPr>
          <w:rFonts w:ascii="宋体" w:hAnsi="宋体" w:eastAsia="宋体"/>
          <w:color w:val="000000" w:themeColor="text1"/>
          <w:sz w:val="24"/>
          <w:szCs w:val="24"/>
          <w:highlight w:val="none"/>
        </w:rPr>
      </w:pPr>
      <w:r>
        <w:rPr>
          <w:rFonts w:ascii="宋体" w:hAnsi="宋体" w:eastAsia="宋体"/>
          <w:color w:val="000000" w:themeColor="text1"/>
          <w:sz w:val="24"/>
          <w:szCs w:val="24"/>
          <w:highlight w:val="none"/>
        </w:rPr>
        <w:t>3</w:t>
      </w:r>
      <w:r>
        <w:rPr>
          <w:rFonts w:hint="eastAsia" w:ascii="宋体" w:hAnsi="宋体" w:eastAsia="宋体"/>
          <w:color w:val="000000" w:themeColor="text1"/>
          <w:sz w:val="24"/>
          <w:szCs w:val="24"/>
          <w:highlight w:val="none"/>
        </w:rPr>
        <w:t>)逐条对招标文件提出的技术要求和商务要求进行应答，说明所提供的服务对招标的技术和商务要求是否做出了实质性响应并提供支持文件；</w:t>
      </w:r>
    </w:p>
    <w:p w14:paraId="3EAFEDF7">
      <w:pPr>
        <w:widowControl/>
        <w:spacing w:line="360" w:lineRule="auto"/>
        <w:jc w:val="left"/>
        <w:rPr>
          <w:rFonts w:ascii="宋体" w:hAnsi="宋体" w:eastAsia="宋体" w:cs="宋体"/>
          <w:color w:val="000000" w:themeColor="text1"/>
          <w:kern w:val="0"/>
          <w:sz w:val="24"/>
          <w:szCs w:val="24"/>
          <w:highlight w:val="none"/>
        </w:rPr>
      </w:pPr>
      <w:r>
        <w:rPr>
          <w:rFonts w:hint="eastAsia" w:ascii="宋体" w:hAnsi="宋体" w:eastAsia="宋体" w:cs="宋体"/>
          <w:b/>
          <w:bCs/>
          <w:color w:val="000000" w:themeColor="text1"/>
          <w:kern w:val="0"/>
          <w:sz w:val="24"/>
          <w:szCs w:val="24"/>
          <w:highlight w:val="none"/>
        </w:rPr>
        <w:t>13.落实优先采购节能、环保产品的政策</w:t>
      </w:r>
    </w:p>
    <w:p w14:paraId="7E48FA03">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按照政府采购政策，优先采购节能产品，环境标志产品。投标产品进入“节能产品政府采购品目清单”的；进入“环境标志产品政府采购品目清单”的，提供证明文件，在评标中给予加分优惠（详见评标方法）。</w:t>
      </w:r>
    </w:p>
    <w:p w14:paraId="50AC4AC3">
      <w:pPr>
        <w:widowControl/>
        <w:spacing w:line="360" w:lineRule="auto"/>
        <w:jc w:val="left"/>
        <w:rPr>
          <w:rFonts w:ascii="宋体" w:hAnsi="宋体" w:eastAsia="宋体" w:cs="宋体"/>
          <w:color w:val="000000" w:themeColor="text1"/>
          <w:kern w:val="0"/>
          <w:sz w:val="24"/>
          <w:szCs w:val="24"/>
          <w:highlight w:val="none"/>
        </w:rPr>
      </w:pPr>
      <w:r>
        <w:rPr>
          <w:rFonts w:hint="eastAsia" w:ascii="宋体" w:hAnsi="宋体" w:eastAsia="宋体" w:cs="宋体"/>
          <w:b/>
          <w:bCs/>
          <w:color w:val="000000" w:themeColor="text1"/>
          <w:kern w:val="0"/>
          <w:sz w:val="24"/>
          <w:szCs w:val="24"/>
          <w:highlight w:val="none"/>
        </w:rPr>
        <w:t>14.落实促进支持小微企业、监狱企业、残疾人企业发展的政策</w:t>
      </w:r>
    </w:p>
    <w:p w14:paraId="7CBCF679">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按照政府采购政策，在评标中对于符合文件要求的小微企业投标的产品和服务，给予价格折扣优惠(详见评标方法)。投标单位属于（财库〔2020〕46号）文件规定的小微企业的，提供中小企业声明函；投标单位属于（财库〔2014〕68号）文件规定的监狱企业的，提供由省级以上监狱管理局、戒毒管理局（含新疆生产建设兵团）出具的属于监狱企业的证明文件，视同小微企业；投标单位属于（财库〔2017〕141号）文件规定的残疾人福利性单位的，提供《残疾人福利性单位声明函》，视同小微企业。</w:t>
      </w:r>
    </w:p>
    <w:p w14:paraId="784885C7">
      <w:pPr>
        <w:widowControl/>
        <w:spacing w:line="360" w:lineRule="auto"/>
        <w:jc w:val="left"/>
        <w:rPr>
          <w:rFonts w:ascii="宋体" w:hAnsi="宋体" w:eastAsia="宋体" w:cs="宋体"/>
          <w:color w:val="000000" w:themeColor="text1"/>
          <w:kern w:val="0"/>
          <w:sz w:val="24"/>
          <w:szCs w:val="24"/>
          <w:highlight w:val="none"/>
        </w:rPr>
      </w:pPr>
      <w:r>
        <w:rPr>
          <w:rFonts w:hint="eastAsia" w:ascii="宋体" w:hAnsi="宋体" w:eastAsia="宋体" w:cs="宋体"/>
          <w:b/>
          <w:bCs/>
          <w:color w:val="000000" w:themeColor="text1"/>
          <w:kern w:val="0"/>
          <w:sz w:val="24"/>
          <w:szCs w:val="24"/>
          <w:highlight w:val="none"/>
        </w:rPr>
        <w:t>15.投标保证金</w:t>
      </w:r>
    </w:p>
    <w:p w14:paraId="11410D05">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15.1如果招标文件有要求，投标人应按照“投标人须知前附表”的要求，在投标时按规定提交投标保证金,其有效期与投标有效期一致，并作为其投标的一部分。</w:t>
      </w:r>
    </w:p>
    <w:p w14:paraId="079D37AF">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15.2投标保证金的数额、形式、交纳办法和交纳时间见“投标人须知前附表”。</w:t>
      </w:r>
    </w:p>
    <w:p w14:paraId="356DF743">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15.</w:t>
      </w:r>
      <w:r>
        <w:rPr>
          <w:rFonts w:ascii="宋体" w:hAnsi="宋体" w:eastAsia="宋体"/>
          <w:color w:val="000000" w:themeColor="text1"/>
          <w:sz w:val="24"/>
          <w:szCs w:val="24"/>
          <w:highlight w:val="none"/>
        </w:rPr>
        <w:t>3</w:t>
      </w:r>
      <w:r>
        <w:rPr>
          <w:rFonts w:hint="eastAsia" w:ascii="宋体" w:hAnsi="宋体" w:eastAsia="宋体"/>
          <w:color w:val="000000" w:themeColor="text1"/>
          <w:sz w:val="24"/>
          <w:szCs w:val="24"/>
          <w:highlight w:val="none"/>
        </w:rPr>
        <w:t>开标后经审查，未按照“投标人须知前附表”的要求交纳投标保证金的、已交纳的投标保证金金额不足的或有效期不足的，其投标按照无效投标处理。</w:t>
      </w:r>
    </w:p>
    <w:p w14:paraId="56B39224">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15.</w:t>
      </w:r>
      <w:r>
        <w:rPr>
          <w:rFonts w:ascii="宋体" w:hAnsi="宋体" w:eastAsia="宋体"/>
          <w:color w:val="000000" w:themeColor="text1"/>
          <w:sz w:val="24"/>
          <w:szCs w:val="24"/>
          <w:highlight w:val="none"/>
        </w:rPr>
        <w:t>4</w:t>
      </w:r>
      <w:bookmarkStart w:id="34" w:name="OLE_LINK45"/>
      <w:r>
        <w:rPr>
          <w:rFonts w:hint="eastAsia" w:ascii="宋体" w:hAnsi="宋体" w:eastAsia="宋体"/>
          <w:color w:val="000000" w:themeColor="text1"/>
          <w:sz w:val="24"/>
          <w:szCs w:val="24"/>
          <w:highlight w:val="none"/>
        </w:rPr>
        <w:t>未中标人的投标保证金，在中标通知书发出后五个工作日内退还；中标人的投标保证金，在采购合同签订后五个工作日内退还。</w:t>
      </w:r>
      <w:bookmarkEnd w:id="34"/>
    </w:p>
    <w:p w14:paraId="41FA4FE3">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15.</w:t>
      </w:r>
      <w:r>
        <w:rPr>
          <w:rFonts w:ascii="宋体" w:hAnsi="宋体" w:eastAsia="宋体"/>
          <w:color w:val="000000" w:themeColor="text1"/>
          <w:sz w:val="24"/>
          <w:szCs w:val="24"/>
          <w:highlight w:val="none"/>
        </w:rPr>
        <w:t>5</w:t>
      </w:r>
      <w:r>
        <w:rPr>
          <w:rFonts w:hint="eastAsia" w:ascii="宋体" w:hAnsi="宋体" w:eastAsia="宋体"/>
          <w:color w:val="000000" w:themeColor="text1"/>
          <w:sz w:val="24"/>
          <w:szCs w:val="24"/>
          <w:highlight w:val="none"/>
        </w:rPr>
        <w:t>有下列情形之一的，投标保证金不予退还：</w:t>
      </w:r>
    </w:p>
    <w:p w14:paraId="3AD78504">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15.</w:t>
      </w:r>
      <w:r>
        <w:rPr>
          <w:rFonts w:ascii="宋体" w:hAnsi="宋体" w:eastAsia="宋体"/>
          <w:color w:val="000000" w:themeColor="text1"/>
          <w:sz w:val="24"/>
          <w:szCs w:val="24"/>
          <w:highlight w:val="none"/>
        </w:rPr>
        <w:t>5</w:t>
      </w:r>
      <w:r>
        <w:rPr>
          <w:rFonts w:hint="eastAsia" w:ascii="宋体" w:hAnsi="宋体" w:eastAsia="宋体"/>
          <w:color w:val="000000" w:themeColor="text1"/>
          <w:sz w:val="24"/>
          <w:szCs w:val="24"/>
          <w:highlight w:val="none"/>
        </w:rPr>
        <w:t>.1投标人在提交投标文件截止时间后撤回其投标的；</w:t>
      </w:r>
    </w:p>
    <w:p w14:paraId="7916C437">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15.</w:t>
      </w:r>
      <w:r>
        <w:rPr>
          <w:rFonts w:ascii="宋体" w:hAnsi="宋体" w:eastAsia="宋体"/>
          <w:color w:val="000000" w:themeColor="text1"/>
          <w:sz w:val="24"/>
          <w:szCs w:val="24"/>
          <w:highlight w:val="none"/>
        </w:rPr>
        <w:t>5</w:t>
      </w:r>
      <w:r>
        <w:rPr>
          <w:rFonts w:hint="eastAsia" w:ascii="宋体" w:hAnsi="宋体" w:eastAsia="宋体"/>
          <w:color w:val="000000" w:themeColor="text1"/>
          <w:sz w:val="24"/>
          <w:szCs w:val="24"/>
          <w:highlight w:val="none"/>
        </w:rPr>
        <w:t>.2投标人在投标文件中提供虚假材料的；</w:t>
      </w:r>
    </w:p>
    <w:p w14:paraId="7972630B">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15.</w:t>
      </w:r>
      <w:r>
        <w:rPr>
          <w:rFonts w:ascii="宋体" w:hAnsi="宋体" w:eastAsia="宋体"/>
          <w:color w:val="000000" w:themeColor="text1"/>
          <w:sz w:val="24"/>
          <w:szCs w:val="24"/>
          <w:highlight w:val="none"/>
        </w:rPr>
        <w:t>5</w:t>
      </w:r>
      <w:r>
        <w:rPr>
          <w:rFonts w:hint="eastAsia" w:ascii="宋体" w:hAnsi="宋体" w:eastAsia="宋体"/>
          <w:color w:val="000000" w:themeColor="text1"/>
          <w:sz w:val="24"/>
          <w:szCs w:val="24"/>
          <w:highlight w:val="none"/>
        </w:rPr>
        <w:t>.3除因不可抗力或招标文件认可的情形以外，中标供应商不与采购人签订合同的；</w:t>
      </w:r>
    </w:p>
    <w:p w14:paraId="344EA0F2">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15.</w:t>
      </w:r>
      <w:r>
        <w:rPr>
          <w:rFonts w:ascii="宋体" w:hAnsi="宋体" w:eastAsia="宋体"/>
          <w:color w:val="000000" w:themeColor="text1"/>
          <w:sz w:val="24"/>
          <w:szCs w:val="24"/>
          <w:highlight w:val="none"/>
        </w:rPr>
        <w:t>5</w:t>
      </w:r>
      <w:r>
        <w:rPr>
          <w:rFonts w:hint="eastAsia" w:ascii="宋体" w:hAnsi="宋体" w:eastAsia="宋体"/>
          <w:color w:val="000000" w:themeColor="text1"/>
          <w:sz w:val="24"/>
          <w:szCs w:val="24"/>
          <w:highlight w:val="none"/>
        </w:rPr>
        <w:t>.4投标人与采购人、其他投标人恶意串通的；</w:t>
      </w:r>
    </w:p>
    <w:p w14:paraId="478138CF">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15.</w:t>
      </w:r>
      <w:r>
        <w:rPr>
          <w:rFonts w:ascii="宋体" w:hAnsi="宋体" w:eastAsia="宋体"/>
          <w:color w:val="000000" w:themeColor="text1"/>
          <w:sz w:val="24"/>
          <w:szCs w:val="24"/>
          <w:highlight w:val="none"/>
        </w:rPr>
        <w:t>5</w:t>
      </w:r>
      <w:r>
        <w:rPr>
          <w:rFonts w:hint="eastAsia" w:ascii="宋体" w:hAnsi="宋体" w:eastAsia="宋体"/>
          <w:color w:val="000000" w:themeColor="text1"/>
          <w:sz w:val="24"/>
          <w:szCs w:val="24"/>
          <w:highlight w:val="none"/>
        </w:rPr>
        <w:t>.5中标供应商未能按规定交纳代理服务费的。</w:t>
      </w:r>
    </w:p>
    <w:p w14:paraId="436D2F52">
      <w:pPr>
        <w:widowControl/>
        <w:spacing w:line="360" w:lineRule="auto"/>
        <w:jc w:val="left"/>
        <w:rPr>
          <w:rFonts w:ascii="宋体" w:hAnsi="宋体" w:eastAsia="宋体" w:cs="宋体"/>
          <w:color w:val="000000" w:themeColor="text1"/>
          <w:kern w:val="0"/>
          <w:sz w:val="24"/>
          <w:szCs w:val="24"/>
          <w:highlight w:val="none"/>
        </w:rPr>
      </w:pPr>
      <w:r>
        <w:rPr>
          <w:rFonts w:hint="eastAsia" w:ascii="宋体" w:hAnsi="宋体" w:eastAsia="宋体" w:cs="宋体"/>
          <w:b/>
          <w:bCs/>
          <w:color w:val="000000" w:themeColor="text1"/>
          <w:kern w:val="0"/>
          <w:sz w:val="24"/>
          <w:szCs w:val="24"/>
          <w:highlight w:val="none"/>
        </w:rPr>
        <w:t>16.投标有效期</w:t>
      </w:r>
    </w:p>
    <w:p w14:paraId="4EBD39A0">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16.1投标应在“投标人须知前附表”中规定的投标有效期内保持有效。不满足规定有效期的投标将按照无效投标处理。</w:t>
      </w:r>
    </w:p>
    <w:p w14:paraId="4C588AFD">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16.2在特殊情况下，在原投标有效期期满之前，采购代理机构可向投标人提出延长投标有效期的要求。这种要求与答复均应以书面的形式。投标人可以拒绝采购代理机构的这种要求,其投标保证金予以退还。同意延长的投标人既不能要求也不允许修改其投标文件，但要相应延长其投标保证金的有效期。</w:t>
      </w:r>
    </w:p>
    <w:p w14:paraId="7BD8D9E8">
      <w:pPr>
        <w:widowControl/>
        <w:spacing w:line="360" w:lineRule="auto"/>
        <w:jc w:val="left"/>
        <w:rPr>
          <w:rFonts w:ascii="宋体" w:hAnsi="宋体" w:eastAsia="宋体" w:cs="宋体"/>
          <w:b/>
          <w:bCs/>
          <w:color w:val="000000" w:themeColor="text1"/>
          <w:kern w:val="0"/>
          <w:sz w:val="24"/>
          <w:szCs w:val="24"/>
          <w:highlight w:val="none"/>
        </w:rPr>
      </w:pPr>
      <w:r>
        <w:rPr>
          <w:rFonts w:hint="eastAsia" w:ascii="宋体" w:hAnsi="宋体" w:eastAsia="宋体" w:cs="宋体"/>
          <w:b/>
          <w:bCs/>
          <w:color w:val="000000" w:themeColor="text1"/>
          <w:kern w:val="0"/>
          <w:sz w:val="24"/>
          <w:szCs w:val="24"/>
          <w:highlight w:val="none"/>
        </w:rPr>
        <w:t>17.投标文件的编制</w:t>
      </w:r>
    </w:p>
    <w:p w14:paraId="492C9CDB">
      <w:pPr>
        <w:widowControl/>
        <w:spacing w:line="360" w:lineRule="auto"/>
        <w:ind w:firstLine="482" w:firstLineChars="200"/>
        <w:jc w:val="left"/>
        <w:rPr>
          <w:rFonts w:ascii="宋体" w:hAnsi="宋体" w:eastAsia="宋体" w:cs="宋体"/>
          <w:color w:val="000000" w:themeColor="text1"/>
          <w:kern w:val="0"/>
          <w:sz w:val="24"/>
          <w:szCs w:val="24"/>
          <w:highlight w:val="none"/>
        </w:rPr>
      </w:pPr>
      <w:r>
        <w:rPr>
          <w:rFonts w:hint="eastAsia" w:ascii="宋体" w:hAnsi="宋体" w:eastAsia="宋体" w:cs="宋体"/>
          <w:b/>
          <w:bCs/>
          <w:color w:val="000000" w:themeColor="text1"/>
          <w:kern w:val="0"/>
          <w:sz w:val="24"/>
          <w:szCs w:val="24"/>
          <w:highlight w:val="none"/>
        </w:rPr>
        <w:t>1</w:t>
      </w:r>
      <w:r>
        <w:rPr>
          <w:rFonts w:ascii="宋体" w:hAnsi="宋体" w:eastAsia="宋体" w:cs="宋体"/>
          <w:b/>
          <w:bCs/>
          <w:color w:val="000000" w:themeColor="text1"/>
          <w:kern w:val="0"/>
          <w:sz w:val="24"/>
          <w:szCs w:val="24"/>
          <w:highlight w:val="none"/>
        </w:rPr>
        <w:t>7.1</w:t>
      </w:r>
      <w:r>
        <w:rPr>
          <w:rFonts w:hint="eastAsia" w:ascii="宋体" w:hAnsi="宋体" w:eastAsia="宋体" w:cs="宋体"/>
          <w:b/>
          <w:bCs/>
          <w:color w:val="000000" w:themeColor="text1"/>
          <w:kern w:val="0"/>
          <w:sz w:val="24"/>
          <w:szCs w:val="24"/>
          <w:highlight w:val="none"/>
        </w:rPr>
        <w:t>格式和签署</w:t>
      </w:r>
    </w:p>
    <w:p w14:paraId="4F8A55E6">
      <w:pPr>
        <w:pStyle w:val="24"/>
        <w:spacing w:after="0" w:line="440" w:lineRule="exact"/>
        <w:ind w:left="0" w:leftChars="0" w:firstLine="480" w:firstLineChars="200"/>
        <w:rPr>
          <w:rFonts w:ascii="宋体" w:hAnsi="宋体"/>
          <w:color w:val="000000" w:themeColor="text1"/>
          <w:sz w:val="24"/>
          <w:szCs w:val="24"/>
          <w:highlight w:val="none"/>
        </w:rPr>
      </w:pPr>
      <w:r>
        <w:rPr>
          <w:rFonts w:hint="eastAsia" w:ascii="宋体" w:hAnsi="宋体"/>
          <w:color w:val="000000" w:themeColor="text1"/>
          <w:sz w:val="24"/>
          <w:szCs w:val="24"/>
          <w:highlight w:val="none"/>
        </w:rPr>
        <w:t>投标人应按照第六章投标文件格式编制电子版投标文件。</w:t>
      </w:r>
    </w:p>
    <w:p w14:paraId="090E3851">
      <w:pPr>
        <w:pStyle w:val="24"/>
        <w:spacing w:after="0" w:line="440" w:lineRule="exact"/>
        <w:ind w:left="0" w:leftChars="0" w:firstLine="480" w:firstLineChars="200"/>
        <w:rPr>
          <w:rFonts w:ascii="宋体" w:hAnsi="宋体" w:cs="宋体"/>
          <w:color w:val="000000" w:themeColor="text1"/>
          <w:sz w:val="24"/>
          <w:szCs w:val="24"/>
          <w:highlight w:val="none"/>
        </w:rPr>
      </w:pPr>
      <w:r>
        <w:rPr>
          <w:rFonts w:hint="eastAsia" w:ascii="宋体" w:hAnsi="宋体"/>
          <w:color w:val="000000" w:themeColor="text1"/>
          <w:sz w:val="24"/>
          <w:szCs w:val="24"/>
          <w:highlight w:val="none"/>
        </w:rPr>
        <w:t>投标</w:t>
      </w:r>
      <w:r>
        <w:rPr>
          <w:rFonts w:hint="eastAsia" w:ascii="宋体" w:hAnsi="宋体" w:cs="宋体"/>
          <w:color w:val="000000" w:themeColor="text1"/>
          <w:sz w:val="24"/>
          <w:szCs w:val="24"/>
          <w:highlight w:val="none"/>
        </w:rPr>
        <w:t>文件要求指定位置“签字</w:t>
      </w:r>
      <w:r>
        <w:rPr>
          <w:rFonts w:hint="eastAsia" w:ascii="宋体" w:hAnsi="宋体" w:cs="宋体"/>
          <w:b/>
          <w:color w:val="000000" w:themeColor="text1"/>
          <w:sz w:val="24"/>
          <w:szCs w:val="24"/>
          <w:highlight w:val="none"/>
        </w:rPr>
        <w:t>或</w:t>
      </w:r>
      <w:r>
        <w:rPr>
          <w:rFonts w:hint="eastAsia" w:ascii="宋体" w:hAnsi="宋体" w:cs="宋体"/>
          <w:color w:val="000000" w:themeColor="text1"/>
          <w:sz w:val="24"/>
          <w:szCs w:val="24"/>
          <w:highlight w:val="none"/>
        </w:rPr>
        <w:t>盖章”的，供应商实施一项内容即可；</w:t>
      </w:r>
    </w:p>
    <w:p w14:paraId="01933427">
      <w:pPr>
        <w:pStyle w:val="24"/>
        <w:spacing w:after="0" w:line="440" w:lineRule="exact"/>
        <w:ind w:left="0" w:leftChars="0" w:firstLine="480" w:firstLineChars="200"/>
        <w:rPr>
          <w:rFonts w:ascii="宋体" w:hAnsi="宋体" w:cs="宋体"/>
          <w:color w:val="000000" w:themeColor="text1"/>
          <w:sz w:val="24"/>
          <w:szCs w:val="24"/>
          <w:highlight w:val="none"/>
        </w:rPr>
      </w:pPr>
      <w:r>
        <w:rPr>
          <w:rFonts w:hint="eastAsia" w:ascii="宋体" w:hAnsi="宋体" w:cs="宋体"/>
          <w:color w:val="000000" w:themeColor="text1"/>
          <w:sz w:val="24"/>
          <w:szCs w:val="24"/>
          <w:highlight w:val="none"/>
        </w:rPr>
        <w:t>投标文件要求指定位置“签字</w:t>
      </w:r>
      <w:r>
        <w:rPr>
          <w:rFonts w:hint="eastAsia" w:ascii="宋体" w:hAnsi="宋体" w:cs="宋体"/>
          <w:b/>
          <w:color w:val="000000" w:themeColor="text1"/>
          <w:sz w:val="24"/>
          <w:szCs w:val="24"/>
          <w:highlight w:val="none"/>
        </w:rPr>
        <w:t>和</w:t>
      </w:r>
      <w:r>
        <w:rPr>
          <w:rFonts w:hint="eastAsia" w:ascii="宋体" w:hAnsi="宋体" w:cs="宋体"/>
          <w:color w:val="000000" w:themeColor="text1"/>
          <w:sz w:val="24"/>
          <w:szCs w:val="24"/>
          <w:highlight w:val="none"/>
        </w:rPr>
        <w:t>盖章”的，供应商必须既签字又盖章。</w:t>
      </w:r>
    </w:p>
    <w:p w14:paraId="07445C8A">
      <w:pPr>
        <w:widowControl/>
        <w:spacing w:line="360" w:lineRule="auto"/>
        <w:ind w:firstLine="482" w:firstLineChars="200"/>
        <w:jc w:val="left"/>
        <w:rPr>
          <w:rFonts w:ascii="宋体" w:hAnsi="宋体" w:eastAsia="宋体" w:cs="宋体"/>
          <w:color w:val="000000" w:themeColor="text1"/>
          <w:kern w:val="0"/>
          <w:sz w:val="24"/>
          <w:szCs w:val="24"/>
          <w:highlight w:val="none"/>
        </w:rPr>
      </w:pPr>
      <w:r>
        <w:rPr>
          <w:rFonts w:hint="eastAsia" w:ascii="宋体" w:hAnsi="宋体" w:eastAsia="宋体" w:cs="宋体"/>
          <w:b/>
          <w:bCs/>
          <w:color w:val="000000" w:themeColor="text1"/>
          <w:kern w:val="0"/>
          <w:sz w:val="24"/>
          <w:szCs w:val="24"/>
          <w:highlight w:val="none"/>
        </w:rPr>
        <w:t>1</w:t>
      </w:r>
      <w:r>
        <w:rPr>
          <w:rFonts w:ascii="宋体" w:hAnsi="宋体" w:eastAsia="宋体" w:cs="宋体"/>
          <w:b/>
          <w:bCs/>
          <w:color w:val="000000" w:themeColor="text1"/>
          <w:kern w:val="0"/>
          <w:sz w:val="24"/>
          <w:szCs w:val="24"/>
          <w:highlight w:val="none"/>
        </w:rPr>
        <w:t>7.2</w:t>
      </w:r>
      <w:r>
        <w:rPr>
          <w:rFonts w:hint="eastAsia" w:ascii="宋体" w:hAnsi="宋体" w:eastAsia="宋体" w:cs="宋体"/>
          <w:b/>
          <w:bCs/>
          <w:color w:val="000000" w:themeColor="text1"/>
          <w:kern w:val="0"/>
          <w:sz w:val="24"/>
          <w:szCs w:val="24"/>
          <w:highlight w:val="none"/>
        </w:rPr>
        <w:t>投标文件的制作和签章</w:t>
      </w:r>
    </w:p>
    <w:p w14:paraId="649EDF97">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17.</w:t>
      </w:r>
      <w:r>
        <w:rPr>
          <w:rFonts w:ascii="宋体" w:hAnsi="宋体" w:eastAsia="宋体"/>
          <w:color w:val="000000" w:themeColor="text1"/>
          <w:sz w:val="24"/>
          <w:szCs w:val="24"/>
          <w:highlight w:val="none"/>
        </w:rPr>
        <w:t>2.1</w:t>
      </w:r>
      <w:r>
        <w:rPr>
          <w:rFonts w:hint="eastAsia" w:ascii="宋体" w:hAnsi="宋体" w:eastAsia="宋体"/>
          <w:color w:val="000000" w:themeColor="text1"/>
          <w:sz w:val="24"/>
          <w:szCs w:val="24"/>
          <w:highlight w:val="none"/>
        </w:rPr>
        <w:t>需要使用专用制作软件“新点投标文件制作软件（陕西公共资源）”进行编制。供应商须在“全国公共资源交易中心平台</w:t>
      </w:r>
      <w:r>
        <w:rPr>
          <w:rFonts w:ascii="宋体" w:hAnsi="宋体" w:eastAsia="宋体"/>
          <w:color w:val="000000" w:themeColor="text1"/>
          <w:sz w:val="24"/>
          <w:szCs w:val="24"/>
          <w:highlight w:val="none"/>
        </w:rPr>
        <w:t>(陕西省 宝鸡市)”的“服务指南”栏目“下载专区”中，免费下载“政府采购电子化交易-供应商培训实操演示及操作手册”，并使用该客户端制作电子响应文件，制作扩展名为“.SXSTF”的电子</w:t>
      </w:r>
      <w:r>
        <w:rPr>
          <w:rFonts w:hint="eastAsia" w:ascii="宋体" w:hAnsi="宋体" w:eastAsia="宋体"/>
          <w:color w:val="000000" w:themeColor="text1"/>
          <w:sz w:val="24"/>
          <w:szCs w:val="24"/>
          <w:highlight w:val="none"/>
        </w:rPr>
        <w:t>投标</w:t>
      </w:r>
      <w:r>
        <w:rPr>
          <w:rFonts w:ascii="宋体" w:hAnsi="宋体" w:eastAsia="宋体"/>
          <w:color w:val="000000" w:themeColor="text1"/>
          <w:sz w:val="24"/>
          <w:szCs w:val="24"/>
          <w:highlight w:val="none"/>
        </w:rPr>
        <w:t>文件。</w:t>
      </w:r>
    </w:p>
    <w:p w14:paraId="3DF497CF">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17.2</w:t>
      </w:r>
      <w:r>
        <w:rPr>
          <w:rFonts w:ascii="宋体" w:hAnsi="宋体" w:eastAsia="宋体"/>
          <w:color w:val="000000" w:themeColor="text1"/>
          <w:sz w:val="24"/>
          <w:szCs w:val="24"/>
          <w:highlight w:val="none"/>
        </w:rPr>
        <w:t>.2</w:t>
      </w:r>
      <w:r>
        <w:rPr>
          <w:rFonts w:hint="eastAsia" w:ascii="宋体" w:hAnsi="宋体" w:eastAsia="宋体"/>
          <w:color w:val="000000" w:themeColor="text1"/>
          <w:sz w:val="24"/>
          <w:szCs w:val="24"/>
          <w:highlight w:val="none"/>
        </w:rPr>
        <w:t>编制电子投标文件前，务必做好电子招标文件的备份工。然后按操作手册中给出的方法将电子招标文件（*.SXSZF)或答疑文件（*.SXSCF，即更新后的电子招标文件）导入制作软件，最后按照章节分别编制投标文件各个部分。</w:t>
      </w:r>
    </w:p>
    <w:p w14:paraId="6B70AA3A">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17.</w:t>
      </w:r>
      <w:r>
        <w:rPr>
          <w:rFonts w:ascii="宋体" w:hAnsi="宋体" w:eastAsia="宋体"/>
          <w:color w:val="000000" w:themeColor="text1"/>
          <w:sz w:val="24"/>
          <w:szCs w:val="24"/>
          <w:highlight w:val="none"/>
        </w:rPr>
        <w:t>2.</w:t>
      </w:r>
      <w:r>
        <w:rPr>
          <w:rFonts w:hint="eastAsia" w:ascii="宋体" w:hAnsi="宋体" w:eastAsia="宋体"/>
          <w:color w:val="000000" w:themeColor="text1"/>
          <w:sz w:val="24"/>
          <w:szCs w:val="24"/>
          <w:highlight w:val="none"/>
        </w:rPr>
        <w:t>3电子投标文件制作过程中，需要法定代表人签字或盖章的地方，请使用“法人CA锁”进行签章；需要加盖供应商公章的地方，请使用“企业CA锁”进行签章。</w:t>
      </w:r>
    </w:p>
    <w:p w14:paraId="5C3F5E97">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若导出的PDF文件里看不到签章，请尝试使用专用制作软件中的“查看投标文件工具”找开未加密的电子投标文件重新导出。在制作过程中，如有其他技术性问题，请先翻阅操作手册，或致电软件开发商。</w:t>
      </w:r>
    </w:p>
    <w:p w14:paraId="061CB9E0">
      <w:pPr>
        <w:pStyle w:val="23"/>
        <w:rPr>
          <w:color w:val="000000" w:themeColor="text1"/>
          <w:highlight w:val="none"/>
        </w:rPr>
      </w:pPr>
      <w:bookmarkStart w:id="35" w:name="_Toc211442732"/>
      <w:r>
        <w:rPr>
          <w:rFonts w:hint="eastAsia"/>
          <w:color w:val="000000" w:themeColor="text1"/>
          <w:highlight w:val="none"/>
        </w:rPr>
        <w:t>四、投标文件的递交</w:t>
      </w:r>
      <w:bookmarkEnd w:id="35"/>
    </w:p>
    <w:p w14:paraId="171372E3">
      <w:pPr>
        <w:widowControl/>
        <w:spacing w:line="360" w:lineRule="auto"/>
        <w:jc w:val="left"/>
        <w:rPr>
          <w:rFonts w:ascii="宋体" w:hAnsi="宋体" w:eastAsia="宋体" w:cs="宋体"/>
          <w:b/>
          <w:bCs/>
          <w:color w:val="000000" w:themeColor="text1"/>
          <w:kern w:val="0"/>
          <w:sz w:val="24"/>
          <w:szCs w:val="24"/>
          <w:highlight w:val="none"/>
        </w:rPr>
      </w:pPr>
      <w:r>
        <w:rPr>
          <w:rFonts w:hint="eastAsia" w:ascii="宋体" w:hAnsi="宋体" w:eastAsia="宋体" w:cs="宋体"/>
          <w:b/>
          <w:bCs/>
          <w:color w:val="000000" w:themeColor="text1"/>
          <w:kern w:val="0"/>
          <w:sz w:val="24"/>
          <w:szCs w:val="24"/>
          <w:highlight w:val="none"/>
        </w:rPr>
        <w:t>18.投标文件的递交</w:t>
      </w:r>
    </w:p>
    <w:p w14:paraId="602B1DE5">
      <w:pPr>
        <w:widowControl/>
        <w:spacing w:line="360" w:lineRule="auto"/>
        <w:ind w:firstLine="480" w:firstLineChars="200"/>
        <w:jc w:val="left"/>
        <w:rPr>
          <w:rFonts w:ascii="宋体" w:hAnsi="宋体" w:eastAsia="宋体" w:cs="宋体"/>
          <w:bCs/>
          <w:color w:val="000000" w:themeColor="text1"/>
          <w:kern w:val="0"/>
          <w:sz w:val="24"/>
          <w:szCs w:val="24"/>
          <w:highlight w:val="none"/>
        </w:rPr>
      </w:pPr>
      <w:r>
        <w:rPr>
          <w:rFonts w:hint="eastAsia" w:ascii="宋体" w:hAnsi="宋体" w:eastAsia="宋体" w:cs="宋体"/>
          <w:bCs/>
          <w:color w:val="000000" w:themeColor="text1"/>
          <w:sz w:val="24"/>
          <w:szCs w:val="24"/>
          <w:highlight w:val="none"/>
        </w:rPr>
        <w:t>1</w:t>
      </w:r>
      <w:r>
        <w:rPr>
          <w:rFonts w:ascii="宋体" w:hAnsi="宋体" w:eastAsia="宋体" w:cs="宋体"/>
          <w:bCs/>
          <w:color w:val="000000" w:themeColor="text1"/>
          <w:sz w:val="24"/>
          <w:szCs w:val="24"/>
          <w:highlight w:val="none"/>
        </w:rPr>
        <w:t>8.1</w:t>
      </w:r>
      <w:r>
        <w:rPr>
          <w:rFonts w:hint="eastAsia" w:ascii="宋体" w:hAnsi="宋体" w:eastAsia="宋体" w:cs="宋体"/>
          <w:bCs/>
          <w:color w:val="000000" w:themeColor="text1"/>
          <w:sz w:val="24"/>
          <w:szCs w:val="24"/>
          <w:highlight w:val="none"/>
        </w:rPr>
        <w:t>登录陕西省宝鸡市公共资源交易中心平台(</w:t>
      </w:r>
      <w:r>
        <w:rPr>
          <w:color w:val="000000" w:themeColor="text1"/>
          <w:highlight w:val="none"/>
        </w:rPr>
        <w:fldChar w:fldCharType="begin"/>
      </w:r>
      <w:r>
        <w:rPr>
          <w:color w:val="000000" w:themeColor="text1"/>
          <w:highlight w:val="none"/>
        </w:rPr>
        <w:instrText xml:space="preserve"> HYPERLINK "http://bj.sxggzyjy.cn/" </w:instrText>
      </w:r>
      <w:r>
        <w:rPr>
          <w:color w:val="000000" w:themeColor="text1"/>
          <w:highlight w:val="none"/>
        </w:rPr>
        <w:fldChar w:fldCharType="separate"/>
      </w:r>
      <w:r>
        <w:rPr>
          <w:rFonts w:hint="eastAsia" w:ascii="宋体" w:hAnsi="宋体" w:eastAsia="宋体" w:cs="宋体"/>
          <w:bCs/>
          <w:color w:val="000000" w:themeColor="text1"/>
          <w:sz w:val="24"/>
          <w:szCs w:val="24"/>
          <w:highlight w:val="none"/>
        </w:rPr>
        <w:t>http://ggzy.baoji.gov.cn/</w:t>
      </w:r>
      <w:r>
        <w:rPr>
          <w:rFonts w:hint="eastAsia" w:ascii="宋体" w:hAnsi="宋体" w:eastAsia="宋体" w:cs="宋体"/>
          <w:bCs/>
          <w:color w:val="000000" w:themeColor="text1"/>
          <w:sz w:val="24"/>
          <w:szCs w:val="24"/>
          <w:highlight w:val="none"/>
        </w:rPr>
        <w:fldChar w:fldCharType="end"/>
      </w:r>
      <w:r>
        <w:rPr>
          <w:rFonts w:hint="eastAsia" w:ascii="宋体" w:hAnsi="宋体" w:eastAsia="宋体" w:cs="宋体"/>
          <w:bCs/>
          <w:color w:val="000000" w:themeColor="text1"/>
          <w:sz w:val="24"/>
          <w:szCs w:val="24"/>
          <w:highlight w:val="none"/>
        </w:rPr>
        <w:t>)，选择“电子交易平台-陕西政府采购交易系统-陕西省宝鸡市公共资源交易平台-供应商”进行登录，登录后选择“交易乙方”身份进入，选择“上传响应文件”菜单页面，上传加密的电子化响应文件。上传成功后，电子化平台将予以记录。</w:t>
      </w:r>
    </w:p>
    <w:p w14:paraId="7126B334">
      <w:pPr>
        <w:widowControl/>
        <w:spacing w:line="360" w:lineRule="auto"/>
        <w:ind w:firstLine="480" w:firstLineChars="200"/>
        <w:jc w:val="left"/>
        <w:rPr>
          <w:rFonts w:ascii="宋体" w:hAnsi="宋体" w:eastAsia="宋体" w:cs="宋体"/>
          <w:color w:val="000000" w:themeColor="text1"/>
          <w:kern w:val="0"/>
          <w:sz w:val="24"/>
          <w:szCs w:val="24"/>
          <w:highlight w:val="none"/>
        </w:rPr>
      </w:pPr>
      <w:r>
        <w:rPr>
          <w:rFonts w:ascii="宋体" w:hAnsi="宋体" w:eastAsia="宋体" w:cs="宋体"/>
          <w:bCs/>
          <w:color w:val="000000" w:themeColor="text1"/>
          <w:kern w:val="0"/>
          <w:sz w:val="24"/>
          <w:szCs w:val="24"/>
          <w:highlight w:val="none"/>
        </w:rPr>
        <w:t>18.2</w:t>
      </w:r>
      <w:r>
        <w:rPr>
          <w:rFonts w:hint="eastAsia" w:ascii="宋体" w:hAnsi="宋体" w:eastAsia="宋体" w:cs="宋体"/>
          <w:bCs/>
          <w:color w:val="000000" w:themeColor="text1"/>
          <w:kern w:val="0"/>
          <w:sz w:val="24"/>
          <w:szCs w:val="24"/>
          <w:highlight w:val="none"/>
        </w:rPr>
        <w:t>投标文件的加密：</w:t>
      </w:r>
      <w:r>
        <w:rPr>
          <w:rFonts w:hint="eastAsia" w:ascii="宋体" w:hAnsi="宋体" w:eastAsia="宋体"/>
          <w:color w:val="000000" w:themeColor="text1"/>
          <w:sz w:val="24"/>
          <w:szCs w:val="24"/>
          <w:highlight w:val="none"/>
        </w:rPr>
        <w:t>在生成电子投标文件时，需要使用CA锁对投标文件进行加密。</w:t>
      </w:r>
    </w:p>
    <w:p w14:paraId="74B5C9FF">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注意：加密投标文件和开标时解密投标文件应当使用同一CA，否则会导致解密失败。</w:t>
      </w:r>
    </w:p>
    <w:p w14:paraId="7D13426E">
      <w:pPr>
        <w:widowControl/>
        <w:spacing w:line="360" w:lineRule="auto"/>
        <w:jc w:val="left"/>
        <w:rPr>
          <w:rFonts w:ascii="宋体" w:hAnsi="宋体" w:eastAsia="宋体" w:cs="宋体"/>
          <w:color w:val="000000" w:themeColor="text1"/>
          <w:kern w:val="0"/>
          <w:sz w:val="24"/>
          <w:szCs w:val="24"/>
          <w:highlight w:val="none"/>
        </w:rPr>
      </w:pPr>
      <w:r>
        <w:rPr>
          <w:rFonts w:hint="eastAsia" w:ascii="宋体" w:hAnsi="宋体" w:eastAsia="宋体" w:cs="宋体"/>
          <w:b/>
          <w:bCs/>
          <w:color w:val="000000" w:themeColor="text1"/>
          <w:kern w:val="0"/>
          <w:sz w:val="24"/>
          <w:szCs w:val="24"/>
          <w:highlight w:val="none"/>
        </w:rPr>
        <w:t>19．投标文件递交方式和投标截止时间</w:t>
      </w:r>
    </w:p>
    <w:p w14:paraId="66E86D78">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19.1投标人必须派出代表，在本须知“投标人须知前附表”规定的投标截止时间前，将全部投标文件和投标资料、物品等递交至投标地点并签字确认。投标地点见“投标人须知前附表”指明的地址或采购代理机构另行通知的地址。</w:t>
      </w:r>
    </w:p>
    <w:p w14:paraId="7DBC8A01">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19.</w:t>
      </w:r>
      <w:r>
        <w:rPr>
          <w:rFonts w:ascii="宋体" w:hAnsi="宋体" w:eastAsia="宋体"/>
          <w:color w:val="000000" w:themeColor="text1"/>
          <w:sz w:val="24"/>
          <w:szCs w:val="24"/>
          <w:highlight w:val="none"/>
        </w:rPr>
        <w:t>2</w:t>
      </w:r>
      <w:r>
        <w:rPr>
          <w:rFonts w:hint="eastAsia" w:ascii="宋体" w:hAnsi="宋体" w:eastAsia="宋体"/>
          <w:color w:val="000000" w:themeColor="text1"/>
          <w:sz w:val="24"/>
          <w:szCs w:val="24"/>
          <w:highlight w:val="none"/>
        </w:rPr>
        <w:t>电子投标文件可于提交投标文件截止时间前任意时段，登录宝鸡市公共资源交易平台〖首页·〉电子交易平台·〉陕西政府采购交易系统·〉企业端〗，登录后切换到〖我的项目〗模块，依次点选〖项目流程·〉项目管理·〉上传投标文件〗，上传加密后的电子投标文件（（*.SXSTF）。上传成功后，宝鸡市公共资源交易平台政府采购系统将予以记录。上传文件有误或需要重新提交的，</w:t>
      </w:r>
      <w:bookmarkStart w:id="36" w:name="OLE_LINK50"/>
      <w:bookmarkStart w:id="37" w:name="OLE_LINK49"/>
      <w:r>
        <w:rPr>
          <w:rFonts w:hint="eastAsia" w:ascii="宋体" w:hAnsi="宋体" w:eastAsia="宋体"/>
          <w:color w:val="000000" w:themeColor="text1"/>
          <w:sz w:val="24"/>
          <w:szCs w:val="24"/>
          <w:highlight w:val="none"/>
        </w:rPr>
        <w:t>可先撤销已经上传的文件，然后重新上传新文件。</w:t>
      </w:r>
      <w:bookmarkEnd w:id="36"/>
      <w:bookmarkEnd w:id="37"/>
    </w:p>
    <w:p w14:paraId="45073A67">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19.</w:t>
      </w:r>
      <w:r>
        <w:rPr>
          <w:rFonts w:ascii="宋体" w:hAnsi="宋体" w:eastAsia="宋体"/>
          <w:color w:val="000000" w:themeColor="text1"/>
          <w:sz w:val="24"/>
          <w:szCs w:val="24"/>
          <w:highlight w:val="none"/>
        </w:rPr>
        <w:t>3</w:t>
      </w:r>
      <w:r>
        <w:rPr>
          <w:rFonts w:hint="eastAsia" w:ascii="宋体" w:hAnsi="宋体" w:eastAsia="宋体"/>
          <w:color w:val="000000" w:themeColor="text1"/>
          <w:sz w:val="24"/>
          <w:szCs w:val="24"/>
          <w:highlight w:val="none"/>
        </w:rPr>
        <w:t>以邮寄方式递交投标文件的按照无效投标处理。</w:t>
      </w:r>
    </w:p>
    <w:p w14:paraId="41586CF1">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19.</w:t>
      </w:r>
      <w:r>
        <w:rPr>
          <w:rFonts w:ascii="宋体" w:hAnsi="宋体" w:eastAsia="宋体"/>
          <w:color w:val="000000" w:themeColor="text1"/>
          <w:sz w:val="24"/>
          <w:szCs w:val="24"/>
          <w:highlight w:val="none"/>
        </w:rPr>
        <w:t>4</w:t>
      </w:r>
      <w:r>
        <w:rPr>
          <w:rFonts w:hint="eastAsia" w:ascii="宋体" w:hAnsi="宋体" w:eastAsia="宋体"/>
          <w:color w:val="000000" w:themeColor="text1"/>
          <w:sz w:val="24"/>
          <w:szCs w:val="24"/>
          <w:highlight w:val="none"/>
        </w:rPr>
        <w:t>采购代理机构拒绝接收在规定的投标截止时间后递交的投标文件和投标资料。</w:t>
      </w:r>
    </w:p>
    <w:p w14:paraId="78582620">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19.</w:t>
      </w:r>
      <w:r>
        <w:rPr>
          <w:rFonts w:ascii="宋体" w:hAnsi="宋体" w:eastAsia="宋体"/>
          <w:color w:val="000000" w:themeColor="text1"/>
          <w:sz w:val="24"/>
          <w:szCs w:val="24"/>
          <w:highlight w:val="none"/>
        </w:rPr>
        <w:t>5</w:t>
      </w:r>
      <w:r>
        <w:rPr>
          <w:rFonts w:hint="eastAsia" w:ascii="宋体" w:hAnsi="宋体" w:eastAsia="宋体"/>
          <w:color w:val="000000" w:themeColor="text1"/>
          <w:sz w:val="24"/>
          <w:szCs w:val="24"/>
          <w:highlight w:val="none"/>
        </w:rPr>
        <w:t>逾期提交、误投或采用旧版电子招标文件的投标文件将被拒绝接收。</w:t>
      </w:r>
    </w:p>
    <w:p w14:paraId="68BB8BE3">
      <w:pPr>
        <w:widowControl/>
        <w:spacing w:line="360" w:lineRule="auto"/>
        <w:jc w:val="left"/>
        <w:rPr>
          <w:rFonts w:ascii="宋体" w:hAnsi="宋体" w:eastAsia="宋体" w:cs="宋体"/>
          <w:color w:val="000000" w:themeColor="text1"/>
          <w:kern w:val="0"/>
          <w:sz w:val="24"/>
          <w:szCs w:val="24"/>
          <w:highlight w:val="none"/>
        </w:rPr>
      </w:pPr>
      <w:r>
        <w:rPr>
          <w:rFonts w:hint="eastAsia" w:ascii="宋体" w:hAnsi="宋体" w:eastAsia="宋体" w:cs="宋体"/>
          <w:b/>
          <w:bCs/>
          <w:color w:val="000000" w:themeColor="text1"/>
          <w:kern w:val="0"/>
          <w:sz w:val="24"/>
          <w:szCs w:val="24"/>
          <w:highlight w:val="none"/>
        </w:rPr>
        <w:t>20．投标的修改与撤回</w:t>
      </w:r>
    </w:p>
    <w:p w14:paraId="7DF283D0">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20.1投标人在递交投标文件后，可以修改或撤回其投标文件，也可以提出价格变动声明，但投标人必须在规定的投标截止时间之前将修改或撤回或变动价格重新提交，可先撤销已经上传的文件，然后重新上传新文件。</w:t>
      </w:r>
    </w:p>
    <w:p w14:paraId="5BB7C888">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20.</w:t>
      </w:r>
      <w:r>
        <w:rPr>
          <w:rFonts w:ascii="宋体" w:hAnsi="宋体" w:eastAsia="宋体"/>
          <w:color w:val="000000" w:themeColor="text1"/>
          <w:sz w:val="24"/>
          <w:szCs w:val="24"/>
          <w:highlight w:val="none"/>
        </w:rPr>
        <w:t>2</w:t>
      </w:r>
      <w:r>
        <w:rPr>
          <w:rFonts w:hint="eastAsia" w:ascii="宋体" w:hAnsi="宋体" w:eastAsia="宋体"/>
          <w:color w:val="000000" w:themeColor="text1"/>
          <w:sz w:val="24"/>
          <w:szCs w:val="24"/>
          <w:highlight w:val="none"/>
        </w:rPr>
        <w:t>投标人在递交投标文件后，可以修改或撤回其投标文件。对已提交的电子投标文件进行补充、修改的，应先从电子交易平台上撤回旧文件，再重新提供新文件；中标后提交的纸质文件（备案用，若有要求）应从专用制作软件中直接打印，与电子投标文件保持一致，不允许补充和修改。</w:t>
      </w:r>
    </w:p>
    <w:p w14:paraId="349500EB">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20.3在投标截止时间之后，投标人不得对其投标做任何修改或撤回。</w:t>
      </w:r>
    </w:p>
    <w:p w14:paraId="53510658">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20.4在开标之后，对于投标人正常经营活动必须的资质和其他证明文件原件如有需要提供原件的（包括但不限于：营业执照、税务登记证、经营许可证、资质等级证书、中标通知书、合同等），经审查后予以退还。其他投标文件和资料一律不予退还。</w:t>
      </w:r>
    </w:p>
    <w:p w14:paraId="666D490A">
      <w:pPr>
        <w:pStyle w:val="23"/>
        <w:rPr>
          <w:color w:val="000000" w:themeColor="text1"/>
          <w:highlight w:val="none"/>
        </w:rPr>
      </w:pPr>
      <w:bookmarkStart w:id="38" w:name="_Toc211442733"/>
      <w:r>
        <w:rPr>
          <w:rFonts w:hint="eastAsia"/>
          <w:color w:val="000000" w:themeColor="text1"/>
          <w:highlight w:val="none"/>
        </w:rPr>
        <w:t>五、开标、审查与评标</w:t>
      </w:r>
      <w:bookmarkEnd w:id="38"/>
    </w:p>
    <w:p w14:paraId="0997F421">
      <w:pPr>
        <w:widowControl/>
        <w:spacing w:line="360" w:lineRule="auto"/>
        <w:jc w:val="left"/>
        <w:rPr>
          <w:rFonts w:ascii="宋体" w:hAnsi="宋体" w:eastAsia="宋体" w:cs="宋体"/>
          <w:color w:val="000000" w:themeColor="text1"/>
          <w:kern w:val="0"/>
          <w:sz w:val="24"/>
          <w:szCs w:val="24"/>
          <w:highlight w:val="none"/>
        </w:rPr>
      </w:pPr>
      <w:r>
        <w:rPr>
          <w:rFonts w:hint="eastAsia" w:ascii="宋体" w:hAnsi="宋体" w:eastAsia="宋体" w:cs="宋体"/>
          <w:b/>
          <w:bCs/>
          <w:color w:val="000000" w:themeColor="text1"/>
          <w:kern w:val="0"/>
          <w:sz w:val="24"/>
          <w:szCs w:val="24"/>
          <w:highlight w:val="none"/>
        </w:rPr>
        <w:t>21.开标</w:t>
      </w:r>
    </w:p>
    <w:p w14:paraId="257D5441">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21.1采购代理机构在规定的时间和地点组织公开开标。</w:t>
      </w:r>
    </w:p>
    <w:p w14:paraId="54161947">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21.</w:t>
      </w:r>
      <w:r>
        <w:rPr>
          <w:rFonts w:ascii="宋体" w:hAnsi="宋体" w:eastAsia="宋体"/>
          <w:color w:val="000000" w:themeColor="text1"/>
          <w:sz w:val="24"/>
          <w:szCs w:val="24"/>
          <w:highlight w:val="none"/>
        </w:rPr>
        <w:t>2</w:t>
      </w:r>
      <w:r>
        <w:rPr>
          <w:rFonts w:hint="eastAsia" w:ascii="宋体" w:hAnsi="宋体" w:eastAsia="宋体"/>
          <w:color w:val="000000" w:themeColor="text1"/>
          <w:sz w:val="24"/>
          <w:szCs w:val="24"/>
          <w:highlight w:val="none"/>
        </w:rPr>
        <w:t>采购代理机构将当众解密投标文件，宣布投标人名称、投标价格，修改或撤回或变动价格的书面通知（如果有），以及本须知“投标人须知前附表”规定的需要宣布的其他内容。未在开标时宣读的投标价格，评标时不予承认。</w:t>
      </w:r>
    </w:p>
    <w:p w14:paraId="6ED4A68F">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21.</w:t>
      </w:r>
      <w:r>
        <w:rPr>
          <w:rFonts w:ascii="宋体" w:hAnsi="宋体" w:eastAsia="宋体"/>
          <w:color w:val="000000" w:themeColor="text1"/>
          <w:sz w:val="24"/>
          <w:szCs w:val="24"/>
          <w:highlight w:val="none"/>
        </w:rPr>
        <w:t>3</w:t>
      </w:r>
      <w:r>
        <w:rPr>
          <w:rFonts w:hint="eastAsia" w:ascii="宋体" w:hAnsi="宋体" w:eastAsia="宋体"/>
          <w:color w:val="000000" w:themeColor="text1"/>
          <w:sz w:val="24"/>
          <w:szCs w:val="24"/>
          <w:highlight w:val="none"/>
        </w:rPr>
        <w:t>在开标时没有拆封和宣读的投标文件将原封退回给投标人。</w:t>
      </w:r>
    </w:p>
    <w:p w14:paraId="6F06C01F">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21.</w:t>
      </w:r>
      <w:r>
        <w:rPr>
          <w:rFonts w:ascii="宋体" w:hAnsi="宋体" w:eastAsia="宋体"/>
          <w:color w:val="000000" w:themeColor="text1"/>
          <w:sz w:val="24"/>
          <w:szCs w:val="24"/>
          <w:highlight w:val="none"/>
        </w:rPr>
        <w:t>4</w:t>
      </w:r>
      <w:r>
        <w:rPr>
          <w:rFonts w:hint="eastAsia" w:ascii="宋体" w:hAnsi="宋体" w:eastAsia="宋体"/>
          <w:color w:val="000000" w:themeColor="text1"/>
          <w:sz w:val="24"/>
          <w:szCs w:val="24"/>
          <w:highlight w:val="none"/>
        </w:rPr>
        <w:t>以邮寄方式递交投标文件的为无效投标，不予启封。</w:t>
      </w:r>
    </w:p>
    <w:p w14:paraId="71054EFC">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21.</w:t>
      </w:r>
      <w:r>
        <w:rPr>
          <w:rFonts w:ascii="宋体" w:hAnsi="宋体" w:eastAsia="宋体"/>
          <w:color w:val="000000" w:themeColor="text1"/>
          <w:sz w:val="24"/>
          <w:szCs w:val="24"/>
          <w:highlight w:val="none"/>
        </w:rPr>
        <w:t>5</w:t>
      </w:r>
      <w:r>
        <w:rPr>
          <w:rFonts w:hint="eastAsia" w:ascii="宋体" w:hAnsi="宋体" w:eastAsia="宋体"/>
          <w:color w:val="000000" w:themeColor="text1"/>
          <w:sz w:val="24"/>
          <w:szCs w:val="24"/>
          <w:highlight w:val="none"/>
        </w:rPr>
        <w:t>采购代理机构将做开标记录，存档备查。</w:t>
      </w:r>
    </w:p>
    <w:p w14:paraId="73B3FEC6">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21.</w:t>
      </w:r>
      <w:r>
        <w:rPr>
          <w:rFonts w:ascii="宋体" w:hAnsi="宋体" w:eastAsia="宋体"/>
          <w:color w:val="000000" w:themeColor="text1"/>
          <w:sz w:val="24"/>
          <w:szCs w:val="24"/>
          <w:highlight w:val="none"/>
        </w:rPr>
        <w:t>6</w:t>
      </w:r>
      <w:r>
        <w:rPr>
          <w:rFonts w:hint="eastAsia" w:ascii="宋体" w:hAnsi="宋体" w:eastAsia="宋体"/>
          <w:color w:val="000000" w:themeColor="text1"/>
          <w:sz w:val="24"/>
          <w:szCs w:val="24"/>
          <w:highlight w:val="none"/>
        </w:rPr>
        <w:t>投标人未参加开标的，视同认可开标结果。</w:t>
      </w:r>
    </w:p>
    <w:p w14:paraId="5B41DB0E">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21.</w:t>
      </w:r>
      <w:r>
        <w:rPr>
          <w:rFonts w:ascii="宋体" w:hAnsi="宋体" w:eastAsia="宋体"/>
          <w:color w:val="000000" w:themeColor="text1"/>
          <w:sz w:val="24"/>
          <w:szCs w:val="24"/>
          <w:highlight w:val="none"/>
        </w:rPr>
        <w:t>7</w:t>
      </w:r>
      <w:r>
        <w:rPr>
          <w:rFonts w:hint="eastAsia" w:ascii="宋体" w:hAnsi="宋体" w:eastAsia="宋体"/>
          <w:color w:val="000000" w:themeColor="text1"/>
          <w:sz w:val="24"/>
          <w:szCs w:val="24"/>
          <w:highlight w:val="none"/>
        </w:rPr>
        <w:t>开标结束后，采购人或者采购代理机构将依法对投标人的资格和投标保证金缴纳情况进行审查。合格投标人不足三家的，不进行评标。</w:t>
      </w:r>
    </w:p>
    <w:p w14:paraId="087D7BEF">
      <w:pPr>
        <w:widowControl/>
        <w:spacing w:line="360" w:lineRule="auto"/>
        <w:jc w:val="left"/>
        <w:rPr>
          <w:rFonts w:ascii="宋体" w:hAnsi="宋体" w:eastAsia="宋体" w:cs="宋体"/>
          <w:color w:val="000000" w:themeColor="text1"/>
          <w:kern w:val="0"/>
          <w:sz w:val="24"/>
          <w:szCs w:val="24"/>
          <w:highlight w:val="none"/>
        </w:rPr>
      </w:pPr>
      <w:r>
        <w:rPr>
          <w:rFonts w:hint="eastAsia" w:ascii="宋体" w:hAnsi="宋体" w:eastAsia="宋体" w:cs="宋体"/>
          <w:b/>
          <w:bCs/>
          <w:color w:val="000000" w:themeColor="text1"/>
          <w:kern w:val="0"/>
          <w:sz w:val="24"/>
          <w:szCs w:val="24"/>
          <w:highlight w:val="none"/>
        </w:rPr>
        <w:t>2</w:t>
      </w:r>
      <w:r>
        <w:rPr>
          <w:rFonts w:ascii="宋体" w:hAnsi="宋体" w:eastAsia="宋体" w:cs="宋体"/>
          <w:b/>
          <w:bCs/>
          <w:color w:val="000000" w:themeColor="text1"/>
          <w:kern w:val="0"/>
          <w:sz w:val="24"/>
          <w:szCs w:val="24"/>
          <w:highlight w:val="none"/>
        </w:rPr>
        <w:t>2</w:t>
      </w:r>
      <w:r>
        <w:rPr>
          <w:rFonts w:hint="eastAsia" w:ascii="宋体" w:hAnsi="宋体" w:eastAsia="宋体" w:cs="宋体"/>
          <w:b/>
          <w:bCs/>
          <w:color w:val="000000" w:themeColor="text1"/>
          <w:kern w:val="0"/>
          <w:sz w:val="24"/>
          <w:szCs w:val="24"/>
          <w:highlight w:val="none"/>
        </w:rPr>
        <w:t>.开标</w:t>
      </w:r>
    </w:p>
    <w:p w14:paraId="51083D1D">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2</w:t>
      </w:r>
      <w:r>
        <w:rPr>
          <w:rFonts w:ascii="宋体" w:hAnsi="宋体" w:eastAsia="宋体"/>
          <w:color w:val="000000" w:themeColor="text1"/>
          <w:sz w:val="24"/>
          <w:szCs w:val="24"/>
          <w:highlight w:val="none"/>
        </w:rPr>
        <w:t>2</w:t>
      </w:r>
      <w:r>
        <w:rPr>
          <w:rFonts w:hint="eastAsia" w:ascii="宋体" w:hAnsi="宋体" w:eastAsia="宋体"/>
          <w:color w:val="000000" w:themeColor="text1"/>
          <w:sz w:val="24"/>
          <w:szCs w:val="24"/>
          <w:highlight w:val="none"/>
        </w:rPr>
        <w:t>.1采购代理机构在规定的时间和地点组织公开开标。开标前，请各供应商至少提前半小时登录宝鸡市公共资源交易平台〖首页·〉不见面开标〗系统。</w:t>
      </w:r>
    </w:p>
    <w:p w14:paraId="441D71B4">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2</w:t>
      </w:r>
      <w:r>
        <w:rPr>
          <w:rFonts w:ascii="宋体" w:hAnsi="宋体" w:eastAsia="宋体"/>
          <w:color w:val="000000" w:themeColor="text1"/>
          <w:sz w:val="24"/>
          <w:szCs w:val="24"/>
          <w:highlight w:val="none"/>
        </w:rPr>
        <w:t>2</w:t>
      </w:r>
      <w:r>
        <w:rPr>
          <w:rFonts w:hint="eastAsia" w:ascii="宋体" w:hAnsi="宋体" w:eastAsia="宋体"/>
          <w:color w:val="000000" w:themeColor="text1"/>
          <w:sz w:val="24"/>
          <w:szCs w:val="24"/>
          <w:highlight w:val="none"/>
        </w:rPr>
        <w:t>.2解密投标文件：收到主持人“开始解密”指令后，使用CA锁（必须与加密文件时的CA锁为同一把锁）在线对电子投标文件进行解密。除因“宝鸡市公共资源交易中心”断电、断网、系统故障及其他不可抗力等因素，导致“不见面开标”系统无法正常运行外，供应商应在规定的解密时间内完成解密。</w:t>
      </w:r>
    </w:p>
    <w:p w14:paraId="389FDD02">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2</w:t>
      </w:r>
      <w:r>
        <w:rPr>
          <w:rFonts w:ascii="宋体" w:hAnsi="宋体" w:eastAsia="宋体"/>
          <w:color w:val="000000" w:themeColor="text1"/>
          <w:sz w:val="24"/>
          <w:szCs w:val="24"/>
          <w:highlight w:val="none"/>
        </w:rPr>
        <w:t>2</w:t>
      </w:r>
      <w:r>
        <w:rPr>
          <w:rFonts w:hint="eastAsia" w:ascii="宋体" w:hAnsi="宋体" w:eastAsia="宋体"/>
          <w:color w:val="000000" w:themeColor="text1"/>
          <w:sz w:val="24"/>
          <w:szCs w:val="24"/>
          <w:highlight w:val="none"/>
        </w:rPr>
        <w:t>.3唱标：详见“投标人须知前附表”。</w:t>
      </w:r>
    </w:p>
    <w:p w14:paraId="67EE6EAA">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2</w:t>
      </w:r>
      <w:r>
        <w:rPr>
          <w:rFonts w:ascii="宋体" w:hAnsi="宋体" w:eastAsia="宋体"/>
          <w:color w:val="000000" w:themeColor="text1"/>
          <w:sz w:val="24"/>
          <w:szCs w:val="24"/>
          <w:highlight w:val="none"/>
        </w:rPr>
        <w:t>2</w:t>
      </w:r>
      <w:r>
        <w:rPr>
          <w:rFonts w:hint="eastAsia" w:ascii="宋体" w:hAnsi="宋体" w:eastAsia="宋体"/>
          <w:color w:val="000000" w:themeColor="text1"/>
          <w:sz w:val="24"/>
          <w:szCs w:val="24"/>
          <w:highlight w:val="none"/>
        </w:rPr>
        <w:t>.4开标结束：进入评审环节。供应商请保持在线，评审期间评标委员会可能会要求供应商做相应的澄清。因供应商擅自离席造成的不利后果，由供应商自行承担。</w:t>
      </w:r>
    </w:p>
    <w:p w14:paraId="411860E6">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2</w:t>
      </w:r>
      <w:r>
        <w:rPr>
          <w:rFonts w:ascii="宋体" w:hAnsi="宋体" w:eastAsia="宋体"/>
          <w:color w:val="000000" w:themeColor="text1"/>
          <w:sz w:val="24"/>
          <w:szCs w:val="24"/>
          <w:highlight w:val="none"/>
        </w:rPr>
        <w:t>2</w:t>
      </w:r>
      <w:r>
        <w:rPr>
          <w:rFonts w:hint="eastAsia" w:ascii="宋体" w:hAnsi="宋体" w:eastAsia="宋体"/>
          <w:color w:val="000000" w:themeColor="text1"/>
          <w:sz w:val="24"/>
          <w:szCs w:val="24"/>
          <w:highlight w:val="none"/>
        </w:rPr>
        <w:t>.5“不见面开标”系统操作说明：详见宝鸡市公共资源交易平台〖首页〉服务指南〉下载专区〗中的《新版政府采购不见面开标系统操作演示》。链接地址：</w:t>
      </w:r>
      <w:r>
        <w:rPr>
          <w:rFonts w:ascii="宋体" w:hAnsi="宋体" w:eastAsia="宋体"/>
          <w:color w:val="000000" w:themeColor="text1"/>
          <w:sz w:val="24"/>
          <w:szCs w:val="24"/>
          <w:highlight w:val="none"/>
        </w:rPr>
        <w:t>http://ggzy.baoji.gov.cn/fwzn/004003/20231130/8171e766-ac3b-4a64-9841-52342735f317.html</w:t>
      </w:r>
    </w:p>
    <w:p w14:paraId="5F4A3C08">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2</w:t>
      </w:r>
      <w:r>
        <w:rPr>
          <w:rFonts w:ascii="宋体" w:hAnsi="宋体" w:eastAsia="宋体"/>
          <w:color w:val="000000" w:themeColor="text1"/>
          <w:sz w:val="24"/>
          <w:szCs w:val="24"/>
          <w:highlight w:val="none"/>
        </w:rPr>
        <w:t>2</w:t>
      </w:r>
      <w:r>
        <w:rPr>
          <w:rFonts w:hint="eastAsia" w:ascii="宋体" w:hAnsi="宋体" w:eastAsia="宋体"/>
          <w:color w:val="000000" w:themeColor="text1"/>
          <w:sz w:val="24"/>
          <w:szCs w:val="24"/>
          <w:highlight w:val="none"/>
        </w:rPr>
        <w:t>.6开标结束后，采购人或者采购代理机构将依法对投标人的资格和投标保证金缴纳情况进行审查。合格投标人不足三家的，不进行评标。</w:t>
      </w:r>
    </w:p>
    <w:p w14:paraId="3DEDEF00">
      <w:pPr>
        <w:widowControl/>
        <w:spacing w:line="360" w:lineRule="auto"/>
        <w:jc w:val="left"/>
        <w:rPr>
          <w:rFonts w:ascii="宋体" w:hAnsi="宋体" w:eastAsia="宋体" w:cs="宋体"/>
          <w:color w:val="000000" w:themeColor="text1"/>
          <w:kern w:val="0"/>
          <w:sz w:val="24"/>
          <w:szCs w:val="24"/>
          <w:highlight w:val="none"/>
        </w:rPr>
      </w:pPr>
      <w:r>
        <w:rPr>
          <w:rFonts w:hint="eastAsia" w:ascii="宋体" w:hAnsi="宋体" w:eastAsia="宋体" w:cs="宋体"/>
          <w:b/>
          <w:bCs/>
          <w:color w:val="000000" w:themeColor="text1"/>
          <w:kern w:val="0"/>
          <w:sz w:val="24"/>
          <w:szCs w:val="24"/>
          <w:highlight w:val="none"/>
        </w:rPr>
        <w:t>2</w:t>
      </w:r>
      <w:r>
        <w:rPr>
          <w:rFonts w:ascii="宋体" w:hAnsi="宋体" w:eastAsia="宋体" w:cs="宋体"/>
          <w:b/>
          <w:bCs/>
          <w:color w:val="000000" w:themeColor="text1"/>
          <w:kern w:val="0"/>
          <w:sz w:val="24"/>
          <w:szCs w:val="24"/>
          <w:highlight w:val="none"/>
        </w:rPr>
        <w:t>3</w:t>
      </w:r>
      <w:r>
        <w:rPr>
          <w:rFonts w:hint="eastAsia" w:ascii="宋体" w:hAnsi="宋体" w:eastAsia="宋体" w:cs="宋体"/>
          <w:b/>
          <w:bCs/>
          <w:color w:val="000000" w:themeColor="text1"/>
          <w:kern w:val="0"/>
          <w:sz w:val="24"/>
          <w:szCs w:val="24"/>
          <w:highlight w:val="none"/>
        </w:rPr>
        <w:t>．评标组织及评标原则</w:t>
      </w:r>
    </w:p>
    <w:p w14:paraId="6BF6A2A5">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2</w:t>
      </w:r>
      <w:r>
        <w:rPr>
          <w:rFonts w:ascii="宋体" w:hAnsi="宋体" w:eastAsia="宋体"/>
          <w:color w:val="000000" w:themeColor="text1"/>
          <w:sz w:val="24"/>
          <w:szCs w:val="24"/>
          <w:highlight w:val="none"/>
        </w:rPr>
        <w:t>3</w:t>
      </w:r>
      <w:r>
        <w:rPr>
          <w:rFonts w:hint="eastAsia" w:ascii="宋体" w:hAnsi="宋体" w:eastAsia="宋体"/>
          <w:color w:val="000000" w:themeColor="text1"/>
          <w:sz w:val="24"/>
          <w:szCs w:val="24"/>
          <w:highlight w:val="none"/>
        </w:rPr>
        <w:t>.1按照《中华人民共和国政府采购法》、《中华人民共和国政府采购法实施条例》和《政府采购货物和服务招标投标管理办法》的规定，依法组建评标委员会。评标委员会按照招标文件规定的评标方法独立进行评标工作。</w:t>
      </w:r>
    </w:p>
    <w:p w14:paraId="6FCA975D">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2</w:t>
      </w:r>
      <w:r>
        <w:rPr>
          <w:rFonts w:ascii="宋体" w:hAnsi="宋体" w:eastAsia="宋体"/>
          <w:color w:val="000000" w:themeColor="text1"/>
          <w:sz w:val="24"/>
          <w:szCs w:val="24"/>
          <w:highlight w:val="none"/>
        </w:rPr>
        <w:t>3</w:t>
      </w:r>
      <w:r>
        <w:rPr>
          <w:rFonts w:hint="eastAsia" w:ascii="宋体" w:hAnsi="宋体" w:eastAsia="宋体"/>
          <w:color w:val="000000" w:themeColor="text1"/>
          <w:sz w:val="24"/>
          <w:szCs w:val="24"/>
          <w:highlight w:val="none"/>
        </w:rPr>
        <w:t>.2招标文件和投标文件是评标的依据。在评标中，不得改变招标文件中规定的评标标准、方法和中标条件。投标人不得在开标后使用任何方式对投标文件的实质性内容做任何更改。</w:t>
      </w:r>
    </w:p>
    <w:p w14:paraId="4A1DBBB4">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2</w:t>
      </w:r>
      <w:r>
        <w:rPr>
          <w:rFonts w:ascii="宋体" w:hAnsi="宋体" w:eastAsia="宋体"/>
          <w:color w:val="000000" w:themeColor="text1"/>
          <w:sz w:val="24"/>
          <w:szCs w:val="24"/>
          <w:highlight w:val="none"/>
        </w:rPr>
        <w:t>3</w:t>
      </w:r>
      <w:r>
        <w:rPr>
          <w:rFonts w:hint="eastAsia" w:ascii="宋体" w:hAnsi="宋体" w:eastAsia="宋体"/>
          <w:color w:val="000000" w:themeColor="text1"/>
          <w:sz w:val="24"/>
          <w:szCs w:val="24"/>
          <w:highlight w:val="none"/>
        </w:rPr>
        <w:t>.3在评标期间，对于投标文件中含义不明确、同类问题表述不一致或者有明显文字和计算错误的内容，评标委员会应当以书面形式（由评标委员会专家签字）要求投标人做出必要的澄清、说明或者纠正。投标人的澄清、说明或者补正应当采用书面形式，由其法人代表或其授权的代表签署全名。投标人的澄清、说明或者补正不得超出投标文件的范围或者改变投标文件的实质性内容。</w:t>
      </w:r>
    </w:p>
    <w:p w14:paraId="71B6B809">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2</w:t>
      </w:r>
      <w:r>
        <w:rPr>
          <w:rFonts w:ascii="宋体" w:hAnsi="宋体" w:eastAsia="宋体"/>
          <w:color w:val="000000" w:themeColor="text1"/>
          <w:sz w:val="24"/>
          <w:szCs w:val="24"/>
          <w:highlight w:val="none"/>
        </w:rPr>
        <w:t>3</w:t>
      </w:r>
      <w:r>
        <w:rPr>
          <w:rFonts w:hint="eastAsia" w:ascii="宋体" w:hAnsi="宋体" w:eastAsia="宋体"/>
          <w:color w:val="000000" w:themeColor="text1"/>
          <w:sz w:val="24"/>
          <w:szCs w:val="24"/>
          <w:highlight w:val="none"/>
        </w:rPr>
        <w:t>.4如果投标人在规定时限内，未能答复或拒绝答复评委会提出的澄清、说明或者补正的要求，将由评委会根据其投标文件按最大风险进行评标。</w:t>
      </w:r>
    </w:p>
    <w:p w14:paraId="09BF34B3">
      <w:pPr>
        <w:widowControl/>
        <w:spacing w:line="360" w:lineRule="auto"/>
        <w:jc w:val="left"/>
        <w:rPr>
          <w:rFonts w:ascii="宋体" w:hAnsi="宋体" w:eastAsia="宋体" w:cs="宋体"/>
          <w:color w:val="000000" w:themeColor="text1"/>
          <w:kern w:val="0"/>
          <w:sz w:val="24"/>
          <w:szCs w:val="24"/>
          <w:highlight w:val="none"/>
        </w:rPr>
      </w:pPr>
      <w:r>
        <w:rPr>
          <w:rFonts w:hint="eastAsia" w:ascii="宋体" w:hAnsi="宋体" w:eastAsia="宋体" w:cs="宋体"/>
          <w:b/>
          <w:bCs/>
          <w:color w:val="000000" w:themeColor="text1"/>
          <w:kern w:val="0"/>
          <w:sz w:val="24"/>
          <w:szCs w:val="24"/>
          <w:highlight w:val="none"/>
        </w:rPr>
        <w:t>2</w:t>
      </w:r>
      <w:r>
        <w:rPr>
          <w:rFonts w:ascii="宋体" w:hAnsi="宋体" w:eastAsia="宋体" w:cs="宋体"/>
          <w:b/>
          <w:bCs/>
          <w:color w:val="000000" w:themeColor="text1"/>
          <w:kern w:val="0"/>
          <w:sz w:val="24"/>
          <w:szCs w:val="24"/>
          <w:highlight w:val="none"/>
        </w:rPr>
        <w:t>4</w:t>
      </w:r>
      <w:r>
        <w:rPr>
          <w:rFonts w:hint="eastAsia" w:ascii="宋体" w:hAnsi="宋体" w:eastAsia="宋体" w:cs="宋体"/>
          <w:b/>
          <w:bCs/>
          <w:color w:val="000000" w:themeColor="text1"/>
          <w:kern w:val="0"/>
          <w:sz w:val="24"/>
          <w:szCs w:val="24"/>
          <w:highlight w:val="none"/>
        </w:rPr>
        <w:t>．评标过程的保密</w:t>
      </w:r>
    </w:p>
    <w:p w14:paraId="07555B39">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2</w:t>
      </w:r>
      <w:r>
        <w:rPr>
          <w:rFonts w:ascii="宋体" w:hAnsi="宋体" w:eastAsia="宋体"/>
          <w:color w:val="000000" w:themeColor="text1"/>
          <w:sz w:val="24"/>
          <w:szCs w:val="24"/>
          <w:highlight w:val="none"/>
        </w:rPr>
        <w:t>4</w:t>
      </w:r>
      <w:r>
        <w:rPr>
          <w:rFonts w:hint="eastAsia" w:ascii="宋体" w:hAnsi="宋体" w:eastAsia="宋体"/>
          <w:color w:val="000000" w:themeColor="text1"/>
          <w:sz w:val="24"/>
          <w:szCs w:val="24"/>
          <w:highlight w:val="none"/>
        </w:rPr>
        <w:t>.1评标委员会成员、采购人与采购代理机构有关人员对评标情况以及在评标过程中获悉的国家秘密、商业秘密负有保密责任。</w:t>
      </w:r>
    </w:p>
    <w:p w14:paraId="709942EA">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2</w:t>
      </w:r>
      <w:r>
        <w:rPr>
          <w:rFonts w:ascii="宋体" w:hAnsi="宋体" w:eastAsia="宋体"/>
          <w:color w:val="000000" w:themeColor="text1"/>
          <w:sz w:val="24"/>
          <w:szCs w:val="24"/>
          <w:highlight w:val="none"/>
        </w:rPr>
        <w:t>4</w:t>
      </w:r>
      <w:r>
        <w:rPr>
          <w:rFonts w:hint="eastAsia" w:ascii="宋体" w:hAnsi="宋体" w:eastAsia="宋体"/>
          <w:color w:val="000000" w:themeColor="text1"/>
          <w:sz w:val="24"/>
          <w:szCs w:val="24"/>
          <w:highlight w:val="none"/>
        </w:rPr>
        <w:t>.2在评标过程中，如果投标人试图在投标文件的评审和比较、中标候选人的推荐以及与评标有关的其他方面，向评标人、采购人和采购代理机构施加任何影响，其投标将按照无效投标处理。</w:t>
      </w:r>
    </w:p>
    <w:p w14:paraId="42A90777">
      <w:pPr>
        <w:widowControl/>
        <w:spacing w:line="360" w:lineRule="auto"/>
        <w:jc w:val="left"/>
        <w:rPr>
          <w:rFonts w:ascii="宋体" w:hAnsi="宋体" w:eastAsia="宋体" w:cs="宋体"/>
          <w:color w:val="000000" w:themeColor="text1"/>
          <w:kern w:val="0"/>
          <w:sz w:val="24"/>
          <w:szCs w:val="24"/>
          <w:highlight w:val="none"/>
        </w:rPr>
      </w:pPr>
      <w:r>
        <w:rPr>
          <w:rFonts w:hint="eastAsia" w:ascii="宋体" w:hAnsi="宋体" w:eastAsia="宋体" w:cs="宋体"/>
          <w:b/>
          <w:bCs/>
          <w:color w:val="000000" w:themeColor="text1"/>
          <w:kern w:val="0"/>
          <w:sz w:val="24"/>
          <w:szCs w:val="24"/>
          <w:highlight w:val="none"/>
        </w:rPr>
        <w:t>2</w:t>
      </w:r>
      <w:r>
        <w:rPr>
          <w:rFonts w:ascii="宋体" w:hAnsi="宋体" w:eastAsia="宋体" w:cs="宋体"/>
          <w:b/>
          <w:bCs/>
          <w:color w:val="000000" w:themeColor="text1"/>
          <w:kern w:val="0"/>
          <w:sz w:val="24"/>
          <w:szCs w:val="24"/>
          <w:highlight w:val="none"/>
        </w:rPr>
        <w:t>5</w:t>
      </w:r>
      <w:r>
        <w:rPr>
          <w:rFonts w:hint="eastAsia" w:ascii="宋体" w:hAnsi="宋体" w:eastAsia="宋体" w:cs="宋体"/>
          <w:b/>
          <w:bCs/>
          <w:color w:val="000000" w:themeColor="text1"/>
          <w:kern w:val="0"/>
          <w:sz w:val="24"/>
          <w:szCs w:val="24"/>
          <w:highlight w:val="none"/>
        </w:rPr>
        <w:t>．评标方法</w:t>
      </w:r>
    </w:p>
    <w:p w14:paraId="69902ED4">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2</w:t>
      </w:r>
      <w:r>
        <w:rPr>
          <w:rFonts w:ascii="宋体" w:hAnsi="宋体" w:eastAsia="宋体"/>
          <w:color w:val="000000" w:themeColor="text1"/>
          <w:sz w:val="24"/>
          <w:szCs w:val="24"/>
          <w:highlight w:val="none"/>
        </w:rPr>
        <w:t>5</w:t>
      </w:r>
      <w:r>
        <w:rPr>
          <w:rFonts w:hint="eastAsia" w:ascii="宋体" w:hAnsi="宋体" w:eastAsia="宋体"/>
          <w:color w:val="000000" w:themeColor="text1"/>
          <w:sz w:val="24"/>
          <w:szCs w:val="24"/>
          <w:highlight w:val="none"/>
        </w:rPr>
        <w:t>.1按照《中华人民共和国政府采购法》、《中华人民共和国政府采购法实施条例》和《政府采购货物和服务招标投标管理办法》的规定，本次评标采用综合评分法，是指投标文件满足招标文件全部实质性要求，且按照评审因素的量化指标评审得分最高的投标人为中标候选人的评标方法。</w:t>
      </w:r>
    </w:p>
    <w:p w14:paraId="5B61699C">
      <w:pPr>
        <w:widowControl/>
        <w:spacing w:line="360" w:lineRule="auto"/>
        <w:jc w:val="left"/>
        <w:rPr>
          <w:rFonts w:ascii="宋体" w:hAnsi="宋体" w:eastAsia="宋体" w:cs="宋体"/>
          <w:color w:val="000000" w:themeColor="text1"/>
          <w:kern w:val="0"/>
          <w:sz w:val="24"/>
          <w:szCs w:val="24"/>
          <w:highlight w:val="none"/>
        </w:rPr>
      </w:pPr>
      <w:r>
        <w:rPr>
          <w:rFonts w:hint="eastAsia" w:ascii="宋体" w:hAnsi="宋体" w:eastAsia="宋体" w:cs="宋体"/>
          <w:b/>
          <w:bCs/>
          <w:color w:val="000000" w:themeColor="text1"/>
          <w:kern w:val="0"/>
          <w:sz w:val="24"/>
          <w:szCs w:val="24"/>
          <w:highlight w:val="none"/>
        </w:rPr>
        <w:t>2</w:t>
      </w:r>
      <w:r>
        <w:rPr>
          <w:rFonts w:ascii="宋体" w:hAnsi="宋体" w:eastAsia="宋体" w:cs="宋体"/>
          <w:b/>
          <w:bCs/>
          <w:color w:val="000000" w:themeColor="text1"/>
          <w:kern w:val="0"/>
          <w:sz w:val="24"/>
          <w:szCs w:val="24"/>
          <w:highlight w:val="none"/>
        </w:rPr>
        <w:t>6</w:t>
      </w:r>
      <w:r>
        <w:rPr>
          <w:rFonts w:hint="eastAsia" w:ascii="宋体" w:hAnsi="宋体" w:eastAsia="宋体" w:cs="宋体"/>
          <w:b/>
          <w:bCs/>
          <w:color w:val="000000" w:themeColor="text1"/>
          <w:kern w:val="0"/>
          <w:sz w:val="24"/>
          <w:szCs w:val="24"/>
          <w:highlight w:val="none"/>
        </w:rPr>
        <w:t>．评标程序</w:t>
      </w:r>
    </w:p>
    <w:p w14:paraId="431D6368">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评标程序为投标文件审查、澄清、比较与评价、确定中标候选人名单。</w:t>
      </w:r>
    </w:p>
    <w:p w14:paraId="597B6F89">
      <w:pPr>
        <w:pStyle w:val="23"/>
        <w:rPr>
          <w:color w:val="000000" w:themeColor="text1"/>
          <w:highlight w:val="none"/>
        </w:rPr>
      </w:pPr>
      <w:bookmarkStart w:id="39" w:name="_Toc211442734"/>
      <w:r>
        <w:rPr>
          <w:rFonts w:hint="eastAsia"/>
          <w:color w:val="000000" w:themeColor="text1"/>
          <w:highlight w:val="none"/>
        </w:rPr>
        <w:t>六、定标、中标通知与签约</w:t>
      </w:r>
      <w:bookmarkEnd w:id="39"/>
    </w:p>
    <w:p w14:paraId="6F72C40B">
      <w:pPr>
        <w:widowControl/>
        <w:spacing w:line="360" w:lineRule="auto"/>
        <w:jc w:val="left"/>
        <w:rPr>
          <w:rFonts w:ascii="宋体" w:hAnsi="宋体" w:eastAsia="宋体" w:cs="宋体"/>
          <w:color w:val="000000" w:themeColor="text1"/>
          <w:kern w:val="0"/>
          <w:sz w:val="24"/>
          <w:szCs w:val="24"/>
          <w:highlight w:val="none"/>
        </w:rPr>
      </w:pPr>
      <w:r>
        <w:rPr>
          <w:rFonts w:hint="eastAsia" w:ascii="宋体" w:hAnsi="宋体" w:eastAsia="宋体" w:cs="宋体"/>
          <w:b/>
          <w:bCs/>
          <w:color w:val="000000" w:themeColor="text1"/>
          <w:kern w:val="0"/>
          <w:sz w:val="24"/>
          <w:szCs w:val="24"/>
          <w:highlight w:val="none"/>
        </w:rPr>
        <w:t>2</w:t>
      </w:r>
      <w:r>
        <w:rPr>
          <w:rFonts w:ascii="宋体" w:hAnsi="宋体" w:eastAsia="宋体" w:cs="宋体"/>
          <w:b/>
          <w:bCs/>
          <w:color w:val="000000" w:themeColor="text1"/>
          <w:kern w:val="0"/>
          <w:sz w:val="24"/>
          <w:szCs w:val="24"/>
          <w:highlight w:val="none"/>
        </w:rPr>
        <w:t>7</w:t>
      </w:r>
      <w:r>
        <w:rPr>
          <w:rFonts w:hint="eastAsia" w:ascii="宋体" w:hAnsi="宋体" w:eastAsia="宋体" w:cs="宋体"/>
          <w:b/>
          <w:bCs/>
          <w:color w:val="000000" w:themeColor="text1"/>
          <w:kern w:val="0"/>
          <w:sz w:val="24"/>
          <w:szCs w:val="24"/>
          <w:highlight w:val="none"/>
        </w:rPr>
        <w:t>．定标</w:t>
      </w:r>
    </w:p>
    <w:p w14:paraId="20D7BBB4">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2</w:t>
      </w:r>
      <w:r>
        <w:rPr>
          <w:rFonts w:ascii="宋体" w:hAnsi="宋体" w:eastAsia="宋体"/>
          <w:color w:val="000000" w:themeColor="text1"/>
          <w:sz w:val="24"/>
          <w:szCs w:val="24"/>
          <w:highlight w:val="none"/>
        </w:rPr>
        <w:t>7</w:t>
      </w:r>
      <w:r>
        <w:rPr>
          <w:rFonts w:hint="eastAsia" w:ascii="宋体" w:hAnsi="宋体" w:eastAsia="宋体"/>
          <w:color w:val="000000" w:themeColor="text1"/>
          <w:sz w:val="24"/>
          <w:szCs w:val="24"/>
          <w:highlight w:val="none"/>
        </w:rPr>
        <w:t>.1评委会根据评标方法的规定对投标人进行评审排序，推荐1～3名中标候选人，作为评标结果。评标结果由全体评委签字确认。</w:t>
      </w:r>
    </w:p>
    <w:p w14:paraId="0F48BCD7">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2</w:t>
      </w:r>
      <w:r>
        <w:rPr>
          <w:rFonts w:ascii="宋体" w:hAnsi="宋体" w:eastAsia="宋体"/>
          <w:color w:val="000000" w:themeColor="text1"/>
          <w:sz w:val="24"/>
          <w:szCs w:val="24"/>
          <w:highlight w:val="none"/>
        </w:rPr>
        <w:t>7</w:t>
      </w:r>
      <w:r>
        <w:rPr>
          <w:rFonts w:hint="eastAsia" w:ascii="宋体" w:hAnsi="宋体" w:eastAsia="宋体"/>
          <w:color w:val="000000" w:themeColor="text1"/>
          <w:sz w:val="24"/>
          <w:szCs w:val="24"/>
          <w:highlight w:val="none"/>
        </w:rPr>
        <w:t>.2采购人应当自收到评标报告之日起5个工作日内，在评标报告确定的中标候选人名单中按顺序确定中标人。中标候选人并列的，由采购人自行确定中标人。</w:t>
      </w:r>
    </w:p>
    <w:p w14:paraId="74812C6A">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2</w:t>
      </w:r>
      <w:r>
        <w:rPr>
          <w:rFonts w:ascii="宋体" w:hAnsi="宋体" w:eastAsia="宋体"/>
          <w:color w:val="000000" w:themeColor="text1"/>
          <w:sz w:val="24"/>
          <w:szCs w:val="24"/>
          <w:highlight w:val="none"/>
        </w:rPr>
        <w:t>7</w:t>
      </w:r>
      <w:r>
        <w:rPr>
          <w:rFonts w:hint="eastAsia" w:ascii="宋体" w:hAnsi="宋体" w:eastAsia="宋体"/>
          <w:color w:val="000000" w:themeColor="text1"/>
          <w:sz w:val="24"/>
          <w:szCs w:val="24"/>
          <w:highlight w:val="none"/>
        </w:rPr>
        <w:t>.3采购人也可以委托评委会直接确定中标人。</w:t>
      </w:r>
    </w:p>
    <w:p w14:paraId="1A91D413">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2</w:t>
      </w:r>
      <w:r>
        <w:rPr>
          <w:rFonts w:ascii="宋体" w:hAnsi="宋体" w:eastAsia="宋体"/>
          <w:color w:val="000000" w:themeColor="text1"/>
          <w:sz w:val="24"/>
          <w:szCs w:val="24"/>
          <w:highlight w:val="none"/>
        </w:rPr>
        <w:t>7</w:t>
      </w:r>
      <w:r>
        <w:rPr>
          <w:rFonts w:hint="eastAsia" w:ascii="宋体" w:hAnsi="宋体" w:eastAsia="宋体"/>
          <w:color w:val="000000" w:themeColor="text1"/>
          <w:sz w:val="24"/>
          <w:szCs w:val="24"/>
          <w:highlight w:val="none"/>
        </w:rPr>
        <w:t>.4中标人确定之后，中标结果将在省级以上财政部门指定的媒体上公告。如果中标人为小微企业或残疾人福利性单位的，将同时公告其《中小企业声明函》或《残疾人福利性单位声明函》。</w:t>
      </w:r>
    </w:p>
    <w:p w14:paraId="6781903A">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2</w:t>
      </w:r>
      <w:r>
        <w:rPr>
          <w:rFonts w:ascii="宋体" w:hAnsi="宋体" w:eastAsia="宋体"/>
          <w:color w:val="000000" w:themeColor="text1"/>
          <w:sz w:val="24"/>
          <w:szCs w:val="24"/>
          <w:highlight w:val="none"/>
        </w:rPr>
        <w:t>7</w:t>
      </w:r>
      <w:r>
        <w:rPr>
          <w:rFonts w:hint="eastAsia" w:ascii="宋体" w:hAnsi="宋体" w:eastAsia="宋体"/>
          <w:color w:val="000000" w:themeColor="text1"/>
          <w:sz w:val="24"/>
          <w:szCs w:val="24"/>
          <w:highlight w:val="none"/>
        </w:rPr>
        <w:t>.5投标人对中标公告有异议的，按照《中华人民共和国政府采购法》第五十二条之规定执行。提出质疑的投标人应当有明确的请求和必要的证明材料，应保证提出的质疑内容及相应证明材料的真实性及来源的合法性，并承担相应的法律责任。</w:t>
      </w:r>
    </w:p>
    <w:p w14:paraId="7086EB2B">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2</w:t>
      </w:r>
      <w:r>
        <w:rPr>
          <w:rFonts w:ascii="宋体" w:hAnsi="宋体" w:eastAsia="宋体"/>
          <w:color w:val="000000" w:themeColor="text1"/>
          <w:sz w:val="24"/>
          <w:szCs w:val="24"/>
          <w:highlight w:val="none"/>
        </w:rPr>
        <w:t>7</w:t>
      </w:r>
      <w:r>
        <w:rPr>
          <w:rFonts w:hint="eastAsia" w:ascii="宋体" w:hAnsi="宋体" w:eastAsia="宋体"/>
          <w:color w:val="000000" w:themeColor="text1"/>
          <w:sz w:val="24"/>
          <w:szCs w:val="24"/>
          <w:highlight w:val="none"/>
        </w:rPr>
        <w:t>.6中标供应商拒绝与采购人签订合同的，采购人可以按照评审报告推荐的中标候选人名单排序，确定下一候选人为中标人，也可以重新开展政府采购活动。</w:t>
      </w:r>
    </w:p>
    <w:p w14:paraId="02F8B242">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2</w:t>
      </w:r>
      <w:r>
        <w:rPr>
          <w:rFonts w:ascii="宋体" w:hAnsi="宋体" w:eastAsia="宋体"/>
          <w:color w:val="000000" w:themeColor="text1"/>
          <w:sz w:val="24"/>
          <w:szCs w:val="24"/>
          <w:highlight w:val="none"/>
        </w:rPr>
        <w:t>7</w:t>
      </w:r>
      <w:r>
        <w:rPr>
          <w:rFonts w:hint="eastAsia" w:ascii="宋体" w:hAnsi="宋体" w:eastAsia="宋体"/>
          <w:color w:val="000000" w:themeColor="text1"/>
          <w:sz w:val="24"/>
          <w:szCs w:val="24"/>
          <w:highlight w:val="none"/>
        </w:rPr>
        <w:t>.7关于本次评标的特别规定（见“投标人须知前附表）。</w:t>
      </w:r>
    </w:p>
    <w:p w14:paraId="19DB352B">
      <w:pPr>
        <w:widowControl/>
        <w:spacing w:line="360" w:lineRule="auto"/>
        <w:jc w:val="left"/>
        <w:rPr>
          <w:rFonts w:ascii="宋体" w:hAnsi="宋体" w:eastAsia="宋体" w:cs="宋体"/>
          <w:color w:val="000000" w:themeColor="text1"/>
          <w:kern w:val="0"/>
          <w:sz w:val="24"/>
          <w:szCs w:val="24"/>
          <w:highlight w:val="none"/>
        </w:rPr>
      </w:pPr>
      <w:r>
        <w:rPr>
          <w:rFonts w:hint="eastAsia" w:ascii="宋体" w:hAnsi="宋体" w:eastAsia="宋体" w:cs="宋体"/>
          <w:b/>
          <w:bCs/>
          <w:color w:val="000000" w:themeColor="text1"/>
          <w:kern w:val="0"/>
          <w:sz w:val="24"/>
          <w:szCs w:val="24"/>
          <w:highlight w:val="none"/>
        </w:rPr>
        <w:t>2</w:t>
      </w:r>
      <w:r>
        <w:rPr>
          <w:rFonts w:ascii="宋体" w:hAnsi="宋体" w:eastAsia="宋体" w:cs="宋体"/>
          <w:b/>
          <w:bCs/>
          <w:color w:val="000000" w:themeColor="text1"/>
          <w:kern w:val="0"/>
          <w:sz w:val="24"/>
          <w:szCs w:val="24"/>
          <w:highlight w:val="none"/>
        </w:rPr>
        <w:t>8</w:t>
      </w:r>
      <w:r>
        <w:rPr>
          <w:rFonts w:hint="eastAsia" w:ascii="宋体" w:hAnsi="宋体" w:eastAsia="宋体" w:cs="宋体"/>
          <w:b/>
          <w:bCs/>
          <w:color w:val="000000" w:themeColor="text1"/>
          <w:kern w:val="0"/>
          <w:sz w:val="24"/>
          <w:szCs w:val="24"/>
          <w:highlight w:val="none"/>
        </w:rPr>
        <w:t>．中标与落标通知</w:t>
      </w:r>
    </w:p>
    <w:p w14:paraId="09936607">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2</w:t>
      </w:r>
      <w:r>
        <w:rPr>
          <w:rFonts w:ascii="宋体" w:hAnsi="宋体" w:eastAsia="宋体"/>
          <w:color w:val="000000" w:themeColor="text1"/>
          <w:sz w:val="24"/>
          <w:szCs w:val="24"/>
          <w:highlight w:val="none"/>
        </w:rPr>
        <w:t>8</w:t>
      </w:r>
      <w:r>
        <w:rPr>
          <w:rFonts w:hint="eastAsia" w:ascii="宋体" w:hAnsi="宋体" w:eastAsia="宋体"/>
          <w:color w:val="000000" w:themeColor="text1"/>
          <w:sz w:val="24"/>
          <w:szCs w:val="24"/>
          <w:highlight w:val="none"/>
        </w:rPr>
        <w:t>.1中标人确定之后，陕西中经招标有限公司将发出《中标通知书》。</w:t>
      </w:r>
    </w:p>
    <w:p w14:paraId="76BDD5E2">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2</w:t>
      </w:r>
      <w:r>
        <w:rPr>
          <w:rFonts w:ascii="宋体" w:hAnsi="宋体" w:eastAsia="宋体"/>
          <w:color w:val="000000" w:themeColor="text1"/>
          <w:sz w:val="24"/>
          <w:szCs w:val="24"/>
          <w:highlight w:val="none"/>
        </w:rPr>
        <w:t>8</w:t>
      </w:r>
      <w:r>
        <w:rPr>
          <w:rFonts w:hint="eastAsia" w:ascii="宋体" w:hAnsi="宋体" w:eastAsia="宋体"/>
          <w:color w:val="000000" w:themeColor="text1"/>
          <w:sz w:val="24"/>
          <w:szCs w:val="24"/>
          <w:highlight w:val="none"/>
        </w:rPr>
        <w:t>.2中标通知书对采购人和中标人具有同等法律效力。中标通知书发出之后，采购人改变中标结果，或者中标人放弃中标，应当承担相应的法律责任。</w:t>
      </w:r>
    </w:p>
    <w:p w14:paraId="6BC339E8">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2</w:t>
      </w:r>
      <w:r>
        <w:rPr>
          <w:rFonts w:ascii="宋体" w:hAnsi="宋体" w:eastAsia="宋体"/>
          <w:color w:val="000000" w:themeColor="text1"/>
          <w:sz w:val="24"/>
          <w:szCs w:val="24"/>
          <w:highlight w:val="none"/>
        </w:rPr>
        <w:t>8</w:t>
      </w:r>
      <w:r>
        <w:rPr>
          <w:rFonts w:hint="eastAsia" w:ascii="宋体" w:hAnsi="宋体" w:eastAsia="宋体"/>
          <w:color w:val="000000" w:themeColor="text1"/>
          <w:sz w:val="24"/>
          <w:szCs w:val="24"/>
          <w:highlight w:val="none"/>
        </w:rPr>
        <w:t>.3中标通知书发出后五个工作日内，陕西中经招标有限公司将通知未中标的投标人，并退还其投标保证金。中标人的投标保证金将在合同签订之后五个工作日内退还。</w:t>
      </w:r>
    </w:p>
    <w:p w14:paraId="3B916E65">
      <w:pPr>
        <w:widowControl/>
        <w:spacing w:line="360" w:lineRule="auto"/>
        <w:jc w:val="left"/>
        <w:rPr>
          <w:rFonts w:ascii="宋体" w:hAnsi="宋体" w:eastAsia="宋体" w:cs="宋体"/>
          <w:color w:val="000000" w:themeColor="text1"/>
          <w:kern w:val="0"/>
          <w:sz w:val="24"/>
          <w:szCs w:val="24"/>
          <w:highlight w:val="none"/>
        </w:rPr>
      </w:pPr>
      <w:r>
        <w:rPr>
          <w:rFonts w:hint="eastAsia" w:ascii="宋体" w:hAnsi="宋体" w:eastAsia="宋体" w:cs="宋体"/>
          <w:b/>
          <w:bCs/>
          <w:color w:val="000000" w:themeColor="text1"/>
          <w:kern w:val="0"/>
          <w:sz w:val="24"/>
          <w:szCs w:val="24"/>
          <w:highlight w:val="none"/>
        </w:rPr>
        <w:t>2</w:t>
      </w:r>
      <w:r>
        <w:rPr>
          <w:rFonts w:ascii="宋体" w:hAnsi="宋体" w:eastAsia="宋体" w:cs="宋体"/>
          <w:b/>
          <w:bCs/>
          <w:color w:val="000000" w:themeColor="text1"/>
          <w:kern w:val="0"/>
          <w:sz w:val="24"/>
          <w:szCs w:val="24"/>
          <w:highlight w:val="none"/>
        </w:rPr>
        <w:t>9</w:t>
      </w:r>
      <w:r>
        <w:rPr>
          <w:rFonts w:hint="eastAsia" w:ascii="宋体" w:hAnsi="宋体" w:eastAsia="宋体" w:cs="宋体"/>
          <w:b/>
          <w:bCs/>
          <w:color w:val="000000" w:themeColor="text1"/>
          <w:kern w:val="0"/>
          <w:sz w:val="24"/>
          <w:szCs w:val="24"/>
          <w:highlight w:val="none"/>
        </w:rPr>
        <w:t>.中标合同的签订</w:t>
      </w:r>
    </w:p>
    <w:p w14:paraId="5544EEEF">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2</w:t>
      </w:r>
      <w:r>
        <w:rPr>
          <w:rFonts w:ascii="宋体" w:hAnsi="宋体" w:eastAsia="宋体"/>
          <w:color w:val="000000" w:themeColor="text1"/>
          <w:sz w:val="24"/>
          <w:szCs w:val="24"/>
          <w:highlight w:val="none"/>
        </w:rPr>
        <w:t>9</w:t>
      </w:r>
      <w:r>
        <w:rPr>
          <w:rFonts w:hint="eastAsia" w:ascii="宋体" w:hAnsi="宋体" w:eastAsia="宋体"/>
          <w:color w:val="000000" w:themeColor="text1"/>
          <w:sz w:val="24"/>
          <w:szCs w:val="24"/>
          <w:highlight w:val="none"/>
        </w:rPr>
        <w:t>.1采购人应当自中标通知书发出之日起三十日内，按照招标文件和中标人投标文件（包括评标中形成的澄清文件）的规定，与中标人签订书面合同。所签订的合同不得对招标文件确定的事项和中标人投标文件作实质性修改。</w:t>
      </w:r>
    </w:p>
    <w:p w14:paraId="508F2349">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2</w:t>
      </w:r>
      <w:r>
        <w:rPr>
          <w:rFonts w:ascii="宋体" w:hAnsi="宋体" w:eastAsia="宋体"/>
          <w:color w:val="000000" w:themeColor="text1"/>
          <w:sz w:val="24"/>
          <w:szCs w:val="24"/>
          <w:highlight w:val="none"/>
        </w:rPr>
        <w:t>9</w:t>
      </w:r>
      <w:r>
        <w:rPr>
          <w:rFonts w:hint="eastAsia" w:ascii="宋体" w:hAnsi="宋体" w:eastAsia="宋体"/>
          <w:color w:val="000000" w:themeColor="text1"/>
          <w:sz w:val="24"/>
          <w:szCs w:val="24"/>
          <w:highlight w:val="none"/>
        </w:rPr>
        <w:t>.2采购人自政府采购合同签订之日起2个工作日内，将政府采购合同在省级以上人民政府财政部门指定的媒体上公告，但政府采购合同中涉及国家秘密、商业秘密的内容除外。</w:t>
      </w:r>
    </w:p>
    <w:p w14:paraId="1E4986E8">
      <w:pPr>
        <w:widowControl/>
        <w:spacing w:line="360" w:lineRule="auto"/>
        <w:jc w:val="left"/>
        <w:rPr>
          <w:rFonts w:ascii="宋体" w:hAnsi="宋体" w:eastAsia="宋体" w:cs="宋体"/>
          <w:color w:val="000000" w:themeColor="text1"/>
          <w:kern w:val="0"/>
          <w:sz w:val="24"/>
          <w:szCs w:val="24"/>
          <w:highlight w:val="none"/>
        </w:rPr>
      </w:pPr>
      <w:r>
        <w:rPr>
          <w:rFonts w:ascii="宋体" w:hAnsi="宋体" w:eastAsia="宋体" w:cs="宋体"/>
          <w:b/>
          <w:bCs/>
          <w:color w:val="000000" w:themeColor="text1"/>
          <w:kern w:val="0"/>
          <w:sz w:val="24"/>
          <w:szCs w:val="24"/>
          <w:highlight w:val="none"/>
        </w:rPr>
        <w:t>30</w:t>
      </w:r>
      <w:r>
        <w:rPr>
          <w:rFonts w:hint="eastAsia" w:ascii="宋体" w:hAnsi="宋体" w:eastAsia="宋体" w:cs="宋体"/>
          <w:b/>
          <w:bCs/>
          <w:color w:val="000000" w:themeColor="text1"/>
          <w:kern w:val="0"/>
          <w:sz w:val="24"/>
          <w:szCs w:val="24"/>
          <w:highlight w:val="none"/>
        </w:rPr>
        <w:t>．中标合同的履约验收</w:t>
      </w:r>
    </w:p>
    <w:p w14:paraId="05C92E87">
      <w:pPr>
        <w:spacing w:line="360" w:lineRule="auto"/>
        <w:ind w:firstLine="480" w:firstLineChars="200"/>
        <w:rPr>
          <w:rFonts w:ascii="宋体" w:hAnsi="宋体" w:eastAsia="宋体"/>
          <w:color w:val="000000" w:themeColor="text1"/>
          <w:sz w:val="24"/>
          <w:szCs w:val="24"/>
          <w:highlight w:val="none"/>
        </w:rPr>
      </w:pPr>
      <w:r>
        <w:rPr>
          <w:rFonts w:ascii="宋体" w:hAnsi="宋体" w:eastAsia="宋体"/>
          <w:color w:val="000000" w:themeColor="text1"/>
          <w:sz w:val="24"/>
          <w:szCs w:val="24"/>
          <w:highlight w:val="none"/>
        </w:rPr>
        <w:t>30</w:t>
      </w:r>
      <w:r>
        <w:rPr>
          <w:rFonts w:hint="eastAsia" w:ascii="宋体" w:hAnsi="宋体" w:eastAsia="宋体"/>
          <w:color w:val="000000" w:themeColor="text1"/>
          <w:sz w:val="24"/>
          <w:szCs w:val="24"/>
          <w:highlight w:val="none"/>
        </w:rPr>
        <w:t>.1政府采购合同的履行、违约责任和解决争议的方法等适用《中华人民共和国合同法》。采购人按照政府采购合同规定的技术、服务、安全标准组织对供应商履约情况进行验收，并出具验收书。</w:t>
      </w:r>
    </w:p>
    <w:p w14:paraId="120AA605">
      <w:pPr>
        <w:widowControl/>
        <w:spacing w:line="360" w:lineRule="auto"/>
        <w:jc w:val="left"/>
        <w:rPr>
          <w:rFonts w:ascii="宋体" w:hAnsi="宋体" w:eastAsia="宋体" w:cs="宋体"/>
          <w:color w:val="000000" w:themeColor="text1"/>
          <w:kern w:val="0"/>
          <w:sz w:val="24"/>
          <w:szCs w:val="24"/>
          <w:highlight w:val="none"/>
        </w:rPr>
      </w:pPr>
      <w:r>
        <w:rPr>
          <w:rFonts w:hint="eastAsia" w:ascii="宋体" w:hAnsi="宋体" w:eastAsia="宋体" w:cs="宋体"/>
          <w:b/>
          <w:bCs/>
          <w:color w:val="000000" w:themeColor="text1"/>
          <w:kern w:val="0"/>
          <w:sz w:val="24"/>
          <w:szCs w:val="24"/>
          <w:highlight w:val="none"/>
        </w:rPr>
        <w:t>3</w:t>
      </w:r>
      <w:r>
        <w:rPr>
          <w:rFonts w:ascii="宋体" w:hAnsi="宋体" w:eastAsia="宋体" w:cs="宋体"/>
          <w:b/>
          <w:bCs/>
          <w:color w:val="000000" w:themeColor="text1"/>
          <w:kern w:val="0"/>
          <w:sz w:val="24"/>
          <w:szCs w:val="24"/>
          <w:highlight w:val="none"/>
        </w:rPr>
        <w:t>1</w:t>
      </w:r>
      <w:r>
        <w:rPr>
          <w:rFonts w:hint="eastAsia" w:ascii="宋体" w:hAnsi="宋体" w:eastAsia="宋体" w:cs="宋体"/>
          <w:b/>
          <w:bCs/>
          <w:color w:val="000000" w:themeColor="text1"/>
          <w:kern w:val="0"/>
          <w:sz w:val="24"/>
          <w:szCs w:val="24"/>
          <w:highlight w:val="none"/>
        </w:rPr>
        <w:t>．招标代理服务费</w:t>
      </w:r>
    </w:p>
    <w:p w14:paraId="3D8FD167">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3</w:t>
      </w:r>
      <w:r>
        <w:rPr>
          <w:rFonts w:ascii="宋体" w:hAnsi="宋体" w:eastAsia="宋体"/>
          <w:color w:val="000000" w:themeColor="text1"/>
          <w:sz w:val="24"/>
          <w:szCs w:val="24"/>
          <w:highlight w:val="none"/>
        </w:rPr>
        <w:t>1</w:t>
      </w:r>
      <w:r>
        <w:rPr>
          <w:rFonts w:hint="eastAsia" w:ascii="宋体" w:hAnsi="宋体" w:eastAsia="宋体"/>
          <w:color w:val="000000" w:themeColor="text1"/>
          <w:sz w:val="24"/>
          <w:szCs w:val="24"/>
          <w:highlight w:val="none"/>
        </w:rPr>
        <w:t>.1中标单位向陕西中经招标有限公司一次性支付招标代理服务费。</w:t>
      </w:r>
    </w:p>
    <w:p w14:paraId="5161301D">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3</w:t>
      </w:r>
      <w:r>
        <w:rPr>
          <w:rFonts w:ascii="宋体" w:hAnsi="宋体" w:eastAsia="宋体"/>
          <w:color w:val="000000" w:themeColor="text1"/>
          <w:sz w:val="24"/>
          <w:szCs w:val="24"/>
          <w:highlight w:val="none"/>
        </w:rPr>
        <w:t>1</w:t>
      </w:r>
      <w:r>
        <w:rPr>
          <w:rFonts w:hint="eastAsia" w:ascii="宋体" w:hAnsi="宋体" w:eastAsia="宋体"/>
          <w:color w:val="000000" w:themeColor="text1"/>
          <w:sz w:val="24"/>
          <w:szCs w:val="24"/>
          <w:highlight w:val="none"/>
        </w:rPr>
        <w:t>.2招标代理服务费的金额见前附表。</w:t>
      </w:r>
    </w:p>
    <w:p w14:paraId="187F9E42">
      <w:pPr>
        <w:widowControl/>
        <w:spacing w:line="360" w:lineRule="auto"/>
        <w:jc w:val="left"/>
        <w:rPr>
          <w:rFonts w:ascii="宋体" w:hAnsi="宋体" w:eastAsia="宋体" w:cs="宋体"/>
          <w:color w:val="000000" w:themeColor="text1"/>
          <w:kern w:val="0"/>
          <w:sz w:val="24"/>
          <w:szCs w:val="24"/>
          <w:highlight w:val="none"/>
        </w:rPr>
      </w:pPr>
      <w:r>
        <w:rPr>
          <w:rFonts w:hint="eastAsia" w:ascii="宋体" w:hAnsi="宋体" w:eastAsia="宋体" w:cs="宋体"/>
          <w:b/>
          <w:bCs/>
          <w:color w:val="000000" w:themeColor="text1"/>
          <w:kern w:val="0"/>
          <w:sz w:val="24"/>
          <w:szCs w:val="24"/>
          <w:highlight w:val="none"/>
        </w:rPr>
        <w:t>3</w:t>
      </w:r>
      <w:r>
        <w:rPr>
          <w:rFonts w:ascii="宋体" w:hAnsi="宋体" w:eastAsia="宋体" w:cs="宋体"/>
          <w:b/>
          <w:bCs/>
          <w:color w:val="000000" w:themeColor="text1"/>
          <w:kern w:val="0"/>
          <w:sz w:val="24"/>
          <w:szCs w:val="24"/>
          <w:highlight w:val="none"/>
        </w:rPr>
        <w:t>2</w:t>
      </w:r>
      <w:r>
        <w:rPr>
          <w:rFonts w:hint="eastAsia" w:ascii="宋体" w:hAnsi="宋体" w:eastAsia="宋体" w:cs="宋体"/>
          <w:b/>
          <w:bCs/>
          <w:color w:val="000000" w:themeColor="text1"/>
          <w:kern w:val="0"/>
          <w:sz w:val="24"/>
          <w:szCs w:val="24"/>
          <w:highlight w:val="none"/>
        </w:rPr>
        <w:t>.废标与采购方式的变更</w:t>
      </w:r>
    </w:p>
    <w:p w14:paraId="72E6F5A8">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3</w:t>
      </w:r>
      <w:r>
        <w:rPr>
          <w:rFonts w:ascii="宋体" w:hAnsi="宋体" w:eastAsia="宋体"/>
          <w:color w:val="000000" w:themeColor="text1"/>
          <w:sz w:val="24"/>
          <w:szCs w:val="24"/>
          <w:highlight w:val="none"/>
        </w:rPr>
        <w:t>2</w:t>
      </w:r>
      <w:r>
        <w:rPr>
          <w:rFonts w:hint="eastAsia" w:ascii="宋体" w:hAnsi="宋体" w:eastAsia="宋体"/>
          <w:color w:val="000000" w:themeColor="text1"/>
          <w:sz w:val="24"/>
          <w:szCs w:val="24"/>
          <w:highlight w:val="none"/>
        </w:rPr>
        <w:t>.1在招标采购中，出现下列情形之一的，应予废标：</w:t>
      </w:r>
    </w:p>
    <w:p w14:paraId="216B2A44">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（一）符合专业条件的供应商或者对招标文件作实质响应的供应商不足三家的；</w:t>
      </w:r>
    </w:p>
    <w:p w14:paraId="27412C7A">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（二）出现影响采购公正的违法、违规行为的；</w:t>
      </w:r>
    </w:p>
    <w:p w14:paraId="0A53F986">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（三）投标人的报价均超过了采购预算，采购人不能支付的；</w:t>
      </w:r>
    </w:p>
    <w:p w14:paraId="52983BCE">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（四）因重大变故，采购任务取消的。</w:t>
      </w:r>
    </w:p>
    <w:p w14:paraId="353B3B88">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3</w:t>
      </w:r>
      <w:r>
        <w:rPr>
          <w:rFonts w:ascii="宋体" w:hAnsi="宋体" w:eastAsia="宋体"/>
          <w:color w:val="000000" w:themeColor="text1"/>
          <w:sz w:val="24"/>
          <w:szCs w:val="24"/>
          <w:highlight w:val="none"/>
        </w:rPr>
        <w:t>2</w:t>
      </w:r>
      <w:r>
        <w:rPr>
          <w:rFonts w:hint="eastAsia" w:ascii="宋体" w:hAnsi="宋体" w:eastAsia="宋体"/>
          <w:color w:val="000000" w:themeColor="text1"/>
          <w:sz w:val="24"/>
          <w:szCs w:val="24"/>
          <w:highlight w:val="none"/>
        </w:rPr>
        <w:t>.2废标后，除采购任务取消情形外，按照以下方式处理：</w:t>
      </w:r>
    </w:p>
    <w:p w14:paraId="3C67A740">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（一）招标文件存在不合理条款或者招标程序不符合规定的，采购人、采购代理机构改正后依法重新招标；</w:t>
      </w:r>
    </w:p>
    <w:p w14:paraId="6F8809BB">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（二）招标文件没有不合理条款、招标程序符合规定，需要重新招标的，依法重新招标；需要采用其他采购方式采购的，采购人应当依法报财政部门批准。</w:t>
      </w:r>
    </w:p>
    <w:p w14:paraId="50EA2FB6">
      <w:pPr>
        <w:widowControl/>
        <w:spacing w:line="360" w:lineRule="auto"/>
        <w:jc w:val="left"/>
        <w:rPr>
          <w:rFonts w:ascii="宋体" w:hAnsi="宋体" w:eastAsia="宋体" w:cs="宋体"/>
          <w:color w:val="000000" w:themeColor="text1"/>
          <w:kern w:val="0"/>
          <w:sz w:val="24"/>
          <w:szCs w:val="24"/>
          <w:highlight w:val="none"/>
        </w:rPr>
      </w:pPr>
      <w:r>
        <w:rPr>
          <w:rFonts w:hint="eastAsia" w:ascii="宋体" w:hAnsi="宋体" w:eastAsia="宋体" w:cs="宋体"/>
          <w:b/>
          <w:bCs/>
          <w:color w:val="000000" w:themeColor="text1"/>
          <w:kern w:val="0"/>
          <w:sz w:val="24"/>
          <w:szCs w:val="24"/>
          <w:highlight w:val="none"/>
        </w:rPr>
        <w:t>3</w:t>
      </w:r>
      <w:r>
        <w:rPr>
          <w:rFonts w:ascii="宋体" w:hAnsi="宋体" w:eastAsia="宋体" w:cs="宋体"/>
          <w:b/>
          <w:bCs/>
          <w:color w:val="000000" w:themeColor="text1"/>
          <w:kern w:val="0"/>
          <w:sz w:val="24"/>
          <w:szCs w:val="24"/>
          <w:highlight w:val="none"/>
        </w:rPr>
        <w:t>3</w:t>
      </w:r>
      <w:r>
        <w:rPr>
          <w:rFonts w:hint="eastAsia" w:ascii="宋体" w:hAnsi="宋体" w:eastAsia="宋体" w:cs="宋体"/>
          <w:b/>
          <w:bCs/>
          <w:color w:val="000000" w:themeColor="text1"/>
          <w:kern w:val="0"/>
          <w:sz w:val="24"/>
          <w:szCs w:val="24"/>
          <w:highlight w:val="none"/>
        </w:rPr>
        <w:t>.其它</w:t>
      </w:r>
    </w:p>
    <w:p w14:paraId="43353ECC">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w:t>
      </w:r>
    </w:p>
    <w:p w14:paraId="6CB6DE3D">
      <w:pPr>
        <w:widowControl/>
        <w:jc w:val="left"/>
        <w:rPr>
          <w:rFonts w:ascii="宋体" w:hAnsi="宋体" w:eastAsia="宋体"/>
          <w:color w:val="000000" w:themeColor="text1"/>
          <w:sz w:val="24"/>
          <w:szCs w:val="24"/>
          <w:highlight w:val="none"/>
        </w:rPr>
      </w:pPr>
      <w:r>
        <w:rPr>
          <w:rFonts w:ascii="宋体" w:hAnsi="宋体" w:eastAsia="宋体"/>
          <w:color w:val="000000" w:themeColor="text1"/>
          <w:sz w:val="24"/>
          <w:szCs w:val="24"/>
          <w:highlight w:val="none"/>
        </w:rPr>
        <w:br w:type="page"/>
      </w:r>
    </w:p>
    <w:p w14:paraId="3E78CAF6">
      <w:pPr>
        <w:widowControl/>
        <w:spacing w:line="360" w:lineRule="auto"/>
        <w:jc w:val="left"/>
        <w:rPr>
          <w:rFonts w:ascii="宋体" w:hAnsi="宋体" w:eastAsia="宋体" w:cs="宋体"/>
          <w:color w:val="000000" w:themeColor="text1"/>
          <w:kern w:val="0"/>
          <w:sz w:val="24"/>
          <w:szCs w:val="24"/>
          <w:highlight w:val="none"/>
        </w:rPr>
      </w:pPr>
    </w:p>
    <w:p w14:paraId="3B0F227F">
      <w:pPr>
        <w:pStyle w:val="27"/>
        <w:rPr>
          <w:rFonts w:ascii="宋体" w:hAnsi="宋体" w:eastAsia="宋体"/>
          <w:color w:val="000000" w:themeColor="text1"/>
          <w:highlight w:val="none"/>
        </w:rPr>
      </w:pPr>
      <w:bookmarkStart w:id="40" w:name="_Toc211442735"/>
      <w:r>
        <w:rPr>
          <w:rFonts w:hint="eastAsia" w:ascii="宋体" w:hAnsi="宋体" w:eastAsia="宋体"/>
          <w:color w:val="000000" w:themeColor="text1"/>
          <w:highlight w:val="none"/>
        </w:rPr>
        <w:t xml:space="preserve">第三章 </w:t>
      </w:r>
      <w:r>
        <w:rPr>
          <w:rFonts w:ascii="宋体" w:hAnsi="宋体" w:eastAsia="宋体"/>
          <w:color w:val="000000" w:themeColor="text1"/>
          <w:highlight w:val="none"/>
        </w:rPr>
        <w:t xml:space="preserve"> </w:t>
      </w:r>
      <w:r>
        <w:rPr>
          <w:rFonts w:hint="eastAsia" w:ascii="宋体" w:hAnsi="宋体" w:eastAsia="宋体"/>
          <w:color w:val="000000" w:themeColor="text1"/>
          <w:highlight w:val="none"/>
        </w:rPr>
        <w:t>合同通用条款</w:t>
      </w:r>
      <w:bookmarkEnd w:id="40"/>
    </w:p>
    <w:p w14:paraId="4EAB47E4">
      <w:pPr>
        <w:widowControl/>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1.定义</w:t>
      </w:r>
    </w:p>
    <w:p w14:paraId="1BF1C2EF">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本合同下列术语应解释为：</w:t>
      </w:r>
    </w:p>
    <w:p w14:paraId="24CFFAC8">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1.1“合同”系指买卖双方签署的、合同格式中载明的买卖双方所达成的协议,包括所有的附件、附录和上述文件所提到的构成合同的所有文件。</w:t>
      </w:r>
    </w:p>
    <w:p w14:paraId="59D487B9">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1.2“合同价”系指根据本合同规定，卖方在正确地完全履行合同义务后买方应支付给卖方的价格。</w:t>
      </w:r>
    </w:p>
    <w:p w14:paraId="49679F78">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1.3“货物”系指根据合同规定，卖方提供的货物标的。</w:t>
      </w:r>
    </w:p>
    <w:p w14:paraId="275DA193">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1.4“合同条款”系指本合同条款。</w:t>
      </w:r>
    </w:p>
    <w:p w14:paraId="4E0C5C38">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1.5“买方”系指在合同专用条款中指明的购买货物和服务的单位。</w:t>
      </w:r>
    </w:p>
    <w:p w14:paraId="4B3AA5B0">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1.6“卖方”系指签署本合同，提供本合同项下货物和服务的单位。</w:t>
      </w:r>
    </w:p>
    <w:p w14:paraId="23F32682">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1.7“交货地点”系指本合同(包括附件)指明的提供货物及相关服务的地点。</w:t>
      </w:r>
    </w:p>
    <w:p w14:paraId="42190D56">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1.8“天”指日历天数。</w:t>
      </w:r>
    </w:p>
    <w:p w14:paraId="56217A5A">
      <w:pPr>
        <w:widowControl/>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2.货物要求</w:t>
      </w:r>
    </w:p>
    <w:p w14:paraId="5D5FADED">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2.1卖方提供货物应与本合同所指明的货物(包括合同附件)相一致。</w:t>
      </w:r>
    </w:p>
    <w:p w14:paraId="3AA05821">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2.2见合同专用条款。</w:t>
      </w:r>
    </w:p>
    <w:p w14:paraId="3461CD92">
      <w:pPr>
        <w:widowControl/>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3.专利权</w:t>
      </w:r>
    </w:p>
    <w:p w14:paraId="27181CE0">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3.1卖方应保证买方在使用该服务或其任何一部分时免受第三方提出侵犯其专利权·商标权、工业设计权或其他知识产权的起诉。</w:t>
      </w:r>
    </w:p>
    <w:p w14:paraId="6318981D">
      <w:pPr>
        <w:widowControl/>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4.交货地点和交货期限</w:t>
      </w:r>
    </w:p>
    <w:p w14:paraId="4190691A">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4.1见合同专用条款。</w:t>
      </w:r>
    </w:p>
    <w:p w14:paraId="5C1CD8BE">
      <w:pPr>
        <w:widowControl/>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5.保险</w:t>
      </w:r>
    </w:p>
    <w:p w14:paraId="59B3EA1B">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5.1卖方应为所提供服务的人员等购买保险。</w:t>
      </w:r>
    </w:p>
    <w:p w14:paraId="6628FC07">
      <w:pPr>
        <w:widowControl/>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6.付款</w:t>
      </w:r>
    </w:p>
    <w:p w14:paraId="4D5979CD">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6.1本合同以人民币付款。</w:t>
      </w:r>
    </w:p>
    <w:p w14:paraId="7CA27E77">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6.2卖方应按照双方签订的合同规定提供货物,交货完成由买方验收合格并出具验收书后，连同合同一并送政府采购管理部门办理结算。</w:t>
      </w:r>
    </w:p>
    <w:p w14:paraId="00DAA900">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6.3见合同专用条款。</w:t>
      </w:r>
    </w:p>
    <w:p w14:paraId="5F920B96">
      <w:pPr>
        <w:widowControl/>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7.质量保证及索赔</w:t>
      </w:r>
    </w:p>
    <w:p w14:paraId="00D3683E">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7.1卖方应保证所供货物完全符合合同规定的要求。</w:t>
      </w:r>
    </w:p>
    <w:p w14:paraId="4952BCEF">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7.2在货物验收时，如果货物与合同有任何一项不符，买方应尽快以书面形式向卖方提出索赔。同时应向政府采购管理部门报告。</w:t>
      </w:r>
    </w:p>
    <w:p w14:paraId="0626EF53">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7.3卖方在收到买方的通知后，应及时纠正。具体响应时限见专用合同条款。</w:t>
      </w:r>
    </w:p>
    <w:p w14:paraId="1EB80192">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7.4如果卖方在收到通知后，没有在上述专用合同条款中规定的时限内及时纠正和弥补，买方可采取必要的补救措施，但其风险和费用将由卖方承担，买方根据合同规定对卖方行使的其它权力不受影响。买方亦可从合同款和卖方履约保证金中（如有）扣回索赔金额。</w:t>
      </w:r>
    </w:p>
    <w:p w14:paraId="1420FD48">
      <w:pPr>
        <w:widowControl/>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8.检验和验收</w:t>
      </w:r>
    </w:p>
    <w:p w14:paraId="50A17252">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8.1在完成所有标的的供货前，供应商应对货物的内容、实施的效果等进行准确而全面的检验，并出具相关证明文件。</w:t>
      </w:r>
    </w:p>
    <w:p w14:paraId="5CAB9259">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8.2货物验收标准，由采购单位根据合同规定的标准要求进行验收，并出具验收书。验收书应当包括履约情况。</w:t>
      </w:r>
    </w:p>
    <w:p w14:paraId="3D1A4303">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8.3履约验收方案以合同约定为准。</w:t>
      </w:r>
    </w:p>
    <w:p w14:paraId="3389AC66">
      <w:pPr>
        <w:widowControl/>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9.违约责任卖方履约延误</w:t>
      </w:r>
    </w:p>
    <w:p w14:paraId="43A78485">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9.1合同一方不履行合同义务、履行合同义务不符合约定或者违反合同项下所作保证的，应向对方承担继续履行、采取修理、更换、退货等补救措施或者赔偿损失等违约责任。</w:t>
      </w:r>
    </w:p>
    <w:p w14:paraId="0C93B664">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9.2如卖方事先未征得买方同意并得到买方的谅解而单方面延迟提供货物的情况，将按违约终止合同。</w:t>
      </w:r>
    </w:p>
    <w:p w14:paraId="19C8C62A">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9.3在履行合同过程中，如果卖方遇到可能妨碍按时提供货物的情况，应及时以书面形式将拖延的事实,可能拖延的期限和理由通知买方。买方在收到卖方通知后，应尽快对情况进行评价，并确定是否通过修改合同，酌情延长供货期限或对卖方加收误期赔偿金。误期赔偿金以每周0.5%计。</w:t>
      </w:r>
    </w:p>
    <w:p w14:paraId="4666F6B3">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9.4签约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等。</w:t>
      </w:r>
    </w:p>
    <w:p w14:paraId="771308C4">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9.5受影响一方应在不可抗力事件发生后尽快用书面形式通知对方，并于不可抗力事件发生后十四（14）天内将有关当局出具的证明文件用特快专递或挂号信寄给对方审阅确认。</w:t>
      </w:r>
    </w:p>
    <w:p w14:paraId="30443BF1">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9.6因合同一方迟延履行合同后发生不可抗力的，不能免除迟延履行方的相应责任。</w:t>
      </w:r>
    </w:p>
    <w:p w14:paraId="44BC6664">
      <w:pPr>
        <w:widowControl/>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10.违约终止合同</w:t>
      </w:r>
    </w:p>
    <w:p w14:paraId="0AB0DC01">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10.1在卖方违约的情况下，买方报告政府采购管理部门后，有权终止合同，并依法向卖方进行索赔。</w:t>
      </w:r>
    </w:p>
    <w:p w14:paraId="3DF4C564">
      <w:pPr>
        <w:widowControl/>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11.争议的解决</w:t>
      </w:r>
    </w:p>
    <w:p w14:paraId="72455B8D">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11.1因执行本合同所发生的或与本合同有关的一切争议,双方应通过友好协商解决。如果协商开始后六十（60）天还不能解决，任何一方均可按中华人民共和国有关法律的规定提交仲裁。仲裁地点见“合同专用条款”。</w:t>
      </w:r>
    </w:p>
    <w:p w14:paraId="69D62256">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11.2仲裁裁决应为最终裁决，对双方均具有约束力。</w:t>
      </w:r>
    </w:p>
    <w:p w14:paraId="56F02FA8">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11.3仲裁费除仲裁机关另有裁决外均应由败诉方负担。</w:t>
      </w:r>
    </w:p>
    <w:p w14:paraId="576127E1">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11.4在仲裁期间，除正在进行仲裁的部分外，本合同其它部分应继续执行。</w:t>
      </w:r>
    </w:p>
    <w:p w14:paraId="4543D980">
      <w:pPr>
        <w:widowControl/>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12.适用法律</w:t>
      </w:r>
    </w:p>
    <w:p w14:paraId="56FBD984">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12.1本合同应按照中华人民共和国的现行法律进行解释。</w:t>
      </w:r>
    </w:p>
    <w:p w14:paraId="16D48AE0">
      <w:pPr>
        <w:widowControl/>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13.合同生效及其它</w:t>
      </w:r>
    </w:p>
    <w:p w14:paraId="72E078C1">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13.1本合同在买卖双方签字、盖章之后生效。</w:t>
      </w:r>
    </w:p>
    <w:p w14:paraId="28858BF6">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13.2本合同正本一式二份，副本一式五份，均以中文书写。买方执正本一份、副本二份；卖方执正本一份，副本一份；政府采购管理部门备案副本一份；代理机构副本一份。</w:t>
      </w:r>
    </w:p>
    <w:p w14:paraId="26571BFC">
      <w:pPr>
        <w:widowControl/>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14.合同修改</w:t>
      </w:r>
    </w:p>
    <w:p w14:paraId="76D94E30">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14.1本合同在执行过程中，如提出修改，须报政府采购管理部门同意后，由买、卖双方签署书面修改协议，并成为本合同不可分割的一部分。除此之外，本合同的条件不得有任何变化或修改。</w:t>
      </w:r>
    </w:p>
    <w:p w14:paraId="099977C2">
      <w:pPr>
        <w:widowControl/>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15.合同附件</w:t>
      </w:r>
    </w:p>
    <w:p w14:paraId="5F940BBE">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15.1本合同所有附件是本合同不可分割的部分,与主合同具有同等法律效力。</w:t>
      </w:r>
    </w:p>
    <w:p w14:paraId="4D934FB0">
      <w:pPr>
        <w:widowControl/>
        <w:jc w:val="left"/>
        <w:rPr>
          <w:rFonts w:ascii="宋体" w:hAnsi="宋体" w:eastAsia="宋体"/>
          <w:color w:val="000000" w:themeColor="text1"/>
          <w:sz w:val="24"/>
          <w:szCs w:val="24"/>
          <w:highlight w:val="none"/>
        </w:rPr>
      </w:pPr>
      <w:r>
        <w:rPr>
          <w:rFonts w:ascii="宋体" w:hAnsi="宋体" w:eastAsia="宋体"/>
          <w:color w:val="000000" w:themeColor="text1"/>
          <w:sz w:val="24"/>
          <w:szCs w:val="24"/>
          <w:highlight w:val="none"/>
        </w:rPr>
        <w:br w:type="page"/>
      </w:r>
    </w:p>
    <w:p w14:paraId="276500B6">
      <w:pPr>
        <w:widowControl/>
        <w:spacing w:line="360" w:lineRule="auto"/>
        <w:jc w:val="left"/>
        <w:rPr>
          <w:rFonts w:ascii="宋体" w:hAnsi="宋体" w:eastAsia="宋体"/>
          <w:color w:val="000000" w:themeColor="text1"/>
          <w:sz w:val="24"/>
          <w:szCs w:val="24"/>
          <w:highlight w:val="none"/>
        </w:rPr>
      </w:pPr>
    </w:p>
    <w:p w14:paraId="68D8FD90">
      <w:pPr>
        <w:pStyle w:val="27"/>
        <w:rPr>
          <w:rFonts w:ascii="宋体" w:hAnsi="宋体" w:eastAsia="宋体"/>
          <w:color w:val="000000" w:themeColor="text1"/>
          <w:highlight w:val="none"/>
        </w:rPr>
      </w:pPr>
      <w:bookmarkStart w:id="41" w:name="_Toc211442736"/>
      <w:r>
        <w:rPr>
          <w:rFonts w:hint="eastAsia" w:ascii="宋体" w:hAnsi="宋体" w:eastAsia="宋体"/>
          <w:color w:val="000000" w:themeColor="text1"/>
          <w:highlight w:val="none"/>
        </w:rPr>
        <w:t xml:space="preserve">第四章 </w:t>
      </w:r>
      <w:r>
        <w:rPr>
          <w:rFonts w:ascii="宋体" w:hAnsi="宋体" w:eastAsia="宋体"/>
          <w:color w:val="000000" w:themeColor="text1"/>
          <w:highlight w:val="none"/>
        </w:rPr>
        <w:t xml:space="preserve"> </w:t>
      </w:r>
      <w:r>
        <w:rPr>
          <w:rFonts w:hint="eastAsia" w:ascii="宋体" w:hAnsi="宋体" w:eastAsia="宋体"/>
          <w:color w:val="000000" w:themeColor="text1"/>
          <w:highlight w:val="none"/>
        </w:rPr>
        <w:t>合同专用条款</w:t>
      </w:r>
      <w:bookmarkEnd w:id="41"/>
    </w:p>
    <w:p w14:paraId="67846709">
      <w:pPr>
        <w:widowControl/>
        <w:spacing w:line="360" w:lineRule="auto"/>
        <w:jc w:val="left"/>
        <w:rPr>
          <w:rFonts w:ascii="宋体" w:hAnsi="宋体" w:eastAsia="宋体"/>
          <w:color w:val="000000" w:themeColor="text1"/>
          <w:sz w:val="24"/>
          <w:szCs w:val="24"/>
          <w:highlight w:val="none"/>
        </w:rPr>
      </w:pPr>
    </w:p>
    <w:p w14:paraId="5D71A96C">
      <w:pPr>
        <w:widowControl/>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本表是对《合同通用条款》的具体补充和修改，如有矛盾，应以本表为准。</w:t>
      </w:r>
    </w:p>
    <w:tbl>
      <w:tblPr>
        <w:tblStyle w:val="30"/>
        <w:tblW w:w="90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55"/>
        <w:gridCol w:w="7512"/>
      </w:tblGrid>
      <w:tr w14:paraId="000280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55" w:type="dxa"/>
            <w:vAlign w:val="center"/>
          </w:tcPr>
          <w:p w14:paraId="6C7D7650">
            <w:pPr>
              <w:widowControl/>
              <w:spacing w:line="360" w:lineRule="auto"/>
              <w:jc w:val="center"/>
              <w:rPr>
                <w:rFonts w:ascii="宋体" w:hAnsi="宋体" w:eastAsia="宋体"/>
                <w:b/>
                <w:color w:val="000000" w:themeColor="text1"/>
                <w:sz w:val="24"/>
                <w:szCs w:val="24"/>
                <w:highlight w:val="none"/>
              </w:rPr>
            </w:pPr>
            <w:r>
              <w:rPr>
                <w:rFonts w:hint="eastAsia" w:ascii="宋体" w:hAnsi="宋体" w:eastAsia="宋体"/>
                <w:b/>
                <w:color w:val="000000" w:themeColor="text1"/>
                <w:sz w:val="24"/>
                <w:szCs w:val="24"/>
                <w:highlight w:val="none"/>
              </w:rPr>
              <w:t>条款号</w:t>
            </w:r>
          </w:p>
        </w:tc>
        <w:tc>
          <w:tcPr>
            <w:tcW w:w="7512" w:type="dxa"/>
            <w:vAlign w:val="center"/>
          </w:tcPr>
          <w:p w14:paraId="2430D25A">
            <w:pPr>
              <w:widowControl/>
              <w:spacing w:line="360" w:lineRule="auto"/>
              <w:jc w:val="center"/>
              <w:rPr>
                <w:rFonts w:ascii="宋体" w:hAnsi="宋体" w:eastAsia="宋体"/>
                <w:color w:val="000000" w:themeColor="text1"/>
                <w:sz w:val="24"/>
                <w:szCs w:val="24"/>
                <w:highlight w:val="none"/>
              </w:rPr>
            </w:pPr>
            <w:r>
              <w:rPr>
                <w:rFonts w:hint="eastAsia" w:ascii="宋体" w:hAnsi="宋体" w:eastAsia="宋体"/>
                <w:b/>
                <w:bCs/>
                <w:color w:val="000000" w:themeColor="text1"/>
                <w:sz w:val="24"/>
                <w:szCs w:val="24"/>
                <w:highlight w:val="none"/>
              </w:rPr>
              <w:t>内容</w:t>
            </w:r>
          </w:p>
        </w:tc>
      </w:tr>
      <w:tr w14:paraId="665F91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vAlign w:val="center"/>
          </w:tcPr>
          <w:p w14:paraId="7B12B046">
            <w:pPr>
              <w:widowControl/>
              <w:spacing w:line="360" w:lineRule="auto"/>
              <w:jc w:val="center"/>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1.5</w:t>
            </w:r>
          </w:p>
        </w:tc>
        <w:tc>
          <w:tcPr>
            <w:tcW w:w="7512" w:type="dxa"/>
            <w:vAlign w:val="center"/>
          </w:tcPr>
          <w:p w14:paraId="17015BCE">
            <w:pPr>
              <w:spacing w:line="360" w:lineRule="auto"/>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采购人：宝鸡市地震局</w:t>
            </w:r>
          </w:p>
          <w:p w14:paraId="2A2B9E2B">
            <w:pPr>
              <w:spacing w:line="360" w:lineRule="auto"/>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地址：宝鸡市宝虢路125号行政中心2号楼</w:t>
            </w:r>
          </w:p>
        </w:tc>
      </w:tr>
      <w:tr w14:paraId="5776DB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vAlign w:val="center"/>
          </w:tcPr>
          <w:p w14:paraId="7B50E546">
            <w:pPr>
              <w:widowControl/>
              <w:spacing w:line="360" w:lineRule="auto"/>
              <w:jc w:val="center"/>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2</w:t>
            </w:r>
          </w:p>
        </w:tc>
        <w:tc>
          <w:tcPr>
            <w:tcW w:w="7512" w:type="dxa"/>
            <w:vAlign w:val="center"/>
          </w:tcPr>
          <w:p w14:paraId="6978B9A5">
            <w:pPr>
              <w:widowControl/>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货物要求：详见“第七章招标内容及技术要求”</w:t>
            </w:r>
          </w:p>
        </w:tc>
      </w:tr>
      <w:tr w14:paraId="74525A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vAlign w:val="center"/>
          </w:tcPr>
          <w:p w14:paraId="05D5D1BE">
            <w:pPr>
              <w:widowControl/>
              <w:spacing w:line="360" w:lineRule="auto"/>
              <w:jc w:val="center"/>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4</w:t>
            </w:r>
          </w:p>
        </w:tc>
        <w:tc>
          <w:tcPr>
            <w:tcW w:w="7512" w:type="dxa"/>
            <w:vAlign w:val="center"/>
          </w:tcPr>
          <w:p w14:paraId="76DC1659">
            <w:pPr>
              <w:widowControl/>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工期：</w:t>
            </w:r>
            <w:r>
              <w:rPr>
                <w:rFonts w:ascii="宋体" w:hAnsi="宋体" w:eastAsia="宋体"/>
                <w:color w:val="000000" w:themeColor="text1"/>
                <w:sz w:val="24"/>
                <w:szCs w:val="24"/>
                <w:highlight w:val="none"/>
              </w:rPr>
              <w:t>100日历天（合同签订后60日历天内完成全部设备的现场安装；安装完成后10日历天内完成集成、测试等，达到信息公开发布条件；完成测试、集成后，试运行30日历天，系统正常,项目达到正式验收条件。）</w:t>
            </w:r>
          </w:p>
        </w:tc>
      </w:tr>
      <w:tr w14:paraId="11E72A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vAlign w:val="center"/>
          </w:tcPr>
          <w:p w14:paraId="166AB2F8">
            <w:pPr>
              <w:widowControl/>
              <w:spacing w:line="360" w:lineRule="auto"/>
              <w:jc w:val="center"/>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6</w:t>
            </w:r>
          </w:p>
        </w:tc>
        <w:tc>
          <w:tcPr>
            <w:tcW w:w="7512" w:type="dxa"/>
            <w:vAlign w:val="center"/>
          </w:tcPr>
          <w:p w14:paraId="166092A9">
            <w:pPr>
              <w:widowControl/>
              <w:spacing w:line="360" w:lineRule="auto"/>
              <w:jc w:val="left"/>
              <w:rPr>
                <w:rFonts w:ascii="宋体" w:hAnsi="宋体" w:eastAsia="宋体"/>
                <w:color w:val="000000" w:themeColor="text1"/>
                <w:sz w:val="24"/>
                <w:szCs w:val="24"/>
                <w:highlight w:val="none"/>
              </w:rPr>
            </w:pPr>
            <w:r>
              <w:rPr>
                <w:rFonts w:hint="eastAsia" w:ascii="宋体" w:hAnsi="宋体" w:eastAsia="宋体" w:cs="Times New Roman"/>
                <w:color w:val="000000" w:themeColor="text1"/>
                <w:sz w:val="24"/>
                <w:szCs w:val="24"/>
                <w:highlight w:val="none"/>
              </w:rPr>
              <w:t>付款方式：合同签订后10个工作日内支付合同总价款的40%作为预付款，本项目所有产品完成安装、集成、测试后10个工作日内支付合同总价款的40%，经采购方验收合格后</w:t>
            </w:r>
            <w:r>
              <w:rPr>
                <w:rFonts w:ascii="宋体" w:hAnsi="宋体" w:eastAsia="宋体" w:cs="Times New Roman"/>
                <w:color w:val="000000" w:themeColor="text1"/>
                <w:sz w:val="24"/>
                <w:szCs w:val="24"/>
                <w:highlight w:val="none"/>
              </w:rPr>
              <w:t>3</w:t>
            </w:r>
            <w:r>
              <w:rPr>
                <w:rFonts w:hint="eastAsia" w:ascii="宋体" w:hAnsi="宋体" w:eastAsia="宋体" w:cs="Times New Roman"/>
                <w:color w:val="000000" w:themeColor="text1"/>
                <w:sz w:val="24"/>
                <w:szCs w:val="24"/>
                <w:highlight w:val="none"/>
              </w:rPr>
              <w:t>0个工作日内支付剩余价款（根据终端数量据实结算）。</w:t>
            </w:r>
          </w:p>
        </w:tc>
      </w:tr>
      <w:tr w14:paraId="09C712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vAlign w:val="center"/>
          </w:tcPr>
          <w:p w14:paraId="6C590053">
            <w:pPr>
              <w:widowControl/>
              <w:spacing w:line="360" w:lineRule="auto"/>
              <w:jc w:val="center"/>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7</w:t>
            </w:r>
          </w:p>
        </w:tc>
        <w:tc>
          <w:tcPr>
            <w:tcW w:w="7512" w:type="dxa"/>
            <w:vAlign w:val="center"/>
          </w:tcPr>
          <w:p w14:paraId="2D6E4F76">
            <w:pPr>
              <w:widowControl/>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质量保证：</w:t>
            </w:r>
          </w:p>
          <w:p w14:paraId="7BEB3D80">
            <w:pPr>
              <w:widowControl/>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（1）质保期：自项目验收完毕之日起，中标人提供至少</w:t>
            </w:r>
            <w:r>
              <w:rPr>
                <w:rFonts w:ascii="宋体" w:hAnsi="宋体" w:eastAsia="宋体"/>
                <w:color w:val="000000" w:themeColor="text1"/>
                <w:sz w:val="24"/>
                <w:szCs w:val="24"/>
                <w:highlight w:val="none"/>
              </w:rPr>
              <w:t>1年质保服务并顺延至自然年末（含终端设备3年通信服务费），保证采购合同执行完毕后继续提供设备及设施维修服务。中标人还应保证在采购合同执行完毕后继续免费提供有关设备技术升级的所有资料。</w:t>
            </w:r>
            <w:bookmarkStart w:id="42" w:name="OLE_LINK27"/>
            <w:bookmarkStart w:id="43" w:name="OLE_LINK26"/>
          </w:p>
          <w:p w14:paraId="383FFC84">
            <w:pPr>
              <w:widowControl/>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（2）</w:t>
            </w:r>
            <w:bookmarkEnd w:id="42"/>
            <w:bookmarkEnd w:id="43"/>
            <w:r>
              <w:rPr>
                <w:rFonts w:ascii="宋体" w:hAnsi="宋体" w:eastAsia="宋体"/>
                <w:color w:val="000000" w:themeColor="text1"/>
                <w:sz w:val="24"/>
                <w:szCs w:val="24"/>
                <w:highlight w:val="none"/>
              </w:rPr>
              <w:t>地震预警终端和地震烈度速报系统软件终身免费升级，地震烈度速报系统数据服务不少于5年，工作站3年软件免费升级。</w:t>
            </w:r>
          </w:p>
        </w:tc>
      </w:tr>
      <w:tr w14:paraId="73AF79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vAlign w:val="center"/>
          </w:tcPr>
          <w:p w14:paraId="3526E51B">
            <w:pPr>
              <w:widowControl/>
              <w:spacing w:line="360" w:lineRule="auto"/>
              <w:jc w:val="center"/>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8</w:t>
            </w:r>
            <w:r>
              <w:rPr>
                <w:rFonts w:ascii="宋体" w:hAnsi="宋体" w:eastAsia="宋体"/>
                <w:color w:val="000000" w:themeColor="text1"/>
                <w:sz w:val="24"/>
                <w:szCs w:val="24"/>
                <w:highlight w:val="none"/>
              </w:rPr>
              <w:t>.3</w:t>
            </w:r>
          </w:p>
        </w:tc>
        <w:tc>
          <w:tcPr>
            <w:tcW w:w="7512" w:type="dxa"/>
            <w:vAlign w:val="center"/>
          </w:tcPr>
          <w:p w14:paraId="30300DBC">
            <w:pPr>
              <w:widowControl/>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验收方式及验收依据：</w:t>
            </w:r>
          </w:p>
          <w:p w14:paraId="3E8B9F5E">
            <w:pPr>
              <w:widowControl/>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1.由甲方指定的监理单位组织相关人员对系统项目进行初步验收，验收标准以合同及采购人要求、乙方技术方案和需求确认单、项目实施、培训与服务方案为准。</w:t>
            </w:r>
          </w:p>
          <w:p w14:paraId="0D6DAA39">
            <w:pPr>
              <w:widowControl/>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2.联网测试完成后，由甲方组织相关人员对系统项目进行全面验收，验收以采购人要求、乙方技术方案和需求确认单、项目实施、培训与服务方案以及试运行过程中为适应甲方用户需求而作修改生成的技术文档为准。</w:t>
            </w:r>
          </w:p>
          <w:p w14:paraId="432814B7">
            <w:pPr>
              <w:widowControl/>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3.验收依据为招标文件、投标文件、澄清表（函）、本合同及附件文件、合同签订时国家及行业现行的标准和技术规范。</w:t>
            </w:r>
          </w:p>
        </w:tc>
      </w:tr>
      <w:tr w14:paraId="2998C1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vAlign w:val="center"/>
          </w:tcPr>
          <w:p w14:paraId="2DCDBAD2">
            <w:pPr>
              <w:widowControl/>
              <w:spacing w:line="360" w:lineRule="auto"/>
              <w:jc w:val="center"/>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1</w:t>
            </w:r>
            <w:r>
              <w:rPr>
                <w:rFonts w:ascii="宋体" w:hAnsi="宋体" w:eastAsia="宋体"/>
                <w:color w:val="000000" w:themeColor="text1"/>
                <w:sz w:val="24"/>
                <w:szCs w:val="24"/>
                <w:highlight w:val="none"/>
              </w:rPr>
              <w:t>2</w:t>
            </w:r>
          </w:p>
        </w:tc>
        <w:tc>
          <w:tcPr>
            <w:tcW w:w="7512" w:type="dxa"/>
            <w:vAlign w:val="center"/>
          </w:tcPr>
          <w:p w14:paraId="4884CC27">
            <w:pPr>
              <w:widowControl/>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争议的解决：因执行本合同所发生的或与本合同有关的一切争议,双方应通过友好协商解决。如果协商开始后六十（60）天还不能解决，任何一方均可按中华人民共和国有关法律的规定提交仲裁。仲裁地点：采购人所在地仲裁委员会。</w:t>
            </w:r>
          </w:p>
        </w:tc>
      </w:tr>
    </w:tbl>
    <w:p w14:paraId="6432AAC5">
      <w:pPr>
        <w:widowControl/>
        <w:jc w:val="left"/>
        <w:rPr>
          <w:rFonts w:ascii="宋体" w:hAnsi="宋体" w:eastAsia="宋体"/>
          <w:color w:val="000000" w:themeColor="text1"/>
          <w:sz w:val="24"/>
          <w:szCs w:val="24"/>
          <w:highlight w:val="none"/>
        </w:rPr>
      </w:pPr>
      <w:r>
        <w:rPr>
          <w:rFonts w:ascii="宋体" w:hAnsi="宋体" w:eastAsia="宋体"/>
          <w:color w:val="000000" w:themeColor="text1"/>
          <w:sz w:val="24"/>
          <w:szCs w:val="24"/>
          <w:highlight w:val="none"/>
        </w:rPr>
        <w:br w:type="page"/>
      </w:r>
    </w:p>
    <w:p w14:paraId="06CE375D">
      <w:pPr>
        <w:widowControl/>
        <w:spacing w:line="360" w:lineRule="auto"/>
        <w:jc w:val="left"/>
        <w:rPr>
          <w:rFonts w:ascii="宋体" w:hAnsi="宋体" w:eastAsia="宋体"/>
          <w:color w:val="000000" w:themeColor="text1"/>
          <w:sz w:val="24"/>
          <w:szCs w:val="24"/>
          <w:highlight w:val="none"/>
        </w:rPr>
      </w:pPr>
    </w:p>
    <w:p w14:paraId="302E9E90">
      <w:pPr>
        <w:pStyle w:val="27"/>
        <w:rPr>
          <w:rFonts w:ascii="宋体" w:hAnsi="宋体" w:eastAsia="宋体"/>
          <w:color w:val="000000" w:themeColor="text1"/>
          <w:highlight w:val="none"/>
        </w:rPr>
      </w:pPr>
      <w:bookmarkStart w:id="44" w:name="_Toc211442737"/>
      <w:r>
        <w:rPr>
          <w:rFonts w:hint="eastAsia" w:ascii="宋体" w:hAnsi="宋体" w:eastAsia="宋体"/>
          <w:color w:val="000000" w:themeColor="text1"/>
          <w:highlight w:val="none"/>
        </w:rPr>
        <w:t xml:space="preserve">第五章 </w:t>
      </w:r>
      <w:r>
        <w:rPr>
          <w:rFonts w:ascii="宋体" w:hAnsi="宋体" w:eastAsia="宋体"/>
          <w:color w:val="000000" w:themeColor="text1"/>
          <w:highlight w:val="none"/>
        </w:rPr>
        <w:t xml:space="preserve"> </w:t>
      </w:r>
      <w:r>
        <w:rPr>
          <w:rFonts w:hint="eastAsia" w:ascii="宋体" w:hAnsi="宋体" w:eastAsia="宋体"/>
          <w:color w:val="000000" w:themeColor="text1"/>
          <w:highlight w:val="none"/>
        </w:rPr>
        <w:t>合同格式</w:t>
      </w:r>
      <w:bookmarkEnd w:id="44"/>
    </w:p>
    <w:p w14:paraId="0785C180">
      <w:pPr>
        <w:widowControl/>
        <w:spacing w:line="360" w:lineRule="auto"/>
        <w:jc w:val="left"/>
        <w:rPr>
          <w:rFonts w:ascii="宋体" w:hAnsi="宋体" w:eastAsia="宋体"/>
          <w:b/>
          <w:color w:val="000000" w:themeColor="text1"/>
          <w:sz w:val="24"/>
          <w:szCs w:val="24"/>
          <w:highlight w:val="none"/>
        </w:rPr>
      </w:pPr>
      <w:r>
        <w:rPr>
          <w:rFonts w:hint="eastAsia" w:ascii="宋体" w:hAnsi="宋体" w:eastAsia="宋体"/>
          <w:b/>
          <w:color w:val="000000" w:themeColor="text1"/>
          <w:sz w:val="24"/>
          <w:szCs w:val="24"/>
          <w:highlight w:val="none"/>
        </w:rPr>
        <w:t>1、合同封面格式</w:t>
      </w:r>
    </w:p>
    <w:p w14:paraId="315CEE0B">
      <w:pPr>
        <w:widowControl/>
        <w:spacing w:line="360" w:lineRule="auto"/>
        <w:jc w:val="left"/>
        <w:rPr>
          <w:rFonts w:ascii="宋体" w:hAnsi="宋体" w:eastAsia="宋体"/>
          <w:b/>
          <w:bCs/>
          <w:color w:val="000000" w:themeColor="text1"/>
          <w:sz w:val="24"/>
          <w:szCs w:val="24"/>
          <w:highlight w:val="none"/>
        </w:rPr>
      </w:pPr>
    </w:p>
    <w:p w14:paraId="5524EBB8">
      <w:pPr>
        <w:widowControl/>
        <w:spacing w:line="360" w:lineRule="auto"/>
        <w:jc w:val="center"/>
        <w:rPr>
          <w:rFonts w:ascii="宋体" w:hAnsi="宋体" w:eastAsia="宋体"/>
          <w:b/>
          <w:bCs/>
          <w:color w:val="000000" w:themeColor="text1"/>
          <w:sz w:val="28"/>
          <w:szCs w:val="28"/>
          <w:highlight w:val="none"/>
        </w:rPr>
      </w:pPr>
      <w:r>
        <w:rPr>
          <w:rFonts w:ascii="宋体" w:hAnsi="宋体" w:eastAsia="宋体"/>
          <w:b/>
          <w:bCs/>
          <w:color w:val="000000" w:themeColor="text1"/>
          <w:sz w:val="28"/>
          <w:szCs w:val="28"/>
          <w:highlight w:val="none"/>
        </w:rPr>
        <w:t>XXXXXX</w:t>
      </w:r>
      <w:r>
        <w:rPr>
          <w:rFonts w:hint="eastAsia" w:ascii="宋体" w:hAnsi="宋体" w:eastAsia="宋体"/>
          <w:b/>
          <w:bCs/>
          <w:color w:val="000000" w:themeColor="text1"/>
          <w:sz w:val="28"/>
          <w:szCs w:val="28"/>
          <w:highlight w:val="none"/>
        </w:rPr>
        <w:t>项目合同</w:t>
      </w:r>
    </w:p>
    <w:p w14:paraId="0473D5E1">
      <w:pPr>
        <w:widowControl/>
        <w:spacing w:line="360" w:lineRule="auto"/>
        <w:jc w:val="left"/>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合同号：</w:t>
      </w:r>
    </w:p>
    <w:p w14:paraId="6AE0B8A8">
      <w:pPr>
        <w:widowControl/>
        <w:spacing w:line="360" w:lineRule="auto"/>
        <w:jc w:val="left"/>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合同签订日期：</w:t>
      </w:r>
      <w:r>
        <w:rPr>
          <w:rFonts w:ascii="宋体" w:hAnsi="宋体" w:eastAsia="宋体" w:cs="宋体"/>
          <w:color w:val="000000" w:themeColor="text1"/>
          <w:kern w:val="0"/>
          <w:sz w:val="24"/>
          <w:szCs w:val="24"/>
          <w:highlight w:val="none"/>
        </w:rPr>
        <w:t xml:space="preserve">      </w:t>
      </w:r>
      <w:r>
        <w:rPr>
          <w:rFonts w:hint="eastAsia" w:ascii="宋体" w:hAnsi="宋体" w:eastAsia="宋体" w:cs="宋体"/>
          <w:color w:val="000000" w:themeColor="text1"/>
          <w:kern w:val="0"/>
          <w:sz w:val="24"/>
          <w:szCs w:val="24"/>
          <w:highlight w:val="none"/>
        </w:rPr>
        <w:t xml:space="preserve">年 </w:t>
      </w:r>
      <w:r>
        <w:rPr>
          <w:rFonts w:ascii="宋体" w:hAnsi="宋体" w:eastAsia="宋体" w:cs="宋体"/>
          <w:color w:val="000000" w:themeColor="text1"/>
          <w:kern w:val="0"/>
          <w:sz w:val="24"/>
          <w:szCs w:val="24"/>
          <w:highlight w:val="none"/>
        </w:rPr>
        <w:t xml:space="preserve"> </w:t>
      </w:r>
      <w:r>
        <w:rPr>
          <w:rFonts w:hint="eastAsia" w:ascii="宋体" w:hAnsi="宋体" w:eastAsia="宋体" w:cs="宋体"/>
          <w:color w:val="000000" w:themeColor="text1"/>
          <w:kern w:val="0"/>
          <w:sz w:val="24"/>
          <w:szCs w:val="24"/>
          <w:highlight w:val="none"/>
        </w:rPr>
        <w:t xml:space="preserve">月 </w:t>
      </w:r>
      <w:r>
        <w:rPr>
          <w:rFonts w:ascii="宋体" w:hAnsi="宋体" w:eastAsia="宋体" w:cs="宋体"/>
          <w:color w:val="000000" w:themeColor="text1"/>
          <w:kern w:val="0"/>
          <w:sz w:val="24"/>
          <w:szCs w:val="24"/>
          <w:highlight w:val="none"/>
        </w:rPr>
        <w:t xml:space="preserve"> </w:t>
      </w:r>
      <w:r>
        <w:rPr>
          <w:rFonts w:hint="eastAsia" w:ascii="宋体" w:hAnsi="宋体" w:eastAsia="宋体" w:cs="宋体"/>
          <w:color w:val="000000" w:themeColor="text1"/>
          <w:kern w:val="0"/>
          <w:sz w:val="24"/>
          <w:szCs w:val="24"/>
          <w:highlight w:val="none"/>
        </w:rPr>
        <w:t>日</w:t>
      </w:r>
    </w:p>
    <w:p w14:paraId="4A18ED68">
      <w:pPr>
        <w:widowControl/>
        <w:spacing w:line="360" w:lineRule="auto"/>
        <w:jc w:val="left"/>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签字地点：</w:t>
      </w:r>
    </w:p>
    <w:p w14:paraId="395889AC">
      <w:pPr>
        <w:widowControl/>
        <w:spacing w:line="360" w:lineRule="auto"/>
        <w:jc w:val="left"/>
        <w:rPr>
          <w:rFonts w:ascii="宋体" w:hAnsi="宋体" w:eastAsia="宋体" w:cs="宋体"/>
          <w:color w:val="000000" w:themeColor="text1"/>
          <w:kern w:val="0"/>
          <w:sz w:val="24"/>
          <w:szCs w:val="24"/>
          <w:highlight w:val="none"/>
        </w:rPr>
      </w:pPr>
    </w:p>
    <w:p w14:paraId="14A64BA0">
      <w:pPr>
        <w:widowControl/>
        <w:spacing w:line="360" w:lineRule="auto"/>
        <w:jc w:val="left"/>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买方：</w:t>
      </w:r>
    </w:p>
    <w:p w14:paraId="4AAFFF2F">
      <w:pPr>
        <w:widowControl/>
        <w:spacing w:line="360" w:lineRule="auto"/>
        <w:jc w:val="left"/>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地址：</w:t>
      </w:r>
    </w:p>
    <w:p w14:paraId="5CDD818B">
      <w:pPr>
        <w:widowControl/>
        <w:spacing w:line="360" w:lineRule="auto"/>
        <w:jc w:val="left"/>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邮编：</w:t>
      </w:r>
    </w:p>
    <w:p w14:paraId="38BF98AC">
      <w:pPr>
        <w:widowControl/>
        <w:spacing w:line="360" w:lineRule="auto"/>
        <w:jc w:val="left"/>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电话：</w:t>
      </w:r>
    </w:p>
    <w:p w14:paraId="2950DCE5">
      <w:pPr>
        <w:widowControl/>
        <w:spacing w:line="360" w:lineRule="auto"/>
        <w:jc w:val="left"/>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传真：</w:t>
      </w:r>
    </w:p>
    <w:p w14:paraId="1E3711F0">
      <w:pPr>
        <w:widowControl/>
        <w:spacing w:line="360" w:lineRule="auto"/>
        <w:jc w:val="left"/>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联系人：</w:t>
      </w:r>
    </w:p>
    <w:p w14:paraId="41B7E85F">
      <w:pPr>
        <w:widowControl/>
        <w:spacing w:line="360" w:lineRule="auto"/>
        <w:jc w:val="left"/>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开户银行：</w:t>
      </w:r>
    </w:p>
    <w:p w14:paraId="475A6997">
      <w:pPr>
        <w:widowControl/>
        <w:spacing w:line="360" w:lineRule="auto"/>
        <w:jc w:val="left"/>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帐号：</w:t>
      </w:r>
    </w:p>
    <w:p w14:paraId="7291A0F7">
      <w:pPr>
        <w:widowControl/>
        <w:spacing w:line="360" w:lineRule="auto"/>
        <w:jc w:val="left"/>
        <w:rPr>
          <w:rFonts w:ascii="宋体" w:hAnsi="宋体" w:eastAsia="宋体" w:cs="宋体"/>
          <w:color w:val="000000" w:themeColor="text1"/>
          <w:kern w:val="0"/>
          <w:sz w:val="24"/>
          <w:szCs w:val="24"/>
          <w:highlight w:val="none"/>
        </w:rPr>
      </w:pPr>
    </w:p>
    <w:p w14:paraId="57D91F23">
      <w:pPr>
        <w:widowControl/>
        <w:spacing w:line="360" w:lineRule="auto"/>
        <w:jc w:val="left"/>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卖方：</w:t>
      </w:r>
    </w:p>
    <w:p w14:paraId="3F8C61D9">
      <w:pPr>
        <w:widowControl/>
        <w:spacing w:line="360" w:lineRule="auto"/>
        <w:jc w:val="left"/>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地址：</w:t>
      </w:r>
    </w:p>
    <w:p w14:paraId="07929D66">
      <w:pPr>
        <w:widowControl/>
        <w:spacing w:line="360" w:lineRule="auto"/>
        <w:jc w:val="left"/>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邮编：</w:t>
      </w:r>
    </w:p>
    <w:p w14:paraId="1EAD042F">
      <w:pPr>
        <w:widowControl/>
        <w:spacing w:line="360" w:lineRule="auto"/>
        <w:jc w:val="left"/>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电话：</w:t>
      </w:r>
    </w:p>
    <w:p w14:paraId="6E864667">
      <w:pPr>
        <w:widowControl/>
        <w:spacing w:line="360" w:lineRule="auto"/>
        <w:jc w:val="left"/>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传真：</w:t>
      </w:r>
    </w:p>
    <w:p w14:paraId="3047DAA0">
      <w:pPr>
        <w:widowControl/>
        <w:spacing w:line="360" w:lineRule="auto"/>
        <w:jc w:val="left"/>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联系人：</w:t>
      </w:r>
    </w:p>
    <w:p w14:paraId="4F9AF3AE">
      <w:pPr>
        <w:widowControl/>
        <w:spacing w:line="360" w:lineRule="auto"/>
        <w:jc w:val="left"/>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开户银行：</w:t>
      </w:r>
    </w:p>
    <w:p w14:paraId="068345F6">
      <w:pPr>
        <w:widowControl/>
        <w:spacing w:line="360" w:lineRule="auto"/>
        <w:jc w:val="left"/>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帐号：</w:t>
      </w:r>
    </w:p>
    <w:p w14:paraId="751FA97C">
      <w:pPr>
        <w:widowControl/>
        <w:spacing w:line="360" w:lineRule="auto"/>
        <w:ind w:firstLine="480" w:firstLineChars="200"/>
        <w:jc w:val="left"/>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本合同依据政府采购</w:t>
      </w:r>
      <w:r>
        <w:rPr>
          <w:rFonts w:hint="eastAsia" w:ascii="宋体" w:hAnsi="宋体" w:eastAsia="宋体" w:cs="宋体"/>
          <w:color w:val="000000" w:themeColor="text1"/>
          <w:kern w:val="0"/>
          <w:sz w:val="24"/>
          <w:szCs w:val="24"/>
          <w:highlight w:val="none"/>
          <w:u w:val="single"/>
        </w:rPr>
        <w:t xml:space="preserve">“ </w:t>
      </w:r>
      <w:r>
        <w:rPr>
          <w:rFonts w:ascii="宋体" w:hAnsi="宋体" w:eastAsia="宋体" w:cs="宋体"/>
          <w:color w:val="000000" w:themeColor="text1"/>
          <w:kern w:val="0"/>
          <w:sz w:val="24"/>
          <w:szCs w:val="24"/>
          <w:highlight w:val="none"/>
          <w:u w:val="single"/>
        </w:rPr>
        <w:t xml:space="preserve">      </w:t>
      </w:r>
      <w:r>
        <w:rPr>
          <w:rFonts w:hint="eastAsia" w:ascii="宋体" w:hAnsi="宋体" w:eastAsia="宋体" w:cs="宋体"/>
          <w:color w:val="000000" w:themeColor="text1"/>
          <w:kern w:val="0"/>
          <w:sz w:val="24"/>
          <w:szCs w:val="24"/>
          <w:highlight w:val="none"/>
          <w:u w:val="single"/>
        </w:rPr>
        <w:t>”</w:t>
      </w:r>
      <w:r>
        <w:rPr>
          <w:rFonts w:hint="eastAsia" w:ascii="宋体" w:hAnsi="宋体" w:eastAsia="宋体" w:cs="宋体"/>
          <w:color w:val="000000" w:themeColor="text1"/>
          <w:kern w:val="0"/>
          <w:sz w:val="24"/>
          <w:szCs w:val="24"/>
          <w:highlight w:val="none"/>
        </w:rPr>
        <w:t>项目公开招标（项目编号</w:t>
      </w:r>
      <w:r>
        <w:rPr>
          <w:rFonts w:hint="eastAsia" w:ascii="宋体" w:hAnsi="宋体" w:eastAsia="宋体" w:cs="宋体"/>
          <w:color w:val="000000" w:themeColor="text1"/>
          <w:kern w:val="0"/>
          <w:sz w:val="24"/>
          <w:szCs w:val="24"/>
          <w:highlight w:val="none"/>
          <w:u w:val="single"/>
        </w:rPr>
        <w:t xml:space="preserve"> </w:t>
      </w:r>
      <w:r>
        <w:rPr>
          <w:rFonts w:ascii="宋体" w:hAnsi="宋体" w:eastAsia="宋体" w:cs="宋体"/>
          <w:color w:val="000000" w:themeColor="text1"/>
          <w:kern w:val="0"/>
          <w:sz w:val="24"/>
          <w:szCs w:val="24"/>
          <w:highlight w:val="none"/>
          <w:u w:val="single"/>
        </w:rPr>
        <w:t xml:space="preserve">    </w:t>
      </w:r>
      <w:r>
        <w:rPr>
          <w:rFonts w:hint="eastAsia" w:ascii="宋体" w:hAnsi="宋体" w:eastAsia="宋体" w:cs="宋体"/>
          <w:color w:val="000000" w:themeColor="text1"/>
          <w:kern w:val="0"/>
          <w:sz w:val="24"/>
          <w:szCs w:val="24"/>
          <w:highlight w:val="none"/>
        </w:rPr>
        <w:t>）的结果而签订。</w:t>
      </w:r>
    </w:p>
    <w:p w14:paraId="5AB5DFF3">
      <w:pPr>
        <w:widowControl/>
        <w:spacing w:line="360" w:lineRule="auto"/>
        <w:jc w:val="left"/>
        <w:rPr>
          <w:rFonts w:ascii="宋体" w:hAnsi="宋体" w:eastAsia="宋体" w:cs="宋体"/>
          <w:color w:val="000000" w:themeColor="text1"/>
          <w:kern w:val="0"/>
          <w:sz w:val="24"/>
          <w:szCs w:val="24"/>
          <w:highlight w:val="none"/>
        </w:rPr>
      </w:pPr>
    </w:p>
    <w:p w14:paraId="0E5D4852">
      <w:pPr>
        <w:widowControl/>
        <w:spacing w:line="360" w:lineRule="auto"/>
        <w:jc w:val="left"/>
        <w:rPr>
          <w:rFonts w:ascii="宋体" w:hAnsi="宋体" w:eastAsia="宋体"/>
          <w:b/>
          <w:color w:val="000000" w:themeColor="text1"/>
          <w:sz w:val="24"/>
          <w:szCs w:val="24"/>
          <w:highlight w:val="none"/>
        </w:rPr>
      </w:pPr>
      <w:r>
        <w:rPr>
          <w:rFonts w:hint="eastAsia" w:ascii="宋体" w:hAnsi="宋体" w:eastAsia="宋体"/>
          <w:b/>
          <w:color w:val="000000" w:themeColor="text1"/>
          <w:sz w:val="24"/>
          <w:szCs w:val="24"/>
          <w:highlight w:val="none"/>
        </w:rPr>
        <w:t>2、合同协议书格式</w:t>
      </w:r>
    </w:p>
    <w:p w14:paraId="2BAC1981">
      <w:pPr>
        <w:widowControl/>
        <w:spacing w:line="360" w:lineRule="auto"/>
        <w:ind w:firstLine="480" w:firstLineChars="200"/>
        <w:jc w:val="left"/>
        <w:rPr>
          <w:rFonts w:ascii="宋体" w:hAnsi="宋体" w:eastAsia="宋体" w:cs="宋体"/>
          <w:color w:val="000000" w:themeColor="text1"/>
          <w:kern w:val="0"/>
          <w:sz w:val="24"/>
          <w:szCs w:val="24"/>
          <w:highlight w:val="none"/>
        </w:rPr>
      </w:pPr>
    </w:p>
    <w:p w14:paraId="045B27AF">
      <w:pPr>
        <w:widowControl/>
        <w:spacing w:line="360" w:lineRule="auto"/>
        <w:ind w:firstLine="480" w:firstLineChars="200"/>
        <w:jc w:val="left"/>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本合同于</w:t>
      </w:r>
      <w:r>
        <w:rPr>
          <w:rFonts w:hint="eastAsia" w:ascii="宋体" w:hAnsi="宋体" w:eastAsia="宋体" w:cs="宋体"/>
          <w:color w:val="000000" w:themeColor="text1"/>
          <w:kern w:val="0"/>
          <w:sz w:val="24"/>
          <w:szCs w:val="24"/>
          <w:highlight w:val="none"/>
          <w:u w:val="single"/>
        </w:rPr>
        <w:t xml:space="preserve"> </w:t>
      </w:r>
      <w:r>
        <w:rPr>
          <w:rFonts w:ascii="宋体" w:hAnsi="宋体" w:eastAsia="宋体" w:cs="宋体"/>
          <w:color w:val="000000" w:themeColor="text1"/>
          <w:kern w:val="0"/>
          <w:sz w:val="24"/>
          <w:szCs w:val="24"/>
          <w:highlight w:val="none"/>
          <w:u w:val="single"/>
        </w:rPr>
        <w:t xml:space="preserve">       </w:t>
      </w:r>
      <w:r>
        <w:rPr>
          <w:rFonts w:hint="eastAsia" w:ascii="宋体" w:hAnsi="宋体" w:eastAsia="宋体" w:cs="宋体"/>
          <w:color w:val="000000" w:themeColor="text1"/>
          <w:kern w:val="0"/>
          <w:sz w:val="24"/>
          <w:szCs w:val="24"/>
          <w:highlight w:val="none"/>
        </w:rPr>
        <w:t>年</w:t>
      </w:r>
      <w:r>
        <w:rPr>
          <w:rFonts w:hint="eastAsia" w:ascii="宋体" w:hAnsi="宋体" w:eastAsia="宋体" w:cs="宋体"/>
          <w:color w:val="000000" w:themeColor="text1"/>
          <w:kern w:val="0"/>
          <w:sz w:val="24"/>
          <w:szCs w:val="24"/>
          <w:highlight w:val="none"/>
          <w:u w:val="single"/>
        </w:rPr>
        <w:t xml:space="preserve"> </w:t>
      </w:r>
      <w:r>
        <w:rPr>
          <w:rFonts w:ascii="宋体" w:hAnsi="宋体" w:eastAsia="宋体" w:cs="宋体"/>
          <w:color w:val="000000" w:themeColor="text1"/>
          <w:kern w:val="0"/>
          <w:sz w:val="24"/>
          <w:szCs w:val="24"/>
          <w:highlight w:val="none"/>
          <w:u w:val="single"/>
        </w:rPr>
        <w:t xml:space="preserve">   </w:t>
      </w:r>
      <w:r>
        <w:rPr>
          <w:rFonts w:hint="eastAsia" w:ascii="宋体" w:hAnsi="宋体" w:eastAsia="宋体" w:cs="宋体"/>
          <w:color w:val="000000" w:themeColor="text1"/>
          <w:kern w:val="0"/>
          <w:sz w:val="24"/>
          <w:szCs w:val="24"/>
          <w:highlight w:val="none"/>
        </w:rPr>
        <w:t>月</w:t>
      </w:r>
      <w:r>
        <w:rPr>
          <w:rFonts w:hint="eastAsia" w:ascii="宋体" w:hAnsi="宋体" w:eastAsia="宋体" w:cs="宋体"/>
          <w:color w:val="000000" w:themeColor="text1"/>
          <w:kern w:val="0"/>
          <w:sz w:val="24"/>
          <w:szCs w:val="24"/>
          <w:highlight w:val="none"/>
          <w:u w:val="single"/>
        </w:rPr>
        <w:t xml:space="preserve"> </w:t>
      </w:r>
      <w:r>
        <w:rPr>
          <w:rFonts w:ascii="宋体" w:hAnsi="宋体" w:eastAsia="宋体" w:cs="宋体"/>
          <w:color w:val="000000" w:themeColor="text1"/>
          <w:kern w:val="0"/>
          <w:sz w:val="24"/>
          <w:szCs w:val="24"/>
          <w:highlight w:val="none"/>
          <w:u w:val="single"/>
        </w:rPr>
        <w:t xml:space="preserve">   </w:t>
      </w:r>
      <w:r>
        <w:rPr>
          <w:rFonts w:hint="eastAsia" w:ascii="宋体" w:hAnsi="宋体" w:eastAsia="宋体" w:cs="宋体"/>
          <w:color w:val="000000" w:themeColor="text1"/>
          <w:kern w:val="0"/>
          <w:sz w:val="24"/>
          <w:szCs w:val="24"/>
          <w:highlight w:val="none"/>
        </w:rPr>
        <w:t>日由（</w:t>
      </w:r>
      <w:r>
        <w:rPr>
          <w:rFonts w:hint="eastAsia" w:ascii="宋体" w:hAnsi="宋体" w:eastAsia="宋体" w:cs="宋体"/>
          <w:color w:val="000000" w:themeColor="text1"/>
          <w:kern w:val="0"/>
          <w:sz w:val="24"/>
          <w:szCs w:val="24"/>
          <w:highlight w:val="none"/>
          <w:u w:val="single"/>
        </w:rPr>
        <w:t xml:space="preserve"> </w:t>
      </w:r>
      <w:r>
        <w:rPr>
          <w:rFonts w:ascii="宋体" w:hAnsi="宋体" w:eastAsia="宋体" w:cs="宋体"/>
          <w:color w:val="000000" w:themeColor="text1"/>
          <w:kern w:val="0"/>
          <w:sz w:val="24"/>
          <w:szCs w:val="24"/>
          <w:highlight w:val="none"/>
          <w:u w:val="single"/>
        </w:rPr>
        <w:t xml:space="preserve"> </w:t>
      </w:r>
      <w:r>
        <w:rPr>
          <w:rFonts w:hint="eastAsia" w:ascii="宋体" w:hAnsi="宋体" w:eastAsia="宋体" w:cs="宋体"/>
          <w:color w:val="000000" w:themeColor="text1"/>
          <w:kern w:val="0"/>
          <w:sz w:val="24"/>
          <w:szCs w:val="24"/>
          <w:highlight w:val="none"/>
          <w:u w:val="single"/>
        </w:rPr>
        <w:t xml:space="preserve">甲方名称  </w:t>
      </w:r>
      <w:r>
        <w:rPr>
          <w:rFonts w:hint="eastAsia" w:ascii="宋体" w:hAnsi="宋体" w:eastAsia="宋体" w:cs="宋体"/>
          <w:color w:val="000000" w:themeColor="text1"/>
          <w:kern w:val="0"/>
          <w:sz w:val="24"/>
          <w:szCs w:val="24"/>
          <w:highlight w:val="none"/>
        </w:rPr>
        <w:t>）（以下简称“甲方”）和（</w:t>
      </w:r>
      <w:r>
        <w:rPr>
          <w:rFonts w:hint="eastAsia" w:ascii="宋体" w:hAnsi="宋体" w:eastAsia="宋体" w:cs="宋体"/>
          <w:color w:val="000000" w:themeColor="text1"/>
          <w:kern w:val="0"/>
          <w:sz w:val="24"/>
          <w:szCs w:val="24"/>
          <w:highlight w:val="none"/>
          <w:u w:val="single"/>
        </w:rPr>
        <w:t xml:space="preserve"> </w:t>
      </w:r>
      <w:r>
        <w:rPr>
          <w:rFonts w:ascii="宋体" w:hAnsi="宋体" w:eastAsia="宋体" w:cs="宋体"/>
          <w:color w:val="000000" w:themeColor="text1"/>
          <w:kern w:val="0"/>
          <w:sz w:val="24"/>
          <w:szCs w:val="24"/>
          <w:highlight w:val="none"/>
          <w:u w:val="single"/>
        </w:rPr>
        <w:t xml:space="preserve"> </w:t>
      </w:r>
      <w:r>
        <w:rPr>
          <w:rFonts w:hint="eastAsia" w:ascii="宋体" w:hAnsi="宋体" w:eastAsia="宋体" w:cs="宋体"/>
          <w:color w:val="000000" w:themeColor="text1"/>
          <w:kern w:val="0"/>
          <w:sz w:val="24"/>
          <w:szCs w:val="24"/>
          <w:highlight w:val="none"/>
          <w:u w:val="single"/>
        </w:rPr>
        <w:t xml:space="preserve">乙方名称 </w:t>
      </w:r>
      <w:r>
        <w:rPr>
          <w:rFonts w:ascii="宋体" w:hAnsi="宋体" w:eastAsia="宋体" w:cs="宋体"/>
          <w:color w:val="000000" w:themeColor="text1"/>
          <w:kern w:val="0"/>
          <w:sz w:val="24"/>
          <w:szCs w:val="24"/>
          <w:highlight w:val="none"/>
          <w:u w:val="single"/>
        </w:rPr>
        <w:t xml:space="preserve"> </w:t>
      </w:r>
      <w:r>
        <w:rPr>
          <w:rFonts w:hint="eastAsia" w:ascii="宋体" w:hAnsi="宋体" w:eastAsia="宋体" w:cs="宋体"/>
          <w:color w:val="000000" w:themeColor="text1"/>
          <w:kern w:val="0"/>
          <w:sz w:val="24"/>
          <w:szCs w:val="24"/>
          <w:highlight w:val="none"/>
        </w:rPr>
        <w:t>）（以下简称“乙方”）按下述条款和条件签署。</w:t>
      </w:r>
    </w:p>
    <w:p w14:paraId="380E126E">
      <w:pPr>
        <w:widowControl/>
        <w:spacing w:line="360" w:lineRule="auto"/>
        <w:ind w:firstLine="480" w:firstLineChars="200"/>
        <w:jc w:val="left"/>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1.本合同中的词语和术语的含义与合同条款中定义的相同。</w:t>
      </w:r>
    </w:p>
    <w:p w14:paraId="0EE5E619">
      <w:pPr>
        <w:widowControl/>
        <w:spacing w:line="360" w:lineRule="auto"/>
        <w:ind w:firstLine="480" w:firstLineChars="200"/>
        <w:jc w:val="left"/>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2.下列文件是本合同的组成部分，并与本合同一起阅读和解释：</w:t>
      </w:r>
    </w:p>
    <w:p w14:paraId="24B90248">
      <w:pPr>
        <w:widowControl/>
        <w:spacing w:line="360" w:lineRule="auto"/>
        <w:ind w:firstLine="480" w:firstLineChars="200"/>
        <w:jc w:val="left"/>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1)合同附件，如：</w:t>
      </w:r>
    </w:p>
    <w:p w14:paraId="68995CA5">
      <w:pPr>
        <w:widowControl/>
        <w:spacing w:line="360" w:lineRule="auto"/>
        <w:ind w:firstLine="480" w:firstLineChars="200"/>
        <w:jc w:val="left"/>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1.1）采购标的内容和价格</w:t>
      </w:r>
    </w:p>
    <w:p w14:paraId="5E8413A3">
      <w:pPr>
        <w:widowControl/>
        <w:spacing w:line="360" w:lineRule="auto"/>
        <w:ind w:firstLine="480" w:firstLineChars="200"/>
        <w:jc w:val="left"/>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1.2）安装标准、流程</w:t>
      </w:r>
    </w:p>
    <w:p w14:paraId="0BF22B0F">
      <w:pPr>
        <w:widowControl/>
        <w:spacing w:line="360" w:lineRule="auto"/>
        <w:ind w:firstLine="480" w:firstLineChars="200"/>
        <w:jc w:val="left"/>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1.3）开始和结束时间</w:t>
      </w:r>
    </w:p>
    <w:p w14:paraId="646AA5EE">
      <w:pPr>
        <w:widowControl/>
        <w:spacing w:line="360" w:lineRule="auto"/>
        <w:ind w:firstLine="480" w:firstLineChars="200"/>
        <w:jc w:val="left"/>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2)合同专用条款</w:t>
      </w:r>
    </w:p>
    <w:p w14:paraId="6A6C803D">
      <w:pPr>
        <w:widowControl/>
        <w:spacing w:line="360" w:lineRule="auto"/>
        <w:ind w:firstLine="480" w:firstLineChars="200"/>
        <w:jc w:val="left"/>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3)合同通用条款</w:t>
      </w:r>
    </w:p>
    <w:p w14:paraId="5F8089C3">
      <w:pPr>
        <w:widowControl/>
        <w:spacing w:line="360" w:lineRule="auto"/>
        <w:ind w:firstLine="480" w:firstLineChars="200"/>
        <w:jc w:val="left"/>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4)中标通知书</w:t>
      </w:r>
    </w:p>
    <w:p w14:paraId="6131E35E">
      <w:pPr>
        <w:widowControl/>
        <w:spacing w:line="360" w:lineRule="auto"/>
        <w:ind w:firstLine="480" w:firstLineChars="200"/>
        <w:jc w:val="left"/>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5)投标文件</w:t>
      </w:r>
    </w:p>
    <w:p w14:paraId="51EC6BB5">
      <w:pPr>
        <w:widowControl/>
        <w:spacing w:line="360" w:lineRule="auto"/>
        <w:ind w:firstLine="480" w:firstLineChars="200"/>
        <w:jc w:val="left"/>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6)招标文件</w:t>
      </w:r>
    </w:p>
    <w:p w14:paraId="75ECE16E">
      <w:pPr>
        <w:widowControl/>
        <w:spacing w:line="360" w:lineRule="auto"/>
        <w:ind w:firstLine="480" w:firstLineChars="200"/>
        <w:jc w:val="left"/>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上述文件如有冲突，以排列序号小的优先。</w:t>
      </w:r>
    </w:p>
    <w:p w14:paraId="1B9141A2">
      <w:pPr>
        <w:widowControl/>
        <w:spacing w:line="360" w:lineRule="auto"/>
        <w:ind w:firstLine="480" w:firstLineChars="200"/>
        <w:jc w:val="left"/>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3.乙方在此保证全部按照合同的规定向买方提供货物和服务，并修补缺陷，甲方将按照本合同价款向乙方进行支付。</w:t>
      </w:r>
    </w:p>
    <w:p w14:paraId="2E8FA351">
      <w:pPr>
        <w:widowControl/>
        <w:spacing w:line="360" w:lineRule="auto"/>
        <w:ind w:firstLine="480" w:firstLineChars="200"/>
        <w:jc w:val="left"/>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4.本合同正本一式二份，副本一式五份，均以中文书写，在双方代表签字盖章后生效。</w:t>
      </w:r>
    </w:p>
    <w:p w14:paraId="57792E7F">
      <w:pPr>
        <w:widowControl/>
        <w:spacing w:line="360" w:lineRule="auto"/>
        <w:ind w:firstLine="480" w:firstLineChars="200"/>
        <w:jc w:val="left"/>
        <w:rPr>
          <w:rFonts w:ascii="宋体" w:hAnsi="宋体" w:eastAsia="宋体" w:cs="宋体"/>
          <w:color w:val="000000" w:themeColor="text1"/>
          <w:kern w:val="0"/>
          <w:sz w:val="24"/>
          <w:szCs w:val="24"/>
          <w:highlight w:val="none"/>
        </w:rPr>
      </w:pPr>
    </w:p>
    <w:p w14:paraId="5EF99055">
      <w:pPr>
        <w:widowControl/>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 xml:space="preserve">甲方单位名称（公章或合同章）： </w:t>
      </w:r>
      <w:r>
        <w:rPr>
          <w:rFonts w:ascii="宋体" w:hAnsi="宋体" w:eastAsia="宋体"/>
          <w:color w:val="000000" w:themeColor="text1"/>
          <w:sz w:val="24"/>
          <w:szCs w:val="24"/>
          <w:highlight w:val="none"/>
        </w:rPr>
        <w:t xml:space="preserve">         </w:t>
      </w:r>
      <w:r>
        <w:rPr>
          <w:rFonts w:hint="eastAsia" w:ascii="宋体" w:hAnsi="宋体" w:eastAsia="宋体"/>
          <w:color w:val="000000" w:themeColor="text1"/>
          <w:sz w:val="24"/>
          <w:szCs w:val="24"/>
          <w:highlight w:val="none"/>
        </w:rPr>
        <w:t>乙方单位名称（公章或合同章）：</w:t>
      </w:r>
    </w:p>
    <w:p w14:paraId="2722F0AF">
      <w:pPr>
        <w:widowControl/>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 xml:space="preserve">甲方代表签字： </w:t>
      </w:r>
      <w:r>
        <w:rPr>
          <w:rFonts w:ascii="宋体" w:hAnsi="宋体" w:eastAsia="宋体"/>
          <w:color w:val="000000" w:themeColor="text1"/>
          <w:sz w:val="24"/>
          <w:szCs w:val="24"/>
          <w:highlight w:val="none"/>
        </w:rPr>
        <w:t xml:space="preserve">                 </w:t>
      </w:r>
      <w:r>
        <w:rPr>
          <w:rFonts w:hint="eastAsia" w:ascii="宋体" w:hAnsi="宋体" w:eastAsia="宋体"/>
          <w:color w:val="000000" w:themeColor="text1"/>
          <w:sz w:val="24"/>
          <w:szCs w:val="24"/>
          <w:highlight w:val="none"/>
        </w:rPr>
        <w:t xml:space="preserve">      </w:t>
      </w:r>
      <w:r>
        <w:rPr>
          <w:rFonts w:ascii="宋体" w:hAnsi="宋体" w:eastAsia="宋体"/>
          <w:color w:val="000000" w:themeColor="text1"/>
          <w:sz w:val="24"/>
          <w:szCs w:val="24"/>
          <w:highlight w:val="none"/>
        </w:rPr>
        <w:t xml:space="preserve">  </w:t>
      </w:r>
      <w:r>
        <w:rPr>
          <w:rFonts w:hint="eastAsia" w:ascii="宋体" w:hAnsi="宋体" w:eastAsia="宋体"/>
          <w:color w:val="000000" w:themeColor="text1"/>
          <w:sz w:val="24"/>
          <w:szCs w:val="24"/>
          <w:highlight w:val="none"/>
        </w:rPr>
        <w:t>乙方代表并签字：</w:t>
      </w:r>
    </w:p>
    <w:p w14:paraId="02784152">
      <w:pPr>
        <w:widowControl/>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经办人签字：                            经办人签字：</w:t>
      </w:r>
    </w:p>
    <w:p w14:paraId="5A6E8ECD">
      <w:pPr>
        <w:widowControl/>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 xml:space="preserve">签字日期： </w:t>
      </w:r>
      <w:r>
        <w:rPr>
          <w:rFonts w:ascii="宋体" w:hAnsi="宋体" w:eastAsia="宋体"/>
          <w:color w:val="000000" w:themeColor="text1"/>
          <w:sz w:val="24"/>
          <w:szCs w:val="24"/>
          <w:highlight w:val="none"/>
        </w:rPr>
        <w:t xml:space="preserve">                             </w:t>
      </w:r>
      <w:r>
        <w:rPr>
          <w:rFonts w:hint="eastAsia" w:ascii="宋体" w:hAnsi="宋体" w:eastAsia="宋体"/>
          <w:color w:val="000000" w:themeColor="text1"/>
          <w:sz w:val="24"/>
          <w:szCs w:val="24"/>
          <w:highlight w:val="none"/>
        </w:rPr>
        <w:t>签字日期：</w:t>
      </w:r>
      <w:r>
        <w:rPr>
          <w:rFonts w:ascii="宋体" w:hAnsi="宋体" w:eastAsia="宋体"/>
          <w:color w:val="000000" w:themeColor="text1"/>
          <w:sz w:val="24"/>
          <w:szCs w:val="24"/>
          <w:highlight w:val="none"/>
        </w:rPr>
        <w:br w:type="page"/>
      </w:r>
    </w:p>
    <w:p w14:paraId="5E69282A">
      <w:pPr>
        <w:rPr>
          <w:color w:val="000000" w:themeColor="text1"/>
          <w:highlight w:val="none"/>
        </w:rPr>
      </w:pPr>
    </w:p>
    <w:p w14:paraId="0336AE00">
      <w:pPr>
        <w:pStyle w:val="27"/>
        <w:rPr>
          <w:rFonts w:ascii="宋体" w:hAnsi="宋体" w:eastAsia="宋体"/>
          <w:b w:val="0"/>
          <w:bCs w:val="0"/>
          <w:color w:val="000000" w:themeColor="text1"/>
          <w:sz w:val="24"/>
          <w:szCs w:val="24"/>
          <w:highlight w:val="none"/>
        </w:rPr>
      </w:pPr>
      <w:bookmarkStart w:id="45" w:name="_Toc211442738"/>
      <w:r>
        <w:rPr>
          <w:rFonts w:hint="eastAsia" w:ascii="宋体" w:hAnsi="宋体" w:eastAsia="宋体"/>
          <w:color w:val="000000" w:themeColor="text1"/>
          <w:highlight w:val="none"/>
        </w:rPr>
        <w:t xml:space="preserve">第六章 </w:t>
      </w:r>
      <w:r>
        <w:rPr>
          <w:rFonts w:ascii="宋体" w:hAnsi="宋体" w:eastAsia="宋体"/>
          <w:color w:val="000000" w:themeColor="text1"/>
          <w:highlight w:val="none"/>
        </w:rPr>
        <w:t xml:space="preserve"> </w:t>
      </w:r>
      <w:r>
        <w:rPr>
          <w:rFonts w:hint="eastAsia" w:ascii="宋体" w:hAnsi="宋体" w:eastAsia="宋体"/>
          <w:color w:val="000000" w:themeColor="text1"/>
          <w:highlight w:val="none"/>
        </w:rPr>
        <w:t>投标文件格式</w:t>
      </w:r>
      <w:bookmarkEnd w:id="45"/>
    </w:p>
    <w:p w14:paraId="63BDE833">
      <w:pPr>
        <w:widowControl/>
        <w:spacing w:line="360" w:lineRule="auto"/>
        <w:jc w:val="left"/>
        <w:rPr>
          <w:rFonts w:ascii="宋体" w:hAnsi="宋体" w:eastAsia="宋体"/>
          <w:b/>
          <w:bCs/>
          <w:color w:val="000000" w:themeColor="text1"/>
          <w:sz w:val="28"/>
          <w:szCs w:val="28"/>
          <w:highlight w:val="none"/>
        </w:rPr>
      </w:pPr>
    </w:p>
    <w:p w14:paraId="0781E132">
      <w:pPr>
        <w:widowControl/>
        <w:spacing w:line="360" w:lineRule="auto"/>
        <w:jc w:val="left"/>
        <w:rPr>
          <w:rFonts w:ascii="宋体" w:hAnsi="宋体" w:eastAsia="宋体"/>
          <w:b/>
          <w:bCs/>
          <w:color w:val="000000" w:themeColor="text1"/>
          <w:sz w:val="28"/>
          <w:szCs w:val="28"/>
          <w:highlight w:val="none"/>
        </w:rPr>
      </w:pPr>
    </w:p>
    <w:p w14:paraId="1CA8FE87">
      <w:pPr>
        <w:widowControl/>
        <w:spacing w:line="360" w:lineRule="auto"/>
        <w:jc w:val="left"/>
        <w:rPr>
          <w:rFonts w:ascii="宋体" w:hAnsi="宋体" w:eastAsia="宋体"/>
          <w:b/>
          <w:bCs/>
          <w:color w:val="000000" w:themeColor="text1"/>
          <w:sz w:val="28"/>
          <w:szCs w:val="28"/>
          <w:highlight w:val="none"/>
        </w:rPr>
      </w:pPr>
    </w:p>
    <w:p w14:paraId="1A393FD6">
      <w:pPr>
        <w:widowControl/>
        <w:spacing w:line="360" w:lineRule="auto"/>
        <w:jc w:val="center"/>
        <w:rPr>
          <w:rFonts w:ascii="宋体" w:hAnsi="宋体" w:eastAsia="宋体"/>
          <w:b/>
          <w:bCs/>
          <w:color w:val="000000" w:themeColor="text1"/>
          <w:sz w:val="84"/>
          <w:szCs w:val="84"/>
          <w:highlight w:val="none"/>
        </w:rPr>
      </w:pPr>
      <w:r>
        <w:rPr>
          <w:rFonts w:hint="eastAsia" w:ascii="宋体" w:hAnsi="宋体" w:eastAsia="宋体"/>
          <w:b/>
          <w:bCs/>
          <w:color w:val="000000" w:themeColor="text1"/>
          <w:sz w:val="84"/>
          <w:szCs w:val="84"/>
          <w:highlight w:val="none"/>
        </w:rPr>
        <w:t>投 标 文 件</w:t>
      </w:r>
    </w:p>
    <w:p w14:paraId="2152B076">
      <w:pPr>
        <w:widowControl/>
        <w:spacing w:line="360" w:lineRule="auto"/>
        <w:jc w:val="left"/>
        <w:rPr>
          <w:rFonts w:ascii="宋体" w:hAnsi="宋体" w:eastAsia="宋体"/>
          <w:b/>
          <w:bCs/>
          <w:color w:val="000000" w:themeColor="text1"/>
          <w:sz w:val="28"/>
          <w:szCs w:val="28"/>
          <w:highlight w:val="none"/>
        </w:rPr>
      </w:pPr>
    </w:p>
    <w:p w14:paraId="7C486FC9">
      <w:pPr>
        <w:widowControl/>
        <w:spacing w:line="360" w:lineRule="auto"/>
        <w:jc w:val="left"/>
        <w:rPr>
          <w:rFonts w:ascii="宋体" w:hAnsi="宋体" w:eastAsia="宋体"/>
          <w:b/>
          <w:bCs/>
          <w:color w:val="000000" w:themeColor="text1"/>
          <w:sz w:val="28"/>
          <w:szCs w:val="28"/>
          <w:highlight w:val="none"/>
        </w:rPr>
      </w:pPr>
    </w:p>
    <w:p w14:paraId="01F578D2">
      <w:pPr>
        <w:widowControl/>
        <w:spacing w:line="360" w:lineRule="auto"/>
        <w:jc w:val="left"/>
        <w:rPr>
          <w:rFonts w:ascii="宋体" w:hAnsi="宋体" w:eastAsia="宋体"/>
          <w:b/>
          <w:bCs/>
          <w:color w:val="000000" w:themeColor="text1"/>
          <w:sz w:val="28"/>
          <w:szCs w:val="28"/>
          <w:highlight w:val="none"/>
        </w:rPr>
      </w:pPr>
    </w:p>
    <w:p w14:paraId="4128BB13">
      <w:pPr>
        <w:widowControl/>
        <w:spacing w:line="360" w:lineRule="auto"/>
        <w:jc w:val="left"/>
        <w:rPr>
          <w:rFonts w:ascii="宋体" w:hAnsi="宋体" w:eastAsia="宋体"/>
          <w:b/>
          <w:bCs/>
          <w:color w:val="000000" w:themeColor="text1"/>
          <w:sz w:val="28"/>
          <w:szCs w:val="28"/>
          <w:highlight w:val="none"/>
        </w:rPr>
      </w:pPr>
    </w:p>
    <w:p w14:paraId="529D96E1">
      <w:pPr>
        <w:widowControl/>
        <w:spacing w:line="360" w:lineRule="auto"/>
        <w:ind w:firstLine="1124" w:firstLineChars="400"/>
        <w:jc w:val="left"/>
        <w:rPr>
          <w:rFonts w:ascii="宋体" w:hAnsi="宋体" w:eastAsia="宋体"/>
          <w:b/>
          <w:bCs/>
          <w:color w:val="000000" w:themeColor="text1"/>
          <w:sz w:val="28"/>
          <w:szCs w:val="28"/>
          <w:highlight w:val="none"/>
        </w:rPr>
      </w:pPr>
      <w:r>
        <w:rPr>
          <w:rFonts w:hint="eastAsia" w:ascii="宋体" w:hAnsi="宋体" w:eastAsia="宋体"/>
          <w:b/>
          <w:bCs/>
          <w:color w:val="000000" w:themeColor="text1"/>
          <w:sz w:val="28"/>
          <w:szCs w:val="28"/>
          <w:highlight w:val="none"/>
        </w:rPr>
        <w:t>项目名称：</w:t>
      </w:r>
    </w:p>
    <w:p w14:paraId="02B21174">
      <w:pPr>
        <w:widowControl/>
        <w:spacing w:line="360" w:lineRule="auto"/>
        <w:ind w:firstLine="1124" w:firstLineChars="400"/>
        <w:jc w:val="left"/>
        <w:rPr>
          <w:rFonts w:ascii="宋体" w:hAnsi="宋体" w:eastAsia="宋体"/>
          <w:b/>
          <w:bCs/>
          <w:color w:val="000000" w:themeColor="text1"/>
          <w:sz w:val="28"/>
          <w:szCs w:val="28"/>
          <w:highlight w:val="none"/>
        </w:rPr>
      </w:pPr>
      <w:r>
        <w:rPr>
          <w:rFonts w:hint="eastAsia" w:ascii="宋体" w:hAnsi="宋体" w:eastAsia="宋体"/>
          <w:b/>
          <w:bCs/>
          <w:color w:val="000000" w:themeColor="text1"/>
          <w:sz w:val="28"/>
          <w:szCs w:val="28"/>
          <w:highlight w:val="none"/>
        </w:rPr>
        <w:t>项目编号：</w:t>
      </w:r>
    </w:p>
    <w:p w14:paraId="04544F35">
      <w:pPr>
        <w:widowControl/>
        <w:spacing w:line="360" w:lineRule="auto"/>
        <w:ind w:firstLine="1124" w:firstLineChars="400"/>
        <w:jc w:val="left"/>
        <w:rPr>
          <w:rFonts w:ascii="宋体" w:hAnsi="宋体" w:eastAsia="宋体"/>
          <w:b/>
          <w:bCs/>
          <w:color w:val="000000" w:themeColor="text1"/>
          <w:sz w:val="28"/>
          <w:szCs w:val="28"/>
          <w:highlight w:val="none"/>
        </w:rPr>
      </w:pPr>
      <w:r>
        <w:rPr>
          <w:rFonts w:hint="eastAsia" w:ascii="宋体" w:hAnsi="宋体" w:eastAsia="宋体"/>
          <w:b/>
          <w:bCs/>
          <w:color w:val="000000" w:themeColor="text1"/>
          <w:sz w:val="28"/>
          <w:szCs w:val="28"/>
          <w:highlight w:val="none"/>
        </w:rPr>
        <w:t>包段名称：</w:t>
      </w:r>
    </w:p>
    <w:p w14:paraId="316F6359">
      <w:pPr>
        <w:widowControl/>
        <w:spacing w:line="360" w:lineRule="auto"/>
        <w:jc w:val="left"/>
        <w:rPr>
          <w:rFonts w:ascii="宋体" w:hAnsi="宋体" w:eastAsia="宋体"/>
          <w:b/>
          <w:bCs/>
          <w:color w:val="000000" w:themeColor="text1"/>
          <w:sz w:val="28"/>
          <w:szCs w:val="28"/>
          <w:highlight w:val="none"/>
        </w:rPr>
      </w:pPr>
    </w:p>
    <w:p w14:paraId="1943158E">
      <w:pPr>
        <w:widowControl/>
        <w:spacing w:line="360" w:lineRule="auto"/>
        <w:jc w:val="left"/>
        <w:rPr>
          <w:rFonts w:ascii="宋体" w:hAnsi="宋体" w:eastAsia="宋体"/>
          <w:b/>
          <w:bCs/>
          <w:color w:val="000000" w:themeColor="text1"/>
          <w:sz w:val="28"/>
          <w:szCs w:val="28"/>
          <w:highlight w:val="none"/>
        </w:rPr>
      </w:pPr>
    </w:p>
    <w:p w14:paraId="3D9EB713">
      <w:pPr>
        <w:widowControl/>
        <w:spacing w:line="360" w:lineRule="auto"/>
        <w:jc w:val="left"/>
        <w:rPr>
          <w:rFonts w:ascii="宋体" w:hAnsi="宋体" w:eastAsia="宋体"/>
          <w:b/>
          <w:bCs/>
          <w:color w:val="000000" w:themeColor="text1"/>
          <w:sz w:val="28"/>
          <w:szCs w:val="28"/>
          <w:highlight w:val="none"/>
        </w:rPr>
      </w:pPr>
    </w:p>
    <w:p w14:paraId="0CE224DE">
      <w:pPr>
        <w:widowControl/>
        <w:spacing w:line="360" w:lineRule="auto"/>
        <w:jc w:val="left"/>
        <w:rPr>
          <w:rFonts w:ascii="宋体" w:hAnsi="宋体" w:eastAsia="宋体"/>
          <w:b/>
          <w:bCs/>
          <w:color w:val="000000" w:themeColor="text1"/>
          <w:sz w:val="28"/>
          <w:szCs w:val="28"/>
          <w:highlight w:val="none"/>
        </w:rPr>
      </w:pPr>
    </w:p>
    <w:p w14:paraId="5AAD030E">
      <w:pPr>
        <w:widowControl/>
        <w:spacing w:line="360" w:lineRule="auto"/>
        <w:jc w:val="left"/>
        <w:rPr>
          <w:rFonts w:ascii="宋体" w:hAnsi="宋体" w:eastAsia="宋体"/>
          <w:b/>
          <w:bCs/>
          <w:color w:val="000000" w:themeColor="text1"/>
          <w:sz w:val="28"/>
          <w:szCs w:val="28"/>
          <w:highlight w:val="none"/>
        </w:rPr>
      </w:pPr>
    </w:p>
    <w:p w14:paraId="3A5B28F2">
      <w:pPr>
        <w:widowControl/>
        <w:spacing w:line="360" w:lineRule="auto"/>
        <w:ind w:firstLine="1124" w:firstLineChars="400"/>
        <w:jc w:val="left"/>
        <w:rPr>
          <w:rFonts w:ascii="宋体" w:hAnsi="宋体" w:eastAsia="宋体"/>
          <w:b/>
          <w:bCs/>
          <w:color w:val="000000" w:themeColor="text1"/>
          <w:sz w:val="28"/>
          <w:szCs w:val="28"/>
          <w:highlight w:val="none"/>
        </w:rPr>
      </w:pPr>
      <w:r>
        <w:rPr>
          <w:rFonts w:hint="eastAsia" w:ascii="宋体" w:hAnsi="宋体" w:eastAsia="宋体"/>
          <w:b/>
          <w:bCs/>
          <w:color w:val="000000" w:themeColor="text1"/>
          <w:sz w:val="28"/>
          <w:szCs w:val="28"/>
          <w:highlight w:val="none"/>
        </w:rPr>
        <w:t>投标人：</w:t>
      </w:r>
      <w:r>
        <w:rPr>
          <w:rFonts w:hint="eastAsia" w:ascii="宋体" w:hAnsi="宋体" w:eastAsia="宋体"/>
          <w:b/>
          <w:bCs/>
          <w:color w:val="000000" w:themeColor="text1"/>
          <w:sz w:val="28"/>
          <w:szCs w:val="28"/>
          <w:highlight w:val="none"/>
          <w:u w:val="single"/>
        </w:rPr>
        <w:t xml:space="preserve"> </w:t>
      </w:r>
      <w:r>
        <w:rPr>
          <w:rFonts w:ascii="宋体" w:hAnsi="宋体" w:eastAsia="宋体"/>
          <w:b/>
          <w:bCs/>
          <w:color w:val="000000" w:themeColor="text1"/>
          <w:sz w:val="28"/>
          <w:szCs w:val="28"/>
          <w:highlight w:val="none"/>
          <w:u w:val="single"/>
        </w:rPr>
        <w:t xml:space="preserve">                        </w:t>
      </w:r>
      <w:r>
        <w:rPr>
          <w:rFonts w:hint="eastAsia" w:ascii="宋体" w:hAnsi="宋体" w:eastAsia="宋体"/>
          <w:b/>
          <w:bCs/>
          <w:color w:val="000000" w:themeColor="text1"/>
          <w:sz w:val="28"/>
          <w:szCs w:val="28"/>
          <w:highlight w:val="none"/>
        </w:rPr>
        <w:t>（公章）</w:t>
      </w:r>
    </w:p>
    <w:p w14:paraId="563EA53A">
      <w:pPr>
        <w:widowControl/>
        <w:spacing w:line="360" w:lineRule="auto"/>
        <w:ind w:firstLine="1124" w:firstLineChars="400"/>
        <w:jc w:val="left"/>
        <w:rPr>
          <w:rFonts w:ascii="宋体" w:hAnsi="宋体" w:eastAsia="宋体"/>
          <w:b/>
          <w:bCs/>
          <w:color w:val="000000" w:themeColor="text1"/>
          <w:sz w:val="28"/>
          <w:szCs w:val="28"/>
          <w:highlight w:val="none"/>
        </w:rPr>
      </w:pPr>
      <w:r>
        <w:rPr>
          <w:rFonts w:hint="eastAsia" w:ascii="宋体" w:hAnsi="宋体" w:eastAsia="宋体"/>
          <w:b/>
          <w:bCs/>
          <w:color w:val="000000" w:themeColor="text1"/>
          <w:sz w:val="28"/>
          <w:szCs w:val="28"/>
          <w:highlight w:val="none"/>
        </w:rPr>
        <w:t xml:space="preserve">日 </w:t>
      </w:r>
      <w:r>
        <w:rPr>
          <w:rFonts w:ascii="宋体" w:hAnsi="宋体" w:eastAsia="宋体"/>
          <w:b/>
          <w:bCs/>
          <w:color w:val="000000" w:themeColor="text1"/>
          <w:sz w:val="28"/>
          <w:szCs w:val="28"/>
          <w:highlight w:val="none"/>
        </w:rPr>
        <w:t xml:space="preserve"> </w:t>
      </w:r>
      <w:r>
        <w:rPr>
          <w:rFonts w:hint="eastAsia" w:ascii="宋体" w:hAnsi="宋体" w:eastAsia="宋体"/>
          <w:b/>
          <w:bCs/>
          <w:color w:val="000000" w:themeColor="text1"/>
          <w:sz w:val="28"/>
          <w:szCs w:val="28"/>
          <w:highlight w:val="none"/>
        </w:rPr>
        <w:t>期：</w:t>
      </w:r>
      <w:r>
        <w:rPr>
          <w:rFonts w:hint="eastAsia" w:ascii="宋体" w:hAnsi="宋体" w:eastAsia="宋体"/>
          <w:b/>
          <w:bCs/>
          <w:color w:val="000000" w:themeColor="text1"/>
          <w:sz w:val="28"/>
          <w:szCs w:val="28"/>
          <w:highlight w:val="none"/>
          <w:u w:val="single"/>
        </w:rPr>
        <w:t xml:space="preserve"> </w:t>
      </w:r>
      <w:r>
        <w:rPr>
          <w:rFonts w:ascii="宋体" w:hAnsi="宋体" w:eastAsia="宋体"/>
          <w:b/>
          <w:bCs/>
          <w:color w:val="000000" w:themeColor="text1"/>
          <w:sz w:val="28"/>
          <w:szCs w:val="28"/>
          <w:highlight w:val="none"/>
          <w:u w:val="single"/>
        </w:rPr>
        <w:t xml:space="preserve">    </w:t>
      </w:r>
      <w:r>
        <w:rPr>
          <w:rFonts w:hint="eastAsia" w:ascii="宋体" w:hAnsi="宋体" w:eastAsia="宋体"/>
          <w:b/>
          <w:bCs/>
          <w:color w:val="000000" w:themeColor="text1"/>
          <w:sz w:val="28"/>
          <w:szCs w:val="28"/>
          <w:highlight w:val="none"/>
        </w:rPr>
        <w:t>年</w:t>
      </w:r>
      <w:r>
        <w:rPr>
          <w:rFonts w:hint="eastAsia" w:ascii="宋体" w:hAnsi="宋体" w:eastAsia="宋体"/>
          <w:b/>
          <w:bCs/>
          <w:color w:val="000000" w:themeColor="text1"/>
          <w:sz w:val="28"/>
          <w:szCs w:val="28"/>
          <w:highlight w:val="none"/>
          <w:u w:val="single"/>
        </w:rPr>
        <w:t xml:space="preserve"> </w:t>
      </w:r>
      <w:r>
        <w:rPr>
          <w:rFonts w:ascii="宋体" w:hAnsi="宋体" w:eastAsia="宋体"/>
          <w:b/>
          <w:bCs/>
          <w:color w:val="000000" w:themeColor="text1"/>
          <w:sz w:val="28"/>
          <w:szCs w:val="28"/>
          <w:highlight w:val="none"/>
          <w:u w:val="single"/>
        </w:rPr>
        <w:t xml:space="preserve">    </w:t>
      </w:r>
      <w:r>
        <w:rPr>
          <w:rFonts w:hint="eastAsia" w:ascii="宋体" w:hAnsi="宋体" w:eastAsia="宋体"/>
          <w:b/>
          <w:bCs/>
          <w:color w:val="000000" w:themeColor="text1"/>
          <w:sz w:val="28"/>
          <w:szCs w:val="28"/>
          <w:highlight w:val="none"/>
        </w:rPr>
        <w:t>月</w:t>
      </w:r>
      <w:r>
        <w:rPr>
          <w:rFonts w:hint="eastAsia" w:ascii="宋体" w:hAnsi="宋体" w:eastAsia="宋体"/>
          <w:b/>
          <w:bCs/>
          <w:color w:val="000000" w:themeColor="text1"/>
          <w:sz w:val="28"/>
          <w:szCs w:val="28"/>
          <w:highlight w:val="none"/>
          <w:u w:val="single"/>
        </w:rPr>
        <w:t xml:space="preserve"> </w:t>
      </w:r>
      <w:r>
        <w:rPr>
          <w:rFonts w:ascii="宋体" w:hAnsi="宋体" w:eastAsia="宋体"/>
          <w:b/>
          <w:bCs/>
          <w:color w:val="000000" w:themeColor="text1"/>
          <w:sz w:val="28"/>
          <w:szCs w:val="28"/>
          <w:highlight w:val="none"/>
          <w:u w:val="single"/>
        </w:rPr>
        <w:t xml:space="preserve">    </w:t>
      </w:r>
      <w:r>
        <w:rPr>
          <w:rFonts w:hint="eastAsia" w:ascii="宋体" w:hAnsi="宋体" w:eastAsia="宋体"/>
          <w:b/>
          <w:bCs/>
          <w:color w:val="000000" w:themeColor="text1"/>
          <w:sz w:val="28"/>
          <w:szCs w:val="28"/>
          <w:highlight w:val="none"/>
        </w:rPr>
        <w:t>日</w:t>
      </w:r>
    </w:p>
    <w:p w14:paraId="3C558FB1">
      <w:pPr>
        <w:widowControl/>
        <w:jc w:val="left"/>
        <w:rPr>
          <w:rFonts w:ascii="宋体" w:hAnsi="宋体" w:eastAsia="宋体"/>
          <w:b/>
          <w:bCs/>
          <w:color w:val="000000" w:themeColor="text1"/>
          <w:sz w:val="28"/>
          <w:szCs w:val="28"/>
          <w:highlight w:val="none"/>
        </w:rPr>
      </w:pPr>
      <w:r>
        <w:rPr>
          <w:rFonts w:ascii="宋体" w:hAnsi="宋体" w:eastAsia="宋体"/>
          <w:b/>
          <w:bCs/>
          <w:color w:val="000000" w:themeColor="text1"/>
          <w:sz w:val="28"/>
          <w:szCs w:val="28"/>
          <w:highlight w:val="none"/>
        </w:rPr>
        <w:br w:type="page"/>
      </w:r>
    </w:p>
    <w:p w14:paraId="3976492D">
      <w:pPr>
        <w:widowControl/>
        <w:spacing w:line="360" w:lineRule="auto"/>
        <w:jc w:val="left"/>
        <w:rPr>
          <w:rFonts w:ascii="宋体" w:hAnsi="宋体" w:eastAsia="宋体"/>
          <w:color w:val="000000" w:themeColor="text1"/>
          <w:sz w:val="24"/>
          <w:szCs w:val="24"/>
          <w:highlight w:val="none"/>
        </w:rPr>
      </w:pPr>
    </w:p>
    <w:p w14:paraId="09E20EF4">
      <w:pPr>
        <w:pStyle w:val="23"/>
        <w:rPr>
          <w:color w:val="000000" w:themeColor="text1"/>
          <w:highlight w:val="none"/>
        </w:rPr>
      </w:pPr>
      <w:bookmarkStart w:id="46" w:name="_Toc211442739"/>
      <w:r>
        <w:rPr>
          <w:rFonts w:hint="eastAsia"/>
          <w:color w:val="000000" w:themeColor="text1"/>
          <w:highlight w:val="none"/>
        </w:rPr>
        <w:t>一、法人代表授权书</w:t>
      </w:r>
      <w:bookmarkEnd w:id="46"/>
    </w:p>
    <w:p w14:paraId="406464AE">
      <w:pPr>
        <w:spacing w:line="360" w:lineRule="auto"/>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致：（采购人名称）</w:t>
      </w:r>
    </w:p>
    <w:p w14:paraId="66775055">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u w:val="single"/>
        </w:rPr>
        <w:t>(</w:t>
      </w:r>
      <w:r>
        <w:rPr>
          <w:rFonts w:ascii="宋体" w:hAnsi="宋体" w:eastAsia="宋体"/>
          <w:color w:val="000000" w:themeColor="text1"/>
          <w:sz w:val="24"/>
          <w:szCs w:val="24"/>
          <w:highlight w:val="none"/>
          <w:u w:val="single"/>
        </w:rPr>
        <w:t xml:space="preserve"> </w:t>
      </w:r>
      <w:r>
        <w:rPr>
          <w:rFonts w:hint="eastAsia" w:ascii="宋体" w:hAnsi="宋体" w:eastAsia="宋体"/>
          <w:color w:val="000000" w:themeColor="text1"/>
          <w:sz w:val="24"/>
          <w:szCs w:val="24"/>
          <w:highlight w:val="none"/>
          <w:u w:val="single"/>
        </w:rPr>
        <w:t>投标人名称 )</w:t>
      </w:r>
      <w:r>
        <w:rPr>
          <w:rFonts w:hint="eastAsia" w:ascii="宋体" w:hAnsi="宋体" w:eastAsia="宋体"/>
          <w:color w:val="000000" w:themeColor="text1"/>
          <w:sz w:val="24"/>
          <w:szCs w:val="24"/>
          <w:highlight w:val="none"/>
        </w:rPr>
        <w:t>按中华人民共和国法律于</w:t>
      </w:r>
      <w:r>
        <w:rPr>
          <w:rFonts w:hint="eastAsia" w:ascii="宋体" w:hAnsi="宋体" w:eastAsia="宋体"/>
          <w:color w:val="000000" w:themeColor="text1"/>
          <w:sz w:val="24"/>
          <w:szCs w:val="24"/>
          <w:highlight w:val="none"/>
          <w:u w:val="single"/>
        </w:rPr>
        <w:t xml:space="preserve">（ </w:t>
      </w:r>
      <w:r>
        <w:rPr>
          <w:rFonts w:ascii="宋体" w:hAnsi="宋体" w:eastAsia="宋体"/>
          <w:color w:val="000000" w:themeColor="text1"/>
          <w:sz w:val="24"/>
          <w:szCs w:val="24"/>
          <w:highlight w:val="none"/>
          <w:u w:val="single"/>
        </w:rPr>
        <w:t xml:space="preserve">    </w:t>
      </w:r>
      <w:r>
        <w:rPr>
          <w:rFonts w:hint="eastAsia" w:ascii="宋体" w:hAnsi="宋体" w:eastAsia="宋体"/>
          <w:color w:val="000000" w:themeColor="text1"/>
          <w:sz w:val="24"/>
          <w:szCs w:val="24"/>
          <w:highlight w:val="none"/>
          <w:u w:val="single"/>
        </w:rPr>
        <w:t xml:space="preserve">年 </w:t>
      </w:r>
      <w:r>
        <w:rPr>
          <w:rFonts w:ascii="宋体" w:hAnsi="宋体" w:eastAsia="宋体"/>
          <w:color w:val="000000" w:themeColor="text1"/>
          <w:sz w:val="24"/>
          <w:szCs w:val="24"/>
          <w:highlight w:val="none"/>
          <w:u w:val="single"/>
        </w:rPr>
        <w:t xml:space="preserve"> </w:t>
      </w:r>
      <w:r>
        <w:rPr>
          <w:rFonts w:hint="eastAsia" w:ascii="宋体" w:hAnsi="宋体" w:eastAsia="宋体"/>
          <w:color w:val="000000" w:themeColor="text1"/>
          <w:sz w:val="24"/>
          <w:szCs w:val="24"/>
          <w:highlight w:val="none"/>
          <w:u w:val="single"/>
        </w:rPr>
        <w:t xml:space="preserve">月 </w:t>
      </w:r>
      <w:r>
        <w:rPr>
          <w:rFonts w:ascii="宋体" w:hAnsi="宋体" w:eastAsia="宋体"/>
          <w:color w:val="000000" w:themeColor="text1"/>
          <w:sz w:val="24"/>
          <w:szCs w:val="24"/>
          <w:highlight w:val="none"/>
          <w:u w:val="single"/>
        </w:rPr>
        <w:t xml:space="preserve"> </w:t>
      </w:r>
      <w:r>
        <w:rPr>
          <w:rFonts w:hint="eastAsia" w:ascii="宋体" w:hAnsi="宋体" w:eastAsia="宋体"/>
          <w:color w:val="000000" w:themeColor="text1"/>
          <w:sz w:val="24"/>
          <w:szCs w:val="24"/>
          <w:highlight w:val="none"/>
          <w:u w:val="single"/>
        </w:rPr>
        <w:t>日）</w:t>
      </w:r>
      <w:r>
        <w:rPr>
          <w:rFonts w:hint="eastAsia" w:ascii="宋体" w:hAnsi="宋体" w:eastAsia="宋体"/>
          <w:color w:val="000000" w:themeColor="text1"/>
          <w:sz w:val="24"/>
          <w:szCs w:val="24"/>
          <w:highlight w:val="none"/>
        </w:rPr>
        <w:t>成立，现注册地址为</w:t>
      </w:r>
      <w:r>
        <w:rPr>
          <w:rFonts w:hint="eastAsia" w:ascii="宋体" w:hAnsi="宋体" w:eastAsia="宋体"/>
          <w:color w:val="000000" w:themeColor="text1"/>
          <w:sz w:val="24"/>
          <w:szCs w:val="24"/>
          <w:highlight w:val="none"/>
          <w:u w:val="single"/>
        </w:rPr>
        <w:t>（填写完整的地址信息）</w:t>
      </w:r>
      <w:r>
        <w:rPr>
          <w:rFonts w:hint="eastAsia" w:ascii="宋体" w:hAnsi="宋体" w:eastAsia="宋体"/>
          <w:color w:val="000000" w:themeColor="text1"/>
          <w:sz w:val="24"/>
          <w:szCs w:val="24"/>
          <w:highlight w:val="none"/>
        </w:rPr>
        <w:t>，营业（办公）地址为</w:t>
      </w:r>
      <w:r>
        <w:rPr>
          <w:rFonts w:hint="eastAsia" w:ascii="宋体" w:hAnsi="宋体" w:eastAsia="宋体"/>
          <w:color w:val="000000" w:themeColor="text1"/>
          <w:sz w:val="24"/>
          <w:szCs w:val="24"/>
          <w:highlight w:val="none"/>
          <w:u w:val="single"/>
        </w:rPr>
        <w:t>（填写完整的地址信息）</w:t>
      </w:r>
      <w:r>
        <w:rPr>
          <w:rFonts w:hint="eastAsia" w:ascii="宋体" w:hAnsi="宋体" w:eastAsia="宋体"/>
          <w:color w:val="000000" w:themeColor="text1"/>
          <w:sz w:val="24"/>
          <w:szCs w:val="24"/>
          <w:highlight w:val="none"/>
        </w:rPr>
        <w:t>正式联系电话为</w:t>
      </w:r>
      <w:r>
        <w:rPr>
          <w:rFonts w:hint="eastAsia" w:ascii="宋体" w:hAnsi="宋体" w:eastAsia="宋体"/>
          <w:color w:val="000000" w:themeColor="text1"/>
          <w:sz w:val="24"/>
          <w:szCs w:val="24"/>
          <w:highlight w:val="none"/>
          <w:u w:val="single"/>
        </w:rPr>
        <w:t xml:space="preserve">（ </w:t>
      </w:r>
      <w:r>
        <w:rPr>
          <w:rFonts w:ascii="宋体" w:hAnsi="宋体" w:eastAsia="宋体"/>
          <w:color w:val="000000" w:themeColor="text1"/>
          <w:sz w:val="24"/>
          <w:szCs w:val="24"/>
          <w:highlight w:val="none"/>
          <w:u w:val="single"/>
        </w:rPr>
        <w:t xml:space="preserve">     </w:t>
      </w:r>
      <w:r>
        <w:rPr>
          <w:rFonts w:hint="eastAsia" w:ascii="宋体" w:hAnsi="宋体" w:eastAsia="宋体"/>
          <w:color w:val="000000" w:themeColor="text1"/>
          <w:sz w:val="24"/>
          <w:szCs w:val="24"/>
          <w:highlight w:val="none"/>
          <w:u w:val="single"/>
        </w:rPr>
        <w:t>）</w:t>
      </w:r>
      <w:r>
        <w:rPr>
          <w:rFonts w:hint="eastAsia" w:ascii="宋体" w:hAnsi="宋体" w:eastAsia="宋体"/>
          <w:color w:val="000000" w:themeColor="text1"/>
          <w:sz w:val="24"/>
          <w:szCs w:val="24"/>
          <w:highlight w:val="none"/>
        </w:rPr>
        <w:t>。</w:t>
      </w:r>
      <w:r>
        <w:rPr>
          <w:rFonts w:hint="eastAsia" w:ascii="宋体" w:hAnsi="宋体" w:eastAsia="宋体"/>
          <w:color w:val="000000" w:themeColor="text1"/>
          <w:sz w:val="24"/>
          <w:szCs w:val="24"/>
          <w:highlight w:val="none"/>
          <w:u w:val="single"/>
        </w:rPr>
        <w:t>(法定代表人姓名)</w:t>
      </w:r>
      <w:r>
        <w:rPr>
          <w:rFonts w:hint="eastAsia" w:ascii="宋体" w:hAnsi="宋体" w:eastAsia="宋体"/>
          <w:color w:val="000000" w:themeColor="text1"/>
          <w:sz w:val="24"/>
          <w:szCs w:val="24"/>
          <w:highlight w:val="none"/>
        </w:rPr>
        <w:t>特授权</w:t>
      </w:r>
      <w:r>
        <w:rPr>
          <w:rFonts w:hint="eastAsia" w:ascii="宋体" w:hAnsi="宋体" w:eastAsia="宋体"/>
          <w:color w:val="000000" w:themeColor="text1"/>
          <w:sz w:val="24"/>
          <w:szCs w:val="24"/>
          <w:highlight w:val="none"/>
          <w:u w:val="single"/>
        </w:rPr>
        <w:t>（被授权人姓名）</w:t>
      </w:r>
      <w:r>
        <w:rPr>
          <w:rFonts w:hint="eastAsia" w:ascii="宋体" w:hAnsi="宋体" w:eastAsia="宋体"/>
          <w:color w:val="000000" w:themeColor="text1"/>
          <w:sz w:val="24"/>
          <w:szCs w:val="24"/>
          <w:highlight w:val="none"/>
        </w:rPr>
        <w:t>代表我公司全权办理针对本次政府采购</w:t>
      </w:r>
      <w:r>
        <w:rPr>
          <w:rFonts w:hint="eastAsia" w:ascii="宋体" w:hAnsi="宋体" w:eastAsia="宋体"/>
          <w:color w:val="000000" w:themeColor="text1"/>
          <w:sz w:val="24"/>
          <w:szCs w:val="24"/>
          <w:highlight w:val="none"/>
          <w:u w:val="single"/>
        </w:rPr>
        <w:t>（招标项目名称和项目编号）</w:t>
      </w:r>
      <w:r>
        <w:rPr>
          <w:rFonts w:hint="eastAsia" w:ascii="宋体" w:hAnsi="宋体" w:eastAsia="宋体"/>
          <w:color w:val="000000" w:themeColor="text1"/>
          <w:sz w:val="24"/>
          <w:szCs w:val="24"/>
          <w:highlight w:val="none"/>
        </w:rPr>
        <w:t>项目第</w:t>
      </w:r>
      <w:r>
        <w:rPr>
          <w:rFonts w:hint="eastAsia" w:ascii="宋体" w:hAnsi="宋体" w:eastAsia="宋体"/>
          <w:color w:val="000000" w:themeColor="text1"/>
          <w:sz w:val="24"/>
          <w:szCs w:val="24"/>
          <w:highlight w:val="none"/>
          <w:u w:val="single"/>
        </w:rPr>
        <w:t xml:space="preserve"> </w:t>
      </w:r>
      <w:r>
        <w:rPr>
          <w:rFonts w:ascii="宋体" w:hAnsi="宋体" w:eastAsia="宋体"/>
          <w:color w:val="000000" w:themeColor="text1"/>
          <w:sz w:val="24"/>
          <w:szCs w:val="24"/>
          <w:highlight w:val="none"/>
          <w:u w:val="single"/>
        </w:rPr>
        <w:t xml:space="preserve">  </w:t>
      </w:r>
      <w:r>
        <w:rPr>
          <w:rFonts w:hint="eastAsia" w:ascii="宋体" w:hAnsi="宋体" w:eastAsia="宋体"/>
          <w:color w:val="000000" w:themeColor="text1"/>
          <w:sz w:val="24"/>
          <w:szCs w:val="24"/>
          <w:highlight w:val="none"/>
        </w:rPr>
        <w:t>包</w:t>
      </w:r>
      <w:r>
        <w:rPr>
          <w:rFonts w:hint="eastAsia" w:ascii="宋体" w:hAnsi="宋体" w:eastAsia="宋体"/>
          <w:color w:val="000000" w:themeColor="text1"/>
          <w:sz w:val="24"/>
          <w:szCs w:val="24"/>
          <w:highlight w:val="none"/>
          <w:u w:val="single"/>
        </w:rPr>
        <w:t>（包名称）</w:t>
      </w:r>
      <w:r>
        <w:rPr>
          <w:rFonts w:hint="eastAsia" w:ascii="宋体" w:hAnsi="宋体" w:eastAsia="宋体"/>
          <w:color w:val="000000" w:themeColor="text1"/>
          <w:sz w:val="24"/>
          <w:szCs w:val="24"/>
          <w:highlight w:val="none"/>
        </w:rPr>
        <w:t>的投标、谈判、签约等具体工作，并签署全部有关的文件、协议及合同。</w:t>
      </w:r>
    </w:p>
    <w:p w14:paraId="0A51C704">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我公司对被授权人的签名负全部责任。</w:t>
      </w:r>
    </w:p>
    <w:p w14:paraId="7E4C9AC6">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本授权书于</w:t>
      </w:r>
      <w:r>
        <w:rPr>
          <w:rFonts w:hint="eastAsia" w:ascii="宋体" w:hAnsi="宋体" w:eastAsia="宋体"/>
          <w:color w:val="000000" w:themeColor="text1"/>
          <w:sz w:val="24"/>
          <w:szCs w:val="24"/>
          <w:highlight w:val="none"/>
          <w:u w:val="single"/>
        </w:rPr>
        <w:t xml:space="preserve"> </w:t>
      </w:r>
      <w:r>
        <w:rPr>
          <w:rFonts w:ascii="宋体" w:hAnsi="宋体" w:eastAsia="宋体"/>
          <w:color w:val="000000" w:themeColor="text1"/>
          <w:sz w:val="24"/>
          <w:szCs w:val="24"/>
          <w:highlight w:val="none"/>
          <w:u w:val="single"/>
        </w:rPr>
        <w:t xml:space="preserve">    </w:t>
      </w:r>
      <w:r>
        <w:rPr>
          <w:rFonts w:hint="eastAsia" w:ascii="宋体" w:hAnsi="宋体" w:eastAsia="宋体"/>
          <w:color w:val="000000" w:themeColor="text1"/>
          <w:sz w:val="24"/>
          <w:szCs w:val="24"/>
          <w:highlight w:val="none"/>
          <w:u w:val="single"/>
        </w:rPr>
        <w:t xml:space="preserve">年 </w:t>
      </w:r>
      <w:r>
        <w:rPr>
          <w:rFonts w:ascii="宋体" w:hAnsi="宋体" w:eastAsia="宋体"/>
          <w:color w:val="000000" w:themeColor="text1"/>
          <w:sz w:val="24"/>
          <w:szCs w:val="24"/>
          <w:highlight w:val="none"/>
          <w:u w:val="single"/>
        </w:rPr>
        <w:t xml:space="preserve"> </w:t>
      </w:r>
      <w:r>
        <w:rPr>
          <w:rFonts w:hint="eastAsia" w:ascii="宋体" w:hAnsi="宋体" w:eastAsia="宋体"/>
          <w:color w:val="000000" w:themeColor="text1"/>
          <w:sz w:val="24"/>
          <w:szCs w:val="24"/>
          <w:highlight w:val="none"/>
          <w:u w:val="single"/>
        </w:rPr>
        <w:t xml:space="preserve">月 </w:t>
      </w:r>
      <w:r>
        <w:rPr>
          <w:rFonts w:ascii="宋体" w:hAnsi="宋体" w:eastAsia="宋体"/>
          <w:color w:val="000000" w:themeColor="text1"/>
          <w:sz w:val="24"/>
          <w:szCs w:val="24"/>
          <w:highlight w:val="none"/>
          <w:u w:val="single"/>
        </w:rPr>
        <w:t xml:space="preserve"> </w:t>
      </w:r>
      <w:r>
        <w:rPr>
          <w:rFonts w:hint="eastAsia" w:ascii="宋体" w:hAnsi="宋体" w:eastAsia="宋体"/>
          <w:color w:val="000000" w:themeColor="text1"/>
          <w:sz w:val="24"/>
          <w:szCs w:val="24"/>
          <w:highlight w:val="none"/>
          <w:u w:val="single"/>
        </w:rPr>
        <w:t>日</w:t>
      </w:r>
      <w:r>
        <w:rPr>
          <w:rFonts w:hint="eastAsia" w:ascii="宋体" w:hAnsi="宋体" w:eastAsia="宋体"/>
          <w:color w:val="000000" w:themeColor="text1"/>
          <w:sz w:val="24"/>
          <w:szCs w:val="24"/>
          <w:highlight w:val="none"/>
        </w:rPr>
        <w:t>起签字生效，特此证明。</w:t>
      </w:r>
    </w:p>
    <w:p w14:paraId="5BDA9238">
      <w:pPr>
        <w:spacing w:line="360" w:lineRule="auto"/>
        <w:ind w:firstLine="480" w:firstLineChars="200"/>
        <w:rPr>
          <w:rFonts w:ascii="宋体" w:hAnsi="宋体" w:eastAsia="宋体"/>
          <w:color w:val="000000" w:themeColor="text1"/>
          <w:sz w:val="24"/>
          <w:szCs w:val="24"/>
          <w:highlight w:val="none"/>
        </w:rPr>
      </w:pPr>
    </w:p>
    <w:p w14:paraId="6B284495">
      <w:pPr>
        <w:spacing w:line="360" w:lineRule="auto"/>
        <w:ind w:firstLine="480" w:firstLineChars="200"/>
        <w:rPr>
          <w:rFonts w:ascii="宋体" w:hAnsi="宋体" w:eastAsia="宋体"/>
          <w:color w:val="000000" w:themeColor="text1"/>
          <w:sz w:val="24"/>
          <w:szCs w:val="24"/>
          <w:highlight w:val="none"/>
        </w:rPr>
      </w:pPr>
    </w:p>
    <w:p w14:paraId="02DC0AF5">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 xml:space="preserve">被授权人（签字或盖章）： </w:t>
      </w:r>
      <w:r>
        <w:rPr>
          <w:rFonts w:ascii="宋体" w:hAnsi="宋体" w:eastAsia="宋体"/>
          <w:color w:val="000000" w:themeColor="text1"/>
          <w:sz w:val="24"/>
          <w:szCs w:val="24"/>
          <w:highlight w:val="none"/>
        </w:rPr>
        <w:t xml:space="preserve">           </w:t>
      </w:r>
      <w:r>
        <w:rPr>
          <w:rFonts w:hint="eastAsia" w:ascii="宋体" w:hAnsi="宋体" w:eastAsia="宋体"/>
          <w:color w:val="000000" w:themeColor="text1"/>
          <w:sz w:val="24"/>
          <w:szCs w:val="24"/>
          <w:highlight w:val="none"/>
        </w:rPr>
        <w:t>法定代表人（签字或盖章）：</w:t>
      </w:r>
    </w:p>
    <w:p w14:paraId="4E9D122C">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 xml:space="preserve">职务： </w:t>
      </w:r>
      <w:r>
        <w:rPr>
          <w:rFonts w:ascii="宋体" w:hAnsi="宋体" w:eastAsia="宋体"/>
          <w:color w:val="000000" w:themeColor="text1"/>
          <w:sz w:val="24"/>
          <w:szCs w:val="24"/>
          <w:highlight w:val="none"/>
        </w:rPr>
        <w:t xml:space="preserve">                            </w:t>
      </w:r>
      <w:r>
        <w:rPr>
          <w:rFonts w:hint="eastAsia" w:ascii="宋体" w:hAnsi="宋体" w:eastAsia="宋体"/>
          <w:color w:val="000000" w:themeColor="text1"/>
          <w:sz w:val="24"/>
          <w:szCs w:val="24"/>
          <w:highlight w:val="none"/>
        </w:rPr>
        <w:t>职务：</w:t>
      </w:r>
    </w:p>
    <w:p w14:paraId="7ACF1287">
      <w:pPr>
        <w:spacing w:line="360" w:lineRule="auto"/>
        <w:ind w:firstLine="480" w:firstLineChars="200"/>
        <w:rPr>
          <w:rFonts w:ascii="宋体" w:hAnsi="宋体" w:eastAsia="宋体"/>
          <w:color w:val="000000" w:themeColor="text1"/>
          <w:sz w:val="24"/>
          <w:szCs w:val="24"/>
          <w:highlight w:val="none"/>
        </w:rPr>
      </w:pPr>
    </w:p>
    <w:p w14:paraId="7506AF23">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投标人名称（公章）：</w:t>
      </w:r>
    </w:p>
    <w:p w14:paraId="1C79D9B6">
      <w:pPr>
        <w:spacing w:line="360" w:lineRule="auto"/>
        <w:ind w:firstLine="480" w:firstLineChars="200"/>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 xml:space="preserve">日期： </w:t>
      </w:r>
      <w:r>
        <w:rPr>
          <w:rFonts w:ascii="宋体" w:hAnsi="宋体" w:eastAsia="宋体" w:cs="宋体"/>
          <w:color w:val="000000" w:themeColor="text1"/>
          <w:kern w:val="0"/>
          <w:sz w:val="24"/>
          <w:szCs w:val="24"/>
          <w:highlight w:val="none"/>
        </w:rPr>
        <w:t xml:space="preserve">   </w:t>
      </w:r>
      <w:r>
        <w:rPr>
          <w:rFonts w:hint="eastAsia" w:ascii="宋体" w:hAnsi="宋体" w:eastAsia="宋体" w:cs="宋体"/>
          <w:color w:val="000000" w:themeColor="text1"/>
          <w:kern w:val="0"/>
          <w:sz w:val="24"/>
          <w:szCs w:val="24"/>
          <w:highlight w:val="none"/>
        </w:rPr>
        <w:t xml:space="preserve">年 </w:t>
      </w:r>
      <w:r>
        <w:rPr>
          <w:rFonts w:ascii="宋体" w:hAnsi="宋体" w:eastAsia="宋体" w:cs="宋体"/>
          <w:color w:val="000000" w:themeColor="text1"/>
          <w:kern w:val="0"/>
          <w:sz w:val="24"/>
          <w:szCs w:val="24"/>
          <w:highlight w:val="none"/>
        </w:rPr>
        <w:t xml:space="preserve"> </w:t>
      </w:r>
      <w:r>
        <w:rPr>
          <w:rFonts w:hint="eastAsia" w:ascii="宋体" w:hAnsi="宋体" w:eastAsia="宋体" w:cs="宋体"/>
          <w:color w:val="000000" w:themeColor="text1"/>
          <w:kern w:val="0"/>
          <w:sz w:val="24"/>
          <w:szCs w:val="24"/>
          <w:highlight w:val="none"/>
        </w:rPr>
        <w:t xml:space="preserve">月 </w:t>
      </w:r>
      <w:r>
        <w:rPr>
          <w:rFonts w:ascii="宋体" w:hAnsi="宋体" w:eastAsia="宋体" w:cs="宋体"/>
          <w:color w:val="000000" w:themeColor="text1"/>
          <w:kern w:val="0"/>
          <w:sz w:val="24"/>
          <w:szCs w:val="24"/>
          <w:highlight w:val="none"/>
        </w:rPr>
        <w:t xml:space="preserve"> </w:t>
      </w:r>
      <w:r>
        <w:rPr>
          <w:rFonts w:hint="eastAsia" w:ascii="宋体" w:hAnsi="宋体" w:eastAsia="宋体" w:cs="宋体"/>
          <w:color w:val="000000" w:themeColor="text1"/>
          <w:kern w:val="0"/>
          <w:sz w:val="24"/>
          <w:szCs w:val="24"/>
          <w:highlight w:val="none"/>
        </w:rPr>
        <w:t>日</w:t>
      </w:r>
    </w:p>
    <w:p w14:paraId="09A1E8AC">
      <w:pPr>
        <w:spacing w:line="360" w:lineRule="auto"/>
        <w:ind w:firstLine="480" w:firstLineChars="200"/>
        <w:rPr>
          <w:rFonts w:ascii="宋体" w:hAnsi="宋体" w:eastAsia="宋体"/>
          <w:color w:val="000000" w:themeColor="text1"/>
          <w:sz w:val="24"/>
          <w:szCs w:val="24"/>
          <w:highlight w:val="none"/>
        </w:rPr>
      </w:pPr>
    </w:p>
    <w:p w14:paraId="2367C1E3">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附件：法定代表人、被授权人身份证复印件</w:t>
      </w:r>
    </w:p>
    <w:p w14:paraId="5E85EC2B">
      <w:pPr>
        <w:spacing w:line="360" w:lineRule="auto"/>
        <w:ind w:firstLine="1200" w:firstLineChars="5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（必须印正反两面的完整信息）</w:t>
      </w:r>
    </w:p>
    <w:p w14:paraId="52C20B21">
      <w:pPr>
        <w:widowControl/>
        <w:jc w:val="left"/>
        <w:rPr>
          <w:rFonts w:ascii="宋体" w:hAnsi="宋体" w:eastAsia="宋体"/>
          <w:color w:val="000000" w:themeColor="text1"/>
          <w:sz w:val="24"/>
          <w:szCs w:val="24"/>
          <w:highlight w:val="none"/>
        </w:rPr>
      </w:pPr>
      <w:r>
        <w:rPr>
          <w:rFonts w:ascii="宋体" w:hAnsi="宋体" w:eastAsia="宋体"/>
          <w:color w:val="000000" w:themeColor="text1"/>
          <w:sz w:val="24"/>
          <w:szCs w:val="24"/>
          <w:highlight w:val="none"/>
        </w:rPr>
        <w:br w:type="page"/>
      </w:r>
    </w:p>
    <w:p w14:paraId="7931E533">
      <w:pPr>
        <w:spacing w:line="360" w:lineRule="auto"/>
        <w:rPr>
          <w:rFonts w:ascii="宋体" w:hAnsi="宋体" w:eastAsia="宋体"/>
          <w:color w:val="000000" w:themeColor="text1"/>
          <w:sz w:val="24"/>
          <w:szCs w:val="24"/>
          <w:highlight w:val="none"/>
        </w:rPr>
      </w:pPr>
    </w:p>
    <w:p w14:paraId="0A32CB2B">
      <w:pPr>
        <w:pStyle w:val="23"/>
        <w:rPr>
          <w:color w:val="000000" w:themeColor="text1"/>
          <w:highlight w:val="none"/>
        </w:rPr>
      </w:pPr>
      <w:bookmarkStart w:id="47" w:name="_Toc211442740"/>
      <w:r>
        <w:rPr>
          <w:rFonts w:hint="eastAsia"/>
          <w:color w:val="000000" w:themeColor="text1"/>
          <w:highlight w:val="none"/>
        </w:rPr>
        <w:t>二、政府采购供应商拒绝政府采购领域商业贿赂承诺书</w:t>
      </w:r>
      <w:bookmarkEnd w:id="47"/>
    </w:p>
    <w:p w14:paraId="59A8EAFD">
      <w:pPr>
        <w:spacing w:line="360" w:lineRule="auto"/>
        <w:ind w:firstLine="480" w:firstLineChars="200"/>
        <w:rPr>
          <w:rFonts w:ascii="宋体" w:hAnsi="宋体" w:eastAsia="宋体"/>
          <w:color w:val="000000" w:themeColor="text1"/>
          <w:sz w:val="24"/>
          <w:szCs w:val="24"/>
          <w:highlight w:val="none"/>
        </w:rPr>
      </w:pPr>
    </w:p>
    <w:p w14:paraId="404BD8DB">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为响应党中央、国务院关于治理政府采购领域商业贿赂行为的号召，我公司在此庄严承诺：</w:t>
      </w:r>
    </w:p>
    <w:p w14:paraId="38CB2772">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1、在参与政府采购活动中遵纪守法、诚信经营、公平竞标。</w:t>
      </w:r>
    </w:p>
    <w:p w14:paraId="64B50ABE">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2、不向政府采购人、采购代理机构和政府采购评审专家进行任何形式的商业贿赂以谋取交易机会。</w:t>
      </w:r>
    </w:p>
    <w:p w14:paraId="1069FC0F">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3、不向政府采购代理机构和采购人提供虚假资质文件或采用虚假应标方式参与政府采购市场竞争并谋取中标、成交。</w:t>
      </w:r>
    </w:p>
    <w:p w14:paraId="4CF7878B">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4、不采取“围标、陪标”等商业欺诈手段获得政府采购定单。</w:t>
      </w:r>
    </w:p>
    <w:p w14:paraId="4F17ACE5">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5、不采取不正当手段诋毁、排挤其他供应商。</w:t>
      </w:r>
    </w:p>
    <w:p w14:paraId="5A50BF61">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6、不在提供商品和服务时“偷梁换柱、以次充好”损害采购人的合法权益。</w:t>
      </w:r>
    </w:p>
    <w:p w14:paraId="66CAE58C">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7、不与采购人、采购代理机构政府采购评审专家或其它供应商恶意串通，进行质疑和投诉，维护政府采购市场秩序。</w:t>
      </w:r>
    </w:p>
    <w:p w14:paraId="10D508A0">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8、尊重和接受政府采购监督管理部门的监督和政府采购代理机构招标采购要求，承担因违约行为给采购人造成的损失。</w:t>
      </w:r>
    </w:p>
    <w:p w14:paraId="57B890A8">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9、不发生其他有悖于政府采购公开、公平、公正和诚信原则的行为。</w:t>
      </w:r>
    </w:p>
    <w:p w14:paraId="5E924F27">
      <w:pPr>
        <w:spacing w:line="360" w:lineRule="auto"/>
        <w:rPr>
          <w:rFonts w:ascii="宋体" w:hAnsi="宋体" w:eastAsia="宋体"/>
          <w:color w:val="000000" w:themeColor="text1"/>
          <w:sz w:val="24"/>
          <w:szCs w:val="24"/>
          <w:highlight w:val="none"/>
        </w:rPr>
      </w:pPr>
    </w:p>
    <w:p w14:paraId="2DF36801">
      <w:pPr>
        <w:spacing w:line="360" w:lineRule="auto"/>
        <w:rPr>
          <w:rFonts w:ascii="宋体" w:hAnsi="宋体" w:eastAsia="宋体"/>
          <w:color w:val="000000" w:themeColor="text1"/>
          <w:sz w:val="24"/>
          <w:szCs w:val="24"/>
          <w:highlight w:val="none"/>
        </w:rPr>
      </w:pPr>
    </w:p>
    <w:p w14:paraId="6DE9CA39">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投标人名称（公章）：</w:t>
      </w:r>
    </w:p>
    <w:p w14:paraId="3CFFE112">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法定代表人或授权代表（签字或盖章）：</w:t>
      </w:r>
    </w:p>
    <w:p w14:paraId="3F6A4CD3">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s="宋体"/>
          <w:color w:val="000000" w:themeColor="text1"/>
          <w:kern w:val="0"/>
          <w:sz w:val="24"/>
          <w:szCs w:val="24"/>
          <w:highlight w:val="none"/>
        </w:rPr>
        <w:t xml:space="preserve">日期： </w:t>
      </w:r>
      <w:r>
        <w:rPr>
          <w:rFonts w:ascii="宋体" w:hAnsi="宋体" w:eastAsia="宋体" w:cs="宋体"/>
          <w:color w:val="000000" w:themeColor="text1"/>
          <w:kern w:val="0"/>
          <w:sz w:val="24"/>
          <w:szCs w:val="24"/>
          <w:highlight w:val="none"/>
        </w:rPr>
        <w:t xml:space="preserve">   </w:t>
      </w:r>
      <w:r>
        <w:rPr>
          <w:rFonts w:hint="eastAsia" w:ascii="宋体" w:hAnsi="宋体" w:eastAsia="宋体" w:cs="宋体"/>
          <w:color w:val="000000" w:themeColor="text1"/>
          <w:kern w:val="0"/>
          <w:sz w:val="24"/>
          <w:szCs w:val="24"/>
          <w:highlight w:val="none"/>
        </w:rPr>
        <w:t xml:space="preserve">年 </w:t>
      </w:r>
      <w:r>
        <w:rPr>
          <w:rFonts w:ascii="宋体" w:hAnsi="宋体" w:eastAsia="宋体" w:cs="宋体"/>
          <w:color w:val="000000" w:themeColor="text1"/>
          <w:kern w:val="0"/>
          <w:sz w:val="24"/>
          <w:szCs w:val="24"/>
          <w:highlight w:val="none"/>
        </w:rPr>
        <w:t xml:space="preserve"> </w:t>
      </w:r>
      <w:r>
        <w:rPr>
          <w:rFonts w:hint="eastAsia" w:ascii="宋体" w:hAnsi="宋体" w:eastAsia="宋体" w:cs="宋体"/>
          <w:color w:val="000000" w:themeColor="text1"/>
          <w:kern w:val="0"/>
          <w:sz w:val="24"/>
          <w:szCs w:val="24"/>
          <w:highlight w:val="none"/>
        </w:rPr>
        <w:t xml:space="preserve">月 </w:t>
      </w:r>
      <w:r>
        <w:rPr>
          <w:rFonts w:ascii="宋体" w:hAnsi="宋体" w:eastAsia="宋体" w:cs="宋体"/>
          <w:color w:val="000000" w:themeColor="text1"/>
          <w:kern w:val="0"/>
          <w:sz w:val="24"/>
          <w:szCs w:val="24"/>
          <w:highlight w:val="none"/>
        </w:rPr>
        <w:t xml:space="preserve"> </w:t>
      </w:r>
      <w:r>
        <w:rPr>
          <w:rFonts w:hint="eastAsia" w:ascii="宋体" w:hAnsi="宋体" w:eastAsia="宋体" w:cs="宋体"/>
          <w:color w:val="000000" w:themeColor="text1"/>
          <w:kern w:val="0"/>
          <w:sz w:val="24"/>
          <w:szCs w:val="24"/>
          <w:highlight w:val="none"/>
        </w:rPr>
        <w:t>日</w:t>
      </w:r>
    </w:p>
    <w:p w14:paraId="6C1219F5">
      <w:pPr>
        <w:widowControl/>
        <w:jc w:val="left"/>
        <w:rPr>
          <w:rFonts w:ascii="宋体" w:hAnsi="宋体" w:eastAsia="宋体"/>
          <w:color w:val="000000" w:themeColor="text1"/>
          <w:sz w:val="24"/>
          <w:szCs w:val="24"/>
          <w:highlight w:val="none"/>
        </w:rPr>
      </w:pPr>
      <w:r>
        <w:rPr>
          <w:rFonts w:ascii="宋体" w:hAnsi="宋体" w:eastAsia="宋体"/>
          <w:color w:val="000000" w:themeColor="text1"/>
          <w:sz w:val="24"/>
          <w:szCs w:val="24"/>
          <w:highlight w:val="none"/>
        </w:rPr>
        <w:br w:type="page"/>
      </w:r>
    </w:p>
    <w:p w14:paraId="0D7ACE02">
      <w:pPr>
        <w:spacing w:line="360" w:lineRule="auto"/>
        <w:rPr>
          <w:rFonts w:ascii="宋体" w:hAnsi="宋体" w:eastAsia="宋体"/>
          <w:color w:val="000000" w:themeColor="text1"/>
          <w:sz w:val="24"/>
          <w:szCs w:val="24"/>
          <w:highlight w:val="none"/>
        </w:rPr>
      </w:pPr>
    </w:p>
    <w:p w14:paraId="3B3DDBE6">
      <w:pPr>
        <w:pStyle w:val="23"/>
        <w:rPr>
          <w:color w:val="000000" w:themeColor="text1"/>
          <w:highlight w:val="none"/>
        </w:rPr>
      </w:pPr>
      <w:bookmarkStart w:id="48" w:name="_Toc211442741"/>
      <w:r>
        <w:rPr>
          <w:rFonts w:hint="eastAsia"/>
          <w:color w:val="000000" w:themeColor="text1"/>
          <w:highlight w:val="none"/>
        </w:rPr>
        <w:t>三、资格证明文件</w:t>
      </w:r>
      <w:bookmarkEnd w:id="48"/>
    </w:p>
    <w:p w14:paraId="4F29D0BC">
      <w:pPr>
        <w:widowControl/>
        <w:spacing w:line="360" w:lineRule="auto"/>
        <w:jc w:val="left"/>
        <w:rPr>
          <w:rFonts w:ascii="宋体" w:hAnsi="宋体" w:eastAsia="宋体" w:cs="宋体"/>
          <w:color w:val="000000" w:themeColor="text1"/>
          <w:kern w:val="0"/>
          <w:sz w:val="24"/>
          <w:szCs w:val="24"/>
          <w:highlight w:val="none"/>
        </w:rPr>
      </w:pPr>
    </w:p>
    <w:p w14:paraId="12398F65">
      <w:pPr>
        <w:widowControl/>
        <w:spacing w:line="360" w:lineRule="auto"/>
        <w:jc w:val="left"/>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见招标文件第二章投标人须知前附表第</w:t>
      </w:r>
      <w:r>
        <w:rPr>
          <w:rFonts w:ascii="宋体" w:hAnsi="宋体" w:eastAsia="宋体" w:cs="宋体"/>
          <w:color w:val="000000" w:themeColor="text1"/>
          <w:kern w:val="0"/>
          <w:sz w:val="24"/>
          <w:szCs w:val="24"/>
          <w:highlight w:val="none"/>
        </w:rPr>
        <w:t>11</w:t>
      </w:r>
      <w:r>
        <w:rPr>
          <w:rFonts w:hint="eastAsia" w:ascii="宋体" w:hAnsi="宋体" w:eastAsia="宋体" w:cs="宋体"/>
          <w:color w:val="000000" w:themeColor="text1"/>
          <w:kern w:val="0"/>
          <w:sz w:val="24"/>
          <w:szCs w:val="24"/>
          <w:highlight w:val="none"/>
        </w:rPr>
        <w:t>项要求。</w:t>
      </w:r>
    </w:p>
    <w:p w14:paraId="453EDA07">
      <w:pPr>
        <w:widowControl/>
        <w:spacing w:line="360" w:lineRule="auto"/>
        <w:jc w:val="left"/>
        <w:rPr>
          <w:rFonts w:ascii="宋体" w:hAnsi="宋体" w:eastAsia="宋体" w:cs="宋体"/>
          <w:b/>
          <w:bCs/>
          <w:color w:val="000000" w:themeColor="text1"/>
          <w:kern w:val="0"/>
          <w:sz w:val="24"/>
          <w:szCs w:val="24"/>
          <w:highlight w:val="none"/>
        </w:rPr>
      </w:pPr>
    </w:p>
    <w:p w14:paraId="173F0B33">
      <w:pPr>
        <w:widowControl/>
        <w:spacing w:line="360" w:lineRule="auto"/>
        <w:jc w:val="left"/>
        <w:rPr>
          <w:rFonts w:ascii="宋体" w:hAnsi="宋体" w:eastAsia="宋体" w:cs="宋体"/>
          <w:b/>
          <w:bCs/>
          <w:color w:val="000000" w:themeColor="text1"/>
          <w:kern w:val="0"/>
          <w:sz w:val="24"/>
          <w:szCs w:val="24"/>
          <w:highlight w:val="none"/>
        </w:rPr>
      </w:pPr>
    </w:p>
    <w:p w14:paraId="689D5008">
      <w:pPr>
        <w:widowControl/>
        <w:spacing w:line="360" w:lineRule="auto"/>
        <w:jc w:val="left"/>
        <w:rPr>
          <w:rFonts w:ascii="宋体" w:hAnsi="宋体" w:eastAsia="宋体" w:cs="宋体"/>
          <w:b/>
          <w:bCs/>
          <w:color w:val="000000" w:themeColor="text1"/>
          <w:kern w:val="0"/>
          <w:sz w:val="24"/>
          <w:szCs w:val="24"/>
          <w:highlight w:val="none"/>
        </w:rPr>
      </w:pPr>
      <w:r>
        <w:rPr>
          <w:rFonts w:hint="eastAsia" w:ascii="宋体" w:hAnsi="宋体" w:eastAsia="宋体" w:cs="宋体"/>
          <w:b/>
          <w:bCs/>
          <w:color w:val="000000" w:themeColor="text1"/>
          <w:kern w:val="0"/>
          <w:sz w:val="24"/>
          <w:szCs w:val="24"/>
          <w:highlight w:val="none"/>
        </w:rPr>
        <w:t>注：</w:t>
      </w:r>
    </w:p>
    <w:p w14:paraId="76143F0F">
      <w:pPr>
        <w:widowControl/>
        <w:spacing w:line="360" w:lineRule="auto"/>
        <w:jc w:val="left"/>
        <w:rPr>
          <w:rFonts w:ascii="宋体" w:hAnsi="宋体" w:eastAsia="宋体" w:cs="宋体"/>
          <w:b/>
          <w:bCs/>
          <w:color w:val="000000" w:themeColor="text1"/>
          <w:kern w:val="0"/>
          <w:sz w:val="24"/>
          <w:szCs w:val="24"/>
          <w:highlight w:val="none"/>
        </w:rPr>
      </w:pPr>
      <w:r>
        <w:rPr>
          <w:rFonts w:hint="eastAsia" w:ascii="宋体" w:hAnsi="宋体" w:eastAsia="宋体" w:cs="宋体"/>
          <w:b/>
          <w:bCs/>
          <w:color w:val="000000" w:themeColor="text1"/>
          <w:kern w:val="0"/>
          <w:sz w:val="24"/>
          <w:szCs w:val="24"/>
          <w:highlight w:val="none"/>
        </w:rPr>
        <w:t>1、加盖投标人公章。</w:t>
      </w:r>
    </w:p>
    <w:p w14:paraId="01C421D5">
      <w:pPr>
        <w:widowControl/>
        <w:spacing w:line="360" w:lineRule="auto"/>
        <w:jc w:val="left"/>
        <w:rPr>
          <w:rFonts w:ascii="宋体" w:hAnsi="宋体" w:eastAsia="宋体" w:cs="宋体"/>
          <w:b/>
          <w:bCs/>
          <w:color w:val="000000" w:themeColor="text1"/>
          <w:kern w:val="0"/>
          <w:sz w:val="24"/>
          <w:szCs w:val="24"/>
          <w:highlight w:val="none"/>
        </w:rPr>
      </w:pPr>
      <w:r>
        <w:rPr>
          <w:rFonts w:hint="eastAsia" w:ascii="宋体" w:hAnsi="宋体" w:eastAsia="宋体" w:cs="宋体"/>
          <w:b/>
          <w:bCs/>
          <w:color w:val="000000" w:themeColor="text1"/>
          <w:kern w:val="0"/>
          <w:sz w:val="24"/>
          <w:szCs w:val="24"/>
          <w:highlight w:val="none"/>
        </w:rPr>
        <w:t>2、投标人应按照招标文件的要求自行准备以上证明文件并编目。</w:t>
      </w:r>
    </w:p>
    <w:p w14:paraId="5C5293C3">
      <w:pPr>
        <w:widowControl/>
        <w:jc w:val="left"/>
        <w:rPr>
          <w:rFonts w:ascii="宋体" w:hAnsi="宋体" w:eastAsia="宋体" w:cs="宋体"/>
          <w:b/>
          <w:bCs/>
          <w:color w:val="000000" w:themeColor="text1"/>
          <w:kern w:val="0"/>
          <w:sz w:val="24"/>
          <w:szCs w:val="24"/>
          <w:highlight w:val="none"/>
        </w:rPr>
      </w:pPr>
      <w:r>
        <w:rPr>
          <w:rFonts w:ascii="宋体" w:hAnsi="宋体" w:eastAsia="宋体" w:cs="宋体"/>
          <w:b/>
          <w:bCs/>
          <w:color w:val="000000" w:themeColor="text1"/>
          <w:kern w:val="0"/>
          <w:sz w:val="24"/>
          <w:szCs w:val="24"/>
          <w:highlight w:val="none"/>
        </w:rPr>
        <w:br w:type="page"/>
      </w:r>
    </w:p>
    <w:p w14:paraId="66FB8033">
      <w:pPr>
        <w:widowControl/>
        <w:spacing w:line="360" w:lineRule="auto"/>
        <w:jc w:val="left"/>
        <w:rPr>
          <w:rFonts w:ascii="宋体" w:hAnsi="宋体" w:eastAsia="宋体" w:cs="宋体"/>
          <w:b/>
          <w:bCs/>
          <w:color w:val="000000" w:themeColor="text1"/>
          <w:kern w:val="0"/>
          <w:sz w:val="24"/>
          <w:szCs w:val="24"/>
          <w:highlight w:val="none"/>
        </w:rPr>
      </w:pPr>
    </w:p>
    <w:p w14:paraId="597205A2">
      <w:pPr>
        <w:widowControl/>
        <w:spacing w:line="360" w:lineRule="auto"/>
        <w:jc w:val="left"/>
        <w:rPr>
          <w:rFonts w:ascii="宋体" w:hAnsi="宋体" w:eastAsia="宋体" w:cs="宋体"/>
          <w:color w:val="000000" w:themeColor="text1"/>
          <w:kern w:val="0"/>
          <w:sz w:val="28"/>
          <w:szCs w:val="28"/>
          <w:highlight w:val="none"/>
        </w:rPr>
      </w:pPr>
      <w:r>
        <w:rPr>
          <w:rFonts w:hint="eastAsia" w:ascii="宋体" w:hAnsi="宋体" w:eastAsia="宋体" w:cs="宋体"/>
          <w:b/>
          <w:bCs/>
          <w:color w:val="000000" w:themeColor="text1"/>
          <w:kern w:val="0"/>
          <w:sz w:val="28"/>
          <w:szCs w:val="28"/>
          <w:highlight w:val="none"/>
        </w:rPr>
        <w:t>附件1：</w:t>
      </w:r>
    </w:p>
    <w:p w14:paraId="064F0148">
      <w:pPr>
        <w:widowControl/>
        <w:spacing w:line="360" w:lineRule="auto"/>
        <w:jc w:val="center"/>
        <w:rPr>
          <w:rFonts w:ascii="宋体" w:hAnsi="宋体" w:eastAsia="宋体" w:cs="宋体"/>
          <w:b/>
          <w:bCs/>
          <w:color w:val="000000" w:themeColor="text1"/>
          <w:kern w:val="0"/>
          <w:sz w:val="28"/>
          <w:szCs w:val="28"/>
          <w:highlight w:val="none"/>
        </w:rPr>
      </w:pPr>
    </w:p>
    <w:p w14:paraId="1FF0CA13">
      <w:pPr>
        <w:widowControl/>
        <w:spacing w:line="360" w:lineRule="auto"/>
        <w:jc w:val="center"/>
        <w:rPr>
          <w:rFonts w:ascii="宋体" w:hAnsi="宋体" w:eastAsia="宋体" w:cs="宋体"/>
          <w:color w:val="000000" w:themeColor="text1"/>
          <w:kern w:val="0"/>
          <w:sz w:val="28"/>
          <w:szCs w:val="28"/>
          <w:highlight w:val="none"/>
        </w:rPr>
      </w:pPr>
      <w:r>
        <w:rPr>
          <w:rFonts w:hint="eastAsia" w:ascii="宋体" w:hAnsi="宋体" w:eastAsia="宋体" w:cs="宋体"/>
          <w:b/>
          <w:bCs/>
          <w:color w:val="000000" w:themeColor="text1"/>
          <w:kern w:val="0"/>
          <w:sz w:val="28"/>
          <w:szCs w:val="28"/>
          <w:highlight w:val="none"/>
        </w:rPr>
        <w:t>供应商无重大违法记录的书面声明格式</w:t>
      </w:r>
    </w:p>
    <w:p w14:paraId="7385071A">
      <w:pPr>
        <w:widowControl/>
        <w:spacing w:line="360" w:lineRule="auto"/>
        <w:jc w:val="left"/>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致：</w:t>
      </w:r>
      <w:r>
        <w:rPr>
          <w:rFonts w:hint="eastAsia" w:ascii="宋体" w:hAnsi="宋体" w:eastAsia="宋体" w:cs="宋体"/>
          <w:color w:val="000000" w:themeColor="text1"/>
          <w:kern w:val="0"/>
          <w:sz w:val="24"/>
          <w:szCs w:val="24"/>
          <w:highlight w:val="none"/>
          <w:u w:val="single"/>
        </w:rPr>
        <w:t>（采购人名称）</w:t>
      </w:r>
    </w:p>
    <w:p w14:paraId="516E663B">
      <w:pPr>
        <w:widowControl/>
        <w:shd w:val="clear" w:color="auto" w:fill="FFFFFF"/>
        <w:spacing w:line="360" w:lineRule="auto"/>
        <w:ind w:firstLine="480" w:firstLineChars="200"/>
        <w:jc w:val="left"/>
        <w:rPr>
          <w:rFonts w:ascii="宋体" w:hAnsi="宋体" w:eastAsia="宋体"/>
          <w:color w:val="000000" w:themeColor="text1"/>
          <w:sz w:val="24"/>
          <w:highlight w:val="none"/>
        </w:rPr>
      </w:pPr>
      <w:r>
        <w:rPr>
          <w:rFonts w:ascii="宋体" w:hAnsi="宋体" w:eastAsia="宋体"/>
          <w:color w:val="000000" w:themeColor="text1"/>
          <w:sz w:val="24"/>
          <w:highlight w:val="none"/>
        </w:rPr>
        <w:t>我方作为</w:t>
      </w:r>
      <w:r>
        <w:rPr>
          <w:rFonts w:hint="eastAsia" w:ascii="宋体" w:hAnsi="宋体" w:eastAsia="宋体"/>
          <w:color w:val="000000" w:themeColor="text1"/>
          <w:sz w:val="24"/>
          <w:highlight w:val="none"/>
          <w:u w:val="single"/>
        </w:rPr>
        <w:t>（</w:t>
      </w:r>
      <w:r>
        <w:rPr>
          <w:rFonts w:ascii="宋体" w:hAnsi="宋体" w:eastAsia="宋体"/>
          <w:color w:val="000000" w:themeColor="text1"/>
          <w:sz w:val="24"/>
          <w:highlight w:val="none"/>
          <w:u w:val="single"/>
        </w:rPr>
        <w:t>项目名称</w:t>
      </w:r>
      <w:r>
        <w:rPr>
          <w:rFonts w:hint="eastAsia" w:ascii="宋体" w:hAnsi="宋体" w:eastAsia="宋体"/>
          <w:color w:val="000000" w:themeColor="text1"/>
          <w:sz w:val="24"/>
          <w:highlight w:val="none"/>
          <w:u w:val="single"/>
        </w:rPr>
        <w:t>+</w:t>
      </w:r>
      <w:r>
        <w:rPr>
          <w:rFonts w:ascii="宋体" w:hAnsi="宋体" w:eastAsia="宋体"/>
          <w:color w:val="000000" w:themeColor="text1"/>
          <w:sz w:val="24"/>
          <w:highlight w:val="none"/>
          <w:u w:val="single"/>
        </w:rPr>
        <w:t>项目编号</w:t>
      </w:r>
      <w:r>
        <w:rPr>
          <w:rFonts w:hint="eastAsia" w:ascii="宋体" w:hAnsi="宋体" w:eastAsia="宋体"/>
          <w:color w:val="000000" w:themeColor="text1"/>
          <w:sz w:val="24"/>
          <w:highlight w:val="none"/>
          <w:u w:val="single"/>
        </w:rPr>
        <w:t>+包段名称</w:t>
      </w:r>
      <w:r>
        <w:rPr>
          <w:rFonts w:ascii="宋体" w:hAnsi="宋体" w:eastAsia="宋体"/>
          <w:color w:val="000000" w:themeColor="text1"/>
          <w:sz w:val="24"/>
          <w:highlight w:val="none"/>
          <w:u w:val="single"/>
        </w:rPr>
        <w:t>）</w:t>
      </w:r>
      <w:r>
        <w:rPr>
          <w:rFonts w:ascii="宋体" w:hAnsi="宋体" w:eastAsia="宋体"/>
          <w:color w:val="000000" w:themeColor="text1"/>
          <w:sz w:val="24"/>
          <w:highlight w:val="none"/>
        </w:rPr>
        <w:t xml:space="preserve">的供应商，在此郑重声明： </w:t>
      </w:r>
    </w:p>
    <w:p w14:paraId="1354D3F5">
      <w:pPr>
        <w:widowControl/>
        <w:shd w:val="clear" w:color="auto" w:fill="FFFFFF"/>
        <w:spacing w:line="360" w:lineRule="auto"/>
        <w:ind w:firstLine="480" w:firstLineChars="200"/>
        <w:jc w:val="left"/>
        <w:rPr>
          <w:rFonts w:ascii="宋体" w:hAnsi="宋体" w:eastAsia="宋体"/>
          <w:color w:val="000000" w:themeColor="text1"/>
          <w:sz w:val="24"/>
          <w:highlight w:val="none"/>
        </w:rPr>
      </w:pPr>
      <w:r>
        <w:rPr>
          <w:rFonts w:hint="eastAsia" w:ascii="宋体" w:hAnsi="宋体" w:eastAsia="宋体"/>
          <w:color w:val="000000" w:themeColor="text1"/>
          <w:sz w:val="24"/>
          <w:highlight w:val="none"/>
        </w:rPr>
        <w:t>1、在参加本次政府采购活动前 3 年内的经营活动中</w:t>
      </w:r>
      <w:r>
        <w:rPr>
          <w:rFonts w:ascii="宋体" w:hAnsi="宋体" w:eastAsia="宋体"/>
          <w:color w:val="000000" w:themeColor="text1"/>
          <w:sz w:val="24"/>
          <w:highlight w:val="none"/>
          <w:u w:val="single"/>
        </w:rPr>
        <w:t xml:space="preserve">       </w:t>
      </w:r>
      <w:r>
        <w:rPr>
          <w:rFonts w:hint="eastAsia" w:ascii="宋体" w:hAnsi="宋体" w:eastAsia="宋体"/>
          <w:color w:val="000000" w:themeColor="text1"/>
          <w:sz w:val="24"/>
          <w:highlight w:val="none"/>
        </w:rPr>
        <w:t>（填“没有”或“有”）重大违法记录。供应商在参加政府采购活动前3 年内因违法经营被禁止在一定期限内参加政府采购活动，期限届满的，可以参加政府采购活动，但应提供期限届满的证明材料。</w:t>
      </w:r>
    </w:p>
    <w:p w14:paraId="38540E69">
      <w:pPr>
        <w:widowControl/>
        <w:shd w:val="clear" w:color="auto" w:fill="FFFFFF"/>
        <w:spacing w:line="360" w:lineRule="auto"/>
        <w:ind w:firstLine="480" w:firstLineChars="200"/>
        <w:jc w:val="left"/>
        <w:rPr>
          <w:rFonts w:ascii="宋体" w:hAnsi="宋体" w:eastAsia="宋体"/>
          <w:color w:val="000000" w:themeColor="text1"/>
          <w:sz w:val="24"/>
          <w:highlight w:val="none"/>
        </w:rPr>
      </w:pPr>
      <w:r>
        <w:rPr>
          <w:rFonts w:hint="eastAsia" w:ascii="宋体" w:hAnsi="宋体" w:eastAsia="宋体"/>
          <w:color w:val="000000" w:themeColor="text1"/>
          <w:sz w:val="24"/>
          <w:highlight w:val="none"/>
        </w:rPr>
        <w:t>2、我方</w:t>
      </w:r>
      <w:r>
        <w:rPr>
          <w:rFonts w:ascii="宋体" w:hAnsi="宋体" w:eastAsia="宋体"/>
          <w:color w:val="000000" w:themeColor="text1"/>
          <w:sz w:val="24"/>
          <w:highlight w:val="none"/>
          <w:u w:val="single"/>
        </w:rPr>
        <w:t xml:space="preserve">       </w:t>
      </w:r>
      <w:r>
        <w:rPr>
          <w:rFonts w:hint="eastAsia" w:ascii="宋体" w:hAnsi="宋体" w:eastAsia="宋体"/>
          <w:color w:val="000000" w:themeColor="text1"/>
          <w:sz w:val="24"/>
          <w:highlight w:val="none"/>
        </w:rPr>
        <w:t>（填“未被列入”或“被列入”）失信被执行人名单。</w:t>
      </w:r>
    </w:p>
    <w:p w14:paraId="0BB992A9">
      <w:pPr>
        <w:widowControl/>
        <w:shd w:val="clear" w:color="auto" w:fill="FFFFFF"/>
        <w:spacing w:line="360" w:lineRule="auto"/>
        <w:ind w:firstLine="480" w:firstLineChars="200"/>
        <w:jc w:val="left"/>
        <w:rPr>
          <w:rFonts w:ascii="宋体" w:hAnsi="宋体" w:eastAsia="宋体"/>
          <w:color w:val="000000" w:themeColor="text1"/>
          <w:sz w:val="24"/>
          <w:highlight w:val="none"/>
        </w:rPr>
      </w:pPr>
      <w:r>
        <w:rPr>
          <w:rFonts w:hint="eastAsia" w:ascii="宋体" w:hAnsi="宋体" w:eastAsia="宋体"/>
          <w:color w:val="000000" w:themeColor="text1"/>
          <w:sz w:val="24"/>
          <w:highlight w:val="none"/>
        </w:rPr>
        <w:t>3、我方</w:t>
      </w:r>
      <w:r>
        <w:rPr>
          <w:rFonts w:ascii="宋体" w:hAnsi="宋体" w:eastAsia="宋体"/>
          <w:color w:val="000000" w:themeColor="text1"/>
          <w:sz w:val="24"/>
          <w:highlight w:val="none"/>
          <w:u w:val="single"/>
        </w:rPr>
        <w:t xml:space="preserve">       </w:t>
      </w:r>
      <w:r>
        <w:rPr>
          <w:rFonts w:hint="eastAsia" w:ascii="宋体" w:hAnsi="宋体" w:eastAsia="宋体"/>
          <w:color w:val="000000" w:themeColor="text1"/>
          <w:sz w:val="24"/>
          <w:highlight w:val="none"/>
        </w:rPr>
        <w:t xml:space="preserve">（填“未被列入”或“被列入”）重大税收违法失信主体名单。 </w:t>
      </w:r>
    </w:p>
    <w:p w14:paraId="693C1FEE">
      <w:pPr>
        <w:widowControl/>
        <w:shd w:val="clear" w:color="auto" w:fill="FFFFFF"/>
        <w:spacing w:line="360" w:lineRule="auto"/>
        <w:ind w:firstLine="480" w:firstLineChars="200"/>
        <w:jc w:val="left"/>
        <w:rPr>
          <w:rFonts w:ascii="宋体" w:hAnsi="宋体" w:eastAsia="宋体"/>
          <w:color w:val="000000" w:themeColor="text1"/>
          <w:sz w:val="24"/>
          <w:highlight w:val="none"/>
        </w:rPr>
      </w:pPr>
      <w:r>
        <w:rPr>
          <w:rFonts w:hint="eastAsia" w:ascii="宋体" w:hAnsi="宋体" w:eastAsia="宋体"/>
          <w:color w:val="000000" w:themeColor="text1"/>
          <w:sz w:val="24"/>
          <w:highlight w:val="none"/>
        </w:rPr>
        <w:t>4、我方</w:t>
      </w:r>
      <w:r>
        <w:rPr>
          <w:rFonts w:ascii="宋体" w:hAnsi="宋体" w:eastAsia="宋体"/>
          <w:color w:val="000000" w:themeColor="text1"/>
          <w:sz w:val="24"/>
          <w:highlight w:val="none"/>
          <w:u w:val="single"/>
        </w:rPr>
        <w:t xml:space="preserve">       </w:t>
      </w:r>
      <w:r>
        <w:rPr>
          <w:rFonts w:hint="eastAsia" w:ascii="宋体" w:hAnsi="宋体" w:eastAsia="宋体"/>
          <w:color w:val="000000" w:themeColor="text1"/>
          <w:sz w:val="24"/>
          <w:highlight w:val="none"/>
        </w:rPr>
        <w:t>（填“未被列入”或“被列入”）政府采购严重违法失信行为记录名单。</w:t>
      </w:r>
    </w:p>
    <w:p w14:paraId="42A1D2B0">
      <w:pPr>
        <w:widowControl/>
        <w:shd w:val="clear" w:color="auto" w:fill="FFFFFF"/>
        <w:spacing w:line="360" w:lineRule="auto"/>
        <w:ind w:firstLine="480" w:firstLineChars="200"/>
        <w:jc w:val="left"/>
        <w:rPr>
          <w:rFonts w:ascii="宋体" w:hAnsi="宋体" w:eastAsia="宋体"/>
          <w:color w:val="000000" w:themeColor="text1"/>
          <w:sz w:val="24"/>
          <w:highlight w:val="none"/>
        </w:rPr>
      </w:pPr>
      <w:r>
        <w:rPr>
          <w:rFonts w:hint="eastAsia" w:ascii="宋体" w:hAnsi="宋体" w:eastAsia="宋体"/>
          <w:color w:val="000000" w:themeColor="text1"/>
          <w:sz w:val="24"/>
          <w:highlight w:val="none"/>
        </w:rPr>
        <w:t>如有不实，我方将无条件地退出本项目的采购活动，并遵照《中华人民共和国政府采购法》有关“提供虚假材料的规定”接受处罚。</w:t>
      </w:r>
    </w:p>
    <w:p w14:paraId="551C92FC">
      <w:pPr>
        <w:widowControl/>
        <w:shd w:val="clear" w:color="auto" w:fill="FFFFFF"/>
        <w:spacing w:line="360" w:lineRule="auto"/>
        <w:ind w:firstLine="480" w:firstLineChars="200"/>
        <w:jc w:val="left"/>
        <w:rPr>
          <w:rFonts w:ascii="宋体" w:hAnsi="宋体" w:eastAsia="宋体"/>
          <w:color w:val="000000" w:themeColor="text1"/>
          <w:sz w:val="24"/>
          <w:highlight w:val="none"/>
        </w:rPr>
      </w:pPr>
      <w:r>
        <w:rPr>
          <w:rFonts w:hint="eastAsia" w:ascii="宋体" w:hAnsi="宋体" w:eastAsia="宋体"/>
          <w:color w:val="000000" w:themeColor="text1"/>
          <w:sz w:val="24"/>
          <w:highlight w:val="none"/>
        </w:rPr>
        <w:t xml:space="preserve">特此声明。 </w:t>
      </w:r>
    </w:p>
    <w:p w14:paraId="443FC0B6">
      <w:pPr>
        <w:widowControl/>
        <w:shd w:val="clear" w:color="auto" w:fill="FFFFFF"/>
        <w:spacing w:line="360" w:lineRule="auto"/>
        <w:ind w:firstLine="480" w:firstLineChars="200"/>
        <w:jc w:val="left"/>
        <w:rPr>
          <w:rFonts w:ascii="宋体" w:hAnsi="宋体" w:eastAsia="宋体"/>
          <w:color w:val="000000" w:themeColor="text1"/>
          <w:sz w:val="24"/>
          <w:highlight w:val="none"/>
        </w:rPr>
      </w:pPr>
    </w:p>
    <w:p w14:paraId="5CD0E6EC">
      <w:pPr>
        <w:widowControl/>
        <w:spacing w:line="360" w:lineRule="auto"/>
        <w:ind w:firstLine="480" w:firstLineChars="200"/>
        <w:jc w:val="left"/>
        <w:rPr>
          <w:rFonts w:ascii="宋体" w:hAnsi="宋体" w:eastAsia="宋体" w:cs="宋体"/>
          <w:color w:val="000000" w:themeColor="text1"/>
          <w:kern w:val="0"/>
          <w:sz w:val="24"/>
          <w:szCs w:val="24"/>
          <w:highlight w:val="none"/>
        </w:rPr>
      </w:pPr>
      <w:r>
        <w:rPr>
          <w:rFonts w:hint="eastAsia" w:ascii="宋体" w:hAnsi="宋体" w:eastAsia="宋体"/>
          <w:color w:val="000000" w:themeColor="text1"/>
          <w:sz w:val="24"/>
          <w:highlight w:val="none"/>
        </w:rPr>
        <w:t>注：成立不足三年的供应商提供自成立之日起至开标之日止的书面声明。</w:t>
      </w:r>
    </w:p>
    <w:p w14:paraId="5537DFA6">
      <w:pPr>
        <w:widowControl/>
        <w:spacing w:line="360" w:lineRule="auto"/>
        <w:jc w:val="left"/>
        <w:rPr>
          <w:rFonts w:ascii="宋体" w:hAnsi="宋体" w:eastAsia="宋体" w:cs="宋体"/>
          <w:color w:val="000000" w:themeColor="text1"/>
          <w:kern w:val="0"/>
          <w:sz w:val="24"/>
          <w:szCs w:val="24"/>
          <w:highlight w:val="none"/>
        </w:rPr>
      </w:pPr>
    </w:p>
    <w:p w14:paraId="5B8BBD11">
      <w:pPr>
        <w:widowControl/>
        <w:spacing w:line="360" w:lineRule="auto"/>
        <w:jc w:val="left"/>
        <w:rPr>
          <w:rFonts w:ascii="宋体" w:hAnsi="宋体" w:eastAsia="宋体" w:cs="宋体"/>
          <w:color w:val="000000" w:themeColor="text1"/>
          <w:kern w:val="0"/>
          <w:sz w:val="24"/>
          <w:szCs w:val="24"/>
          <w:highlight w:val="none"/>
        </w:rPr>
      </w:pPr>
    </w:p>
    <w:p w14:paraId="1AE1263F">
      <w:pPr>
        <w:widowControl/>
        <w:spacing w:line="360" w:lineRule="auto"/>
        <w:jc w:val="left"/>
        <w:rPr>
          <w:rFonts w:ascii="宋体" w:hAnsi="宋体" w:eastAsia="宋体" w:cs="宋体"/>
          <w:color w:val="000000" w:themeColor="text1"/>
          <w:kern w:val="0"/>
          <w:sz w:val="24"/>
          <w:szCs w:val="24"/>
          <w:highlight w:val="none"/>
        </w:rPr>
      </w:pPr>
    </w:p>
    <w:p w14:paraId="4A84F609">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投标人名称（公章）：</w:t>
      </w:r>
    </w:p>
    <w:p w14:paraId="69DF851E">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法定代表人或授权代表（签字或盖章）：</w:t>
      </w:r>
    </w:p>
    <w:p w14:paraId="3F02C589">
      <w:pPr>
        <w:spacing w:line="360" w:lineRule="auto"/>
        <w:ind w:firstLine="480" w:firstLineChars="200"/>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 xml:space="preserve">日期： </w:t>
      </w:r>
      <w:r>
        <w:rPr>
          <w:rFonts w:ascii="宋体" w:hAnsi="宋体" w:eastAsia="宋体" w:cs="宋体"/>
          <w:color w:val="000000" w:themeColor="text1"/>
          <w:kern w:val="0"/>
          <w:sz w:val="24"/>
          <w:szCs w:val="24"/>
          <w:highlight w:val="none"/>
        </w:rPr>
        <w:t xml:space="preserve">   </w:t>
      </w:r>
      <w:r>
        <w:rPr>
          <w:rFonts w:hint="eastAsia" w:ascii="宋体" w:hAnsi="宋体" w:eastAsia="宋体" w:cs="宋体"/>
          <w:color w:val="000000" w:themeColor="text1"/>
          <w:kern w:val="0"/>
          <w:sz w:val="24"/>
          <w:szCs w:val="24"/>
          <w:highlight w:val="none"/>
        </w:rPr>
        <w:t xml:space="preserve">年 </w:t>
      </w:r>
      <w:r>
        <w:rPr>
          <w:rFonts w:ascii="宋体" w:hAnsi="宋体" w:eastAsia="宋体" w:cs="宋体"/>
          <w:color w:val="000000" w:themeColor="text1"/>
          <w:kern w:val="0"/>
          <w:sz w:val="24"/>
          <w:szCs w:val="24"/>
          <w:highlight w:val="none"/>
        </w:rPr>
        <w:t xml:space="preserve"> </w:t>
      </w:r>
      <w:r>
        <w:rPr>
          <w:rFonts w:hint="eastAsia" w:ascii="宋体" w:hAnsi="宋体" w:eastAsia="宋体" w:cs="宋体"/>
          <w:color w:val="000000" w:themeColor="text1"/>
          <w:kern w:val="0"/>
          <w:sz w:val="24"/>
          <w:szCs w:val="24"/>
          <w:highlight w:val="none"/>
        </w:rPr>
        <w:t xml:space="preserve">月 </w:t>
      </w:r>
      <w:r>
        <w:rPr>
          <w:rFonts w:ascii="宋体" w:hAnsi="宋体" w:eastAsia="宋体" w:cs="宋体"/>
          <w:color w:val="000000" w:themeColor="text1"/>
          <w:kern w:val="0"/>
          <w:sz w:val="24"/>
          <w:szCs w:val="24"/>
          <w:highlight w:val="none"/>
        </w:rPr>
        <w:t xml:space="preserve"> </w:t>
      </w:r>
      <w:r>
        <w:rPr>
          <w:rFonts w:hint="eastAsia" w:ascii="宋体" w:hAnsi="宋体" w:eastAsia="宋体" w:cs="宋体"/>
          <w:color w:val="000000" w:themeColor="text1"/>
          <w:kern w:val="0"/>
          <w:sz w:val="24"/>
          <w:szCs w:val="24"/>
          <w:highlight w:val="none"/>
        </w:rPr>
        <w:t>日</w:t>
      </w:r>
    </w:p>
    <w:p w14:paraId="6860F95A">
      <w:pPr>
        <w:widowControl/>
        <w:jc w:val="left"/>
        <w:rPr>
          <w:rFonts w:ascii="宋体" w:hAnsi="宋体" w:eastAsia="宋体" w:cs="宋体"/>
          <w:color w:val="000000" w:themeColor="text1"/>
          <w:kern w:val="0"/>
          <w:sz w:val="24"/>
          <w:szCs w:val="24"/>
          <w:highlight w:val="none"/>
        </w:rPr>
      </w:pPr>
      <w:r>
        <w:rPr>
          <w:rFonts w:ascii="宋体" w:hAnsi="宋体" w:eastAsia="宋体" w:cs="宋体"/>
          <w:color w:val="000000" w:themeColor="text1"/>
          <w:kern w:val="0"/>
          <w:sz w:val="24"/>
          <w:szCs w:val="24"/>
          <w:highlight w:val="none"/>
        </w:rPr>
        <w:br w:type="page"/>
      </w:r>
    </w:p>
    <w:p w14:paraId="6B4AD0B4">
      <w:pPr>
        <w:widowControl/>
        <w:spacing w:line="360" w:lineRule="auto"/>
        <w:jc w:val="left"/>
        <w:rPr>
          <w:rFonts w:ascii="宋体" w:hAnsi="宋体" w:eastAsia="宋体" w:cs="宋体"/>
          <w:color w:val="000000" w:themeColor="text1"/>
          <w:kern w:val="0"/>
          <w:sz w:val="24"/>
          <w:szCs w:val="24"/>
          <w:highlight w:val="none"/>
        </w:rPr>
      </w:pPr>
    </w:p>
    <w:p w14:paraId="30356F85">
      <w:pPr>
        <w:widowControl/>
        <w:spacing w:line="360" w:lineRule="auto"/>
        <w:jc w:val="left"/>
        <w:rPr>
          <w:rFonts w:ascii="宋体" w:hAnsi="宋体" w:eastAsia="宋体" w:cs="宋体"/>
          <w:color w:val="000000" w:themeColor="text1"/>
          <w:kern w:val="0"/>
          <w:sz w:val="28"/>
          <w:szCs w:val="28"/>
          <w:highlight w:val="none"/>
        </w:rPr>
      </w:pPr>
      <w:r>
        <w:rPr>
          <w:rFonts w:hint="eastAsia" w:ascii="宋体" w:hAnsi="宋体" w:eastAsia="宋体" w:cs="宋体"/>
          <w:b/>
          <w:bCs/>
          <w:color w:val="000000" w:themeColor="text1"/>
          <w:kern w:val="0"/>
          <w:sz w:val="28"/>
          <w:szCs w:val="28"/>
          <w:highlight w:val="none"/>
        </w:rPr>
        <w:t>附件2：</w:t>
      </w:r>
    </w:p>
    <w:p w14:paraId="6F25BB23">
      <w:pPr>
        <w:widowControl/>
        <w:spacing w:line="360" w:lineRule="auto"/>
        <w:jc w:val="center"/>
        <w:rPr>
          <w:rFonts w:ascii="宋体" w:hAnsi="宋体" w:eastAsia="宋体" w:cs="宋体"/>
          <w:color w:val="000000" w:themeColor="text1"/>
          <w:kern w:val="0"/>
          <w:sz w:val="28"/>
          <w:szCs w:val="28"/>
          <w:highlight w:val="none"/>
        </w:rPr>
      </w:pPr>
      <w:r>
        <w:rPr>
          <w:rFonts w:hint="eastAsia" w:ascii="宋体" w:hAnsi="宋体" w:eastAsia="宋体" w:cs="宋体"/>
          <w:b/>
          <w:bCs/>
          <w:color w:val="000000" w:themeColor="text1"/>
          <w:kern w:val="0"/>
          <w:sz w:val="28"/>
          <w:szCs w:val="28"/>
          <w:highlight w:val="none"/>
        </w:rPr>
        <w:t>诚信声明</w:t>
      </w:r>
    </w:p>
    <w:p w14:paraId="15890EE6">
      <w:pPr>
        <w:widowControl/>
        <w:spacing w:line="360" w:lineRule="auto"/>
        <w:jc w:val="left"/>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致：</w:t>
      </w:r>
      <w:r>
        <w:rPr>
          <w:rFonts w:hint="eastAsia" w:ascii="宋体" w:hAnsi="宋体" w:eastAsia="宋体" w:cs="宋体"/>
          <w:color w:val="000000" w:themeColor="text1"/>
          <w:kern w:val="0"/>
          <w:sz w:val="24"/>
          <w:szCs w:val="24"/>
          <w:highlight w:val="none"/>
          <w:u w:val="single"/>
        </w:rPr>
        <w:t>（采购人名称）</w:t>
      </w:r>
    </w:p>
    <w:p w14:paraId="460D57A9">
      <w:pPr>
        <w:widowControl/>
        <w:spacing w:line="360" w:lineRule="auto"/>
        <w:ind w:firstLine="480" w:firstLineChars="200"/>
        <w:jc w:val="left"/>
        <w:rPr>
          <w:rFonts w:ascii="宋体" w:hAnsi="宋体" w:eastAsia="宋体" w:cs="宋体"/>
          <w:color w:val="000000" w:themeColor="text1"/>
          <w:kern w:val="0"/>
          <w:sz w:val="24"/>
          <w:szCs w:val="24"/>
          <w:highlight w:val="none"/>
        </w:rPr>
      </w:pPr>
      <w:r>
        <w:rPr>
          <w:rFonts w:ascii="宋体" w:hAnsi="宋体" w:eastAsia="宋体"/>
          <w:color w:val="000000" w:themeColor="text1"/>
          <w:sz w:val="24"/>
          <w:highlight w:val="none"/>
        </w:rPr>
        <w:t>作为</w:t>
      </w:r>
      <w:r>
        <w:rPr>
          <w:rFonts w:hint="eastAsia" w:ascii="宋体" w:hAnsi="宋体" w:eastAsia="宋体"/>
          <w:color w:val="000000" w:themeColor="text1"/>
          <w:sz w:val="24"/>
          <w:highlight w:val="none"/>
          <w:u w:val="single"/>
        </w:rPr>
        <w:t>（</w:t>
      </w:r>
      <w:r>
        <w:rPr>
          <w:rFonts w:ascii="宋体" w:hAnsi="宋体" w:eastAsia="宋体"/>
          <w:color w:val="000000" w:themeColor="text1"/>
          <w:sz w:val="24"/>
          <w:highlight w:val="none"/>
          <w:u w:val="single"/>
        </w:rPr>
        <w:t>项目名称</w:t>
      </w:r>
      <w:r>
        <w:rPr>
          <w:rFonts w:hint="eastAsia" w:ascii="宋体" w:hAnsi="宋体" w:eastAsia="宋体"/>
          <w:color w:val="000000" w:themeColor="text1"/>
          <w:sz w:val="24"/>
          <w:highlight w:val="none"/>
          <w:u w:val="single"/>
        </w:rPr>
        <w:t>+</w:t>
      </w:r>
      <w:r>
        <w:rPr>
          <w:rFonts w:ascii="宋体" w:hAnsi="宋体" w:eastAsia="宋体"/>
          <w:color w:val="000000" w:themeColor="text1"/>
          <w:sz w:val="24"/>
          <w:highlight w:val="none"/>
          <w:u w:val="single"/>
        </w:rPr>
        <w:t>项目编号</w:t>
      </w:r>
      <w:r>
        <w:rPr>
          <w:rFonts w:hint="eastAsia" w:ascii="宋体" w:hAnsi="宋体" w:eastAsia="宋体"/>
          <w:color w:val="000000" w:themeColor="text1"/>
          <w:sz w:val="24"/>
          <w:highlight w:val="none"/>
          <w:u w:val="single"/>
        </w:rPr>
        <w:t>+包段名称</w:t>
      </w:r>
      <w:r>
        <w:rPr>
          <w:rFonts w:ascii="宋体" w:hAnsi="宋体" w:eastAsia="宋体"/>
          <w:color w:val="000000" w:themeColor="text1"/>
          <w:sz w:val="24"/>
          <w:highlight w:val="none"/>
          <w:u w:val="single"/>
        </w:rPr>
        <w:t>）</w:t>
      </w:r>
      <w:r>
        <w:rPr>
          <w:rFonts w:ascii="宋体" w:hAnsi="宋体" w:eastAsia="宋体"/>
          <w:color w:val="000000" w:themeColor="text1"/>
          <w:sz w:val="24"/>
          <w:highlight w:val="none"/>
        </w:rPr>
        <w:t>的供应商，在此郑重声明</w:t>
      </w:r>
      <w:r>
        <w:rPr>
          <w:rFonts w:hint="eastAsia" w:ascii="宋体" w:hAnsi="宋体" w:eastAsia="宋体"/>
          <w:color w:val="000000" w:themeColor="text1"/>
          <w:sz w:val="24"/>
          <w:highlight w:val="none"/>
        </w:rPr>
        <w:t>：</w:t>
      </w:r>
      <w:r>
        <w:rPr>
          <w:rFonts w:hint="eastAsia" w:ascii="宋体" w:hAnsi="宋体" w:eastAsia="宋体" w:cs="宋体"/>
          <w:color w:val="000000" w:themeColor="text1"/>
          <w:kern w:val="0"/>
          <w:sz w:val="24"/>
          <w:szCs w:val="24"/>
          <w:highlight w:val="none"/>
        </w:rPr>
        <w:t>我公司具有良好的商业信誉和健全的财务会计制度，具有履行合同所必需的设备和专业技术能力，有依法缴纳税收和社会保障资金的良好记录，在合同签订前后随时愿意提供相关证明材料，符合《中华人民共和国政府采购法》规定的供应商资格条件。我方对以上声明负全部法律责任。</w:t>
      </w:r>
    </w:p>
    <w:p w14:paraId="08E8BA86">
      <w:pPr>
        <w:widowControl/>
        <w:spacing w:line="360" w:lineRule="auto"/>
        <w:ind w:firstLine="480" w:firstLineChars="200"/>
        <w:jc w:val="left"/>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特此声明。</w:t>
      </w:r>
    </w:p>
    <w:p w14:paraId="63486F22">
      <w:pPr>
        <w:widowControl/>
        <w:spacing w:line="360" w:lineRule="auto"/>
        <w:jc w:val="left"/>
        <w:rPr>
          <w:rFonts w:ascii="宋体" w:hAnsi="宋体" w:eastAsia="宋体" w:cs="宋体"/>
          <w:color w:val="000000" w:themeColor="text1"/>
          <w:kern w:val="0"/>
          <w:sz w:val="24"/>
          <w:szCs w:val="24"/>
          <w:highlight w:val="none"/>
        </w:rPr>
      </w:pPr>
    </w:p>
    <w:p w14:paraId="6CDC5DFD">
      <w:pPr>
        <w:widowControl/>
        <w:spacing w:line="360" w:lineRule="auto"/>
        <w:jc w:val="left"/>
        <w:rPr>
          <w:rFonts w:ascii="宋体" w:hAnsi="宋体" w:eastAsia="宋体" w:cs="宋体"/>
          <w:color w:val="000000" w:themeColor="text1"/>
          <w:kern w:val="0"/>
          <w:sz w:val="24"/>
          <w:szCs w:val="24"/>
          <w:highlight w:val="none"/>
        </w:rPr>
      </w:pPr>
    </w:p>
    <w:p w14:paraId="5D0EAFAA">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投标人名称（公章）：</w:t>
      </w:r>
    </w:p>
    <w:p w14:paraId="1775F73C">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法定代表人或授权代表（签字或盖章）：</w:t>
      </w:r>
    </w:p>
    <w:p w14:paraId="239A708C">
      <w:pPr>
        <w:spacing w:line="360" w:lineRule="auto"/>
        <w:ind w:firstLine="480" w:firstLineChars="200"/>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 xml:space="preserve">日期： </w:t>
      </w:r>
      <w:r>
        <w:rPr>
          <w:rFonts w:ascii="宋体" w:hAnsi="宋体" w:eastAsia="宋体" w:cs="宋体"/>
          <w:color w:val="000000" w:themeColor="text1"/>
          <w:kern w:val="0"/>
          <w:sz w:val="24"/>
          <w:szCs w:val="24"/>
          <w:highlight w:val="none"/>
        </w:rPr>
        <w:t xml:space="preserve">   </w:t>
      </w:r>
      <w:r>
        <w:rPr>
          <w:rFonts w:hint="eastAsia" w:ascii="宋体" w:hAnsi="宋体" w:eastAsia="宋体" w:cs="宋体"/>
          <w:color w:val="000000" w:themeColor="text1"/>
          <w:kern w:val="0"/>
          <w:sz w:val="24"/>
          <w:szCs w:val="24"/>
          <w:highlight w:val="none"/>
        </w:rPr>
        <w:t xml:space="preserve">年 </w:t>
      </w:r>
      <w:r>
        <w:rPr>
          <w:rFonts w:ascii="宋体" w:hAnsi="宋体" w:eastAsia="宋体" w:cs="宋体"/>
          <w:color w:val="000000" w:themeColor="text1"/>
          <w:kern w:val="0"/>
          <w:sz w:val="24"/>
          <w:szCs w:val="24"/>
          <w:highlight w:val="none"/>
        </w:rPr>
        <w:t xml:space="preserve"> </w:t>
      </w:r>
      <w:r>
        <w:rPr>
          <w:rFonts w:hint="eastAsia" w:ascii="宋体" w:hAnsi="宋体" w:eastAsia="宋体" w:cs="宋体"/>
          <w:color w:val="000000" w:themeColor="text1"/>
          <w:kern w:val="0"/>
          <w:sz w:val="24"/>
          <w:szCs w:val="24"/>
          <w:highlight w:val="none"/>
        </w:rPr>
        <w:t xml:space="preserve">月 </w:t>
      </w:r>
      <w:r>
        <w:rPr>
          <w:rFonts w:ascii="宋体" w:hAnsi="宋体" w:eastAsia="宋体" w:cs="宋体"/>
          <w:color w:val="000000" w:themeColor="text1"/>
          <w:kern w:val="0"/>
          <w:sz w:val="24"/>
          <w:szCs w:val="24"/>
          <w:highlight w:val="none"/>
        </w:rPr>
        <w:t xml:space="preserve"> </w:t>
      </w:r>
      <w:r>
        <w:rPr>
          <w:rFonts w:hint="eastAsia" w:ascii="宋体" w:hAnsi="宋体" w:eastAsia="宋体" w:cs="宋体"/>
          <w:color w:val="000000" w:themeColor="text1"/>
          <w:kern w:val="0"/>
          <w:sz w:val="24"/>
          <w:szCs w:val="24"/>
          <w:highlight w:val="none"/>
        </w:rPr>
        <w:t>日</w:t>
      </w:r>
    </w:p>
    <w:p w14:paraId="76DC63BA">
      <w:pPr>
        <w:widowControl/>
        <w:jc w:val="left"/>
        <w:rPr>
          <w:rFonts w:ascii="宋体" w:hAnsi="宋体" w:eastAsia="宋体" w:cs="宋体"/>
          <w:color w:val="000000" w:themeColor="text1"/>
          <w:kern w:val="0"/>
          <w:sz w:val="24"/>
          <w:szCs w:val="24"/>
          <w:highlight w:val="none"/>
        </w:rPr>
      </w:pPr>
      <w:r>
        <w:rPr>
          <w:rFonts w:ascii="宋体" w:hAnsi="宋体" w:eastAsia="宋体" w:cs="宋体"/>
          <w:color w:val="000000" w:themeColor="text1"/>
          <w:kern w:val="0"/>
          <w:sz w:val="24"/>
          <w:szCs w:val="24"/>
          <w:highlight w:val="none"/>
        </w:rPr>
        <w:br w:type="page"/>
      </w:r>
    </w:p>
    <w:p w14:paraId="7FEAD199">
      <w:pPr>
        <w:widowControl/>
        <w:spacing w:line="360" w:lineRule="auto"/>
        <w:jc w:val="left"/>
        <w:rPr>
          <w:rFonts w:ascii="宋体" w:hAnsi="宋体" w:eastAsia="宋体" w:cs="宋体"/>
          <w:color w:val="000000" w:themeColor="text1"/>
          <w:kern w:val="0"/>
          <w:sz w:val="24"/>
          <w:szCs w:val="24"/>
          <w:highlight w:val="none"/>
        </w:rPr>
      </w:pPr>
    </w:p>
    <w:p w14:paraId="6E77E4AC">
      <w:pPr>
        <w:widowControl/>
        <w:spacing w:line="360" w:lineRule="auto"/>
        <w:jc w:val="left"/>
        <w:rPr>
          <w:rFonts w:ascii="宋体" w:hAnsi="宋体" w:eastAsia="宋体" w:cs="宋体"/>
          <w:color w:val="000000" w:themeColor="text1"/>
          <w:kern w:val="0"/>
          <w:sz w:val="28"/>
          <w:szCs w:val="28"/>
          <w:highlight w:val="none"/>
        </w:rPr>
      </w:pPr>
      <w:r>
        <w:rPr>
          <w:rFonts w:hint="eastAsia" w:ascii="宋体" w:hAnsi="宋体" w:eastAsia="宋体" w:cs="宋体"/>
          <w:b/>
          <w:bCs/>
          <w:color w:val="000000" w:themeColor="text1"/>
          <w:kern w:val="0"/>
          <w:sz w:val="28"/>
          <w:szCs w:val="28"/>
          <w:highlight w:val="none"/>
        </w:rPr>
        <w:t>附件3：</w:t>
      </w:r>
    </w:p>
    <w:p w14:paraId="088C91B3">
      <w:pPr>
        <w:widowControl/>
        <w:spacing w:line="360" w:lineRule="auto"/>
        <w:jc w:val="center"/>
        <w:rPr>
          <w:rFonts w:ascii="宋体" w:hAnsi="宋体" w:eastAsia="宋体" w:cs="宋体"/>
          <w:b/>
          <w:bCs/>
          <w:color w:val="000000" w:themeColor="text1"/>
          <w:kern w:val="0"/>
          <w:sz w:val="28"/>
          <w:szCs w:val="28"/>
          <w:highlight w:val="none"/>
        </w:rPr>
      </w:pPr>
    </w:p>
    <w:p w14:paraId="13BE3335">
      <w:pPr>
        <w:widowControl/>
        <w:spacing w:line="360" w:lineRule="auto"/>
        <w:jc w:val="center"/>
        <w:rPr>
          <w:rFonts w:ascii="宋体" w:hAnsi="宋体" w:eastAsia="宋体" w:cs="宋体"/>
          <w:color w:val="000000" w:themeColor="text1"/>
          <w:kern w:val="0"/>
          <w:sz w:val="28"/>
          <w:szCs w:val="28"/>
          <w:highlight w:val="none"/>
        </w:rPr>
      </w:pPr>
      <w:r>
        <w:rPr>
          <w:rFonts w:hint="eastAsia" w:ascii="宋体" w:hAnsi="宋体" w:eastAsia="宋体" w:cs="宋体"/>
          <w:b/>
          <w:bCs/>
          <w:color w:val="000000" w:themeColor="text1"/>
          <w:kern w:val="0"/>
          <w:sz w:val="28"/>
          <w:szCs w:val="28"/>
          <w:highlight w:val="none"/>
        </w:rPr>
        <w:t>供应商具有履行本合同所必需的设备和专业技术能力的承诺书</w:t>
      </w:r>
    </w:p>
    <w:p w14:paraId="02BF2E0E">
      <w:pPr>
        <w:widowControl/>
        <w:spacing w:line="360" w:lineRule="auto"/>
        <w:jc w:val="left"/>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致：</w:t>
      </w:r>
      <w:r>
        <w:rPr>
          <w:rFonts w:hint="eastAsia" w:ascii="宋体" w:hAnsi="宋体" w:eastAsia="宋体" w:cs="宋体"/>
          <w:color w:val="000000" w:themeColor="text1"/>
          <w:kern w:val="0"/>
          <w:sz w:val="24"/>
          <w:szCs w:val="24"/>
          <w:highlight w:val="none"/>
          <w:u w:val="single"/>
        </w:rPr>
        <w:t>（采购人名称）</w:t>
      </w:r>
      <w:r>
        <w:rPr>
          <w:rFonts w:hint="eastAsia" w:ascii="宋体" w:hAnsi="宋体" w:eastAsia="宋体" w:cs="宋体"/>
          <w:color w:val="000000" w:themeColor="text1"/>
          <w:kern w:val="0"/>
          <w:sz w:val="24"/>
          <w:szCs w:val="24"/>
          <w:highlight w:val="none"/>
        </w:rPr>
        <w:t>：</w:t>
      </w:r>
    </w:p>
    <w:p w14:paraId="7B569298">
      <w:pPr>
        <w:widowControl/>
        <w:spacing w:line="360" w:lineRule="auto"/>
        <w:ind w:firstLine="480" w:firstLineChars="200"/>
        <w:jc w:val="left"/>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u w:val="single"/>
        </w:rPr>
        <w:t>（投标人名称）</w:t>
      </w:r>
      <w:r>
        <w:rPr>
          <w:rFonts w:hint="eastAsia" w:ascii="宋体" w:hAnsi="宋体" w:eastAsia="宋体" w:cs="宋体"/>
          <w:color w:val="000000" w:themeColor="text1"/>
          <w:kern w:val="0"/>
          <w:sz w:val="24"/>
          <w:szCs w:val="24"/>
          <w:highlight w:val="none"/>
        </w:rPr>
        <w:t>于</w:t>
      </w:r>
      <w:r>
        <w:rPr>
          <w:rFonts w:hint="eastAsia" w:ascii="宋体" w:hAnsi="宋体" w:eastAsia="宋体" w:cs="宋体"/>
          <w:color w:val="000000" w:themeColor="text1"/>
          <w:kern w:val="0"/>
          <w:sz w:val="24"/>
          <w:szCs w:val="24"/>
          <w:highlight w:val="none"/>
          <w:u w:val="single"/>
        </w:rPr>
        <w:t xml:space="preserve"> </w:t>
      </w:r>
      <w:r>
        <w:rPr>
          <w:rFonts w:ascii="宋体" w:hAnsi="宋体" w:eastAsia="宋体" w:cs="宋体"/>
          <w:color w:val="000000" w:themeColor="text1"/>
          <w:kern w:val="0"/>
          <w:sz w:val="24"/>
          <w:szCs w:val="24"/>
          <w:highlight w:val="none"/>
          <w:u w:val="single"/>
        </w:rPr>
        <w:t xml:space="preserve">     </w:t>
      </w:r>
      <w:r>
        <w:rPr>
          <w:rFonts w:hint="eastAsia" w:ascii="宋体" w:hAnsi="宋体" w:eastAsia="宋体" w:cs="宋体"/>
          <w:color w:val="000000" w:themeColor="text1"/>
          <w:kern w:val="0"/>
          <w:sz w:val="24"/>
          <w:szCs w:val="24"/>
          <w:highlight w:val="none"/>
          <w:u w:val="single"/>
        </w:rPr>
        <w:t xml:space="preserve">年 </w:t>
      </w:r>
      <w:r>
        <w:rPr>
          <w:rFonts w:ascii="宋体" w:hAnsi="宋体" w:eastAsia="宋体" w:cs="宋体"/>
          <w:color w:val="000000" w:themeColor="text1"/>
          <w:kern w:val="0"/>
          <w:sz w:val="24"/>
          <w:szCs w:val="24"/>
          <w:highlight w:val="none"/>
          <w:u w:val="single"/>
        </w:rPr>
        <w:t xml:space="preserve"> </w:t>
      </w:r>
      <w:r>
        <w:rPr>
          <w:rFonts w:hint="eastAsia" w:ascii="宋体" w:hAnsi="宋体" w:eastAsia="宋体" w:cs="宋体"/>
          <w:color w:val="000000" w:themeColor="text1"/>
          <w:kern w:val="0"/>
          <w:sz w:val="24"/>
          <w:szCs w:val="24"/>
          <w:highlight w:val="none"/>
          <w:u w:val="single"/>
        </w:rPr>
        <w:t xml:space="preserve">月 </w:t>
      </w:r>
      <w:r>
        <w:rPr>
          <w:rFonts w:ascii="宋体" w:hAnsi="宋体" w:eastAsia="宋体" w:cs="宋体"/>
          <w:color w:val="000000" w:themeColor="text1"/>
          <w:kern w:val="0"/>
          <w:sz w:val="24"/>
          <w:szCs w:val="24"/>
          <w:highlight w:val="none"/>
          <w:u w:val="single"/>
        </w:rPr>
        <w:t xml:space="preserve"> </w:t>
      </w:r>
      <w:r>
        <w:rPr>
          <w:rFonts w:hint="eastAsia" w:ascii="宋体" w:hAnsi="宋体" w:eastAsia="宋体" w:cs="宋体"/>
          <w:color w:val="000000" w:themeColor="text1"/>
          <w:kern w:val="0"/>
          <w:sz w:val="24"/>
          <w:szCs w:val="24"/>
          <w:highlight w:val="none"/>
          <w:u w:val="single"/>
        </w:rPr>
        <w:t>日</w:t>
      </w:r>
      <w:r>
        <w:rPr>
          <w:rFonts w:hint="eastAsia" w:ascii="宋体" w:hAnsi="宋体" w:eastAsia="宋体" w:cs="宋体"/>
          <w:color w:val="000000" w:themeColor="text1"/>
          <w:kern w:val="0"/>
          <w:sz w:val="24"/>
          <w:szCs w:val="24"/>
          <w:highlight w:val="none"/>
        </w:rPr>
        <w:t>在中华人民共和国境内</w:t>
      </w:r>
      <w:r>
        <w:rPr>
          <w:rFonts w:hint="eastAsia" w:ascii="宋体" w:hAnsi="宋体" w:eastAsia="宋体" w:cs="宋体"/>
          <w:color w:val="000000" w:themeColor="text1"/>
          <w:kern w:val="0"/>
          <w:sz w:val="24"/>
          <w:szCs w:val="24"/>
          <w:highlight w:val="none"/>
          <w:u w:val="single"/>
        </w:rPr>
        <w:t>（详细注册地址）</w:t>
      </w:r>
      <w:r>
        <w:rPr>
          <w:rFonts w:hint="eastAsia" w:ascii="宋体" w:hAnsi="宋体" w:eastAsia="宋体" w:cs="宋体"/>
          <w:color w:val="000000" w:themeColor="text1"/>
          <w:kern w:val="0"/>
          <w:sz w:val="24"/>
          <w:szCs w:val="24"/>
          <w:highlight w:val="none"/>
        </w:rPr>
        <w:t>合法注册并经营，公司主营业务为</w:t>
      </w:r>
      <w:r>
        <w:rPr>
          <w:rFonts w:hint="eastAsia" w:ascii="宋体" w:hAnsi="宋体" w:eastAsia="宋体" w:cs="宋体"/>
          <w:color w:val="000000" w:themeColor="text1"/>
          <w:kern w:val="0"/>
          <w:sz w:val="24"/>
          <w:szCs w:val="24"/>
          <w:highlight w:val="none"/>
          <w:u w:val="single"/>
        </w:rPr>
        <w:t xml:space="preserve">（ </w:t>
      </w:r>
      <w:r>
        <w:rPr>
          <w:rFonts w:ascii="宋体" w:hAnsi="宋体" w:eastAsia="宋体" w:cs="宋体"/>
          <w:color w:val="000000" w:themeColor="text1"/>
          <w:kern w:val="0"/>
          <w:sz w:val="24"/>
          <w:szCs w:val="24"/>
          <w:highlight w:val="none"/>
          <w:u w:val="single"/>
        </w:rPr>
        <w:t xml:space="preserve">                 </w:t>
      </w:r>
      <w:r>
        <w:rPr>
          <w:rFonts w:hint="eastAsia" w:ascii="宋体" w:hAnsi="宋体" w:eastAsia="宋体" w:cs="宋体"/>
          <w:color w:val="000000" w:themeColor="text1"/>
          <w:kern w:val="0"/>
          <w:sz w:val="24"/>
          <w:szCs w:val="24"/>
          <w:highlight w:val="none"/>
          <w:u w:val="single"/>
        </w:rPr>
        <w:t>）</w:t>
      </w:r>
      <w:r>
        <w:rPr>
          <w:rFonts w:hint="eastAsia" w:ascii="宋体" w:hAnsi="宋体" w:eastAsia="宋体" w:cs="宋体"/>
          <w:color w:val="000000" w:themeColor="text1"/>
          <w:kern w:val="0"/>
          <w:sz w:val="24"/>
          <w:szCs w:val="24"/>
          <w:highlight w:val="none"/>
        </w:rPr>
        <w:t>，营业（生产经营）面积为</w:t>
      </w:r>
      <w:r>
        <w:rPr>
          <w:rFonts w:hint="eastAsia" w:ascii="宋体" w:hAnsi="宋体" w:eastAsia="宋体" w:cs="宋体"/>
          <w:color w:val="000000" w:themeColor="text1"/>
          <w:kern w:val="0"/>
          <w:sz w:val="24"/>
          <w:szCs w:val="24"/>
          <w:highlight w:val="none"/>
          <w:u w:val="single"/>
        </w:rPr>
        <w:t xml:space="preserve">（ </w:t>
      </w:r>
      <w:r>
        <w:rPr>
          <w:rFonts w:ascii="宋体" w:hAnsi="宋体" w:eastAsia="宋体" w:cs="宋体"/>
          <w:color w:val="000000" w:themeColor="text1"/>
          <w:kern w:val="0"/>
          <w:sz w:val="24"/>
          <w:szCs w:val="24"/>
          <w:highlight w:val="none"/>
          <w:u w:val="single"/>
        </w:rPr>
        <w:t xml:space="preserve">     </w:t>
      </w:r>
      <w:r>
        <w:rPr>
          <w:rFonts w:hint="eastAsia" w:ascii="宋体" w:hAnsi="宋体" w:eastAsia="宋体" w:cs="宋体"/>
          <w:color w:val="000000" w:themeColor="text1"/>
          <w:kern w:val="0"/>
          <w:sz w:val="24"/>
          <w:szCs w:val="24"/>
          <w:highlight w:val="none"/>
          <w:u w:val="single"/>
        </w:rPr>
        <w:t>）</w:t>
      </w:r>
      <w:r>
        <w:rPr>
          <w:rFonts w:hint="eastAsia" w:ascii="宋体" w:hAnsi="宋体" w:eastAsia="宋体" w:cs="宋体"/>
          <w:color w:val="000000" w:themeColor="text1"/>
          <w:kern w:val="0"/>
          <w:sz w:val="24"/>
          <w:szCs w:val="24"/>
          <w:highlight w:val="none"/>
        </w:rPr>
        <w:t>，现有员工数量为</w:t>
      </w:r>
      <w:r>
        <w:rPr>
          <w:rFonts w:hint="eastAsia" w:ascii="宋体" w:hAnsi="宋体" w:eastAsia="宋体" w:cs="宋体"/>
          <w:color w:val="000000" w:themeColor="text1"/>
          <w:kern w:val="0"/>
          <w:sz w:val="24"/>
          <w:szCs w:val="24"/>
          <w:highlight w:val="none"/>
          <w:u w:val="single"/>
        </w:rPr>
        <w:t xml:space="preserve">（ </w:t>
      </w:r>
      <w:r>
        <w:rPr>
          <w:rFonts w:ascii="宋体" w:hAnsi="宋体" w:eastAsia="宋体" w:cs="宋体"/>
          <w:color w:val="000000" w:themeColor="text1"/>
          <w:kern w:val="0"/>
          <w:sz w:val="24"/>
          <w:szCs w:val="24"/>
          <w:highlight w:val="none"/>
          <w:u w:val="single"/>
        </w:rPr>
        <w:t xml:space="preserve">     </w:t>
      </w:r>
      <w:r>
        <w:rPr>
          <w:rFonts w:hint="eastAsia" w:ascii="宋体" w:hAnsi="宋体" w:eastAsia="宋体" w:cs="宋体"/>
          <w:color w:val="000000" w:themeColor="text1"/>
          <w:kern w:val="0"/>
          <w:sz w:val="24"/>
          <w:szCs w:val="24"/>
          <w:highlight w:val="none"/>
          <w:u w:val="single"/>
        </w:rPr>
        <w:t>）</w:t>
      </w:r>
      <w:r>
        <w:rPr>
          <w:rFonts w:hint="eastAsia" w:ascii="宋体" w:hAnsi="宋体" w:eastAsia="宋体" w:cs="宋体"/>
          <w:color w:val="000000" w:themeColor="text1"/>
          <w:kern w:val="0"/>
          <w:sz w:val="24"/>
          <w:szCs w:val="24"/>
          <w:highlight w:val="none"/>
        </w:rPr>
        <w:t>，其中与履行本合同相关的专业技术人员有</w:t>
      </w:r>
      <w:r>
        <w:rPr>
          <w:rFonts w:hint="eastAsia" w:ascii="宋体" w:hAnsi="宋体" w:eastAsia="宋体" w:cs="宋体"/>
          <w:color w:val="000000" w:themeColor="text1"/>
          <w:kern w:val="0"/>
          <w:sz w:val="24"/>
          <w:szCs w:val="24"/>
          <w:highlight w:val="none"/>
          <w:u w:val="single"/>
        </w:rPr>
        <w:t>（专业能力、数量）</w:t>
      </w:r>
      <w:r>
        <w:rPr>
          <w:rFonts w:hint="eastAsia" w:ascii="宋体" w:hAnsi="宋体" w:eastAsia="宋体" w:cs="宋体"/>
          <w:color w:val="000000" w:themeColor="text1"/>
          <w:kern w:val="0"/>
          <w:sz w:val="24"/>
          <w:szCs w:val="24"/>
          <w:highlight w:val="none"/>
        </w:rPr>
        <w:t>，本公司郑重承诺，具有履行本合同所必需的设备和专业技术能力。</w:t>
      </w:r>
    </w:p>
    <w:p w14:paraId="4342C450">
      <w:pPr>
        <w:widowControl/>
        <w:spacing w:line="360" w:lineRule="auto"/>
        <w:jc w:val="left"/>
        <w:rPr>
          <w:rFonts w:ascii="宋体" w:hAnsi="宋体" w:eastAsia="宋体" w:cs="宋体"/>
          <w:color w:val="000000" w:themeColor="text1"/>
          <w:kern w:val="0"/>
          <w:sz w:val="24"/>
          <w:szCs w:val="24"/>
          <w:highlight w:val="none"/>
        </w:rPr>
      </w:pPr>
    </w:p>
    <w:p w14:paraId="7371FB9D">
      <w:pPr>
        <w:widowControl/>
        <w:spacing w:line="360" w:lineRule="auto"/>
        <w:jc w:val="left"/>
        <w:rPr>
          <w:rFonts w:ascii="宋体" w:hAnsi="宋体" w:eastAsia="宋体" w:cs="宋体"/>
          <w:color w:val="000000" w:themeColor="text1"/>
          <w:kern w:val="0"/>
          <w:sz w:val="24"/>
          <w:szCs w:val="24"/>
          <w:highlight w:val="none"/>
        </w:rPr>
      </w:pPr>
    </w:p>
    <w:p w14:paraId="76CEABF8">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投标人名称（公章）：</w:t>
      </w:r>
    </w:p>
    <w:p w14:paraId="71A845B2">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法定代表人或授权代表（签字或盖章）：</w:t>
      </w:r>
    </w:p>
    <w:p w14:paraId="5F86C090">
      <w:pPr>
        <w:spacing w:line="360" w:lineRule="auto"/>
        <w:ind w:firstLine="480" w:firstLineChars="200"/>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 xml:space="preserve">日期： </w:t>
      </w:r>
      <w:r>
        <w:rPr>
          <w:rFonts w:ascii="宋体" w:hAnsi="宋体" w:eastAsia="宋体" w:cs="宋体"/>
          <w:color w:val="000000" w:themeColor="text1"/>
          <w:kern w:val="0"/>
          <w:sz w:val="24"/>
          <w:szCs w:val="24"/>
          <w:highlight w:val="none"/>
        </w:rPr>
        <w:t xml:space="preserve">   </w:t>
      </w:r>
      <w:r>
        <w:rPr>
          <w:rFonts w:hint="eastAsia" w:ascii="宋体" w:hAnsi="宋体" w:eastAsia="宋体" w:cs="宋体"/>
          <w:color w:val="000000" w:themeColor="text1"/>
          <w:kern w:val="0"/>
          <w:sz w:val="24"/>
          <w:szCs w:val="24"/>
          <w:highlight w:val="none"/>
        </w:rPr>
        <w:t xml:space="preserve">年 </w:t>
      </w:r>
      <w:r>
        <w:rPr>
          <w:rFonts w:ascii="宋体" w:hAnsi="宋体" w:eastAsia="宋体" w:cs="宋体"/>
          <w:color w:val="000000" w:themeColor="text1"/>
          <w:kern w:val="0"/>
          <w:sz w:val="24"/>
          <w:szCs w:val="24"/>
          <w:highlight w:val="none"/>
        </w:rPr>
        <w:t xml:space="preserve"> </w:t>
      </w:r>
      <w:r>
        <w:rPr>
          <w:rFonts w:hint="eastAsia" w:ascii="宋体" w:hAnsi="宋体" w:eastAsia="宋体" w:cs="宋体"/>
          <w:color w:val="000000" w:themeColor="text1"/>
          <w:kern w:val="0"/>
          <w:sz w:val="24"/>
          <w:szCs w:val="24"/>
          <w:highlight w:val="none"/>
        </w:rPr>
        <w:t xml:space="preserve">月 </w:t>
      </w:r>
      <w:r>
        <w:rPr>
          <w:rFonts w:ascii="宋体" w:hAnsi="宋体" w:eastAsia="宋体" w:cs="宋体"/>
          <w:color w:val="000000" w:themeColor="text1"/>
          <w:kern w:val="0"/>
          <w:sz w:val="24"/>
          <w:szCs w:val="24"/>
          <w:highlight w:val="none"/>
        </w:rPr>
        <w:t xml:space="preserve"> </w:t>
      </w:r>
      <w:r>
        <w:rPr>
          <w:rFonts w:hint="eastAsia" w:ascii="宋体" w:hAnsi="宋体" w:eastAsia="宋体" w:cs="宋体"/>
          <w:color w:val="000000" w:themeColor="text1"/>
          <w:kern w:val="0"/>
          <w:sz w:val="24"/>
          <w:szCs w:val="24"/>
          <w:highlight w:val="none"/>
        </w:rPr>
        <w:t>日</w:t>
      </w:r>
    </w:p>
    <w:p w14:paraId="4F963ABD">
      <w:pPr>
        <w:widowControl/>
        <w:jc w:val="left"/>
        <w:rPr>
          <w:rFonts w:ascii="宋体" w:hAnsi="宋体" w:eastAsia="宋体" w:cs="宋体"/>
          <w:color w:val="000000" w:themeColor="text1"/>
          <w:kern w:val="0"/>
          <w:sz w:val="24"/>
          <w:szCs w:val="24"/>
          <w:highlight w:val="none"/>
        </w:rPr>
      </w:pPr>
      <w:r>
        <w:rPr>
          <w:rFonts w:ascii="宋体" w:hAnsi="宋体" w:eastAsia="宋体" w:cs="宋体"/>
          <w:color w:val="000000" w:themeColor="text1"/>
          <w:kern w:val="0"/>
          <w:sz w:val="24"/>
          <w:szCs w:val="24"/>
          <w:highlight w:val="none"/>
        </w:rPr>
        <w:br w:type="page"/>
      </w:r>
    </w:p>
    <w:p w14:paraId="51584A1D">
      <w:pPr>
        <w:widowControl/>
        <w:spacing w:line="360" w:lineRule="auto"/>
        <w:jc w:val="left"/>
        <w:rPr>
          <w:rFonts w:ascii="宋体" w:hAnsi="宋体" w:eastAsia="宋体" w:cs="宋体"/>
          <w:color w:val="000000" w:themeColor="text1"/>
          <w:kern w:val="0"/>
          <w:sz w:val="24"/>
          <w:szCs w:val="24"/>
          <w:highlight w:val="none"/>
        </w:rPr>
      </w:pPr>
    </w:p>
    <w:p w14:paraId="43201220">
      <w:pPr>
        <w:widowControl/>
        <w:spacing w:line="360" w:lineRule="auto"/>
        <w:jc w:val="left"/>
        <w:rPr>
          <w:rFonts w:ascii="宋体" w:hAnsi="宋体" w:eastAsia="宋体" w:cs="宋体"/>
          <w:color w:val="000000" w:themeColor="text1"/>
          <w:kern w:val="0"/>
          <w:sz w:val="28"/>
          <w:szCs w:val="28"/>
          <w:highlight w:val="none"/>
        </w:rPr>
      </w:pPr>
      <w:r>
        <w:rPr>
          <w:rFonts w:hint="eastAsia" w:ascii="宋体" w:hAnsi="宋体" w:eastAsia="宋体" w:cs="宋体"/>
          <w:b/>
          <w:bCs/>
          <w:color w:val="000000" w:themeColor="text1"/>
          <w:kern w:val="0"/>
          <w:sz w:val="28"/>
          <w:szCs w:val="28"/>
          <w:highlight w:val="none"/>
        </w:rPr>
        <w:t>附件4：</w:t>
      </w:r>
    </w:p>
    <w:p w14:paraId="40643C6D">
      <w:pPr>
        <w:widowControl/>
        <w:spacing w:line="360" w:lineRule="auto"/>
        <w:jc w:val="center"/>
        <w:rPr>
          <w:rFonts w:ascii="宋体" w:hAnsi="宋体" w:eastAsia="宋体" w:cs="宋体"/>
          <w:b/>
          <w:bCs/>
          <w:color w:val="000000" w:themeColor="text1"/>
          <w:kern w:val="0"/>
          <w:sz w:val="28"/>
          <w:szCs w:val="28"/>
          <w:highlight w:val="none"/>
        </w:rPr>
      </w:pPr>
    </w:p>
    <w:p w14:paraId="606F0387">
      <w:pPr>
        <w:widowControl/>
        <w:spacing w:line="360" w:lineRule="auto"/>
        <w:jc w:val="center"/>
        <w:rPr>
          <w:rFonts w:ascii="宋体" w:hAnsi="宋体" w:eastAsia="宋体" w:cs="宋体"/>
          <w:color w:val="000000" w:themeColor="text1"/>
          <w:kern w:val="0"/>
          <w:sz w:val="28"/>
          <w:szCs w:val="28"/>
          <w:highlight w:val="none"/>
        </w:rPr>
      </w:pPr>
      <w:r>
        <w:rPr>
          <w:rFonts w:hint="eastAsia" w:ascii="宋体" w:hAnsi="宋体" w:eastAsia="宋体" w:cs="宋体"/>
          <w:b/>
          <w:bCs/>
          <w:color w:val="000000" w:themeColor="text1"/>
          <w:kern w:val="0"/>
          <w:sz w:val="28"/>
          <w:szCs w:val="28"/>
          <w:highlight w:val="none"/>
        </w:rPr>
        <w:t>中小企业声明函（货物）</w:t>
      </w:r>
    </w:p>
    <w:p w14:paraId="1DE73B65">
      <w:pPr>
        <w:spacing w:line="360" w:lineRule="auto"/>
        <w:ind w:firstLine="480" w:firstLineChars="200"/>
        <w:rPr>
          <w:rFonts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本公司郑重声明，根据《政府采购促进中小企业发展管理办法》（财库〔2020〕46号）的规定，本公司参加</w:t>
      </w:r>
      <w:r>
        <w:rPr>
          <w:rFonts w:hint="eastAsia" w:ascii="宋体" w:hAnsi="宋体" w:eastAsia="宋体" w:cs="宋体"/>
          <w:color w:val="000000" w:themeColor="text1"/>
          <w:sz w:val="24"/>
          <w:szCs w:val="24"/>
          <w:highlight w:val="none"/>
          <w:u w:val="single"/>
        </w:rPr>
        <w:t xml:space="preserve"> （单位名称） </w:t>
      </w:r>
      <w:r>
        <w:rPr>
          <w:rFonts w:hint="eastAsia" w:ascii="宋体" w:hAnsi="宋体" w:eastAsia="宋体" w:cs="宋体"/>
          <w:color w:val="000000" w:themeColor="text1"/>
          <w:sz w:val="24"/>
          <w:szCs w:val="24"/>
          <w:highlight w:val="none"/>
        </w:rPr>
        <w:t>的</w:t>
      </w:r>
      <w:r>
        <w:rPr>
          <w:rFonts w:hint="eastAsia" w:ascii="宋体" w:hAnsi="宋体" w:eastAsia="宋体" w:cs="宋体"/>
          <w:color w:val="000000" w:themeColor="text1"/>
          <w:sz w:val="24"/>
          <w:szCs w:val="24"/>
          <w:highlight w:val="none"/>
          <w:u w:val="single"/>
        </w:rPr>
        <w:t xml:space="preserve"> （项目名称+项目编号+包段名称） </w:t>
      </w:r>
      <w:r>
        <w:rPr>
          <w:rFonts w:hint="eastAsia" w:ascii="宋体" w:hAnsi="宋体" w:eastAsia="宋体" w:cs="宋体"/>
          <w:color w:val="000000" w:themeColor="text1"/>
          <w:sz w:val="24"/>
          <w:szCs w:val="24"/>
          <w:highlight w:val="none"/>
        </w:rPr>
        <w:t>采购活动，提供的货物全部符合政策要求的中小企业制造。相关企业的具体情况如下：</w:t>
      </w:r>
    </w:p>
    <w:p w14:paraId="4ADE5401">
      <w:pPr>
        <w:spacing w:line="360" w:lineRule="auto"/>
        <w:ind w:firstLine="480" w:firstLineChars="200"/>
        <w:rPr>
          <w:rFonts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1、</w:t>
      </w:r>
      <w:r>
        <w:rPr>
          <w:rFonts w:hint="eastAsia" w:ascii="宋体" w:hAnsi="宋体" w:eastAsia="宋体" w:cs="宋体"/>
          <w:color w:val="000000" w:themeColor="text1"/>
          <w:sz w:val="24"/>
          <w:szCs w:val="24"/>
          <w:highlight w:val="none"/>
          <w:u w:val="single"/>
        </w:rPr>
        <w:t xml:space="preserve">  （标的名称）  </w:t>
      </w:r>
      <w:r>
        <w:rPr>
          <w:rFonts w:hint="eastAsia" w:ascii="宋体" w:hAnsi="宋体" w:eastAsia="宋体" w:cs="宋体"/>
          <w:color w:val="000000" w:themeColor="text1"/>
          <w:sz w:val="24"/>
          <w:szCs w:val="24"/>
          <w:highlight w:val="none"/>
        </w:rPr>
        <w:t>，属于</w:t>
      </w:r>
      <w:r>
        <w:rPr>
          <w:rFonts w:hint="eastAsia" w:ascii="宋体" w:hAnsi="宋体" w:eastAsia="宋体" w:cs="宋体"/>
          <w:color w:val="000000" w:themeColor="text1"/>
          <w:sz w:val="24"/>
          <w:szCs w:val="24"/>
          <w:highlight w:val="none"/>
          <w:u w:val="single"/>
        </w:rPr>
        <w:t xml:space="preserve"> （采购文件中明确的所属行业） 行业</w:t>
      </w:r>
      <w:r>
        <w:rPr>
          <w:rFonts w:hint="eastAsia" w:ascii="宋体" w:hAnsi="宋体" w:eastAsia="宋体" w:cs="宋体"/>
          <w:color w:val="000000" w:themeColor="text1"/>
          <w:sz w:val="24"/>
          <w:szCs w:val="24"/>
          <w:highlight w:val="none"/>
        </w:rPr>
        <w:t>；制造商为</w:t>
      </w:r>
      <w:r>
        <w:rPr>
          <w:rFonts w:hint="eastAsia" w:ascii="宋体" w:hAnsi="宋体" w:eastAsia="宋体" w:cs="宋体"/>
          <w:color w:val="000000" w:themeColor="text1"/>
          <w:sz w:val="24"/>
          <w:szCs w:val="24"/>
          <w:highlight w:val="none"/>
          <w:u w:val="single"/>
        </w:rPr>
        <w:t xml:space="preserve"> （企业名称） </w:t>
      </w:r>
      <w:r>
        <w:rPr>
          <w:rFonts w:hint="eastAsia" w:ascii="宋体" w:hAnsi="宋体" w:eastAsia="宋体" w:cs="宋体"/>
          <w:color w:val="000000" w:themeColor="text1"/>
          <w:sz w:val="24"/>
          <w:szCs w:val="24"/>
          <w:highlight w:val="none"/>
        </w:rPr>
        <w:t>，从业人员</w:t>
      </w:r>
      <w:r>
        <w:rPr>
          <w:rFonts w:hint="eastAsia" w:ascii="宋体" w:hAnsi="宋体" w:eastAsia="宋体" w:cs="宋体"/>
          <w:color w:val="000000" w:themeColor="text1"/>
          <w:sz w:val="24"/>
          <w:szCs w:val="24"/>
          <w:highlight w:val="none"/>
          <w:u w:val="single"/>
        </w:rPr>
        <w:t xml:space="preserve">         </w:t>
      </w:r>
      <w:r>
        <w:rPr>
          <w:rFonts w:hint="eastAsia" w:ascii="宋体" w:hAnsi="宋体" w:eastAsia="宋体" w:cs="宋体"/>
          <w:color w:val="000000" w:themeColor="text1"/>
          <w:sz w:val="24"/>
          <w:szCs w:val="24"/>
          <w:highlight w:val="none"/>
        </w:rPr>
        <w:t>人，营业收入为</w:t>
      </w:r>
      <w:r>
        <w:rPr>
          <w:rFonts w:hint="eastAsia" w:ascii="宋体" w:hAnsi="宋体" w:eastAsia="宋体" w:cs="宋体"/>
          <w:color w:val="000000" w:themeColor="text1"/>
          <w:sz w:val="24"/>
          <w:szCs w:val="24"/>
          <w:highlight w:val="none"/>
          <w:u w:val="single"/>
        </w:rPr>
        <w:t xml:space="preserve">        </w:t>
      </w:r>
      <w:r>
        <w:rPr>
          <w:rFonts w:hint="eastAsia" w:ascii="宋体" w:hAnsi="宋体" w:eastAsia="宋体" w:cs="宋体"/>
          <w:color w:val="000000" w:themeColor="text1"/>
          <w:sz w:val="24"/>
          <w:szCs w:val="24"/>
          <w:highlight w:val="none"/>
        </w:rPr>
        <w:t>万元，资产总额为</w:t>
      </w:r>
      <w:r>
        <w:rPr>
          <w:rFonts w:hint="eastAsia" w:ascii="宋体" w:hAnsi="宋体" w:eastAsia="宋体" w:cs="宋体"/>
          <w:color w:val="000000" w:themeColor="text1"/>
          <w:sz w:val="24"/>
          <w:szCs w:val="24"/>
          <w:highlight w:val="none"/>
          <w:u w:val="single"/>
        </w:rPr>
        <w:t xml:space="preserve">      </w:t>
      </w:r>
      <w:r>
        <w:rPr>
          <w:rFonts w:hint="eastAsia" w:ascii="宋体" w:hAnsi="宋体" w:eastAsia="宋体" w:cs="宋体"/>
          <w:color w:val="000000" w:themeColor="text1"/>
          <w:sz w:val="24"/>
          <w:szCs w:val="24"/>
          <w:highlight w:val="none"/>
        </w:rPr>
        <w:t>万元，属于</w:t>
      </w:r>
      <w:r>
        <w:rPr>
          <w:rFonts w:hint="eastAsia" w:ascii="宋体" w:hAnsi="宋体" w:eastAsia="宋体" w:cs="宋体"/>
          <w:color w:val="000000" w:themeColor="text1"/>
          <w:sz w:val="24"/>
          <w:szCs w:val="24"/>
          <w:highlight w:val="none"/>
          <w:u w:val="single"/>
        </w:rPr>
        <w:t>（中型企业、小型企业、微型企业）</w:t>
      </w:r>
      <w:r>
        <w:rPr>
          <w:rFonts w:hint="eastAsia" w:ascii="宋体" w:hAnsi="宋体" w:eastAsia="宋体" w:cs="宋体"/>
          <w:color w:val="000000" w:themeColor="text1"/>
          <w:sz w:val="24"/>
          <w:szCs w:val="24"/>
          <w:highlight w:val="none"/>
        </w:rPr>
        <w:t>；</w:t>
      </w:r>
    </w:p>
    <w:p w14:paraId="4E497AB0">
      <w:pPr>
        <w:widowControl/>
        <w:spacing w:line="360" w:lineRule="auto"/>
        <w:ind w:firstLine="480" w:firstLineChars="200"/>
        <w:jc w:val="left"/>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sz w:val="24"/>
          <w:szCs w:val="24"/>
          <w:highlight w:val="none"/>
        </w:rPr>
        <w:t>2、</w:t>
      </w:r>
      <w:r>
        <w:rPr>
          <w:rFonts w:hint="eastAsia" w:ascii="宋体" w:hAnsi="宋体" w:eastAsia="宋体" w:cs="宋体"/>
          <w:color w:val="000000" w:themeColor="text1"/>
          <w:sz w:val="24"/>
          <w:szCs w:val="24"/>
          <w:highlight w:val="none"/>
          <w:u w:val="single"/>
        </w:rPr>
        <w:t xml:space="preserve">  （标的名称）  </w:t>
      </w:r>
      <w:r>
        <w:rPr>
          <w:rFonts w:hint="eastAsia" w:ascii="宋体" w:hAnsi="宋体" w:eastAsia="宋体" w:cs="宋体"/>
          <w:color w:val="000000" w:themeColor="text1"/>
          <w:sz w:val="24"/>
          <w:szCs w:val="24"/>
          <w:highlight w:val="none"/>
        </w:rPr>
        <w:t>，属于</w:t>
      </w:r>
      <w:r>
        <w:rPr>
          <w:rFonts w:hint="eastAsia" w:ascii="宋体" w:hAnsi="宋体" w:eastAsia="宋体" w:cs="宋体"/>
          <w:color w:val="000000" w:themeColor="text1"/>
          <w:sz w:val="24"/>
          <w:szCs w:val="24"/>
          <w:highlight w:val="none"/>
          <w:u w:val="single"/>
        </w:rPr>
        <w:t xml:space="preserve"> （采购文件中明确的所属行业） 行业</w:t>
      </w:r>
      <w:r>
        <w:rPr>
          <w:rFonts w:hint="eastAsia" w:ascii="宋体" w:hAnsi="宋体" w:eastAsia="宋体" w:cs="宋体"/>
          <w:color w:val="000000" w:themeColor="text1"/>
          <w:sz w:val="24"/>
          <w:szCs w:val="24"/>
          <w:highlight w:val="none"/>
        </w:rPr>
        <w:t>；制造商为</w:t>
      </w:r>
      <w:r>
        <w:rPr>
          <w:rFonts w:hint="eastAsia" w:ascii="宋体" w:hAnsi="宋体" w:eastAsia="宋体" w:cs="宋体"/>
          <w:color w:val="000000" w:themeColor="text1"/>
          <w:sz w:val="24"/>
          <w:szCs w:val="24"/>
          <w:highlight w:val="none"/>
          <w:u w:val="single"/>
        </w:rPr>
        <w:t xml:space="preserve"> （企业名称） </w:t>
      </w:r>
      <w:r>
        <w:rPr>
          <w:rFonts w:hint="eastAsia" w:ascii="宋体" w:hAnsi="宋体" w:eastAsia="宋体" w:cs="宋体"/>
          <w:color w:val="000000" w:themeColor="text1"/>
          <w:sz w:val="24"/>
          <w:szCs w:val="24"/>
          <w:highlight w:val="none"/>
        </w:rPr>
        <w:t>，从业人员</w:t>
      </w:r>
      <w:r>
        <w:rPr>
          <w:rFonts w:hint="eastAsia" w:ascii="宋体" w:hAnsi="宋体" w:eastAsia="宋体" w:cs="宋体"/>
          <w:color w:val="000000" w:themeColor="text1"/>
          <w:sz w:val="24"/>
          <w:szCs w:val="24"/>
          <w:highlight w:val="none"/>
          <w:u w:val="single"/>
        </w:rPr>
        <w:t xml:space="preserve">         </w:t>
      </w:r>
      <w:r>
        <w:rPr>
          <w:rFonts w:hint="eastAsia" w:ascii="宋体" w:hAnsi="宋体" w:eastAsia="宋体" w:cs="宋体"/>
          <w:color w:val="000000" w:themeColor="text1"/>
          <w:sz w:val="24"/>
          <w:szCs w:val="24"/>
          <w:highlight w:val="none"/>
        </w:rPr>
        <w:t>人，营业收入为</w:t>
      </w:r>
      <w:r>
        <w:rPr>
          <w:rFonts w:hint="eastAsia" w:ascii="宋体" w:hAnsi="宋体" w:eastAsia="宋体" w:cs="宋体"/>
          <w:color w:val="000000" w:themeColor="text1"/>
          <w:sz w:val="24"/>
          <w:szCs w:val="24"/>
          <w:highlight w:val="none"/>
          <w:u w:val="single"/>
        </w:rPr>
        <w:t xml:space="preserve">        </w:t>
      </w:r>
      <w:r>
        <w:rPr>
          <w:rFonts w:hint="eastAsia" w:ascii="宋体" w:hAnsi="宋体" w:eastAsia="宋体" w:cs="宋体"/>
          <w:color w:val="000000" w:themeColor="text1"/>
          <w:sz w:val="24"/>
          <w:szCs w:val="24"/>
          <w:highlight w:val="none"/>
        </w:rPr>
        <w:t>万元，资产总额为</w:t>
      </w:r>
      <w:r>
        <w:rPr>
          <w:rFonts w:hint="eastAsia" w:ascii="宋体" w:hAnsi="宋体" w:eastAsia="宋体" w:cs="宋体"/>
          <w:color w:val="000000" w:themeColor="text1"/>
          <w:sz w:val="24"/>
          <w:szCs w:val="24"/>
          <w:highlight w:val="none"/>
          <w:u w:val="single"/>
        </w:rPr>
        <w:t xml:space="preserve">      </w:t>
      </w:r>
      <w:r>
        <w:rPr>
          <w:rFonts w:hint="eastAsia" w:ascii="宋体" w:hAnsi="宋体" w:eastAsia="宋体" w:cs="宋体"/>
          <w:color w:val="000000" w:themeColor="text1"/>
          <w:sz w:val="24"/>
          <w:szCs w:val="24"/>
          <w:highlight w:val="none"/>
        </w:rPr>
        <w:t>万元，属于</w:t>
      </w:r>
      <w:r>
        <w:rPr>
          <w:rFonts w:hint="eastAsia" w:ascii="宋体" w:hAnsi="宋体" w:eastAsia="宋体" w:cs="宋体"/>
          <w:color w:val="000000" w:themeColor="text1"/>
          <w:sz w:val="24"/>
          <w:szCs w:val="24"/>
          <w:highlight w:val="none"/>
          <w:u w:val="single"/>
        </w:rPr>
        <w:t>（中型企业、小型企业、微型企业）</w:t>
      </w:r>
      <w:r>
        <w:rPr>
          <w:rFonts w:hint="eastAsia" w:ascii="宋体" w:hAnsi="宋体" w:eastAsia="宋体" w:cs="宋体"/>
          <w:color w:val="000000" w:themeColor="text1"/>
          <w:sz w:val="24"/>
          <w:szCs w:val="24"/>
          <w:highlight w:val="none"/>
        </w:rPr>
        <w:t>；</w:t>
      </w:r>
    </w:p>
    <w:p w14:paraId="73F480FC">
      <w:pPr>
        <w:widowControl/>
        <w:spacing w:line="360" w:lineRule="auto"/>
        <w:ind w:firstLine="480" w:firstLineChars="200"/>
        <w:jc w:val="left"/>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w:t>
      </w:r>
    </w:p>
    <w:p w14:paraId="06053597">
      <w:pPr>
        <w:widowControl/>
        <w:spacing w:line="360" w:lineRule="auto"/>
        <w:ind w:firstLine="480" w:firstLineChars="200"/>
        <w:jc w:val="left"/>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以上企业，不属于大企业的分支机构，不存在控股股东为大企业的情形，也不存在与大企业的负责人为同一人的情形。</w:t>
      </w:r>
    </w:p>
    <w:p w14:paraId="10E5A704">
      <w:pPr>
        <w:widowControl/>
        <w:spacing w:line="360" w:lineRule="auto"/>
        <w:ind w:firstLine="480" w:firstLineChars="200"/>
        <w:jc w:val="left"/>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本企业对上述声明内容的真实性负责。如有虚假，将依法承担相应责任。</w:t>
      </w:r>
    </w:p>
    <w:p w14:paraId="55451107">
      <w:pPr>
        <w:widowControl/>
        <w:spacing w:line="360" w:lineRule="auto"/>
        <w:jc w:val="left"/>
        <w:rPr>
          <w:rFonts w:ascii="宋体" w:hAnsi="宋体" w:eastAsia="宋体" w:cs="宋体"/>
          <w:color w:val="000000" w:themeColor="text1"/>
          <w:kern w:val="0"/>
          <w:sz w:val="24"/>
          <w:szCs w:val="24"/>
          <w:highlight w:val="none"/>
        </w:rPr>
      </w:pPr>
    </w:p>
    <w:p w14:paraId="55AB2BCF">
      <w:pPr>
        <w:widowControl/>
        <w:spacing w:line="360" w:lineRule="auto"/>
        <w:jc w:val="left"/>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企业名称（盖章）：</w:t>
      </w:r>
    </w:p>
    <w:p w14:paraId="22BC7E1E">
      <w:pPr>
        <w:widowControl/>
        <w:spacing w:line="360" w:lineRule="auto"/>
        <w:jc w:val="left"/>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日期：</w:t>
      </w:r>
    </w:p>
    <w:p w14:paraId="343EF72D">
      <w:pPr>
        <w:widowControl/>
        <w:spacing w:line="360" w:lineRule="auto"/>
        <w:jc w:val="left"/>
        <w:rPr>
          <w:rFonts w:ascii="宋体" w:hAnsi="宋体" w:eastAsia="宋体" w:cs="宋体"/>
          <w:color w:val="000000" w:themeColor="text1"/>
          <w:kern w:val="0"/>
          <w:sz w:val="24"/>
          <w:szCs w:val="24"/>
          <w:highlight w:val="none"/>
        </w:rPr>
      </w:pPr>
    </w:p>
    <w:p w14:paraId="6E9D4E9D">
      <w:pPr>
        <w:widowControl/>
        <w:spacing w:line="360" w:lineRule="auto"/>
        <w:jc w:val="left"/>
        <w:rPr>
          <w:rFonts w:ascii="宋体" w:hAnsi="宋体" w:eastAsia="宋体" w:cs="宋体"/>
          <w:color w:val="000000" w:themeColor="text1"/>
          <w:kern w:val="0"/>
          <w:sz w:val="24"/>
          <w:szCs w:val="24"/>
          <w:highlight w:val="none"/>
        </w:rPr>
      </w:pPr>
    </w:p>
    <w:p w14:paraId="23DDD200">
      <w:pPr>
        <w:widowControl/>
        <w:spacing w:line="360" w:lineRule="auto"/>
        <w:jc w:val="left"/>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从业人员、营业收入、资产总额填报上一年度数据，无上一年度数据的新成立企业可不填报。</w:t>
      </w:r>
    </w:p>
    <w:p w14:paraId="0FCE124F">
      <w:pPr>
        <w:widowControl/>
        <w:jc w:val="left"/>
        <w:rPr>
          <w:rFonts w:ascii="宋体" w:hAnsi="宋体" w:eastAsia="宋体" w:cs="宋体"/>
          <w:color w:val="000000" w:themeColor="text1"/>
          <w:kern w:val="0"/>
          <w:sz w:val="24"/>
          <w:szCs w:val="24"/>
          <w:highlight w:val="none"/>
        </w:rPr>
      </w:pPr>
      <w:r>
        <w:rPr>
          <w:rFonts w:ascii="宋体" w:hAnsi="宋体" w:eastAsia="宋体" w:cs="宋体"/>
          <w:color w:val="000000" w:themeColor="text1"/>
          <w:kern w:val="0"/>
          <w:sz w:val="24"/>
          <w:szCs w:val="24"/>
          <w:highlight w:val="none"/>
        </w:rPr>
        <w:br w:type="page"/>
      </w:r>
    </w:p>
    <w:p w14:paraId="6FA11F09">
      <w:pPr>
        <w:widowControl/>
        <w:spacing w:line="360" w:lineRule="auto"/>
        <w:jc w:val="left"/>
        <w:rPr>
          <w:rFonts w:ascii="宋体" w:hAnsi="宋体" w:eastAsia="宋体"/>
          <w:color w:val="000000" w:themeColor="text1"/>
          <w:sz w:val="24"/>
          <w:szCs w:val="24"/>
          <w:highlight w:val="none"/>
        </w:rPr>
      </w:pPr>
    </w:p>
    <w:p w14:paraId="1330A145">
      <w:pPr>
        <w:widowControl/>
        <w:spacing w:line="360" w:lineRule="auto"/>
        <w:jc w:val="left"/>
        <w:rPr>
          <w:rFonts w:ascii="宋体" w:hAnsi="宋体" w:eastAsia="宋体" w:cs="宋体"/>
          <w:color w:val="000000" w:themeColor="text1"/>
          <w:kern w:val="0"/>
          <w:sz w:val="28"/>
          <w:szCs w:val="28"/>
          <w:highlight w:val="none"/>
        </w:rPr>
      </w:pPr>
      <w:r>
        <w:rPr>
          <w:rFonts w:hint="eastAsia" w:ascii="宋体" w:hAnsi="宋体" w:eastAsia="宋体" w:cs="宋体"/>
          <w:b/>
          <w:bCs/>
          <w:color w:val="000000" w:themeColor="text1"/>
          <w:kern w:val="0"/>
          <w:sz w:val="28"/>
          <w:szCs w:val="28"/>
          <w:highlight w:val="none"/>
        </w:rPr>
        <w:t>附件5：</w:t>
      </w:r>
    </w:p>
    <w:p w14:paraId="4BA7976D">
      <w:pPr>
        <w:widowControl/>
        <w:spacing w:line="360" w:lineRule="auto"/>
        <w:jc w:val="left"/>
        <w:rPr>
          <w:rFonts w:ascii="宋体" w:hAnsi="宋体" w:eastAsia="宋体" w:cs="宋体"/>
          <w:color w:val="000000" w:themeColor="text1"/>
          <w:kern w:val="0"/>
          <w:sz w:val="24"/>
          <w:szCs w:val="24"/>
          <w:highlight w:val="none"/>
        </w:rPr>
      </w:pPr>
    </w:p>
    <w:p w14:paraId="776915BF">
      <w:pPr>
        <w:widowControl/>
        <w:spacing w:line="360" w:lineRule="auto"/>
        <w:jc w:val="center"/>
        <w:rPr>
          <w:rFonts w:ascii="宋体" w:hAnsi="宋体" w:eastAsia="宋体" w:cs="宋体"/>
          <w:color w:val="000000" w:themeColor="text1"/>
          <w:kern w:val="0"/>
          <w:sz w:val="28"/>
          <w:szCs w:val="28"/>
          <w:highlight w:val="none"/>
        </w:rPr>
      </w:pPr>
      <w:r>
        <w:rPr>
          <w:rFonts w:hint="eastAsia" w:ascii="宋体" w:hAnsi="宋体" w:eastAsia="宋体" w:cs="宋体"/>
          <w:b/>
          <w:bCs/>
          <w:color w:val="000000" w:themeColor="text1"/>
          <w:kern w:val="0"/>
          <w:sz w:val="28"/>
          <w:szCs w:val="28"/>
          <w:highlight w:val="none"/>
        </w:rPr>
        <w:t>残疾人福利性单位声明函</w:t>
      </w:r>
    </w:p>
    <w:p w14:paraId="157448D6">
      <w:pPr>
        <w:widowControl/>
        <w:spacing w:line="360" w:lineRule="auto"/>
        <w:ind w:firstLine="480" w:firstLineChars="200"/>
        <w:jc w:val="left"/>
        <w:rPr>
          <w:rFonts w:ascii="宋体" w:hAnsi="宋体" w:eastAsia="宋体" w:cs="宋体"/>
          <w:color w:val="000000" w:themeColor="text1"/>
          <w:kern w:val="0"/>
          <w:sz w:val="24"/>
          <w:szCs w:val="24"/>
          <w:highlight w:val="none"/>
        </w:rPr>
      </w:pPr>
      <w:r>
        <w:rPr>
          <w:rFonts w:ascii="宋体" w:hAnsi="宋体" w:eastAsia="宋体"/>
          <w:color w:val="000000" w:themeColor="text1"/>
          <w:sz w:val="24"/>
          <w:highlight w:val="none"/>
        </w:rPr>
        <w:t>作为</w:t>
      </w:r>
      <w:r>
        <w:rPr>
          <w:rFonts w:hint="eastAsia" w:ascii="宋体" w:hAnsi="宋体" w:eastAsia="宋体"/>
          <w:color w:val="000000" w:themeColor="text1"/>
          <w:sz w:val="24"/>
          <w:highlight w:val="none"/>
          <w:u w:val="single"/>
        </w:rPr>
        <w:t>（</w:t>
      </w:r>
      <w:r>
        <w:rPr>
          <w:rFonts w:hint="eastAsia" w:ascii="宋体" w:hAnsi="宋体" w:eastAsia="宋体" w:cs="宋体"/>
          <w:color w:val="000000" w:themeColor="text1"/>
          <w:sz w:val="24"/>
          <w:szCs w:val="24"/>
          <w:highlight w:val="none"/>
          <w:u w:val="single"/>
        </w:rPr>
        <w:t>项目名称+项目编号+包段名称</w:t>
      </w:r>
      <w:r>
        <w:rPr>
          <w:rFonts w:ascii="宋体" w:hAnsi="宋体" w:eastAsia="宋体"/>
          <w:color w:val="000000" w:themeColor="text1"/>
          <w:sz w:val="24"/>
          <w:highlight w:val="none"/>
          <w:u w:val="single"/>
        </w:rPr>
        <w:t>）</w:t>
      </w:r>
      <w:r>
        <w:rPr>
          <w:rFonts w:ascii="宋体" w:hAnsi="宋体" w:eastAsia="宋体"/>
          <w:color w:val="000000" w:themeColor="text1"/>
          <w:sz w:val="24"/>
          <w:highlight w:val="none"/>
        </w:rPr>
        <w:t>的供应商</w:t>
      </w:r>
      <w:r>
        <w:rPr>
          <w:rFonts w:hint="eastAsia" w:ascii="宋体" w:hAnsi="宋体" w:eastAsia="宋体"/>
          <w:color w:val="000000" w:themeColor="text1"/>
          <w:sz w:val="24"/>
          <w:highlight w:val="none"/>
        </w:rPr>
        <w:t>，在此</w:t>
      </w:r>
      <w:r>
        <w:rPr>
          <w:rFonts w:hint="eastAsia" w:ascii="宋体" w:hAnsi="宋体" w:eastAsia="宋体" w:cs="宋体"/>
          <w:color w:val="000000" w:themeColor="text1"/>
          <w:kern w:val="0"/>
          <w:sz w:val="24"/>
          <w:szCs w:val="24"/>
          <w:highlight w:val="none"/>
        </w:rPr>
        <w:t>郑重声明：根据《财政部民政部中国残疾人联合会关于促进残疾人就业政府采购政策的通知》（财库〔2017〕141号）的规定，本单位为符合条件的残疾人福利性单位，且本单位参加单位的项目采购活动由本单位提供服务。</w:t>
      </w:r>
    </w:p>
    <w:p w14:paraId="291AE461">
      <w:pPr>
        <w:widowControl/>
        <w:spacing w:line="360" w:lineRule="auto"/>
        <w:ind w:firstLine="480" w:firstLineChars="200"/>
        <w:jc w:val="left"/>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本单位对上述声明的真实性负责。如有虚假，将依法承担相应责任。</w:t>
      </w:r>
    </w:p>
    <w:p w14:paraId="07B81E48">
      <w:pPr>
        <w:widowControl/>
        <w:spacing w:line="360" w:lineRule="auto"/>
        <w:jc w:val="left"/>
        <w:rPr>
          <w:rFonts w:ascii="宋体" w:hAnsi="宋体" w:eastAsia="宋体" w:cs="宋体"/>
          <w:color w:val="000000" w:themeColor="text1"/>
          <w:kern w:val="0"/>
          <w:sz w:val="24"/>
          <w:szCs w:val="24"/>
          <w:highlight w:val="none"/>
        </w:rPr>
      </w:pPr>
    </w:p>
    <w:p w14:paraId="3D6E56BF">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投标人名称（公章）：</w:t>
      </w:r>
    </w:p>
    <w:p w14:paraId="4D02A5C4">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法定代表人或授权代表（签字或盖章）：</w:t>
      </w:r>
    </w:p>
    <w:p w14:paraId="799E3BDF">
      <w:pPr>
        <w:spacing w:line="360" w:lineRule="auto"/>
        <w:ind w:firstLine="480" w:firstLineChars="200"/>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 xml:space="preserve">日期： </w:t>
      </w:r>
      <w:r>
        <w:rPr>
          <w:rFonts w:ascii="宋体" w:hAnsi="宋体" w:eastAsia="宋体" w:cs="宋体"/>
          <w:color w:val="000000" w:themeColor="text1"/>
          <w:kern w:val="0"/>
          <w:sz w:val="24"/>
          <w:szCs w:val="24"/>
          <w:highlight w:val="none"/>
        </w:rPr>
        <w:t xml:space="preserve">   </w:t>
      </w:r>
      <w:r>
        <w:rPr>
          <w:rFonts w:hint="eastAsia" w:ascii="宋体" w:hAnsi="宋体" w:eastAsia="宋体" w:cs="宋体"/>
          <w:color w:val="000000" w:themeColor="text1"/>
          <w:kern w:val="0"/>
          <w:sz w:val="24"/>
          <w:szCs w:val="24"/>
          <w:highlight w:val="none"/>
        </w:rPr>
        <w:t xml:space="preserve">年 </w:t>
      </w:r>
      <w:r>
        <w:rPr>
          <w:rFonts w:ascii="宋体" w:hAnsi="宋体" w:eastAsia="宋体" w:cs="宋体"/>
          <w:color w:val="000000" w:themeColor="text1"/>
          <w:kern w:val="0"/>
          <w:sz w:val="24"/>
          <w:szCs w:val="24"/>
          <w:highlight w:val="none"/>
        </w:rPr>
        <w:t xml:space="preserve"> </w:t>
      </w:r>
      <w:r>
        <w:rPr>
          <w:rFonts w:hint="eastAsia" w:ascii="宋体" w:hAnsi="宋体" w:eastAsia="宋体" w:cs="宋体"/>
          <w:color w:val="000000" w:themeColor="text1"/>
          <w:kern w:val="0"/>
          <w:sz w:val="24"/>
          <w:szCs w:val="24"/>
          <w:highlight w:val="none"/>
        </w:rPr>
        <w:t xml:space="preserve">月 </w:t>
      </w:r>
      <w:r>
        <w:rPr>
          <w:rFonts w:ascii="宋体" w:hAnsi="宋体" w:eastAsia="宋体" w:cs="宋体"/>
          <w:color w:val="000000" w:themeColor="text1"/>
          <w:kern w:val="0"/>
          <w:sz w:val="24"/>
          <w:szCs w:val="24"/>
          <w:highlight w:val="none"/>
        </w:rPr>
        <w:t xml:space="preserve"> </w:t>
      </w:r>
      <w:r>
        <w:rPr>
          <w:rFonts w:hint="eastAsia" w:ascii="宋体" w:hAnsi="宋体" w:eastAsia="宋体" w:cs="宋体"/>
          <w:color w:val="000000" w:themeColor="text1"/>
          <w:kern w:val="0"/>
          <w:sz w:val="24"/>
          <w:szCs w:val="24"/>
          <w:highlight w:val="none"/>
        </w:rPr>
        <w:t>日</w:t>
      </w:r>
    </w:p>
    <w:p w14:paraId="466BDAE3">
      <w:pPr>
        <w:widowControl/>
        <w:spacing w:line="360" w:lineRule="auto"/>
        <w:jc w:val="left"/>
        <w:rPr>
          <w:rFonts w:ascii="宋体" w:hAnsi="宋体" w:eastAsia="宋体" w:cs="宋体"/>
          <w:color w:val="000000" w:themeColor="text1"/>
          <w:kern w:val="0"/>
          <w:sz w:val="24"/>
          <w:szCs w:val="24"/>
          <w:highlight w:val="none"/>
        </w:rPr>
      </w:pPr>
    </w:p>
    <w:p w14:paraId="32B9207D">
      <w:pPr>
        <w:widowControl/>
        <w:spacing w:line="360" w:lineRule="auto"/>
        <w:jc w:val="left"/>
        <w:rPr>
          <w:rFonts w:ascii="宋体" w:hAnsi="宋体" w:eastAsia="宋体" w:cs="宋体"/>
          <w:color w:val="000000" w:themeColor="text1"/>
          <w:kern w:val="0"/>
          <w:sz w:val="24"/>
          <w:szCs w:val="24"/>
          <w:highlight w:val="none"/>
        </w:rPr>
      </w:pPr>
    </w:p>
    <w:p w14:paraId="03203614">
      <w:pPr>
        <w:widowControl/>
        <w:spacing w:line="360" w:lineRule="auto"/>
        <w:jc w:val="left"/>
        <w:rPr>
          <w:rFonts w:ascii="宋体" w:hAnsi="宋体" w:eastAsia="宋体" w:cs="宋体"/>
          <w:b/>
          <w:bCs/>
          <w:color w:val="000000" w:themeColor="text1"/>
          <w:kern w:val="0"/>
          <w:sz w:val="24"/>
          <w:szCs w:val="24"/>
          <w:highlight w:val="none"/>
        </w:rPr>
      </w:pPr>
      <w:r>
        <w:rPr>
          <w:rFonts w:hint="eastAsia" w:ascii="宋体" w:hAnsi="宋体" w:eastAsia="宋体" w:cs="宋体"/>
          <w:b/>
          <w:bCs/>
          <w:color w:val="000000" w:themeColor="text1"/>
          <w:kern w:val="0"/>
          <w:sz w:val="24"/>
          <w:szCs w:val="24"/>
          <w:highlight w:val="none"/>
        </w:rPr>
        <w:t>注：非残疾人福利性单位无需提供此文件，否则由此导致的一切不利后果由投标人自行承担。</w:t>
      </w:r>
    </w:p>
    <w:p w14:paraId="05C74881">
      <w:pPr>
        <w:widowControl/>
        <w:jc w:val="left"/>
        <w:rPr>
          <w:rFonts w:ascii="宋体" w:hAnsi="宋体" w:eastAsia="宋体" w:cs="宋体"/>
          <w:b/>
          <w:bCs/>
          <w:color w:val="000000" w:themeColor="text1"/>
          <w:kern w:val="0"/>
          <w:sz w:val="24"/>
          <w:szCs w:val="24"/>
          <w:highlight w:val="none"/>
        </w:rPr>
      </w:pPr>
      <w:r>
        <w:rPr>
          <w:rFonts w:ascii="宋体" w:hAnsi="宋体" w:eastAsia="宋体" w:cs="宋体"/>
          <w:b/>
          <w:bCs/>
          <w:color w:val="000000" w:themeColor="text1"/>
          <w:kern w:val="0"/>
          <w:sz w:val="24"/>
          <w:szCs w:val="24"/>
          <w:highlight w:val="none"/>
        </w:rPr>
        <w:br w:type="page"/>
      </w:r>
    </w:p>
    <w:p w14:paraId="493528EC">
      <w:pPr>
        <w:widowControl/>
        <w:spacing w:line="360" w:lineRule="auto"/>
        <w:jc w:val="left"/>
        <w:rPr>
          <w:rFonts w:ascii="宋体" w:hAnsi="宋体" w:eastAsia="宋体"/>
          <w:color w:val="000000" w:themeColor="text1"/>
          <w:sz w:val="24"/>
          <w:szCs w:val="24"/>
          <w:highlight w:val="none"/>
        </w:rPr>
      </w:pPr>
    </w:p>
    <w:p w14:paraId="176FCF14">
      <w:pPr>
        <w:widowControl/>
        <w:spacing w:line="360" w:lineRule="auto"/>
        <w:jc w:val="left"/>
        <w:rPr>
          <w:rFonts w:ascii="宋体" w:hAnsi="宋体" w:eastAsia="宋体" w:cs="宋体"/>
          <w:color w:val="000000" w:themeColor="text1"/>
          <w:kern w:val="0"/>
          <w:sz w:val="28"/>
          <w:szCs w:val="28"/>
          <w:highlight w:val="none"/>
        </w:rPr>
      </w:pPr>
      <w:r>
        <w:rPr>
          <w:rFonts w:hint="eastAsia" w:ascii="宋体" w:hAnsi="宋体" w:eastAsia="宋体" w:cs="宋体"/>
          <w:b/>
          <w:bCs/>
          <w:color w:val="000000" w:themeColor="text1"/>
          <w:kern w:val="0"/>
          <w:sz w:val="28"/>
          <w:szCs w:val="28"/>
          <w:highlight w:val="none"/>
        </w:rPr>
        <w:t>附件</w:t>
      </w:r>
      <w:r>
        <w:rPr>
          <w:rFonts w:ascii="宋体" w:hAnsi="宋体" w:eastAsia="宋体" w:cs="宋体"/>
          <w:b/>
          <w:bCs/>
          <w:color w:val="000000" w:themeColor="text1"/>
          <w:kern w:val="0"/>
          <w:sz w:val="28"/>
          <w:szCs w:val="28"/>
          <w:highlight w:val="none"/>
        </w:rPr>
        <w:t>6</w:t>
      </w:r>
      <w:r>
        <w:rPr>
          <w:rFonts w:hint="eastAsia" w:ascii="宋体" w:hAnsi="宋体" w:eastAsia="宋体" w:cs="宋体"/>
          <w:b/>
          <w:bCs/>
          <w:color w:val="000000" w:themeColor="text1"/>
          <w:kern w:val="0"/>
          <w:sz w:val="28"/>
          <w:szCs w:val="28"/>
          <w:highlight w:val="none"/>
        </w:rPr>
        <w:t>：</w:t>
      </w:r>
    </w:p>
    <w:p w14:paraId="3767E54B">
      <w:pPr>
        <w:widowControl/>
        <w:spacing w:line="360" w:lineRule="auto"/>
        <w:jc w:val="left"/>
        <w:rPr>
          <w:rFonts w:ascii="宋体" w:hAnsi="宋体" w:eastAsia="宋体" w:cs="宋体"/>
          <w:color w:val="000000" w:themeColor="text1"/>
          <w:kern w:val="0"/>
          <w:sz w:val="24"/>
          <w:szCs w:val="24"/>
          <w:highlight w:val="none"/>
        </w:rPr>
      </w:pPr>
    </w:p>
    <w:p w14:paraId="27D43C79">
      <w:pPr>
        <w:widowControl/>
        <w:spacing w:line="360" w:lineRule="auto"/>
        <w:jc w:val="center"/>
        <w:rPr>
          <w:rFonts w:ascii="宋体" w:hAnsi="宋体" w:eastAsia="宋体" w:cs="宋体"/>
          <w:b/>
          <w:bCs/>
          <w:color w:val="000000" w:themeColor="text1"/>
          <w:kern w:val="0"/>
          <w:sz w:val="28"/>
          <w:szCs w:val="28"/>
          <w:highlight w:val="none"/>
        </w:rPr>
      </w:pPr>
      <w:r>
        <w:rPr>
          <w:rFonts w:hint="eastAsia" w:ascii="宋体" w:hAnsi="宋体" w:eastAsia="宋体" w:cs="宋体"/>
          <w:b/>
          <w:bCs/>
          <w:color w:val="000000" w:themeColor="text1"/>
          <w:kern w:val="0"/>
          <w:sz w:val="28"/>
          <w:szCs w:val="28"/>
          <w:highlight w:val="none"/>
        </w:rPr>
        <w:t>监狱企业证明函</w:t>
      </w:r>
    </w:p>
    <w:p w14:paraId="1420B9B6">
      <w:pPr>
        <w:widowControl/>
        <w:spacing w:line="360" w:lineRule="auto"/>
        <w:ind w:firstLine="480" w:firstLineChars="200"/>
        <w:jc w:val="left"/>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46814718">
      <w:pPr>
        <w:widowControl/>
        <w:spacing w:line="360" w:lineRule="auto"/>
        <w:ind w:firstLine="480" w:firstLineChars="200"/>
        <w:jc w:val="left"/>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监狱企业参加政府采购活动时，应当提供由省级以上监狱管理局、戒毒管理局（含新疆生产建设兵团）出具的属于监狱企业的证明文件。</w:t>
      </w:r>
    </w:p>
    <w:p w14:paraId="68914499">
      <w:pPr>
        <w:widowControl/>
        <w:spacing w:line="360" w:lineRule="auto"/>
        <w:jc w:val="left"/>
        <w:rPr>
          <w:rFonts w:ascii="宋体" w:hAnsi="宋体" w:eastAsia="宋体" w:cs="宋体"/>
          <w:color w:val="000000" w:themeColor="text1"/>
          <w:kern w:val="0"/>
          <w:sz w:val="24"/>
          <w:szCs w:val="24"/>
          <w:highlight w:val="none"/>
        </w:rPr>
      </w:pPr>
    </w:p>
    <w:p w14:paraId="28019C77">
      <w:pPr>
        <w:widowControl/>
        <w:spacing w:line="360" w:lineRule="auto"/>
        <w:jc w:val="left"/>
        <w:rPr>
          <w:rFonts w:ascii="宋体" w:hAnsi="宋体" w:eastAsia="宋体" w:cs="宋体"/>
          <w:color w:val="000000" w:themeColor="text1"/>
          <w:kern w:val="0"/>
          <w:sz w:val="24"/>
          <w:szCs w:val="24"/>
          <w:highlight w:val="none"/>
        </w:rPr>
      </w:pPr>
    </w:p>
    <w:p w14:paraId="60DC56DF">
      <w:pPr>
        <w:widowControl/>
        <w:spacing w:line="360" w:lineRule="auto"/>
        <w:jc w:val="left"/>
        <w:rPr>
          <w:rFonts w:ascii="宋体" w:hAnsi="宋体" w:eastAsia="宋体" w:cs="宋体"/>
          <w:b/>
          <w:bCs/>
          <w:color w:val="000000" w:themeColor="text1"/>
          <w:kern w:val="0"/>
          <w:sz w:val="24"/>
          <w:szCs w:val="24"/>
          <w:highlight w:val="none"/>
        </w:rPr>
      </w:pPr>
      <w:r>
        <w:rPr>
          <w:rFonts w:hint="eastAsia" w:ascii="宋体" w:hAnsi="宋体" w:eastAsia="宋体" w:cs="宋体"/>
          <w:b/>
          <w:bCs/>
          <w:color w:val="000000" w:themeColor="text1"/>
          <w:kern w:val="0"/>
          <w:sz w:val="24"/>
          <w:szCs w:val="24"/>
          <w:highlight w:val="none"/>
        </w:rPr>
        <w:t>注：非监狱企业无需提供此文件，否则由此导致的一切不利后果由投标人自行承担。</w:t>
      </w:r>
    </w:p>
    <w:p w14:paraId="7FFD9A73">
      <w:pPr>
        <w:widowControl/>
        <w:jc w:val="left"/>
        <w:rPr>
          <w:rFonts w:ascii="宋体" w:hAnsi="宋体" w:eastAsia="宋体" w:cs="宋体"/>
          <w:b/>
          <w:bCs/>
          <w:color w:val="000000" w:themeColor="text1"/>
          <w:kern w:val="0"/>
          <w:sz w:val="24"/>
          <w:szCs w:val="24"/>
          <w:highlight w:val="none"/>
        </w:rPr>
      </w:pPr>
      <w:r>
        <w:rPr>
          <w:rFonts w:ascii="宋体" w:hAnsi="宋体" w:eastAsia="宋体" w:cs="宋体"/>
          <w:b/>
          <w:bCs/>
          <w:color w:val="000000" w:themeColor="text1"/>
          <w:kern w:val="0"/>
          <w:sz w:val="24"/>
          <w:szCs w:val="24"/>
          <w:highlight w:val="none"/>
        </w:rPr>
        <w:br w:type="page"/>
      </w:r>
    </w:p>
    <w:p w14:paraId="3F1B2E21">
      <w:pPr>
        <w:widowControl/>
        <w:spacing w:line="360" w:lineRule="auto"/>
        <w:jc w:val="left"/>
        <w:rPr>
          <w:rFonts w:ascii="宋体" w:hAnsi="宋体" w:eastAsia="宋体" w:cs="宋体"/>
          <w:color w:val="000000" w:themeColor="text1"/>
          <w:kern w:val="0"/>
          <w:sz w:val="24"/>
          <w:szCs w:val="24"/>
          <w:highlight w:val="none"/>
        </w:rPr>
      </w:pPr>
    </w:p>
    <w:p w14:paraId="10C587AD">
      <w:pPr>
        <w:widowControl/>
        <w:spacing w:line="360" w:lineRule="auto"/>
        <w:jc w:val="left"/>
        <w:rPr>
          <w:rFonts w:ascii="宋体" w:hAnsi="宋体" w:eastAsia="宋体" w:cs="宋体"/>
          <w:b/>
          <w:bCs/>
          <w:color w:val="000000" w:themeColor="text1"/>
          <w:kern w:val="0"/>
          <w:sz w:val="28"/>
          <w:szCs w:val="28"/>
          <w:highlight w:val="none"/>
        </w:rPr>
      </w:pPr>
      <w:r>
        <w:rPr>
          <w:rFonts w:hint="eastAsia" w:ascii="宋体" w:hAnsi="宋体" w:eastAsia="宋体" w:cs="宋体"/>
          <w:b/>
          <w:bCs/>
          <w:color w:val="000000" w:themeColor="text1"/>
          <w:kern w:val="0"/>
          <w:sz w:val="28"/>
          <w:szCs w:val="28"/>
          <w:highlight w:val="none"/>
        </w:rPr>
        <w:t>附件7：</w:t>
      </w:r>
    </w:p>
    <w:p w14:paraId="04F2A99B">
      <w:pPr>
        <w:widowControl/>
        <w:spacing w:line="360" w:lineRule="auto"/>
        <w:jc w:val="center"/>
        <w:rPr>
          <w:rFonts w:ascii="宋体" w:hAnsi="宋体" w:eastAsia="宋体" w:cs="宋体"/>
          <w:b/>
          <w:bCs/>
          <w:color w:val="000000" w:themeColor="text1"/>
          <w:kern w:val="0"/>
          <w:sz w:val="28"/>
          <w:szCs w:val="28"/>
          <w:highlight w:val="none"/>
        </w:rPr>
      </w:pPr>
      <w:r>
        <w:rPr>
          <w:rFonts w:hint="eastAsia" w:ascii="宋体" w:hAnsi="宋体" w:eastAsia="宋体" w:cs="宋体"/>
          <w:b/>
          <w:bCs/>
          <w:color w:val="000000" w:themeColor="text1"/>
          <w:kern w:val="0"/>
          <w:sz w:val="28"/>
          <w:szCs w:val="28"/>
          <w:highlight w:val="none"/>
        </w:rPr>
        <w:t>控股管理关系（格式）</w:t>
      </w:r>
    </w:p>
    <w:p w14:paraId="6C6143CC">
      <w:pPr>
        <w:widowControl/>
        <w:shd w:val="clear" w:color="auto" w:fill="FFFFFF"/>
        <w:spacing w:line="360" w:lineRule="auto"/>
        <w:ind w:firstLine="480" w:firstLineChars="200"/>
        <w:jc w:val="left"/>
        <w:rPr>
          <w:rFonts w:ascii="宋体" w:hAnsi="宋体" w:eastAsia="宋体"/>
          <w:color w:val="000000" w:themeColor="text1"/>
          <w:sz w:val="24"/>
          <w:szCs w:val="24"/>
          <w:highlight w:val="none"/>
        </w:rPr>
      </w:pPr>
      <w:r>
        <w:rPr>
          <w:rFonts w:ascii="宋体" w:hAnsi="宋体" w:eastAsia="宋体"/>
          <w:color w:val="000000" w:themeColor="text1"/>
          <w:sz w:val="24"/>
          <w:highlight w:val="none"/>
        </w:rPr>
        <w:t>作为</w:t>
      </w:r>
      <w:r>
        <w:rPr>
          <w:rFonts w:hint="eastAsia" w:ascii="宋体" w:hAnsi="宋体" w:eastAsia="宋体"/>
          <w:color w:val="000000" w:themeColor="text1"/>
          <w:sz w:val="24"/>
          <w:highlight w:val="none"/>
          <w:u w:val="single"/>
        </w:rPr>
        <w:t>（</w:t>
      </w:r>
      <w:r>
        <w:rPr>
          <w:rFonts w:hint="eastAsia" w:ascii="宋体" w:hAnsi="宋体" w:eastAsia="宋体" w:cs="宋体"/>
          <w:color w:val="000000" w:themeColor="text1"/>
          <w:sz w:val="24"/>
          <w:szCs w:val="24"/>
          <w:highlight w:val="none"/>
          <w:u w:val="single"/>
        </w:rPr>
        <w:t>项目名称+项目编号+包段名称</w:t>
      </w:r>
      <w:r>
        <w:rPr>
          <w:rFonts w:ascii="宋体" w:hAnsi="宋体" w:eastAsia="宋体"/>
          <w:color w:val="000000" w:themeColor="text1"/>
          <w:sz w:val="24"/>
          <w:highlight w:val="none"/>
          <w:u w:val="single"/>
        </w:rPr>
        <w:t>）</w:t>
      </w:r>
      <w:r>
        <w:rPr>
          <w:rFonts w:ascii="宋体" w:hAnsi="宋体" w:eastAsia="宋体"/>
          <w:color w:val="000000" w:themeColor="text1"/>
          <w:sz w:val="24"/>
          <w:highlight w:val="none"/>
        </w:rPr>
        <w:t>的供应商</w:t>
      </w:r>
      <w:r>
        <w:rPr>
          <w:rFonts w:hint="eastAsia" w:ascii="宋体" w:hAnsi="宋体" w:eastAsia="宋体"/>
          <w:color w:val="000000" w:themeColor="text1"/>
          <w:sz w:val="24"/>
          <w:highlight w:val="none"/>
        </w:rPr>
        <w:t>，在此</w:t>
      </w:r>
      <w:r>
        <w:rPr>
          <w:rFonts w:hint="eastAsia" w:ascii="宋体" w:hAnsi="宋体" w:eastAsia="宋体" w:cs="宋体"/>
          <w:color w:val="000000" w:themeColor="text1"/>
          <w:kern w:val="0"/>
          <w:sz w:val="24"/>
          <w:szCs w:val="24"/>
          <w:highlight w:val="none"/>
        </w:rPr>
        <w:t>郑重声明：</w:t>
      </w:r>
      <w:r>
        <w:rPr>
          <w:rFonts w:hint="eastAsia" w:ascii="宋体" w:hAnsi="宋体" w:eastAsia="宋体"/>
          <w:color w:val="000000" w:themeColor="text1"/>
          <w:sz w:val="24"/>
          <w:szCs w:val="24"/>
          <w:highlight w:val="none"/>
        </w:rPr>
        <w:t>我方与以下供应商存在直接控股、管理关系。</w:t>
      </w:r>
    </w:p>
    <w:tbl>
      <w:tblPr>
        <w:tblStyle w:val="29"/>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643"/>
        <w:gridCol w:w="4644"/>
      </w:tblGrid>
      <w:tr w14:paraId="525137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000" w:type="pct"/>
            <w:gridSpan w:val="2"/>
            <w:tcBorders>
              <w:top w:val="single" w:color="000000" w:sz="4" w:space="0"/>
              <w:left w:val="single" w:color="000000" w:sz="4" w:space="0"/>
              <w:bottom w:val="single" w:color="000000" w:sz="4" w:space="0"/>
              <w:right w:val="single" w:color="000000" w:sz="4" w:space="0"/>
            </w:tcBorders>
          </w:tcPr>
          <w:p w14:paraId="6A72D48E">
            <w:pPr>
              <w:widowControl/>
              <w:spacing w:line="360" w:lineRule="auto"/>
              <w:jc w:val="center"/>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存在直接控股、管理关系的相关供应商</w:t>
            </w:r>
          </w:p>
        </w:tc>
      </w:tr>
      <w:tr w14:paraId="709390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500" w:type="pct"/>
            <w:tcBorders>
              <w:top w:val="single" w:color="000000" w:sz="4" w:space="0"/>
              <w:left w:val="single" w:color="000000" w:sz="4" w:space="0"/>
              <w:bottom w:val="single" w:color="000000" w:sz="4" w:space="0"/>
              <w:right w:val="single" w:color="000000" w:sz="4" w:space="0"/>
            </w:tcBorders>
          </w:tcPr>
          <w:p w14:paraId="10D2F8B8">
            <w:pPr>
              <w:widowControl/>
              <w:spacing w:line="360" w:lineRule="auto"/>
              <w:jc w:val="center"/>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关系</w:t>
            </w:r>
          </w:p>
        </w:tc>
        <w:tc>
          <w:tcPr>
            <w:tcW w:w="2500" w:type="pct"/>
            <w:tcBorders>
              <w:top w:val="single" w:color="000000" w:sz="4" w:space="0"/>
              <w:left w:val="single" w:color="000000" w:sz="4" w:space="0"/>
              <w:bottom w:val="single" w:color="000000" w:sz="4" w:space="0"/>
              <w:right w:val="single" w:color="000000" w:sz="4" w:space="0"/>
            </w:tcBorders>
          </w:tcPr>
          <w:p w14:paraId="089C55C8">
            <w:pPr>
              <w:widowControl/>
              <w:spacing w:line="360" w:lineRule="auto"/>
              <w:jc w:val="center"/>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供应商名称</w:t>
            </w:r>
          </w:p>
        </w:tc>
      </w:tr>
      <w:tr w14:paraId="419345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500" w:type="pct"/>
            <w:tcBorders>
              <w:top w:val="single" w:color="000000" w:sz="4" w:space="0"/>
              <w:left w:val="single" w:color="000000" w:sz="4" w:space="0"/>
              <w:bottom w:val="single" w:color="000000" w:sz="4" w:space="0"/>
              <w:right w:val="single" w:color="000000" w:sz="4" w:space="0"/>
            </w:tcBorders>
          </w:tcPr>
          <w:p w14:paraId="680FFDB8">
            <w:pPr>
              <w:widowControl/>
              <w:spacing w:line="360" w:lineRule="auto"/>
              <w:jc w:val="center"/>
              <w:rPr>
                <w:rFonts w:ascii="宋体" w:hAnsi="宋体" w:eastAsia="宋体"/>
                <w:color w:val="000000" w:themeColor="text1"/>
                <w:sz w:val="24"/>
                <w:szCs w:val="24"/>
                <w:highlight w:val="none"/>
              </w:rPr>
            </w:pPr>
          </w:p>
        </w:tc>
        <w:tc>
          <w:tcPr>
            <w:tcW w:w="2500" w:type="pct"/>
            <w:tcBorders>
              <w:top w:val="single" w:color="000000" w:sz="4" w:space="0"/>
              <w:left w:val="single" w:color="000000" w:sz="4" w:space="0"/>
              <w:bottom w:val="single" w:color="000000" w:sz="4" w:space="0"/>
              <w:right w:val="single" w:color="000000" w:sz="4" w:space="0"/>
            </w:tcBorders>
          </w:tcPr>
          <w:p w14:paraId="48856C29">
            <w:pPr>
              <w:widowControl/>
              <w:spacing w:line="360" w:lineRule="auto"/>
              <w:jc w:val="center"/>
              <w:rPr>
                <w:rFonts w:ascii="宋体" w:hAnsi="宋体" w:eastAsia="宋体"/>
                <w:color w:val="000000" w:themeColor="text1"/>
                <w:sz w:val="24"/>
                <w:szCs w:val="24"/>
                <w:highlight w:val="none"/>
              </w:rPr>
            </w:pPr>
          </w:p>
        </w:tc>
      </w:tr>
      <w:tr w14:paraId="34850E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500" w:type="pct"/>
            <w:tcBorders>
              <w:top w:val="single" w:color="000000" w:sz="4" w:space="0"/>
              <w:left w:val="single" w:color="000000" w:sz="4" w:space="0"/>
              <w:bottom w:val="single" w:color="000000" w:sz="4" w:space="0"/>
              <w:right w:val="single" w:color="000000" w:sz="4" w:space="0"/>
            </w:tcBorders>
          </w:tcPr>
          <w:p w14:paraId="49DC1D7A">
            <w:pPr>
              <w:widowControl/>
              <w:spacing w:line="360" w:lineRule="auto"/>
              <w:jc w:val="center"/>
              <w:rPr>
                <w:rFonts w:ascii="宋体" w:hAnsi="宋体" w:eastAsia="宋体"/>
                <w:color w:val="000000" w:themeColor="text1"/>
                <w:sz w:val="24"/>
                <w:szCs w:val="24"/>
                <w:highlight w:val="none"/>
              </w:rPr>
            </w:pPr>
          </w:p>
        </w:tc>
        <w:tc>
          <w:tcPr>
            <w:tcW w:w="2500" w:type="pct"/>
            <w:tcBorders>
              <w:top w:val="single" w:color="000000" w:sz="4" w:space="0"/>
              <w:left w:val="single" w:color="000000" w:sz="4" w:space="0"/>
              <w:bottom w:val="single" w:color="000000" w:sz="4" w:space="0"/>
              <w:right w:val="single" w:color="000000" w:sz="4" w:space="0"/>
            </w:tcBorders>
          </w:tcPr>
          <w:p w14:paraId="1C639CDA">
            <w:pPr>
              <w:widowControl/>
              <w:spacing w:line="360" w:lineRule="auto"/>
              <w:jc w:val="center"/>
              <w:rPr>
                <w:rFonts w:ascii="宋体" w:hAnsi="宋体" w:eastAsia="宋体"/>
                <w:color w:val="000000" w:themeColor="text1"/>
                <w:sz w:val="24"/>
                <w:szCs w:val="24"/>
                <w:highlight w:val="none"/>
              </w:rPr>
            </w:pPr>
          </w:p>
        </w:tc>
      </w:tr>
      <w:tr w14:paraId="472FDA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500" w:type="pct"/>
            <w:tcBorders>
              <w:top w:val="single" w:color="000000" w:sz="4" w:space="0"/>
              <w:left w:val="single" w:color="000000" w:sz="4" w:space="0"/>
              <w:bottom w:val="single" w:color="000000" w:sz="4" w:space="0"/>
              <w:right w:val="single" w:color="000000" w:sz="4" w:space="0"/>
            </w:tcBorders>
          </w:tcPr>
          <w:p w14:paraId="6F8133F2">
            <w:pPr>
              <w:widowControl/>
              <w:spacing w:line="360" w:lineRule="auto"/>
              <w:jc w:val="center"/>
              <w:rPr>
                <w:rFonts w:ascii="宋体" w:hAnsi="宋体" w:eastAsia="宋体"/>
                <w:color w:val="000000" w:themeColor="text1"/>
                <w:sz w:val="24"/>
                <w:szCs w:val="24"/>
                <w:highlight w:val="none"/>
              </w:rPr>
            </w:pPr>
          </w:p>
        </w:tc>
        <w:tc>
          <w:tcPr>
            <w:tcW w:w="2500" w:type="pct"/>
            <w:tcBorders>
              <w:top w:val="single" w:color="000000" w:sz="4" w:space="0"/>
              <w:left w:val="single" w:color="000000" w:sz="4" w:space="0"/>
              <w:bottom w:val="single" w:color="000000" w:sz="4" w:space="0"/>
              <w:right w:val="single" w:color="000000" w:sz="4" w:space="0"/>
            </w:tcBorders>
          </w:tcPr>
          <w:p w14:paraId="4AB2C4AC">
            <w:pPr>
              <w:widowControl/>
              <w:spacing w:line="360" w:lineRule="auto"/>
              <w:jc w:val="center"/>
              <w:rPr>
                <w:rFonts w:ascii="宋体" w:hAnsi="宋体" w:eastAsia="宋体"/>
                <w:color w:val="000000" w:themeColor="text1"/>
                <w:sz w:val="24"/>
                <w:szCs w:val="24"/>
                <w:highlight w:val="none"/>
              </w:rPr>
            </w:pPr>
          </w:p>
        </w:tc>
      </w:tr>
      <w:tr w14:paraId="18092A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500" w:type="pct"/>
            <w:tcBorders>
              <w:top w:val="single" w:color="000000" w:sz="4" w:space="0"/>
              <w:left w:val="single" w:color="000000" w:sz="4" w:space="0"/>
              <w:bottom w:val="single" w:color="000000" w:sz="4" w:space="0"/>
              <w:right w:val="single" w:color="000000" w:sz="4" w:space="0"/>
            </w:tcBorders>
          </w:tcPr>
          <w:p w14:paraId="11E87AB5">
            <w:pPr>
              <w:widowControl/>
              <w:spacing w:line="360" w:lineRule="auto"/>
              <w:jc w:val="center"/>
              <w:rPr>
                <w:rFonts w:ascii="宋体" w:hAnsi="宋体" w:eastAsia="宋体"/>
                <w:color w:val="000000" w:themeColor="text1"/>
                <w:sz w:val="24"/>
                <w:szCs w:val="24"/>
                <w:highlight w:val="none"/>
              </w:rPr>
            </w:pPr>
          </w:p>
        </w:tc>
        <w:tc>
          <w:tcPr>
            <w:tcW w:w="2500" w:type="pct"/>
            <w:tcBorders>
              <w:top w:val="single" w:color="000000" w:sz="4" w:space="0"/>
              <w:left w:val="single" w:color="000000" w:sz="4" w:space="0"/>
              <w:bottom w:val="single" w:color="000000" w:sz="4" w:space="0"/>
              <w:right w:val="single" w:color="000000" w:sz="4" w:space="0"/>
            </w:tcBorders>
          </w:tcPr>
          <w:p w14:paraId="1EB81BA4">
            <w:pPr>
              <w:widowControl/>
              <w:spacing w:line="360" w:lineRule="auto"/>
              <w:jc w:val="center"/>
              <w:rPr>
                <w:rFonts w:ascii="宋体" w:hAnsi="宋体" w:eastAsia="宋体"/>
                <w:color w:val="000000" w:themeColor="text1"/>
                <w:sz w:val="24"/>
                <w:szCs w:val="24"/>
                <w:highlight w:val="none"/>
              </w:rPr>
            </w:pPr>
          </w:p>
        </w:tc>
      </w:tr>
    </w:tbl>
    <w:p w14:paraId="32B66532">
      <w:pPr>
        <w:autoSpaceDE w:val="0"/>
        <w:autoSpaceDN w:val="0"/>
        <w:adjustRightInd w:val="0"/>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我单位承诺以上说明真实有效，无虚假内容或隐瞒。</w:t>
      </w:r>
    </w:p>
    <w:p w14:paraId="1A54F3CD">
      <w:pPr>
        <w:spacing w:line="360" w:lineRule="auto"/>
        <w:ind w:firstLine="4320" w:firstLineChars="1800"/>
        <w:rPr>
          <w:rFonts w:ascii="宋体" w:hAnsi="宋体" w:eastAsia="宋体"/>
          <w:color w:val="000000" w:themeColor="text1"/>
          <w:sz w:val="24"/>
          <w:szCs w:val="24"/>
          <w:highlight w:val="none"/>
        </w:rPr>
      </w:pPr>
    </w:p>
    <w:p w14:paraId="4819C1A2">
      <w:pPr>
        <w:spacing w:line="360" w:lineRule="auto"/>
        <w:ind w:firstLine="472" w:firstLineChars="196"/>
        <w:rPr>
          <w:rFonts w:ascii="宋体" w:hAnsi="宋体" w:eastAsia="宋体"/>
          <w:color w:val="000000" w:themeColor="text1"/>
          <w:sz w:val="24"/>
          <w:szCs w:val="24"/>
          <w:highlight w:val="none"/>
        </w:rPr>
      </w:pPr>
      <w:r>
        <w:rPr>
          <w:rFonts w:hint="eastAsia" w:ascii="宋体" w:hAnsi="宋体" w:eastAsia="宋体" w:cs="宋体"/>
          <w:b/>
          <w:color w:val="000000" w:themeColor="text1"/>
          <w:kern w:val="0"/>
          <w:sz w:val="24"/>
          <w:szCs w:val="24"/>
          <w:highlight w:val="none"/>
          <w:lang w:val="zh-CN"/>
        </w:rPr>
        <w:t>备注：如果被举报经查实出具虚假承诺函的，将被取消投标资格，并按有关规定予以处理。无控股管理关系</w:t>
      </w:r>
      <w:r>
        <w:rPr>
          <w:rFonts w:hint="eastAsia" w:ascii="宋体" w:hAnsi="宋体" w:eastAsia="宋体" w:cs="宋体"/>
          <w:b/>
          <w:bCs/>
          <w:color w:val="000000" w:themeColor="text1"/>
          <w:kern w:val="0"/>
          <w:sz w:val="24"/>
          <w:szCs w:val="24"/>
          <w:highlight w:val="none"/>
        </w:rPr>
        <w:t>企业无需提供此文件，否则由此导致的一切不利后果由投标人自行承担。</w:t>
      </w:r>
    </w:p>
    <w:p w14:paraId="1F264C9B">
      <w:pPr>
        <w:widowControl/>
        <w:spacing w:line="360" w:lineRule="auto"/>
        <w:jc w:val="left"/>
        <w:rPr>
          <w:rFonts w:ascii="宋体" w:hAnsi="宋体" w:eastAsia="宋体" w:cs="宋体"/>
          <w:b/>
          <w:bCs/>
          <w:color w:val="000000" w:themeColor="text1"/>
          <w:kern w:val="0"/>
          <w:sz w:val="24"/>
          <w:szCs w:val="24"/>
          <w:highlight w:val="none"/>
        </w:rPr>
      </w:pPr>
    </w:p>
    <w:p w14:paraId="1B55873D">
      <w:pPr>
        <w:widowControl/>
        <w:spacing w:line="360" w:lineRule="auto"/>
        <w:jc w:val="left"/>
        <w:rPr>
          <w:rFonts w:ascii="宋体" w:hAnsi="宋体" w:eastAsia="宋体" w:cs="宋体"/>
          <w:b/>
          <w:bCs/>
          <w:color w:val="000000" w:themeColor="text1"/>
          <w:kern w:val="0"/>
          <w:sz w:val="24"/>
          <w:szCs w:val="24"/>
          <w:highlight w:val="none"/>
        </w:rPr>
      </w:pPr>
    </w:p>
    <w:p w14:paraId="3B31FA17">
      <w:pPr>
        <w:widowControl/>
        <w:spacing w:line="360" w:lineRule="auto"/>
        <w:jc w:val="left"/>
        <w:rPr>
          <w:rFonts w:ascii="宋体" w:hAnsi="宋体" w:eastAsia="宋体" w:cs="宋体"/>
          <w:b/>
          <w:bCs/>
          <w:color w:val="000000" w:themeColor="text1"/>
          <w:kern w:val="0"/>
          <w:sz w:val="24"/>
          <w:szCs w:val="24"/>
          <w:highlight w:val="none"/>
        </w:rPr>
      </w:pPr>
    </w:p>
    <w:p w14:paraId="07541069">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投标人名称（公章）：</w:t>
      </w:r>
    </w:p>
    <w:p w14:paraId="3F064DA2">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法定代表人或授权代表（签字或盖章）：</w:t>
      </w:r>
    </w:p>
    <w:p w14:paraId="6FDD103F">
      <w:pPr>
        <w:spacing w:line="360" w:lineRule="auto"/>
        <w:ind w:firstLine="480" w:firstLineChars="200"/>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 xml:space="preserve">日期： </w:t>
      </w:r>
      <w:r>
        <w:rPr>
          <w:rFonts w:ascii="宋体" w:hAnsi="宋体" w:eastAsia="宋体" w:cs="宋体"/>
          <w:color w:val="000000" w:themeColor="text1"/>
          <w:kern w:val="0"/>
          <w:sz w:val="24"/>
          <w:szCs w:val="24"/>
          <w:highlight w:val="none"/>
        </w:rPr>
        <w:t xml:space="preserve">   </w:t>
      </w:r>
      <w:r>
        <w:rPr>
          <w:rFonts w:hint="eastAsia" w:ascii="宋体" w:hAnsi="宋体" w:eastAsia="宋体" w:cs="宋体"/>
          <w:color w:val="000000" w:themeColor="text1"/>
          <w:kern w:val="0"/>
          <w:sz w:val="24"/>
          <w:szCs w:val="24"/>
          <w:highlight w:val="none"/>
        </w:rPr>
        <w:t xml:space="preserve">年 </w:t>
      </w:r>
      <w:r>
        <w:rPr>
          <w:rFonts w:ascii="宋体" w:hAnsi="宋体" w:eastAsia="宋体" w:cs="宋体"/>
          <w:color w:val="000000" w:themeColor="text1"/>
          <w:kern w:val="0"/>
          <w:sz w:val="24"/>
          <w:szCs w:val="24"/>
          <w:highlight w:val="none"/>
        </w:rPr>
        <w:t xml:space="preserve"> </w:t>
      </w:r>
      <w:r>
        <w:rPr>
          <w:rFonts w:hint="eastAsia" w:ascii="宋体" w:hAnsi="宋体" w:eastAsia="宋体" w:cs="宋体"/>
          <w:color w:val="000000" w:themeColor="text1"/>
          <w:kern w:val="0"/>
          <w:sz w:val="24"/>
          <w:szCs w:val="24"/>
          <w:highlight w:val="none"/>
        </w:rPr>
        <w:t xml:space="preserve">月 </w:t>
      </w:r>
      <w:r>
        <w:rPr>
          <w:rFonts w:ascii="宋体" w:hAnsi="宋体" w:eastAsia="宋体" w:cs="宋体"/>
          <w:color w:val="000000" w:themeColor="text1"/>
          <w:kern w:val="0"/>
          <w:sz w:val="24"/>
          <w:szCs w:val="24"/>
          <w:highlight w:val="none"/>
        </w:rPr>
        <w:t xml:space="preserve"> </w:t>
      </w:r>
      <w:r>
        <w:rPr>
          <w:rFonts w:hint="eastAsia" w:ascii="宋体" w:hAnsi="宋体" w:eastAsia="宋体" w:cs="宋体"/>
          <w:color w:val="000000" w:themeColor="text1"/>
          <w:kern w:val="0"/>
          <w:sz w:val="24"/>
          <w:szCs w:val="24"/>
          <w:highlight w:val="none"/>
        </w:rPr>
        <w:t>日</w:t>
      </w:r>
      <w:r>
        <w:rPr>
          <w:rFonts w:ascii="宋体" w:hAnsi="宋体" w:eastAsia="宋体" w:cs="宋体"/>
          <w:color w:val="000000" w:themeColor="text1"/>
          <w:kern w:val="0"/>
          <w:sz w:val="24"/>
          <w:szCs w:val="24"/>
          <w:highlight w:val="none"/>
        </w:rPr>
        <w:br w:type="page"/>
      </w:r>
    </w:p>
    <w:p w14:paraId="0EC53D45">
      <w:pPr>
        <w:widowControl/>
        <w:spacing w:line="360" w:lineRule="auto"/>
        <w:jc w:val="left"/>
        <w:rPr>
          <w:rFonts w:ascii="宋体" w:hAnsi="宋体" w:eastAsia="宋体"/>
          <w:color w:val="000000" w:themeColor="text1"/>
          <w:sz w:val="24"/>
          <w:szCs w:val="24"/>
          <w:highlight w:val="none"/>
        </w:rPr>
      </w:pPr>
    </w:p>
    <w:p w14:paraId="3FCC47A0">
      <w:pPr>
        <w:pStyle w:val="23"/>
        <w:rPr>
          <w:color w:val="000000" w:themeColor="text1"/>
          <w:highlight w:val="none"/>
        </w:rPr>
      </w:pPr>
      <w:bookmarkStart w:id="49" w:name="_Toc211442742"/>
      <w:r>
        <w:rPr>
          <w:rFonts w:hint="eastAsia"/>
          <w:color w:val="000000" w:themeColor="text1"/>
          <w:highlight w:val="none"/>
        </w:rPr>
        <w:t>四、投标函</w:t>
      </w:r>
      <w:bookmarkEnd w:id="49"/>
    </w:p>
    <w:p w14:paraId="1AE48A83">
      <w:pPr>
        <w:widowControl/>
        <w:spacing w:line="360" w:lineRule="auto"/>
        <w:jc w:val="left"/>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致：（采购人名称）</w:t>
      </w:r>
    </w:p>
    <w:p w14:paraId="4CA27EB5">
      <w:pPr>
        <w:spacing w:line="360" w:lineRule="auto"/>
        <w:ind w:firstLine="480" w:firstLineChars="200"/>
        <w:rPr>
          <w:rFonts w:ascii="宋体" w:hAnsi="宋体" w:eastAsia="宋体"/>
          <w:color w:val="000000" w:themeColor="text1"/>
          <w:sz w:val="24"/>
          <w:szCs w:val="24"/>
          <w:highlight w:val="none"/>
        </w:rPr>
      </w:pPr>
      <w:r>
        <w:rPr>
          <w:rFonts w:ascii="宋体" w:hAnsi="宋体" w:eastAsia="宋体"/>
          <w:color w:val="000000" w:themeColor="text1"/>
          <w:sz w:val="24"/>
          <w:szCs w:val="24"/>
          <w:highlight w:val="none"/>
        </w:rPr>
        <w:t>我方收到贵</w:t>
      </w:r>
      <w:r>
        <w:rPr>
          <w:rFonts w:hint="eastAsia" w:ascii="宋体" w:hAnsi="宋体" w:eastAsia="宋体"/>
          <w:color w:val="000000" w:themeColor="text1"/>
          <w:sz w:val="24"/>
          <w:szCs w:val="24"/>
          <w:highlight w:val="none"/>
        </w:rPr>
        <w:t>单位</w:t>
      </w:r>
      <w:r>
        <w:rPr>
          <w:rFonts w:ascii="宋体" w:hAnsi="宋体" w:eastAsia="宋体"/>
          <w:color w:val="000000" w:themeColor="text1"/>
          <w:sz w:val="24"/>
          <w:szCs w:val="24"/>
          <w:highlight w:val="none"/>
        </w:rPr>
        <w:t>发布的</w:t>
      </w:r>
      <w:r>
        <w:rPr>
          <w:rFonts w:ascii="宋体" w:hAnsi="宋体" w:eastAsia="宋体"/>
          <w:color w:val="000000" w:themeColor="text1"/>
          <w:sz w:val="24"/>
          <w:szCs w:val="24"/>
          <w:highlight w:val="none"/>
          <w:u w:val="single"/>
        </w:rPr>
        <w:t>〈</w:t>
      </w:r>
      <w:r>
        <w:rPr>
          <w:rFonts w:hint="eastAsia" w:ascii="宋体" w:hAnsi="宋体" w:eastAsia="宋体"/>
          <w:color w:val="000000" w:themeColor="text1"/>
          <w:sz w:val="24"/>
          <w:szCs w:val="24"/>
          <w:highlight w:val="none"/>
          <w:u w:val="single"/>
        </w:rPr>
        <w:t>项目名称</w:t>
      </w:r>
      <w:r>
        <w:rPr>
          <w:rFonts w:ascii="宋体" w:hAnsi="宋体" w:eastAsia="宋体"/>
          <w:color w:val="000000" w:themeColor="text1"/>
          <w:sz w:val="24"/>
          <w:szCs w:val="24"/>
          <w:highlight w:val="none"/>
          <w:u w:val="single"/>
        </w:rPr>
        <w:t>〉</w:t>
      </w:r>
      <w:r>
        <w:rPr>
          <w:rFonts w:ascii="宋体" w:hAnsi="宋体" w:eastAsia="宋体"/>
          <w:color w:val="000000" w:themeColor="text1"/>
          <w:sz w:val="24"/>
          <w:szCs w:val="24"/>
          <w:highlight w:val="none"/>
        </w:rPr>
        <w:t>（项目编号：</w:t>
      </w:r>
      <w:r>
        <w:rPr>
          <w:rFonts w:ascii="宋体" w:hAnsi="宋体" w:eastAsia="宋体"/>
          <w:color w:val="000000" w:themeColor="text1"/>
          <w:sz w:val="24"/>
          <w:szCs w:val="24"/>
          <w:highlight w:val="none"/>
          <w:u w:val="single"/>
        </w:rPr>
        <w:t>〈项目编号</w:t>
      </w:r>
      <w:r>
        <w:rPr>
          <w:rFonts w:hint="eastAsia" w:ascii="宋体" w:hAnsi="宋体" w:eastAsia="宋体"/>
          <w:color w:val="000000" w:themeColor="text1"/>
          <w:sz w:val="24"/>
          <w:szCs w:val="24"/>
          <w:highlight w:val="none"/>
          <w:u w:val="single"/>
        </w:rPr>
        <w:t>+包段名称</w:t>
      </w:r>
      <w:r>
        <w:rPr>
          <w:rFonts w:ascii="宋体" w:hAnsi="宋体" w:eastAsia="宋体"/>
          <w:color w:val="000000" w:themeColor="text1"/>
          <w:sz w:val="24"/>
          <w:szCs w:val="24"/>
          <w:highlight w:val="none"/>
          <w:u w:val="single"/>
        </w:rPr>
        <w:t>〉</w:t>
      </w:r>
      <w:r>
        <w:rPr>
          <w:rFonts w:ascii="宋体" w:hAnsi="宋体" w:eastAsia="宋体"/>
          <w:color w:val="000000" w:themeColor="text1"/>
          <w:sz w:val="24"/>
          <w:szCs w:val="24"/>
          <w:highlight w:val="none"/>
        </w:rPr>
        <w:t>）</w:t>
      </w:r>
      <w:r>
        <w:rPr>
          <w:rFonts w:hint="eastAsia" w:ascii="宋体" w:hAnsi="宋体" w:eastAsia="宋体"/>
          <w:color w:val="000000" w:themeColor="text1"/>
          <w:sz w:val="24"/>
          <w:szCs w:val="24"/>
          <w:highlight w:val="none"/>
        </w:rPr>
        <w:t>招标文件</w:t>
      </w:r>
      <w:r>
        <w:rPr>
          <w:rFonts w:ascii="宋体" w:hAnsi="宋体" w:eastAsia="宋体"/>
          <w:color w:val="000000" w:themeColor="text1"/>
          <w:sz w:val="24"/>
          <w:szCs w:val="24"/>
          <w:highlight w:val="none"/>
        </w:rPr>
        <w:t>，经详细研究，我方决定参加该项目的</w:t>
      </w:r>
      <w:r>
        <w:rPr>
          <w:rFonts w:hint="eastAsia" w:ascii="宋体" w:hAnsi="宋体" w:eastAsia="宋体"/>
          <w:color w:val="000000" w:themeColor="text1"/>
          <w:sz w:val="24"/>
          <w:szCs w:val="24"/>
          <w:highlight w:val="none"/>
        </w:rPr>
        <w:t>招标</w:t>
      </w:r>
      <w:r>
        <w:rPr>
          <w:rFonts w:ascii="宋体" w:hAnsi="宋体" w:eastAsia="宋体"/>
          <w:color w:val="000000" w:themeColor="text1"/>
          <w:sz w:val="24"/>
          <w:szCs w:val="24"/>
          <w:highlight w:val="none"/>
        </w:rPr>
        <w:t>活动。</w:t>
      </w:r>
      <w:r>
        <w:rPr>
          <w:rFonts w:hint="eastAsia" w:ascii="宋体" w:hAnsi="宋体" w:eastAsia="宋体"/>
          <w:color w:val="000000" w:themeColor="text1"/>
          <w:sz w:val="24"/>
          <w:szCs w:val="24"/>
          <w:highlight w:val="none"/>
        </w:rPr>
        <w:t>为此，我方郑重声明以下诸点，并负法律责任。</w:t>
      </w:r>
    </w:p>
    <w:p w14:paraId="10E3CBA9">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1、我方已详细阅读了招标文件，完全理解并同意招标文件的所有事项及内容。</w:t>
      </w:r>
    </w:p>
    <w:p w14:paraId="0E08C713">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2、我方已悉知并及时关注了贵单位在陕西省政府采购网、全国公共资源交易平台（陕西省</w:t>
      </w:r>
      <w:r>
        <w:rPr>
          <w:rFonts w:ascii="宋体" w:hAnsi="宋体" w:eastAsia="宋体"/>
          <w:color w:val="000000" w:themeColor="text1"/>
          <w:sz w:val="24"/>
          <w:szCs w:val="24"/>
          <w:highlight w:val="none"/>
        </w:rPr>
        <w:t>·</w:t>
      </w:r>
      <w:r>
        <w:rPr>
          <w:rFonts w:hint="eastAsia" w:ascii="宋体" w:hAnsi="宋体" w:eastAsia="宋体"/>
          <w:color w:val="000000" w:themeColor="text1"/>
          <w:sz w:val="24"/>
          <w:szCs w:val="24"/>
          <w:highlight w:val="none"/>
        </w:rPr>
        <w:t>宝鸡市）上发布的关于本项目的有关变更公告（包括但不限于对招标文件做出的修改或澄清、答疑纪要，以及项目暂停、重启、延期、终止等）。</w:t>
      </w:r>
    </w:p>
    <w:p w14:paraId="01C9CB9E">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3、我方同意向贵单位提供与本次招标有关的全部证明材料，并保证所提交的证明材料真实、合法、有效。</w:t>
      </w:r>
    </w:p>
    <w:p w14:paraId="35952A37">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4、我方理解最低价不是成交的唯一条件，并尊重评标委员会的评审结果。</w:t>
      </w:r>
    </w:p>
    <w:p w14:paraId="36815434">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5、我方投标文件在开启之日起___个日历日（应不少于90个日历日）内有效。</w:t>
      </w:r>
    </w:p>
    <w:p w14:paraId="1A881FAA">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6、若我方成交，我方承诺：（1）将投标文件有效期延长至合同执行完毕；（2）收到成交通知书后按要求提交纸质投标文件，并按时交纳履约保证金（如有）；（3）遵照招标文件中的要求，完成本项目的合同责任和义务。</w:t>
      </w:r>
    </w:p>
    <w:p w14:paraId="73338F40">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7、所有关于此次招标活动的函电，请按下列方式联系：</w:t>
      </w:r>
    </w:p>
    <w:p w14:paraId="1C0B89EE">
      <w:pPr>
        <w:spacing w:line="360" w:lineRule="auto"/>
        <w:ind w:firstLine="480" w:firstLineChars="200"/>
        <w:rPr>
          <w:rFonts w:ascii="宋体" w:hAnsi="宋体" w:eastAsia="宋体"/>
          <w:color w:val="000000" w:themeColor="text1"/>
          <w:sz w:val="24"/>
          <w:szCs w:val="24"/>
          <w:highlight w:val="none"/>
        </w:rPr>
      </w:pPr>
    </w:p>
    <w:p w14:paraId="01B736B9">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投标人</w:t>
      </w:r>
      <w:r>
        <w:rPr>
          <w:rFonts w:ascii="宋体" w:hAnsi="宋体" w:eastAsia="宋体"/>
          <w:color w:val="000000" w:themeColor="text1"/>
          <w:sz w:val="24"/>
          <w:szCs w:val="24"/>
          <w:highlight w:val="none"/>
        </w:rPr>
        <w:t>名称（</w:t>
      </w:r>
      <w:r>
        <w:rPr>
          <w:rFonts w:hint="eastAsia" w:ascii="宋体" w:hAnsi="宋体" w:eastAsia="宋体"/>
          <w:color w:val="000000" w:themeColor="text1"/>
          <w:sz w:val="24"/>
          <w:szCs w:val="24"/>
          <w:highlight w:val="none"/>
        </w:rPr>
        <w:t>公章</w:t>
      </w:r>
      <w:r>
        <w:rPr>
          <w:rFonts w:ascii="宋体" w:hAnsi="宋体" w:eastAsia="宋体"/>
          <w:color w:val="000000" w:themeColor="text1"/>
          <w:sz w:val="24"/>
          <w:szCs w:val="24"/>
          <w:highlight w:val="none"/>
        </w:rPr>
        <w:t>）：</w:t>
      </w:r>
    </w:p>
    <w:p w14:paraId="6CBB00B7">
      <w:pPr>
        <w:spacing w:line="360" w:lineRule="auto"/>
        <w:ind w:firstLine="480" w:firstLineChars="200"/>
        <w:rPr>
          <w:rFonts w:ascii="宋体" w:hAnsi="宋体" w:eastAsia="宋体"/>
          <w:color w:val="000000" w:themeColor="text1"/>
          <w:sz w:val="24"/>
          <w:szCs w:val="24"/>
          <w:highlight w:val="none"/>
        </w:rPr>
      </w:pPr>
      <w:r>
        <w:rPr>
          <w:rFonts w:ascii="宋体" w:hAnsi="宋体" w:eastAsia="宋体"/>
          <w:color w:val="000000" w:themeColor="text1"/>
          <w:sz w:val="24"/>
          <w:szCs w:val="24"/>
          <w:highlight w:val="none"/>
        </w:rPr>
        <w:t xml:space="preserve">法定代表人或委托代理人（签字或盖章）： </w:t>
      </w:r>
    </w:p>
    <w:p w14:paraId="5D175E73">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联系</w:t>
      </w:r>
      <w:r>
        <w:rPr>
          <w:rFonts w:ascii="宋体" w:hAnsi="宋体" w:eastAsia="宋体"/>
          <w:color w:val="000000" w:themeColor="text1"/>
          <w:sz w:val="24"/>
          <w:szCs w:val="24"/>
          <w:highlight w:val="none"/>
        </w:rPr>
        <w:t>电话：</w:t>
      </w:r>
    </w:p>
    <w:p w14:paraId="648F36D2">
      <w:pPr>
        <w:spacing w:line="360" w:lineRule="auto"/>
        <w:ind w:firstLine="480" w:firstLineChars="200"/>
        <w:rPr>
          <w:rFonts w:ascii="宋体" w:hAnsi="宋体" w:eastAsia="宋体"/>
          <w:color w:val="000000" w:themeColor="text1"/>
          <w:sz w:val="24"/>
          <w:szCs w:val="24"/>
          <w:highlight w:val="none"/>
        </w:rPr>
      </w:pPr>
      <w:r>
        <w:rPr>
          <w:rFonts w:ascii="宋体" w:hAnsi="宋体" w:eastAsia="宋体"/>
          <w:color w:val="000000" w:themeColor="text1"/>
          <w:sz w:val="24"/>
          <w:szCs w:val="24"/>
          <w:highlight w:val="none"/>
        </w:rPr>
        <w:t>通讯地址：</w:t>
      </w:r>
    </w:p>
    <w:p w14:paraId="6536F658">
      <w:pPr>
        <w:spacing w:line="360" w:lineRule="auto"/>
        <w:ind w:firstLine="480" w:firstLineChars="200"/>
        <w:rPr>
          <w:rFonts w:ascii="宋体" w:hAnsi="宋体" w:eastAsia="宋体"/>
          <w:color w:val="000000" w:themeColor="text1"/>
          <w:sz w:val="24"/>
          <w:szCs w:val="24"/>
          <w:highlight w:val="none"/>
        </w:rPr>
      </w:pPr>
      <w:r>
        <w:rPr>
          <w:rFonts w:ascii="宋体" w:hAnsi="宋体" w:eastAsia="宋体"/>
          <w:color w:val="000000" w:themeColor="text1"/>
          <w:sz w:val="24"/>
          <w:szCs w:val="24"/>
          <w:highlight w:val="none"/>
        </w:rPr>
        <w:t>邮</w:t>
      </w:r>
      <w:r>
        <w:rPr>
          <w:rFonts w:hint="eastAsia" w:ascii="宋体" w:hAnsi="宋体" w:eastAsia="宋体"/>
          <w:color w:val="000000" w:themeColor="text1"/>
          <w:sz w:val="24"/>
          <w:szCs w:val="24"/>
          <w:highlight w:val="none"/>
        </w:rPr>
        <w:t xml:space="preserve">    </w:t>
      </w:r>
      <w:r>
        <w:rPr>
          <w:rFonts w:ascii="宋体" w:hAnsi="宋体" w:eastAsia="宋体"/>
          <w:color w:val="000000" w:themeColor="text1"/>
          <w:sz w:val="24"/>
          <w:szCs w:val="24"/>
          <w:highlight w:val="none"/>
        </w:rPr>
        <w:t>编：</w:t>
      </w:r>
    </w:p>
    <w:p w14:paraId="089588EE">
      <w:pPr>
        <w:spacing w:line="360" w:lineRule="auto"/>
        <w:ind w:firstLine="480" w:firstLineChars="200"/>
        <w:rPr>
          <w:rFonts w:ascii="宋体" w:hAnsi="宋体" w:eastAsia="宋体"/>
          <w:color w:val="000000" w:themeColor="text1"/>
          <w:sz w:val="24"/>
          <w:szCs w:val="24"/>
          <w:highlight w:val="none"/>
        </w:rPr>
      </w:pPr>
      <w:r>
        <w:rPr>
          <w:rFonts w:ascii="宋体" w:hAnsi="宋体" w:eastAsia="宋体"/>
          <w:color w:val="000000" w:themeColor="text1"/>
          <w:sz w:val="24"/>
          <w:szCs w:val="24"/>
          <w:highlight w:val="none"/>
        </w:rPr>
        <w:t>电子邮箱：</w:t>
      </w:r>
    </w:p>
    <w:p w14:paraId="6BB2C8B5">
      <w:pPr>
        <w:spacing w:line="360" w:lineRule="auto"/>
        <w:ind w:firstLine="480" w:firstLineChars="200"/>
        <w:rPr>
          <w:rFonts w:ascii="宋体" w:hAnsi="宋体" w:eastAsia="宋体"/>
          <w:color w:val="000000" w:themeColor="text1"/>
          <w:sz w:val="24"/>
          <w:szCs w:val="24"/>
          <w:highlight w:val="none"/>
        </w:rPr>
      </w:pPr>
      <w:r>
        <w:rPr>
          <w:rFonts w:ascii="宋体" w:hAnsi="宋体" w:eastAsia="宋体"/>
          <w:color w:val="000000" w:themeColor="text1"/>
          <w:sz w:val="24"/>
          <w:szCs w:val="24"/>
          <w:highlight w:val="none"/>
        </w:rPr>
        <w:t>日</w:t>
      </w:r>
      <w:r>
        <w:rPr>
          <w:rFonts w:hint="eastAsia" w:ascii="宋体" w:hAnsi="宋体" w:eastAsia="宋体"/>
          <w:color w:val="000000" w:themeColor="text1"/>
          <w:sz w:val="24"/>
          <w:szCs w:val="24"/>
          <w:highlight w:val="none"/>
        </w:rPr>
        <w:t xml:space="preserve">    </w:t>
      </w:r>
      <w:r>
        <w:rPr>
          <w:rFonts w:ascii="宋体" w:hAnsi="宋体" w:eastAsia="宋体"/>
          <w:color w:val="000000" w:themeColor="text1"/>
          <w:sz w:val="24"/>
          <w:szCs w:val="24"/>
          <w:highlight w:val="none"/>
        </w:rPr>
        <w:t>期：    年  月  日</w:t>
      </w:r>
    </w:p>
    <w:p w14:paraId="44CAB513">
      <w:pPr>
        <w:widowControl/>
        <w:jc w:val="left"/>
        <w:rPr>
          <w:rFonts w:ascii="宋体" w:hAnsi="宋体" w:eastAsia="宋体" w:cs="宋体"/>
          <w:color w:val="000000" w:themeColor="text1"/>
          <w:kern w:val="0"/>
          <w:sz w:val="24"/>
          <w:szCs w:val="24"/>
          <w:highlight w:val="none"/>
        </w:rPr>
      </w:pPr>
      <w:r>
        <w:rPr>
          <w:rFonts w:ascii="宋体" w:hAnsi="宋体" w:eastAsia="宋体" w:cs="宋体"/>
          <w:color w:val="000000" w:themeColor="text1"/>
          <w:kern w:val="0"/>
          <w:sz w:val="24"/>
          <w:szCs w:val="24"/>
          <w:highlight w:val="none"/>
        </w:rPr>
        <w:br w:type="page"/>
      </w:r>
    </w:p>
    <w:p w14:paraId="2F917458">
      <w:pPr>
        <w:widowControl/>
        <w:spacing w:line="360" w:lineRule="auto"/>
        <w:jc w:val="left"/>
        <w:rPr>
          <w:rFonts w:ascii="宋体" w:hAnsi="宋体" w:eastAsia="宋体"/>
          <w:color w:val="000000" w:themeColor="text1"/>
          <w:sz w:val="24"/>
          <w:szCs w:val="24"/>
          <w:highlight w:val="none"/>
        </w:rPr>
      </w:pPr>
    </w:p>
    <w:p w14:paraId="251D8CC1">
      <w:pPr>
        <w:pStyle w:val="23"/>
        <w:rPr>
          <w:color w:val="000000" w:themeColor="text1"/>
          <w:highlight w:val="none"/>
        </w:rPr>
      </w:pPr>
      <w:bookmarkStart w:id="50" w:name="_Toc211442743"/>
      <w:bookmarkStart w:id="51" w:name="_Toc211442744"/>
      <w:r>
        <w:rPr>
          <w:rFonts w:hint="eastAsia"/>
          <w:color w:val="000000" w:themeColor="text1"/>
          <w:highlight w:val="none"/>
        </w:rPr>
        <w:t>五、投标报价表</w:t>
      </w:r>
      <w:bookmarkEnd w:id="50"/>
    </w:p>
    <w:p w14:paraId="373184A0">
      <w:pPr>
        <w:widowControl/>
        <w:spacing w:line="360" w:lineRule="auto"/>
        <w:jc w:val="left"/>
        <w:rPr>
          <w:rFonts w:ascii="宋体" w:hAnsi="宋体" w:eastAsia="宋体" w:cs="宋体"/>
          <w:color w:val="000000" w:themeColor="text1"/>
          <w:kern w:val="0"/>
          <w:sz w:val="24"/>
          <w:szCs w:val="24"/>
          <w:highlight w:val="none"/>
        </w:rPr>
      </w:pPr>
      <w:r>
        <w:rPr>
          <w:rFonts w:hint="eastAsia" w:ascii="宋体" w:hAnsi="宋体" w:eastAsia="宋体" w:cs="宋体"/>
          <w:b/>
          <w:bCs/>
          <w:color w:val="000000" w:themeColor="text1"/>
          <w:kern w:val="0"/>
          <w:sz w:val="24"/>
          <w:szCs w:val="24"/>
          <w:highlight w:val="none"/>
        </w:rPr>
        <w:t>1、投标报价表</w:t>
      </w:r>
    </w:p>
    <w:p w14:paraId="313A1A46">
      <w:pPr>
        <w:widowControl/>
        <w:spacing w:line="360" w:lineRule="auto"/>
        <w:jc w:val="left"/>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投标人名称：</w:t>
      </w:r>
    </w:p>
    <w:p w14:paraId="1B523A5B">
      <w:pPr>
        <w:widowControl/>
        <w:spacing w:line="360" w:lineRule="auto"/>
        <w:jc w:val="left"/>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项目编号：</w:t>
      </w:r>
    </w:p>
    <w:p w14:paraId="1A32D5F4">
      <w:pPr>
        <w:widowControl/>
        <w:spacing w:line="360" w:lineRule="auto"/>
        <w:jc w:val="left"/>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包段名称：</w:t>
      </w:r>
    </w:p>
    <w:tbl>
      <w:tblPr>
        <w:tblStyle w:val="3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94"/>
        <w:gridCol w:w="3096"/>
        <w:gridCol w:w="3097"/>
      </w:tblGrid>
      <w:tr w14:paraId="168080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vAlign w:val="center"/>
          </w:tcPr>
          <w:p w14:paraId="23E46C35">
            <w:pPr>
              <w:widowControl/>
              <w:spacing w:line="360" w:lineRule="auto"/>
              <w:jc w:val="center"/>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1</w:t>
            </w:r>
          </w:p>
        </w:tc>
        <w:tc>
          <w:tcPr>
            <w:tcW w:w="1667" w:type="pct"/>
            <w:vAlign w:val="center"/>
          </w:tcPr>
          <w:p w14:paraId="5B45C9B7">
            <w:pPr>
              <w:widowControl/>
              <w:spacing w:line="360" w:lineRule="auto"/>
              <w:jc w:val="center"/>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2</w:t>
            </w:r>
          </w:p>
        </w:tc>
        <w:tc>
          <w:tcPr>
            <w:tcW w:w="1667" w:type="pct"/>
            <w:vAlign w:val="center"/>
          </w:tcPr>
          <w:p w14:paraId="73176FD1">
            <w:pPr>
              <w:widowControl/>
              <w:spacing w:line="360" w:lineRule="auto"/>
              <w:jc w:val="center"/>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3</w:t>
            </w:r>
          </w:p>
        </w:tc>
      </w:tr>
      <w:tr w14:paraId="541673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vAlign w:val="center"/>
          </w:tcPr>
          <w:p w14:paraId="68243E55">
            <w:pPr>
              <w:widowControl/>
              <w:spacing w:line="360" w:lineRule="auto"/>
              <w:jc w:val="center"/>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投标报价（元）</w:t>
            </w:r>
          </w:p>
        </w:tc>
        <w:tc>
          <w:tcPr>
            <w:tcW w:w="1667" w:type="pct"/>
            <w:vAlign w:val="center"/>
          </w:tcPr>
          <w:p w14:paraId="52BF6294">
            <w:pPr>
              <w:widowControl/>
              <w:spacing w:line="360" w:lineRule="auto"/>
              <w:jc w:val="center"/>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工期（日历天）</w:t>
            </w:r>
          </w:p>
        </w:tc>
        <w:tc>
          <w:tcPr>
            <w:tcW w:w="1667" w:type="pct"/>
            <w:vAlign w:val="center"/>
          </w:tcPr>
          <w:p w14:paraId="6A7EFFE2">
            <w:pPr>
              <w:widowControl/>
              <w:spacing w:line="360" w:lineRule="auto"/>
              <w:jc w:val="center"/>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质保期（年）</w:t>
            </w:r>
          </w:p>
        </w:tc>
      </w:tr>
      <w:tr w14:paraId="3FCFFF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vAlign w:val="center"/>
          </w:tcPr>
          <w:p w14:paraId="2DBE3781">
            <w:pPr>
              <w:widowControl/>
              <w:spacing w:line="360" w:lineRule="auto"/>
              <w:jc w:val="center"/>
              <w:rPr>
                <w:rFonts w:ascii="宋体" w:hAnsi="宋体" w:eastAsia="宋体"/>
                <w:color w:val="000000" w:themeColor="text1"/>
                <w:sz w:val="24"/>
                <w:szCs w:val="24"/>
                <w:highlight w:val="none"/>
              </w:rPr>
            </w:pPr>
          </w:p>
        </w:tc>
        <w:tc>
          <w:tcPr>
            <w:tcW w:w="1667" w:type="pct"/>
            <w:vAlign w:val="center"/>
          </w:tcPr>
          <w:p w14:paraId="148F967A">
            <w:pPr>
              <w:widowControl/>
              <w:spacing w:line="360" w:lineRule="auto"/>
              <w:jc w:val="center"/>
              <w:rPr>
                <w:rFonts w:ascii="宋体" w:hAnsi="宋体" w:eastAsia="宋体"/>
                <w:color w:val="000000" w:themeColor="text1"/>
                <w:sz w:val="24"/>
                <w:szCs w:val="24"/>
                <w:highlight w:val="none"/>
              </w:rPr>
            </w:pPr>
          </w:p>
        </w:tc>
        <w:tc>
          <w:tcPr>
            <w:tcW w:w="1667" w:type="pct"/>
            <w:vAlign w:val="center"/>
          </w:tcPr>
          <w:p w14:paraId="2383310D">
            <w:pPr>
              <w:widowControl/>
              <w:spacing w:line="360" w:lineRule="auto"/>
              <w:jc w:val="center"/>
              <w:rPr>
                <w:rFonts w:ascii="宋体" w:hAnsi="宋体" w:eastAsia="宋体"/>
                <w:color w:val="000000" w:themeColor="text1"/>
                <w:sz w:val="24"/>
                <w:szCs w:val="24"/>
                <w:highlight w:val="none"/>
              </w:rPr>
            </w:pPr>
          </w:p>
        </w:tc>
      </w:tr>
    </w:tbl>
    <w:p w14:paraId="5BF79C60">
      <w:pPr>
        <w:widowControl/>
        <w:spacing w:line="360" w:lineRule="auto"/>
        <w:jc w:val="left"/>
        <w:rPr>
          <w:rFonts w:ascii="宋体" w:hAnsi="宋体" w:eastAsia="宋体"/>
          <w:color w:val="000000" w:themeColor="text1"/>
          <w:sz w:val="24"/>
          <w:szCs w:val="24"/>
          <w:highlight w:val="none"/>
        </w:rPr>
      </w:pPr>
    </w:p>
    <w:p w14:paraId="2A3F02D4">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投标人名称（公章）：</w:t>
      </w:r>
    </w:p>
    <w:p w14:paraId="25876534">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法定代表人或授权代表（签字或盖章）：</w:t>
      </w:r>
    </w:p>
    <w:p w14:paraId="6A72357A">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s="宋体"/>
          <w:color w:val="000000" w:themeColor="text1"/>
          <w:kern w:val="0"/>
          <w:sz w:val="24"/>
          <w:szCs w:val="24"/>
          <w:highlight w:val="none"/>
        </w:rPr>
        <w:t xml:space="preserve">日期： </w:t>
      </w:r>
      <w:r>
        <w:rPr>
          <w:rFonts w:ascii="宋体" w:hAnsi="宋体" w:eastAsia="宋体" w:cs="宋体"/>
          <w:color w:val="000000" w:themeColor="text1"/>
          <w:kern w:val="0"/>
          <w:sz w:val="24"/>
          <w:szCs w:val="24"/>
          <w:highlight w:val="none"/>
        </w:rPr>
        <w:t xml:space="preserve">   </w:t>
      </w:r>
      <w:r>
        <w:rPr>
          <w:rFonts w:hint="eastAsia" w:ascii="宋体" w:hAnsi="宋体" w:eastAsia="宋体" w:cs="宋体"/>
          <w:color w:val="000000" w:themeColor="text1"/>
          <w:kern w:val="0"/>
          <w:sz w:val="24"/>
          <w:szCs w:val="24"/>
          <w:highlight w:val="none"/>
        </w:rPr>
        <w:t xml:space="preserve">年 </w:t>
      </w:r>
      <w:r>
        <w:rPr>
          <w:rFonts w:ascii="宋体" w:hAnsi="宋体" w:eastAsia="宋体" w:cs="宋体"/>
          <w:color w:val="000000" w:themeColor="text1"/>
          <w:kern w:val="0"/>
          <w:sz w:val="24"/>
          <w:szCs w:val="24"/>
          <w:highlight w:val="none"/>
        </w:rPr>
        <w:t xml:space="preserve"> </w:t>
      </w:r>
      <w:r>
        <w:rPr>
          <w:rFonts w:hint="eastAsia" w:ascii="宋体" w:hAnsi="宋体" w:eastAsia="宋体" w:cs="宋体"/>
          <w:color w:val="000000" w:themeColor="text1"/>
          <w:kern w:val="0"/>
          <w:sz w:val="24"/>
          <w:szCs w:val="24"/>
          <w:highlight w:val="none"/>
        </w:rPr>
        <w:t xml:space="preserve">月 </w:t>
      </w:r>
      <w:r>
        <w:rPr>
          <w:rFonts w:ascii="宋体" w:hAnsi="宋体" w:eastAsia="宋体" w:cs="宋体"/>
          <w:color w:val="000000" w:themeColor="text1"/>
          <w:kern w:val="0"/>
          <w:sz w:val="24"/>
          <w:szCs w:val="24"/>
          <w:highlight w:val="none"/>
        </w:rPr>
        <w:t xml:space="preserve"> </w:t>
      </w:r>
      <w:r>
        <w:rPr>
          <w:rFonts w:hint="eastAsia" w:ascii="宋体" w:hAnsi="宋体" w:eastAsia="宋体" w:cs="宋体"/>
          <w:color w:val="000000" w:themeColor="text1"/>
          <w:kern w:val="0"/>
          <w:sz w:val="24"/>
          <w:szCs w:val="24"/>
          <w:highlight w:val="none"/>
        </w:rPr>
        <w:t>日</w:t>
      </w:r>
    </w:p>
    <w:p w14:paraId="05C825C6">
      <w:pPr>
        <w:widowControl/>
        <w:jc w:val="left"/>
        <w:rPr>
          <w:rFonts w:ascii="宋体" w:hAnsi="宋体" w:eastAsia="宋体"/>
          <w:color w:val="000000" w:themeColor="text1"/>
          <w:sz w:val="24"/>
          <w:szCs w:val="24"/>
          <w:highlight w:val="none"/>
        </w:rPr>
      </w:pPr>
      <w:r>
        <w:rPr>
          <w:rFonts w:ascii="宋体" w:hAnsi="宋体" w:eastAsia="宋体"/>
          <w:color w:val="000000" w:themeColor="text1"/>
          <w:sz w:val="24"/>
          <w:szCs w:val="24"/>
          <w:highlight w:val="none"/>
        </w:rPr>
        <w:br w:type="page"/>
      </w:r>
    </w:p>
    <w:p w14:paraId="74D17F1A">
      <w:pPr>
        <w:widowControl/>
        <w:spacing w:line="360" w:lineRule="auto"/>
        <w:jc w:val="left"/>
        <w:rPr>
          <w:rFonts w:ascii="宋体" w:hAnsi="宋体" w:eastAsia="宋体"/>
          <w:color w:val="000000" w:themeColor="text1"/>
          <w:sz w:val="24"/>
          <w:szCs w:val="24"/>
          <w:highlight w:val="none"/>
        </w:rPr>
      </w:pPr>
    </w:p>
    <w:p w14:paraId="79DA34E5">
      <w:pPr>
        <w:widowControl/>
        <w:spacing w:line="360" w:lineRule="auto"/>
        <w:jc w:val="left"/>
        <w:rPr>
          <w:rFonts w:ascii="宋体" w:hAnsi="宋体" w:eastAsia="宋体" w:cs="宋体"/>
          <w:color w:val="000000" w:themeColor="text1"/>
          <w:kern w:val="0"/>
          <w:sz w:val="24"/>
          <w:szCs w:val="24"/>
          <w:highlight w:val="none"/>
        </w:rPr>
      </w:pPr>
      <w:r>
        <w:rPr>
          <w:rFonts w:hint="eastAsia" w:ascii="宋体" w:hAnsi="宋体" w:eastAsia="宋体" w:cs="宋体"/>
          <w:b/>
          <w:bCs/>
          <w:color w:val="000000" w:themeColor="text1"/>
          <w:kern w:val="0"/>
          <w:sz w:val="24"/>
          <w:szCs w:val="24"/>
          <w:highlight w:val="none"/>
        </w:rPr>
        <w:t>2、分项报价表（合同包1使用）</w:t>
      </w:r>
    </w:p>
    <w:p w14:paraId="547D3B50">
      <w:pPr>
        <w:widowControl/>
        <w:spacing w:line="360" w:lineRule="auto"/>
        <w:jc w:val="left"/>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投标人名称：</w:t>
      </w:r>
    </w:p>
    <w:p w14:paraId="71D98442">
      <w:pPr>
        <w:widowControl/>
        <w:spacing w:line="360" w:lineRule="auto"/>
        <w:jc w:val="left"/>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项目编号：</w:t>
      </w:r>
    </w:p>
    <w:p w14:paraId="353591B1">
      <w:pPr>
        <w:widowControl/>
        <w:spacing w:line="360" w:lineRule="auto"/>
        <w:jc w:val="left"/>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包段名称：合同包1：市、区公办中小学地震预警终端和监测预警中心工作站</w:t>
      </w:r>
    </w:p>
    <w:tbl>
      <w:tblPr>
        <w:tblStyle w:val="29"/>
        <w:tblW w:w="5075" w:type="pct"/>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630"/>
        <w:gridCol w:w="1325"/>
        <w:gridCol w:w="2357"/>
        <w:gridCol w:w="1836"/>
        <w:gridCol w:w="848"/>
        <w:gridCol w:w="1178"/>
        <w:gridCol w:w="1252"/>
      </w:tblGrid>
      <w:tr w14:paraId="581FF72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334" w:type="pct"/>
            <w:tcBorders>
              <w:top w:val="single" w:color="auto" w:sz="4" w:space="0"/>
              <w:left w:val="single" w:color="auto" w:sz="4" w:space="0"/>
              <w:bottom w:val="single" w:color="auto" w:sz="4" w:space="0"/>
              <w:right w:val="single" w:color="auto" w:sz="4" w:space="0"/>
            </w:tcBorders>
            <w:vAlign w:val="center"/>
          </w:tcPr>
          <w:p w14:paraId="3A960BC1">
            <w:pPr>
              <w:spacing w:line="360" w:lineRule="auto"/>
              <w:ind w:right="-93"/>
              <w:jc w:val="center"/>
              <w:rPr>
                <w:rFonts w:ascii="宋体" w:hAnsi="宋体" w:eastAsia="宋体"/>
                <w:color w:val="000000" w:themeColor="text1"/>
                <w:sz w:val="24"/>
                <w:szCs w:val="24"/>
                <w:highlight w:val="none"/>
                <w:lang w:val="zh-CN"/>
              </w:rPr>
            </w:pPr>
            <w:r>
              <w:rPr>
                <w:rFonts w:hint="eastAsia" w:ascii="宋体" w:hAnsi="宋体" w:eastAsia="宋体"/>
                <w:color w:val="000000" w:themeColor="text1"/>
                <w:sz w:val="24"/>
                <w:szCs w:val="24"/>
                <w:highlight w:val="none"/>
                <w:lang w:val="zh-CN"/>
              </w:rPr>
              <w:t>序号</w:t>
            </w:r>
          </w:p>
        </w:tc>
        <w:tc>
          <w:tcPr>
            <w:tcW w:w="703" w:type="pct"/>
            <w:tcBorders>
              <w:top w:val="single" w:color="auto" w:sz="4" w:space="0"/>
              <w:left w:val="single" w:color="auto" w:sz="4" w:space="0"/>
              <w:bottom w:val="single" w:color="auto" w:sz="4" w:space="0"/>
              <w:right w:val="single" w:color="auto" w:sz="4" w:space="0"/>
            </w:tcBorders>
            <w:vAlign w:val="center"/>
          </w:tcPr>
          <w:p w14:paraId="0E67B2F5">
            <w:pPr>
              <w:tabs>
                <w:tab w:val="left" w:pos="837"/>
              </w:tabs>
              <w:spacing w:line="360" w:lineRule="auto"/>
              <w:ind w:right="-108"/>
              <w:jc w:val="center"/>
              <w:rPr>
                <w:rFonts w:ascii="宋体" w:hAnsi="宋体" w:eastAsia="宋体"/>
                <w:color w:val="000000" w:themeColor="text1"/>
                <w:sz w:val="24"/>
                <w:szCs w:val="24"/>
                <w:highlight w:val="none"/>
                <w:lang w:val="zh-CN"/>
              </w:rPr>
            </w:pPr>
            <w:r>
              <w:rPr>
                <w:rFonts w:hint="eastAsia" w:ascii="宋体" w:hAnsi="宋体" w:eastAsia="宋体"/>
                <w:color w:val="000000" w:themeColor="text1"/>
                <w:sz w:val="24"/>
                <w:szCs w:val="24"/>
                <w:highlight w:val="none"/>
                <w:lang w:val="zh-CN"/>
              </w:rPr>
              <w:t>标的名称</w:t>
            </w:r>
          </w:p>
        </w:tc>
        <w:tc>
          <w:tcPr>
            <w:tcW w:w="1250" w:type="pct"/>
            <w:tcBorders>
              <w:top w:val="single" w:color="auto" w:sz="4" w:space="0"/>
              <w:left w:val="single" w:color="auto" w:sz="4" w:space="0"/>
              <w:bottom w:val="single" w:color="auto" w:sz="4" w:space="0"/>
              <w:right w:val="single" w:color="auto" w:sz="4" w:space="0"/>
            </w:tcBorders>
            <w:vAlign w:val="center"/>
          </w:tcPr>
          <w:p w14:paraId="47041639">
            <w:pPr>
              <w:tabs>
                <w:tab w:val="left" w:pos="837"/>
              </w:tabs>
              <w:spacing w:line="360" w:lineRule="auto"/>
              <w:ind w:right="-108"/>
              <w:jc w:val="center"/>
              <w:rPr>
                <w:rFonts w:ascii="宋体" w:hAnsi="宋体" w:eastAsia="宋体"/>
                <w:color w:val="000000" w:themeColor="text1"/>
                <w:sz w:val="24"/>
                <w:szCs w:val="24"/>
                <w:highlight w:val="none"/>
                <w:lang w:val="zh-CN"/>
              </w:rPr>
            </w:pPr>
            <w:r>
              <w:rPr>
                <w:rFonts w:hint="eastAsia" w:ascii="宋体" w:hAnsi="宋体" w:eastAsia="宋体"/>
                <w:color w:val="000000" w:themeColor="text1"/>
                <w:sz w:val="24"/>
                <w:szCs w:val="24"/>
                <w:highlight w:val="none"/>
                <w:lang w:val="zh-CN"/>
              </w:rPr>
              <w:t>设备生产厂商（全称）</w:t>
            </w:r>
          </w:p>
        </w:tc>
        <w:tc>
          <w:tcPr>
            <w:tcW w:w="974" w:type="pct"/>
            <w:tcBorders>
              <w:top w:val="single" w:color="auto" w:sz="4" w:space="0"/>
              <w:left w:val="single" w:color="auto" w:sz="4" w:space="0"/>
              <w:bottom w:val="single" w:color="auto" w:sz="4" w:space="0"/>
              <w:right w:val="single" w:color="auto" w:sz="4" w:space="0"/>
            </w:tcBorders>
            <w:vAlign w:val="center"/>
          </w:tcPr>
          <w:p w14:paraId="3B3CA8B0">
            <w:pPr>
              <w:spacing w:line="360" w:lineRule="auto"/>
              <w:jc w:val="center"/>
              <w:rPr>
                <w:rFonts w:ascii="宋体" w:hAnsi="宋体" w:eastAsia="宋体"/>
                <w:color w:val="000000" w:themeColor="text1"/>
                <w:sz w:val="24"/>
                <w:szCs w:val="24"/>
                <w:highlight w:val="none"/>
                <w:lang w:val="zh-CN"/>
              </w:rPr>
            </w:pPr>
            <w:r>
              <w:rPr>
                <w:rFonts w:ascii="宋体" w:hAnsi="宋体" w:eastAsia="宋体"/>
                <w:color w:val="000000" w:themeColor="text1"/>
                <w:sz w:val="24"/>
                <w:szCs w:val="24"/>
                <w:highlight w:val="none"/>
                <w:lang w:val="zh-CN"/>
              </w:rPr>
              <w:t>技术</w:t>
            </w:r>
            <w:r>
              <w:rPr>
                <w:rFonts w:hint="eastAsia" w:ascii="宋体" w:hAnsi="宋体" w:eastAsia="宋体"/>
                <w:color w:val="000000" w:themeColor="text1"/>
                <w:sz w:val="24"/>
                <w:szCs w:val="24"/>
                <w:highlight w:val="none"/>
                <w:lang w:val="zh-CN"/>
              </w:rPr>
              <w:t>指标</w:t>
            </w:r>
          </w:p>
        </w:tc>
        <w:tc>
          <w:tcPr>
            <w:tcW w:w="450" w:type="pct"/>
            <w:tcBorders>
              <w:top w:val="single" w:color="auto" w:sz="4" w:space="0"/>
              <w:left w:val="single" w:color="auto" w:sz="4" w:space="0"/>
              <w:bottom w:val="single" w:color="auto" w:sz="4" w:space="0"/>
              <w:right w:val="single" w:color="auto" w:sz="4" w:space="0"/>
            </w:tcBorders>
            <w:vAlign w:val="center"/>
          </w:tcPr>
          <w:p w14:paraId="6E67E072">
            <w:pPr>
              <w:spacing w:line="360" w:lineRule="auto"/>
              <w:ind w:right="-49"/>
              <w:jc w:val="center"/>
              <w:rPr>
                <w:rFonts w:ascii="宋体" w:hAnsi="宋体" w:eastAsia="宋体"/>
                <w:color w:val="000000" w:themeColor="text1"/>
                <w:sz w:val="24"/>
                <w:szCs w:val="24"/>
                <w:highlight w:val="none"/>
                <w:lang w:val="zh-CN"/>
              </w:rPr>
            </w:pPr>
            <w:r>
              <w:rPr>
                <w:rFonts w:hint="eastAsia" w:ascii="宋体" w:hAnsi="宋体" w:eastAsia="宋体"/>
                <w:color w:val="000000" w:themeColor="text1"/>
                <w:sz w:val="24"/>
                <w:szCs w:val="24"/>
                <w:highlight w:val="none"/>
                <w:lang w:val="zh-CN"/>
              </w:rPr>
              <w:t>数量</w:t>
            </w:r>
          </w:p>
        </w:tc>
        <w:tc>
          <w:tcPr>
            <w:tcW w:w="625" w:type="pct"/>
            <w:tcBorders>
              <w:top w:val="single" w:color="auto" w:sz="4" w:space="0"/>
              <w:left w:val="single" w:color="auto" w:sz="4" w:space="0"/>
              <w:bottom w:val="single" w:color="auto" w:sz="4" w:space="0"/>
              <w:right w:val="single" w:color="auto" w:sz="4" w:space="0"/>
            </w:tcBorders>
            <w:vAlign w:val="center"/>
          </w:tcPr>
          <w:p w14:paraId="3A660C93">
            <w:pPr>
              <w:spacing w:line="360" w:lineRule="auto"/>
              <w:jc w:val="center"/>
              <w:rPr>
                <w:rFonts w:ascii="宋体" w:hAnsi="宋体" w:eastAsia="宋体"/>
                <w:color w:val="000000" w:themeColor="text1"/>
                <w:sz w:val="24"/>
                <w:szCs w:val="24"/>
                <w:highlight w:val="none"/>
                <w:lang w:val="zh-CN"/>
              </w:rPr>
            </w:pPr>
            <w:r>
              <w:rPr>
                <w:rFonts w:hint="eastAsia" w:ascii="宋体" w:hAnsi="宋体" w:eastAsia="宋体"/>
                <w:color w:val="000000" w:themeColor="text1"/>
                <w:sz w:val="24"/>
                <w:szCs w:val="24"/>
                <w:highlight w:val="none"/>
                <w:lang w:val="zh-CN"/>
              </w:rPr>
              <w:t>单价（元）</w:t>
            </w:r>
          </w:p>
        </w:tc>
        <w:tc>
          <w:tcPr>
            <w:tcW w:w="664" w:type="pct"/>
            <w:tcBorders>
              <w:top w:val="single" w:color="auto" w:sz="4" w:space="0"/>
              <w:left w:val="single" w:color="auto" w:sz="4" w:space="0"/>
              <w:bottom w:val="single" w:color="auto" w:sz="4" w:space="0"/>
              <w:right w:val="single" w:color="auto" w:sz="4" w:space="0"/>
            </w:tcBorders>
            <w:vAlign w:val="center"/>
          </w:tcPr>
          <w:p w14:paraId="0E37F426">
            <w:pPr>
              <w:spacing w:line="360" w:lineRule="auto"/>
              <w:jc w:val="center"/>
              <w:rPr>
                <w:rFonts w:ascii="宋体" w:hAnsi="宋体" w:eastAsia="宋体"/>
                <w:color w:val="000000" w:themeColor="text1"/>
                <w:sz w:val="24"/>
                <w:szCs w:val="24"/>
                <w:highlight w:val="none"/>
                <w:lang w:val="zh-CN"/>
              </w:rPr>
            </w:pPr>
            <w:r>
              <w:rPr>
                <w:rFonts w:ascii="宋体" w:hAnsi="宋体" w:eastAsia="宋体"/>
                <w:color w:val="000000" w:themeColor="text1"/>
                <w:sz w:val="24"/>
                <w:szCs w:val="24"/>
                <w:highlight w:val="none"/>
                <w:lang w:val="zh-CN"/>
              </w:rPr>
              <w:t>合价（元）</w:t>
            </w:r>
          </w:p>
        </w:tc>
      </w:tr>
      <w:tr w14:paraId="2E834EC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334" w:type="pct"/>
            <w:tcBorders>
              <w:top w:val="single" w:color="auto" w:sz="4" w:space="0"/>
              <w:left w:val="single" w:color="auto" w:sz="4" w:space="0"/>
              <w:bottom w:val="single" w:color="auto" w:sz="4" w:space="0"/>
              <w:right w:val="single" w:color="auto" w:sz="4" w:space="0"/>
            </w:tcBorders>
            <w:vAlign w:val="center"/>
          </w:tcPr>
          <w:p w14:paraId="6FC63CA1">
            <w:pPr>
              <w:spacing w:line="360" w:lineRule="auto"/>
              <w:ind w:left="-57" w:right="-57"/>
              <w:jc w:val="center"/>
              <w:rPr>
                <w:rFonts w:ascii="宋体" w:hAnsi="宋体" w:eastAsia="宋体" w:cs="仿宋"/>
                <w:color w:val="000000" w:themeColor="text1"/>
                <w:sz w:val="24"/>
                <w:szCs w:val="24"/>
                <w:highlight w:val="none"/>
              </w:rPr>
            </w:pPr>
            <w:r>
              <w:rPr>
                <w:rFonts w:hint="eastAsia" w:ascii="宋体" w:hAnsi="宋体" w:eastAsia="宋体"/>
                <w:color w:val="000000" w:themeColor="text1"/>
                <w:sz w:val="24"/>
                <w:szCs w:val="24"/>
                <w:highlight w:val="none"/>
                <w:lang w:val="zh-CN"/>
              </w:rPr>
              <w:t>1</w:t>
            </w:r>
          </w:p>
        </w:tc>
        <w:tc>
          <w:tcPr>
            <w:tcW w:w="703" w:type="pct"/>
            <w:tcBorders>
              <w:top w:val="single" w:color="auto" w:sz="4" w:space="0"/>
              <w:left w:val="single" w:color="auto" w:sz="4" w:space="0"/>
              <w:bottom w:val="single" w:color="auto" w:sz="4" w:space="0"/>
              <w:right w:val="single" w:color="auto" w:sz="4" w:space="0"/>
            </w:tcBorders>
            <w:vAlign w:val="center"/>
          </w:tcPr>
          <w:p w14:paraId="4D56C09C">
            <w:pPr>
              <w:tabs>
                <w:tab w:val="left" w:pos="837"/>
              </w:tabs>
              <w:spacing w:line="360" w:lineRule="auto"/>
              <w:ind w:right="-108"/>
              <w:jc w:val="center"/>
              <w:rPr>
                <w:rFonts w:ascii="宋体" w:hAnsi="宋体" w:eastAsia="宋体"/>
                <w:color w:val="000000" w:themeColor="text1"/>
                <w:sz w:val="24"/>
                <w:szCs w:val="24"/>
                <w:highlight w:val="none"/>
                <w:lang w:val="zh-CN"/>
              </w:rPr>
            </w:pPr>
            <w:r>
              <w:rPr>
                <w:rFonts w:hint="eastAsia" w:ascii="宋体" w:hAnsi="宋体" w:eastAsia="宋体"/>
                <w:color w:val="000000" w:themeColor="text1"/>
                <w:sz w:val="24"/>
                <w:szCs w:val="24"/>
                <w:highlight w:val="none"/>
                <w:lang w:val="zh-CN"/>
              </w:rPr>
              <w:t>地震预警终端</w:t>
            </w:r>
            <w:r>
              <w:rPr>
                <w:rFonts w:ascii="宋体" w:hAnsi="宋体" w:eastAsia="宋体"/>
                <w:color w:val="000000" w:themeColor="text1"/>
                <w:sz w:val="24"/>
                <w:szCs w:val="24"/>
                <w:highlight w:val="none"/>
                <w:lang w:val="zh-CN"/>
              </w:rPr>
              <w:t>1</w:t>
            </w:r>
            <w:r>
              <w:rPr>
                <w:rFonts w:hint="eastAsia" w:ascii="宋体" w:hAnsi="宋体" w:eastAsia="宋体"/>
                <w:color w:val="000000" w:themeColor="text1"/>
                <w:sz w:val="24"/>
                <w:szCs w:val="24"/>
                <w:highlight w:val="none"/>
                <w:lang w:val="zh-CN"/>
              </w:rPr>
              <w:t>（核心产品）</w:t>
            </w:r>
          </w:p>
        </w:tc>
        <w:tc>
          <w:tcPr>
            <w:tcW w:w="1250" w:type="pct"/>
            <w:tcBorders>
              <w:top w:val="single" w:color="auto" w:sz="4" w:space="0"/>
              <w:left w:val="single" w:color="auto" w:sz="4" w:space="0"/>
              <w:bottom w:val="single" w:color="auto" w:sz="4" w:space="0"/>
              <w:right w:val="single" w:color="auto" w:sz="4" w:space="0"/>
            </w:tcBorders>
            <w:vAlign w:val="center"/>
          </w:tcPr>
          <w:p w14:paraId="09D3E7C4">
            <w:pPr>
              <w:tabs>
                <w:tab w:val="left" w:pos="837"/>
              </w:tabs>
              <w:spacing w:line="360" w:lineRule="auto"/>
              <w:ind w:right="-108"/>
              <w:jc w:val="center"/>
              <w:rPr>
                <w:rFonts w:ascii="宋体" w:hAnsi="宋体" w:eastAsia="宋体"/>
                <w:color w:val="000000" w:themeColor="text1"/>
                <w:sz w:val="24"/>
                <w:szCs w:val="24"/>
                <w:highlight w:val="none"/>
                <w:lang w:val="zh-CN"/>
              </w:rPr>
            </w:pPr>
          </w:p>
        </w:tc>
        <w:tc>
          <w:tcPr>
            <w:tcW w:w="974" w:type="pct"/>
            <w:tcBorders>
              <w:top w:val="single" w:color="auto" w:sz="4" w:space="0"/>
              <w:left w:val="single" w:color="auto" w:sz="4" w:space="0"/>
              <w:bottom w:val="single" w:color="auto" w:sz="4" w:space="0"/>
              <w:right w:val="single" w:color="auto" w:sz="4" w:space="0"/>
            </w:tcBorders>
            <w:vAlign w:val="center"/>
          </w:tcPr>
          <w:p w14:paraId="2F95EE8E">
            <w:pPr>
              <w:tabs>
                <w:tab w:val="left" w:pos="837"/>
              </w:tabs>
              <w:spacing w:line="360" w:lineRule="auto"/>
              <w:ind w:right="-108"/>
              <w:jc w:val="center"/>
              <w:rPr>
                <w:rFonts w:ascii="宋体" w:hAnsi="宋体" w:eastAsia="宋体"/>
                <w:color w:val="000000" w:themeColor="text1"/>
                <w:sz w:val="24"/>
                <w:szCs w:val="24"/>
                <w:highlight w:val="none"/>
                <w:lang w:val="zh-CN"/>
              </w:rPr>
            </w:pPr>
          </w:p>
        </w:tc>
        <w:tc>
          <w:tcPr>
            <w:tcW w:w="450" w:type="pct"/>
            <w:tcBorders>
              <w:top w:val="single" w:color="auto" w:sz="4" w:space="0"/>
              <w:left w:val="single" w:color="auto" w:sz="4" w:space="0"/>
              <w:bottom w:val="single" w:color="auto" w:sz="4" w:space="0"/>
              <w:right w:val="single" w:color="auto" w:sz="4" w:space="0"/>
            </w:tcBorders>
            <w:vAlign w:val="center"/>
          </w:tcPr>
          <w:p w14:paraId="54F45F83">
            <w:pPr>
              <w:spacing w:line="360" w:lineRule="auto"/>
              <w:ind w:right="-49"/>
              <w:jc w:val="center"/>
              <w:rPr>
                <w:rFonts w:ascii="宋体" w:hAnsi="宋体" w:eastAsia="宋体"/>
                <w:color w:val="000000" w:themeColor="text1"/>
                <w:sz w:val="24"/>
                <w:szCs w:val="24"/>
                <w:highlight w:val="none"/>
                <w:lang w:val="zh-CN"/>
              </w:rPr>
            </w:pPr>
            <w:r>
              <w:rPr>
                <w:rFonts w:hint="eastAsia" w:ascii="宋体" w:hAnsi="宋体" w:eastAsia="宋体"/>
                <w:color w:val="000000" w:themeColor="text1"/>
                <w:sz w:val="24"/>
                <w:szCs w:val="24"/>
                <w:highlight w:val="none"/>
                <w:lang w:val="zh-CN"/>
              </w:rPr>
              <w:t>187台</w:t>
            </w:r>
          </w:p>
        </w:tc>
        <w:tc>
          <w:tcPr>
            <w:tcW w:w="625" w:type="pct"/>
            <w:tcBorders>
              <w:top w:val="single" w:color="auto" w:sz="4" w:space="0"/>
              <w:left w:val="single" w:color="auto" w:sz="4" w:space="0"/>
              <w:bottom w:val="single" w:color="auto" w:sz="4" w:space="0"/>
              <w:right w:val="single" w:color="auto" w:sz="4" w:space="0"/>
            </w:tcBorders>
            <w:vAlign w:val="center"/>
          </w:tcPr>
          <w:p w14:paraId="485531E2">
            <w:pPr>
              <w:spacing w:line="360" w:lineRule="auto"/>
              <w:ind w:right="-49"/>
              <w:jc w:val="center"/>
              <w:rPr>
                <w:rFonts w:ascii="宋体" w:hAnsi="宋体" w:eastAsia="宋体"/>
                <w:color w:val="000000" w:themeColor="text1"/>
                <w:sz w:val="24"/>
                <w:szCs w:val="24"/>
                <w:highlight w:val="none"/>
                <w:lang w:val="zh-CN"/>
              </w:rPr>
            </w:pPr>
          </w:p>
        </w:tc>
        <w:tc>
          <w:tcPr>
            <w:tcW w:w="664" w:type="pct"/>
            <w:tcBorders>
              <w:top w:val="single" w:color="auto" w:sz="4" w:space="0"/>
              <w:left w:val="single" w:color="auto" w:sz="4" w:space="0"/>
              <w:bottom w:val="single" w:color="auto" w:sz="4" w:space="0"/>
              <w:right w:val="single" w:color="auto" w:sz="4" w:space="0"/>
            </w:tcBorders>
            <w:vAlign w:val="center"/>
          </w:tcPr>
          <w:p w14:paraId="2280E3AC">
            <w:pPr>
              <w:spacing w:line="360" w:lineRule="auto"/>
              <w:ind w:right="-49"/>
              <w:jc w:val="center"/>
              <w:rPr>
                <w:rFonts w:ascii="宋体" w:hAnsi="宋体" w:eastAsia="宋体"/>
                <w:color w:val="000000" w:themeColor="text1"/>
                <w:sz w:val="24"/>
                <w:szCs w:val="24"/>
                <w:highlight w:val="none"/>
                <w:lang w:val="zh-CN"/>
              </w:rPr>
            </w:pPr>
          </w:p>
        </w:tc>
      </w:tr>
      <w:tr w14:paraId="6F144F9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334" w:type="pct"/>
            <w:tcBorders>
              <w:top w:val="single" w:color="auto" w:sz="4" w:space="0"/>
              <w:left w:val="single" w:color="auto" w:sz="4" w:space="0"/>
              <w:bottom w:val="single" w:color="auto" w:sz="4" w:space="0"/>
              <w:right w:val="single" w:color="auto" w:sz="4" w:space="0"/>
            </w:tcBorders>
            <w:vAlign w:val="center"/>
          </w:tcPr>
          <w:p w14:paraId="0D6B4EF4">
            <w:pPr>
              <w:spacing w:line="360" w:lineRule="auto"/>
              <w:ind w:left="-57" w:right="-57"/>
              <w:jc w:val="center"/>
              <w:rPr>
                <w:rFonts w:ascii="宋体" w:hAnsi="宋体" w:eastAsia="宋体" w:cs="仿宋"/>
                <w:color w:val="000000" w:themeColor="text1"/>
                <w:sz w:val="24"/>
                <w:szCs w:val="24"/>
                <w:highlight w:val="none"/>
              </w:rPr>
            </w:pPr>
            <w:r>
              <w:rPr>
                <w:rFonts w:hint="eastAsia" w:ascii="宋体" w:hAnsi="宋体" w:eastAsia="宋体"/>
                <w:color w:val="000000" w:themeColor="text1"/>
                <w:sz w:val="24"/>
                <w:szCs w:val="24"/>
                <w:highlight w:val="none"/>
                <w:lang w:val="zh-CN"/>
              </w:rPr>
              <w:t>2</w:t>
            </w:r>
          </w:p>
        </w:tc>
        <w:tc>
          <w:tcPr>
            <w:tcW w:w="703" w:type="pct"/>
            <w:tcBorders>
              <w:top w:val="single" w:color="auto" w:sz="4" w:space="0"/>
              <w:left w:val="single" w:color="auto" w:sz="4" w:space="0"/>
              <w:bottom w:val="single" w:color="auto" w:sz="4" w:space="0"/>
              <w:right w:val="single" w:color="auto" w:sz="4" w:space="0"/>
            </w:tcBorders>
            <w:vAlign w:val="center"/>
          </w:tcPr>
          <w:p w14:paraId="2053D85A">
            <w:pPr>
              <w:tabs>
                <w:tab w:val="left" w:pos="837"/>
              </w:tabs>
              <w:spacing w:line="360" w:lineRule="auto"/>
              <w:ind w:right="-108"/>
              <w:jc w:val="center"/>
              <w:rPr>
                <w:rFonts w:ascii="宋体" w:hAnsi="宋体" w:eastAsia="宋体"/>
                <w:color w:val="000000" w:themeColor="text1"/>
                <w:sz w:val="24"/>
                <w:szCs w:val="24"/>
                <w:highlight w:val="none"/>
                <w:lang w:val="zh-CN"/>
              </w:rPr>
            </w:pPr>
            <w:r>
              <w:rPr>
                <w:rFonts w:hint="eastAsia" w:ascii="宋体" w:hAnsi="宋体" w:eastAsia="宋体"/>
                <w:color w:val="000000" w:themeColor="text1"/>
                <w:sz w:val="24"/>
                <w:szCs w:val="24"/>
                <w:highlight w:val="none"/>
                <w:lang w:val="zh-CN"/>
              </w:rPr>
              <w:t>地震预警终端</w:t>
            </w:r>
            <w:r>
              <w:rPr>
                <w:rFonts w:ascii="宋体" w:hAnsi="宋体" w:eastAsia="宋体"/>
                <w:color w:val="000000" w:themeColor="text1"/>
                <w:sz w:val="24"/>
                <w:szCs w:val="24"/>
                <w:highlight w:val="none"/>
                <w:lang w:val="zh-CN"/>
              </w:rPr>
              <w:t>2</w:t>
            </w:r>
            <w:r>
              <w:rPr>
                <w:rFonts w:hint="eastAsia" w:ascii="宋体" w:hAnsi="宋体" w:eastAsia="宋体"/>
                <w:color w:val="000000" w:themeColor="text1"/>
                <w:sz w:val="24"/>
                <w:szCs w:val="24"/>
                <w:highlight w:val="none"/>
                <w:lang w:val="zh-CN"/>
              </w:rPr>
              <w:t>（核心产品）</w:t>
            </w:r>
          </w:p>
        </w:tc>
        <w:tc>
          <w:tcPr>
            <w:tcW w:w="1250" w:type="pct"/>
            <w:tcBorders>
              <w:top w:val="single" w:color="auto" w:sz="4" w:space="0"/>
              <w:left w:val="single" w:color="auto" w:sz="4" w:space="0"/>
              <w:bottom w:val="single" w:color="auto" w:sz="4" w:space="0"/>
              <w:right w:val="single" w:color="auto" w:sz="4" w:space="0"/>
            </w:tcBorders>
            <w:vAlign w:val="center"/>
          </w:tcPr>
          <w:p w14:paraId="43DCF4B5">
            <w:pPr>
              <w:tabs>
                <w:tab w:val="left" w:pos="837"/>
              </w:tabs>
              <w:spacing w:line="360" w:lineRule="auto"/>
              <w:ind w:right="-108"/>
              <w:jc w:val="center"/>
              <w:rPr>
                <w:rFonts w:ascii="宋体" w:hAnsi="宋体" w:eastAsia="宋体"/>
                <w:color w:val="000000" w:themeColor="text1"/>
                <w:sz w:val="24"/>
                <w:szCs w:val="24"/>
                <w:highlight w:val="none"/>
                <w:lang w:val="zh-CN"/>
              </w:rPr>
            </w:pPr>
          </w:p>
        </w:tc>
        <w:tc>
          <w:tcPr>
            <w:tcW w:w="974" w:type="pct"/>
            <w:tcBorders>
              <w:top w:val="single" w:color="auto" w:sz="4" w:space="0"/>
              <w:left w:val="single" w:color="auto" w:sz="4" w:space="0"/>
              <w:bottom w:val="single" w:color="auto" w:sz="4" w:space="0"/>
              <w:right w:val="single" w:color="auto" w:sz="4" w:space="0"/>
            </w:tcBorders>
            <w:vAlign w:val="center"/>
          </w:tcPr>
          <w:p w14:paraId="126C8A90">
            <w:pPr>
              <w:tabs>
                <w:tab w:val="left" w:pos="837"/>
              </w:tabs>
              <w:spacing w:line="360" w:lineRule="auto"/>
              <w:ind w:right="-108"/>
              <w:jc w:val="center"/>
              <w:rPr>
                <w:rFonts w:ascii="宋体" w:hAnsi="宋体" w:eastAsia="宋体"/>
                <w:color w:val="000000" w:themeColor="text1"/>
                <w:sz w:val="24"/>
                <w:szCs w:val="24"/>
                <w:highlight w:val="none"/>
                <w:lang w:val="zh-CN"/>
              </w:rPr>
            </w:pPr>
          </w:p>
        </w:tc>
        <w:tc>
          <w:tcPr>
            <w:tcW w:w="450" w:type="pct"/>
            <w:tcBorders>
              <w:top w:val="single" w:color="auto" w:sz="4" w:space="0"/>
              <w:left w:val="single" w:color="auto" w:sz="4" w:space="0"/>
              <w:bottom w:val="single" w:color="auto" w:sz="4" w:space="0"/>
              <w:right w:val="single" w:color="auto" w:sz="4" w:space="0"/>
            </w:tcBorders>
            <w:vAlign w:val="center"/>
          </w:tcPr>
          <w:p w14:paraId="10B7FA5C">
            <w:pPr>
              <w:spacing w:line="360" w:lineRule="auto"/>
              <w:ind w:right="-49"/>
              <w:jc w:val="center"/>
              <w:rPr>
                <w:rFonts w:ascii="宋体" w:hAnsi="宋体" w:eastAsia="宋体"/>
                <w:color w:val="000000" w:themeColor="text1"/>
                <w:sz w:val="24"/>
                <w:szCs w:val="24"/>
                <w:highlight w:val="none"/>
                <w:lang w:val="zh-CN"/>
              </w:rPr>
            </w:pPr>
            <w:r>
              <w:rPr>
                <w:rFonts w:hint="eastAsia" w:ascii="宋体" w:hAnsi="宋体" w:eastAsia="宋体"/>
                <w:color w:val="000000" w:themeColor="text1"/>
                <w:sz w:val="24"/>
                <w:szCs w:val="24"/>
                <w:highlight w:val="none"/>
                <w:lang w:val="zh-CN"/>
              </w:rPr>
              <w:t>39台</w:t>
            </w:r>
          </w:p>
        </w:tc>
        <w:tc>
          <w:tcPr>
            <w:tcW w:w="625" w:type="pct"/>
            <w:tcBorders>
              <w:top w:val="single" w:color="auto" w:sz="4" w:space="0"/>
              <w:left w:val="single" w:color="auto" w:sz="4" w:space="0"/>
              <w:bottom w:val="single" w:color="auto" w:sz="4" w:space="0"/>
              <w:right w:val="single" w:color="auto" w:sz="4" w:space="0"/>
            </w:tcBorders>
            <w:vAlign w:val="center"/>
          </w:tcPr>
          <w:p w14:paraId="32746E89">
            <w:pPr>
              <w:spacing w:line="360" w:lineRule="auto"/>
              <w:ind w:right="-49"/>
              <w:jc w:val="center"/>
              <w:rPr>
                <w:rFonts w:ascii="宋体" w:hAnsi="宋体" w:eastAsia="宋体"/>
                <w:color w:val="000000" w:themeColor="text1"/>
                <w:sz w:val="24"/>
                <w:szCs w:val="24"/>
                <w:highlight w:val="none"/>
                <w:lang w:val="zh-CN"/>
              </w:rPr>
            </w:pPr>
          </w:p>
        </w:tc>
        <w:tc>
          <w:tcPr>
            <w:tcW w:w="664" w:type="pct"/>
            <w:tcBorders>
              <w:top w:val="single" w:color="auto" w:sz="4" w:space="0"/>
              <w:left w:val="single" w:color="auto" w:sz="4" w:space="0"/>
              <w:bottom w:val="single" w:color="auto" w:sz="4" w:space="0"/>
              <w:right w:val="single" w:color="auto" w:sz="4" w:space="0"/>
            </w:tcBorders>
            <w:vAlign w:val="center"/>
          </w:tcPr>
          <w:p w14:paraId="4F9674CC">
            <w:pPr>
              <w:spacing w:line="360" w:lineRule="auto"/>
              <w:ind w:right="-49"/>
              <w:jc w:val="center"/>
              <w:rPr>
                <w:rFonts w:ascii="宋体" w:hAnsi="宋体" w:eastAsia="宋体"/>
                <w:color w:val="000000" w:themeColor="text1"/>
                <w:sz w:val="24"/>
                <w:szCs w:val="24"/>
                <w:highlight w:val="none"/>
                <w:lang w:val="zh-CN"/>
              </w:rPr>
            </w:pPr>
          </w:p>
        </w:tc>
      </w:tr>
      <w:tr w14:paraId="5AAC77F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334" w:type="pct"/>
            <w:tcBorders>
              <w:top w:val="single" w:color="auto" w:sz="4" w:space="0"/>
              <w:left w:val="single" w:color="auto" w:sz="4" w:space="0"/>
              <w:bottom w:val="single" w:color="auto" w:sz="4" w:space="0"/>
              <w:right w:val="single" w:color="auto" w:sz="4" w:space="0"/>
            </w:tcBorders>
            <w:vAlign w:val="center"/>
          </w:tcPr>
          <w:p w14:paraId="1728B6C5">
            <w:pPr>
              <w:spacing w:line="360" w:lineRule="auto"/>
              <w:ind w:left="-57" w:right="-57"/>
              <w:jc w:val="center"/>
              <w:rPr>
                <w:rFonts w:ascii="宋体" w:hAnsi="宋体" w:eastAsia="宋体" w:cs="仿宋"/>
                <w:color w:val="000000" w:themeColor="text1"/>
                <w:sz w:val="24"/>
                <w:szCs w:val="24"/>
                <w:highlight w:val="none"/>
              </w:rPr>
            </w:pPr>
            <w:r>
              <w:rPr>
                <w:rFonts w:ascii="宋体" w:hAnsi="宋体" w:eastAsia="宋体" w:cs="仿宋"/>
                <w:color w:val="000000" w:themeColor="text1"/>
                <w:sz w:val="24"/>
                <w:szCs w:val="24"/>
                <w:highlight w:val="none"/>
              </w:rPr>
              <w:t>3</w:t>
            </w:r>
          </w:p>
        </w:tc>
        <w:tc>
          <w:tcPr>
            <w:tcW w:w="703" w:type="pct"/>
            <w:tcBorders>
              <w:top w:val="single" w:color="auto" w:sz="4" w:space="0"/>
              <w:left w:val="single" w:color="auto" w:sz="4" w:space="0"/>
              <w:bottom w:val="single" w:color="auto" w:sz="4" w:space="0"/>
              <w:right w:val="single" w:color="auto" w:sz="4" w:space="0"/>
            </w:tcBorders>
            <w:vAlign w:val="center"/>
          </w:tcPr>
          <w:p w14:paraId="15F4D7FE">
            <w:pPr>
              <w:tabs>
                <w:tab w:val="left" w:pos="837"/>
              </w:tabs>
              <w:spacing w:line="360" w:lineRule="auto"/>
              <w:ind w:right="-108"/>
              <w:jc w:val="center"/>
              <w:rPr>
                <w:rFonts w:ascii="宋体" w:hAnsi="宋体" w:eastAsia="宋体"/>
                <w:color w:val="000000" w:themeColor="text1"/>
                <w:sz w:val="24"/>
                <w:szCs w:val="24"/>
                <w:highlight w:val="none"/>
                <w:lang w:val="zh-CN"/>
              </w:rPr>
            </w:pPr>
            <w:r>
              <w:rPr>
                <w:rFonts w:hint="eastAsia" w:ascii="宋体" w:hAnsi="宋体" w:eastAsia="宋体"/>
                <w:color w:val="000000" w:themeColor="text1"/>
                <w:sz w:val="24"/>
                <w:szCs w:val="24"/>
                <w:highlight w:val="none"/>
                <w:lang w:val="zh-CN"/>
              </w:rPr>
              <w:t>地震预警大喇叭(核心产品)</w:t>
            </w:r>
          </w:p>
        </w:tc>
        <w:tc>
          <w:tcPr>
            <w:tcW w:w="1250" w:type="pct"/>
            <w:tcBorders>
              <w:top w:val="single" w:color="auto" w:sz="4" w:space="0"/>
              <w:left w:val="single" w:color="auto" w:sz="4" w:space="0"/>
              <w:bottom w:val="single" w:color="auto" w:sz="4" w:space="0"/>
              <w:right w:val="single" w:color="auto" w:sz="4" w:space="0"/>
            </w:tcBorders>
            <w:vAlign w:val="center"/>
          </w:tcPr>
          <w:p w14:paraId="73A7F47C">
            <w:pPr>
              <w:tabs>
                <w:tab w:val="left" w:pos="837"/>
              </w:tabs>
              <w:spacing w:line="360" w:lineRule="auto"/>
              <w:ind w:right="-108"/>
              <w:jc w:val="center"/>
              <w:rPr>
                <w:rFonts w:ascii="宋体" w:hAnsi="宋体" w:eastAsia="宋体"/>
                <w:color w:val="000000" w:themeColor="text1"/>
                <w:sz w:val="24"/>
                <w:szCs w:val="24"/>
                <w:highlight w:val="none"/>
                <w:lang w:val="zh-CN"/>
              </w:rPr>
            </w:pPr>
          </w:p>
        </w:tc>
        <w:tc>
          <w:tcPr>
            <w:tcW w:w="974" w:type="pct"/>
            <w:tcBorders>
              <w:top w:val="single" w:color="auto" w:sz="4" w:space="0"/>
              <w:left w:val="single" w:color="auto" w:sz="4" w:space="0"/>
              <w:bottom w:val="single" w:color="auto" w:sz="4" w:space="0"/>
              <w:right w:val="single" w:color="auto" w:sz="4" w:space="0"/>
            </w:tcBorders>
            <w:vAlign w:val="center"/>
          </w:tcPr>
          <w:p w14:paraId="7234206B">
            <w:pPr>
              <w:tabs>
                <w:tab w:val="left" w:pos="837"/>
              </w:tabs>
              <w:spacing w:line="360" w:lineRule="auto"/>
              <w:ind w:right="-108"/>
              <w:jc w:val="center"/>
              <w:rPr>
                <w:rFonts w:ascii="宋体" w:hAnsi="宋体" w:eastAsia="宋体"/>
                <w:color w:val="000000" w:themeColor="text1"/>
                <w:sz w:val="24"/>
                <w:szCs w:val="24"/>
                <w:highlight w:val="none"/>
                <w:lang w:val="zh-CN"/>
              </w:rPr>
            </w:pPr>
          </w:p>
        </w:tc>
        <w:tc>
          <w:tcPr>
            <w:tcW w:w="450" w:type="pct"/>
            <w:tcBorders>
              <w:top w:val="single" w:color="auto" w:sz="4" w:space="0"/>
              <w:left w:val="single" w:color="auto" w:sz="4" w:space="0"/>
              <w:bottom w:val="single" w:color="auto" w:sz="4" w:space="0"/>
              <w:right w:val="single" w:color="auto" w:sz="4" w:space="0"/>
            </w:tcBorders>
            <w:vAlign w:val="center"/>
          </w:tcPr>
          <w:p w14:paraId="607C433C">
            <w:pPr>
              <w:spacing w:line="360" w:lineRule="auto"/>
              <w:ind w:right="-49"/>
              <w:jc w:val="center"/>
              <w:rPr>
                <w:rFonts w:ascii="宋体" w:hAnsi="宋体" w:eastAsia="宋体"/>
                <w:color w:val="000000" w:themeColor="text1"/>
                <w:sz w:val="24"/>
                <w:szCs w:val="24"/>
                <w:highlight w:val="none"/>
                <w:lang w:val="zh-CN"/>
              </w:rPr>
            </w:pPr>
            <w:r>
              <w:rPr>
                <w:rFonts w:hint="eastAsia" w:ascii="宋体" w:hAnsi="宋体" w:eastAsia="宋体"/>
                <w:color w:val="000000" w:themeColor="text1"/>
                <w:sz w:val="24"/>
                <w:szCs w:val="24"/>
                <w:highlight w:val="none"/>
                <w:lang w:val="zh-CN"/>
              </w:rPr>
              <w:t>251套</w:t>
            </w:r>
          </w:p>
        </w:tc>
        <w:tc>
          <w:tcPr>
            <w:tcW w:w="625" w:type="pct"/>
            <w:tcBorders>
              <w:top w:val="single" w:color="auto" w:sz="4" w:space="0"/>
              <w:left w:val="single" w:color="auto" w:sz="4" w:space="0"/>
              <w:bottom w:val="single" w:color="auto" w:sz="4" w:space="0"/>
              <w:right w:val="single" w:color="auto" w:sz="4" w:space="0"/>
            </w:tcBorders>
            <w:vAlign w:val="center"/>
          </w:tcPr>
          <w:p w14:paraId="3703A7FE">
            <w:pPr>
              <w:spacing w:line="360" w:lineRule="auto"/>
              <w:ind w:right="-49"/>
              <w:jc w:val="center"/>
              <w:rPr>
                <w:rFonts w:ascii="宋体" w:hAnsi="宋体" w:eastAsia="宋体"/>
                <w:color w:val="000000" w:themeColor="text1"/>
                <w:sz w:val="24"/>
                <w:szCs w:val="24"/>
                <w:highlight w:val="none"/>
                <w:lang w:val="zh-CN"/>
              </w:rPr>
            </w:pPr>
          </w:p>
        </w:tc>
        <w:tc>
          <w:tcPr>
            <w:tcW w:w="664" w:type="pct"/>
            <w:tcBorders>
              <w:top w:val="single" w:color="auto" w:sz="4" w:space="0"/>
              <w:left w:val="single" w:color="auto" w:sz="4" w:space="0"/>
              <w:bottom w:val="single" w:color="auto" w:sz="4" w:space="0"/>
              <w:right w:val="single" w:color="auto" w:sz="4" w:space="0"/>
            </w:tcBorders>
            <w:vAlign w:val="center"/>
          </w:tcPr>
          <w:p w14:paraId="7907FC43">
            <w:pPr>
              <w:spacing w:line="360" w:lineRule="auto"/>
              <w:ind w:right="-49"/>
              <w:jc w:val="center"/>
              <w:rPr>
                <w:rFonts w:ascii="宋体" w:hAnsi="宋体" w:eastAsia="宋体"/>
                <w:color w:val="000000" w:themeColor="text1"/>
                <w:sz w:val="24"/>
                <w:szCs w:val="24"/>
                <w:highlight w:val="none"/>
                <w:lang w:val="zh-CN"/>
              </w:rPr>
            </w:pPr>
          </w:p>
        </w:tc>
      </w:tr>
      <w:tr w14:paraId="0E34A8C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334" w:type="pct"/>
            <w:tcBorders>
              <w:top w:val="single" w:color="auto" w:sz="4" w:space="0"/>
              <w:left w:val="single" w:color="auto" w:sz="4" w:space="0"/>
              <w:bottom w:val="single" w:color="auto" w:sz="4" w:space="0"/>
              <w:right w:val="single" w:color="auto" w:sz="4" w:space="0"/>
            </w:tcBorders>
            <w:vAlign w:val="center"/>
          </w:tcPr>
          <w:p w14:paraId="40122899">
            <w:pPr>
              <w:spacing w:line="360" w:lineRule="auto"/>
              <w:ind w:left="-57" w:right="-57"/>
              <w:jc w:val="center"/>
              <w:rPr>
                <w:rFonts w:ascii="宋体" w:hAnsi="宋体" w:eastAsia="宋体" w:cs="仿宋"/>
                <w:color w:val="000000" w:themeColor="text1"/>
                <w:sz w:val="24"/>
                <w:szCs w:val="24"/>
                <w:highlight w:val="none"/>
              </w:rPr>
            </w:pPr>
            <w:r>
              <w:rPr>
                <w:rFonts w:hint="eastAsia" w:ascii="宋体" w:hAnsi="宋体" w:eastAsia="宋体" w:cs="仿宋"/>
                <w:color w:val="000000" w:themeColor="text1"/>
                <w:sz w:val="24"/>
                <w:szCs w:val="24"/>
                <w:highlight w:val="none"/>
              </w:rPr>
              <w:t>4</w:t>
            </w:r>
          </w:p>
        </w:tc>
        <w:tc>
          <w:tcPr>
            <w:tcW w:w="703" w:type="pct"/>
            <w:tcBorders>
              <w:top w:val="single" w:color="auto" w:sz="4" w:space="0"/>
              <w:left w:val="single" w:color="auto" w:sz="4" w:space="0"/>
              <w:bottom w:val="single" w:color="auto" w:sz="4" w:space="0"/>
              <w:right w:val="single" w:color="auto" w:sz="4" w:space="0"/>
            </w:tcBorders>
            <w:vAlign w:val="center"/>
          </w:tcPr>
          <w:p w14:paraId="60BD8C48">
            <w:pPr>
              <w:tabs>
                <w:tab w:val="left" w:pos="837"/>
              </w:tabs>
              <w:spacing w:line="360" w:lineRule="auto"/>
              <w:ind w:right="-108"/>
              <w:jc w:val="center"/>
              <w:rPr>
                <w:rFonts w:ascii="宋体" w:hAnsi="宋体" w:eastAsia="宋体"/>
                <w:color w:val="000000" w:themeColor="text1"/>
                <w:sz w:val="24"/>
                <w:szCs w:val="24"/>
                <w:highlight w:val="none"/>
                <w:lang w:val="zh-CN"/>
              </w:rPr>
            </w:pPr>
            <w:r>
              <w:rPr>
                <w:rFonts w:hint="eastAsia" w:ascii="宋体" w:hAnsi="宋体" w:eastAsia="宋体"/>
                <w:color w:val="000000" w:themeColor="text1"/>
                <w:sz w:val="24"/>
                <w:szCs w:val="24"/>
                <w:highlight w:val="none"/>
                <w:lang w:val="zh-CN"/>
              </w:rPr>
              <w:t>工作站</w:t>
            </w:r>
          </w:p>
        </w:tc>
        <w:tc>
          <w:tcPr>
            <w:tcW w:w="1250" w:type="pct"/>
            <w:tcBorders>
              <w:top w:val="single" w:color="auto" w:sz="4" w:space="0"/>
              <w:left w:val="single" w:color="auto" w:sz="4" w:space="0"/>
              <w:bottom w:val="single" w:color="auto" w:sz="4" w:space="0"/>
              <w:right w:val="single" w:color="auto" w:sz="4" w:space="0"/>
            </w:tcBorders>
            <w:vAlign w:val="center"/>
          </w:tcPr>
          <w:p w14:paraId="266FC760">
            <w:pPr>
              <w:tabs>
                <w:tab w:val="left" w:pos="837"/>
              </w:tabs>
              <w:spacing w:line="360" w:lineRule="auto"/>
              <w:ind w:right="-108"/>
              <w:jc w:val="center"/>
              <w:rPr>
                <w:rFonts w:ascii="宋体" w:hAnsi="宋体" w:eastAsia="宋体"/>
                <w:color w:val="000000" w:themeColor="text1"/>
                <w:sz w:val="24"/>
                <w:szCs w:val="24"/>
                <w:highlight w:val="none"/>
                <w:lang w:val="zh-CN"/>
              </w:rPr>
            </w:pPr>
          </w:p>
        </w:tc>
        <w:tc>
          <w:tcPr>
            <w:tcW w:w="974" w:type="pct"/>
            <w:tcBorders>
              <w:top w:val="single" w:color="auto" w:sz="4" w:space="0"/>
              <w:left w:val="single" w:color="auto" w:sz="4" w:space="0"/>
              <w:bottom w:val="single" w:color="auto" w:sz="4" w:space="0"/>
              <w:right w:val="single" w:color="auto" w:sz="4" w:space="0"/>
            </w:tcBorders>
            <w:vAlign w:val="center"/>
          </w:tcPr>
          <w:p w14:paraId="6691FE32">
            <w:pPr>
              <w:tabs>
                <w:tab w:val="left" w:pos="837"/>
              </w:tabs>
              <w:spacing w:line="360" w:lineRule="auto"/>
              <w:ind w:right="-108"/>
              <w:jc w:val="center"/>
              <w:rPr>
                <w:rFonts w:ascii="宋体" w:hAnsi="宋体" w:eastAsia="宋体"/>
                <w:color w:val="000000" w:themeColor="text1"/>
                <w:sz w:val="24"/>
                <w:szCs w:val="24"/>
                <w:highlight w:val="none"/>
                <w:lang w:val="zh-CN"/>
              </w:rPr>
            </w:pPr>
          </w:p>
        </w:tc>
        <w:tc>
          <w:tcPr>
            <w:tcW w:w="450" w:type="pct"/>
            <w:tcBorders>
              <w:top w:val="single" w:color="auto" w:sz="4" w:space="0"/>
              <w:left w:val="single" w:color="auto" w:sz="4" w:space="0"/>
              <w:bottom w:val="single" w:color="auto" w:sz="4" w:space="0"/>
              <w:right w:val="single" w:color="auto" w:sz="4" w:space="0"/>
            </w:tcBorders>
            <w:vAlign w:val="center"/>
          </w:tcPr>
          <w:p w14:paraId="6487E5A0">
            <w:pPr>
              <w:spacing w:line="360" w:lineRule="auto"/>
              <w:ind w:right="-49"/>
              <w:jc w:val="center"/>
              <w:rPr>
                <w:rFonts w:ascii="宋体" w:hAnsi="宋体" w:eastAsia="宋体"/>
                <w:color w:val="000000" w:themeColor="text1"/>
                <w:sz w:val="24"/>
                <w:szCs w:val="24"/>
                <w:highlight w:val="none"/>
                <w:lang w:val="zh-CN"/>
              </w:rPr>
            </w:pPr>
            <w:r>
              <w:rPr>
                <w:rFonts w:hint="eastAsia" w:ascii="宋体" w:hAnsi="宋体" w:eastAsia="宋体"/>
                <w:color w:val="000000" w:themeColor="text1"/>
                <w:sz w:val="24"/>
                <w:szCs w:val="24"/>
                <w:highlight w:val="none"/>
                <w:lang w:val="zh-CN"/>
              </w:rPr>
              <w:t>7套</w:t>
            </w:r>
          </w:p>
        </w:tc>
        <w:tc>
          <w:tcPr>
            <w:tcW w:w="625" w:type="pct"/>
            <w:tcBorders>
              <w:top w:val="single" w:color="auto" w:sz="4" w:space="0"/>
              <w:left w:val="single" w:color="auto" w:sz="4" w:space="0"/>
              <w:bottom w:val="single" w:color="auto" w:sz="4" w:space="0"/>
              <w:right w:val="single" w:color="auto" w:sz="4" w:space="0"/>
            </w:tcBorders>
            <w:vAlign w:val="center"/>
          </w:tcPr>
          <w:p w14:paraId="1395D41A">
            <w:pPr>
              <w:spacing w:line="360" w:lineRule="auto"/>
              <w:ind w:right="-49"/>
              <w:jc w:val="center"/>
              <w:rPr>
                <w:rFonts w:ascii="宋体" w:hAnsi="宋体" w:eastAsia="宋体"/>
                <w:color w:val="000000" w:themeColor="text1"/>
                <w:sz w:val="24"/>
                <w:szCs w:val="24"/>
                <w:highlight w:val="none"/>
                <w:lang w:val="zh-CN"/>
              </w:rPr>
            </w:pPr>
          </w:p>
        </w:tc>
        <w:tc>
          <w:tcPr>
            <w:tcW w:w="664" w:type="pct"/>
            <w:tcBorders>
              <w:top w:val="single" w:color="auto" w:sz="4" w:space="0"/>
              <w:left w:val="single" w:color="auto" w:sz="4" w:space="0"/>
              <w:bottom w:val="single" w:color="auto" w:sz="4" w:space="0"/>
              <w:right w:val="single" w:color="auto" w:sz="4" w:space="0"/>
            </w:tcBorders>
            <w:vAlign w:val="center"/>
          </w:tcPr>
          <w:p w14:paraId="20FB2D87">
            <w:pPr>
              <w:spacing w:line="360" w:lineRule="auto"/>
              <w:ind w:right="-49"/>
              <w:jc w:val="center"/>
              <w:rPr>
                <w:rFonts w:ascii="宋体" w:hAnsi="宋体" w:eastAsia="宋体"/>
                <w:color w:val="000000" w:themeColor="text1"/>
                <w:sz w:val="24"/>
                <w:szCs w:val="24"/>
                <w:highlight w:val="none"/>
                <w:lang w:val="zh-CN"/>
              </w:rPr>
            </w:pPr>
          </w:p>
        </w:tc>
      </w:tr>
      <w:tr w14:paraId="57E9761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334" w:type="pct"/>
            <w:tcBorders>
              <w:top w:val="single" w:color="auto" w:sz="4" w:space="0"/>
              <w:left w:val="single" w:color="auto" w:sz="4" w:space="0"/>
              <w:bottom w:val="single" w:color="auto" w:sz="4" w:space="0"/>
              <w:right w:val="single" w:color="auto" w:sz="4" w:space="0"/>
            </w:tcBorders>
            <w:vAlign w:val="center"/>
          </w:tcPr>
          <w:p w14:paraId="1614D4F2">
            <w:pPr>
              <w:spacing w:line="360" w:lineRule="auto"/>
              <w:ind w:left="-57" w:right="-57"/>
              <w:jc w:val="center"/>
              <w:rPr>
                <w:rFonts w:ascii="宋体" w:hAnsi="宋体" w:eastAsia="宋体" w:cs="仿宋"/>
                <w:color w:val="000000" w:themeColor="text1"/>
                <w:sz w:val="24"/>
                <w:szCs w:val="24"/>
                <w:highlight w:val="none"/>
              </w:rPr>
            </w:pPr>
            <w:r>
              <w:rPr>
                <w:rFonts w:hint="eastAsia" w:ascii="宋体" w:hAnsi="宋体" w:eastAsia="宋体" w:cs="仿宋"/>
                <w:color w:val="000000" w:themeColor="text1"/>
                <w:sz w:val="24"/>
                <w:szCs w:val="24"/>
                <w:highlight w:val="none"/>
              </w:rPr>
              <w:t>5</w:t>
            </w:r>
          </w:p>
        </w:tc>
        <w:tc>
          <w:tcPr>
            <w:tcW w:w="703" w:type="pct"/>
            <w:tcBorders>
              <w:top w:val="single" w:color="auto" w:sz="4" w:space="0"/>
              <w:left w:val="single" w:color="auto" w:sz="4" w:space="0"/>
              <w:bottom w:val="single" w:color="auto" w:sz="4" w:space="0"/>
              <w:right w:val="single" w:color="auto" w:sz="4" w:space="0"/>
            </w:tcBorders>
            <w:vAlign w:val="center"/>
          </w:tcPr>
          <w:p w14:paraId="0646E838">
            <w:pPr>
              <w:tabs>
                <w:tab w:val="left" w:pos="837"/>
              </w:tabs>
              <w:spacing w:line="360" w:lineRule="auto"/>
              <w:ind w:right="-108"/>
              <w:jc w:val="center"/>
              <w:rPr>
                <w:rFonts w:ascii="宋体" w:hAnsi="宋体" w:eastAsia="宋体"/>
                <w:color w:val="000000" w:themeColor="text1"/>
                <w:sz w:val="24"/>
                <w:szCs w:val="24"/>
                <w:highlight w:val="none"/>
                <w:lang w:val="zh-CN"/>
              </w:rPr>
            </w:pPr>
            <w:r>
              <w:rPr>
                <w:rFonts w:hint="eastAsia" w:ascii="宋体" w:hAnsi="宋体" w:eastAsia="宋体"/>
                <w:color w:val="000000" w:themeColor="text1"/>
                <w:sz w:val="24"/>
                <w:szCs w:val="24"/>
                <w:highlight w:val="none"/>
                <w:lang w:val="zh-CN"/>
              </w:rPr>
              <w:t>工作站显示屏</w:t>
            </w:r>
          </w:p>
        </w:tc>
        <w:tc>
          <w:tcPr>
            <w:tcW w:w="1250" w:type="pct"/>
            <w:tcBorders>
              <w:top w:val="single" w:color="auto" w:sz="4" w:space="0"/>
              <w:left w:val="single" w:color="auto" w:sz="4" w:space="0"/>
              <w:bottom w:val="single" w:color="auto" w:sz="4" w:space="0"/>
              <w:right w:val="single" w:color="auto" w:sz="4" w:space="0"/>
            </w:tcBorders>
            <w:vAlign w:val="center"/>
          </w:tcPr>
          <w:p w14:paraId="3792CB79">
            <w:pPr>
              <w:tabs>
                <w:tab w:val="left" w:pos="837"/>
              </w:tabs>
              <w:spacing w:line="360" w:lineRule="auto"/>
              <w:ind w:right="-108"/>
              <w:jc w:val="center"/>
              <w:rPr>
                <w:rFonts w:ascii="宋体" w:hAnsi="宋体" w:eastAsia="宋体"/>
                <w:color w:val="000000" w:themeColor="text1"/>
                <w:sz w:val="24"/>
                <w:szCs w:val="24"/>
                <w:highlight w:val="none"/>
                <w:lang w:val="zh-CN"/>
              </w:rPr>
            </w:pPr>
          </w:p>
        </w:tc>
        <w:tc>
          <w:tcPr>
            <w:tcW w:w="974" w:type="pct"/>
            <w:tcBorders>
              <w:top w:val="single" w:color="auto" w:sz="4" w:space="0"/>
              <w:left w:val="single" w:color="auto" w:sz="4" w:space="0"/>
              <w:bottom w:val="single" w:color="auto" w:sz="4" w:space="0"/>
              <w:right w:val="single" w:color="auto" w:sz="4" w:space="0"/>
            </w:tcBorders>
            <w:vAlign w:val="center"/>
          </w:tcPr>
          <w:p w14:paraId="259B16E4">
            <w:pPr>
              <w:tabs>
                <w:tab w:val="left" w:pos="837"/>
              </w:tabs>
              <w:spacing w:line="360" w:lineRule="auto"/>
              <w:ind w:right="-108"/>
              <w:jc w:val="center"/>
              <w:rPr>
                <w:rFonts w:ascii="宋体" w:hAnsi="宋体" w:eastAsia="宋体"/>
                <w:color w:val="000000" w:themeColor="text1"/>
                <w:sz w:val="24"/>
                <w:szCs w:val="24"/>
                <w:highlight w:val="none"/>
                <w:lang w:val="zh-CN"/>
              </w:rPr>
            </w:pPr>
          </w:p>
        </w:tc>
        <w:tc>
          <w:tcPr>
            <w:tcW w:w="450" w:type="pct"/>
            <w:tcBorders>
              <w:top w:val="single" w:color="auto" w:sz="4" w:space="0"/>
              <w:left w:val="single" w:color="auto" w:sz="4" w:space="0"/>
              <w:bottom w:val="single" w:color="auto" w:sz="4" w:space="0"/>
              <w:right w:val="single" w:color="auto" w:sz="4" w:space="0"/>
            </w:tcBorders>
            <w:vAlign w:val="center"/>
          </w:tcPr>
          <w:p w14:paraId="788C6D19">
            <w:pPr>
              <w:spacing w:line="360" w:lineRule="auto"/>
              <w:ind w:right="-49"/>
              <w:jc w:val="center"/>
              <w:rPr>
                <w:rFonts w:ascii="宋体" w:hAnsi="宋体" w:eastAsia="宋体"/>
                <w:color w:val="000000" w:themeColor="text1"/>
                <w:sz w:val="24"/>
                <w:szCs w:val="24"/>
                <w:highlight w:val="none"/>
                <w:lang w:val="zh-CN"/>
              </w:rPr>
            </w:pPr>
            <w:r>
              <w:rPr>
                <w:rFonts w:hint="eastAsia" w:ascii="宋体" w:hAnsi="宋体" w:eastAsia="宋体"/>
                <w:color w:val="000000" w:themeColor="text1"/>
                <w:sz w:val="24"/>
                <w:szCs w:val="24"/>
                <w:highlight w:val="none"/>
                <w:lang w:val="zh-CN"/>
              </w:rPr>
              <w:t>3台</w:t>
            </w:r>
          </w:p>
        </w:tc>
        <w:tc>
          <w:tcPr>
            <w:tcW w:w="625" w:type="pct"/>
            <w:tcBorders>
              <w:top w:val="single" w:color="auto" w:sz="4" w:space="0"/>
              <w:left w:val="single" w:color="auto" w:sz="4" w:space="0"/>
              <w:bottom w:val="single" w:color="auto" w:sz="4" w:space="0"/>
              <w:right w:val="single" w:color="auto" w:sz="4" w:space="0"/>
            </w:tcBorders>
            <w:vAlign w:val="center"/>
          </w:tcPr>
          <w:p w14:paraId="108134FD">
            <w:pPr>
              <w:spacing w:line="360" w:lineRule="auto"/>
              <w:ind w:right="-49"/>
              <w:jc w:val="center"/>
              <w:rPr>
                <w:rFonts w:ascii="宋体" w:hAnsi="宋体" w:eastAsia="宋体"/>
                <w:color w:val="000000" w:themeColor="text1"/>
                <w:sz w:val="24"/>
                <w:szCs w:val="24"/>
                <w:highlight w:val="none"/>
                <w:lang w:val="zh-CN"/>
              </w:rPr>
            </w:pPr>
          </w:p>
        </w:tc>
        <w:tc>
          <w:tcPr>
            <w:tcW w:w="664" w:type="pct"/>
            <w:tcBorders>
              <w:top w:val="single" w:color="auto" w:sz="4" w:space="0"/>
              <w:left w:val="single" w:color="auto" w:sz="4" w:space="0"/>
              <w:bottom w:val="single" w:color="auto" w:sz="4" w:space="0"/>
              <w:right w:val="single" w:color="auto" w:sz="4" w:space="0"/>
            </w:tcBorders>
            <w:vAlign w:val="center"/>
          </w:tcPr>
          <w:p w14:paraId="25D409F5">
            <w:pPr>
              <w:spacing w:line="360" w:lineRule="auto"/>
              <w:ind w:right="-49"/>
              <w:jc w:val="center"/>
              <w:rPr>
                <w:rFonts w:ascii="宋体" w:hAnsi="宋体" w:eastAsia="宋体"/>
                <w:color w:val="000000" w:themeColor="text1"/>
                <w:sz w:val="24"/>
                <w:szCs w:val="24"/>
                <w:highlight w:val="none"/>
                <w:lang w:val="zh-CN"/>
              </w:rPr>
            </w:pPr>
          </w:p>
        </w:tc>
      </w:tr>
      <w:tr w14:paraId="5758A11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334" w:type="pct"/>
            <w:tcBorders>
              <w:top w:val="single" w:color="auto" w:sz="4" w:space="0"/>
              <w:left w:val="single" w:color="auto" w:sz="4" w:space="0"/>
              <w:bottom w:val="single" w:color="auto" w:sz="4" w:space="0"/>
              <w:right w:val="single" w:color="auto" w:sz="4" w:space="0"/>
            </w:tcBorders>
            <w:vAlign w:val="center"/>
          </w:tcPr>
          <w:p w14:paraId="27D579F5">
            <w:pPr>
              <w:spacing w:line="360" w:lineRule="auto"/>
              <w:ind w:left="-57" w:right="-57"/>
              <w:jc w:val="center"/>
              <w:rPr>
                <w:rFonts w:ascii="宋体" w:hAnsi="宋体" w:eastAsia="宋体" w:cs="仿宋"/>
                <w:color w:val="000000" w:themeColor="text1"/>
                <w:sz w:val="24"/>
                <w:szCs w:val="24"/>
                <w:highlight w:val="none"/>
              </w:rPr>
            </w:pPr>
            <w:r>
              <w:rPr>
                <w:rFonts w:hint="eastAsia" w:ascii="宋体" w:hAnsi="宋体" w:eastAsia="宋体" w:cs="仿宋"/>
                <w:color w:val="000000" w:themeColor="text1"/>
                <w:sz w:val="24"/>
                <w:szCs w:val="24"/>
                <w:highlight w:val="none"/>
              </w:rPr>
              <w:t>6</w:t>
            </w:r>
          </w:p>
        </w:tc>
        <w:tc>
          <w:tcPr>
            <w:tcW w:w="703" w:type="pct"/>
            <w:tcBorders>
              <w:top w:val="single" w:color="auto" w:sz="4" w:space="0"/>
              <w:left w:val="single" w:color="auto" w:sz="4" w:space="0"/>
              <w:bottom w:val="single" w:color="auto" w:sz="4" w:space="0"/>
              <w:right w:val="single" w:color="auto" w:sz="4" w:space="0"/>
            </w:tcBorders>
            <w:vAlign w:val="center"/>
          </w:tcPr>
          <w:p w14:paraId="48D6EF7C">
            <w:pPr>
              <w:tabs>
                <w:tab w:val="left" w:pos="837"/>
              </w:tabs>
              <w:spacing w:line="360" w:lineRule="auto"/>
              <w:ind w:right="-108"/>
              <w:jc w:val="center"/>
              <w:rPr>
                <w:rFonts w:ascii="宋体" w:hAnsi="宋体" w:eastAsia="宋体"/>
                <w:color w:val="000000" w:themeColor="text1"/>
                <w:sz w:val="24"/>
                <w:szCs w:val="24"/>
                <w:highlight w:val="none"/>
                <w:lang w:val="zh-CN"/>
              </w:rPr>
            </w:pPr>
            <w:r>
              <w:rPr>
                <w:rFonts w:hint="eastAsia" w:ascii="宋体" w:hAnsi="宋体" w:eastAsia="宋体"/>
                <w:color w:val="000000" w:themeColor="text1"/>
                <w:sz w:val="24"/>
                <w:szCs w:val="24"/>
                <w:highlight w:val="none"/>
                <w:lang w:val="zh-CN"/>
              </w:rPr>
              <w:t>彩色液晶电视机</w:t>
            </w:r>
          </w:p>
        </w:tc>
        <w:tc>
          <w:tcPr>
            <w:tcW w:w="1250" w:type="pct"/>
            <w:tcBorders>
              <w:top w:val="single" w:color="auto" w:sz="4" w:space="0"/>
              <w:left w:val="single" w:color="auto" w:sz="4" w:space="0"/>
              <w:bottom w:val="single" w:color="auto" w:sz="4" w:space="0"/>
              <w:right w:val="single" w:color="auto" w:sz="4" w:space="0"/>
            </w:tcBorders>
            <w:vAlign w:val="center"/>
          </w:tcPr>
          <w:p w14:paraId="76B25260">
            <w:pPr>
              <w:tabs>
                <w:tab w:val="left" w:pos="837"/>
              </w:tabs>
              <w:spacing w:line="360" w:lineRule="auto"/>
              <w:ind w:right="-108"/>
              <w:jc w:val="center"/>
              <w:rPr>
                <w:rFonts w:ascii="宋体" w:hAnsi="宋体" w:eastAsia="宋体"/>
                <w:color w:val="000000" w:themeColor="text1"/>
                <w:sz w:val="24"/>
                <w:szCs w:val="24"/>
                <w:highlight w:val="none"/>
                <w:lang w:val="zh-CN"/>
              </w:rPr>
            </w:pPr>
          </w:p>
        </w:tc>
        <w:tc>
          <w:tcPr>
            <w:tcW w:w="974" w:type="pct"/>
            <w:tcBorders>
              <w:top w:val="single" w:color="auto" w:sz="4" w:space="0"/>
              <w:left w:val="single" w:color="auto" w:sz="4" w:space="0"/>
              <w:bottom w:val="single" w:color="auto" w:sz="4" w:space="0"/>
              <w:right w:val="single" w:color="auto" w:sz="4" w:space="0"/>
            </w:tcBorders>
            <w:vAlign w:val="center"/>
          </w:tcPr>
          <w:p w14:paraId="2630ABD2">
            <w:pPr>
              <w:tabs>
                <w:tab w:val="left" w:pos="837"/>
              </w:tabs>
              <w:spacing w:line="360" w:lineRule="auto"/>
              <w:ind w:right="-108"/>
              <w:jc w:val="center"/>
              <w:rPr>
                <w:rFonts w:ascii="宋体" w:hAnsi="宋体" w:eastAsia="宋体"/>
                <w:color w:val="000000" w:themeColor="text1"/>
                <w:sz w:val="24"/>
                <w:szCs w:val="24"/>
                <w:highlight w:val="none"/>
                <w:lang w:val="zh-CN"/>
              </w:rPr>
            </w:pPr>
          </w:p>
        </w:tc>
        <w:tc>
          <w:tcPr>
            <w:tcW w:w="450" w:type="pct"/>
            <w:tcBorders>
              <w:top w:val="single" w:color="auto" w:sz="4" w:space="0"/>
              <w:left w:val="single" w:color="auto" w:sz="4" w:space="0"/>
              <w:bottom w:val="single" w:color="auto" w:sz="4" w:space="0"/>
              <w:right w:val="single" w:color="auto" w:sz="4" w:space="0"/>
            </w:tcBorders>
            <w:vAlign w:val="center"/>
          </w:tcPr>
          <w:p w14:paraId="1D1D0B16">
            <w:pPr>
              <w:spacing w:line="360" w:lineRule="auto"/>
              <w:ind w:right="-49"/>
              <w:jc w:val="center"/>
              <w:rPr>
                <w:rFonts w:ascii="宋体" w:hAnsi="宋体" w:eastAsia="宋体"/>
                <w:color w:val="000000" w:themeColor="text1"/>
                <w:sz w:val="24"/>
                <w:szCs w:val="24"/>
                <w:highlight w:val="none"/>
                <w:lang w:val="zh-CN"/>
              </w:rPr>
            </w:pPr>
            <w:r>
              <w:rPr>
                <w:rFonts w:hint="eastAsia" w:ascii="宋体" w:hAnsi="宋体" w:eastAsia="宋体"/>
                <w:color w:val="000000" w:themeColor="text1"/>
                <w:sz w:val="24"/>
                <w:szCs w:val="24"/>
                <w:highlight w:val="none"/>
                <w:lang w:val="zh-CN"/>
              </w:rPr>
              <w:t>2台</w:t>
            </w:r>
          </w:p>
        </w:tc>
        <w:tc>
          <w:tcPr>
            <w:tcW w:w="625" w:type="pct"/>
            <w:tcBorders>
              <w:top w:val="single" w:color="auto" w:sz="4" w:space="0"/>
              <w:left w:val="single" w:color="auto" w:sz="4" w:space="0"/>
              <w:bottom w:val="single" w:color="auto" w:sz="4" w:space="0"/>
              <w:right w:val="single" w:color="auto" w:sz="4" w:space="0"/>
            </w:tcBorders>
            <w:vAlign w:val="center"/>
          </w:tcPr>
          <w:p w14:paraId="3A4E038E">
            <w:pPr>
              <w:spacing w:line="360" w:lineRule="auto"/>
              <w:ind w:right="-49"/>
              <w:jc w:val="center"/>
              <w:rPr>
                <w:rFonts w:ascii="宋体" w:hAnsi="宋体" w:eastAsia="宋体"/>
                <w:color w:val="000000" w:themeColor="text1"/>
                <w:sz w:val="24"/>
                <w:szCs w:val="24"/>
                <w:highlight w:val="none"/>
                <w:lang w:val="zh-CN"/>
              </w:rPr>
            </w:pPr>
          </w:p>
        </w:tc>
        <w:tc>
          <w:tcPr>
            <w:tcW w:w="664" w:type="pct"/>
            <w:tcBorders>
              <w:top w:val="single" w:color="auto" w:sz="4" w:space="0"/>
              <w:left w:val="single" w:color="auto" w:sz="4" w:space="0"/>
              <w:bottom w:val="single" w:color="auto" w:sz="4" w:space="0"/>
              <w:right w:val="single" w:color="auto" w:sz="4" w:space="0"/>
            </w:tcBorders>
            <w:vAlign w:val="center"/>
          </w:tcPr>
          <w:p w14:paraId="23F0F6F2">
            <w:pPr>
              <w:spacing w:line="360" w:lineRule="auto"/>
              <w:ind w:right="-49"/>
              <w:jc w:val="center"/>
              <w:rPr>
                <w:rFonts w:ascii="宋体" w:hAnsi="宋体" w:eastAsia="宋体"/>
                <w:color w:val="000000" w:themeColor="text1"/>
                <w:sz w:val="24"/>
                <w:szCs w:val="24"/>
                <w:highlight w:val="none"/>
                <w:lang w:val="zh-CN"/>
              </w:rPr>
            </w:pPr>
          </w:p>
        </w:tc>
      </w:tr>
      <w:tr w14:paraId="31C6A5B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334" w:type="pct"/>
            <w:tcBorders>
              <w:top w:val="single" w:color="auto" w:sz="4" w:space="0"/>
              <w:left w:val="single" w:color="auto" w:sz="4" w:space="0"/>
              <w:bottom w:val="single" w:color="auto" w:sz="4" w:space="0"/>
              <w:right w:val="single" w:color="auto" w:sz="4" w:space="0"/>
            </w:tcBorders>
            <w:vAlign w:val="center"/>
          </w:tcPr>
          <w:p w14:paraId="4D16D53A">
            <w:pPr>
              <w:spacing w:line="360" w:lineRule="auto"/>
              <w:ind w:left="-57" w:right="-57"/>
              <w:jc w:val="center"/>
              <w:rPr>
                <w:rFonts w:ascii="宋体" w:hAnsi="宋体" w:eastAsia="宋体" w:cs="仿宋"/>
                <w:color w:val="000000" w:themeColor="text1"/>
                <w:sz w:val="24"/>
                <w:szCs w:val="24"/>
                <w:highlight w:val="none"/>
              </w:rPr>
            </w:pPr>
            <w:r>
              <w:rPr>
                <w:rFonts w:hint="eastAsia" w:ascii="宋体" w:hAnsi="宋体" w:eastAsia="宋体" w:cs="仿宋"/>
                <w:color w:val="000000" w:themeColor="text1"/>
                <w:sz w:val="24"/>
                <w:szCs w:val="24"/>
                <w:highlight w:val="none"/>
              </w:rPr>
              <w:t>7</w:t>
            </w:r>
          </w:p>
        </w:tc>
        <w:tc>
          <w:tcPr>
            <w:tcW w:w="703" w:type="pct"/>
            <w:tcBorders>
              <w:top w:val="single" w:color="auto" w:sz="4" w:space="0"/>
              <w:left w:val="single" w:color="auto" w:sz="4" w:space="0"/>
              <w:bottom w:val="single" w:color="auto" w:sz="4" w:space="0"/>
              <w:right w:val="single" w:color="auto" w:sz="4" w:space="0"/>
            </w:tcBorders>
            <w:vAlign w:val="center"/>
          </w:tcPr>
          <w:p w14:paraId="30603CCE">
            <w:pPr>
              <w:tabs>
                <w:tab w:val="left" w:pos="837"/>
              </w:tabs>
              <w:spacing w:line="360" w:lineRule="auto"/>
              <w:ind w:right="-108"/>
              <w:jc w:val="center"/>
              <w:rPr>
                <w:rFonts w:ascii="宋体" w:hAnsi="宋体" w:eastAsia="宋体"/>
                <w:color w:val="000000" w:themeColor="text1"/>
                <w:sz w:val="24"/>
                <w:szCs w:val="24"/>
                <w:highlight w:val="none"/>
                <w:lang w:val="zh-CN"/>
              </w:rPr>
            </w:pPr>
            <w:r>
              <w:rPr>
                <w:rFonts w:hint="eastAsia" w:ascii="宋体" w:hAnsi="宋体" w:eastAsia="宋体"/>
                <w:color w:val="000000" w:themeColor="text1"/>
                <w:sz w:val="24"/>
                <w:szCs w:val="24"/>
                <w:highlight w:val="none"/>
                <w:lang w:val="zh-CN"/>
              </w:rPr>
              <w:t>预警中心基础建设</w:t>
            </w:r>
          </w:p>
        </w:tc>
        <w:tc>
          <w:tcPr>
            <w:tcW w:w="1250" w:type="pct"/>
            <w:tcBorders>
              <w:top w:val="single" w:color="auto" w:sz="4" w:space="0"/>
              <w:left w:val="single" w:color="auto" w:sz="4" w:space="0"/>
              <w:bottom w:val="single" w:color="auto" w:sz="4" w:space="0"/>
              <w:right w:val="single" w:color="auto" w:sz="4" w:space="0"/>
            </w:tcBorders>
            <w:vAlign w:val="center"/>
          </w:tcPr>
          <w:p w14:paraId="5CB667DC">
            <w:pPr>
              <w:tabs>
                <w:tab w:val="left" w:pos="837"/>
              </w:tabs>
              <w:spacing w:line="360" w:lineRule="auto"/>
              <w:ind w:right="-108"/>
              <w:jc w:val="center"/>
              <w:rPr>
                <w:rFonts w:ascii="宋体" w:hAnsi="宋体" w:eastAsia="宋体"/>
                <w:color w:val="000000" w:themeColor="text1"/>
                <w:sz w:val="24"/>
                <w:szCs w:val="24"/>
                <w:highlight w:val="none"/>
                <w:lang w:val="zh-CN"/>
              </w:rPr>
            </w:pPr>
          </w:p>
        </w:tc>
        <w:tc>
          <w:tcPr>
            <w:tcW w:w="974" w:type="pct"/>
            <w:tcBorders>
              <w:top w:val="single" w:color="auto" w:sz="4" w:space="0"/>
              <w:left w:val="single" w:color="auto" w:sz="4" w:space="0"/>
              <w:bottom w:val="single" w:color="auto" w:sz="4" w:space="0"/>
              <w:right w:val="single" w:color="auto" w:sz="4" w:space="0"/>
            </w:tcBorders>
            <w:vAlign w:val="center"/>
          </w:tcPr>
          <w:p w14:paraId="20279577">
            <w:pPr>
              <w:tabs>
                <w:tab w:val="left" w:pos="837"/>
              </w:tabs>
              <w:spacing w:line="360" w:lineRule="auto"/>
              <w:ind w:right="-108"/>
              <w:jc w:val="center"/>
              <w:rPr>
                <w:rFonts w:ascii="宋体" w:hAnsi="宋体" w:eastAsia="宋体"/>
                <w:color w:val="000000" w:themeColor="text1"/>
                <w:sz w:val="24"/>
                <w:szCs w:val="24"/>
                <w:highlight w:val="none"/>
                <w:lang w:val="zh-CN"/>
              </w:rPr>
            </w:pPr>
          </w:p>
        </w:tc>
        <w:tc>
          <w:tcPr>
            <w:tcW w:w="450" w:type="pct"/>
            <w:tcBorders>
              <w:top w:val="single" w:color="auto" w:sz="4" w:space="0"/>
              <w:left w:val="single" w:color="auto" w:sz="4" w:space="0"/>
              <w:bottom w:val="single" w:color="auto" w:sz="4" w:space="0"/>
              <w:right w:val="single" w:color="auto" w:sz="4" w:space="0"/>
            </w:tcBorders>
            <w:vAlign w:val="center"/>
          </w:tcPr>
          <w:p w14:paraId="51083DDF">
            <w:pPr>
              <w:spacing w:line="360" w:lineRule="auto"/>
              <w:ind w:right="-49"/>
              <w:jc w:val="center"/>
              <w:rPr>
                <w:rFonts w:ascii="宋体" w:hAnsi="宋体" w:eastAsia="宋体"/>
                <w:color w:val="000000" w:themeColor="text1"/>
                <w:sz w:val="24"/>
                <w:szCs w:val="24"/>
                <w:highlight w:val="none"/>
                <w:lang w:val="zh-CN"/>
              </w:rPr>
            </w:pPr>
            <w:r>
              <w:rPr>
                <w:rFonts w:hint="eastAsia" w:ascii="宋体" w:hAnsi="宋体" w:eastAsia="宋体"/>
                <w:color w:val="000000" w:themeColor="text1"/>
                <w:sz w:val="24"/>
                <w:szCs w:val="24"/>
                <w:highlight w:val="none"/>
                <w:lang w:val="zh-CN"/>
              </w:rPr>
              <w:t>1项</w:t>
            </w:r>
          </w:p>
        </w:tc>
        <w:tc>
          <w:tcPr>
            <w:tcW w:w="625" w:type="pct"/>
            <w:tcBorders>
              <w:top w:val="single" w:color="auto" w:sz="4" w:space="0"/>
              <w:left w:val="single" w:color="auto" w:sz="4" w:space="0"/>
              <w:bottom w:val="single" w:color="auto" w:sz="4" w:space="0"/>
              <w:right w:val="single" w:color="auto" w:sz="4" w:space="0"/>
            </w:tcBorders>
            <w:vAlign w:val="center"/>
          </w:tcPr>
          <w:p w14:paraId="21BBD310">
            <w:pPr>
              <w:spacing w:line="360" w:lineRule="auto"/>
              <w:ind w:right="-49"/>
              <w:jc w:val="center"/>
              <w:rPr>
                <w:rFonts w:ascii="宋体" w:hAnsi="宋体" w:eastAsia="宋体"/>
                <w:color w:val="000000" w:themeColor="text1"/>
                <w:sz w:val="24"/>
                <w:szCs w:val="24"/>
                <w:highlight w:val="none"/>
                <w:lang w:val="zh-CN"/>
              </w:rPr>
            </w:pPr>
          </w:p>
        </w:tc>
        <w:tc>
          <w:tcPr>
            <w:tcW w:w="664" w:type="pct"/>
            <w:tcBorders>
              <w:top w:val="single" w:color="auto" w:sz="4" w:space="0"/>
              <w:left w:val="single" w:color="auto" w:sz="4" w:space="0"/>
              <w:bottom w:val="single" w:color="auto" w:sz="4" w:space="0"/>
              <w:right w:val="single" w:color="auto" w:sz="4" w:space="0"/>
            </w:tcBorders>
            <w:vAlign w:val="center"/>
          </w:tcPr>
          <w:p w14:paraId="16C3D351">
            <w:pPr>
              <w:spacing w:line="360" w:lineRule="auto"/>
              <w:ind w:right="-49"/>
              <w:jc w:val="center"/>
              <w:rPr>
                <w:rFonts w:ascii="宋体" w:hAnsi="宋体" w:eastAsia="宋体"/>
                <w:color w:val="000000" w:themeColor="text1"/>
                <w:sz w:val="24"/>
                <w:szCs w:val="24"/>
                <w:highlight w:val="none"/>
                <w:lang w:val="zh-CN"/>
              </w:rPr>
            </w:pPr>
          </w:p>
        </w:tc>
      </w:tr>
      <w:tr w14:paraId="410565D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4336" w:type="pct"/>
            <w:gridSpan w:val="6"/>
            <w:tcBorders>
              <w:top w:val="single" w:color="auto" w:sz="4" w:space="0"/>
              <w:left w:val="single" w:color="auto" w:sz="4" w:space="0"/>
              <w:bottom w:val="single" w:color="auto" w:sz="4" w:space="0"/>
              <w:right w:val="single" w:color="auto" w:sz="4" w:space="0"/>
            </w:tcBorders>
            <w:vAlign w:val="center"/>
          </w:tcPr>
          <w:p w14:paraId="178EFCCE">
            <w:pPr>
              <w:spacing w:line="360" w:lineRule="auto"/>
              <w:ind w:right="-49"/>
              <w:jc w:val="center"/>
              <w:rPr>
                <w:rFonts w:ascii="宋体" w:hAnsi="宋体" w:eastAsia="宋体"/>
                <w:color w:val="000000" w:themeColor="text1"/>
                <w:sz w:val="24"/>
                <w:szCs w:val="24"/>
                <w:highlight w:val="none"/>
                <w:lang w:val="zh-CN"/>
              </w:rPr>
            </w:pPr>
            <w:r>
              <w:rPr>
                <w:rFonts w:ascii="宋体" w:hAnsi="宋体" w:eastAsia="宋体" w:cs="仿宋"/>
                <w:color w:val="000000" w:themeColor="text1"/>
                <w:sz w:val="24"/>
                <w:szCs w:val="24"/>
                <w:highlight w:val="none"/>
              </w:rPr>
              <w:t>合计</w:t>
            </w:r>
          </w:p>
        </w:tc>
        <w:tc>
          <w:tcPr>
            <w:tcW w:w="664" w:type="pct"/>
            <w:tcBorders>
              <w:top w:val="single" w:color="auto" w:sz="4" w:space="0"/>
              <w:left w:val="single" w:color="auto" w:sz="4" w:space="0"/>
              <w:bottom w:val="single" w:color="auto" w:sz="4" w:space="0"/>
              <w:right w:val="single" w:color="auto" w:sz="4" w:space="0"/>
            </w:tcBorders>
            <w:vAlign w:val="center"/>
          </w:tcPr>
          <w:p w14:paraId="6002043F">
            <w:pPr>
              <w:spacing w:line="360" w:lineRule="auto"/>
              <w:ind w:right="-49"/>
              <w:jc w:val="center"/>
              <w:rPr>
                <w:rFonts w:ascii="宋体" w:hAnsi="宋体" w:eastAsia="宋体"/>
                <w:color w:val="000000" w:themeColor="text1"/>
                <w:sz w:val="24"/>
                <w:szCs w:val="24"/>
                <w:highlight w:val="none"/>
                <w:lang w:val="zh-CN"/>
              </w:rPr>
            </w:pPr>
          </w:p>
        </w:tc>
      </w:tr>
      <w:tr w14:paraId="1053239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5000" w:type="pct"/>
            <w:gridSpan w:val="7"/>
            <w:tcBorders>
              <w:top w:val="single" w:color="auto" w:sz="4" w:space="0"/>
              <w:left w:val="single" w:color="auto" w:sz="4" w:space="0"/>
              <w:bottom w:val="single" w:color="auto" w:sz="4" w:space="0"/>
              <w:right w:val="single" w:color="auto" w:sz="4" w:space="0"/>
            </w:tcBorders>
            <w:vAlign w:val="center"/>
          </w:tcPr>
          <w:p w14:paraId="5DA695E7">
            <w:pPr>
              <w:spacing w:line="360" w:lineRule="auto"/>
              <w:ind w:right="-50"/>
              <w:rPr>
                <w:rFonts w:ascii="宋体" w:hAnsi="宋体" w:eastAsia="宋体" w:cs="仿宋"/>
                <w:color w:val="000000" w:themeColor="text1"/>
                <w:sz w:val="24"/>
                <w:szCs w:val="24"/>
                <w:highlight w:val="none"/>
              </w:rPr>
            </w:pPr>
            <w:r>
              <w:rPr>
                <w:rFonts w:hint="eastAsia" w:ascii="宋体" w:hAnsi="宋体" w:eastAsia="宋体" w:cs="仿宋"/>
                <w:color w:val="000000" w:themeColor="text1"/>
                <w:sz w:val="24"/>
                <w:szCs w:val="24"/>
                <w:highlight w:val="none"/>
              </w:rPr>
              <w:t>合计总价（大写）：</w:t>
            </w:r>
            <w:r>
              <w:rPr>
                <w:rFonts w:hint="eastAsia" w:ascii="宋体" w:hAnsi="宋体" w:eastAsia="宋体" w:cs="仿宋"/>
                <w:color w:val="000000" w:themeColor="text1"/>
                <w:sz w:val="24"/>
                <w:szCs w:val="24"/>
                <w:highlight w:val="none"/>
                <w:u w:val="single"/>
              </w:rPr>
              <w:t xml:space="preserve">                                   </w:t>
            </w:r>
          </w:p>
          <w:p w14:paraId="7B37947A">
            <w:pPr>
              <w:spacing w:line="360" w:lineRule="auto"/>
              <w:ind w:right="-49" w:firstLine="960" w:firstLineChars="400"/>
              <w:rPr>
                <w:rFonts w:ascii="宋体" w:hAnsi="宋体" w:eastAsia="宋体"/>
                <w:color w:val="000000" w:themeColor="text1"/>
                <w:sz w:val="24"/>
                <w:szCs w:val="24"/>
                <w:highlight w:val="none"/>
                <w:lang w:val="zh-CN"/>
              </w:rPr>
            </w:pPr>
            <w:r>
              <w:rPr>
                <w:rFonts w:hint="eastAsia" w:ascii="宋体" w:hAnsi="宋体" w:eastAsia="宋体" w:cs="仿宋"/>
                <w:color w:val="000000" w:themeColor="text1"/>
                <w:sz w:val="24"/>
                <w:szCs w:val="24"/>
                <w:highlight w:val="none"/>
              </w:rPr>
              <w:t>（小写）：¥</w:t>
            </w:r>
            <w:r>
              <w:rPr>
                <w:rFonts w:hint="eastAsia" w:ascii="宋体" w:hAnsi="宋体" w:eastAsia="宋体" w:cs="仿宋"/>
                <w:color w:val="000000" w:themeColor="text1"/>
                <w:sz w:val="24"/>
                <w:szCs w:val="24"/>
                <w:highlight w:val="none"/>
                <w:u w:val="single"/>
              </w:rPr>
              <w:t xml:space="preserve">         </w:t>
            </w:r>
            <w:r>
              <w:rPr>
                <w:rFonts w:hint="eastAsia" w:ascii="宋体" w:hAnsi="宋体" w:eastAsia="宋体" w:cs="仿宋"/>
                <w:color w:val="000000" w:themeColor="text1"/>
                <w:sz w:val="24"/>
                <w:szCs w:val="24"/>
                <w:highlight w:val="none"/>
              </w:rPr>
              <w:t>元</w:t>
            </w:r>
          </w:p>
        </w:tc>
      </w:tr>
    </w:tbl>
    <w:p w14:paraId="70FEB1E8">
      <w:pPr>
        <w:widowControl/>
        <w:spacing w:line="360" w:lineRule="auto"/>
        <w:jc w:val="left"/>
        <w:rPr>
          <w:rFonts w:ascii="宋体" w:hAnsi="宋体" w:eastAsia="宋体"/>
          <w:b/>
          <w:color w:val="000000" w:themeColor="text1"/>
          <w:sz w:val="24"/>
          <w:szCs w:val="24"/>
          <w:highlight w:val="none"/>
        </w:rPr>
      </w:pPr>
      <w:r>
        <w:rPr>
          <w:rFonts w:ascii="宋体" w:hAnsi="宋体" w:eastAsia="宋体"/>
          <w:b/>
          <w:color w:val="000000" w:themeColor="text1"/>
          <w:sz w:val="24"/>
          <w:szCs w:val="24"/>
          <w:highlight w:val="none"/>
        </w:rPr>
        <w:t>注：本表</w:t>
      </w:r>
      <w:r>
        <w:rPr>
          <w:rFonts w:hint="eastAsia" w:ascii="宋体" w:hAnsi="宋体" w:eastAsia="宋体"/>
          <w:b/>
          <w:color w:val="000000" w:themeColor="text1"/>
          <w:sz w:val="24"/>
          <w:szCs w:val="24"/>
          <w:highlight w:val="none"/>
        </w:rPr>
        <w:t>合计总价</w:t>
      </w:r>
      <w:r>
        <w:rPr>
          <w:rFonts w:ascii="宋体" w:hAnsi="宋体" w:eastAsia="宋体"/>
          <w:b/>
          <w:color w:val="000000" w:themeColor="text1"/>
          <w:sz w:val="24"/>
          <w:szCs w:val="24"/>
          <w:highlight w:val="none"/>
        </w:rPr>
        <w:t>须与开标一览表中</w:t>
      </w:r>
      <w:r>
        <w:rPr>
          <w:rFonts w:hint="eastAsia" w:ascii="宋体" w:hAnsi="宋体" w:eastAsia="宋体"/>
          <w:b/>
          <w:color w:val="000000" w:themeColor="text1"/>
          <w:sz w:val="24"/>
          <w:szCs w:val="24"/>
          <w:highlight w:val="none"/>
        </w:rPr>
        <w:t>投标报价</w:t>
      </w:r>
      <w:r>
        <w:rPr>
          <w:rFonts w:ascii="宋体" w:hAnsi="宋体" w:eastAsia="宋体"/>
          <w:b/>
          <w:color w:val="000000" w:themeColor="text1"/>
          <w:sz w:val="24"/>
          <w:szCs w:val="24"/>
          <w:highlight w:val="none"/>
        </w:rPr>
        <w:t>保持一致。</w:t>
      </w:r>
      <w:r>
        <w:rPr>
          <w:rFonts w:hint="eastAsia" w:ascii="宋体" w:hAnsi="宋体" w:eastAsia="宋体"/>
          <w:b/>
          <w:color w:val="000000" w:themeColor="text1"/>
          <w:sz w:val="24"/>
          <w:szCs w:val="24"/>
          <w:highlight w:val="none"/>
        </w:rPr>
        <w:t>单价不能超过第七章技术要求中的单价限价，超过单价限价的按照符合性审查不合格处理。</w:t>
      </w:r>
    </w:p>
    <w:p w14:paraId="3F4DB225">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投标人名称（公章）：</w:t>
      </w:r>
    </w:p>
    <w:p w14:paraId="4EEA8CF0">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法定代表人或授权代表（签字或盖章）：</w:t>
      </w:r>
    </w:p>
    <w:p w14:paraId="2E1AAF41">
      <w:pPr>
        <w:spacing w:line="360" w:lineRule="auto"/>
        <w:ind w:firstLine="480" w:firstLineChars="200"/>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 xml:space="preserve">日期： </w:t>
      </w:r>
      <w:r>
        <w:rPr>
          <w:rFonts w:ascii="宋体" w:hAnsi="宋体" w:eastAsia="宋体" w:cs="宋体"/>
          <w:color w:val="000000" w:themeColor="text1"/>
          <w:kern w:val="0"/>
          <w:sz w:val="24"/>
          <w:szCs w:val="24"/>
          <w:highlight w:val="none"/>
        </w:rPr>
        <w:t xml:space="preserve">   </w:t>
      </w:r>
      <w:r>
        <w:rPr>
          <w:rFonts w:hint="eastAsia" w:ascii="宋体" w:hAnsi="宋体" w:eastAsia="宋体" w:cs="宋体"/>
          <w:color w:val="000000" w:themeColor="text1"/>
          <w:kern w:val="0"/>
          <w:sz w:val="24"/>
          <w:szCs w:val="24"/>
          <w:highlight w:val="none"/>
        </w:rPr>
        <w:t xml:space="preserve">年 </w:t>
      </w:r>
      <w:r>
        <w:rPr>
          <w:rFonts w:ascii="宋体" w:hAnsi="宋体" w:eastAsia="宋体" w:cs="宋体"/>
          <w:color w:val="000000" w:themeColor="text1"/>
          <w:kern w:val="0"/>
          <w:sz w:val="24"/>
          <w:szCs w:val="24"/>
          <w:highlight w:val="none"/>
        </w:rPr>
        <w:t xml:space="preserve"> </w:t>
      </w:r>
      <w:r>
        <w:rPr>
          <w:rFonts w:hint="eastAsia" w:ascii="宋体" w:hAnsi="宋体" w:eastAsia="宋体" w:cs="宋体"/>
          <w:color w:val="000000" w:themeColor="text1"/>
          <w:kern w:val="0"/>
          <w:sz w:val="24"/>
          <w:szCs w:val="24"/>
          <w:highlight w:val="none"/>
        </w:rPr>
        <w:t xml:space="preserve">月 </w:t>
      </w:r>
      <w:r>
        <w:rPr>
          <w:rFonts w:ascii="宋体" w:hAnsi="宋体" w:eastAsia="宋体" w:cs="宋体"/>
          <w:color w:val="000000" w:themeColor="text1"/>
          <w:kern w:val="0"/>
          <w:sz w:val="24"/>
          <w:szCs w:val="24"/>
          <w:highlight w:val="none"/>
        </w:rPr>
        <w:t xml:space="preserve"> </w:t>
      </w:r>
      <w:r>
        <w:rPr>
          <w:rFonts w:hint="eastAsia" w:ascii="宋体" w:hAnsi="宋体" w:eastAsia="宋体" w:cs="宋体"/>
          <w:color w:val="000000" w:themeColor="text1"/>
          <w:kern w:val="0"/>
          <w:sz w:val="24"/>
          <w:szCs w:val="24"/>
          <w:highlight w:val="none"/>
        </w:rPr>
        <w:t>日</w:t>
      </w:r>
    </w:p>
    <w:p w14:paraId="74775E02">
      <w:pPr>
        <w:widowControl/>
        <w:jc w:val="left"/>
        <w:rPr>
          <w:rFonts w:ascii="宋体" w:hAnsi="宋体" w:eastAsia="宋体" w:cs="宋体"/>
          <w:color w:val="000000" w:themeColor="text1"/>
          <w:kern w:val="0"/>
          <w:sz w:val="24"/>
          <w:szCs w:val="24"/>
          <w:highlight w:val="none"/>
        </w:rPr>
      </w:pPr>
      <w:r>
        <w:rPr>
          <w:rFonts w:ascii="宋体" w:hAnsi="宋体" w:eastAsia="宋体" w:cs="宋体"/>
          <w:color w:val="000000" w:themeColor="text1"/>
          <w:kern w:val="0"/>
          <w:sz w:val="24"/>
          <w:szCs w:val="24"/>
          <w:highlight w:val="none"/>
        </w:rPr>
        <w:br w:type="page"/>
      </w:r>
    </w:p>
    <w:p w14:paraId="1D004CA4">
      <w:pPr>
        <w:spacing w:line="360" w:lineRule="auto"/>
        <w:rPr>
          <w:rFonts w:ascii="宋体" w:hAnsi="宋体" w:eastAsia="宋体"/>
          <w:color w:val="000000" w:themeColor="text1"/>
          <w:sz w:val="24"/>
          <w:szCs w:val="24"/>
          <w:highlight w:val="none"/>
        </w:rPr>
      </w:pPr>
    </w:p>
    <w:p w14:paraId="659EBD92">
      <w:pPr>
        <w:widowControl/>
        <w:spacing w:line="360" w:lineRule="auto"/>
        <w:jc w:val="left"/>
        <w:rPr>
          <w:rFonts w:ascii="宋体" w:hAnsi="宋体" w:eastAsia="宋体" w:cs="宋体"/>
          <w:color w:val="000000" w:themeColor="text1"/>
          <w:kern w:val="0"/>
          <w:sz w:val="24"/>
          <w:szCs w:val="24"/>
          <w:highlight w:val="none"/>
        </w:rPr>
      </w:pPr>
      <w:r>
        <w:rPr>
          <w:rFonts w:ascii="宋体" w:hAnsi="宋体" w:eastAsia="宋体" w:cs="宋体"/>
          <w:b/>
          <w:bCs/>
          <w:color w:val="000000" w:themeColor="text1"/>
          <w:kern w:val="0"/>
          <w:sz w:val="24"/>
          <w:szCs w:val="24"/>
          <w:highlight w:val="none"/>
        </w:rPr>
        <w:t>3</w:t>
      </w:r>
      <w:r>
        <w:rPr>
          <w:rFonts w:hint="eastAsia" w:ascii="宋体" w:hAnsi="宋体" w:eastAsia="宋体" w:cs="宋体"/>
          <w:b/>
          <w:bCs/>
          <w:color w:val="000000" w:themeColor="text1"/>
          <w:kern w:val="0"/>
          <w:sz w:val="24"/>
          <w:szCs w:val="24"/>
          <w:highlight w:val="none"/>
        </w:rPr>
        <w:t>、分项报价表（合同包</w:t>
      </w:r>
      <w:r>
        <w:rPr>
          <w:rFonts w:ascii="宋体" w:hAnsi="宋体" w:eastAsia="宋体" w:cs="宋体"/>
          <w:b/>
          <w:bCs/>
          <w:color w:val="000000" w:themeColor="text1"/>
          <w:kern w:val="0"/>
          <w:sz w:val="24"/>
          <w:szCs w:val="24"/>
          <w:highlight w:val="none"/>
        </w:rPr>
        <w:t>2</w:t>
      </w:r>
      <w:r>
        <w:rPr>
          <w:rFonts w:hint="eastAsia" w:ascii="宋体" w:hAnsi="宋体" w:eastAsia="宋体" w:cs="宋体"/>
          <w:b/>
          <w:bCs/>
          <w:color w:val="000000" w:themeColor="text1"/>
          <w:kern w:val="0"/>
          <w:sz w:val="24"/>
          <w:szCs w:val="24"/>
          <w:highlight w:val="none"/>
        </w:rPr>
        <w:t>使用）</w:t>
      </w:r>
    </w:p>
    <w:p w14:paraId="3AA6E5CE">
      <w:pPr>
        <w:widowControl/>
        <w:spacing w:line="360" w:lineRule="auto"/>
        <w:jc w:val="left"/>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投标人名称：</w:t>
      </w:r>
    </w:p>
    <w:p w14:paraId="5C3FD752">
      <w:pPr>
        <w:widowControl/>
        <w:spacing w:line="360" w:lineRule="auto"/>
        <w:jc w:val="left"/>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项目编号：</w:t>
      </w:r>
    </w:p>
    <w:p w14:paraId="05BD12C2">
      <w:pPr>
        <w:widowControl/>
        <w:spacing w:line="360" w:lineRule="auto"/>
        <w:jc w:val="left"/>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包段名称：合同包2：县级公办中小学地震预警终端和地震烈度速报系统</w:t>
      </w:r>
    </w:p>
    <w:tbl>
      <w:tblPr>
        <w:tblStyle w:val="29"/>
        <w:tblW w:w="5028" w:type="pct"/>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626"/>
        <w:gridCol w:w="1324"/>
        <w:gridCol w:w="2355"/>
        <w:gridCol w:w="1754"/>
        <w:gridCol w:w="850"/>
        <w:gridCol w:w="1179"/>
        <w:gridCol w:w="1251"/>
      </w:tblGrid>
      <w:tr w14:paraId="61D131F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335" w:type="pct"/>
            <w:tcBorders>
              <w:top w:val="single" w:color="auto" w:sz="4" w:space="0"/>
              <w:left w:val="single" w:color="auto" w:sz="4" w:space="0"/>
              <w:bottom w:val="single" w:color="auto" w:sz="4" w:space="0"/>
              <w:right w:val="single" w:color="auto" w:sz="4" w:space="0"/>
            </w:tcBorders>
            <w:vAlign w:val="center"/>
          </w:tcPr>
          <w:p w14:paraId="0424EE1F">
            <w:pPr>
              <w:spacing w:line="360" w:lineRule="auto"/>
              <w:ind w:right="-93"/>
              <w:jc w:val="center"/>
              <w:rPr>
                <w:rFonts w:ascii="宋体" w:hAnsi="宋体" w:eastAsia="宋体"/>
                <w:color w:val="000000" w:themeColor="text1"/>
                <w:sz w:val="24"/>
                <w:szCs w:val="24"/>
                <w:highlight w:val="none"/>
                <w:lang w:val="zh-CN"/>
              </w:rPr>
            </w:pPr>
            <w:r>
              <w:rPr>
                <w:rFonts w:hint="eastAsia" w:ascii="宋体" w:hAnsi="宋体" w:eastAsia="宋体"/>
                <w:color w:val="000000" w:themeColor="text1"/>
                <w:sz w:val="24"/>
                <w:szCs w:val="24"/>
                <w:highlight w:val="none"/>
                <w:lang w:val="zh-CN"/>
              </w:rPr>
              <w:t>序号</w:t>
            </w:r>
          </w:p>
        </w:tc>
        <w:tc>
          <w:tcPr>
            <w:tcW w:w="709" w:type="pct"/>
            <w:tcBorders>
              <w:top w:val="single" w:color="auto" w:sz="4" w:space="0"/>
              <w:left w:val="single" w:color="auto" w:sz="4" w:space="0"/>
              <w:bottom w:val="single" w:color="auto" w:sz="4" w:space="0"/>
              <w:right w:val="single" w:color="auto" w:sz="4" w:space="0"/>
            </w:tcBorders>
            <w:vAlign w:val="center"/>
          </w:tcPr>
          <w:p w14:paraId="209ABC71">
            <w:pPr>
              <w:tabs>
                <w:tab w:val="left" w:pos="837"/>
              </w:tabs>
              <w:spacing w:line="360" w:lineRule="auto"/>
              <w:ind w:right="-108"/>
              <w:jc w:val="center"/>
              <w:rPr>
                <w:rFonts w:ascii="宋体" w:hAnsi="宋体" w:eastAsia="宋体"/>
                <w:color w:val="000000" w:themeColor="text1"/>
                <w:sz w:val="24"/>
                <w:szCs w:val="24"/>
                <w:highlight w:val="none"/>
                <w:lang w:val="zh-CN"/>
              </w:rPr>
            </w:pPr>
            <w:r>
              <w:rPr>
                <w:rFonts w:hint="eastAsia" w:ascii="宋体" w:hAnsi="宋体" w:eastAsia="宋体"/>
                <w:color w:val="000000" w:themeColor="text1"/>
                <w:sz w:val="24"/>
                <w:szCs w:val="24"/>
                <w:highlight w:val="none"/>
                <w:lang w:val="zh-CN"/>
              </w:rPr>
              <w:t>标的名称</w:t>
            </w:r>
          </w:p>
        </w:tc>
        <w:tc>
          <w:tcPr>
            <w:tcW w:w="1261" w:type="pct"/>
            <w:tcBorders>
              <w:top w:val="single" w:color="auto" w:sz="4" w:space="0"/>
              <w:left w:val="single" w:color="auto" w:sz="4" w:space="0"/>
              <w:bottom w:val="single" w:color="auto" w:sz="4" w:space="0"/>
              <w:right w:val="single" w:color="auto" w:sz="4" w:space="0"/>
            </w:tcBorders>
            <w:vAlign w:val="center"/>
          </w:tcPr>
          <w:p w14:paraId="57F72AC3">
            <w:pPr>
              <w:tabs>
                <w:tab w:val="left" w:pos="837"/>
              </w:tabs>
              <w:spacing w:line="360" w:lineRule="auto"/>
              <w:ind w:right="-108"/>
              <w:jc w:val="center"/>
              <w:rPr>
                <w:rFonts w:ascii="宋体" w:hAnsi="宋体" w:eastAsia="宋体"/>
                <w:color w:val="000000" w:themeColor="text1"/>
                <w:sz w:val="24"/>
                <w:szCs w:val="24"/>
                <w:highlight w:val="none"/>
                <w:lang w:val="zh-CN"/>
              </w:rPr>
            </w:pPr>
            <w:r>
              <w:rPr>
                <w:rFonts w:hint="eastAsia" w:ascii="宋体" w:hAnsi="宋体" w:eastAsia="宋体"/>
                <w:color w:val="000000" w:themeColor="text1"/>
                <w:sz w:val="24"/>
                <w:szCs w:val="24"/>
                <w:highlight w:val="none"/>
                <w:lang w:val="zh-CN"/>
              </w:rPr>
              <w:t>设备生产厂商（全称）</w:t>
            </w:r>
          </w:p>
        </w:tc>
        <w:tc>
          <w:tcPr>
            <w:tcW w:w="939" w:type="pct"/>
            <w:tcBorders>
              <w:top w:val="single" w:color="auto" w:sz="4" w:space="0"/>
              <w:left w:val="single" w:color="auto" w:sz="4" w:space="0"/>
              <w:bottom w:val="single" w:color="auto" w:sz="4" w:space="0"/>
              <w:right w:val="single" w:color="auto" w:sz="4" w:space="0"/>
            </w:tcBorders>
            <w:vAlign w:val="center"/>
          </w:tcPr>
          <w:p w14:paraId="39D571DC">
            <w:pPr>
              <w:spacing w:line="360" w:lineRule="auto"/>
              <w:jc w:val="center"/>
              <w:rPr>
                <w:rFonts w:ascii="宋体" w:hAnsi="宋体" w:eastAsia="宋体"/>
                <w:color w:val="000000" w:themeColor="text1"/>
                <w:sz w:val="24"/>
                <w:szCs w:val="24"/>
                <w:highlight w:val="none"/>
                <w:lang w:val="zh-CN"/>
              </w:rPr>
            </w:pPr>
            <w:r>
              <w:rPr>
                <w:rFonts w:ascii="宋体" w:hAnsi="宋体" w:eastAsia="宋体"/>
                <w:color w:val="000000" w:themeColor="text1"/>
                <w:sz w:val="24"/>
                <w:szCs w:val="24"/>
                <w:highlight w:val="none"/>
                <w:lang w:val="zh-CN"/>
              </w:rPr>
              <w:t>技术</w:t>
            </w:r>
            <w:r>
              <w:rPr>
                <w:rFonts w:hint="eastAsia" w:ascii="宋体" w:hAnsi="宋体" w:eastAsia="宋体"/>
                <w:color w:val="000000" w:themeColor="text1"/>
                <w:sz w:val="24"/>
                <w:szCs w:val="24"/>
                <w:highlight w:val="none"/>
                <w:lang w:val="zh-CN"/>
              </w:rPr>
              <w:t>指标</w:t>
            </w:r>
          </w:p>
        </w:tc>
        <w:tc>
          <w:tcPr>
            <w:tcW w:w="455" w:type="pct"/>
            <w:tcBorders>
              <w:top w:val="single" w:color="auto" w:sz="4" w:space="0"/>
              <w:left w:val="single" w:color="auto" w:sz="4" w:space="0"/>
              <w:bottom w:val="single" w:color="auto" w:sz="4" w:space="0"/>
              <w:right w:val="single" w:color="auto" w:sz="4" w:space="0"/>
            </w:tcBorders>
            <w:vAlign w:val="center"/>
          </w:tcPr>
          <w:p w14:paraId="2E60E1CE">
            <w:pPr>
              <w:spacing w:line="360" w:lineRule="auto"/>
              <w:ind w:right="-49"/>
              <w:jc w:val="center"/>
              <w:rPr>
                <w:rFonts w:ascii="宋体" w:hAnsi="宋体" w:eastAsia="宋体"/>
                <w:color w:val="000000" w:themeColor="text1"/>
                <w:sz w:val="24"/>
                <w:szCs w:val="24"/>
                <w:highlight w:val="none"/>
                <w:lang w:val="zh-CN"/>
              </w:rPr>
            </w:pPr>
            <w:r>
              <w:rPr>
                <w:rFonts w:hint="eastAsia" w:ascii="宋体" w:hAnsi="宋体" w:eastAsia="宋体"/>
                <w:color w:val="000000" w:themeColor="text1"/>
                <w:sz w:val="24"/>
                <w:szCs w:val="24"/>
                <w:highlight w:val="none"/>
                <w:lang w:val="zh-CN"/>
              </w:rPr>
              <w:t>数量</w:t>
            </w:r>
          </w:p>
        </w:tc>
        <w:tc>
          <w:tcPr>
            <w:tcW w:w="630" w:type="pct"/>
            <w:tcBorders>
              <w:top w:val="single" w:color="auto" w:sz="4" w:space="0"/>
              <w:left w:val="single" w:color="auto" w:sz="4" w:space="0"/>
              <w:bottom w:val="single" w:color="auto" w:sz="4" w:space="0"/>
              <w:right w:val="single" w:color="auto" w:sz="4" w:space="0"/>
            </w:tcBorders>
            <w:vAlign w:val="center"/>
          </w:tcPr>
          <w:p w14:paraId="3B2F9684">
            <w:pPr>
              <w:spacing w:line="360" w:lineRule="auto"/>
              <w:jc w:val="center"/>
              <w:rPr>
                <w:rFonts w:ascii="宋体" w:hAnsi="宋体" w:eastAsia="宋体"/>
                <w:color w:val="000000" w:themeColor="text1"/>
                <w:sz w:val="24"/>
                <w:szCs w:val="24"/>
                <w:highlight w:val="none"/>
                <w:lang w:val="zh-CN"/>
              </w:rPr>
            </w:pPr>
            <w:r>
              <w:rPr>
                <w:rFonts w:hint="eastAsia" w:ascii="宋体" w:hAnsi="宋体" w:eastAsia="宋体"/>
                <w:color w:val="000000" w:themeColor="text1"/>
                <w:sz w:val="24"/>
                <w:szCs w:val="24"/>
                <w:highlight w:val="none"/>
                <w:lang w:val="zh-CN"/>
              </w:rPr>
              <w:t>单价（元）</w:t>
            </w:r>
          </w:p>
        </w:tc>
        <w:tc>
          <w:tcPr>
            <w:tcW w:w="670" w:type="pct"/>
            <w:tcBorders>
              <w:top w:val="single" w:color="auto" w:sz="4" w:space="0"/>
              <w:left w:val="single" w:color="auto" w:sz="4" w:space="0"/>
              <w:bottom w:val="single" w:color="auto" w:sz="4" w:space="0"/>
              <w:right w:val="single" w:color="auto" w:sz="4" w:space="0"/>
            </w:tcBorders>
            <w:vAlign w:val="center"/>
          </w:tcPr>
          <w:p w14:paraId="6C389680">
            <w:pPr>
              <w:spacing w:line="360" w:lineRule="auto"/>
              <w:jc w:val="center"/>
              <w:rPr>
                <w:rFonts w:ascii="宋体" w:hAnsi="宋体" w:eastAsia="宋体"/>
                <w:color w:val="000000" w:themeColor="text1"/>
                <w:sz w:val="24"/>
                <w:szCs w:val="24"/>
                <w:highlight w:val="none"/>
                <w:lang w:val="zh-CN"/>
              </w:rPr>
            </w:pPr>
            <w:r>
              <w:rPr>
                <w:rFonts w:ascii="宋体" w:hAnsi="宋体" w:eastAsia="宋体"/>
                <w:color w:val="000000" w:themeColor="text1"/>
                <w:sz w:val="24"/>
                <w:szCs w:val="24"/>
                <w:highlight w:val="none"/>
                <w:lang w:val="zh-CN"/>
              </w:rPr>
              <w:t>合价（元）</w:t>
            </w:r>
          </w:p>
        </w:tc>
      </w:tr>
      <w:tr w14:paraId="5F7908E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335" w:type="pct"/>
            <w:tcBorders>
              <w:top w:val="single" w:color="auto" w:sz="4" w:space="0"/>
              <w:left w:val="single" w:color="auto" w:sz="4" w:space="0"/>
              <w:bottom w:val="single" w:color="auto" w:sz="4" w:space="0"/>
              <w:right w:val="single" w:color="auto" w:sz="4" w:space="0"/>
            </w:tcBorders>
            <w:vAlign w:val="center"/>
          </w:tcPr>
          <w:p w14:paraId="011BB86D">
            <w:pPr>
              <w:spacing w:line="360" w:lineRule="auto"/>
              <w:ind w:left="-57" w:right="-57"/>
              <w:jc w:val="center"/>
              <w:rPr>
                <w:rFonts w:ascii="宋体" w:hAnsi="宋体" w:eastAsia="宋体" w:cs="仿宋"/>
                <w:color w:val="000000" w:themeColor="text1"/>
                <w:sz w:val="24"/>
                <w:szCs w:val="24"/>
                <w:highlight w:val="none"/>
              </w:rPr>
            </w:pPr>
            <w:r>
              <w:rPr>
                <w:rFonts w:hint="eastAsia" w:ascii="宋体" w:hAnsi="宋体" w:eastAsia="宋体"/>
                <w:color w:val="000000" w:themeColor="text1"/>
                <w:sz w:val="24"/>
                <w:szCs w:val="24"/>
                <w:highlight w:val="none"/>
                <w:lang w:val="zh-CN"/>
              </w:rPr>
              <w:t>1</w:t>
            </w:r>
          </w:p>
        </w:tc>
        <w:tc>
          <w:tcPr>
            <w:tcW w:w="709" w:type="pct"/>
            <w:tcBorders>
              <w:top w:val="single" w:color="auto" w:sz="4" w:space="0"/>
              <w:left w:val="single" w:color="auto" w:sz="4" w:space="0"/>
              <w:bottom w:val="single" w:color="auto" w:sz="4" w:space="0"/>
              <w:right w:val="single" w:color="auto" w:sz="4" w:space="0"/>
            </w:tcBorders>
            <w:vAlign w:val="center"/>
          </w:tcPr>
          <w:p w14:paraId="3EF8A86E">
            <w:pPr>
              <w:tabs>
                <w:tab w:val="left" w:pos="837"/>
              </w:tabs>
              <w:spacing w:line="360" w:lineRule="auto"/>
              <w:ind w:right="-108"/>
              <w:jc w:val="center"/>
              <w:rPr>
                <w:rFonts w:ascii="宋体" w:hAnsi="宋体" w:eastAsia="宋体"/>
                <w:color w:val="000000" w:themeColor="text1"/>
                <w:sz w:val="24"/>
                <w:szCs w:val="24"/>
                <w:highlight w:val="none"/>
                <w:lang w:val="zh-CN"/>
              </w:rPr>
            </w:pPr>
            <w:r>
              <w:rPr>
                <w:rFonts w:hint="eastAsia" w:ascii="宋体" w:hAnsi="宋体" w:eastAsia="宋体"/>
                <w:color w:val="000000" w:themeColor="text1"/>
                <w:sz w:val="24"/>
                <w:szCs w:val="24"/>
                <w:highlight w:val="none"/>
                <w:lang w:val="zh-CN"/>
              </w:rPr>
              <w:t>地震预警终端</w:t>
            </w:r>
            <w:r>
              <w:rPr>
                <w:rFonts w:ascii="宋体" w:hAnsi="宋体" w:eastAsia="宋体"/>
                <w:color w:val="000000" w:themeColor="text1"/>
                <w:sz w:val="24"/>
                <w:szCs w:val="24"/>
                <w:highlight w:val="none"/>
                <w:lang w:val="zh-CN"/>
              </w:rPr>
              <w:t>1</w:t>
            </w:r>
            <w:r>
              <w:rPr>
                <w:rFonts w:hint="eastAsia" w:ascii="宋体" w:hAnsi="宋体" w:eastAsia="宋体"/>
                <w:color w:val="000000" w:themeColor="text1"/>
                <w:sz w:val="24"/>
                <w:szCs w:val="24"/>
                <w:highlight w:val="none"/>
                <w:lang w:val="zh-CN"/>
              </w:rPr>
              <w:t>（核心产品）</w:t>
            </w:r>
          </w:p>
        </w:tc>
        <w:tc>
          <w:tcPr>
            <w:tcW w:w="1261" w:type="pct"/>
            <w:tcBorders>
              <w:top w:val="single" w:color="auto" w:sz="4" w:space="0"/>
              <w:left w:val="single" w:color="auto" w:sz="4" w:space="0"/>
              <w:bottom w:val="single" w:color="auto" w:sz="4" w:space="0"/>
              <w:right w:val="single" w:color="auto" w:sz="4" w:space="0"/>
            </w:tcBorders>
            <w:vAlign w:val="center"/>
          </w:tcPr>
          <w:p w14:paraId="6E9A67F9">
            <w:pPr>
              <w:spacing w:line="360" w:lineRule="auto"/>
              <w:ind w:right="-64"/>
              <w:jc w:val="center"/>
              <w:rPr>
                <w:rFonts w:ascii="宋体" w:hAnsi="宋体" w:eastAsia="宋体" w:cs="仿宋"/>
                <w:color w:val="000000" w:themeColor="text1"/>
                <w:sz w:val="24"/>
                <w:szCs w:val="24"/>
                <w:highlight w:val="none"/>
              </w:rPr>
            </w:pPr>
          </w:p>
        </w:tc>
        <w:tc>
          <w:tcPr>
            <w:tcW w:w="939" w:type="pct"/>
            <w:tcBorders>
              <w:top w:val="single" w:color="auto" w:sz="4" w:space="0"/>
              <w:left w:val="single" w:color="auto" w:sz="4" w:space="0"/>
              <w:bottom w:val="single" w:color="auto" w:sz="4" w:space="0"/>
              <w:right w:val="single" w:color="auto" w:sz="4" w:space="0"/>
            </w:tcBorders>
            <w:vAlign w:val="center"/>
          </w:tcPr>
          <w:p w14:paraId="5A06F694">
            <w:pPr>
              <w:spacing w:line="360" w:lineRule="auto"/>
              <w:ind w:right="-133"/>
              <w:jc w:val="center"/>
              <w:rPr>
                <w:rFonts w:ascii="宋体" w:hAnsi="宋体" w:eastAsia="宋体" w:cs="仿宋"/>
                <w:color w:val="000000" w:themeColor="text1"/>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vAlign w:val="center"/>
          </w:tcPr>
          <w:p w14:paraId="4B1CFC69">
            <w:pPr>
              <w:spacing w:line="360" w:lineRule="auto"/>
              <w:ind w:right="-49"/>
              <w:jc w:val="center"/>
              <w:rPr>
                <w:rFonts w:ascii="宋体" w:hAnsi="宋体" w:eastAsia="宋体"/>
                <w:color w:val="000000" w:themeColor="text1"/>
                <w:sz w:val="24"/>
                <w:szCs w:val="24"/>
                <w:highlight w:val="none"/>
                <w:lang w:val="zh-CN"/>
              </w:rPr>
            </w:pPr>
            <w:r>
              <w:rPr>
                <w:rFonts w:hint="eastAsia" w:ascii="宋体" w:hAnsi="宋体" w:eastAsia="宋体"/>
                <w:color w:val="000000" w:themeColor="text1"/>
                <w:sz w:val="24"/>
                <w:szCs w:val="24"/>
                <w:highlight w:val="none"/>
                <w:lang w:val="zh-CN"/>
              </w:rPr>
              <w:t>151台</w:t>
            </w:r>
          </w:p>
        </w:tc>
        <w:tc>
          <w:tcPr>
            <w:tcW w:w="630" w:type="pct"/>
            <w:tcBorders>
              <w:top w:val="single" w:color="auto" w:sz="4" w:space="0"/>
              <w:left w:val="single" w:color="auto" w:sz="4" w:space="0"/>
              <w:bottom w:val="single" w:color="auto" w:sz="4" w:space="0"/>
              <w:right w:val="single" w:color="auto" w:sz="4" w:space="0"/>
            </w:tcBorders>
            <w:vAlign w:val="center"/>
          </w:tcPr>
          <w:p w14:paraId="22349465">
            <w:pPr>
              <w:spacing w:line="360" w:lineRule="auto"/>
              <w:ind w:right="-1"/>
              <w:jc w:val="center"/>
              <w:rPr>
                <w:rFonts w:ascii="宋体" w:hAnsi="宋体" w:eastAsia="宋体" w:cs="仿宋"/>
                <w:color w:val="000000" w:themeColor="text1"/>
                <w:sz w:val="24"/>
                <w:szCs w:val="24"/>
                <w:highlight w:val="none"/>
              </w:rPr>
            </w:pPr>
          </w:p>
        </w:tc>
        <w:tc>
          <w:tcPr>
            <w:tcW w:w="670" w:type="pct"/>
            <w:tcBorders>
              <w:top w:val="single" w:color="auto" w:sz="4" w:space="0"/>
              <w:left w:val="single" w:color="auto" w:sz="4" w:space="0"/>
              <w:bottom w:val="single" w:color="auto" w:sz="4" w:space="0"/>
              <w:right w:val="single" w:color="auto" w:sz="4" w:space="0"/>
            </w:tcBorders>
            <w:vAlign w:val="center"/>
          </w:tcPr>
          <w:p w14:paraId="099F8FEA">
            <w:pPr>
              <w:spacing w:line="360" w:lineRule="auto"/>
              <w:ind w:right="-1"/>
              <w:jc w:val="center"/>
              <w:rPr>
                <w:rFonts w:ascii="宋体" w:hAnsi="宋体" w:eastAsia="宋体" w:cs="仿宋"/>
                <w:color w:val="000000" w:themeColor="text1"/>
                <w:sz w:val="24"/>
                <w:szCs w:val="24"/>
                <w:highlight w:val="none"/>
              </w:rPr>
            </w:pPr>
          </w:p>
        </w:tc>
      </w:tr>
      <w:tr w14:paraId="6DFB739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335" w:type="pct"/>
            <w:tcBorders>
              <w:top w:val="single" w:color="auto" w:sz="4" w:space="0"/>
              <w:left w:val="single" w:color="auto" w:sz="4" w:space="0"/>
              <w:bottom w:val="single" w:color="auto" w:sz="4" w:space="0"/>
              <w:right w:val="single" w:color="auto" w:sz="4" w:space="0"/>
            </w:tcBorders>
            <w:vAlign w:val="center"/>
          </w:tcPr>
          <w:p w14:paraId="42098F02">
            <w:pPr>
              <w:spacing w:line="360" w:lineRule="auto"/>
              <w:ind w:left="-57" w:right="-57"/>
              <w:jc w:val="center"/>
              <w:rPr>
                <w:rFonts w:ascii="宋体" w:hAnsi="宋体" w:eastAsia="宋体" w:cs="仿宋"/>
                <w:color w:val="000000" w:themeColor="text1"/>
                <w:sz w:val="24"/>
                <w:szCs w:val="24"/>
                <w:highlight w:val="none"/>
              </w:rPr>
            </w:pPr>
            <w:r>
              <w:rPr>
                <w:rFonts w:hint="eastAsia" w:ascii="宋体" w:hAnsi="宋体" w:eastAsia="宋体"/>
                <w:color w:val="000000" w:themeColor="text1"/>
                <w:sz w:val="24"/>
                <w:szCs w:val="24"/>
                <w:highlight w:val="none"/>
                <w:lang w:val="zh-CN"/>
              </w:rPr>
              <w:t>2</w:t>
            </w:r>
          </w:p>
        </w:tc>
        <w:tc>
          <w:tcPr>
            <w:tcW w:w="709" w:type="pct"/>
            <w:tcBorders>
              <w:top w:val="single" w:color="auto" w:sz="4" w:space="0"/>
              <w:left w:val="single" w:color="auto" w:sz="4" w:space="0"/>
              <w:bottom w:val="single" w:color="auto" w:sz="4" w:space="0"/>
              <w:right w:val="single" w:color="auto" w:sz="4" w:space="0"/>
            </w:tcBorders>
            <w:vAlign w:val="center"/>
          </w:tcPr>
          <w:p w14:paraId="524C695E">
            <w:pPr>
              <w:tabs>
                <w:tab w:val="left" w:pos="837"/>
              </w:tabs>
              <w:spacing w:line="360" w:lineRule="auto"/>
              <w:ind w:right="-108"/>
              <w:jc w:val="center"/>
              <w:rPr>
                <w:rFonts w:ascii="宋体" w:hAnsi="宋体" w:eastAsia="宋体"/>
                <w:color w:val="000000" w:themeColor="text1"/>
                <w:sz w:val="24"/>
                <w:szCs w:val="24"/>
                <w:highlight w:val="none"/>
                <w:lang w:val="zh-CN"/>
              </w:rPr>
            </w:pPr>
            <w:r>
              <w:rPr>
                <w:rFonts w:hint="eastAsia" w:ascii="宋体" w:hAnsi="宋体" w:eastAsia="宋体"/>
                <w:color w:val="000000" w:themeColor="text1"/>
                <w:sz w:val="24"/>
                <w:szCs w:val="24"/>
                <w:highlight w:val="none"/>
                <w:lang w:val="zh-CN"/>
              </w:rPr>
              <w:t>地震预警终端</w:t>
            </w:r>
            <w:r>
              <w:rPr>
                <w:rFonts w:ascii="宋体" w:hAnsi="宋体" w:eastAsia="宋体"/>
                <w:color w:val="000000" w:themeColor="text1"/>
                <w:sz w:val="24"/>
                <w:szCs w:val="24"/>
                <w:highlight w:val="none"/>
                <w:lang w:val="zh-CN"/>
              </w:rPr>
              <w:t>2</w:t>
            </w:r>
            <w:r>
              <w:rPr>
                <w:rFonts w:hint="eastAsia" w:ascii="宋体" w:hAnsi="宋体" w:eastAsia="宋体"/>
                <w:color w:val="000000" w:themeColor="text1"/>
                <w:sz w:val="24"/>
                <w:szCs w:val="24"/>
                <w:highlight w:val="none"/>
                <w:lang w:val="zh-CN"/>
              </w:rPr>
              <w:t>（核心产品）</w:t>
            </w:r>
          </w:p>
        </w:tc>
        <w:tc>
          <w:tcPr>
            <w:tcW w:w="1261" w:type="pct"/>
            <w:tcBorders>
              <w:top w:val="single" w:color="auto" w:sz="4" w:space="0"/>
              <w:left w:val="single" w:color="auto" w:sz="4" w:space="0"/>
              <w:bottom w:val="single" w:color="auto" w:sz="4" w:space="0"/>
              <w:right w:val="single" w:color="auto" w:sz="4" w:space="0"/>
            </w:tcBorders>
            <w:vAlign w:val="center"/>
          </w:tcPr>
          <w:p w14:paraId="34B6DD7E">
            <w:pPr>
              <w:spacing w:line="360" w:lineRule="auto"/>
              <w:ind w:right="-64"/>
              <w:jc w:val="center"/>
              <w:rPr>
                <w:rFonts w:ascii="宋体" w:hAnsi="宋体" w:eastAsia="宋体" w:cs="仿宋"/>
                <w:color w:val="000000" w:themeColor="text1"/>
                <w:sz w:val="24"/>
                <w:szCs w:val="24"/>
                <w:highlight w:val="none"/>
              </w:rPr>
            </w:pPr>
          </w:p>
        </w:tc>
        <w:tc>
          <w:tcPr>
            <w:tcW w:w="939" w:type="pct"/>
            <w:tcBorders>
              <w:top w:val="single" w:color="auto" w:sz="4" w:space="0"/>
              <w:left w:val="single" w:color="auto" w:sz="4" w:space="0"/>
              <w:bottom w:val="single" w:color="auto" w:sz="4" w:space="0"/>
              <w:right w:val="single" w:color="auto" w:sz="4" w:space="0"/>
            </w:tcBorders>
            <w:vAlign w:val="center"/>
          </w:tcPr>
          <w:p w14:paraId="286CDB9A">
            <w:pPr>
              <w:spacing w:line="360" w:lineRule="auto"/>
              <w:ind w:right="-133"/>
              <w:jc w:val="center"/>
              <w:rPr>
                <w:rFonts w:ascii="宋体" w:hAnsi="宋体" w:eastAsia="宋体" w:cs="仿宋"/>
                <w:color w:val="000000" w:themeColor="text1"/>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vAlign w:val="center"/>
          </w:tcPr>
          <w:p w14:paraId="141F3112">
            <w:pPr>
              <w:spacing w:line="360" w:lineRule="auto"/>
              <w:ind w:right="-49"/>
              <w:jc w:val="center"/>
              <w:rPr>
                <w:rFonts w:ascii="宋体" w:hAnsi="宋体" w:eastAsia="宋体"/>
                <w:color w:val="000000" w:themeColor="text1"/>
                <w:sz w:val="24"/>
                <w:szCs w:val="24"/>
                <w:highlight w:val="none"/>
                <w:lang w:val="zh-CN"/>
              </w:rPr>
            </w:pPr>
            <w:r>
              <w:rPr>
                <w:rFonts w:hint="eastAsia" w:ascii="宋体" w:hAnsi="宋体" w:eastAsia="宋体"/>
                <w:color w:val="000000" w:themeColor="text1"/>
                <w:sz w:val="24"/>
                <w:szCs w:val="24"/>
                <w:highlight w:val="none"/>
                <w:lang w:val="zh-CN"/>
              </w:rPr>
              <w:t>83台</w:t>
            </w:r>
          </w:p>
        </w:tc>
        <w:tc>
          <w:tcPr>
            <w:tcW w:w="630" w:type="pct"/>
            <w:tcBorders>
              <w:top w:val="single" w:color="auto" w:sz="4" w:space="0"/>
              <w:left w:val="single" w:color="auto" w:sz="4" w:space="0"/>
              <w:bottom w:val="single" w:color="auto" w:sz="4" w:space="0"/>
              <w:right w:val="single" w:color="auto" w:sz="4" w:space="0"/>
            </w:tcBorders>
            <w:vAlign w:val="center"/>
          </w:tcPr>
          <w:p w14:paraId="191B2861">
            <w:pPr>
              <w:spacing w:line="360" w:lineRule="auto"/>
              <w:ind w:right="-1"/>
              <w:jc w:val="center"/>
              <w:rPr>
                <w:rFonts w:ascii="宋体" w:hAnsi="宋体" w:eastAsia="宋体" w:cs="仿宋"/>
                <w:color w:val="000000" w:themeColor="text1"/>
                <w:sz w:val="24"/>
                <w:szCs w:val="24"/>
                <w:highlight w:val="none"/>
              </w:rPr>
            </w:pPr>
          </w:p>
        </w:tc>
        <w:tc>
          <w:tcPr>
            <w:tcW w:w="670" w:type="pct"/>
            <w:tcBorders>
              <w:top w:val="single" w:color="auto" w:sz="4" w:space="0"/>
              <w:left w:val="single" w:color="auto" w:sz="4" w:space="0"/>
              <w:bottom w:val="single" w:color="auto" w:sz="4" w:space="0"/>
              <w:right w:val="single" w:color="auto" w:sz="4" w:space="0"/>
            </w:tcBorders>
            <w:vAlign w:val="center"/>
          </w:tcPr>
          <w:p w14:paraId="1F8A0FA5">
            <w:pPr>
              <w:spacing w:line="360" w:lineRule="auto"/>
              <w:ind w:right="-1"/>
              <w:jc w:val="center"/>
              <w:rPr>
                <w:rFonts w:ascii="宋体" w:hAnsi="宋体" w:eastAsia="宋体" w:cs="仿宋"/>
                <w:color w:val="000000" w:themeColor="text1"/>
                <w:sz w:val="24"/>
                <w:szCs w:val="24"/>
                <w:highlight w:val="none"/>
              </w:rPr>
            </w:pPr>
          </w:p>
        </w:tc>
      </w:tr>
      <w:tr w14:paraId="7E0F3FE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335" w:type="pct"/>
            <w:tcBorders>
              <w:top w:val="single" w:color="auto" w:sz="4" w:space="0"/>
              <w:left w:val="single" w:color="auto" w:sz="4" w:space="0"/>
              <w:bottom w:val="single" w:color="auto" w:sz="4" w:space="0"/>
              <w:right w:val="single" w:color="auto" w:sz="4" w:space="0"/>
            </w:tcBorders>
            <w:vAlign w:val="center"/>
          </w:tcPr>
          <w:p w14:paraId="739ABB4A">
            <w:pPr>
              <w:spacing w:line="360" w:lineRule="auto"/>
              <w:ind w:left="-57" w:right="-57"/>
              <w:jc w:val="center"/>
              <w:rPr>
                <w:rFonts w:ascii="宋体" w:hAnsi="宋体" w:eastAsia="宋体" w:cs="仿宋"/>
                <w:color w:val="000000" w:themeColor="text1"/>
                <w:sz w:val="24"/>
                <w:szCs w:val="24"/>
                <w:highlight w:val="none"/>
              </w:rPr>
            </w:pPr>
            <w:r>
              <w:rPr>
                <w:rFonts w:ascii="宋体" w:hAnsi="宋体" w:eastAsia="宋体" w:cs="仿宋"/>
                <w:color w:val="000000" w:themeColor="text1"/>
                <w:sz w:val="24"/>
                <w:szCs w:val="24"/>
                <w:highlight w:val="none"/>
              </w:rPr>
              <w:t>3</w:t>
            </w:r>
          </w:p>
        </w:tc>
        <w:tc>
          <w:tcPr>
            <w:tcW w:w="709" w:type="pct"/>
            <w:tcBorders>
              <w:top w:val="single" w:color="auto" w:sz="4" w:space="0"/>
              <w:left w:val="single" w:color="auto" w:sz="4" w:space="0"/>
              <w:bottom w:val="single" w:color="auto" w:sz="4" w:space="0"/>
              <w:right w:val="single" w:color="auto" w:sz="4" w:space="0"/>
            </w:tcBorders>
            <w:vAlign w:val="center"/>
          </w:tcPr>
          <w:p w14:paraId="7312B37A">
            <w:pPr>
              <w:tabs>
                <w:tab w:val="left" w:pos="837"/>
              </w:tabs>
              <w:spacing w:line="360" w:lineRule="auto"/>
              <w:ind w:right="-108"/>
              <w:jc w:val="center"/>
              <w:rPr>
                <w:rFonts w:ascii="宋体" w:hAnsi="宋体" w:eastAsia="宋体"/>
                <w:color w:val="000000" w:themeColor="text1"/>
                <w:sz w:val="24"/>
                <w:szCs w:val="24"/>
                <w:highlight w:val="none"/>
                <w:lang w:val="zh-CN"/>
              </w:rPr>
            </w:pPr>
            <w:r>
              <w:rPr>
                <w:rFonts w:hint="eastAsia" w:ascii="宋体" w:hAnsi="宋体" w:eastAsia="宋体"/>
                <w:color w:val="000000" w:themeColor="text1"/>
                <w:sz w:val="24"/>
                <w:szCs w:val="24"/>
                <w:highlight w:val="none"/>
                <w:lang w:val="zh-CN"/>
              </w:rPr>
              <w:t>地震预警大喇叭(核心产品)</w:t>
            </w:r>
          </w:p>
        </w:tc>
        <w:tc>
          <w:tcPr>
            <w:tcW w:w="1261" w:type="pct"/>
            <w:tcBorders>
              <w:top w:val="single" w:color="auto" w:sz="4" w:space="0"/>
              <w:left w:val="single" w:color="auto" w:sz="4" w:space="0"/>
              <w:bottom w:val="single" w:color="auto" w:sz="4" w:space="0"/>
              <w:right w:val="single" w:color="auto" w:sz="4" w:space="0"/>
            </w:tcBorders>
            <w:vAlign w:val="center"/>
          </w:tcPr>
          <w:p w14:paraId="1224E829">
            <w:pPr>
              <w:spacing w:line="360" w:lineRule="auto"/>
              <w:ind w:right="-64"/>
              <w:jc w:val="center"/>
              <w:rPr>
                <w:rFonts w:ascii="宋体" w:hAnsi="宋体" w:eastAsia="宋体" w:cs="仿宋"/>
                <w:color w:val="000000" w:themeColor="text1"/>
                <w:sz w:val="24"/>
                <w:szCs w:val="24"/>
                <w:highlight w:val="none"/>
              </w:rPr>
            </w:pPr>
          </w:p>
        </w:tc>
        <w:tc>
          <w:tcPr>
            <w:tcW w:w="939" w:type="pct"/>
            <w:tcBorders>
              <w:top w:val="single" w:color="auto" w:sz="4" w:space="0"/>
              <w:left w:val="single" w:color="auto" w:sz="4" w:space="0"/>
              <w:bottom w:val="single" w:color="auto" w:sz="4" w:space="0"/>
              <w:right w:val="single" w:color="auto" w:sz="4" w:space="0"/>
            </w:tcBorders>
            <w:vAlign w:val="center"/>
          </w:tcPr>
          <w:p w14:paraId="1F37DAF4">
            <w:pPr>
              <w:spacing w:line="360" w:lineRule="auto"/>
              <w:ind w:right="-133"/>
              <w:jc w:val="center"/>
              <w:rPr>
                <w:rFonts w:ascii="宋体" w:hAnsi="宋体" w:eastAsia="宋体" w:cs="仿宋"/>
                <w:color w:val="000000" w:themeColor="text1"/>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vAlign w:val="center"/>
          </w:tcPr>
          <w:p w14:paraId="762D42C0">
            <w:pPr>
              <w:spacing w:line="360" w:lineRule="auto"/>
              <w:ind w:right="-49"/>
              <w:jc w:val="center"/>
              <w:rPr>
                <w:rFonts w:ascii="宋体" w:hAnsi="宋体" w:eastAsia="宋体"/>
                <w:color w:val="000000" w:themeColor="text1"/>
                <w:sz w:val="24"/>
                <w:szCs w:val="24"/>
                <w:highlight w:val="none"/>
                <w:lang w:val="zh-CN"/>
              </w:rPr>
            </w:pPr>
            <w:r>
              <w:rPr>
                <w:rFonts w:hint="eastAsia" w:ascii="宋体" w:hAnsi="宋体" w:eastAsia="宋体"/>
                <w:color w:val="000000" w:themeColor="text1"/>
                <w:sz w:val="24"/>
                <w:szCs w:val="24"/>
                <w:highlight w:val="none"/>
                <w:lang w:val="zh-CN"/>
              </w:rPr>
              <w:t>258套</w:t>
            </w:r>
          </w:p>
        </w:tc>
        <w:tc>
          <w:tcPr>
            <w:tcW w:w="630" w:type="pct"/>
            <w:tcBorders>
              <w:top w:val="single" w:color="auto" w:sz="4" w:space="0"/>
              <w:left w:val="single" w:color="auto" w:sz="4" w:space="0"/>
              <w:bottom w:val="single" w:color="auto" w:sz="4" w:space="0"/>
              <w:right w:val="single" w:color="auto" w:sz="4" w:space="0"/>
            </w:tcBorders>
            <w:vAlign w:val="center"/>
          </w:tcPr>
          <w:p w14:paraId="5CDD2BF2">
            <w:pPr>
              <w:spacing w:line="360" w:lineRule="auto"/>
              <w:ind w:right="-1"/>
              <w:jc w:val="center"/>
              <w:rPr>
                <w:rFonts w:ascii="宋体" w:hAnsi="宋体" w:eastAsia="宋体" w:cs="仿宋"/>
                <w:color w:val="000000" w:themeColor="text1"/>
                <w:sz w:val="24"/>
                <w:szCs w:val="24"/>
                <w:highlight w:val="none"/>
              </w:rPr>
            </w:pPr>
          </w:p>
        </w:tc>
        <w:tc>
          <w:tcPr>
            <w:tcW w:w="670" w:type="pct"/>
            <w:tcBorders>
              <w:top w:val="single" w:color="auto" w:sz="4" w:space="0"/>
              <w:left w:val="single" w:color="auto" w:sz="4" w:space="0"/>
              <w:bottom w:val="single" w:color="auto" w:sz="4" w:space="0"/>
              <w:right w:val="single" w:color="auto" w:sz="4" w:space="0"/>
            </w:tcBorders>
            <w:vAlign w:val="center"/>
          </w:tcPr>
          <w:p w14:paraId="4790B24B">
            <w:pPr>
              <w:spacing w:line="360" w:lineRule="auto"/>
              <w:ind w:right="-1"/>
              <w:jc w:val="center"/>
              <w:rPr>
                <w:rFonts w:ascii="宋体" w:hAnsi="宋体" w:eastAsia="宋体" w:cs="仿宋"/>
                <w:color w:val="000000" w:themeColor="text1"/>
                <w:sz w:val="24"/>
                <w:szCs w:val="24"/>
                <w:highlight w:val="none"/>
              </w:rPr>
            </w:pPr>
          </w:p>
        </w:tc>
      </w:tr>
      <w:tr w14:paraId="61D0848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335" w:type="pct"/>
            <w:tcBorders>
              <w:top w:val="single" w:color="auto" w:sz="4" w:space="0"/>
              <w:left w:val="single" w:color="auto" w:sz="4" w:space="0"/>
              <w:bottom w:val="single" w:color="auto" w:sz="4" w:space="0"/>
              <w:right w:val="single" w:color="auto" w:sz="4" w:space="0"/>
            </w:tcBorders>
            <w:vAlign w:val="center"/>
          </w:tcPr>
          <w:p w14:paraId="17202E03">
            <w:pPr>
              <w:spacing w:line="360" w:lineRule="auto"/>
              <w:ind w:left="-57" w:right="-57"/>
              <w:jc w:val="center"/>
              <w:rPr>
                <w:rFonts w:ascii="宋体" w:hAnsi="宋体" w:eastAsia="宋体" w:cs="仿宋"/>
                <w:color w:val="000000" w:themeColor="text1"/>
                <w:sz w:val="24"/>
                <w:szCs w:val="24"/>
                <w:highlight w:val="none"/>
              </w:rPr>
            </w:pPr>
            <w:r>
              <w:rPr>
                <w:rFonts w:hint="eastAsia" w:ascii="宋体" w:hAnsi="宋体" w:eastAsia="宋体" w:cs="仿宋"/>
                <w:color w:val="000000" w:themeColor="text1"/>
                <w:sz w:val="24"/>
                <w:szCs w:val="24"/>
                <w:highlight w:val="none"/>
              </w:rPr>
              <w:t>4</w:t>
            </w:r>
          </w:p>
        </w:tc>
        <w:tc>
          <w:tcPr>
            <w:tcW w:w="709" w:type="pct"/>
            <w:tcBorders>
              <w:top w:val="single" w:color="auto" w:sz="4" w:space="0"/>
              <w:left w:val="single" w:color="auto" w:sz="4" w:space="0"/>
              <w:bottom w:val="single" w:color="auto" w:sz="4" w:space="0"/>
              <w:right w:val="single" w:color="auto" w:sz="4" w:space="0"/>
            </w:tcBorders>
            <w:vAlign w:val="center"/>
          </w:tcPr>
          <w:p w14:paraId="58A90BF0">
            <w:pPr>
              <w:tabs>
                <w:tab w:val="left" w:pos="837"/>
              </w:tabs>
              <w:spacing w:line="360" w:lineRule="auto"/>
              <w:ind w:right="-108"/>
              <w:jc w:val="center"/>
              <w:rPr>
                <w:rFonts w:ascii="宋体" w:hAnsi="宋体" w:eastAsia="宋体"/>
                <w:color w:val="000000" w:themeColor="text1"/>
                <w:sz w:val="24"/>
                <w:szCs w:val="24"/>
                <w:highlight w:val="none"/>
                <w:lang w:val="zh-CN"/>
              </w:rPr>
            </w:pPr>
            <w:r>
              <w:rPr>
                <w:rFonts w:hint="eastAsia" w:ascii="宋体" w:hAnsi="宋体" w:eastAsia="宋体"/>
                <w:color w:val="000000" w:themeColor="text1"/>
                <w:sz w:val="24"/>
                <w:szCs w:val="24"/>
                <w:highlight w:val="none"/>
                <w:lang w:val="zh-CN"/>
              </w:rPr>
              <w:t>地震烈度速报系统</w:t>
            </w:r>
          </w:p>
        </w:tc>
        <w:tc>
          <w:tcPr>
            <w:tcW w:w="1261" w:type="pct"/>
            <w:tcBorders>
              <w:top w:val="single" w:color="auto" w:sz="4" w:space="0"/>
              <w:left w:val="single" w:color="auto" w:sz="4" w:space="0"/>
              <w:bottom w:val="single" w:color="auto" w:sz="4" w:space="0"/>
              <w:right w:val="single" w:color="auto" w:sz="4" w:space="0"/>
            </w:tcBorders>
            <w:vAlign w:val="center"/>
          </w:tcPr>
          <w:p w14:paraId="61EFB196">
            <w:pPr>
              <w:spacing w:line="360" w:lineRule="auto"/>
              <w:ind w:right="-64"/>
              <w:jc w:val="center"/>
              <w:rPr>
                <w:rFonts w:ascii="宋体" w:hAnsi="宋体" w:eastAsia="宋体" w:cs="仿宋"/>
                <w:color w:val="000000" w:themeColor="text1"/>
                <w:sz w:val="24"/>
                <w:szCs w:val="24"/>
                <w:highlight w:val="none"/>
              </w:rPr>
            </w:pPr>
          </w:p>
        </w:tc>
        <w:tc>
          <w:tcPr>
            <w:tcW w:w="939" w:type="pct"/>
            <w:tcBorders>
              <w:top w:val="single" w:color="auto" w:sz="4" w:space="0"/>
              <w:left w:val="single" w:color="auto" w:sz="4" w:space="0"/>
              <w:bottom w:val="single" w:color="auto" w:sz="4" w:space="0"/>
              <w:right w:val="single" w:color="auto" w:sz="4" w:space="0"/>
            </w:tcBorders>
            <w:vAlign w:val="center"/>
          </w:tcPr>
          <w:p w14:paraId="655A1707">
            <w:pPr>
              <w:spacing w:line="360" w:lineRule="auto"/>
              <w:ind w:right="-133"/>
              <w:jc w:val="center"/>
              <w:rPr>
                <w:rFonts w:ascii="宋体" w:hAnsi="宋体" w:eastAsia="宋体" w:cs="仿宋"/>
                <w:color w:val="000000" w:themeColor="text1"/>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vAlign w:val="center"/>
          </w:tcPr>
          <w:p w14:paraId="34B6CBB1">
            <w:pPr>
              <w:spacing w:line="360" w:lineRule="auto"/>
              <w:ind w:right="-49"/>
              <w:jc w:val="center"/>
              <w:rPr>
                <w:rFonts w:ascii="宋体" w:hAnsi="宋体" w:eastAsia="宋体"/>
                <w:color w:val="000000" w:themeColor="text1"/>
                <w:sz w:val="24"/>
                <w:szCs w:val="24"/>
                <w:highlight w:val="none"/>
                <w:lang w:val="zh-CN"/>
              </w:rPr>
            </w:pPr>
            <w:r>
              <w:rPr>
                <w:rFonts w:hint="eastAsia" w:ascii="宋体" w:hAnsi="宋体" w:eastAsia="宋体"/>
                <w:color w:val="000000" w:themeColor="text1"/>
                <w:sz w:val="24"/>
                <w:szCs w:val="24"/>
                <w:highlight w:val="none"/>
                <w:lang w:val="zh-CN"/>
              </w:rPr>
              <w:t>1套</w:t>
            </w:r>
          </w:p>
        </w:tc>
        <w:tc>
          <w:tcPr>
            <w:tcW w:w="630" w:type="pct"/>
            <w:tcBorders>
              <w:top w:val="single" w:color="auto" w:sz="4" w:space="0"/>
              <w:left w:val="single" w:color="auto" w:sz="4" w:space="0"/>
              <w:bottom w:val="single" w:color="auto" w:sz="4" w:space="0"/>
              <w:right w:val="single" w:color="auto" w:sz="4" w:space="0"/>
            </w:tcBorders>
            <w:vAlign w:val="center"/>
          </w:tcPr>
          <w:p w14:paraId="0A89238B">
            <w:pPr>
              <w:spacing w:line="360" w:lineRule="auto"/>
              <w:ind w:right="-1"/>
              <w:jc w:val="center"/>
              <w:rPr>
                <w:rFonts w:ascii="宋体" w:hAnsi="宋体" w:eastAsia="宋体" w:cs="仿宋"/>
                <w:color w:val="000000" w:themeColor="text1"/>
                <w:sz w:val="24"/>
                <w:szCs w:val="24"/>
                <w:highlight w:val="none"/>
              </w:rPr>
            </w:pPr>
          </w:p>
        </w:tc>
        <w:tc>
          <w:tcPr>
            <w:tcW w:w="670" w:type="pct"/>
            <w:tcBorders>
              <w:top w:val="single" w:color="auto" w:sz="4" w:space="0"/>
              <w:left w:val="single" w:color="auto" w:sz="4" w:space="0"/>
              <w:bottom w:val="single" w:color="auto" w:sz="4" w:space="0"/>
              <w:right w:val="single" w:color="auto" w:sz="4" w:space="0"/>
            </w:tcBorders>
            <w:vAlign w:val="center"/>
          </w:tcPr>
          <w:p w14:paraId="2CDE9DFA">
            <w:pPr>
              <w:spacing w:line="360" w:lineRule="auto"/>
              <w:ind w:right="-1"/>
              <w:jc w:val="center"/>
              <w:rPr>
                <w:rFonts w:ascii="宋体" w:hAnsi="宋体" w:eastAsia="宋体" w:cs="仿宋"/>
                <w:color w:val="000000" w:themeColor="text1"/>
                <w:sz w:val="24"/>
                <w:szCs w:val="24"/>
                <w:highlight w:val="none"/>
              </w:rPr>
            </w:pPr>
          </w:p>
        </w:tc>
      </w:tr>
      <w:tr w14:paraId="4108E9E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4330" w:type="pct"/>
            <w:gridSpan w:val="6"/>
            <w:tcBorders>
              <w:top w:val="single" w:color="auto" w:sz="4" w:space="0"/>
              <w:left w:val="single" w:color="auto" w:sz="4" w:space="0"/>
              <w:bottom w:val="single" w:color="auto" w:sz="4" w:space="0"/>
              <w:right w:val="single" w:color="auto" w:sz="4" w:space="0"/>
            </w:tcBorders>
            <w:vAlign w:val="center"/>
          </w:tcPr>
          <w:p w14:paraId="281A36D9">
            <w:pPr>
              <w:spacing w:line="360" w:lineRule="auto"/>
              <w:ind w:right="-1"/>
              <w:jc w:val="center"/>
              <w:rPr>
                <w:rFonts w:ascii="宋体" w:hAnsi="宋体" w:eastAsia="宋体" w:cs="仿宋"/>
                <w:color w:val="000000" w:themeColor="text1"/>
                <w:sz w:val="24"/>
                <w:szCs w:val="24"/>
                <w:highlight w:val="none"/>
              </w:rPr>
            </w:pPr>
            <w:r>
              <w:rPr>
                <w:rFonts w:ascii="宋体" w:hAnsi="宋体" w:eastAsia="宋体" w:cs="仿宋"/>
                <w:color w:val="000000" w:themeColor="text1"/>
                <w:sz w:val="24"/>
                <w:szCs w:val="24"/>
                <w:highlight w:val="none"/>
              </w:rPr>
              <w:t>合计</w:t>
            </w:r>
          </w:p>
        </w:tc>
        <w:tc>
          <w:tcPr>
            <w:tcW w:w="670" w:type="pct"/>
            <w:tcBorders>
              <w:top w:val="single" w:color="auto" w:sz="4" w:space="0"/>
              <w:left w:val="single" w:color="auto" w:sz="4" w:space="0"/>
              <w:bottom w:val="single" w:color="auto" w:sz="4" w:space="0"/>
              <w:right w:val="single" w:color="auto" w:sz="4" w:space="0"/>
            </w:tcBorders>
            <w:vAlign w:val="center"/>
          </w:tcPr>
          <w:p w14:paraId="78C320AC">
            <w:pPr>
              <w:spacing w:line="360" w:lineRule="auto"/>
              <w:ind w:right="-1"/>
              <w:jc w:val="center"/>
              <w:rPr>
                <w:rFonts w:ascii="宋体" w:hAnsi="宋体" w:eastAsia="宋体" w:cs="仿宋"/>
                <w:color w:val="000000" w:themeColor="text1"/>
                <w:sz w:val="24"/>
                <w:szCs w:val="24"/>
                <w:highlight w:val="none"/>
              </w:rPr>
            </w:pPr>
          </w:p>
        </w:tc>
      </w:tr>
      <w:tr w14:paraId="7F2FEA5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5000" w:type="pct"/>
            <w:gridSpan w:val="7"/>
            <w:tcBorders>
              <w:top w:val="single" w:color="auto" w:sz="4" w:space="0"/>
              <w:left w:val="single" w:color="auto" w:sz="4" w:space="0"/>
              <w:bottom w:val="single" w:color="auto" w:sz="4" w:space="0"/>
              <w:right w:val="single" w:color="auto" w:sz="4" w:space="0"/>
            </w:tcBorders>
            <w:vAlign w:val="center"/>
          </w:tcPr>
          <w:p w14:paraId="4C25DECF">
            <w:pPr>
              <w:spacing w:line="360" w:lineRule="auto"/>
              <w:ind w:right="-50"/>
              <w:rPr>
                <w:rFonts w:ascii="宋体" w:hAnsi="宋体" w:eastAsia="宋体" w:cs="仿宋"/>
                <w:color w:val="000000" w:themeColor="text1"/>
                <w:sz w:val="24"/>
                <w:szCs w:val="24"/>
                <w:highlight w:val="none"/>
              </w:rPr>
            </w:pPr>
            <w:r>
              <w:rPr>
                <w:rFonts w:hint="eastAsia" w:ascii="宋体" w:hAnsi="宋体" w:eastAsia="宋体" w:cs="仿宋"/>
                <w:color w:val="000000" w:themeColor="text1"/>
                <w:sz w:val="24"/>
                <w:szCs w:val="24"/>
                <w:highlight w:val="none"/>
              </w:rPr>
              <w:t>合计总价（大写）：</w:t>
            </w:r>
            <w:r>
              <w:rPr>
                <w:rFonts w:hint="eastAsia" w:ascii="宋体" w:hAnsi="宋体" w:eastAsia="宋体" w:cs="仿宋"/>
                <w:color w:val="000000" w:themeColor="text1"/>
                <w:sz w:val="24"/>
                <w:szCs w:val="24"/>
                <w:highlight w:val="none"/>
                <w:u w:val="single"/>
              </w:rPr>
              <w:t xml:space="preserve">                                   </w:t>
            </w:r>
          </w:p>
          <w:p w14:paraId="5AFB1E88">
            <w:pPr>
              <w:spacing w:line="360" w:lineRule="auto"/>
              <w:ind w:right="-1" w:firstLine="960" w:firstLineChars="400"/>
              <w:rPr>
                <w:rFonts w:ascii="宋体" w:hAnsi="宋体" w:eastAsia="宋体" w:cs="仿宋"/>
                <w:color w:val="000000" w:themeColor="text1"/>
                <w:sz w:val="24"/>
                <w:szCs w:val="24"/>
                <w:highlight w:val="none"/>
              </w:rPr>
            </w:pPr>
            <w:r>
              <w:rPr>
                <w:rFonts w:hint="eastAsia" w:ascii="宋体" w:hAnsi="宋体" w:eastAsia="宋体" w:cs="仿宋"/>
                <w:color w:val="000000" w:themeColor="text1"/>
                <w:sz w:val="24"/>
                <w:szCs w:val="24"/>
                <w:highlight w:val="none"/>
              </w:rPr>
              <w:t>（小写）：¥</w:t>
            </w:r>
            <w:r>
              <w:rPr>
                <w:rFonts w:hint="eastAsia" w:ascii="宋体" w:hAnsi="宋体" w:eastAsia="宋体" w:cs="仿宋"/>
                <w:color w:val="000000" w:themeColor="text1"/>
                <w:sz w:val="24"/>
                <w:szCs w:val="24"/>
                <w:highlight w:val="none"/>
                <w:u w:val="single"/>
              </w:rPr>
              <w:t xml:space="preserve">         </w:t>
            </w:r>
            <w:r>
              <w:rPr>
                <w:rFonts w:hint="eastAsia" w:ascii="宋体" w:hAnsi="宋体" w:eastAsia="宋体" w:cs="仿宋"/>
                <w:color w:val="000000" w:themeColor="text1"/>
                <w:sz w:val="24"/>
                <w:szCs w:val="24"/>
                <w:highlight w:val="none"/>
              </w:rPr>
              <w:t>元</w:t>
            </w:r>
          </w:p>
        </w:tc>
      </w:tr>
    </w:tbl>
    <w:p w14:paraId="4A1FFCF0">
      <w:pPr>
        <w:widowControl/>
        <w:spacing w:line="360" w:lineRule="auto"/>
        <w:jc w:val="left"/>
        <w:rPr>
          <w:rFonts w:ascii="宋体" w:hAnsi="宋体" w:eastAsia="宋体"/>
          <w:b/>
          <w:color w:val="000000" w:themeColor="text1"/>
          <w:sz w:val="24"/>
          <w:szCs w:val="24"/>
          <w:highlight w:val="none"/>
        </w:rPr>
      </w:pPr>
      <w:r>
        <w:rPr>
          <w:rFonts w:ascii="宋体" w:hAnsi="宋体" w:eastAsia="宋体"/>
          <w:b/>
          <w:color w:val="000000" w:themeColor="text1"/>
          <w:sz w:val="24"/>
          <w:szCs w:val="24"/>
          <w:highlight w:val="none"/>
        </w:rPr>
        <w:t>注：本表</w:t>
      </w:r>
      <w:r>
        <w:rPr>
          <w:rFonts w:hint="eastAsia" w:ascii="宋体" w:hAnsi="宋体" w:eastAsia="宋体"/>
          <w:b/>
          <w:color w:val="000000" w:themeColor="text1"/>
          <w:sz w:val="24"/>
          <w:szCs w:val="24"/>
          <w:highlight w:val="none"/>
        </w:rPr>
        <w:t>合计总价</w:t>
      </w:r>
      <w:r>
        <w:rPr>
          <w:rFonts w:ascii="宋体" w:hAnsi="宋体" w:eastAsia="宋体"/>
          <w:b/>
          <w:color w:val="000000" w:themeColor="text1"/>
          <w:sz w:val="24"/>
          <w:szCs w:val="24"/>
          <w:highlight w:val="none"/>
        </w:rPr>
        <w:t>须与开标一览表中</w:t>
      </w:r>
      <w:r>
        <w:rPr>
          <w:rFonts w:hint="eastAsia" w:ascii="宋体" w:hAnsi="宋体" w:eastAsia="宋体"/>
          <w:b/>
          <w:color w:val="000000" w:themeColor="text1"/>
          <w:sz w:val="24"/>
          <w:szCs w:val="24"/>
          <w:highlight w:val="none"/>
        </w:rPr>
        <w:t>投标报价</w:t>
      </w:r>
      <w:r>
        <w:rPr>
          <w:rFonts w:ascii="宋体" w:hAnsi="宋体" w:eastAsia="宋体"/>
          <w:b/>
          <w:color w:val="000000" w:themeColor="text1"/>
          <w:sz w:val="24"/>
          <w:szCs w:val="24"/>
          <w:highlight w:val="none"/>
        </w:rPr>
        <w:t>保持一致。</w:t>
      </w:r>
      <w:r>
        <w:rPr>
          <w:rFonts w:hint="eastAsia" w:ascii="宋体" w:hAnsi="宋体" w:eastAsia="宋体"/>
          <w:b/>
          <w:color w:val="000000" w:themeColor="text1"/>
          <w:sz w:val="24"/>
          <w:szCs w:val="24"/>
          <w:highlight w:val="none"/>
        </w:rPr>
        <w:t>单价不能超过第七章技术要求中的单价限价，超过单价限价的按照符合性审查不合格处理。</w:t>
      </w:r>
    </w:p>
    <w:p w14:paraId="57AD7CE7">
      <w:pPr>
        <w:widowControl/>
        <w:spacing w:line="360" w:lineRule="auto"/>
        <w:jc w:val="left"/>
        <w:rPr>
          <w:rFonts w:ascii="宋体" w:hAnsi="宋体" w:eastAsia="宋体"/>
          <w:color w:val="000000" w:themeColor="text1"/>
          <w:sz w:val="24"/>
          <w:szCs w:val="24"/>
          <w:highlight w:val="none"/>
        </w:rPr>
      </w:pPr>
    </w:p>
    <w:p w14:paraId="688C3142">
      <w:pPr>
        <w:widowControl/>
        <w:spacing w:line="360" w:lineRule="auto"/>
        <w:jc w:val="left"/>
        <w:rPr>
          <w:rFonts w:ascii="宋体" w:hAnsi="宋体" w:eastAsia="宋体"/>
          <w:color w:val="000000" w:themeColor="text1"/>
          <w:sz w:val="24"/>
          <w:szCs w:val="24"/>
          <w:highlight w:val="none"/>
        </w:rPr>
      </w:pPr>
    </w:p>
    <w:p w14:paraId="0437917B">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投标人名称（公章）：</w:t>
      </w:r>
    </w:p>
    <w:p w14:paraId="1D4C8235">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法定代表人或授权代表（签字或盖章）：</w:t>
      </w:r>
    </w:p>
    <w:p w14:paraId="0C2D9122">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s="宋体"/>
          <w:color w:val="000000" w:themeColor="text1"/>
          <w:kern w:val="0"/>
          <w:sz w:val="24"/>
          <w:szCs w:val="24"/>
          <w:highlight w:val="none"/>
        </w:rPr>
        <w:t xml:space="preserve">日期： </w:t>
      </w:r>
      <w:r>
        <w:rPr>
          <w:rFonts w:ascii="宋体" w:hAnsi="宋体" w:eastAsia="宋体" w:cs="宋体"/>
          <w:color w:val="000000" w:themeColor="text1"/>
          <w:kern w:val="0"/>
          <w:sz w:val="24"/>
          <w:szCs w:val="24"/>
          <w:highlight w:val="none"/>
        </w:rPr>
        <w:t xml:space="preserve">   </w:t>
      </w:r>
      <w:r>
        <w:rPr>
          <w:rFonts w:hint="eastAsia" w:ascii="宋体" w:hAnsi="宋体" w:eastAsia="宋体" w:cs="宋体"/>
          <w:color w:val="000000" w:themeColor="text1"/>
          <w:kern w:val="0"/>
          <w:sz w:val="24"/>
          <w:szCs w:val="24"/>
          <w:highlight w:val="none"/>
        </w:rPr>
        <w:t xml:space="preserve">年 </w:t>
      </w:r>
      <w:r>
        <w:rPr>
          <w:rFonts w:ascii="宋体" w:hAnsi="宋体" w:eastAsia="宋体" w:cs="宋体"/>
          <w:color w:val="000000" w:themeColor="text1"/>
          <w:kern w:val="0"/>
          <w:sz w:val="24"/>
          <w:szCs w:val="24"/>
          <w:highlight w:val="none"/>
        </w:rPr>
        <w:t xml:space="preserve"> </w:t>
      </w:r>
      <w:r>
        <w:rPr>
          <w:rFonts w:hint="eastAsia" w:ascii="宋体" w:hAnsi="宋体" w:eastAsia="宋体" w:cs="宋体"/>
          <w:color w:val="000000" w:themeColor="text1"/>
          <w:kern w:val="0"/>
          <w:sz w:val="24"/>
          <w:szCs w:val="24"/>
          <w:highlight w:val="none"/>
        </w:rPr>
        <w:t xml:space="preserve">月 </w:t>
      </w:r>
      <w:r>
        <w:rPr>
          <w:rFonts w:ascii="宋体" w:hAnsi="宋体" w:eastAsia="宋体" w:cs="宋体"/>
          <w:color w:val="000000" w:themeColor="text1"/>
          <w:kern w:val="0"/>
          <w:sz w:val="24"/>
          <w:szCs w:val="24"/>
          <w:highlight w:val="none"/>
        </w:rPr>
        <w:t xml:space="preserve"> </w:t>
      </w:r>
      <w:r>
        <w:rPr>
          <w:rFonts w:hint="eastAsia" w:ascii="宋体" w:hAnsi="宋体" w:eastAsia="宋体" w:cs="宋体"/>
          <w:color w:val="000000" w:themeColor="text1"/>
          <w:kern w:val="0"/>
          <w:sz w:val="24"/>
          <w:szCs w:val="24"/>
          <w:highlight w:val="none"/>
        </w:rPr>
        <w:t>日</w:t>
      </w:r>
    </w:p>
    <w:p w14:paraId="226D8F17">
      <w:pPr>
        <w:widowControl/>
        <w:jc w:val="left"/>
        <w:rPr>
          <w:rFonts w:ascii="宋体" w:hAnsi="宋体" w:eastAsia="宋体"/>
          <w:color w:val="000000" w:themeColor="text1"/>
          <w:sz w:val="24"/>
          <w:szCs w:val="24"/>
          <w:highlight w:val="none"/>
        </w:rPr>
      </w:pPr>
      <w:r>
        <w:rPr>
          <w:rFonts w:ascii="宋体" w:hAnsi="宋体" w:eastAsia="宋体"/>
          <w:color w:val="000000" w:themeColor="text1"/>
          <w:sz w:val="24"/>
          <w:szCs w:val="24"/>
          <w:highlight w:val="none"/>
        </w:rPr>
        <w:br w:type="page"/>
      </w:r>
    </w:p>
    <w:p w14:paraId="3DC2262C">
      <w:pPr>
        <w:widowControl/>
        <w:spacing w:line="360" w:lineRule="auto"/>
        <w:jc w:val="left"/>
        <w:rPr>
          <w:rFonts w:ascii="宋体" w:hAnsi="宋体" w:eastAsia="宋体"/>
          <w:color w:val="000000" w:themeColor="text1"/>
          <w:sz w:val="24"/>
          <w:szCs w:val="24"/>
          <w:highlight w:val="none"/>
        </w:rPr>
      </w:pPr>
    </w:p>
    <w:p w14:paraId="05AA5468">
      <w:pPr>
        <w:pStyle w:val="23"/>
        <w:rPr>
          <w:color w:val="000000" w:themeColor="text1"/>
          <w:highlight w:val="none"/>
        </w:rPr>
      </w:pPr>
      <w:r>
        <w:rPr>
          <w:rFonts w:hint="eastAsia"/>
          <w:color w:val="000000" w:themeColor="text1"/>
          <w:highlight w:val="none"/>
        </w:rPr>
        <w:t>六、投标方案说明书</w:t>
      </w:r>
      <w:bookmarkEnd w:id="51"/>
    </w:p>
    <w:p w14:paraId="7274CF5A">
      <w:pPr>
        <w:widowControl/>
        <w:spacing w:line="360" w:lineRule="auto"/>
        <w:ind w:firstLine="480" w:firstLineChars="200"/>
        <w:jc w:val="left"/>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按照招标文件的要求，对“第七章《招标内容及技术要求》”提出的技术参数要求和商务要求进行应答，说明所提供的设备对招标的技术和商务要求是否做出了实质性响应并提供支持文件。并根据“第八章《评审因素量化赋分表》”各条款的要求编制投标方案说明书。</w:t>
      </w:r>
    </w:p>
    <w:p w14:paraId="0643AB08">
      <w:pPr>
        <w:widowControl/>
        <w:spacing w:line="360" w:lineRule="auto"/>
        <w:ind w:firstLine="482" w:firstLineChars="200"/>
        <w:jc w:val="left"/>
        <w:rPr>
          <w:rFonts w:ascii="宋体" w:hAnsi="宋体" w:eastAsia="宋体" w:cs="宋体"/>
          <w:color w:val="000000" w:themeColor="text1"/>
          <w:kern w:val="0"/>
          <w:sz w:val="24"/>
          <w:szCs w:val="24"/>
          <w:highlight w:val="none"/>
        </w:rPr>
      </w:pPr>
      <w:r>
        <w:rPr>
          <w:rFonts w:hint="eastAsia" w:ascii="宋体" w:hAnsi="宋体" w:eastAsia="宋体" w:cs="宋体"/>
          <w:b/>
          <w:bCs/>
          <w:color w:val="000000" w:themeColor="text1"/>
          <w:kern w:val="0"/>
          <w:sz w:val="24"/>
          <w:szCs w:val="24"/>
          <w:highlight w:val="none"/>
        </w:rPr>
        <w:t>说明：后附部分格式，其他内容、格式投标人自行编制。</w:t>
      </w:r>
      <w:r>
        <w:rPr>
          <w:rFonts w:ascii="宋体" w:hAnsi="宋体" w:eastAsia="宋体" w:cs="宋体"/>
          <w:color w:val="000000" w:themeColor="text1"/>
          <w:kern w:val="0"/>
          <w:sz w:val="24"/>
          <w:szCs w:val="24"/>
          <w:highlight w:val="none"/>
        </w:rPr>
        <w:br w:type="page"/>
      </w:r>
    </w:p>
    <w:p w14:paraId="6D0504C8">
      <w:pPr>
        <w:widowControl/>
        <w:spacing w:line="360" w:lineRule="auto"/>
        <w:jc w:val="left"/>
        <w:rPr>
          <w:rFonts w:ascii="宋体" w:hAnsi="宋体" w:eastAsia="宋体"/>
          <w:color w:val="000000" w:themeColor="text1"/>
          <w:sz w:val="24"/>
          <w:szCs w:val="24"/>
          <w:highlight w:val="none"/>
        </w:rPr>
      </w:pPr>
    </w:p>
    <w:p w14:paraId="7495534E">
      <w:pPr>
        <w:widowControl/>
        <w:spacing w:line="360" w:lineRule="auto"/>
        <w:jc w:val="left"/>
        <w:rPr>
          <w:rFonts w:ascii="宋体" w:hAnsi="宋体" w:eastAsia="宋体" w:cs="宋体"/>
          <w:color w:val="000000" w:themeColor="text1"/>
          <w:kern w:val="0"/>
          <w:sz w:val="28"/>
          <w:szCs w:val="28"/>
          <w:highlight w:val="none"/>
        </w:rPr>
      </w:pPr>
      <w:r>
        <w:rPr>
          <w:rFonts w:hint="eastAsia" w:ascii="宋体" w:hAnsi="宋体" w:eastAsia="宋体" w:cs="宋体"/>
          <w:b/>
          <w:bCs/>
          <w:color w:val="000000" w:themeColor="text1"/>
          <w:kern w:val="0"/>
          <w:sz w:val="28"/>
          <w:szCs w:val="28"/>
          <w:highlight w:val="none"/>
        </w:rPr>
        <w:t>格式1</w:t>
      </w:r>
    </w:p>
    <w:p w14:paraId="1FA9D1D9">
      <w:pPr>
        <w:widowControl/>
        <w:spacing w:line="360" w:lineRule="auto"/>
        <w:jc w:val="center"/>
        <w:rPr>
          <w:rFonts w:ascii="宋体" w:hAnsi="宋体" w:eastAsia="宋体" w:cs="宋体"/>
          <w:color w:val="000000" w:themeColor="text1"/>
          <w:kern w:val="0"/>
          <w:sz w:val="28"/>
          <w:szCs w:val="28"/>
          <w:highlight w:val="none"/>
        </w:rPr>
      </w:pPr>
      <w:r>
        <w:rPr>
          <w:rFonts w:hint="eastAsia" w:ascii="宋体" w:hAnsi="宋体" w:eastAsia="宋体" w:cs="宋体"/>
          <w:b/>
          <w:bCs/>
          <w:color w:val="000000" w:themeColor="text1"/>
          <w:kern w:val="0"/>
          <w:sz w:val="28"/>
          <w:szCs w:val="28"/>
          <w:highlight w:val="none"/>
        </w:rPr>
        <w:t>技术偏离表</w:t>
      </w:r>
    </w:p>
    <w:tbl>
      <w:tblPr>
        <w:tblStyle w:val="30"/>
        <w:tblW w:w="496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6"/>
        <w:gridCol w:w="3108"/>
        <w:gridCol w:w="2795"/>
        <w:gridCol w:w="1418"/>
        <w:gridCol w:w="1171"/>
      </w:tblGrid>
      <w:tr w14:paraId="73786B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4" w:type="pct"/>
          </w:tcPr>
          <w:p w14:paraId="50E424B5">
            <w:pPr>
              <w:widowControl/>
              <w:spacing w:line="360" w:lineRule="auto"/>
              <w:jc w:val="center"/>
              <w:rPr>
                <w:rFonts w:ascii="宋体" w:hAnsi="宋体" w:eastAsia="宋体"/>
                <w:color w:val="000000" w:themeColor="text1"/>
                <w:sz w:val="24"/>
                <w:szCs w:val="24"/>
                <w:highlight w:val="none"/>
              </w:rPr>
            </w:pPr>
            <w:r>
              <w:rPr>
                <w:rFonts w:hint="eastAsia" w:ascii="宋体" w:hAnsi="宋体" w:eastAsia="宋体"/>
                <w:b/>
                <w:bCs/>
                <w:color w:val="000000" w:themeColor="text1"/>
                <w:sz w:val="24"/>
                <w:szCs w:val="24"/>
                <w:highlight w:val="none"/>
              </w:rPr>
              <w:t>序号</w:t>
            </w:r>
          </w:p>
        </w:tc>
        <w:tc>
          <w:tcPr>
            <w:tcW w:w="1686" w:type="pct"/>
          </w:tcPr>
          <w:p w14:paraId="5B611A68">
            <w:pPr>
              <w:widowControl/>
              <w:spacing w:line="360" w:lineRule="auto"/>
              <w:jc w:val="center"/>
              <w:rPr>
                <w:rFonts w:ascii="宋体" w:hAnsi="宋体" w:eastAsia="宋体"/>
                <w:color w:val="000000" w:themeColor="text1"/>
                <w:sz w:val="24"/>
                <w:szCs w:val="24"/>
                <w:highlight w:val="none"/>
              </w:rPr>
            </w:pPr>
            <w:r>
              <w:rPr>
                <w:rFonts w:hint="eastAsia" w:ascii="宋体" w:hAnsi="宋体" w:eastAsia="宋体"/>
                <w:b/>
                <w:bCs/>
                <w:color w:val="000000" w:themeColor="text1"/>
                <w:sz w:val="24"/>
                <w:szCs w:val="24"/>
                <w:highlight w:val="none"/>
              </w:rPr>
              <w:t>招标文件技术要求</w:t>
            </w:r>
          </w:p>
        </w:tc>
        <w:tc>
          <w:tcPr>
            <w:tcW w:w="1516" w:type="pct"/>
          </w:tcPr>
          <w:p w14:paraId="373EDBC7">
            <w:pPr>
              <w:widowControl/>
              <w:spacing w:line="360" w:lineRule="auto"/>
              <w:jc w:val="center"/>
              <w:rPr>
                <w:rFonts w:ascii="宋体" w:hAnsi="宋体" w:eastAsia="宋体"/>
                <w:color w:val="000000" w:themeColor="text1"/>
                <w:sz w:val="24"/>
                <w:szCs w:val="24"/>
                <w:highlight w:val="none"/>
              </w:rPr>
            </w:pPr>
            <w:r>
              <w:rPr>
                <w:rFonts w:hint="eastAsia" w:ascii="宋体" w:hAnsi="宋体" w:eastAsia="宋体"/>
                <w:b/>
                <w:bCs/>
                <w:color w:val="000000" w:themeColor="text1"/>
                <w:sz w:val="24"/>
                <w:szCs w:val="24"/>
                <w:highlight w:val="none"/>
              </w:rPr>
              <w:t>投标文件技术响应</w:t>
            </w:r>
          </w:p>
        </w:tc>
        <w:tc>
          <w:tcPr>
            <w:tcW w:w="769" w:type="pct"/>
          </w:tcPr>
          <w:p w14:paraId="01822C86">
            <w:pPr>
              <w:widowControl/>
              <w:spacing w:line="360" w:lineRule="auto"/>
              <w:jc w:val="center"/>
              <w:rPr>
                <w:rFonts w:ascii="宋体" w:hAnsi="宋体" w:eastAsia="宋体"/>
                <w:color w:val="000000" w:themeColor="text1"/>
                <w:sz w:val="24"/>
                <w:szCs w:val="24"/>
                <w:highlight w:val="none"/>
              </w:rPr>
            </w:pPr>
            <w:r>
              <w:rPr>
                <w:rFonts w:hint="eastAsia" w:ascii="宋体" w:hAnsi="宋体" w:eastAsia="宋体"/>
                <w:b/>
                <w:bCs/>
                <w:color w:val="000000" w:themeColor="text1"/>
                <w:sz w:val="24"/>
                <w:szCs w:val="24"/>
                <w:highlight w:val="none"/>
              </w:rPr>
              <w:t>偏差说明</w:t>
            </w:r>
          </w:p>
        </w:tc>
        <w:tc>
          <w:tcPr>
            <w:tcW w:w="636" w:type="pct"/>
          </w:tcPr>
          <w:p w14:paraId="79F2D23D">
            <w:pPr>
              <w:widowControl/>
              <w:spacing w:line="360" w:lineRule="auto"/>
              <w:jc w:val="center"/>
              <w:rPr>
                <w:rFonts w:ascii="宋体" w:hAnsi="宋体" w:eastAsia="宋体"/>
                <w:b/>
                <w:bCs/>
                <w:color w:val="000000" w:themeColor="text1"/>
                <w:sz w:val="24"/>
                <w:szCs w:val="24"/>
                <w:highlight w:val="none"/>
              </w:rPr>
            </w:pPr>
            <w:r>
              <w:rPr>
                <w:rFonts w:hint="eastAsia" w:ascii="宋体" w:hAnsi="宋体" w:eastAsia="宋体"/>
                <w:b/>
                <w:bCs/>
                <w:color w:val="000000" w:themeColor="text1"/>
                <w:sz w:val="24"/>
                <w:szCs w:val="24"/>
                <w:highlight w:val="none"/>
              </w:rPr>
              <w:t>备注</w:t>
            </w:r>
          </w:p>
        </w:tc>
      </w:tr>
      <w:tr w14:paraId="785701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4" w:type="pct"/>
          </w:tcPr>
          <w:p w14:paraId="6DCFE743">
            <w:pPr>
              <w:widowControl/>
              <w:spacing w:line="360" w:lineRule="auto"/>
              <w:jc w:val="center"/>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1</w:t>
            </w:r>
          </w:p>
        </w:tc>
        <w:tc>
          <w:tcPr>
            <w:tcW w:w="1686" w:type="pct"/>
          </w:tcPr>
          <w:p w14:paraId="5BE7E2A9">
            <w:pPr>
              <w:widowControl/>
              <w:spacing w:line="360" w:lineRule="auto"/>
              <w:jc w:val="center"/>
              <w:rPr>
                <w:rFonts w:ascii="宋体" w:hAnsi="宋体" w:eastAsia="宋体"/>
                <w:color w:val="000000" w:themeColor="text1"/>
                <w:sz w:val="24"/>
                <w:szCs w:val="24"/>
                <w:highlight w:val="none"/>
              </w:rPr>
            </w:pPr>
          </w:p>
        </w:tc>
        <w:tc>
          <w:tcPr>
            <w:tcW w:w="1516" w:type="pct"/>
          </w:tcPr>
          <w:p w14:paraId="69EF47D5">
            <w:pPr>
              <w:widowControl/>
              <w:spacing w:line="360" w:lineRule="auto"/>
              <w:jc w:val="center"/>
              <w:rPr>
                <w:rFonts w:ascii="宋体" w:hAnsi="宋体" w:eastAsia="宋体"/>
                <w:color w:val="000000" w:themeColor="text1"/>
                <w:sz w:val="24"/>
                <w:szCs w:val="24"/>
                <w:highlight w:val="none"/>
              </w:rPr>
            </w:pPr>
          </w:p>
        </w:tc>
        <w:tc>
          <w:tcPr>
            <w:tcW w:w="769" w:type="pct"/>
          </w:tcPr>
          <w:p w14:paraId="1BA39970">
            <w:pPr>
              <w:widowControl/>
              <w:spacing w:line="360" w:lineRule="auto"/>
              <w:jc w:val="center"/>
              <w:rPr>
                <w:rFonts w:ascii="宋体" w:hAnsi="宋体" w:eastAsia="宋体"/>
                <w:color w:val="000000" w:themeColor="text1"/>
                <w:sz w:val="24"/>
                <w:szCs w:val="24"/>
                <w:highlight w:val="none"/>
              </w:rPr>
            </w:pPr>
          </w:p>
        </w:tc>
        <w:tc>
          <w:tcPr>
            <w:tcW w:w="636" w:type="pct"/>
          </w:tcPr>
          <w:p w14:paraId="6E42161B">
            <w:pPr>
              <w:widowControl/>
              <w:spacing w:line="360" w:lineRule="auto"/>
              <w:jc w:val="center"/>
              <w:rPr>
                <w:rFonts w:ascii="宋体" w:hAnsi="宋体" w:eastAsia="宋体"/>
                <w:color w:val="000000" w:themeColor="text1"/>
                <w:sz w:val="24"/>
                <w:szCs w:val="24"/>
                <w:highlight w:val="none"/>
              </w:rPr>
            </w:pPr>
          </w:p>
        </w:tc>
      </w:tr>
      <w:tr w14:paraId="7852F8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4" w:type="pct"/>
          </w:tcPr>
          <w:p w14:paraId="3CDD55A2">
            <w:pPr>
              <w:widowControl/>
              <w:spacing w:line="360" w:lineRule="auto"/>
              <w:jc w:val="center"/>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2</w:t>
            </w:r>
          </w:p>
        </w:tc>
        <w:tc>
          <w:tcPr>
            <w:tcW w:w="1686" w:type="pct"/>
          </w:tcPr>
          <w:p w14:paraId="122B0EE2">
            <w:pPr>
              <w:widowControl/>
              <w:spacing w:line="360" w:lineRule="auto"/>
              <w:jc w:val="center"/>
              <w:rPr>
                <w:rFonts w:ascii="宋体" w:hAnsi="宋体" w:eastAsia="宋体"/>
                <w:color w:val="000000" w:themeColor="text1"/>
                <w:sz w:val="24"/>
                <w:szCs w:val="24"/>
                <w:highlight w:val="none"/>
              </w:rPr>
            </w:pPr>
          </w:p>
        </w:tc>
        <w:tc>
          <w:tcPr>
            <w:tcW w:w="1516" w:type="pct"/>
          </w:tcPr>
          <w:p w14:paraId="18E69E37">
            <w:pPr>
              <w:widowControl/>
              <w:spacing w:line="360" w:lineRule="auto"/>
              <w:jc w:val="center"/>
              <w:rPr>
                <w:rFonts w:ascii="宋体" w:hAnsi="宋体" w:eastAsia="宋体"/>
                <w:color w:val="000000" w:themeColor="text1"/>
                <w:sz w:val="24"/>
                <w:szCs w:val="24"/>
                <w:highlight w:val="none"/>
              </w:rPr>
            </w:pPr>
          </w:p>
        </w:tc>
        <w:tc>
          <w:tcPr>
            <w:tcW w:w="769" w:type="pct"/>
          </w:tcPr>
          <w:p w14:paraId="62505A9A">
            <w:pPr>
              <w:widowControl/>
              <w:spacing w:line="360" w:lineRule="auto"/>
              <w:jc w:val="center"/>
              <w:rPr>
                <w:rFonts w:ascii="宋体" w:hAnsi="宋体" w:eastAsia="宋体"/>
                <w:color w:val="000000" w:themeColor="text1"/>
                <w:sz w:val="24"/>
                <w:szCs w:val="24"/>
                <w:highlight w:val="none"/>
              </w:rPr>
            </w:pPr>
          </w:p>
        </w:tc>
        <w:tc>
          <w:tcPr>
            <w:tcW w:w="636" w:type="pct"/>
          </w:tcPr>
          <w:p w14:paraId="3FB0AFBF">
            <w:pPr>
              <w:widowControl/>
              <w:spacing w:line="360" w:lineRule="auto"/>
              <w:jc w:val="center"/>
              <w:rPr>
                <w:rFonts w:ascii="宋体" w:hAnsi="宋体" w:eastAsia="宋体"/>
                <w:color w:val="000000" w:themeColor="text1"/>
                <w:sz w:val="24"/>
                <w:szCs w:val="24"/>
                <w:highlight w:val="none"/>
              </w:rPr>
            </w:pPr>
          </w:p>
        </w:tc>
      </w:tr>
      <w:tr w14:paraId="0815B3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4" w:type="pct"/>
          </w:tcPr>
          <w:p w14:paraId="22068167">
            <w:pPr>
              <w:widowControl/>
              <w:spacing w:line="360" w:lineRule="auto"/>
              <w:jc w:val="center"/>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3</w:t>
            </w:r>
          </w:p>
        </w:tc>
        <w:tc>
          <w:tcPr>
            <w:tcW w:w="1686" w:type="pct"/>
          </w:tcPr>
          <w:p w14:paraId="6E9F1DDD">
            <w:pPr>
              <w:widowControl/>
              <w:spacing w:line="360" w:lineRule="auto"/>
              <w:jc w:val="center"/>
              <w:rPr>
                <w:rFonts w:ascii="宋体" w:hAnsi="宋体" w:eastAsia="宋体"/>
                <w:color w:val="000000" w:themeColor="text1"/>
                <w:sz w:val="24"/>
                <w:szCs w:val="24"/>
                <w:highlight w:val="none"/>
              </w:rPr>
            </w:pPr>
          </w:p>
        </w:tc>
        <w:tc>
          <w:tcPr>
            <w:tcW w:w="1516" w:type="pct"/>
          </w:tcPr>
          <w:p w14:paraId="69499221">
            <w:pPr>
              <w:widowControl/>
              <w:spacing w:line="360" w:lineRule="auto"/>
              <w:jc w:val="center"/>
              <w:rPr>
                <w:rFonts w:ascii="宋体" w:hAnsi="宋体" w:eastAsia="宋体"/>
                <w:color w:val="000000" w:themeColor="text1"/>
                <w:sz w:val="24"/>
                <w:szCs w:val="24"/>
                <w:highlight w:val="none"/>
              </w:rPr>
            </w:pPr>
          </w:p>
        </w:tc>
        <w:tc>
          <w:tcPr>
            <w:tcW w:w="769" w:type="pct"/>
          </w:tcPr>
          <w:p w14:paraId="4677FD17">
            <w:pPr>
              <w:widowControl/>
              <w:spacing w:line="360" w:lineRule="auto"/>
              <w:jc w:val="center"/>
              <w:rPr>
                <w:rFonts w:ascii="宋体" w:hAnsi="宋体" w:eastAsia="宋体"/>
                <w:color w:val="000000" w:themeColor="text1"/>
                <w:sz w:val="24"/>
                <w:szCs w:val="24"/>
                <w:highlight w:val="none"/>
              </w:rPr>
            </w:pPr>
          </w:p>
        </w:tc>
        <w:tc>
          <w:tcPr>
            <w:tcW w:w="636" w:type="pct"/>
          </w:tcPr>
          <w:p w14:paraId="043533ED">
            <w:pPr>
              <w:widowControl/>
              <w:spacing w:line="360" w:lineRule="auto"/>
              <w:jc w:val="center"/>
              <w:rPr>
                <w:rFonts w:ascii="宋体" w:hAnsi="宋体" w:eastAsia="宋体"/>
                <w:color w:val="000000" w:themeColor="text1"/>
                <w:sz w:val="24"/>
                <w:szCs w:val="24"/>
                <w:highlight w:val="none"/>
              </w:rPr>
            </w:pPr>
          </w:p>
        </w:tc>
      </w:tr>
      <w:tr w14:paraId="193D30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4" w:type="pct"/>
          </w:tcPr>
          <w:p w14:paraId="438232FE">
            <w:pPr>
              <w:widowControl/>
              <w:spacing w:line="360" w:lineRule="auto"/>
              <w:jc w:val="center"/>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w:t>
            </w:r>
          </w:p>
        </w:tc>
        <w:tc>
          <w:tcPr>
            <w:tcW w:w="1686" w:type="pct"/>
          </w:tcPr>
          <w:p w14:paraId="74EB0220">
            <w:pPr>
              <w:widowControl/>
              <w:spacing w:line="360" w:lineRule="auto"/>
              <w:jc w:val="center"/>
              <w:rPr>
                <w:rFonts w:ascii="宋体" w:hAnsi="宋体" w:eastAsia="宋体"/>
                <w:color w:val="000000" w:themeColor="text1"/>
                <w:sz w:val="24"/>
                <w:szCs w:val="24"/>
                <w:highlight w:val="none"/>
              </w:rPr>
            </w:pPr>
          </w:p>
        </w:tc>
        <w:tc>
          <w:tcPr>
            <w:tcW w:w="1516" w:type="pct"/>
          </w:tcPr>
          <w:p w14:paraId="76BD8D3E">
            <w:pPr>
              <w:widowControl/>
              <w:spacing w:line="360" w:lineRule="auto"/>
              <w:jc w:val="center"/>
              <w:rPr>
                <w:rFonts w:ascii="宋体" w:hAnsi="宋体" w:eastAsia="宋体"/>
                <w:color w:val="000000" w:themeColor="text1"/>
                <w:sz w:val="24"/>
                <w:szCs w:val="24"/>
                <w:highlight w:val="none"/>
              </w:rPr>
            </w:pPr>
          </w:p>
        </w:tc>
        <w:tc>
          <w:tcPr>
            <w:tcW w:w="769" w:type="pct"/>
          </w:tcPr>
          <w:p w14:paraId="60E07B08">
            <w:pPr>
              <w:widowControl/>
              <w:spacing w:line="360" w:lineRule="auto"/>
              <w:jc w:val="center"/>
              <w:rPr>
                <w:rFonts w:ascii="宋体" w:hAnsi="宋体" w:eastAsia="宋体"/>
                <w:color w:val="000000" w:themeColor="text1"/>
                <w:sz w:val="24"/>
                <w:szCs w:val="24"/>
                <w:highlight w:val="none"/>
              </w:rPr>
            </w:pPr>
          </w:p>
        </w:tc>
        <w:tc>
          <w:tcPr>
            <w:tcW w:w="636" w:type="pct"/>
          </w:tcPr>
          <w:p w14:paraId="1EDCD752">
            <w:pPr>
              <w:widowControl/>
              <w:spacing w:line="360" w:lineRule="auto"/>
              <w:jc w:val="center"/>
              <w:rPr>
                <w:rFonts w:ascii="宋体" w:hAnsi="宋体" w:eastAsia="宋体"/>
                <w:color w:val="000000" w:themeColor="text1"/>
                <w:sz w:val="24"/>
                <w:szCs w:val="24"/>
                <w:highlight w:val="none"/>
              </w:rPr>
            </w:pPr>
          </w:p>
        </w:tc>
      </w:tr>
    </w:tbl>
    <w:p w14:paraId="5B79309A">
      <w:pPr>
        <w:widowControl/>
        <w:spacing w:line="360" w:lineRule="auto"/>
        <w:jc w:val="left"/>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注：1、供应商对第七章招标内容及技术参数要求中的技术要求进行逐条响应说明，在偏差说明列必须注明“完全响应”或“正偏离”或“负偏离”，要求提供佐证材料的，须提供佐证材料并注明佐证材料页码，加“*”号项未提供佐证材料的视为符合性审查不合格，加“</w:t>
      </w:r>
      <w:r>
        <w:rPr>
          <w:rFonts w:hint="eastAsia" w:ascii="宋体" w:hAnsi="宋体" w:eastAsia="宋体"/>
          <w:color w:val="000000" w:themeColor="text1"/>
          <w:sz w:val="24"/>
          <w:szCs w:val="24"/>
          <w:highlight w:val="none"/>
        </w:rPr>
        <w:t>▲</w:t>
      </w:r>
      <w:r>
        <w:rPr>
          <w:rFonts w:hint="eastAsia" w:ascii="宋体" w:hAnsi="宋体" w:eastAsia="宋体" w:cs="宋体"/>
          <w:color w:val="000000" w:themeColor="text1"/>
          <w:kern w:val="0"/>
          <w:sz w:val="24"/>
          <w:szCs w:val="24"/>
          <w:highlight w:val="none"/>
        </w:rPr>
        <w:t>”</w:t>
      </w:r>
      <w:r>
        <w:rPr>
          <w:rFonts w:hint="eastAsia" w:ascii="宋体" w:hAnsi="宋体" w:eastAsia="宋体"/>
          <w:color w:val="000000" w:themeColor="text1"/>
          <w:sz w:val="24"/>
          <w:szCs w:val="24"/>
          <w:highlight w:val="none"/>
        </w:rPr>
        <w:t>号项未提供佐证材料的视为负偏离</w:t>
      </w:r>
      <w:r>
        <w:rPr>
          <w:rFonts w:hint="eastAsia" w:ascii="宋体" w:hAnsi="宋体" w:eastAsia="宋体" w:cs="宋体"/>
          <w:color w:val="000000" w:themeColor="text1"/>
          <w:kern w:val="0"/>
          <w:sz w:val="24"/>
          <w:szCs w:val="24"/>
          <w:highlight w:val="none"/>
        </w:rPr>
        <w:t>。</w:t>
      </w:r>
    </w:p>
    <w:p w14:paraId="534A68F3">
      <w:pPr>
        <w:widowControl/>
        <w:spacing w:line="360" w:lineRule="auto"/>
        <w:ind w:firstLine="480" w:firstLineChars="200"/>
        <w:jc w:val="left"/>
        <w:rPr>
          <w:color w:val="000000" w:themeColor="text1"/>
          <w:highlight w:val="none"/>
        </w:rPr>
      </w:pPr>
      <w:r>
        <w:rPr>
          <w:rFonts w:ascii="Times New Roman" w:hAnsi="Times New Roman" w:eastAsia="宋体" w:cs="Times New Roman"/>
          <w:color w:val="000000" w:themeColor="text1"/>
          <w:kern w:val="0"/>
          <w:sz w:val="24"/>
          <w:szCs w:val="24"/>
          <w:highlight w:val="none"/>
        </w:rPr>
        <w:t>2</w:t>
      </w:r>
      <w:r>
        <w:rPr>
          <w:rFonts w:hint="eastAsia" w:ascii="宋体" w:hAnsi="宋体" w:eastAsia="宋体" w:cs="宋体"/>
          <w:color w:val="000000" w:themeColor="text1"/>
          <w:kern w:val="0"/>
          <w:sz w:val="24"/>
          <w:szCs w:val="24"/>
          <w:highlight w:val="none"/>
        </w:rPr>
        <w:t>、若因供应商填写不真实造成的不利后果和风险，由其自行承担。</w:t>
      </w:r>
    </w:p>
    <w:p w14:paraId="68A9066B">
      <w:pPr>
        <w:widowControl/>
        <w:spacing w:line="360" w:lineRule="auto"/>
        <w:jc w:val="left"/>
        <w:rPr>
          <w:rFonts w:ascii="宋体" w:hAnsi="宋体" w:eastAsia="宋体" w:cs="宋体"/>
          <w:color w:val="000000" w:themeColor="text1"/>
          <w:kern w:val="0"/>
          <w:sz w:val="24"/>
          <w:szCs w:val="24"/>
          <w:highlight w:val="none"/>
        </w:rPr>
      </w:pPr>
    </w:p>
    <w:p w14:paraId="37683666">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投标人名称（公章）：</w:t>
      </w:r>
    </w:p>
    <w:p w14:paraId="33FBC6BD">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法定代表人或授权代表（签字或盖章）：</w:t>
      </w:r>
    </w:p>
    <w:p w14:paraId="5D0418C6">
      <w:pPr>
        <w:spacing w:line="360" w:lineRule="auto"/>
        <w:ind w:firstLine="480" w:firstLineChars="200"/>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 xml:space="preserve">日期： </w:t>
      </w:r>
      <w:r>
        <w:rPr>
          <w:rFonts w:ascii="宋体" w:hAnsi="宋体" w:eastAsia="宋体" w:cs="宋体"/>
          <w:color w:val="000000" w:themeColor="text1"/>
          <w:kern w:val="0"/>
          <w:sz w:val="24"/>
          <w:szCs w:val="24"/>
          <w:highlight w:val="none"/>
        </w:rPr>
        <w:t xml:space="preserve">   </w:t>
      </w:r>
      <w:r>
        <w:rPr>
          <w:rFonts w:hint="eastAsia" w:ascii="宋体" w:hAnsi="宋体" w:eastAsia="宋体" w:cs="宋体"/>
          <w:color w:val="000000" w:themeColor="text1"/>
          <w:kern w:val="0"/>
          <w:sz w:val="24"/>
          <w:szCs w:val="24"/>
          <w:highlight w:val="none"/>
        </w:rPr>
        <w:t xml:space="preserve">年 </w:t>
      </w:r>
      <w:r>
        <w:rPr>
          <w:rFonts w:ascii="宋体" w:hAnsi="宋体" w:eastAsia="宋体" w:cs="宋体"/>
          <w:color w:val="000000" w:themeColor="text1"/>
          <w:kern w:val="0"/>
          <w:sz w:val="24"/>
          <w:szCs w:val="24"/>
          <w:highlight w:val="none"/>
        </w:rPr>
        <w:t xml:space="preserve"> </w:t>
      </w:r>
      <w:r>
        <w:rPr>
          <w:rFonts w:hint="eastAsia" w:ascii="宋体" w:hAnsi="宋体" w:eastAsia="宋体" w:cs="宋体"/>
          <w:color w:val="000000" w:themeColor="text1"/>
          <w:kern w:val="0"/>
          <w:sz w:val="24"/>
          <w:szCs w:val="24"/>
          <w:highlight w:val="none"/>
        </w:rPr>
        <w:t xml:space="preserve">月 </w:t>
      </w:r>
      <w:r>
        <w:rPr>
          <w:rFonts w:ascii="宋体" w:hAnsi="宋体" w:eastAsia="宋体" w:cs="宋体"/>
          <w:color w:val="000000" w:themeColor="text1"/>
          <w:kern w:val="0"/>
          <w:sz w:val="24"/>
          <w:szCs w:val="24"/>
          <w:highlight w:val="none"/>
        </w:rPr>
        <w:t xml:space="preserve"> </w:t>
      </w:r>
      <w:r>
        <w:rPr>
          <w:rFonts w:hint="eastAsia" w:ascii="宋体" w:hAnsi="宋体" w:eastAsia="宋体" w:cs="宋体"/>
          <w:color w:val="000000" w:themeColor="text1"/>
          <w:kern w:val="0"/>
          <w:sz w:val="24"/>
          <w:szCs w:val="24"/>
          <w:highlight w:val="none"/>
        </w:rPr>
        <w:t>日</w:t>
      </w:r>
    </w:p>
    <w:p w14:paraId="01375527">
      <w:pPr>
        <w:widowControl/>
        <w:jc w:val="left"/>
        <w:rPr>
          <w:rFonts w:ascii="宋体" w:hAnsi="宋体" w:eastAsia="宋体" w:cs="宋体"/>
          <w:color w:val="000000" w:themeColor="text1"/>
          <w:kern w:val="0"/>
          <w:sz w:val="24"/>
          <w:szCs w:val="24"/>
          <w:highlight w:val="none"/>
        </w:rPr>
      </w:pPr>
      <w:r>
        <w:rPr>
          <w:rFonts w:ascii="宋体" w:hAnsi="宋体" w:eastAsia="宋体" w:cs="宋体"/>
          <w:color w:val="000000" w:themeColor="text1"/>
          <w:kern w:val="0"/>
          <w:sz w:val="24"/>
          <w:szCs w:val="24"/>
          <w:highlight w:val="none"/>
        </w:rPr>
        <w:br w:type="page"/>
      </w:r>
    </w:p>
    <w:p w14:paraId="42CA57E4">
      <w:pPr>
        <w:widowControl/>
        <w:spacing w:line="360" w:lineRule="auto"/>
        <w:jc w:val="left"/>
        <w:rPr>
          <w:rFonts w:ascii="宋体" w:hAnsi="宋体" w:eastAsia="宋体" w:cs="宋体"/>
          <w:color w:val="000000" w:themeColor="text1"/>
          <w:kern w:val="0"/>
          <w:sz w:val="24"/>
          <w:szCs w:val="24"/>
          <w:highlight w:val="none"/>
        </w:rPr>
      </w:pPr>
    </w:p>
    <w:p w14:paraId="679A8B70">
      <w:pPr>
        <w:widowControl/>
        <w:spacing w:line="360" w:lineRule="auto"/>
        <w:jc w:val="left"/>
        <w:rPr>
          <w:rFonts w:ascii="宋体" w:hAnsi="宋体" w:eastAsia="宋体" w:cs="宋体"/>
          <w:color w:val="000000" w:themeColor="text1"/>
          <w:kern w:val="0"/>
          <w:sz w:val="28"/>
          <w:szCs w:val="28"/>
          <w:highlight w:val="none"/>
        </w:rPr>
      </w:pPr>
      <w:r>
        <w:rPr>
          <w:rFonts w:hint="eastAsia" w:ascii="宋体" w:hAnsi="宋体" w:eastAsia="宋体" w:cs="宋体"/>
          <w:b/>
          <w:bCs/>
          <w:color w:val="000000" w:themeColor="text1"/>
          <w:kern w:val="0"/>
          <w:sz w:val="28"/>
          <w:szCs w:val="28"/>
          <w:highlight w:val="none"/>
        </w:rPr>
        <w:t>格式2</w:t>
      </w:r>
    </w:p>
    <w:p w14:paraId="2EE4232D">
      <w:pPr>
        <w:widowControl/>
        <w:spacing w:line="360" w:lineRule="auto"/>
        <w:jc w:val="center"/>
        <w:rPr>
          <w:rFonts w:ascii="宋体" w:hAnsi="宋体" w:eastAsia="宋体" w:cs="宋体"/>
          <w:color w:val="000000" w:themeColor="text1"/>
          <w:kern w:val="0"/>
          <w:sz w:val="28"/>
          <w:szCs w:val="28"/>
          <w:highlight w:val="none"/>
        </w:rPr>
      </w:pPr>
      <w:r>
        <w:rPr>
          <w:rFonts w:hint="eastAsia" w:ascii="宋体" w:hAnsi="宋体" w:eastAsia="宋体" w:cs="宋体"/>
          <w:b/>
          <w:bCs/>
          <w:color w:val="000000" w:themeColor="text1"/>
          <w:kern w:val="0"/>
          <w:sz w:val="28"/>
          <w:szCs w:val="28"/>
          <w:highlight w:val="none"/>
        </w:rPr>
        <w:t>商务偏离表</w:t>
      </w:r>
    </w:p>
    <w:tbl>
      <w:tblPr>
        <w:tblStyle w:val="3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5"/>
        <w:gridCol w:w="3028"/>
        <w:gridCol w:w="2883"/>
        <w:gridCol w:w="1560"/>
        <w:gridCol w:w="841"/>
      </w:tblGrid>
      <w:tr w14:paraId="4D7D6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pct"/>
          </w:tcPr>
          <w:p w14:paraId="012646E0">
            <w:pPr>
              <w:widowControl/>
              <w:spacing w:line="360" w:lineRule="auto"/>
              <w:jc w:val="center"/>
              <w:rPr>
                <w:rFonts w:ascii="宋体" w:hAnsi="宋体" w:eastAsia="宋体"/>
                <w:color w:val="000000" w:themeColor="text1"/>
                <w:sz w:val="24"/>
                <w:szCs w:val="24"/>
                <w:highlight w:val="none"/>
              </w:rPr>
            </w:pPr>
            <w:r>
              <w:rPr>
                <w:rFonts w:hint="eastAsia" w:ascii="宋体" w:hAnsi="宋体" w:eastAsia="宋体"/>
                <w:b/>
                <w:bCs/>
                <w:color w:val="000000" w:themeColor="text1"/>
                <w:sz w:val="24"/>
                <w:szCs w:val="24"/>
                <w:highlight w:val="none"/>
              </w:rPr>
              <w:t>序号</w:t>
            </w:r>
          </w:p>
        </w:tc>
        <w:tc>
          <w:tcPr>
            <w:tcW w:w="1630" w:type="pct"/>
          </w:tcPr>
          <w:p w14:paraId="3479A477">
            <w:pPr>
              <w:widowControl/>
              <w:spacing w:line="360" w:lineRule="auto"/>
              <w:jc w:val="center"/>
              <w:rPr>
                <w:rFonts w:ascii="宋体" w:hAnsi="宋体" w:eastAsia="宋体"/>
                <w:color w:val="000000" w:themeColor="text1"/>
                <w:sz w:val="24"/>
                <w:szCs w:val="24"/>
                <w:highlight w:val="none"/>
              </w:rPr>
            </w:pPr>
            <w:r>
              <w:rPr>
                <w:rFonts w:hint="eastAsia" w:ascii="宋体" w:hAnsi="宋体" w:eastAsia="宋体"/>
                <w:b/>
                <w:bCs/>
                <w:color w:val="000000" w:themeColor="text1"/>
                <w:sz w:val="24"/>
                <w:szCs w:val="24"/>
                <w:highlight w:val="none"/>
              </w:rPr>
              <w:t>招标文件商务要求</w:t>
            </w:r>
          </w:p>
        </w:tc>
        <w:tc>
          <w:tcPr>
            <w:tcW w:w="1552" w:type="pct"/>
          </w:tcPr>
          <w:p w14:paraId="39A73FB3">
            <w:pPr>
              <w:widowControl/>
              <w:spacing w:line="360" w:lineRule="auto"/>
              <w:jc w:val="center"/>
              <w:rPr>
                <w:rFonts w:ascii="宋体" w:hAnsi="宋体" w:eastAsia="宋体"/>
                <w:color w:val="000000" w:themeColor="text1"/>
                <w:sz w:val="24"/>
                <w:szCs w:val="24"/>
                <w:highlight w:val="none"/>
              </w:rPr>
            </w:pPr>
            <w:r>
              <w:rPr>
                <w:rFonts w:hint="eastAsia" w:ascii="宋体" w:hAnsi="宋体" w:eastAsia="宋体"/>
                <w:b/>
                <w:bCs/>
                <w:color w:val="000000" w:themeColor="text1"/>
                <w:sz w:val="24"/>
                <w:szCs w:val="24"/>
                <w:highlight w:val="none"/>
              </w:rPr>
              <w:t>投标文件商务响应</w:t>
            </w:r>
          </w:p>
        </w:tc>
        <w:tc>
          <w:tcPr>
            <w:tcW w:w="840" w:type="pct"/>
          </w:tcPr>
          <w:p w14:paraId="60438C88">
            <w:pPr>
              <w:widowControl/>
              <w:spacing w:line="360" w:lineRule="auto"/>
              <w:jc w:val="center"/>
              <w:rPr>
                <w:rFonts w:ascii="宋体" w:hAnsi="宋体" w:eastAsia="宋体"/>
                <w:b/>
                <w:bCs/>
                <w:color w:val="000000" w:themeColor="text1"/>
                <w:sz w:val="24"/>
                <w:szCs w:val="24"/>
                <w:highlight w:val="none"/>
              </w:rPr>
            </w:pPr>
            <w:r>
              <w:rPr>
                <w:rFonts w:hint="eastAsia" w:ascii="宋体" w:hAnsi="宋体" w:eastAsia="宋体"/>
                <w:b/>
                <w:bCs/>
                <w:color w:val="000000" w:themeColor="text1"/>
                <w:sz w:val="24"/>
                <w:szCs w:val="24"/>
                <w:highlight w:val="none"/>
              </w:rPr>
              <w:t>偏差说明</w:t>
            </w:r>
          </w:p>
        </w:tc>
        <w:tc>
          <w:tcPr>
            <w:tcW w:w="453" w:type="pct"/>
          </w:tcPr>
          <w:p w14:paraId="1A731F1E">
            <w:pPr>
              <w:widowControl/>
              <w:spacing w:line="360" w:lineRule="auto"/>
              <w:jc w:val="center"/>
              <w:rPr>
                <w:rFonts w:ascii="宋体" w:hAnsi="宋体" w:eastAsia="宋体"/>
                <w:b/>
                <w:bCs/>
                <w:color w:val="000000" w:themeColor="text1"/>
                <w:sz w:val="24"/>
                <w:szCs w:val="24"/>
                <w:highlight w:val="none"/>
              </w:rPr>
            </w:pPr>
            <w:r>
              <w:rPr>
                <w:rFonts w:ascii="宋体" w:hAnsi="宋体" w:eastAsia="宋体"/>
                <w:b/>
                <w:bCs/>
                <w:color w:val="000000" w:themeColor="text1"/>
                <w:sz w:val="24"/>
                <w:szCs w:val="24"/>
                <w:highlight w:val="none"/>
              </w:rPr>
              <w:t>备注</w:t>
            </w:r>
          </w:p>
        </w:tc>
      </w:tr>
      <w:tr w14:paraId="097B73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pct"/>
          </w:tcPr>
          <w:p w14:paraId="603DBEDB">
            <w:pPr>
              <w:widowControl/>
              <w:spacing w:line="360" w:lineRule="auto"/>
              <w:jc w:val="center"/>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1</w:t>
            </w:r>
          </w:p>
        </w:tc>
        <w:tc>
          <w:tcPr>
            <w:tcW w:w="1630" w:type="pct"/>
          </w:tcPr>
          <w:p w14:paraId="3BCFCD1F">
            <w:pPr>
              <w:widowControl/>
              <w:spacing w:line="360" w:lineRule="auto"/>
              <w:jc w:val="center"/>
              <w:rPr>
                <w:rFonts w:ascii="宋体" w:hAnsi="宋体" w:eastAsia="宋体"/>
                <w:color w:val="000000" w:themeColor="text1"/>
                <w:sz w:val="24"/>
                <w:szCs w:val="24"/>
                <w:highlight w:val="none"/>
              </w:rPr>
            </w:pPr>
          </w:p>
        </w:tc>
        <w:tc>
          <w:tcPr>
            <w:tcW w:w="1552" w:type="pct"/>
          </w:tcPr>
          <w:p w14:paraId="2DFCF7E1">
            <w:pPr>
              <w:widowControl/>
              <w:spacing w:line="360" w:lineRule="auto"/>
              <w:jc w:val="center"/>
              <w:rPr>
                <w:rFonts w:ascii="宋体" w:hAnsi="宋体" w:eastAsia="宋体"/>
                <w:color w:val="000000" w:themeColor="text1"/>
                <w:sz w:val="24"/>
                <w:szCs w:val="24"/>
                <w:highlight w:val="none"/>
              </w:rPr>
            </w:pPr>
          </w:p>
        </w:tc>
        <w:tc>
          <w:tcPr>
            <w:tcW w:w="840" w:type="pct"/>
          </w:tcPr>
          <w:p w14:paraId="5CBE2F81">
            <w:pPr>
              <w:widowControl/>
              <w:spacing w:line="360" w:lineRule="auto"/>
              <w:jc w:val="center"/>
              <w:rPr>
                <w:rFonts w:ascii="宋体" w:hAnsi="宋体" w:eastAsia="宋体"/>
                <w:color w:val="000000" w:themeColor="text1"/>
                <w:sz w:val="24"/>
                <w:szCs w:val="24"/>
                <w:highlight w:val="none"/>
              </w:rPr>
            </w:pPr>
          </w:p>
        </w:tc>
        <w:tc>
          <w:tcPr>
            <w:tcW w:w="453" w:type="pct"/>
          </w:tcPr>
          <w:p w14:paraId="07314D9F">
            <w:pPr>
              <w:widowControl/>
              <w:spacing w:line="360" w:lineRule="auto"/>
              <w:jc w:val="center"/>
              <w:rPr>
                <w:rFonts w:ascii="宋体" w:hAnsi="宋体" w:eastAsia="宋体"/>
                <w:color w:val="000000" w:themeColor="text1"/>
                <w:sz w:val="24"/>
                <w:szCs w:val="24"/>
                <w:highlight w:val="none"/>
              </w:rPr>
            </w:pPr>
          </w:p>
        </w:tc>
      </w:tr>
      <w:tr w14:paraId="70FD83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pct"/>
          </w:tcPr>
          <w:p w14:paraId="600ACBD1">
            <w:pPr>
              <w:widowControl/>
              <w:spacing w:line="360" w:lineRule="auto"/>
              <w:jc w:val="center"/>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2</w:t>
            </w:r>
          </w:p>
        </w:tc>
        <w:tc>
          <w:tcPr>
            <w:tcW w:w="1630" w:type="pct"/>
          </w:tcPr>
          <w:p w14:paraId="1939F45C">
            <w:pPr>
              <w:widowControl/>
              <w:spacing w:line="360" w:lineRule="auto"/>
              <w:jc w:val="center"/>
              <w:rPr>
                <w:rFonts w:ascii="宋体" w:hAnsi="宋体" w:eastAsia="宋体"/>
                <w:color w:val="000000" w:themeColor="text1"/>
                <w:sz w:val="24"/>
                <w:szCs w:val="24"/>
                <w:highlight w:val="none"/>
              </w:rPr>
            </w:pPr>
          </w:p>
        </w:tc>
        <w:tc>
          <w:tcPr>
            <w:tcW w:w="1552" w:type="pct"/>
          </w:tcPr>
          <w:p w14:paraId="5F602252">
            <w:pPr>
              <w:widowControl/>
              <w:spacing w:line="360" w:lineRule="auto"/>
              <w:jc w:val="center"/>
              <w:rPr>
                <w:rFonts w:ascii="宋体" w:hAnsi="宋体" w:eastAsia="宋体"/>
                <w:color w:val="000000" w:themeColor="text1"/>
                <w:sz w:val="24"/>
                <w:szCs w:val="24"/>
                <w:highlight w:val="none"/>
              </w:rPr>
            </w:pPr>
          </w:p>
        </w:tc>
        <w:tc>
          <w:tcPr>
            <w:tcW w:w="840" w:type="pct"/>
          </w:tcPr>
          <w:p w14:paraId="061186C6">
            <w:pPr>
              <w:widowControl/>
              <w:spacing w:line="360" w:lineRule="auto"/>
              <w:jc w:val="center"/>
              <w:rPr>
                <w:rFonts w:ascii="宋体" w:hAnsi="宋体" w:eastAsia="宋体"/>
                <w:color w:val="000000" w:themeColor="text1"/>
                <w:sz w:val="24"/>
                <w:szCs w:val="24"/>
                <w:highlight w:val="none"/>
              </w:rPr>
            </w:pPr>
          </w:p>
        </w:tc>
        <w:tc>
          <w:tcPr>
            <w:tcW w:w="453" w:type="pct"/>
          </w:tcPr>
          <w:p w14:paraId="696C0B61">
            <w:pPr>
              <w:widowControl/>
              <w:spacing w:line="360" w:lineRule="auto"/>
              <w:jc w:val="center"/>
              <w:rPr>
                <w:rFonts w:ascii="宋体" w:hAnsi="宋体" w:eastAsia="宋体"/>
                <w:color w:val="000000" w:themeColor="text1"/>
                <w:sz w:val="24"/>
                <w:szCs w:val="24"/>
                <w:highlight w:val="none"/>
              </w:rPr>
            </w:pPr>
          </w:p>
        </w:tc>
      </w:tr>
      <w:tr w14:paraId="568AD0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pct"/>
          </w:tcPr>
          <w:p w14:paraId="48BBB07B">
            <w:pPr>
              <w:widowControl/>
              <w:spacing w:line="360" w:lineRule="auto"/>
              <w:jc w:val="center"/>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3</w:t>
            </w:r>
          </w:p>
        </w:tc>
        <w:tc>
          <w:tcPr>
            <w:tcW w:w="1630" w:type="pct"/>
          </w:tcPr>
          <w:p w14:paraId="636E494E">
            <w:pPr>
              <w:widowControl/>
              <w:spacing w:line="360" w:lineRule="auto"/>
              <w:jc w:val="center"/>
              <w:rPr>
                <w:rFonts w:ascii="宋体" w:hAnsi="宋体" w:eastAsia="宋体"/>
                <w:color w:val="000000" w:themeColor="text1"/>
                <w:sz w:val="24"/>
                <w:szCs w:val="24"/>
                <w:highlight w:val="none"/>
              </w:rPr>
            </w:pPr>
          </w:p>
        </w:tc>
        <w:tc>
          <w:tcPr>
            <w:tcW w:w="1552" w:type="pct"/>
          </w:tcPr>
          <w:p w14:paraId="18FF2163">
            <w:pPr>
              <w:widowControl/>
              <w:spacing w:line="360" w:lineRule="auto"/>
              <w:jc w:val="center"/>
              <w:rPr>
                <w:rFonts w:ascii="宋体" w:hAnsi="宋体" w:eastAsia="宋体"/>
                <w:color w:val="000000" w:themeColor="text1"/>
                <w:sz w:val="24"/>
                <w:szCs w:val="24"/>
                <w:highlight w:val="none"/>
              </w:rPr>
            </w:pPr>
          </w:p>
        </w:tc>
        <w:tc>
          <w:tcPr>
            <w:tcW w:w="840" w:type="pct"/>
          </w:tcPr>
          <w:p w14:paraId="0EB08399">
            <w:pPr>
              <w:widowControl/>
              <w:spacing w:line="360" w:lineRule="auto"/>
              <w:jc w:val="center"/>
              <w:rPr>
                <w:rFonts w:ascii="宋体" w:hAnsi="宋体" w:eastAsia="宋体"/>
                <w:color w:val="000000" w:themeColor="text1"/>
                <w:sz w:val="24"/>
                <w:szCs w:val="24"/>
                <w:highlight w:val="none"/>
              </w:rPr>
            </w:pPr>
          </w:p>
        </w:tc>
        <w:tc>
          <w:tcPr>
            <w:tcW w:w="453" w:type="pct"/>
          </w:tcPr>
          <w:p w14:paraId="24B533A4">
            <w:pPr>
              <w:widowControl/>
              <w:spacing w:line="360" w:lineRule="auto"/>
              <w:jc w:val="center"/>
              <w:rPr>
                <w:rFonts w:ascii="宋体" w:hAnsi="宋体" w:eastAsia="宋体"/>
                <w:color w:val="000000" w:themeColor="text1"/>
                <w:sz w:val="24"/>
                <w:szCs w:val="24"/>
                <w:highlight w:val="none"/>
              </w:rPr>
            </w:pPr>
          </w:p>
        </w:tc>
      </w:tr>
      <w:tr w14:paraId="6B006D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pct"/>
          </w:tcPr>
          <w:p w14:paraId="26773C1B">
            <w:pPr>
              <w:widowControl/>
              <w:spacing w:line="360" w:lineRule="auto"/>
              <w:jc w:val="center"/>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w:t>
            </w:r>
          </w:p>
        </w:tc>
        <w:tc>
          <w:tcPr>
            <w:tcW w:w="1630" w:type="pct"/>
          </w:tcPr>
          <w:p w14:paraId="47498FEE">
            <w:pPr>
              <w:widowControl/>
              <w:spacing w:line="360" w:lineRule="auto"/>
              <w:jc w:val="center"/>
              <w:rPr>
                <w:rFonts w:ascii="宋体" w:hAnsi="宋体" w:eastAsia="宋体"/>
                <w:color w:val="000000" w:themeColor="text1"/>
                <w:sz w:val="24"/>
                <w:szCs w:val="24"/>
                <w:highlight w:val="none"/>
              </w:rPr>
            </w:pPr>
          </w:p>
        </w:tc>
        <w:tc>
          <w:tcPr>
            <w:tcW w:w="1552" w:type="pct"/>
          </w:tcPr>
          <w:p w14:paraId="6C23792C">
            <w:pPr>
              <w:widowControl/>
              <w:spacing w:line="360" w:lineRule="auto"/>
              <w:jc w:val="center"/>
              <w:rPr>
                <w:rFonts w:ascii="宋体" w:hAnsi="宋体" w:eastAsia="宋体"/>
                <w:color w:val="000000" w:themeColor="text1"/>
                <w:sz w:val="24"/>
                <w:szCs w:val="24"/>
                <w:highlight w:val="none"/>
              </w:rPr>
            </w:pPr>
          </w:p>
        </w:tc>
        <w:tc>
          <w:tcPr>
            <w:tcW w:w="840" w:type="pct"/>
          </w:tcPr>
          <w:p w14:paraId="27EC736A">
            <w:pPr>
              <w:widowControl/>
              <w:spacing w:line="360" w:lineRule="auto"/>
              <w:jc w:val="center"/>
              <w:rPr>
                <w:rFonts w:ascii="宋体" w:hAnsi="宋体" w:eastAsia="宋体"/>
                <w:color w:val="000000" w:themeColor="text1"/>
                <w:sz w:val="24"/>
                <w:szCs w:val="24"/>
                <w:highlight w:val="none"/>
              </w:rPr>
            </w:pPr>
          </w:p>
        </w:tc>
        <w:tc>
          <w:tcPr>
            <w:tcW w:w="453" w:type="pct"/>
          </w:tcPr>
          <w:p w14:paraId="351468AC">
            <w:pPr>
              <w:widowControl/>
              <w:spacing w:line="360" w:lineRule="auto"/>
              <w:jc w:val="center"/>
              <w:rPr>
                <w:rFonts w:ascii="宋体" w:hAnsi="宋体" w:eastAsia="宋体"/>
                <w:color w:val="000000" w:themeColor="text1"/>
                <w:sz w:val="24"/>
                <w:szCs w:val="24"/>
                <w:highlight w:val="none"/>
              </w:rPr>
            </w:pPr>
          </w:p>
        </w:tc>
      </w:tr>
    </w:tbl>
    <w:p w14:paraId="0A6421AE">
      <w:pPr>
        <w:widowControl/>
        <w:spacing w:line="360" w:lineRule="auto"/>
        <w:jc w:val="left"/>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注：1、供应商对第七章招标内容及技术参数要求中的商务要求进行逐条响应说明，在偏差说明列必须注明“完全响应”或“正偏离”或“负偏离”，加“*”号项如有负偏离视为符合性审查不合格。</w:t>
      </w:r>
    </w:p>
    <w:p w14:paraId="3E6CCC3B">
      <w:pPr>
        <w:widowControl/>
        <w:spacing w:line="360" w:lineRule="auto"/>
        <w:ind w:firstLine="480" w:firstLineChars="200"/>
        <w:jc w:val="left"/>
        <w:rPr>
          <w:color w:val="000000" w:themeColor="text1"/>
          <w:highlight w:val="none"/>
        </w:rPr>
      </w:pPr>
      <w:r>
        <w:rPr>
          <w:rFonts w:ascii="Times New Roman" w:hAnsi="Times New Roman" w:eastAsia="宋体" w:cs="Times New Roman"/>
          <w:color w:val="000000" w:themeColor="text1"/>
          <w:kern w:val="0"/>
          <w:sz w:val="24"/>
          <w:szCs w:val="24"/>
          <w:highlight w:val="none"/>
        </w:rPr>
        <w:t>2</w:t>
      </w:r>
      <w:r>
        <w:rPr>
          <w:rFonts w:hint="eastAsia" w:ascii="宋体" w:hAnsi="宋体" w:eastAsia="宋体" w:cs="宋体"/>
          <w:color w:val="000000" w:themeColor="text1"/>
          <w:kern w:val="0"/>
          <w:sz w:val="24"/>
          <w:szCs w:val="24"/>
          <w:highlight w:val="none"/>
        </w:rPr>
        <w:t>、若因供应商填写不真实造成的不利后果和风险，由其自行承担。</w:t>
      </w:r>
    </w:p>
    <w:p w14:paraId="6EE3B9DD">
      <w:pPr>
        <w:widowControl/>
        <w:spacing w:line="360" w:lineRule="auto"/>
        <w:jc w:val="left"/>
        <w:rPr>
          <w:rFonts w:ascii="宋体" w:hAnsi="宋体" w:eastAsia="宋体" w:cs="宋体"/>
          <w:color w:val="000000" w:themeColor="text1"/>
          <w:kern w:val="0"/>
          <w:sz w:val="24"/>
          <w:szCs w:val="24"/>
          <w:highlight w:val="none"/>
        </w:rPr>
      </w:pPr>
    </w:p>
    <w:p w14:paraId="315E4999">
      <w:pPr>
        <w:widowControl/>
        <w:spacing w:line="360" w:lineRule="auto"/>
        <w:jc w:val="left"/>
        <w:rPr>
          <w:rFonts w:ascii="宋体" w:hAnsi="宋体" w:eastAsia="宋体" w:cs="宋体"/>
          <w:color w:val="000000" w:themeColor="text1"/>
          <w:kern w:val="0"/>
          <w:sz w:val="24"/>
          <w:szCs w:val="24"/>
          <w:highlight w:val="none"/>
        </w:rPr>
      </w:pPr>
    </w:p>
    <w:p w14:paraId="093A453B">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投标人名称（公章）：</w:t>
      </w:r>
    </w:p>
    <w:p w14:paraId="1B7EA953">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法定代表人或授权代表（签字或盖章）：</w:t>
      </w:r>
    </w:p>
    <w:p w14:paraId="6532942A">
      <w:pPr>
        <w:spacing w:line="360" w:lineRule="auto"/>
        <w:ind w:firstLine="480" w:firstLineChars="200"/>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 xml:space="preserve">日期： </w:t>
      </w:r>
      <w:r>
        <w:rPr>
          <w:rFonts w:ascii="宋体" w:hAnsi="宋体" w:eastAsia="宋体" w:cs="宋体"/>
          <w:color w:val="000000" w:themeColor="text1"/>
          <w:kern w:val="0"/>
          <w:sz w:val="24"/>
          <w:szCs w:val="24"/>
          <w:highlight w:val="none"/>
        </w:rPr>
        <w:t xml:space="preserve">   </w:t>
      </w:r>
      <w:r>
        <w:rPr>
          <w:rFonts w:hint="eastAsia" w:ascii="宋体" w:hAnsi="宋体" w:eastAsia="宋体" w:cs="宋体"/>
          <w:color w:val="000000" w:themeColor="text1"/>
          <w:kern w:val="0"/>
          <w:sz w:val="24"/>
          <w:szCs w:val="24"/>
          <w:highlight w:val="none"/>
        </w:rPr>
        <w:t xml:space="preserve">年 </w:t>
      </w:r>
      <w:r>
        <w:rPr>
          <w:rFonts w:ascii="宋体" w:hAnsi="宋体" w:eastAsia="宋体" w:cs="宋体"/>
          <w:color w:val="000000" w:themeColor="text1"/>
          <w:kern w:val="0"/>
          <w:sz w:val="24"/>
          <w:szCs w:val="24"/>
          <w:highlight w:val="none"/>
        </w:rPr>
        <w:t xml:space="preserve"> </w:t>
      </w:r>
      <w:r>
        <w:rPr>
          <w:rFonts w:hint="eastAsia" w:ascii="宋体" w:hAnsi="宋体" w:eastAsia="宋体" w:cs="宋体"/>
          <w:color w:val="000000" w:themeColor="text1"/>
          <w:kern w:val="0"/>
          <w:sz w:val="24"/>
          <w:szCs w:val="24"/>
          <w:highlight w:val="none"/>
        </w:rPr>
        <w:t xml:space="preserve">月 </w:t>
      </w:r>
      <w:r>
        <w:rPr>
          <w:rFonts w:ascii="宋体" w:hAnsi="宋体" w:eastAsia="宋体" w:cs="宋体"/>
          <w:color w:val="000000" w:themeColor="text1"/>
          <w:kern w:val="0"/>
          <w:sz w:val="24"/>
          <w:szCs w:val="24"/>
          <w:highlight w:val="none"/>
        </w:rPr>
        <w:t xml:space="preserve"> </w:t>
      </w:r>
      <w:r>
        <w:rPr>
          <w:rFonts w:hint="eastAsia" w:ascii="宋体" w:hAnsi="宋体" w:eastAsia="宋体" w:cs="宋体"/>
          <w:color w:val="000000" w:themeColor="text1"/>
          <w:kern w:val="0"/>
          <w:sz w:val="24"/>
          <w:szCs w:val="24"/>
          <w:highlight w:val="none"/>
        </w:rPr>
        <w:t>日</w:t>
      </w:r>
    </w:p>
    <w:p w14:paraId="606B063E">
      <w:pPr>
        <w:widowControl/>
        <w:jc w:val="left"/>
        <w:rPr>
          <w:rFonts w:ascii="宋体" w:hAnsi="宋体" w:eastAsia="宋体" w:cs="宋体"/>
          <w:color w:val="000000" w:themeColor="text1"/>
          <w:kern w:val="0"/>
          <w:sz w:val="24"/>
          <w:szCs w:val="24"/>
          <w:highlight w:val="none"/>
        </w:rPr>
      </w:pPr>
      <w:r>
        <w:rPr>
          <w:rFonts w:ascii="宋体" w:hAnsi="宋体" w:eastAsia="宋体" w:cs="宋体"/>
          <w:color w:val="000000" w:themeColor="text1"/>
          <w:kern w:val="0"/>
          <w:sz w:val="24"/>
          <w:szCs w:val="24"/>
          <w:highlight w:val="none"/>
        </w:rPr>
        <w:br w:type="page"/>
      </w:r>
    </w:p>
    <w:p w14:paraId="04DB6373">
      <w:pPr>
        <w:widowControl/>
        <w:spacing w:line="360" w:lineRule="auto"/>
        <w:jc w:val="left"/>
        <w:rPr>
          <w:rFonts w:ascii="宋体" w:hAnsi="宋体" w:eastAsia="宋体" w:cs="宋体"/>
          <w:color w:val="000000" w:themeColor="text1"/>
          <w:kern w:val="0"/>
          <w:sz w:val="24"/>
          <w:szCs w:val="24"/>
          <w:highlight w:val="none"/>
        </w:rPr>
      </w:pPr>
    </w:p>
    <w:p w14:paraId="6F82EDF8">
      <w:pPr>
        <w:widowControl/>
        <w:spacing w:line="360" w:lineRule="auto"/>
        <w:jc w:val="left"/>
        <w:rPr>
          <w:rFonts w:ascii="宋体" w:hAnsi="宋体" w:eastAsia="宋体" w:cs="宋体"/>
          <w:color w:val="000000" w:themeColor="text1"/>
          <w:kern w:val="0"/>
          <w:sz w:val="28"/>
          <w:szCs w:val="28"/>
          <w:highlight w:val="none"/>
        </w:rPr>
      </w:pPr>
      <w:r>
        <w:rPr>
          <w:rFonts w:hint="eastAsia" w:ascii="宋体" w:hAnsi="宋体" w:eastAsia="宋体" w:cs="宋体"/>
          <w:b/>
          <w:bCs/>
          <w:color w:val="000000" w:themeColor="text1"/>
          <w:kern w:val="0"/>
          <w:sz w:val="28"/>
          <w:szCs w:val="28"/>
          <w:highlight w:val="none"/>
        </w:rPr>
        <w:t>格式3</w:t>
      </w:r>
    </w:p>
    <w:p w14:paraId="0CF02FF8">
      <w:pPr>
        <w:widowControl/>
        <w:spacing w:line="360" w:lineRule="auto"/>
        <w:jc w:val="left"/>
        <w:rPr>
          <w:rFonts w:ascii="宋体" w:hAnsi="宋体" w:eastAsia="宋体" w:cs="宋体"/>
          <w:color w:val="000000" w:themeColor="text1"/>
          <w:kern w:val="0"/>
          <w:sz w:val="24"/>
          <w:szCs w:val="24"/>
          <w:highlight w:val="none"/>
        </w:rPr>
      </w:pPr>
    </w:p>
    <w:p w14:paraId="756CEDB8">
      <w:pPr>
        <w:widowControl/>
        <w:spacing w:line="360" w:lineRule="auto"/>
        <w:jc w:val="center"/>
        <w:rPr>
          <w:rFonts w:ascii="宋体" w:hAnsi="宋体" w:eastAsia="宋体" w:cs="宋体"/>
          <w:b/>
          <w:bCs/>
          <w:color w:val="000000" w:themeColor="text1"/>
          <w:kern w:val="0"/>
          <w:sz w:val="28"/>
          <w:szCs w:val="28"/>
          <w:highlight w:val="none"/>
        </w:rPr>
      </w:pPr>
      <w:r>
        <w:rPr>
          <w:rFonts w:hint="eastAsia" w:ascii="宋体" w:hAnsi="宋体" w:eastAsia="宋体" w:cs="宋体"/>
          <w:b/>
          <w:bCs/>
          <w:color w:val="000000" w:themeColor="text1"/>
          <w:kern w:val="0"/>
          <w:sz w:val="28"/>
          <w:szCs w:val="28"/>
          <w:highlight w:val="none"/>
        </w:rPr>
        <w:t>承诺书</w:t>
      </w:r>
    </w:p>
    <w:p w14:paraId="6EE8A79F">
      <w:pPr>
        <w:widowControl/>
        <w:spacing w:line="360" w:lineRule="auto"/>
        <w:jc w:val="left"/>
        <w:rPr>
          <w:rFonts w:ascii="宋体" w:hAnsi="宋体" w:eastAsia="宋体" w:cs="宋体"/>
          <w:color w:val="000000" w:themeColor="text1"/>
          <w:kern w:val="0"/>
          <w:sz w:val="24"/>
          <w:highlight w:val="none"/>
        </w:rPr>
      </w:pPr>
      <w:r>
        <w:rPr>
          <w:rFonts w:hint="eastAsia" w:ascii="宋体" w:hAnsi="宋体" w:eastAsia="宋体" w:cs="宋体"/>
          <w:color w:val="000000" w:themeColor="text1"/>
          <w:kern w:val="0"/>
          <w:sz w:val="24"/>
          <w:highlight w:val="none"/>
        </w:rPr>
        <w:t>致：</w:t>
      </w:r>
      <w:r>
        <w:rPr>
          <w:rFonts w:hint="eastAsia" w:ascii="宋体" w:hAnsi="宋体" w:eastAsia="宋体" w:cs="宋体"/>
          <w:color w:val="000000" w:themeColor="text1"/>
          <w:kern w:val="0"/>
          <w:sz w:val="24"/>
          <w:highlight w:val="none"/>
          <w:u w:val="single"/>
        </w:rPr>
        <w:t>（采购人名称）</w:t>
      </w:r>
    </w:p>
    <w:p w14:paraId="6E7381A9">
      <w:pPr>
        <w:spacing w:line="360" w:lineRule="auto"/>
        <w:ind w:firstLine="480" w:firstLineChars="200"/>
        <w:rPr>
          <w:rFonts w:ascii="宋体" w:hAnsi="宋体" w:eastAsia="宋体"/>
          <w:color w:val="000000" w:themeColor="text1"/>
          <w:sz w:val="24"/>
          <w:highlight w:val="none"/>
        </w:rPr>
      </w:pPr>
      <w:r>
        <w:rPr>
          <w:rFonts w:ascii="宋体" w:hAnsi="宋体" w:eastAsia="宋体"/>
          <w:color w:val="000000" w:themeColor="text1"/>
          <w:sz w:val="24"/>
          <w:highlight w:val="none"/>
        </w:rPr>
        <w:t>作为</w:t>
      </w:r>
      <w:r>
        <w:rPr>
          <w:rFonts w:hint="eastAsia" w:ascii="宋体" w:hAnsi="宋体" w:eastAsia="宋体"/>
          <w:color w:val="000000" w:themeColor="text1"/>
          <w:sz w:val="24"/>
          <w:highlight w:val="none"/>
          <w:u w:val="single"/>
        </w:rPr>
        <w:t>（</w:t>
      </w:r>
      <w:r>
        <w:rPr>
          <w:rFonts w:ascii="宋体" w:hAnsi="宋体" w:eastAsia="宋体"/>
          <w:color w:val="000000" w:themeColor="text1"/>
          <w:sz w:val="24"/>
          <w:highlight w:val="none"/>
          <w:u w:val="single"/>
        </w:rPr>
        <w:t>项目名称</w:t>
      </w:r>
      <w:r>
        <w:rPr>
          <w:rFonts w:hint="eastAsia" w:ascii="宋体" w:hAnsi="宋体" w:eastAsia="宋体"/>
          <w:color w:val="000000" w:themeColor="text1"/>
          <w:sz w:val="24"/>
          <w:highlight w:val="none"/>
          <w:u w:val="single"/>
        </w:rPr>
        <w:t>+</w:t>
      </w:r>
      <w:r>
        <w:rPr>
          <w:rFonts w:ascii="宋体" w:hAnsi="宋体" w:eastAsia="宋体"/>
          <w:color w:val="000000" w:themeColor="text1"/>
          <w:sz w:val="24"/>
          <w:highlight w:val="none"/>
          <w:u w:val="single"/>
        </w:rPr>
        <w:t>项目编号</w:t>
      </w:r>
      <w:r>
        <w:rPr>
          <w:rFonts w:hint="eastAsia" w:ascii="宋体" w:hAnsi="宋体" w:eastAsia="宋体"/>
          <w:color w:val="000000" w:themeColor="text1"/>
          <w:sz w:val="24"/>
          <w:highlight w:val="none"/>
          <w:u w:val="single"/>
        </w:rPr>
        <w:t>+包段名称</w:t>
      </w:r>
      <w:r>
        <w:rPr>
          <w:rFonts w:ascii="宋体" w:hAnsi="宋体" w:eastAsia="宋体"/>
          <w:color w:val="000000" w:themeColor="text1"/>
          <w:sz w:val="24"/>
          <w:highlight w:val="none"/>
          <w:u w:val="single"/>
        </w:rPr>
        <w:t>）</w:t>
      </w:r>
      <w:r>
        <w:rPr>
          <w:rFonts w:ascii="宋体" w:hAnsi="宋体" w:eastAsia="宋体"/>
          <w:color w:val="000000" w:themeColor="text1"/>
          <w:sz w:val="24"/>
          <w:highlight w:val="none"/>
        </w:rPr>
        <w:t>的供应商，在此郑重</w:t>
      </w:r>
      <w:r>
        <w:rPr>
          <w:rFonts w:hint="eastAsia" w:ascii="宋体" w:hAnsi="宋体" w:eastAsia="宋体"/>
          <w:color w:val="000000" w:themeColor="text1"/>
          <w:sz w:val="24"/>
          <w:highlight w:val="none"/>
        </w:rPr>
        <w:t>承诺：</w:t>
      </w:r>
    </w:p>
    <w:p w14:paraId="604216D2">
      <w:pPr>
        <w:spacing w:line="360" w:lineRule="auto"/>
        <w:ind w:firstLine="480" w:firstLineChars="200"/>
        <w:rPr>
          <w:rFonts w:ascii="宋体" w:hAnsi="宋体" w:eastAsia="宋体"/>
          <w:color w:val="000000" w:themeColor="text1"/>
          <w:sz w:val="24"/>
          <w:highlight w:val="none"/>
        </w:rPr>
      </w:pPr>
      <w:bookmarkStart w:id="52" w:name="OLE_LINK39"/>
      <w:bookmarkStart w:id="53" w:name="OLE_LINK13"/>
      <w:r>
        <w:rPr>
          <w:rFonts w:hint="eastAsia" w:ascii="宋体" w:hAnsi="宋体" w:eastAsia="宋体"/>
          <w:color w:val="000000" w:themeColor="text1"/>
          <w:sz w:val="24"/>
          <w:highlight w:val="none"/>
        </w:rPr>
        <w:t>1、为了保障宝鸡市地震预警系统应用建设项目（一期）（二次）顺利实施，我公司为本项目提供的地震预警终端产品</w:t>
      </w:r>
      <w:r>
        <w:rPr>
          <w:rFonts w:hint="eastAsia" w:ascii="宋体" w:hAnsi="宋体" w:eastAsia="宋体"/>
          <w:b/>
          <w:color w:val="000000" w:themeColor="text1"/>
          <w:sz w:val="24"/>
          <w:highlight w:val="none"/>
        </w:rPr>
        <w:t>（地震预警终端1、地震预警终端2、地震预警大喇叭）</w:t>
      </w:r>
      <w:r>
        <w:rPr>
          <w:rFonts w:hint="eastAsia" w:ascii="宋体" w:hAnsi="宋体" w:eastAsia="宋体"/>
          <w:color w:val="000000" w:themeColor="text1"/>
          <w:sz w:val="24"/>
          <w:highlight w:val="none"/>
        </w:rPr>
        <w:t>实现与省地震烈度速报预警防篡改密码安全系统对接，确保接入终端适配预警信息发布终端防篡改系统，保障地震预警信息的安全性、可靠性、稳定性。</w:t>
      </w:r>
    </w:p>
    <w:p w14:paraId="62725BD1">
      <w:pPr>
        <w:spacing w:line="360" w:lineRule="auto"/>
        <w:ind w:firstLine="480" w:firstLineChars="200"/>
        <w:rPr>
          <w:rFonts w:ascii="宋体" w:hAnsi="宋体" w:eastAsia="宋体"/>
          <w:color w:val="000000" w:themeColor="text1"/>
          <w:sz w:val="24"/>
          <w:highlight w:val="none"/>
        </w:rPr>
      </w:pPr>
      <w:r>
        <w:rPr>
          <w:rFonts w:hint="eastAsia" w:ascii="宋体" w:hAnsi="宋体" w:eastAsia="宋体"/>
          <w:color w:val="000000" w:themeColor="text1"/>
          <w:sz w:val="24"/>
          <w:highlight w:val="none"/>
        </w:rPr>
        <w:t>2、我方若中标，在中标公示后</w:t>
      </w:r>
      <w:r>
        <w:rPr>
          <w:rFonts w:ascii="宋体" w:hAnsi="宋体" w:eastAsia="宋体"/>
          <w:color w:val="000000" w:themeColor="text1"/>
          <w:sz w:val="24"/>
          <w:highlight w:val="none"/>
        </w:rPr>
        <w:t>10个工作日内，提供投标地震预警终端设备三种型号样机，按照采购技术要求进行防篡改系统测试和数据联通测试，如适配不通过或达不到要求，自愿放弃本次中标资格。</w:t>
      </w:r>
    </w:p>
    <w:bookmarkEnd w:id="52"/>
    <w:bookmarkEnd w:id="53"/>
    <w:p w14:paraId="58393F7C">
      <w:pPr>
        <w:spacing w:line="360" w:lineRule="auto"/>
        <w:rPr>
          <w:rFonts w:ascii="宋体" w:hAnsi="宋体" w:eastAsia="宋体" w:cs="仿宋"/>
          <w:color w:val="000000" w:themeColor="text1"/>
          <w:sz w:val="24"/>
          <w:highlight w:val="none"/>
        </w:rPr>
      </w:pPr>
    </w:p>
    <w:p w14:paraId="27455ABB">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投标人名称（公章）：</w:t>
      </w:r>
    </w:p>
    <w:p w14:paraId="2AB673E1">
      <w:pPr>
        <w:spacing w:line="360" w:lineRule="auto"/>
        <w:ind w:firstLine="480" w:firstLineChars="200"/>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法定代表人或授权代表（签字或盖章）：</w:t>
      </w:r>
    </w:p>
    <w:p w14:paraId="34883E34">
      <w:pPr>
        <w:spacing w:line="360" w:lineRule="auto"/>
        <w:ind w:firstLine="480" w:firstLineChars="200"/>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 xml:space="preserve">日期： </w:t>
      </w:r>
      <w:r>
        <w:rPr>
          <w:rFonts w:ascii="宋体" w:hAnsi="宋体" w:eastAsia="宋体" w:cs="宋体"/>
          <w:color w:val="000000" w:themeColor="text1"/>
          <w:kern w:val="0"/>
          <w:sz w:val="24"/>
          <w:szCs w:val="24"/>
          <w:highlight w:val="none"/>
        </w:rPr>
        <w:t xml:space="preserve">   </w:t>
      </w:r>
      <w:r>
        <w:rPr>
          <w:rFonts w:hint="eastAsia" w:ascii="宋体" w:hAnsi="宋体" w:eastAsia="宋体" w:cs="宋体"/>
          <w:color w:val="000000" w:themeColor="text1"/>
          <w:kern w:val="0"/>
          <w:sz w:val="24"/>
          <w:szCs w:val="24"/>
          <w:highlight w:val="none"/>
        </w:rPr>
        <w:t xml:space="preserve">年 </w:t>
      </w:r>
      <w:r>
        <w:rPr>
          <w:rFonts w:ascii="宋体" w:hAnsi="宋体" w:eastAsia="宋体" w:cs="宋体"/>
          <w:color w:val="000000" w:themeColor="text1"/>
          <w:kern w:val="0"/>
          <w:sz w:val="24"/>
          <w:szCs w:val="24"/>
          <w:highlight w:val="none"/>
        </w:rPr>
        <w:t xml:space="preserve"> </w:t>
      </w:r>
      <w:r>
        <w:rPr>
          <w:rFonts w:hint="eastAsia" w:ascii="宋体" w:hAnsi="宋体" w:eastAsia="宋体" w:cs="宋体"/>
          <w:color w:val="000000" w:themeColor="text1"/>
          <w:kern w:val="0"/>
          <w:sz w:val="24"/>
          <w:szCs w:val="24"/>
          <w:highlight w:val="none"/>
        </w:rPr>
        <w:t xml:space="preserve">月 </w:t>
      </w:r>
      <w:r>
        <w:rPr>
          <w:rFonts w:ascii="宋体" w:hAnsi="宋体" w:eastAsia="宋体" w:cs="宋体"/>
          <w:color w:val="000000" w:themeColor="text1"/>
          <w:kern w:val="0"/>
          <w:sz w:val="24"/>
          <w:szCs w:val="24"/>
          <w:highlight w:val="none"/>
        </w:rPr>
        <w:t xml:space="preserve"> </w:t>
      </w:r>
      <w:r>
        <w:rPr>
          <w:rFonts w:hint="eastAsia" w:ascii="宋体" w:hAnsi="宋体" w:eastAsia="宋体" w:cs="宋体"/>
          <w:color w:val="000000" w:themeColor="text1"/>
          <w:kern w:val="0"/>
          <w:sz w:val="24"/>
          <w:szCs w:val="24"/>
          <w:highlight w:val="none"/>
        </w:rPr>
        <w:t>日</w:t>
      </w:r>
    </w:p>
    <w:p w14:paraId="69C724F5">
      <w:pPr>
        <w:widowControl/>
        <w:jc w:val="left"/>
        <w:rPr>
          <w:rFonts w:ascii="宋体" w:hAnsi="宋体" w:eastAsia="宋体" w:cs="宋体"/>
          <w:color w:val="000000" w:themeColor="text1"/>
          <w:kern w:val="0"/>
          <w:sz w:val="24"/>
          <w:szCs w:val="24"/>
          <w:highlight w:val="none"/>
        </w:rPr>
      </w:pPr>
      <w:r>
        <w:rPr>
          <w:rFonts w:ascii="宋体" w:hAnsi="宋体" w:eastAsia="宋体" w:cs="宋体"/>
          <w:color w:val="000000" w:themeColor="text1"/>
          <w:kern w:val="0"/>
          <w:sz w:val="24"/>
          <w:szCs w:val="24"/>
          <w:highlight w:val="none"/>
        </w:rPr>
        <w:br w:type="page"/>
      </w:r>
    </w:p>
    <w:p w14:paraId="17E1C391">
      <w:pPr>
        <w:widowControl/>
        <w:spacing w:line="360" w:lineRule="auto"/>
        <w:jc w:val="left"/>
        <w:rPr>
          <w:rFonts w:ascii="宋体" w:hAnsi="宋体" w:eastAsia="宋体"/>
          <w:color w:val="000000" w:themeColor="text1"/>
          <w:sz w:val="24"/>
          <w:szCs w:val="24"/>
          <w:highlight w:val="none"/>
        </w:rPr>
      </w:pPr>
    </w:p>
    <w:p w14:paraId="4B184F1E">
      <w:pPr>
        <w:pStyle w:val="27"/>
        <w:rPr>
          <w:rFonts w:ascii="宋体" w:hAnsi="宋体" w:eastAsia="宋体"/>
          <w:color w:val="000000" w:themeColor="text1"/>
          <w:highlight w:val="none"/>
        </w:rPr>
      </w:pPr>
      <w:bookmarkStart w:id="54" w:name="_Toc211442745"/>
      <w:r>
        <w:rPr>
          <w:rFonts w:hint="eastAsia" w:ascii="宋体" w:hAnsi="宋体" w:eastAsia="宋体"/>
          <w:color w:val="000000" w:themeColor="text1"/>
          <w:highlight w:val="none"/>
        </w:rPr>
        <w:t xml:space="preserve">第七章 </w:t>
      </w:r>
      <w:r>
        <w:rPr>
          <w:rFonts w:ascii="宋体" w:hAnsi="宋体" w:eastAsia="宋体"/>
          <w:color w:val="000000" w:themeColor="text1"/>
          <w:highlight w:val="none"/>
        </w:rPr>
        <w:t xml:space="preserve"> </w:t>
      </w:r>
      <w:r>
        <w:rPr>
          <w:rFonts w:hint="eastAsia" w:ascii="宋体" w:hAnsi="宋体" w:eastAsia="宋体"/>
          <w:color w:val="000000" w:themeColor="text1"/>
          <w:highlight w:val="none"/>
        </w:rPr>
        <w:t>招标内容及技术要求</w:t>
      </w:r>
      <w:bookmarkEnd w:id="54"/>
    </w:p>
    <w:p w14:paraId="7EA009A3">
      <w:pPr>
        <w:widowControl/>
        <w:jc w:val="left"/>
        <w:rPr>
          <w:rFonts w:ascii="宋体" w:hAnsi="宋体" w:eastAsia="宋体"/>
          <w:color w:val="000000" w:themeColor="text1"/>
          <w:sz w:val="24"/>
          <w:szCs w:val="24"/>
          <w:highlight w:val="none"/>
        </w:rPr>
      </w:pPr>
    </w:p>
    <w:p w14:paraId="5C9EA6F4">
      <w:pPr>
        <w:pStyle w:val="23"/>
        <w:rPr>
          <w:color w:val="000000" w:themeColor="text1"/>
          <w:highlight w:val="none"/>
        </w:rPr>
      </w:pPr>
      <w:bookmarkStart w:id="55" w:name="_Toc211442746"/>
      <w:r>
        <w:rPr>
          <w:rFonts w:hint="eastAsia"/>
          <w:color w:val="000000" w:themeColor="text1"/>
          <w:highlight w:val="none"/>
        </w:rPr>
        <w:t>一、项目概况</w:t>
      </w:r>
      <w:bookmarkEnd w:id="55"/>
    </w:p>
    <w:p w14:paraId="4D77B87B">
      <w:pPr>
        <w:widowControl/>
        <w:spacing w:line="360" w:lineRule="auto"/>
        <w:ind w:firstLine="480" w:firstLineChars="200"/>
        <w:rPr>
          <w:rFonts w:ascii="宋体" w:hAnsi="宋体" w:eastAsia="宋体" w:cs="Times New Roman"/>
          <w:color w:val="000000" w:themeColor="text1"/>
          <w:sz w:val="24"/>
          <w:szCs w:val="24"/>
          <w:highlight w:val="none"/>
        </w:rPr>
      </w:pPr>
      <w:r>
        <w:rPr>
          <w:rFonts w:hint="eastAsia" w:ascii="宋体" w:hAnsi="宋体" w:eastAsia="宋体"/>
          <w:color w:val="000000" w:themeColor="text1"/>
          <w:sz w:val="24"/>
          <w:szCs w:val="24"/>
          <w:highlight w:val="none"/>
        </w:rPr>
        <w:t>宝鸡市地震监测预警中心为全市公办中小学</w:t>
      </w:r>
      <w:r>
        <w:rPr>
          <w:rFonts w:ascii="宋体" w:hAnsi="宋体" w:eastAsia="宋体"/>
          <w:color w:val="000000" w:themeColor="text1"/>
          <w:sz w:val="24"/>
          <w:szCs w:val="24"/>
          <w:highlight w:val="none"/>
        </w:rPr>
        <w:t>(含市直属学校）采购安装地震预警信息接收终端（预警喇叭、预警信息发布终端显示屏）</w:t>
      </w:r>
      <w:r>
        <w:rPr>
          <w:rFonts w:hint="eastAsia" w:ascii="宋体" w:hAnsi="宋体" w:eastAsia="宋体"/>
          <w:color w:val="000000" w:themeColor="text1"/>
          <w:sz w:val="24"/>
          <w:szCs w:val="24"/>
          <w:highlight w:val="none"/>
        </w:rPr>
        <w:t>，</w:t>
      </w:r>
      <w:r>
        <w:rPr>
          <w:rFonts w:ascii="宋体" w:hAnsi="宋体" w:eastAsia="宋体"/>
          <w:color w:val="000000" w:themeColor="text1"/>
          <w:sz w:val="24"/>
          <w:szCs w:val="24"/>
          <w:highlight w:val="none"/>
        </w:rPr>
        <w:t>采购市县地震预警终端综合管理平台和地震烈度速报系统等</w:t>
      </w:r>
      <w:r>
        <w:rPr>
          <w:rFonts w:hint="eastAsia" w:ascii="宋体" w:hAnsi="宋体" w:eastAsia="宋体" w:cs="Times New Roman"/>
          <w:color w:val="000000" w:themeColor="text1"/>
          <w:sz w:val="24"/>
          <w:szCs w:val="24"/>
          <w:highlight w:val="none"/>
        </w:rPr>
        <w:t>。</w:t>
      </w:r>
      <w:r>
        <w:rPr>
          <w:rFonts w:hint="eastAsia" w:ascii="宋体" w:hAnsi="宋体" w:eastAsia="宋体" w:cs="宋体"/>
          <w:color w:val="000000" w:themeColor="text1"/>
          <w:kern w:val="0"/>
          <w:sz w:val="24"/>
          <w:szCs w:val="24"/>
          <w:highlight w:val="none"/>
        </w:rPr>
        <w:t>投标产品需符合《中国地震预警网地震预警信息发布指南》和《国家地震烈度速报与预警工程项目紧急地震信息服务终端相关技术要求》等技术规范规定的通信协议和信息结构</w:t>
      </w:r>
      <w:r>
        <w:rPr>
          <w:rFonts w:hint="eastAsia" w:ascii="宋体" w:hAnsi="宋体" w:eastAsia="宋体" w:cs="Times New Roman"/>
          <w:color w:val="000000" w:themeColor="text1"/>
          <w:sz w:val="24"/>
          <w:szCs w:val="24"/>
          <w:highlight w:val="none"/>
        </w:rPr>
        <w:t>。</w:t>
      </w:r>
    </w:p>
    <w:p w14:paraId="04ED185C">
      <w:pPr>
        <w:pStyle w:val="23"/>
        <w:rPr>
          <w:color w:val="000000" w:themeColor="text1"/>
          <w:highlight w:val="none"/>
        </w:rPr>
      </w:pPr>
      <w:bookmarkStart w:id="56" w:name="_Toc211442747"/>
      <w:r>
        <w:rPr>
          <w:rFonts w:hint="eastAsia"/>
          <w:color w:val="000000" w:themeColor="text1"/>
          <w:highlight w:val="none"/>
        </w:rPr>
        <w:t>二、技术要求</w:t>
      </w:r>
      <w:bookmarkEnd w:id="56"/>
    </w:p>
    <w:p w14:paraId="16CC3473">
      <w:pPr>
        <w:pStyle w:val="23"/>
        <w:rPr>
          <w:color w:val="000000" w:themeColor="text1"/>
          <w:highlight w:val="none"/>
        </w:rPr>
      </w:pPr>
      <w:bookmarkStart w:id="57" w:name="_Toc211442748"/>
      <w:r>
        <w:rPr>
          <w:rFonts w:hint="eastAsia"/>
          <w:color w:val="000000" w:themeColor="text1"/>
          <w:highlight w:val="none"/>
        </w:rPr>
        <w:t>（一）合同包1：市、区公办中小学地震预警终端和监测预警中心工作站</w:t>
      </w:r>
      <w:bookmarkEnd w:id="57"/>
    </w:p>
    <w:tbl>
      <w:tblPr>
        <w:tblStyle w:val="2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8"/>
        <w:gridCol w:w="1224"/>
        <w:gridCol w:w="4480"/>
        <w:gridCol w:w="1127"/>
        <w:gridCol w:w="1698"/>
      </w:tblGrid>
      <w:tr w14:paraId="173044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8" w:type="pct"/>
            <w:vAlign w:val="center"/>
          </w:tcPr>
          <w:p w14:paraId="3304EE01">
            <w:pPr>
              <w:spacing w:line="360" w:lineRule="auto"/>
              <w:jc w:val="center"/>
              <w:rPr>
                <w:rFonts w:ascii="宋体" w:hAnsi="宋体" w:eastAsia="宋体" w:cs="宋体"/>
                <w:b/>
                <w:bCs/>
                <w:color w:val="000000" w:themeColor="text1"/>
                <w:sz w:val="24"/>
                <w:szCs w:val="24"/>
                <w:highlight w:val="none"/>
              </w:rPr>
            </w:pPr>
            <w:r>
              <w:rPr>
                <w:rFonts w:hint="eastAsia" w:ascii="宋体" w:hAnsi="宋体" w:eastAsia="宋体" w:cs="宋体"/>
                <w:b/>
                <w:bCs/>
                <w:color w:val="000000" w:themeColor="text1"/>
                <w:sz w:val="24"/>
                <w:szCs w:val="24"/>
                <w:highlight w:val="none"/>
              </w:rPr>
              <w:t>序号</w:t>
            </w:r>
          </w:p>
        </w:tc>
        <w:tc>
          <w:tcPr>
            <w:tcW w:w="659" w:type="pct"/>
            <w:vAlign w:val="center"/>
          </w:tcPr>
          <w:p w14:paraId="5F2B681D">
            <w:pPr>
              <w:spacing w:line="360" w:lineRule="auto"/>
              <w:jc w:val="center"/>
              <w:rPr>
                <w:rFonts w:ascii="宋体" w:hAnsi="宋体" w:eastAsia="宋体" w:cs="宋体"/>
                <w:b/>
                <w:bCs/>
                <w:color w:val="000000" w:themeColor="text1"/>
                <w:sz w:val="24"/>
                <w:szCs w:val="24"/>
                <w:highlight w:val="none"/>
              </w:rPr>
            </w:pPr>
            <w:r>
              <w:rPr>
                <w:rFonts w:hint="eastAsia" w:ascii="宋体" w:hAnsi="宋体" w:eastAsia="宋体" w:cs="宋体"/>
                <w:b/>
                <w:bCs/>
                <w:color w:val="000000" w:themeColor="text1"/>
                <w:sz w:val="24"/>
                <w:szCs w:val="24"/>
                <w:highlight w:val="none"/>
              </w:rPr>
              <w:t>标的名称</w:t>
            </w:r>
          </w:p>
        </w:tc>
        <w:tc>
          <w:tcPr>
            <w:tcW w:w="2412" w:type="pct"/>
            <w:vAlign w:val="center"/>
          </w:tcPr>
          <w:p w14:paraId="1F4612E1">
            <w:pPr>
              <w:spacing w:line="360" w:lineRule="auto"/>
              <w:jc w:val="center"/>
              <w:rPr>
                <w:rFonts w:ascii="宋体" w:hAnsi="宋体" w:eastAsia="宋体" w:cs="宋体"/>
                <w:b/>
                <w:bCs/>
                <w:color w:val="000000" w:themeColor="text1"/>
                <w:sz w:val="24"/>
                <w:szCs w:val="24"/>
                <w:highlight w:val="none"/>
              </w:rPr>
            </w:pPr>
            <w:r>
              <w:rPr>
                <w:rFonts w:hint="eastAsia" w:ascii="宋体" w:hAnsi="宋体" w:eastAsia="宋体" w:cs="宋体"/>
                <w:b/>
                <w:bCs/>
                <w:color w:val="000000" w:themeColor="text1"/>
                <w:sz w:val="24"/>
                <w:szCs w:val="24"/>
                <w:highlight w:val="none"/>
              </w:rPr>
              <w:t>技术参数与性能指标</w:t>
            </w:r>
          </w:p>
        </w:tc>
        <w:tc>
          <w:tcPr>
            <w:tcW w:w="607" w:type="pct"/>
            <w:vAlign w:val="center"/>
          </w:tcPr>
          <w:p w14:paraId="5E4EFC41">
            <w:pPr>
              <w:spacing w:line="360" w:lineRule="auto"/>
              <w:jc w:val="center"/>
              <w:rPr>
                <w:rFonts w:ascii="宋体" w:hAnsi="宋体" w:eastAsia="宋体" w:cs="宋体"/>
                <w:b/>
                <w:bCs/>
                <w:color w:val="000000" w:themeColor="text1"/>
                <w:sz w:val="24"/>
                <w:szCs w:val="24"/>
                <w:highlight w:val="none"/>
              </w:rPr>
            </w:pPr>
            <w:r>
              <w:rPr>
                <w:rFonts w:hint="eastAsia" w:ascii="宋体" w:hAnsi="宋体" w:eastAsia="宋体" w:cs="宋体"/>
                <w:b/>
                <w:bCs/>
                <w:color w:val="000000" w:themeColor="text1"/>
                <w:sz w:val="24"/>
                <w:szCs w:val="24"/>
                <w:highlight w:val="none"/>
              </w:rPr>
              <w:t>数量</w:t>
            </w:r>
          </w:p>
        </w:tc>
        <w:tc>
          <w:tcPr>
            <w:tcW w:w="914" w:type="pct"/>
            <w:vAlign w:val="center"/>
          </w:tcPr>
          <w:p w14:paraId="5A06B811">
            <w:pPr>
              <w:spacing w:line="360" w:lineRule="auto"/>
              <w:jc w:val="center"/>
              <w:rPr>
                <w:rFonts w:ascii="宋体" w:hAnsi="宋体" w:eastAsia="宋体" w:cs="宋体"/>
                <w:b/>
                <w:bCs/>
                <w:color w:val="000000" w:themeColor="text1"/>
                <w:sz w:val="24"/>
                <w:szCs w:val="24"/>
                <w:highlight w:val="none"/>
              </w:rPr>
            </w:pPr>
            <w:r>
              <w:rPr>
                <w:rFonts w:hint="eastAsia" w:ascii="宋体" w:hAnsi="宋体" w:eastAsia="宋体" w:cs="宋体"/>
                <w:b/>
                <w:bCs/>
                <w:color w:val="000000" w:themeColor="text1"/>
                <w:sz w:val="24"/>
                <w:szCs w:val="24"/>
                <w:highlight w:val="none"/>
              </w:rPr>
              <w:t>单价限价（元）</w:t>
            </w:r>
          </w:p>
        </w:tc>
      </w:tr>
      <w:tr w14:paraId="2067AC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8" w:type="pct"/>
            <w:vAlign w:val="center"/>
          </w:tcPr>
          <w:p w14:paraId="31C091C8">
            <w:pPr>
              <w:spacing w:line="360" w:lineRule="auto"/>
              <w:jc w:val="center"/>
              <w:rPr>
                <w:rFonts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1</w:t>
            </w:r>
          </w:p>
        </w:tc>
        <w:tc>
          <w:tcPr>
            <w:tcW w:w="659" w:type="pct"/>
            <w:vAlign w:val="center"/>
          </w:tcPr>
          <w:p w14:paraId="43A570BC">
            <w:pPr>
              <w:spacing w:line="360" w:lineRule="auto"/>
              <w:jc w:val="center"/>
              <w:rPr>
                <w:rFonts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地震预警终端</w:t>
            </w:r>
            <w:r>
              <w:rPr>
                <w:rFonts w:ascii="宋体" w:hAnsi="宋体" w:eastAsia="宋体" w:cs="宋体"/>
                <w:color w:val="000000" w:themeColor="text1"/>
                <w:sz w:val="24"/>
                <w:szCs w:val="24"/>
                <w:highlight w:val="none"/>
              </w:rPr>
              <w:t>1</w:t>
            </w:r>
            <w:r>
              <w:rPr>
                <w:rFonts w:hint="eastAsia" w:ascii="宋体" w:hAnsi="宋体" w:eastAsia="宋体" w:cs="宋体"/>
                <w:color w:val="000000" w:themeColor="text1"/>
                <w:sz w:val="24"/>
                <w:szCs w:val="24"/>
                <w:highlight w:val="none"/>
              </w:rPr>
              <w:t>（核心产品）</w:t>
            </w:r>
          </w:p>
        </w:tc>
        <w:tc>
          <w:tcPr>
            <w:tcW w:w="2412" w:type="pct"/>
            <w:vAlign w:val="center"/>
          </w:tcPr>
          <w:p w14:paraId="3CE2B649">
            <w:pPr>
              <w:widowControl/>
              <w:spacing w:line="360" w:lineRule="auto"/>
              <w:jc w:val="left"/>
              <w:rPr>
                <w:rFonts w:ascii="宋体" w:hAnsi="宋体" w:eastAsia="宋体" w:cs="宋体"/>
                <w:b/>
                <w:color w:val="000000" w:themeColor="text1"/>
                <w:kern w:val="0"/>
                <w:sz w:val="24"/>
                <w:szCs w:val="24"/>
                <w:highlight w:val="none"/>
              </w:rPr>
            </w:pPr>
            <w:r>
              <w:rPr>
                <w:rFonts w:ascii="宋体" w:hAnsi="宋体" w:eastAsia="宋体" w:cs="Times New Roman"/>
                <w:b/>
                <w:color w:val="000000" w:themeColor="text1"/>
                <w:sz w:val="24"/>
                <w:szCs w:val="24"/>
                <w:highlight w:val="none"/>
              </w:rPr>
              <w:t>*</w:t>
            </w:r>
            <w:r>
              <w:rPr>
                <w:rFonts w:hint="eastAsia" w:ascii="宋体" w:hAnsi="宋体" w:eastAsia="宋体" w:cs="宋体"/>
                <w:b/>
                <w:color w:val="000000" w:themeColor="text1"/>
                <w:kern w:val="0"/>
                <w:sz w:val="24"/>
                <w:szCs w:val="24"/>
                <w:highlight w:val="none"/>
              </w:rPr>
              <w:t>1、</w:t>
            </w:r>
            <w:r>
              <w:rPr>
                <w:rFonts w:hint="eastAsia" w:ascii="宋体" w:hAnsi="宋体" w:eastAsia="宋体" w:cs="宋体"/>
                <w:color w:val="000000" w:themeColor="text1"/>
                <w:kern w:val="0"/>
                <w:sz w:val="24"/>
                <w:szCs w:val="24"/>
                <w:highlight w:val="none"/>
              </w:rPr>
              <w:t>基本要求：产品符合《中国地震预警网地震预警信息发布指南》和《国家地震烈度速报与预警工程项目紧急地震信息服务终端相关技术要求》等技术规范规定的通信协议和信息结构；为中国地震局台网中心通过地震监测专业设备定型设备的预警信息服务专用终端</w:t>
            </w:r>
            <w:r>
              <w:rPr>
                <w:rFonts w:hint="eastAsia" w:ascii="宋体" w:hAnsi="宋体" w:eastAsia="宋体" w:cs="宋体"/>
                <w:b/>
                <w:color w:val="000000" w:themeColor="text1"/>
                <w:kern w:val="0"/>
                <w:sz w:val="24"/>
                <w:szCs w:val="24"/>
                <w:highlight w:val="none"/>
              </w:rPr>
              <w:t>（提供产品型号在《中国地震局台网中心通过地震监测专业设备定型设备的通知》清单内的证明文件，或提供由中国地震台网中心出具的产品型号定型结果证明文件，并加盖投标人公章。）</w:t>
            </w:r>
            <w:r>
              <w:rPr>
                <w:rFonts w:hint="eastAsia" w:ascii="宋体" w:hAnsi="宋体" w:eastAsia="宋体" w:cs="宋体"/>
                <w:color w:val="000000" w:themeColor="text1"/>
                <w:kern w:val="0"/>
                <w:sz w:val="24"/>
                <w:szCs w:val="24"/>
                <w:highlight w:val="none"/>
              </w:rPr>
              <w:t>；满足地震预警终端信息防篡改密码安全要求；符合陕西省《地震预警信息发布规范》（</w:t>
            </w:r>
            <w:r>
              <w:rPr>
                <w:rFonts w:ascii="宋体" w:hAnsi="宋体" w:eastAsia="宋体" w:cs="宋体"/>
                <w:color w:val="000000" w:themeColor="text1"/>
                <w:kern w:val="0"/>
                <w:sz w:val="24"/>
                <w:szCs w:val="24"/>
                <w:highlight w:val="none"/>
              </w:rPr>
              <w:t>DB61/T1848—2024）标准</w:t>
            </w:r>
            <w:r>
              <w:rPr>
                <w:rFonts w:hint="eastAsia" w:ascii="宋体" w:hAnsi="宋体" w:eastAsia="宋体" w:cs="宋体"/>
                <w:b/>
                <w:color w:val="000000" w:themeColor="text1"/>
                <w:kern w:val="0"/>
                <w:sz w:val="24"/>
                <w:szCs w:val="24"/>
                <w:highlight w:val="none"/>
              </w:rPr>
              <w:t>（提供该产品型号符合该标准的证明文件或承诺函，格式自拟。）。</w:t>
            </w:r>
          </w:p>
          <w:p w14:paraId="6077EE20">
            <w:pPr>
              <w:widowControl/>
              <w:spacing w:line="360" w:lineRule="auto"/>
              <w:jc w:val="left"/>
              <w:textAlignment w:val="center"/>
              <w:rPr>
                <w:rFonts w:ascii="宋体" w:hAnsi="宋体" w:eastAsia="宋体" w:cs="宋体"/>
                <w:b/>
                <w:color w:val="000000" w:themeColor="text1"/>
                <w:sz w:val="24"/>
                <w:szCs w:val="24"/>
                <w:highlight w:val="none"/>
              </w:rPr>
            </w:pPr>
            <w:r>
              <w:rPr>
                <w:rFonts w:ascii="宋体" w:hAnsi="宋体" w:eastAsia="宋体" w:cs="Times New Roman"/>
                <w:b/>
                <w:color w:val="000000" w:themeColor="text1"/>
                <w:sz w:val="24"/>
                <w:szCs w:val="24"/>
                <w:highlight w:val="none"/>
              </w:rPr>
              <w:t>*</w:t>
            </w:r>
            <w:r>
              <w:rPr>
                <w:rFonts w:hint="eastAsia" w:ascii="宋体" w:hAnsi="宋体" w:eastAsia="宋体" w:cs="宋体"/>
                <w:b/>
                <w:color w:val="000000" w:themeColor="text1"/>
                <w:kern w:val="0"/>
                <w:sz w:val="24"/>
                <w:szCs w:val="24"/>
                <w:highlight w:val="none"/>
              </w:rPr>
              <w:t>2、</w:t>
            </w:r>
            <w:r>
              <w:rPr>
                <w:rFonts w:hint="eastAsia" w:ascii="宋体" w:hAnsi="宋体" w:eastAsia="宋体" w:cs="宋体"/>
                <w:color w:val="000000" w:themeColor="text1"/>
                <w:kern w:val="0"/>
                <w:sz w:val="24"/>
                <w:szCs w:val="24"/>
                <w:highlight w:val="none"/>
              </w:rPr>
              <w:t>屏幕：32寸LED背光</w:t>
            </w:r>
            <w:r>
              <w:rPr>
                <w:rFonts w:hint="eastAsia" w:ascii="宋体" w:hAnsi="宋体" w:eastAsia="宋体" w:cs="宋体"/>
                <w:b/>
                <w:color w:val="000000" w:themeColor="text1"/>
                <w:kern w:val="0"/>
                <w:sz w:val="24"/>
                <w:szCs w:val="24"/>
                <w:highlight w:val="none"/>
              </w:rPr>
              <w:t>。（投标人需提供证明材料，加盖投标人公章）</w:t>
            </w:r>
          </w:p>
          <w:p w14:paraId="73F73922">
            <w:pPr>
              <w:widowControl/>
              <w:spacing w:line="360" w:lineRule="auto"/>
              <w:jc w:val="left"/>
              <w:textAlignment w:val="center"/>
              <w:rPr>
                <w:rFonts w:ascii="宋体" w:hAnsi="宋体" w:eastAsia="宋体" w:cs="宋体"/>
                <w:color w:val="000000" w:themeColor="text1"/>
                <w:sz w:val="24"/>
                <w:szCs w:val="24"/>
                <w:highlight w:val="none"/>
              </w:rPr>
            </w:pPr>
            <w:r>
              <w:rPr>
                <w:rFonts w:hint="eastAsia" w:ascii="宋体" w:hAnsi="宋体" w:eastAsia="宋体" w:cs="宋体"/>
                <w:color w:val="000000" w:themeColor="text1"/>
                <w:kern w:val="0"/>
                <w:sz w:val="24"/>
                <w:szCs w:val="24"/>
                <w:highlight w:val="none"/>
              </w:rPr>
              <w:t>3、屏幕亮度：≥400cd/㎡。</w:t>
            </w:r>
          </w:p>
          <w:p w14:paraId="6E57C2B0">
            <w:pPr>
              <w:widowControl/>
              <w:spacing w:line="360" w:lineRule="auto"/>
              <w:jc w:val="left"/>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4、显示比例：16:9（屏幕立式显示）。</w:t>
            </w:r>
          </w:p>
          <w:p w14:paraId="37D4C529">
            <w:pPr>
              <w:widowControl/>
              <w:spacing w:line="360" w:lineRule="auto"/>
              <w:jc w:val="left"/>
              <w:textAlignment w:val="center"/>
              <w:rPr>
                <w:rFonts w:ascii="宋体" w:hAnsi="宋体" w:eastAsia="宋体" w:cs="宋体"/>
                <w:color w:val="000000" w:themeColor="text1"/>
                <w:sz w:val="24"/>
                <w:szCs w:val="24"/>
                <w:highlight w:val="none"/>
              </w:rPr>
            </w:pPr>
            <w:r>
              <w:rPr>
                <w:rFonts w:hint="eastAsia" w:ascii="宋体" w:hAnsi="宋体" w:eastAsia="宋体" w:cs="宋体"/>
                <w:color w:val="000000" w:themeColor="text1"/>
                <w:kern w:val="0"/>
                <w:sz w:val="24"/>
                <w:szCs w:val="24"/>
                <w:highlight w:val="none"/>
              </w:rPr>
              <w:t>5、分辨率≥1920*1080。</w:t>
            </w:r>
          </w:p>
          <w:p w14:paraId="789C8D08">
            <w:pPr>
              <w:widowControl/>
              <w:spacing w:line="360" w:lineRule="auto"/>
              <w:jc w:val="left"/>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6、通讯及接口：支持并提供RJ45有线网络、WIFI以及4G/5G通信物联网卡接入，支持USB接口，提供≥2个USB2.0及以上接口，支持音频输出、HDMI输出。</w:t>
            </w:r>
          </w:p>
          <w:p w14:paraId="28DB75A0">
            <w:pPr>
              <w:widowControl/>
              <w:spacing w:line="360" w:lineRule="auto"/>
              <w:jc w:val="left"/>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7、操作系统：具备</w:t>
            </w:r>
            <w:r>
              <w:rPr>
                <w:rFonts w:ascii="宋体" w:hAnsi="宋体" w:eastAsia="宋体" w:cs="宋体"/>
                <w:color w:val="000000" w:themeColor="text1"/>
                <w:kern w:val="0"/>
                <w:sz w:val="24"/>
                <w:szCs w:val="24"/>
                <w:highlight w:val="none"/>
              </w:rPr>
              <w:t>APP和Web远程管理功能，可查看终端设备状态、配置和管理相关参数，进行系统升级、重置、重启及预警相关应用升级和服务重启；支持APP白名单访问设置，支持禁用系统弱端口；具备限制USB存储设备功能和I/O接口管控功能；终端支持TTS，系统提供TTS功能，支持远程系统升级服务；具备接入市级及以上地震预警信息发布平台的功能。</w:t>
            </w:r>
          </w:p>
          <w:p w14:paraId="063C4F93">
            <w:pPr>
              <w:widowControl/>
              <w:spacing w:line="360" w:lineRule="auto"/>
              <w:jc w:val="left"/>
              <w:textAlignment w:val="center"/>
              <w:rPr>
                <w:rFonts w:ascii="宋体" w:hAnsi="宋体" w:eastAsia="宋体" w:cs="宋体"/>
                <w:b/>
                <w:color w:val="000000" w:themeColor="text1"/>
                <w:kern w:val="0"/>
                <w:sz w:val="24"/>
                <w:szCs w:val="24"/>
                <w:highlight w:val="none"/>
              </w:rPr>
            </w:pPr>
            <w:r>
              <w:rPr>
                <w:rFonts w:hint="eastAsia" w:ascii="宋体" w:hAnsi="宋体" w:eastAsia="宋体" w:cs="宋体"/>
                <w:color w:val="000000" w:themeColor="text1"/>
                <w:sz w:val="24"/>
                <w:szCs w:val="24"/>
                <w:highlight w:val="none"/>
              </w:rPr>
              <w:t>▲</w:t>
            </w:r>
            <w:r>
              <w:rPr>
                <w:rFonts w:hint="eastAsia" w:ascii="宋体" w:hAnsi="宋体" w:eastAsia="宋体" w:cs="宋体"/>
                <w:color w:val="000000" w:themeColor="text1"/>
                <w:kern w:val="0"/>
                <w:sz w:val="24"/>
                <w:szCs w:val="24"/>
                <w:highlight w:val="none"/>
              </w:rPr>
              <w:t>8、烈度计功能：内置简易烈度计，支持外接高性能烈度计，支持实时波形信息显示。</w:t>
            </w:r>
            <w:r>
              <w:rPr>
                <w:rFonts w:hint="eastAsia" w:ascii="宋体" w:hAnsi="宋体" w:eastAsia="宋体"/>
                <w:b/>
                <w:color w:val="000000" w:themeColor="text1"/>
                <w:sz w:val="24"/>
                <w:szCs w:val="24"/>
                <w:highlight w:val="none"/>
              </w:rPr>
              <w:t>（需提供相关功能界面截图或其他证明材料加盖投标人公章）</w:t>
            </w:r>
          </w:p>
          <w:p w14:paraId="52C562B7">
            <w:pPr>
              <w:widowControl/>
              <w:spacing w:line="360" w:lineRule="auto"/>
              <w:jc w:val="left"/>
              <w:textAlignment w:val="center"/>
              <w:rPr>
                <w:rFonts w:ascii="宋体" w:hAnsi="宋体" w:eastAsia="宋体" w:cs="宋体"/>
                <w:color w:val="000000" w:themeColor="text1"/>
                <w:sz w:val="24"/>
                <w:szCs w:val="24"/>
                <w:highlight w:val="none"/>
              </w:rPr>
            </w:pPr>
            <w:r>
              <w:rPr>
                <w:rFonts w:hint="eastAsia" w:ascii="宋体" w:hAnsi="宋体" w:eastAsia="宋体" w:cs="宋体"/>
                <w:color w:val="000000" w:themeColor="text1"/>
                <w:kern w:val="0"/>
                <w:sz w:val="24"/>
                <w:szCs w:val="24"/>
                <w:highlight w:val="none"/>
              </w:rPr>
              <w:t>9、节能显示：显示屏具备三种工作模式。息屏、节能显示、高亮显示（预警时显示），具备节能环保手动息屏，提供手动息屏/亮屏按钮。当终端设备在预警响应状态下，显示屏处于高亮显示模式；当终端设备在日常工作状态下，且没有用户信息交互操作时，显示屏处于节能模式。</w:t>
            </w:r>
          </w:p>
          <w:p w14:paraId="7968D5AD">
            <w:pPr>
              <w:widowControl/>
              <w:spacing w:line="360" w:lineRule="auto"/>
              <w:jc w:val="left"/>
              <w:textAlignment w:val="center"/>
              <w:rPr>
                <w:rFonts w:ascii="宋体" w:hAnsi="宋体" w:eastAsia="宋体" w:cs="宋体"/>
                <w:color w:val="000000" w:themeColor="text1"/>
                <w:kern w:val="0"/>
                <w:sz w:val="24"/>
                <w:szCs w:val="24"/>
                <w:highlight w:val="none"/>
              </w:rPr>
            </w:pPr>
            <w:bookmarkStart w:id="58" w:name="OLE_LINK62"/>
            <w:bookmarkStart w:id="59" w:name="OLE_LINK63"/>
            <w:r>
              <w:rPr>
                <w:rFonts w:hint="eastAsia" w:ascii="宋体" w:hAnsi="宋体" w:eastAsia="宋体" w:cs="宋体"/>
                <w:color w:val="000000" w:themeColor="text1"/>
                <w:sz w:val="24"/>
                <w:szCs w:val="24"/>
                <w:highlight w:val="none"/>
              </w:rPr>
              <w:t>▲</w:t>
            </w:r>
            <w:bookmarkEnd w:id="58"/>
            <w:bookmarkEnd w:id="59"/>
            <w:r>
              <w:rPr>
                <w:rFonts w:hint="eastAsia" w:ascii="宋体" w:hAnsi="宋体" w:eastAsia="宋体" w:cs="宋体"/>
                <w:color w:val="000000" w:themeColor="text1"/>
                <w:kern w:val="0"/>
                <w:sz w:val="24"/>
                <w:szCs w:val="24"/>
                <w:highlight w:val="none"/>
              </w:rPr>
              <w:t>10、预警及授时功能：具备计算本地烈度和预警等级功能。当终端设备处于预警响应状态时，预警相关服务优先级最高，支持</w:t>
            </w:r>
            <w:r>
              <w:rPr>
                <w:rFonts w:ascii="宋体" w:hAnsi="宋体" w:eastAsia="宋体" w:cs="宋体"/>
                <w:color w:val="000000" w:themeColor="text1"/>
                <w:kern w:val="0"/>
                <w:sz w:val="24"/>
                <w:szCs w:val="24"/>
                <w:highlight w:val="none"/>
              </w:rPr>
              <w:t>NTP授时功能</w:t>
            </w:r>
            <w:r>
              <w:rPr>
                <w:rFonts w:hint="eastAsia" w:ascii="宋体" w:hAnsi="宋体" w:eastAsia="宋体" w:cs="宋体"/>
                <w:color w:val="000000" w:themeColor="text1"/>
                <w:kern w:val="0"/>
                <w:sz w:val="24"/>
                <w:szCs w:val="24"/>
                <w:highlight w:val="none"/>
              </w:rPr>
              <w:t>。</w:t>
            </w:r>
            <w:r>
              <w:rPr>
                <w:rFonts w:hint="eastAsia" w:ascii="宋体" w:hAnsi="宋体" w:eastAsia="宋体" w:cs="宋体"/>
                <w:b/>
                <w:color w:val="000000" w:themeColor="text1"/>
                <w:kern w:val="0"/>
                <w:sz w:val="24"/>
                <w:szCs w:val="24"/>
                <w:highlight w:val="none"/>
              </w:rPr>
              <w:t>（</w:t>
            </w:r>
            <w:r>
              <w:rPr>
                <w:rFonts w:ascii="宋体" w:hAnsi="宋体" w:eastAsia="宋体"/>
                <w:b/>
                <w:bCs/>
                <w:color w:val="000000" w:themeColor="text1"/>
                <w:sz w:val="24"/>
                <w:szCs w:val="24"/>
                <w:highlight w:val="none"/>
              </w:rPr>
              <w:t>需提供国家认可的第三方检测机构出具的具有CMA标识的检测报告复印件并加盖投标人公章，送检单位名称必须与产品制造单位名称一致。</w:t>
            </w:r>
            <w:r>
              <w:rPr>
                <w:rFonts w:hint="eastAsia" w:ascii="宋体" w:hAnsi="宋体" w:eastAsia="宋体" w:cs="宋体"/>
                <w:b/>
                <w:color w:val="000000" w:themeColor="text1"/>
                <w:kern w:val="0"/>
                <w:sz w:val="24"/>
                <w:szCs w:val="24"/>
                <w:highlight w:val="none"/>
              </w:rPr>
              <w:t>）</w:t>
            </w:r>
          </w:p>
          <w:p w14:paraId="45DA4DD3">
            <w:pPr>
              <w:widowControl/>
              <w:spacing w:line="360" w:lineRule="auto"/>
              <w:jc w:val="left"/>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11、提供分区显示功能，分区显示内容可定制；状态可显示信息包括当前时间（日历）、连接状态（预警服务器）、气象信息、实时波形信息、最新地震消息（滚动显示）和科普宣传信息；预警响应状态显示信息包括预警信息、烈度速报信息、地震速报信息。</w:t>
            </w:r>
          </w:p>
          <w:p w14:paraId="62E87AC8">
            <w:pPr>
              <w:widowControl/>
              <w:spacing w:line="360" w:lineRule="auto"/>
              <w:jc w:val="left"/>
              <w:textAlignment w:val="center"/>
              <w:rPr>
                <w:rFonts w:ascii="宋体" w:hAnsi="宋体" w:eastAsia="宋体" w:cs="宋体"/>
                <w:color w:val="000000" w:themeColor="text1"/>
                <w:sz w:val="24"/>
                <w:szCs w:val="24"/>
                <w:highlight w:val="none"/>
              </w:rPr>
            </w:pPr>
            <w:r>
              <w:rPr>
                <w:rFonts w:hint="eastAsia" w:ascii="宋体" w:hAnsi="宋体" w:eastAsia="宋体" w:cs="宋体"/>
                <w:color w:val="000000" w:themeColor="text1"/>
                <w:kern w:val="0"/>
                <w:sz w:val="24"/>
                <w:szCs w:val="24"/>
                <w:highlight w:val="none"/>
              </w:rPr>
              <w:t>12、灯光报警器：具备红、橙、黄、蓝四种颜色警报灯；具备闪烁（爆闪）功能，可根据预警发布规则配置进行灯光告警。</w:t>
            </w:r>
          </w:p>
          <w:p w14:paraId="0BBB306A">
            <w:pPr>
              <w:widowControl/>
              <w:spacing w:line="360" w:lineRule="auto"/>
              <w:jc w:val="left"/>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13、声音报警器：配置工作和报警两套声音报警器，报警时输出功率≥20W。</w:t>
            </w:r>
          </w:p>
          <w:p w14:paraId="273CF93F">
            <w:pPr>
              <w:widowControl/>
              <w:spacing w:line="360" w:lineRule="auto"/>
              <w:jc w:val="left"/>
              <w:textAlignment w:val="center"/>
              <w:rPr>
                <w:rFonts w:ascii="宋体" w:hAnsi="宋体" w:eastAsia="宋体" w:cs="宋体"/>
                <w:color w:val="000000" w:themeColor="text1"/>
                <w:sz w:val="24"/>
                <w:szCs w:val="24"/>
                <w:highlight w:val="none"/>
              </w:rPr>
            </w:pPr>
            <w:r>
              <w:rPr>
                <w:rFonts w:hint="eastAsia" w:ascii="宋体" w:hAnsi="宋体" w:eastAsia="宋体" w:cs="宋体"/>
                <w:color w:val="000000" w:themeColor="text1"/>
                <w:kern w:val="0"/>
                <w:sz w:val="24"/>
                <w:szCs w:val="24"/>
                <w:highlight w:val="none"/>
              </w:rPr>
              <w:t>14、视频采集：内置视频采集功能，视频采集时收录声音；视频分辨率≥720P。</w:t>
            </w:r>
          </w:p>
          <w:p w14:paraId="6932BC34">
            <w:pPr>
              <w:widowControl/>
              <w:spacing w:line="360" w:lineRule="auto"/>
              <w:jc w:val="left"/>
              <w:textAlignment w:val="center"/>
              <w:rPr>
                <w:rFonts w:ascii="宋体" w:hAnsi="宋体" w:eastAsia="宋体" w:cs="宋体"/>
                <w:color w:val="000000" w:themeColor="text1"/>
                <w:sz w:val="24"/>
                <w:szCs w:val="24"/>
                <w:highlight w:val="none"/>
              </w:rPr>
            </w:pPr>
            <w:r>
              <w:rPr>
                <w:rFonts w:hint="eastAsia" w:ascii="宋体" w:hAnsi="宋体" w:eastAsia="宋体" w:cs="宋体"/>
                <w:color w:val="000000" w:themeColor="text1"/>
                <w:kern w:val="0"/>
                <w:sz w:val="24"/>
                <w:szCs w:val="24"/>
                <w:highlight w:val="none"/>
              </w:rPr>
              <w:t>15、演练服务：具备地震预警演练功能，显示信息包括醒目的“演练”标题。支持多灾种自定义模拟演练数据配置；支持消防、人防、防暴等模拟演练。</w:t>
            </w:r>
          </w:p>
          <w:p w14:paraId="5A6AFA52">
            <w:pPr>
              <w:widowControl/>
              <w:spacing w:line="360" w:lineRule="auto"/>
              <w:jc w:val="left"/>
              <w:textAlignment w:val="center"/>
              <w:rPr>
                <w:rFonts w:ascii="宋体" w:hAnsi="宋体" w:eastAsia="宋体" w:cs="宋体"/>
                <w:color w:val="000000" w:themeColor="text1"/>
                <w:sz w:val="24"/>
                <w:szCs w:val="24"/>
                <w:highlight w:val="none"/>
              </w:rPr>
            </w:pPr>
            <w:r>
              <w:rPr>
                <w:rFonts w:hint="eastAsia" w:ascii="宋体" w:hAnsi="宋体" w:eastAsia="宋体" w:cs="宋体"/>
                <w:color w:val="000000" w:themeColor="text1"/>
                <w:kern w:val="0"/>
                <w:sz w:val="24"/>
                <w:szCs w:val="24"/>
                <w:highlight w:val="none"/>
              </w:rPr>
              <w:t>16、扩展功能：设备主机可通过有线方式拓展≥2路预警号角，支持与多台声音报警器进行组网，声音报警器能够同步终端的预警警报，支持实时监测声音报警器的运行状态。</w:t>
            </w:r>
          </w:p>
          <w:p w14:paraId="5511F70D">
            <w:pPr>
              <w:widowControl/>
              <w:spacing w:line="360" w:lineRule="auto"/>
              <w:jc w:val="left"/>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sz w:val="24"/>
                <w:szCs w:val="24"/>
                <w:highlight w:val="none"/>
              </w:rPr>
              <w:t>▲</w:t>
            </w:r>
            <w:r>
              <w:rPr>
                <w:rFonts w:hint="eastAsia" w:ascii="宋体" w:hAnsi="宋体" w:eastAsia="宋体" w:cs="宋体"/>
                <w:color w:val="000000" w:themeColor="text1"/>
                <w:kern w:val="0"/>
                <w:sz w:val="24"/>
                <w:szCs w:val="24"/>
                <w:highlight w:val="none"/>
              </w:rPr>
              <w:t>17、具备多震响应功能：对多震预警能够同时响应，在相近的时间内发生了多个地震，地震终端对多个地震的预警均能够及时接收、响应并播报；多震预警处理响应时间≤1秒。</w:t>
            </w:r>
            <w:r>
              <w:rPr>
                <w:rFonts w:hint="eastAsia" w:ascii="宋体" w:hAnsi="宋体" w:eastAsia="宋体" w:cs="宋体"/>
                <w:b/>
                <w:color w:val="000000" w:themeColor="text1"/>
                <w:kern w:val="0"/>
                <w:sz w:val="24"/>
                <w:szCs w:val="24"/>
                <w:highlight w:val="none"/>
              </w:rPr>
              <w:t>（</w:t>
            </w:r>
            <w:r>
              <w:rPr>
                <w:rFonts w:ascii="宋体" w:hAnsi="宋体" w:eastAsia="宋体"/>
                <w:b/>
                <w:bCs/>
                <w:color w:val="000000" w:themeColor="text1"/>
                <w:sz w:val="24"/>
                <w:szCs w:val="24"/>
                <w:highlight w:val="none"/>
              </w:rPr>
              <w:t>需提供国家认可的第三方检测机构出具的具有CMA标识的检测报告复印件并加盖投标人公章，送检单位名称必须与产品制造单位名称一致。</w:t>
            </w:r>
            <w:r>
              <w:rPr>
                <w:rFonts w:hint="eastAsia" w:ascii="宋体" w:hAnsi="宋体" w:eastAsia="宋体" w:cs="宋体"/>
                <w:b/>
                <w:color w:val="000000" w:themeColor="text1"/>
                <w:kern w:val="0"/>
                <w:sz w:val="24"/>
                <w:szCs w:val="24"/>
                <w:highlight w:val="none"/>
              </w:rPr>
              <w:t>）</w:t>
            </w:r>
          </w:p>
          <w:p w14:paraId="2D3F90B4">
            <w:pPr>
              <w:widowControl/>
              <w:spacing w:line="360" w:lineRule="auto"/>
              <w:jc w:val="left"/>
              <w:textAlignment w:val="center"/>
              <w:rPr>
                <w:rFonts w:ascii="宋体" w:hAnsi="宋体" w:eastAsia="宋体" w:cs="宋体"/>
                <w:color w:val="000000" w:themeColor="text1"/>
                <w:sz w:val="24"/>
                <w:szCs w:val="24"/>
                <w:highlight w:val="none"/>
              </w:rPr>
            </w:pPr>
            <w:r>
              <w:rPr>
                <w:rFonts w:hint="eastAsia" w:ascii="宋体" w:hAnsi="宋体" w:eastAsia="宋体" w:cs="宋体"/>
                <w:color w:val="000000" w:themeColor="text1"/>
                <w:kern w:val="0"/>
                <w:sz w:val="24"/>
                <w:szCs w:val="24"/>
                <w:highlight w:val="none"/>
              </w:rPr>
              <w:t>18、日志管理：系统日志连续记录，包括但不限于系统状态、系统自检、连接、操作、各类信息获取和确认、处理、显示、异常处理，且本地保存≥30天；地震预警信息日志，包括但不限于报文接收信息报文内容、报文回复、预警响应以及反馈信息等，本地保存且≥3个月，支持日志分类、分级保存。具备定时（可配置）上传日志文件到日志服务器（日志服务器信息可配置）。</w:t>
            </w:r>
          </w:p>
          <w:p w14:paraId="7A9F2134">
            <w:pPr>
              <w:widowControl/>
              <w:spacing w:line="360" w:lineRule="auto"/>
              <w:jc w:val="left"/>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19、系统设置：终端设备重启以后，保证系统内所有配置与重启之前一致；如果终端设备非法关闭，重启后的系统应是最近一次正常运行配置；当终端设备网络通讯异常时，通过还原网络配置将所有网络配置网络部分恢复到出厂设置，网络配置WIFI和4G配置；具备数据存储能力和自动清理空间能力。</w:t>
            </w:r>
          </w:p>
          <w:p w14:paraId="45C9C399">
            <w:pPr>
              <w:widowControl/>
              <w:spacing w:line="360" w:lineRule="auto"/>
              <w:jc w:val="left"/>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20、系统自检：终端设备可定时自检，自检内容包括但不限于系统状态、网络状态、服务连接状态；具备电源状态指示灯。自检报告自动保存，支持远程查看。</w:t>
            </w:r>
          </w:p>
          <w:p w14:paraId="68619A39">
            <w:pPr>
              <w:widowControl/>
              <w:spacing w:line="360" w:lineRule="auto"/>
              <w:jc w:val="left"/>
              <w:textAlignment w:val="center"/>
              <w:rPr>
                <w:rFonts w:ascii="宋体" w:hAnsi="宋体" w:eastAsia="宋体" w:cs="宋体"/>
                <w:b/>
                <w:color w:val="000000" w:themeColor="text1"/>
                <w:kern w:val="0"/>
                <w:sz w:val="24"/>
                <w:szCs w:val="24"/>
                <w:highlight w:val="none"/>
              </w:rPr>
            </w:pPr>
            <w:r>
              <w:rPr>
                <w:rFonts w:ascii="宋体" w:hAnsi="宋体" w:eastAsia="宋体" w:cs="Times New Roman"/>
                <w:b/>
                <w:color w:val="000000" w:themeColor="text1"/>
                <w:sz w:val="24"/>
                <w:szCs w:val="24"/>
                <w:highlight w:val="none"/>
              </w:rPr>
              <w:t>*</w:t>
            </w:r>
            <w:r>
              <w:rPr>
                <w:rFonts w:hint="eastAsia" w:ascii="宋体" w:hAnsi="宋体" w:eastAsia="宋体" w:cs="宋体"/>
                <w:b/>
                <w:color w:val="000000" w:themeColor="text1"/>
                <w:kern w:val="0"/>
                <w:sz w:val="24"/>
                <w:szCs w:val="24"/>
                <w:highlight w:val="none"/>
              </w:rPr>
              <w:t>21、</w:t>
            </w:r>
            <w:r>
              <w:rPr>
                <w:rFonts w:hint="eastAsia" w:ascii="宋体" w:hAnsi="宋体" w:eastAsia="宋体" w:cs="宋体"/>
                <w:color w:val="000000" w:themeColor="text1"/>
                <w:kern w:val="0"/>
                <w:sz w:val="24"/>
                <w:szCs w:val="24"/>
                <w:highlight w:val="none"/>
              </w:rPr>
              <w:t>预警信息发布终端防篡改接入认证服务：实现与省地震烈度速报预警防篡改密码安全系统对接，确保接入终端适配预警信息发布终端防篡改系统，实现预警信息发布终端签名验签的功能，实现对预警消息签名进行校验的功能。提供国密身份数字证书，实现预警信息发布终端接入发布系统的身份强认证，用户名密码结合国密数字证书校验，保障发布终端的身份合法性，数字证书终身有效。产品与省地震烈度速报预警防篡改密码安全系统的适配、集成升级、二次开发等费用由供应商承担。</w:t>
            </w:r>
            <w:r>
              <w:rPr>
                <w:rFonts w:hint="eastAsia" w:ascii="宋体" w:hAnsi="宋体" w:eastAsia="宋体" w:cs="宋体"/>
                <w:b/>
                <w:color w:val="000000" w:themeColor="text1"/>
                <w:kern w:val="0"/>
                <w:sz w:val="24"/>
                <w:szCs w:val="24"/>
                <w:highlight w:val="none"/>
              </w:rPr>
              <w:t>（供应商需提供保证接入省地震烈度速报预警防篡改密码安全系统的承诺函，详见格式3。）</w:t>
            </w:r>
          </w:p>
          <w:p w14:paraId="03666E27">
            <w:pPr>
              <w:widowControl/>
              <w:spacing w:line="360" w:lineRule="auto"/>
              <w:jc w:val="left"/>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22、工作环境：温度在-20℃～50℃，空气相对湿度值不大于90%RH，无凝露。</w:t>
            </w:r>
          </w:p>
          <w:p w14:paraId="0B9C81CC">
            <w:pPr>
              <w:widowControl/>
              <w:spacing w:line="360" w:lineRule="auto"/>
              <w:jc w:val="left"/>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23、运行可靠性：支持7×24小时的不间断运行，支持断电数据保护、离线数据播放。在正常环境和供电条件下可连续稳定工作，连续工作≥18000小时。</w:t>
            </w:r>
          </w:p>
          <w:p w14:paraId="0E2C285C">
            <w:pPr>
              <w:widowControl/>
              <w:spacing w:line="360" w:lineRule="auto"/>
              <w:jc w:val="left"/>
              <w:textAlignment w:val="center"/>
              <w:rPr>
                <w:rFonts w:ascii="宋体" w:hAnsi="宋体" w:eastAsia="宋体" w:cs="宋体"/>
                <w:color w:val="000000" w:themeColor="text1"/>
                <w:sz w:val="24"/>
                <w:szCs w:val="24"/>
                <w:highlight w:val="none"/>
              </w:rPr>
            </w:pPr>
            <w:r>
              <w:rPr>
                <w:rFonts w:hint="eastAsia" w:ascii="宋体" w:hAnsi="宋体" w:eastAsia="宋体" w:cs="宋体"/>
                <w:color w:val="000000" w:themeColor="text1"/>
                <w:kern w:val="0"/>
                <w:sz w:val="24"/>
                <w:szCs w:val="24"/>
                <w:highlight w:val="none"/>
              </w:rPr>
              <w:t>24、在终端上需体现甲方单位的名称。</w:t>
            </w:r>
          </w:p>
          <w:p w14:paraId="4F14FC35">
            <w:pPr>
              <w:spacing w:line="360" w:lineRule="auto"/>
              <w:jc w:val="left"/>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25、安装方式：壁挂式安装。</w:t>
            </w:r>
          </w:p>
          <w:p w14:paraId="731C4C3A">
            <w:pPr>
              <w:spacing w:line="360" w:lineRule="auto"/>
              <w:jc w:val="left"/>
              <w:textAlignment w:val="center"/>
              <w:rPr>
                <w:rFonts w:ascii="宋体" w:hAnsi="宋体" w:eastAsia="宋体" w:cs="宋体"/>
                <w:color w:val="000000" w:themeColor="text1"/>
                <w:sz w:val="24"/>
                <w:szCs w:val="24"/>
                <w:highlight w:val="none"/>
              </w:rPr>
            </w:pPr>
            <w:r>
              <w:rPr>
                <w:rFonts w:ascii="宋体" w:hAnsi="宋体" w:eastAsia="宋体" w:cs="Times New Roman"/>
                <w:b/>
                <w:color w:val="000000" w:themeColor="text1"/>
                <w:sz w:val="24"/>
                <w:szCs w:val="24"/>
                <w:highlight w:val="none"/>
              </w:rPr>
              <w:t>*</w:t>
            </w:r>
            <w:r>
              <w:rPr>
                <w:rFonts w:hint="eastAsia" w:ascii="宋体" w:hAnsi="宋体" w:eastAsia="宋体" w:cs="宋体"/>
                <w:b/>
                <w:color w:val="000000" w:themeColor="text1"/>
                <w:kern w:val="0"/>
                <w:sz w:val="24"/>
                <w:szCs w:val="24"/>
                <w:highlight w:val="none"/>
              </w:rPr>
              <w:t>26、</w:t>
            </w:r>
            <w:r>
              <w:rPr>
                <w:rFonts w:hint="eastAsia" w:ascii="宋体" w:hAnsi="宋体" w:eastAsia="宋体" w:cs="宋体"/>
                <w:color w:val="000000" w:themeColor="text1"/>
                <w:kern w:val="0"/>
                <w:sz w:val="24"/>
                <w:szCs w:val="24"/>
                <w:highlight w:val="none"/>
              </w:rPr>
              <w:t>配套市县地震预警终端综合管理平台软件，以WEB版客户端登录，通过权限管理，分市级总平台、13个县区（含高新区）分平台。支持对本包内核心产品统一管理，具有运维终端管理功能、远程控制、终端内容管理等功能。可进行参数设置、人员管理、避难场所管理，支持查看设备基础信息、设备运行状态、调节设备音量、查看预警记录，可进行科普播报、模拟演练、广播测试等功能，可实现对终端类型、安装位置、在线状态、声音状态、预警信息、速报信息、使用状态等多维度统计与地图可视化直观展示。</w:t>
            </w:r>
            <w:r>
              <w:rPr>
                <w:rFonts w:hint="eastAsia" w:ascii="宋体" w:hAnsi="宋体" w:eastAsia="宋体" w:cs="宋体"/>
                <w:b/>
                <w:color w:val="000000" w:themeColor="text1"/>
                <w:kern w:val="0"/>
                <w:sz w:val="24"/>
                <w:szCs w:val="24"/>
                <w:highlight w:val="none"/>
              </w:rPr>
              <w:t>（需提供软件功能界面截图，并加盖投标人公章）</w:t>
            </w:r>
          </w:p>
        </w:tc>
        <w:tc>
          <w:tcPr>
            <w:tcW w:w="607" w:type="pct"/>
            <w:vAlign w:val="center"/>
          </w:tcPr>
          <w:p w14:paraId="1FA53825">
            <w:pPr>
              <w:spacing w:line="360" w:lineRule="auto"/>
              <w:jc w:val="center"/>
              <w:rPr>
                <w:rFonts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187台</w:t>
            </w:r>
          </w:p>
        </w:tc>
        <w:tc>
          <w:tcPr>
            <w:tcW w:w="914" w:type="pct"/>
            <w:vAlign w:val="center"/>
          </w:tcPr>
          <w:p w14:paraId="2885B2FE">
            <w:pPr>
              <w:spacing w:line="360" w:lineRule="auto"/>
              <w:jc w:val="center"/>
              <w:rPr>
                <w:rFonts w:ascii="宋体" w:hAnsi="宋体" w:eastAsia="宋体" w:cs="宋体"/>
                <w:color w:val="000000" w:themeColor="text1"/>
                <w:sz w:val="24"/>
                <w:szCs w:val="24"/>
                <w:highlight w:val="none"/>
              </w:rPr>
            </w:pPr>
            <w:r>
              <w:rPr>
                <w:rFonts w:ascii="宋体" w:hAnsi="宋体" w:eastAsia="宋体" w:cs="宋体"/>
                <w:color w:val="000000" w:themeColor="text1"/>
                <w:sz w:val="24"/>
                <w:szCs w:val="24"/>
                <w:highlight w:val="none"/>
              </w:rPr>
              <w:t>7150.00</w:t>
            </w:r>
          </w:p>
        </w:tc>
      </w:tr>
      <w:tr w14:paraId="2E123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8" w:type="pct"/>
            <w:vAlign w:val="center"/>
          </w:tcPr>
          <w:p w14:paraId="4457218A">
            <w:pPr>
              <w:spacing w:line="360" w:lineRule="auto"/>
              <w:jc w:val="center"/>
              <w:rPr>
                <w:rFonts w:ascii="宋体" w:hAnsi="宋体" w:eastAsia="宋体" w:cs="宋体"/>
                <w:color w:val="000000" w:themeColor="text1"/>
                <w:sz w:val="24"/>
                <w:szCs w:val="24"/>
                <w:highlight w:val="none"/>
              </w:rPr>
            </w:pPr>
            <w:bookmarkStart w:id="60" w:name="OLE_LINK64"/>
            <w:bookmarkStart w:id="61" w:name="OLE_LINK16"/>
            <w:bookmarkStart w:id="62" w:name="_Hlk202973288"/>
            <w:r>
              <w:rPr>
                <w:rFonts w:hint="eastAsia" w:ascii="宋体" w:hAnsi="宋体" w:eastAsia="宋体" w:cs="宋体"/>
                <w:color w:val="000000" w:themeColor="text1"/>
                <w:sz w:val="24"/>
                <w:szCs w:val="24"/>
                <w:highlight w:val="none"/>
              </w:rPr>
              <w:t>2</w:t>
            </w:r>
          </w:p>
        </w:tc>
        <w:tc>
          <w:tcPr>
            <w:tcW w:w="659" w:type="pct"/>
            <w:vAlign w:val="center"/>
          </w:tcPr>
          <w:p w14:paraId="5DAE7EAD">
            <w:pPr>
              <w:spacing w:line="360" w:lineRule="auto"/>
              <w:jc w:val="center"/>
              <w:rPr>
                <w:rFonts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地震预警终端</w:t>
            </w:r>
            <w:r>
              <w:rPr>
                <w:rFonts w:ascii="宋体" w:hAnsi="宋体" w:eastAsia="宋体" w:cs="宋体"/>
                <w:color w:val="000000" w:themeColor="text1"/>
                <w:sz w:val="24"/>
                <w:szCs w:val="24"/>
                <w:highlight w:val="none"/>
              </w:rPr>
              <w:t>2</w:t>
            </w:r>
            <w:r>
              <w:rPr>
                <w:rFonts w:hint="eastAsia" w:ascii="宋体" w:hAnsi="宋体" w:eastAsia="宋体" w:cs="宋体"/>
                <w:color w:val="000000" w:themeColor="text1"/>
                <w:sz w:val="24"/>
                <w:szCs w:val="24"/>
                <w:highlight w:val="none"/>
              </w:rPr>
              <w:t>（核心产品）</w:t>
            </w:r>
          </w:p>
        </w:tc>
        <w:tc>
          <w:tcPr>
            <w:tcW w:w="2412" w:type="pct"/>
            <w:vAlign w:val="center"/>
          </w:tcPr>
          <w:p w14:paraId="0A3EA0FF">
            <w:pPr>
              <w:widowControl/>
              <w:spacing w:line="360" w:lineRule="auto"/>
              <w:jc w:val="left"/>
              <w:rPr>
                <w:rFonts w:ascii="宋体" w:hAnsi="宋体" w:eastAsia="宋体" w:cs="宋体"/>
                <w:color w:val="000000" w:themeColor="text1"/>
                <w:kern w:val="0"/>
                <w:sz w:val="24"/>
                <w:szCs w:val="24"/>
                <w:highlight w:val="none"/>
              </w:rPr>
            </w:pPr>
            <w:r>
              <w:rPr>
                <w:rFonts w:ascii="宋体" w:hAnsi="宋体" w:eastAsia="宋体" w:cs="Times New Roman"/>
                <w:b/>
                <w:color w:val="000000" w:themeColor="text1"/>
                <w:sz w:val="24"/>
                <w:szCs w:val="24"/>
                <w:highlight w:val="none"/>
              </w:rPr>
              <w:t>*</w:t>
            </w:r>
            <w:r>
              <w:rPr>
                <w:rFonts w:hint="eastAsia" w:ascii="宋体" w:hAnsi="宋体" w:eastAsia="宋体" w:cs="宋体"/>
                <w:b/>
                <w:color w:val="000000" w:themeColor="text1"/>
                <w:kern w:val="0"/>
                <w:sz w:val="24"/>
                <w:szCs w:val="24"/>
                <w:highlight w:val="none"/>
              </w:rPr>
              <w:t>27、</w:t>
            </w:r>
            <w:r>
              <w:rPr>
                <w:rFonts w:hint="eastAsia" w:ascii="宋体" w:hAnsi="宋体" w:eastAsia="宋体" w:cs="宋体"/>
                <w:color w:val="000000" w:themeColor="text1"/>
                <w:kern w:val="0"/>
                <w:sz w:val="24"/>
                <w:szCs w:val="24"/>
                <w:highlight w:val="none"/>
              </w:rPr>
              <w:t>基本要求：产品符合《中国地震预警网地震预警信息发布指南》和《国家地震烈度速报与预警工程项目紧急地震信息服务终端相关技术要求》等技术规范规定的通信协议和信息结构；为中国地震局台网中心通过地震监测专业设备定型设备的预警信息服务专用终端</w:t>
            </w:r>
            <w:r>
              <w:rPr>
                <w:rFonts w:hint="eastAsia" w:ascii="宋体" w:hAnsi="宋体" w:eastAsia="宋体" w:cs="宋体"/>
                <w:b/>
                <w:color w:val="000000" w:themeColor="text1"/>
                <w:kern w:val="0"/>
                <w:sz w:val="24"/>
                <w:szCs w:val="24"/>
                <w:highlight w:val="none"/>
              </w:rPr>
              <w:t>（提供产品型号在《中国地震局台网中心通过地震监测专业设备定型设备的通知》清单内的证明文件，或提供由中国地震台网中心出具的产品型号定型结果证明文件，并加盖投标人公章）</w:t>
            </w:r>
            <w:r>
              <w:rPr>
                <w:rFonts w:hint="eastAsia" w:ascii="宋体" w:hAnsi="宋体" w:eastAsia="宋体" w:cs="宋体"/>
                <w:color w:val="000000" w:themeColor="text1"/>
                <w:kern w:val="0"/>
                <w:sz w:val="24"/>
                <w:szCs w:val="24"/>
                <w:highlight w:val="none"/>
              </w:rPr>
              <w:t>；满足地震预警终端信息防篡改密码安全要求；符合陕西省《地震预警信息发布规范》（</w:t>
            </w:r>
            <w:r>
              <w:rPr>
                <w:rFonts w:ascii="宋体" w:hAnsi="宋体" w:eastAsia="宋体" w:cs="宋体"/>
                <w:color w:val="000000" w:themeColor="text1"/>
                <w:kern w:val="0"/>
                <w:sz w:val="24"/>
                <w:szCs w:val="24"/>
                <w:highlight w:val="none"/>
              </w:rPr>
              <w:t>DB61/T1848—2024）标准</w:t>
            </w:r>
            <w:r>
              <w:rPr>
                <w:rFonts w:hint="eastAsia" w:ascii="宋体" w:hAnsi="宋体" w:eastAsia="宋体" w:cs="宋体"/>
                <w:b/>
                <w:color w:val="000000" w:themeColor="text1"/>
                <w:kern w:val="0"/>
                <w:sz w:val="24"/>
                <w:szCs w:val="24"/>
                <w:highlight w:val="none"/>
              </w:rPr>
              <w:t>（提供该产品型号符合该标准的证明文件或承诺函，格式自拟）。</w:t>
            </w:r>
          </w:p>
          <w:p w14:paraId="1FB30A90">
            <w:pPr>
              <w:widowControl/>
              <w:spacing w:line="360" w:lineRule="auto"/>
              <w:jc w:val="left"/>
              <w:textAlignment w:val="center"/>
              <w:rPr>
                <w:rFonts w:ascii="宋体" w:hAnsi="宋体" w:eastAsia="宋体" w:cs="宋体"/>
                <w:color w:val="000000" w:themeColor="text1"/>
                <w:sz w:val="24"/>
                <w:szCs w:val="24"/>
                <w:highlight w:val="none"/>
              </w:rPr>
            </w:pPr>
            <w:r>
              <w:rPr>
                <w:rFonts w:ascii="宋体" w:hAnsi="宋体" w:eastAsia="宋体" w:cs="Times New Roman"/>
                <w:b/>
                <w:color w:val="000000" w:themeColor="text1"/>
                <w:sz w:val="24"/>
                <w:szCs w:val="24"/>
                <w:highlight w:val="none"/>
              </w:rPr>
              <w:t>*</w:t>
            </w:r>
            <w:r>
              <w:rPr>
                <w:rFonts w:hint="eastAsia" w:ascii="宋体" w:hAnsi="宋体" w:eastAsia="宋体" w:cs="宋体"/>
                <w:b/>
                <w:color w:val="000000" w:themeColor="text1"/>
                <w:kern w:val="0"/>
                <w:sz w:val="24"/>
                <w:szCs w:val="24"/>
                <w:highlight w:val="none"/>
              </w:rPr>
              <w:t>28、</w:t>
            </w:r>
            <w:r>
              <w:rPr>
                <w:rFonts w:hint="eastAsia" w:ascii="宋体" w:hAnsi="宋体" w:eastAsia="宋体" w:cs="宋体"/>
                <w:color w:val="000000" w:themeColor="text1"/>
                <w:kern w:val="0"/>
                <w:sz w:val="24"/>
                <w:szCs w:val="24"/>
                <w:highlight w:val="none"/>
              </w:rPr>
              <w:t>屏幕：24寸LED背光</w:t>
            </w:r>
            <w:r>
              <w:rPr>
                <w:rFonts w:hint="eastAsia" w:ascii="宋体" w:hAnsi="宋体" w:eastAsia="宋体" w:cs="宋体"/>
                <w:b/>
                <w:color w:val="000000" w:themeColor="text1"/>
                <w:kern w:val="0"/>
                <w:sz w:val="24"/>
                <w:szCs w:val="24"/>
                <w:highlight w:val="none"/>
              </w:rPr>
              <w:t>。（投标人需提供证明材料，加盖投标人公章）</w:t>
            </w:r>
          </w:p>
          <w:p w14:paraId="32A90B6F">
            <w:pPr>
              <w:widowControl/>
              <w:spacing w:line="360" w:lineRule="auto"/>
              <w:jc w:val="left"/>
              <w:textAlignment w:val="center"/>
              <w:rPr>
                <w:rFonts w:ascii="宋体" w:hAnsi="宋体" w:eastAsia="宋体" w:cs="宋体"/>
                <w:color w:val="000000" w:themeColor="text1"/>
                <w:sz w:val="24"/>
                <w:szCs w:val="24"/>
                <w:highlight w:val="none"/>
              </w:rPr>
            </w:pPr>
            <w:r>
              <w:rPr>
                <w:rFonts w:hint="eastAsia" w:ascii="宋体" w:hAnsi="宋体" w:eastAsia="宋体" w:cs="宋体"/>
                <w:color w:val="000000" w:themeColor="text1"/>
                <w:kern w:val="0"/>
                <w:sz w:val="24"/>
                <w:szCs w:val="24"/>
                <w:highlight w:val="none"/>
              </w:rPr>
              <w:t>29、屏幕亮度：≥400cd/㎡。</w:t>
            </w:r>
          </w:p>
          <w:p w14:paraId="1A2861FD">
            <w:pPr>
              <w:widowControl/>
              <w:spacing w:line="360" w:lineRule="auto"/>
              <w:jc w:val="left"/>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30、显示比例：16:9（屏幕立式显示）。</w:t>
            </w:r>
          </w:p>
          <w:p w14:paraId="1A43F763">
            <w:pPr>
              <w:widowControl/>
              <w:spacing w:line="360" w:lineRule="auto"/>
              <w:jc w:val="left"/>
              <w:textAlignment w:val="center"/>
              <w:rPr>
                <w:rFonts w:ascii="宋体" w:hAnsi="宋体" w:eastAsia="宋体" w:cs="宋体"/>
                <w:color w:val="000000" w:themeColor="text1"/>
                <w:sz w:val="24"/>
                <w:szCs w:val="24"/>
                <w:highlight w:val="none"/>
              </w:rPr>
            </w:pPr>
            <w:r>
              <w:rPr>
                <w:rFonts w:hint="eastAsia" w:ascii="宋体" w:hAnsi="宋体" w:eastAsia="宋体" w:cs="宋体"/>
                <w:color w:val="000000" w:themeColor="text1"/>
                <w:kern w:val="0"/>
                <w:sz w:val="24"/>
                <w:szCs w:val="24"/>
                <w:highlight w:val="none"/>
              </w:rPr>
              <w:t>31、分辨率≥1920*1080。</w:t>
            </w:r>
          </w:p>
          <w:p w14:paraId="3C764797">
            <w:pPr>
              <w:widowControl/>
              <w:spacing w:line="360" w:lineRule="auto"/>
              <w:jc w:val="left"/>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32、通讯及接口：支持并提供RJ45有线网络、WIFI以及4G/5G通信物联网卡接入，支持USB接口，提供≥2个USB2.0及以上接口，支持音频输出、HDMI输出。</w:t>
            </w:r>
          </w:p>
          <w:p w14:paraId="20A52F4B">
            <w:pPr>
              <w:widowControl/>
              <w:spacing w:line="360" w:lineRule="auto"/>
              <w:jc w:val="left"/>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33、操作系统：具备</w:t>
            </w:r>
            <w:r>
              <w:rPr>
                <w:rFonts w:ascii="宋体" w:hAnsi="宋体" w:eastAsia="宋体" w:cs="宋体"/>
                <w:color w:val="000000" w:themeColor="text1"/>
                <w:kern w:val="0"/>
                <w:sz w:val="24"/>
                <w:szCs w:val="24"/>
                <w:highlight w:val="none"/>
              </w:rPr>
              <w:t>APP和Web远程管理功能，可查看终端设备状态、配置和管理相关参数，进行系统升级、重置、重启及预警相关应用升级和服务重启；支持APP白名单访问设置，支持禁用系统弱端口；具备限制USB存储设备功能和I/O接口管控功能；终端支持TTS，系统提供TTS功能，支持远程系统升级服务；具备接入市级及以上地震预警信息发布平台的功能。</w:t>
            </w:r>
          </w:p>
          <w:p w14:paraId="7C141600">
            <w:pPr>
              <w:widowControl/>
              <w:spacing w:line="360" w:lineRule="auto"/>
              <w:jc w:val="left"/>
              <w:textAlignment w:val="center"/>
              <w:rPr>
                <w:rFonts w:ascii="宋体" w:hAnsi="宋体" w:eastAsia="宋体" w:cs="宋体"/>
                <w:b/>
                <w:color w:val="000000" w:themeColor="text1"/>
                <w:kern w:val="0"/>
                <w:sz w:val="24"/>
                <w:szCs w:val="24"/>
                <w:highlight w:val="none"/>
              </w:rPr>
            </w:pPr>
            <w:r>
              <w:rPr>
                <w:rFonts w:hint="eastAsia" w:ascii="宋体" w:hAnsi="宋体" w:eastAsia="宋体" w:cs="宋体"/>
                <w:color w:val="000000" w:themeColor="text1"/>
                <w:sz w:val="24"/>
                <w:szCs w:val="24"/>
                <w:highlight w:val="none"/>
              </w:rPr>
              <w:t>▲</w:t>
            </w:r>
            <w:r>
              <w:rPr>
                <w:rFonts w:hint="eastAsia" w:ascii="宋体" w:hAnsi="宋体" w:eastAsia="宋体" w:cs="宋体"/>
                <w:color w:val="000000" w:themeColor="text1"/>
                <w:kern w:val="0"/>
                <w:sz w:val="24"/>
                <w:szCs w:val="24"/>
                <w:highlight w:val="none"/>
              </w:rPr>
              <w:t>34、烈度计功能：内置简易烈度计，支持外接高性能烈度计，支持实时波形信息显示。</w:t>
            </w:r>
            <w:r>
              <w:rPr>
                <w:rFonts w:hint="eastAsia" w:ascii="宋体" w:hAnsi="宋体" w:eastAsia="宋体"/>
                <w:b/>
                <w:color w:val="000000" w:themeColor="text1"/>
                <w:sz w:val="24"/>
                <w:szCs w:val="24"/>
                <w:highlight w:val="none"/>
              </w:rPr>
              <w:t>（需提供相关功能界面截图或其他证明材料加盖投标人公章。）</w:t>
            </w:r>
          </w:p>
          <w:p w14:paraId="299D0253">
            <w:pPr>
              <w:widowControl/>
              <w:spacing w:line="360" w:lineRule="auto"/>
              <w:jc w:val="left"/>
              <w:textAlignment w:val="center"/>
              <w:rPr>
                <w:rFonts w:ascii="宋体" w:hAnsi="宋体" w:eastAsia="宋体" w:cs="宋体"/>
                <w:color w:val="000000" w:themeColor="text1"/>
                <w:sz w:val="24"/>
                <w:szCs w:val="24"/>
                <w:highlight w:val="none"/>
              </w:rPr>
            </w:pPr>
            <w:r>
              <w:rPr>
                <w:rFonts w:hint="eastAsia" w:ascii="宋体" w:hAnsi="宋体" w:eastAsia="宋体" w:cs="宋体"/>
                <w:color w:val="000000" w:themeColor="text1"/>
                <w:kern w:val="0"/>
                <w:sz w:val="24"/>
                <w:szCs w:val="24"/>
                <w:highlight w:val="none"/>
              </w:rPr>
              <w:t>35、节能显示：显示屏具备三种工作模式。息屏、节能显示、高亮显示（预警时显示），具备节能环保手动息屏，提供手动息屏/亮屏按钮。当终端设备在预警响应状态下，显示屏处于高亮显示模式；当终端设备在日常工作状态下，且没有用户信息交互操作时，显示屏处于节能模式。</w:t>
            </w:r>
          </w:p>
          <w:p w14:paraId="076EFB9A">
            <w:pPr>
              <w:widowControl/>
              <w:spacing w:line="360" w:lineRule="auto"/>
              <w:jc w:val="left"/>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sz w:val="24"/>
                <w:szCs w:val="24"/>
                <w:highlight w:val="none"/>
              </w:rPr>
              <w:t>▲</w:t>
            </w:r>
            <w:r>
              <w:rPr>
                <w:rFonts w:hint="eastAsia" w:ascii="宋体" w:hAnsi="宋体" w:eastAsia="宋体" w:cs="宋体"/>
                <w:color w:val="000000" w:themeColor="text1"/>
                <w:kern w:val="0"/>
                <w:sz w:val="24"/>
                <w:szCs w:val="24"/>
                <w:highlight w:val="none"/>
              </w:rPr>
              <w:t>36、预警及授时功能：具备计算本地烈度和预警等级功能。当终端设备处于预警响应状态时，预警相关服务优先级最高，支持</w:t>
            </w:r>
            <w:r>
              <w:rPr>
                <w:rFonts w:ascii="宋体" w:hAnsi="宋体" w:eastAsia="宋体" w:cs="宋体"/>
                <w:color w:val="000000" w:themeColor="text1"/>
                <w:kern w:val="0"/>
                <w:sz w:val="24"/>
                <w:szCs w:val="24"/>
                <w:highlight w:val="none"/>
              </w:rPr>
              <w:t>NTP授时功能</w:t>
            </w:r>
            <w:r>
              <w:rPr>
                <w:rFonts w:hint="eastAsia" w:ascii="宋体" w:hAnsi="宋体" w:eastAsia="宋体" w:cs="宋体"/>
                <w:color w:val="000000" w:themeColor="text1"/>
                <w:kern w:val="0"/>
                <w:sz w:val="24"/>
                <w:szCs w:val="24"/>
                <w:highlight w:val="none"/>
              </w:rPr>
              <w:t>。</w:t>
            </w:r>
            <w:r>
              <w:rPr>
                <w:rFonts w:hint="eastAsia" w:ascii="宋体" w:hAnsi="宋体" w:eastAsia="宋体"/>
                <w:b/>
                <w:bCs/>
                <w:color w:val="000000" w:themeColor="text1"/>
                <w:sz w:val="24"/>
                <w:szCs w:val="24"/>
                <w:highlight w:val="none"/>
              </w:rPr>
              <w:t>（</w:t>
            </w:r>
            <w:r>
              <w:rPr>
                <w:rFonts w:ascii="宋体" w:hAnsi="宋体" w:eastAsia="宋体"/>
                <w:b/>
                <w:bCs/>
                <w:color w:val="000000" w:themeColor="text1"/>
                <w:sz w:val="24"/>
                <w:szCs w:val="24"/>
                <w:highlight w:val="none"/>
              </w:rPr>
              <w:t>需提供国家认可的第三方检测机构出具的具有CMA标识的检测报告复印件并加盖投标人公章，送检单位名称必须与产品制造单位名称一致。</w:t>
            </w:r>
            <w:r>
              <w:rPr>
                <w:rFonts w:hint="eastAsia" w:ascii="宋体" w:hAnsi="宋体" w:eastAsia="宋体"/>
                <w:b/>
                <w:bCs/>
                <w:color w:val="000000" w:themeColor="text1"/>
                <w:sz w:val="24"/>
                <w:szCs w:val="24"/>
                <w:highlight w:val="none"/>
              </w:rPr>
              <w:t>）</w:t>
            </w:r>
          </w:p>
          <w:p w14:paraId="47B7076E">
            <w:pPr>
              <w:widowControl/>
              <w:spacing w:line="360" w:lineRule="auto"/>
              <w:jc w:val="left"/>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37、提供分区显示功能，分区显示内容可定制；状态可显示信息包括当前时间（日历）、连接状态（预警服务器）、气象信息、实时波形信息、最新地震消息（滚动显示）和科普宣传信息；预警响应状态显示信息包括预警信息、烈度速报信息、地震速报信息。</w:t>
            </w:r>
          </w:p>
          <w:p w14:paraId="53A4E18C">
            <w:pPr>
              <w:widowControl/>
              <w:spacing w:line="360" w:lineRule="auto"/>
              <w:jc w:val="left"/>
              <w:textAlignment w:val="center"/>
              <w:rPr>
                <w:rFonts w:ascii="宋体" w:hAnsi="宋体" w:eastAsia="宋体" w:cs="宋体"/>
                <w:color w:val="000000" w:themeColor="text1"/>
                <w:sz w:val="24"/>
                <w:szCs w:val="24"/>
                <w:highlight w:val="none"/>
              </w:rPr>
            </w:pPr>
            <w:r>
              <w:rPr>
                <w:rFonts w:hint="eastAsia" w:ascii="宋体" w:hAnsi="宋体" w:eastAsia="宋体" w:cs="宋体"/>
                <w:color w:val="000000" w:themeColor="text1"/>
                <w:kern w:val="0"/>
                <w:sz w:val="24"/>
                <w:szCs w:val="24"/>
                <w:highlight w:val="none"/>
              </w:rPr>
              <w:t>38、灯光报警器：具备红、橙、黄、蓝四种颜色警报灯；具备闪烁（爆闪）功能，可根据预警发布规则配置进行灯光告警。</w:t>
            </w:r>
          </w:p>
          <w:p w14:paraId="776DA8D9">
            <w:pPr>
              <w:widowControl/>
              <w:spacing w:line="360" w:lineRule="auto"/>
              <w:jc w:val="left"/>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39、声音报警器：配置工作和报警两套声音报警器，报警时输出功率≥20W。</w:t>
            </w:r>
          </w:p>
          <w:p w14:paraId="44F389BD">
            <w:pPr>
              <w:widowControl/>
              <w:spacing w:line="360" w:lineRule="auto"/>
              <w:jc w:val="left"/>
              <w:textAlignment w:val="center"/>
              <w:rPr>
                <w:rFonts w:ascii="宋体" w:hAnsi="宋体" w:eastAsia="宋体" w:cs="宋体"/>
                <w:color w:val="000000" w:themeColor="text1"/>
                <w:sz w:val="24"/>
                <w:szCs w:val="24"/>
                <w:highlight w:val="none"/>
              </w:rPr>
            </w:pPr>
            <w:r>
              <w:rPr>
                <w:rFonts w:hint="eastAsia" w:ascii="宋体" w:hAnsi="宋体" w:eastAsia="宋体" w:cs="宋体"/>
                <w:color w:val="000000" w:themeColor="text1"/>
                <w:kern w:val="0"/>
                <w:sz w:val="24"/>
                <w:szCs w:val="24"/>
                <w:highlight w:val="none"/>
              </w:rPr>
              <w:t>40、视频采集：内置视频采集功能，视频采集时收录声音；视频分辨率≥720P。</w:t>
            </w:r>
          </w:p>
          <w:p w14:paraId="4DF7E9B5">
            <w:pPr>
              <w:widowControl/>
              <w:spacing w:line="360" w:lineRule="auto"/>
              <w:jc w:val="left"/>
              <w:textAlignment w:val="center"/>
              <w:rPr>
                <w:rFonts w:ascii="宋体" w:hAnsi="宋体" w:eastAsia="宋体" w:cs="宋体"/>
                <w:color w:val="000000" w:themeColor="text1"/>
                <w:sz w:val="24"/>
                <w:szCs w:val="24"/>
                <w:highlight w:val="none"/>
              </w:rPr>
            </w:pPr>
            <w:r>
              <w:rPr>
                <w:rFonts w:hint="eastAsia" w:ascii="宋体" w:hAnsi="宋体" w:eastAsia="宋体" w:cs="宋体"/>
                <w:color w:val="000000" w:themeColor="text1"/>
                <w:kern w:val="0"/>
                <w:sz w:val="24"/>
                <w:szCs w:val="24"/>
                <w:highlight w:val="none"/>
              </w:rPr>
              <w:t>41、演练服务：具备地震预警演练功能，显示信息包括醒目的“演练”标题。支持多灾种自定义模拟演练数据配置；支持消防、人防、防暴等模拟演练。</w:t>
            </w:r>
          </w:p>
          <w:p w14:paraId="3ACD9A9F">
            <w:pPr>
              <w:widowControl/>
              <w:spacing w:line="360" w:lineRule="auto"/>
              <w:jc w:val="left"/>
              <w:textAlignment w:val="center"/>
              <w:rPr>
                <w:rFonts w:ascii="宋体" w:hAnsi="宋体" w:eastAsia="宋体" w:cs="宋体"/>
                <w:color w:val="000000" w:themeColor="text1"/>
                <w:sz w:val="24"/>
                <w:szCs w:val="24"/>
                <w:highlight w:val="none"/>
              </w:rPr>
            </w:pPr>
            <w:r>
              <w:rPr>
                <w:rFonts w:hint="eastAsia" w:ascii="宋体" w:hAnsi="宋体" w:eastAsia="宋体" w:cs="宋体"/>
                <w:color w:val="000000" w:themeColor="text1"/>
                <w:kern w:val="0"/>
                <w:sz w:val="24"/>
                <w:szCs w:val="24"/>
                <w:highlight w:val="none"/>
              </w:rPr>
              <w:t>42、扩展功能：设备主机可通过有线方式拓展≥2路预警号角，支持与多台声音报警器进行组网，声音报警器能够同步终端的预警警报，支持实时监测声音报警器的运行状态。</w:t>
            </w:r>
          </w:p>
          <w:p w14:paraId="7CB1A5BE">
            <w:pPr>
              <w:widowControl/>
              <w:spacing w:line="360" w:lineRule="auto"/>
              <w:jc w:val="left"/>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sz w:val="24"/>
                <w:szCs w:val="24"/>
                <w:highlight w:val="none"/>
              </w:rPr>
              <w:t>▲</w:t>
            </w:r>
            <w:r>
              <w:rPr>
                <w:rFonts w:hint="eastAsia" w:ascii="宋体" w:hAnsi="宋体" w:eastAsia="宋体" w:cs="宋体"/>
                <w:color w:val="000000" w:themeColor="text1"/>
                <w:kern w:val="0"/>
                <w:sz w:val="24"/>
                <w:szCs w:val="24"/>
                <w:highlight w:val="none"/>
              </w:rPr>
              <w:t>43、具备多震响应功能：对多震预警能够同时响应，在相近的时间内发生了多个地震，地震终端对多个地震的预警均能够及时接收、响应并播报；多震预警处理响应时间≤1秒。</w:t>
            </w:r>
            <w:r>
              <w:rPr>
                <w:rFonts w:hint="eastAsia" w:ascii="宋体" w:hAnsi="宋体" w:eastAsia="宋体"/>
                <w:b/>
                <w:bCs/>
                <w:color w:val="000000" w:themeColor="text1"/>
                <w:sz w:val="24"/>
                <w:szCs w:val="24"/>
                <w:highlight w:val="none"/>
              </w:rPr>
              <w:t>（</w:t>
            </w:r>
            <w:r>
              <w:rPr>
                <w:rFonts w:ascii="宋体" w:hAnsi="宋体" w:eastAsia="宋体"/>
                <w:b/>
                <w:bCs/>
                <w:color w:val="000000" w:themeColor="text1"/>
                <w:sz w:val="24"/>
                <w:szCs w:val="24"/>
                <w:highlight w:val="none"/>
              </w:rPr>
              <w:t>需提供国家认可的第三方检测机构出具的具有CMA标识的检测报告复印件并加盖投标人公章，送检单位名称必须与产品制造单位名称一致。</w:t>
            </w:r>
            <w:r>
              <w:rPr>
                <w:rFonts w:hint="eastAsia" w:ascii="宋体" w:hAnsi="宋体" w:eastAsia="宋体"/>
                <w:b/>
                <w:bCs/>
                <w:color w:val="000000" w:themeColor="text1"/>
                <w:sz w:val="24"/>
                <w:szCs w:val="24"/>
                <w:highlight w:val="none"/>
              </w:rPr>
              <w:t>）</w:t>
            </w:r>
          </w:p>
          <w:p w14:paraId="46305E03">
            <w:pPr>
              <w:widowControl/>
              <w:spacing w:line="360" w:lineRule="auto"/>
              <w:jc w:val="left"/>
              <w:textAlignment w:val="center"/>
              <w:rPr>
                <w:rFonts w:ascii="宋体" w:hAnsi="宋体" w:eastAsia="宋体" w:cs="宋体"/>
                <w:color w:val="000000" w:themeColor="text1"/>
                <w:sz w:val="24"/>
                <w:szCs w:val="24"/>
                <w:highlight w:val="none"/>
              </w:rPr>
            </w:pPr>
            <w:r>
              <w:rPr>
                <w:rFonts w:hint="eastAsia" w:ascii="宋体" w:hAnsi="宋体" w:eastAsia="宋体" w:cs="宋体"/>
                <w:color w:val="000000" w:themeColor="text1"/>
                <w:kern w:val="0"/>
                <w:sz w:val="24"/>
                <w:szCs w:val="24"/>
                <w:highlight w:val="none"/>
              </w:rPr>
              <w:t>44、日志管理：系统日志连续记录，包括但不限于系统状态、系统自检、连接、操作、各类信息获取和确认、处理、显示、异常处理，且本地保存≥30天；地震预警信息日志，包括但不限于报文接收信息报文内容、报文回复、预警响应以及反馈信息等，本地保存且≥3个月，支持日志分类、分级保存。具备定时（可配置）上传日志文件到日志服务器（日志服务器信息可配置）。</w:t>
            </w:r>
          </w:p>
          <w:p w14:paraId="489379D2">
            <w:pPr>
              <w:widowControl/>
              <w:spacing w:line="360" w:lineRule="auto"/>
              <w:jc w:val="left"/>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45、系统设置：终端设备重启以后，保证系统内所有配置与重启之前一致；如果终端设备非法关闭，重启后的系统应是最近一次正常运行配置；当终端设备网络通讯异常时，通过还原网络配置将所有网络配置网络部分恢复到出厂设置，网络配置WIFI和4G配置；具备数据存储能力和自动清理空间能力。</w:t>
            </w:r>
          </w:p>
          <w:p w14:paraId="5CB55A3C">
            <w:pPr>
              <w:widowControl/>
              <w:spacing w:line="360" w:lineRule="auto"/>
              <w:jc w:val="left"/>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46、系统自检：终端设备可定时自检，自检内容包括但不限于系统状态、网络状态、服务连接状态；具备电源状态指示灯。自检报告自动保存，支持远程查看。</w:t>
            </w:r>
          </w:p>
          <w:p w14:paraId="34538DAF">
            <w:pPr>
              <w:widowControl/>
              <w:spacing w:line="360" w:lineRule="auto"/>
              <w:jc w:val="left"/>
              <w:textAlignment w:val="center"/>
              <w:rPr>
                <w:rFonts w:ascii="宋体" w:hAnsi="宋体" w:eastAsia="宋体" w:cs="宋体"/>
                <w:b/>
                <w:color w:val="000000" w:themeColor="text1"/>
                <w:kern w:val="0"/>
                <w:sz w:val="24"/>
                <w:szCs w:val="24"/>
                <w:highlight w:val="none"/>
              </w:rPr>
            </w:pPr>
            <w:r>
              <w:rPr>
                <w:rFonts w:ascii="宋体" w:hAnsi="宋体" w:eastAsia="宋体" w:cs="Times New Roman"/>
                <w:b/>
                <w:color w:val="000000" w:themeColor="text1"/>
                <w:sz w:val="24"/>
                <w:szCs w:val="24"/>
                <w:highlight w:val="none"/>
              </w:rPr>
              <w:t>*</w:t>
            </w:r>
            <w:r>
              <w:rPr>
                <w:rFonts w:hint="eastAsia" w:ascii="宋体" w:hAnsi="宋体" w:eastAsia="宋体" w:cs="宋体"/>
                <w:b/>
                <w:color w:val="000000" w:themeColor="text1"/>
                <w:kern w:val="0"/>
                <w:sz w:val="24"/>
                <w:szCs w:val="24"/>
                <w:highlight w:val="none"/>
              </w:rPr>
              <w:t>47、</w:t>
            </w:r>
            <w:r>
              <w:rPr>
                <w:rFonts w:hint="eastAsia" w:ascii="宋体" w:hAnsi="宋体" w:eastAsia="宋体" w:cs="宋体"/>
                <w:color w:val="000000" w:themeColor="text1"/>
                <w:kern w:val="0"/>
                <w:sz w:val="24"/>
                <w:szCs w:val="24"/>
                <w:highlight w:val="none"/>
              </w:rPr>
              <w:t>预警信息发布终端防篡改接入认证服务：实现与省地震烈度速报预警防篡改密码安全系统对接，确保接入终端适配预警信息发布终端防篡改系统，实现预警信息发布终端签名验签的功能，实现对预警消息签名进行校验的功能。提供国密身份数字证书，实现预警信息发布终端接入发布系统的身份强认证，用户名密码结合国密数字证书校验，保障发布终端的身份合法性，数字证书终身有效。产品与省地震烈度速报预警防篡改密码安全系统的适配、集成升级、二次开发等费用由供应商承担。</w:t>
            </w:r>
            <w:r>
              <w:rPr>
                <w:rFonts w:hint="eastAsia" w:ascii="宋体" w:hAnsi="宋体" w:eastAsia="宋体" w:cs="宋体"/>
                <w:b/>
                <w:color w:val="000000" w:themeColor="text1"/>
                <w:kern w:val="0"/>
                <w:sz w:val="24"/>
                <w:szCs w:val="24"/>
                <w:highlight w:val="none"/>
              </w:rPr>
              <w:t>（供应商需提供保证接入省地震烈度速报预警防篡改密码安全系统的承诺函，详见格式3。）</w:t>
            </w:r>
          </w:p>
          <w:p w14:paraId="046F3CE8">
            <w:pPr>
              <w:widowControl/>
              <w:spacing w:line="360" w:lineRule="auto"/>
              <w:jc w:val="left"/>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48、工作环境：温度在-20℃～50℃，空气相对湿度值不大于90%RH，无凝露。</w:t>
            </w:r>
          </w:p>
          <w:p w14:paraId="3A804AF3">
            <w:pPr>
              <w:widowControl/>
              <w:spacing w:line="360" w:lineRule="auto"/>
              <w:jc w:val="left"/>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49、运行可靠性：支持7×24小时的不间断运行，支持断电数据保护、离线数据播放。在正常环境和供电条件下可连续稳定工作，连续工作≥18000小时。</w:t>
            </w:r>
          </w:p>
          <w:p w14:paraId="66C82EBB">
            <w:pPr>
              <w:widowControl/>
              <w:spacing w:line="360" w:lineRule="auto"/>
              <w:jc w:val="left"/>
              <w:textAlignment w:val="center"/>
              <w:rPr>
                <w:rFonts w:ascii="宋体" w:hAnsi="宋体" w:eastAsia="宋体" w:cs="宋体"/>
                <w:color w:val="000000" w:themeColor="text1"/>
                <w:sz w:val="24"/>
                <w:szCs w:val="24"/>
                <w:highlight w:val="none"/>
              </w:rPr>
            </w:pPr>
            <w:r>
              <w:rPr>
                <w:rFonts w:hint="eastAsia" w:ascii="宋体" w:hAnsi="宋体" w:eastAsia="宋体" w:cs="宋体"/>
                <w:color w:val="000000" w:themeColor="text1"/>
                <w:kern w:val="0"/>
                <w:sz w:val="24"/>
                <w:szCs w:val="24"/>
                <w:highlight w:val="none"/>
              </w:rPr>
              <w:t>50、在终端上需体现甲方单位的名称。</w:t>
            </w:r>
          </w:p>
          <w:p w14:paraId="28B5AFB3">
            <w:pPr>
              <w:spacing w:line="360" w:lineRule="auto"/>
              <w:jc w:val="left"/>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51、安装方式：壁挂式安装。</w:t>
            </w:r>
          </w:p>
          <w:p w14:paraId="5D2231DA">
            <w:pPr>
              <w:spacing w:line="360" w:lineRule="auto"/>
              <w:jc w:val="left"/>
              <w:textAlignment w:val="center"/>
              <w:rPr>
                <w:rFonts w:ascii="宋体" w:hAnsi="宋体" w:eastAsia="宋体" w:cs="宋体"/>
                <w:color w:val="000000" w:themeColor="text1"/>
                <w:sz w:val="24"/>
                <w:szCs w:val="24"/>
                <w:highlight w:val="none"/>
              </w:rPr>
            </w:pPr>
            <w:r>
              <w:rPr>
                <w:rFonts w:hint="eastAsia" w:ascii="宋体" w:hAnsi="宋体" w:eastAsia="宋体" w:cs="宋体"/>
                <w:color w:val="000000" w:themeColor="text1"/>
                <w:kern w:val="0"/>
                <w:sz w:val="24"/>
                <w:szCs w:val="24"/>
                <w:highlight w:val="none"/>
              </w:rPr>
              <w:t>52、配套市县地震预警终端综合管理平台软件，以WEB版客户端登录，通过权限管理，分市级总平台、13个县区（含高新区）分平台。支持对本包内核心产品统一管理，具有运维终端管理功能、远程控制、终端内容管理等功能。可进行参数设置、人员管理、避难场所管理，支持查看设备基础信息、设备运行状态、调节设备音量、查看预警记录，可进行科普播报、模拟演练、广播测试等功能，可实现对终端类型、安装位置、在线状态、声音状态、预警信息、速报信息、使用状态等多维度统计与地图可视化直观展示。</w:t>
            </w:r>
          </w:p>
        </w:tc>
        <w:tc>
          <w:tcPr>
            <w:tcW w:w="607" w:type="pct"/>
            <w:vAlign w:val="center"/>
          </w:tcPr>
          <w:p w14:paraId="03DF7182">
            <w:pPr>
              <w:spacing w:line="360" w:lineRule="auto"/>
              <w:jc w:val="center"/>
              <w:rPr>
                <w:rFonts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39台</w:t>
            </w:r>
          </w:p>
        </w:tc>
        <w:tc>
          <w:tcPr>
            <w:tcW w:w="914" w:type="pct"/>
            <w:vAlign w:val="center"/>
          </w:tcPr>
          <w:p w14:paraId="5E7290EC">
            <w:pPr>
              <w:spacing w:line="360" w:lineRule="auto"/>
              <w:jc w:val="center"/>
              <w:rPr>
                <w:rFonts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6</w:t>
            </w:r>
            <w:r>
              <w:rPr>
                <w:rFonts w:ascii="宋体" w:hAnsi="宋体" w:eastAsia="宋体" w:cs="宋体"/>
                <w:color w:val="000000" w:themeColor="text1"/>
                <w:sz w:val="24"/>
                <w:szCs w:val="24"/>
                <w:highlight w:val="none"/>
              </w:rPr>
              <w:t>750.00</w:t>
            </w:r>
          </w:p>
        </w:tc>
      </w:tr>
      <w:bookmarkEnd w:id="60"/>
      <w:bookmarkEnd w:id="61"/>
      <w:bookmarkEnd w:id="62"/>
      <w:tr w14:paraId="55353A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8" w:type="pct"/>
            <w:vAlign w:val="center"/>
          </w:tcPr>
          <w:p w14:paraId="0CF95506">
            <w:pPr>
              <w:spacing w:line="360" w:lineRule="auto"/>
              <w:jc w:val="center"/>
              <w:rPr>
                <w:rFonts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3</w:t>
            </w:r>
          </w:p>
        </w:tc>
        <w:tc>
          <w:tcPr>
            <w:tcW w:w="659" w:type="pct"/>
            <w:vAlign w:val="center"/>
          </w:tcPr>
          <w:p w14:paraId="543F72F0">
            <w:pPr>
              <w:spacing w:line="360" w:lineRule="auto"/>
              <w:jc w:val="center"/>
              <w:rPr>
                <w:rFonts w:ascii="宋体" w:hAnsi="宋体" w:eastAsia="宋体" w:cs="宋体"/>
                <w:color w:val="000000" w:themeColor="text1"/>
                <w:sz w:val="24"/>
                <w:szCs w:val="24"/>
                <w:highlight w:val="none"/>
              </w:rPr>
            </w:pPr>
            <w:bookmarkStart w:id="63" w:name="OLE_LINK74"/>
            <w:r>
              <w:rPr>
                <w:rFonts w:hint="eastAsia" w:ascii="宋体" w:hAnsi="宋体" w:eastAsia="宋体" w:cs="宋体"/>
                <w:b/>
                <w:bCs/>
                <w:color w:val="000000" w:themeColor="text1"/>
                <w:kern w:val="0"/>
                <w:sz w:val="24"/>
                <w:szCs w:val="24"/>
                <w:highlight w:val="none"/>
              </w:rPr>
              <w:t>地震预警大喇叭</w:t>
            </w:r>
            <w:bookmarkEnd w:id="63"/>
            <w:r>
              <w:rPr>
                <w:rFonts w:hint="eastAsia" w:ascii="宋体" w:hAnsi="宋体" w:eastAsia="宋体" w:cs="宋体"/>
                <w:color w:val="000000" w:themeColor="text1"/>
                <w:kern w:val="0"/>
                <w:sz w:val="24"/>
                <w:szCs w:val="24"/>
                <w:highlight w:val="none"/>
              </w:rPr>
              <w:t>(</w:t>
            </w:r>
            <w:r>
              <w:rPr>
                <w:rFonts w:hint="eastAsia" w:ascii="宋体" w:hAnsi="宋体" w:eastAsia="宋体" w:cs="宋体"/>
                <w:color w:val="000000" w:themeColor="text1"/>
                <w:sz w:val="24"/>
                <w:szCs w:val="24"/>
                <w:highlight w:val="none"/>
              </w:rPr>
              <w:t>核心产品)</w:t>
            </w:r>
          </w:p>
        </w:tc>
        <w:tc>
          <w:tcPr>
            <w:tcW w:w="2412" w:type="pct"/>
            <w:vAlign w:val="center"/>
          </w:tcPr>
          <w:p w14:paraId="21293E07">
            <w:pPr>
              <w:widowControl/>
              <w:spacing w:line="360" w:lineRule="auto"/>
              <w:jc w:val="left"/>
              <w:rPr>
                <w:rFonts w:ascii="宋体" w:hAnsi="宋体" w:eastAsia="宋体" w:cs="宋体"/>
                <w:color w:val="000000" w:themeColor="text1"/>
                <w:kern w:val="0"/>
                <w:sz w:val="24"/>
                <w:szCs w:val="24"/>
                <w:highlight w:val="none"/>
              </w:rPr>
            </w:pPr>
            <w:r>
              <w:rPr>
                <w:rFonts w:ascii="宋体" w:hAnsi="宋体" w:eastAsia="宋体" w:cs="Times New Roman"/>
                <w:b/>
                <w:color w:val="000000" w:themeColor="text1"/>
                <w:sz w:val="24"/>
                <w:szCs w:val="24"/>
                <w:highlight w:val="none"/>
              </w:rPr>
              <w:t>*</w:t>
            </w:r>
            <w:r>
              <w:rPr>
                <w:rFonts w:hint="eastAsia" w:ascii="宋体" w:hAnsi="宋体" w:eastAsia="宋体" w:cs="宋体"/>
                <w:b/>
                <w:color w:val="000000" w:themeColor="text1"/>
                <w:kern w:val="0"/>
                <w:sz w:val="24"/>
                <w:szCs w:val="24"/>
                <w:highlight w:val="none"/>
              </w:rPr>
              <w:t>53、</w:t>
            </w:r>
            <w:r>
              <w:rPr>
                <w:rFonts w:hint="eastAsia" w:ascii="宋体" w:hAnsi="宋体" w:eastAsia="宋体" w:cs="宋体"/>
                <w:color w:val="000000" w:themeColor="text1"/>
                <w:kern w:val="0"/>
                <w:sz w:val="24"/>
                <w:szCs w:val="24"/>
                <w:highlight w:val="none"/>
              </w:rPr>
              <w:t>基本要求：产品符合《中国地震预警网地震预警信息发布指南》和《国家地震烈度速报与预警工程项目紧急地震信息服务终端相关技术要求》等技术规范规定的通信协议和信息结构；为中国地震局台网中心通过地震监测专业设备定型设备的预警信息服务专用终端</w:t>
            </w:r>
            <w:r>
              <w:rPr>
                <w:rFonts w:hint="eastAsia" w:ascii="宋体" w:hAnsi="宋体" w:eastAsia="宋体" w:cs="宋体"/>
                <w:b/>
                <w:color w:val="000000" w:themeColor="text1"/>
                <w:kern w:val="0"/>
                <w:sz w:val="24"/>
                <w:szCs w:val="24"/>
                <w:highlight w:val="none"/>
              </w:rPr>
              <w:t>（提供产品型号在《中国地震局台网中心通过地震监测专业设备定型设备的通知》清单内的证明文件，或提供由中国地震台网中心出具的产品型号定型结果证明文件，并加盖投标人公章）</w:t>
            </w:r>
            <w:r>
              <w:rPr>
                <w:rFonts w:hint="eastAsia" w:ascii="宋体" w:hAnsi="宋体" w:eastAsia="宋体" w:cs="宋体"/>
                <w:color w:val="000000" w:themeColor="text1"/>
                <w:kern w:val="0"/>
                <w:sz w:val="24"/>
                <w:szCs w:val="24"/>
                <w:highlight w:val="none"/>
              </w:rPr>
              <w:t>；满足地震预警终端信息防篡改密码安全要求；符合陕西省《地震预警信息发布规范》（</w:t>
            </w:r>
            <w:r>
              <w:rPr>
                <w:rFonts w:ascii="宋体" w:hAnsi="宋体" w:eastAsia="宋体" w:cs="宋体"/>
                <w:color w:val="000000" w:themeColor="text1"/>
                <w:kern w:val="0"/>
                <w:sz w:val="24"/>
                <w:szCs w:val="24"/>
                <w:highlight w:val="none"/>
              </w:rPr>
              <w:t>DB61/T1848—2024）标准</w:t>
            </w:r>
            <w:r>
              <w:rPr>
                <w:rFonts w:hint="eastAsia" w:ascii="宋体" w:hAnsi="宋体" w:eastAsia="宋体" w:cs="宋体"/>
                <w:b/>
                <w:color w:val="000000" w:themeColor="text1"/>
                <w:kern w:val="0"/>
                <w:sz w:val="24"/>
                <w:szCs w:val="24"/>
                <w:highlight w:val="none"/>
              </w:rPr>
              <w:t>（提供该产品型号符合该标准的证明文件或承诺函，格式自拟）。</w:t>
            </w:r>
          </w:p>
          <w:p w14:paraId="463D480B">
            <w:pPr>
              <w:widowControl/>
              <w:spacing w:line="360" w:lineRule="auto"/>
              <w:textAlignment w:val="center"/>
              <w:rPr>
                <w:rFonts w:ascii="宋体" w:hAnsi="宋体" w:eastAsia="宋体" w:cs="宋体"/>
                <w:b/>
                <w:color w:val="000000" w:themeColor="text1"/>
                <w:kern w:val="0"/>
                <w:sz w:val="24"/>
                <w:szCs w:val="24"/>
                <w:highlight w:val="none"/>
              </w:rPr>
            </w:pPr>
            <w:r>
              <w:rPr>
                <w:rFonts w:ascii="宋体" w:hAnsi="宋体" w:eastAsia="宋体" w:cs="Times New Roman"/>
                <w:b/>
                <w:color w:val="000000" w:themeColor="text1"/>
                <w:sz w:val="24"/>
                <w:szCs w:val="24"/>
                <w:highlight w:val="none"/>
              </w:rPr>
              <w:t>*</w:t>
            </w:r>
            <w:r>
              <w:rPr>
                <w:rFonts w:hint="eastAsia" w:ascii="宋体" w:hAnsi="宋体" w:eastAsia="宋体" w:cs="宋体"/>
                <w:b/>
                <w:color w:val="000000" w:themeColor="text1"/>
                <w:kern w:val="0"/>
                <w:sz w:val="24"/>
                <w:szCs w:val="24"/>
                <w:highlight w:val="none"/>
              </w:rPr>
              <w:t>54、</w:t>
            </w:r>
            <w:r>
              <w:rPr>
                <w:rFonts w:hint="eastAsia" w:ascii="宋体" w:hAnsi="宋体" w:eastAsia="宋体" w:cs="宋体"/>
                <w:color w:val="000000" w:themeColor="text1"/>
                <w:kern w:val="0"/>
                <w:sz w:val="24"/>
                <w:szCs w:val="24"/>
                <w:highlight w:val="none"/>
              </w:rPr>
              <w:t>配置：1套地震预警大喇叭包含2个喇叭（</w:t>
            </w:r>
            <w:bookmarkStart w:id="64" w:name="OLE_LINK78"/>
            <w:bookmarkStart w:id="65" w:name="OLE_LINK77"/>
            <w:r>
              <w:rPr>
                <w:rFonts w:hint="eastAsia" w:ascii="宋体" w:hAnsi="宋体" w:eastAsia="宋体" w:cs="宋体"/>
                <w:color w:val="000000" w:themeColor="text1"/>
                <w:kern w:val="0"/>
                <w:sz w:val="24"/>
                <w:szCs w:val="24"/>
                <w:highlight w:val="none"/>
              </w:rPr>
              <w:t>单个喇叭100W</w:t>
            </w:r>
            <w:bookmarkEnd w:id="64"/>
            <w:bookmarkEnd w:id="65"/>
            <w:r>
              <w:rPr>
                <w:rFonts w:hint="eastAsia" w:ascii="宋体" w:hAnsi="宋体" w:eastAsia="宋体" w:cs="宋体"/>
                <w:color w:val="000000" w:themeColor="text1"/>
                <w:kern w:val="0"/>
                <w:sz w:val="24"/>
                <w:szCs w:val="24"/>
                <w:highlight w:val="none"/>
              </w:rPr>
              <w:t>）和1个无线预警接收器。</w:t>
            </w:r>
            <w:r>
              <w:rPr>
                <w:rFonts w:hint="eastAsia" w:ascii="宋体" w:hAnsi="宋体" w:eastAsia="宋体" w:cs="宋体"/>
                <w:b/>
                <w:color w:val="000000" w:themeColor="text1"/>
                <w:kern w:val="0"/>
                <w:sz w:val="24"/>
                <w:szCs w:val="24"/>
                <w:highlight w:val="none"/>
              </w:rPr>
              <w:t>（需提供相关证明材料加盖投标人公章）</w:t>
            </w:r>
          </w:p>
          <w:p w14:paraId="38019BFF">
            <w:pPr>
              <w:widowControl/>
              <w:spacing w:line="360" w:lineRule="auto"/>
              <w:textAlignment w:val="center"/>
              <w:rPr>
                <w:rFonts w:ascii="宋体" w:hAnsi="宋体" w:eastAsia="宋体" w:cs="宋体"/>
                <w:color w:val="000000" w:themeColor="text1"/>
                <w:sz w:val="24"/>
                <w:szCs w:val="24"/>
                <w:highlight w:val="none"/>
              </w:rPr>
            </w:pPr>
            <w:r>
              <w:rPr>
                <w:rFonts w:hint="eastAsia" w:ascii="宋体" w:hAnsi="宋体" w:eastAsia="宋体" w:cs="宋体"/>
                <w:color w:val="000000" w:themeColor="text1"/>
                <w:kern w:val="0"/>
                <w:sz w:val="24"/>
                <w:szCs w:val="24"/>
                <w:highlight w:val="none"/>
              </w:rPr>
              <w:t>55、灵敏度：≥90dB。</w:t>
            </w:r>
          </w:p>
          <w:p w14:paraId="30CA62D9">
            <w:pPr>
              <w:widowControl/>
              <w:spacing w:line="360" w:lineRule="auto"/>
              <w:textAlignment w:val="center"/>
              <w:rPr>
                <w:rFonts w:ascii="宋体" w:hAnsi="宋体" w:eastAsia="宋体" w:cs="宋体"/>
                <w:color w:val="000000" w:themeColor="text1"/>
                <w:sz w:val="24"/>
                <w:szCs w:val="24"/>
                <w:highlight w:val="none"/>
              </w:rPr>
            </w:pPr>
            <w:r>
              <w:rPr>
                <w:rFonts w:hint="eastAsia" w:ascii="宋体" w:hAnsi="宋体" w:eastAsia="宋体" w:cs="宋体"/>
                <w:color w:val="000000" w:themeColor="text1"/>
                <w:kern w:val="0"/>
                <w:sz w:val="24"/>
                <w:szCs w:val="24"/>
                <w:highlight w:val="none"/>
              </w:rPr>
              <w:t>56、最大声压：≥100dB。</w:t>
            </w:r>
          </w:p>
          <w:p w14:paraId="5F3EF72C">
            <w:pPr>
              <w:widowControl/>
              <w:spacing w:line="360" w:lineRule="auto"/>
              <w:textAlignment w:val="center"/>
              <w:rPr>
                <w:rFonts w:ascii="宋体" w:hAnsi="宋体" w:eastAsia="宋体" w:cs="宋体"/>
                <w:color w:val="000000" w:themeColor="text1"/>
                <w:sz w:val="24"/>
                <w:szCs w:val="24"/>
                <w:highlight w:val="none"/>
              </w:rPr>
            </w:pPr>
            <w:r>
              <w:rPr>
                <w:rFonts w:hint="eastAsia" w:ascii="宋体" w:hAnsi="宋体" w:eastAsia="宋体" w:cs="宋体"/>
                <w:color w:val="000000" w:themeColor="text1"/>
                <w:kern w:val="0"/>
                <w:sz w:val="24"/>
                <w:szCs w:val="24"/>
                <w:highlight w:val="none"/>
              </w:rPr>
              <w:t>▲57、防护等级：≥IP65。</w:t>
            </w:r>
            <w:r>
              <w:rPr>
                <w:rFonts w:hint="eastAsia" w:ascii="宋体" w:hAnsi="宋体" w:eastAsia="宋体"/>
                <w:b/>
                <w:bCs/>
                <w:color w:val="000000" w:themeColor="text1"/>
                <w:sz w:val="24"/>
                <w:szCs w:val="24"/>
                <w:highlight w:val="none"/>
              </w:rPr>
              <w:t>（</w:t>
            </w:r>
            <w:r>
              <w:rPr>
                <w:rFonts w:ascii="宋体" w:hAnsi="宋体" w:eastAsia="宋体"/>
                <w:b/>
                <w:bCs/>
                <w:color w:val="000000" w:themeColor="text1"/>
                <w:sz w:val="24"/>
                <w:szCs w:val="24"/>
                <w:highlight w:val="none"/>
              </w:rPr>
              <w:t>需提供国家认可的第三方检测机构出具的具有CMA标识的检测报告复印件并加盖投标人公章，送检单位名称必须与产品制造单位名称一致。</w:t>
            </w:r>
            <w:r>
              <w:rPr>
                <w:rFonts w:hint="eastAsia" w:ascii="宋体" w:hAnsi="宋体" w:eastAsia="宋体"/>
                <w:b/>
                <w:bCs/>
                <w:color w:val="000000" w:themeColor="text1"/>
                <w:sz w:val="24"/>
                <w:szCs w:val="24"/>
                <w:highlight w:val="none"/>
              </w:rPr>
              <w:t>）</w:t>
            </w:r>
          </w:p>
          <w:p w14:paraId="0D9D32BF">
            <w:pPr>
              <w:widowControl/>
              <w:spacing w:line="360" w:lineRule="auto"/>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58、有效频率范围：≤16kHz。</w:t>
            </w:r>
          </w:p>
          <w:p w14:paraId="62B0821B">
            <w:pPr>
              <w:widowControl/>
              <w:spacing w:line="360" w:lineRule="auto"/>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59、阻抗：≥4Ω。</w:t>
            </w:r>
          </w:p>
          <w:p w14:paraId="287C32E8">
            <w:pPr>
              <w:widowControl/>
              <w:spacing w:line="360" w:lineRule="auto"/>
              <w:textAlignment w:val="center"/>
              <w:rPr>
                <w:rFonts w:ascii="宋体" w:hAnsi="宋体" w:eastAsia="宋体" w:cs="宋体"/>
                <w:color w:val="000000" w:themeColor="text1"/>
                <w:sz w:val="24"/>
                <w:szCs w:val="24"/>
                <w:highlight w:val="none"/>
              </w:rPr>
            </w:pPr>
            <w:r>
              <w:rPr>
                <w:rFonts w:hint="eastAsia" w:ascii="宋体" w:hAnsi="宋体" w:eastAsia="宋体" w:cs="宋体"/>
                <w:color w:val="000000" w:themeColor="text1"/>
                <w:kern w:val="0"/>
                <w:sz w:val="24"/>
                <w:szCs w:val="24"/>
                <w:highlight w:val="none"/>
              </w:rPr>
              <w:t>60、预警功能：具备通信功能和计算本地烈度和倒计时功能。</w:t>
            </w:r>
          </w:p>
          <w:p w14:paraId="3FB9B3BD">
            <w:pPr>
              <w:pStyle w:val="70"/>
              <w:spacing w:line="360" w:lineRule="auto"/>
              <w:jc w:val="left"/>
              <w:rPr>
                <w:rFonts w:ascii="宋体" w:hAnsi="宋体" w:cs="宋体"/>
                <w:color w:val="000000" w:themeColor="text1"/>
                <w:kern w:val="0"/>
                <w:sz w:val="24"/>
                <w:highlight w:val="none"/>
              </w:rPr>
            </w:pPr>
            <w:r>
              <w:rPr>
                <w:rFonts w:hint="eastAsia" w:ascii="宋体" w:hAnsi="宋体" w:cs="宋体"/>
                <w:color w:val="000000" w:themeColor="text1"/>
                <w:kern w:val="0"/>
                <w:sz w:val="24"/>
                <w:highlight w:val="none"/>
              </w:rPr>
              <w:t>61、操作系统：支持远程系统升级服务；支持</w:t>
            </w:r>
            <w:r>
              <w:rPr>
                <w:rFonts w:ascii="宋体" w:hAnsi="宋体" w:cs="宋体"/>
                <w:color w:val="000000" w:themeColor="text1"/>
                <w:kern w:val="0"/>
                <w:sz w:val="24"/>
                <w:highlight w:val="none"/>
              </w:rPr>
              <w:t>APP白名单访问设置；支持禁用系统弱端口；终端支持TTS功能；具备接入市级及以上地震预警信息发布平台的功能。</w:t>
            </w:r>
          </w:p>
          <w:p w14:paraId="5231421C">
            <w:pPr>
              <w:widowControl/>
              <w:spacing w:line="360" w:lineRule="auto"/>
              <w:jc w:val="left"/>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62、通讯及接口：支持并提供RJ45有线网络、WIFI以及4G/5G通信物联网卡接入；支持USB接口和具备标准音频输出接口。</w:t>
            </w:r>
          </w:p>
          <w:p w14:paraId="46C20DF4">
            <w:pPr>
              <w:widowControl/>
              <w:spacing w:line="360" w:lineRule="auto"/>
              <w:jc w:val="left"/>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63、支持地震预警报警声的音量可调节，可根据不同地震预警等级进行声音开关设备，并具备独立进行不同地震预警等级的报警功能。</w:t>
            </w:r>
          </w:p>
          <w:p w14:paraId="1D9E250E">
            <w:pPr>
              <w:widowControl/>
              <w:spacing w:line="360" w:lineRule="auto"/>
              <w:jc w:val="left"/>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64、功放功能：内置功放模块。</w:t>
            </w:r>
          </w:p>
          <w:p w14:paraId="570054A3">
            <w:pPr>
              <w:widowControl/>
              <w:spacing w:line="360" w:lineRule="auto"/>
              <w:jc w:val="left"/>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▲65、灯光报警器：可根据预警发布规则配置进行灯光告警，静态光通≥900LM。</w:t>
            </w:r>
            <w:r>
              <w:rPr>
                <w:rFonts w:hint="eastAsia" w:ascii="宋体" w:hAnsi="宋体" w:eastAsia="宋体"/>
                <w:b/>
                <w:bCs/>
                <w:color w:val="000000" w:themeColor="text1"/>
                <w:sz w:val="24"/>
                <w:szCs w:val="24"/>
                <w:highlight w:val="none"/>
              </w:rPr>
              <w:t>（</w:t>
            </w:r>
            <w:r>
              <w:rPr>
                <w:rFonts w:ascii="宋体" w:hAnsi="宋体" w:eastAsia="宋体"/>
                <w:b/>
                <w:bCs/>
                <w:color w:val="000000" w:themeColor="text1"/>
                <w:sz w:val="24"/>
                <w:szCs w:val="24"/>
                <w:highlight w:val="none"/>
              </w:rPr>
              <w:t>需提供国家认可的第三方检测机构出具的具有CMA标识的检测报告复印件并加盖投标人公章，送检单位名称必须与产品制造单位名称一致。</w:t>
            </w:r>
            <w:r>
              <w:rPr>
                <w:rFonts w:hint="eastAsia" w:ascii="宋体" w:hAnsi="宋体" w:eastAsia="宋体"/>
                <w:b/>
                <w:bCs/>
                <w:color w:val="000000" w:themeColor="text1"/>
                <w:sz w:val="24"/>
                <w:szCs w:val="24"/>
                <w:highlight w:val="none"/>
              </w:rPr>
              <w:t>）</w:t>
            </w:r>
          </w:p>
          <w:p w14:paraId="42BBE727">
            <w:pPr>
              <w:widowControl/>
              <w:spacing w:line="360" w:lineRule="auto"/>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66、指示灯功能：具备设备运行状态指示灯，如电源状态、网络状态等。</w:t>
            </w:r>
          </w:p>
          <w:p w14:paraId="2EC76DDE">
            <w:pPr>
              <w:widowControl/>
              <w:spacing w:line="360" w:lineRule="auto"/>
              <w:textAlignment w:val="center"/>
              <w:rPr>
                <w:rFonts w:ascii="宋体" w:hAnsi="宋体" w:eastAsia="宋体" w:cs="宋体"/>
                <w:color w:val="000000" w:themeColor="text1"/>
                <w:sz w:val="24"/>
                <w:szCs w:val="24"/>
                <w:highlight w:val="none"/>
              </w:rPr>
            </w:pPr>
            <w:r>
              <w:rPr>
                <w:rFonts w:hint="eastAsia" w:ascii="宋体" w:hAnsi="宋体" w:eastAsia="宋体" w:cs="宋体"/>
                <w:color w:val="000000" w:themeColor="text1"/>
                <w:kern w:val="0"/>
                <w:sz w:val="24"/>
                <w:szCs w:val="24"/>
                <w:highlight w:val="none"/>
              </w:rPr>
              <w:t>▲67、传输距离：有效预警声音信号传送距离≥300米。</w:t>
            </w:r>
            <w:r>
              <w:rPr>
                <w:rFonts w:hint="eastAsia" w:ascii="宋体" w:hAnsi="宋体" w:eastAsia="宋体"/>
                <w:b/>
                <w:bCs/>
                <w:color w:val="000000" w:themeColor="text1"/>
                <w:sz w:val="24"/>
                <w:szCs w:val="24"/>
                <w:highlight w:val="none"/>
              </w:rPr>
              <w:t>（</w:t>
            </w:r>
            <w:r>
              <w:rPr>
                <w:rFonts w:ascii="宋体" w:hAnsi="宋体" w:eastAsia="宋体"/>
                <w:b/>
                <w:bCs/>
                <w:color w:val="000000" w:themeColor="text1"/>
                <w:sz w:val="24"/>
                <w:szCs w:val="24"/>
                <w:highlight w:val="none"/>
              </w:rPr>
              <w:t>需提供国家认可的第三方检测机构出具的具有CMA标识的检测报告复印件并加盖投标人公章，送检单位名称必须与产品制造单位名称一致。</w:t>
            </w:r>
            <w:r>
              <w:rPr>
                <w:rFonts w:hint="eastAsia" w:ascii="宋体" w:hAnsi="宋体" w:eastAsia="宋体"/>
                <w:b/>
                <w:bCs/>
                <w:color w:val="000000" w:themeColor="text1"/>
                <w:sz w:val="24"/>
                <w:szCs w:val="24"/>
                <w:highlight w:val="none"/>
              </w:rPr>
              <w:t>）</w:t>
            </w:r>
          </w:p>
          <w:p w14:paraId="33CE9EE9">
            <w:pPr>
              <w:widowControl/>
              <w:spacing w:line="360" w:lineRule="auto"/>
              <w:textAlignment w:val="center"/>
              <w:rPr>
                <w:rFonts w:ascii="宋体" w:hAnsi="宋体" w:eastAsia="宋体" w:cs="宋体"/>
                <w:color w:val="000000" w:themeColor="text1"/>
                <w:sz w:val="24"/>
                <w:szCs w:val="24"/>
                <w:highlight w:val="none"/>
              </w:rPr>
            </w:pPr>
            <w:r>
              <w:rPr>
                <w:rFonts w:hint="eastAsia" w:ascii="宋体" w:hAnsi="宋体" w:eastAsia="宋体" w:cs="宋体"/>
                <w:color w:val="000000" w:themeColor="text1"/>
                <w:kern w:val="0"/>
                <w:sz w:val="24"/>
                <w:szCs w:val="24"/>
                <w:highlight w:val="none"/>
              </w:rPr>
              <w:t>68、扩展功能：支持与多台声音报警器进行组网，声音报警器同步终端的预警播报，支持实时监测声音报警器的状态。</w:t>
            </w:r>
          </w:p>
          <w:p w14:paraId="18B33281">
            <w:pPr>
              <w:widowControl/>
              <w:spacing w:line="360" w:lineRule="auto"/>
              <w:textAlignment w:val="center"/>
              <w:rPr>
                <w:rFonts w:ascii="宋体" w:hAnsi="宋体" w:eastAsia="宋体" w:cs="宋体"/>
                <w:color w:val="000000" w:themeColor="text1"/>
                <w:sz w:val="24"/>
                <w:szCs w:val="24"/>
                <w:highlight w:val="none"/>
              </w:rPr>
            </w:pPr>
            <w:r>
              <w:rPr>
                <w:rFonts w:hint="eastAsia" w:ascii="宋体" w:hAnsi="宋体" w:eastAsia="宋体" w:cs="宋体"/>
                <w:color w:val="000000" w:themeColor="text1"/>
                <w:kern w:val="0"/>
                <w:sz w:val="24"/>
                <w:szCs w:val="24"/>
                <w:highlight w:val="none"/>
              </w:rPr>
              <w:t>69、远程管理功能：可通过预警终端综合管理平台、移动端、PC端等进行多端口远程管理，查看终端状态，配置和管理等远程控制。</w:t>
            </w:r>
          </w:p>
          <w:p w14:paraId="2DA53AE2">
            <w:pPr>
              <w:widowControl/>
              <w:spacing w:line="360" w:lineRule="auto"/>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70、日志管理：系统日志连续记录，包括但不限于系统状态、系统自检、连接、操作、各类信息获取和确认、处理、显示、异常处理，且本地保存≥30天；地震预警信息日志，包括但不限于报文接收信息报文内容、报文回复、预警响应以及反馈信息等，本地保存且≥3个月，支持日志分类、分级保存。</w:t>
            </w:r>
          </w:p>
          <w:p w14:paraId="36D0B689">
            <w:pPr>
              <w:widowControl/>
              <w:spacing w:line="360" w:lineRule="auto"/>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71、系统设置：终端设备重启以后，保证系统内所有配置与重启之前一致；如果终端设备非法关闭，重启后的系统应是最近一次正常运行配置；当终端设备网络通讯异常时，通过还原网络配置将所有网络配置网络部分恢复到出厂设置，网络配置WIFI和4G配置；具备数据存储能力和自动清理空间能力。</w:t>
            </w:r>
          </w:p>
          <w:p w14:paraId="7FF775B7">
            <w:pPr>
              <w:widowControl/>
              <w:spacing w:line="360" w:lineRule="auto"/>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72、系统自检：终端设备可定时自检，自检内容包括但不限于系统状态、网络状态、服务连接状态；具备电源状态指示灯。自检报告自动保存，支持远程查看。</w:t>
            </w:r>
          </w:p>
          <w:p w14:paraId="536BE66A">
            <w:pPr>
              <w:widowControl/>
              <w:spacing w:line="360" w:lineRule="auto"/>
              <w:jc w:val="left"/>
              <w:textAlignment w:val="center"/>
              <w:rPr>
                <w:rFonts w:ascii="宋体" w:hAnsi="宋体" w:eastAsia="宋体" w:cs="宋体"/>
                <w:color w:val="000000" w:themeColor="text1"/>
                <w:kern w:val="0"/>
                <w:sz w:val="24"/>
                <w:szCs w:val="24"/>
                <w:highlight w:val="none"/>
              </w:rPr>
            </w:pPr>
            <w:r>
              <w:rPr>
                <w:rFonts w:ascii="宋体" w:hAnsi="宋体" w:eastAsia="宋体" w:cs="Times New Roman"/>
                <w:b/>
                <w:color w:val="000000" w:themeColor="text1"/>
                <w:sz w:val="24"/>
                <w:szCs w:val="24"/>
                <w:highlight w:val="none"/>
              </w:rPr>
              <w:t>*</w:t>
            </w:r>
            <w:r>
              <w:rPr>
                <w:rFonts w:hint="eastAsia" w:ascii="宋体" w:hAnsi="宋体" w:eastAsia="宋体" w:cs="宋体"/>
                <w:b/>
                <w:color w:val="000000" w:themeColor="text1"/>
                <w:kern w:val="0"/>
                <w:sz w:val="24"/>
                <w:szCs w:val="24"/>
                <w:highlight w:val="none"/>
              </w:rPr>
              <w:t>73、</w:t>
            </w:r>
            <w:r>
              <w:rPr>
                <w:rFonts w:hint="eastAsia" w:ascii="宋体" w:hAnsi="宋体" w:eastAsia="宋体" w:cs="宋体"/>
                <w:color w:val="000000" w:themeColor="text1"/>
                <w:kern w:val="0"/>
                <w:sz w:val="24"/>
                <w:szCs w:val="24"/>
                <w:highlight w:val="none"/>
              </w:rPr>
              <w:t>预警信息发布终端防篡改接入认证服务：实现与省地震烈度速报预警防篡改密码安全系统对接，确保接入终端适配预警信息发布终端防篡改系统，实现预警信息发布终端签名验签的功能，实现对预警消息签名进行校验的功能。提供国密身份数字证书，实现预警信息发布终端接入发布系统的身份强认证，用户名密码结合国密数字证书校验，保障发布终端的身份合法性，数字证书终身有效。产品与省地震烈度速报预警防篡改密码安全系统的适配、集成升级、二次开发等费用由供应商承担。</w:t>
            </w:r>
            <w:r>
              <w:rPr>
                <w:rFonts w:hint="eastAsia" w:ascii="宋体" w:hAnsi="宋体" w:eastAsia="宋体" w:cs="宋体"/>
                <w:b/>
                <w:color w:val="000000" w:themeColor="text1"/>
                <w:kern w:val="0"/>
                <w:sz w:val="24"/>
                <w:szCs w:val="24"/>
                <w:highlight w:val="none"/>
              </w:rPr>
              <w:t>（供应商需提供保证接入省地震烈度速报预警防篡改密码安全系统的承诺函，详见格式3。）</w:t>
            </w:r>
          </w:p>
          <w:p w14:paraId="6D7350F0">
            <w:pPr>
              <w:widowControl/>
              <w:spacing w:line="360" w:lineRule="auto"/>
              <w:jc w:val="left"/>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74、工作环境：温度在-20℃～50℃，空气相对湿度值不大于90%RH，无凝露。</w:t>
            </w:r>
          </w:p>
          <w:p w14:paraId="7BF4FE9F">
            <w:pPr>
              <w:widowControl/>
              <w:spacing w:line="360" w:lineRule="auto"/>
              <w:jc w:val="left"/>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75、运行可靠性：支持7×24小时的不间断运行，支持断电数据保护、离线数据播放。在正常环境和供电条件下可连续稳定工作，连续工作≥18000小时。</w:t>
            </w:r>
          </w:p>
          <w:p w14:paraId="00D90849">
            <w:pPr>
              <w:widowControl/>
              <w:spacing w:line="360" w:lineRule="auto"/>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76、喇叭接口：喇叭接口≥2路，可同时接入不少于2个高音喇叭。</w:t>
            </w:r>
          </w:p>
          <w:p w14:paraId="211F8900">
            <w:pPr>
              <w:spacing w:line="360" w:lineRule="auto"/>
              <w:textAlignment w:val="center"/>
              <w:rPr>
                <w:rFonts w:ascii="宋体" w:hAnsi="宋体" w:eastAsia="宋体" w:cs="宋体"/>
                <w:color w:val="000000" w:themeColor="text1"/>
                <w:sz w:val="24"/>
                <w:szCs w:val="24"/>
                <w:highlight w:val="none"/>
              </w:rPr>
            </w:pPr>
            <w:r>
              <w:rPr>
                <w:rFonts w:hint="eastAsia" w:ascii="宋体" w:hAnsi="宋体" w:eastAsia="宋体" w:cs="宋体"/>
                <w:color w:val="000000" w:themeColor="text1"/>
                <w:kern w:val="0"/>
                <w:sz w:val="24"/>
                <w:szCs w:val="24"/>
                <w:highlight w:val="none"/>
              </w:rPr>
              <w:t>77、配套市县地震预警终端综合管理平台软件，以WEB版客户端登录，通过权限管理，分市级总平台、13个县区（含高新区）分平台。支持对本包内核心产品统一管理，具有运维终端管理功能、远程控制、终端内容管理等功能。可进行参数设置、人员管理、避难场所管理，支持查看设备基础信息、设备运行状态、调节设备音量、查看预警记录，可进行科普播报、模拟演练、广播测试等功能，可实现对终端类型、安装位置、在线状态、声音状态、预警信息、速报信息、使用状态等多维度统计与地图可视化直观展示。</w:t>
            </w:r>
          </w:p>
        </w:tc>
        <w:tc>
          <w:tcPr>
            <w:tcW w:w="607" w:type="pct"/>
            <w:vAlign w:val="center"/>
          </w:tcPr>
          <w:p w14:paraId="51D78C7B">
            <w:pPr>
              <w:spacing w:line="360" w:lineRule="auto"/>
              <w:jc w:val="center"/>
              <w:rPr>
                <w:rFonts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251套</w:t>
            </w:r>
          </w:p>
        </w:tc>
        <w:tc>
          <w:tcPr>
            <w:tcW w:w="914" w:type="pct"/>
            <w:vAlign w:val="center"/>
          </w:tcPr>
          <w:p w14:paraId="517B33E8">
            <w:pPr>
              <w:spacing w:line="360" w:lineRule="auto"/>
              <w:jc w:val="center"/>
              <w:rPr>
                <w:rFonts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3</w:t>
            </w:r>
            <w:r>
              <w:rPr>
                <w:rFonts w:ascii="宋体" w:hAnsi="宋体" w:eastAsia="宋体" w:cs="宋体"/>
                <w:color w:val="000000" w:themeColor="text1"/>
                <w:sz w:val="24"/>
                <w:szCs w:val="24"/>
                <w:highlight w:val="none"/>
              </w:rPr>
              <w:t>200.00</w:t>
            </w:r>
          </w:p>
        </w:tc>
      </w:tr>
      <w:tr w14:paraId="2F5274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8" w:type="pct"/>
            <w:vAlign w:val="center"/>
          </w:tcPr>
          <w:p w14:paraId="7623E3A7">
            <w:pPr>
              <w:spacing w:line="360" w:lineRule="auto"/>
              <w:jc w:val="center"/>
              <w:rPr>
                <w:rFonts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4</w:t>
            </w:r>
          </w:p>
        </w:tc>
        <w:tc>
          <w:tcPr>
            <w:tcW w:w="659" w:type="pct"/>
            <w:vAlign w:val="center"/>
          </w:tcPr>
          <w:p w14:paraId="59E17A46">
            <w:pPr>
              <w:spacing w:line="360" w:lineRule="auto"/>
              <w:jc w:val="center"/>
              <w:rPr>
                <w:rFonts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工作站</w:t>
            </w:r>
          </w:p>
        </w:tc>
        <w:tc>
          <w:tcPr>
            <w:tcW w:w="2412" w:type="pct"/>
            <w:vAlign w:val="center"/>
          </w:tcPr>
          <w:p w14:paraId="3A1CABF8">
            <w:pPr>
              <w:spacing w:line="360" w:lineRule="auto"/>
              <w:rPr>
                <w:rFonts w:ascii="宋体" w:hAnsi="宋体" w:eastAsia="宋体" w:cs="宋体"/>
                <w:color w:val="000000" w:themeColor="text1"/>
                <w:sz w:val="24"/>
                <w:szCs w:val="24"/>
                <w:highlight w:val="none"/>
              </w:rPr>
            </w:pPr>
            <w:r>
              <w:rPr>
                <w:rFonts w:ascii="宋体" w:hAnsi="宋体" w:eastAsia="宋体" w:cs="宋体"/>
                <w:b/>
                <w:color w:val="000000" w:themeColor="text1"/>
                <w:sz w:val="24"/>
                <w:szCs w:val="24"/>
                <w:highlight w:val="none"/>
              </w:rPr>
              <w:t>*</w:t>
            </w:r>
            <w:r>
              <w:rPr>
                <w:rFonts w:hint="eastAsia" w:ascii="宋体" w:hAnsi="宋体" w:eastAsia="宋体" w:cs="宋体"/>
                <w:b/>
                <w:color w:val="000000" w:themeColor="text1"/>
                <w:sz w:val="24"/>
                <w:szCs w:val="24"/>
                <w:highlight w:val="none"/>
              </w:rPr>
              <w:t>78、</w:t>
            </w:r>
            <w:r>
              <w:rPr>
                <w:rFonts w:hint="eastAsia" w:ascii="宋体" w:hAnsi="宋体" w:eastAsia="宋体" w:cs="宋体"/>
                <w:color w:val="000000" w:themeColor="text1"/>
                <w:sz w:val="24"/>
                <w:szCs w:val="24"/>
                <w:highlight w:val="none"/>
              </w:rPr>
              <w:t>国产CPU：≥8核,主频≥3.0GHz，要求国产化自主可控。</w:t>
            </w:r>
            <w:r>
              <w:rPr>
                <w:rFonts w:hint="eastAsia" w:ascii="宋体" w:hAnsi="宋体" w:eastAsia="宋体" w:cs="宋体"/>
                <w:b/>
                <w:color w:val="000000" w:themeColor="text1"/>
                <w:kern w:val="0"/>
                <w:sz w:val="24"/>
                <w:szCs w:val="24"/>
                <w:highlight w:val="none"/>
              </w:rPr>
              <w:t>（需提供相关证明材料加盖投标人公章）</w:t>
            </w:r>
          </w:p>
          <w:p w14:paraId="78FE0914">
            <w:pPr>
              <w:spacing w:line="360" w:lineRule="auto"/>
              <w:rPr>
                <w:rFonts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79、内存：≥16GB×2 DDR4 3200MHz，</w:t>
            </w:r>
            <w:r>
              <w:rPr>
                <w:rFonts w:ascii="宋体" w:hAnsi="宋体" w:eastAsia="宋体" w:cs="宋体"/>
                <w:color w:val="000000" w:themeColor="text1"/>
                <w:sz w:val="24"/>
                <w:szCs w:val="24"/>
                <w:highlight w:val="none"/>
              </w:rPr>
              <w:t>4个内存插槽位</w:t>
            </w:r>
            <w:r>
              <w:rPr>
                <w:rFonts w:hint="eastAsia" w:ascii="宋体" w:hAnsi="宋体" w:eastAsia="宋体" w:cs="宋体"/>
                <w:color w:val="000000" w:themeColor="text1"/>
                <w:sz w:val="24"/>
                <w:szCs w:val="24"/>
                <w:highlight w:val="none"/>
              </w:rPr>
              <w:t>。</w:t>
            </w:r>
          </w:p>
          <w:p w14:paraId="44AF491D">
            <w:pPr>
              <w:spacing w:line="360" w:lineRule="auto"/>
              <w:rPr>
                <w:rFonts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80、硬盘：≥1TB M.2固态硬盘，≥2TB 3.5英寸7200 转机械硬盘。</w:t>
            </w:r>
          </w:p>
          <w:p w14:paraId="1394B953">
            <w:pPr>
              <w:spacing w:line="360" w:lineRule="auto"/>
              <w:rPr>
                <w:rFonts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81、光驱：DVD 刻录光驱。</w:t>
            </w:r>
          </w:p>
          <w:p w14:paraId="4B966C2F">
            <w:pPr>
              <w:spacing w:line="360" w:lineRule="auto"/>
              <w:rPr>
                <w:rFonts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82、显卡：≥8G独显。</w:t>
            </w:r>
          </w:p>
          <w:p w14:paraId="64C12867">
            <w:pPr>
              <w:spacing w:line="360" w:lineRule="auto"/>
              <w:rPr>
                <w:rFonts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83、系统：预装正版授权国产操作系统；正版授权办公软件；正版授权杀毒软件(非试用版)。</w:t>
            </w:r>
          </w:p>
          <w:p w14:paraId="6137F5BF">
            <w:pPr>
              <w:spacing w:line="360" w:lineRule="auto"/>
              <w:rPr>
                <w:rFonts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84、其它：有线键盘+标准有线USB鼠标。</w:t>
            </w:r>
          </w:p>
          <w:p w14:paraId="3ADB83AB">
            <w:pPr>
              <w:spacing w:line="360" w:lineRule="auto"/>
              <w:jc w:val="left"/>
              <w:rPr>
                <w:rFonts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85、</w:t>
            </w:r>
            <w:bookmarkStart w:id="66" w:name="OLE_LINK82"/>
            <w:r>
              <w:rPr>
                <w:rFonts w:hint="eastAsia" w:ascii="宋体" w:hAnsi="宋体" w:eastAsia="宋体" w:cs="宋体"/>
                <w:color w:val="000000" w:themeColor="text1"/>
                <w:sz w:val="24"/>
                <w:szCs w:val="24"/>
                <w:highlight w:val="none"/>
              </w:rPr>
              <w:t>国产显示屏：≥23.8寸，分辨率≥1920*1200(支持7×24小时使用）。</w:t>
            </w:r>
            <w:bookmarkEnd w:id="66"/>
          </w:p>
        </w:tc>
        <w:tc>
          <w:tcPr>
            <w:tcW w:w="607" w:type="pct"/>
            <w:vAlign w:val="center"/>
          </w:tcPr>
          <w:p w14:paraId="12570473">
            <w:pPr>
              <w:spacing w:line="360" w:lineRule="auto"/>
              <w:jc w:val="center"/>
              <w:rPr>
                <w:rFonts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7套</w:t>
            </w:r>
          </w:p>
        </w:tc>
        <w:tc>
          <w:tcPr>
            <w:tcW w:w="914" w:type="pct"/>
            <w:vAlign w:val="center"/>
          </w:tcPr>
          <w:p w14:paraId="0B6FC2B1">
            <w:pPr>
              <w:spacing w:line="360" w:lineRule="auto"/>
              <w:jc w:val="center"/>
              <w:rPr>
                <w:rFonts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7</w:t>
            </w:r>
            <w:r>
              <w:rPr>
                <w:rFonts w:ascii="宋体" w:hAnsi="宋体" w:eastAsia="宋体" w:cs="宋体"/>
                <w:color w:val="000000" w:themeColor="text1"/>
                <w:sz w:val="24"/>
                <w:szCs w:val="24"/>
                <w:highlight w:val="none"/>
              </w:rPr>
              <w:t>900.00</w:t>
            </w:r>
          </w:p>
        </w:tc>
      </w:tr>
      <w:tr w14:paraId="41603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8" w:type="pct"/>
            <w:vAlign w:val="center"/>
          </w:tcPr>
          <w:p w14:paraId="09516849">
            <w:pPr>
              <w:spacing w:line="360" w:lineRule="auto"/>
              <w:jc w:val="center"/>
              <w:rPr>
                <w:rFonts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5</w:t>
            </w:r>
          </w:p>
        </w:tc>
        <w:tc>
          <w:tcPr>
            <w:tcW w:w="659" w:type="pct"/>
            <w:vAlign w:val="center"/>
          </w:tcPr>
          <w:p w14:paraId="131A6E8C">
            <w:pPr>
              <w:spacing w:line="360" w:lineRule="auto"/>
              <w:jc w:val="center"/>
              <w:rPr>
                <w:rFonts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工作站显示屏</w:t>
            </w:r>
          </w:p>
        </w:tc>
        <w:tc>
          <w:tcPr>
            <w:tcW w:w="2412" w:type="pct"/>
            <w:vAlign w:val="center"/>
          </w:tcPr>
          <w:p w14:paraId="780FA2E9">
            <w:pPr>
              <w:spacing w:line="360" w:lineRule="auto"/>
              <w:rPr>
                <w:rFonts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86、显示屏：≥23.8寸,分辨率≥1920*1200（支持24小时运行，与第4项工作站中的显示屏同品牌）。</w:t>
            </w:r>
          </w:p>
        </w:tc>
        <w:tc>
          <w:tcPr>
            <w:tcW w:w="607" w:type="pct"/>
            <w:vAlign w:val="center"/>
          </w:tcPr>
          <w:p w14:paraId="0AE9AB60">
            <w:pPr>
              <w:spacing w:line="360" w:lineRule="auto"/>
              <w:jc w:val="center"/>
              <w:rPr>
                <w:rFonts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3台</w:t>
            </w:r>
          </w:p>
        </w:tc>
        <w:tc>
          <w:tcPr>
            <w:tcW w:w="914" w:type="pct"/>
            <w:vAlign w:val="center"/>
          </w:tcPr>
          <w:p w14:paraId="062A2759">
            <w:pPr>
              <w:spacing w:line="360" w:lineRule="auto"/>
              <w:jc w:val="center"/>
              <w:rPr>
                <w:rFonts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9</w:t>
            </w:r>
            <w:r>
              <w:rPr>
                <w:rFonts w:ascii="宋体" w:hAnsi="宋体" w:eastAsia="宋体" w:cs="宋体"/>
                <w:color w:val="000000" w:themeColor="text1"/>
                <w:sz w:val="24"/>
                <w:szCs w:val="24"/>
                <w:highlight w:val="none"/>
              </w:rPr>
              <w:t>00.00</w:t>
            </w:r>
          </w:p>
        </w:tc>
      </w:tr>
      <w:tr w14:paraId="319BA0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8" w:type="pct"/>
            <w:vAlign w:val="center"/>
          </w:tcPr>
          <w:p w14:paraId="23198D4D">
            <w:pPr>
              <w:spacing w:line="360" w:lineRule="auto"/>
              <w:jc w:val="center"/>
              <w:rPr>
                <w:rFonts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6</w:t>
            </w:r>
          </w:p>
        </w:tc>
        <w:tc>
          <w:tcPr>
            <w:tcW w:w="659" w:type="pct"/>
            <w:vAlign w:val="center"/>
          </w:tcPr>
          <w:p w14:paraId="264E80CA">
            <w:pPr>
              <w:spacing w:line="360" w:lineRule="auto"/>
              <w:jc w:val="center"/>
              <w:rPr>
                <w:rFonts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彩色液晶电视机</w:t>
            </w:r>
          </w:p>
        </w:tc>
        <w:tc>
          <w:tcPr>
            <w:tcW w:w="2412" w:type="pct"/>
            <w:vAlign w:val="center"/>
          </w:tcPr>
          <w:p w14:paraId="2CAF999B">
            <w:pPr>
              <w:widowControl/>
              <w:spacing w:line="360" w:lineRule="auto"/>
              <w:jc w:val="left"/>
              <w:textAlignment w:val="center"/>
              <w:rPr>
                <w:rFonts w:ascii="宋体" w:hAnsi="宋体" w:eastAsia="宋体" w:cs="宋体"/>
                <w:color w:val="000000" w:themeColor="text1"/>
                <w:kern w:val="0"/>
                <w:sz w:val="24"/>
                <w:szCs w:val="24"/>
                <w:highlight w:val="none"/>
              </w:rPr>
            </w:pPr>
            <w:r>
              <w:rPr>
                <w:rFonts w:ascii="宋体" w:hAnsi="宋体" w:eastAsia="宋体" w:cs="宋体"/>
                <w:b/>
                <w:color w:val="000000" w:themeColor="text1"/>
                <w:sz w:val="24"/>
                <w:szCs w:val="24"/>
                <w:highlight w:val="none"/>
              </w:rPr>
              <w:t>*</w:t>
            </w:r>
            <w:r>
              <w:rPr>
                <w:rFonts w:hint="eastAsia" w:ascii="宋体" w:hAnsi="宋体" w:eastAsia="宋体" w:cs="宋体"/>
                <w:b/>
                <w:color w:val="000000" w:themeColor="text1"/>
                <w:kern w:val="0"/>
                <w:sz w:val="24"/>
                <w:szCs w:val="24"/>
                <w:highlight w:val="none"/>
              </w:rPr>
              <w:t>87、</w:t>
            </w:r>
            <w:r>
              <w:rPr>
                <w:rFonts w:hint="eastAsia" w:ascii="宋体" w:hAnsi="宋体" w:eastAsia="宋体" w:cs="宋体"/>
                <w:color w:val="000000" w:themeColor="text1"/>
                <w:kern w:val="0"/>
                <w:sz w:val="24"/>
                <w:szCs w:val="24"/>
                <w:highlight w:val="none"/>
              </w:rPr>
              <w:t>屏幕尺寸：100英寸。</w:t>
            </w:r>
            <w:r>
              <w:rPr>
                <w:rFonts w:hint="eastAsia" w:ascii="宋体" w:hAnsi="宋体" w:eastAsia="宋体" w:cs="宋体"/>
                <w:b/>
                <w:color w:val="000000" w:themeColor="text1"/>
                <w:kern w:val="0"/>
                <w:sz w:val="24"/>
                <w:szCs w:val="24"/>
                <w:highlight w:val="none"/>
              </w:rPr>
              <w:t>（需提供相关证明材料加盖投标人公章）</w:t>
            </w:r>
          </w:p>
          <w:p w14:paraId="67A48914">
            <w:pPr>
              <w:widowControl/>
              <w:spacing w:line="360" w:lineRule="auto"/>
              <w:jc w:val="left"/>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88、屏幕类型：LED显示</w:t>
            </w:r>
          </w:p>
          <w:p w14:paraId="2E2B9FD4">
            <w:pPr>
              <w:widowControl/>
              <w:spacing w:line="360" w:lineRule="auto"/>
              <w:jc w:val="left"/>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89、屏幕分辨率：≥3840*2160超高清4K</w:t>
            </w:r>
          </w:p>
          <w:p w14:paraId="5A9F6081">
            <w:pPr>
              <w:widowControl/>
              <w:spacing w:line="360" w:lineRule="auto"/>
              <w:jc w:val="left"/>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90、屏幕比例：16：9</w:t>
            </w:r>
          </w:p>
          <w:p w14:paraId="2F46228F">
            <w:pPr>
              <w:widowControl/>
              <w:spacing w:line="360" w:lineRule="auto"/>
              <w:jc w:val="left"/>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91、刷新率：≥144Hz</w:t>
            </w:r>
          </w:p>
          <w:p w14:paraId="30A89ECB">
            <w:pPr>
              <w:widowControl/>
              <w:spacing w:line="360" w:lineRule="auto"/>
              <w:jc w:val="left"/>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92、主机性能：≥四核CPU,运行内存≥4GB,存储内存≥128GB</w:t>
            </w:r>
          </w:p>
          <w:p w14:paraId="4FE0993A">
            <w:pPr>
              <w:widowControl/>
              <w:spacing w:line="360" w:lineRule="auto"/>
              <w:jc w:val="left"/>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93、接口：USB2.0≥1个，USB3.0≥1个，HDMI2.1≥3个，AV输入≥1路，网络接口≥1，内置WIFI。</w:t>
            </w:r>
          </w:p>
          <w:p w14:paraId="76632AD9">
            <w:pPr>
              <w:widowControl/>
              <w:spacing w:line="360" w:lineRule="auto"/>
              <w:jc w:val="left"/>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94、功能：具有AI智能语音控制功能、AI智控桌面，AI影像画质处理芯片，超高刷解码；2.1声学系统，峰值功率≥150W,50Hz-20000Hz频响范围；低蓝光、无频闪健康护眼功能；支持多种投屏方式。</w:t>
            </w:r>
          </w:p>
          <w:p w14:paraId="556FAC6F">
            <w:pPr>
              <w:widowControl/>
              <w:spacing w:line="360" w:lineRule="auto"/>
              <w:jc w:val="left"/>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95、每台配套一个落地式移动推车支架和一个无线投屏器。</w:t>
            </w:r>
          </w:p>
        </w:tc>
        <w:tc>
          <w:tcPr>
            <w:tcW w:w="607" w:type="pct"/>
            <w:vAlign w:val="center"/>
          </w:tcPr>
          <w:p w14:paraId="383703DA">
            <w:pPr>
              <w:spacing w:line="360" w:lineRule="auto"/>
              <w:jc w:val="center"/>
              <w:rPr>
                <w:rFonts w:ascii="宋体" w:hAnsi="宋体" w:cs="宋体"/>
                <w:color w:val="000000" w:themeColor="text1"/>
                <w:sz w:val="22"/>
                <w:highlight w:val="none"/>
              </w:rPr>
            </w:pPr>
            <w:r>
              <w:rPr>
                <w:rFonts w:hint="eastAsia" w:ascii="宋体" w:hAnsi="宋体" w:cs="宋体"/>
                <w:color w:val="000000" w:themeColor="text1"/>
                <w:sz w:val="22"/>
                <w:highlight w:val="none"/>
              </w:rPr>
              <w:t>2台</w:t>
            </w:r>
          </w:p>
        </w:tc>
        <w:tc>
          <w:tcPr>
            <w:tcW w:w="914" w:type="pct"/>
            <w:vAlign w:val="center"/>
          </w:tcPr>
          <w:p w14:paraId="5FBDFC2A">
            <w:pPr>
              <w:spacing w:line="360" w:lineRule="auto"/>
              <w:jc w:val="center"/>
              <w:rPr>
                <w:rFonts w:ascii="宋体" w:hAnsi="宋体" w:cs="宋体"/>
                <w:color w:val="000000" w:themeColor="text1"/>
                <w:sz w:val="22"/>
                <w:highlight w:val="none"/>
              </w:rPr>
            </w:pPr>
            <w:r>
              <w:rPr>
                <w:rFonts w:hint="eastAsia" w:ascii="宋体" w:hAnsi="宋体" w:cs="宋体"/>
                <w:color w:val="000000" w:themeColor="text1"/>
                <w:sz w:val="22"/>
                <w:highlight w:val="none"/>
              </w:rPr>
              <w:t>1</w:t>
            </w:r>
            <w:r>
              <w:rPr>
                <w:rFonts w:ascii="宋体" w:hAnsi="宋体" w:cs="宋体"/>
                <w:color w:val="000000" w:themeColor="text1"/>
                <w:sz w:val="22"/>
                <w:highlight w:val="none"/>
              </w:rPr>
              <w:t>2000.00</w:t>
            </w:r>
          </w:p>
        </w:tc>
      </w:tr>
      <w:tr w14:paraId="5F364F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8" w:type="pct"/>
            <w:vAlign w:val="center"/>
          </w:tcPr>
          <w:p w14:paraId="3A72EECB">
            <w:pPr>
              <w:spacing w:line="360" w:lineRule="auto"/>
              <w:jc w:val="center"/>
              <w:rPr>
                <w:rFonts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7</w:t>
            </w:r>
          </w:p>
        </w:tc>
        <w:tc>
          <w:tcPr>
            <w:tcW w:w="659" w:type="pct"/>
            <w:vAlign w:val="center"/>
          </w:tcPr>
          <w:p w14:paraId="663FC40D">
            <w:pPr>
              <w:spacing w:line="360" w:lineRule="auto"/>
              <w:jc w:val="center"/>
              <w:rPr>
                <w:rFonts w:ascii="宋体" w:hAnsi="宋体" w:eastAsia="宋体" w:cs="宋体"/>
                <w:color w:val="000000" w:themeColor="text1"/>
                <w:sz w:val="24"/>
                <w:szCs w:val="24"/>
                <w:highlight w:val="none"/>
              </w:rPr>
            </w:pPr>
            <w:bookmarkStart w:id="67" w:name="OLE_LINK75"/>
            <w:r>
              <w:rPr>
                <w:rFonts w:hint="eastAsia" w:ascii="宋体" w:hAnsi="宋体" w:eastAsia="宋体" w:cs="宋体"/>
                <w:color w:val="000000" w:themeColor="text1"/>
                <w:sz w:val="24"/>
                <w:szCs w:val="24"/>
                <w:highlight w:val="none"/>
              </w:rPr>
              <w:t>预警中心基础建设</w:t>
            </w:r>
            <w:bookmarkEnd w:id="67"/>
          </w:p>
        </w:tc>
        <w:tc>
          <w:tcPr>
            <w:tcW w:w="2412" w:type="pct"/>
            <w:vAlign w:val="center"/>
          </w:tcPr>
          <w:p w14:paraId="37510C8D">
            <w:pPr>
              <w:spacing w:line="360" w:lineRule="auto"/>
              <w:jc w:val="left"/>
              <w:rPr>
                <w:rFonts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96、</w:t>
            </w:r>
            <w:r>
              <w:rPr>
                <w:rFonts w:ascii="宋体" w:hAnsi="宋体" w:eastAsia="宋体" w:cs="宋体"/>
                <w:color w:val="000000" w:themeColor="text1"/>
                <w:sz w:val="24"/>
                <w:szCs w:val="24"/>
                <w:highlight w:val="none"/>
              </w:rPr>
              <w:t>震情会商中心背景墙（约1.8m*4.03m）更换。</w:t>
            </w:r>
          </w:p>
          <w:p w14:paraId="3B5B514B">
            <w:pPr>
              <w:spacing w:line="360" w:lineRule="auto"/>
              <w:rPr>
                <w:rFonts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97、</w:t>
            </w:r>
            <w:r>
              <w:rPr>
                <w:rFonts w:ascii="宋体" w:hAnsi="宋体" w:eastAsia="宋体" w:cs="宋体"/>
                <w:color w:val="000000" w:themeColor="text1"/>
                <w:sz w:val="24"/>
                <w:szCs w:val="24"/>
                <w:highlight w:val="none"/>
              </w:rPr>
              <w:t>设备迁移及综合布线：迁移利旧设备(5台壁挂显示屏</w:t>
            </w:r>
            <w:r>
              <w:rPr>
                <w:rFonts w:hint="eastAsia" w:ascii="宋体" w:hAnsi="宋体" w:eastAsia="宋体" w:cs="宋体"/>
                <w:color w:val="000000" w:themeColor="text1"/>
                <w:sz w:val="24"/>
                <w:szCs w:val="24"/>
                <w:highlight w:val="none"/>
              </w:rPr>
              <w:t>，</w:t>
            </w:r>
            <w:r>
              <w:rPr>
                <w:rFonts w:ascii="宋体" w:hAnsi="宋体" w:eastAsia="宋体" w:cs="宋体"/>
                <w:color w:val="000000" w:themeColor="text1"/>
                <w:sz w:val="24"/>
                <w:szCs w:val="24"/>
                <w:highlight w:val="none"/>
              </w:rPr>
              <w:t>3台工作站迁移至监测预警中心）；对监测预警中心原有电源及音视频线路进行重新调整铺设；同时结合现场实际情况调整增设信息及电源接口面板；并对监测预警中心迁移及新增的设备即显示终端、会议系统、工作站等进行整体集成调试。</w:t>
            </w:r>
          </w:p>
          <w:p w14:paraId="394A7C71">
            <w:pPr>
              <w:spacing w:line="360" w:lineRule="auto"/>
              <w:rPr>
                <w:rFonts w:ascii="宋体" w:hAnsi="宋体" w:eastAsia="宋体" w:cs="宋体"/>
                <w:color w:val="000000" w:themeColor="text1"/>
                <w:sz w:val="24"/>
                <w:szCs w:val="24"/>
                <w:highlight w:val="none"/>
              </w:rPr>
            </w:pPr>
            <w:bookmarkStart w:id="68" w:name="OLE_LINK34"/>
            <w:bookmarkStart w:id="69" w:name="OLE_LINK14"/>
            <w:r>
              <w:rPr>
                <w:rFonts w:hint="eastAsia" w:ascii="宋体" w:hAnsi="宋体" w:eastAsia="宋体" w:cs="宋体"/>
                <w:color w:val="000000" w:themeColor="text1"/>
                <w:sz w:val="24"/>
                <w:szCs w:val="24"/>
                <w:highlight w:val="none"/>
              </w:rPr>
              <w:t>98、</w:t>
            </w:r>
            <w:r>
              <w:rPr>
                <w:rFonts w:ascii="宋体" w:hAnsi="宋体" w:eastAsia="宋体" w:cs="宋体"/>
                <w:color w:val="000000" w:themeColor="text1"/>
                <w:sz w:val="24"/>
                <w:szCs w:val="24"/>
                <w:highlight w:val="none"/>
              </w:rPr>
              <w:t>更换地板：拆除原有地毯，铺设</w:t>
            </w:r>
            <w:bookmarkEnd w:id="68"/>
            <w:bookmarkEnd w:id="69"/>
            <w:r>
              <w:rPr>
                <w:rFonts w:ascii="宋体" w:hAnsi="宋体" w:eastAsia="宋体" w:cs="宋体"/>
                <w:color w:val="000000" w:themeColor="text1"/>
                <w:sz w:val="24"/>
                <w:szCs w:val="24"/>
                <w:highlight w:val="none"/>
              </w:rPr>
              <w:t>复合木地板（</w:t>
            </w:r>
            <w:r>
              <w:rPr>
                <w:rFonts w:hint="eastAsia" w:ascii="宋体" w:hAnsi="宋体" w:eastAsia="宋体" w:cs="宋体"/>
                <w:color w:val="000000" w:themeColor="text1"/>
                <w:sz w:val="24"/>
                <w:szCs w:val="24"/>
                <w:highlight w:val="none"/>
              </w:rPr>
              <w:t>约</w:t>
            </w:r>
            <w:r>
              <w:rPr>
                <w:rFonts w:ascii="宋体" w:hAnsi="宋体" w:eastAsia="宋体" w:cs="宋体"/>
                <w:color w:val="000000" w:themeColor="text1"/>
                <w:sz w:val="24"/>
                <w:szCs w:val="24"/>
                <w:highlight w:val="none"/>
              </w:rPr>
              <w:t>11.8m*11.5m）。</w:t>
            </w:r>
          </w:p>
        </w:tc>
        <w:tc>
          <w:tcPr>
            <w:tcW w:w="607" w:type="pct"/>
            <w:vAlign w:val="center"/>
          </w:tcPr>
          <w:p w14:paraId="7994DEDA">
            <w:pPr>
              <w:spacing w:line="360" w:lineRule="auto"/>
              <w:jc w:val="center"/>
              <w:rPr>
                <w:rFonts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1项</w:t>
            </w:r>
          </w:p>
        </w:tc>
        <w:tc>
          <w:tcPr>
            <w:tcW w:w="914" w:type="pct"/>
            <w:vAlign w:val="center"/>
          </w:tcPr>
          <w:p w14:paraId="3C15D99E">
            <w:pPr>
              <w:spacing w:line="360" w:lineRule="auto"/>
              <w:jc w:val="center"/>
              <w:rPr>
                <w:rFonts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4</w:t>
            </w:r>
            <w:r>
              <w:rPr>
                <w:rFonts w:ascii="宋体" w:hAnsi="宋体" w:eastAsia="宋体" w:cs="宋体"/>
                <w:color w:val="000000" w:themeColor="text1"/>
                <w:sz w:val="24"/>
                <w:szCs w:val="24"/>
                <w:highlight w:val="none"/>
              </w:rPr>
              <w:t>1280.00</w:t>
            </w:r>
          </w:p>
        </w:tc>
      </w:tr>
    </w:tbl>
    <w:p w14:paraId="418D0B6C">
      <w:pPr>
        <w:spacing w:line="360" w:lineRule="auto"/>
        <w:rPr>
          <w:rFonts w:ascii="宋体" w:hAnsi="宋体" w:eastAsia="宋体" w:cs="宋体"/>
          <w:b/>
          <w:bCs/>
          <w:color w:val="000000" w:themeColor="text1"/>
          <w:sz w:val="24"/>
          <w:szCs w:val="24"/>
          <w:highlight w:val="none"/>
        </w:rPr>
      </w:pPr>
    </w:p>
    <w:p w14:paraId="5AFC0EE4">
      <w:pPr>
        <w:pStyle w:val="23"/>
        <w:jc w:val="both"/>
        <w:rPr>
          <w:color w:val="000000" w:themeColor="text1"/>
          <w:highlight w:val="none"/>
        </w:rPr>
      </w:pPr>
      <w:bookmarkStart w:id="70" w:name="_Toc211442749"/>
      <w:r>
        <w:rPr>
          <w:rFonts w:hint="eastAsia"/>
          <w:color w:val="000000" w:themeColor="text1"/>
          <w:highlight w:val="none"/>
        </w:rPr>
        <w:t>（二）合同包2：</w:t>
      </w:r>
      <w:r>
        <w:rPr>
          <w:rFonts w:hint="eastAsia" w:cs="宋体"/>
          <w:color w:val="000000" w:themeColor="text1"/>
          <w:highlight w:val="none"/>
        </w:rPr>
        <w:t>县级公办中小学</w:t>
      </w:r>
      <w:r>
        <w:rPr>
          <w:rFonts w:hint="eastAsia"/>
          <w:color w:val="000000" w:themeColor="text1"/>
          <w:highlight w:val="none"/>
        </w:rPr>
        <w:t>地震预警终端和地震烈度速报系统</w:t>
      </w:r>
      <w:bookmarkEnd w:id="70"/>
    </w:p>
    <w:tbl>
      <w:tblPr>
        <w:tblStyle w:val="2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9"/>
        <w:gridCol w:w="1270"/>
        <w:gridCol w:w="4463"/>
        <w:gridCol w:w="1055"/>
        <w:gridCol w:w="1710"/>
      </w:tblGrid>
      <w:tr w14:paraId="3AE40A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14:paraId="12D426CF">
            <w:pPr>
              <w:spacing w:line="360" w:lineRule="auto"/>
              <w:jc w:val="center"/>
              <w:rPr>
                <w:rFonts w:ascii="宋体" w:hAnsi="宋体" w:eastAsia="宋体" w:cs="宋体"/>
                <w:b/>
                <w:bCs/>
                <w:color w:val="000000" w:themeColor="text1"/>
                <w:sz w:val="24"/>
                <w:szCs w:val="24"/>
                <w:highlight w:val="none"/>
              </w:rPr>
            </w:pPr>
            <w:r>
              <w:rPr>
                <w:rFonts w:hint="eastAsia" w:ascii="宋体" w:hAnsi="宋体" w:eastAsia="宋体" w:cs="宋体"/>
                <w:b/>
                <w:bCs/>
                <w:color w:val="000000" w:themeColor="text1"/>
                <w:sz w:val="24"/>
                <w:szCs w:val="24"/>
                <w:highlight w:val="none"/>
              </w:rPr>
              <w:t>序号</w:t>
            </w:r>
          </w:p>
        </w:tc>
        <w:tc>
          <w:tcPr>
            <w:tcW w:w="684" w:type="pct"/>
            <w:vAlign w:val="center"/>
          </w:tcPr>
          <w:p w14:paraId="6FE18ED7">
            <w:pPr>
              <w:spacing w:line="360" w:lineRule="auto"/>
              <w:jc w:val="center"/>
              <w:rPr>
                <w:rFonts w:ascii="宋体" w:hAnsi="宋体" w:eastAsia="宋体" w:cs="宋体"/>
                <w:b/>
                <w:bCs/>
                <w:color w:val="000000" w:themeColor="text1"/>
                <w:sz w:val="24"/>
                <w:szCs w:val="24"/>
                <w:highlight w:val="none"/>
              </w:rPr>
            </w:pPr>
            <w:r>
              <w:rPr>
                <w:rFonts w:hint="eastAsia" w:ascii="宋体" w:hAnsi="宋体" w:eastAsia="宋体" w:cs="宋体"/>
                <w:b/>
                <w:bCs/>
                <w:color w:val="000000" w:themeColor="text1"/>
                <w:sz w:val="24"/>
                <w:szCs w:val="24"/>
                <w:highlight w:val="none"/>
              </w:rPr>
              <w:t>标的名称</w:t>
            </w:r>
          </w:p>
        </w:tc>
        <w:tc>
          <w:tcPr>
            <w:tcW w:w="2403" w:type="pct"/>
            <w:vAlign w:val="center"/>
          </w:tcPr>
          <w:p w14:paraId="3B31BE6C">
            <w:pPr>
              <w:spacing w:line="360" w:lineRule="auto"/>
              <w:jc w:val="center"/>
              <w:rPr>
                <w:rFonts w:ascii="宋体" w:hAnsi="宋体" w:eastAsia="宋体" w:cs="宋体"/>
                <w:b/>
                <w:bCs/>
                <w:color w:val="000000" w:themeColor="text1"/>
                <w:sz w:val="24"/>
                <w:szCs w:val="24"/>
                <w:highlight w:val="none"/>
              </w:rPr>
            </w:pPr>
            <w:r>
              <w:rPr>
                <w:rFonts w:hint="eastAsia" w:ascii="宋体" w:hAnsi="宋体" w:eastAsia="宋体" w:cs="宋体"/>
                <w:b/>
                <w:bCs/>
                <w:color w:val="000000" w:themeColor="text1"/>
                <w:sz w:val="24"/>
                <w:szCs w:val="24"/>
                <w:highlight w:val="none"/>
              </w:rPr>
              <w:t>技术参数与性能指标</w:t>
            </w:r>
          </w:p>
        </w:tc>
        <w:tc>
          <w:tcPr>
            <w:tcW w:w="568" w:type="pct"/>
            <w:vAlign w:val="center"/>
          </w:tcPr>
          <w:p w14:paraId="7E6319DC">
            <w:pPr>
              <w:spacing w:line="360" w:lineRule="auto"/>
              <w:jc w:val="center"/>
              <w:rPr>
                <w:rFonts w:ascii="宋体" w:hAnsi="宋体" w:eastAsia="宋体" w:cs="宋体"/>
                <w:b/>
                <w:bCs/>
                <w:color w:val="000000" w:themeColor="text1"/>
                <w:sz w:val="24"/>
                <w:szCs w:val="24"/>
                <w:highlight w:val="none"/>
              </w:rPr>
            </w:pPr>
            <w:r>
              <w:rPr>
                <w:rFonts w:hint="eastAsia" w:ascii="宋体" w:hAnsi="宋体" w:eastAsia="宋体" w:cs="宋体"/>
                <w:b/>
                <w:bCs/>
                <w:color w:val="000000" w:themeColor="text1"/>
                <w:sz w:val="24"/>
                <w:szCs w:val="24"/>
                <w:highlight w:val="none"/>
              </w:rPr>
              <w:t>数量</w:t>
            </w:r>
          </w:p>
        </w:tc>
        <w:tc>
          <w:tcPr>
            <w:tcW w:w="920" w:type="pct"/>
            <w:vAlign w:val="center"/>
          </w:tcPr>
          <w:p w14:paraId="46E61013">
            <w:pPr>
              <w:spacing w:line="360" w:lineRule="auto"/>
              <w:jc w:val="center"/>
              <w:rPr>
                <w:rFonts w:ascii="宋体" w:hAnsi="宋体" w:eastAsia="宋体" w:cs="宋体"/>
                <w:b/>
                <w:bCs/>
                <w:color w:val="000000" w:themeColor="text1"/>
                <w:sz w:val="24"/>
                <w:szCs w:val="24"/>
                <w:highlight w:val="none"/>
              </w:rPr>
            </w:pPr>
            <w:r>
              <w:rPr>
                <w:rFonts w:hint="eastAsia" w:ascii="宋体" w:hAnsi="宋体" w:eastAsia="宋体" w:cs="宋体"/>
                <w:b/>
                <w:bCs/>
                <w:color w:val="000000" w:themeColor="text1"/>
                <w:sz w:val="24"/>
                <w:szCs w:val="24"/>
                <w:highlight w:val="none"/>
              </w:rPr>
              <w:t>单价限价（元）</w:t>
            </w:r>
          </w:p>
        </w:tc>
      </w:tr>
      <w:tr w14:paraId="426CD7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14:paraId="5984FA32">
            <w:pPr>
              <w:spacing w:line="360" w:lineRule="auto"/>
              <w:jc w:val="center"/>
              <w:rPr>
                <w:rFonts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1</w:t>
            </w:r>
          </w:p>
        </w:tc>
        <w:tc>
          <w:tcPr>
            <w:tcW w:w="684" w:type="pct"/>
            <w:vAlign w:val="center"/>
          </w:tcPr>
          <w:p w14:paraId="5D7F3BE9">
            <w:pPr>
              <w:spacing w:line="360" w:lineRule="auto"/>
              <w:jc w:val="center"/>
              <w:rPr>
                <w:rFonts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地震预警终端</w:t>
            </w:r>
            <w:r>
              <w:rPr>
                <w:rFonts w:ascii="宋体" w:hAnsi="宋体" w:eastAsia="宋体" w:cs="宋体"/>
                <w:color w:val="000000" w:themeColor="text1"/>
                <w:sz w:val="24"/>
                <w:szCs w:val="24"/>
                <w:highlight w:val="none"/>
              </w:rPr>
              <w:t>1</w:t>
            </w:r>
            <w:r>
              <w:rPr>
                <w:rFonts w:hint="eastAsia" w:ascii="宋体" w:hAnsi="宋体" w:eastAsia="宋体" w:cs="宋体"/>
                <w:color w:val="000000" w:themeColor="text1"/>
                <w:sz w:val="24"/>
                <w:szCs w:val="24"/>
                <w:highlight w:val="none"/>
              </w:rPr>
              <w:t>（核心产品）</w:t>
            </w:r>
          </w:p>
        </w:tc>
        <w:tc>
          <w:tcPr>
            <w:tcW w:w="2403" w:type="pct"/>
            <w:vAlign w:val="center"/>
          </w:tcPr>
          <w:p w14:paraId="752A3B20">
            <w:pPr>
              <w:widowControl/>
              <w:spacing w:line="360" w:lineRule="auto"/>
              <w:jc w:val="left"/>
              <w:rPr>
                <w:rFonts w:ascii="宋体" w:hAnsi="宋体" w:eastAsia="宋体" w:cs="宋体"/>
                <w:color w:val="000000" w:themeColor="text1"/>
                <w:kern w:val="0"/>
                <w:sz w:val="24"/>
                <w:szCs w:val="24"/>
                <w:highlight w:val="none"/>
              </w:rPr>
            </w:pPr>
            <w:r>
              <w:rPr>
                <w:rFonts w:ascii="宋体" w:hAnsi="宋体" w:eastAsia="宋体" w:cs="宋体"/>
                <w:b/>
                <w:color w:val="000000" w:themeColor="text1"/>
                <w:sz w:val="24"/>
                <w:szCs w:val="24"/>
                <w:highlight w:val="none"/>
              </w:rPr>
              <w:t>*</w:t>
            </w:r>
            <w:r>
              <w:rPr>
                <w:rFonts w:hint="eastAsia" w:ascii="宋体" w:hAnsi="宋体" w:eastAsia="宋体" w:cs="宋体"/>
                <w:b/>
                <w:color w:val="000000" w:themeColor="text1"/>
                <w:kern w:val="0"/>
                <w:sz w:val="24"/>
                <w:szCs w:val="24"/>
                <w:highlight w:val="none"/>
              </w:rPr>
              <w:t>1、</w:t>
            </w:r>
            <w:r>
              <w:rPr>
                <w:rFonts w:hint="eastAsia" w:ascii="宋体" w:hAnsi="宋体" w:eastAsia="宋体" w:cs="宋体"/>
                <w:color w:val="000000" w:themeColor="text1"/>
                <w:kern w:val="0"/>
                <w:sz w:val="24"/>
                <w:szCs w:val="24"/>
                <w:highlight w:val="none"/>
              </w:rPr>
              <w:t>基本要求：产品符合《中国地震预警网地震预警信息发布指南》和《国家地震烈度速报与预警工程项目紧急地震信息服务终端相关技术要求》等技术规范规定的通信协议和信息结构；为中国地震局台网中心通过地震监测专业设备定型设备的预警信息服务专用终端</w:t>
            </w:r>
            <w:r>
              <w:rPr>
                <w:rFonts w:hint="eastAsia" w:ascii="宋体" w:hAnsi="宋体" w:eastAsia="宋体" w:cs="宋体"/>
                <w:b/>
                <w:color w:val="000000" w:themeColor="text1"/>
                <w:kern w:val="0"/>
                <w:sz w:val="24"/>
                <w:szCs w:val="24"/>
                <w:highlight w:val="none"/>
              </w:rPr>
              <w:t>（提供产品型号在《中国地震局台网中心通过地震监测专业设备定型设备的通知》清单内的证明文件，或提供由中国地震台网中心出具的产品型号定型结果证明文件，并加盖投标人公章）</w:t>
            </w:r>
            <w:r>
              <w:rPr>
                <w:rFonts w:hint="eastAsia" w:ascii="宋体" w:hAnsi="宋体" w:eastAsia="宋体" w:cs="宋体"/>
                <w:color w:val="000000" w:themeColor="text1"/>
                <w:kern w:val="0"/>
                <w:sz w:val="24"/>
                <w:szCs w:val="24"/>
                <w:highlight w:val="none"/>
              </w:rPr>
              <w:t>；满足地震预警终端信息防篡改密码安全要求；符合陕西省《地震预警信息发布规范》（</w:t>
            </w:r>
            <w:r>
              <w:rPr>
                <w:rFonts w:ascii="宋体" w:hAnsi="宋体" w:eastAsia="宋体" w:cs="宋体"/>
                <w:color w:val="000000" w:themeColor="text1"/>
                <w:kern w:val="0"/>
                <w:sz w:val="24"/>
                <w:szCs w:val="24"/>
                <w:highlight w:val="none"/>
              </w:rPr>
              <w:t>DB61/T1848—2024）标准</w:t>
            </w:r>
            <w:r>
              <w:rPr>
                <w:rFonts w:hint="eastAsia" w:ascii="宋体" w:hAnsi="宋体" w:eastAsia="宋体" w:cs="宋体"/>
                <w:b/>
                <w:color w:val="000000" w:themeColor="text1"/>
                <w:kern w:val="0"/>
                <w:sz w:val="24"/>
                <w:szCs w:val="24"/>
                <w:highlight w:val="none"/>
              </w:rPr>
              <w:t>（提供该产品型号符合该标准的证明文件或承诺函，格式自拟）。</w:t>
            </w:r>
          </w:p>
          <w:p w14:paraId="702B2086">
            <w:pPr>
              <w:widowControl/>
              <w:spacing w:line="360" w:lineRule="auto"/>
              <w:jc w:val="left"/>
              <w:textAlignment w:val="center"/>
              <w:rPr>
                <w:rFonts w:ascii="宋体" w:hAnsi="宋体" w:eastAsia="宋体" w:cs="宋体"/>
                <w:color w:val="000000" w:themeColor="text1"/>
                <w:sz w:val="24"/>
                <w:szCs w:val="24"/>
                <w:highlight w:val="none"/>
              </w:rPr>
            </w:pPr>
            <w:r>
              <w:rPr>
                <w:rFonts w:ascii="宋体" w:hAnsi="宋体" w:eastAsia="宋体" w:cs="宋体"/>
                <w:b/>
                <w:color w:val="000000" w:themeColor="text1"/>
                <w:sz w:val="24"/>
                <w:szCs w:val="24"/>
                <w:highlight w:val="none"/>
              </w:rPr>
              <w:t>*</w:t>
            </w:r>
            <w:r>
              <w:rPr>
                <w:rFonts w:hint="eastAsia" w:ascii="宋体" w:hAnsi="宋体" w:eastAsia="宋体" w:cs="宋体"/>
                <w:b/>
                <w:color w:val="000000" w:themeColor="text1"/>
                <w:kern w:val="0"/>
                <w:sz w:val="24"/>
                <w:szCs w:val="24"/>
                <w:highlight w:val="none"/>
              </w:rPr>
              <w:t>2、</w:t>
            </w:r>
            <w:r>
              <w:rPr>
                <w:rFonts w:hint="eastAsia" w:ascii="宋体" w:hAnsi="宋体" w:eastAsia="宋体" w:cs="宋体"/>
                <w:color w:val="000000" w:themeColor="text1"/>
                <w:kern w:val="0"/>
                <w:sz w:val="24"/>
                <w:szCs w:val="24"/>
                <w:highlight w:val="none"/>
              </w:rPr>
              <w:t>屏幕：32寸LED背光</w:t>
            </w:r>
            <w:r>
              <w:rPr>
                <w:rFonts w:hint="eastAsia" w:ascii="宋体" w:hAnsi="宋体" w:eastAsia="宋体" w:cs="宋体"/>
                <w:b/>
                <w:color w:val="000000" w:themeColor="text1"/>
                <w:kern w:val="0"/>
                <w:sz w:val="24"/>
                <w:szCs w:val="24"/>
                <w:highlight w:val="none"/>
              </w:rPr>
              <w:t>。（投标人需提供证明材料，加盖投标人公章）</w:t>
            </w:r>
          </w:p>
          <w:p w14:paraId="418BB615">
            <w:pPr>
              <w:widowControl/>
              <w:spacing w:line="360" w:lineRule="auto"/>
              <w:jc w:val="left"/>
              <w:textAlignment w:val="center"/>
              <w:rPr>
                <w:rFonts w:ascii="宋体" w:hAnsi="宋体" w:eastAsia="宋体" w:cs="宋体"/>
                <w:color w:val="000000" w:themeColor="text1"/>
                <w:sz w:val="24"/>
                <w:szCs w:val="24"/>
                <w:highlight w:val="none"/>
              </w:rPr>
            </w:pPr>
            <w:r>
              <w:rPr>
                <w:rFonts w:hint="eastAsia" w:ascii="宋体" w:hAnsi="宋体" w:eastAsia="宋体" w:cs="宋体"/>
                <w:color w:val="000000" w:themeColor="text1"/>
                <w:kern w:val="0"/>
                <w:sz w:val="24"/>
                <w:szCs w:val="24"/>
                <w:highlight w:val="none"/>
              </w:rPr>
              <w:t>3、屏幕亮度：≥400cd/㎡。</w:t>
            </w:r>
          </w:p>
          <w:p w14:paraId="27D511C8">
            <w:pPr>
              <w:widowControl/>
              <w:spacing w:line="360" w:lineRule="auto"/>
              <w:jc w:val="left"/>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4、显示比例：16:9（屏幕立式显示）。</w:t>
            </w:r>
          </w:p>
          <w:p w14:paraId="3417EA71">
            <w:pPr>
              <w:widowControl/>
              <w:spacing w:line="360" w:lineRule="auto"/>
              <w:jc w:val="left"/>
              <w:textAlignment w:val="center"/>
              <w:rPr>
                <w:rFonts w:ascii="宋体" w:hAnsi="宋体" w:eastAsia="宋体" w:cs="宋体"/>
                <w:color w:val="000000" w:themeColor="text1"/>
                <w:sz w:val="24"/>
                <w:szCs w:val="24"/>
                <w:highlight w:val="none"/>
              </w:rPr>
            </w:pPr>
            <w:r>
              <w:rPr>
                <w:rFonts w:hint="eastAsia" w:ascii="宋体" w:hAnsi="宋体" w:eastAsia="宋体" w:cs="宋体"/>
                <w:color w:val="000000" w:themeColor="text1"/>
                <w:kern w:val="0"/>
                <w:sz w:val="24"/>
                <w:szCs w:val="24"/>
                <w:highlight w:val="none"/>
              </w:rPr>
              <w:t>5、分辨率≥1920*1080。</w:t>
            </w:r>
          </w:p>
          <w:p w14:paraId="1489C127">
            <w:pPr>
              <w:widowControl/>
              <w:spacing w:line="360" w:lineRule="auto"/>
              <w:jc w:val="left"/>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6、通讯及接口：支持并提供RJ45有线网络、WIFI以及4G/5G通信物联网卡接入，支持USB接口，提供≥2个USB2.0及以上接口，支持音频输出、HDMI输出。</w:t>
            </w:r>
          </w:p>
          <w:p w14:paraId="03C3AF51">
            <w:pPr>
              <w:widowControl/>
              <w:spacing w:line="360" w:lineRule="auto"/>
              <w:jc w:val="left"/>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7、操作系统：具备</w:t>
            </w:r>
            <w:r>
              <w:rPr>
                <w:rFonts w:ascii="宋体" w:hAnsi="宋体" w:eastAsia="宋体" w:cs="宋体"/>
                <w:color w:val="000000" w:themeColor="text1"/>
                <w:kern w:val="0"/>
                <w:sz w:val="24"/>
                <w:szCs w:val="24"/>
                <w:highlight w:val="none"/>
              </w:rPr>
              <w:t>APP和Web远程管理功能，可查看终端设备状态、配置和管理相关参数，进行系统升级、重置、重启及预警相关应用升级和服务重启；支持APP白名单访问设置，支持禁用系统弱端口；具备限制USB存储设备功能和I/O接口管控功能；终端支持TTS，系统提供TTS功能，支持远程系统升级服务；具备接入市级及以上地震预警信息发布平台的功能。</w:t>
            </w:r>
          </w:p>
          <w:p w14:paraId="0529681B">
            <w:pPr>
              <w:widowControl/>
              <w:spacing w:line="360" w:lineRule="auto"/>
              <w:jc w:val="left"/>
              <w:textAlignment w:val="center"/>
              <w:rPr>
                <w:rFonts w:ascii="宋体" w:hAnsi="宋体" w:eastAsia="宋体" w:cs="宋体"/>
                <w:b/>
                <w:color w:val="000000" w:themeColor="text1"/>
                <w:kern w:val="0"/>
                <w:sz w:val="24"/>
                <w:szCs w:val="24"/>
                <w:highlight w:val="none"/>
              </w:rPr>
            </w:pPr>
            <w:r>
              <w:rPr>
                <w:rFonts w:hint="eastAsia" w:ascii="宋体" w:hAnsi="宋体" w:eastAsia="宋体" w:cs="宋体"/>
                <w:color w:val="000000" w:themeColor="text1"/>
                <w:sz w:val="24"/>
                <w:szCs w:val="24"/>
                <w:highlight w:val="none"/>
              </w:rPr>
              <w:t>▲</w:t>
            </w:r>
            <w:r>
              <w:rPr>
                <w:rFonts w:hint="eastAsia" w:ascii="宋体" w:hAnsi="宋体" w:eastAsia="宋体" w:cs="宋体"/>
                <w:color w:val="000000" w:themeColor="text1"/>
                <w:kern w:val="0"/>
                <w:sz w:val="24"/>
                <w:szCs w:val="24"/>
                <w:highlight w:val="none"/>
              </w:rPr>
              <w:t>8、烈度计功能：内置简易烈度计，支持外接高性能烈度计，支持实时波形信息显示。</w:t>
            </w:r>
            <w:r>
              <w:rPr>
                <w:rFonts w:hint="eastAsia" w:ascii="宋体" w:hAnsi="宋体" w:eastAsia="宋体"/>
                <w:b/>
                <w:color w:val="000000" w:themeColor="text1"/>
                <w:sz w:val="24"/>
                <w:szCs w:val="24"/>
                <w:highlight w:val="none"/>
              </w:rPr>
              <w:t>（需提供相关功能界面截图或其他证明材料加盖投标人公章。）</w:t>
            </w:r>
          </w:p>
          <w:p w14:paraId="208B97B2">
            <w:pPr>
              <w:widowControl/>
              <w:spacing w:line="360" w:lineRule="auto"/>
              <w:jc w:val="left"/>
              <w:textAlignment w:val="center"/>
              <w:rPr>
                <w:rFonts w:ascii="宋体" w:hAnsi="宋体" w:eastAsia="宋体" w:cs="宋体"/>
                <w:color w:val="000000" w:themeColor="text1"/>
                <w:sz w:val="24"/>
                <w:szCs w:val="24"/>
                <w:highlight w:val="none"/>
              </w:rPr>
            </w:pPr>
            <w:r>
              <w:rPr>
                <w:rFonts w:hint="eastAsia" w:ascii="宋体" w:hAnsi="宋体" w:eastAsia="宋体" w:cs="宋体"/>
                <w:color w:val="000000" w:themeColor="text1"/>
                <w:kern w:val="0"/>
                <w:sz w:val="24"/>
                <w:szCs w:val="24"/>
                <w:highlight w:val="none"/>
              </w:rPr>
              <w:t>9、节能显示：显示屏具备三种工作模式。息屏、节能显示、高亮显示（预警时显示），具备节能环保手动息屏，提供手动息屏/亮屏按钮。当终端设备在预警响应状态下，显示屏处于高亮显示模式；当终端设备在日常工作状态下，且没有用户信息交互操作时，显示屏处于节能模式。</w:t>
            </w:r>
          </w:p>
          <w:p w14:paraId="264750DF">
            <w:pPr>
              <w:widowControl/>
              <w:spacing w:line="360" w:lineRule="auto"/>
              <w:jc w:val="left"/>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sz w:val="24"/>
                <w:szCs w:val="24"/>
                <w:highlight w:val="none"/>
              </w:rPr>
              <w:t>▲</w:t>
            </w:r>
            <w:r>
              <w:rPr>
                <w:rFonts w:hint="eastAsia" w:ascii="宋体" w:hAnsi="宋体" w:eastAsia="宋体" w:cs="宋体"/>
                <w:color w:val="000000" w:themeColor="text1"/>
                <w:kern w:val="0"/>
                <w:sz w:val="24"/>
                <w:szCs w:val="24"/>
                <w:highlight w:val="none"/>
              </w:rPr>
              <w:t>10、预警及授时功能：具备计算本地烈度和预警等级功能。当终端设备处于预警响应状态时，预警相关服务优先级最高，支持</w:t>
            </w:r>
            <w:r>
              <w:rPr>
                <w:rFonts w:ascii="宋体" w:hAnsi="宋体" w:eastAsia="宋体" w:cs="宋体"/>
                <w:color w:val="000000" w:themeColor="text1"/>
                <w:kern w:val="0"/>
                <w:sz w:val="24"/>
                <w:szCs w:val="24"/>
                <w:highlight w:val="none"/>
              </w:rPr>
              <w:t>NTP授时功能</w:t>
            </w:r>
            <w:r>
              <w:rPr>
                <w:rFonts w:hint="eastAsia" w:ascii="宋体" w:hAnsi="宋体" w:eastAsia="宋体" w:cs="宋体"/>
                <w:color w:val="000000" w:themeColor="text1"/>
                <w:kern w:val="0"/>
                <w:sz w:val="24"/>
                <w:szCs w:val="24"/>
                <w:highlight w:val="none"/>
              </w:rPr>
              <w:t>。</w:t>
            </w:r>
            <w:r>
              <w:rPr>
                <w:rFonts w:hint="eastAsia" w:ascii="宋体" w:hAnsi="宋体" w:eastAsia="宋体"/>
                <w:b/>
                <w:bCs/>
                <w:color w:val="000000" w:themeColor="text1"/>
                <w:sz w:val="24"/>
                <w:szCs w:val="24"/>
                <w:highlight w:val="none"/>
              </w:rPr>
              <w:t>（</w:t>
            </w:r>
            <w:r>
              <w:rPr>
                <w:rFonts w:ascii="宋体" w:hAnsi="宋体" w:eastAsia="宋体"/>
                <w:b/>
                <w:bCs/>
                <w:color w:val="000000" w:themeColor="text1"/>
                <w:sz w:val="24"/>
                <w:szCs w:val="24"/>
                <w:highlight w:val="none"/>
              </w:rPr>
              <w:t>需提供国家认可的第三方检测机构出具的具有CMA标识的检测报告复印件并加盖投标人公章，送检单位名称必须与产品制造单位名称一致。</w:t>
            </w:r>
            <w:r>
              <w:rPr>
                <w:rFonts w:hint="eastAsia" w:ascii="宋体" w:hAnsi="宋体" w:eastAsia="宋体"/>
                <w:b/>
                <w:bCs/>
                <w:color w:val="000000" w:themeColor="text1"/>
                <w:sz w:val="24"/>
                <w:szCs w:val="24"/>
                <w:highlight w:val="none"/>
              </w:rPr>
              <w:t>）</w:t>
            </w:r>
          </w:p>
          <w:p w14:paraId="18F64040">
            <w:pPr>
              <w:widowControl/>
              <w:spacing w:line="360" w:lineRule="auto"/>
              <w:jc w:val="left"/>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11、提供分区显示功能，分区显示内容可定制；状态可显示信息包括当前时间（日历）、连接状态（预警服务器）、气象信息、实时波形信息、最新地震消息（滚动显示）和科普宣传信息；预警响应状态显示信息包括预警信息、烈度速报信息、地震速报信息。</w:t>
            </w:r>
          </w:p>
          <w:p w14:paraId="3A0B846F">
            <w:pPr>
              <w:widowControl/>
              <w:spacing w:line="360" w:lineRule="auto"/>
              <w:jc w:val="left"/>
              <w:textAlignment w:val="center"/>
              <w:rPr>
                <w:rFonts w:ascii="宋体" w:hAnsi="宋体" w:eastAsia="宋体" w:cs="宋体"/>
                <w:color w:val="000000" w:themeColor="text1"/>
                <w:sz w:val="24"/>
                <w:szCs w:val="24"/>
                <w:highlight w:val="none"/>
              </w:rPr>
            </w:pPr>
            <w:r>
              <w:rPr>
                <w:rFonts w:hint="eastAsia" w:ascii="宋体" w:hAnsi="宋体" w:eastAsia="宋体" w:cs="宋体"/>
                <w:color w:val="000000" w:themeColor="text1"/>
                <w:kern w:val="0"/>
                <w:sz w:val="24"/>
                <w:szCs w:val="24"/>
                <w:highlight w:val="none"/>
              </w:rPr>
              <w:t>12、灯光报警器：具备红、橙、黄、蓝四种颜色警报灯；具备闪烁（爆闪）功能，可根据预警发布规则配置进行灯光告警。</w:t>
            </w:r>
          </w:p>
          <w:p w14:paraId="66E45E1A">
            <w:pPr>
              <w:widowControl/>
              <w:spacing w:line="360" w:lineRule="auto"/>
              <w:jc w:val="left"/>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13、声音报警器：配置工作和报警两套声音报警器，报警时输出功率≥20W。</w:t>
            </w:r>
          </w:p>
          <w:p w14:paraId="61FB0C18">
            <w:pPr>
              <w:widowControl/>
              <w:spacing w:line="360" w:lineRule="auto"/>
              <w:jc w:val="left"/>
              <w:textAlignment w:val="center"/>
              <w:rPr>
                <w:rFonts w:ascii="宋体" w:hAnsi="宋体" w:eastAsia="宋体" w:cs="宋体"/>
                <w:color w:val="000000" w:themeColor="text1"/>
                <w:sz w:val="24"/>
                <w:szCs w:val="24"/>
                <w:highlight w:val="none"/>
              </w:rPr>
            </w:pPr>
            <w:r>
              <w:rPr>
                <w:rFonts w:hint="eastAsia" w:ascii="宋体" w:hAnsi="宋体" w:eastAsia="宋体" w:cs="宋体"/>
                <w:color w:val="000000" w:themeColor="text1"/>
                <w:kern w:val="0"/>
                <w:sz w:val="24"/>
                <w:szCs w:val="24"/>
                <w:highlight w:val="none"/>
              </w:rPr>
              <w:t>14、视频采集：内置视频采集功能，视频采集时收录声音；视频分辨率≥720P。</w:t>
            </w:r>
          </w:p>
          <w:p w14:paraId="770BF033">
            <w:pPr>
              <w:widowControl/>
              <w:spacing w:line="360" w:lineRule="auto"/>
              <w:jc w:val="left"/>
              <w:textAlignment w:val="center"/>
              <w:rPr>
                <w:rFonts w:ascii="宋体" w:hAnsi="宋体" w:eastAsia="宋体" w:cs="宋体"/>
                <w:color w:val="000000" w:themeColor="text1"/>
                <w:sz w:val="24"/>
                <w:szCs w:val="24"/>
                <w:highlight w:val="none"/>
              </w:rPr>
            </w:pPr>
            <w:r>
              <w:rPr>
                <w:rFonts w:hint="eastAsia" w:ascii="宋体" w:hAnsi="宋体" w:eastAsia="宋体" w:cs="宋体"/>
                <w:color w:val="000000" w:themeColor="text1"/>
                <w:kern w:val="0"/>
                <w:sz w:val="24"/>
                <w:szCs w:val="24"/>
                <w:highlight w:val="none"/>
              </w:rPr>
              <w:t>15、演练服务：具备地震预警演练功能，显示信息包括醒目的“演练”标题。支持多灾种自定义模拟演练数据配置；支持消防、人防、防暴等模拟演练。</w:t>
            </w:r>
          </w:p>
          <w:p w14:paraId="200ABB8E">
            <w:pPr>
              <w:widowControl/>
              <w:spacing w:line="360" w:lineRule="auto"/>
              <w:jc w:val="left"/>
              <w:textAlignment w:val="center"/>
              <w:rPr>
                <w:rFonts w:ascii="宋体" w:hAnsi="宋体" w:eastAsia="宋体" w:cs="宋体"/>
                <w:color w:val="000000" w:themeColor="text1"/>
                <w:sz w:val="24"/>
                <w:szCs w:val="24"/>
                <w:highlight w:val="none"/>
              </w:rPr>
            </w:pPr>
            <w:r>
              <w:rPr>
                <w:rFonts w:hint="eastAsia" w:ascii="宋体" w:hAnsi="宋体" w:eastAsia="宋体" w:cs="宋体"/>
                <w:color w:val="000000" w:themeColor="text1"/>
                <w:kern w:val="0"/>
                <w:sz w:val="24"/>
                <w:szCs w:val="24"/>
                <w:highlight w:val="none"/>
              </w:rPr>
              <w:t>16、扩展功能：设备主机可通过有线方式拓展≥2路预警号角，支持与多台声音报警器进行组网，声音报警器能够同步终端的预警警报，支持实时监测声音报警器的运行状态。</w:t>
            </w:r>
          </w:p>
          <w:p w14:paraId="56CA0722">
            <w:pPr>
              <w:widowControl/>
              <w:spacing w:line="360" w:lineRule="auto"/>
              <w:jc w:val="left"/>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sz w:val="24"/>
                <w:szCs w:val="24"/>
                <w:highlight w:val="none"/>
              </w:rPr>
              <w:t>▲</w:t>
            </w:r>
            <w:r>
              <w:rPr>
                <w:rFonts w:hint="eastAsia" w:ascii="宋体" w:hAnsi="宋体" w:eastAsia="宋体" w:cs="宋体"/>
                <w:color w:val="000000" w:themeColor="text1"/>
                <w:kern w:val="0"/>
                <w:sz w:val="24"/>
                <w:szCs w:val="24"/>
                <w:highlight w:val="none"/>
              </w:rPr>
              <w:t>17、具备多震响应功能：对多震预警能够同时响应，在相近的时间内发生了多个地震，地震终端对多个地震的预警均能够及时接收、响应并播报；多震预警处理响应时间≤1秒。</w:t>
            </w:r>
            <w:r>
              <w:rPr>
                <w:rFonts w:hint="eastAsia" w:ascii="宋体" w:hAnsi="宋体" w:eastAsia="宋体"/>
                <w:b/>
                <w:bCs/>
                <w:color w:val="000000" w:themeColor="text1"/>
                <w:sz w:val="24"/>
                <w:szCs w:val="24"/>
                <w:highlight w:val="none"/>
              </w:rPr>
              <w:t>（</w:t>
            </w:r>
            <w:r>
              <w:rPr>
                <w:rFonts w:ascii="宋体" w:hAnsi="宋体" w:eastAsia="宋体"/>
                <w:b/>
                <w:bCs/>
                <w:color w:val="000000" w:themeColor="text1"/>
                <w:sz w:val="24"/>
                <w:szCs w:val="24"/>
                <w:highlight w:val="none"/>
              </w:rPr>
              <w:t>需提供国家认可的第三方检测机构出具的具有CMA标识的检测报告复印件并加盖投标人公章，送检单位名称必须与产品制造单位名称一致。</w:t>
            </w:r>
            <w:r>
              <w:rPr>
                <w:rFonts w:hint="eastAsia" w:ascii="宋体" w:hAnsi="宋体" w:eastAsia="宋体"/>
                <w:b/>
                <w:bCs/>
                <w:color w:val="000000" w:themeColor="text1"/>
                <w:sz w:val="24"/>
                <w:szCs w:val="24"/>
                <w:highlight w:val="none"/>
              </w:rPr>
              <w:t>）</w:t>
            </w:r>
          </w:p>
          <w:p w14:paraId="1F80874F">
            <w:pPr>
              <w:widowControl/>
              <w:spacing w:line="360" w:lineRule="auto"/>
              <w:jc w:val="left"/>
              <w:textAlignment w:val="center"/>
              <w:rPr>
                <w:rFonts w:ascii="宋体" w:hAnsi="宋体" w:eastAsia="宋体" w:cs="宋体"/>
                <w:color w:val="000000" w:themeColor="text1"/>
                <w:sz w:val="24"/>
                <w:szCs w:val="24"/>
                <w:highlight w:val="none"/>
              </w:rPr>
            </w:pPr>
            <w:r>
              <w:rPr>
                <w:rFonts w:hint="eastAsia" w:ascii="宋体" w:hAnsi="宋体" w:eastAsia="宋体" w:cs="宋体"/>
                <w:color w:val="000000" w:themeColor="text1"/>
                <w:kern w:val="0"/>
                <w:sz w:val="24"/>
                <w:szCs w:val="24"/>
                <w:highlight w:val="none"/>
              </w:rPr>
              <w:t>18、日志管理：系统日志连续记录，包括但不限于系统状态、系统自检、连接、操作、各类信息获取和确认、处理、显示、异常处理，且本地保存≥30天；地震预警信息日志，包括但不限于报文接收信息报文内容、报文回复、预警响应以及反馈信息等，本地保存且≥3个月，支持日志分类、分级保存。具备定时（可配置）上传日志文件到日志服务器（日志服务器信息可配置）。</w:t>
            </w:r>
          </w:p>
          <w:p w14:paraId="20D3A104">
            <w:pPr>
              <w:widowControl/>
              <w:spacing w:line="360" w:lineRule="auto"/>
              <w:jc w:val="left"/>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19、系统设置：终端设备重启以后，保证系统内所有配置与重启之前一致；如果终端设备非法关闭，重启后的系统应是最近一次正常运行配置；当终端设备网络通讯异常时，通过还原网络配置将所有网络配置网络部分恢复到出厂设置，网络配置WIFI和4G配置；具备数据存储能力和自动清理空间能力。</w:t>
            </w:r>
          </w:p>
          <w:p w14:paraId="71D4DC95">
            <w:pPr>
              <w:widowControl/>
              <w:spacing w:line="360" w:lineRule="auto"/>
              <w:jc w:val="left"/>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20、系统自检：终端设备可定时自检，自检内容包括但不限于系统状态、网络状态、服务连接状态；具备电源状态指示灯。自检报告自动保存，支持远程查看。</w:t>
            </w:r>
          </w:p>
          <w:p w14:paraId="0E1F40EF">
            <w:pPr>
              <w:widowControl/>
              <w:spacing w:line="360" w:lineRule="auto"/>
              <w:jc w:val="left"/>
              <w:textAlignment w:val="center"/>
              <w:rPr>
                <w:rFonts w:ascii="宋体" w:hAnsi="宋体" w:eastAsia="宋体" w:cs="宋体"/>
                <w:b/>
                <w:color w:val="000000" w:themeColor="text1"/>
                <w:kern w:val="0"/>
                <w:sz w:val="24"/>
                <w:szCs w:val="24"/>
                <w:highlight w:val="none"/>
              </w:rPr>
            </w:pPr>
            <w:r>
              <w:rPr>
                <w:rFonts w:ascii="宋体" w:hAnsi="宋体" w:eastAsia="宋体" w:cs="Times New Roman"/>
                <w:b/>
                <w:color w:val="000000" w:themeColor="text1"/>
                <w:sz w:val="24"/>
                <w:szCs w:val="24"/>
                <w:highlight w:val="none"/>
              </w:rPr>
              <w:t>*</w:t>
            </w:r>
            <w:r>
              <w:rPr>
                <w:rFonts w:hint="eastAsia" w:ascii="宋体" w:hAnsi="宋体" w:eastAsia="宋体" w:cs="宋体"/>
                <w:b/>
                <w:color w:val="000000" w:themeColor="text1"/>
                <w:kern w:val="0"/>
                <w:sz w:val="24"/>
                <w:szCs w:val="24"/>
                <w:highlight w:val="none"/>
              </w:rPr>
              <w:t>21、</w:t>
            </w:r>
            <w:r>
              <w:rPr>
                <w:rFonts w:hint="eastAsia" w:ascii="宋体" w:hAnsi="宋体" w:eastAsia="宋体" w:cs="宋体"/>
                <w:color w:val="000000" w:themeColor="text1"/>
                <w:kern w:val="0"/>
                <w:sz w:val="24"/>
                <w:szCs w:val="24"/>
                <w:highlight w:val="none"/>
              </w:rPr>
              <w:t>预警信息发布终端防篡改接入认证服务：实现与省地震烈度速报预警防篡改密码安全系统对接，确保接入终端适配预警信息发布终端防篡改系统，实现预警信息发布终端签名验签的功能，实现对预警消息签名进行校验的功能。提供国密身份数字证书，实现预警信息发布终端接入发布系统的身份强认证，用户名密码结合国密数字证书校验，保障发布终端的身份合法性，数字证书终身有效。产品与省地震烈度速报预警防篡改密码安全系统的适配、集成升级、二次开发等费用由供应商承担。</w:t>
            </w:r>
            <w:r>
              <w:rPr>
                <w:rFonts w:hint="eastAsia" w:ascii="宋体" w:hAnsi="宋体" w:eastAsia="宋体" w:cs="宋体"/>
                <w:b/>
                <w:color w:val="000000" w:themeColor="text1"/>
                <w:kern w:val="0"/>
                <w:sz w:val="24"/>
                <w:szCs w:val="24"/>
                <w:highlight w:val="none"/>
              </w:rPr>
              <w:t>（供应商需提供保证接入省地震烈度速报预警防篡改密码安全系统的承诺函，详见格式3。）</w:t>
            </w:r>
          </w:p>
          <w:p w14:paraId="600ACD97">
            <w:pPr>
              <w:widowControl/>
              <w:spacing w:line="360" w:lineRule="auto"/>
              <w:jc w:val="left"/>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22、工作环境：温度在-20℃～50℃，空气相对湿度值不大于90%RH，无凝露。</w:t>
            </w:r>
          </w:p>
          <w:p w14:paraId="197DFF9C">
            <w:pPr>
              <w:widowControl/>
              <w:spacing w:line="360" w:lineRule="auto"/>
              <w:jc w:val="left"/>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23、运行可靠性：支持7×24小时的不间断运行，支持断电数据保护、离线数据播放。在正常环境和供电条件下可连续稳定工作，连续工作≥18000小时。</w:t>
            </w:r>
          </w:p>
          <w:p w14:paraId="11C3D0C7">
            <w:pPr>
              <w:widowControl/>
              <w:spacing w:line="360" w:lineRule="auto"/>
              <w:jc w:val="left"/>
              <w:textAlignment w:val="center"/>
              <w:rPr>
                <w:rFonts w:ascii="宋体" w:hAnsi="宋体" w:eastAsia="宋体" w:cs="宋体"/>
                <w:color w:val="000000" w:themeColor="text1"/>
                <w:sz w:val="24"/>
                <w:szCs w:val="24"/>
                <w:highlight w:val="none"/>
              </w:rPr>
            </w:pPr>
            <w:r>
              <w:rPr>
                <w:rFonts w:hint="eastAsia" w:ascii="宋体" w:hAnsi="宋体" w:eastAsia="宋体" w:cs="宋体"/>
                <w:color w:val="000000" w:themeColor="text1"/>
                <w:kern w:val="0"/>
                <w:sz w:val="24"/>
                <w:szCs w:val="24"/>
                <w:highlight w:val="none"/>
              </w:rPr>
              <w:t>24、在终端上需体现甲方单位的名称。</w:t>
            </w:r>
          </w:p>
          <w:p w14:paraId="202D1240">
            <w:pPr>
              <w:spacing w:line="360" w:lineRule="auto"/>
              <w:jc w:val="left"/>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25、安装方式：壁挂式安装。</w:t>
            </w:r>
          </w:p>
          <w:p w14:paraId="7C21DE50">
            <w:pPr>
              <w:spacing w:line="360" w:lineRule="auto"/>
              <w:jc w:val="left"/>
              <w:textAlignment w:val="center"/>
              <w:rPr>
                <w:rFonts w:ascii="宋体" w:hAnsi="宋体" w:eastAsia="宋体" w:cs="宋体"/>
                <w:color w:val="000000" w:themeColor="text1"/>
                <w:sz w:val="24"/>
                <w:szCs w:val="24"/>
                <w:highlight w:val="none"/>
              </w:rPr>
            </w:pPr>
            <w:r>
              <w:rPr>
                <w:rFonts w:ascii="宋体" w:hAnsi="宋体" w:eastAsia="宋体" w:cs="Times New Roman"/>
                <w:b/>
                <w:color w:val="000000" w:themeColor="text1"/>
                <w:sz w:val="24"/>
                <w:szCs w:val="24"/>
                <w:highlight w:val="none"/>
              </w:rPr>
              <w:t>*</w:t>
            </w:r>
            <w:r>
              <w:rPr>
                <w:rFonts w:hint="eastAsia" w:ascii="宋体" w:hAnsi="宋体" w:eastAsia="宋体" w:cs="宋体"/>
                <w:b/>
                <w:color w:val="000000" w:themeColor="text1"/>
                <w:kern w:val="0"/>
                <w:sz w:val="24"/>
                <w:szCs w:val="24"/>
                <w:highlight w:val="none"/>
              </w:rPr>
              <w:t>26、</w:t>
            </w:r>
            <w:r>
              <w:rPr>
                <w:rFonts w:hint="eastAsia" w:ascii="宋体" w:hAnsi="宋体" w:eastAsia="宋体" w:cs="宋体"/>
                <w:color w:val="000000" w:themeColor="text1"/>
                <w:kern w:val="0"/>
                <w:sz w:val="24"/>
                <w:szCs w:val="24"/>
                <w:highlight w:val="none"/>
              </w:rPr>
              <w:t>配套市县地震预警终端综合管理平台软件，以WEB版客户端登录，通过权限管理，分市级总平台、13个县区（含高新区）分平台。支持对本包内核心产品统一管理，具有运维终端管理功能、远程控制、终端内容管理等功能。可进行参数设置、人员管理、避难场所管理，支持查看设备基础信息、设备运行状态、调节设备音量、查看预警记录，可进行科普播报、模拟演练、广播测试等功能，可实现对终端类型、安装位置、在线状态、声音状态、预警信息、速报信息、使用状态等多维度统计与地图可视化直观展示。</w:t>
            </w:r>
            <w:r>
              <w:rPr>
                <w:rFonts w:hint="eastAsia" w:ascii="宋体" w:hAnsi="宋体" w:eastAsia="宋体" w:cs="宋体"/>
                <w:b/>
                <w:color w:val="000000" w:themeColor="text1"/>
                <w:kern w:val="0"/>
                <w:sz w:val="24"/>
                <w:szCs w:val="24"/>
                <w:highlight w:val="none"/>
              </w:rPr>
              <w:t>（需提供软件功能界面截图，并加盖投标人公章）</w:t>
            </w:r>
          </w:p>
        </w:tc>
        <w:tc>
          <w:tcPr>
            <w:tcW w:w="568" w:type="pct"/>
            <w:vAlign w:val="center"/>
          </w:tcPr>
          <w:p w14:paraId="3A5AA4B0">
            <w:pPr>
              <w:spacing w:line="360" w:lineRule="auto"/>
              <w:jc w:val="center"/>
              <w:rPr>
                <w:rFonts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151台</w:t>
            </w:r>
          </w:p>
        </w:tc>
        <w:tc>
          <w:tcPr>
            <w:tcW w:w="920" w:type="pct"/>
            <w:vAlign w:val="center"/>
          </w:tcPr>
          <w:p w14:paraId="3854095A">
            <w:pPr>
              <w:spacing w:line="360" w:lineRule="auto"/>
              <w:jc w:val="center"/>
              <w:rPr>
                <w:rFonts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7</w:t>
            </w:r>
            <w:r>
              <w:rPr>
                <w:rFonts w:ascii="宋体" w:hAnsi="宋体" w:eastAsia="宋体" w:cs="宋体"/>
                <w:color w:val="000000" w:themeColor="text1"/>
                <w:sz w:val="24"/>
                <w:szCs w:val="24"/>
                <w:highlight w:val="none"/>
              </w:rPr>
              <w:t>150.00</w:t>
            </w:r>
          </w:p>
        </w:tc>
      </w:tr>
      <w:tr w14:paraId="52FD44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14:paraId="64838CED">
            <w:pPr>
              <w:spacing w:line="360" w:lineRule="auto"/>
              <w:jc w:val="center"/>
              <w:rPr>
                <w:rFonts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w:t>
            </w:r>
          </w:p>
        </w:tc>
        <w:tc>
          <w:tcPr>
            <w:tcW w:w="684" w:type="pct"/>
            <w:vAlign w:val="center"/>
          </w:tcPr>
          <w:p w14:paraId="25C25390">
            <w:pPr>
              <w:spacing w:line="360" w:lineRule="auto"/>
              <w:jc w:val="center"/>
              <w:rPr>
                <w:rFonts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地震预警终端</w:t>
            </w:r>
            <w:r>
              <w:rPr>
                <w:rFonts w:ascii="宋体" w:hAnsi="宋体" w:eastAsia="宋体" w:cs="宋体"/>
                <w:color w:val="000000" w:themeColor="text1"/>
                <w:sz w:val="24"/>
                <w:szCs w:val="24"/>
                <w:highlight w:val="none"/>
              </w:rPr>
              <w:t>2</w:t>
            </w:r>
            <w:r>
              <w:rPr>
                <w:rFonts w:hint="eastAsia" w:ascii="宋体" w:hAnsi="宋体" w:eastAsia="宋体" w:cs="宋体"/>
                <w:color w:val="000000" w:themeColor="text1"/>
                <w:sz w:val="24"/>
                <w:szCs w:val="24"/>
                <w:highlight w:val="none"/>
              </w:rPr>
              <w:t>（核心产品）</w:t>
            </w:r>
          </w:p>
        </w:tc>
        <w:tc>
          <w:tcPr>
            <w:tcW w:w="2403" w:type="pct"/>
            <w:vAlign w:val="center"/>
          </w:tcPr>
          <w:p w14:paraId="2B0C91A2">
            <w:pPr>
              <w:widowControl/>
              <w:spacing w:line="360" w:lineRule="auto"/>
              <w:jc w:val="left"/>
              <w:rPr>
                <w:rFonts w:ascii="宋体" w:hAnsi="宋体" w:eastAsia="宋体" w:cs="宋体"/>
                <w:color w:val="000000" w:themeColor="text1"/>
                <w:kern w:val="0"/>
                <w:sz w:val="24"/>
                <w:szCs w:val="24"/>
                <w:highlight w:val="none"/>
              </w:rPr>
            </w:pPr>
            <w:r>
              <w:rPr>
                <w:rFonts w:ascii="宋体" w:hAnsi="宋体" w:eastAsia="宋体" w:cs="宋体"/>
                <w:b/>
                <w:color w:val="000000" w:themeColor="text1"/>
                <w:sz w:val="24"/>
                <w:szCs w:val="24"/>
                <w:highlight w:val="none"/>
              </w:rPr>
              <w:t>*</w:t>
            </w:r>
            <w:r>
              <w:rPr>
                <w:rFonts w:hint="eastAsia" w:ascii="宋体" w:hAnsi="宋体" w:eastAsia="宋体" w:cs="宋体"/>
                <w:b/>
                <w:color w:val="000000" w:themeColor="text1"/>
                <w:kern w:val="0"/>
                <w:sz w:val="24"/>
                <w:szCs w:val="24"/>
                <w:highlight w:val="none"/>
              </w:rPr>
              <w:t>27、</w:t>
            </w:r>
            <w:r>
              <w:rPr>
                <w:rFonts w:hint="eastAsia" w:ascii="宋体" w:hAnsi="宋体" w:eastAsia="宋体" w:cs="宋体"/>
                <w:color w:val="000000" w:themeColor="text1"/>
                <w:kern w:val="0"/>
                <w:sz w:val="24"/>
                <w:szCs w:val="24"/>
                <w:highlight w:val="none"/>
              </w:rPr>
              <w:t>基本要求：产品符合《中国地震预警网地震预警信息发布指南》和《国家地震烈度速报与预警工程项目紧急地震信息服务终端相关技术要求》等技术规范规定的通信协议和信息结构；为中国地震局台网中心通过地震监测专业设备定型设备的预警信息服务专用终端</w:t>
            </w:r>
            <w:r>
              <w:rPr>
                <w:rFonts w:hint="eastAsia" w:ascii="宋体" w:hAnsi="宋体" w:eastAsia="宋体" w:cs="宋体"/>
                <w:b/>
                <w:color w:val="000000" w:themeColor="text1"/>
                <w:kern w:val="0"/>
                <w:sz w:val="24"/>
                <w:szCs w:val="24"/>
                <w:highlight w:val="none"/>
              </w:rPr>
              <w:t>（提供产品型号在《中国地震局台网中心通过地震监测专业设备定型设备的通知》清单内的证明文件，或提供由中国地震台网中心出具的产品型号定型结果证明文件，并加盖投标人公章）</w:t>
            </w:r>
            <w:r>
              <w:rPr>
                <w:rFonts w:hint="eastAsia" w:ascii="宋体" w:hAnsi="宋体" w:eastAsia="宋体" w:cs="宋体"/>
                <w:color w:val="000000" w:themeColor="text1"/>
                <w:kern w:val="0"/>
                <w:sz w:val="24"/>
                <w:szCs w:val="24"/>
                <w:highlight w:val="none"/>
              </w:rPr>
              <w:t>；满足地震预警终端信息防篡改密码安全要求；符合陕西省《地震预警信息发布规范》（</w:t>
            </w:r>
            <w:r>
              <w:rPr>
                <w:rFonts w:ascii="宋体" w:hAnsi="宋体" w:eastAsia="宋体" w:cs="宋体"/>
                <w:color w:val="000000" w:themeColor="text1"/>
                <w:kern w:val="0"/>
                <w:sz w:val="24"/>
                <w:szCs w:val="24"/>
                <w:highlight w:val="none"/>
              </w:rPr>
              <w:t>DB61/T1848—2024）标准</w:t>
            </w:r>
            <w:r>
              <w:rPr>
                <w:rFonts w:hint="eastAsia" w:ascii="宋体" w:hAnsi="宋体" w:eastAsia="宋体" w:cs="宋体"/>
                <w:b/>
                <w:color w:val="000000" w:themeColor="text1"/>
                <w:kern w:val="0"/>
                <w:sz w:val="24"/>
                <w:szCs w:val="24"/>
                <w:highlight w:val="none"/>
              </w:rPr>
              <w:t>（提供该产品型号符合该标准的证明文件或承诺函，格式自拟）。</w:t>
            </w:r>
          </w:p>
          <w:p w14:paraId="1C3BB0EC">
            <w:pPr>
              <w:widowControl/>
              <w:spacing w:line="360" w:lineRule="auto"/>
              <w:jc w:val="left"/>
              <w:textAlignment w:val="center"/>
              <w:rPr>
                <w:rFonts w:ascii="宋体" w:hAnsi="宋体" w:eastAsia="宋体" w:cs="宋体"/>
                <w:color w:val="000000" w:themeColor="text1"/>
                <w:sz w:val="24"/>
                <w:szCs w:val="24"/>
                <w:highlight w:val="none"/>
              </w:rPr>
            </w:pPr>
            <w:r>
              <w:rPr>
                <w:rFonts w:ascii="宋体" w:hAnsi="宋体" w:eastAsia="宋体" w:cs="宋体"/>
                <w:b/>
                <w:color w:val="000000" w:themeColor="text1"/>
                <w:sz w:val="24"/>
                <w:szCs w:val="24"/>
                <w:highlight w:val="none"/>
              </w:rPr>
              <w:t>*</w:t>
            </w:r>
            <w:r>
              <w:rPr>
                <w:rFonts w:hint="eastAsia" w:ascii="宋体" w:hAnsi="宋体" w:eastAsia="宋体" w:cs="宋体"/>
                <w:b/>
                <w:color w:val="000000" w:themeColor="text1"/>
                <w:kern w:val="0"/>
                <w:sz w:val="24"/>
                <w:szCs w:val="24"/>
                <w:highlight w:val="none"/>
              </w:rPr>
              <w:t>28、</w:t>
            </w:r>
            <w:r>
              <w:rPr>
                <w:rFonts w:hint="eastAsia" w:ascii="宋体" w:hAnsi="宋体" w:eastAsia="宋体" w:cs="宋体"/>
                <w:color w:val="000000" w:themeColor="text1"/>
                <w:kern w:val="0"/>
                <w:sz w:val="24"/>
                <w:szCs w:val="24"/>
                <w:highlight w:val="none"/>
              </w:rPr>
              <w:t>屏幕：24寸LED背光</w:t>
            </w:r>
            <w:r>
              <w:rPr>
                <w:rFonts w:hint="eastAsia" w:ascii="宋体" w:hAnsi="宋体" w:eastAsia="宋体" w:cs="宋体"/>
                <w:b/>
                <w:color w:val="000000" w:themeColor="text1"/>
                <w:kern w:val="0"/>
                <w:sz w:val="24"/>
                <w:szCs w:val="24"/>
                <w:highlight w:val="none"/>
              </w:rPr>
              <w:t>。（投标人需提供证明材料，加盖投标人公章）</w:t>
            </w:r>
          </w:p>
          <w:p w14:paraId="38FF02A2">
            <w:pPr>
              <w:widowControl/>
              <w:spacing w:line="360" w:lineRule="auto"/>
              <w:jc w:val="left"/>
              <w:textAlignment w:val="center"/>
              <w:rPr>
                <w:rFonts w:ascii="宋体" w:hAnsi="宋体" w:eastAsia="宋体" w:cs="宋体"/>
                <w:color w:val="000000" w:themeColor="text1"/>
                <w:sz w:val="24"/>
                <w:szCs w:val="24"/>
                <w:highlight w:val="none"/>
              </w:rPr>
            </w:pPr>
            <w:r>
              <w:rPr>
                <w:rFonts w:hint="eastAsia" w:ascii="宋体" w:hAnsi="宋体" w:eastAsia="宋体" w:cs="宋体"/>
                <w:color w:val="000000" w:themeColor="text1"/>
                <w:kern w:val="0"/>
                <w:sz w:val="24"/>
                <w:szCs w:val="24"/>
                <w:highlight w:val="none"/>
              </w:rPr>
              <w:t>29、屏幕亮度：≥400cd/㎡。</w:t>
            </w:r>
          </w:p>
          <w:p w14:paraId="2A14E3D5">
            <w:pPr>
              <w:widowControl/>
              <w:spacing w:line="360" w:lineRule="auto"/>
              <w:jc w:val="left"/>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30、显示比例：16:9（屏幕立式显示）。</w:t>
            </w:r>
          </w:p>
          <w:p w14:paraId="7E753A31">
            <w:pPr>
              <w:widowControl/>
              <w:spacing w:line="360" w:lineRule="auto"/>
              <w:jc w:val="left"/>
              <w:textAlignment w:val="center"/>
              <w:rPr>
                <w:rFonts w:ascii="宋体" w:hAnsi="宋体" w:eastAsia="宋体" w:cs="宋体"/>
                <w:color w:val="000000" w:themeColor="text1"/>
                <w:sz w:val="24"/>
                <w:szCs w:val="24"/>
                <w:highlight w:val="none"/>
              </w:rPr>
            </w:pPr>
            <w:r>
              <w:rPr>
                <w:rFonts w:hint="eastAsia" w:ascii="宋体" w:hAnsi="宋体" w:eastAsia="宋体" w:cs="宋体"/>
                <w:color w:val="000000" w:themeColor="text1"/>
                <w:kern w:val="0"/>
                <w:sz w:val="24"/>
                <w:szCs w:val="24"/>
                <w:highlight w:val="none"/>
              </w:rPr>
              <w:t>31、分辨率≥1920*1080。</w:t>
            </w:r>
          </w:p>
          <w:p w14:paraId="72466581">
            <w:pPr>
              <w:widowControl/>
              <w:spacing w:line="360" w:lineRule="auto"/>
              <w:jc w:val="left"/>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32、通讯及接口：支持并提供RJ45有线网络、WIFI以及4G/5G通信物联网卡接入，支持USB接口，提供≥2个USB2.0及以上接口，支持音频输出、HDMI输出。</w:t>
            </w:r>
          </w:p>
          <w:p w14:paraId="11B101DF">
            <w:pPr>
              <w:widowControl/>
              <w:spacing w:line="360" w:lineRule="auto"/>
              <w:jc w:val="left"/>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33、操作系统：具备</w:t>
            </w:r>
            <w:r>
              <w:rPr>
                <w:rFonts w:ascii="宋体" w:hAnsi="宋体" w:eastAsia="宋体" w:cs="宋体"/>
                <w:color w:val="000000" w:themeColor="text1"/>
                <w:kern w:val="0"/>
                <w:sz w:val="24"/>
                <w:szCs w:val="24"/>
                <w:highlight w:val="none"/>
              </w:rPr>
              <w:t>APP和Web远程管理功能，可查看终端设备状态、配置和管理相关参数，进行系统升级、重置、重启及预警相关应用升级和服务重启；支持APP白名单访问设置，支持禁用系统弱端口；具备限制USB存储设备功能和I/O接口管控功能；终端支持TTS，系统提供TTS功能，支持远程系统升级服务；具备接入市级及以上地震预警信息发布平台的功能。</w:t>
            </w:r>
          </w:p>
          <w:p w14:paraId="4EA1932A">
            <w:pPr>
              <w:widowControl/>
              <w:spacing w:line="360" w:lineRule="auto"/>
              <w:jc w:val="left"/>
              <w:textAlignment w:val="center"/>
              <w:rPr>
                <w:rFonts w:ascii="宋体" w:hAnsi="宋体" w:eastAsia="宋体" w:cs="宋体"/>
                <w:b/>
                <w:color w:val="000000" w:themeColor="text1"/>
                <w:kern w:val="0"/>
                <w:sz w:val="24"/>
                <w:szCs w:val="24"/>
                <w:highlight w:val="none"/>
              </w:rPr>
            </w:pPr>
            <w:r>
              <w:rPr>
                <w:rFonts w:hint="eastAsia" w:ascii="宋体" w:hAnsi="宋体" w:eastAsia="宋体" w:cs="宋体"/>
                <w:color w:val="000000" w:themeColor="text1"/>
                <w:sz w:val="24"/>
                <w:szCs w:val="24"/>
                <w:highlight w:val="none"/>
              </w:rPr>
              <w:t>▲</w:t>
            </w:r>
            <w:r>
              <w:rPr>
                <w:rFonts w:hint="eastAsia" w:ascii="宋体" w:hAnsi="宋体" w:eastAsia="宋体" w:cs="宋体"/>
                <w:color w:val="000000" w:themeColor="text1"/>
                <w:kern w:val="0"/>
                <w:sz w:val="24"/>
                <w:szCs w:val="24"/>
                <w:highlight w:val="none"/>
              </w:rPr>
              <w:t>34、烈度计功能：内置简易烈度计，支持外接高性能烈度计，支持实时波形信息显示。</w:t>
            </w:r>
            <w:r>
              <w:rPr>
                <w:rFonts w:hint="eastAsia" w:ascii="宋体" w:hAnsi="宋体" w:eastAsia="宋体"/>
                <w:b/>
                <w:color w:val="000000" w:themeColor="text1"/>
                <w:sz w:val="24"/>
                <w:szCs w:val="24"/>
                <w:highlight w:val="none"/>
              </w:rPr>
              <w:t>（需提供相关功能界面截图或其他证明材料加盖投标人公章。）</w:t>
            </w:r>
          </w:p>
          <w:p w14:paraId="27979338">
            <w:pPr>
              <w:widowControl/>
              <w:spacing w:line="360" w:lineRule="auto"/>
              <w:jc w:val="left"/>
              <w:textAlignment w:val="center"/>
              <w:rPr>
                <w:rFonts w:ascii="宋体" w:hAnsi="宋体" w:eastAsia="宋体" w:cs="宋体"/>
                <w:color w:val="000000" w:themeColor="text1"/>
                <w:sz w:val="24"/>
                <w:szCs w:val="24"/>
                <w:highlight w:val="none"/>
              </w:rPr>
            </w:pPr>
            <w:r>
              <w:rPr>
                <w:rFonts w:hint="eastAsia" w:ascii="宋体" w:hAnsi="宋体" w:eastAsia="宋体" w:cs="宋体"/>
                <w:color w:val="000000" w:themeColor="text1"/>
                <w:kern w:val="0"/>
                <w:sz w:val="24"/>
                <w:szCs w:val="24"/>
                <w:highlight w:val="none"/>
              </w:rPr>
              <w:t>35、节能显示：显示屏具备三种工作模式。息屏、节能显示、高亮显示（预警时显示），具备节能环保手动息屏，提供手动息屏/亮屏按钮。当终端设备在预警响应状态下，显示屏处于高亮显示模式；当终端设备在日常工作状态下，且没有用户信息交互操作时，显示屏处于节能模式。</w:t>
            </w:r>
          </w:p>
          <w:p w14:paraId="7CF78077">
            <w:pPr>
              <w:widowControl/>
              <w:spacing w:line="360" w:lineRule="auto"/>
              <w:jc w:val="left"/>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sz w:val="24"/>
                <w:szCs w:val="24"/>
                <w:highlight w:val="none"/>
              </w:rPr>
              <w:t>▲</w:t>
            </w:r>
            <w:r>
              <w:rPr>
                <w:rFonts w:hint="eastAsia" w:ascii="宋体" w:hAnsi="宋体" w:eastAsia="宋体" w:cs="宋体"/>
                <w:color w:val="000000" w:themeColor="text1"/>
                <w:kern w:val="0"/>
                <w:sz w:val="24"/>
                <w:szCs w:val="24"/>
                <w:highlight w:val="none"/>
              </w:rPr>
              <w:t>36、预警及授时功能：具备计算本地烈度和预警等级功能。当终端设备处于预警响应状态时，预警相关服务优先级最高，支持</w:t>
            </w:r>
            <w:r>
              <w:rPr>
                <w:rFonts w:ascii="宋体" w:hAnsi="宋体" w:eastAsia="宋体" w:cs="宋体"/>
                <w:color w:val="000000" w:themeColor="text1"/>
                <w:kern w:val="0"/>
                <w:sz w:val="24"/>
                <w:szCs w:val="24"/>
                <w:highlight w:val="none"/>
              </w:rPr>
              <w:t>NTP授时功能</w:t>
            </w:r>
            <w:r>
              <w:rPr>
                <w:rFonts w:hint="eastAsia" w:ascii="宋体" w:hAnsi="宋体" w:eastAsia="宋体" w:cs="宋体"/>
                <w:color w:val="000000" w:themeColor="text1"/>
                <w:kern w:val="0"/>
                <w:sz w:val="24"/>
                <w:szCs w:val="24"/>
                <w:highlight w:val="none"/>
              </w:rPr>
              <w:t>。</w:t>
            </w:r>
            <w:r>
              <w:rPr>
                <w:rFonts w:hint="eastAsia" w:ascii="宋体" w:hAnsi="宋体" w:eastAsia="宋体"/>
                <w:b/>
                <w:bCs/>
                <w:color w:val="000000" w:themeColor="text1"/>
                <w:sz w:val="24"/>
                <w:szCs w:val="24"/>
                <w:highlight w:val="none"/>
              </w:rPr>
              <w:t>（</w:t>
            </w:r>
            <w:r>
              <w:rPr>
                <w:rFonts w:ascii="宋体" w:hAnsi="宋体" w:eastAsia="宋体"/>
                <w:b/>
                <w:bCs/>
                <w:color w:val="000000" w:themeColor="text1"/>
                <w:sz w:val="24"/>
                <w:szCs w:val="24"/>
                <w:highlight w:val="none"/>
              </w:rPr>
              <w:t>需提供国家认可的第三方检测机构出具的具有CMA标识的检测报告复印件并加盖投标人公章，送检单位名称必须与产品制造单位名称一致。</w:t>
            </w:r>
            <w:r>
              <w:rPr>
                <w:rFonts w:hint="eastAsia" w:ascii="宋体" w:hAnsi="宋体" w:eastAsia="宋体"/>
                <w:b/>
                <w:bCs/>
                <w:color w:val="000000" w:themeColor="text1"/>
                <w:sz w:val="24"/>
                <w:szCs w:val="24"/>
                <w:highlight w:val="none"/>
              </w:rPr>
              <w:t>）</w:t>
            </w:r>
          </w:p>
          <w:p w14:paraId="3E084D1E">
            <w:pPr>
              <w:widowControl/>
              <w:spacing w:line="360" w:lineRule="auto"/>
              <w:jc w:val="left"/>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37、提供分区显示功能，分区显示内容可定制；状态可显示信息包括当前时间（日历）、连接状态（预警服务器）、气象信息、实时波形信息、最新地震消息（滚动显示）和科普宣传信息；预警响应状态显示信息包括预警信息、烈度速报信息、地震速报信息。</w:t>
            </w:r>
          </w:p>
          <w:p w14:paraId="5F83435A">
            <w:pPr>
              <w:widowControl/>
              <w:spacing w:line="360" w:lineRule="auto"/>
              <w:jc w:val="left"/>
              <w:textAlignment w:val="center"/>
              <w:rPr>
                <w:rFonts w:ascii="宋体" w:hAnsi="宋体" w:eastAsia="宋体" w:cs="宋体"/>
                <w:color w:val="000000" w:themeColor="text1"/>
                <w:sz w:val="24"/>
                <w:szCs w:val="24"/>
                <w:highlight w:val="none"/>
              </w:rPr>
            </w:pPr>
            <w:r>
              <w:rPr>
                <w:rFonts w:hint="eastAsia" w:ascii="宋体" w:hAnsi="宋体" w:eastAsia="宋体" w:cs="宋体"/>
                <w:color w:val="000000" w:themeColor="text1"/>
                <w:kern w:val="0"/>
                <w:sz w:val="24"/>
                <w:szCs w:val="24"/>
                <w:highlight w:val="none"/>
              </w:rPr>
              <w:t>38、灯光报警器：具备红、橙、黄、蓝四种颜色警报灯；具备闪烁（爆闪）功能，可根据预警发布规则配置进行灯光告警。</w:t>
            </w:r>
          </w:p>
          <w:p w14:paraId="49BBAA2A">
            <w:pPr>
              <w:widowControl/>
              <w:spacing w:line="360" w:lineRule="auto"/>
              <w:jc w:val="left"/>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39、声音报警器：配置工作和报警两套声音报警器，报警时输出功率≥20W。</w:t>
            </w:r>
          </w:p>
          <w:p w14:paraId="3F7BD843">
            <w:pPr>
              <w:widowControl/>
              <w:spacing w:line="360" w:lineRule="auto"/>
              <w:jc w:val="left"/>
              <w:textAlignment w:val="center"/>
              <w:rPr>
                <w:rFonts w:ascii="宋体" w:hAnsi="宋体" w:eastAsia="宋体" w:cs="宋体"/>
                <w:color w:val="000000" w:themeColor="text1"/>
                <w:sz w:val="24"/>
                <w:szCs w:val="24"/>
                <w:highlight w:val="none"/>
              </w:rPr>
            </w:pPr>
            <w:r>
              <w:rPr>
                <w:rFonts w:hint="eastAsia" w:ascii="宋体" w:hAnsi="宋体" w:eastAsia="宋体" w:cs="宋体"/>
                <w:color w:val="000000" w:themeColor="text1"/>
                <w:kern w:val="0"/>
                <w:sz w:val="24"/>
                <w:szCs w:val="24"/>
                <w:highlight w:val="none"/>
              </w:rPr>
              <w:t>40、视频采集：内置视频采集功能，视频采集时收录声音；视频分辨率≥720P。</w:t>
            </w:r>
          </w:p>
          <w:p w14:paraId="0D24555D">
            <w:pPr>
              <w:widowControl/>
              <w:spacing w:line="360" w:lineRule="auto"/>
              <w:jc w:val="left"/>
              <w:textAlignment w:val="center"/>
              <w:rPr>
                <w:rFonts w:ascii="宋体" w:hAnsi="宋体" w:eastAsia="宋体" w:cs="宋体"/>
                <w:color w:val="000000" w:themeColor="text1"/>
                <w:sz w:val="24"/>
                <w:szCs w:val="24"/>
                <w:highlight w:val="none"/>
              </w:rPr>
            </w:pPr>
            <w:r>
              <w:rPr>
                <w:rFonts w:hint="eastAsia" w:ascii="宋体" w:hAnsi="宋体" w:eastAsia="宋体" w:cs="宋体"/>
                <w:color w:val="000000" w:themeColor="text1"/>
                <w:kern w:val="0"/>
                <w:sz w:val="24"/>
                <w:szCs w:val="24"/>
                <w:highlight w:val="none"/>
              </w:rPr>
              <w:t>41、演练服务：具备地震预警演练功能，显示信息包括醒目的“演练”标题。支持多灾种自定义模拟演练数据配置；支持消防、人防、防暴等模拟演练。</w:t>
            </w:r>
          </w:p>
          <w:p w14:paraId="45EB8E27">
            <w:pPr>
              <w:widowControl/>
              <w:spacing w:line="360" w:lineRule="auto"/>
              <w:jc w:val="left"/>
              <w:textAlignment w:val="center"/>
              <w:rPr>
                <w:rFonts w:ascii="宋体" w:hAnsi="宋体" w:eastAsia="宋体" w:cs="宋体"/>
                <w:color w:val="000000" w:themeColor="text1"/>
                <w:sz w:val="24"/>
                <w:szCs w:val="24"/>
                <w:highlight w:val="none"/>
              </w:rPr>
            </w:pPr>
            <w:r>
              <w:rPr>
                <w:rFonts w:hint="eastAsia" w:ascii="宋体" w:hAnsi="宋体" w:eastAsia="宋体" w:cs="宋体"/>
                <w:color w:val="000000" w:themeColor="text1"/>
                <w:kern w:val="0"/>
                <w:sz w:val="24"/>
                <w:szCs w:val="24"/>
                <w:highlight w:val="none"/>
              </w:rPr>
              <w:t>42、扩展功能：设备主机可通过有线方式拓展≥2路预警号角，支持与多台声音报警器进行组网，声音报警器能够同步终端的预警警报，支持实时监测声音报警器的运行状态。</w:t>
            </w:r>
          </w:p>
          <w:p w14:paraId="78B93EF0">
            <w:pPr>
              <w:widowControl/>
              <w:spacing w:line="360" w:lineRule="auto"/>
              <w:jc w:val="left"/>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sz w:val="24"/>
                <w:szCs w:val="24"/>
                <w:highlight w:val="none"/>
              </w:rPr>
              <w:t>▲</w:t>
            </w:r>
            <w:r>
              <w:rPr>
                <w:rFonts w:hint="eastAsia" w:ascii="宋体" w:hAnsi="宋体" w:eastAsia="宋体" w:cs="宋体"/>
                <w:color w:val="000000" w:themeColor="text1"/>
                <w:kern w:val="0"/>
                <w:sz w:val="24"/>
                <w:szCs w:val="24"/>
                <w:highlight w:val="none"/>
              </w:rPr>
              <w:t>43、具备多震响应功能：对多震预警能够同时响应，在相近的时间内发生了多个地震，地震终端对多个地震的预警均能够及时接收、响应并播报；多震预警处理响应时间≤1秒。</w:t>
            </w:r>
            <w:r>
              <w:rPr>
                <w:rFonts w:hint="eastAsia" w:ascii="宋体" w:hAnsi="宋体" w:eastAsia="宋体"/>
                <w:b/>
                <w:bCs/>
                <w:color w:val="000000" w:themeColor="text1"/>
                <w:sz w:val="24"/>
                <w:szCs w:val="24"/>
                <w:highlight w:val="none"/>
              </w:rPr>
              <w:t>（</w:t>
            </w:r>
            <w:r>
              <w:rPr>
                <w:rFonts w:ascii="宋体" w:hAnsi="宋体" w:eastAsia="宋体"/>
                <w:b/>
                <w:bCs/>
                <w:color w:val="000000" w:themeColor="text1"/>
                <w:sz w:val="24"/>
                <w:szCs w:val="24"/>
                <w:highlight w:val="none"/>
              </w:rPr>
              <w:t>需提供国家认可的第三方检测机构出具的具有CMA标识的检测报告复印件并加盖投标人公章，送检单位名称必须与产品制造单位名称一致。</w:t>
            </w:r>
            <w:r>
              <w:rPr>
                <w:rFonts w:hint="eastAsia" w:ascii="宋体" w:hAnsi="宋体" w:eastAsia="宋体"/>
                <w:b/>
                <w:bCs/>
                <w:color w:val="000000" w:themeColor="text1"/>
                <w:sz w:val="24"/>
                <w:szCs w:val="24"/>
                <w:highlight w:val="none"/>
              </w:rPr>
              <w:t>）</w:t>
            </w:r>
          </w:p>
          <w:p w14:paraId="75B0760B">
            <w:pPr>
              <w:widowControl/>
              <w:spacing w:line="360" w:lineRule="auto"/>
              <w:jc w:val="left"/>
              <w:textAlignment w:val="center"/>
              <w:rPr>
                <w:rFonts w:ascii="宋体" w:hAnsi="宋体" w:eastAsia="宋体" w:cs="宋体"/>
                <w:color w:val="000000" w:themeColor="text1"/>
                <w:sz w:val="24"/>
                <w:szCs w:val="24"/>
                <w:highlight w:val="none"/>
              </w:rPr>
            </w:pPr>
            <w:r>
              <w:rPr>
                <w:rFonts w:hint="eastAsia" w:ascii="宋体" w:hAnsi="宋体" w:eastAsia="宋体" w:cs="宋体"/>
                <w:color w:val="000000" w:themeColor="text1"/>
                <w:kern w:val="0"/>
                <w:sz w:val="24"/>
                <w:szCs w:val="24"/>
                <w:highlight w:val="none"/>
              </w:rPr>
              <w:t>44、日志管理：系统日志连续记录，包括但不限于系统状态、系统自检、连接、操作、各类信息获取和确认、处理、显示、异常处理，且本地保存≥30天；地震预警信息日志，包括但不限于报文接收信息报文内容、报文回复、预警响应以及反馈信息等，本地保存且≥3个月，支持日志分类、分级保存。具备定时（可配置）上传日志文件到日志服务器（日志服务器信息可配置）。</w:t>
            </w:r>
          </w:p>
          <w:p w14:paraId="0DAD83C1">
            <w:pPr>
              <w:widowControl/>
              <w:spacing w:line="360" w:lineRule="auto"/>
              <w:jc w:val="left"/>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45、系统设置：终端设备重启以后，保证系统内所有配置与重启之前一致；如果终端设备非法关闭，重启后的系统应是最近一次正常运行配置；当终端设备网络通讯异常时，通过还原网络配置将所有网络配置网络部分恢复到出厂设置，网络配置WIFI和4G配置；具备数据存储能力和自动清理空间能力。</w:t>
            </w:r>
          </w:p>
          <w:p w14:paraId="54A42B0D">
            <w:pPr>
              <w:widowControl/>
              <w:spacing w:line="360" w:lineRule="auto"/>
              <w:jc w:val="left"/>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46、系统自检：终端设备可定时自检，自检内容包括但不限于系统状态、网络状态、服务连接状态；具备电源状态指示灯。自检报告自动保存，支持远程查看。</w:t>
            </w:r>
          </w:p>
          <w:p w14:paraId="39146472">
            <w:pPr>
              <w:widowControl/>
              <w:spacing w:line="360" w:lineRule="auto"/>
              <w:jc w:val="left"/>
              <w:textAlignment w:val="center"/>
              <w:rPr>
                <w:rFonts w:ascii="宋体" w:hAnsi="宋体" w:eastAsia="宋体" w:cs="宋体"/>
                <w:b/>
                <w:color w:val="000000" w:themeColor="text1"/>
                <w:kern w:val="0"/>
                <w:sz w:val="24"/>
                <w:szCs w:val="24"/>
                <w:highlight w:val="none"/>
              </w:rPr>
            </w:pPr>
            <w:r>
              <w:rPr>
                <w:rFonts w:ascii="宋体" w:hAnsi="宋体" w:eastAsia="宋体" w:cs="Times New Roman"/>
                <w:b/>
                <w:color w:val="000000" w:themeColor="text1"/>
                <w:sz w:val="24"/>
                <w:szCs w:val="24"/>
                <w:highlight w:val="none"/>
              </w:rPr>
              <w:t>*</w:t>
            </w:r>
            <w:r>
              <w:rPr>
                <w:rFonts w:hint="eastAsia" w:ascii="宋体" w:hAnsi="宋体" w:eastAsia="宋体" w:cs="宋体"/>
                <w:b/>
                <w:color w:val="000000" w:themeColor="text1"/>
                <w:kern w:val="0"/>
                <w:sz w:val="24"/>
                <w:szCs w:val="24"/>
                <w:highlight w:val="none"/>
              </w:rPr>
              <w:t>47、</w:t>
            </w:r>
            <w:r>
              <w:rPr>
                <w:rFonts w:hint="eastAsia" w:ascii="宋体" w:hAnsi="宋体" w:eastAsia="宋体" w:cs="宋体"/>
                <w:color w:val="000000" w:themeColor="text1"/>
                <w:kern w:val="0"/>
                <w:sz w:val="24"/>
                <w:szCs w:val="24"/>
                <w:highlight w:val="none"/>
              </w:rPr>
              <w:t>预警信息发布终端防篡改接入认证服务：实现与省地震烈度速报预警防篡改密码安全系统对接，确保接入终端适配预警信息发布终端防篡改系统，实现预警信息发布终端签名验签的功能，实现对预警消息签名进行校验的功能。提供国密身份数字证书，实现预警信息发布终端接入发布系统的身份强认证，用户名密码结合国密数字证书校验，保障发布终端的身份合法性，数字证书终身有效。产品与省地震烈度速报预警防篡改密码安全系统的适配、集成升级、二次开发等费用由供应商承担。</w:t>
            </w:r>
            <w:r>
              <w:rPr>
                <w:rFonts w:hint="eastAsia" w:ascii="宋体" w:hAnsi="宋体" w:eastAsia="宋体" w:cs="宋体"/>
                <w:b/>
                <w:color w:val="000000" w:themeColor="text1"/>
                <w:kern w:val="0"/>
                <w:sz w:val="24"/>
                <w:szCs w:val="24"/>
                <w:highlight w:val="none"/>
              </w:rPr>
              <w:t>（供应商需提供保证接入省地震烈度速报预警防篡改密码安全系统的承诺函，详见格式3。）</w:t>
            </w:r>
          </w:p>
          <w:p w14:paraId="5E5E3145">
            <w:pPr>
              <w:widowControl/>
              <w:spacing w:line="360" w:lineRule="auto"/>
              <w:jc w:val="left"/>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48、工作环境：温度在-20℃～50℃，空气相对湿度值不大于90%RH，无凝露。</w:t>
            </w:r>
          </w:p>
          <w:p w14:paraId="5E950552">
            <w:pPr>
              <w:widowControl/>
              <w:spacing w:line="360" w:lineRule="auto"/>
              <w:jc w:val="left"/>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49、运行可靠性：支持7×24小时的不间断运行，支持断电数据保护、离线数据播放。在正常环境和供电条件下可连续稳定工作，连续工作≥18000小时。</w:t>
            </w:r>
          </w:p>
          <w:p w14:paraId="15FA1227">
            <w:pPr>
              <w:widowControl/>
              <w:spacing w:line="360" w:lineRule="auto"/>
              <w:jc w:val="left"/>
              <w:textAlignment w:val="center"/>
              <w:rPr>
                <w:rFonts w:ascii="宋体" w:hAnsi="宋体" w:eastAsia="宋体" w:cs="宋体"/>
                <w:color w:val="000000" w:themeColor="text1"/>
                <w:sz w:val="24"/>
                <w:szCs w:val="24"/>
                <w:highlight w:val="none"/>
              </w:rPr>
            </w:pPr>
            <w:r>
              <w:rPr>
                <w:rFonts w:hint="eastAsia" w:ascii="宋体" w:hAnsi="宋体" w:eastAsia="宋体" w:cs="宋体"/>
                <w:color w:val="000000" w:themeColor="text1"/>
                <w:kern w:val="0"/>
                <w:sz w:val="24"/>
                <w:szCs w:val="24"/>
                <w:highlight w:val="none"/>
              </w:rPr>
              <w:t>50、在终端上需体现甲方单位的名称。</w:t>
            </w:r>
          </w:p>
          <w:p w14:paraId="35972335">
            <w:pPr>
              <w:spacing w:line="360" w:lineRule="auto"/>
              <w:jc w:val="left"/>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51、安装方式：壁挂式安装。</w:t>
            </w:r>
          </w:p>
          <w:p w14:paraId="022E7536">
            <w:pPr>
              <w:spacing w:line="360" w:lineRule="auto"/>
              <w:jc w:val="left"/>
              <w:textAlignment w:val="center"/>
              <w:rPr>
                <w:rFonts w:ascii="宋体" w:hAnsi="宋体" w:eastAsia="宋体" w:cs="宋体"/>
                <w:color w:val="000000" w:themeColor="text1"/>
                <w:sz w:val="24"/>
                <w:szCs w:val="24"/>
                <w:highlight w:val="none"/>
              </w:rPr>
            </w:pPr>
            <w:r>
              <w:rPr>
                <w:rFonts w:hint="eastAsia" w:ascii="宋体" w:hAnsi="宋体" w:eastAsia="宋体" w:cs="宋体"/>
                <w:color w:val="000000" w:themeColor="text1"/>
                <w:kern w:val="0"/>
                <w:sz w:val="24"/>
                <w:szCs w:val="24"/>
                <w:highlight w:val="none"/>
              </w:rPr>
              <w:t>52、配套市县地震预警终端综合管理平台软件，以WEB版客户端登录，通过权限管理，分市级总平台、13个县区（含高新区）分平台。支持对本包内核心产品统一管理，具有运维终端管理功能、远程控制、终端内容管理等功能。可进行参数设置、人员管理、避难场所管理，支持查看设备基础信息、设备运行状态、调节设备音量、查看预警记录，可进行科普播报、模拟演练、广播测试等功能，可实现对终端类型、安装位置、在线状态、声音状态、预警信息、速报信息、使用状态等多维度统计与地图可视化直观展示。</w:t>
            </w:r>
          </w:p>
        </w:tc>
        <w:tc>
          <w:tcPr>
            <w:tcW w:w="568" w:type="pct"/>
            <w:vAlign w:val="center"/>
          </w:tcPr>
          <w:p w14:paraId="4B533AA2">
            <w:pPr>
              <w:spacing w:line="360" w:lineRule="auto"/>
              <w:jc w:val="center"/>
              <w:rPr>
                <w:rFonts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83台</w:t>
            </w:r>
          </w:p>
        </w:tc>
        <w:tc>
          <w:tcPr>
            <w:tcW w:w="920" w:type="pct"/>
            <w:vAlign w:val="center"/>
          </w:tcPr>
          <w:p w14:paraId="57420903">
            <w:pPr>
              <w:spacing w:line="360" w:lineRule="auto"/>
              <w:jc w:val="center"/>
              <w:rPr>
                <w:rFonts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6</w:t>
            </w:r>
            <w:r>
              <w:rPr>
                <w:rFonts w:ascii="宋体" w:hAnsi="宋体" w:eastAsia="宋体" w:cs="宋体"/>
                <w:color w:val="000000" w:themeColor="text1"/>
                <w:sz w:val="24"/>
                <w:szCs w:val="24"/>
                <w:highlight w:val="none"/>
              </w:rPr>
              <w:t>750.00</w:t>
            </w:r>
          </w:p>
        </w:tc>
      </w:tr>
      <w:tr w14:paraId="0CD381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14:paraId="593ABA32">
            <w:pPr>
              <w:spacing w:line="360" w:lineRule="auto"/>
              <w:jc w:val="center"/>
              <w:rPr>
                <w:rFonts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3</w:t>
            </w:r>
          </w:p>
        </w:tc>
        <w:tc>
          <w:tcPr>
            <w:tcW w:w="684" w:type="pct"/>
            <w:vAlign w:val="center"/>
          </w:tcPr>
          <w:p w14:paraId="3D05F11F">
            <w:pPr>
              <w:spacing w:line="360" w:lineRule="auto"/>
              <w:jc w:val="center"/>
              <w:rPr>
                <w:rFonts w:ascii="宋体" w:hAnsi="宋体" w:eastAsia="宋体" w:cs="宋体"/>
                <w:color w:val="000000" w:themeColor="text1"/>
                <w:sz w:val="24"/>
                <w:szCs w:val="24"/>
                <w:highlight w:val="none"/>
              </w:rPr>
            </w:pPr>
            <w:r>
              <w:rPr>
                <w:rFonts w:hint="eastAsia" w:ascii="宋体" w:hAnsi="宋体" w:eastAsia="宋体" w:cs="宋体"/>
                <w:b/>
                <w:bCs/>
                <w:color w:val="000000" w:themeColor="text1"/>
                <w:kern w:val="0"/>
                <w:sz w:val="24"/>
                <w:szCs w:val="24"/>
                <w:highlight w:val="none"/>
              </w:rPr>
              <w:t>地震预警大喇叭</w:t>
            </w:r>
            <w:r>
              <w:rPr>
                <w:rFonts w:hint="eastAsia" w:ascii="宋体" w:hAnsi="宋体" w:eastAsia="宋体" w:cs="宋体"/>
                <w:color w:val="000000" w:themeColor="text1"/>
                <w:kern w:val="0"/>
                <w:sz w:val="24"/>
                <w:szCs w:val="24"/>
                <w:highlight w:val="none"/>
              </w:rPr>
              <w:t>(</w:t>
            </w:r>
            <w:r>
              <w:rPr>
                <w:rFonts w:hint="eastAsia" w:ascii="宋体" w:hAnsi="宋体" w:eastAsia="宋体" w:cs="宋体"/>
                <w:color w:val="000000" w:themeColor="text1"/>
                <w:sz w:val="24"/>
                <w:szCs w:val="24"/>
                <w:highlight w:val="none"/>
              </w:rPr>
              <w:t>核心产品)</w:t>
            </w:r>
          </w:p>
        </w:tc>
        <w:tc>
          <w:tcPr>
            <w:tcW w:w="2403" w:type="pct"/>
            <w:vAlign w:val="center"/>
          </w:tcPr>
          <w:p w14:paraId="28000DC0">
            <w:pPr>
              <w:widowControl/>
              <w:spacing w:line="360" w:lineRule="auto"/>
              <w:jc w:val="left"/>
              <w:rPr>
                <w:rFonts w:ascii="宋体" w:hAnsi="宋体" w:eastAsia="宋体" w:cs="宋体"/>
                <w:color w:val="000000" w:themeColor="text1"/>
                <w:kern w:val="0"/>
                <w:sz w:val="24"/>
                <w:szCs w:val="24"/>
                <w:highlight w:val="none"/>
              </w:rPr>
            </w:pPr>
            <w:r>
              <w:rPr>
                <w:rFonts w:ascii="宋体" w:hAnsi="宋体" w:eastAsia="宋体" w:cs="宋体"/>
                <w:b/>
                <w:color w:val="000000" w:themeColor="text1"/>
                <w:sz w:val="24"/>
                <w:szCs w:val="24"/>
                <w:highlight w:val="none"/>
              </w:rPr>
              <w:t>*</w:t>
            </w:r>
            <w:r>
              <w:rPr>
                <w:rFonts w:hint="eastAsia" w:ascii="宋体" w:hAnsi="宋体" w:eastAsia="宋体" w:cs="宋体"/>
                <w:b/>
                <w:color w:val="000000" w:themeColor="text1"/>
                <w:kern w:val="0"/>
                <w:sz w:val="24"/>
                <w:szCs w:val="24"/>
                <w:highlight w:val="none"/>
              </w:rPr>
              <w:t>53、</w:t>
            </w:r>
            <w:r>
              <w:rPr>
                <w:rFonts w:hint="eastAsia" w:ascii="宋体" w:hAnsi="宋体" w:eastAsia="宋体" w:cs="宋体"/>
                <w:color w:val="000000" w:themeColor="text1"/>
                <w:kern w:val="0"/>
                <w:sz w:val="24"/>
                <w:szCs w:val="24"/>
                <w:highlight w:val="none"/>
              </w:rPr>
              <w:t>基本要求：产品符合《中国地震预警网地震预警信息发布指南》和《国家地震烈度速报与预警工程项目紧急地震信息服务终端相关技术要求》等技术规范规定的通信协议和信息结构；为中国地震局台网中心通过地震监测专业设备定型设备的预警信息服务专用终端</w:t>
            </w:r>
            <w:r>
              <w:rPr>
                <w:rFonts w:hint="eastAsia" w:ascii="宋体" w:hAnsi="宋体" w:eastAsia="宋体" w:cs="宋体"/>
                <w:b/>
                <w:color w:val="000000" w:themeColor="text1"/>
                <w:kern w:val="0"/>
                <w:sz w:val="24"/>
                <w:szCs w:val="24"/>
                <w:highlight w:val="none"/>
              </w:rPr>
              <w:t>（提供产品型号在《中国地震局台网中心通过地震监测专业设备定型设备的通知》清单内的证明文件，或提供由中国地震台网中心出具的产品型号定型结果证明文件，并加盖投标人公章）</w:t>
            </w:r>
            <w:r>
              <w:rPr>
                <w:rFonts w:hint="eastAsia" w:ascii="宋体" w:hAnsi="宋体" w:eastAsia="宋体" w:cs="宋体"/>
                <w:color w:val="000000" w:themeColor="text1"/>
                <w:kern w:val="0"/>
                <w:sz w:val="24"/>
                <w:szCs w:val="24"/>
                <w:highlight w:val="none"/>
              </w:rPr>
              <w:t>；满足地震预警终端信息防篡改密码安全要求；符合陕西省《地震预警信息发布规范》（</w:t>
            </w:r>
            <w:r>
              <w:rPr>
                <w:rFonts w:ascii="宋体" w:hAnsi="宋体" w:eastAsia="宋体" w:cs="宋体"/>
                <w:color w:val="000000" w:themeColor="text1"/>
                <w:kern w:val="0"/>
                <w:sz w:val="24"/>
                <w:szCs w:val="24"/>
                <w:highlight w:val="none"/>
              </w:rPr>
              <w:t>DB61/T1848—2024）标准</w:t>
            </w:r>
            <w:r>
              <w:rPr>
                <w:rFonts w:hint="eastAsia" w:ascii="宋体" w:hAnsi="宋体" w:eastAsia="宋体" w:cs="宋体"/>
                <w:b/>
                <w:color w:val="000000" w:themeColor="text1"/>
                <w:kern w:val="0"/>
                <w:sz w:val="24"/>
                <w:szCs w:val="24"/>
                <w:highlight w:val="none"/>
              </w:rPr>
              <w:t>（提供该产品型号符合该标准的证明文件或承诺函，格式自拟）。</w:t>
            </w:r>
          </w:p>
          <w:p w14:paraId="251C5046">
            <w:pPr>
              <w:widowControl/>
              <w:spacing w:line="360" w:lineRule="auto"/>
              <w:textAlignment w:val="center"/>
              <w:rPr>
                <w:rFonts w:ascii="宋体" w:hAnsi="宋体" w:eastAsia="宋体" w:cs="宋体"/>
                <w:b/>
                <w:color w:val="000000" w:themeColor="text1"/>
                <w:kern w:val="0"/>
                <w:sz w:val="24"/>
                <w:szCs w:val="24"/>
                <w:highlight w:val="none"/>
              </w:rPr>
            </w:pPr>
            <w:r>
              <w:rPr>
                <w:rFonts w:ascii="宋体" w:hAnsi="宋体" w:eastAsia="宋体" w:cs="Times New Roman"/>
                <w:b/>
                <w:color w:val="000000" w:themeColor="text1"/>
                <w:sz w:val="24"/>
                <w:szCs w:val="24"/>
                <w:highlight w:val="none"/>
              </w:rPr>
              <w:t>*</w:t>
            </w:r>
            <w:r>
              <w:rPr>
                <w:rFonts w:hint="eastAsia" w:ascii="宋体" w:hAnsi="宋体" w:eastAsia="宋体" w:cs="宋体"/>
                <w:b/>
                <w:color w:val="000000" w:themeColor="text1"/>
                <w:kern w:val="0"/>
                <w:sz w:val="24"/>
                <w:szCs w:val="24"/>
                <w:highlight w:val="none"/>
              </w:rPr>
              <w:t>54、</w:t>
            </w:r>
            <w:r>
              <w:rPr>
                <w:rFonts w:hint="eastAsia" w:ascii="宋体" w:hAnsi="宋体" w:eastAsia="宋体" w:cs="宋体"/>
                <w:color w:val="000000" w:themeColor="text1"/>
                <w:kern w:val="0"/>
                <w:sz w:val="24"/>
                <w:szCs w:val="24"/>
                <w:highlight w:val="none"/>
              </w:rPr>
              <w:t>配置：1套地震预警大喇叭包含2个喇叭（单个喇叭100W）和1个无线预警接收器。</w:t>
            </w:r>
            <w:r>
              <w:rPr>
                <w:rFonts w:hint="eastAsia" w:ascii="宋体" w:hAnsi="宋体" w:eastAsia="宋体" w:cs="宋体"/>
                <w:b/>
                <w:color w:val="000000" w:themeColor="text1"/>
                <w:kern w:val="0"/>
                <w:sz w:val="24"/>
                <w:szCs w:val="24"/>
                <w:highlight w:val="none"/>
              </w:rPr>
              <w:t>（需提供相关证明材料加盖投标人公章）</w:t>
            </w:r>
          </w:p>
          <w:p w14:paraId="4A4058E2">
            <w:pPr>
              <w:widowControl/>
              <w:spacing w:line="360" w:lineRule="auto"/>
              <w:textAlignment w:val="center"/>
              <w:rPr>
                <w:rFonts w:ascii="宋体" w:hAnsi="宋体" w:eastAsia="宋体" w:cs="宋体"/>
                <w:color w:val="000000" w:themeColor="text1"/>
                <w:sz w:val="24"/>
                <w:szCs w:val="24"/>
                <w:highlight w:val="none"/>
              </w:rPr>
            </w:pPr>
            <w:r>
              <w:rPr>
                <w:rFonts w:hint="eastAsia" w:ascii="宋体" w:hAnsi="宋体" w:eastAsia="宋体" w:cs="宋体"/>
                <w:color w:val="000000" w:themeColor="text1"/>
                <w:kern w:val="0"/>
                <w:sz w:val="24"/>
                <w:szCs w:val="24"/>
                <w:highlight w:val="none"/>
              </w:rPr>
              <w:t>55、灵敏度：≥90dB。</w:t>
            </w:r>
          </w:p>
          <w:p w14:paraId="219EAC92">
            <w:pPr>
              <w:widowControl/>
              <w:spacing w:line="360" w:lineRule="auto"/>
              <w:textAlignment w:val="center"/>
              <w:rPr>
                <w:rFonts w:ascii="宋体" w:hAnsi="宋体" w:eastAsia="宋体" w:cs="宋体"/>
                <w:color w:val="000000" w:themeColor="text1"/>
                <w:sz w:val="24"/>
                <w:szCs w:val="24"/>
                <w:highlight w:val="none"/>
              </w:rPr>
            </w:pPr>
            <w:r>
              <w:rPr>
                <w:rFonts w:hint="eastAsia" w:ascii="宋体" w:hAnsi="宋体" w:eastAsia="宋体" w:cs="宋体"/>
                <w:color w:val="000000" w:themeColor="text1"/>
                <w:kern w:val="0"/>
                <w:sz w:val="24"/>
                <w:szCs w:val="24"/>
                <w:highlight w:val="none"/>
              </w:rPr>
              <w:t>56、最大声压：≥100dB。</w:t>
            </w:r>
          </w:p>
          <w:p w14:paraId="5F4F280A">
            <w:pPr>
              <w:widowControl/>
              <w:spacing w:line="360" w:lineRule="auto"/>
              <w:textAlignment w:val="center"/>
              <w:rPr>
                <w:rFonts w:ascii="宋体" w:hAnsi="宋体" w:eastAsia="宋体" w:cs="宋体"/>
                <w:color w:val="000000" w:themeColor="text1"/>
                <w:sz w:val="24"/>
                <w:szCs w:val="24"/>
                <w:highlight w:val="none"/>
              </w:rPr>
            </w:pPr>
            <w:r>
              <w:rPr>
                <w:rFonts w:hint="eastAsia" w:ascii="宋体" w:hAnsi="宋体" w:eastAsia="宋体" w:cs="宋体"/>
                <w:color w:val="000000" w:themeColor="text1"/>
                <w:kern w:val="0"/>
                <w:sz w:val="24"/>
                <w:szCs w:val="24"/>
                <w:highlight w:val="none"/>
              </w:rPr>
              <w:t>▲57、防护等级：≥IP65。</w:t>
            </w:r>
            <w:r>
              <w:rPr>
                <w:rFonts w:hint="eastAsia" w:ascii="宋体" w:hAnsi="宋体" w:eastAsia="宋体"/>
                <w:b/>
                <w:bCs/>
                <w:color w:val="000000" w:themeColor="text1"/>
                <w:sz w:val="24"/>
                <w:szCs w:val="24"/>
                <w:highlight w:val="none"/>
              </w:rPr>
              <w:t>（</w:t>
            </w:r>
            <w:r>
              <w:rPr>
                <w:rFonts w:ascii="宋体" w:hAnsi="宋体" w:eastAsia="宋体"/>
                <w:b/>
                <w:bCs/>
                <w:color w:val="000000" w:themeColor="text1"/>
                <w:sz w:val="24"/>
                <w:szCs w:val="24"/>
                <w:highlight w:val="none"/>
              </w:rPr>
              <w:t>需提供国家认可的第三方检测机构出具的具有CMA标识的检测报告复印件并加盖投标人公章，送检单位名称必须与产品制造单位名称一致。</w:t>
            </w:r>
            <w:r>
              <w:rPr>
                <w:rFonts w:hint="eastAsia" w:ascii="宋体" w:hAnsi="宋体" w:eastAsia="宋体"/>
                <w:b/>
                <w:bCs/>
                <w:color w:val="000000" w:themeColor="text1"/>
                <w:sz w:val="24"/>
                <w:szCs w:val="24"/>
                <w:highlight w:val="none"/>
              </w:rPr>
              <w:t>）</w:t>
            </w:r>
          </w:p>
          <w:p w14:paraId="7AC00103">
            <w:pPr>
              <w:widowControl/>
              <w:spacing w:line="360" w:lineRule="auto"/>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58、有效频率范围：≤16kHz。</w:t>
            </w:r>
          </w:p>
          <w:p w14:paraId="32F3DA2F">
            <w:pPr>
              <w:widowControl/>
              <w:spacing w:line="360" w:lineRule="auto"/>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59、阻抗：≥4Ω。</w:t>
            </w:r>
          </w:p>
          <w:p w14:paraId="50060DEC">
            <w:pPr>
              <w:widowControl/>
              <w:spacing w:line="360" w:lineRule="auto"/>
              <w:textAlignment w:val="center"/>
              <w:rPr>
                <w:rFonts w:ascii="宋体" w:hAnsi="宋体" w:eastAsia="宋体" w:cs="宋体"/>
                <w:color w:val="000000" w:themeColor="text1"/>
                <w:sz w:val="24"/>
                <w:szCs w:val="24"/>
                <w:highlight w:val="none"/>
              </w:rPr>
            </w:pPr>
            <w:r>
              <w:rPr>
                <w:rFonts w:hint="eastAsia" w:ascii="宋体" w:hAnsi="宋体" w:eastAsia="宋体" w:cs="宋体"/>
                <w:color w:val="000000" w:themeColor="text1"/>
                <w:kern w:val="0"/>
                <w:sz w:val="24"/>
                <w:szCs w:val="24"/>
                <w:highlight w:val="none"/>
              </w:rPr>
              <w:t>60、预警功能：具备通信功能和计算本地烈度和倒计时功能。</w:t>
            </w:r>
          </w:p>
          <w:p w14:paraId="1350F034">
            <w:pPr>
              <w:pStyle w:val="70"/>
              <w:spacing w:line="360" w:lineRule="auto"/>
              <w:jc w:val="left"/>
              <w:rPr>
                <w:rFonts w:ascii="宋体" w:hAnsi="宋体" w:cs="宋体"/>
                <w:color w:val="000000" w:themeColor="text1"/>
                <w:kern w:val="0"/>
                <w:sz w:val="24"/>
                <w:highlight w:val="none"/>
              </w:rPr>
            </w:pPr>
            <w:r>
              <w:rPr>
                <w:rFonts w:hint="eastAsia" w:ascii="宋体" w:hAnsi="宋体" w:cs="宋体"/>
                <w:color w:val="000000" w:themeColor="text1"/>
                <w:kern w:val="0"/>
                <w:sz w:val="24"/>
                <w:highlight w:val="none"/>
              </w:rPr>
              <w:t>61、操作系统：支持远程系统升级服务；支持</w:t>
            </w:r>
            <w:r>
              <w:rPr>
                <w:rFonts w:ascii="宋体" w:hAnsi="宋体" w:cs="宋体"/>
                <w:color w:val="000000" w:themeColor="text1"/>
                <w:kern w:val="0"/>
                <w:sz w:val="24"/>
                <w:highlight w:val="none"/>
              </w:rPr>
              <w:t>APP白名单访问设置；支持禁用系统弱端口；终端支持TTS功能；具备接入市级及以上地震预警信息发布平台的功能。</w:t>
            </w:r>
          </w:p>
          <w:p w14:paraId="231BA9B9">
            <w:pPr>
              <w:widowControl/>
              <w:spacing w:line="360" w:lineRule="auto"/>
              <w:jc w:val="left"/>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62、通讯及接口：支持并提供RJ45有线网络、WIFI以及4G/5G通信物联网卡接入；支持USB接口和具备标准音频输出接口。</w:t>
            </w:r>
          </w:p>
          <w:p w14:paraId="774AE5D6">
            <w:pPr>
              <w:widowControl/>
              <w:spacing w:line="360" w:lineRule="auto"/>
              <w:jc w:val="left"/>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63、支持地震预警报警声的音量可调节，可根据不同地震预警等级进行声音开关设备，并具备独立进行不同地震预警等级的报警功能。</w:t>
            </w:r>
          </w:p>
          <w:p w14:paraId="0F603576">
            <w:pPr>
              <w:widowControl/>
              <w:spacing w:line="360" w:lineRule="auto"/>
              <w:jc w:val="left"/>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64、功放功能：内置功放模块。</w:t>
            </w:r>
          </w:p>
          <w:p w14:paraId="78EFA6F0">
            <w:pPr>
              <w:widowControl/>
              <w:spacing w:line="360" w:lineRule="auto"/>
              <w:jc w:val="left"/>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▲65、灯光报警器：可根据预警发布规则配置进行灯光告警，静态光通≥900LM。</w:t>
            </w:r>
            <w:r>
              <w:rPr>
                <w:rFonts w:hint="eastAsia" w:ascii="宋体" w:hAnsi="宋体" w:eastAsia="宋体"/>
                <w:b/>
                <w:bCs/>
                <w:color w:val="000000" w:themeColor="text1"/>
                <w:sz w:val="24"/>
                <w:szCs w:val="24"/>
                <w:highlight w:val="none"/>
              </w:rPr>
              <w:t>（</w:t>
            </w:r>
            <w:r>
              <w:rPr>
                <w:rFonts w:ascii="宋体" w:hAnsi="宋体" w:eastAsia="宋体"/>
                <w:b/>
                <w:bCs/>
                <w:color w:val="000000" w:themeColor="text1"/>
                <w:sz w:val="24"/>
                <w:szCs w:val="24"/>
                <w:highlight w:val="none"/>
              </w:rPr>
              <w:t>需提供国家认可的第三方检测机构出具的具有CMA标识的检测报告复印件并加盖投标人公章，送检单位名称必须与产品制造单位名称一致。</w:t>
            </w:r>
            <w:r>
              <w:rPr>
                <w:rFonts w:hint="eastAsia" w:ascii="宋体" w:hAnsi="宋体" w:eastAsia="宋体"/>
                <w:b/>
                <w:bCs/>
                <w:color w:val="000000" w:themeColor="text1"/>
                <w:sz w:val="24"/>
                <w:szCs w:val="24"/>
                <w:highlight w:val="none"/>
              </w:rPr>
              <w:t>）</w:t>
            </w:r>
          </w:p>
          <w:p w14:paraId="1CE4326F">
            <w:pPr>
              <w:widowControl/>
              <w:spacing w:line="360" w:lineRule="auto"/>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66、指示灯功能：具备设备运行状态指示灯，如电源状态、网络状态等。</w:t>
            </w:r>
          </w:p>
          <w:p w14:paraId="4A54F5CB">
            <w:pPr>
              <w:widowControl/>
              <w:spacing w:line="360" w:lineRule="auto"/>
              <w:textAlignment w:val="center"/>
              <w:rPr>
                <w:rFonts w:ascii="宋体" w:hAnsi="宋体" w:eastAsia="宋体" w:cs="宋体"/>
                <w:color w:val="000000" w:themeColor="text1"/>
                <w:sz w:val="24"/>
                <w:szCs w:val="24"/>
                <w:highlight w:val="none"/>
              </w:rPr>
            </w:pPr>
            <w:r>
              <w:rPr>
                <w:rFonts w:hint="eastAsia" w:ascii="宋体" w:hAnsi="宋体" w:eastAsia="宋体" w:cs="宋体"/>
                <w:color w:val="000000" w:themeColor="text1"/>
                <w:kern w:val="0"/>
                <w:sz w:val="24"/>
                <w:szCs w:val="24"/>
                <w:highlight w:val="none"/>
              </w:rPr>
              <w:t>▲67、传输距离：有效预警声音信号传送距离≥300米。</w:t>
            </w:r>
            <w:r>
              <w:rPr>
                <w:rFonts w:hint="eastAsia" w:ascii="宋体" w:hAnsi="宋体" w:eastAsia="宋体"/>
                <w:b/>
                <w:bCs/>
                <w:color w:val="000000" w:themeColor="text1"/>
                <w:sz w:val="24"/>
                <w:szCs w:val="24"/>
                <w:highlight w:val="none"/>
              </w:rPr>
              <w:t>（</w:t>
            </w:r>
            <w:r>
              <w:rPr>
                <w:rFonts w:ascii="宋体" w:hAnsi="宋体" w:eastAsia="宋体"/>
                <w:b/>
                <w:bCs/>
                <w:color w:val="000000" w:themeColor="text1"/>
                <w:sz w:val="24"/>
                <w:szCs w:val="24"/>
                <w:highlight w:val="none"/>
              </w:rPr>
              <w:t>需提供国家认可的第三方检测机构出具的具有CMA标识的检测报告复印件并加盖投标人公章，送检单位名称必须与产品制造单位名称一致。</w:t>
            </w:r>
            <w:r>
              <w:rPr>
                <w:rFonts w:hint="eastAsia" w:ascii="宋体" w:hAnsi="宋体" w:eastAsia="宋体"/>
                <w:b/>
                <w:bCs/>
                <w:color w:val="000000" w:themeColor="text1"/>
                <w:sz w:val="24"/>
                <w:szCs w:val="24"/>
                <w:highlight w:val="none"/>
              </w:rPr>
              <w:t>）</w:t>
            </w:r>
          </w:p>
          <w:p w14:paraId="3866472F">
            <w:pPr>
              <w:widowControl/>
              <w:spacing w:line="360" w:lineRule="auto"/>
              <w:textAlignment w:val="center"/>
              <w:rPr>
                <w:rFonts w:ascii="宋体" w:hAnsi="宋体" w:eastAsia="宋体" w:cs="宋体"/>
                <w:color w:val="000000" w:themeColor="text1"/>
                <w:sz w:val="24"/>
                <w:szCs w:val="24"/>
                <w:highlight w:val="none"/>
              </w:rPr>
            </w:pPr>
            <w:r>
              <w:rPr>
                <w:rFonts w:hint="eastAsia" w:ascii="宋体" w:hAnsi="宋体" w:eastAsia="宋体" w:cs="宋体"/>
                <w:color w:val="000000" w:themeColor="text1"/>
                <w:kern w:val="0"/>
                <w:sz w:val="24"/>
                <w:szCs w:val="24"/>
                <w:highlight w:val="none"/>
              </w:rPr>
              <w:t>68、扩展功能：支持与多台声音报警器进行组网，声音报警器同步终端的预警播报，支持实时监测声音报警器的状态。</w:t>
            </w:r>
          </w:p>
          <w:p w14:paraId="46C5B921">
            <w:pPr>
              <w:widowControl/>
              <w:spacing w:line="360" w:lineRule="auto"/>
              <w:textAlignment w:val="center"/>
              <w:rPr>
                <w:rFonts w:ascii="宋体" w:hAnsi="宋体" w:eastAsia="宋体" w:cs="宋体"/>
                <w:color w:val="000000" w:themeColor="text1"/>
                <w:sz w:val="24"/>
                <w:szCs w:val="24"/>
                <w:highlight w:val="none"/>
              </w:rPr>
            </w:pPr>
            <w:r>
              <w:rPr>
                <w:rFonts w:hint="eastAsia" w:ascii="宋体" w:hAnsi="宋体" w:eastAsia="宋体" w:cs="宋体"/>
                <w:color w:val="000000" w:themeColor="text1"/>
                <w:kern w:val="0"/>
                <w:sz w:val="24"/>
                <w:szCs w:val="24"/>
                <w:highlight w:val="none"/>
              </w:rPr>
              <w:t>69、远程管理功能：可通过预警终端综合管理平台、移动端、PC端等进行多端口远程管理，查看终端状态，配置和管理等远程控制。</w:t>
            </w:r>
          </w:p>
          <w:p w14:paraId="2A5C05C6">
            <w:pPr>
              <w:widowControl/>
              <w:spacing w:line="360" w:lineRule="auto"/>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70、日志管理：系统日志连续记录，包括但不限于系统状态、系统自检、连接、操作、各类信息获取和确认、处理、显示、异常处理，且本地保存≥30天；地震预警信息日志，包括但不限于报文接收信息报文内容、报文回复、预警响应以及反馈信息等，本地保存且≥3个月，支持日志分类、分级保存。</w:t>
            </w:r>
          </w:p>
          <w:p w14:paraId="27564E27">
            <w:pPr>
              <w:widowControl/>
              <w:spacing w:line="360" w:lineRule="auto"/>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71、系统设置：终端设备重启以后，保证系统内所有配置与重启之前一致；如果终端设备非法关闭，重启后的系统应是最近一次正常运行配置；当终端设备网络通讯异常时，通过还原网络配置将所有网络配置网络部分恢复到出厂设置，网络配置WIFI和4G配置；具备数据存储能力和自动清理空间能力。</w:t>
            </w:r>
          </w:p>
          <w:p w14:paraId="3501041D">
            <w:pPr>
              <w:widowControl/>
              <w:spacing w:line="360" w:lineRule="auto"/>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72、系统自检：终端设备可定时自检，自检内容包括但不限于系统状态、网络状态、服务连接状态；具备电源状态指示灯。自检报告自动保存，支持远程查看。</w:t>
            </w:r>
          </w:p>
          <w:p w14:paraId="03078D21">
            <w:pPr>
              <w:widowControl/>
              <w:spacing w:line="360" w:lineRule="auto"/>
              <w:jc w:val="left"/>
              <w:textAlignment w:val="center"/>
              <w:rPr>
                <w:rFonts w:ascii="宋体" w:hAnsi="宋体" w:eastAsia="宋体" w:cs="宋体"/>
                <w:b/>
                <w:color w:val="000000" w:themeColor="text1"/>
                <w:kern w:val="0"/>
                <w:sz w:val="24"/>
                <w:szCs w:val="24"/>
                <w:highlight w:val="none"/>
              </w:rPr>
            </w:pPr>
            <w:r>
              <w:rPr>
                <w:rFonts w:ascii="宋体" w:hAnsi="宋体" w:eastAsia="宋体" w:cs="Times New Roman"/>
                <w:b/>
                <w:color w:val="000000" w:themeColor="text1"/>
                <w:sz w:val="24"/>
                <w:szCs w:val="24"/>
                <w:highlight w:val="none"/>
              </w:rPr>
              <w:t>*</w:t>
            </w:r>
            <w:r>
              <w:rPr>
                <w:rFonts w:hint="eastAsia" w:ascii="宋体" w:hAnsi="宋体" w:eastAsia="宋体" w:cs="宋体"/>
                <w:b/>
                <w:color w:val="000000" w:themeColor="text1"/>
                <w:kern w:val="0"/>
                <w:sz w:val="24"/>
                <w:szCs w:val="24"/>
                <w:highlight w:val="none"/>
              </w:rPr>
              <w:t>73、</w:t>
            </w:r>
            <w:r>
              <w:rPr>
                <w:rFonts w:hint="eastAsia" w:ascii="宋体" w:hAnsi="宋体" w:eastAsia="宋体" w:cs="宋体"/>
                <w:color w:val="000000" w:themeColor="text1"/>
                <w:kern w:val="0"/>
                <w:sz w:val="24"/>
                <w:szCs w:val="24"/>
                <w:highlight w:val="none"/>
              </w:rPr>
              <w:t>预警信息发布终端防篡改接入认证服务：实现与省地震烈度速报预警防篡改密码安全系统对接，确保接入终端适配预警信息发布终端防篡改系统，实现预警信息发布终端签名验签的功能，实现对预警消息签名进行校验的功能。提供国密身份数字证书，实现预警信息发布终端接入发布系统的身份强认证，用户名密码结合国密数字证书校验，保障发布终端的身份合法性，数字证书终身有效。产品与省地震烈度速报预警防篡改密码安全系统的适配、集成升级、二次开发等费用由供应商承担。</w:t>
            </w:r>
            <w:r>
              <w:rPr>
                <w:rFonts w:hint="eastAsia" w:ascii="宋体" w:hAnsi="宋体" w:eastAsia="宋体" w:cs="宋体"/>
                <w:b/>
                <w:color w:val="000000" w:themeColor="text1"/>
                <w:kern w:val="0"/>
                <w:sz w:val="24"/>
                <w:szCs w:val="24"/>
                <w:highlight w:val="none"/>
              </w:rPr>
              <w:t>（供应商需提供保证接入省地震烈度速报预警防篡改密码安全系统的承诺函，详见格式3。）</w:t>
            </w:r>
          </w:p>
          <w:p w14:paraId="53BDCE21">
            <w:pPr>
              <w:widowControl/>
              <w:spacing w:line="360" w:lineRule="auto"/>
              <w:jc w:val="left"/>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74、工作环境：温度在-20℃～50℃，空气相对湿度值不大于90%RH，无凝露。</w:t>
            </w:r>
          </w:p>
          <w:p w14:paraId="3399A919">
            <w:pPr>
              <w:widowControl/>
              <w:spacing w:line="360" w:lineRule="auto"/>
              <w:jc w:val="left"/>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75、运行可靠性：支持7×24小时的不间断运行，支持断电数据保护、离线数据播放。在正常环境和供电条件下可连续稳定工作，连续工作≥18000小时。</w:t>
            </w:r>
          </w:p>
          <w:p w14:paraId="28F8FE26">
            <w:pPr>
              <w:widowControl/>
              <w:spacing w:line="360" w:lineRule="auto"/>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76、喇叭接口：喇叭接口≥2路，可同时接入不少于2个高音喇叭。</w:t>
            </w:r>
          </w:p>
          <w:p w14:paraId="733AB804">
            <w:pPr>
              <w:spacing w:line="360" w:lineRule="auto"/>
              <w:textAlignment w:val="center"/>
              <w:rPr>
                <w:rFonts w:ascii="宋体" w:hAnsi="宋体" w:eastAsia="宋体" w:cs="宋体"/>
                <w:color w:val="000000" w:themeColor="text1"/>
                <w:sz w:val="24"/>
                <w:szCs w:val="24"/>
                <w:highlight w:val="none"/>
              </w:rPr>
            </w:pPr>
            <w:r>
              <w:rPr>
                <w:rFonts w:hint="eastAsia" w:ascii="宋体" w:hAnsi="宋体" w:eastAsia="宋体" w:cs="宋体"/>
                <w:color w:val="000000" w:themeColor="text1"/>
                <w:kern w:val="0"/>
                <w:sz w:val="24"/>
                <w:szCs w:val="24"/>
                <w:highlight w:val="none"/>
              </w:rPr>
              <w:t>77、配套市县地震预警终端综合管理平台软件，以WEB版客户端登录，通过权限管理，分市级总平台、13个县区（含高新区）分平台。支持对本包内核心产品统一管理，具有运维终端管理功能、远程控制、终端内容管理等功能。可进行参数设置、人员管理、避难场所管理，支持查看设备基础信息、设备运行状态、调节设备音量、查看预警记录，可进行科普播报、模拟演练、广播测试等功能，可实现对终端类型、安装位置、在线状态、声音状态、预警信息、速报信息、使用状态等多维度统计与地图可视化直观展示。</w:t>
            </w:r>
          </w:p>
        </w:tc>
        <w:tc>
          <w:tcPr>
            <w:tcW w:w="568" w:type="pct"/>
            <w:vAlign w:val="center"/>
          </w:tcPr>
          <w:p w14:paraId="2EB264D8">
            <w:pPr>
              <w:spacing w:line="360" w:lineRule="auto"/>
              <w:jc w:val="center"/>
              <w:rPr>
                <w:rFonts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258套</w:t>
            </w:r>
          </w:p>
        </w:tc>
        <w:tc>
          <w:tcPr>
            <w:tcW w:w="920" w:type="pct"/>
            <w:vAlign w:val="center"/>
          </w:tcPr>
          <w:p w14:paraId="66D31AB4">
            <w:pPr>
              <w:spacing w:line="360" w:lineRule="auto"/>
              <w:jc w:val="center"/>
              <w:rPr>
                <w:rFonts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3</w:t>
            </w:r>
            <w:r>
              <w:rPr>
                <w:rFonts w:ascii="宋体" w:hAnsi="宋体" w:eastAsia="宋体" w:cs="宋体"/>
                <w:color w:val="000000" w:themeColor="text1"/>
                <w:sz w:val="24"/>
                <w:szCs w:val="24"/>
                <w:highlight w:val="none"/>
              </w:rPr>
              <w:t>200.00</w:t>
            </w:r>
          </w:p>
        </w:tc>
      </w:tr>
      <w:tr w14:paraId="0E64E2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14:paraId="2928167A">
            <w:pPr>
              <w:spacing w:line="360" w:lineRule="auto"/>
              <w:jc w:val="center"/>
              <w:rPr>
                <w:rFonts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4</w:t>
            </w:r>
          </w:p>
        </w:tc>
        <w:tc>
          <w:tcPr>
            <w:tcW w:w="684" w:type="pct"/>
            <w:vAlign w:val="center"/>
          </w:tcPr>
          <w:p w14:paraId="01F32136">
            <w:pPr>
              <w:spacing w:line="360" w:lineRule="auto"/>
              <w:jc w:val="center"/>
              <w:rPr>
                <w:rFonts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地震烈度速报系统</w:t>
            </w:r>
          </w:p>
        </w:tc>
        <w:tc>
          <w:tcPr>
            <w:tcW w:w="2403" w:type="pct"/>
            <w:vAlign w:val="center"/>
          </w:tcPr>
          <w:p w14:paraId="674DD4C1">
            <w:pPr>
              <w:widowControl/>
              <w:spacing w:line="360" w:lineRule="auto"/>
              <w:jc w:val="left"/>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概述：地震烈度速报系统可对监测网内发生的地震，快速提供地震的时、空、强三要素以及地震动的烈度分布情况。系统接收并展示烈度速报结果。烈度速报专题图接入人口热力数据，提示不同烈度区域受影响人口分布。多项功能体现灾情，辅助应急救援，为政府抗震救灾提供技术支撑。通过互联网以</w:t>
            </w:r>
            <w:r>
              <w:rPr>
                <w:rFonts w:ascii="宋体" w:hAnsi="宋体" w:eastAsia="宋体" w:cs="宋体"/>
                <w:color w:val="000000" w:themeColor="text1"/>
                <w:kern w:val="0"/>
                <w:sz w:val="24"/>
                <w:szCs w:val="24"/>
                <w:highlight w:val="none"/>
              </w:rPr>
              <w:t>WEB版账号登录，数据来源于中国地震预警网（以省局授权信息为准）。</w:t>
            </w:r>
          </w:p>
          <w:p w14:paraId="2FE7DC8A">
            <w:pPr>
              <w:widowControl/>
              <w:spacing w:line="360" w:lineRule="auto"/>
              <w:jc w:val="left"/>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78</w:t>
            </w:r>
            <w:r>
              <w:rPr>
                <w:rFonts w:ascii="宋体" w:hAnsi="宋体" w:eastAsia="宋体" w:cs="宋体"/>
                <w:color w:val="000000" w:themeColor="text1"/>
                <w:kern w:val="0"/>
                <w:sz w:val="24"/>
                <w:szCs w:val="24"/>
                <w:highlight w:val="none"/>
              </w:rPr>
              <w:t>、地震预警数据：地震烈度速报和人口热力数据服务，能够实现当宝鸡市及周边地区发生有影响地震时，系统快速可视化展示地震的时间、空间、强度三要素以及地震动的烈度分布和烈度区内人口分布情况。</w:t>
            </w:r>
          </w:p>
          <w:p w14:paraId="6D045E3D">
            <w:pPr>
              <w:widowControl/>
              <w:spacing w:line="360" w:lineRule="auto"/>
              <w:jc w:val="left"/>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79</w:t>
            </w:r>
            <w:r>
              <w:rPr>
                <w:rFonts w:ascii="宋体" w:hAnsi="宋体" w:eastAsia="宋体" w:cs="宋体"/>
                <w:color w:val="000000" w:themeColor="text1"/>
                <w:kern w:val="0"/>
                <w:sz w:val="24"/>
                <w:szCs w:val="24"/>
                <w:highlight w:val="none"/>
              </w:rPr>
              <w:t>、地震周边人口热力数据及地震预警评估数据：地震周边人口热力数据包含坐标、人口数量、热力分布等信息，采用不同颜色区分不同烈度区相应的人口热力数据，颜色越深表示人口密度越大；通过对人口数据进行统计和分析，分为高、中、低、较低、无共个五级别，采用不同颜色和形式进行展示，并根据实际需要，提供在精度范围内的人口数据；人口热力数据精度支持多个级别，用于满足人口热力图的前端展示和指定区域内人口数量数据的统计；人口热力数据从第三方获取，并与烈度速报数据结合，根据不同烈度区提供相应的人口热力数据。</w:t>
            </w:r>
          </w:p>
          <w:p w14:paraId="5BA04EA2">
            <w:pPr>
              <w:widowControl/>
              <w:spacing w:line="360" w:lineRule="auto"/>
              <w:jc w:val="left"/>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80</w:t>
            </w:r>
            <w:r>
              <w:rPr>
                <w:rFonts w:ascii="宋体" w:hAnsi="宋体" w:eastAsia="宋体" w:cs="宋体"/>
                <w:color w:val="000000" w:themeColor="text1"/>
                <w:kern w:val="0"/>
                <w:sz w:val="24"/>
                <w:szCs w:val="24"/>
                <w:highlight w:val="none"/>
              </w:rPr>
              <w:t>、地震烈度速报数据：震后，系统从紧急地震信息服务系统接收烈度速报和推测地震烈度分布图；烈度速报数据主要包括：A.不同烈度区范围及面积、烈度区内市、县、乡名称等信息。B.震中位置、主要地震断裂带。C.提示地震最大烈度。</w:t>
            </w:r>
          </w:p>
          <w:p w14:paraId="2FF57C16">
            <w:pPr>
              <w:widowControl/>
              <w:spacing w:line="360" w:lineRule="auto"/>
              <w:jc w:val="left"/>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81</w:t>
            </w:r>
            <w:r>
              <w:rPr>
                <w:rFonts w:ascii="宋体" w:hAnsi="宋体" w:eastAsia="宋体" w:cs="宋体"/>
                <w:color w:val="000000" w:themeColor="text1"/>
                <w:kern w:val="0"/>
                <w:sz w:val="24"/>
                <w:szCs w:val="24"/>
                <w:highlight w:val="none"/>
              </w:rPr>
              <w:t>、烈度速报图的展示：根据甲方需求，定制和生成烈度速报图展示的范围，同时可叠加人口热力图。（展示范围包括：宝鸡及周边300公里以内对宝鸡有影响的地震。）</w:t>
            </w:r>
          </w:p>
          <w:p w14:paraId="77A62CA8">
            <w:pPr>
              <w:widowControl/>
              <w:spacing w:line="360" w:lineRule="auto"/>
              <w:jc w:val="left"/>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82</w:t>
            </w:r>
            <w:r>
              <w:rPr>
                <w:rFonts w:ascii="宋体" w:hAnsi="宋体" w:eastAsia="宋体" w:cs="宋体"/>
                <w:color w:val="000000" w:themeColor="text1"/>
                <w:kern w:val="0"/>
                <w:sz w:val="24"/>
                <w:szCs w:val="24"/>
                <w:highlight w:val="none"/>
              </w:rPr>
              <w:t>、地震倒计时数据：陕西省境内及周边地区已建成高密度的地震预警监测网，在地震发生时，利用电波比地震波传播速度快的原理，在破坏性地震波到达前，7-9秒提供含有预估烈度和预警时间等信息的地震数据。</w:t>
            </w:r>
          </w:p>
          <w:p w14:paraId="3D0C32FA">
            <w:pPr>
              <w:widowControl/>
              <w:spacing w:line="360" w:lineRule="auto"/>
              <w:jc w:val="left"/>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83</w:t>
            </w:r>
            <w:r>
              <w:rPr>
                <w:rFonts w:ascii="宋体" w:hAnsi="宋体" w:eastAsia="宋体" w:cs="宋体"/>
                <w:color w:val="000000" w:themeColor="text1"/>
                <w:kern w:val="0"/>
                <w:sz w:val="24"/>
                <w:szCs w:val="24"/>
                <w:highlight w:val="none"/>
              </w:rPr>
              <w:t>、地震预警专报服务数据：当地震预警网内发生烈度大于等于4级或5度的地震时，提供地震预警报告数据。报告内容包括地震三要素、地震烈度速报数据、地震人口热力数据、地震预警响应情况等信息。</w:t>
            </w:r>
          </w:p>
          <w:p w14:paraId="180C63BC">
            <w:pPr>
              <w:widowControl/>
              <w:spacing w:line="360" w:lineRule="auto"/>
              <w:jc w:val="left"/>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84</w:t>
            </w:r>
            <w:r>
              <w:rPr>
                <w:rFonts w:ascii="宋体" w:hAnsi="宋体" w:eastAsia="宋体" w:cs="宋体"/>
                <w:color w:val="000000" w:themeColor="text1"/>
                <w:kern w:val="0"/>
                <w:sz w:val="24"/>
                <w:szCs w:val="24"/>
                <w:highlight w:val="none"/>
              </w:rPr>
              <w:t>、震情通报：显示震情通报，包括发震时刻、震中位置、震中经纬度、预警震级/正式震级、最大烈度等地震基本信息；各烈度区影响面积统计，震情通报信息全文。</w:t>
            </w:r>
          </w:p>
          <w:p w14:paraId="2E5ADEA4">
            <w:pPr>
              <w:widowControl/>
              <w:spacing w:line="360" w:lineRule="auto"/>
              <w:jc w:val="left"/>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85</w:t>
            </w:r>
            <w:r>
              <w:rPr>
                <w:rFonts w:ascii="宋体" w:hAnsi="宋体" w:eastAsia="宋体" w:cs="宋体"/>
                <w:color w:val="000000" w:themeColor="text1"/>
                <w:kern w:val="0"/>
                <w:sz w:val="24"/>
                <w:szCs w:val="24"/>
                <w:highlight w:val="none"/>
              </w:rPr>
              <w:t>、下载图文：下载形式，烈度速报图文，提供包含震情通报信息的图文下载；烈度速报图，仅下载图形区域。下载内容：“当前页面”是指用户设置图层设置、添加标记、测距后的当前页面；“默认配置”选项指按系统默认配置保存。</w:t>
            </w:r>
          </w:p>
          <w:p w14:paraId="6F1C0E05">
            <w:pPr>
              <w:widowControl/>
              <w:spacing w:line="360" w:lineRule="auto"/>
              <w:jc w:val="left"/>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86</w:t>
            </w:r>
            <w:r>
              <w:rPr>
                <w:rFonts w:ascii="宋体" w:hAnsi="宋体" w:eastAsia="宋体" w:cs="宋体"/>
                <w:color w:val="000000" w:themeColor="text1"/>
                <w:kern w:val="0"/>
                <w:sz w:val="24"/>
                <w:szCs w:val="24"/>
                <w:highlight w:val="none"/>
              </w:rPr>
              <w:t>、近期烈度速报查看页面下方区域展示最近5次地震烈度速报记录；查看：点击查看，在本页面快速打开该条烈度速报；更新历史：点击更新历史，可以查看改地震烈度速报更新信息。</w:t>
            </w:r>
          </w:p>
          <w:p w14:paraId="2252CADB">
            <w:pPr>
              <w:widowControl/>
              <w:spacing w:line="360" w:lineRule="auto"/>
              <w:jc w:val="left"/>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87</w:t>
            </w:r>
            <w:r>
              <w:rPr>
                <w:rFonts w:ascii="宋体" w:hAnsi="宋体" w:eastAsia="宋体" w:cs="宋体"/>
                <w:color w:val="000000" w:themeColor="text1"/>
                <w:kern w:val="0"/>
                <w:sz w:val="24"/>
                <w:szCs w:val="24"/>
                <w:highlight w:val="none"/>
              </w:rPr>
              <w:t>、地图小工具：为方便用户处理，添加地图小工具。</w:t>
            </w:r>
          </w:p>
          <w:p w14:paraId="5D3D02E8">
            <w:pPr>
              <w:widowControl/>
              <w:spacing w:line="360" w:lineRule="auto"/>
              <w:jc w:val="left"/>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88</w:t>
            </w:r>
            <w:r>
              <w:rPr>
                <w:rFonts w:ascii="宋体" w:hAnsi="宋体" w:eastAsia="宋体" w:cs="宋体"/>
                <w:color w:val="000000" w:themeColor="text1"/>
                <w:kern w:val="0"/>
                <w:sz w:val="24"/>
                <w:szCs w:val="24"/>
                <w:highlight w:val="none"/>
              </w:rPr>
              <w:t>、图层设置：通过图层设置，可对地图上的经纬度网格、县界、断裂带、震中周边区县进行设置。</w:t>
            </w:r>
          </w:p>
          <w:p w14:paraId="08A565D6">
            <w:pPr>
              <w:widowControl/>
              <w:spacing w:line="360" w:lineRule="auto"/>
              <w:jc w:val="left"/>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89</w:t>
            </w:r>
            <w:r>
              <w:rPr>
                <w:rFonts w:ascii="宋体" w:hAnsi="宋体" w:eastAsia="宋体" w:cs="宋体"/>
                <w:color w:val="000000" w:themeColor="text1"/>
                <w:kern w:val="0"/>
                <w:sz w:val="24"/>
                <w:szCs w:val="24"/>
                <w:highlight w:val="none"/>
              </w:rPr>
              <w:t>、添加标记功能：点击添加标记功能，可在地图上标记地点，标记时可输入标记点名称，页面弹框上会显示标记点的经纬度信息。保存了标记点后，在此页面下载图文，下载内容选择“当前页面”时会连同标记点一起导出。</w:t>
            </w:r>
          </w:p>
          <w:p w14:paraId="4C407744">
            <w:pPr>
              <w:widowControl/>
              <w:spacing w:line="360" w:lineRule="auto"/>
              <w:jc w:val="left"/>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90-</w:t>
            </w:r>
            <w:r>
              <w:rPr>
                <w:rFonts w:ascii="宋体" w:hAnsi="宋体" w:eastAsia="宋体" w:cs="宋体"/>
                <w:color w:val="000000" w:themeColor="text1"/>
                <w:kern w:val="0"/>
                <w:sz w:val="24"/>
                <w:szCs w:val="24"/>
                <w:highlight w:val="none"/>
              </w:rPr>
              <w:t>、地图测距功能：点击地图测距功能，可以在地图上选取位置任意点测量其之间的距离。在此页面下载图文，下载内容选择“当前页面”时会连测距信息一起导出。</w:t>
            </w:r>
          </w:p>
          <w:p w14:paraId="602C5234">
            <w:pPr>
              <w:widowControl/>
              <w:spacing w:line="360" w:lineRule="auto"/>
              <w:jc w:val="left"/>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91</w:t>
            </w:r>
            <w:r>
              <w:rPr>
                <w:rFonts w:ascii="宋体" w:hAnsi="宋体" w:eastAsia="宋体" w:cs="宋体"/>
                <w:color w:val="000000" w:themeColor="text1"/>
                <w:kern w:val="0"/>
                <w:sz w:val="24"/>
                <w:szCs w:val="24"/>
                <w:highlight w:val="none"/>
              </w:rPr>
              <w:t>、历史记录：展示用户收到的历史记录信息，支持按震中位置、震级范围和烈度范围进行查询。</w:t>
            </w:r>
          </w:p>
          <w:p w14:paraId="1F5A8150">
            <w:pPr>
              <w:widowControl/>
              <w:spacing w:line="360" w:lineRule="auto"/>
              <w:jc w:val="left"/>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w:t>
            </w:r>
            <w:r>
              <w:rPr>
                <w:rFonts w:ascii="宋体" w:hAnsi="宋体" w:eastAsia="宋体" w:cs="宋体"/>
                <w:color w:val="000000" w:themeColor="text1"/>
                <w:kern w:val="0"/>
                <w:sz w:val="24"/>
                <w:szCs w:val="24"/>
                <w:highlight w:val="none"/>
              </w:rPr>
              <w:t>1）查看：点击查看，将打开烈度速报图页面显示该条烈度速报。</w:t>
            </w:r>
          </w:p>
          <w:p w14:paraId="6E1FAD88">
            <w:pPr>
              <w:widowControl/>
              <w:spacing w:line="360" w:lineRule="auto"/>
              <w:jc w:val="left"/>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w:t>
            </w:r>
            <w:r>
              <w:rPr>
                <w:rFonts w:ascii="宋体" w:hAnsi="宋体" w:eastAsia="宋体" w:cs="宋体"/>
                <w:color w:val="000000" w:themeColor="text1"/>
                <w:kern w:val="0"/>
                <w:sz w:val="24"/>
                <w:szCs w:val="24"/>
                <w:highlight w:val="none"/>
              </w:rPr>
              <w:t>2）更新历史：点击更新历史，可以查看该地震烈度速报更新历史信息。</w:t>
            </w:r>
          </w:p>
          <w:p w14:paraId="50512195">
            <w:pPr>
              <w:widowControl/>
              <w:spacing w:line="360" w:lineRule="auto"/>
              <w:jc w:val="left"/>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92</w:t>
            </w:r>
            <w:r>
              <w:rPr>
                <w:rFonts w:ascii="宋体" w:hAnsi="宋体" w:eastAsia="宋体" w:cs="宋体"/>
                <w:color w:val="000000" w:themeColor="text1"/>
                <w:kern w:val="0"/>
                <w:sz w:val="24"/>
                <w:szCs w:val="24"/>
                <w:highlight w:val="none"/>
              </w:rPr>
              <w:t>、典型案例：查看地震典型案例，支持按震中位置、震级范围和烈度范围进行查询：</w:t>
            </w:r>
          </w:p>
          <w:p w14:paraId="53822F9D">
            <w:pPr>
              <w:widowControl/>
              <w:spacing w:line="360" w:lineRule="auto"/>
              <w:jc w:val="left"/>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w:t>
            </w:r>
            <w:r>
              <w:rPr>
                <w:rFonts w:ascii="宋体" w:hAnsi="宋体" w:eastAsia="宋体" w:cs="宋体"/>
                <w:color w:val="000000" w:themeColor="text1"/>
                <w:kern w:val="0"/>
                <w:sz w:val="24"/>
                <w:szCs w:val="24"/>
                <w:highlight w:val="none"/>
              </w:rPr>
              <w:t>1）查看：点击查看，将打开烈度速报图页面显示该条烈度速报。</w:t>
            </w:r>
          </w:p>
          <w:p w14:paraId="446975BF">
            <w:pPr>
              <w:widowControl/>
              <w:spacing w:line="360" w:lineRule="auto"/>
              <w:jc w:val="left"/>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w:t>
            </w:r>
            <w:r>
              <w:rPr>
                <w:rFonts w:ascii="宋体" w:hAnsi="宋体" w:eastAsia="宋体" w:cs="宋体"/>
                <w:color w:val="000000" w:themeColor="text1"/>
                <w:kern w:val="0"/>
                <w:sz w:val="24"/>
                <w:szCs w:val="24"/>
                <w:highlight w:val="none"/>
              </w:rPr>
              <w:t>2）更新历史：点击更新历史，可以查看该地震烈度速报更新历史信息。</w:t>
            </w:r>
          </w:p>
          <w:p w14:paraId="1CD706D1">
            <w:pPr>
              <w:widowControl/>
              <w:spacing w:line="360" w:lineRule="auto"/>
              <w:jc w:val="left"/>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93</w:t>
            </w:r>
            <w:r>
              <w:rPr>
                <w:rFonts w:ascii="宋体" w:hAnsi="宋体" w:eastAsia="宋体" w:cs="宋体"/>
                <w:color w:val="000000" w:themeColor="text1"/>
                <w:kern w:val="0"/>
                <w:sz w:val="24"/>
                <w:szCs w:val="24"/>
                <w:highlight w:val="none"/>
              </w:rPr>
              <w:t>、系统维护</w:t>
            </w:r>
          </w:p>
          <w:p w14:paraId="002D3F05">
            <w:pPr>
              <w:widowControl/>
              <w:spacing w:line="360" w:lineRule="auto"/>
              <w:jc w:val="left"/>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w:t>
            </w:r>
            <w:r>
              <w:rPr>
                <w:rFonts w:ascii="宋体" w:hAnsi="宋体" w:eastAsia="宋体" w:cs="宋体"/>
                <w:color w:val="000000" w:themeColor="text1"/>
                <w:kern w:val="0"/>
                <w:sz w:val="24"/>
                <w:szCs w:val="24"/>
                <w:highlight w:val="none"/>
              </w:rPr>
              <w:t>1）定期性能评估：定期对地震烈度速报系统进行性能评估，分析软件的运行数据，确定是否需要升级或更换。</w:t>
            </w:r>
          </w:p>
          <w:p w14:paraId="62D7540B">
            <w:pPr>
              <w:widowControl/>
              <w:spacing w:line="360" w:lineRule="auto"/>
              <w:jc w:val="left"/>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w:t>
            </w:r>
            <w:r>
              <w:rPr>
                <w:rFonts w:ascii="宋体" w:hAnsi="宋体" w:eastAsia="宋体" w:cs="宋体"/>
                <w:color w:val="000000" w:themeColor="text1"/>
                <w:kern w:val="0"/>
                <w:sz w:val="24"/>
                <w:szCs w:val="24"/>
                <w:highlight w:val="none"/>
              </w:rPr>
              <w:t>2）远程固件更新：支持远程推送固件更新，确保软件能够及时获取最新的功能和性能改进，无需现场操作，提升软件的智能化水平。</w:t>
            </w:r>
          </w:p>
          <w:p w14:paraId="79C010CC">
            <w:pPr>
              <w:widowControl/>
              <w:spacing w:line="360" w:lineRule="auto"/>
              <w:jc w:val="left"/>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w:t>
            </w:r>
            <w:r>
              <w:rPr>
                <w:rFonts w:ascii="宋体" w:hAnsi="宋体" w:eastAsia="宋体" w:cs="宋体"/>
                <w:color w:val="000000" w:themeColor="text1"/>
                <w:kern w:val="0"/>
                <w:sz w:val="24"/>
                <w:szCs w:val="24"/>
                <w:highlight w:val="none"/>
              </w:rPr>
              <w:t>3）软件升级管理：提供软件升级计划管理功能，根据技术发展和实际需求，制定合理的升级方案，确保软件性能和可靠性不断提升。</w:t>
            </w:r>
          </w:p>
          <w:p w14:paraId="5851526D">
            <w:pPr>
              <w:widowControl/>
              <w:spacing w:line="360" w:lineRule="auto"/>
              <w:jc w:val="left"/>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w:t>
            </w:r>
            <w:r>
              <w:rPr>
                <w:rFonts w:ascii="宋体" w:hAnsi="宋体" w:eastAsia="宋体" w:cs="宋体"/>
                <w:color w:val="000000" w:themeColor="text1"/>
                <w:kern w:val="0"/>
                <w:sz w:val="24"/>
                <w:szCs w:val="24"/>
                <w:highlight w:val="none"/>
              </w:rPr>
              <w:t>4）兼容性测试：在软件更新前，进行严格的兼容性测试，确保新固件与现有系统无缝集成，避免因升级导致的系统不稳定或功能异常。</w:t>
            </w:r>
          </w:p>
          <w:p w14:paraId="42D4043A">
            <w:pPr>
              <w:widowControl/>
              <w:spacing w:line="360" w:lineRule="auto"/>
              <w:jc w:val="left"/>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94</w:t>
            </w:r>
            <w:r>
              <w:rPr>
                <w:rFonts w:ascii="宋体" w:hAnsi="宋体" w:eastAsia="宋体" w:cs="宋体"/>
                <w:color w:val="000000" w:themeColor="text1"/>
                <w:kern w:val="0"/>
                <w:sz w:val="24"/>
                <w:szCs w:val="24"/>
                <w:highlight w:val="none"/>
              </w:rPr>
              <w:t>、系统管理</w:t>
            </w:r>
          </w:p>
          <w:p w14:paraId="5AB2FCBC">
            <w:pPr>
              <w:widowControl/>
              <w:spacing w:line="360" w:lineRule="auto"/>
              <w:jc w:val="left"/>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查看系统日志、访问控制、监控审计等；</w:t>
            </w:r>
          </w:p>
          <w:p w14:paraId="1F96A612">
            <w:pPr>
              <w:widowControl/>
              <w:spacing w:line="360" w:lineRule="auto"/>
              <w:jc w:val="left"/>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w:t>
            </w:r>
            <w:r>
              <w:rPr>
                <w:rFonts w:ascii="宋体" w:hAnsi="宋体" w:eastAsia="宋体" w:cs="宋体"/>
                <w:color w:val="000000" w:themeColor="text1"/>
                <w:kern w:val="0"/>
                <w:sz w:val="24"/>
                <w:szCs w:val="24"/>
                <w:highlight w:val="none"/>
              </w:rPr>
              <w:t>1）支持查看系统监测情况，包含数据监测、服务监测、缓存监测；</w:t>
            </w:r>
          </w:p>
          <w:p w14:paraId="716DB7FC">
            <w:pPr>
              <w:widowControl/>
              <w:spacing w:line="360" w:lineRule="auto"/>
              <w:jc w:val="left"/>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w:t>
            </w:r>
            <w:r>
              <w:rPr>
                <w:rFonts w:ascii="宋体" w:hAnsi="宋体" w:eastAsia="宋体" w:cs="宋体"/>
                <w:color w:val="000000" w:themeColor="text1"/>
                <w:kern w:val="0"/>
                <w:sz w:val="24"/>
                <w:szCs w:val="24"/>
                <w:highlight w:val="none"/>
              </w:rPr>
              <w:t>2）支持系统访问控制，查看登录IP，配置登录黑名单、白名单等；</w:t>
            </w:r>
          </w:p>
          <w:p w14:paraId="19382846">
            <w:pPr>
              <w:widowControl/>
              <w:spacing w:line="360" w:lineRule="auto"/>
              <w:jc w:val="left"/>
              <w:textAlignment w:val="center"/>
              <w:rPr>
                <w:rFonts w:ascii="宋体" w:hAnsi="宋体" w:eastAsia="宋体" w:cs="宋体"/>
                <w:color w:val="000000" w:themeColor="text1"/>
                <w:kern w:val="0"/>
                <w:sz w:val="24"/>
                <w:szCs w:val="24"/>
                <w:highlight w:val="none"/>
              </w:rPr>
            </w:pPr>
            <w:r>
              <w:rPr>
                <w:rFonts w:hint="eastAsia" w:ascii="宋体" w:hAnsi="宋体" w:eastAsia="宋体" w:cs="宋体"/>
                <w:color w:val="000000" w:themeColor="text1"/>
                <w:kern w:val="0"/>
                <w:sz w:val="24"/>
                <w:szCs w:val="24"/>
                <w:highlight w:val="none"/>
              </w:rPr>
              <w:t>（</w:t>
            </w:r>
            <w:r>
              <w:rPr>
                <w:rFonts w:ascii="宋体" w:hAnsi="宋体" w:eastAsia="宋体" w:cs="宋体"/>
                <w:color w:val="000000" w:themeColor="text1"/>
                <w:kern w:val="0"/>
                <w:sz w:val="24"/>
                <w:szCs w:val="24"/>
                <w:highlight w:val="none"/>
              </w:rPr>
              <w:t>3）支持配置设备告警规则，提供各类日志等管理查询。</w:t>
            </w:r>
          </w:p>
          <w:p w14:paraId="1A6DC44C">
            <w:pPr>
              <w:widowControl/>
              <w:spacing w:line="360" w:lineRule="auto"/>
              <w:jc w:val="left"/>
              <w:textAlignment w:val="center"/>
              <w:rPr>
                <w:rFonts w:ascii="宋体" w:hAnsi="宋体" w:eastAsia="宋体" w:cs="宋体"/>
                <w:color w:val="000000" w:themeColor="text1"/>
                <w:kern w:val="0"/>
                <w:sz w:val="24"/>
                <w:szCs w:val="24"/>
                <w:highlight w:val="none"/>
              </w:rPr>
            </w:pPr>
            <w:bookmarkStart w:id="71" w:name="OLE_LINK41"/>
            <w:bookmarkStart w:id="72" w:name="OLE_LINK33"/>
            <w:r>
              <w:rPr>
                <w:rFonts w:hint="eastAsia" w:ascii="宋体" w:hAnsi="宋体" w:eastAsia="宋体" w:cs="宋体"/>
                <w:color w:val="000000" w:themeColor="text1"/>
                <w:kern w:val="0"/>
                <w:sz w:val="24"/>
                <w:szCs w:val="24"/>
                <w:highlight w:val="none"/>
              </w:rPr>
              <w:t>95、完成省局地震预警信息及地震烈度速报信息的接入。</w:t>
            </w:r>
            <w:bookmarkEnd w:id="71"/>
            <w:bookmarkEnd w:id="72"/>
          </w:p>
        </w:tc>
        <w:tc>
          <w:tcPr>
            <w:tcW w:w="568" w:type="pct"/>
            <w:vAlign w:val="center"/>
          </w:tcPr>
          <w:p w14:paraId="00105A4D">
            <w:pPr>
              <w:spacing w:line="360" w:lineRule="auto"/>
              <w:jc w:val="center"/>
              <w:rPr>
                <w:rFonts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1套</w:t>
            </w:r>
          </w:p>
        </w:tc>
        <w:tc>
          <w:tcPr>
            <w:tcW w:w="920" w:type="pct"/>
            <w:vAlign w:val="center"/>
          </w:tcPr>
          <w:p w14:paraId="60407E0A">
            <w:pPr>
              <w:spacing w:line="360" w:lineRule="auto"/>
              <w:jc w:val="center"/>
              <w:rPr>
                <w:rFonts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w:t>
            </w:r>
            <w:r>
              <w:rPr>
                <w:rFonts w:ascii="宋体" w:hAnsi="宋体" w:eastAsia="宋体" w:cs="宋体"/>
                <w:color w:val="000000" w:themeColor="text1"/>
                <w:sz w:val="24"/>
                <w:szCs w:val="24"/>
                <w:highlight w:val="none"/>
              </w:rPr>
              <w:t>80000.00</w:t>
            </w:r>
          </w:p>
        </w:tc>
      </w:tr>
    </w:tbl>
    <w:p w14:paraId="4F4EB6F4">
      <w:pPr>
        <w:spacing w:line="360" w:lineRule="auto"/>
        <w:rPr>
          <w:rFonts w:ascii="宋体" w:hAnsi="宋体" w:eastAsia="宋体"/>
          <w:b/>
          <w:bCs/>
          <w:color w:val="000000" w:themeColor="text1"/>
          <w:sz w:val="24"/>
          <w:szCs w:val="24"/>
          <w:highlight w:val="none"/>
        </w:rPr>
      </w:pPr>
    </w:p>
    <w:p w14:paraId="19CD89DA">
      <w:pPr>
        <w:pStyle w:val="23"/>
        <w:rPr>
          <w:color w:val="000000" w:themeColor="text1"/>
          <w:highlight w:val="none"/>
        </w:rPr>
      </w:pPr>
      <w:bookmarkStart w:id="73" w:name="_Toc211442750"/>
      <w:r>
        <w:rPr>
          <w:rFonts w:hint="eastAsia"/>
          <w:color w:val="000000" w:themeColor="text1"/>
          <w:highlight w:val="none"/>
        </w:rPr>
        <w:t>三、商务要求</w:t>
      </w:r>
      <w:bookmarkEnd w:id="73"/>
    </w:p>
    <w:p w14:paraId="7D2E1DF9">
      <w:pPr>
        <w:spacing w:line="360" w:lineRule="auto"/>
        <w:rPr>
          <w:rFonts w:ascii="宋体" w:hAnsi="宋体" w:eastAsia="宋体" w:cs="Times New Roman"/>
          <w:b/>
          <w:color w:val="000000" w:themeColor="text1"/>
          <w:sz w:val="24"/>
          <w:szCs w:val="24"/>
          <w:highlight w:val="none"/>
        </w:rPr>
      </w:pPr>
      <w:r>
        <w:rPr>
          <w:rFonts w:ascii="宋体" w:hAnsi="宋体" w:eastAsia="宋体" w:cs="Times New Roman"/>
          <w:b/>
          <w:color w:val="000000" w:themeColor="text1"/>
          <w:sz w:val="24"/>
          <w:szCs w:val="24"/>
          <w:highlight w:val="none"/>
        </w:rPr>
        <w:t>*</w:t>
      </w:r>
      <w:r>
        <w:rPr>
          <w:rFonts w:hint="eastAsia" w:ascii="宋体" w:hAnsi="宋体" w:eastAsia="宋体" w:cs="Times New Roman"/>
          <w:b/>
          <w:color w:val="000000" w:themeColor="text1"/>
          <w:sz w:val="24"/>
          <w:szCs w:val="24"/>
          <w:highlight w:val="none"/>
        </w:rPr>
        <w:t>1、报价说明</w:t>
      </w:r>
    </w:p>
    <w:p w14:paraId="6D40D8FC">
      <w:pPr>
        <w:spacing w:line="360" w:lineRule="auto"/>
        <w:ind w:firstLine="480" w:firstLineChars="200"/>
        <w:rPr>
          <w:rFonts w:ascii="宋体" w:hAnsi="宋体" w:eastAsia="宋体" w:cs="Times New Roman"/>
          <w:color w:val="000000" w:themeColor="text1"/>
          <w:sz w:val="24"/>
          <w:szCs w:val="24"/>
          <w:highlight w:val="none"/>
        </w:rPr>
      </w:pPr>
      <w:r>
        <w:rPr>
          <w:rFonts w:hint="eastAsia" w:ascii="宋体" w:hAnsi="宋体" w:eastAsia="宋体" w:cs="Times New Roman"/>
          <w:color w:val="000000" w:themeColor="text1"/>
          <w:sz w:val="24"/>
          <w:szCs w:val="24"/>
          <w:highlight w:val="none"/>
        </w:rPr>
        <w:t>1</w:t>
      </w:r>
      <w:r>
        <w:rPr>
          <w:rFonts w:ascii="宋体" w:hAnsi="宋体" w:eastAsia="宋体" w:cs="Times New Roman"/>
          <w:color w:val="000000" w:themeColor="text1"/>
          <w:sz w:val="24"/>
          <w:szCs w:val="24"/>
          <w:highlight w:val="none"/>
        </w:rPr>
        <w:t>.1</w:t>
      </w:r>
      <w:r>
        <w:rPr>
          <w:rFonts w:hint="eastAsia" w:ascii="宋体" w:hAnsi="宋体" w:eastAsia="宋体" w:cs="Times New Roman"/>
          <w:color w:val="000000" w:themeColor="text1"/>
          <w:sz w:val="24"/>
          <w:szCs w:val="24"/>
          <w:highlight w:val="none"/>
        </w:rPr>
        <w:t>报价以人民币填写，单位为元，保留2位小数。投标报价包括但不限于完成本项目的设备（软、硬件）采购、运输、安装（含供电线路铺设）、材料、人工、调试、验收、试运行等所有费用（含税费）。</w:t>
      </w:r>
    </w:p>
    <w:p w14:paraId="56227416">
      <w:pPr>
        <w:spacing w:line="360" w:lineRule="auto"/>
        <w:ind w:firstLine="482" w:firstLineChars="200"/>
        <w:rPr>
          <w:rFonts w:ascii="宋体" w:hAnsi="宋体" w:eastAsia="宋体" w:cs="Times New Roman"/>
          <w:b/>
          <w:color w:val="000000" w:themeColor="text1"/>
          <w:sz w:val="24"/>
          <w:szCs w:val="24"/>
          <w:highlight w:val="none"/>
        </w:rPr>
      </w:pPr>
      <w:r>
        <w:rPr>
          <w:rFonts w:hint="eastAsia" w:ascii="宋体" w:hAnsi="宋体" w:eastAsia="宋体" w:cs="Times New Roman"/>
          <w:b/>
          <w:color w:val="000000" w:themeColor="text1"/>
          <w:sz w:val="24"/>
          <w:szCs w:val="24"/>
          <w:highlight w:val="none"/>
        </w:rPr>
        <w:t>1</w:t>
      </w:r>
      <w:r>
        <w:rPr>
          <w:rFonts w:ascii="宋体" w:hAnsi="宋体" w:eastAsia="宋体" w:cs="Times New Roman"/>
          <w:b/>
          <w:color w:val="000000" w:themeColor="text1"/>
          <w:sz w:val="24"/>
          <w:szCs w:val="24"/>
          <w:highlight w:val="none"/>
        </w:rPr>
        <w:t>.2</w:t>
      </w:r>
      <w:r>
        <w:rPr>
          <w:rFonts w:hint="eastAsia" w:ascii="宋体" w:hAnsi="宋体" w:eastAsia="宋体" w:cs="Times New Roman"/>
          <w:b/>
          <w:color w:val="000000" w:themeColor="text1"/>
          <w:sz w:val="24"/>
          <w:szCs w:val="24"/>
          <w:highlight w:val="none"/>
        </w:rPr>
        <w:t>合同包</w:t>
      </w:r>
      <w:r>
        <w:rPr>
          <w:rFonts w:ascii="宋体" w:hAnsi="宋体" w:eastAsia="宋体" w:cs="Times New Roman"/>
          <w:b/>
          <w:color w:val="000000" w:themeColor="text1"/>
          <w:sz w:val="24"/>
          <w:szCs w:val="24"/>
          <w:highlight w:val="none"/>
        </w:rPr>
        <w:t>1、</w:t>
      </w:r>
      <w:r>
        <w:rPr>
          <w:rFonts w:hint="eastAsia" w:ascii="宋体" w:hAnsi="宋体" w:eastAsia="宋体" w:cs="Times New Roman"/>
          <w:b/>
          <w:color w:val="000000" w:themeColor="text1"/>
          <w:sz w:val="24"/>
          <w:szCs w:val="24"/>
          <w:highlight w:val="none"/>
        </w:rPr>
        <w:t>合同</w:t>
      </w:r>
      <w:r>
        <w:rPr>
          <w:rFonts w:ascii="宋体" w:hAnsi="宋体" w:eastAsia="宋体" w:cs="Times New Roman"/>
          <w:b/>
          <w:color w:val="000000" w:themeColor="text1"/>
          <w:sz w:val="24"/>
          <w:szCs w:val="24"/>
          <w:highlight w:val="none"/>
        </w:rPr>
        <w:t>包2中“地震预警终端1、地震预警终端2、地震预警大喇叭”的防篡改接入认证服务费为每台（套）为250元，均包含在三种型号投标报价中，产品与省地震烈度速报预警防篡改密码安全系统的适配、集成升级、二次开发等费用由供应商承担，不包括在此费用中。</w:t>
      </w:r>
      <w:r>
        <w:rPr>
          <w:rFonts w:hint="eastAsia" w:ascii="宋体" w:hAnsi="宋体" w:eastAsia="宋体" w:cs="Times New Roman"/>
          <w:b/>
          <w:color w:val="000000" w:themeColor="text1"/>
          <w:sz w:val="24"/>
          <w:szCs w:val="24"/>
          <w:highlight w:val="none"/>
        </w:rPr>
        <w:t>合同</w:t>
      </w:r>
      <w:r>
        <w:rPr>
          <w:rFonts w:ascii="宋体" w:hAnsi="宋体" w:eastAsia="宋体" w:cs="Times New Roman"/>
          <w:b/>
          <w:color w:val="000000" w:themeColor="text1"/>
          <w:sz w:val="24"/>
          <w:szCs w:val="24"/>
          <w:highlight w:val="none"/>
        </w:rPr>
        <w:t>包2中“地震烈度速报系统”投标报价包括第三方提供的数据信息服务费，其中地震预警信息及地震烈度速报信息的接入及五年信息服务费为10万元。</w:t>
      </w:r>
    </w:p>
    <w:p w14:paraId="6BD11B61">
      <w:pPr>
        <w:spacing w:line="360" w:lineRule="auto"/>
        <w:rPr>
          <w:rFonts w:ascii="宋体" w:hAnsi="宋体" w:eastAsia="宋体" w:cs="宋体"/>
          <w:b/>
          <w:color w:val="000000" w:themeColor="text1"/>
          <w:sz w:val="24"/>
          <w:szCs w:val="24"/>
          <w:highlight w:val="none"/>
        </w:rPr>
      </w:pPr>
      <w:r>
        <w:rPr>
          <w:rFonts w:ascii="宋体" w:hAnsi="宋体" w:eastAsia="宋体" w:cs="Times New Roman"/>
          <w:b/>
          <w:color w:val="000000" w:themeColor="text1"/>
          <w:sz w:val="24"/>
          <w:szCs w:val="24"/>
          <w:highlight w:val="none"/>
        </w:rPr>
        <w:t>*</w:t>
      </w:r>
      <w:r>
        <w:rPr>
          <w:rFonts w:ascii="宋体" w:hAnsi="宋体" w:eastAsia="宋体" w:cs="宋体"/>
          <w:b/>
          <w:color w:val="000000" w:themeColor="text1"/>
          <w:sz w:val="24"/>
          <w:szCs w:val="24"/>
          <w:highlight w:val="none"/>
        </w:rPr>
        <w:t>2</w:t>
      </w:r>
      <w:r>
        <w:rPr>
          <w:rFonts w:hint="eastAsia" w:ascii="宋体" w:hAnsi="宋体" w:eastAsia="宋体" w:cs="宋体"/>
          <w:b/>
          <w:color w:val="000000" w:themeColor="text1"/>
          <w:sz w:val="24"/>
          <w:szCs w:val="24"/>
          <w:highlight w:val="none"/>
        </w:rPr>
        <w:t>、服务期限</w:t>
      </w:r>
    </w:p>
    <w:p w14:paraId="50143E5D">
      <w:pPr>
        <w:spacing w:line="360" w:lineRule="auto"/>
        <w:ind w:firstLine="420"/>
        <w:jc w:val="left"/>
        <w:rPr>
          <w:rFonts w:ascii="宋体" w:hAnsi="宋体" w:eastAsia="宋体"/>
          <w:b/>
          <w:color w:val="000000" w:themeColor="text1"/>
          <w:sz w:val="24"/>
          <w:szCs w:val="24"/>
          <w:highlight w:val="none"/>
        </w:rPr>
      </w:pPr>
      <w:r>
        <w:rPr>
          <w:rFonts w:ascii="宋体" w:hAnsi="宋体" w:eastAsia="宋体"/>
          <w:b/>
          <w:color w:val="000000" w:themeColor="text1"/>
          <w:sz w:val="24"/>
          <w:szCs w:val="24"/>
          <w:highlight w:val="none"/>
        </w:rPr>
        <w:t>2.1</w:t>
      </w:r>
      <w:r>
        <w:rPr>
          <w:rFonts w:hint="eastAsia" w:ascii="宋体" w:hAnsi="宋体" w:eastAsia="宋体"/>
          <w:b/>
          <w:color w:val="000000" w:themeColor="text1"/>
          <w:sz w:val="24"/>
          <w:szCs w:val="24"/>
          <w:highlight w:val="none"/>
        </w:rPr>
        <w:t>工期：</w:t>
      </w:r>
      <w:r>
        <w:rPr>
          <w:rFonts w:ascii="宋体" w:hAnsi="宋体" w:eastAsia="宋体"/>
          <w:b/>
          <w:color w:val="000000" w:themeColor="text1"/>
          <w:sz w:val="24"/>
          <w:szCs w:val="24"/>
          <w:highlight w:val="none"/>
        </w:rPr>
        <w:t>100日历天（合同签订后60日历天内完成全部设备的现场安装；安装完成后10日历天内完成集成、测试等，达到信息公开发布条件；完成测试、集成后，试运行30日历天，系统正常,项目达到正式验收条件。）</w:t>
      </w:r>
      <w:r>
        <w:rPr>
          <w:rFonts w:hint="eastAsia" w:ascii="宋体" w:hAnsi="宋体" w:eastAsia="宋体"/>
          <w:b/>
          <w:color w:val="000000" w:themeColor="text1"/>
          <w:sz w:val="24"/>
          <w:szCs w:val="24"/>
          <w:highlight w:val="none"/>
        </w:rPr>
        <w:t>。</w:t>
      </w:r>
    </w:p>
    <w:p w14:paraId="33A965CE">
      <w:pPr>
        <w:spacing w:line="360" w:lineRule="auto"/>
        <w:ind w:firstLine="420"/>
        <w:jc w:val="left"/>
        <w:rPr>
          <w:rFonts w:ascii="宋体" w:hAnsi="宋体" w:eastAsia="宋体"/>
          <w:b/>
          <w:color w:val="000000" w:themeColor="text1"/>
          <w:sz w:val="24"/>
          <w:szCs w:val="24"/>
          <w:highlight w:val="none"/>
        </w:rPr>
      </w:pPr>
      <w:r>
        <w:rPr>
          <w:rFonts w:ascii="宋体" w:hAnsi="宋体" w:eastAsia="宋体" w:cs="宋体"/>
          <w:b/>
          <w:color w:val="000000" w:themeColor="text1"/>
          <w:sz w:val="24"/>
          <w:szCs w:val="24"/>
          <w:highlight w:val="none"/>
        </w:rPr>
        <w:t>2.2</w:t>
      </w:r>
      <w:r>
        <w:rPr>
          <w:rFonts w:hint="eastAsia" w:ascii="宋体" w:hAnsi="宋体" w:eastAsia="宋体" w:cs="宋体"/>
          <w:b/>
          <w:color w:val="000000" w:themeColor="text1"/>
          <w:sz w:val="24"/>
          <w:szCs w:val="24"/>
          <w:highlight w:val="none"/>
        </w:rPr>
        <w:t>质保期：</w:t>
      </w:r>
      <w:r>
        <w:rPr>
          <w:rFonts w:hint="eastAsia" w:ascii="宋体" w:hAnsi="宋体" w:eastAsia="宋体"/>
          <w:b/>
          <w:color w:val="000000" w:themeColor="text1"/>
          <w:sz w:val="24"/>
          <w:szCs w:val="24"/>
          <w:highlight w:val="none"/>
        </w:rPr>
        <w:t>自项目验收完毕之日起，中标人提供至少</w:t>
      </w:r>
      <w:r>
        <w:rPr>
          <w:rFonts w:ascii="宋体" w:hAnsi="宋体" w:eastAsia="宋体"/>
          <w:b/>
          <w:color w:val="000000" w:themeColor="text1"/>
          <w:sz w:val="24"/>
          <w:szCs w:val="24"/>
          <w:highlight w:val="none"/>
        </w:rPr>
        <w:t>1年质保服务并顺延至自然年末（含终端设备3年通信服务费），保证采购合同执行完毕后继续提供设备及设施维修服务。中标人还应保证在采购合同执行完毕后继续免费提供有关设备技术升级的所有资料。</w:t>
      </w:r>
    </w:p>
    <w:p w14:paraId="04B35885">
      <w:pPr>
        <w:spacing w:line="360" w:lineRule="auto"/>
        <w:ind w:firstLine="420"/>
        <w:jc w:val="left"/>
        <w:rPr>
          <w:rFonts w:ascii="宋体" w:hAnsi="宋体" w:eastAsia="宋体"/>
          <w:b/>
          <w:bCs/>
          <w:color w:val="000000" w:themeColor="text1"/>
          <w:sz w:val="24"/>
          <w:szCs w:val="24"/>
          <w:highlight w:val="none"/>
        </w:rPr>
      </w:pPr>
      <w:r>
        <w:rPr>
          <w:rFonts w:ascii="宋体" w:hAnsi="宋体" w:eastAsia="宋体" w:cs="宋体"/>
          <w:b/>
          <w:color w:val="000000" w:themeColor="text1"/>
          <w:sz w:val="24"/>
          <w:szCs w:val="24"/>
          <w:highlight w:val="none"/>
        </w:rPr>
        <w:t>2.3</w:t>
      </w:r>
      <w:r>
        <w:rPr>
          <w:rFonts w:ascii="宋体" w:hAnsi="宋体" w:eastAsia="宋体"/>
          <w:b/>
          <w:color w:val="000000" w:themeColor="text1"/>
          <w:sz w:val="24"/>
          <w:szCs w:val="24"/>
          <w:highlight w:val="none"/>
        </w:rPr>
        <w:t>地震预警终端和地震烈度速报系统软件终身免费升级，地震烈度速报系统数据服务不少于5年，工作站3年软件免费升级。</w:t>
      </w:r>
    </w:p>
    <w:p w14:paraId="6F57A122">
      <w:pPr>
        <w:spacing w:line="360" w:lineRule="auto"/>
        <w:rPr>
          <w:rFonts w:ascii="宋体" w:hAnsi="宋体" w:eastAsia="宋体" w:cs="宋体"/>
          <w:color w:val="000000" w:themeColor="text1"/>
          <w:sz w:val="24"/>
          <w:szCs w:val="24"/>
          <w:highlight w:val="none"/>
        </w:rPr>
      </w:pPr>
      <w:r>
        <w:rPr>
          <w:rFonts w:ascii="宋体" w:hAnsi="宋体" w:eastAsia="宋体" w:cs="宋体"/>
          <w:color w:val="000000" w:themeColor="text1"/>
          <w:sz w:val="24"/>
          <w:szCs w:val="24"/>
          <w:highlight w:val="none"/>
        </w:rPr>
        <w:t>3</w:t>
      </w:r>
      <w:r>
        <w:rPr>
          <w:rFonts w:hint="eastAsia" w:ascii="宋体" w:hAnsi="宋体" w:eastAsia="宋体" w:cs="宋体"/>
          <w:color w:val="000000" w:themeColor="text1"/>
          <w:sz w:val="24"/>
          <w:szCs w:val="24"/>
          <w:highlight w:val="none"/>
        </w:rPr>
        <w:t>、交货地点</w:t>
      </w:r>
    </w:p>
    <w:p w14:paraId="0FCD85BF">
      <w:pPr>
        <w:spacing w:line="360" w:lineRule="auto"/>
        <w:ind w:firstLine="420"/>
        <w:rPr>
          <w:rFonts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具体安装部署点位由采购人在签署合同时指定，安装实施前可调整。</w:t>
      </w:r>
    </w:p>
    <w:p w14:paraId="5A90B58B">
      <w:pPr>
        <w:spacing w:line="360" w:lineRule="auto"/>
        <w:rPr>
          <w:rFonts w:ascii="宋体" w:hAnsi="宋体" w:eastAsia="宋体" w:cs="宋体"/>
          <w:color w:val="000000" w:themeColor="text1"/>
          <w:sz w:val="24"/>
          <w:szCs w:val="24"/>
          <w:highlight w:val="none"/>
        </w:rPr>
      </w:pPr>
      <w:r>
        <w:rPr>
          <w:rFonts w:ascii="宋体" w:hAnsi="宋体" w:eastAsia="宋体" w:cs="宋体"/>
          <w:color w:val="000000" w:themeColor="text1"/>
          <w:sz w:val="24"/>
          <w:szCs w:val="24"/>
          <w:highlight w:val="none"/>
        </w:rPr>
        <w:t>4</w:t>
      </w:r>
      <w:r>
        <w:rPr>
          <w:rFonts w:hint="eastAsia" w:ascii="宋体" w:hAnsi="宋体" w:eastAsia="宋体" w:cs="宋体"/>
          <w:color w:val="000000" w:themeColor="text1"/>
          <w:sz w:val="24"/>
          <w:szCs w:val="24"/>
          <w:highlight w:val="none"/>
        </w:rPr>
        <w:t>、验收标准</w:t>
      </w:r>
    </w:p>
    <w:p w14:paraId="4187C59C">
      <w:pPr>
        <w:spacing w:line="360" w:lineRule="auto"/>
        <w:ind w:firstLine="420"/>
        <w:rPr>
          <w:rFonts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以技术指标要求为准。中标人提供的设备须是半年内生产的全新仪器，仪器内部无损坏，外表无磨损，外部包装无破损，中标人将设备运至指定地点进行安装部署，并完成与市级地震预警信息转发平台对接以及省地震烈度速报防篡改密码安全系统的集成、测试，对外试运行满一个月；同时完成预警中心建设、搭建市县地震预警终端综合管理平台、宝鸡市地震烈度速报系统的软件开发；按标段分别组织验收，并签署验收报告，视为验收完毕。</w:t>
      </w:r>
    </w:p>
    <w:p w14:paraId="762BFC96">
      <w:pPr>
        <w:spacing w:line="360" w:lineRule="auto"/>
        <w:rPr>
          <w:rFonts w:ascii="宋体" w:hAnsi="宋体" w:eastAsia="宋体" w:cs="宋体"/>
          <w:color w:val="000000" w:themeColor="text1"/>
          <w:sz w:val="24"/>
          <w:szCs w:val="24"/>
          <w:highlight w:val="none"/>
        </w:rPr>
      </w:pPr>
      <w:r>
        <w:rPr>
          <w:rFonts w:ascii="宋体" w:hAnsi="宋体" w:eastAsia="宋体" w:cs="宋体"/>
          <w:color w:val="000000" w:themeColor="text1"/>
          <w:sz w:val="24"/>
          <w:szCs w:val="24"/>
          <w:highlight w:val="none"/>
        </w:rPr>
        <w:t>5</w:t>
      </w:r>
      <w:r>
        <w:rPr>
          <w:rFonts w:hint="eastAsia" w:ascii="宋体" w:hAnsi="宋体" w:eastAsia="宋体" w:cs="宋体"/>
          <w:color w:val="000000" w:themeColor="text1"/>
          <w:sz w:val="24"/>
          <w:szCs w:val="24"/>
          <w:highlight w:val="none"/>
        </w:rPr>
        <w:t>、培训要求</w:t>
      </w:r>
    </w:p>
    <w:p w14:paraId="108606D9">
      <w:pPr>
        <w:spacing w:line="360" w:lineRule="auto"/>
        <w:ind w:firstLine="420"/>
        <w:rPr>
          <w:rFonts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中标人应提供完整、详细以及实用的培训服务。必须按照采购合同或技术服务合同的有关约定，按照课堂讲授和远程指导等培训形式提供安装、维护和使用等方面的培训，达到最终用户技术人员能够自行安装调试、常见故障维护的培训目标。</w:t>
      </w:r>
    </w:p>
    <w:p w14:paraId="00C16C28">
      <w:pPr>
        <w:spacing w:line="360" w:lineRule="auto"/>
        <w:rPr>
          <w:rFonts w:ascii="宋体" w:hAnsi="宋体" w:eastAsia="宋体" w:cs="宋体"/>
          <w:color w:val="000000" w:themeColor="text1"/>
          <w:sz w:val="24"/>
          <w:szCs w:val="24"/>
          <w:highlight w:val="none"/>
        </w:rPr>
      </w:pPr>
      <w:r>
        <w:rPr>
          <w:rFonts w:ascii="宋体" w:hAnsi="宋体" w:eastAsia="宋体" w:cs="宋体"/>
          <w:color w:val="000000" w:themeColor="text1"/>
          <w:sz w:val="24"/>
          <w:szCs w:val="24"/>
          <w:highlight w:val="none"/>
        </w:rPr>
        <w:t>6</w:t>
      </w:r>
      <w:r>
        <w:rPr>
          <w:rFonts w:hint="eastAsia" w:ascii="宋体" w:hAnsi="宋体" w:eastAsia="宋体" w:cs="宋体"/>
          <w:color w:val="000000" w:themeColor="text1"/>
          <w:sz w:val="24"/>
          <w:szCs w:val="24"/>
          <w:highlight w:val="none"/>
        </w:rPr>
        <w:t>、售后服务</w:t>
      </w:r>
    </w:p>
    <w:p w14:paraId="175EEC49">
      <w:pPr>
        <w:spacing w:line="360" w:lineRule="auto"/>
        <w:ind w:firstLine="420"/>
        <w:rPr>
          <w:rFonts w:ascii="宋体" w:hAnsi="宋体" w:eastAsia="宋体" w:cs="宋体"/>
          <w:color w:val="000000" w:themeColor="text1"/>
          <w:sz w:val="24"/>
          <w:szCs w:val="24"/>
          <w:highlight w:val="none"/>
        </w:rPr>
      </w:pPr>
      <w:r>
        <w:rPr>
          <w:rFonts w:ascii="宋体" w:hAnsi="宋体" w:eastAsia="宋体" w:cs="宋体"/>
          <w:color w:val="000000" w:themeColor="text1"/>
          <w:sz w:val="24"/>
          <w:szCs w:val="24"/>
          <w:highlight w:val="none"/>
        </w:rPr>
        <w:t>6.1</w:t>
      </w:r>
      <w:r>
        <w:rPr>
          <w:rFonts w:hint="eastAsia" w:ascii="宋体" w:hAnsi="宋体" w:eastAsia="宋体" w:cs="宋体"/>
          <w:color w:val="000000" w:themeColor="text1"/>
          <w:sz w:val="24"/>
          <w:szCs w:val="24"/>
          <w:highlight w:val="none"/>
        </w:rPr>
        <w:t>中标人必须按照采购合同或技术服务合同的有关约定，提供完整的设备技术文档资料。</w:t>
      </w:r>
    </w:p>
    <w:p w14:paraId="2F9B7760">
      <w:pPr>
        <w:spacing w:line="360" w:lineRule="auto"/>
        <w:ind w:firstLine="420"/>
        <w:rPr>
          <w:rFonts w:ascii="宋体" w:hAnsi="宋体" w:eastAsia="宋体" w:cs="宋体"/>
          <w:color w:val="000000" w:themeColor="text1"/>
          <w:sz w:val="24"/>
          <w:szCs w:val="24"/>
          <w:highlight w:val="none"/>
        </w:rPr>
      </w:pPr>
      <w:r>
        <w:rPr>
          <w:rFonts w:ascii="宋体" w:hAnsi="宋体" w:eastAsia="宋体" w:cs="宋体"/>
          <w:color w:val="000000" w:themeColor="text1"/>
          <w:sz w:val="24"/>
          <w:szCs w:val="24"/>
          <w:highlight w:val="none"/>
        </w:rPr>
        <w:t>6.2</w:t>
      </w:r>
      <w:r>
        <w:rPr>
          <w:rFonts w:hint="eastAsia" w:ascii="宋体" w:hAnsi="宋体" w:eastAsia="宋体" w:cs="宋体"/>
          <w:color w:val="000000" w:themeColor="text1"/>
          <w:sz w:val="24"/>
          <w:szCs w:val="24"/>
          <w:highlight w:val="none"/>
        </w:rPr>
        <w:t>中标人应提供及时、快速的维修服务。必须按照采购合同或技术服务合同的有关约定，提供包括返厂维修和现场服务等内容的维修维护服务和运行技术支持。</w:t>
      </w:r>
    </w:p>
    <w:p w14:paraId="7A3F6E75">
      <w:pPr>
        <w:spacing w:line="360" w:lineRule="auto"/>
        <w:ind w:firstLine="420"/>
        <w:rPr>
          <w:rFonts w:ascii="宋体" w:hAnsi="宋体" w:eastAsia="宋体" w:cs="宋体"/>
          <w:color w:val="000000" w:themeColor="text1"/>
          <w:sz w:val="24"/>
          <w:szCs w:val="24"/>
          <w:highlight w:val="none"/>
        </w:rPr>
      </w:pPr>
      <w:r>
        <w:rPr>
          <w:rFonts w:ascii="宋体" w:hAnsi="宋体" w:eastAsia="宋体" w:cs="宋体"/>
          <w:color w:val="000000" w:themeColor="text1"/>
          <w:sz w:val="24"/>
          <w:szCs w:val="24"/>
          <w:highlight w:val="none"/>
        </w:rPr>
        <w:t>6.3</w:t>
      </w:r>
      <w:r>
        <w:rPr>
          <w:rFonts w:hint="eastAsia" w:ascii="宋体" w:hAnsi="宋体" w:eastAsia="宋体" w:cs="宋体"/>
          <w:color w:val="000000" w:themeColor="text1"/>
          <w:sz w:val="24"/>
          <w:szCs w:val="24"/>
          <w:highlight w:val="none"/>
        </w:rPr>
        <w:t>响应时间和售后服务保障：设备出现故障后，接到报修通知，</w:t>
      </w:r>
      <w:r>
        <w:rPr>
          <w:rFonts w:ascii="宋体" w:hAnsi="宋体" w:eastAsia="宋体" w:cs="宋体"/>
          <w:color w:val="000000" w:themeColor="text1"/>
          <w:sz w:val="24"/>
          <w:szCs w:val="24"/>
          <w:highlight w:val="none"/>
        </w:rPr>
        <w:t>24小时内排除设备一般故障，48小时内排除设备重大故障；中标单位提供原厂备品备件和原厂商售后服务；并保证采购合同执行完毕后继续提供维修服务。</w:t>
      </w:r>
    </w:p>
    <w:p w14:paraId="6E7D791F">
      <w:pPr>
        <w:spacing w:line="360" w:lineRule="auto"/>
        <w:rPr>
          <w:rFonts w:ascii="宋体" w:hAnsi="宋体" w:eastAsia="宋体" w:cs="宋体"/>
          <w:color w:val="000000" w:themeColor="text1"/>
          <w:sz w:val="24"/>
          <w:szCs w:val="24"/>
          <w:highlight w:val="none"/>
        </w:rPr>
      </w:pPr>
      <w:r>
        <w:rPr>
          <w:rFonts w:ascii="宋体" w:hAnsi="宋体" w:eastAsia="宋体" w:cs="宋体"/>
          <w:color w:val="000000" w:themeColor="text1"/>
          <w:sz w:val="24"/>
          <w:szCs w:val="24"/>
          <w:highlight w:val="none"/>
        </w:rPr>
        <w:t>7</w:t>
      </w:r>
      <w:r>
        <w:rPr>
          <w:rFonts w:hint="eastAsia" w:ascii="宋体" w:hAnsi="宋体" w:eastAsia="宋体" w:cs="宋体"/>
          <w:color w:val="000000" w:themeColor="text1"/>
          <w:sz w:val="24"/>
          <w:szCs w:val="24"/>
          <w:highlight w:val="none"/>
        </w:rPr>
        <w:t>、安全施工与检查</w:t>
      </w:r>
    </w:p>
    <w:p w14:paraId="5E9C912C">
      <w:pPr>
        <w:spacing w:line="360" w:lineRule="auto"/>
        <w:ind w:firstLine="420"/>
        <w:rPr>
          <w:rFonts w:ascii="宋体" w:hAnsi="宋体" w:eastAsia="宋体" w:cs="宋体"/>
          <w:color w:val="000000" w:themeColor="text1"/>
          <w:sz w:val="24"/>
          <w:szCs w:val="24"/>
          <w:highlight w:val="none"/>
        </w:rPr>
      </w:pPr>
      <w:r>
        <w:rPr>
          <w:rFonts w:ascii="宋体" w:hAnsi="宋体" w:eastAsia="宋体" w:cs="宋体"/>
          <w:color w:val="000000" w:themeColor="text1"/>
          <w:sz w:val="24"/>
          <w:szCs w:val="24"/>
          <w:highlight w:val="none"/>
        </w:rPr>
        <w:t>7.1</w:t>
      </w:r>
      <w:r>
        <w:rPr>
          <w:rFonts w:hint="eastAsia" w:ascii="宋体" w:hAnsi="宋体" w:eastAsia="宋体" w:cs="宋体"/>
          <w:color w:val="000000" w:themeColor="text1"/>
          <w:sz w:val="24"/>
          <w:szCs w:val="24"/>
          <w:highlight w:val="none"/>
        </w:rPr>
        <w:t>中标人应严格按安全标准组织实施，并接受采购人依法实施的监督检查，采取必要的安全防护措施，消除事故隐患。由于中标人安全措施不力造成事故的责任和因此发生的费用，由中标人承担。</w:t>
      </w:r>
    </w:p>
    <w:p w14:paraId="377A2904">
      <w:pPr>
        <w:spacing w:line="360" w:lineRule="auto"/>
        <w:ind w:firstLine="420"/>
        <w:rPr>
          <w:rFonts w:ascii="宋体" w:hAnsi="宋体" w:eastAsia="宋体" w:cs="宋体"/>
          <w:color w:val="000000" w:themeColor="text1"/>
          <w:sz w:val="24"/>
          <w:szCs w:val="24"/>
          <w:highlight w:val="none"/>
        </w:rPr>
      </w:pPr>
      <w:r>
        <w:rPr>
          <w:rFonts w:ascii="宋体" w:hAnsi="宋体" w:eastAsia="宋体" w:cs="宋体"/>
          <w:color w:val="000000" w:themeColor="text1"/>
          <w:sz w:val="24"/>
          <w:szCs w:val="24"/>
          <w:highlight w:val="none"/>
        </w:rPr>
        <w:t>7.2</w:t>
      </w:r>
      <w:r>
        <w:rPr>
          <w:rFonts w:hint="eastAsia" w:ascii="宋体" w:hAnsi="宋体" w:eastAsia="宋体" w:cs="宋体"/>
          <w:color w:val="000000" w:themeColor="text1"/>
          <w:sz w:val="24"/>
          <w:szCs w:val="24"/>
          <w:highlight w:val="none"/>
        </w:rPr>
        <w:t>中标人应保持实施区域的环境卫生，及时清除垃圾和废弃物，进入现场的材料、设备必须置放有序，防止任意堆放器材、杂物阻塞工作场地周围的通道和破坏环境。</w:t>
      </w:r>
    </w:p>
    <w:p w14:paraId="648444BC">
      <w:pPr>
        <w:spacing w:line="360" w:lineRule="auto"/>
        <w:rPr>
          <w:rFonts w:ascii="宋体" w:hAnsi="宋体" w:eastAsia="宋体" w:cs="宋体"/>
          <w:b/>
          <w:color w:val="000000" w:themeColor="text1"/>
          <w:sz w:val="24"/>
          <w:szCs w:val="24"/>
          <w:highlight w:val="none"/>
        </w:rPr>
      </w:pPr>
      <w:r>
        <w:rPr>
          <w:rFonts w:ascii="宋体" w:hAnsi="宋体" w:eastAsia="宋体" w:cs="Times New Roman"/>
          <w:b/>
          <w:color w:val="000000" w:themeColor="text1"/>
          <w:sz w:val="24"/>
          <w:szCs w:val="24"/>
          <w:highlight w:val="none"/>
        </w:rPr>
        <w:t>*</w:t>
      </w:r>
      <w:r>
        <w:rPr>
          <w:rFonts w:ascii="宋体" w:hAnsi="宋体" w:eastAsia="宋体" w:cs="宋体"/>
          <w:b/>
          <w:color w:val="000000" w:themeColor="text1"/>
          <w:sz w:val="24"/>
          <w:szCs w:val="24"/>
          <w:highlight w:val="none"/>
        </w:rPr>
        <w:t>8</w:t>
      </w:r>
      <w:r>
        <w:rPr>
          <w:rFonts w:hint="eastAsia" w:ascii="宋体" w:hAnsi="宋体" w:eastAsia="宋体" w:cs="宋体"/>
          <w:b/>
          <w:color w:val="000000" w:themeColor="text1"/>
          <w:sz w:val="24"/>
          <w:szCs w:val="24"/>
          <w:highlight w:val="none"/>
        </w:rPr>
        <w:t>、付款方式</w:t>
      </w:r>
    </w:p>
    <w:p w14:paraId="414DC8AC">
      <w:pPr>
        <w:spacing w:line="360" w:lineRule="auto"/>
        <w:ind w:firstLine="420"/>
        <w:rPr>
          <w:rFonts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合同签订后10个工作日内支付合同总价款的40%作为预付款，本项目所有产品完成安装、集成、测试后10个工作日内支付合同总价款的40%，经采购方验收合格后</w:t>
      </w:r>
      <w:r>
        <w:rPr>
          <w:rFonts w:ascii="宋体" w:hAnsi="宋体" w:eastAsia="宋体" w:cs="宋体"/>
          <w:color w:val="000000" w:themeColor="text1"/>
          <w:sz w:val="24"/>
          <w:szCs w:val="24"/>
          <w:highlight w:val="none"/>
        </w:rPr>
        <w:t>3</w:t>
      </w:r>
      <w:r>
        <w:rPr>
          <w:rFonts w:hint="eastAsia" w:ascii="宋体" w:hAnsi="宋体" w:eastAsia="宋体" w:cs="宋体"/>
          <w:color w:val="000000" w:themeColor="text1"/>
          <w:sz w:val="24"/>
          <w:szCs w:val="24"/>
          <w:highlight w:val="none"/>
        </w:rPr>
        <w:t>0个工作日内支付剩余价款（根据终端数量据实结算）。</w:t>
      </w:r>
    </w:p>
    <w:p w14:paraId="6018494C">
      <w:pPr>
        <w:spacing w:line="360" w:lineRule="auto"/>
        <w:rPr>
          <w:rFonts w:ascii="宋体" w:hAnsi="宋体" w:eastAsia="宋体" w:cs="宋体"/>
          <w:color w:val="000000" w:themeColor="text1"/>
          <w:sz w:val="24"/>
          <w:szCs w:val="24"/>
          <w:highlight w:val="none"/>
        </w:rPr>
      </w:pPr>
      <w:r>
        <w:rPr>
          <w:rFonts w:ascii="宋体" w:hAnsi="宋体" w:eastAsia="宋体" w:cs="宋体"/>
          <w:color w:val="000000" w:themeColor="text1"/>
          <w:sz w:val="24"/>
          <w:szCs w:val="24"/>
          <w:highlight w:val="none"/>
        </w:rPr>
        <w:t>9</w:t>
      </w:r>
      <w:r>
        <w:rPr>
          <w:rFonts w:hint="eastAsia" w:ascii="宋体" w:hAnsi="宋体" w:eastAsia="宋体" w:cs="宋体"/>
          <w:color w:val="000000" w:themeColor="text1"/>
          <w:sz w:val="24"/>
          <w:szCs w:val="24"/>
          <w:highlight w:val="none"/>
        </w:rPr>
        <w:t>、违约责任</w:t>
      </w:r>
    </w:p>
    <w:p w14:paraId="1EC0C825">
      <w:pPr>
        <w:spacing w:line="360" w:lineRule="auto"/>
        <w:ind w:firstLine="420"/>
        <w:rPr>
          <w:rFonts w:ascii="宋体" w:hAnsi="宋体" w:eastAsia="宋体" w:cs="Times New Roman"/>
          <w:color w:val="000000" w:themeColor="text1"/>
          <w:sz w:val="24"/>
          <w:szCs w:val="24"/>
          <w:highlight w:val="none"/>
        </w:rPr>
      </w:pPr>
      <w:r>
        <w:rPr>
          <w:rFonts w:ascii="宋体" w:hAnsi="宋体" w:eastAsia="宋体" w:cs="宋体"/>
          <w:color w:val="000000" w:themeColor="text1"/>
          <w:sz w:val="24"/>
          <w:szCs w:val="24"/>
          <w:highlight w:val="none"/>
        </w:rPr>
        <w:t>任何一方违反本协议导致本协议无法继续履行的，违约方应赔偿守约方所有实际损</w:t>
      </w:r>
      <w:r>
        <w:rPr>
          <w:rFonts w:ascii="宋体" w:hAnsi="宋体" w:eastAsia="宋体" w:cs="Times New Roman"/>
          <w:color w:val="000000" w:themeColor="text1"/>
          <w:sz w:val="24"/>
          <w:szCs w:val="24"/>
          <w:highlight w:val="none"/>
        </w:rPr>
        <w:t>失。但如因不可抗力导致的违约除外。</w:t>
      </w:r>
    </w:p>
    <w:p w14:paraId="10FEFE91">
      <w:pPr>
        <w:spacing w:line="360" w:lineRule="auto"/>
        <w:ind w:firstLine="420"/>
        <w:rPr>
          <w:rFonts w:ascii="宋体" w:hAnsi="宋体" w:eastAsia="宋体" w:cs="Times New Roman"/>
          <w:color w:val="000000" w:themeColor="text1"/>
          <w:sz w:val="24"/>
          <w:szCs w:val="24"/>
          <w:highlight w:val="none"/>
        </w:rPr>
      </w:pPr>
    </w:p>
    <w:p w14:paraId="0279B25F">
      <w:pPr>
        <w:spacing w:line="360" w:lineRule="auto"/>
        <w:ind w:firstLine="420"/>
        <w:rPr>
          <w:rFonts w:ascii="宋体" w:hAnsi="宋体" w:eastAsia="宋体"/>
          <w:color w:val="000000" w:themeColor="text1"/>
          <w:sz w:val="24"/>
          <w:szCs w:val="24"/>
          <w:highlight w:val="none"/>
        </w:rPr>
      </w:pPr>
      <w:r>
        <w:rPr>
          <w:rFonts w:hint="eastAsia" w:ascii="宋体" w:hAnsi="宋体" w:eastAsia="宋体" w:cs="Times New Roman"/>
          <w:b/>
          <w:color w:val="000000" w:themeColor="text1"/>
          <w:sz w:val="24"/>
          <w:szCs w:val="24"/>
          <w:highlight w:val="none"/>
        </w:rPr>
        <w:t>注</w:t>
      </w:r>
      <w:r>
        <w:rPr>
          <w:rFonts w:ascii="宋体" w:hAnsi="宋体" w:eastAsia="宋体" w:cs="Times New Roman"/>
          <w:b/>
          <w:color w:val="000000" w:themeColor="text1"/>
          <w:sz w:val="24"/>
          <w:szCs w:val="24"/>
          <w:highlight w:val="none"/>
        </w:rPr>
        <w:t>:</w:t>
      </w:r>
      <w:r>
        <w:rPr>
          <w:rFonts w:hint="eastAsia" w:ascii="宋体" w:hAnsi="宋体" w:eastAsia="宋体" w:cs="Times New Roman"/>
          <w:b/>
          <w:color w:val="000000" w:themeColor="text1"/>
          <w:sz w:val="24"/>
          <w:szCs w:val="24"/>
          <w:highlight w:val="none"/>
        </w:rPr>
        <w:t>加</w:t>
      </w:r>
      <w:r>
        <w:rPr>
          <w:rFonts w:ascii="宋体" w:hAnsi="宋体" w:eastAsia="宋体" w:cs="Times New Roman"/>
          <w:b/>
          <w:color w:val="000000" w:themeColor="text1"/>
          <w:sz w:val="24"/>
          <w:szCs w:val="24"/>
          <w:highlight w:val="none"/>
        </w:rPr>
        <w:t>“*”号标记的条款为技术和商务的实质性</w:t>
      </w:r>
      <w:r>
        <w:rPr>
          <w:rFonts w:hint="eastAsia" w:ascii="宋体" w:hAnsi="宋体" w:eastAsia="宋体" w:cs="Times New Roman"/>
          <w:b/>
          <w:color w:val="000000" w:themeColor="text1"/>
          <w:sz w:val="24"/>
          <w:szCs w:val="24"/>
          <w:highlight w:val="none"/>
        </w:rPr>
        <w:t>响应条款</w:t>
      </w:r>
      <w:r>
        <w:rPr>
          <w:rFonts w:ascii="宋体" w:hAnsi="宋体" w:eastAsia="宋体" w:cs="Times New Roman"/>
          <w:b/>
          <w:color w:val="000000" w:themeColor="text1"/>
          <w:sz w:val="24"/>
          <w:szCs w:val="24"/>
          <w:highlight w:val="none"/>
        </w:rPr>
        <w:t>，若</w:t>
      </w:r>
      <w:r>
        <w:rPr>
          <w:rFonts w:hint="eastAsia" w:ascii="宋体" w:hAnsi="宋体" w:eastAsia="宋体" w:cs="Times New Roman"/>
          <w:b/>
          <w:color w:val="000000" w:themeColor="text1"/>
          <w:sz w:val="24"/>
          <w:szCs w:val="24"/>
          <w:highlight w:val="none"/>
        </w:rPr>
        <w:t>负偏离</w:t>
      </w:r>
      <w:r>
        <w:rPr>
          <w:rFonts w:ascii="宋体" w:hAnsi="宋体" w:eastAsia="宋体" w:cs="Times New Roman"/>
          <w:b/>
          <w:color w:val="000000" w:themeColor="text1"/>
          <w:sz w:val="24"/>
          <w:szCs w:val="24"/>
          <w:highlight w:val="none"/>
        </w:rPr>
        <w:t>则</w:t>
      </w:r>
      <w:r>
        <w:rPr>
          <w:rFonts w:hint="eastAsia" w:ascii="宋体" w:hAnsi="宋体" w:eastAsia="宋体" w:cs="Times New Roman"/>
          <w:b/>
          <w:color w:val="000000" w:themeColor="text1"/>
          <w:sz w:val="24"/>
          <w:szCs w:val="24"/>
          <w:highlight w:val="none"/>
        </w:rPr>
        <w:t>符合性审查不合格</w:t>
      </w:r>
      <w:r>
        <w:rPr>
          <w:rFonts w:ascii="宋体" w:hAnsi="宋体" w:eastAsia="宋体" w:cs="Times New Roman"/>
          <w:b/>
          <w:color w:val="000000" w:themeColor="text1"/>
          <w:sz w:val="24"/>
          <w:szCs w:val="24"/>
          <w:highlight w:val="none"/>
        </w:rPr>
        <w:t>，供应商需在投标文件</w:t>
      </w:r>
      <w:r>
        <w:rPr>
          <w:rFonts w:hint="eastAsia" w:ascii="宋体" w:hAnsi="宋体" w:eastAsia="宋体" w:cs="Times New Roman"/>
          <w:b/>
          <w:color w:val="000000" w:themeColor="text1"/>
          <w:sz w:val="24"/>
          <w:szCs w:val="24"/>
          <w:highlight w:val="none"/>
        </w:rPr>
        <w:t>的技术或商务偏离表</w:t>
      </w:r>
      <w:r>
        <w:rPr>
          <w:rFonts w:ascii="宋体" w:hAnsi="宋体" w:eastAsia="宋体" w:cs="Times New Roman"/>
          <w:b/>
          <w:color w:val="000000" w:themeColor="text1"/>
          <w:sz w:val="24"/>
          <w:szCs w:val="24"/>
          <w:highlight w:val="none"/>
        </w:rPr>
        <w:t>中</w:t>
      </w:r>
      <w:r>
        <w:rPr>
          <w:rFonts w:hint="eastAsia" w:ascii="宋体" w:hAnsi="宋体" w:eastAsia="宋体" w:cs="Times New Roman"/>
          <w:b/>
          <w:color w:val="000000" w:themeColor="text1"/>
          <w:sz w:val="24"/>
          <w:szCs w:val="24"/>
          <w:highlight w:val="none"/>
        </w:rPr>
        <w:t>进行实质性响应说明</w:t>
      </w:r>
      <w:r>
        <w:rPr>
          <w:rFonts w:ascii="宋体" w:hAnsi="宋体" w:eastAsia="宋体" w:cs="Times New Roman"/>
          <w:b/>
          <w:color w:val="000000" w:themeColor="text1"/>
          <w:sz w:val="24"/>
          <w:szCs w:val="24"/>
          <w:highlight w:val="none"/>
        </w:rPr>
        <w:t>。</w:t>
      </w:r>
    </w:p>
    <w:p w14:paraId="2B4BAF42">
      <w:pPr>
        <w:spacing w:line="360" w:lineRule="auto"/>
        <w:ind w:firstLine="420"/>
        <w:rPr>
          <w:rFonts w:ascii="宋体" w:hAnsi="宋体" w:eastAsia="宋体"/>
          <w:color w:val="000000" w:themeColor="text1"/>
          <w:sz w:val="24"/>
          <w:szCs w:val="24"/>
          <w:highlight w:val="none"/>
        </w:rPr>
      </w:pPr>
      <w:r>
        <w:rPr>
          <w:rFonts w:ascii="宋体" w:hAnsi="宋体" w:eastAsia="宋体"/>
          <w:color w:val="000000" w:themeColor="text1"/>
          <w:sz w:val="24"/>
          <w:szCs w:val="24"/>
          <w:highlight w:val="none"/>
        </w:rPr>
        <w:br w:type="page"/>
      </w:r>
    </w:p>
    <w:p w14:paraId="118F43A2">
      <w:pPr>
        <w:widowControl/>
        <w:spacing w:line="360" w:lineRule="auto"/>
        <w:jc w:val="left"/>
        <w:rPr>
          <w:rFonts w:ascii="宋体" w:hAnsi="宋体" w:eastAsia="宋体"/>
          <w:color w:val="000000" w:themeColor="text1"/>
          <w:sz w:val="24"/>
          <w:szCs w:val="24"/>
          <w:highlight w:val="none"/>
        </w:rPr>
      </w:pPr>
    </w:p>
    <w:p w14:paraId="40224A5C">
      <w:pPr>
        <w:pStyle w:val="27"/>
        <w:rPr>
          <w:rFonts w:ascii="宋体" w:hAnsi="宋体" w:eastAsia="宋体"/>
          <w:color w:val="000000" w:themeColor="text1"/>
          <w:highlight w:val="none"/>
        </w:rPr>
      </w:pPr>
      <w:bookmarkStart w:id="74" w:name="_Toc211442751"/>
      <w:r>
        <w:rPr>
          <w:rFonts w:hint="eastAsia" w:ascii="宋体" w:hAnsi="宋体" w:eastAsia="宋体"/>
          <w:color w:val="000000" w:themeColor="text1"/>
          <w:highlight w:val="none"/>
        </w:rPr>
        <w:t xml:space="preserve">第八章 </w:t>
      </w:r>
      <w:r>
        <w:rPr>
          <w:rFonts w:ascii="宋体" w:hAnsi="宋体" w:eastAsia="宋体"/>
          <w:color w:val="000000" w:themeColor="text1"/>
          <w:highlight w:val="none"/>
        </w:rPr>
        <w:t xml:space="preserve"> </w:t>
      </w:r>
      <w:r>
        <w:rPr>
          <w:rFonts w:hint="eastAsia" w:ascii="宋体" w:hAnsi="宋体" w:eastAsia="宋体"/>
          <w:color w:val="000000" w:themeColor="text1"/>
          <w:highlight w:val="none"/>
        </w:rPr>
        <w:t>评标办法</w:t>
      </w:r>
      <w:bookmarkEnd w:id="74"/>
    </w:p>
    <w:p w14:paraId="7E8B8136">
      <w:pPr>
        <w:widowControl/>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一、评标方法</w:t>
      </w:r>
    </w:p>
    <w:p w14:paraId="48E8F3FF">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按照《中华人民共和国政府采购法》（2</w:t>
      </w:r>
      <w:r>
        <w:rPr>
          <w:rFonts w:ascii="宋体" w:hAnsi="宋体" w:eastAsia="宋体"/>
          <w:color w:val="000000" w:themeColor="text1"/>
          <w:sz w:val="24"/>
          <w:szCs w:val="24"/>
          <w:highlight w:val="none"/>
        </w:rPr>
        <w:t>002</w:t>
      </w:r>
      <w:r>
        <w:rPr>
          <w:rFonts w:hint="eastAsia" w:ascii="宋体" w:hAnsi="宋体" w:eastAsia="宋体"/>
          <w:color w:val="000000" w:themeColor="text1"/>
          <w:sz w:val="24"/>
          <w:szCs w:val="24"/>
          <w:highlight w:val="none"/>
        </w:rPr>
        <w:t>）第68号、《中华人民共和国政府采购法实施条例》（2</w:t>
      </w:r>
      <w:r>
        <w:rPr>
          <w:rFonts w:ascii="宋体" w:hAnsi="宋体" w:eastAsia="宋体"/>
          <w:color w:val="000000" w:themeColor="text1"/>
          <w:sz w:val="24"/>
          <w:szCs w:val="24"/>
          <w:highlight w:val="none"/>
        </w:rPr>
        <w:t>015</w:t>
      </w:r>
      <w:r>
        <w:rPr>
          <w:rFonts w:hint="eastAsia" w:ascii="宋体" w:hAnsi="宋体" w:eastAsia="宋体"/>
          <w:color w:val="000000" w:themeColor="text1"/>
          <w:sz w:val="24"/>
          <w:szCs w:val="24"/>
          <w:highlight w:val="none"/>
        </w:rPr>
        <w:t>）第658号和《政府采购货物和服务招标投标管理办法》（2</w:t>
      </w:r>
      <w:r>
        <w:rPr>
          <w:rFonts w:ascii="宋体" w:hAnsi="宋体" w:eastAsia="宋体"/>
          <w:color w:val="000000" w:themeColor="text1"/>
          <w:sz w:val="24"/>
          <w:szCs w:val="24"/>
          <w:highlight w:val="none"/>
        </w:rPr>
        <w:t>017</w:t>
      </w:r>
      <w:r>
        <w:rPr>
          <w:rFonts w:hint="eastAsia" w:ascii="宋体" w:hAnsi="宋体" w:eastAsia="宋体"/>
          <w:color w:val="000000" w:themeColor="text1"/>
          <w:sz w:val="24"/>
          <w:szCs w:val="24"/>
          <w:highlight w:val="none"/>
        </w:rPr>
        <w:t>）第87号的规定，本次评标采用综合评分法，投标文件满足招标文件全部实质性要求，且按照评审因素的量化指标评审得分最高的投标人为中标候选人。</w:t>
      </w:r>
    </w:p>
    <w:p w14:paraId="2BE54F63">
      <w:pPr>
        <w:widowControl/>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二、评标委员会负责具体评标事务，并独立履行下列职责：</w:t>
      </w:r>
    </w:p>
    <w:p w14:paraId="172342F6">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（一）审查、评价投标文件是否符合招标文件的商务、技术等实质性要求；</w:t>
      </w:r>
    </w:p>
    <w:p w14:paraId="3ECCA179">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（二）要求投标人对投标文件有关事项作出澄清或者说明；</w:t>
      </w:r>
    </w:p>
    <w:p w14:paraId="4B5B6B15">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（三）对投标文件进行比较和评价；</w:t>
      </w:r>
    </w:p>
    <w:p w14:paraId="0D27F374">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（四）确定中标候选人名单，以及根据采购人委托直接确定中标人；</w:t>
      </w:r>
    </w:p>
    <w:p w14:paraId="50B34F0E">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（五）向采购人、采购代理机构或者有关部门报告评标中发现的违法行为。</w:t>
      </w:r>
    </w:p>
    <w:p w14:paraId="09ECA27B">
      <w:pPr>
        <w:widowControl/>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三、投标人存在下列情况之一的，投标无效：</w:t>
      </w:r>
    </w:p>
    <w:p w14:paraId="56220CB8">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（一）未按照招标文件的规定提交投标保证金的；</w:t>
      </w:r>
    </w:p>
    <w:p w14:paraId="734EC5FC">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（二）投标文件未按招标文件要求签署、盖章的；</w:t>
      </w:r>
    </w:p>
    <w:p w14:paraId="300E37E7">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（三）不具备招标文件中规定的资格要求的；</w:t>
      </w:r>
    </w:p>
    <w:p w14:paraId="2C836D5D">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（四）报价超过招标文件中规定的预算金额或者最高限价的；</w:t>
      </w:r>
    </w:p>
    <w:p w14:paraId="49075776">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（五）投标文件含有采购人不能接受的附加条件的；</w:t>
      </w:r>
    </w:p>
    <w:p w14:paraId="39B31911">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（六）单位负责人为同一人或者存在直接控股、管理关系的不同供应商，参加本项目同一合同项下的投标的；</w:t>
      </w:r>
    </w:p>
    <w:p w14:paraId="26D57ACB">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（七）为本采购项目提供整体设计、规范编制或者项目管理、监理、检测等服务的供应商，参加本采购项目投标的；</w:t>
      </w:r>
    </w:p>
    <w:p w14:paraId="66D47A83">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（八）提供虚假投标文件和资料的。</w:t>
      </w:r>
    </w:p>
    <w:p w14:paraId="006CD959">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（九）法律、法规和招标文件规定的其他无效情形；</w:t>
      </w:r>
    </w:p>
    <w:p w14:paraId="6ADAD211">
      <w:pPr>
        <w:widowControl/>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四、投标人有下列情形之一的，视为投标人串通投标，其投标无效：</w:t>
      </w:r>
    </w:p>
    <w:p w14:paraId="67B9D2DB">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（一）不同投标人的投标文件由同一单位或者个人编制；</w:t>
      </w:r>
    </w:p>
    <w:p w14:paraId="5EDB0A87">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（二）不同投标人委托同一单位或者个人办理投标事宜；</w:t>
      </w:r>
    </w:p>
    <w:p w14:paraId="142FB742">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（三）不同投标人的投标文件载明的项目管理成员或者联系人员为同一人；</w:t>
      </w:r>
    </w:p>
    <w:p w14:paraId="05962D21">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（四）不同投标人的投标文件异常一致或者投标报价呈规律性差异；</w:t>
      </w:r>
    </w:p>
    <w:p w14:paraId="6D4E0FC5">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（五）不同投标人的投标文件相互混装；</w:t>
      </w:r>
    </w:p>
    <w:p w14:paraId="66BFEF07">
      <w:pPr>
        <w:widowControl/>
        <w:spacing w:line="360" w:lineRule="auto"/>
        <w:ind w:firstLine="480" w:firstLineChars="200"/>
        <w:jc w:val="left"/>
        <w:rPr>
          <w:rFonts w:ascii="宋体" w:hAnsi="宋体" w:eastAsia="宋体"/>
          <w:color w:val="000000" w:themeColor="text1"/>
          <w:szCs w:val="21"/>
          <w:highlight w:val="none"/>
        </w:rPr>
      </w:pPr>
      <w:r>
        <w:rPr>
          <w:rFonts w:hint="eastAsia" w:ascii="宋体" w:hAnsi="宋体" w:eastAsia="宋体"/>
          <w:color w:val="000000" w:themeColor="text1"/>
          <w:sz w:val="24"/>
          <w:szCs w:val="24"/>
          <w:highlight w:val="none"/>
        </w:rPr>
        <w:t>（六）不</w:t>
      </w:r>
      <w:r>
        <w:rPr>
          <w:rFonts w:hint="eastAsia" w:ascii="宋体" w:hAnsi="宋体" w:eastAsia="宋体"/>
          <w:color w:val="000000" w:themeColor="text1"/>
          <w:szCs w:val="21"/>
          <w:highlight w:val="none"/>
        </w:rPr>
        <w:t>同投标人的投标保证金从同一单位或者个人的账户转出。</w:t>
      </w:r>
    </w:p>
    <w:p w14:paraId="6C41C020">
      <w:pPr>
        <w:widowControl/>
        <w:spacing w:line="360" w:lineRule="auto"/>
        <w:jc w:val="left"/>
        <w:rPr>
          <w:rFonts w:ascii="宋体" w:hAnsi="宋体" w:eastAsia="宋体"/>
          <w:color w:val="000000" w:themeColor="text1"/>
          <w:szCs w:val="21"/>
          <w:highlight w:val="none"/>
        </w:rPr>
      </w:pPr>
      <w:r>
        <w:rPr>
          <w:rFonts w:hint="eastAsia" w:ascii="宋体" w:hAnsi="宋体" w:eastAsia="宋体"/>
          <w:color w:val="000000" w:themeColor="text1"/>
          <w:szCs w:val="21"/>
          <w:highlight w:val="none"/>
        </w:rPr>
        <w:t>五、评标程序</w:t>
      </w:r>
    </w:p>
    <w:p w14:paraId="31746AA3">
      <w:pPr>
        <w:widowControl/>
        <w:spacing w:line="360" w:lineRule="auto"/>
        <w:ind w:firstLine="420" w:firstLineChars="200"/>
        <w:jc w:val="left"/>
        <w:rPr>
          <w:rFonts w:ascii="宋体" w:hAnsi="宋体" w:eastAsia="宋体"/>
          <w:color w:val="000000" w:themeColor="text1"/>
          <w:szCs w:val="21"/>
          <w:highlight w:val="none"/>
        </w:rPr>
      </w:pPr>
      <w:r>
        <w:rPr>
          <w:rFonts w:hint="eastAsia" w:ascii="宋体" w:hAnsi="宋体" w:eastAsia="宋体"/>
          <w:color w:val="000000" w:themeColor="text1"/>
          <w:szCs w:val="21"/>
          <w:highlight w:val="none"/>
        </w:rPr>
        <w:t>1、投标文件的审查</w:t>
      </w:r>
    </w:p>
    <w:p w14:paraId="5A2BAEFA">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审查分为资格性检查和符合性检查。分别按照以下内容对投标文件进行检查，一项不合格即按照无效响应处理。</w:t>
      </w:r>
    </w:p>
    <w:p w14:paraId="58E49CC3">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投标文件审查合格的为实质性响应招标文件要求的供应商。</w:t>
      </w:r>
    </w:p>
    <w:p w14:paraId="555ECCEA">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1.1资格性审查（详见《资格性审查表》）：</w:t>
      </w:r>
    </w:p>
    <w:p w14:paraId="30E81250">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采购人或采购人委托的代理机构按照投标人须知前附表第1</w:t>
      </w:r>
      <w:r>
        <w:rPr>
          <w:rFonts w:ascii="宋体" w:hAnsi="宋体" w:eastAsia="宋体"/>
          <w:color w:val="000000" w:themeColor="text1"/>
          <w:sz w:val="24"/>
          <w:szCs w:val="24"/>
          <w:highlight w:val="none"/>
        </w:rPr>
        <w:t>1</w:t>
      </w:r>
      <w:r>
        <w:rPr>
          <w:rFonts w:hint="eastAsia" w:ascii="宋体" w:hAnsi="宋体" w:eastAsia="宋体"/>
          <w:color w:val="000000" w:themeColor="text1"/>
          <w:sz w:val="24"/>
          <w:szCs w:val="24"/>
          <w:highlight w:val="none"/>
        </w:rPr>
        <w:t>项内容进行资格审查。</w:t>
      </w:r>
    </w:p>
    <w:p w14:paraId="521350B7">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1.1.1提供的资格证明文件是否符合国家法律法规和招标文件的要求，并且齐全、真实、有效。</w:t>
      </w:r>
    </w:p>
    <w:p w14:paraId="4A0C6B86">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1.1.2在“信用中国”网站（www.creditchina.gov.cn）和“中国政府采购网”（www.ccgp.gov.cn）对供应商信用信息进行查询，如果供应商被查实在谈判截止时间前已列入失信被执行人、重大税收违法案件当事人名单、政府采购严重违法失信行为记录名单，其谈判响应为无效。</w:t>
      </w:r>
    </w:p>
    <w:p w14:paraId="5985D4DC">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1.2符合性审查（详见《符合性审查表》）：</w:t>
      </w:r>
    </w:p>
    <w:p w14:paraId="7E43EC50">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评标委员会应当对供应商提交的投标文件进行初步审查，包括投标文件的有效性、完整性、符合性。</w:t>
      </w:r>
      <w:r>
        <w:rPr>
          <w:rFonts w:hint="eastAsia" w:ascii="宋体" w:hAnsi="宋体" w:eastAsia="宋体"/>
          <w:b/>
          <w:color w:val="000000" w:themeColor="text1"/>
          <w:sz w:val="24"/>
          <w:szCs w:val="24"/>
          <w:highlight w:val="none"/>
        </w:rPr>
        <w:t>除可变动的技术、服务要求以及合同草案条款外，提交的投标文件有下列情况之一，符合性审查不合格，其投标文件无效，评标小组应当告知有关供应商。</w:t>
      </w:r>
    </w:p>
    <w:p w14:paraId="0ECDA497">
      <w:pPr>
        <w:widowControl/>
        <w:spacing w:line="360" w:lineRule="auto"/>
        <w:ind w:firstLine="480" w:firstLineChars="200"/>
        <w:jc w:val="left"/>
        <w:rPr>
          <w:rFonts w:ascii="宋体" w:hAnsi="宋体" w:eastAsia="宋体"/>
          <w:color w:val="000000" w:themeColor="text1"/>
          <w:sz w:val="24"/>
          <w:szCs w:val="24"/>
          <w:highlight w:val="none"/>
        </w:rPr>
      </w:pPr>
      <w:r>
        <w:rPr>
          <w:rFonts w:ascii="宋体" w:hAnsi="宋体" w:eastAsia="宋体"/>
          <w:color w:val="000000" w:themeColor="text1"/>
          <w:sz w:val="24"/>
          <w:szCs w:val="24"/>
          <w:highlight w:val="none"/>
        </w:rPr>
        <w:t>1.2.1</w:t>
      </w:r>
      <w:r>
        <w:rPr>
          <w:rFonts w:hint="eastAsia" w:ascii="宋体" w:hAnsi="宋体" w:eastAsia="宋体"/>
          <w:color w:val="000000" w:themeColor="text1"/>
          <w:sz w:val="24"/>
          <w:szCs w:val="24"/>
          <w:highlight w:val="none"/>
        </w:rPr>
        <w:t>供应商名称字章不一致的；</w:t>
      </w:r>
    </w:p>
    <w:p w14:paraId="022FDB26">
      <w:pPr>
        <w:widowControl/>
        <w:spacing w:line="360" w:lineRule="auto"/>
        <w:ind w:firstLine="480" w:firstLineChars="200"/>
        <w:jc w:val="left"/>
        <w:rPr>
          <w:rFonts w:ascii="宋体" w:hAnsi="宋体" w:eastAsia="宋体"/>
          <w:color w:val="000000" w:themeColor="text1"/>
          <w:sz w:val="24"/>
          <w:szCs w:val="24"/>
          <w:highlight w:val="none"/>
        </w:rPr>
      </w:pPr>
      <w:r>
        <w:rPr>
          <w:rFonts w:ascii="宋体" w:hAnsi="宋体" w:eastAsia="宋体"/>
          <w:color w:val="000000" w:themeColor="text1"/>
          <w:sz w:val="24"/>
          <w:szCs w:val="24"/>
          <w:highlight w:val="none"/>
        </w:rPr>
        <w:t>1.2.2</w:t>
      </w:r>
      <w:r>
        <w:rPr>
          <w:rFonts w:hint="eastAsia" w:ascii="宋体" w:hAnsi="宋体" w:eastAsia="宋体"/>
          <w:color w:val="000000" w:themeColor="text1"/>
          <w:sz w:val="24"/>
          <w:szCs w:val="24"/>
          <w:highlight w:val="none"/>
        </w:rPr>
        <w:t>投标文件的签署不按照招标文件要求进行的；</w:t>
      </w:r>
    </w:p>
    <w:p w14:paraId="00F6ED51">
      <w:pPr>
        <w:widowControl/>
        <w:spacing w:line="360" w:lineRule="auto"/>
        <w:ind w:firstLine="480" w:firstLineChars="200"/>
        <w:jc w:val="left"/>
        <w:rPr>
          <w:rFonts w:ascii="宋体" w:hAnsi="宋体" w:eastAsia="宋体"/>
          <w:color w:val="000000" w:themeColor="text1"/>
          <w:sz w:val="24"/>
          <w:szCs w:val="24"/>
          <w:highlight w:val="none"/>
        </w:rPr>
      </w:pPr>
      <w:r>
        <w:rPr>
          <w:rFonts w:ascii="宋体" w:hAnsi="宋体" w:eastAsia="宋体"/>
          <w:color w:val="000000" w:themeColor="text1"/>
          <w:sz w:val="24"/>
          <w:szCs w:val="24"/>
          <w:highlight w:val="none"/>
        </w:rPr>
        <w:t>1.2.3</w:t>
      </w:r>
      <w:r>
        <w:rPr>
          <w:rFonts w:hint="eastAsia" w:ascii="宋体" w:hAnsi="宋体" w:eastAsia="宋体"/>
          <w:color w:val="000000" w:themeColor="text1"/>
          <w:sz w:val="24"/>
          <w:szCs w:val="24"/>
          <w:highlight w:val="none"/>
        </w:rPr>
        <w:t>投标有效期不满足招标文件最低要求；</w:t>
      </w:r>
    </w:p>
    <w:p w14:paraId="1BFAEBDC">
      <w:pPr>
        <w:widowControl/>
        <w:spacing w:line="360" w:lineRule="auto"/>
        <w:ind w:firstLine="480" w:firstLineChars="200"/>
        <w:jc w:val="left"/>
        <w:rPr>
          <w:rFonts w:ascii="宋体" w:hAnsi="宋体" w:eastAsia="宋体"/>
          <w:color w:val="000000" w:themeColor="text1"/>
          <w:sz w:val="24"/>
          <w:szCs w:val="24"/>
          <w:highlight w:val="none"/>
        </w:rPr>
      </w:pPr>
      <w:r>
        <w:rPr>
          <w:rFonts w:ascii="宋体" w:hAnsi="宋体" w:eastAsia="宋体"/>
          <w:color w:val="000000" w:themeColor="text1"/>
          <w:sz w:val="24"/>
          <w:szCs w:val="24"/>
          <w:highlight w:val="none"/>
        </w:rPr>
        <w:t>1.2.4</w:t>
      </w:r>
      <w:r>
        <w:rPr>
          <w:rFonts w:hint="eastAsia" w:ascii="宋体" w:hAnsi="宋体" w:eastAsia="宋体"/>
          <w:color w:val="000000" w:themeColor="text1"/>
          <w:sz w:val="24"/>
          <w:szCs w:val="24"/>
          <w:highlight w:val="none"/>
        </w:rPr>
        <w:t>投标报价不唯一有效或投标报价（包含单价）超过最高限价；</w:t>
      </w:r>
    </w:p>
    <w:p w14:paraId="04372093">
      <w:pPr>
        <w:widowControl/>
        <w:spacing w:line="360" w:lineRule="auto"/>
        <w:ind w:firstLine="480" w:firstLineChars="200"/>
        <w:jc w:val="left"/>
        <w:rPr>
          <w:rFonts w:ascii="宋体" w:hAnsi="宋体" w:eastAsia="宋体"/>
          <w:color w:val="000000" w:themeColor="text1"/>
          <w:sz w:val="24"/>
          <w:szCs w:val="24"/>
          <w:highlight w:val="none"/>
        </w:rPr>
      </w:pPr>
      <w:r>
        <w:rPr>
          <w:rFonts w:ascii="宋体" w:hAnsi="宋体" w:eastAsia="宋体"/>
          <w:color w:val="000000" w:themeColor="text1"/>
          <w:sz w:val="24"/>
          <w:szCs w:val="24"/>
          <w:highlight w:val="none"/>
        </w:rPr>
        <w:t>1.2.5</w:t>
      </w:r>
      <w:r>
        <w:rPr>
          <w:rFonts w:hint="eastAsia" w:ascii="宋体" w:hAnsi="宋体" w:eastAsia="宋体"/>
          <w:color w:val="000000" w:themeColor="text1"/>
          <w:sz w:val="24"/>
          <w:szCs w:val="24"/>
          <w:highlight w:val="none"/>
        </w:rPr>
        <w:t>技术和商务（带“</w:t>
      </w:r>
      <w:r>
        <w:rPr>
          <w:rFonts w:hint="eastAsia" w:ascii="宋体" w:hAnsi="宋体" w:eastAsia="宋体"/>
          <w:b/>
          <w:color w:val="000000" w:themeColor="text1"/>
          <w:sz w:val="24"/>
          <w:szCs w:val="24"/>
          <w:highlight w:val="none"/>
        </w:rPr>
        <w:t>*</w:t>
      </w:r>
      <w:r>
        <w:rPr>
          <w:rFonts w:hint="eastAsia" w:ascii="宋体" w:hAnsi="宋体" w:eastAsia="宋体"/>
          <w:color w:val="000000" w:themeColor="text1"/>
          <w:sz w:val="24"/>
          <w:szCs w:val="24"/>
          <w:highlight w:val="none"/>
        </w:rPr>
        <w:t>”号项）不满足实质性要求；</w:t>
      </w:r>
    </w:p>
    <w:p w14:paraId="51E95CF0">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1</w:t>
      </w:r>
      <w:r>
        <w:rPr>
          <w:rFonts w:ascii="宋体" w:hAnsi="宋体" w:eastAsia="宋体"/>
          <w:color w:val="000000" w:themeColor="text1"/>
          <w:sz w:val="24"/>
          <w:szCs w:val="24"/>
          <w:highlight w:val="none"/>
        </w:rPr>
        <w:t>.2.6</w:t>
      </w:r>
      <w:r>
        <w:rPr>
          <w:rFonts w:hint="eastAsia" w:ascii="宋体" w:hAnsi="宋体" w:eastAsia="宋体"/>
          <w:color w:val="000000" w:themeColor="text1"/>
          <w:sz w:val="24"/>
          <w:szCs w:val="24"/>
          <w:highlight w:val="none"/>
        </w:rPr>
        <w:t>未按照招标文件的要求提交了足额有效的投标保证金。</w:t>
      </w:r>
    </w:p>
    <w:p w14:paraId="009F47DC">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评标委员会不得因装订、纸张、文件排序等非实质性的格式、形式问题限制和影响供应商投标（响应）。对通过审查的，被认为其投标文件完整、合格，投标有效，可进入下阶段的评标。</w:t>
      </w:r>
    </w:p>
    <w:p w14:paraId="7994647D">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1.3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4CDFF7A3">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2、相同品牌产品投标的处理：</w:t>
      </w:r>
    </w:p>
    <w:p w14:paraId="472C00B4">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提供相同品牌产品且通过资格审查、符合性审查的不同投标人参加同一包（包段）投标的，按一家投标人计算，评审后得分最高的同品牌投标人获得中标人推荐资格；评审得分相同的，由采购人自行确定一个投标人获得中标人推荐资格，其他同品牌投标人不作为中标候选人。</w:t>
      </w:r>
    </w:p>
    <w:p w14:paraId="7E23E715">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在第七章招标内容一览表中载明核心产品，投标人提供的核心产品中只要有1个核心产品的品牌相同，相关投标人将被认定为属于提供相同品牌产品，按以上规定处理。</w:t>
      </w:r>
    </w:p>
    <w:p w14:paraId="42650DD6">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3、澄清有关问题：</w:t>
      </w:r>
    </w:p>
    <w:p w14:paraId="39D0924D">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3.1对于投标文件中含义不明确、同类问题表述不一致或者有明显文字和计算错误的内容，评标委员会以书面形式要求投标人做出必要的澄清、说明或者补正。投标人的澄清、说明或者补正应当采用书面形式，由法定代表人或其授权的代表签署全名。投标人的澄清、说明或者补正不得超出投标文件的范围或者改变投标文件的实质性内容。</w:t>
      </w:r>
    </w:p>
    <w:p w14:paraId="1189595C">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3.2投标文件报价出现前后不一致的，按照下列规定修正：</w:t>
      </w:r>
    </w:p>
    <w:p w14:paraId="5D35D98A">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（一）投标文件中开标一览表（报价表）内容与投标文件中相应内容不一致的，以开标一览表（报价表）为准；</w:t>
      </w:r>
    </w:p>
    <w:p w14:paraId="75E76908">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（二）大写金额和小写金额不一致的，以大写金额为准；</w:t>
      </w:r>
    </w:p>
    <w:p w14:paraId="49B5594F">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（三）单价金额小数点或者百分比有明显错位的，以开标一览表的总价为准，并修改单价；</w:t>
      </w:r>
    </w:p>
    <w:p w14:paraId="4D2FF9D9">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（四）总价金额与按单价汇总金额不一致的，以单价金额计算结果为准。</w:t>
      </w:r>
    </w:p>
    <w:p w14:paraId="4490E4FB">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同时出现两种以上不一致的，按照前款规定的顺序修正。修正后的报价经投标人书面确认后产生约束力，投标人不确认的，其投标无效。</w:t>
      </w:r>
    </w:p>
    <w:p w14:paraId="05AD4149">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4、评标价的确定：</w:t>
      </w:r>
    </w:p>
    <w:p w14:paraId="62AE47A9">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投标文件经审查合格的，为有效投标。对于所有有效投标按照以下规则进行评标价的确定。</w:t>
      </w:r>
    </w:p>
    <w:p w14:paraId="53001CCC">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4.1对于不需要进行政策性价格优惠调整的，其评标价为按照以上3.2条款修正后的投标总价。</w:t>
      </w:r>
    </w:p>
    <w:p w14:paraId="465DA85C">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4.2对于符合政策性优惠的，其评标价按照以下规则进行计算调整。</w:t>
      </w:r>
    </w:p>
    <w:p w14:paraId="12109AA1">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4.2.1符合财库〔2020〕46号文件规定的小微企业单位的评标价计算规则：</w:t>
      </w:r>
    </w:p>
    <w:p w14:paraId="2208D7B9">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4.2.1.1对符合规定的小型和微型企业（非联合体投标）报价给予10%的扣除，用扣除后的价格参加评审，其评标价=投标报价×（1-10%）。</w:t>
      </w:r>
    </w:p>
    <w:p w14:paraId="4848A7C0">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4.2.1.2确认为小微企业（含小型、微型企业，下同）投标的，应当同时符合以下条件：</w:t>
      </w:r>
    </w:p>
    <w:p w14:paraId="26585EE5">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4.2.1.2.1符合国务院有关部门根据企业从业人员、营业收入、资产总额等指标制定的中小企业划型标准（工信部联企业〔2011〕300号）；</w:t>
      </w:r>
    </w:p>
    <w:p w14:paraId="273D517B">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4.2.1.2.2在货物采购项目中，货物由中小企业制造，即货物由中小企业生产且使用该中小企业商号或者注册商标；</w:t>
      </w:r>
    </w:p>
    <w:p w14:paraId="766BB0CD">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4.2.1.2.3投标时须提供按照（财库〔2020〕46号）文件附件格式填写的《中小企业声明函（货物）》。</w:t>
      </w:r>
    </w:p>
    <w:p w14:paraId="1C6A8F80">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4.2.2符合（财库〔2017〕141号）文件规定的残疾人福利性单位的评标价计算规则：</w:t>
      </w:r>
    </w:p>
    <w:p w14:paraId="3F0FF20C">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4.2.2.1在政府采购活动中，残疾人福利性单位视同小型、微型企业，享受预留份额、评审中价格扣除等促进中小企业发展的政府采购政策。向残疾人福利性单位采购的金额，计入面向中小企业采购的统计数据。报价给予10%的扣除，用扣除后的价格参加评审，其评标价=投标报价×（1-10%）。</w:t>
      </w:r>
    </w:p>
    <w:p w14:paraId="61C59A50">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4.2.2.3确认为残疾人福利性单位投标的，应当同时符合以下条件：</w:t>
      </w:r>
    </w:p>
    <w:p w14:paraId="74BDD4BD">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4.2.2.3.1符合（财库〔2017〕141号）文件相关规定。</w:t>
      </w:r>
    </w:p>
    <w:p w14:paraId="31974328">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4.2.2.3.2投标时提供本单位制造的货物、承担的工程或者服务（以下简称产品），或者提供其他残疾人福利性单位制造的货物（不包括使用非残疾人福利性单位注册商标的货物）。</w:t>
      </w:r>
    </w:p>
    <w:p w14:paraId="12F82FF9">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4.2.2.3.3投标人须提供《残疾人福利性单位声明函》。</w:t>
      </w:r>
    </w:p>
    <w:p w14:paraId="56552026">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4.2.3符合（财库〔2014〕68号）文件规定的监狱企业的评标价计算规则：</w:t>
      </w:r>
    </w:p>
    <w:p w14:paraId="1ABF3097">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4.2.3.1在政府采购活动中，监狱企业视同小型、微型企业，享受预留份额、评审中价格扣除等政府采购促进中小企业发展的政府采购政策。向监狱企业采购的金额，计入面向中小企业采购的统计数据。报价给予10%）的扣除，用扣除后的价格参加评审，其评标价=投标报价×（1-10%）。</w:t>
      </w:r>
    </w:p>
    <w:p w14:paraId="33B7E214">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4.2.3.2确认为监狱企业投标的，应当同时符合以下条件：</w:t>
      </w:r>
    </w:p>
    <w:p w14:paraId="3068EF36">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4.2.3.2.1符合（财库〔2014〕68号）文件相关规定。</w:t>
      </w:r>
    </w:p>
    <w:p w14:paraId="44ADAB35">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4.2.3.2.2投标时提供本单位生产的货物，或者提供其他监狱企业生产的货物。</w:t>
      </w:r>
    </w:p>
    <w:p w14:paraId="558DD9C2">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4.2.3.2.3投标人须提供由省级以上监狱管理局、戒毒管理局（含新疆生产建设兵团）出具的属于监狱企业的证明文件。</w:t>
      </w:r>
    </w:p>
    <w:p w14:paraId="3DE7C896">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4.3对于不享受以上政策性优惠价格调整的，其评标价=投标人提交的最终报价。</w:t>
      </w:r>
    </w:p>
    <w:p w14:paraId="0006E58F">
      <w:pPr>
        <w:widowControl/>
        <w:spacing w:line="360" w:lineRule="auto"/>
        <w:ind w:firstLine="482" w:firstLineChars="200"/>
        <w:jc w:val="left"/>
        <w:rPr>
          <w:rFonts w:ascii="宋体" w:hAnsi="宋体" w:eastAsia="宋体"/>
          <w:color w:val="000000" w:themeColor="text1"/>
          <w:sz w:val="24"/>
          <w:szCs w:val="24"/>
          <w:highlight w:val="none"/>
        </w:rPr>
      </w:pPr>
      <w:r>
        <w:rPr>
          <w:rFonts w:hint="eastAsia" w:ascii="宋体" w:hAnsi="宋体" w:eastAsia="宋体"/>
          <w:b/>
          <w:color w:val="000000" w:themeColor="text1"/>
          <w:sz w:val="24"/>
          <w:szCs w:val="24"/>
          <w:highlight w:val="none"/>
        </w:rPr>
        <w:t>4</w:t>
      </w:r>
      <w:r>
        <w:rPr>
          <w:rFonts w:ascii="宋体" w:hAnsi="宋体" w:eastAsia="宋体"/>
          <w:b/>
          <w:color w:val="000000" w:themeColor="text1"/>
          <w:sz w:val="24"/>
          <w:szCs w:val="24"/>
          <w:highlight w:val="none"/>
        </w:rPr>
        <w:t>.4</w:t>
      </w:r>
      <w:r>
        <w:rPr>
          <w:rFonts w:hint="eastAsia" w:ascii="宋体" w:hAnsi="宋体" w:eastAsia="宋体"/>
          <w:b/>
          <w:color w:val="000000" w:themeColor="text1"/>
          <w:sz w:val="24"/>
          <w:szCs w:val="24"/>
          <w:highlight w:val="none"/>
        </w:rPr>
        <w:t>本项目合同包2为专门面向中小企业采购，专门面向中小企业采购的项目或者采购包，不再执行价格评审优惠的扶持政策。特别提醒：中标供应商享受中小企业扶持政策的，中标供应商的《中小企业声明函》或《残疾人福利性单位声明函》或监狱企业证明文件将随中标结果公告一同公布，接受社会监督。</w:t>
      </w:r>
    </w:p>
    <w:p w14:paraId="23A141DE">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5、符合政府采购政策的投标产品的加分规则</w:t>
      </w:r>
    </w:p>
    <w:p w14:paraId="7C68ADD9">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5.1符合节能产品文件规定的加分规则：投标货物涉及提供的所有投标产品进入“节能产品政府采购品目清单”（相关证书的颁发机构应来自《参与实施政府采购节能产品认证机构名录》）的予以加分，具体评审标准及分值见《评审因素量化赋分表》。</w:t>
      </w:r>
    </w:p>
    <w:p w14:paraId="56E26141">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5.2符合环境标志产品文件规定的加分规则：投标货物涉及提供的所有投标产品进入“环境标志产品政府采购品目清单”（相关证书的颁发机构应来自《参与实施政府采购环境标志产品认证机构名录》）的予以加分，具体评审标准及分值见《评审因素量化赋分表》。</w:t>
      </w:r>
    </w:p>
    <w:p w14:paraId="45B9EB88">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6、比较与评价：</w:t>
      </w:r>
    </w:p>
    <w:p w14:paraId="088D8FFC">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6.1评委会各成员按照《评审因素量化赋分表》规定的内容，独立进行综合比较、评价打分。</w:t>
      </w:r>
    </w:p>
    <w:p w14:paraId="39D96647">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7、推荐中标候选人名单：</w:t>
      </w:r>
    </w:p>
    <w:p w14:paraId="64358051">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7.1汇总全体评委对每个投标人的赋分，计算出每个投标人的综合得分，按包得分从高到低顺序排列，推荐前3名为中标候选人。</w:t>
      </w:r>
    </w:p>
    <w:p w14:paraId="73888B0C">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7.2得分相同的，按投标报价由低到高顺序排列。得分且投标报价相同的并列。</w:t>
      </w:r>
    </w:p>
    <w:p w14:paraId="584B5394">
      <w:pPr>
        <w:widowControl/>
        <w:spacing w:line="360" w:lineRule="auto"/>
        <w:ind w:firstLine="480" w:firstLineChars="200"/>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7</w:t>
      </w:r>
      <w:r>
        <w:rPr>
          <w:rFonts w:ascii="宋体" w:hAnsi="宋体" w:eastAsia="宋体"/>
          <w:color w:val="000000" w:themeColor="text1"/>
          <w:sz w:val="24"/>
          <w:szCs w:val="24"/>
          <w:highlight w:val="none"/>
        </w:rPr>
        <w:t>.3</w:t>
      </w:r>
      <w:r>
        <w:rPr>
          <w:rFonts w:hint="eastAsia" w:ascii="宋体" w:hAnsi="宋体" w:eastAsia="宋体"/>
          <w:b/>
          <w:color w:val="000000" w:themeColor="text1"/>
          <w:sz w:val="24"/>
          <w:szCs w:val="24"/>
          <w:highlight w:val="none"/>
        </w:rPr>
        <w:t>兼投不兼中：为了保证项目进度，投标人可以同时投2个包段，但只能中1个包段。评标委员会按照包号1、2的顺序评审，若某投标人在前一包已被确定为排序第一名的中标候选人，则该投标人及其提供1包中同一设备生产厂商的核心产品的其他投标人在第2包段评审中只参与打分，不参加中标候选人推荐。</w:t>
      </w:r>
    </w:p>
    <w:p w14:paraId="5CD2374B">
      <w:pPr>
        <w:widowControl/>
        <w:jc w:val="left"/>
        <w:rPr>
          <w:rFonts w:ascii="宋体" w:hAnsi="宋体" w:eastAsia="宋体"/>
          <w:color w:val="000000" w:themeColor="text1"/>
          <w:sz w:val="24"/>
          <w:szCs w:val="24"/>
          <w:highlight w:val="none"/>
        </w:rPr>
      </w:pPr>
      <w:r>
        <w:rPr>
          <w:rFonts w:ascii="宋体" w:hAnsi="宋体" w:eastAsia="宋体"/>
          <w:color w:val="000000" w:themeColor="text1"/>
          <w:sz w:val="24"/>
          <w:szCs w:val="24"/>
          <w:highlight w:val="none"/>
        </w:rPr>
        <w:br w:type="page"/>
      </w:r>
    </w:p>
    <w:p w14:paraId="07A032FB">
      <w:pPr>
        <w:widowControl/>
        <w:spacing w:line="360" w:lineRule="auto"/>
        <w:jc w:val="left"/>
        <w:rPr>
          <w:rFonts w:ascii="宋体" w:hAnsi="宋体" w:eastAsia="宋体"/>
          <w:color w:val="000000" w:themeColor="text1"/>
          <w:sz w:val="24"/>
          <w:szCs w:val="24"/>
          <w:highlight w:val="none"/>
        </w:rPr>
      </w:pPr>
    </w:p>
    <w:p w14:paraId="47BC8B5A">
      <w:pPr>
        <w:pStyle w:val="23"/>
        <w:rPr>
          <w:color w:val="000000" w:themeColor="text1"/>
          <w:highlight w:val="none"/>
        </w:rPr>
      </w:pPr>
      <w:bookmarkStart w:id="75" w:name="_Toc211442752"/>
      <w:r>
        <w:rPr>
          <w:rFonts w:hint="eastAsia"/>
          <w:color w:val="000000" w:themeColor="text1"/>
          <w:highlight w:val="none"/>
        </w:rPr>
        <w:t>资格性审查表</w:t>
      </w:r>
      <w:bookmarkEnd w:id="75"/>
    </w:p>
    <w:tbl>
      <w:tblPr>
        <w:tblStyle w:val="2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92"/>
        <w:gridCol w:w="1295"/>
      </w:tblGrid>
      <w:tr w14:paraId="14627E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037" w:hRule="atLeast"/>
          <w:jc w:val="center"/>
        </w:trPr>
        <w:tc>
          <w:tcPr>
            <w:tcW w:w="4303" w:type="pct"/>
            <w:vAlign w:val="center"/>
          </w:tcPr>
          <w:p w14:paraId="51EB7766">
            <w:pPr>
              <w:spacing w:line="360" w:lineRule="auto"/>
              <w:jc w:val="center"/>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投标资格审查项</w:t>
            </w:r>
          </w:p>
        </w:tc>
        <w:tc>
          <w:tcPr>
            <w:tcW w:w="697" w:type="pct"/>
            <w:shd w:val="clear" w:color="auto" w:fill="auto"/>
            <w:vAlign w:val="center"/>
          </w:tcPr>
          <w:p w14:paraId="515065E9">
            <w:pPr>
              <w:spacing w:line="360" w:lineRule="auto"/>
              <w:jc w:val="center"/>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审查结果</w:t>
            </w:r>
          </w:p>
        </w:tc>
      </w:tr>
      <w:tr w14:paraId="73E7DD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7" w:hRule="atLeast"/>
          <w:jc w:val="center"/>
        </w:trPr>
        <w:tc>
          <w:tcPr>
            <w:tcW w:w="4303" w:type="pct"/>
            <w:vAlign w:val="center"/>
          </w:tcPr>
          <w:p w14:paraId="1DBF9812">
            <w:pPr>
              <w:spacing w:line="360" w:lineRule="auto"/>
              <w:rPr>
                <w:rFonts w:ascii="宋体" w:hAnsi="宋体" w:eastAsia="宋体"/>
                <w:color w:val="000000" w:themeColor="text1"/>
                <w:sz w:val="24"/>
                <w:szCs w:val="24"/>
                <w:highlight w:val="none"/>
              </w:rPr>
            </w:pPr>
            <w:r>
              <w:rPr>
                <w:rFonts w:hint="eastAsia" w:ascii="宋体" w:hAnsi="宋体" w:eastAsia="宋体"/>
                <w:b/>
                <w:color w:val="000000" w:themeColor="text1"/>
                <w:sz w:val="24"/>
                <w:szCs w:val="24"/>
                <w:highlight w:val="none"/>
              </w:rPr>
              <w:t>（一）有效的主体资格证明：</w:t>
            </w:r>
            <w:r>
              <w:rPr>
                <w:rFonts w:hint="eastAsia" w:ascii="宋体" w:hAnsi="宋体" w:eastAsia="宋体"/>
                <w:color w:val="000000" w:themeColor="text1"/>
                <w:sz w:val="24"/>
                <w:szCs w:val="24"/>
                <w:highlight w:val="none"/>
              </w:rPr>
              <w:t>企业法人应提供合法有效的标识有统一社会信用代码的营业执照；事业法人应提供事业单位法人证书；其他组织应提供合法登记证明文件；</w:t>
            </w:r>
            <w:r>
              <w:rPr>
                <w:rFonts w:ascii="宋体" w:hAnsi="宋体" w:eastAsia="宋体"/>
                <w:color w:val="000000" w:themeColor="text1"/>
                <w:sz w:val="24"/>
                <w:szCs w:val="24"/>
                <w:highlight w:val="none"/>
              </w:rPr>
              <w:t>投标人为自然人的提供身份证</w:t>
            </w:r>
            <w:r>
              <w:rPr>
                <w:rFonts w:hint="eastAsia" w:ascii="宋体" w:hAnsi="宋体" w:eastAsia="宋体"/>
                <w:color w:val="000000" w:themeColor="text1"/>
                <w:sz w:val="24"/>
                <w:szCs w:val="24"/>
                <w:highlight w:val="none"/>
              </w:rPr>
              <w:t>明文件。</w:t>
            </w:r>
            <w:r>
              <w:rPr>
                <w:rFonts w:hint="eastAsia" w:ascii="宋体" w:hAnsi="宋体" w:eastAsia="宋体" w:cs="宋体"/>
                <w:b/>
                <w:color w:val="000000" w:themeColor="text1"/>
                <w:kern w:val="0"/>
                <w:sz w:val="24"/>
                <w:szCs w:val="24"/>
                <w:highlight w:val="none"/>
              </w:rPr>
              <w:t>投标人</w:t>
            </w:r>
            <w:r>
              <w:rPr>
                <w:rFonts w:ascii="宋体" w:hAnsi="宋体" w:eastAsia="宋体" w:cs="宋体"/>
                <w:b/>
                <w:color w:val="000000" w:themeColor="text1"/>
                <w:kern w:val="0"/>
                <w:sz w:val="24"/>
                <w:szCs w:val="24"/>
                <w:highlight w:val="none"/>
              </w:rPr>
              <w:t>需在项目电子化交易系统中按要求上传相应证明文件并</w:t>
            </w:r>
            <w:r>
              <w:rPr>
                <w:rFonts w:hint="eastAsia" w:ascii="宋体" w:hAnsi="宋体" w:eastAsia="宋体" w:cs="宋体"/>
                <w:b/>
                <w:color w:val="000000" w:themeColor="text1"/>
                <w:kern w:val="0"/>
                <w:sz w:val="24"/>
                <w:szCs w:val="24"/>
                <w:highlight w:val="none"/>
              </w:rPr>
              <w:t>使用“企业CA锁”进行签章。</w:t>
            </w:r>
          </w:p>
        </w:tc>
        <w:tc>
          <w:tcPr>
            <w:tcW w:w="697" w:type="pct"/>
            <w:shd w:val="clear" w:color="auto" w:fill="auto"/>
            <w:vAlign w:val="center"/>
          </w:tcPr>
          <w:p w14:paraId="5A39BBD6">
            <w:pPr>
              <w:spacing w:line="360" w:lineRule="auto"/>
              <w:jc w:val="center"/>
              <w:rPr>
                <w:rFonts w:ascii="宋体" w:hAnsi="宋体" w:eastAsia="宋体"/>
                <w:color w:val="000000" w:themeColor="text1"/>
                <w:sz w:val="24"/>
                <w:szCs w:val="24"/>
                <w:highlight w:val="none"/>
              </w:rPr>
            </w:pPr>
          </w:p>
        </w:tc>
      </w:tr>
      <w:tr w14:paraId="620E4B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7" w:hRule="atLeast"/>
          <w:jc w:val="center"/>
        </w:trPr>
        <w:tc>
          <w:tcPr>
            <w:tcW w:w="4303" w:type="pct"/>
            <w:vAlign w:val="center"/>
          </w:tcPr>
          <w:p w14:paraId="1D96228B">
            <w:pPr>
              <w:spacing w:line="360" w:lineRule="auto"/>
              <w:rPr>
                <w:rFonts w:ascii="宋体" w:hAnsi="宋体" w:eastAsia="宋体"/>
                <w:color w:val="000000" w:themeColor="text1"/>
                <w:sz w:val="24"/>
                <w:szCs w:val="24"/>
                <w:highlight w:val="none"/>
              </w:rPr>
            </w:pPr>
            <w:r>
              <w:rPr>
                <w:rFonts w:hint="eastAsia" w:ascii="宋体" w:hAnsi="宋体" w:eastAsia="宋体"/>
                <w:b/>
                <w:color w:val="000000" w:themeColor="text1"/>
                <w:sz w:val="24"/>
                <w:szCs w:val="24"/>
                <w:highlight w:val="none"/>
              </w:rPr>
              <w:t>（二）法定代表人授权书：</w:t>
            </w:r>
            <w:r>
              <w:rPr>
                <w:rFonts w:hint="eastAsia" w:ascii="宋体" w:hAnsi="宋体" w:eastAsia="宋体"/>
                <w:color w:val="000000" w:themeColor="text1"/>
                <w:sz w:val="24"/>
                <w:szCs w:val="24"/>
                <w:highlight w:val="none"/>
              </w:rPr>
              <w:t>法定代表人直接投标，须提交法定代表人身份证明书和身份证复印件。法定代表人授权代表参加投标的，须出具法定代表人授权书及授权代表身份证复印件。</w:t>
            </w:r>
            <w:r>
              <w:rPr>
                <w:rFonts w:hint="eastAsia" w:ascii="宋体" w:hAnsi="宋体" w:eastAsia="宋体" w:cs="宋体"/>
                <w:b/>
                <w:color w:val="000000" w:themeColor="text1"/>
                <w:kern w:val="0"/>
                <w:sz w:val="24"/>
                <w:szCs w:val="24"/>
                <w:highlight w:val="none"/>
              </w:rPr>
              <w:t>投标人</w:t>
            </w:r>
            <w:r>
              <w:rPr>
                <w:rFonts w:ascii="宋体" w:hAnsi="宋体" w:eastAsia="宋体" w:cs="宋体"/>
                <w:b/>
                <w:color w:val="000000" w:themeColor="text1"/>
                <w:kern w:val="0"/>
                <w:sz w:val="24"/>
                <w:szCs w:val="24"/>
                <w:highlight w:val="none"/>
              </w:rPr>
              <w:t>需在项目电子化交易系统中按要求上传相应证明文件并</w:t>
            </w:r>
            <w:r>
              <w:rPr>
                <w:rFonts w:hint="eastAsia" w:ascii="宋体" w:hAnsi="宋体" w:eastAsia="宋体" w:cs="宋体"/>
                <w:b/>
                <w:color w:val="000000" w:themeColor="text1"/>
                <w:kern w:val="0"/>
                <w:sz w:val="24"/>
                <w:szCs w:val="24"/>
                <w:highlight w:val="none"/>
              </w:rPr>
              <w:t>使用“企业CA锁”进行签章。</w:t>
            </w:r>
          </w:p>
        </w:tc>
        <w:tc>
          <w:tcPr>
            <w:tcW w:w="697" w:type="pct"/>
            <w:shd w:val="clear" w:color="auto" w:fill="auto"/>
            <w:vAlign w:val="center"/>
          </w:tcPr>
          <w:p w14:paraId="23B7ED10">
            <w:pPr>
              <w:spacing w:line="360" w:lineRule="auto"/>
              <w:jc w:val="center"/>
              <w:rPr>
                <w:rFonts w:ascii="宋体" w:hAnsi="宋体" w:eastAsia="宋体"/>
                <w:color w:val="000000" w:themeColor="text1"/>
                <w:sz w:val="24"/>
                <w:szCs w:val="24"/>
                <w:highlight w:val="none"/>
              </w:rPr>
            </w:pPr>
          </w:p>
        </w:tc>
      </w:tr>
      <w:tr w14:paraId="3E67EA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7" w:hRule="atLeast"/>
          <w:jc w:val="center"/>
        </w:trPr>
        <w:tc>
          <w:tcPr>
            <w:tcW w:w="4303" w:type="pct"/>
            <w:vAlign w:val="center"/>
          </w:tcPr>
          <w:p w14:paraId="64C4E9F8">
            <w:pPr>
              <w:spacing w:line="360" w:lineRule="auto"/>
              <w:rPr>
                <w:rFonts w:ascii="宋体" w:hAnsi="宋体" w:eastAsia="宋体"/>
                <w:color w:val="000000" w:themeColor="text1"/>
                <w:sz w:val="24"/>
                <w:szCs w:val="24"/>
                <w:highlight w:val="none"/>
              </w:rPr>
            </w:pPr>
            <w:r>
              <w:rPr>
                <w:rFonts w:hint="eastAsia" w:ascii="宋体" w:hAnsi="宋体" w:eastAsia="宋体"/>
                <w:b/>
                <w:color w:val="000000" w:themeColor="text1"/>
                <w:sz w:val="24"/>
                <w:szCs w:val="24"/>
                <w:highlight w:val="none"/>
              </w:rPr>
              <w:t>（三）财务状况报告：</w:t>
            </w:r>
            <w:r>
              <w:rPr>
                <w:rFonts w:hint="eastAsia" w:ascii="宋体" w:hAnsi="宋体" w:eastAsia="宋体"/>
                <w:color w:val="000000" w:themeColor="text1"/>
                <w:sz w:val="24"/>
                <w:szCs w:val="24"/>
                <w:highlight w:val="none"/>
              </w:rPr>
              <w:t>提供</w:t>
            </w:r>
            <w:r>
              <w:rPr>
                <w:rFonts w:ascii="宋体" w:hAnsi="宋体" w:eastAsia="宋体"/>
                <w:color w:val="000000" w:themeColor="text1"/>
                <w:sz w:val="24"/>
                <w:szCs w:val="24"/>
                <w:highlight w:val="none"/>
              </w:rPr>
              <w:t>2024年度经审计的财务报告（包含审计报告和审计报告中所涉及的财务报表和报表附注</w:t>
            </w:r>
            <w:r>
              <w:rPr>
                <w:rFonts w:hint="eastAsia" w:ascii="宋体" w:hAnsi="宋体" w:eastAsia="宋体"/>
                <w:color w:val="000000" w:themeColor="text1"/>
                <w:sz w:val="24"/>
                <w:szCs w:val="24"/>
                <w:highlight w:val="none"/>
              </w:rPr>
              <w:t>和会计事务所的资质</w:t>
            </w:r>
            <w:r>
              <w:rPr>
                <w:rFonts w:ascii="宋体" w:hAnsi="宋体" w:eastAsia="宋体"/>
                <w:color w:val="000000" w:themeColor="text1"/>
                <w:sz w:val="24"/>
                <w:szCs w:val="24"/>
                <w:highlight w:val="none"/>
              </w:rPr>
              <w:t>），或提供2025年1月1日以来银行出具的资信证明，或提供财政部门认可的政府采购专业担保机构出具的响应担保函，或供应商注册时间至投标文件提交截止日不足一年的，也可提供在工商管理部门备案的公司章程（以上</w:t>
            </w:r>
            <w:r>
              <w:rPr>
                <w:rFonts w:hint="eastAsia" w:ascii="宋体" w:hAnsi="宋体" w:eastAsia="宋体"/>
                <w:color w:val="000000" w:themeColor="text1"/>
                <w:sz w:val="24"/>
                <w:szCs w:val="24"/>
                <w:highlight w:val="none"/>
              </w:rPr>
              <w:t>四</w:t>
            </w:r>
            <w:r>
              <w:rPr>
                <w:rFonts w:ascii="宋体" w:hAnsi="宋体" w:eastAsia="宋体"/>
                <w:color w:val="000000" w:themeColor="text1"/>
                <w:sz w:val="24"/>
                <w:szCs w:val="24"/>
                <w:highlight w:val="none"/>
              </w:rPr>
              <w:t>种形式的资料提供任何一种即可）</w:t>
            </w:r>
            <w:r>
              <w:rPr>
                <w:rFonts w:hint="eastAsia" w:ascii="宋体" w:hAnsi="宋体" w:eastAsia="宋体"/>
                <w:color w:val="000000" w:themeColor="text1"/>
                <w:sz w:val="24"/>
                <w:szCs w:val="24"/>
                <w:highlight w:val="none"/>
              </w:rPr>
              <w:t>。</w:t>
            </w:r>
            <w:r>
              <w:rPr>
                <w:rFonts w:hint="eastAsia" w:ascii="宋体" w:hAnsi="宋体" w:eastAsia="宋体" w:cs="宋体"/>
                <w:b/>
                <w:color w:val="000000" w:themeColor="text1"/>
                <w:kern w:val="0"/>
                <w:sz w:val="24"/>
                <w:szCs w:val="24"/>
                <w:highlight w:val="none"/>
              </w:rPr>
              <w:t>投标人</w:t>
            </w:r>
            <w:r>
              <w:rPr>
                <w:rFonts w:ascii="宋体" w:hAnsi="宋体" w:eastAsia="宋体" w:cs="宋体"/>
                <w:b/>
                <w:color w:val="000000" w:themeColor="text1"/>
                <w:kern w:val="0"/>
                <w:sz w:val="24"/>
                <w:szCs w:val="24"/>
                <w:highlight w:val="none"/>
              </w:rPr>
              <w:t>需在项目电子化交易系统中按要求上传相应证明文件并</w:t>
            </w:r>
            <w:r>
              <w:rPr>
                <w:rFonts w:hint="eastAsia" w:ascii="宋体" w:hAnsi="宋体" w:eastAsia="宋体" w:cs="宋体"/>
                <w:b/>
                <w:color w:val="000000" w:themeColor="text1"/>
                <w:kern w:val="0"/>
                <w:sz w:val="24"/>
                <w:szCs w:val="24"/>
                <w:highlight w:val="none"/>
              </w:rPr>
              <w:t>使用“企业CA锁”进行签章。</w:t>
            </w:r>
          </w:p>
        </w:tc>
        <w:tc>
          <w:tcPr>
            <w:tcW w:w="697" w:type="pct"/>
            <w:shd w:val="clear" w:color="auto" w:fill="auto"/>
            <w:vAlign w:val="center"/>
          </w:tcPr>
          <w:p w14:paraId="7150A8C8">
            <w:pPr>
              <w:spacing w:line="360" w:lineRule="auto"/>
              <w:jc w:val="center"/>
              <w:rPr>
                <w:rFonts w:ascii="宋体" w:hAnsi="宋体" w:eastAsia="宋体"/>
                <w:color w:val="000000" w:themeColor="text1"/>
                <w:sz w:val="24"/>
                <w:szCs w:val="24"/>
                <w:highlight w:val="none"/>
              </w:rPr>
            </w:pPr>
          </w:p>
        </w:tc>
      </w:tr>
      <w:tr w14:paraId="21340A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7" w:hRule="atLeast"/>
          <w:jc w:val="center"/>
        </w:trPr>
        <w:tc>
          <w:tcPr>
            <w:tcW w:w="4303" w:type="pct"/>
            <w:vAlign w:val="center"/>
          </w:tcPr>
          <w:p w14:paraId="1DF89CEE">
            <w:pPr>
              <w:spacing w:line="360" w:lineRule="auto"/>
              <w:rPr>
                <w:rFonts w:ascii="宋体" w:hAnsi="宋体" w:eastAsia="宋体"/>
                <w:color w:val="000000" w:themeColor="text1"/>
                <w:sz w:val="24"/>
                <w:szCs w:val="24"/>
                <w:highlight w:val="none"/>
              </w:rPr>
            </w:pPr>
            <w:r>
              <w:rPr>
                <w:rFonts w:hint="eastAsia" w:ascii="宋体" w:hAnsi="宋体" w:eastAsia="宋体"/>
                <w:b/>
                <w:color w:val="000000" w:themeColor="text1"/>
                <w:sz w:val="24"/>
                <w:szCs w:val="24"/>
                <w:highlight w:val="none"/>
              </w:rPr>
              <w:t>（四）社会保障资金缴纳证明：</w:t>
            </w:r>
            <w:r>
              <w:rPr>
                <w:rFonts w:hint="eastAsia" w:ascii="宋体" w:hAnsi="宋体" w:eastAsia="宋体"/>
                <w:color w:val="000000" w:themeColor="text1"/>
                <w:sz w:val="24"/>
                <w:szCs w:val="24"/>
                <w:highlight w:val="none"/>
              </w:rPr>
              <w:t>提供2025年1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w:t>
            </w:r>
            <w:r>
              <w:rPr>
                <w:rFonts w:hint="eastAsia" w:ascii="宋体" w:hAnsi="宋体" w:eastAsia="宋体" w:cs="宋体"/>
                <w:b/>
                <w:color w:val="000000" w:themeColor="text1"/>
                <w:kern w:val="0"/>
                <w:sz w:val="24"/>
                <w:szCs w:val="24"/>
                <w:highlight w:val="none"/>
              </w:rPr>
              <w:t>投标人</w:t>
            </w:r>
            <w:r>
              <w:rPr>
                <w:rFonts w:ascii="宋体" w:hAnsi="宋体" w:eastAsia="宋体" w:cs="宋体"/>
                <w:b/>
                <w:color w:val="000000" w:themeColor="text1"/>
                <w:kern w:val="0"/>
                <w:sz w:val="24"/>
                <w:szCs w:val="24"/>
                <w:highlight w:val="none"/>
              </w:rPr>
              <w:t>需在项目电子化交易系统中按要求上传相应证明文件并</w:t>
            </w:r>
            <w:r>
              <w:rPr>
                <w:rFonts w:hint="eastAsia" w:ascii="宋体" w:hAnsi="宋体" w:eastAsia="宋体" w:cs="宋体"/>
                <w:b/>
                <w:color w:val="000000" w:themeColor="text1"/>
                <w:kern w:val="0"/>
                <w:sz w:val="24"/>
                <w:szCs w:val="24"/>
                <w:highlight w:val="none"/>
              </w:rPr>
              <w:t>使用“企业CA锁”进行签章。</w:t>
            </w:r>
          </w:p>
        </w:tc>
        <w:tc>
          <w:tcPr>
            <w:tcW w:w="697" w:type="pct"/>
            <w:shd w:val="clear" w:color="auto" w:fill="auto"/>
            <w:vAlign w:val="center"/>
          </w:tcPr>
          <w:p w14:paraId="65A90BBC">
            <w:pPr>
              <w:spacing w:line="360" w:lineRule="auto"/>
              <w:jc w:val="center"/>
              <w:rPr>
                <w:rFonts w:ascii="宋体" w:hAnsi="宋体" w:eastAsia="宋体"/>
                <w:color w:val="000000" w:themeColor="text1"/>
                <w:sz w:val="24"/>
                <w:szCs w:val="24"/>
                <w:highlight w:val="none"/>
              </w:rPr>
            </w:pPr>
          </w:p>
        </w:tc>
      </w:tr>
      <w:tr w14:paraId="6CAC2E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303" w:type="pct"/>
            <w:vAlign w:val="center"/>
          </w:tcPr>
          <w:p w14:paraId="090AB145">
            <w:pPr>
              <w:spacing w:line="360" w:lineRule="auto"/>
              <w:rPr>
                <w:rFonts w:ascii="宋体" w:hAnsi="宋体" w:eastAsia="宋体"/>
                <w:color w:val="000000" w:themeColor="text1"/>
                <w:sz w:val="24"/>
                <w:szCs w:val="24"/>
                <w:highlight w:val="none"/>
              </w:rPr>
            </w:pPr>
            <w:r>
              <w:rPr>
                <w:rFonts w:hint="eastAsia" w:ascii="宋体" w:hAnsi="宋体" w:eastAsia="宋体"/>
                <w:b/>
                <w:color w:val="000000" w:themeColor="text1"/>
                <w:sz w:val="24"/>
                <w:szCs w:val="24"/>
                <w:highlight w:val="none"/>
              </w:rPr>
              <w:t>（五）税收缴纳证明：</w:t>
            </w:r>
            <w:r>
              <w:rPr>
                <w:rFonts w:hint="eastAsia" w:ascii="宋体" w:hAnsi="宋体" w:eastAsia="宋体"/>
                <w:color w:val="000000" w:themeColor="text1"/>
                <w:sz w:val="24"/>
                <w:szCs w:val="24"/>
                <w:highlight w:val="none"/>
              </w:rPr>
              <w:t>提供2025年1月1日至投标文件递交截止日已缴纳的任意一个月的纳税证明或完税证明（时间以税款所属日期为准，提供增值税、企业所得税、附加税至少一种），纳税证明或完税证明上应有代收机构或税务机关的公章，依法免税的单位应提供相关证明材料（以上二种形式的资料提供任何一种即可）。</w:t>
            </w:r>
            <w:r>
              <w:rPr>
                <w:rFonts w:hint="eastAsia" w:ascii="宋体" w:hAnsi="宋体" w:eastAsia="宋体" w:cs="宋体"/>
                <w:b/>
                <w:color w:val="000000" w:themeColor="text1"/>
                <w:kern w:val="0"/>
                <w:sz w:val="24"/>
                <w:szCs w:val="24"/>
                <w:highlight w:val="none"/>
              </w:rPr>
              <w:t>投标人</w:t>
            </w:r>
            <w:r>
              <w:rPr>
                <w:rFonts w:ascii="宋体" w:hAnsi="宋体" w:eastAsia="宋体" w:cs="宋体"/>
                <w:b/>
                <w:color w:val="000000" w:themeColor="text1"/>
                <w:kern w:val="0"/>
                <w:sz w:val="24"/>
                <w:szCs w:val="24"/>
                <w:highlight w:val="none"/>
              </w:rPr>
              <w:t>需在项目电子化交易系统中按要求上传相应证明文件并</w:t>
            </w:r>
            <w:r>
              <w:rPr>
                <w:rFonts w:hint="eastAsia" w:ascii="宋体" w:hAnsi="宋体" w:eastAsia="宋体" w:cs="宋体"/>
                <w:b/>
                <w:color w:val="000000" w:themeColor="text1"/>
                <w:kern w:val="0"/>
                <w:sz w:val="24"/>
                <w:szCs w:val="24"/>
                <w:highlight w:val="none"/>
              </w:rPr>
              <w:t>使用“企业CA锁”进行签章。</w:t>
            </w:r>
          </w:p>
        </w:tc>
        <w:tc>
          <w:tcPr>
            <w:tcW w:w="697" w:type="pct"/>
            <w:shd w:val="clear" w:color="auto" w:fill="auto"/>
            <w:vAlign w:val="center"/>
          </w:tcPr>
          <w:p w14:paraId="7A3F6254">
            <w:pPr>
              <w:spacing w:line="360" w:lineRule="auto"/>
              <w:jc w:val="center"/>
              <w:rPr>
                <w:rFonts w:ascii="宋体" w:hAnsi="宋体" w:eastAsia="宋体"/>
                <w:color w:val="000000" w:themeColor="text1"/>
                <w:sz w:val="24"/>
                <w:szCs w:val="24"/>
                <w:highlight w:val="none"/>
              </w:rPr>
            </w:pPr>
          </w:p>
        </w:tc>
      </w:tr>
      <w:tr w14:paraId="6B0924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303" w:type="pct"/>
            <w:vAlign w:val="center"/>
          </w:tcPr>
          <w:p w14:paraId="61C2676D">
            <w:pPr>
              <w:spacing w:line="360" w:lineRule="auto"/>
              <w:rPr>
                <w:rFonts w:ascii="宋体" w:hAnsi="宋体" w:eastAsia="宋体"/>
                <w:color w:val="000000" w:themeColor="text1"/>
                <w:sz w:val="24"/>
                <w:szCs w:val="24"/>
                <w:highlight w:val="none"/>
              </w:rPr>
            </w:pPr>
            <w:r>
              <w:rPr>
                <w:rFonts w:hint="eastAsia" w:ascii="宋体" w:hAnsi="宋体" w:eastAsia="宋体"/>
                <w:b/>
                <w:color w:val="000000" w:themeColor="text1"/>
                <w:sz w:val="24"/>
                <w:szCs w:val="24"/>
                <w:highlight w:val="none"/>
              </w:rPr>
              <w:t>（六）信用记录声明：</w:t>
            </w:r>
            <w:r>
              <w:rPr>
                <w:rFonts w:hint="eastAsia" w:ascii="宋体" w:hAnsi="宋体" w:eastAsia="宋体"/>
                <w:color w:val="000000" w:themeColor="text1"/>
                <w:sz w:val="24"/>
                <w:szCs w:val="24"/>
                <w:highlight w:val="none"/>
              </w:rPr>
              <w:t>提供《供应商信用记录书面声明函》（按格式填写，提供原件）。经查，投标人未被列入“信用中国”网站记录的“失信被执行人”或“重大税收违法失信主体”名单；不处于“中国政府采购网”记录的“政府采购严重违法失信行为记录名单”中的禁止参加政府采购活动期间。</w:t>
            </w:r>
            <w:r>
              <w:rPr>
                <w:rFonts w:hint="eastAsia" w:ascii="宋体" w:hAnsi="宋体" w:eastAsia="宋体" w:cs="宋体"/>
                <w:b/>
                <w:color w:val="000000" w:themeColor="text1"/>
                <w:kern w:val="0"/>
                <w:sz w:val="24"/>
                <w:szCs w:val="24"/>
                <w:highlight w:val="none"/>
              </w:rPr>
              <w:t>投标人</w:t>
            </w:r>
            <w:r>
              <w:rPr>
                <w:rFonts w:ascii="宋体" w:hAnsi="宋体" w:eastAsia="宋体" w:cs="宋体"/>
                <w:b/>
                <w:color w:val="000000" w:themeColor="text1"/>
                <w:kern w:val="0"/>
                <w:sz w:val="24"/>
                <w:szCs w:val="24"/>
                <w:highlight w:val="none"/>
              </w:rPr>
              <w:t>需在项目电子化交易系统中按要求上传相应证明文件并</w:t>
            </w:r>
            <w:r>
              <w:rPr>
                <w:rFonts w:hint="eastAsia" w:ascii="宋体" w:hAnsi="宋体" w:eastAsia="宋体" w:cs="宋体"/>
                <w:b/>
                <w:color w:val="000000" w:themeColor="text1"/>
                <w:kern w:val="0"/>
                <w:sz w:val="24"/>
                <w:szCs w:val="24"/>
                <w:highlight w:val="none"/>
              </w:rPr>
              <w:t>使用“企业CA锁”进行签章。</w:t>
            </w:r>
          </w:p>
        </w:tc>
        <w:tc>
          <w:tcPr>
            <w:tcW w:w="697" w:type="pct"/>
            <w:shd w:val="clear" w:color="auto" w:fill="auto"/>
            <w:vAlign w:val="center"/>
          </w:tcPr>
          <w:p w14:paraId="7A069EDB">
            <w:pPr>
              <w:spacing w:line="360" w:lineRule="auto"/>
              <w:jc w:val="center"/>
              <w:rPr>
                <w:rFonts w:ascii="宋体" w:hAnsi="宋体" w:eastAsia="宋体"/>
                <w:color w:val="000000" w:themeColor="text1"/>
                <w:sz w:val="24"/>
                <w:szCs w:val="24"/>
                <w:highlight w:val="none"/>
              </w:rPr>
            </w:pPr>
          </w:p>
        </w:tc>
      </w:tr>
      <w:tr w14:paraId="258A53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303" w:type="pct"/>
            <w:vAlign w:val="center"/>
          </w:tcPr>
          <w:p w14:paraId="447039D1">
            <w:pPr>
              <w:spacing w:line="360" w:lineRule="auto"/>
              <w:rPr>
                <w:rFonts w:ascii="宋体" w:hAnsi="宋体" w:eastAsia="宋体"/>
                <w:color w:val="000000" w:themeColor="text1"/>
                <w:sz w:val="24"/>
                <w:szCs w:val="24"/>
                <w:highlight w:val="none"/>
              </w:rPr>
            </w:pPr>
            <w:r>
              <w:rPr>
                <w:rFonts w:hint="eastAsia" w:ascii="宋体" w:hAnsi="宋体" w:eastAsia="宋体"/>
                <w:b/>
                <w:color w:val="000000" w:themeColor="text1"/>
                <w:sz w:val="24"/>
                <w:szCs w:val="24"/>
                <w:highlight w:val="none"/>
              </w:rPr>
              <w:t>（七）具有履行合同所必需的设备和专业技术能力：</w:t>
            </w:r>
            <w:r>
              <w:rPr>
                <w:rFonts w:hint="eastAsia" w:ascii="宋体" w:hAnsi="宋体" w:eastAsia="宋体"/>
                <w:color w:val="000000" w:themeColor="text1"/>
                <w:sz w:val="24"/>
                <w:szCs w:val="24"/>
                <w:highlight w:val="none"/>
              </w:rPr>
              <w:t>提供具有履行合同所必需的设备和专业技术能力的承诺书。</w:t>
            </w:r>
            <w:r>
              <w:rPr>
                <w:rFonts w:hint="eastAsia" w:ascii="宋体" w:hAnsi="宋体" w:eastAsia="宋体" w:cs="宋体"/>
                <w:b/>
                <w:color w:val="000000" w:themeColor="text1"/>
                <w:kern w:val="0"/>
                <w:sz w:val="24"/>
                <w:szCs w:val="24"/>
                <w:highlight w:val="none"/>
              </w:rPr>
              <w:t>投标人</w:t>
            </w:r>
            <w:r>
              <w:rPr>
                <w:rFonts w:ascii="宋体" w:hAnsi="宋体" w:eastAsia="宋体" w:cs="宋体"/>
                <w:b/>
                <w:color w:val="000000" w:themeColor="text1"/>
                <w:kern w:val="0"/>
                <w:sz w:val="24"/>
                <w:szCs w:val="24"/>
                <w:highlight w:val="none"/>
              </w:rPr>
              <w:t>需在项目电子化交易系统中按要求上传相应证明文件并</w:t>
            </w:r>
            <w:r>
              <w:rPr>
                <w:rFonts w:hint="eastAsia" w:ascii="宋体" w:hAnsi="宋体" w:eastAsia="宋体" w:cs="宋体"/>
                <w:b/>
                <w:color w:val="000000" w:themeColor="text1"/>
                <w:kern w:val="0"/>
                <w:sz w:val="24"/>
                <w:szCs w:val="24"/>
                <w:highlight w:val="none"/>
              </w:rPr>
              <w:t>使用“企业CA锁”进行签章。</w:t>
            </w:r>
          </w:p>
        </w:tc>
        <w:tc>
          <w:tcPr>
            <w:tcW w:w="697" w:type="pct"/>
            <w:shd w:val="clear" w:color="auto" w:fill="auto"/>
            <w:vAlign w:val="center"/>
          </w:tcPr>
          <w:p w14:paraId="2066DF1E">
            <w:pPr>
              <w:spacing w:line="360" w:lineRule="auto"/>
              <w:jc w:val="center"/>
              <w:rPr>
                <w:rFonts w:ascii="宋体" w:hAnsi="宋体" w:eastAsia="宋体"/>
                <w:color w:val="000000" w:themeColor="text1"/>
                <w:sz w:val="24"/>
                <w:szCs w:val="24"/>
                <w:highlight w:val="none"/>
              </w:rPr>
            </w:pPr>
          </w:p>
        </w:tc>
      </w:tr>
      <w:tr w14:paraId="313760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303" w:type="pct"/>
            <w:vAlign w:val="center"/>
          </w:tcPr>
          <w:p w14:paraId="65D1D8AA">
            <w:pPr>
              <w:spacing w:line="360" w:lineRule="auto"/>
              <w:rPr>
                <w:rFonts w:ascii="宋体" w:hAnsi="宋体" w:eastAsia="宋体"/>
                <w:color w:val="000000" w:themeColor="text1"/>
                <w:sz w:val="24"/>
                <w:szCs w:val="24"/>
                <w:highlight w:val="none"/>
              </w:rPr>
            </w:pPr>
            <w:r>
              <w:rPr>
                <w:rFonts w:hint="eastAsia" w:ascii="宋体" w:hAnsi="宋体" w:eastAsia="宋体"/>
                <w:b/>
                <w:color w:val="000000" w:themeColor="text1"/>
                <w:sz w:val="24"/>
                <w:szCs w:val="24"/>
                <w:highlight w:val="none"/>
              </w:rPr>
              <w:t>（八）中小企业声明函（只针对合同包2）：</w:t>
            </w:r>
            <w:r>
              <w:rPr>
                <w:rFonts w:hint="eastAsia" w:ascii="宋体" w:hAnsi="宋体" w:eastAsia="宋体"/>
                <w:color w:val="000000" w:themeColor="text1"/>
                <w:sz w:val="24"/>
                <w:szCs w:val="24"/>
                <w:highlight w:val="none"/>
              </w:rPr>
              <w:t>本合同包为专门面向中小企业采购，投标产品的制造商应为中型企业或小型、微型企业或监狱企业或残疾人福利性单位。投标产品的制造商为中型、小型、微型企业的，投标人提供《中小企业声明函》，且中小企业的划分标准所属行业为工业；投标产品的制造商为监狱企业的，投标人应提供投标产品制造商为监狱企业的证明文件（监狱企业视同小型、微型企业）；投标产品的制造商为残疾人福利性单位的，投标人应提供投标产品制造商为残疾人福利性单位的《残疾人福利性单位声明函》（残疾人福利性单位视同小型、微型企业）。</w:t>
            </w:r>
            <w:r>
              <w:rPr>
                <w:rFonts w:hint="eastAsia" w:ascii="宋体" w:hAnsi="宋体" w:eastAsia="宋体" w:cs="宋体"/>
                <w:b/>
                <w:color w:val="000000" w:themeColor="text1"/>
                <w:kern w:val="0"/>
                <w:sz w:val="24"/>
                <w:szCs w:val="24"/>
                <w:highlight w:val="none"/>
              </w:rPr>
              <w:t>投标人</w:t>
            </w:r>
            <w:r>
              <w:rPr>
                <w:rFonts w:ascii="宋体" w:hAnsi="宋体" w:eastAsia="宋体" w:cs="宋体"/>
                <w:b/>
                <w:color w:val="000000" w:themeColor="text1"/>
                <w:kern w:val="0"/>
                <w:sz w:val="24"/>
                <w:szCs w:val="24"/>
                <w:highlight w:val="none"/>
              </w:rPr>
              <w:t>需在项目电子化交易系统中按要求上传相应证明文件并</w:t>
            </w:r>
            <w:r>
              <w:rPr>
                <w:rFonts w:hint="eastAsia" w:ascii="宋体" w:hAnsi="宋体" w:eastAsia="宋体" w:cs="宋体"/>
                <w:b/>
                <w:color w:val="000000" w:themeColor="text1"/>
                <w:kern w:val="0"/>
                <w:sz w:val="24"/>
                <w:szCs w:val="24"/>
                <w:highlight w:val="none"/>
              </w:rPr>
              <w:t>使用“企业CA锁”进行签章。</w:t>
            </w:r>
          </w:p>
        </w:tc>
        <w:tc>
          <w:tcPr>
            <w:tcW w:w="697" w:type="pct"/>
            <w:shd w:val="clear" w:color="auto" w:fill="auto"/>
            <w:vAlign w:val="center"/>
          </w:tcPr>
          <w:p w14:paraId="3E71DCFB">
            <w:pPr>
              <w:spacing w:line="360" w:lineRule="auto"/>
              <w:jc w:val="center"/>
              <w:rPr>
                <w:rFonts w:ascii="宋体" w:hAnsi="宋体" w:eastAsia="宋体"/>
                <w:color w:val="000000" w:themeColor="text1"/>
                <w:sz w:val="24"/>
                <w:szCs w:val="24"/>
                <w:highlight w:val="none"/>
              </w:rPr>
            </w:pPr>
          </w:p>
        </w:tc>
      </w:tr>
      <w:tr w14:paraId="4FCBAE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303" w:type="pct"/>
            <w:vAlign w:val="center"/>
          </w:tcPr>
          <w:p w14:paraId="7F5E9662">
            <w:pPr>
              <w:spacing w:line="360" w:lineRule="auto"/>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审核结论</w:t>
            </w:r>
          </w:p>
        </w:tc>
        <w:tc>
          <w:tcPr>
            <w:tcW w:w="697" w:type="pct"/>
            <w:shd w:val="clear" w:color="auto" w:fill="auto"/>
            <w:vAlign w:val="center"/>
          </w:tcPr>
          <w:p w14:paraId="6ABC2B07">
            <w:pPr>
              <w:spacing w:line="360" w:lineRule="auto"/>
              <w:jc w:val="center"/>
              <w:rPr>
                <w:rFonts w:ascii="宋体" w:hAnsi="宋体" w:eastAsia="宋体"/>
                <w:color w:val="000000" w:themeColor="text1"/>
                <w:sz w:val="24"/>
                <w:szCs w:val="24"/>
                <w:highlight w:val="none"/>
              </w:rPr>
            </w:pPr>
          </w:p>
        </w:tc>
      </w:tr>
      <w:tr w14:paraId="3C5266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2"/>
            <w:vAlign w:val="center"/>
          </w:tcPr>
          <w:p w14:paraId="2482786B">
            <w:pPr>
              <w:spacing w:line="360" w:lineRule="auto"/>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说明：每项审核合格打“√”，不合格打“×”，所有项都合格审核结论为“合格”，如有其中任何一项不合格审核结论为“不合格”。</w:t>
            </w:r>
          </w:p>
        </w:tc>
      </w:tr>
    </w:tbl>
    <w:p w14:paraId="7EE50C10">
      <w:pPr>
        <w:widowControl/>
        <w:jc w:val="left"/>
        <w:rPr>
          <w:rFonts w:ascii="宋体" w:hAnsi="宋体" w:eastAsia="宋体"/>
          <w:color w:val="000000" w:themeColor="text1"/>
          <w:sz w:val="24"/>
          <w:szCs w:val="24"/>
          <w:highlight w:val="none"/>
        </w:rPr>
      </w:pPr>
      <w:r>
        <w:rPr>
          <w:rFonts w:ascii="宋体" w:hAnsi="宋体" w:eastAsia="宋体"/>
          <w:color w:val="000000" w:themeColor="text1"/>
          <w:sz w:val="24"/>
          <w:szCs w:val="24"/>
          <w:highlight w:val="none"/>
        </w:rPr>
        <w:br w:type="page"/>
      </w:r>
    </w:p>
    <w:p w14:paraId="3EF8E469">
      <w:pPr>
        <w:widowControl/>
        <w:jc w:val="left"/>
        <w:rPr>
          <w:rFonts w:ascii="宋体" w:hAnsi="宋体" w:eastAsia="宋体"/>
          <w:color w:val="000000" w:themeColor="text1"/>
          <w:sz w:val="24"/>
          <w:szCs w:val="24"/>
          <w:highlight w:val="none"/>
        </w:rPr>
      </w:pPr>
    </w:p>
    <w:p w14:paraId="45E4E2EB">
      <w:pPr>
        <w:pStyle w:val="23"/>
        <w:rPr>
          <w:color w:val="000000" w:themeColor="text1"/>
          <w:highlight w:val="none"/>
        </w:rPr>
      </w:pPr>
      <w:bookmarkStart w:id="76" w:name="_Toc211442753"/>
      <w:r>
        <w:rPr>
          <w:rFonts w:hint="eastAsia"/>
          <w:color w:val="000000" w:themeColor="text1"/>
          <w:highlight w:val="none"/>
        </w:rPr>
        <w:t>符合性审查表</w:t>
      </w:r>
      <w:bookmarkEnd w:id="76"/>
    </w:p>
    <w:tbl>
      <w:tblPr>
        <w:tblStyle w:val="2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92"/>
        <w:gridCol w:w="1295"/>
      </w:tblGrid>
      <w:tr w14:paraId="09FA3C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03" w:type="pct"/>
            <w:vAlign w:val="center"/>
          </w:tcPr>
          <w:p w14:paraId="5B1C1C17">
            <w:pPr>
              <w:spacing w:line="360" w:lineRule="auto"/>
              <w:jc w:val="center"/>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符合性审查项</w:t>
            </w:r>
          </w:p>
        </w:tc>
        <w:tc>
          <w:tcPr>
            <w:tcW w:w="697" w:type="pct"/>
            <w:shd w:val="clear" w:color="auto" w:fill="auto"/>
            <w:vAlign w:val="center"/>
          </w:tcPr>
          <w:p w14:paraId="606E7E90">
            <w:pPr>
              <w:spacing w:line="360" w:lineRule="auto"/>
              <w:jc w:val="center"/>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审查结果</w:t>
            </w:r>
          </w:p>
        </w:tc>
      </w:tr>
      <w:tr w14:paraId="4F880F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03" w:type="pct"/>
            <w:vAlign w:val="center"/>
          </w:tcPr>
          <w:p w14:paraId="5FFCFED6">
            <w:pPr>
              <w:spacing w:line="360" w:lineRule="auto"/>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投标人名称字章是否一致。</w:t>
            </w:r>
          </w:p>
        </w:tc>
        <w:tc>
          <w:tcPr>
            <w:tcW w:w="697" w:type="pct"/>
            <w:shd w:val="clear" w:color="auto" w:fill="auto"/>
            <w:vAlign w:val="center"/>
          </w:tcPr>
          <w:p w14:paraId="07C945D1">
            <w:pPr>
              <w:spacing w:line="360" w:lineRule="auto"/>
              <w:jc w:val="center"/>
              <w:rPr>
                <w:rFonts w:ascii="宋体" w:hAnsi="宋体" w:eastAsia="宋体"/>
                <w:color w:val="000000" w:themeColor="text1"/>
                <w:sz w:val="24"/>
                <w:szCs w:val="24"/>
                <w:highlight w:val="none"/>
              </w:rPr>
            </w:pPr>
          </w:p>
        </w:tc>
      </w:tr>
      <w:tr w14:paraId="614BE1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03" w:type="pct"/>
            <w:vAlign w:val="center"/>
          </w:tcPr>
          <w:p w14:paraId="31D62A58">
            <w:pPr>
              <w:spacing w:line="360" w:lineRule="auto"/>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投标文件签署是否符合要求。</w:t>
            </w:r>
          </w:p>
        </w:tc>
        <w:tc>
          <w:tcPr>
            <w:tcW w:w="697" w:type="pct"/>
            <w:shd w:val="clear" w:color="auto" w:fill="auto"/>
            <w:vAlign w:val="center"/>
          </w:tcPr>
          <w:p w14:paraId="00233243">
            <w:pPr>
              <w:spacing w:line="360" w:lineRule="auto"/>
              <w:jc w:val="center"/>
              <w:rPr>
                <w:rFonts w:ascii="宋体" w:hAnsi="宋体" w:eastAsia="宋体"/>
                <w:color w:val="000000" w:themeColor="text1"/>
                <w:sz w:val="24"/>
                <w:szCs w:val="24"/>
                <w:highlight w:val="none"/>
              </w:rPr>
            </w:pPr>
          </w:p>
        </w:tc>
      </w:tr>
      <w:tr w14:paraId="67EE82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03" w:type="pct"/>
            <w:vAlign w:val="center"/>
          </w:tcPr>
          <w:p w14:paraId="3728D8B0">
            <w:pPr>
              <w:spacing w:line="360" w:lineRule="auto"/>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投标有效期是否满足要求。</w:t>
            </w:r>
          </w:p>
        </w:tc>
        <w:tc>
          <w:tcPr>
            <w:tcW w:w="697" w:type="pct"/>
            <w:shd w:val="clear" w:color="auto" w:fill="auto"/>
            <w:vAlign w:val="center"/>
          </w:tcPr>
          <w:p w14:paraId="350DA7E3">
            <w:pPr>
              <w:spacing w:line="360" w:lineRule="auto"/>
              <w:jc w:val="center"/>
              <w:rPr>
                <w:rFonts w:ascii="宋体" w:hAnsi="宋体" w:eastAsia="宋体"/>
                <w:color w:val="000000" w:themeColor="text1"/>
                <w:sz w:val="24"/>
                <w:szCs w:val="24"/>
                <w:highlight w:val="none"/>
              </w:rPr>
            </w:pPr>
          </w:p>
        </w:tc>
      </w:tr>
      <w:tr w14:paraId="4C7A76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03" w:type="pct"/>
            <w:vAlign w:val="center"/>
          </w:tcPr>
          <w:p w14:paraId="43FF738D">
            <w:pPr>
              <w:spacing w:line="360" w:lineRule="auto"/>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报价是否唯一有效或报价（包含单价）是否未超过最高限价。</w:t>
            </w:r>
          </w:p>
        </w:tc>
        <w:tc>
          <w:tcPr>
            <w:tcW w:w="697" w:type="pct"/>
            <w:shd w:val="clear" w:color="auto" w:fill="auto"/>
            <w:vAlign w:val="center"/>
          </w:tcPr>
          <w:p w14:paraId="3A00D1B9">
            <w:pPr>
              <w:spacing w:line="360" w:lineRule="auto"/>
              <w:jc w:val="center"/>
              <w:rPr>
                <w:rFonts w:ascii="宋体" w:hAnsi="宋体" w:eastAsia="宋体"/>
                <w:color w:val="000000" w:themeColor="text1"/>
                <w:sz w:val="24"/>
                <w:szCs w:val="24"/>
                <w:highlight w:val="none"/>
              </w:rPr>
            </w:pPr>
          </w:p>
        </w:tc>
      </w:tr>
      <w:tr w14:paraId="7C5701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03" w:type="pct"/>
            <w:vAlign w:val="center"/>
          </w:tcPr>
          <w:p w14:paraId="111F2E97">
            <w:pPr>
              <w:spacing w:line="360" w:lineRule="auto"/>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技术和商务（</w:t>
            </w:r>
            <w:r>
              <w:rPr>
                <w:rFonts w:hint="eastAsia" w:ascii="宋体" w:hAnsi="宋体" w:eastAsia="宋体"/>
                <w:b/>
                <w:color w:val="000000" w:themeColor="text1"/>
                <w:sz w:val="24"/>
                <w:szCs w:val="24"/>
                <w:highlight w:val="none"/>
              </w:rPr>
              <w:t>带“*”号项</w:t>
            </w:r>
            <w:r>
              <w:rPr>
                <w:rFonts w:hint="eastAsia" w:ascii="宋体" w:hAnsi="宋体" w:eastAsia="宋体"/>
                <w:color w:val="000000" w:themeColor="text1"/>
                <w:sz w:val="24"/>
                <w:szCs w:val="24"/>
                <w:highlight w:val="none"/>
              </w:rPr>
              <w:t>）是否满足实质性要求。</w:t>
            </w:r>
          </w:p>
        </w:tc>
        <w:tc>
          <w:tcPr>
            <w:tcW w:w="697" w:type="pct"/>
            <w:shd w:val="clear" w:color="auto" w:fill="auto"/>
            <w:vAlign w:val="center"/>
          </w:tcPr>
          <w:p w14:paraId="744B004A">
            <w:pPr>
              <w:spacing w:line="360" w:lineRule="auto"/>
              <w:jc w:val="center"/>
              <w:rPr>
                <w:rFonts w:ascii="宋体" w:hAnsi="宋体" w:eastAsia="宋体"/>
                <w:color w:val="000000" w:themeColor="text1"/>
                <w:sz w:val="24"/>
                <w:szCs w:val="24"/>
                <w:highlight w:val="none"/>
              </w:rPr>
            </w:pPr>
          </w:p>
        </w:tc>
      </w:tr>
      <w:tr w14:paraId="37B215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03" w:type="pct"/>
            <w:vAlign w:val="center"/>
          </w:tcPr>
          <w:p w14:paraId="30EFFD44">
            <w:pPr>
              <w:spacing w:line="360" w:lineRule="auto"/>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投标保证金是否按时缴纳。</w:t>
            </w:r>
          </w:p>
        </w:tc>
        <w:tc>
          <w:tcPr>
            <w:tcW w:w="697" w:type="pct"/>
            <w:shd w:val="clear" w:color="auto" w:fill="auto"/>
            <w:vAlign w:val="center"/>
          </w:tcPr>
          <w:p w14:paraId="01D3DC2B">
            <w:pPr>
              <w:spacing w:line="360" w:lineRule="auto"/>
              <w:jc w:val="center"/>
              <w:rPr>
                <w:rFonts w:ascii="宋体" w:hAnsi="宋体" w:eastAsia="宋体"/>
                <w:color w:val="000000" w:themeColor="text1"/>
                <w:sz w:val="24"/>
                <w:szCs w:val="24"/>
                <w:highlight w:val="none"/>
              </w:rPr>
            </w:pPr>
          </w:p>
        </w:tc>
      </w:tr>
      <w:tr w14:paraId="017F05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03" w:type="pct"/>
            <w:vAlign w:val="center"/>
          </w:tcPr>
          <w:p w14:paraId="0B916233">
            <w:pPr>
              <w:spacing w:line="360" w:lineRule="auto"/>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审核结论</w:t>
            </w:r>
          </w:p>
        </w:tc>
        <w:tc>
          <w:tcPr>
            <w:tcW w:w="697" w:type="pct"/>
            <w:shd w:val="clear" w:color="auto" w:fill="auto"/>
            <w:vAlign w:val="center"/>
          </w:tcPr>
          <w:p w14:paraId="637102A3">
            <w:pPr>
              <w:spacing w:line="360" w:lineRule="auto"/>
              <w:jc w:val="center"/>
              <w:rPr>
                <w:rFonts w:ascii="宋体" w:hAnsi="宋体" w:eastAsia="宋体"/>
                <w:color w:val="000000" w:themeColor="text1"/>
                <w:sz w:val="24"/>
                <w:szCs w:val="24"/>
                <w:highlight w:val="none"/>
              </w:rPr>
            </w:pPr>
          </w:p>
        </w:tc>
      </w:tr>
      <w:tr w14:paraId="63734A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2"/>
            <w:vAlign w:val="center"/>
          </w:tcPr>
          <w:p w14:paraId="00FC2064">
            <w:pPr>
              <w:spacing w:line="360" w:lineRule="auto"/>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说明：每项审核合格打“√”，不合格打“×”，所有项都合格审核结论为“合格”，如有其中任何一项不合格审核结论为“不合格”。</w:t>
            </w:r>
          </w:p>
        </w:tc>
      </w:tr>
    </w:tbl>
    <w:p w14:paraId="40EB1C13">
      <w:pPr>
        <w:spacing w:line="360" w:lineRule="auto"/>
        <w:rPr>
          <w:rFonts w:ascii="宋体" w:hAnsi="宋体" w:eastAsia="宋体"/>
          <w:color w:val="000000" w:themeColor="text1"/>
          <w:sz w:val="24"/>
          <w:szCs w:val="24"/>
          <w:highlight w:val="none"/>
        </w:rPr>
      </w:pPr>
      <w:r>
        <w:rPr>
          <w:rFonts w:ascii="宋体" w:hAnsi="宋体" w:eastAsia="宋体"/>
          <w:color w:val="000000" w:themeColor="text1"/>
          <w:sz w:val="24"/>
          <w:szCs w:val="24"/>
          <w:highlight w:val="none"/>
        </w:rPr>
        <w:br w:type="page"/>
      </w:r>
    </w:p>
    <w:p w14:paraId="28763CF9">
      <w:pPr>
        <w:widowControl/>
        <w:spacing w:line="360" w:lineRule="auto"/>
        <w:jc w:val="left"/>
        <w:rPr>
          <w:rFonts w:ascii="宋体" w:hAnsi="宋体" w:eastAsia="宋体"/>
          <w:color w:val="000000" w:themeColor="text1"/>
          <w:sz w:val="24"/>
          <w:szCs w:val="24"/>
          <w:highlight w:val="none"/>
        </w:rPr>
      </w:pPr>
    </w:p>
    <w:p w14:paraId="713D3F46">
      <w:pPr>
        <w:pStyle w:val="23"/>
        <w:rPr>
          <w:color w:val="000000" w:themeColor="text1"/>
          <w:highlight w:val="none"/>
        </w:rPr>
      </w:pPr>
      <w:bookmarkStart w:id="77" w:name="_Toc211442754"/>
      <w:r>
        <w:rPr>
          <w:rFonts w:hint="eastAsia"/>
          <w:color w:val="000000" w:themeColor="text1"/>
          <w:highlight w:val="none"/>
        </w:rPr>
        <w:t>包1</w:t>
      </w:r>
      <w:r>
        <w:rPr>
          <w:color w:val="000000" w:themeColor="text1"/>
          <w:highlight w:val="none"/>
        </w:rPr>
        <w:t xml:space="preserve">  </w:t>
      </w:r>
      <w:r>
        <w:rPr>
          <w:rFonts w:hint="eastAsia"/>
          <w:color w:val="000000" w:themeColor="text1"/>
          <w:highlight w:val="none"/>
        </w:rPr>
        <w:t>评审因素量化赋分表</w:t>
      </w:r>
      <w:bookmarkEnd w:id="77"/>
    </w:p>
    <w:tbl>
      <w:tblPr>
        <w:tblStyle w:val="3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8"/>
        <w:gridCol w:w="6661"/>
        <w:gridCol w:w="1358"/>
      </w:tblGrid>
      <w:tr w14:paraId="50CD85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3" w:type="pct"/>
            <w:vAlign w:val="center"/>
          </w:tcPr>
          <w:p w14:paraId="299770B0">
            <w:pPr>
              <w:spacing w:line="360" w:lineRule="auto"/>
              <w:jc w:val="center"/>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评审项</w:t>
            </w:r>
          </w:p>
        </w:tc>
        <w:tc>
          <w:tcPr>
            <w:tcW w:w="3586" w:type="pct"/>
            <w:vAlign w:val="center"/>
          </w:tcPr>
          <w:p w14:paraId="31CAEC07">
            <w:pPr>
              <w:spacing w:line="360" w:lineRule="auto"/>
              <w:jc w:val="center"/>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赋分标准</w:t>
            </w:r>
          </w:p>
        </w:tc>
        <w:tc>
          <w:tcPr>
            <w:tcW w:w="731" w:type="pct"/>
            <w:vAlign w:val="center"/>
          </w:tcPr>
          <w:p w14:paraId="2D90B640">
            <w:pPr>
              <w:spacing w:line="360" w:lineRule="auto"/>
              <w:jc w:val="center"/>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分值（分）</w:t>
            </w:r>
          </w:p>
        </w:tc>
      </w:tr>
      <w:tr w14:paraId="37F3E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3" w:type="pct"/>
            <w:vAlign w:val="center"/>
          </w:tcPr>
          <w:p w14:paraId="3BBDAA92">
            <w:pPr>
              <w:spacing w:line="360" w:lineRule="auto"/>
              <w:jc w:val="center"/>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价格</w:t>
            </w:r>
          </w:p>
        </w:tc>
        <w:tc>
          <w:tcPr>
            <w:tcW w:w="3586" w:type="pct"/>
          </w:tcPr>
          <w:p w14:paraId="76457861">
            <w:pPr>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价格分统一采用低价优先法计算，即满足招标文件要求且投标价格最低的投标报价为评标基准价，其价格分为满分。其他供应商的价格分统一按照下列公式计算：投标报价得分=(评标基准价／投标报价)×30。计算分数时四舍五入取小数点后两位。</w:t>
            </w:r>
          </w:p>
          <w:p w14:paraId="62281D2B">
            <w:pPr>
              <w:widowControl/>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注：评标委员会认为投标单位的报价明显低于其他通过符合性审查投标单位的报价，有可能影响服务质量或者不能诚信履约的，应当要求其在合理的时间内提供书面说明，必要时提交相关证明材料；投标单位不能证明其报价合理性的，评标委员会应当将其作为无效投标处理。</w:t>
            </w:r>
          </w:p>
        </w:tc>
        <w:tc>
          <w:tcPr>
            <w:tcW w:w="731" w:type="pct"/>
            <w:vAlign w:val="center"/>
          </w:tcPr>
          <w:p w14:paraId="2959EC50">
            <w:pPr>
              <w:spacing w:line="360" w:lineRule="auto"/>
              <w:jc w:val="center"/>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3</w:t>
            </w:r>
            <w:r>
              <w:rPr>
                <w:rFonts w:ascii="宋体" w:hAnsi="宋体" w:eastAsia="宋体"/>
                <w:color w:val="000000" w:themeColor="text1"/>
                <w:sz w:val="24"/>
                <w:szCs w:val="24"/>
                <w:highlight w:val="none"/>
              </w:rPr>
              <w:t>0</w:t>
            </w:r>
          </w:p>
        </w:tc>
      </w:tr>
      <w:tr w14:paraId="5ABBAA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3" w:type="pct"/>
            <w:vAlign w:val="center"/>
          </w:tcPr>
          <w:p w14:paraId="73F4BF52">
            <w:pPr>
              <w:spacing w:line="360" w:lineRule="auto"/>
              <w:jc w:val="center"/>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技术响应</w:t>
            </w:r>
          </w:p>
        </w:tc>
        <w:tc>
          <w:tcPr>
            <w:tcW w:w="3586" w:type="pct"/>
          </w:tcPr>
          <w:p w14:paraId="14025CC9">
            <w:pPr>
              <w:spacing w:line="360" w:lineRule="auto"/>
              <w:rPr>
                <w:rFonts w:ascii="宋体" w:hAnsi="宋体" w:eastAsia="宋体"/>
                <w:color w:val="000000" w:themeColor="text1"/>
                <w:sz w:val="24"/>
                <w:szCs w:val="24"/>
                <w:highlight w:val="none"/>
              </w:rPr>
            </w:pPr>
            <w:bookmarkStart w:id="78" w:name="OLE_LINK61"/>
            <w:r>
              <w:rPr>
                <w:rFonts w:hint="eastAsia" w:ascii="宋体" w:hAnsi="宋体" w:eastAsia="宋体"/>
                <w:color w:val="000000" w:themeColor="text1"/>
                <w:sz w:val="24"/>
                <w:szCs w:val="24"/>
                <w:highlight w:val="none"/>
              </w:rPr>
              <w:t>加“*”号项以外的其他技术参数完全符合、满足招标文件技术要求的计</w:t>
            </w:r>
            <w:r>
              <w:rPr>
                <w:rFonts w:ascii="宋体" w:hAnsi="宋体" w:eastAsia="宋体"/>
                <w:color w:val="000000" w:themeColor="text1"/>
                <w:sz w:val="24"/>
                <w:szCs w:val="24"/>
                <w:highlight w:val="none"/>
              </w:rPr>
              <w:t>18</w:t>
            </w:r>
            <w:r>
              <w:rPr>
                <w:rFonts w:hint="eastAsia" w:ascii="宋体" w:hAnsi="宋体" w:eastAsia="宋体"/>
                <w:color w:val="000000" w:themeColor="text1"/>
                <w:sz w:val="24"/>
                <w:szCs w:val="24"/>
                <w:highlight w:val="none"/>
              </w:rPr>
              <w:t>分。</w:t>
            </w:r>
            <w:r>
              <w:rPr>
                <w:rFonts w:ascii="宋体" w:hAnsi="宋体" w:eastAsia="宋体"/>
                <w:color w:val="000000" w:themeColor="text1"/>
                <w:sz w:val="24"/>
                <w:szCs w:val="24"/>
                <w:highlight w:val="none"/>
              </w:rPr>
              <w:t>9</w:t>
            </w:r>
            <w:r>
              <w:rPr>
                <w:rFonts w:hint="eastAsia" w:ascii="宋体" w:hAnsi="宋体" w:eastAsia="宋体"/>
                <w:color w:val="000000" w:themeColor="text1"/>
                <w:sz w:val="24"/>
                <w:szCs w:val="24"/>
                <w:highlight w:val="none"/>
              </w:rPr>
              <w:t>个加“▲”号项技术参数每负偏离一项扣</w:t>
            </w:r>
            <w:r>
              <w:rPr>
                <w:rFonts w:ascii="宋体" w:hAnsi="宋体" w:eastAsia="宋体"/>
                <w:color w:val="000000" w:themeColor="text1"/>
                <w:sz w:val="24"/>
                <w:szCs w:val="24"/>
                <w:highlight w:val="none"/>
              </w:rPr>
              <w:t>1</w:t>
            </w:r>
            <w:r>
              <w:rPr>
                <w:rFonts w:hint="eastAsia" w:ascii="宋体" w:hAnsi="宋体" w:eastAsia="宋体"/>
                <w:color w:val="000000" w:themeColor="text1"/>
                <w:sz w:val="24"/>
                <w:szCs w:val="24"/>
                <w:highlight w:val="none"/>
              </w:rPr>
              <w:t>分，其余</w:t>
            </w:r>
            <w:r>
              <w:rPr>
                <w:rFonts w:ascii="宋体" w:hAnsi="宋体" w:eastAsia="宋体"/>
                <w:color w:val="000000" w:themeColor="text1"/>
                <w:sz w:val="24"/>
                <w:szCs w:val="24"/>
                <w:highlight w:val="none"/>
              </w:rPr>
              <w:t>77</w:t>
            </w:r>
            <w:r>
              <w:rPr>
                <w:rFonts w:hint="eastAsia" w:ascii="宋体" w:hAnsi="宋体" w:eastAsia="宋体"/>
                <w:color w:val="000000" w:themeColor="text1"/>
                <w:sz w:val="24"/>
                <w:szCs w:val="24"/>
                <w:highlight w:val="none"/>
              </w:rPr>
              <w:t>项无标识技术参数每负偏离一项扣0.</w:t>
            </w:r>
            <w:r>
              <w:rPr>
                <w:rFonts w:ascii="宋体" w:hAnsi="宋体" w:eastAsia="宋体"/>
                <w:color w:val="000000" w:themeColor="text1"/>
                <w:sz w:val="24"/>
                <w:szCs w:val="24"/>
                <w:highlight w:val="none"/>
              </w:rPr>
              <w:t>12</w:t>
            </w:r>
            <w:r>
              <w:rPr>
                <w:rFonts w:hint="eastAsia" w:ascii="宋体" w:hAnsi="宋体" w:eastAsia="宋体"/>
                <w:color w:val="000000" w:themeColor="text1"/>
                <w:sz w:val="24"/>
                <w:szCs w:val="24"/>
                <w:highlight w:val="none"/>
              </w:rPr>
              <w:t>分，扣完为止。</w:t>
            </w:r>
          </w:p>
          <w:p w14:paraId="71CCD95D">
            <w:pPr>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备注：应逐条对应技术参数进行实质</w:t>
            </w:r>
            <w:r>
              <w:rPr>
                <w:rFonts w:ascii="宋体" w:hAnsi="宋体" w:eastAsia="宋体"/>
                <w:color w:val="000000" w:themeColor="text1"/>
                <w:sz w:val="24"/>
                <w:szCs w:val="24"/>
                <w:highlight w:val="none"/>
              </w:rPr>
              <w:t>性响</w:t>
            </w:r>
            <w:r>
              <w:rPr>
                <w:rFonts w:hint="eastAsia" w:ascii="宋体" w:hAnsi="宋体" w:eastAsia="宋体"/>
                <w:color w:val="000000" w:themeColor="text1"/>
                <w:sz w:val="24"/>
                <w:szCs w:val="24"/>
                <w:highlight w:val="none"/>
              </w:rPr>
              <w:t>应，加“▲”号项技术参数须按招标要求提供充足的佐证材料，评审以佐证材料为准；其余项技术参数评审以技术偏离表为准。</w:t>
            </w:r>
            <w:bookmarkEnd w:id="78"/>
          </w:p>
        </w:tc>
        <w:tc>
          <w:tcPr>
            <w:tcW w:w="731" w:type="pct"/>
            <w:vAlign w:val="center"/>
          </w:tcPr>
          <w:p w14:paraId="0D79EB83">
            <w:pPr>
              <w:spacing w:line="360" w:lineRule="auto"/>
              <w:jc w:val="center"/>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1</w:t>
            </w:r>
            <w:r>
              <w:rPr>
                <w:rFonts w:ascii="宋体" w:hAnsi="宋体" w:eastAsia="宋体"/>
                <w:color w:val="000000" w:themeColor="text1"/>
                <w:sz w:val="24"/>
                <w:szCs w:val="24"/>
                <w:highlight w:val="none"/>
              </w:rPr>
              <w:t>8</w:t>
            </w:r>
          </w:p>
        </w:tc>
      </w:tr>
      <w:tr w14:paraId="560454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3" w:type="pct"/>
            <w:vAlign w:val="center"/>
          </w:tcPr>
          <w:p w14:paraId="4965B816">
            <w:pPr>
              <w:spacing w:line="360" w:lineRule="auto"/>
              <w:jc w:val="center"/>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项目实施方案</w:t>
            </w:r>
          </w:p>
        </w:tc>
        <w:tc>
          <w:tcPr>
            <w:tcW w:w="3586" w:type="pct"/>
          </w:tcPr>
          <w:p w14:paraId="5E53F5AA">
            <w:pPr>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投标人需针对本项目提供完整的项目实施方案。内容包含：①供货组织及进度安排方案②对接及运输方案③安装调试方案④人员、物力调配安排方案。评审专家根据（1、完整性：方案必须全面，对评审内容中的各项要求有详细描述；2、可实施性：切合本项目实际情况，提出步骤清晰、合理的方案；3.针对性：方案能够紧扣项目实际情况，内容科学合理。）进行赋分：</w:t>
            </w:r>
            <w:r>
              <w:rPr>
                <w:rFonts w:ascii="宋体" w:hAnsi="宋体" w:eastAsia="宋体"/>
                <w:color w:val="000000" w:themeColor="text1"/>
                <w:sz w:val="24"/>
                <w:szCs w:val="24"/>
                <w:highlight w:val="none"/>
              </w:rPr>
              <w:fldChar w:fldCharType="begin"/>
            </w:r>
            <w:r>
              <w:rPr>
                <w:rFonts w:ascii="宋体" w:hAnsi="宋体" w:eastAsia="宋体"/>
                <w:color w:val="000000" w:themeColor="text1"/>
                <w:sz w:val="24"/>
                <w:szCs w:val="24"/>
                <w:highlight w:val="none"/>
              </w:rPr>
              <w:instrText xml:space="preserve"> </w:instrText>
            </w:r>
            <w:r>
              <w:rPr>
                <w:rFonts w:hint="eastAsia" w:ascii="宋体" w:hAnsi="宋体" w:eastAsia="宋体"/>
                <w:color w:val="000000" w:themeColor="text1"/>
                <w:sz w:val="24"/>
                <w:szCs w:val="24"/>
                <w:highlight w:val="none"/>
              </w:rPr>
              <w:instrText xml:space="preserve">= 1 \* GB3</w:instrText>
            </w:r>
            <w:r>
              <w:rPr>
                <w:rFonts w:ascii="宋体" w:hAnsi="宋体" w:eastAsia="宋体"/>
                <w:color w:val="000000" w:themeColor="text1"/>
                <w:sz w:val="24"/>
                <w:szCs w:val="24"/>
                <w:highlight w:val="none"/>
              </w:rPr>
              <w:instrText xml:space="preserve"> </w:instrText>
            </w:r>
            <w:r>
              <w:rPr>
                <w:rFonts w:ascii="宋体" w:hAnsi="宋体" w:eastAsia="宋体"/>
                <w:color w:val="000000" w:themeColor="text1"/>
                <w:sz w:val="24"/>
                <w:szCs w:val="24"/>
                <w:highlight w:val="none"/>
              </w:rPr>
              <w:fldChar w:fldCharType="separate"/>
            </w:r>
            <w:r>
              <w:rPr>
                <w:rFonts w:hint="eastAsia" w:ascii="宋体" w:hAnsi="宋体" w:eastAsia="宋体"/>
                <w:color w:val="000000" w:themeColor="text1"/>
                <w:sz w:val="24"/>
                <w:szCs w:val="24"/>
                <w:highlight w:val="none"/>
              </w:rPr>
              <w:t>①</w:t>
            </w:r>
            <w:r>
              <w:rPr>
                <w:rFonts w:ascii="宋体" w:hAnsi="宋体" w:eastAsia="宋体"/>
                <w:color w:val="000000" w:themeColor="text1"/>
                <w:sz w:val="24"/>
                <w:szCs w:val="24"/>
                <w:highlight w:val="none"/>
              </w:rPr>
              <w:fldChar w:fldCharType="end"/>
            </w:r>
            <w:r>
              <w:rPr>
                <w:rFonts w:ascii="宋体" w:hAnsi="宋体" w:eastAsia="宋体"/>
                <w:color w:val="000000" w:themeColor="text1"/>
                <w:sz w:val="24"/>
                <w:szCs w:val="24"/>
                <w:highlight w:val="none"/>
              </w:rPr>
              <w:t>供</w:t>
            </w:r>
            <w:r>
              <w:rPr>
                <w:rFonts w:hint="eastAsia" w:ascii="宋体" w:hAnsi="宋体" w:eastAsia="宋体"/>
                <w:color w:val="000000" w:themeColor="text1"/>
                <w:sz w:val="24"/>
                <w:szCs w:val="24"/>
                <w:highlight w:val="none"/>
              </w:rPr>
              <w:t>货组织及进度安排方案根据完整性、可实施性和针对性，计0-3分；②对接及运输方案根据完整性、可实施性和针对性，计0-2分；③安装调试方案根据完整性、可实施性和针对性，计0-3分；④人员、物力调配安排方案根据完整性、可实施性和针对性，计0-2分。该项满分10分。</w:t>
            </w:r>
          </w:p>
        </w:tc>
        <w:tc>
          <w:tcPr>
            <w:tcW w:w="731" w:type="pct"/>
            <w:vAlign w:val="center"/>
          </w:tcPr>
          <w:p w14:paraId="313FA3D8">
            <w:pPr>
              <w:spacing w:line="360" w:lineRule="auto"/>
              <w:jc w:val="center"/>
              <w:rPr>
                <w:rFonts w:ascii="宋体" w:hAnsi="宋体" w:eastAsia="宋体"/>
                <w:color w:val="000000" w:themeColor="text1"/>
                <w:sz w:val="24"/>
                <w:szCs w:val="24"/>
                <w:highlight w:val="none"/>
              </w:rPr>
            </w:pPr>
            <w:r>
              <w:rPr>
                <w:rFonts w:ascii="宋体" w:hAnsi="宋体" w:eastAsia="宋体"/>
                <w:color w:val="000000" w:themeColor="text1"/>
                <w:sz w:val="24"/>
                <w:szCs w:val="24"/>
                <w:highlight w:val="none"/>
              </w:rPr>
              <w:t>10</w:t>
            </w:r>
          </w:p>
        </w:tc>
      </w:tr>
      <w:tr w14:paraId="548EF0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3" w:type="pct"/>
            <w:vAlign w:val="center"/>
          </w:tcPr>
          <w:p w14:paraId="38AB8973">
            <w:pPr>
              <w:spacing w:line="360" w:lineRule="auto"/>
              <w:jc w:val="center"/>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工艺质量水平</w:t>
            </w:r>
          </w:p>
        </w:tc>
        <w:tc>
          <w:tcPr>
            <w:tcW w:w="3586" w:type="pct"/>
          </w:tcPr>
          <w:p w14:paraId="50291EC9">
            <w:pPr>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提供3个核心产品标的物质量管理文件，每提供1个核心产品的产品质量验收标准得1分、问题处理机制得1分、产品验收记录或质量验收证明得1分，3个核心产品满分</w:t>
            </w:r>
            <w:r>
              <w:rPr>
                <w:rFonts w:ascii="宋体" w:hAnsi="宋体" w:eastAsia="宋体"/>
                <w:color w:val="000000" w:themeColor="text1"/>
                <w:sz w:val="24"/>
                <w:szCs w:val="24"/>
                <w:highlight w:val="none"/>
              </w:rPr>
              <w:t>9</w:t>
            </w:r>
            <w:r>
              <w:rPr>
                <w:rFonts w:hint="eastAsia" w:ascii="宋体" w:hAnsi="宋体" w:eastAsia="宋体"/>
                <w:color w:val="000000" w:themeColor="text1"/>
                <w:sz w:val="24"/>
                <w:szCs w:val="24"/>
                <w:highlight w:val="none"/>
              </w:rPr>
              <w:t>分。（核心保密技术除外，所有证明材料需加盖生产厂家公章）</w:t>
            </w:r>
          </w:p>
        </w:tc>
        <w:tc>
          <w:tcPr>
            <w:tcW w:w="731" w:type="pct"/>
            <w:vAlign w:val="center"/>
          </w:tcPr>
          <w:p w14:paraId="7485B6F9">
            <w:pPr>
              <w:spacing w:line="360" w:lineRule="auto"/>
              <w:jc w:val="center"/>
              <w:rPr>
                <w:rFonts w:ascii="宋体" w:hAnsi="宋体" w:eastAsia="宋体"/>
                <w:color w:val="000000" w:themeColor="text1"/>
                <w:sz w:val="24"/>
                <w:szCs w:val="24"/>
                <w:highlight w:val="none"/>
              </w:rPr>
            </w:pPr>
            <w:r>
              <w:rPr>
                <w:rFonts w:ascii="宋体" w:hAnsi="宋体" w:eastAsia="宋体"/>
                <w:color w:val="000000" w:themeColor="text1"/>
                <w:sz w:val="24"/>
                <w:szCs w:val="24"/>
                <w:highlight w:val="none"/>
              </w:rPr>
              <w:t>9</w:t>
            </w:r>
          </w:p>
        </w:tc>
      </w:tr>
      <w:tr w14:paraId="7ADBAB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3" w:type="pct"/>
            <w:vAlign w:val="center"/>
          </w:tcPr>
          <w:p w14:paraId="2EA6565C">
            <w:pPr>
              <w:spacing w:line="360" w:lineRule="auto"/>
              <w:jc w:val="center"/>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项目团队人员</w:t>
            </w:r>
          </w:p>
        </w:tc>
        <w:tc>
          <w:tcPr>
            <w:tcW w:w="3586" w:type="pct"/>
            <w:vAlign w:val="center"/>
          </w:tcPr>
          <w:p w14:paraId="3E4BD57F">
            <w:pPr>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1、项目管理和技术团队（3分）：</w:t>
            </w:r>
          </w:p>
          <w:p w14:paraId="7E4A4D50">
            <w:pPr>
              <w:spacing w:line="360" w:lineRule="auto"/>
              <w:jc w:val="left"/>
              <w:rPr>
                <w:rFonts w:ascii="宋体" w:hAnsi="宋体" w:eastAsia="宋体"/>
                <w:color w:val="000000" w:themeColor="text1"/>
                <w:sz w:val="24"/>
                <w:szCs w:val="24"/>
                <w:highlight w:val="none"/>
              </w:rPr>
            </w:pPr>
            <w:bookmarkStart w:id="79" w:name="OLE_LINK66"/>
            <w:bookmarkStart w:id="80" w:name="OLE_LINK65"/>
            <w:r>
              <w:rPr>
                <w:rFonts w:hint="eastAsia" w:ascii="宋体" w:hAnsi="宋体" w:eastAsia="宋体"/>
                <w:color w:val="000000" w:themeColor="text1"/>
                <w:sz w:val="24"/>
                <w:szCs w:val="24"/>
                <w:highlight w:val="none"/>
              </w:rPr>
              <w:t>拟投入本项目负责人、技术负责人和技术人员不少于3人，应具备一定的项目管理能力，具备专业技术水平。项目负责人具备高级信息系统项目管理师证书，技术负责人具备高级系统架构设计师证书，技术人员具备高级网络信息安全工程师证书或高级网络工程师证书或高级软件技术开发工程师证书，国家人社部和工信部颁发的证书，每提供一个，得1分；其他部门颁发的，每提供一个，得0.5分，同一人员不重复得分，国外证书不予认可。本项最多得3分。</w:t>
            </w:r>
          </w:p>
          <w:bookmarkEnd w:id="79"/>
          <w:bookmarkEnd w:id="80"/>
          <w:p w14:paraId="0384F0A6">
            <w:pPr>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注：上述人员须为投标人本单位工作人员（所有人员不得重复），不得在本项目中兼任其他职务，须提供上述人员的相关证书、本单位的劳务合同和社保、银行出具的投标截止时间前上1个月薪资流水等复印件（缺少其中一项不得分），未提供或提供不齐全的情况视为不满足。</w:t>
            </w:r>
          </w:p>
          <w:p w14:paraId="1E10CA14">
            <w:pPr>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2、项目安装团队（3分）：</w:t>
            </w:r>
          </w:p>
          <w:p w14:paraId="05251678">
            <w:pPr>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提供为安装团队所有人员办理高空作业商业保险的承诺，得</w:t>
            </w:r>
            <w:r>
              <w:rPr>
                <w:rFonts w:ascii="宋体" w:hAnsi="宋体" w:eastAsia="宋体"/>
                <w:color w:val="000000" w:themeColor="text1"/>
                <w:sz w:val="24"/>
                <w:szCs w:val="24"/>
                <w:highlight w:val="none"/>
              </w:rPr>
              <w:t>1分；</w:t>
            </w:r>
            <w:r>
              <w:rPr>
                <w:rFonts w:hint="eastAsia" w:ascii="宋体" w:hAnsi="宋体" w:eastAsia="宋体"/>
                <w:color w:val="000000" w:themeColor="text1"/>
                <w:sz w:val="24"/>
                <w:szCs w:val="24"/>
                <w:highlight w:val="none"/>
              </w:rPr>
              <w:t>投标人为该项目包段涉及各县区拟组建专业的安装团队（每组团队不少于3</w:t>
            </w:r>
            <w:r>
              <w:rPr>
                <w:rFonts w:ascii="宋体" w:hAnsi="宋体" w:eastAsia="宋体"/>
                <w:color w:val="000000" w:themeColor="text1"/>
                <w:sz w:val="24"/>
                <w:szCs w:val="24"/>
                <w:highlight w:val="none"/>
              </w:rPr>
              <w:t>人，提供组建团队单位意向协议证明文件和各团队组成人员名单），每组建一个得0.4分，最多得2分。</w:t>
            </w:r>
          </w:p>
        </w:tc>
        <w:tc>
          <w:tcPr>
            <w:tcW w:w="731" w:type="pct"/>
            <w:vAlign w:val="center"/>
          </w:tcPr>
          <w:p w14:paraId="6ED5C71C">
            <w:pPr>
              <w:spacing w:line="360" w:lineRule="auto"/>
              <w:jc w:val="center"/>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6</w:t>
            </w:r>
          </w:p>
        </w:tc>
      </w:tr>
      <w:tr w14:paraId="0ADFB2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3" w:type="pct"/>
            <w:vAlign w:val="center"/>
          </w:tcPr>
          <w:p w14:paraId="1E26094E">
            <w:pPr>
              <w:spacing w:line="360" w:lineRule="auto"/>
              <w:jc w:val="center"/>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质保</w:t>
            </w:r>
          </w:p>
        </w:tc>
        <w:tc>
          <w:tcPr>
            <w:tcW w:w="3586" w:type="pct"/>
          </w:tcPr>
          <w:p w14:paraId="343FB3C1">
            <w:pPr>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质保期须满足招标最低要求（不满足最低要求符合性审查不合格），在此基础上每增加1年质保，加2分，最多加4分。</w:t>
            </w:r>
          </w:p>
        </w:tc>
        <w:tc>
          <w:tcPr>
            <w:tcW w:w="731" w:type="pct"/>
            <w:vAlign w:val="center"/>
          </w:tcPr>
          <w:p w14:paraId="4EC75200">
            <w:pPr>
              <w:spacing w:line="360" w:lineRule="auto"/>
              <w:jc w:val="center"/>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4</w:t>
            </w:r>
          </w:p>
        </w:tc>
      </w:tr>
      <w:tr w14:paraId="1DB9DF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3" w:type="pct"/>
            <w:vAlign w:val="center"/>
          </w:tcPr>
          <w:p w14:paraId="2EF3A463">
            <w:pPr>
              <w:spacing w:line="360" w:lineRule="auto"/>
              <w:jc w:val="center"/>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综合能力</w:t>
            </w:r>
          </w:p>
        </w:tc>
        <w:tc>
          <w:tcPr>
            <w:tcW w:w="3586" w:type="pct"/>
          </w:tcPr>
          <w:p w14:paraId="53F625E8">
            <w:pPr>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1.企业认证：投标人提供核心产品制造商的有效期内质量管理体系认证、环境管理体系认证、信息安全管理体系认证、信息技术服务管理体系认证，每提供1项认证证书，得0.5分，本项最高得2分。投标文件中每项认证需同时提供证书扫描件和</w:t>
            </w:r>
            <w:bookmarkStart w:id="81" w:name="OLE_LINK54"/>
            <w:bookmarkStart w:id="82" w:name="OLE_LINK51"/>
            <w:r>
              <w:rPr>
                <w:rFonts w:hint="eastAsia" w:ascii="宋体" w:hAnsi="宋体" w:eastAsia="宋体"/>
                <w:color w:val="000000" w:themeColor="text1"/>
                <w:sz w:val="24"/>
                <w:szCs w:val="24"/>
                <w:highlight w:val="none"/>
              </w:rPr>
              <w:t>国家认证认可监督委员会官网</w:t>
            </w:r>
            <w:bookmarkEnd w:id="81"/>
            <w:bookmarkEnd w:id="82"/>
            <w:r>
              <w:rPr>
                <w:rFonts w:hint="eastAsia" w:ascii="宋体" w:hAnsi="宋体" w:eastAsia="宋体"/>
                <w:color w:val="000000" w:themeColor="text1"/>
                <w:sz w:val="24"/>
                <w:szCs w:val="24"/>
                <w:highlight w:val="none"/>
              </w:rPr>
              <w:t>查询截图，否则不得分。</w:t>
            </w:r>
          </w:p>
          <w:p w14:paraId="25191B1C">
            <w:pPr>
              <w:spacing w:line="360" w:lineRule="auto"/>
              <w:jc w:val="left"/>
              <w:rPr>
                <w:rFonts w:ascii="宋体" w:hAnsi="宋体" w:eastAsia="宋体"/>
                <w:color w:val="000000" w:themeColor="text1"/>
                <w:sz w:val="24"/>
                <w:szCs w:val="24"/>
                <w:highlight w:val="none"/>
              </w:rPr>
            </w:pPr>
            <w:r>
              <w:rPr>
                <w:rFonts w:ascii="宋体" w:hAnsi="宋体" w:eastAsia="宋体"/>
                <w:color w:val="000000" w:themeColor="text1"/>
                <w:sz w:val="24"/>
                <w:szCs w:val="24"/>
                <w:highlight w:val="none"/>
              </w:rPr>
              <w:t>2</w:t>
            </w:r>
            <w:r>
              <w:rPr>
                <w:rFonts w:hint="eastAsia" w:ascii="宋体" w:hAnsi="宋体" w:eastAsia="宋体"/>
                <w:color w:val="000000" w:themeColor="text1"/>
                <w:sz w:val="24"/>
                <w:szCs w:val="24"/>
                <w:highlight w:val="none"/>
              </w:rPr>
              <w:t>.知识产权：投标人提供核心产品制造商具备地震预警终端技术相关的专利。每提供1个，得0.5分，本项最高得2分。提供在有效期内的专利证书扫描件。</w:t>
            </w:r>
          </w:p>
          <w:p w14:paraId="4E996A86">
            <w:pPr>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3.防篡改密码安全管理：投标人提供</w:t>
            </w:r>
            <w:r>
              <w:rPr>
                <w:rFonts w:hint="eastAsia" w:ascii="宋体" w:hAnsi="宋体" w:eastAsia="宋体" w:cs="宋体"/>
                <w:color w:val="000000" w:themeColor="text1"/>
                <w:sz w:val="24"/>
                <w:szCs w:val="24"/>
                <w:highlight w:val="none"/>
              </w:rPr>
              <w:t>终端适配地震预警终端信息防篡改密码安全系统成功案例甲方加盖公章的证明材料（同时提供投标人与项目甲方的合同复印件），提供1份得1分，满分2分，</w:t>
            </w:r>
            <w:r>
              <w:rPr>
                <w:rFonts w:hint="eastAsia" w:ascii="宋体" w:hAnsi="宋体" w:eastAsia="宋体"/>
                <w:color w:val="000000" w:themeColor="text1"/>
                <w:sz w:val="24"/>
                <w:szCs w:val="24"/>
                <w:highlight w:val="none"/>
              </w:rPr>
              <w:t>未提供不得分。</w:t>
            </w:r>
          </w:p>
          <w:p w14:paraId="45CE7DB8">
            <w:pPr>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4.安全要求：提供投标人或制造商经第三方检测机构出具的信息系统安全等级保护备案证明，提供得2分，不提供不得分。</w:t>
            </w:r>
          </w:p>
        </w:tc>
        <w:tc>
          <w:tcPr>
            <w:tcW w:w="731" w:type="pct"/>
            <w:vAlign w:val="center"/>
          </w:tcPr>
          <w:p w14:paraId="0856526D">
            <w:pPr>
              <w:spacing w:line="360" w:lineRule="auto"/>
              <w:jc w:val="center"/>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8</w:t>
            </w:r>
          </w:p>
        </w:tc>
      </w:tr>
      <w:tr w14:paraId="00F2F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3" w:type="pct"/>
            <w:vAlign w:val="center"/>
          </w:tcPr>
          <w:p w14:paraId="23A1CB23">
            <w:pPr>
              <w:spacing w:line="360" w:lineRule="auto"/>
              <w:jc w:val="center"/>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案例业绩</w:t>
            </w:r>
          </w:p>
        </w:tc>
        <w:tc>
          <w:tcPr>
            <w:tcW w:w="3586" w:type="pct"/>
          </w:tcPr>
          <w:p w14:paraId="10FACF64">
            <w:pPr>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投标人自2023年1月1日至本项目招标公告发布之日前（以合同签订时间为准）与本次采购标的</w:t>
            </w:r>
            <w:bookmarkStart w:id="83" w:name="OLE_LINK10"/>
            <w:bookmarkStart w:id="84" w:name="OLE_LINK11"/>
            <w:r>
              <w:rPr>
                <w:rFonts w:hint="eastAsia" w:ascii="宋体" w:hAnsi="宋体" w:eastAsia="宋体"/>
                <w:color w:val="000000" w:themeColor="text1"/>
                <w:sz w:val="24"/>
                <w:szCs w:val="24"/>
                <w:highlight w:val="none"/>
              </w:rPr>
              <w:t>（至少包含一种核心产品）</w:t>
            </w:r>
            <w:bookmarkEnd w:id="83"/>
            <w:bookmarkEnd w:id="84"/>
            <w:r>
              <w:rPr>
                <w:rFonts w:hint="eastAsia" w:ascii="宋体" w:hAnsi="宋体" w:eastAsia="宋体"/>
                <w:color w:val="000000" w:themeColor="text1"/>
                <w:sz w:val="24"/>
                <w:szCs w:val="24"/>
                <w:highlight w:val="none"/>
              </w:rPr>
              <w:t>同类案例业绩。每个案例业绩需同时提供完整合同复印件、销售发票（同项目任意一笔付款）复印件并加盖投标人公章。缺少任意一项或复印件不完整或模糊不清的视为无效。每个案例1分，满分</w:t>
            </w:r>
            <w:r>
              <w:rPr>
                <w:rFonts w:ascii="宋体" w:hAnsi="宋体" w:eastAsia="宋体"/>
                <w:color w:val="000000" w:themeColor="text1"/>
                <w:sz w:val="24"/>
                <w:szCs w:val="24"/>
                <w:highlight w:val="none"/>
              </w:rPr>
              <w:t>5</w:t>
            </w:r>
            <w:r>
              <w:rPr>
                <w:rFonts w:hint="eastAsia" w:ascii="宋体" w:hAnsi="宋体" w:eastAsia="宋体"/>
                <w:color w:val="000000" w:themeColor="text1"/>
                <w:sz w:val="24"/>
                <w:szCs w:val="24"/>
                <w:highlight w:val="none"/>
              </w:rPr>
              <w:t>分。</w:t>
            </w:r>
          </w:p>
        </w:tc>
        <w:tc>
          <w:tcPr>
            <w:tcW w:w="731" w:type="pct"/>
            <w:vAlign w:val="center"/>
          </w:tcPr>
          <w:p w14:paraId="38A12D4F">
            <w:pPr>
              <w:spacing w:line="360" w:lineRule="auto"/>
              <w:jc w:val="center"/>
              <w:rPr>
                <w:rFonts w:ascii="宋体" w:hAnsi="宋体" w:eastAsia="宋体"/>
                <w:color w:val="000000" w:themeColor="text1"/>
                <w:sz w:val="24"/>
                <w:szCs w:val="24"/>
                <w:highlight w:val="none"/>
              </w:rPr>
            </w:pPr>
            <w:r>
              <w:rPr>
                <w:rFonts w:ascii="宋体" w:hAnsi="宋体" w:eastAsia="宋体"/>
                <w:color w:val="000000" w:themeColor="text1"/>
                <w:sz w:val="24"/>
                <w:szCs w:val="24"/>
                <w:highlight w:val="none"/>
              </w:rPr>
              <w:t>5</w:t>
            </w:r>
          </w:p>
        </w:tc>
      </w:tr>
      <w:tr w14:paraId="44C1D0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3" w:type="pct"/>
            <w:vAlign w:val="center"/>
          </w:tcPr>
          <w:p w14:paraId="14A0F228">
            <w:pPr>
              <w:spacing w:line="360" w:lineRule="auto"/>
              <w:jc w:val="center"/>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培训方案</w:t>
            </w:r>
          </w:p>
        </w:tc>
        <w:tc>
          <w:tcPr>
            <w:tcW w:w="3586" w:type="pct"/>
          </w:tcPr>
          <w:p w14:paraId="05CC4C24">
            <w:pPr>
              <w:tabs>
                <w:tab w:val="left" w:pos="312"/>
              </w:tabs>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1、根据投标人针对本项目提供的培训方案内容包含：</w:t>
            </w:r>
            <w:r>
              <w:rPr>
                <w:rFonts w:ascii="宋体" w:hAnsi="宋体" w:eastAsia="宋体"/>
                <w:color w:val="000000" w:themeColor="text1"/>
                <w:sz w:val="24"/>
                <w:szCs w:val="24"/>
                <w:highlight w:val="none"/>
              </w:rPr>
              <w:fldChar w:fldCharType="begin"/>
            </w:r>
            <w:r>
              <w:rPr>
                <w:rFonts w:ascii="宋体" w:hAnsi="宋体" w:eastAsia="宋体"/>
                <w:color w:val="000000" w:themeColor="text1"/>
                <w:sz w:val="24"/>
                <w:szCs w:val="24"/>
                <w:highlight w:val="none"/>
              </w:rPr>
              <w:instrText xml:space="preserve"> </w:instrText>
            </w:r>
            <w:r>
              <w:rPr>
                <w:rFonts w:hint="eastAsia" w:ascii="宋体" w:hAnsi="宋体" w:eastAsia="宋体"/>
                <w:color w:val="000000" w:themeColor="text1"/>
                <w:sz w:val="24"/>
                <w:szCs w:val="24"/>
                <w:highlight w:val="none"/>
              </w:rPr>
              <w:instrText xml:space="preserve">= 1 \* GB3</w:instrText>
            </w:r>
            <w:r>
              <w:rPr>
                <w:rFonts w:ascii="宋体" w:hAnsi="宋体" w:eastAsia="宋体"/>
                <w:color w:val="000000" w:themeColor="text1"/>
                <w:sz w:val="24"/>
                <w:szCs w:val="24"/>
                <w:highlight w:val="none"/>
              </w:rPr>
              <w:instrText xml:space="preserve"> </w:instrText>
            </w:r>
            <w:r>
              <w:rPr>
                <w:rFonts w:ascii="宋体" w:hAnsi="宋体" w:eastAsia="宋体"/>
                <w:color w:val="000000" w:themeColor="text1"/>
                <w:sz w:val="24"/>
                <w:szCs w:val="24"/>
                <w:highlight w:val="none"/>
              </w:rPr>
              <w:fldChar w:fldCharType="separate"/>
            </w:r>
            <w:r>
              <w:rPr>
                <w:rFonts w:hint="eastAsia" w:ascii="宋体" w:hAnsi="宋体" w:eastAsia="宋体"/>
                <w:color w:val="000000" w:themeColor="text1"/>
                <w:sz w:val="24"/>
                <w:szCs w:val="24"/>
                <w:highlight w:val="none"/>
              </w:rPr>
              <w:t>①</w:t>
            </w:r>
            <w:r>
              <w:rPr>
                <w:rFonts w:ascii="宋体" w:hAnsi="宋体" w:eastAsia="宋体"/>
                <w:color w:val="000000" w:themeColor="text1"/>
                <w:sz w:val="24"/>
                <w:szCs w:val="24"/>
                <w:highlight w:val="none"/>
              </w:rPr>
              <w:fldChar w:fldCharType="end"/>
            </w:r>
            <w:r>
              <w:rPr>
                <w:rFonts w:hint="eastAsia" w:ascii="宋体" w:hAnsi="宋体" w:eastAsia="宋体"/>
                <w:color w:val="000000" w:themeColor="text1"/>
                <w:sz w:val="24"/>
                <w:szCs w:val="24"/>
                <w:highlight w:val="none"/>
              </w:rPr>
              <w:t>培训计划</w:t>
            </w:r>
            <w:r>
              <w:rPr>
                <w:rFonts w:ascii="宋体" w:hAnsi="宋体" w:eastAsia="宋体"/>
                <w:color w:val="000000" w:themeColor="text1"/>
                <w:sz w:val="24"/>
                <w:szCs w:val="24"/>
                <w:highlight w:val="none"/>
              </w:rPr>
              <w:fldChar w:fldCharType="begin"/>
            </w:r>
            <w:r>
              <w:rPr>
                <w:rFonts w:ascii="宋体" w:hAnsi="宋体" w:eastAsia="宋体"/>
                <w:color w:val="000000" w:themeColor="text1"/>
                <w:sz w:val="24"/>
                <w:szCs w:val="24"/>
                <w:highlight w:val="none"/>
              </w:rPr>
              <w:instrText xml:space="preserve"> </w:instrText>
            </w:r>
            <w:r>
              <w:rPr>
                <w:rFonts w:hint="eastAsia" w:ascii="宋体" w:hAnsi="宋体" w:eastAsia="宋体"/>
                <w:color w:val="000000" w:themeColor="text1"/>
                <w:sz w:val="24"/>
                <w:szCs w:val="24"/>
                <w:highlight w:val="none"/>
              </w:rPr>
              <w:instrText xml:space="preserve">= 2 \* GB3</w:instrText>
            </w:r>
            <w:r>
              <w:rPr>
                <w:rFonts w:ascii="宋体" w:hAnsi="宋体" w:eastAsia="宋体"/>
                <w:color w:val="000000" w:themeColor="text1"/>
                <w:sz w:val="24"/>
                <w:szCs w:val="24"/>
                <w:highlight w:val="none"/>
              </w:rPr>
              <w:instrText xml:space="preserve"> </w:instrText>
            </w:r>
            <w:r>
              <w:rPr>
                <w:rFonts w:ascii="宋体" w:hAnsi="宋体" w:eastAsia="宋体"/>
                <w:color w:val="000000" w:themeColor="text1"/>
                <w:sz w:val="24"/>
                <w:szCs w:val="24"/>
                <w:highlight w:val="none"/>
              </w:rPr>
              <w:fldChar w:fldCharType="separate"/>
            </w:r>
            <w:r>
              <w:rPr>
                <w:rFonts w:hint="eastAsia" w:ascii="宋体" w:hAnsi="宋体" w:eastAsia="宋体"/>
                <w:color w:val="000000" w:themeColor="text1"/>
                <w:sz w:val="24"/>
                <w:szCs w:val="24"/>
                <w:highlight w:val="none"/>
              </w:rPr>
              <w:t>②</w:t>
            </w:r>
            <w:r>
              <w:rPr>
                <w:rFonts w:ascii="宋体" w:hAnsi="宋体" w:eastAsia="宋体"/>
                <w:color w:val="000000" w:themeColor="text1"/>
                <w:sz w:val="24"/>
                <w:szCs w:val="24"/>
                <w:highlight w:val="none"/>
              </w:rPr>
              <w:fldChar w:fldCharType="end"/>
            </w:r>
            <w:r>
              <w:rPr>
                <w:rFonts w:hint="eastAsia" w:ascii="宋体" w:hAnsi="宋体" w:eastAsia="宋体"/>
                <w:color w:val="000000" w:themeColor="text1"/>
                <w:sz w:val="24"/>
                <w:szCs w:val="24"/>
                <w:highlight w:val="none"/>
              </w:rPr>
              <w:t>培训对象</w:t>
            </w:r>
            <w:r>
              <w:rPr>
                <w:rFonts w:ascii="宋体" w:hAnsi="宋体" w:eastAsia="宋体"/>
                <w:color w:val="000000" w:themeColor="text1"/>
                <w:sz w:val="24"/>
                <w:szCs w:val="24"/>
                <w:highlight w:val="none"/>
              </w:rPr>
              <w:fldChar w:fldCharType="begin"/>
            </w:r>
            <w:r>
              <w:rPr>
                <w:rFonts w:ascii="宋体" w:hAnsi="宋体" w:eastAsia="宋体"/>
                <w:color w:val="000000" w:themeColor="text1"/>
                <w:sz w:val="24"/>
                <w:szCs w:val="24"/>
                <w:highlight w:val="none"/>
              </w:rPr>
              <w:instrText xml:space="preserve"> </w:instrText>
            </w:r>
            <w:r>
              <w:rPr>
                <w:rFonts w:hint="eastAsia" w:ascii="宋体" w:hAnsi="宋体" w:eastAsia="宋体"/>
                <w:color w:val="000000" w:themeColor="text1"/>
                <w:sz w:val="24"/>
                <w:szCs w:val="24"/>
                <w:highlight w:val="none"/>
              </w:rPr>
              <w:instrText xml:space="preserve">= 3 \* GB3</w:instrText>
            </w:r>
            <w:r>
              <w:rPr>
                <w:rFonts w:ascii="宋体" w:hAnsi="宋体" w:eastAsia="宋体"/>
                <w:color w:val="000000" w:themeColor="text1"/>
                <w:sz w:val="24"/>
                <w:szCs w:val="24"/>
                <w:highlight w:val="none"/>
              </w:rPr>
              <w:instrText xml:space="preserve"> </w:instrText>
            </w:r>
            <w:r>
              <w:rPr>
                <w:rFonts w:ascii="宋体" w:hAnsi="宋体" w:eastAsia="宋体"/>
                <w:color w:val="000000" w:themeColor="text1"/>
                <w:sz w:val="24"/>
                <w:szCs w:val="24"/>
                <w:highlight w:val="none"/>
              </w:rPr>
              <w:fldChar w:fldCharType="separate"/>
            </w:r>
            <w:r>
              <w:rPr>
                <w:rFonts w:hint="eastAsia" w:ascii="宋体" w:hAnsi="宋体" w:eastAsia="宋体"/>
                <w:color w:val="000000" w:themeColor="text1"/>
                <w:sz w:val="24"/>
                <w:szCs w:val="24"/>
                <w:highlight w:val="none"/>
              </w:rPr>
              <w:t>③</w:t>
            </w:r>
            <w:r>
              <w:rPr>
                <w:rFonts w:ascii="宋体" w:hAnsi="宋体" w:eastAsia="宋体"/>
                <w:color w:val="000000" w:themeColor="text1"/>
                <w:sz w:val="24"/>
                <w:szCs w:val="24"/>
                <w:highlight w:val="none"/>
              </w:rPr>
              <w:fldChar w:fldCharType="end"/>
            </w:r>
            <w:r>
              <w:rPr>
                <w:rFonts w:hint="eastAsia" w:ascii="宋体" w:hAnsi="宋体" w:eastAsia="宋体"/>
                <w:color w:val="000000" w:themeColor="text1"/>
                <w:sz w:val="24"/>
                <w:szCs w:val="24"/>
                <w:highlight w:val="none"/>
              </w:rPr>
              <w:t>培训资料</w:t>
            </w:r>
            <w:r>
              <w:rPr>
                <w:rFonts w:ascii="宋体" w:hAnsi="宋体" w:eastAsia="宋体"/>
                <w:color w:val="000000" w:themeColor="text1"/>
                <w:sz w:val="24"/>
                <w:szCs w:val="24"/>
                <w:highlight w:val="none"/>
              </w:rPr>
              <w:fldChar w:fldCharType="begin"/>
            </w:r>
            <w:r>
              <w:rPr>
                <w:rFonts w:ascii="宋体" w:hAnsi="宋体" w:eastAsia="宋体"/>
                <w:color w:val="000000" w:themeColor="text1"/>
                <w:sz w:val="24"/>
                <w:szCs w:val="24"/>
                <w:highlight w:val="none"/>
              </w:rPr>
              <w:instrText xml:space="preserve"> </w:instrText>
            </w:r>
            <w:r>
              <w:rPr>
                <w:rFonts w:hint="eastAsia" w:ascii="宋体" w:hAnsi="宋体" w:eastAsia="宋体"/>
                <w:color w:val="000000" w:themeColor="text1"/>
                <w:sz w:val="24"/>
                <w:szCs w:val="24"/>
                <w:highlight w:val="none"/>
              </w:rPr>
              <w:instrText xml:space="preserve">= 4 \* GB3</w:instrText>
            </w:r>
            <w:r>
              <w:rPr>
                <w:rFonts w:ascii="宋体" w:hAnsi="宋体" w:eastAsia="宋体"/>
                <w:color w:val="000000" w:themeColor="text1"/>
                <w:sz w:val="24"/>
                <w:szCs w:val="24"/>
                <w:highlight w:val="none"/>
              </w:rPr>
              <w:instrText xml:space="preserve"> </w:instrText>
            </w:r>
            <w:r>
              <w:rPr>
                <w:rFonts w:ascii="宋体" w:hAnsi="宋体" w:eastAsia="宋体"/>
                <w:color w:val="000000" w:themeColor="text1"/>
                <w:sz w:val="24"/>
                <w:szCs w:val="24"/>
                <w:highlight w:val="none"/>
              </w:rPr>
              <w:fldChar w:fldCharType="separate"/>
            </w:r>
            <w:r>
              <w:rPr>
                <w:rFonts w:hint="eastAsia" w:ascii="宋体" w:hAnsi="宋体" w:eastAsia="宋体"/>
                <w:color w:val="000000" w:themeColor="text1"/>
                <w:sz w:val="24"/>
                <w:szCs w:val="24"/>
                <w:highlight w:val="none"/>
              </w:rPr>
              <w:t>④</w:t>
            </w:r>
            <w:r>
              <w:rPr>
                <w:rFonts w:ascii="宋体" w:hAnsi="宋体" w:eastAsia="宋体"/>
                <w:color w:val="000000" w:themeColor="text1"/>
                <w:sz w:val="24"/>
                <w:szCs w:val="24"/>
                <w:highlight w:val="none"/>
              </w:rPr>
              <w:fldChar w:fldCharType="end"/>
            </w:r>
            <w:r>
              <w:rPr>
                <w:rFonts w:hint="eastAsia" w:ascii="宋体" w:hAnsi="宋体" w:eastAsia="宋体"/>
                <w:color w:val="000000" w:themeColor="text1"/>
                <w:sz w:val="24"/>
                <w:szCs w:val="24"/>
                <w:highlight w:val="none"/>
              </w:rPr>
              <w:t>培训过程</w:t>
            </w:r>
            <w:r>
              <w:rPr>
                <w:rFonts w:ascii="宋体" w:hAnsi="宋体" w:eastAsia="宋体"/>
                <w:color w:val="000000" w:themeColor="text1"/>
                <w:sz w:val="24"/>
                <w:szCs w:val="24"/>
                <w:highlight w:val="none"/>
              </w:rPr>
              <w:fldChar w:fldCharType="begin"/>
            </w:r>
            <w:r>
              <w:rPr>
                <w:rFonts w:ascii="宋体" w:hAnsi="宋体" w:eastAsia="宋体"/>
                <w:color w:val="000000" w:themeColor="text1"/>
                <w:sz w:val="24"/>
                <w:szCs w:val="24"/>
                <w:highlight w:val="none"/>
              </w:rPr>
              <w:instrText xml:space="preserve"> </w:instrText>
            </w:r>
            <w:r>
              <w:rPr>
                <w:rFonts w:hint="eastAsia" w:ascii="宋体" w:hAnsi="宋体" w:eastAsia="宋体"/>
                <w:color w:val="000000" w:themeColor="text1"/>
                <w:sz w:val="24"/>
                <w:szCs w:val="24"/>
                <w:highlight w:val="none"/>
              </w:rPr>
              <w:instrText xml:space="preserve">= 5 \* GB3</w:instrText>
            </w:r>
            <w:r>
              <w:rPr>
                <w:rFonts w:ascii="宋体" w:hAnsi="宋体" w:eastAsia="宋体"/>
                <w:color w:val="000000" w:themeColor="text1"/>
                <w:sz w:val="24"/>
                <w:szCs w:val="24"/>
                <w:highlight w:val="none"/>
              </w:rPr>
              <w:instrText xml:space="preserve"> </w:instrText>
            </w:r>
            <w:r>
              <w:rPr>
                <w:rFonts w:ascii="宋体" w:hAnsi="宋体" w:eastAsia="宋体"/>
                <w:color w:val="000000" w:themeColor="text1"/>
                <w:sz w:val="24"/>
                <w:szCs w:val="24"/>
                <w:highlight w:val="none"/>
              </w:rPr>
              <w:fldChar w:fldCharType="separate"/>
            </w:r>
            <w:r>
              <w:rPr>
                <w:rFonts w:hint="eastAsia" w:ascii="宋体" w:hAnsi="宋体" w:eastAsia="宋体"/>
                <w:color w:val="000000" w:themeColor="text1"/>
                <w:sz w:val="24"/>
                <w:szCs w:val="24"/>
                <w:highlight w:val="none"/>
              </w:rPr>
              <w:t>⑤</w:t>
            </w:r>
            <w:r>
              <w:rPr>
                <w:rFonts w:ascii="宋体" w:hAnsi="宋体" w:eastAsia="宋体"/>
                <w:color w:val="000000" w:themeColor="text1"/>
                <w:sz w:val="24"/>
                <w:szCs w:val="24"/>
                <w:highlight w:val="none"/>
              </w:rPr>
              <w:fldChar w:fldCharType="end"/>
            </w:r>
            <w:r>
              <w:rPr>
                <w:rFonts w:hint="eastAsia" w:ascii="宋体" w:hAnsi="宋体" w:eastAsia="宋体"/>
                <w:color w:val="000000" w:themeColor="text1"/>
                <w:sz w:val="24"/>
                <w:szCs w:val="24"/>
                <w:highlight w:val="none"/>
              </w:rPr>
              <w:t>培训成效评价。评审专家根据（1.完整性：方案必须全面，对评审内容中的各项要求有详细描述；2.可实施性：切合本项目实际情况，提出步骤清晰、合理的方案；3.针对性：方案能够紧扣项目实际情况，内容科学合理。）进行赋分：</w:t>
            </w:r>
            <w:r>
              <w:rPr>
                <w:rFonts w:ascii="宋体" w:hAnsi="宋体" w:eastAsia="宋体"/>
                <w:color w:val="000000" w:themeColor="text1"/>
                <w:sz w:val="24"/>
                <w:szCs w:val="24"/>
                <w:highlight w:val="none"/>
              </w:rPr>
              <w:fldChar w:fldCharType="begin"/>
            </w:r>
            <w:r>
              <w:rPr>
                <w:rFonts w:ascii="宋体" w:hAnsi="宋体" w:eastAsia="宋体"/>
                <w:color w:val="000000" w:themeColor="text1"/>
                <w:sz w:val="24"/>
                <w:szCs w:val="24"/>
                <w:highlight w:val="none"/>
              </w:rPr>
              <w:instrText xml:space="preserve"> </w:instrText>
            </w:r>
            <w:r>
              <w:rPr>
                <w:rFonts w:hint="eastAsia" w:ascii="宋体" w:hAnsi="宋体" w:eastAsia="宋体"/>
                <w:color w:val="000000" w:themeColor="text1"/>
                <w:sz w:val="24"/>
                <w:szCs w:val="24"/>
                <w:highlight w:val="none"/>
              </w:rPr>
              <w:instrText xml:space="preserve">= 1 \* GB3</w:instrText>
            </w:r>
            <w:r>
              <w:rPr>
                <w:rFonts w:ascii="宋体" w:hAnsi="宋体" w:eastAsia="宋体"/>
                <w:color w:val="000000" w:themeColor="text1"/>
                <w:sz w:val="24"/>
                <w:szCs w:val="24"/>
                <w:highlight w:val="none"/>
              </w:rPr>
              <w:instrText xml:space="preserve"> </w:instrText>
            </w:r>
            <w:r>
              <w:rPr>
                <w:rFonts w:ascii="宋体" w:hAnsi="宋体" w:eastAsia="宋体"/>
                <w:color w:val="000000" w:themeColor="text1"/>
                <w:sz w:val="24"/>
                <w:szCs w:val="24"/>
                <w:highlight w:val="none"/>
              </w:rPr>
              <w:fldChar w:fldCharType="separate"/>
            </w:r>
            <w:r>
              <w:rPr>
                <w:rFonts w:hint="eastAsia" w:ascii="宋体" w:hAnsi="宋体" w:eastAsia="宋体"/>
                <w:color w:val="000000" w:themeColor="text1"/>
                <w:sz w:val="24"/>
                <w:szCs w:val="24"/>
                <w:highlight w:val="none"/>
              </w:rPr>
              <w:t>①</w:t>
            </w:r>
            <w:r>
              <w:rPr>
                <w:rFonts w:ascii="宋体" w:hAnsi="宋体" w:eastAsia="宋体"/>
                <w:color w:val="000000" w:themeColor="text1"/>
                <w:sz w:val="24"/>
                <w:szCs w:val="24"/>
                <w:highlight w:val="none"/>
              </w:rPr>
              <w:fldChar w:fldCharType="end"/>
            </w:r>
            <w:r>
              <w:rPr>
                <w:rFonts w:hint="eastAsia" w:ascii="宋体" w:hAnsi="宋体" w:eastAsia="宋体"/>
                <w:color w:val="000000" w:themeColor="text1"/>
                <w:sz w:val="24"/>
                <w:szCs w:val="24"/>
                <w:highlight w:val="none"/>
              </w:rPr>
              <w:t>培训计划根据完整性、可实施性和针对性，计0-0.6分，</w:t>
            </w:r>
            <w:r>
              <w:rPr>
                <w:rFonts w:ascii="宋体" w:hAnsi="宋体" w:eastAsia="宋体"/>
                <w:color w:val="000000" w:themeColor="text1"/>
                <w:sz w:val="24"/>
                <w:szCs w:val="24"/>
                <w:highlight w:val="none"/>
              </w:rPr>
              <w:fldChar w:fldCharType="begin"/>
            </w:r>
            <w:r>
              <w:rPr>
                <w:rFonts w:ascii="宋体" w:hAnsi="宋体" w:eastAsia="宋体"/>
                <w:color w:val="000000" w:themeColor="text1"/>
                <w:sz w:val="24"/>
                <w:szCs w:val="24"/>
                <w:highlight w:val="none"/>
              </w:rPr>
              <w:instrText xml:space="preserve"> </w:instrText>
            </w:r>
            <w:r>
              <w:rPr>
                <w:rFonts w:hint="eastAsia" w:ascii="宋体" w:hAnsi="宋体" w:eastAsia="宋体"/>
                <w:color w:val="000000" w:themeColor="text1"/>
                <w:sz w:val="24"/>
                <w:szCs w:val="24"/>
                <w:highlight w:val="none"/>
              </w:rPr>
              <w:instrText xml:space="preserve">= 2 \* GB3</w:instrText>
            </w:r>
            <w:r>
              <w:rPr>
                <w:rFonts w:ascii="宋体" w:hAnsi="宋体" w:eastAsia="宋体"/>
                <w:color w:val="000000" w:themeColor="text1"/>
                <w:sz w:val="24"/>
                <w:szCs w:val="24"/>
                <w:highlight w:val="none"/>
              </w:rPr>
              <w:instrText xml:space="preserve"> </w:instrText>
            </w:r>
            <w:r>
              <w:rPr>
                <w:rFonts w:ascii="宋体" w:hAnsi="宋体" w:eastAsia="宋体"/>
                <w:color w:val="000000" w:themeColor="text1"/>
                <w:sz w:val="24"/>
                <w:szCs w:val="24"/>
                <w:highlight w:val="none"/>
              </w:rPr>
              <w:fldChar w:fldCharType="separate"/>
            </w:r>
            <w:r>
              <w:rPr>
                <w:rFonts w:hint="eastAsia" w:ascii="宋体" w:hAnsi="宋体" w:eastAsia="宋体"/>
                <w:color w:val="000000" w:themeColor="text1"/>
                <w:sz w:val="24"/>
                <w:szCs w:val="24"/>
                <w:highlight w:val="none"/>
              </w:rPr>
              <w:t>②</w:t>
            </w:r>
            <w:r>
              <w:rPr>
                <w:rFonts w:ascii="宋体" w:hAnsi="宋体" w:eastAsia="宋体"/>
                <w:color w:val="000000" w:themeColor="text1"/>
                <w:sz w:val="24"/>
                <w:szCs w:val="24"/>
                <w:highlight w:val="none"/>
              </w:rPr>
              <w:fldChar w:fldCharType="end"/>
            </w:r>
            <w:r>
              <w:rPr>
                <w:rFonts w:hint="eastAsia" w:ascii="宋体" w:hAnsi="宋体" w:eastAsia="宋体"/>
                <w:color w:val="000000" w:themeColor="text1"/>
                <w:sz w:val="24"/>
                <w:szCs w:val="24"/>
                <w:highlight w:val="none"/>
              </w:rPr>
              <w:t>培训对象根据完整性、可实施性和针对性，计0-0.6分，</w:t>
            </w:r>
            <w:r>
              <w:rPr>
                <w:rFonts w:ascii="宋体" w:hAnsi="宋体" w:eastAsia="宋体"/>
                <w:color w:val="000000" w:themeColor="text1"/>
                <w:sz w:val="24"/>
                <w:szCs w:val="24"/>
                <w:highlight w:val="none"/>
              </w:rPr>
              <w:fldChar w:fldCharType="begin"/>
            </w:r>
            <w:r>
              <w:rPr>
                <w:rFonts w:ascii="宋体" w:hAnsi="宋体" w:eastAsia="宋体"/>
                <w:color w:val="000000" w:themeColor="text1"/>
                <w:sz w:val="24"/>
                <w:szCs w:val="24"/>
                <w:highlight w:val="none"/>
              </w:rPr>
              <w:instrText xml:space="preserve"> </w:instrText>
            </w:r>
            <w:r>
              <w:rPr>
                <w:rFonts w:hint="eastAsia" w:ascii="宋体" w:hAnsi="宋体" w:eastAsia="宋体"/>
                <w:color w:val="000000" w:themeColor="text1"/>
                <w:sz w:val="24"/>
                <w:szCs w:val="24"/>
                <w:highlight w:val="none"/>
              </w:rPr>
              <w:instrText xml:space="preserve">= 3 \* GB3</w:instrText>
            </w:r>
            <w:r>
              <w:rPr>
                <w:rFonts w:ascii="宋体" w:hAnsi="宋体" w:eastAsia="宋体"/>
                <w:color w:val="000000" w:themeColor="text1"/>
                <w:sz w:val="24"/>
                <w:szCs w:val="24"/>
                <w:highlight w:val="none"/>
              </w:rPr>
              <w:instrText xml:space="preserve"> </w:instrText>
            </w:r>
            <w:r>
              <w:rPr>
                <w:rFonts w:ascii="宋体" w:hAnsi="宋体" w:eastAsia="宋体"/>
                <w:color w:val="000000" w:themeColor="text1"/>
                <w:sz w:val="24"/>
                <w:szCs w:val="24"/>
                <w:highlight w:val="none"/>
              </w:rPr>
              <w:fldChar w:fldCharType="separate"/>
            </w:r>
            <w:r>
              <w:rPr>
                <w:rFonts w:hint="eastAsia" w:ascii="宋体" w:hAnsi="宋体" w:eastAsia="宋体"/>
                <w:color w:val="000000" w:themeColor="text1"/>
                <w:sz w:val="24"/>
                <w:szCs w:val="24"/>
                <w:highlight w:val="none"/>
              </w:rPr>
              <w:t>③</w:t>
            </w:r>
            <w:r>
              <w:rPr>
                <w:rFonts w:ascii="宋体" w:hAnsi="宋体" w:eastAsia="宋体"/>
                <w:color w:val="000000" w:themeColor="text1"/>
                <w:sz w:val="24"/>
                <w:szCs w:val="24"/>
                <w:highlight w:val="none"/>
              </w:rPr>
              <w:fldChar w:fldCharType="end"/>
            </w:r>
            <w:r>
              <w:rPr>
                <w:rFonts w:hint="eastAsia" w:ascii="宋体" w:hAnsi="宋体" w:eastAsia="宋体"/>
                <w:color w:val="000000" w:themeColor="text1"/>
                <w:sz w:val="24"/>
                <w:szCs w:val="24"/>
                <w:highlight w:val="none"/>
              </w:rPr>
              <w:t>培训资料根据完整性、可实施性和针对性，计0-0.6分，</w:t>
            </w:r>
            <w:r>
              <w:rPr>
                <w:rFonts w:ascii="宋体" w:hAnsi="宋体" w:eastAsia="宋体"/>
                <w:color w:val="000000" w:themeColor="text1"/>
                <w:sz w:val="24"/>
                <w:szCs w:val="24"/>
                <w:highlight w:val="none"/>
              </w:rPr>
              <w:fldChar w:fldCharType="begin"/>
            </w:r>
            <w:r>
              <w:rPr>
                <w:rFonts w:ascii="宋体" w:hAnsi="宋体" w:eastAsia="宋体"/>
                <w:color w:val="000000" w:themeColor="text1"/>
                <w:sz w:val="24"/>
                <w:szCs w:val="24"/>
                <w:highlight w:val="none"/>
              </w:rPr>
              <w:instrText xml:space="preserve"> </w:instrText>
            </w:r>
            <w:r>
              <w:rPr>
                <w:rFonts w:hint="eastAsia" w:ascii="宋体" w:hAnsi="宋体" w:eastAsia="宋体"/>
                <w:color w:val="000000" w:themeColor="text1"/>
                <w:sz w:val="24"/>
                <w:szCs w:val="24"/>
                <w:highlight w:val="none"/>
              </w:rPr>
              <w:instrText xml:space="preserve">= 4 \* GB3</w:instrText>
            </w:r>
            <w:r>
              <w:rPr>
                <w:rFonts w:ascii="宋体" w:hAnsi="宋体" w:eastAsia="宋体"/>
                <w:color w:val="000000" w:themeColor="text1"/>
                <w:sz w:val="24"/>
                <w:szCs w:val="24"/>
                <w:highlight w:val="none"/>
              </w:rPr>
              <w:instrText xml:space="preserve"> </w:instrText>
            </w:r>
            <w:r>
              <w:rPr>
                <w:rFonts w:ascii="宋体" w:hAnsi="宋体" w:eastAsia="宋体"/>
                <w:color w:val="000000" w:themeColor="text1"/>
                <w:sz w:val="24"/>
                <w:szCs w:val="24"/>
                <w:highlight w:val="none"/>
              </w:rPr>
              <w:fldChar w:fldCharType="separate"/>
            </w:r>
            <w:r>
              <w:rPr>
                <w:rFonts w:hint="eastAsia" w:ascii="宋体" w:hAnsi="宋体" w:eastAsia="宋体"/>
                <w:color w:val="000000" w:themeColor="text1"/>
                <w:sz w:val="24"/>
                <w:szCs w:val="24"/>
                <w:highlight w:val="none"/>
              </w:rPr>
              <w:t>④</w:t>
            </w:r>
            <w:r>
              <w:rPr>
                <w:rFonts w:ascii="宋体" w:hAnsi="宋体" w:eastAsia="宋体"/>
                <w:color w:val="000000" w:themeColor="text1"/>
                <w:sz w:val="24"/>
                <w:szCs w:val="24"/>
                <w:highlight w:val="none"/>
              </w:rPr>
              <w:fldChar w:fldCharType="end"/>
            </w:r>
            <w:r>
              <w:rPr>
                <w:rFonts w:hint="eastAsia" w:ascii="宋体" w:hAnsi="宋体" w:eastAsia="宋体"/>
                <w:color w:val="000000" w:themeColor="text1"/>
                <w:sz w:val="24"/>
                <w:szCs w:val="24"/>
                <w:highlight w:val="none"/>
              </w:rPr>
              <w:t>培训过程根据完整性、可实施性和针对性，计0-0.6分，</w:t>
            </w:r>
            <w:r>
              <w:rPr>
                <w:rFonts w:ascii="宋体" w:hAnsi="宋体" w:eastAsia="宋体"/>
                <w:color w:val="000000" w:themeColor="text1"/>
                <w:sz w:val="24"/>
                <w:szCs w:val="24"/>
                <w:highlight w:val="none"/>
              </w:rPr>
              <w:fldChar w:fldCharType="begin"/>
            </w:r>
            <w:r>
              <w:rPr>
                <w:rFonts w:ascii="宋体" w:hAnsi="宋体" w:eastAsia="宋体"/>
                <w:color w:val="000000" w:themeColor="text1"/>
                <w:sz w:val="24"/>
                <w:szCs w:val="24"/>
                <w:highlight w:val="none"/>
              </w:rPr>
              <w:instrText xml:space="preserve"> </w:instrText>
            </w:r>
            <w:r>
              <w:rPr>
                <w:rFonts w:hint="eastAsia" w:ascii="宋体" w:hAnsi="宋体" w:eastAsia="宋体"/>
                <w:color w:val="000000" w:themeColor="text1"/>
                <w:sz w:val="24"/>
                <w:szCs w:val="24"/>
                <w:highlight w:val="none"/>
              </w:rPr>
              <w:instrText xml:space="preserve">= 5 \* GB3</w:instrText>
            </w:r>
            <w:r>
              <w:rPr>
                <w:rFonts w:ascii="宋体" w:hAnsi="宋体" w:eastAsia="宋体"/>
                <w:color w:val="000000" w:themeColor="text1"/>
                <w:sz w:val="24"/>
                <w:szCs w:val="24"/>
                <w:highlight w:val="none"/>
              </w:rPr>
              <w:instrText xml:space="preserve"> </w:instrText>
            </w:r>
            <w:r>
              <w:rPr>
                <w:rFonts w:ascii="宋体" w:hAnsi="宋体" w:eastAsia="宋体"/>
                <w:color w:val="000000" w:themeColor="text1"/>
                <w:sz w:val="24"/>
                <w:szCs w:val="24"/>
                <w:highlight w:val="none"/>
              </w:rPr>
              <w:fldChar w:fldCharType="separate"/>
            </w:r>
            <w:r>
              <w:rPr>
                <w:rFonts w:hint="eastAsia" w:ascii="宋体" w:hAnsi="宋体" w:eastAsia="宋体"/>
                <w:color w:val="000000" w:themeColor="text1"/>
                <w:sz w:val="24"/>
                <w:szCs w:val="24"/>
                <w:highlight w:val="none"/>
              </w:rPr>
              <w:t>⑤</w:t>
            </w:r>
            <w:r>
              <w:rPr>
                <w:rFonts w:ascii="宋体" w:hAnsi="宋体" w:eastAsia="宋体"/>
                <w:color w:val="000000" w:themeColor="text1"/>
                <w:sz w:val="24"/>
                <w:szCs w:val="24"/>
                <w:highlight w:val="none"/>
              </w:rPr>
              <w:fldChar w:fldCharType="end"/>
            </w:r>
            <w:r>
              <w:rPr>
                <w:rFonts w:hint="eastAsia" w:ascii="宋体" w:hAnsi="宋体" w:eastAsia="宋体"/>
                <w:color w:val="000000" w:themeColor="text1"/>
                <w:sz w:val="24"/>
                <w:szCs w:val="24"/>
                <w:highlight w:val="none"/>
              </w:rPr>
              <w:t>培训成效评价根据完整性、可实施性和针对性，计0-0.6分。</w:t>
            </w:r>
          </w:p>
          <w:p w14:paraId="4B5CDE1D">
            <w:pPr>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2、投标人提供2023年1月1日至本项目招标公告发布之日前全国范围内地震预警相关专题授课培训成功案例，每提供1个案例得</w:t>
            </w:r>
            <w:r>
              <w:rPr>
                <w:rFonts w:ascii="宋体" w:hAnsi="宋体" w:eastAsia="宋体"/>
                <w:color w:val="000000" w:themeColor="text1"/>
                <w:sz w:val="24"/>
                <w:szCs w:val="24"/>
                <w:highlight w:val="none"/>
              </w:rPr>
              <w:t>0.5</w:t>
            </w:r>
            <w:r>
              <w:rPr>
                <w:rFonts w:hint="eastAsia" w:ascii="宋体" w:hAnsi="宋体" w:eastAsia="宋体"/>
                <w:color w:val="000000" w:themeColor="text1"/>
                <w:sz w:val="24"/>
                <w:szCs w:val="24"/>
                <w:highlight w:val="none"/>
              </w:rPr>
              <w:t>分，满分</w:t>
            </w:r>
            <w:r>
              <w:rPr>
                <w:rFonts w:ascii="宋体" w:hAnsi="宋体" w:eastAsia="宋体"/>
                <w:color w:val="000000" w:themeColor="text1"/>
                <w:sz w:val="24"/>
                <w:szCs w:val="24"/>
                <w:highlight w:val="none"/>
              </w:rPr>
              <w:t>2</w:t>
            </w:r>
            <w:r>
              <w:rPr>
                <w:rFonts w:hint="eastAsia" w:ascii="宋体" w:hAnsi="宋体" w:eastAsia="宋体"/>
                <w:color w:val="000000" w:themeColor="text1"/>
                <w:sz w:val="24"/>
                <w:szCs w:val="24"/>
                <w:highlight w:val="none"/>
              </w:rPr>
              <w:t>分。（要求提供项目甲方出具的相关证明材料，包括但不限于会议通知或会议签到表或现场培训照片等，需加盖项目甲方公章，同时提供投标人与项目甲方的合同复印件）。</w:t>
            </w:r>
          </w:p>
        </w:tc>
        <w:tc>
          <w:tcPr>
            <w:tcW w:w="731" w:type="pct"/>
            <w:vAlign w:val="center"/>
          </w:tcPr>
          <w:p w14:paraId="21CE6989">
            <w:pPr>
              <w:tabs>
                <w:tab w:val="left" w:pos="312"/>
              </w:tabs>
              <w:spacing w:line="360" w:lineRule="auto"/>
              <w:jc w:val="center"/>
              <w:rPr>
                <w:rFonts w:ascii="宋体" w:hAnsi="宋体" w:eastAsia="宋体"/>
                <w:color w:val="000000" w:themeColor="text1"/>
                <w:sz w:val="24"/>
                <w:szCs w:val="24"/>
                <w:highlight w:val="none"/>
              </w:rPr>
            </w:pPr>
            <w:r>
              <w:rPr>
                <w:rFonts w:ascii="宋体" w:hAnsi="宋体" w:eastAsia="宋体"/>
                <w:color w:val="000000" w:themeColor="text1"/>
                <w:sz w:val="24"/>
                <w:szCs w:val="24"/>
                <w:highlight w:val="none"/>
              </w:rPr>
              <w:t>5</w:t>
            </w:r>
          </w:p>
        </w:tc>
      </w:tr>
      <w:tr w14:paraId="698498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3" w:type="pct"/>
            <w:vAlign w:val="center"/>
          </w:tcPr>
          <w:p w14:paraId="0B56FF2D">
            <w:pPr>
              <w:spacing w:line="360" w:lineRule="auto"/>
              <w:jc w:val="center"/>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售后服务方案</w:t>
            </w:r>
          </w:p>
        </w:tc>
        <w:tc>
          <w:tcPr>
            <w:tcW w:w="3586" w:type="pct"/>
          </w:tcPr>
          <w:p w14:paraId="0AA3E33E">
            <w:pPr>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1、投标人需针对本项目实际需求提供售后服务方案。内容包含：①售后服务范围②响应时间③故障处理及补救措施④售后服务保障措施⑤定期回访及维护。评审专家根据（1.完整性：方案必须全面，对评审内容中的各项要求有详细描述；2.可实施性：切合本项目实际情况，提出步骤清晰、合理的方案；3.针对性：方案能够紧扣项目实际情况，内容科学合理。）进行赋分：①售后服务范围根据完整性、可实施性和针对性，计0-0.8分，②响应时间根据完整性、可实施性和针对性，计0-0.8分，③故障处理及补救措施根据完整性、可实施性和针对性，计0-0.8分，④售后服务保障措施根据完整性、可实施性和针对性，计0-0.8分，⑤定期回访及维护根据完整性、可实施性和针对性，计0-0.8分。</w:t>
            </w:r>
          </w:p>
          <w:p w14:paraId="3507062C">
            <w:pPr>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2、中标供应商承诺在签订合同后3</w:t>
            </w:r>
            <w:r>
              <w:rPr>
                <w:rFonts w:ascii="宋体" w:hAnsi="宋体" w:eastAsia="宋体"/>
                <w:color w:val="000000" w:themeColor="text1"/>
                <w:sz w:val="24"/>
                <w:szCs w:val="24"/>
                <w:highlight w:val="none"/>
              </w:rPr>
              <w:t>0</w:t>
            </w:r>
            <w:r>
              <w:rPr>
                <w:rFonts w:hint="eastAsia" w:ascii="宋体" w:hAnsi="宋体" w:eastAsia="宋体"/>
                <w:color w:val="000000" w:themeColor="text1"/>
                <w:sz w:val="24"/>
                <w:szCs w:val="24"/>
                <w:highlight w:val="none"/>
              </w:rPr>
              <w:t>日历日内在采购人所在地设立售后服务点，确保在采购人要求的响应时间内到达服务地点。提供承诺函得1分，不提供不得分。</w:t>
            </w:r>
          </w:p>
        </w:tc>
        <w:tc>
          <w:tcPr>
            <w:tcW w:w="731" w:type="pct"/>
            <w:vAlign w:val="center"/>
          </w:tcPr>
          <w:p w14:paraId="2D5A41B6">
            <w:pPr>
              <w:spacing w:line="360" w:lineRule="auto"/>
              <w:jc w:val="center"/>
              <w:rPr>
                <w:rFonts w:ascii="宋体" w:hAnsi="宋体" w:eastAsia="宋体"/>
                <w:color w:val="000000" w:themeColor="text1"/>
                <w:sz w:val="24"/>
                <w:szCs w:val="24"/>
                <w:highlight w:val="none"/>
              </w:rPr>
            </w:pPr>
            <w:r>
              <w:rPr>
                <w:rFonts w:ascii="宋体" w:hAnsi="宋体" w:eastAsia="宋体"/>
                <w:color w:val="000000" w:themeColor="text1"/>
                <w:sz w:val="24"/>
                <w:szCs w:val="24"/>
                <w:highlight w:val="none"/>
              </w:rPr>
              <w:t>5</w:t>
            </w:r>
          </w:p>
        </w:tc>
      </w:tr>
    </w:tbl>
    <w:p w14:paraId="32D81523">
      <w:pPr>
        <w:widowControl/>
        <w:jc w:val="left"/>
        <w:rPr>
          <w:rFonts w:ascii="宋体" w:hAnsi="宋体" w:eastAsia="宋体"/>
          <w:color w:val="000000" w:themeColor="text1"/>
          <w:sz w:val="24"/>
          <w:szCs w:val="24"/>
          <w:highlight w:val="none"/>
        </w:rPr>
      </w:pPr>
      <w:r>
        <w:rPr>
          <w:rFonts w:ascii="宋体" w:hAnsi="宋体" w:eastAsia="宋体"/>
          <w:color w:val="000000" w:themeColor="text1"/>
          <w:sz w:val="24"/>
          <w:szCs w:val="24"/>
          <w:highlight w:val="none"/>
        </w:rPr>
        <w:br w:type="page"/>
      </w:r>
    </w:p>
    <w:p w14:paraId="26AFB895">
      <w:pPr>
        <w:widowControl/>
        <w:jc w:val="left"/>
        <w:rPr>
          <w:rFonts w:ascii="宋体" w:hAnsi="宋体" w:eastAsia="宋体"/>
          <w:color w:val="000000" w:themeColor="text1"/>
          <w:sz w:val="24"/>
          <w:szCs w:val="24"/>
          <w:highlight w:val="none"/>
        </w:rPr>
      </w:pPr>
    </w:p>
    <w:p w14:paraId="3E48EFF0">
      <w:pPr>
        <w:pStyle w:val="23"/>
        <w:rPr>
          <w:color w:val="000000" w:themeColor="text1"/>
          <w:highlight w:val="none"/>
        </w:rPr>
      </w:pPr>
      <w:bookmarkStart w:id="85" w:name="_Toc211442755"/>
      <w:r>
        <w:rPr>
          <w:rFonts w:hint="eastAsia"/>
          <w:color w:val="000000" w:themeColor="text1"/>
          <w:highlight w:val="none"/>
        </w:rPr>
        <w:t>包</w:t>
      </w:r>
      <w:r>
        <w:rPr>
          <w:color w:val="000000" w:themeColor="text1"/>
          <w:highlight w:val="none"/>
        </w:rPr>
        <w:t xml:space="preserve">2  </w:t>
      </w:r>
      <w:r>
        <w:rPr>
          <w:rFonts w:hint="eastAsia"/>
          <w:color w:val="000000" w:themeColor="text1"/>
          <w:highlight w:val="none"/>
        </w:rPr>
        <w:t>评审因素量化赋分表</w:t>
      </w:r>
      <w:bookmarkEnd w:id="85"/>
    </w:p>
    <w:tbl>
      <w:tblPr>
        <w:tblStyle w:val="3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0"/>
        <w:gridCol w:w="6664"/>
        <w:gridCol w:w="1353"/>
      </w:tblGrid>
      <w:tr w14:paraId="5C5591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4" w:type="pct"/>
            <w:vAlign w:val="center"/>
          </w:tcPr>
          <w:p w14:paraId="3EEB79F5">
            <w:pPr>
              <w:spacing w:line="360" w:lineRule="auto"/>
              <w:jc w:val="center"/>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评审项</w:t>
            </w:r>
          </w:p>
        </w:tc>
        <w:tc>
          <w:tcPr>
            <w:tcW w:w="3588" w:type="pct"/>
            <w:vAlign w:val="center"/>
          </w:tcPr>
          <w:p w14:paraId="6AB27C40">
            <w:pPr>
              <w:spacing w:line="360" w:lineRule="auto"/>
              <w:jc w:val="center"/>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赋分标准</w:t>
            </w:r>
          </w:p>
        </w:tc>
        <w:tc>
          <w:tcPr>
            <w:tcW w:w="728" w:type="pct"/>
            <w:vAlign w:val="center"/>
          </w:tcPr>
          <w:p w14:paraId="7140D2F1">
            <w:pPr>
              <w:spacing w:line="360" w:lineRule="auto"/>
              <w:jc w:val="center"/>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分值（分）</w:t>
            </w:r>
          </w:p>
        </w:tc>
      </w:tr>
      <w:tr w14:paraId="42D98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4" w:type="pct"/>
            <w:vAlign w:val="center"/>
          </w:tcPr>
          <w:p w14:paraId="2F1A7EDE">
            <w:pPr>
              <w:spacing w:line="360" w:lineRule="auto"/>
              <w:jc w:val="center"/>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价格</w:t>
            </w:r>
          </w:p>
        </w:tc>
        <w:tc>
          <w:tcPr>
            <w:tcW w:w="3588" w:type="pct"/>
          </w:tcPr>
          <w:p w14:paraId="2681CCD0">
            <w:pPr>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价格分统一采用低价优先法计算，即满足招标文件要求且投标价格最低的投标报价为评标基准价，其价格分为满分。其他供应商的价格分统一按照下列公式计算：投标报价得分=(评标基准价／投标报价)×30。计算分数时四舍五入取小数点后两位。</w:t>
            </w:r>
          </w:p>
          <w:p w14:paraId="5C9B09F3">
            <w:pPr>
              <w:widowControl/>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注：评标委员会认为投标单位的报价明显低于其他通过符合性审查投标单位的报价，有可能影响服务质量或者不能诚信履约的，应当要求其在合理的时间内提供书面说明，必要时提交相关证明材料；投标单位不能证明其报价合理性的，评标委员会应当将其作为无效投标处理。</w:t>
            </w:r>
          </w:p>
        </w:tc>
        <w:tc>
          <w:tcPr>
            <w:tcW w:w="728" w:type="pct"/>
            <w:vAlign w:val="center"/>
          </w:tcPr>
          <w:p w14:paraId="3B7D6604">
            <w:pPr>
              <w:spacing w:line="360" w:lineRule="auto"/>
              <w:jc w:val="center"/>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3</w:t>
            </w:r>
            <w:r>
              <w:rPr>
                <w:rFonts w:ascii="宋体" w:hAnsi="宋体" w:eastAsia="宋体"/>
                <w:color w:val="000000" w:themeColor="text1"/>
                <w:sz w:val="24"/>
                <w:szCs w:val="24"/>
                <w:highlight w:val="none"/>
              </w:rPr>
              <w:t>0</w:t>
            </w:r>
          </w:p>
        </w:tc>
      </w:tr>
      <w:tr w14:paraId="3E4E46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4" w:type="pct"/>
            <w:vAlign w:val="center"/>
          </w:tcPr>
          <w:p w14:paraId="1323B24C">
            <w:pPr>
              <w:spacing w:line="360" w:lineRule="auto"/>
              <w:jc w:val="center"/>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技术响应</w:t>
            </w:r>
          </w:p>
        </w:tc>
        <w:tc>
          <w:tcPr>
            <w:tcW w:w="3588" w:type="pct"/>
          </w:tcPr>
          <w:p w14:paraId="471A039A">
            <w:pPr>
              <w:spacing w:line="360" w:lineRule="auto"/>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加“*”号项以外的其他技术参数完全符合、满足招标文件技术要求的计</w:t>
            </w:r>
            <w:r>
              <w:rPr>
                <w:rFonts w:ascii="宋体" w:hAnsi="宋体" w:eastAsia="宋体"/>
                <w:color w:val="000000" w:themeColor="text1"/>
                <w:sz w:val="24"/>
                <w:szCs w:val="24"/>
                <w:highlight w:val="none"/>
              </w:rPr>
              <w:t>18</w:t>
            </w:r>
            <w:r>
              <w:rPr>
                <w:rFonts w:hint="eastAsia" w:ascii="宋体" w:hAnsi="宋体" w:eastAsia="宋体"/>
                <w:color w:val="000000" w:themeColor="text1"/>
                <w:sz w:val="24"/>
                <w:szCs w:val="24"/>
                <w:highlight w:val="none"/>
              </w:rPr>
              <w:t>分。</w:t>
            </w:r>
            <w:r>
              <w:rPr>
                <w:rFonts w:ascii="宋体" w:hAnsi="宋体" w:eastAsia="宋体"/>
                <w:color w:val="000000" w:themeColor="text1"/>
                <w:sz w:val="24"/>
                <w:szCs w:val="24"/>
                <w:highlight w:val="none"/>
              </w:rPr>
              <w:t>9</w:t>
            </w:r>
            <w:r>
              <w:rPr>
                <w:rFonts w:hint="eastAsia" w:ascii="宋体" w:hAnsi="宋体" w:eastAsia="宋体"/>
                <w:color w:val="000000" w:themeColor="text1"/>
                <w:sz w:val="24"/>
                <w:szCs w:val="24"/>
                <w:highlight w:val="none"/>
              </w:rPr>
              <w:t>个加“▲”号项技术参数每负偏离一项扣</w:t>
            </w:r>
            <w:r>
              <w:rPr>
                <w:rFonts w:ascii="宋体" w:hAnsi="宋体" w:eastAsia="宋体"/>
                <w:color w:val="000000" w:themeColor="text1"/>
                <w:sz w:val="24"/>
                <w:szCs w:val="24"/>
                <w:highlight w:val="none"/>
              </w:rPr>
              <w:t>1</w:t>
            </w:r>
            <w:r>
              <w:rPr>
                <w:rFonts w:hint="eastAsia" w:ascii="宋体" w:hAnsi="宋体" w:eastAsia="宋体"/>
                <w:color w:val="000000" w:themeColor="text1"/>
                <w:sz w:val="24"/>
                <w:szCs w:val="24"/>
                <w:highlight w:val="none"/>
              </w:rPr>
              <w:t>分，其余</w:t>
            </w:r>
            <w:r>
              <w:rPr>
                <w:rFonts w:ascii="宋体" w:hAnsi="宋体" w:eastAsia="宋体"/>
                <w:color w:val="000000" w:themeColor="text1"/>
                <w:sz w:val="24"/>
                <w:szCs w:val="24"/>
                <w:highlight w:val="none"/>
              </w:rPr>
              <w:t>76</w:t>
            </w:r>
            <w:r>
              <w:rPr>
                <w:rFonts w:hint="eastAsia" w:ascii="宋体" w:hAnsi="宋体" w:eastAsia="宋体"/>
                <w:color w:val="000000" w:themeColor="text1"/>
                <w:sz w:val="24"/>
                <w:szCs w:val="24"/>
                <w:highlight w:val="none"/>
              </w:rPr>
              <w:t>项无标识技术参数每负偏离一项扣0.</w:t>
            </w:r>
            <w:r>
              <w:rPr>
                <w:rFonts w:ascii="宋体" w:hAnsi="宋体" w:eastAsia="宋体"/>
                <w:color w:val="000000" w:themeColor="text1"/>
                <w:sz w:val="24"/>
                <w:szCs w:val="24"/>
                <w:highlight w:val="none"/>
              </w:rPr>
              <w:t>12</w:t>
            </w:r>
            <w:r>
              <w:rPr>
                <w:rFonts w:hint="eastAsia" w:ascii="宋体" w:hAnsi="宋体" w:eastAsia="宋体"/>
                <w:color w:val="000000" w:themeColor="text1"/>
                <w:sz w:val="24"/>
                <w:szCs w:val="24"/>
                <w:highlight w:val="none"/>
              </w:rPr>
              <w:t>分，扣完为止。</w:t>
            </w:r>
          </w:p>
          <w:p w14:paraId="34410AF6">
            <w:pPr>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备注：应逐条对应技术参数进行实质</w:t>
            </w:r>
            <w:r>
              <w:rPr>
                <w:rFonts w:ascii="宋体" w:hAnsi="宋体" w:eastAsia="宋体"/>
                <w:color w:val="000000" w:themeColor="text1"/>
                <w:sz w:val="24"/>
                <w:szCs w:val="24"/>
                <w:highlight w:val="none"/>
              </w:rPr>
              <w:t>性响</w:t>
            </w:r>
            <w:r>
              <w:rPr>
                <w:rFonts w:hint="eastAsia" w:ascii="宋体" w:hAnsi="宋体" w:eastAsia="宋体"/>
                <w:color w:val="000000" w:themeColor="text1"/>
                <w:sz w:val="24"/>
                <w:szCs w:val="24"/>
                <w:highlight w:val="none"/>
              </w:rPr>
              <w:t>应，加“▲”号项技术参数须按招标要求提供充足的佐证材料，评审以佐证材料为准；其余项技术参数评审以技术偏离表为准。</w:t>
            </w:r>
          </w:p>
        </w:tc>
        <w:tc>
          <w:tcPr>
            <w:tcW w:w="728" w:type="pct"/>
            <w:vAlign w:val="center"/>
          </w:tcPr>
          <w:p w14:paraId="50B358B8">
            <w:pPr>
              <w:spacing w:line="360" w:lineRule="auto"/>
              <w:jc w:val="center"/>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1</w:t>
            </w:r>
            <w:r>
              <w:rPr>
                <w:rFonts w:ascii="宋体" w:hAnsi="宋体" w:eastAsia="宋体"/>
                <w:color w:val="000000" w:themeColor="text1"/>
                <w:sz w:val="24"/>
                <w:szCs w:val="24"/>
                <w:highlight w:val="none"/>
              </w:rPr>
              <w:t>8</w:t>
            </w:r>
          </w:p>
        </w:tc>
      </w:tr>
      <w:tr w14:paraId="2AF5B1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4" w:type="pct"/>
            <w:vAlign w:val="center"/>
          </w:tcPr>
          <w:p w14:paraId="2158F02A">
            <w:pPr>
              <w:spacing w:line="360" w:lineRule="auto"/>
              <w:jc w:val="center"/>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项目实施方案</w:t>
            </w:r>
          </w:p>
        </w:tc>
        <w:tc>
          <w:tcPr>
            <w:tcW w:w="3588" w:type="pct"/>
          </w:tcPr>
          <w:p w14:paraId="6C022FEE">
            <w:pPr>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投标人需针对本项目提供完整的项目实施方案。内容包含：①供货组织及进度安排方案②对接及运输方案③安装调试方案④人员、物力调配安排方案。评审专家根据（1、完整性：方案必须全面，对评审内容中的各项要求有详细描述；2、可实施性：切合本项目实际情况，提出步骤清晰、合理的方案；3.针对性：方案能够紧扣项目实际情况，内容科学合理。）进行赋分：</w:t>
            </w:r>
            <w:r>
              <w:rPr>
                <w:rFonts w:ascii="宋体" w:hAnsi="宋体" w:eastAsia="宋体"/>
                <w:color w:val="000000" w:themeColor="text1"/>
                <w:sz w:val="24"/>
                <w:szCs w:val="24"/>
                <w:highlight w:val="none"/>
              </w:rPr>
              <w:fldChar w:fldCharType="begin"/>
            </w:r>
            <w:r>
              <w:rPr>
                <w:rFonts w:ascii="宋体" w:hAnsi="宋体" w:eastAsia="宋体"/>
                <w:color w:val="000000" w:themeColor="text1"/>
                <w:sz w:val="24"/>
                <w:szCs w:val="24"/>
                <w:highlight w:val="none"/>
              </w:rPr>
              <w:instrText xml:space="preserve"> </w:instrText>
            </w:r>
            <w:r>
              <w:rPr>
                <w:rFonts w:hint="eastAsia" w:ascii="宋体" w:hAnsi="宋体" w:eastAsia="宋体"/>
                <w:color w:val="000000" w:themeColor="text1"/>
                <w:sz w:val="24"/>
                <w:szCs w:val="24"/>
                <w:highlight w:val="none"/>
              </w:rPr>
              <w:instrText xml:space="preserve">= 1 \* GB3</w:instrText>
            </w:r>
            <w:r>
              <w:rPr>
                <w:rFonts w:ascii="宋体" w:hAnsi="宋体" w:eastAsia="宋体"/>
                <w:color w:val="000000" w:themeColor="text1"/>
                <w:sz w:val="24"/>
                <w:szCs w:val="24"/>
                <w:highlight w:val="none"/>
              </w:rPr>
              <w:instrText xml:space="preserve"> </w:instrText>
            </w:r>
            <w:r>
              <w:rPr>
                <w:rFonts w:ascii="宋体" w:hAnsi="宋体" w:eastAsia="宋体"/>
                <w:color w:val="000000" w:themeColor="text1"/>
                <w:sz w:val="24"/>
                <w:szCs w:val="24"/>
                <w:highlight w:val="none"/>
              </w:rPr>
              <w:fldChar w:fldCharType="separate"/>
            </w:r>
            <w:r>
              <w:rPr>
                <w:rFonts w:hint="eastAsia" w:ascii="宋体" w:hAnsi="宋体" w:eastAsia="宋体"/>
                <w:color w:val="000000" w:themeColor="text1"/>
                <w:sz w:val="24"/>
                <w:szCs w:val="24"/>
                <w:highlight w:val="none"/>
              </w:rPr>
              <w:t>①</w:t>
            </w:r>
            <w:r>
              <w:rPr>
                <w:rFonts w:ascii="宋体" w:hAnsi="宋体" w:eastAsia="宋体"/>
                <w:color w:val="000000" w:themeColor="text1"/>
                <w:sz w:val="24"/>
                <w:szCs w:val="24"/>
                <w:highlight w:val="none"/>
              </w:rPr>
              <w:fldChar w:fldCharType="end"/>
            </w:r>
            <w:r>
              <w:rPr>
                <w:rFonts w:ascii="宋体" w:hAnsi="宋体" w:eastAsia="宋体"/>
                <w:color w:val="000000" w:themeColor="text1"/>
                <w:sz w:val="24"/>
                <w:szCs w:val="24"/>
                <w:highlight w:val="none"/>
              </w:rPr>
              <w:t>供</w:t>
            </w:r>
            <w:r>
              <w:rPr>
                <w:rFonts w:hint="eastAsia" w:ascii="宋体" w:hAnsi="宋体" w:eastAsia="宋体"/>
                <w:color w:val="000000" w:themeColor="text1"/>
                <w:sz w:val="24"/>
                <w:szCs w:val="24"/>
                <w:highlight w:val="none"/>
              </w:rPr>
              <w:t>货组织及进度安排方案根据完整性、可实施性和针对性，计0-2分；②对接及运输方案根据完整性、可实施性和针对性，计0-2分；③安装调试方案根据完整性、可实施性和针对性，计0-3分；④人员、物力调配安排方案根据完整性、可实施性和针对性，计0-2分。该项满分9分。</w:t>
            </w:r>
          </w:p>
        </w:tc>
        <w:tc>
          <w:tcPr>
            <w:tcW w:w="728" w:type="pct"/>
            <w:vAlign w:val="center"/>
          </w:tcPr>
          <w:p w14:paraId="693B55FD">
            <w:pPr>
              <w:spacing w:line="360" w:lineRule="auto"/>
              <w:jc w:val="center"/>
              <w:rPr>
                <w:rFonts w:ascii="宋体" w:hAnsi="宋体" w:eastAsia="宋体"/>
                <w:color w:val="000000" w:themeColor="text1"/>
                <w:sz w:val="24"/>
                <w:szCs w:val="24"/>
                <w:highlight w:val="none"/>
              </w:rPr>
            </w:pPr>
            <w:r>
              <w:rPr>
                <w:rFonts w:ascii="宋体" w:hAnsi="宋体" w:eastAsia="宋体"/>
                <w:color w:val="000000" w:themeColor="text1"/>
                <w:sz w:val="24"/>
                <w:szCs w:val="24"/>
                <w:highlight w:val="none"/>
              </w:rPr>
              <w:t>9</w:t>
            </w:r>
          </w:p>
        </w:tc>
      </w:tr>
      <w:tr w14:paraId="41E542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4" w:type="pct"/>
            <w:vAlign w:val="center"/>
          </w:tcPr>
          <w:p w14:paraId="027817F7">
            <w:pPr>
              <w:spacing w:line="360" w:lineRule="auto"/>
              <w:jc w:val="center"/>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工艺和质量水平</w:t>
            </w:r>
          </w:p>
        </w:tc>
        <w:tc>
          <w:tcPr>
            <w:tcW w:w="3588" w:type="pct"/>
          </w:tcPr>
          <w:p w14:paraId="79516038">
            <w:pPr>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提供3个核心产品标的物质量管理文件，每提供1个核心产品的产品质量验收标准得1分、问题处理机制得1分、产品验收记录或质量验收证明得1分，3个核心产品满分</w:t>
            </w:r>
            <w:r>
              <w:rPr>
                <w:rFonts w:ascii="宋体" w:hAnsi="宋体" w:eastAsia="宋体"/>
                <w:color w:val="000000" w:themeColor="text1"/>
                <w:sz w:val="24"/>
                <w:szCs w:val="24"/>
                <w:highlight w:val="none"/>
              </w:rPr>
              <w:t>9</w:t>
            </w:r>
            <w:r>
              <w:rPr>
                <w:rFonts w:hint="eastAsia" w:ascii="宋体" w:hAnsi="宋体" w:eastAsia="宋体"/>
                <w:color w:val="000000" w:themeColor="text1"/>
                <w:sz w:val="24"/>
                <w:szCs w:val="24"/>
                <w:highlight w:val="none"/>
              </w:rPr>
              <w:t>分。（核心保密技术除外，所有证明材料需加盖生产厂家公章）</w:t>
            </w:r>
          </w:p>
        </w:tc>
        <w:tc>
          <w:tcPr>
            <w:tcW w:w="728" w:type="pct"/>
            <w:vAlign w:val="center"/>
          </w:tcPr>
          <w:p w14:paraId="6207DBB3">
            <w:pPr>
              <w:spacing w:line="360" w:lineRule="auto"/>
              <w:jc w:val="center"/>
              <w:rPr>
                <w:rFonts w:ascii="宋体" w:hAnsi="宋体" w:eastAsia="宋体"/>
                <w:color w:val="000000" w:themeColor="text1"/>
                <w:sz w:val="24"/>
                <w:szCs w:val="24"/>
                <w:highlight w:val="none"/>
              </w:rPr>
            </w:pPr>
            <w:r>
              <w:rPr>
                <w:rFonts w:ascii="宋体" w:hAnsi="宋体" w:eastAsia="宋体"/>
                <w:color w:val="000000" w:themeColor="text1"/>
                <w:sz w:val="24"/>
                <w:szCs w:val="24"/>
                <w:highlight w:val="none"/>
              </w:rPr>
              <w:t>9</w:t>
            </w:r>
          </w:p>
        </w:tc>
      </w:tr>
      <w:tr w14:paraId="183129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4" w:type="pct"/>
            <w:vAlign w:val="center"/>
          </w:tcPr>
          <w:p w14:paraId="3C4F6F6D">
            <w:pPr>
              <w:spacing w:line="360" w:lineRule="auto"/>
              <w:jc w:val="center"/>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功能升级</w:t>
            </w:r>
          </w:p>
        </w:tc>
        <w:tc>
          <w:tcPr>
            <w:tcW w:w="3588" w:type="pct"/>
            <w:vAlign w:val="center"/>
          </w:tcPr>
          <w:p w14:paraId="4E72764C">
            <w:pPr>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在地震烈度速报系统中，提供增加地震灾害评估软件功能的承诺函加盖投标人公章，得2分</w:t>
            </w:r>
            <w:r>
              <w:rPr>
                <w:rFonts w:hint="eastAsia" w:ascii="宋体" w:hAnsi="宋体" w:eastAsia="宋体" w:cs="宋体"/>
                <w:color w:val="000000" w:themeColor="text1"/>
                <w:sz w:val="24"/>
                <w:szCs w:val="24"/>
                <w:highlight w:val="none"/>
              </w:rPr>
              <w:t>，不提供不得分。</w:t>
            </w:r>
          </w:p>
        </w:tc>
        <w:tc>
          <w:tcPr>
            <w:tcW w:w="728" w:type="pct"/>
            <w:vAlign w:val="center"/>
          </w:tcPr>
          <w:p w14:paraId="07FC0E2D">
            <w:pPr>
              <w:spacing w:line="360" w:lineRule="auto"/>
              <w:jc w:val="center"/>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2</w:t>
            </w:r>
          </w:p>
        </w:tc>
      </w:tr>
      <w:tr w14:paraId="494455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4" w:type="pct"/>
            <w:vAlign w:val="center"/>
          </w:tcPr>
          <w:p w14:paraId="1283925C">
            <w:pPr>
              <w:spacing w:line="360" w:lineRule="auto"/>
              <w:jc w:val="center"/>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项目团队人员</w:t>
            </w:r>
          </w:p>
        </w:tc>
        <w:tc>
          <w:tcPr>
            <w:tcW w:w="3588" w:type="pct"/>
            <w:vAlign w:val="center"/>
          </w:tcPr>
          <w:p w14:paraId="5C929FD9">
            <w:pPr>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1、项目管理和技术团队（3分）：</w:t>
            </w:r>
          </w:p>
          <w:p w14:paraId="000B3A88">
            <w:pPr>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拟投入本项目负责人、技术负责人和技术人员不少于3人，应具备一定的项目管理能力，具备专业技术水平。项目负责人具备高级信息系统项目管理师证书，技术负责人具备高级软件技术开发工程师证书，其它技术人员具备高级系统架构设计师证书或高级网络信息安全工程师证书或高级网络工程师证书，国家人社部和工信部颁发的证书，每提供一个，得1分；其他部门颁发的，每提供一个，得0.5分，同一人员不重复得分，国外证书不予认可。本项最多得3分。</w:t>
            </w:r>
          </w:p>
          <w:p w14:paraId="49D13245">
            <w:pPr>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注：上述人员须为投标人本单位工作人员（所有人员不得重复），不得在本项目中兼任其他职务，须提供上述人员的相关证书、本单位的劳务合同和社保、银行出具的投标截止时间前上1个月薪资流水等复印件（缺少其中一项不得分），未提供或提供不齐全的情况视为不满足。</w:t>
            </w:r>
          </w:p>
          <w:p w14:paraId="79826A1D">
            <w:pPr>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2、项目安装团队（3分）：</w:t>
            </w:r>
          </w:p>
          <w:p w14:paraId="1B2DDB57">
            <w:pPr>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提供为安装团队所有人员办理高空作业商业保险的承诺，得</w:t>
            </w:r>
            <w:r>
              <w:rPr>
                <w:rFonts w:ascii="宋体" w:hAnsi="宋体" w:eastAsia="宋体"/>
                <w:color w:val="000000" w:themeColor="text1"/>
                <w:sz w:val="24"/>
                <w:szCs w:val="24"/>
                <w:highlight w:val="none"/>
              </w:rPr>
              <w:t>1分；</w:t>
            </w:r>
            <w:r>
              <w:rPr>
                <w:rFonts w:hint="eastAsia" w:ascii="宋体" w:hAnsi="宋体" w:eastAsia="宋体"/>
                <w:color w:val="000000" w:themeColor="text1"/>
                <w:sz w:val="24"/>
                <w:szCs w:val="24"/>
                <w:highlight w:val="none"/>
              </w:rPr>
              <w:t>投标人为该项目包段涉及各县区拟组建专业的安装团队（每组团队不少于3</w:t>
            </w:r>
            <w:r>
              <w:rPr>
                <w:rFonts w:ascii="宋体" w:hAnsi="宋体" w:eastAsia="宋体"/>
                <w:color w:val="000000" w:themeColor="text1"/>
                <w:sz w:val="24"/>
                <w:szCs w:val="24"/>
                <w:highlight w:val="none"/>
              </w:rPr>
              <w:t>人，提供组建团队单位意向协议证明文件和各团队组成人员名单），每组建一个得0.</w:t>
            </w:r>
            <w:r>
              <w:rPr>
                <w:rFonts w:hint="eastAsia" w:ascii="宋体" w:hAnsi="宋体" w:eastAsia="宋体"/>
                <w:color w:val="000000" w:themeColor="text1"/>
                <w:sz w:val="24"/>
                <w:szCs w:val="24"/>
                <w:highlight w:val="none"/>
              </w:rPr>
              <w:t>25</w:t>
            </w:r>
            <w:r>
              <w:rPr>
                <w:rFonts w:ascii="宋体" w:hAnsi="宋体" w:eastAsia="宋体"/>
                <w:color w:val="000000" w:themeColor="text1"/>
                <w:sz w:val="24"/>
                <w:szCs w:val="24"/>
                <w:highlight w:val="none"/>
              </w:rPr>
              <w:t>分，最多得2分。</w:t>
            </w:r>
          </w:p>
        </w:tc>
        <w:tc>
          <w:tcPr>
            <w:tcW w:w="728" w:type="pct"/>
            <w:vAlign w:val="center"/>
          </w:tcPr>
          <w:p w14:paraId="1FDDEB3C">
            <w:pPr>
              <w:spacing w:line="360" w:lineRule="auto"/>
              <w:jc w:val="center"/>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6</w:t>
            </w:r>
          </w:p>
        </w:tc>
      </w:tr>
      <w:tr w14:paraId="764438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4" w:type="pct"/>
            <w:vAlign w:val="center"/>
          </w:tcPr>
          <w:p w14:paraId="6A38F927">
            <w:pPr>
              <w:spacing w:line="360" w:lineRule="auto"/>
              <w:jc w:val="center"/>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质保</w:t>
            </w:r>
          </w:p>
        </w:tc>
        <w:tc>
          <w:tcPr>
            <w:tcW w:w="3588" w:type="pct"/>
          </w:tcPr>
          <w:p w14:paraId="26BB309A">
            <w:pPr>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质保期须满足招标最低要求（不满足最低要求符合性审查不合格），在此基础上每增加1年质保，加2分，最多加4分。</w:t>
            </w:r>
          </w:p>
        </w:tc>
        <w:tc>
          <w:tcPr>
            <w:tcW w:w="728" w:type="pct"/>
            <w:vAlign w:val="center"/>
          </w:tcPr>
          <w:p w14:paraId="5C2611A6">
            <w:pPr>
              <w:spacing w:line="360" w:lineRule="auto"/>
              <w:jc w:val="center"/>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4</w:t>
            </w:r>
          </w:p>
        </w:tc>
      </w:tr>
      <w:tr w14:paraId="038C9D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4" w:type="pct"/>
            <w:vAlign w:val="center"/>
          </w:tcPr>
          <w:p w14:paraId="6D7F846E">
            <w:pPr>
              <w:spacing w:line="360" w:lineRule="auto"/>
              <w:jc w:val="center"/>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综合能力</w:t>
            </w:r>
          </w:p>
        </w:tc>
        <w:tc>
          <w:tcPr>
            <w:tcW w:w="3588" w:type="pct"/>
          </w:tcPr>
          <w:p w14:paraId="500867C5">
            <w:pPr>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1.企业认证：投标人提供所有核心产品制造商的有效期内质量管理体系认证、环境管理体系认证、信息安全管理体系认证、信息技术服务管理体系认证，每提供1项认证证书，得0.5分，本项最高得2分。投标文件中每项认证需同时提供证书扫描件和国家认证认可监督委员会官网查询截图，否则不得分。</w:t>
            </w:r>
          </w:p>
          <w:p w14:paraId="6D81DB7D">
            <w:pPr>
              <w:spacing w:line="360" w:lineRule="auto"/>
              <w:jc w:val="left"/>
              <w:rPr>
                <w:rFonts w:ascii="宋体" w:hAnsi="宋体" w:eastAsia="宋体"/>
                <w:color w:val="000000" w:themeColor="text1"/>
                <w:sz w:val="24"/>
                <w:szCs w:val="24"/>
                <w:highlight w:val="none"/>
              </w:rPr>
            </w:pPr>
            <w:r>
              <w:rPr>
                <w:rFonts w:ascii="宋体" w:hAnsi="宋体" w:eastAsia="宋体"/>
                <w:color w:val="000000" w:themeColor="text1"/>
                <w:sz w:val="24"/>
                <w:szCs w:val="24"/>
                <w:highlight w:val="none"/>
              </w:rPr>
              <w:t>2</w:t>
            </w:r>
            <w:r>
              <w:rPr>
                <w:rFonts w:hint="eastAsia" w:ascii="宋体" w:hAnsi="宋体" w:eastAsia="宋体"/>
                <w:color w:val="000000" w:themeColor="text1"/>
                <w:sz w:val="24"/>
                <w:szCs w:val="24"/>
                <w:highlight w:val="none"/>
              </w:rPr>
              <w:t>.知识产权：投标人提供核心产品制造商具备地震预警终端技术相关的专利。每提供1个，得0.5分，本项最高得2分。提供在有效期内的专利证书扫描件。</w:t>
            </w:r>
          </w:p>
          <w:p w14:paraId="72599C13">
            <w:pPr>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3.防篡改密码安全管理：投标人提供</w:t>
            </w:r>
            <w:r>
              <w:rPr>
                <w:rFonts w:hint="eastAsia" w:ascii="宋体" w:hAnsi="宋体" w:eastAsia="宋体" w:cs="宋体"/>
                <w:color w:val="000000" w:themeColor="text1"/>
                <w:sz w:val="24"/>
                <w:szCs w:val="24"/>
                <w:highlight w:val="none"/>
              </w:rPr>
              <w:t>终端适配地震预警终端信息防篡改密码安全系统成功案例甲方加盖公章的证明材料（同时提供投标人与项目甲方的合同复印件），提供1份得1分，满分2分，</w:t>
            </w:r>
            <w:r>
              <w:rPr>
                <w:rFonts w:hint="eastAsia" w:ascii="宋体" w:hAnsi="宋体" w:eastAsia="宋体"/>
                <w:color w:val="000000" w:themeColor="text1"/>
                <w:sz w:val="24"/>
                <w:szCs w:val="24"/>
                <w:highlight w:val="none"/>
              </w:rPr>
              <w:t>未提供不得分。</w:t>
            </w:r>
          </w:p>
          <w:p w14:paraId="65798FC0">
            <w:pPr>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4.安全要求：提供投标人或制造商经第三方检测机构出具的信息系统安全等级保护备案证明，提供得2分，不提供不得分。</w:t>
            </w:r>
          </w:p>
        </w:tc>
        <w:tc>
          <w:tcPr>
            <w:tcW w:w="728" w:type="pct"/>
            <w:vAlign w:val="center"/>
          </w:tcPr>
          <w:p w14:paraId="3984D20E">
            <w:pPr>
              <w:spacing w:line="360" w:lineRule="auto"/>
              <w:jc w:val="center"/>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8</w:t>
            </w:r>
          </w:p>
        </w:tc>
      </w:tr>
      <w:tr w14:paraId="6E80FA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4" w:type="pct"/>
            <w:vAlign w:val="center"/>
          </w:tcPr>
          <w:p w14:paraId="05B91E5C">
            <w:pPr>
              <w:spacing w:line="360" w:lineRule="auto"/>
              <w:jc w:val="center"/>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案例业绩</w:t>
            </w:r>
          </w:p>
        </w:tc>
        <w:tc>
          <w:tcPr>
            <w:tcW w:w="3588" w:type="pct"/>
          </w:tcPr>
          <w:p w14:paraId="29CE6838">
            <w:pPr>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投标人自2023年1月1日至本项目招标公告发布之日前（以合同签订时间为准）与本次采购标的（至少包含一种核心产品）同类案例业绩。</w:t>
            </w:r>
            <w:bookmarkStart w:id="86" w:name="OLE_LINK68"/>
            <w:bookmarkStart w:id="87" w:name="OLE_LINK67"/>
            <w:r>
              <w:rPr>
                <w:rFonts w:hint="eastAsia" w:ascii="宋体" w:hAnsi="宋体" w:eastAsia="宋体"/>
                <w:color w:val="000000" w:themeColor="text1"/>
                <w:sz w:val="24"/>
                <w:szCs w:val="24"/>
                <w:highlight w:val="none"/>
              </w:rPr>
              <w:t>每个案例业绩需同时提供完整合同复印件、销售发票（同项目任意一笔付款）复印件并加盖投标人公章。缺少任意一项或复印件不完整或模糊不清的视为无效。每个案例1分，满分</w:t>
            </w:r>
            <w:r>
              <w:rPr>
                <w:rFonts w:ascii="宋体" w:hAnsi="宋体" w:eastAsia="宋体"/>
                <w:color w:val="000000" w:themeColor="text1"/>
                <w:sz w:val="24"/>
                <w:szCs w:val="24"/>
                <w:highlight w:val="none"/>
              </w:rPr>
              <w:t>4</w:t>
            </w:r>
            <w:r>
              <w:rPr>
                <w:rFonts w:hint="eastAsia" w:ascii="宋体" w:hAnsi="宋体" w:eastAsia="宋体"/>
                <w:color w:val="000000" w:themeColor="text1"/>
                <w:sz w:val="24"/>
                <w:szCs w:val="24"/>
                <w:highlight w:val="none"/>
              </w:rPr>
              <w:t>分。</w:t>
            </w:r>
            <w:bookmarkEnd w:id="86"/>
            <w:bookmarkEnd w:id="87"/>
          </w:p>
        </w:tc>
        <w:tc>
          <w:tcPr>
            <w:tcW w:w="728" w:type="pct"/>
            <w:vAlign w:val="center"/>
          </w:tcPr>
          <w:p w14:paraId="0E5B9C15">
            <w:pPr>
              <w:spacing w:line="360" w:lineRule="auto"/>
              <w:jc w:val="center"/>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4</w:t>
            </w:r>
          </w:p>
        </w:tc>
      </w:tr>
      <w:tr w14:paraId="12BC50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4" w:type="pct"/>
            <w:vAlign w:val="center"/>
          </w:tcPr>
          <w:p w14:paraId="01F951AD">
            <w:pPr>
              <w:spacing w:line="360" w:lineRule="auto"/>
              <w:jc w:val="center"/>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培训方案</w:t>
            </w:r>
          </w:p>
        </w:tc>
        <w:tc>
          <w:tcPr>
            <w:tcW w:w="3588" w:type="pct"/>
          </w:tcPr>
          <w:p w14:paraId="066C3FB2">
            <w:pPr>
              <w:tabs>
                <w:tab w:val="left" w:pos="312"/>
              </w:tabs>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1、根据投标人针对本项目提供的培训方案内容包含：</w:t>
            </w:r>
            <w:r>
              <w:rPr>
                <w:rFonts w:ascii="宋体" w:hAnsi="宋体" w:eastAsia="宋体"/>
                <w:color w:val="000000" w:themeColor="text1"/>
                <w:sz w:val="24"/>
                <w:szCs w:val="24"/>
                <w:highlight w:val="none"/>
              </w:rPr>
              <w:fldChar w:fldCharType="begin"/>
            </w:r>
            <w:r>
              <w:rPr>
                <w:rFonts w:ascii="宋体" w:hAnsi="宋体" w:eastAsia="宋体"/>
                <w:color w:val="000000" w:themeColor="text1"/>
                <w:sz w:val="24"/>
                <w:szCs w:val="24"/>
                <w:highlight w:val="none"/>
              </w:rPr>
              <w:instrText xml:space="preserve"> </w:instrText>
            </w:r>
            <w:r>
              <w:rPr>
                <w:rFonts w:hint="eastAsia" w:ascii="宋体" w:hAnsi="宋体" w:eastAsia="宋体"/>
                <w:color w:val="000000" w:themeColor="text1"/>
                <w:sz w:val="24"/>
                <w:szCs w:val="24"/>
                <w:highlight w:val="none"/>
              </w:rPr>
              <w:instrText xml:space="preserve">= 1 \* GB3</w:instrText>
            </w:r>
            <w:r>
              <w:rPr>
                <w:rFonts w:ascii="宋体" w:hAnsi="宋体" w:eastAsia="宋体"/>
                <w:color w:val="000000" w:themeColor="text1"/>
                <w:sz w:val="24"/>
                <w:szCs w:val="24"/>
                <w:highlight w:val="none"/>
              </w:rPr>
              <w:instrText xml:space="preserve"> </w:instrText>
            </w:r>
            <w:r>
              <w:rPr>
                <w:rFonts w:ascii="宋体" w:hAnsi="宋体" w:eastAsia="宋体"/>
                <w:color w:val="000000" w:themeColor="text1"/>
                <w:sz w:val="24"/>
                <w:szCs w:val="24"/>
                <w:highlight w:val="none"/>
              </w:rPr>
              <w:fldChar w:fldCharType="separate"/>
            </w:r>
            <w:r>
              <w:rPr>
                <w:rFonts w:hint="eastAsia" w:ascii="宋体" w:hAnsi="宋体" w:eastAsia="宋体"/>
                <w:color w:val="000000" w:themeColor="text1"/>
                <w:sz w:val="24"/>
                <w:szCs w:val="24"/>
                <w:highlight w:val="none"/>
              </w:rPr>
              <w:t>①</w:t>
            </w:r>
            <w:r>
              <w:rPr>
                <w:rFonts w:ascii="宋体" w:hAnsi="宋体" w:eastAsia="宋体"/>
                <w:color w:val="000000" w:themeColor="text1"/>
                <w:sz w:val="24"/>
                <w:szCs w:val="24"/>
                <w:highlight w:val="none"/>
              </w:rPr>
              <w:fldChar w:fldCharType="end"/>
            </w:r>
            <w:r>
              <w:rPr>
                <w:rFonts w:hint="eastAsia" w:ascii="宋体" w:hAnsi="宋体" w:eastAsia="宋体"/>
                <w:color w:val="000000" w:themeColor="text1"/>
                <w:sz w:val="24"/>
                <w:szCs w:val="24"/>
                <w:highlight w:val="none"/>
              </w:rPr>
              <w:t>培训计划</w:t>
            </w:r>
            <w:r>
              <w:rPr>
                <w:rFonts w:ascii="宋体" w:hAnsi="宋体" w:eastAsia="宋体"/>
                <w:color w:val="000000" w:themeColor="text1"/>
                <w:sz w:val="24"/>
                <w:szCs w:val="24"/>
                <w:highlight w:val="none"/>
              </w:rPr>
              <w:fldChar w:fldCharType="begin"/>
            </w:r>
            <w:r>
              <w:rPr>
                <w:rFonts w:ascii="宋体" w:hAnsi="宋体" w:eastAsia="宋体"/>
                <w:color w:val="000000" w:themeColor="text1"/>
                <w:sz w:val="24"/>
                <w:szCs w:val="24"/>
                <w:highlight w:val="none"/>
              </w:rPr>
              <w:instrText xml:space="preserve"> </w:instrText>
            </w:r>
            <w:r>
              <w:rPr>
                <w:rFonts w:hint="eastAsia" w:ascii="宋体" w:hAnsi="宋体" w:eastAsia="宋体"/>
                <w:color w:val="000000" w:themeColor="text1"/>
                <w:sz w:val="24"/>
                <w:szCs w:val="24"/>
                <w:highlight w:val="none"/>
              </w:rPr>
              <w:instrText xml:space="preserve">= 2 \* GB3</w:instrText>
            </w:r>
            <w:r>
              <w:rPr>
                <w:rFonts w:ascii="宋体" w:hAnsi="宋体" w:eastAsia="宋体"/>
                <w:color w:val="000000" w:themeColor="text1"/>
                <w:sz w:val="24"/>
                <w:szCs w:val="24"/>
                <w:highlight w:val="none"/>
              </w:rPr>
              <w:instrText xml:space="preserve"> </w:instrText>
            </w:r>
            <w:r>
              <w:rPr>
                <w:rFonts w:ascii="宋体" w:hAnsi="宋体" w:eastAsia="宋体"/>
                <w:color w:val="000000" w:themeColor="text1"/>
                <w:sz w:val="24"/>
                <w:szCs w:val="24"/>
                <w:highlight w:val="none"/>
              </w:rPr>
              <w:fldChar w:fldCharType="separate"/>
            </w:r>
            <w:r>
              <w:rPr>
                <w:rFonts w:hint="eastAsia" w:ascii="宋体" w:hAnsi="宋体" w:eastAsia="宋体"/>
                <w:color w:val="000000" w:themeColor="text1"/>
                <w:sz w:val="24"/>
                <w:szCs w:val="24"/>
                <w:highlight w:val="none"/>
              </w:rPr>
              <w:t>②</w:t>
            </w:r>
            <w:r>
              <w:rPr>
                <w:rFonts w:ascii="宋体" w:hAnsi="宋体" w:eastAsia="宋体"/>
                <w:color w:val="000000" w:themeColor="text1"/>
                <w:sz w:val="24"/>
                <w:szCs w:val="24"/>
                <w:highlight w:val="none"/>
              </w:rPr>
              <w:fldChar w:fldCharType="end"/>
            </w:r>
            <w:r>
              <w:rPr>
                <w:rFonts w:hint="eastAsia" w:ascii="宋体" w:hAnsi="宋体" w:eastAsia="宋体"/>
                <w:color w:val="000000" w:themeColor="text1"/>
                <w:sz w:val="24"/>
                <w:szCs w:val="24"/>
                <w:highlight w:val="none"/>
              </w:rPr>
              <w:t>培训对象</w:t>
            </w:r>
            <w:r>
              <w:rPr>
                <w:rFonts w:ascii="宋体" w:hAnsi="宋体" w:eastAsia="宋体"/>
                <w:color w:val="000000" w:themeColor="text1"/>
                <w:sz w:val="24"/>
                <w:szCs w:val="24"/>
                <w:highlight w:val="none"/>
              </w:rPr>
              <w:fldChar w:fldCharType="begin"/>
            </w:r>
            <w:r>
              <w:rPr>
                <w:rFonts w:ascii="宋体" w:hAnsi="宋体" w:eastAsia="宋体"/>
                <w:color w:val="000000" w:themeColor="text1"/>
                <w:sz w:val="24"/>
                <w:szCs w:val="24"/>
                <w:highlight w:val="none"/>
              </w:rPr>
              <w:instrText xml:space="preserve"> </w:instrText>
            </w:r>
            <w:r>
              <w:rPr>
                <w:rFonts w:hint="eastAsia" w:ascii="宋体" w:hAnsi="宋体" w:eastAsia="宋体"/>
                <w:color w:val="000000" w:themeColor="text1"/>
                <w:sz w:val="24"/>
                <w:szCs w:val="24"/>
                <w:highlight w:val="none"/>
              </w:rPr>
              <w:instrText xml:space="preserve">= 3 \* GB3</w:instrText>
            </w:r>
            <w:r>
              <w:rPr>
                <w:rFonts w:ascii="宋体" w:hAnsi="宋体" w:eastAsia="宋体"/>
                <w:color w:val="000000" w:themeColor="text1"/>
                <w:sz w:val="24"/>
                <w:szCs w:val="24"/>
                <w:highlight w:val="none"/>
              </w:rPr>
              <w:instrText xml:space="preserve"> </w:instrText>
            </w:r>
            <w:r>
              <w:rPr>
                <w:rFonts w:ascii="宋体" w:hAnsi="宋体" w:eastAsia="宋体"/>
                <w:color w:val="000000" w:themeColor="text1"/>
                <w:sz w:val="24"/>
                <w:szCs w:val="24"/>
                <w:highlight w:val="none"/>
              </w:rPr>
              <w:fldChar w:fldCharType="separate"/>
            </w:r>
            <w:r>
              <w:rPr>
                <w:rFonts w:hint="eastAsia" w:ascii="宋体" w:hAnsi="宋体" w:eastAsia="宋体"/>
                <w:color w:val="000000" w:themeColor="text1"/>
                <w:sz w:val="24"/>
                <w:szCs w:val="24"/>
                <w:highlight w:val="none"/>
              </w:rPr>
              <w:t>③</w:t>
            </w:r>
            <w:r>
              <w:rPr>
                <w:rFonts w:ascii="宋体" w:hAnsi="宋体" w:eastAsia="宋体"/>
                <w:color w:val="000000" w:themeColor="text1"/>
                <w:sz w:val="24"/>
                <w:szCs w:val="24"/>
                <w:highlight w:val="none"/>
              </w:rPr>
              <w:fldChar w:fldCharType="end"/>
            </w:r>
            <w:r>
              <w:rPr>
                <w:rFonts w:hint="eastAsia" w:ascii="宋体" w:hAnsi="宋体" w:eastAsia="宋体"/>
                <w:color w:val="000000" w:themeColor="text1"/>
                <w:sz w:val="24"/>
                <w:szCs w:val="24"/>
                <w:highlight w:val="none"/>
              </w:rPr>
              <w:t>培训资料</w:t>
            </w:r>
            <w:r>
              <w:rPr>
                <w:rFonts w:ascii="宋体" w:hAnsi="宋体" w:eastAsia="宋体"/>
                <w:color w:val="000000" w:themeColor="text1"/>
                <w:sz w:val="24"/>
                <w:szCs w:val="24"/>
                <w:highlight w:val="none"/>
              </w:rPr>
              <w:fldChar w:fldCharType="begin"/>
            </w:r>
            <w:r>
              <w:rPr>
                <w:rFonts w:ascii="宋体" w:hAnsi="宋体" w:eastAsia="宋体"/>
                <w:color w:val="000000" w:themeColor="text1"/>
                <w:sz w:val="24"/>
                <w:szCs w:val="24"/>
                <w:highlight w:val="none"/>
              </w:rPr>
              <w:instrText xml:space="preserve"> </w:instrText>
            </w:r>
            <w:r>
              <w:rPr>
                <w:rFonts w:hint="eastAsia" w:ascii="宋体" w:hAnsi="宋体" w:eastAsia="宋体"/>
                <w:color w:val="000000" w:themeColor="text1"/>
                <w:sz w:val="24"/>
                <w:szCs w:val="24"/>
                <w:highlight w:val="none"/>
              </w:rPr>
              <w:instrText xml:space="preserve">= 4 \* GB3</w:instrText>
            </w:r>
            <w:r>
              <w:rPr>
                <w:rFonts w:ascii="宋体" w:hAnsi="宋体" w:eastAsia="宋体"/>
                <w:color w:val="000000" w:themeColor="text1"/>
                <w:sz w:val="24"/>
                <w:szCs w:val="24"/>
                <w:highlight w:val="none"/>
              </w:rPr>
              <w:instrText xml:space="preserve"> </w:instrText>
            </w:r>
            <w:r>
              <w:rPr>
                <w:rFonts w:ascii="宋体" w:hAnsi="宋体" w:eastAsia="宋体"/>
                <w:color w:val="000000" w:themeColor="text1"/>
                <w:sz w:val="24"/>
                <w:szCs w:val="24"/>
                <w:highlight w:val="none"/>
              </w:rPr>
              <w:fldChar w:fldCharType="separate"/>
            </w:r>
            <w:r>
              <w:rPr>
                <w:rFonts w:hint="eastAsia" w:ascii="宋体" w:hAnsi="宋体" w:eastAsia="宋体"/>
                <w:color w:val="000000" w:themeColor="text1"/>
                <w:sz w:val="24"/>
                <w:szCs w:val="24"/>
                <w:highlight w:val="none"/>
              </w:rPr>
              <w:t>④</w:t>
            </w:r>
            <w:r>
              <w:rPr>
                <w:rFonts w:ascii="宋体" w:hAnsi="宋体" w:eastAsia="宋体"/>
                <w:color w:val="000000" w:themeColor="text1"/>
                <w:sz w:val="24"/>
                <w:szCs w:val="24"/>
                <w:highlight w:val="none"/>
              </w:rPr>
              <w:fldChar w:fldCharType="end"/>
            </w:r>
            <w:r>
              <w:rPr>
                <w:rFonts w:hint="eastAsia" w:ascii="宋体" w:hAnsi="宋体" w:eastAsia="宋体"/>
                <w:color w:val="000000" w:themeColor="text1"/>
                <w:sz w:val="24"/>
                <w:szCs w:val="24"/>
                <w:highlight w:val="none"/>
              </w:rPr>
              <w:t>培训过程</w:t>
            </w:r>
            <w:r>
              <w:rPr>
                <w:rFonts w:ascii="宋体" w:hAnsi="宋体" w:eastAsia="宋体"/>
                <w:color w:val="000000" w:themeColor="text1"/>
                <w:sz w:val="24"/>
                <w:szCs w:val="24"/>
                <w:highlight w:val="none"/>
              </w:rPr>
              <w:fldChar w:fldCharType="begin"/>
            </w:r>
            <w:r>
              <w:rPr>
                <w:rFonts w:ascii="宋体" w:hAnsi="宋体" w:eastAsia="宋体"/>
                <w:color w:val="000000" w:themeColor="text1"/>
                <w:sz w:val="24"/>
                <w:szCs w:val="24"/>
                <w:highlight w:val="none"/>
              </w:rPr>
              <w:instrText xml:space="preserve"> </w:instrText>
            </w:r>
            <w:r>
              <w:rPr>
                <w:rFonts w:hint="eastAsia" w:ascii="宋体" w:hAnsi="宋体" w:eastAsia="宋体"/>
                <w:color w:val="000000" w:themeColor="text1"/>
                <w:sz w:val="24"/>
                <w:szCs w:val="24"/>
                <w:highlight w:val="none"/>
              </w:rPr>
              <w:instrText xml:space="preserve">= 5 \* GB3</w:instrText>
            </w:r>
            <w:r>
              <w:rPr>
                <w:rFonts w:ascii="宋体" w:hAnsi="宋体" w:eastAsia="宋体"/>
                <w:color w:val="000000" w:themeColor="text1"/>
                <w:sz w:val="24"/>
                <w:szCs w:val="24"/>
                <w:highlight w:val="none"/>
              </w:rPr>
              <w:instrText xml:space="preserve"> </w:instrText>
            </w:r>
            <w:r>
              <w:rPr>
                <w:rFonts w:ascii="宋体" w:hAnsi="宋体" w:eastAsia="宋体"/>
                <w:color w:val="000000" w:themeColor="text1"/>
                <w:sz w:val="24"/>
                <w:szCs w:val="24"/>
                <w:highlight w:val="none"/>
              </w:rPr>
              <w:fldChar w:fldCharType="separate"/>
            </w:r>
            <w:r>
              <w:rPr>
                <w:rFonts w:hint="eastAsia" w:ascii="宋体" w:hAnsi="宋体" w:eastAsia="宋体"/>
                <w:color w:val="000000" w:themeColor="text1"/>
                <w:sz w:val="24"/>
                <w:szCs w:val="24"/>
                <w:highlight w:val="none"/>
              </w:rPr>
              <w:t>⑤</w:t>
            </w:r>
            <w:r>
              <w:rPr>
                <w:rFonts w:ascii="宋体" w:hAnsi="宋体" w:eastAsia="宋体"/>
                <w:color w:val="000000" w:themeColor="text1"/>
                <w:sz w:val="24"/>
                <w:szCs w:val="24"/>
                <w:highlight w:val="none"/>
              </w:rPr>
              <w:fldChar w:fldCharType="end"/>
            </w:r>
            <w:r>
              <w:rPr>
                <w:rFonts w:hint="eastAsia" w:ascii="宋体" w:hAnsi="宋体" w:eastAsia="宋体"/>
                <w:color w:val="000000" w:themeColor="text1"/>
                <w:sz w:val="24"/>
                <w:szCs w:val="24"/>
                <w:highlight w:val="none"/>
              </w:rPr>
              <w:t>培训成效评价。评审专家根据（1.完整性：方案必须全面，对评审内容中的各项要求有详细描述；2.可实施性：切合本项目实际情况，提出步骤清晰、合理的方案；3.针对性：方案能够紧扣项目实际情况，内容科学合理。）进行赋分：</w:t>
            </w:r>
            <w:r>
              <w:rPr>
                <w:rFonts w:ascii="宋体" w:hAnsi="宋体" w:eastAsia="宋体"/>
                <w:color w:val="000000" w:themeColor="text1"/>
                <w:sz w:val="24"/>
                <w:szCs w:val="24"/>
                <w:highlight w:val="none"/>
              </w:rPr>
              <w:fldChar w:fldCharType="begin"/>
            </w:r>
            <w:r>
              <w:rPr>
                <w:rFonts w:ascii="宋体" w:hAnsi="宋体" w:eastAsia="宋体"/>
                <w:color w:val="000000" w:themeColor="text1"/>
                <w:sz w:val="24"/>
                <w:szCs w:val="24"/>
                <w:highlight w:val="none"/>
              </w:rPr>
              <w:instrText xml:space="preserve"> </w:instrText>
            </w:r>
            <w:r>
              <w:rPr>
                <w:rFonts w:hint="eastAsia" w:ascii="宋体" w:hAnsi="宋体" w:eastAsia="宋体"/>
                <w:color w:val="000000" w:themeColor="text1"/>
                <w:sz w:val="24"/>
                <w:szCs w:val="24"/>
                <w:highlight w:val="none"/>
              </w:rPr>
              <w:instrText xml:space="preserve">= 1 \* GB3</w:instrText>
            </w:r>
            <w:r>
              <w:rPr>
                <w:rFonts w:ascii="宋体" w:hAnsi="宋体" w:eastAsia="宋体"/>
                <w:color w:val="000000" w:themeColor="text1"/>
                <w:sz w:val="24"/>
                <w:szCs w:val="24"/>
                <w:highlight w:val="none"/>
              </w:rPr>
              <w:instrText xml:space="preserve"> </w:instrText>
            </w:r>
            <w:r>
              <w:rPr>
                <w:rFonts w:ascii="宋体" w:hAnsi="宋体" w:eastAsia="宋体"/>
                <w:color w:val="000000" w:themeColor="text1"/>
                <w:sz w:val="24"/>
                <w:szCs w:val="24"/>
                <w:highlight w:val="none"/>
              </w:rPr>
              <w:fldChar w:fldCharType="separate"/>
            </w:r>
            <w:r>
              <w:rPr>
                <w:rFonts w:hint="eastAsia" w:ascii="宋体" w:hAnsi="宋体" w:eastAsia="宋体"/>
                <w:color w:val="000000" w:themeColor="text1"/>
                <w:sz w:val="24"/>
                <w:szCs w:val="24"/>
                <w:highlight w:val="none"/>
              </w:rPr>
              <w:t>①</w:t>
            </w:r>
            <w:r>
              <w:rPr>
                <w:rFonts w:ascii="宋体" w:hAnsi="宋体" w:eastAsia="宋体"/>
                <w:color w:val="000000" w:themeColor="text1"/>
                <w:sz w:val="24"/>
                <w:szCs w:val="24"/>
                <w:highlight w:val="none"/>
              </w:rPr>
              <w:fldChar w:fldCharType="end"/>
            </w:r>
            <w:r>
              <w:rPr>
                <w:rFonts w:hint="eastAsia" w:ascii="宋体" w:hAnsi="宋体" w:eastAsia="宋体"/>
                <w:color w:val="000000" w:themeColor="text1"/>
                <w:sz w:val="24"/>
                <w:szCs w:val="24"/>
                <w:highlight w:val="none"/>
              </w:rPr>
              <w:t>培训计划根据完整性、可实施性和针对性，计0-0.6分，</w:t>
            </w:r>
            <w:r>
              <w:rPr>
                <w:rFonts w:ascii="宋体" w:hAnsi="宋体" w:eastAsia="宋体"/>
                <w:color w:val="000000" w:themeColor="text1"/>
                <w:sz w:val="24"/>
                <w:szCs w:val="24"/>
                <w:highlight w:val="none"/>
              </w:rPr>
              <w:fldChar w:fldCharType="begin"/>
            </w:r>
            <w:r>
              <w:rPr>
                <w:rFonts w:ascii="宋体" w:hAnsi="宋体" w:eastAsia="宋体"/>
                <w:color w:val="000000" w:themeColor="text1"/>
                <w:sz w:val="24"/>
                <w:szCs w:val="24"/>
                <w:highlight w:val="none"/>
              </w:rPr>
              <w:instrText xml:space="preserve"> </w:instrText>
            </w:r>
            <w:r>
              <w:rPr>
                <w:rFonts w:hint="eastAsia" w:ascii="宋体" w:hAnsi="宋体" w:eastAsia="宋体"/>
                <w:color w:val="000000" w:themeColor="text1"/>
                <w:sz w:val="24"/>
                <w:szCs w:val="24"/>
                <w:highlight w:val="none"/>
              </w:rPr>
              <w:instrText xml:space="preserve">= 2 \* GB3</w:instrText>
            </w:r>
            <w:r>
              <w:rPr>
                <w:rFonts w:ascii="宋体" w:hAnsi="宋体" w:eastAsia="宋体"/>
                <w:color w:val="000000" w:themeColor="text1"/>
                <w:sz w:val="24"/>
                <w:szCs w:val="24"/>
                <w:highlight w:val="none"/>
              </w:rPr>
              <w:instrText xml:space="preserve"> </w:instrText>
            </w:r>
            <w:r>
              <w:rPr>
                <w:rFonts w:ascii="宋体" w:hAnsi="宋体" w:eastAsia="宋体"/>
                <w:color w:val="000000" w:themeColor="text1"/>
                <w:sz w:val="24"/>
                <w:szCs w:val="24"/>
                <w:highlight w:val="none"/>
              </w:rPr>
              <w:fldChar w:fldCharType="separate"/>
            </w:r>
            <w:r>
              <w:rPr>
                <w:rFonts w:hint="eastAsia" w:ascii="宋体" w:hAnsi="宋体" w:eastAsia="宋体"/>
                <w:color w:val="000000" w:themeColor="text1"/>
                <w:sz w:val="24"/>
                <w:szCs w:val="24"/>
                <w:highlight w:val="none"/>
              </w:rPr>
              <w:t>②</w:t>
            </w:r>
            <w:r>
              <w:rPr>
                <w:rFonts w:ascii="宋体" w:hAnsi="宋体" w:eastAsia="宋体"/>
                <w:color w:val="000000" w:themeColor="text1"/>
                <w:sz w:val="24"/>
                <w:szCs w:val="24"/>
                <w:highlight w:val="none"/>
              </w:rPr>
              <w:fldChar w:fldCharType="end"/>
            </w:r>
            <w:r>
              <w:rPr>
                <w:rFonts w:hint="eastAsia" w:ascii="宋体" w:hAnsi="宋体" w:eastAsia="宋体"/>
                <w:color w:val="000000" w:themeColor="text1"/>
                <w:sz w:val="24"/>
                <w:szCs w:val="24"/>
                <w:highlight w:val="none"/>
              </w:rPr>
              <w:t>培训对象根据完整性、可实施性和针对性，计0-0.6分，</w:t>
            </w:r>
            <w:r>
              <w:rPr>
                <w:rFonts w:ascii="宋体" w:hAnsi="宋体" w:eastAsia="宋体"/>
                <w:color w:val="000000" w:themeColor="text1"/>
                <w:sz w:val="24"/>
                <w:szCs w:val="24"/>
                <w:highlight w:val="none"/>
              </w:rPr>
              <w:fldChar w:fldCharType="begin"/>
            </w:r>
            <w:r>
              <w:rPr>
                <w:rFonts w:ascii="宋体" w:hAnsi="宋体" w:eastAsia="宋体"/>
                <w:color w:val="000000" w:themeColor="text1"/>
                <w:sz w:val="24"/>
                <w:szCs w:val="24"/>
                <w:highlight w:val="none"/>
              </w:rPr>
              <w:instrText xml:space="preserve"> </w:instrText>
            </w:r>
            <w:r>
              <w:rPr>
                <w:rFonts w:hint="eastAsia" w:ascii="宋体" w:hAnsi="宋体" w:eastAsia="宋体"/>
                <w:color w:val="000000" w:themeColor="text1"/>
                <w:sz w:val="24"/>
                <w:szCs w:val="24"/>
                <w:highlight w:val="none"/>
              </w:rPr>
              <w:instrText xml:space="preserve">= 3 \* GB3</w:instrText>
            </w:r>
            <w:r>
              <w:rPr>
                <w:rFonts w:ascii="宋体" w:hAnsi="宋体" w:eastAsia="宋体"/>
                <w:color w:val="000000" w:themeColor="text1"/>
                <w:sz w:val="24"/>
                <w:szCs w:val="24"/>
                <w:highlight w:val="none"/>
              </w:rPr>
              <w:instrText xml:space="preserve"> </w:instrText>
            </w:r>
            <w:r>
              <w:rPr>
                <w:rFonts w:ascii="宋体" w:hAnsi="宋体" w:eastAsia="宋体"/>
                <w:color w:val="000000" w:themeColor="text1"/>
                <w:sz w:val="24"/>
                <w:szCs w:val="24"/>
                <w:highlight w:val="none"/>
              </w:rPr>
              <w:fldChar w:fldCharType="separate"/>
            </w:r>
            <w:r>
              <w:rPr>
                <w:rFonts w:hint="eastAsia" w:ascii="宋体" w:hAnsi="宋体" w:eastAsia="宋体"/>
                <w:color w:val="000000" w:themeColor="text1"/>
                <w:sz w:val="24"/>
                <w:szCs w:val="24"/>
                <w:highlight w:val="none"/>
              </w:rPr>
              <w:t>③</w:t>
            </w:r>
            <w:r>
              <w:rPr>
                <w:rFonts w:ascii="宋体" w:hAnsi="宋体" w:eastAsia="宋体"/>
                <w:color w:val="000000" w:themeColor="text1"/>
                <w:sz w:val="24"/>
                <w:szCs w:val="24"/>
                <w:highlight w:val="none"/>
              </w:rPr>
              <w:fldChar w:fldCharType="end"/>
            </w:r>
            <w:r>
              <w:rPr>
                <w:rFonts w:hint="eastAsia" w:ascii="宋体" w:hAnsi="宋体" w:eastAsia="宋体"/>
                <w:color w:val="000000" w:themeColor="text1"/>
                <w:sz w:val="24"/>
                <w:szCs w:val="24"/>
                <w:highlight w:val="none"/>
              </w:rPr>
              <w:t>培训资料根据完整性、可实施性和针对性，计0-0.6分，</w:t>
            </w:r>
            <w:r>
              <w:rPr>
                <w:rFonts w:ascii="宋体" w:hAnsi="宋体" w:eastAsia="宋体"/>
                <w:color w:val="000000" w:themeColor="text1"/>
                <w:sz w:val="24"/>
                <w:szCs w:val="24"/>
                <w:highlight w:val="none"/>
              </w:rPr>
              <w:fldChar w:fldCharType="begin"/>
            </w:r>
            <w:r>
              <w:rPr>
                <w:rFonts w:ascii="宋体" w:hAnsi="宋体" w:eastAsia="宋体"/>
                <w:color w:val="000000" w:themeColor="text1"/>
                <w:sz w:val="24"/>
                <w:szCs w:val="24"/>
                <w:highlight w:val="none"/>
              </w:rPr>
              <w:instrText xml:space="preserve"> </w:instrText>
            </w:r>
            <w:r>
              <w:rPr>
                <w:rFonts w:hint="eastAsia" w:ascii="宋体" w:hAnsi="宋体" w:eastAsia="宋体"/>
                <w:color w:val="000000" w:themeColor="text1"/>
                <w:sz w:val="24"/>
                <w:szCs w:val="24"/>
                <w:highlight w:val="none"/>
              </w:rPr>
              <w:instrText xml:space="preserve">= 4 \* GB3</w:instrText>
            </w:r>
            <w:r>
              <w:rPr>
                <w:rFonts w:ascii="宋体" w:hAnsi="宋体" w:eastAsia="宋体"/>
                <w:color w:val="000000" w:themeColor="text1"/>
                <w:sz w:val="24"/>
                <w:szCs w:val="24"/>
                <w:highlight w:val="none"/>
              </w:rPr>
              <w:instrText xml:space="preserve"> </w:instrText>
            </w:r>
            <w:r>
              <w:rPr>
                <w:rFonts w:ascii="宋体" w:hAnsi="宋体" w:eastAsia="宋体"/>
                <w:color w:val="000000" w:themeColor="text1"/>
                <w:sz w:val="24"/>
                <w:szCs w:val="24"/>
                <w:highlight w:val="none"/>
              </w:rPr>
              <w:fldChar w:fldCharType="separate"/>
            </w:r>
            <w:r>
              <w:rPr>
                <w:rFonts w:hint="eastAsia" w:ascii="宋体" w:hAnsi="宋体" w:eastAsia="宋体"/>
                <w:color w:val="000000" w:themeColor="text1"/>
                <w:sz w:val="24"/>
                <w:szCs w:val="24"/>
                <w:highlight w:val="none"/>
              </w:rPr>
              <w:t>④</w:t>
            </w:r>
            <w:r>
              <w:rPr>
                <w:rFonts w:ascii="宋体" w:hAnsi="宋体" w:eastAsia="宋体"/>
                <w:color w:val="000000" w:themeColor="text1"/>
                <w:sz w:val="24"/>
                <w:szCs w:val="24"/>
                <w:highlight w:val="none"/>
              </w:rPr>
              <w:fldChar w:fldCharType="end"/>
            </w:r>
            <w:r>
              <w:rPr>
                <w:rFonts w:hint="eastAsia" w:ascii="宋体" w:hAnsi="宋体" w:eastAsia="宋体"/>
                <w:color w:val="000000" w:themeColor="text1"/>
                <w:sz w:val="24"/>
                <w:szCs w:val="24"/>
                <w:highlight w:val="none"/>
              </w:rPr>
              <w:t>培训过程根据完整性、可实施性和针对性，计0-0.6分，</w:t>
            </w:r>
            <w:r>
              <w:rPr>
                <w:rFonts w:ascii="宋体" w:hAnsi="宋体" w:eastAsia="宋体"/>
                <w:color w:val="000000" w:themeColor="text1"/>
                <w:sz w:val="24"/>
                <w:szCs w:val="24"/>
                <w:highlight w:val="none"/>
              </w:rPr>
              <w:fldChar w:fldCharType="begin"/>
            </w:r>
            <w:r>
              <w:rPr>
                <w:rFonts w:ascii="宋体" w:hAnsi="宋体" w:eastAsia="宋体"/>
                <w:color w:val="000000" w:themeColor="text1"/>
                <w:sz w:val="24"/>
                <w:szCs w:val="24"/>
                <w:highlight w:val="none"/>
              </w:rPr>
              <w:instrText xml:space="preserve"> </w:instrText>
            </w:r>
            <w:r>
              <w:rPr>
                <w:rFonts w:hint="eastAsia" w:ascii="宋体" w:hAnsi="宋体" w:eastAsia="宋体"/>
                <w:color w:val="000000" w:themeColor="text1"/>
                <w:sz w:val="24"/>
                <w:szCs w:val="24"/>
                <w:highlight w:val="none"/>
              </w:rPr>
              <w:instrText xml:space="preserve">= 5 \* GB3</w:instrText>
            </w:r>
            <w:r>
              <w:rPr>
                <w:rFonts w:ascii="宋体" w:hAnsi="宋体" w:eastAsia="宋体"/>
                <w:color w:val="000000" w:themeColor="text1"/>
                <w:sz w:val="24"/>
                <w:szCs w:val="24"/>
                <w:highlight w:val="none"/>
              </w:rPr>
              <w:instrText xml:space="preserve"> </w:instrText>
            </w:r>
            <w:r>
              <w:rPr>
                <w:rFonts w:ascii="宋体" w:hAnsi="宋体" w:eastAsia="宋体"/>
                <w:color w:val="000000" w:themeColor="text1"/>
                <w:sz w:val="24"/>
                <w:szCs w:val="24"/>
                <w:highlight w:val="none"/>
              </w:rPr>
              <w:fldChar w:fldCharType="separate"/>
            </w:r>
            <w:r>
              <w:rPr>
                <w:rFonts w:hint="eastAsia" w:ascii="宋体" w:hAnsi="宋体" w:eastAsia="宋体"/>
                <w:color w:val="000000" w:themeColor="text1"/>
                <w:sz w:val="24"/>
                <w:szCs w:val="24"/>
                <w:highlight w:val="none"/>
              </w:rPr>
              <w:t>⑤</w:t>
            </w:r>
            <w:r>
              <w:rPr>
                <w:rFonts w:ascii="宋体" w:hAnsi="宋体" w:eastAsia="宋体"/>
                <w:color w:val="000000" w:themeColor="text1"/>
                <w:sz w:val="24"/>
                <w:szCs w:val="24"/>
                <w:highlight w:val="none"/>
              </w:rPr>
              <w:fldChar w:fldCharType="end"/>
            </w:r>
            <w:r>
              <w:rPr>
                <w:rFonts w:hint="eastAsia" w:ascii="宋体" w:hAnsi="宋体" w:eastAsia="宋体"/>
                <w:color w:val="000000" w:themeColor="text1"/>
                <w:sz w:val="24"/>
                <w:szCs w:val="24"/>
                <w:highlight w:val="none"/>
              </w:rPr>
              <w:t>培训成效评价根据完整性、可实施性和针对性，计0-0.6分。</w:t>
            </w:r>
          </w:p>
          <w:p w14:paraId="3D94DBAD">
            <w:pPr>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2、投标人提供2023年1月1日至本项目招标公告发布之日前全国范围内地震预警相关专题授课培训成功案例，每提供1个案例得</w:t>
            </w:r>
            <w:r>
              <w:rPr>
                <w:rFonts w:ascii="宋体" w:hAnsi="宋体" w:eastAsia="宋体"/>
                <w:color w:val="000000" w:themeColor="text1"/>
                <w:sz w:val="24"/>
                <w:szCs w:val="24"/>
                <w:highlight w:val="none"/>
              </w:rPr>
              <w:t>0.5</w:t>
            </w:r>
            <w:r>
              <w:rPr>
                <w:rFonts w:hint="eastAsia" w:ascii="宋体" w:hAnsi="宋体" w:eastAsia="宋体"/>
                <w:color w:val="000000" w:themeColor="text1"/>
                <w:sz w:val="24"/>
                <w:szCs w:val="24"/>
                <w:highlight w:val="none"/>
              </w:rPr>
              <w:t>分，满分</w:t>
            </w:r>
            <w:r>
              <w:rPr>
                <w:rFonts w:ascii="宋体" w:hAnsi="宋体" w:eastAsia="宋体"/>
                <w:color w:val="000000" w:themeColor="text1"/>
                <w:sz w:val="24"/>
                <w:szCs w:val="24"/>
                <w:highlight w:val="none"/>
              </w:rPr>
              <w:t>2</w:t>
            </w:r>
            <w:r>
              <w:rPr>
                <w:rFonts w:hint="eastAsia" w:ascii="宋体" w:hAnsi="宋体" w:eastAsia="宋体"/>
                <w:color w:val="000000" w:themeColor="text1"/>
                <w:sz w:val="24"/>
                <w:szCs w:val="24"/>
                <w:highlight w:val="none"/>
              </w:rPr>
              <w:t>分。（要求提供项目甲方出具的相关证明材料，包括但不限于会议通知或会议签到表或现场培训照片等，需加盖项目甲方公章，同时提供投标人与项目甲方的合同复印件）。</w:t>
            </w:r>
          </w:p>
        </w:tc>
        <w:tc>
          <w:tcPr>
            <w:tcW w:w="728" w:type="pct"/>
            <w:vAlign w:val="center"/>
          </w:tcPr>
          <w:p w14:paraId="17A35D27">
            <w:pPr>
              <w:tabs>
                <w:tab w:val="left" w:pos="312"/>
              </w:tabs>
              <w:spacing w:line="360" w:lineRule="auto"/>
              <w:jc w:val="center"/>
              <w:rPr>
                <w:rFonts w:ascii="宋体" w:hAnsi="宋体" w:eastAsia="宋体"/>
                <w:color w:val="000000" w:themeColor="text1"/>
                <w:sz w:val="24"/>
                <w:szCs w:val="24"/>
                <w:highlight w:val="none"/>
              </w:rPr>
            </w:pPr>
            <w:r>
              <w:rPr>
                <w:rFonts w:ascii="宋体" w:hAnsi="宋体" w:eastAsia="宋体"/>
                <w:color w:val="000000" w:themeColor="text1"/>
                <w:sz w:val="24"/>
                <w:szCs w:val="24"/>
                <w:highlight w:val="none"/>
              </w:rPr>
              <w:t>5</w:t>
            </w:r>
          </w:p>
        </w:tc>
      </w:tr>
      <w:tr w14:paraId="78480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4" w:type="pct"/>
            <w:vAlign w:val="center"/>
          </w:tcPr>
          <w:p w14:paraId="607C0ADB">
            <w:pPr>
              <w:spacing w:line="360" w:lineRule="auto"/>
              <w:jc w:val="center"/>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售后服务方案</w:t>
            </w:r>
          </w:p>
        </w:tc>
        <w:tc>
          <w:tcPr>
            <w:tcW w:w="3588" w:type="pct"/>
          </w:tcPr>
          <w:p w14:paraId="0D92F65E">
            <w:pPr>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1、投标人需针对本项目实际需求提供售后服务方案。内容包含：①售后服务范围②响应时间③故障处理及补救措施④售后服务保障措施⑤定期回访及维护。评审专家根据（1.完整性：方案必须全面，对评审内容中的各项要求有详细描述；2.可实施性：切合本项目实际情况，提出步骤清晰、合理的方案；3.针对性：方案能够紧扣项目实际情况，内容科学合理。）进行赋分：①售后服务范围根据完整性、可实施性和针对性，计0-0.8分，②响应时间根据完整性、可实施性和针对性，计0-0.8分，③故障处理及补救措施根据完整性、可实施性和针对性，计0-0.8分，④售后服务保障措施根据完整性、可实施性和针对性，计0-0.8分，⑤定期回访及维护根据完整性、可实施性和针对性，计0-0.8分。</w:t>
            </w:r>
          </w:p>
          <w:p w14:paraId="10506BE6">
            <w:pPr>
              <w:spacing w:line="360" w:lineRule="auto"/>
              <w:jc w:val="left"/>
              <w:rPr>
                <w:rFonts w:ascii="宋体" w:hAnsi="宋体" w:eastAsia="宋体"/>
                <w:color w:val="000000" w:themeColor="text1"/>
                <w:sz w:val="24"/>
                <w:szCs w:val="24"/>
                <w:highlight w:val="none"/>
              </w:rPr>
            </w:pPr>
            <w:r>
              <w:rPr>
                <w:rFonts w:hint="eastAsia" w:ascii="宋体" w:hAnsi="宋体" w:eastAsia="宋体"/>
                <w:color w:val="000000" w:themeColor="text1"/>
                <w:sz w:val="24"/>
                <w:szCs w:val="24"/>
                <w:highlight w:val="none"/>
              </w:rPr>
              <w:t>2、中标供应商承诺在签订合同后3</w:t>
            </w:r>
            <w:r>
              <w:rPr>
                <w:rFonts w:ascii="宋体" w:hAnsi="宋体" w:eastAsia="宋体"/>
                <w:color w:val="000000" w:themeColor="text1"/>
                <w:sz w:val="24"/>
                <w:szCs w:val="24"/>
                <w:highlight w:val="none"/>
              </w:rPr>
              <w:t>0</w:t>
            </w:r>
            <w:r>
              <w:rPr>
                <w:rFonts w:hint="eastAsia" w:ascii="宋体" w:hAnsi="宋体" w:eastAsia="宋体"/>
                <w:color w:val="000000" w:themeColor="text1"/>
                <w:sz w:val="24"/>
                <w:szCs w:val="24"/>
                <w:highlight w:val="none"/>
              </w:rPr>
              <w:t>日历日内在采购人所在地设立售后服务点，确保在采购人要求的响应时间内到达服务地点。提供承诺函得1分，不提供不得分。</w:t>
            </w:r>
          </w:p>
        </w:tc>
        <w:tc>
          <w:tcPr>
            <w:tcW w:w="728" w:type="pct"/>
            <w:vAlign w:val="center"/>
          </w:tcPr>
          <w:p w14:paraId="42DAE84C">
            <w:pPr>
              <w:spacing w:line="360" w:lineRule="auto"/>
              <w:jc w:val="center"/>
              <w:rPr>
                <w:rFonts w:ascii="宋体" w:hAnsi="宋体" w:eastAsia="宋体"/>
                <w:color w:val="000000" w:themeColor="text1"/>
                <w:sz w:val="24"/>
                <w:szCs w:val="24"/>
                <w:highlight w:val="none"/>
              </w:rPr>
            </w:pPr>
            <w:r>
              <w:rPr>
                <w:rFonts w:ascii="宋体" w:hAnsi="宋体" w:eastAsia="宋体"/>
                <w:color w:val="000000" w:themeColor="text1"/>
                <w:sz w:val="24"/>
                <w:szCs w:val="24"/>
                <w:highlight w:val="none"/>
              </w:rPr>
              <w:t>5</w:t>
            </w:r>
          </w:p>
        </w:tc>
      </w:tr>
    </w:tbl>
    <w:p w14:paraId="61963D41">
      <w:pPr>
        <w:widowControl/>
        <w:spacing w:line="360" w:lineRule="auto"/>
        <w:jc w:val="left"/>
        <w:rPr>
          <w:rFonts w:ascii="宋体" w:hAnsi="宋体" w:eastAsia="宋体"/>
          <w:color w:val="000000" w:themeColor="text1"/>
          <w:sz w:val="24"/>
          <w:szCs w:val="24"/>
          <w:highlight w:val="none"/>
        </w:rPr>
      </w:pPr>
    </w:p>
    <w:sectPr>
      <w:footerReference r:id="rId5" w:type="first"/>
      <w:headerReference r:id="rId3" w:type="default"/>
      <w:footerReference r:id="rId4" w:type="default"/>
      <w:pgSz w:w="11906" w:h="16838"/>
      <w:pgMar w:top="1134" w:right="1134" w:bottom="1134" w:left="1701" w:header="567" w:footer="567" w:gutter="0"/>
      <w:pgNumType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ModIcon">
    <w:altName w:val="Segoe Print"/>
    <w:panose1 w:val="00000000000000000000"/>
    <w:charset w:val="00"/>
    <w:family w:val="auto"/>
    <w:pitch w:val="default"/>
    <w:sig w:usb0="00000000" w:usb1="00000000" w:usb2="00000000" w:usb3="00000000" w:csb0="00000000" w:csb1="00000000"/>
  </w:font>
  <w:font w:name="ActionIcon">
    <w:altName w:val="Segoe Print"/>
    <w:panose1 w:val="00000000000000000000"/>
    <w:charset w:val="00"/>
    <w:family w:val="auto"/>
    <w:pitch w:val="default"/>
    <w:sig w:usb0="00000000" w:usb1="00000000" w:usb2="00000000" w:usb3="00000000" w:csb0="00000000"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ActionIcon ! important">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02138852"/>
    </w:sdtPr>
    <w:sdtContent>
      <w:sdt>
        <w:sdtPr>
          <w:id w:val="-1"/>
        </w:sdtPr>
        <w:sdtContent>
          <w:p w14:paraId="6CCC06D7">
            <w:pPr>
              <w:pStyle w:val="1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96</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112</w:t>
            </w:r>
            <w:r>
              <w:rPr>
                <w:b/>
                <w:bCs/>
                <w:sz w:val="24"/>
                <w:szCs w:val="24"/>
              </w:rPr>
              <w:fldChar w:fldCharType="end"/>
            </w:r>
          </w:p>
        </w:sdtContent>
      </w:sdt>
    </w:sdtContent>
  </w:sdt>
  <w:p w14:paraId="6A2F6A6D">
    <w:pPr>
      <w:pStyle w:val="1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30765277"/>
    </w:sdtPr>
    <w:sdtContent>
      <w:sdt>
        <w:sdtPr>
          <w:id w:val="1728636285"/>
        </w:sdtPr>
        <w:sdtContent>
          <w:p w14:paraId="44ABB3A1">
            <w:pPr>
              <w:pStyle w:val="1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112</w:t>
            </w:r>
            <w:r>
              <w:rPr>
                <w:b/>
                <w:bCs/>
                <w:sz w:val="24"/>
                <w:szCs w:val="24"/>
              </w:rPr>
              <w:fldChar w:fldCharType="end"/>
            </w:r>
          </w:p>
        </w:sdtContent>
      </w:sdt>
    </w:sdtContent>
  </w:sdt>
  <w:p w14:paraId="0A170215">
    <w:pPr>
      <w:pStyle w:val="1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8B6F8E">
    <w:pPr>
      <w:pStyle w:val="20"/>
      <w:jc w:val="both"/>
      <w:rPr>
        <w:rFonts w:ascii="宋体" w:hAnsi="宋体" w:eastAsia="宋体"/>
        <w:sz w:val="22"/>
        <w:szCs w:val="24"/>
      </w:rPr>
    </w:pPr>
    <w:r>
      <w:rPr>
        <w:rFonts w:hint="eastAsia" w:ascii="宋体" w:hAnsi="宋体" w:eastAsia="宋体"/>
        <w:sz w:val="22"/>
        <w:szCs w:val="24"/>
      </w:rPr>
      <w:drawing>
        <wp:anchor distT="0" distB="0" distL="114300" distR="114300" simplePos="0" relativeHeight="251660288" behindDoc="0" locked="0" layoutInCell="1" allowOverlap="1">
          <wp:simplePos x="0" y="0"/>
          <wp:positionH relativeFrom="margin">
            <wp:align>right</wp:align>
          </wp:positionH>
          <wp:positionV relativeFrom="paragraph">
            <wp:posOffset>3175</wp:posOffset>
          </wp:positionV>
          <wp:extent cx="534670" cy="371475"/>
          <wp:effectExtent l="0" t="0" r="0" b="9525"/>
          <wp:wrapNone/>
          <wp:docPr id="1" name="图片 1" descr="陕西中经招标有限公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陕西中经招标有限公司"/>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534670" cy="371475"/>
                  </a:xfrm>
                  <a:prstGeom prst="rect">
                    <a:avLst/>
                  </a:prstGeom>
                  <a:noFill/>
                  <a:ln>
                    <a:noFill/>
                  </a:ln>
                </pic:spPr>
              </pic:pic>
            </a:graphicData>
          </a:graphic>
        </wp:anchor>
      </w:drawing>
    </w:r>
    <w:r>
      <w:rPr>
        <w:rFonts w:hint="eastAsia" w:ascii="宋体" w:hAnsi="宋体" w:eastAsia="宋体"/>
        <w:sz w:val="22"/>
        <w:szCs w:val="24"/>
      </w:rPr>
      <w:t>项目名称：宝鸡市地震预警系统应用建设项目（一期）（二次）</w:t>
    </w:r>
  </w:p>
  <w:p w14:paraId="2C435136">
    <w:pPr>
      <w:pStyle w:val="20"/>
      <w:jc w:val="both"/>
      <w:rPr>
        <w:rFonts w:ascii="宋体" w:hAnsi="宋体" w:eastAsia="宋体"/>
        <w:sz w:val="22"/>
        <w:szCs w:val="24"/>
      </w:rPr>
    </w:pPr>
    <w:r>
      <w:rPr>
        <w:rFonts w:hint="eastAsia" w:ascii="宋体" w:hAnsi="宋体" w:eastAsia="宋体"/>
        <w:sz w:val="22"/>
        <w:szCs w:val="24"/>
      </w:rPr>
      <w:t>项目编号：ZJZBSX</w:t>
    </w:r>
    <w:r>
      <w:rPr>
        <w:rFonts w:ascii="宋体" w:hAnsi="宋体" w:eastAsia="宋体"/>
        <w:sz w:val="22"/>
        <w:szCs w:val="24"/>
      </w:rPr>
      <w:t>-250614-10884（2）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8090108"/>
    <w:multiLevelType w:val="multilevel"/>
    <w:tmpl w:val="38090108"/>
    <w:lvl w:ilvl="0" w:tentative="0">
      <w:start w:val="1"/>
      <w:numFmt w:val="decimal"/>
      <w:pStyle w:val="2"/>
      <w:lvlText w:val="%1."/>
      <w:lvlJc w:val="left"/>
      <w:pPr>
        <w:tabs>
          <w:tab w:val="left" w:pos="425"/>
        </w:tabs>
        <w:ind w:left="425" w:hanging="425"/>
      </w:pPr>
      <w:rPr>
        <w:rFonts w:hint="eastAsia" w:eastAsia="宋体"/>
        <w:b/>
        <w:i w:val="0"/>
        <w:sz w:val="24"/>
        <w:szCs w:val="24"/>
      </w:rPr>
    </w:lvl>
    <w:lvl w:ilvl="1" w:tentative="0">
      <w:start w:val="1"/>
      <w:numFmt w:val="decimal"/>
      <w:pStyle w:val="3"/>
      <w:lvlText w:val="%1.%2."/>
      <w:lvlJc w:val="left"/>
      <w:pPr>
        <w:tabs>
          <w:tab w:val="left" w:pos="567"/>
        </w:tabs>
        <w:ind w:left="567" w:hanging="567"/>
      </w:pPr>
      <w:rPr>
        <w:rFonts w:hint="eastAsia" w:ascii="宋体" w:hAnsi="宋体" w:eastAsia="宋体"/>
        <w:b/>
        <w:i w:val="0"/>
        <w:color w:val="auto"/>
        <w:sz w:val="24"/>
        <w:szCs w:val="24"/>
        <w:u w:val="none"/>
      </w:rPr>
    </w:lvl>
    <w:lvl w:ilvl="2" w:tentative="0">
      <w:start w:val="1"/>
      <w:numFmt w:val="decimal"/>
      <w:pStyle w:val="4"/>
      <w:lvlText w:val="%1.%2.%3."/>
      <w:lvlJc w:val="left"/>
      <w:pPr>
        <w:tabs>
          <w:tab w:val="left" w:pos="709"/>
        </w:tabs>
        <w:ind w:left="709" w:hanging="709"/>
      </w:pPr>
      <w:rPr>
        <w:rFonts w:hint="eastAsia" w:ascii="宋体" w:hAnsi="宋体" w:eastAsia="宋体"/>
        <w:caps w:val="0"/>
        <w:strike w:val="0"/>
        <w:dstrike w:val="0"/>
        <w:shadow w:val="0"/>
        <w:emboss w:val="0"/>
        <w:imprint w:val="0"/>
        <w:vanish w:val="0"/>
        <w:vertAlign w:val="baseline"/>
      </w:rPr>
    </w:lvl>
    <w:lvl w:ilvl="3" w:tentative="0">
      <w:start w:val="1"/>
      <w:numFmt w:val="decimal"/>
      <w:pStyle w:val="5"/>
      <w:lvlText w:val="%1.%2.%3.%4."/>
      <w:lvlJc w:val="left"/>
      <w:pPr>
        <w:tabs>
          <w:tab w:val="left" w:pos="851"/>
        </w:tabs>
        <w:ind w:left="851" w:hanging="851"/>
      </w:pPr>
      <w:rPr>
        <w:rFonts w:hint="eastAsia" w:ascii="宋体" w:hAnsi="宋体" w:eastAsia="宋体"/>
        <w:b/>
        <w:sz w:val="24"/>
        <w:szCs w:val="24"/>
      </w:rPr>
    </w:lvl>
    <w:lvl w:ilvl="4" w:tentative="0">
      <w:start w:val="1"/>
      <w:numFmt w:val="decimal"/>
      <w:pStyle w:val="7"/>
      <w:lvlText w:val="%1.%2.%3.%4.%5."/>
      <w:lvlJc w:val="left"/>
      <w:pPr>
        <w:tabs>
          <w:tab w:val="left" w:pos="992"/>
        </w:tabs>
        <w:ind w:left="992" w:hanging="992"/>
      </w:pPr>
      <w:rPr>
        <w:rFonts w:hint="eastAsia"/>
        <w:b/>
        <w:i w:val="0"/>
        <w:sz w:val="24"/>
        <w:szCs w:val="24"/>
      </w:rPr>
    </w:lvl>
    <w:lvl w:ilvl="5" w:tentative="0">
      <w:start w:val="1"/>
      <w:numFmt w:val="decimal"/>
      <w:pStyle w:val="8"/>
      <w:lvlText w:val="%1.%2.%3.%4.%5.%6."/>
      <w:lvlJc w:val="left"/>
      <w:pPr>
        <w:tabs>
          <w:tab w:val="left" w:pos="1134"/>
        </w:tabs>
        <w:ind w:left="1134" w:hanging="1134"/>
      </w:pPr>
      <w:rPr>
        <w:rFonts w:hint="eastAsia" w:ascii="宋体" w:hAnsi="宋体" w:eastAsia="宋体"/>
      </w:rPr>
    </w:lvl>
    <w:lvl w:ilvl="6" w:tentative="0">
      <w:start w:val="1"/>
      <w:numFmt w:val="decimal"/>
      <w:pStyle w:val="9"/>
      <w:lvlText w:val="%1.%2.%3.%4.%5.%6.%7."/>
      <w:lvlJc w:val="left"/>
      <w:pPr>
        <w:tabs>
          <w:tab w:val="left" w:pos="1276"/>
        </w:tabs>
        <w:ind w:left="1276" w:hanging="1276"/>
      </w:pPr>
      <w:rPr>
        <w:rFonts w:hint="eastAsia" w:ascii="宋体" w:hAnsi="宋体" w:eastAsia="宋体"/>
      </w:rPr>
    </w:lvl>
    <w:lvl w:ilvl="7" w:tentative="0">
      <w:start w:val="1"/>
      <w:numFmt w:val="decimal"/>
      <w:pStyle w:val="10"/>
      <w:lvlText w:val="%1.%2.%3.%4.%5.%6.%7.%8."/>
      <w:lvlJc w:val="left"/>
      <w:pPr>
        <w:tabs>
          <w:tab w:val="left" w:pos="1418"/>
        </w:tabs>
        <w:ind w:left="1418" w:hanging="1418"/>
      </w:pPr>
      <w:rPr>
        <w:rFonts w:hint="eastAsia"/>
      </w:rPr>
    </w:lvl>
    <w:lvl w:ilvl="8" w:tentative="0">
      <w:start w:val="1"/>
      <w:numFmt w:val="decimal"/>
      <w:pStyle w:val="11"/>
      <w:lvlText w:val="%1.%2.%3.%4.%5.%6.%7.%8.%9."/>
      <w:lvlJc w:val="left"/>
      <w:pPr>
        <w:tabs>
          <w:tab w:val="left" w:pos="1559"/>
        </w:tabs>
        <w:ind w:left="1559" w:hanging="1559"/>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bordersDoNotSurroundHeader w:val="0"/>
  <w:bordersDoNotSurroundFooter w:val="0"/>
  <w:hideSpellingError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2"/>
  </w:compat>
  <w:docVars>
    <w:docVar w:name="commondata" w:val="eyJoZGlkIjoiY2M0NjA1NDdkMjRiMjIyODFiYjgwMzJiNzAzYjBiMGQifQ=="/>
  </w:docVars>
  <w:rsids>
    <w:rsidRoot w:val="00D617C5"/>
    <w:rsid w:val="000000BC"/>
    <w:rsid w:val="000015BD"/>
    <w:rsid w:val="00001A31"/>
    <w:rsid w:val="0000437B"/>
    <w:rsid w:val="000109DB"/>
    <w:rsid w:val="000125D3"/>
    <w:rsid w:val="00013729"/>
    <w:rsid w:val="00013E55"/>
    <w:rsid w:val="000145FE"/>
    <w:rsid w:val="00016D76"/>
    <w:rsid w:val="00022604"/>
    <w:rsid w:val="00024919"/>
    <w:rsid w:val="00024CF2"/>
    <w:rsid w:val="0002642A"/>
    <w:rsid w:val="00026890"/>
    <w:rsid w:val="00027B95"/>
    <w:rsid w:val="00031CF6"/>
    <w:rsid w:val="00033096"/>
    <w:rsid w:val="00037C0E"/>
    <w:rsid w:val="0004016C"/>
    <w:rsid w:val="000415E3"/>
    <w:rsid w:val="000427FD"/>
    <w:rsid w:val="000433E7"/>
    <w:rsid w:val="00044FC1"/>
    <w:rsid w:val="0005003B"/>
    <w:rsid w:val="000537F3"/>
    <w:rsid w:val="00060721"/>
    <w:rsid w:val="00062BB6"/>
    <w:rsid w:val="000632CB"/>
    <w:rsid w:val="00064C92"/>
    <w:rsid w:val="00065B63"/>
    <w:rsid w:val="000666B8"/>
    <w:rsid w:val="00067B7B"/>
    <w:rsid w:val="000707EA"/>
    <w:rsid w:val="00077938"/>
    <w:rsid w:val="00077E5F"/>
    <w:rsid w:val="00082DDF"/>
    <w:rsid w:val="00084291"/>
    <w:rsid w:val="00085AAC"/>
    <w:rsid w:val="00093BBB"/>
    <w:rsid w:val="00095540"/>
    <w:rsid w:val="00095669"/>
    <w:rsid w:val="0009649D"/>
    <w:rsid w:val="000A1CF0"/>
    <w:rsid w:val="000A2203"/>
    <w:rsid w:val="000A5681"/>
    <w:rsid w:val="000A7F4A"/>
    <w:rsid w:val="000B013F"/>
    <w:rsid w:val="000B076F"/>
    <w:rsid w:val="000B08EE"/>
    <w:rsid w:val="000B1AED"/>
    <w:rsid w:val="000B36BB"/>
    <w:rsid w:val="000B45BD"/>
    <w:rsid w:val="000B55F7"/>
    <w:rsid w:val="000B669B"/>
    <w:rsid w:val="000B7404"/>
    <w:rsid w:val="000C1099"/>
    <w:rsid w:val="000C2C07"/>
    <w:rsid w:val="000D11E5"/>
    <w:rsid w:val="000D5193"/>
    <w:rsid w:val="000E1058"/>
    <w:rsid w:val="000E19F1"/>
    <w:rsid w:val="000E59CE"/>
    <w:rsid w:val="000F33FE"/>
    <w:rsid w:val="000F414E"/>
    <w:rsid w:val="001027A4"/>
    <w:rsid w:val="00102B13"/>
    <w:rsid w:val="00103537"/>
    <w:rsid w:val="00103796"/>
    <w:rsid w:val="00104CBD"/>
    <w:rsid w:val="00110AB1"/>
    <w:rsid w:val="00111C44"/>
    <w:rsid w:val="001122A2"/>
    <w:rsid w:val="00112713"/>
    <w:rsid w:val="00115DAA"/>
    <w:rsid w:val="001160D5"/>
    <w:rsid w:val="00116723"/>
    <w:rsid w:val="00117A0C"/>
    <w:rsid w:val="00117AA1"/>
    <w:rsid w:val="0012178F"/>
    <w:rsid w:val="00122438"/>
    <w:rsid w:val="00122C26"/>
    <w:rsid w:val="00123686"/>
    <w:rsid w:val="00124EB6"/>
    <w:rsid w:val="00124F39"/>
    <w:rsid w:val="001259E1"/>
    <w:rsid w:val="00126A9D"/>
    <w:rsid w:val="00127F7A"/>
    <w:rsid w:val="001305C0"/>
    <w:rsid w:val="00130E30"/>
    <w:rsid w:val="00132D0E"/>
    <w:rsid w:val="00136865"/>
    <w:rsid w:val="001402FD"/>
    <w:rsid w:val="001403D6"/>
    <w:rsid w:val="00142B86"/>
    <w:rsid w:val="00151D36"/>
    <w:rsid w:val="001522E6"/>
    <w:rsid w:val="00153DFA"/>
    <w:rsid w:val="00166BDB"/>
    <w:rsid w:val="001701D1"/>
    <w:rsid w:val="0017195E"/>
    <w:rsid w:val="00172052"/>
    <w:rsid w:val="001757B6"/>
    <w:rsid w:val="00176A18"/>
    <w:rsid w:val="001810B4"/>
    <w:rsid w:val="001813AF"/>
    <w:rsid w:val="00182C9E"/>
    <w:rsid w:val="00182DE0"/>
    <w:rsid w:val="00186BB8"/>
    <w:rsid w:val="001870A5"/>
    <w:rsid w:val="00192584"/>
    <w:rsid w:val="00195A3A"/>
    <w:rsid w:val="00195D3B"/>
    <w:rsid w:val="00196C96"/>
    <w:rsid w:val="00197230"/>
    <w:rsid w:val="001972FB"/>
    <w:rsid w:val="00197D3A"/>
    <w:rsid w:val="001A1A32"/>
    <w:rsid w:val="001A3498"/>
    <w:rsid w:val="001B007E"/>
    <w:rsid w:val="001B4B13"/>
    <w:rsid w:val="001B563E"/>
    <w:rsid w:val="001B6224"/>
    <w:rsid w:val="001C04F2"/>
    <w:rsid w:val="001C092B"/>
    <w:rsid w:val="001C0FE0"/>
    <w:rsid w:val="001C1B79"/>
    <w:rsid w:val="001C221D"/>
    <w:rsid w:val="001C258A"/>
    <w:rsid w:val="001C371F"/>
    <w:rsid w:val="001C4232"/>
    <w:rsid w:val="001C4AAD"/>
    <w:rsid w:val="001D00B4"/>
    <w:rsid w:val="001D0173"/>
    <w:rsid w:val="001D132F"/>
    <w:rsid w:val="001D1881"/>
    <w:rsid w:val="001D5E77"/>
    <w:rsid w:val="001D60E0"/>
    <w:rsid w:val="001D68C5"/>
    <w:rsid w:val="001D794B"/>
    <w:rsid w:val="001E1FD6"/>
    <w:rsid w:val="001E2783"/>
    <w:rsid w:val="001E31D7"/>
    <w:rsid w:val="001E628E"/>
    <w:rsid w:val="001F1464"/>
    <w:rsid w:val="001F2021"/>
    <w:rsid w:val="001F2CB5"/>
    <w:rsid w:val="001F4FC2"/>
    <w:rsid w:val="002005FE"/>
    <w:rsid w:val="00200DAA"/>
    <w:rsid w:val="00203DFD"/>
    <w:rsid w:val="002054F6"/>
    <w:rsid w:val="0020705D"/>
    <w:rsid w:val="00214887"/>
    <w:rsid w:val="002179F9"/>
    <w:rsid w:val="002251E6"/>
    <w:rsid w:val="00226ECD"/>
    <w:rsid w:val="002302D7"/>
    <w:rsid w:val="00230E3A"/>
    <w:rsid w:val="00232815"/>
    <w:rsid w:val="00232E61"/>
    <w:rsid w:val="0023457C"/>
    <w:rsid w:val="0023463A"/>
    <w:rsid w:val="00235E37"/>
    <w:rsid w:val="00237DD3"/>
    <w:rsid w:val="002427EE"/>
    <w:rsid w:val="00243A06"/>
    <w:rsid w:val="00243FD8"/>
    <w:rsid w:val="00245AFD"/>
    <w:rsid w:val="00246F76"/>
    <w:rsid w:val="002507BA"/>
    <w:rsid w:val="00255B22"/>
    <w:rsid w:val="00257D97"/>
    <w:rsid w:val="00260202"/>
    <w:rsid w:val="0026037E"/>
    <w:rsid w:val="00260E3B"/>
    <w:rsid w:val="00271BF0"/>
    <w:rsid w:val="002730C0"/>
    <w:rsid w:val="00273F62"/>
    <w:rsid w:val="002772C3"/>
    <w:rsid w:val="00281314"/>
    <w:rsid w:val="002816A9"/>
    <w:rsid w:val="0028359F"/>
    <w:rsid w:val="002835DF"/>
    <w:rsid w:val="00284BE0"/>
    <w:rsid w:val="0028760F"/>
    <w:rsid w:val="002906D5"/>
    <w:rsid w:val="00290E41"/>
    <w:rsid w:val="00294569"/>
    <w:rsid w:val="002A2D01"/>
    <w:rsid w:val="002A3CAC"/>
    <w:rsid w:val="002A6EEA"/>
    <w:rsid w:val="002B0240"/>
    <w:rsid w:val="002B18C1"/>
    <w:rsid w:val="002C6B7B"/>
    <w:rsid w:val="002D1554"/>
    <w:rsid w:val="002D2CDC"/>
    <w:rsid w:val="002E7641"/>
    <w:rsid w:val="002F2FDC"/>
    <w:rsid w:val="0030045D"/>
    <w:rsid w:val="00301629"/>
    <w:rsid w:val="00307F34"/>
    <w:rsid w:val="003107A6"/>
    <w:rsid w:val="00310A60"/>
    <w:rsid w:val="00312695"/>
    <w:rsid w:val="00317916"/>
    <w:rsid w:val="00321A16"/>
    <w:rsid w:val="003241A4"/>
    <w:rsid w:val="003242C0"/>
    <w:rsid w:val="00325500"/>
    <w:rsid w:val="0032673A"/>
    <w:rsid w:val="0032797E"/>
    <w:rsid w:val="00331B58"/>
    <w:rsid w:val="0033791C"/>
    <w:rsid w:val="00340510"/>
    <w:rsid w:val="00340B95"/>
    <w:rsid w:val="0034480F"/>
    <w:rsid w:val="003454D8"/>
    <w:rsid w:val="0035168C"/>
    <w:rsid w:val="003529AE"/>
    <w:rsid w:val="0035431E"/>
    <w:rsid w:val="003578D7"/>
    <w:rsid w:val="00362CD3"/>
    <w:rsid w:val="00364AB4"/>
    <w:rsid w:val="00364B0A"/>
    <w:rsid w:val="00364FD9"/>
    <w:rsid w:val="003719EF"/>
    <w:rsid w:val="003758A3"/>
    <w:rsid w:val="00375DF2"/>
    <w:rsid w:val="00383754"/>
    <w:rsid w:val="00384C1F"/>
    <w:rsid w:val="0038535E"/>
    <w:rsid w:val="0038615C"/>
    <w:rsid w:val="00386615"/>
    <w:rsid w:val="003877E2"/>
    <w:rsid w:val="00387B98"/>
    <w:rsid w:val="0039085B"/>
    <w:rsid w:val="00394C49"/>
    <w:rsid w:val="00395DA0"/>
    <w:rsid w:val="003A3AC1"/>
    <w:rsid w:val="003B05C8"/>
    <w:rsid w:val="003B2DD1"/>
    <w:rsid w:val="003B2EB9"/>
    <w:rsid w:val="003B37CD"/>
    <w:rsid w:val="003B3FBC"/>
    <w:rsid w:val="003B7ED8"/>
    <w:rsid w:val="003C1C67"/>
    <w:rsid w:val="003C3565"/>
    <w:rsid w:val="003C5124"/>
    <w:rsid w:val="003C744D"/>
    <w:rsid w:val="003C79D4"/>
    <w:rsid w:val="003D0627"/>
    <w:rsid w:val="003D23F4"/>
    <w:rsid w:val="003D664F"/>
    <w:rsid w:val="003D7A85"/>
    <w:rsid w:val="003E161E"/>
    <w:rsid w:val="003E24FC"/>
    <w:rsid w:val="003E2F50"/>
    <w:rsid w:val="003E7528"/>
    <w:rsid w:val="003F3381"/>
    <w:rsid w:val="003F5E62"/>
    <w:rsid w:val="004003BA"/>
    <w:rsid w:val="0040350C"/>
    <w:rsid w:val="00407884"/>
    <w:rsid w:val="00411738"/>
    <w:rsid w:val="00414C59"/>
    <w:rsid w:val="00415FE0"/>
    <w:rsid w:val="004163B5"/>
    <w:rsid w:val="00416B91"/>
    <w:rsid w:val="00427A2E"/>
    <w:rsid w:val="00433EA2"/>
    <w:rsid w:val="004377EB"/>
    <w:rsid w:val="00440079"/>
    <w:rsid w:val="00450E0D"/>
    <w:rsid w:val="004570BD"/>
    <w:rsid w:val="0046001C"/>
    <w:rsid w:val="00460E23"/>
    <w:rsid w:val="0046184F"/>
    <w:rsid w:val="00461BE6"/>
    <w:rsid w:val="004639B7"/>
    <w:rsid w:val="004654D6"/>
    <w:rsid w:val="004655D8"/>
    <w:rsid w:val="00465652"/>
    <w:rsid w:val="004665AD"/>
    <w:rsid w:val="004709BF"/>
    <w:rsid w:val="00472F1F"/>
    <w:rsid w:val="00473024"/>
    <w:rsid w:val="0047397C"/>
    <w:rsid w:val="004739B7"/>
    <w:rsid w:val="00474A25"/>
    <w:rsid w:val="00474DC2"/>
    <w:rsid w:val="00475513"/>
    <w:rsid w:val="0047701E"/>
    <w:rsid w:val="00480D74"/>
    <w:rsid w:val="00481418"/>
    <w:rsid w:val="00481D89"/>
    <w:rsid w:val="004826C6"/>
    <w:rsid w:val="00483E19"/>
    <w:rsid w:val="004849DD"/>
    <w:rsid w:val="00485003"/>
    <w:rsid w:val="00487BF0"/>
    <w:rsid w:val="00492604"/>
    <w:rsid w:val="00493DD5"/>
    <w:rsid w:val="00497DCB"/>
    <w:rsid w:val="004A0806"/>
    <w:rsid w:val="004A134B"/>
    <w:rsid w:val="004A67CC"/>
    <w:rsid w:val="004B1F22"/>
    <w:rsid w:val="004B3E85"/>
    <w:rsid w:val="004B767F"/>
    <w:rsid w:val="004C0E81"/>
    <w:rsid w:val="004C0FED"/>
    <w:rsid w:val="004C1980"/>
    <w:rsid w:val="004C3E7D"/>
    <w:rsid w:val="004C4332"/>
    <w:rsid w:val="004D0EFB"/>
    <w:rsid w:val="004D19A6"/>
    <w:rsid w:val="004D3638"/>
    <w:rsid w:val="004D5464"/>
    <w:rsid w:val="004D7709"/>
    <w:rsid w:val="004E0403"/>
    <w:rsid w:val="004E1748"/>
    <w:rsid w:val="004E21C9"/>
    <w:rsid w:val="004E357F"/>
    <w:rsid w:val="004F02F8"/>
    <w:rsid w:val="004F06B2"/>
    <w:rsid w:val="004F0B08"/>
    <w:rsid w:val="004F0EBA"/>
    <w:rsid w:val="004F4769"/>
    <w:rsid w:val="004F4A01"/>
    <w:rsid w:val="004F5142"/>
    <w:rsid w:val="00500DD2"/>
    <w:rsid w:val="005018C4"/>
    <w:rsid w:val="00503B97"/>
    <w:rsid w:val="005042EB"/>
    <w:rsid w:val="005052D3"/>
    <w:rsid w:val="00506972"/>
    <w:rsid w:val="005104F7"/>
    <w:rsid w:val="00511A23"/>
    <w:rsid w:val="00511BA7"/>
    <w:rsid w:val="0051378D"/>
    <w:rsid w:val="00516FEC"/>
    <w:rsid w:val="0052119D"/>
    <w:rsid w:val="0052230B"/>
    <w:rsid w:val="005226FF"/>
    <w:rsid w:val="005249F3"/>
    <w:rsid w:val="00527996"/>
    <w:rsid w:val="00530E4E"/>
    <w:rsid w:val="0053304B"/>
    <w:rsid w:val="0053360E"/>
    <w:rsid w:val="005356B2"/>
    <w:rsid w:val="0053616F"/>
    <w:rsid w:val="0053660E"/>
    <w:rsid w:val="00537E53"/>
    <w:rsid w:val="005406C2"/>
    <w:rsid w:val="005406E0"/>
    <w:rsid w:val="005434D1"/>
    <w:rsid w:val="00545E3C"/>
    <w:rsid w:val="0054627D"/>
    <w:rsid w:val="005505CA"/>
    <w:rsid w:val="005523D8"/>
    <w:rsid w:val="005561A8"/>
    <w:rsid w:val="00560B67"/>
    <w:rsid w:val="00564272"/>
    <w:rsid w:val="005655D9"/>
    <w:rsid w:val="005659F5"/>
    <w:rsid w:val="00566B08"/>
    <w:rsid w:val="00570D4F"/>
    <w:rsid w:val="00576BEB"/>
    <w:rsid w:val="00580396"/>
    <w:rsid w:val="00585A49"/>
    <w:rsid w:val="00593954"/>
    <w:rsid w:val="005A20A4"/>
    <w:rsid w:val="005A58A8"/>
    <w:rsid w:val="005B1886"/>
    <w:rsid w:val="005B32D6"/>
    <w:rsid w:val="005B5ACA"/>
    <w:rsid w:val="005C1555"/>
    <w:rsid w:val="005C227D"/>
    <w:rsid w:val="005C3E8C"/>
    <w:rsid w:val="005C6675"/>
    <w:rsid w:val="005C7319"/>
    <w:rsid w:val="005D3E62"/>
    <w:rsid w:val="005D5782"/>
    <w:rsid w:val="005D65D2"/>
    <w:rsid w:val="005E2EB2"/>
    <w:rsid w:val="005E3E86"/>
    <w:rsid w:val="005E5727"/>
    <w:rsid w:val="005E6B23"/>
    <w:rsid w:val="005E7605"/>
    <w:rsid w:val="005F2827"/>
    <w:rsid w:val="005F2F2F"/>
    <w:rsid w:val="005F39C0"/>
    <w:rsid w:val="005F45EC"/>
    <w:rsid w:val="005F4E38"/>
    <w:rsid w:val="006005AD"/>
    <w:rsid w:val="00601A80"/>
    <w:rsid w:val="00603AFF"/>
    <w:rsid w:val="00604DD1"/>
    <w:rsid w:val="00612598"/>
    <w:rsid w:val="00612F4E"/>
    <w:rsid w:val="006135B6"/>
    <w:rsid w:val="00622BA9"/>
    <w:rsid w:val="00627432"/>
    <w:rsid w:val="006276AB"/>
    <w:rsid w:val="006326A4"/>
    <w:rsid w:val="00632E1B"/>
    <w:rsid w:val="0063433B"/>
    <w:rsid w:val="00637FA8"/>
    <w:rsid w:val="00640497"/>
    <w:rsid w:val="0064081E"/>
    <w:rsid w:val="00646A16"/>
    <w:rsid w:val="00646BDD"/>
    <w:rsid w:val="00646D51"/>
    <w:rsid w:val="00654197"/>
    <w:rsid w:val="00654C5E"/>
    <w:rsid w:val="006563EF"/>
    <w:rsid w:val="00656F63"/>
    <w:rsid w:val="00662C08"/>
    <w:rsid w:val="00663553"/>
    <w:rsid w:val="006643EC"/>
    <w:rsid w:val="00664483"/>
    <w:rsid w:val="00664FA0"/>
    <w:rsid w:val="006651C1"/>
    <w:rsid w:val="006651CC"/>
    <w:rsid w:val="00670309"/>
    <w:rsid w:val="0067166F"/>
    <w:rsid w:val="00673BEE"/>
    <w:rsid w:val="006757CA"/>
    <w:rsid w:val="00676200"/>
    <w:rsid w:val="0067658A"/>
    <w:rsid w:val="0068127E"/>
    <w:rsid w:val="00682A06"/>
    <w:rsid w:val="0068355D"/>
    <w:rsid w:val="00684951"/>
    <w:rsid w:val="00684F26"/>
    <w:rsid w:val="00686D6A"/>
    <w:rsid w:val="00690036"/>
    <w:rsid w:val="00692DF4"/>
    <w:rsid w:val="006947FB"/>
    <w:rsid w:val="00694CD0"/>
    <w:rsid w:val="006953FB"/>
    <w:rsid w:val="00697F1E"/>
    <w:rsid w:val="006A1C4B"/>
    <w:rsid w:val="006A263E"/>
    <w:rsid w:val="006A27AC"/>
    <w:rsid w:val="006A282D"/>
    <w:rsid w:val="006A6693"/>
    <w:rsid w:val="006B35E2"/>
    <w:rsid w:val="006B5844"/>
    <w:rsid w:val="006D2A8C"/>
    <w:rsid w:val="006D37DD"/>
    <w:rsid w:val="006D40F2"/>
    <w:rsid w:val="006D6AB9"/>
    <w:rsid w:val="006D6F16"/>
    <w:rsid w:val="006E0156"/>
    <w:rsid w:val="006E23E3"/>
    <w:rsid w:val="006E315C"/>
    <w:rsid w:val="006E53D2"/>
    <w:rsid w:val="006E66F3"/>
    <w:rsid w:val="006E76F7"/>
    <w:rsid w:val="006F14CE"/>
    <w:rsid w:val="006F2B37"/>
    <w:rsid w:val="006F2F18"/>
    <w:rsid w:val="006F37E9"/>
    <w:rsid w:val="006F6FDC"/>
    <w:rsid w:val="00700EF6"/>
    <w:rsid w:val="00703B56"/>
    <w:rsid w:val="0071261D"/>
    <w:rsid w:val="00715865"/>
    <w:rsid w:val="00716C6D"/>
    <w:rsid w:val="007207B9"/>
    <w:rsid w:val="00720F82"/>
    <w:rsid w:val="00721A2A"/>
    <w:rsid w:val="007232D4"/>
    <w:rsid w:val="007233CF"/>
    <w:rsid w:val="00724BF5"/>
    <w:rsid w:val="007308CB"/>
    <w:rsid w:val="00733AFC"/>
    <w:rsid w:val="0073455A"/>
    <w:rsid w:val="007356A8"/>
    <w:rsid w:val="0073737E"/>
    <w:rsid w:val="00745088"/>
    <w:rsid w:val="0075265F"/>
    <w:rsid w:val="00754370"/>
    <w:rsid w:val="00754C88"/>
    <w:rsid w:val="00761085"/>
    <w:rsid w:val="007615B7"/>
    <w:rsid w:val="00763566"/>
    <w:rsid w:val="00763786"/>
    <w:rsid w:val="00764A4B"/>
    <w:rsid w:val="00767CB7"/>
    <w:rsid w:val="00767E7B"/>
    <w:rsid w:val="00772368"/>
    <w:rsid w:val="00772ABB"/>
    <w:rsid w:val="00777E16"/>
    <w:rsid w:val="00780298"/>
    <w:rsid w:val="00784D0A"/>
    <w:rsid w:val="00785376"/>
    <w:rsid w:val="00791071"/>
    <w:rsid w:val="00792757"/>
    <w:rsid w:val="007935FF"/>
    <w:rsid w:val="00793CF0"/>
    <w:rsid w:val="00794ECD"/>
    <w:rsid w:val="007A092C"/>
    <w:rsid w:val="007A3597"/>
    <w:rsid w:val="007A6A4A"/>
    <w:rsid w:val="007A6CB0"/>
    <w:rsid w:val="007B13B3"/>
    <w:rsid w:val="007B18E1"/>
    <w:rsid w:val="007B260A"/>
    <w:rsid w:val="007B2BD0"/>
    <w:rsid w:val="007B3040"/>
    <w:rsid w:val="007B4F9D"/>
    <w:rsid w:val="007B54D9"/>
    <w:rsid w:val="007B7335"/>
    <w:rsid w:val="007C09E8"/>
    <w:rsid w:val="007C0F45"/>
    <w:rsid w:val="007C31EB"/>
    <w:rsid w:val="007C3D41"/>
    <w:rsid w:val="007C4201"/>
    <w:rsid w:val="007C4734"/>
    <w:rsid w:val="007C5BCD"/>
    <w:rsid w:val="007C7E02"/>
    <w:rsid w:val="007D4AB6"/>
    <w:rsid w:val="007D4DF5"/>
    <w:rsid w:val="007D4EB2"/>
    <w:rsid w:val="007E186C"/>
    <w:rsid w:val="007E2166"/>
    <w:rsid w:val="007E23C2"/>
    <w:rsid w:val="007E2B29"/>
    <w:rsid w:val="007E354E"/>
    <w:rsid w:val="007E4681"/>
    <w:rsid w:val="007E4785"/>
    <w:rsid w:val="007E56D3"/>
    <w:rsid w:val="007E6A26"/>
    <w:rsid w:val="007F1777"/>
    <w:rsid w:val="007F2F3D"/>
    <w:rsid w:val="007F4CC5"/>
    <w:rsid w:val="007F524D"/>
    <w:rsid w:val="007F722F"/>
    <w:rsid w:val="0080048A"/>
    <w:rsid w:val="00801A6A"/>
    <w:rsid w:val="008024A5"/>
    <w:rsid w:val="00804041"/>
    <w:rsid w:val="00806B3B"/>
    <w:rsid w:val="008137BB"/>
    <w:rsid w:val="008148B6"/>
    <w:rsid w:val="00814BA3"/>
    <w:rsid w:val="008210BC"/>
    <w:rsid w:val="008214E8"/>
    <w:rsid w:val="00823604"/>
    <w:rsid w:val="00826B6D"/>
    <w:rsid w:val="008303C2"/>
    <w:rsid w:val="008316DF"/>
    <w:rsid w:val="00831B55"/>
    <w:rsid w:val="00832141"/>
    <w:rsid w:val="00832E20"/>
    <w:rsid w:val="00833062"/>
    <w:rsid w:val="00840D2D"/>
    <w:rsid w:val="008439A5"/>
    <w:rsid w:val="008441BD"/>
    <w:rsid w:val="00845F03"/>
    <w:rsid w:val="00847D75"/>
    <w:rsid w:val="00847DDD"/>
    <w:rsid w:val="008507B4"/>
    <w:rsid w:val="00850B6B"/>
    <w:rsid w:val="00850EDE"/>
    <w:rsid w:val="008526CB"/>
    <w:rsid w:val="00853207"/>
    <w:rsid w:val="00856364"/>
    <w:rsid w:val="008563DC"/>
    <w:rsid w:val="00857D11"/>
    <w:rsid w:val="0086650B"/>
    <w:rsid w:val="008672CA"/>
    <w:rsid w:val="00876404"/>
    <w:rsid w:val="008766A3"/>
    <w:rsid w:val="00877ECB"/>
    <w:rsid w:val="0088102D"/>
    <w:rsid w:val="0088278B"/>
    <w:rsid w:val="008858E5"/>
    <w:rsid w:val="008860FF"/>
    <w:rsid w:val="0089213F"/>
    <w:rsid w:val="00893E0A"/>
    <w:rsid w:val="00894AC0"/>
    <w:rsid w:val="00894BBA"/>
    <w:rsid w:val="00896962"/>
    <w:rsid w:val="008A0596"/>
    <w:rsid w:val="008A2191"/>
    <w:rsid w:val="008A2CF7"/>
    <w:rsid w:val="008A3958"/>
    <w:rsid w:val="008A6AB5"/>
    <w:rsid w:val="008B185F"/>
    <w:rsid w:val="008B30F5"/>
    <w:rsid w:val="008B4A70"/>
    <w:rsid w:val="008B6BF1"/>
    <w:rsid w:val="008B7C4B"/>
    <w:rsid w:val="008B7E84"/>
    <w:rsid w:val="008C1500"/>
    <w:rsid w:val="008C37DF"/>
    <w:rsid w:val="008C44D1"/>
    <w:rsid w:val="008C4DAB"/>
    <w:rsid w:val="008D1818"/>
    <w:rsid w:val="008D245B"/>
    <w:rsid w:val="008D24E9"/>
    <w:rsid w:val="008D250D"/>
    <w:rsid w:val="008D460E"/>
    <w:rsid w:val="008E0CED"/>
    <w:rsid w:val="008E5675"/>
    <w:rsid w:val="008E7161"/>
    <w:rsid w:val="008F088B"/>
    <w:rsid w:val="008F4600"/>
    <w:rsid w:val="008F59EC"/>
    <w:rsid w:val="008F6465"/>
    <w:rsid w:val="00902AC3"/>
    <w:rsid w:val="0090453C"/>
    <w:rsid w:val="00906941"/>
    <w:rsid w:val="00907998"/>
    <w:rsid w:val="00914400"/>
    <w:rsid w:val="0091510E"/>
    <w:rsid w:val="00916334"/>
    <w:rsid w:val="00920FB9"/>
    <w:rsid w:val="0093024C"/>
    <w:rsid w:val="009306FD"/>
    <w:rsid w:val="00931B9F"/>
    <w:rsid w:val="009320A7"/>
    <w:rsid w:val="00932566"/>
    <w:rsid w:val="00932898"/>
    <w:rsid w:val="00932EE4"/>
    <w:rsid w:val="00935981"/>
    <w:rsid w:val="00936087"/>
    <w:rsid w:val="00940ABD"/>
    <w:rsid w:val="009424DD"/>
    <w:rsid w:val="00944267"/>
    <w:rsid w:val="0094577B"/>
    <w:rsid w:val="00950087"/>
    <w:rsid w:val="009543D1"/>
    <w:rsid w:val="00954B99"/>
    <w:rsid w:val="00956257"/>
    <w:rsid w:val="009605F8"/>
    <w:rsid w:val="00970296"/>
    <w:rsid w:val="00970A46"/>
    <w:rsid w:val="00971F09"/>
    <w:rsid w:val="00975673"/>
    <w:rsid w:val="009770FB"/>
    <w:rsid w:val="00977F2E"/>
    <w:rsid w:val="00983653"/>
    <w:rsid w:val="00983B40"/>
    <w:rsid w:val="00983BAE"/>
    <w:rsid w:val="0098433E"/>
    <w:rsid w:val="009847E1"/>
    <w:rsid w:val="00985E68"/>
    <w:rsid w:val="00985FE1"/>
    <w:rsid w:val="0099193B"/>
    <w:rsid w:val="00992220"/>
    <w:rsid w:val="0099255E"/>
    <w:rsid w:val="009945B3"/>
    <w:rsid w:val="0099624A"/>
    <w:rsid w:val="00997866"/>
    <w:rsid w:val="00997A2F"/>
    <w:rsid w:val="009A2A61"/>
    <w:rsid w:val="009A6262"/>
    <w:rsid w:val="009B29BC"/>
    <w:rsid w:val="009C00FE"/>
    <w:rsid w:val="009C2EF5"/>
    <w:rsid w:val="009C58B2"/>
    <w:rsid w:val="009C6387"/>
    <w:rsid w:val="009C77AD"/>
    <w:rsid w:val="009D085C"/>
    <w:rsid w:val="009D321F"/>
    <w:rsid w:val="009D60C3"/>
    <w:rsid w:val="009E468B"/>
    <w:rsid w:val="009E6014"/>
    <w:rsid w:val="009E6BB6"/>
    <w:rsid w:val="009E7416"/>
    <w:rsid w:val="009E7E18"/>
    <w:rsid w:val="009F0E3B"/>
    <w:rsid w:val="009F7463"/>
    <w:rsid w:val="009F758F"/>
    <w:rsid w:val="00A0145C"/>
    <w:rsid w:val="00A06C2B"/>
    <w:rsid w:val="00A06E76"/>
    <w:rsid w:val="00A124FC"/>
    <w:rsid w:val="00A13E68"/>
    <w:rsid w:val="00A20149"/>
    <w:rsid w:val="00A228CB"/>
    <w:rsid w:val="00A23681"/>
    <w:rsid w:val="00A25456"/>
    <w:rsid w:val="00A25F8D"/>
    <w:rsid w:val="00A31B7A"/>
    <w:rsid w:val="00A32D76"/>
    <w:rsid w:val="00A34DF3"/>
    <w:rsid w:val="00A409D7"/>
    <w:rsid w:val="00A4282D"/>
    <w:rsid w:val="00A42A49"/>
    <w:rsid w:val="00A42FD6"/>
    <w:rsid w:val="00A44FC0"/>
    <w:rsid w:val="00A45392"/>
    <w:rsid w:val="00A45695"/>
    <w:rsid w:val="00A46090"/>
    <w:rsid w:val="00A512FA"/>
    <w:rsid w:val="00A51C76"/>
    <w:rsid w:val="00A52B98"/>
    <w:rsid w:val="00A55D98"/>
    <w:rsid w:val="00A57EBF"/>
    <w:rsid w:val="00A610FB"/>
    <w:rsid w:val="00A61DA7"/>
    <w:rsid w:val="00A629AD"/>
    <w:rsid w:val="00A64340"/>
    <w:rsid w:val="00A655E5"/>
    <w:rsid w:val="00A65B8F"/>
    <w:rsid w:val="00A65B92"/>
    <w:rsid w:val="00A6666E"/>
    <w:rsid w:val="00A7208D"/>
    <w:rsid w:val="00A724C2"/>
    <w:rsid w:val="00A72A9E"/>
    <w:rsid w:val="00A72AE5"/>
    <w:rsid w:val="00A72EC4"/>
    <w:rsid w:val="00A7596D"/>
    <w:rsid w:val="00A76903"/>
    <w:rsid w:val="00A810A6"/>
    <w:rsid w:val="00A83317"/>
    <w:rsid w:val="00A84819"/>
    <w:rsid w:val="00A8769E"/>
    <w:rsid w:val="00A87E1E"/>
    <w:rsid w:val="00A95620"/>
    <w:rsid w:val="00A97F45"/>
    <w:rsid w:val="00AA16DB"/>
    <w:rsid w:val="00AA3277"/>
    <w:rsid w:val="00AA35D2"/>
    <w:rsid w:val="00AA703E"/>
    <w:rsid w:val="00AB19D9"/>
    <w:rsid w:val="00AB2149"/>
    <w:rsid w:val="00AB3342"/>
    <w:rsid w:val="00AB3E7F"/>
    <w:rsid w:val="00AB40AB"/>
    <w:rsid w:val="00AC03CE"/>
    <w:rsid w:val="00AC51CF"/>
    <w:rsid w:val="00AD051F"/>
    <w:rsid w:val="00AD1334"/>
    <w:rsid w:val="00AD31B4"/>
    <w:rsid w:val="00AD352C"/>
    <w:rsid w:val="00AD35A7"/>
    <w:rsid w:val="00AD4438"/>
    <w:rsid w:val="00AD5C70"/>
    <w:rsid w:val="00AD5F9E"/>
    <w:rsid w:val="00AD6D36"/>
    <w:rsid w:val="00AE6889"/>
    <w:rsid w:val="00AF0B6A"/>
    <w:rsid w:val="00AF0EB6"/>
    <w:rsid w:val="00AF2822"/>
    <w:rsid w:val="00AF6734"/>
    <w:rsid w:val="00B02553"/>
    <w:rsid w:val="00B04A26"/>
    <w:rsid w:val="00B04E39"/>
    <w:rsid w:val="00B0667E"/>
    <w:rsid w:val="00B116F7"/>
    <w:rsid w:val="00B12E2A"/>
    <w:rsid w:val="00B13090"/>
    <w:rsid w:val="00B142FB"/>
    <w:rsid w:val="00B21866"/>
    <w:rsid w:val="00B22B75"/>
    <w:rsid w:val="00B244BC"/>
    <w:rsid w:val="00B26C24"/>
    <w:rsid w:val="00B31522"/>
    <w:rsid w:val="00B31F36"/>
    <w:rsid w:val="00B337AE"/>
    <w:rsid w:val="00B34C8C"/>
    <w:rsid w:val="00B37006"/>
    <w:rsid w:val="00B37A1C"/>
    <w:rsid w:val="00B402AE"/>
    <w:rsid w:val="00B42A6F"/>
    <w:rsid w:val="00B443A2"/>
    <w:rsid w:val="00B46090"/>
    <w:rsid w:val="00B46AD9"/>
    <w:rsid w:val="00B549E8"/>
    <w:rsid w:val="00B54D53"/>
    <w:rsid w:val="00B572F1"/>
    <w:rsid w:val="00B6156A"/>
    <w:rsid w:val="00B62580"/>
    <w:rsid w:val="00B62E6F"/>
    <w:rsid w:val="00B6515D"/>
    <w:rsid w:val="00B654C6"/>
    <w:rsid w:val="00B65802"/>
    <w:rsid w:val="00B65813"/>
    <w:rsid w:val="00B6587A"/>
    <w:rsid w:val="00B67078"/>
    <w:rsid w:val="00B701D0"/>
    <w:rsid w:val="00B72218"/>
    <w:rsid w:val="00B72ABE"/>
    <w:rsid w:val="00B765AE"/>
    <w:rsid w:val="00B76B1D"/>
    <w:rsid w:val="00B80A20"/>
    <w:rsid w:val="00B85312"/>
    <w:rsid w:val="00B90565"/>
    <w:rsid w:val="00B96ED5"/>
    <w:rsid w:val="00B978A3"/>
    <w:rsid w:val="00B97DF8"/>
    <w:rsid w:val="00BA0709"/>
    <w:rsid w:val="00BA3E85"/>
    <w:rsid w:val="00BA4385"/>
    <w:rsid w:val="00BA53FF"/>
    <w:rsid w:val="00BA55E6"/>
    <w:rsid w:val="00BB03CD"/>
    <w:rsid w:val="00BB0CA4"/>
    <w:rsid w:val="00BB0E80"/>
    <w:rsid w:val="00BB1C26"/>
    <w:rsid w:val="00BB4296"/>
    <w:rsid w:val="00BC1FA9"/>
    <w:rsid w:val="00BC23C1"/>
    <w:rsid w:val="00BC2DFB"/>
    <w:rsid w:val="00BC3E4D"/>
    <w:rsid w:val="00BC509C"/>
    <w:rsid w:val="00BC7577"/>
    <w:rsid w:val="00BD11ED"/>
    <w:rsid w:val="00BD2E4E"/>
    <w:rsid w:val="00BD377B"/>
    <w:rsid w:val="00BD5A2C"/>
    <w:rsid w:val="00BE2C42"/>
    <w:rsid w:val="00BE3C5D"/>
    <w:rsid w:val="00BE7EAE"/>
    <w:rsid w:val="00BF003A"/>
    <w:rsid w:val="00BF1B4A"/>
    <w:rsid w:val="00BF2684"/>
    <w:rsid w:val="00BF3EE0"/>
    <w:rsid w:val="00BF45FD"/>
    <w:rsid w:val="00BF47F1"/>
    <w:rsid w:val="00BF4CD6"/>
    <w:rsid w:val="00BF4F3C"/>
    <w:rsid w:val="00BF5651"/>
    <w:rsid w:val="00BF6A30"/>
    <w:rsid w:val="00C03168"/>
    <w:rsid w:val="00C0460A"/>
    <w:rsid w:val="00C0749C"/>
    <w:rsid w:val="00C07D19"/>
    <w:rsid w:val="00C13818"/>
    <w:rsid w:val="00C1567A"/>
    <w:rsid w:val="00C15E0E"/>
    <w:rsid w:val="00C167AA"/>
    <w:rsid w:val="00C16FFC"/>
    <w:rsid w:val="00C17369"/>
    <w:rsid w:val="00C20BC5"/>
    <w:rsid w:val="00C20BDD"/>
    <w:rsid w:val="00C216AD"/>
    <w:rsid w:val="00C21E20"/>
    <w:rsid w:val="00C22C31"/>
    <w:rsid w:val="00C23112"/>
    <w:rsid w:val="00C30085"/>
    <w:rsid w:val="00C30D71"/>
    <w:rsid w:val="00C3560C"/>
    <w:rsid w:val="00C3685A"/>
    <w:rsid w:val="00C3776F"/>
    <w:rsid w:val="00C42835"/>
    <w:rsid w:val="00C47BE4"/>
    <w:rsid w:val="00C50AD7"/>
    <w:rsid w:val="00C524FF"/>
    <w:rsid w:val="00C5277D"/>
    <w:rsid w:val="00C53BFC"/>
    <w:rsid w:val="00C55D53"/>
    <w:rsid w:val="00C56C37"/>
    <w:rsid w:val="00C5709E"/>
    <w:rsid w:val="00C5753C"/>
    <w:rsid w:val="00C6006E"/>
    <w:rsid w:val="00C62828"/>
    <w:rsid w:val="00C633D2"/>
    <w:rsid w:val="00C64088"/>
    <w:rsid w:val="00C644CD"/>
    <w:rsid w:val="00C65599"/>
    <w:rsid w:val="00C65C68"/>
    <w:rsid w:val="00C71950"/>
    <w:rsid w:val="00C724CA"/>
    <w:rsid w:val="00C74175"/>
    <w:rsid w:val="00C744C0"/>
    <w:rsid w:val="00C758EC"/>
    <w:rsid w:val="00C75D71"/>
    <w:rsid w:val="00C8178F"/>
    <w:rsid w:val="00C81E42"/>
    <w:rsid w:val="00C825CE"/>
    <w:rsid w:val="00C82E23"/>
    <w:rsid w:val="00C8749C"/>
    <w:rsid w:val="00C87AB7"/>
    <w:rsid w:val="00C92F48"/>
    <w:rsid w:val="00C93E90"/>
    <w:rsid w:val="00CA0401"/>
    <w:rsid w:val="00CA0664"/>
    <w:rsid w:val="00CA082D"/>
    <w:rsid w:val="00CA1F3E"/>
    <w:rsid w:val="00CA4D1C"/>
    <w:rsid w:val="00CA4E68"/>
    <w:rsid w:val="00CA781F"/>
    <w:rsid w:val="00CA78F5"/>
    <w:rsid w:val="00CB17FD"/>
    <w:rsid w:val="00CB2AF0"/>
    <w:rsid w:val="00CB470C"/>
    <w:rsid w:val="00CB6B22"/>
    <w:rsid w:val="00CC02CA"/>
    <w:rsid w:val="00CC4818"/>
    <w:rsid w:val="00CC4842"/>
    <w:rsid w:val="00CD285B"/>
    <w:rsid w:val="00CD60A0"/>
    <w:rsid w:val="00CE0814"/>
    <w:rsid w:val="00CE0839"/>
    <w:rsid w:val="00CE6351"/>
    <w:rsid w:val="00CE64C2"/>
    <w:rsid w:val="00CE76C3"/>
    <w:rsid w:val="00CF037D"/>
    <w:rsid w:val="00CF304C"/>
    <w:rsid w:val="00CF7AE0"/>
    <w:rsid w:val="00D016AE"/>
    <w:rsid w:val="00D01DCB"/>
    <w:rsid w:val="00D01E8E"/>
    <w:rsid w:val="00D032C2"/>
    <w:rsid w:val="00D0339E"/>
    <w:rsid w:val="00D05407"/>
    <w:rsid w:val="00D1110A"/>
    <w:rsid w:val="00D14879"/>
    <w:rsid w:val="00D15F60"/>
    <w:rsid w:val="00D173BF"/>
    <w:rsid w:val="00D17B4C"/>
    <w:rsid w:val="00D250C0"/>
    <w:rsid w:val="00D2685E"/>
    <w:rsid w:val="00D27B92"/>
    <w:rsid w:val="00D27E9E"/>
    <w:rsid w:val="00D30C8E"/>
    <w:rsid w:val="00D3553B"/>
    <w:rsid w:val="00D410D8"/>
    <w:rsid w:val="00D4113A"/>
    <w:rsid w:val="00D41E07"/>
    <w:rsid w:val="00D4389E"/>
    <w:rsid w:val="00D443C9"/>
    <w:rsid w:val="00D44A36"/>
    <w:rsid w:val="00D46039"/>
    <w:rsid w:val="00D474EB"/>
    <w:rsid w:val="00D51FD9"/>
    <w:rsid w:val="00D522DC"/>
    <w:rsid w:val="00D542C9"/>
    <w:rsid w:val="00D54A11"/>
    <w:rsid w:val="00D54D21"/>
    <w:rsid w:val="00D56A2D"/>
    <w:rsid w:val="00D573BA"/>
    <w:rsid w:val="00D577BD"/>
    <w:rsid w:val="00D617C5"/>
    <w:rsid w:val="00D65AC8"/>
    <w:rsid w:val="00D67692"/>
    <w:rsid w:val="00D7214B"/>
    <w:rsid w:val="00D73614"/>
    <w:rsid w:val="00D80D03"/>
    <w:rsid w:val="00D81421"/>
    <w:rsid w:val="00D81867"/>
    <w:rsid w:val="00D84E6D"/>
    <w:rsid w:val="00D86430"/>
    <w:rsid w:val="00D87403"/>
    <w:rsid w:val="00D91F3C"/>
    <w:rsid w:val="00D925C6"/>
    <w:rsid w:val="00D93CD8"/>
    <w:rsid w:val="00D9653C"/>
    <w:rsid w:val="00D9675E"/>
    <w:rsid w:val="00D97910"/>
    <w:rsid w:val="00DA1678"/>
    <w:rsid w:val="00DA79F2"/>
    <w:rsid w:val="00DB37B2"/>
    <w:rsid w:val="00DB3D37"/>
    <w:rsid w:val="00DB451F"/>
    <w:rsid w:val="00DB5B74"/>
    <w:rsid w:val="00DB6CD3"/>
    <w:rsid w:val="00DC05F6"/>
    <w:rsid w:val="00DC09C2"/>
    <w:rsid w:val="00DC19F3"/>
    <w:rsid w:val="00DD011C"/>
    <w:rsid w:val="00DD2F20"/>
    <w:rsid w:val="00DD7E13"/>
    <w:rsid w:val="00DE1438"/>
    <w:rsid w:val="00DE279A"/>
    <w:rsid w:val="00DE5448"/>
    <w:rsid w:val="00DF065E"/>
    <w:rsid w:val="00DF18F9"/>
    <w:rsid w:val="00DF31EF"/>
    <w:rsid w:val="00DF4E5A"/>
    <w:rsid w:val="00DF6411"/>
    <w:rsid w:val="00DF6A95"/>
    <w:rsid w:val="00E0452C"/>
    <w:rsid w:val="00E045DA"/>
    <w:rsid w:val="00E06A98"/>
    <w:rsid w:val="00E110CD"/>
    <w:rsid w:val="00E121EA"/>
    <w:rsid w:val="00E16ACF"/>
    <w:rsid w:val="00E1704F"/>
    <w:rsid w:val="00E2245F"/>
    <w:rsid w:val="00E23B75"/>
    <w:rsid w:val="00E3028D"/>
    <w:rsid w:val="00E30576"/>
    <w:rsid w:val="00E30657"/>
    <w:rsid w:val="00E307AF"/>
    <w:rsid w:val="00E30A2F"/>
    <w:rsid w:val="00E3428A"/>
    <w:rsid w:val="00E34DB5"/>
    <w:rsid w:val="00E362FA"/>
    <w:rsid w:val="00E365A7"/>
    <w:rsid w:val="00E37363"/>
    <w:rsid w:val="00E40E63"/>
    <w:rsid w:val="00E417B5"/>
    <w:rsid w:val="00E420E5"/>
    <w:rsid w:val="00E422E5"/>
    <w:rsid w:val="00E43E10"/>
    <w:rsid w:val="00E44E8A"/>
    <w:rsid w:val="00E45CFD"/>
    <w:rsid w:val="00E47A57"/>
    <w:rsid w:val="00E502AA"/>
    <w:rsid w:val="00E50A6D"/>
    <w:rsid w:val="00E51F58"/>
    <w:rsid w:val="00E561EC"/>
    <w:rsid w:val="00E60CFB"/>
    <w:rsid w:val="00E63552"/>
    <w:rsid w:val="00E64F24"/>
    <w:rsid w:val="00E667A8"/>
    <w:rsid w:val="00E731D2"/>
    <w:rsid w:val="00E8082D"/>
    <w:rsid w:val="00E80B87"/>
    <w:rsid w:val="00E810DE"/>
    <w:rsid w:val="00E81E4D"/>
    <w:rsid w:val="00E827BF"/>
    <w:rsid w:val="00E832AC"/>
    <w:rsid w:val="00E870BD"/>
    <w:rsid w:val="00E87143"/>
    <w:rsid w:val="00E875F5"/>
    <w:rsid w:val="00E90EB8"/>
    <w:rsid w:val="00E9264C"/>
    <w:rsid w:val="00E949D3"/>
    <w:rsid w:val="00E94AC7"/>
    <w:rsid w:val="00E967C1"/>
    <w:rsid w:val="00EA09A1"/>
    <w:rsid w:val="00EA42B5"/>
    <w:rsid w:val="00EB0ECB"/>
    <w:rsid w:val="00EB15ED"/>
    <w:rsid w:val="00EB1CD8"/>
    <w:rsid w:val="00EB76F9"/>
    <w:rsid w:val="00EC11E4"/>
    <w:rsid w:val="00EC2EF1"/>
    <w:rsid w:val="00ED0DEC"/>
    <w:rsid w:val="00ED3DB3"/>
    <w:rsid w:val="00ED55B8"/>
    <w:rsid w:val="00ED578C"/>
    <w:rsid w:val="00ED5965"/>
    <w:rsid w:val="00ED6237"/>
    <w:rsid w:val="00ED6C6B"/>
    <w:rsid w:val="00ED768D"/>
    <w:rsid w:val="00EE1FA9"/>
    <w:rsid w:val="00EE3904"/>
    <w:rsid w:val="00EE3A55"/>
    <w:rsid w:val="00EE3DCD"/>
    <w:rsid w:val="00EE7CB6"/>
    <w:rsid w:val="00EF2ACD"/>
    <w:rsid w:val="00EF3728"/>
    <w:rsid w:val="00EF5448"/>
    <w:rsid w:val="00EF7347"/>
    <w:rsid w:val="00EF7BA3"/>
    <w:rsid w:val="00F003AC"/>
    <w:rsid w:val="00F00D10"/>
    <w:rsid w:val="00F057D1"/>
    <w:rsid w:val="00F11080"/>
    <w:rsid w:val="00F1461E"/>
    <w:rsid w:val="00F17A5E"/>
    <w:rsid w:val="00F17B39"/>
    <w:rsid w:val="00F248FB"/>
    <w:rsid w:val="00F24B65"/>
    <w:rsid w:val="00F26543"/>
    <w:rsid w:val="00F265CB"/>
    <w:rsid w:val="00F276FC"/>
    <w:rsid w:val="00F302A2"/>
    <w:rsid w:val="00F315C0"/>
    <w:rsid w:val="00F342D2"/>
    <w:rsid w:val="00F353A3"/>
    <w:rsid w:val="00F41E4A"/>
    <w:rsid w:val="00F42123"/>
    <w:rsid w:val="00F433BB"/>
    <w:rsid w:val="00F459CC"/>
    <w:rsid w:val="00F47380"/>
    <w:rsid w:val="00F5307C"/>
    <w:rsid w:val="00F53CC9"/>
    <w:rsid w:val="00F5517F"/>
    <w:rsid w:val="00F6295E"/>
    <w:rsid w:val="00F659C2"/>
    <w:rsid w:val="00F71186"/>
    <w:rsid w:val="00F717DE"/>
    <w:rsid w:val="00F7307D"/>
    <w:rsid w:val="00F77B7A"/>
    <w:rsid w:val="00F81819"/>
    <w:rsid w:val="00F81E38"/>
    <w:rsid w:val="00F82107"/>
    <w:rsid w:val="00F82BFB"/>
    <w:rsid w:val="00F86B81"/>
    <w:rsid w:val="00F87B58"/>
    <w:rsid w:val="00F9104D"/>
    <w:rsid w:val="00F942B2"/>
    <w:rsid w:val="00F956C7"/>
    <w:rsid w:val="00F97D10"/>
    <w:rsid w:val="00FA14C0"/>
    <w:rsid w:val="00FA464C"/>
    <w:rsid w:val="00FA64B8"/>
    <w:rsid w:val="00FB0F57"/>
    <w:rsid w:val="00FB2BD4"/>
    <w:rsid w:val="00FB631A"/>
    <w:rsid w:val="00FB74A8"/>
    <w:rsid w:val="00FC1DAC"/>
    <w:rsid w:val="00FC7A89"/>
    <w:rsid w:val="00FC7FF3"/>
    <w:rsid w:val="00FD3E22"/>
    <w:rsid w:val="00FD3F5B"/>
    <w:rsid w:val="00FD5A44"/>
    <w:rsid w:val="00FE3264"/>
    <w:rsid w:val="00FE5A3A"/>
    <w:rsid w:val="00FE6E5D"/>
    <w:rsid w:val="00FF5594"/>
    <w:rsid w:val="010D427B"/>
    <w:rsid w:val="015A4043"/>
    <w:rsid w:val="0176597C"/>
    <w:rsid w:val="027A149C"/>
    <w:rsid w:val="02BC3862"/>
    <w:rsid w:val="0430109B"/>
    <w:rsid w:val="04C44C50"/>
    <w:rsid w:val="052B4CCF"/>
    <w:rsid w:val="05394B13"/>
    <w:rsid w:val="05886C0F"/>
    <w:rsid w:val="05DB3DD1"/>
    <w:rsid w:val="0605043B"/>
    <w:rsid w:val="06B90065"/>
    <w:rsid w:val="06C70A28"/>
    <w:rsid w:val="07D5339B"/>
    <w:rsid w:val="07F75B7B"/>
    <w:rsid w:val="09690016"/>
    <w:rsid w:val="0DC24E06"/>
    <w:rsid w:val="0E3F3CB9"/>
    <w:rsid w:val="0F4E618A"/>
    <w:rsid w:val="0F8A1138"/>
    <w:rsid w:val="0FB104C7"/>
    <w:rsid w:val="0FF87EA4"/>
    <w:rsid w:val="10FB5D4F"/>
    <w:rsid w:val="117F3183"/>
    <w:rsid w:val="12B72A5B"/>
    <w:rsid w:val="12E82452"/>
    <w:rsid w:val="13F015BE"/>
    <w:rsid w:val="15C91176"/>
    <w:rsid w:val="17680005"/>
    <w:rsid w:val="185A3F7C"/>
    <w:rsid w:val="188E21EC"/>
    <w:rsid w:val="18F953B8"/>
    <w:rsid w:val="19A215AC"/>
    <w:rsid w:val="19CE42BD"/>
    <w:rsid w:val="19DB09A6"/>
    <w:rsid w:val="19E06427"/>
    <w:rsid w:val="1A02204B"/>
    <w:rsid w:val="1A023DF9"/>
    <w:rsid w:val="1A9B5FFB"/>
    <w:rsid w:val="1AC75042"/>
    <w:rsid w:val="1B894F2C"/>
    <w:rsid w:val="1BA3BD9F"/>
    <w:rsid w:val="1BEA548C"/>
    <w:rsid w:val="1DCC7EA9"/>
    <w:rsid w:val="20191167"/>
    <w:rsid w:val="202D1472"/>
    <w:rsid w:val="22923313"/>
    <w:rsid w:val="2466521D"/>
    <w:rsid w:val="25840EE7"/>
    <w:rsid w:val="258424AE"/>
    <w:rsid w:val="25DE3E0B"/>
    <w:rsid w:val="26790B4E"/>
    <w:rsid w:val="26D20FF7"/>
    <w:rsid w:val="26EF000B"/>
    <w:rsid w:val="276A122F"/>
    <w:rsid w:val="2A36601A"/>
    <w:rsid w:val="2A5341FD"/>
    <w:rsid w:val="2ACD13CF"/>
    <w:rsid w:val="2B7663F5"/>
    <w:rsid w:val="2C162720"/>
    <w:rsid w:val="2C6C351A"/>
    <w:rsid w:val="2F6B77C9"/>
    <w:rsid w:val="2FEC1340"/>
    <w:rsid w:val="308C7571"/>
    <w:rsid w:val="30A852B5"/>
    <w:rsid w:val="3116262E"/>
    <w:rsid w:val="31E914BD"/>
    <w:rsid w:val="31F63D3D"/>
    <w:rsid w:val="32593A35"/>
    <w:rsid w:val="34D16D92"/>
    <w:rsid w:val="35B6373C"/>
    <w:rsid w:val="368D6CE8"/>
    <w:rsid w:val="3710594F"/>
    <w:rsid w:val="37F065A7"/>
    <w:rsid w:val="387B6D70"/>
    <w:rsid w:val="3A277B5D"/>
    <w:rsid w:val="3AB331C1"/>
    <w:rsid w:val="3E171CB9"/>
    <w:rsid w:val="3EBE41EB"/>
    <w:rsid w:val="3ED41958"/>
    <w:rsid w:val="3F1F01FF"/>
    <w:rsid w:val="3F417D79"/>
    <w:rsid w:val="3FD27F37"/>
    <w:rsid w:val="4026763E"/>
    <w:rsid w:val="40621402"/>
    <w:rsid w:val="40DF6392"/>
    <w:rsid w:val="4111172D"/>
    <w:rsid w:val="428D254A"/>
    <w:rsid w:val="42A13A39"/>
    <w:rsid w:val="43543B6A"/>
    <w:rsid w:val="443B4193"/>
    <w:rsid w:val="44901E7E"/>
    <w:rsid w:val="463F4339"/>
    <w:rsid w:val="468123C6"/>
    <w:rsid w:val="47330B3B"/>
    <w:rsid w:val="473C009B"/>
    <w:rsid w:val="47470357"/>
    <w:rsid w:val="477512B6"/>
    <w:rsid w:val="483A57E4"/>
    <w:rsid w:val="48730EF6"/>
    <w:rsid w:val="4B564D73"/>
    <w:rsid w:val="4C1B142A"/>
    <w:rsid w:val="4D650DDC"/>
    <w:rsid w:val="4E0B2A9E"/>
    <w:rsid w:val="4E9904C8"/>
    <w:rsid w:val="4F5148FF"/>
    <w:rsid w:val="51B44DED"/>
    <w:rsid w:val="53990C69"/>
    <w:rsid w:val="56424911"/>
    <w:rsid w:val="56C67981"/>
    <w:rsid w:val="56E31933"/>
    <w:rsid w:val="56EB388B"/>
    <w:rsid w:val="5732684F"/>
    <w:rsid w:val="57C99A78"/>
    <w:rsid w:val="57D04F5B"/>
    <w:rsid w:val="58CB127E"/>
    <w:rsid w:val="592941F7"/>
    <w:rsid w:val="59DD74BB"/>
    <w:rsid w:val="5B0675EF"/>
    <w:rsid w:val="5BBB7CD0"/>
    <w:rsid w:val="5C153D97"/>
    <w:rsid w:val="5C920A67"/>
    <w:rsid w:val="5D296EBB"/>
    <w:rsid w:val="5E4A0878"/>
    <w:rsid w:val="5E883572"/>
    <w:rsid w:val="5F1D56A3"/>
    <w:rsid w:val="5F5B298C"/>
    <w:rsid w:val="633C413C"/>
    <w:rsid w:val="636A5233"/>
    <w:rsid w:val="63F10223"/>
    <w:rsid w:val="645111D2"/>
    <w:rsid w:val="64682077"/>
    <w:rsid w:val="65006754"/>
    <w:rsid w:val="65055B18"/>
    <w:rsid w:val="66611474"/>
    <w:rsid w:val="667747F4"/>
    <w:rsid w:val="67CB3049"/>
    <w:rsid w:val="67D85766"/>
    <w:rsid w:val="68932D79"/>
    <w:rsid w:val="68C06926"/>
    <w:rsid w:val="68D14524"/>
    <w:rsid w:val="6939050C"/>
    <w:rsid w:val="695F5593"/>
    <w:rsid w:val="6AE619AD"/>
    <w:rsid w:val="6AEF22B2"/>
    <w:rsid w:val="6AF13D8B"/>
    <w:rsid w:val="6BB838E4"/>
    <w:rsid w:val="6BEC358E"/>
    <w:rsid w:val="6BEE5558"/>
    <w:rsid w:val="6DB85010"/>
    <w:rsid w:val="6DF69889"/>
    <w:rsid w:val="6EA7785C"/>
    <w:rsid w:val="6F614D48"/>
    <w:rsid w:val="73BF47DD"/>
    <w:rsid w:val="73CF2113"/>
    <w:rsid w:val="73F43973"/>
    <w:rsid w:val="73F5805C"/>
    <w:rsid w:val="7440158F"/>
    <w:rsid w:val="75ED062E"/>
    <w:rsid w:val="77322B45"/>
    <w:rsid w:val="794762A8"/>
    <w:rsid w:val="7A1F0FD2"/>
    <w:rsid w:val="7AFE508C"/>
    <w:rsid w:val="7BFD6CAF"/>
    <w:rsid w:val="7C084414"/>
    <w:rsid w:val="7CFA4535"/>
    <w:rsid w:val="7D6412EA"/>
    <w:rsid w:val="7DB9054B"/>
    <w:rsid w:val="7DDF26B9"/>
    <w:rsid w:val="7E4D25B2"/>
    <w:rsid w:val="7EA47CF8"/>
    <w:rsid w:val="7F0D1D41"/>
    <w:rsid w:val="7F7F3710"/>
    <w:rsid w:val="7FCA0222"/>
    <w:rsid w:val="87F71559"/>
    <w:rsid w:val="9BFDB332"/>
    <w:rsid w:val="EFF7C459"/>
    <w:rsid w:val="EFFFD6EB"/>
    <w:rsid w:val="F77FD68F"/>
    <w:rsid w:val="F8FE779D"/>
    <w:rsid w:val="FDFF14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nhideWhenUsed="0" w:uiPriority="9"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name="toc 3"/>
    <w:lsdException w:qFormat="1" w:uiPriority="39" w:name="toc 4"/>
    <w:lsdException w:qFormat="1" w:uiPriority="39" w:name="toc 5"/>
    <w:lsdException w:uiPriority="39" w:name="toc 6"/>
    <w:lsdException w:uiPriority="39" w:name="toc 7"/>
    <w:lsdException w:uiPriority="39" w:name="toc 8"/>
    <w:lsdException w:uiPriority="39" w:name="toc 9"/>
    <w:lsdException w:qFormat="1"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qFormat="1" w:uiPriority="99" w:name="Document Map"/>
    <w:lsdException w:qFormat="1" w:unhideWhenUsed="0" w:uiPriority="99"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54"/>
    <w:autoRedefine/>
    <w:qFormat/>
    <w:uiPriority w:val="0"/>
    <w:pPr>
      <w:keepNext/>
      <w:keepLines/>
      <w:numPr>
        <w:ilvl w:val="0"/>
        <w:numId w:val="1"/>
      </w:numPr>
      <w:spacing w:before="340" w:after="330" w:line="576" w:lineRule="auto"/>
      <w:outlineLvl w:val="0"/>
    </w:pPr>
    <w:rPr>
      <w:rFonts w:ascii="Times New Roman" w:hAnsi="Times New Roman" w:eastAsia="宋体" w:cs="Times New Roman"/>
      <w:b/>
      <w:kern w:val="44"/>
      <w:sz w:val="44"/>
      <w:szCs w:val="20"/>
      <w:lang w:val="zh-CN"/>
    </w:rPr>
  </w:style>
  <w:style w:type="paragraph" w:styleId="3">
    <w:name w:val="heading 2"/>
    <w:basedOn w:val="1"/>
    <w:next w:val="1"/>
    <w:link w:val="63"/>
    <w:autoRedefine/>
    <w:qFormat/>
    <w:uiPriority w:val="0"/>
    <w:pPr>
      <w:keepNext/>
      <w:keepLines/>
      <w:numPr>
        <w:ilvl w:val="1"/>
        <w:numId w:val="1"/>
      </w:numPr>
      <w:spacing w:before="260" w:after="260" w:line="415" w:lineRule="auto"/>
      <w:outlineLvl w:val="1"/>
    </w:pPr>
    <w:rPr>
      <w:rFonts w:ascii="宋体" w:hAnsi="宋体" w:eastAsia="宋体" w:cs="Times New Roman"/>
      <w:b/>
      <w:bCs/>
      <w:sz w:val="28"/>
      <w:szCs w:val="18"/>
      <w:lang w:val="zh-CN"/>
    </w:rPr>
  </w:style>
  <w:style w:type="paragraph" w:styleId="4">
    <w:name w:val="heading 3"/>
    <w:basedOn w:val="1"/>
    <w:next w:val="1"/>
    <w:link w:val="56"/>
    <w:autoRedefine/>
    <w:qFormat/>
    <w:uiPriority w:val="9"/>
    <w:pPr>
      <w:keepNext/>
      <w:keepLines/>
      <w:numPr>
        <w:ilvl w:val="2"/>
        <w:numId w:val="1"/>
      </w:numPr>
      <w:spacing w:before="260" w:after="260" w:line="415" w:lineRule="auto"/>
      <w:outlineLvl w:val="2"/>
    </w:pPr>
    <w:rPr>
      <w:rFonts w:ascii="Times New Roman" w:hAnsi="Times New Roman" w:eastAsia="宋体" w:cs="Times New Roman"/>
      <w:b/>
      <w:bCs/>
      <w:sz w:val="24"/>
      <w:szCs w:val="32"/>
      <w:lang w:val="zh-CN"/>
    </w:rPr>
  </w:style>
  <w:style w:type="paragraph" w:styleId="5">
    <w:name w:val="heading 4"/>
    <w:basedOn w:val="1"/>
    <w:next w:val="6"/>
    <w:link w:val="57"/>
    <w:autoRedefine/>
    <w:qFormat/>
    <w:uiPriority w:val="9"/>
    <w:pPr>
      <w:keepNext/>
      <w:keepLines/>
      <w:numPr>
        <w:ilvl w:val="3"/>
        <w:numId w:val="1"/>
      </w:numPr>
      <w:spacing w:before="280" w:after="290" w:line="374" w:lineRule="auto"/>
      <w:outlineLvl w:val="3"/>
    </w:pPr>
    <w:rPr>
      <w:rFonts w:ascii="Arial" w:hAnsi="Arial" w:eastAsia="黑体" w:cs="Times New Roman"/>
      <w:b/>
      <w:sz w:val="28"/>
      <w:szCs w:val="20"/>
      <w:lang w:val="zh-CN"/>
    </w:rPr>
  </w:style>
  <w:style w:type="paragraph" w:styleId="7">
    <w:name w:val="heading 5"/>
    <w:basedOn w:val="1"/>
    <w:next w:val="6"/>
    <w:link w:val="58"/>
    <w:autoRedefine/>
    <w:qFormat/>
    <w:uiPriority w:val="0"/>
    <w:pPr>
      <w:keepNext/>
      <w:keepLines/>
      <w:numPr>
        <w:ilvl w:val="4"/>
        <w:numId w:val="1"/>
      </w:numPr>
      <w:spacing w:before="280" w:after="290" w:line="374" w:lineRule="auto"/>
      <w:outlineLvl w:val="4"/>
    </w:pPr>
    <w:rPr>
      <w:rFonts w:ascii="Times New Roman" w:hAnsi="Times New Roman" w:eastAsia="宋体" w:cs="Times New Roman"/>
      <w:b/>
      <w:sz w:val="28"/>
      <w:szCs w:val="20"/>
      <w:lang w:val="zh-CN"/>
    </w:rPr>
  </w:style>
  <w:style w:type="paragraph" w:styleId="8">
    <w:name w:val="heading 6"/>
    <w:basedOn w:val="1"/>
    <w:next w:val="6"/>
    <w:link w:val="59"/>
    <w:autoRedefine/>
    <w:qFormat/>
    <w:uiPriority w:val="0"/>
    <w:pPr>
      <w:keepNext/>
      <w:keepLines/>
      <w:numPr>
        <w:ilvl w:val="5"/>
        <w:numId w:val="1"/>
      </w:numPr>
      <w:spacing w:before="240" w:after="64" w:line="319" w:lineRule="auto"/>
      <w:outlineLvl w:val="5"/>
    </w:pPr>
    <w:rPr>
      <w:rFonts w:ascii="Arial" w:hAnsi="Arial" w:eastAsia="黑体" w:cs="Times New Roman"/>
      <w:b/>
      <w:sz w:val="24"/>
      <w:szCs w:val="20"/>
      <w:lang w:val="zh-CN"/>
    </w:rPr>
  </w:style>
  <w:style w:type="paragraph" w:styleId="9">
    <w:name w:val="heading 7"/>
    <w:basedOn w:val="1"/>
    <w:next w:val="6"/>
    <w:link w:val="60"/>
    <w:autoRedefine/>
    <w:qFormat/>
    <w:uiPriority w:val="0"/>
    <w:pPr>
      <w:keepNext/>
      <w:keepLines/>
      <w:numPr>
        <w:ilvl w:val="6"/>
        <w:numId w:val="1"/>
      </w:numPr>
      <w:spacing w:before="240" w:after="64" w:line="319" w:lineRule="auto"/>
      <w:outlineLvl w:val="6"/>
    </w:pPr>
    <w:rPr>
      <w:rFonts w:ascii="Times New Roman" w:hAnsi="Times New Roman" w:eastAsia="宋体" w:cs="Times New Roman"/>
      <w:b/>
      <w:sz w:val="24"/>
      <w:szCs w:val="20"/>
      <w:lang w:val="zh-CN"/>
    </w:rPr>
  </w:style>
  <w:style w:type="paragraph" w:styleId="10">
    <w:name w:val="heading 8"/>
    <w:basedOn w:val="1"/>
    <w:next w:val="6"/>
    <w:link w:val="61"/>
    <w:autoRedefine/>
    <w:qFormat/>
    <w:uiPriority w:val="0"/>
    <w:pPr>
      <w:keepNext/>
      <w:keepLines/>
      <w:numPr>
        <w:ilvl w:val="7"/>
        <w:numId w:val="1"/>
      </w:numPr>
      <w:spacing w:before="240" w:after="64" w:line="319" w:lineRule="auto"/>
      <w:outlineLvl w:val="7"/>
    </w:pPr>
    <w:rPr>
      <w:rFonts w:ascii="Arial" w:hAnsi="Arial" w:eastAsia="黑体" w:cs="Times New Roman"/>
      <w:sz w:val="24"/>
      <w:szCs w:val="20"/>
      <w:lang w:val="zh-CN"/>
    </w:rPr>
  </w:style>
  <w:style w:type="paragraph" w:styleId="11">
    <w:name w:val="heading 9"/>
    <w:basedOn w:val="1"/>
    <w:next w:val="6"/>
    <w:link w:val="62"/>
    <w:qFormat/>
    <w:uiPriority w:val="0"/>
    <w:pPr>
      <w:keepNext/>
      <w:keepLines/>
      <w:numPr>
        <w:ilvl w:val="8"/>
        <w:numId w:val="1"/>
      </w:numPr>
      <w:spacing w:before="240" w:after="64" w:line="319" w:lineRule="auto"/>
      <w:outlineLvl w:val="8"/>
    </w:pPr>
    <w:rPr>
      <w:rFonts w:ascii="Arial" w:hAnsi="Arial" w:eastAsia="黑体" w:cs="Times New Roman"/>
      <w:szCs w:val="20"/>
      <w:lang w:val="zh-CN"/>
    </w:rPr>
  </w:style>
  <w:style w:type="character" w:default="1" w:styleId="31">
    <w:name w:val="Default Paragraph Font"/>
    <w:semiHidden/>
    <w:unhideWhenUsed/>
    <w:qFormat/>
    <w:uiPriority w:val="1"/>
  </w:style>
  <w:style w:type="table" w:default="1" w:styleId="29">
    <w:name w:val="Normal Table"/>
    <w:semiHidden/>
    <w:unhideWhenUsed/>
    <w:qFormat/>
    <w:uiPriority w:val="99"/>
    <w:tblPr>
      <w:tblCellMar>
        <w:top w:w="0" w:type="dxa"/>
        <w:left w:w="108" w:type="dxa"/>
        <w:bottom w:w="0" w:type="dxa"/>
        <w:right w:w="108" w:type="dxa"/>
      </w:tblCellMar>
    </w:tblPr>
  </w:style>
  <w:style w:type="paragraph" w:styleId="6">
    <w:name w:val="Normal Indent"/>
    <w:basedOn w:val="1"/>
    <w:autoRedefine/>
    <w:semiHidden/>
    <w:unhideWhenUsed/>
    <w:qFormat/>
    <w:uiPriority w:val="99"/>
    <w:pPr>
      <w:ind w:firstLine="420" w:firstLineChars="200"/>
    </w:pPr>
  </w:style>
  <w:style w:type="paragraph" w:styleId="12">
    <w:name w:val="Document Map"/>
    <w:basedOn w:val="1"/>
    <w:link w:val="72"/>
    <w:semiHidden/>
    <w:unhideWhenUsed/>
    <w:qFormat/>
    <w:uiPriority w:val="99"/>
    <w:rPr>
      <w:rFonts w:ascii="宋体" w:eastAsia="宋体"/>
      <w:sz w:val="18"/>
      <w:szCs w:val="18"/>
    </w:rPr>
  </w:style>
  <w:style w:type="paragraph" w:styleId="13">
    <w:name w:val="annotation text"/>
    <w:basedOn w:val="1"/>
    <w:link w:val="66"/>
    <w:autoRedefine/>
    <w:semiHidden/>
    <w:unhideWhenUsed/>
    <w:qFormat/>
    <w:uiPriority w:val="99"/>
    <w:pPr>
      <w:jc w:val="left"/>
    </w:pPr>
  </w:style>
  <w:style w:type="paragraph" w:styleId="14">
    <w:name w:val="toc 5"/>
    <w:basedOn w:val="1"/>
    <w:next w:val="1"/>
    <w:autoRedefine/>
    <w:semiHidden/>
    <w:unhideWhenUsed/>
    <w:qFormat/>
    <w:uiPriority w:val="39"/>
    <w:pPr>
      <w:spacing w:line="360" w:lineRule="auto"/>
      <w:ind w:left="1680" w:leftChars="800"/>
    </w:pPr>
    <w:rPr>
      <w:sz w:val="24"/>
    </w:rPr>
  </w:style>
  <w:style w:type="paragraph" w:styleId="15">
    <w:name w:val="toc 3"/>
    <w:basedOn w:val="1"/>
    <w:next w:val="1"/>
    <w:autoRedefine/>
    <w:semiHidden/>
    <w:unhideWhenUsed/>
    <w:qFormat/>
    <w:uiPriority w:val="39"/>
    <w:pPr>
      <w:spacing w:line="360" w:lineRule="auto"/>
      <w:ind w:left="840" w:leftChars="400"/>
    </w:pPr>
    <w:rPr>
      <w:rFonts w:eastAsia="宋体"/>
      <w:sz w:val="24"/>
    </w:rPr>
  </w:style>
  <w:style w:type="paragraph" w:styleId="16">
    <w:name w:val="Plain Text"/>
    <w:basedOn w:val="1"/>
    <w:link w:val="50"/>
    <w:autoRedefine/>
    <w:qFormat/>
    <w:uiPriority w:val="99"/>
    <w:pPr>
      <w:widowControl/>
      <w:overflowPunct w:val="0"/>
      <w:autoSpaceDE w:val="0"/>
      <w:autoSpaceDN w:val="0"/>
      <w:adjustRightInd w:val="0"/>
      <w:snapToGrid w:val="0"/>
      <w:spacing w:line="360" w:lineRule="auto"/>
      <w:jc w:val="center"/>
      <w:textAlignment w:val="baseline"/>
    </w:pPr>
    <w:rPr>
      <w:rFonts w:ascii="宋体" w:hAnsi="宋体" w:eastAsia="宋体" w:cs="Times New Roman"/>
      <w:color w:val="000000" w:themeColor="text1"/>
      <w:kern w:val="0"/>
      <w:szCs w:val="21"/>
      <w:lang w:val="zh-CN"/>
    </w:rPr>
  </w:style>
  <w:style w:type="paragraph" w:styleId="17">
    <w:name w:val="Date"/>
    <w:basedOn w:val="1"/>
    <w:next w:val="1"/>
    <w:link w:val="46"/>
    <w:autoRedefine/>
    <w:semiHidden/>
    <w:unhideWhenUsed/>
    <w:qFormat/>
    <w:uiPriority w:val="99"/>
    <w:pPr>
      <w:ind w:left="100" w:leftChars="2500"/>
    </w:pPr>
  </w:style>
  <w:style w:type="paragraph" w:styleId="18">
    <w:name w:val="Balloon Text"/>
    <w:basedOn w:val="1"/>
    <w:link w:val="64"/>
    <w:autoRedefine/>
    <w:semiHidden/>
    <w:unhideWhenUsed/>
    <w:qFormat/>
    <w:uiPriority w:val="99"/>
    <w:rPr>
      <w:sz w:val="18"/>
      <w:szCs w:val="18"/>
    </w:rPr>
  </w:style>
  <w:style w:type="paragraph" w:styleId="19">
    <w:name w:val="footer"/>
    <w:basedOn w:val="1"/>
    <w:link w:val="52"/>
    <w:autoRedefine/>
    <w:unhideWhenUsed/>
    <w:qFormat/>
    <w:uiPriority w:val="99"/>
    <w:pPr>
      <w:tabs>
        <w:tab w:val="center" w:pos="4153"/>
        <w:tab w:val="right" w:pos="8306"/>
      </w:tabs>
      <w:snapToGrid w:val="0"/>
      <w:jc w:val="left"/>
    </w:pPr>
    <w:rPr>
      <w:sz w:val="18"/>
      <w:szCs w:val="18"/>
    </w:rPr>
  </w:style>
  <w:style w:type="paragraph" w:styleId="20">
    <w:name w:val="header"/>
    <w:basedOn w:val="1"/>
    <w:link w:val="51"/>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21">
    <w:name w:val="toc 1"/>
    <w:basedOn w:val="1"/>
    <w:next w:val="1"/>
    <w:autoRedefine/>
    <w:unhideWhenUsed/>
    <w:qFormat/>
    <w:uiPriority w:val="39"/>
    <w:pPr>
      <w:spacing w:line="360" w:lineRule="auto"/>
    </w:pPr>
    <w:rPr>
      <w:rFonts w:eastAsia="宋体"/>
      <w:sz w:val="24"/>
    </w:rPr>
  </w:style>
  <w:style w:type="paragraph" w:styleId="22">
    <w:name w:val="toc 4"/>
    <w:basedOn w:val="1"/>
    <w:next w:val="1"/>
    <w:autoRedefine/>
    <w:semiHidden/>
    <w:unhideWhenUsed/>
    <w:qFormat/>
    <w:uiPriority w:val="39"/>
    <w:pPr>
      <w:spacing w:line="360" w:lineRule="auto"/>
      <w:ind w:left="1260" w:leftChars="600"/>
    </w:pPr>
    <w:rPr>
      <w:rFonts w:eastAsia="宋体"/>
      <w:sz w:val="24"/>
    </w:rPr>
  </w:style>
  <w:style w:type="paragraph" w:styleId="23">
    <w:name w:val="Subtitle"/>
    <w:basedOn w:val="1"/>
    <w:next w:val="1"/>
    <w:link w:val="48"/>
    <w:autoRedefine/>
    <w:qFormat/>
    <w:uiPriority w:val="11"/>
    <w:pPr>
      <w:spacing w:before="240" w:after="60" w:line="312" w:lineRule="auto"/>
      <w:jc w:val="center"/>
      <w:outlineLvl w:val="1"/>
    </w:pPr>
    <w:rPr>
      <w:rFonts w:ascii="宋体" w:hAnsi="宋体" w:eastAsia="宋体"/>
      <w:b/>
      <w:bCs/>
      <w:kern w:val="28"/>
      <w:sz w:val="28"/>
      <w:szCs w:val="28"/>
    </w:rPr>
  </w:style>
  <w:style w:type="paragraph" w:styleId="24">
    <w:name w:val="Body Text Indent 3"/>
    <w:basedOn w:val="1"/>
    <w:link w:val="68"/>
    <w:qFormat/>
    <w:uiPriority w:val="0"/>
    <w:pPr>
      <w:spacing w:after="120"/>
      <w:ind w:left="420" w:leftChars="200"/>
    </w:pPr>
    <w:rPr>
      <w:rFonts w:ascii="Times New Roman" w:hAnsi="Times New Roman" w:eastAsia="宋体" w:cs="Times New Roman"/>
      <w:sz w:val="16"/>
      <w:szCs w:val="16"/>
    </w:rPr>
  </w:style>
  <w:style w:type="paragraph" w:styleId="25">
    <w:name w:val="toc 2"/>
    <w:basedOn w:val="1"/>
    <w:next w:val="1"/>
    <w:autoRedefine/>
    <w:unhideWhenUsed/>
    <w:qFormat/>
    <w:uiPriority w:val="39"/>
    <w:pPr>
      <w:spacing w:line="360" w:lineRule="auto"/>
      <w:ind w:left="420" w:leftChars="200"/>
    </w:pPr>
    <w:rPr>
      <w:rFonts w:eastAsia="宋体"/>
      <w:sz w:val="24"/>
    </w:rPr>
  </w:style>
  <w:style w:type="paragraph" w:styleId="26">
    <w:name w:val="Normal (Web)"/>
    <w:basedOn w:val="1"/>
    <w:link w:val="53"/>
    <w:autoRedefine/>
    <w:qFormat/>
    <w:uiPriority w:val="0"/>
    <w:pPr>
      <w:widowControl/>
      <w:spacing w:before="100" w:beforeAutospacing="1" w:after="100" w:afterAutospacing="1"/>
      <w:jc w:val="left"/>
    </w:pPr>
    <w:rPr>
      <w:rFonts w:ascii="宋体" w:hAnsi="宋体" w:eastAsia="宋体" w:cs="Times New Roman"/>
      <w:kern w:val="0"/>
      <w:sz w:val="24"/>
      <w:szCs w:val="24"/>
      <w:lang w:val="zh-CN"/>
    </w:rPr>
  </w:style>
  <w:style w:type="paragraph" w:styleId="27">
    <w:name w:val="Title"/>
    <w:basedOn w:val="1"/>
    <w:next w:val="1"/>
    <w:link w:val="47"/>
    <w:autoRedefine/>
    <w:qFormat/>
    <w:uiPriority w:val="10"/>
    <w:pPr>
      <w:spacing w:before="240" w:after="60"/>
      <w:jc w:val="center"/>
      <w:outlineLvl w:val="0"/>
    </w:pPr>
    <w:rPr>
      <w:rFonts w:asciiTheme="majorHAnsi" w:hAnsiTheme="majorHAnsi" w:eastAsiaTheme="majorEastAsia" w:cstheme="majorBidi"/>
      <w:b/>
      <w:bCs/>
      <w:sz w:val="32"/>
      <w:szCs w:val="32"/>
    </w:rPr>
  </w:style>
  <w:style w:type="paragraph" w:styleId="28">
    <w:name w:val="annotation subject"/>
    <w:basedOn w:val="13"/>
    <w:next w:val="13"/>
    <w:link w:val="67"/>
    <w:autoRedefine/>
    <w:semiHidden/>
    <w:unhideWhenUsed/>
    <w:qFormat/>
    <w:uiPriority w:val="99"/>
    <w:rPr>
      <w:b/>
      <w:bCs/>
    </w:rPr>
  </w:style>
  <w:style w:type="table" w:styleId="30">
    <w:name w:val="Table Grid"/>
    <w:basedOn w:val="29"/>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2">
    <w:name w:val="Strong"/>
    <w:basedOn w:val="31"/>
    <w:qFormat/>
    <w:uiPriority w:val="22"/>
    <w:rPr>
      <w:b/>
      <w:bCs/>
    </w:rPr>
  </w:style>
  <w:style w:type="character" w:styleId="33">
    <w:name w:val="FollowedHyperlink"/>
    <w:basedOn w:val="31"/>
    <w:semiHidden/>
    <w:unhideWhenUsed/>
    <w:qFormat/>
    <w:uiPriority w:val="99"/>
    <w:rPr>
      <w:color w:val="954F72" w:themeColor="followedHyperlink"/>
      <w:u w:val="single"/>
    </w:rPr>
  </w:style>
  <w:style w:type="character" w:styleId="34">
    <w:name w:val="Emphasis"/>
    <w:basedOn w:val="31"/>
    <w:qFormat/>
    <w:uiPriority w:val="20"/>
    <w:rPr>
      <w:b/>
      <w:bCs/>
    </w:rPr>
  </w:style>
  <w:style w:type="character" w:styleId="35">
    <w:name w:val="HTML Definition"/>
    <w:basedOn w:val="31"/>
    <w:semiHidden/>
    <w:unhideWhenUsed/>
    <w:uiPriority w:val="99"/>
  </w:style>
  <w:style w:type="character" w:styleId="36">
    <w:name w:val="HTML Typewriter"/>
    <w:basedOn w:val="31"/>
    <w:semiHidden/>
    <w:unhideWhenUsed/>
    <w:uiPriority w:val="99"/>
    <w:rPr>
      <w:rFonts w:ascii="monospace" w:hAnsi="monospace" w:eastAsia="monospace" w:cs="monospace"/>
      <w:sz w:val="20"/>
    </w:rPr>
  </w:style>
  <w:style w:type="character" w:styleId="37">
    <w:name w:val="HTML Acronym"/>
    <w:basedOn w:val="31"/>
    <w:semiHidden/>
    <w:unhideWhenUsed/>
    <w:uiPriority w:val="99"/>
    <w:rPr>
      <w:bdr w:val="none" w:color="auto" w:sz="0" w:space="0"/>
    </w:rPr>
  </w:style>
  <w:style w:type="character" w:styleId="38">
    <w:name w:val="HTML Variable"/>
    <w:basedOn w:val="31"/>
    <w:semiHidden/>
    <w:unhideWhenUsed/>
    <w:uiPriority w:val="99"/>
  </w:style>
  <w:style w:type="character" w:styleId="39">
    <w:name w:val="Hyperlink"/>
    <w:basedOn w:val="31"/>
    <w:autoRedefine/>
    <w:unhideWhenUsed/>
    <w:qFormat/>
    <w:uiPriority w:val="99"/>
    <w:rPr>
      <w:color w:val="0563C1" w:themeColor="hyperlink"/>
      <w:u w:val="single"/>
    </w:rPr>
  </w:style>
  <w:style w:type="character" w:styleId="40">
    <w:name w:val="HTML Code"/>
    <w:basedOn w:val="31"/>
    <w:semiHidden/>
    <w:unhideWhenUsed/>
    <w:uiPriority w:val="99"/>
    <w:rPr>
      <w:rFonts w:hint="default" w:ascii="monospace" w:hAnsi="monospace" w:eastAsia="monospace" w:cs="monospace"/>
      <w:sz w:val="20"/>
      <w:bdr w:val="none" w:color="auto" w:sz="0" w:space="0"/>
    </w:rPr>
  </w:style>
  <w:style w:type="character" w:styleId="41">
    <w:name w:val="annotation reference"/>
    <w:basedOn w:val="31"/>
    <w:autoRedefine/>
    <w:semiHidden/>
    <w:unhideWhenUsed/>
    <w:qFormat/>
    <w:uiPriority w:val="99"/>
    <w:rPr>
      <w:sz w:val="21"/>
      <w:szCs w:val="21"/>
    </w:rPr>
  </w:style>
  <w:style w:type="character" w:styleId="42">
    <w:name w:val="HTML Cite"/>
    <w:basedOn w:val="31"/>
    <w:semiHidden/>
    <w:unhideWhenUsed/>
    <w:uiPriority w:val="99"/>
    <w:rPr>
      <w:bdr w:val="none" w:color="auto" w:sz="0" w:space="0"/>
    </w:rPr>
  </w:style>
  <w:style w:type="character" w:styleId="43">
    <w:name w:val="HTML Keyboard"/>
    <w:basedOn w:val="31"/>
    <w:semiHidden/>
    <w:unhideWhenUsed/>
    <w:uiPriority w:val="99"/>
    <w:rPr>
      <w:rFonts w:hint="default" w:ascii="monospace" w:hAnsi="monospace" w:eastAsia="monospace" w:cs="monospace"/>
      <w:sz w:val="20"/>
    </w:rPr>
  </w:style>
  <w:style w:type="character" w:styleId="44">
    <w:name w:val="HTML Sample"/>
    <w:basedOn w:val="31"/>
    <w:semiHidden/>
    <w:unhideWhenUsed/>
    <w:uiPriority w:val="99"/>
    <w:rPr>
      <w:rFonts w:hint="default" w:ascii="monospace" w:hAnsi="monospace" w:eastAsia="monospace" w:cs="monospace"/>
    </w:rPr>
  </w:style>
  <w:style w:type="paragraph" w:styleId="45">
    <w:name w:val="List Paragraph"/>
    <w:basedOn w:val="1"/>
    <w:autoRedefine/>
    <w:qFormat/>
    <w:uiPriority w:val="34"/>
    <w:pPr>
      <w:ind w:firstLine="420" w:firstLineChars="200"/>
    </w:pPr>
  </w:style>
  <w:style w:type="character" w:customStyle="1" w:styleId="46">
    <w:name w:val="日期 字符"/>
    <w:basedOn w:val="31"/>
    <w:link w:val="17"/>
    <w:autoRedefine/>
    <w:semiHidden/>
    <w:qFormat/>
    <w:uiPriority w:val="99"/>
  </w:style>
  <w:style w:type="character" w:customStyle="1" w:styleId="47">
    <w:name w:val="标题 字符"/>
    <w:basedOn w:val="31"/>
    <w:link w:val="27"/>
    <w:autoRedefine/>
    <w:qFormat/>
    <w:uiPriority w:val="10"/>
    <w:rPr>
      <w:rFonts w:asciiTheme="majorHAnsi" w:hAnsiTheme="majorHAnsi" w:eastAsiaTheme="majorEastAsia" w:cstheme="majorBidi"/>
      <w:b/>
      <w:bCs/>
      <w:sz w:val="32"/>
      <w:szCs w:val="32"/>
    </w:rPr>
  </w:style>
  <w:style w:type="character" w:customStyle="1" w:styleId="48">
    <w:name w:val="副标题 字符"/>
    <w:basedOn w:val="31"/>
    <w:link w:val="23"/>
    <w:autoRedefine/>
    <w:qFormat/>
    <w:uiPriority w:val="11"/>
    <w:rPr>
      <w:rFonts w:ascii="宋体" w:hAnsi="宋体" w:cstheme="minorBidi"/>
      <w:b/>
      <w:bCs/>
      <w:kern w:val="28"/>
      <w:sz w:val="28"/>
      <w:szCs w:val="28"/>
    </w:rPr>
  </w:style>
  <w:style w:type="character" w:customStyle="1" w:styleId="49">
    <w:name w:val="纯文本 字符"/>
    <w:basedOn w:val="31"/>
    <w:autoRedefine/>
    <w:semiHidden/>
    <w:qFormat/>
    <w:uiPriority w:val="99"/>
    <w:rPr>
      <w:rFonts w:hAnsi="Courier New" w:cs="Courier New" w:asciiTheme="minorEastAsia"/>
    </w:rPr>
  </w:style>
  <w:style w:type="character" w:customStyle="1" w:styleId="50">
    <w:name w:val="纯文本 字符1"/>
    <w:link w:val="16"/>
    <w:autoRedefine/>
    <w:qFormat/>
    <w:uiPriority w:val="99"/>
    <w:rPr>
      <w:rFonts w:ascii="宋体" w:hAnsi="宋体"/>
      <w:color w:val="000000" w:themeColor="text1"/>
      <w:sz w:val="21"/>
      <w:szCs w:val="21"/>
      <w:lang w:val="zh-CN"/>
    </w:rPr>
  </w:style>
  <w:style w:type="character" w:customStyle="1" w:styleId="51">
    <w:name w:val="页眉 字符"/>
    <w:basedOn w:val="31"/>
    <w:link w:val="20"/>
    <w:autoRedefine/>
    <w:qFormat/>
    <w:uiPriority w:val="99"/>
    <w:rPr>
      <w:sz w:val="18"/>
      <w:szCs w:val="18"/>
    </w:rPr>
  </w:style>
  <w:style w:type="character" w:customStyle="1" w:styleId="52">
    <w:name w:val="页脚 字符"/>
    <w:basedOn w:val="31"/>
    <w:link w:val="19"/>
    <w:autoRedefine/>
    <w:qFormat/>
    <w:uiPriority w:val="99"/>
    <w:rPr>
      <w:sz w:val="18"/>
      <w:szCs w:val="18"/>
    </w:rPr>
  </w:style>
  <w:style w:type="character" w:customStyle="1" w:styleId="53">
    <w:name w:val="普通(网站) 字符"/>
    <w:link w:val="26"/>
    <w:autoRedefine/>
    <w:qFormat/>
    <w:locked/>
    <w:uiPriority w:val="0"/>
    <w:rPr>
      <w:rFonts w:ascii="宋体" w:hAnsi="宋体" w:eastAsia="宋体" w:cs="Times New Roman"/>
      <w:kern w:val="0"/>
      <w:sz w:val="24"/>
      <w:szCs w:val="24"/>
      <w:lang w:val="zh-CN" w:eastAsia="zh-CN"/>
    </w:rPr>
  </w:style>
  <w:style w:type="character" w:customStyle="1" w:styleId="54">
    <w:name w:val="标题 1 字符"/>
    <w:basedOn w:val="31"/>
    <w:link w:val="2"/>
    <w:autoRedefine/>
    <w:qFormat/>
    <w:uiPriority w:val="0"/>
    <w:rPr>
      <w:rFonts w:ascii="Times New Roman" w:hAnsi="Times New Roman" w:eastAsia="宋体" w:cs="Times New Roman"/>
      <w:b/>
      <w:kern w:val="44"/>
      <w:sz w:val="44"/>
      <w:szCs w:val="20"/>
      <w:lang w:val="zh-CN" w:eastAsia="zh-CN"/>
    </w:rPr>
  </w:style>
  <w:style w:type="character" w:customStyle="1" w:styleId="55">
    <w:name w:val="标题 2 字符"/>
    <w:basedOn w:val="31"/>
    <w:autoRedefine/>
    <w:semiHidden/>
    <w:qFormat/>
    <w:uiPriority w:val="9"/>
    <w:rPr>
      <w:rFonts w:asciiTheme="majorHAnsi" w:hAnsiTheme="majorHAnsi" w:eastAsiaTheme="majorEastAsia" w:cstheme="majorBidi"/>
      <w:b/>
      <w:bCs/>
      <w:sz w:val="32"/>
      <w:szCs w:val="32"/>
    </w:rPr>
  </w:style>
  <w:style w:type="character" w:customStyle="1" w:styleId="56">
    <w:name w:val="标题 3 字符"/>
    <w:basedOn w:val="31"/>
    <w:link w:val="4"/>
    <w:autoRedefine/>
    <w:qFormat/>
    <w:uiPriority w:val="9"/>
    <w:rPr>
      <w:rFonts w:ascii="Times New Roman" w:hAnsi="Times New Roman" w:eastAsia="宋体" w:cs="Times New Roman"/>
      <w:b/>
      <w:bCs/>
      <w:sz w:val="24"/>
      <w:szCs w:val="32"/>
      <w:lang w:val="zh-CN" w:eastAsia="zh-CN"/>
    </w:rPr>
  </w:style>
  <w:style w:type="character" w:customStyle="1" w:styleId="57">
    <w:name w:val="标题 4 字符"/>
    <w:basedOn w:val="31"/>
    <w:link w:val="5"/>
    <w:autoRedefine/>
    <w:qFormat/>
    <w:uiPriority w:val="0"/>
    <w:rPr>
      <w:rFonts w:ascii="Arial" w:hAnsi="Arial" w:eastAsia="黑体" w:cs="Times New Roman"/>
      <w:b/>
      <w:sz w:val="28"/>
      <w:szCs w:val="20"/>
      <w:lang w:val="zh-CN" w:eastAsia="zh-CN"/>
    </w:rPr>
  </w:style>
  <w:style w:type="character" w:customStyle="1" w:styleId="58">
    <w:name w:val="标题 5 字符"/>
    <w:basedOn w:val="31"/>
    <w:link w:val="7"/>
    <w:autoRedefine/>
    <w:qFormat/>
    <w:uiPriority w:val="0"/>
    <w:rPr>
      <w:rFonts w:ascii="Times New Roman" w:hAnsi="Times New Roman" w:eastAsia="宋体" w:cs="Times New Roman"/>
      <w:b/>
      <w:sz w:val="28"/>
      <w:szCs w:val="20"/>
      <w:lang w:val="zh-CN" w:eastAsia="zh-CN"/>
    </w:rPr>
  </w:style>
  <w:style w:type="character" w:customStyle="1" w:styleId="59">
    <w:name w:val="标题 6 字符"/>
    <w:basedOn w:val="31"/>
    <w:link w:val="8"/>
    <w:autoRedefine/>
    <w:qFormat/>
    <w:uiPriority w:val="0"/>
    <w:rPr>
      <w:rFonts w:ascii="Arial" w:hAnsi="Arial" w:eastAsia="黑体" w:cs="Times New Roman"/>
      <w:b/>
      <w:sz w:val="24"/>
      <w:szCs w:val="20"/>
      <w:lang w:val="zh-CN" w:eastAsia="zh-CN"/>
    </w:rPr>
  </w:style>
  <w:style w:type="character" w:customStyle="1" w:styleId="60">
    <w:name w:val="标题 7 字符"/>
    <w:basedOn w:val="31"/>
    <w:link w:val="9"/>
    <w:autoRedefine/>
    <w:qFormat/>
    <w:uiPriority w:val="0"/>
    <w:rPr>
      <w:rFonts w:ascii="Times New Roman" w:hAnsi="Times New Roman" w:eastAsia="宋体" w:cs="Times New Roman"/>
      <w:b/>
      <w:sz w:val="24"/>
      <w:szCs w:val="20"/>
      <w:lang w:val="zh-CN" w:eastAsia="zh-CN"/>
    </w:rPr>
  </w:style>
  <w:style w:type="character" w:customStyle="1" w:styleId="61">
    <w:name w:val="标题 8 字符"/>
    <w:basedOn w:val="31"/>
    <w:link w:val="10"/>
    <w:autoRedefine/>
    <w:qFormat/>
    <w:uiPriority w:val="0"/>
    <w:rPr>
      <w:rFonts w:ascii="Arial" w:hAnsi="Arial" w:eastAsia="黑体" w:cs="Times New Roman"/>
      <w:sz w:val="24"/>
      <w:szCs w:val="20"/>
      <w:lang w:val="zh-CN" w:eastAsia="zh-CN"/>
    </w:rPr>
  </w:style>
  <w:style w:type="character" w:customStyle="1" w:styleId="62">
    <w:name w:val="标题 9 字符"/>
    <w:basedOn w:val="31"/>
    <w:link w:val="11"/>
    <w:autoRedefine/>
    <w:qFormat/>
    <w:uiPriority w:val="0"/>
    <w:rPr>
      <w:rFonts w:ascii="Arial" w:hAnsi="Arial" w:eastAsia="黑体" w:cs="Times New Roman"/>
      <w:szCs w:val="20"/>
      <w:lang w:val="zh-CN" w:eastAsia="zh-CN"/>
    </w:rPr>
  </w:style>
  <w:style w:type="character" w:customStyle="1" w:styleId="63">
    <w:name w:val="标题 2 字符1"/>
    <w:link w:val="3"/>
    <w:autoRedefine/>
    <w:qFormat/>
    <w:uiPriority w:val="0"/>
    <w:rPr>
      <w:rFonts w:ascii="宋体" w:hAnsi="宋体" w:eastAsia="宋体" w:cs="Times New Roman"/>
      <w:b/>
      <w:bCs/>
      <w:sz w:val="28"/>
      <w:szCs w:val="18"/>
      <w:lang w:val="zh-CN" w:eastAsia="zh-CN"/>
    </w:rPr>
  </w:style>
  <w:style w:type="character" w:customStyle="1" w:styleId="64">
    <w:name w:val="批注框文本 字符"/>
    <w:basedOn w:val="31"/>
    <w:link w:val="18"/>
    <w:autoRedefine/>
    <w:semiHidden/>
    <w:qFormat/>
    <w:uiPriority w:val="99"/>
    <w:rPr>
      <w:sz w:val="18"/>
      <w:szCs w:val="18"/>
    </w:rPr>
  </w:style>
  <w:style w:type="paragraph" w:customStyle="1" w:styleId="65">
    <w:name w:val="正文1"/>
    <w:basedOn w:val="1"/>
    <w:autoRedefine/>
    <w:qFormat/>
    <w:uiPriority w:val="0"/>
    <w:pPr>
      <w:spacing w:line="360" w:lineRule="auto"/>
      <w:ind w:firstLine="200" w:firstLineChars="200"/>
    </w:pPr>
    <w:rPr>
      <w:rFonts w:ascii="Calibri" w:hAnsi="Calibri" w:eastAsia="宋体" w:cs="Times New Roman"/>
      <w:b/>
      <w:bCs/>
      <w:sz w:val="24"/>
      <w:szCs w:val="24"/>
    </w:rPr>
  </w:style>
  <w:style w:type="character" w:customStyle="1" w:styleId="66">
    <w:name w:val="批注文字 字符"/>
    <w:basedOn w:val="31"/>
    <w:link w:val="13"/>
    <w:autoRedefine/>
    <w:semiHidden/>
    <w:qFormat/>
    <w:uiPriority w:val="99"/>
  </w:style>
  <w:style w:type="character" w:customStyle="1" w:styleId="67">
    <w:name w:val="批注主题 字符"/>
    <w:basedOn w:val="66"/>
    <w:link w:val="28"/>
    <w:autoRedefine/>
    <w:semiHidden/>
    <w:qFormat/>
    <w:uiPriority w:val="99"/>
    <w:rPr>
      <w:b/>
      <w:bCs/>
    </w:rPr>
  </w:style>
  <w:style w:type="character" w:customStyle="1" w:styleId="68">
    <w:name w:val="正文文本缩进 3 字符"/>
    <w:basedOn w:val="31"/>
    <w:link w:val="24"/>
    <w:qFormat/>
    <w:uiPriority w:val="0"/>
    <w:rPr>
      <w:rFonts w:ascii="Times New Roman" w:hAnsi="Times New Roman" w:eastAsia="宋体" w:cs="Times New Roman"/>
      <w:kern w:val="2"/>
      <w:sz w:val="16"/>
      <w:szCs w:val="16"/>
    </w:rPr>
  </w:style>
  <w:style w:type="character" w:customStyle="1" w:styleId="69">
    <w:name w:val="font21"/>
    <w:basedOn w:val="31"/>
    <w:qFormat/>
    <w:uiPriority w:val="0"/>
    <w:rPr>
      <w:rFonts w:hint="eastAsia" w:ascii="宋体" w:hAnsi="宋体" w:eastAsia="宋体" w:cs="宋体"/>
      <w:b/>
      <w:bCs/>
      <w:color w:val="000000"/>
      <w:sz w:val="22"/>
      <w:szCs w:val="22"/>
      <w:u w:val="none"/>
    </w:rPr>
  </w:style>
  <w:style w:type="paragraph" w:customStyle="1" w:styleId="70">
    <w:name w:val="Table Text"/>
    <w:basedOn w:val="1"/>
    <w:semiHidden/>
    <w:qFormat/>
    <w:uiPriority w:val="0"/>
    <w:rPr>
      <w:rFonts w:ascii="Calibri" w:hAnsi="Calibri" w:eastAsia="宋体" w:cs="Times New Roman"/>
      <w:szCs w:val="24"/>
    </w:rPr>
  </w:style>
  <w:style w:type="character" w:customStyle="1" w:styleId="71">
    <w:name w:val="font11"/>
    <w:basedOn w:val="31"/>
    <w:qFormat/>
    <w:uiPriority w:val="0"/>
    <w:rPr>
      <w:rFonts w:hint="eastAsia" w:ascii="宋体" w:hAnsi="宋体" w:eastAsia="宋体" w:cs="宋体"/>
      <w:b/>
      <w:bCs/>
      <w:color w:val="000000"/>
      <w:sz w:val="22"/>
      <w:szCs w:val="22"/>
      <w:u w:val="none"/>
    </w:rPr>
  </w:style>
  <w:style w:type="character" w:customStyle="1" w:styleId="72">
    <w:name w:val="文档结构图 字符"/>
    <w:basedOn w:val="31"/>
    <w:link w:val="12"/>
    <w:semiHidden/>
    <w:qFormat/>
    <w:uiPriority w:val="99"/>
    <w:rPr>
      <w:rFonts w:ascii="宋体" w:eastAsia="宋体"/>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Version="6" StyleName="APA" SelectedStyle="\APASixthEditionOfficeOnline.xsl"/>
</file>

<file path=customXml/itemProps1.xml><?xml version="1.0" encoding="utf-8"?>
<ds:datastoreItem xmlns:ds="http://schemas.openxmlformats.org/officeDocument/2006/customXml" ds:itemID="{8134D1C9-DD42-4259-8BA9-48CE65152288}">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112</Pages>
  <Words>24617</Words>
  <Characters>26608</Characters>
  <Lines>483</Lines>
  <Paragraphs>136</Paragraphs>
  <TotalTime>174</TotalTime>
  <ScaleCrop>false</ScaleCrop>
  <LinksUpToDate>false</LinksUpToDate>
  <CharactersWithSpaces>26725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2025-08-01T04:08:00Z</dcterms:created>
  <dc:creator>Windows User</dc:creator>
  <cp:lastModifiedBy>Administrator</cp:lastModifiedBy>
  <cp:lastPrinted>2025-08-06T00:59:00Z</cp:lastPrinted>
  <dcterms:modified xsi:type="dcterms:W3CDTF">2025-10-16T07:09:35Z</dcterms:modified>
  <cp:revision>157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A3019F21662943F6B3B64267C7A9CA2C_12</vt:lpwstr>
  </property>
  <property fmtid="{D5CDD505-2E9C-101B-9397-08002B2CF9AE}" pid="4" name="KSOTemplateDocerSaveRecord">
    <vt:lpwstr>eyJoZGlkIjoiOGI1NjUzZTFhYWM0NmYwYjE1NTBlNzgxOGI1YTIyMDMifQ==</vt:lpwstr>
  </property>
</Properties>
</file>