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widowControl/>
        <w:spacing w:before="0" w:after="0"/>
        <w:ind w:firstLine="0"/>
        <w:jc w:val="both"/>
        <w:rPr>
          <w:rFonts w:ascii="仿宋" w:hAnsi="仿宋" w:eastAsia="仿宋" w:cs="仿宋"/>
          <w:b/>
          <w:sz w:val="32"/>
          <w:szCs w:val="32"/>
        </w:rPr>
      </w:pPr>
      <w:bookmarkStart w:id="0" w:name="_Toc341993112"/>
      <w:bookmarkStart w:id="1" w:name="_Toc341993786"/>
      <w:bookmarkStart w:id="2" w:name="_Toc337622980"/>
      <w:bookmarkStart w:id="3" w:name="_Toc337620797"/>
      <w:bookmarkStart w:id="4" w:name="_Toc342252860"/>
      <w:bookmarkStart w:id="5" w:name="_Toc341992627"/>
      <w:bookmarkStart w:id="6" w:name="_Toc341988481"/>
      <w:bookmarkStart w:id="7" w:name="_Toc342241484"/>
      <w:bookmarkStart w:id="8" w:name="_Toc341991041"/>
      <w:bookmarkStart w:id="9" w:name="_Toc341992707"/>
      <w:bookmarkStart w:id="10" w:name="_Toc421604334"/>
      <w:bookmarkStart w:id="11" w:name="_Toc15488"/>
      <w:bookmarkStart w:id="12" w:name="_Toc26554093"/>
      <w:bookmarkStart w:id="13" w:name="_Toc120614281"/>
      <w:bookmarkStart w:id="14" w:name="_Toc49090575"/>
      <w:bookmarkStart w:id="15" w:name="_Toc479757211"/>
      <w:bookmarkStart w:id="16" w:name="_Toc462564139"/>
      <w:r>
        <w:rPr>
          <w:rFonts w:hint="eastAsia" w:ascii="仿宋" w:hAnsi="仿宋" w:eastAsia="仿宋" w:cs="仿宋"/>
          <w:b/>
          <w:sz w:val="32"/>
          <w:szCs w:val="32"/>
        </w:rPr>
        <w:t>政府采购项目</w:t>
      </w:r>
    </w:p>
    <w:p>
      <w:pPr>
        <w:pStyle w:val="44"/>
        <w:spacing w:before="0" w:after="0"/>
        <w:ind w:firstLine="0"/>
        <w:rPr>
          <w:rFonts w:hint="eastAsia" w:ascii="仿宋" w:hAnsi="仿宋" w:eastAsia="仿宋" w:cs="仿宋"/>
          <w:b/>
          <w:sz w:val="32"/>
          <w:szCs w:val="32"/>
          <w:lang w:val="en-US" w:eastAsia="zh-CN"/>
        </w:rPr>
      </w:pPr>
      <w:r>
        <w:rPr>
          <w:rFonts w:hint="eastAsia" w:ascii="仿宋" w:hAnsi="仿宋" w:eastAsia="仿宋" w:cs="仿宋"/>
          <w:b/>
          <w:sz w:val="32"/>
          <w:szCs w:val="32"/>
        </w:rPr>
        <w:t>项 目 编 号：XHLJZC-WN</w:t>
      </w:r>
      <w:r>
        <w:rPr>
          <w:rFonts w:hint="eastAsia" w:ascii="仿宋" w:hAnsi="仿宋" w:eastAsia="仿宋" w:cs="仿宋"/>
          <w:b/>
          <w:sz w:val="32"/>
          <w:szCs w:val="32"/>
          <w:lang w:eastAsia="zh-CN"/>
        </w:rPr>
        <w:t>2024-07</w:t>
      </w:r>
      <w:r>
        <w:rPr>
          <w:rFonts w:hint="eastAsia" w:ascii="仿宋" w:hAnsi="仿宋" w:eastAsia="仿宋" w:cs="仿宋"/>
          <w:b/>
          <w:sz w:val="32"/>
          <w:szCs w:val="32"/>
          <w:lang w:val="en-US" w:eastAsia="zh-CN"/>
        </w:rPr>
        <w:t>7</w:t>
      </w:r>
    </w:p>
    <w:p>
      <w:pPr>
        <w:pStyle w:val="44"/>
        <w:spacing w:before="0" w:after="0"/>
        <w:ind w:firstLine="2088" w:firstLineChars="650"/>
        <w:rPr>
          <w:rFonts w:hint="default" w:ascii="仿宋" w:hAnsi="仿宋" w:eastAsia="仿宋" w:cs="仿宋"/>
          <w:b/>
          <w:sz w:val="36"/>
          <w:szCs w:val="36"/>
          <w:lang w:val="en-US"/>
        </w:rPr>
      </w:pPr>
      <w:r>
        <w:rPr>
          <w:rFonts w:hint="eastAsia" w:ascii="仿宋" w:hAnsi="仿宋" w:eastAsia="仿宋" w:cs="仿宋"/>
          <w:b/>
          <w:sz w:val="32"/>
          <w:szCs w:val="32"/>
          <w:lang w:eastAsia="zh-CN"/>
        </w:rPr>
        <w:t>ZCSP-临渭区-202</w:t>
      </w:r>
      <w:r>
        <w:rPr>
          <w:rFonts w:hint="eastAsia" w:ascii="仿宋" w:hAnsi="仿宋" w:eastAsia="仿宋" w:cs="仿宋"/>
          <w:b/>
          <w:sz w:val="32"/>
          <w:szCs w:val="32"/>
          <w:lang w:val="en-US" w:eastAsia="zh-CN"/>
        </w:rPr>
        <w:t>4</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00138</w:t>
      </w:r>
    </w:p>
    <w:p>
      <w:pPr>
        <w:pStyle w:val="44"/>
        <w:widowControl/>
        <w:ind w:firstLine="0"/>
        <w:jc w:val="center"/>
        <w:rPr>
          <w:rFonts w:ascii="仿宋" w:hAnsi="仿宋" w:eastAsia="仿宋" w:cs="仿宋"/>
          <w:b/>
          <w:sz w:val="24"/>
        </w:rPr>
      </w:pPr>
    </w:p>
    <w:p>
      <w:pPr>
        <w:pStyle w:val="44"/>
        <w:widowControl/>
        <w:ind w:firstLine="0"/>
        <w:jc w:val="center"/>
        <w:rPr>
          <w:rFonts w:ascii="仿宋" w:hAnsi="仿宋" w:eastAsia="仿宋" w:cs="仿宋"/>
          <w:b/>
          <w:sz w:val="24"/>
        </w:rPr>
      </w:pPr>
    </w:p>
    <w:p>
      <w:pPr>
        <w:pStyle w:val="44"/>
        <w:widowControl/>
        <w:ind w:firstLine="0"/>
        <w:jc w:val="center"/>
        <w:rPr>
          <w:rFonts w:ascii="仿宋" w:hAnsi="仿宋" w:eastAsia="仿宋" w:cs="仿宋"/>
          <w:b/>
          <w:sz w:val="24"/>
        </w:rPr>
      </w:pPr>
    </w:p>
    <w:p>
      <w:pPr>
        <w:pStyle w:val="44"/>
        <w:spacing w:before="0" w:after="0"/>
        <w:ind w:firstLine="0"/>
        <w:jc w:val="center"/>
        <w:rPr>
          <w:rFonts w:ascii="仿宋" w:hAnsi="仿宋" w:eastAsia="仿宋" w:cs="仿宋"/>
          <w:b/>
          <w:sz w:val="50"/>
          <w:szCs w:val="50"/>
        </w:rPr>
      </w:pPr>
      <w:r>
        <w:rPr>
          <w:rFonts w:hint="eastAsia" w:ascii="仿宋" w:hAnsi="仿宋" w:eastAsia="仿宋" w:cs="仿宋"/>
          <w:b/>
          <w:sz w:val="52"/>
          <w:szCs w:val="52"/>
          <w:lang w:eastAsia="zh-CN"/>
        </w:rPr>
        <w:t>渭南市临渭区人民法院2024年中省政法转移支付自定装备采购项目</w:t>
      </w:r>
    </w:p>
    <w:p>
      <w:pPr>
        <w:pStyle w:val="44"/>
        <w:widowControl/>
        <w:spacing w:before="0" w:after="0"/>
        <w:ind w:firstLine="0"/>
        <w:jc w:val="both"/>
        <w:rPr>
          <w:rFonts w:ascii="仿宋" w:hAnsi="仿宋" w:eastAsia="仿宋" w:cs="仿宋"/>
          <w:b/>
          <w:sz w:val="24"/>
        </w:rPr>
      </w:pPr>
    </w:p>
    <w:p>
      <w:pPr>
        <w:pStyle w:val="44"/>
        <w:widowControl/>
        <w:spacing w:before="0" w:after="0"/>
        <w:ind w:firstLine="0"/>
        <w:jc w:val="both"/>
        <w:rPr>
          <w:rFonts w:ascii="仿宋" w:hAnsi="仿宋" w:eastAsia="仿宋" w:cs="仿宋"/>
          <w:b/>
          <w:sz w:val="24"/>
        </w:rPr>
      </w:pPr>
    </w:p>
    <w:p>
      <w:pPr>
        <w:pStyle w:val="44"/>
        <w:widowControl/>
        <w:spacing w:before="0" w:after="0"/>
        <w:ind w:firstLine="0"/>
        <w:jc w:val="both"/>
        <w:rPr>
          <w:rFonts w:ascii="仿宋" w:hAnsi="仿宋" w:eastAsia="仿宋" w:cs="仿宋"/>
          <w:b/>
          <w:sz w:val="24"/>
        </w:rPr>
      </w:pPr>
    </w:p>
    <w:p>
      <w:pPr>
        <w:pStyle w:val="44"/>
        <w:widowControl/>
        <w:ind w:firstLine="0"/>
        <w:jc w:val="center"/>
        <w:rPr>
          <w:rFonts w:ascii="仿宋" w:hAnsi="仿宋" w:eastAsia="仿宋" w:cs="仿宋"/>
          <w:b/>
          <w:sz w:val="72"/>
          <w:szCs w:val="72"/>
        </w:rPr>
      </w:pPr>
      <w:r>
        <w:rPr>
          <w:rFonts w:hint="eastAsia" w:ascii="仿宋" w:hAnsi="仿宋" w:eastAsia="仿宋" w:cs="仿宋"/>
          <w:b/>
          <w:sz w:val="72"/>
          <w:szCs w:val="72"/>
        </w:rPr>
        <w:t>招 标 文 件</w:t>
      </w:r>
    </w:p>
    <w:p>
      <w:pPr>
        <w:pStyle w:val="44"/>
        <w:widowControl/>
        <w:spacing w:before="0" w:after="0"/>
        <w:ind w:firstLine="0"/>
        <w:jc w:val="center"/>
        <w:rPr>
          <w:rFonts w:ascii="仿宋" w:hAnsi="仿宋" w:eastAsia="仿宋" w:cs="仿宋"/>
          <w:szCs w:val="28"/>
        </w:rPr>
      </w:pPr>
    </w:p>
    <w:p>
      <w:pPr>
        <w:pStyle w:val="44"/>
        <w:widowControl/>
        <w:spacing w:before="0" w:after="0"/>
        <w:ind w:firstLine="0"/>
        <w:jc w:val="both"/>
        <w:rPr>
          <w:rFonts w:ascii="仿宋" w:hAnsi="仿宋" w:eastAsia="仿宋" w:cs="仿宋"/>
          <w:szCs w:val="28"/>
        </w:rPr>
      </w:pPr>
    </w:p>
    <w:p>
      <w:pPr>
        <w:pStyle w:val="44"/>
        <w:widowControl/>
        <w:spacing w:before="0" w:after="0"/>
        <w:ind w:firstLine="0"/>
        <w:jc w:val="center"/>
        <w:rPr>
          <w:rFonts w:ascii="仿宋" w:hAnsi="仿宋" w:eastAsia="仿宋" w:cs="仿宋"/>
          <w:szCs w:val="28"/>
        </w:rPr>
      </w:pPr>
    </w:p>
    <w:p>
      <w:pPr>
        <w:pStyle w:val="44"/>
        <w:widowControl/>
        <w:spacing w:before="0" w:after="0"/>
        <w:ind w:firstLine="0"/>
        <w:jc w:val="both"/>
        <w:rPr>
          <w:rFonts w:ascii="仿宋" w:hAnsi="仿宋" w:eastAsia="仿宋" w:cs="仿宋"/>
          <w:szCs w:val="28"/>
        </w:rPr>
      </w:pPr>
    </w:p>
    <w:p>
      <w:pPr>
        <w:pStyle w:val="44"/>
        <w:widowControl/>
        <w:spacing w:before="0" w:after="0"/>
        <w:ind w:firstLine="0"/>
        <w:jc w:val="both"/>
        <w:rPr>
          <w:rFonts w:ascii="仿宋" w:hAnsi="仿宋" w:eastAsia="仿宋" w:cs="仿宋"/>
          <w:szCs w:val="28"/>
        </w:rPr>
      </w:pPr>
    </w:p>
    <w:p>
      <w:pPr>
        <w:spacing w:line="360" w:lineRule="auto"/>
        <w:rPr>
          <w:rFonts w:ascii="仿宋" w:hAnsi="仿宋" w:eastAsia="仿宋" w:cs="仿宋"/>
          <w:b/>
          <w:bCs/>
          <w:sz w:val="36"/>
          <w:szCs w:val="36"/>
        </w:rPr>
      </w:pPr>
      <w:bookmarkStart w:id="17" w:name="_Toc523127445"/>
      <w:bookmarkStart w:id="18" w:name="_Toc20823272"/>
      <w:bookmarkStart w:id="19" w:name="_Toc421604318"/>
      <w:bookmarkStart w:id="20" w:name="_Toc479757206"/>
      <w:bookmarkStart w:id="21" w:name="_Toc120614210"/>
      <w:bookmarkStart w:id="22" w:name="_Toc16938516"/>
      <w:bookmarkStart w:id="23" w:name="_Toc513029200"/>
      <w:bookmarkStart w:id="24" w:name="_Toc403986986"/>
      <w:bookmarkStart w:id="25" w:name="_Toc403987193"/>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西安欣华联建工程咨询有限公司</w:t>
      </w:r>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二〇二</w:t>
      </w:r>
      <w:r>
        <w:rPr>
          <w:rFonts w:hint="eastAsia" w:ascii="仿宋" w:hAnsi="仿宋" w:eastAsia="仿宋" w:cs="仿宋"/>
          <w:b/>
          <w:bCs/>
          <w:sz w:val="36"/>
          <w:szCs w:val="36"/>
          <w:lang w:eastAsia="zh-CN"/>
        </w:rPr>
        <w:t>四</w:t>
      </w:r>
      <w:r>
        <w:rPr>
          <w:rFonts w:hint="eastAsia" w:ascii="仿宋" w:hAnsi="仿宋" w:eastAsia="仿宋" w:cs="仿宋"/>
          <w:b/>
          <w:bCs/>
          <w:sz w:val="36"/>
          <w:szCs w:val="36"/>
        </w:rPr>
        <w:t>年</w:t>
      </w:r>
      <w:r>
        <w:rPr>
          <w:rFonts w:hint="eastAsia" w:ascii="仿宋" w:hAnsi="仿宋" w:eastAsia="仿宋" w:cs="仿宋"/>
          <w:b/>
          <w:bCs/>
          <w:sz w:val="36"/>
          <w:szCs w:val="36"/>
          <w:lang w:eastAsia="zh-CN"/>
        </w:rPr>
        <w:t>八</w:t>
      </w:r>
      <w:r>
        <w:rPr>
          <w:rFonts w:hint="eastAsia" w:ascii="仿宋" w:hAnsi="仿宋" w:eastAsia="仿宋" w:cs="仿宋"/>
          <w:b/>
          <w:bCs/>
          <w:sz w:val="36"/>
          <w:szCs w:val="36"/>
        </w:rPr>
        <w:t>月</w:t>
      </w:r>
    </w:p>
    <w:p>
      <w:pPr>
        <w:adjustRightInd w:val="0"/>
        <w:spacing w:line="560" w:lineRule="exact"/>
        <w:jc w:val="center"/>
        <w:rPr>
          <w:rFonts w:ascii="仿宋" w:hAnsi="仿宋" w:eastAsia="仿宋" w:cs="仿宋"/>
          <w:b/>
          <w:kern w:val="0"/>
          <w:sz w:val="48"/>
          <w:szCs w:val="48"/>
        </w:rPr>
        <w:sectPr>
          <w:headerReference r:id="rId3" w:type="default"/>
          <w:footerReference r:id="rId4" w:type="default"/>
          <w:pgSz w:w="11906" w:h="16838"/>
          <w:pgMar w:top="1440" w:right="1083" w:bottom="1440" w:left="1083" w:header="851" w:footer="964" w:gutter="0"/>
          <w:pgNumType w:start="1"/>
          <w:cols w:space="720" w:num="1"/>
          <w:docGrid w:type="lines" w:linePitch="312" w:charSpace="0"/>
        </w:sectPr>
      </w:pPr>
      <w:bookmarkStart w:id="26" w:name="_Toc2557"/>
      <w:bookmarkStart w:id="27" w:name="_Toc5650"/>
      <w:bookmarkStart w:id="28" w:name="_Toc24553"/>
      <w:bookmarkStart w:id="29" w:name="_Toc6491"/>
      <w:bookmarkStart w:id="30" w:name="_Toc1877"/>
      <w:bookmarkStart w:id="31" w:name="_Toc12930"/>
      <w:bookmarkStart w:id="32" w:name="_Toc91"/>
      <w:bookmarkStart w:id="33" w:name="_Toc21662"/>
    </w:p>
    <w:p>
      <w:pPr>
        <w:adjustRightInd w:val="0"/>
        <w:spacing w:line="560" w:lineRule="exact"/>
        <w:jc w:val="center"/>
        <w:rPr>
          <w:rFonts w:ascii="仿宋" w:hAnsi="仿宋" w:eastAsia="仿宋" w:cs="仿宋"/>
          <w:b/>
          <w:kern w:val="0"/>
          <w:sz w:val="48"/>
          <w:szCs w:val="48"/>
        </w:rPr>
      </w:pPr>
      <w:r>
        <w:rPr>
          <w:rFonts w:hint="eastAsia" w:ascii="仿宋" w:hAnsi="仿宋" w:eastAsia="仿宋" w:cs="仿宋"/>
          <w:b/>
          <w:kern w:val="0"/>
          <w:sz w:val="48"/>
          <w:szCs w:val="48"/>
        </w:rPr>
        <w:t>目  录</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bookmarkEnd w:id="0"/>
    <w:bookmarkEnd w:id="1"/>
    <w:bookmarkEnd w:id="2"/>
    <w:bookmarkEnd w:id="3"/>
    <w:bookmarkEnd w:id="4"/>
    <w:bookmarkEnd w:id="5"/>
    <w:bookmarkEnd w:id="6"/>
    <w:bookmarkEnd w:id="7"/>
    <w:bookmarkEnd w:id="8"/>
    <w:bookmarkEnd w:id="9"/>
    <w:p>
      <w:pPr>
        <w:pStyle w:val="18"/>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bookmarkStart w:id="34" w:name="_Toc14658"/>
      <w:bookmarkStart w:id="35" w:name="_Toc27530"/>
      <w:bookmarkStart w:id="36" w:name="_Toc1336_WPSOffice_Level1"/>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TOC \o "1-4" \h \u </w:instrText>
      </w:r>
      <w:r>
        <w:rPr>
          <w:rFonts w:hint="eastAsia" w:ascii="仿宋" w:hAnsi="仿宋" w:eastAsia="仿宋" w:cs="仿宋"/>
          <w:b/>
          <w:bCs/>
          <w:kern w:val="0"/>
          <w:sz w:val="28"/>
          <w:szCs w:val="28"/>
        </w:rPr>
        <w:fldChar w:fldCharType="separate"/>
      </w: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_Toc26492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rPr>
        <w:t>第一章  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_Toc26492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8"/>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_Toc10606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rPr>
        <w:t>第二章  供应商须知前附表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_Toc10606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8"/>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_Toc7900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rPr>
        <w:t>第三章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_Toc7900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8"/>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_Toc30807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lang w:eastAsia="zh-CN"/>
        </w:rPr>
        <w:t>第四章</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采购内容</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_Toc30807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8"/>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_Toc25635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第五章  合同范本</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_Toc25635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8"/>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_Toc28341 </w:instrText>
      </w:r>
      <w:r>
        <w:rPr>
          <w:rFonts w:hint="eastAsia" w:ascii="仿宋" w:hAnsi="仿宋" w:eastAsia="仿宋" w:cs="仿宋"/>
          <w:b/>
          <w:bCs/>
          <w:kern w:val="0"/>
          <w:sz w:val="28"/>
          <w:szCs w:val="28"/>
        </w:rPr>
        <w:fldChar w:fldCharType="separate"/>
      </w:r>
      <w:r>
        <w:rPr>
          <w:rFonts w:hint="eastAsia" w:ascii="仿宋" w:hAnsi="仿宋" w:eastAsia="仿宋" w:cs="仿宋"/>
          <w:b/>
          <w:bCs/>
          <w:kern w:val="0"/>
          <w:sz w:val="28"/>
          <w:szCs w:val="28"/>
          <w:highlight w:val="none"/>
        </w:rPr>
        <w:t>第六章  投标文件格式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_Toc28341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21"/>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_Toc269 </w:instrText>
      </w:r>
      <w:r>
        <w:rPr>
          <w:rFonts w:hint="eastAsia" w:ascii="仿宋" w:hAnsi="仿宋" w:eastAsia="仿宋" w:cs="仿宋"/>
          <w:b/>
          <w:bCs/>
          <w:kern w:val="0"/>
          <w:sz w:val="28"/>
          <w:szCs w:val="28"/>
        </w:rPr>
        <w:fldChar w:fldCharType="separate"/>
      </w:r>
      <w:r>
        <w:rPr>
          <w:rFonts w:hint="eastAsia" w:ascii="仿宋" w:hAnsi="仿宋" w:eastAsia="仿宋" w:cs="仿宋"/>
          <w:b/>
          <w:bCs/>
          <w:kern w:val="0"/>
          <w:sz w:val="28"/>
          <w:szCs w:val="28"/>
          <w:highlight w:val="none"/>
          <w:lang w:val="en-US" w:eastAsia="zh-CN" w:bidi="ar-SA"/>
        </w:rPr>
        <w:t>A 资格标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_Toc8204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_Toc8204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_Toc15462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部分  供应商资格证明文件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_Toc15462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84</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21"/>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_Toc28310 </w:instrText>
      </w:r>
      <w:r>
        <w:rPr>
          <w:rFonts w:hint="eastAsia" w:ascii="仿宋" w:hAnsi="仿宋" w:eastAsia="仿宋" w:cs="仿宋"/>
          <w:b/>
          <w:bCs/>
          <w:kern w:val="0"/>
          <w:sz w:val="28"/>
          <w:szCs w:val="28"/>
        </w:rPr>
        <w:fldChar w:fldCharType="separate"/>
      </w:r>
      <w:r>
        <w:rPr>
          <w:rFonts w:hint="eastAsia" w:ascii="仿宋" w:hAnsi="仿宋" w:eastAsia="仿宋" w:cs="仿宋"/>
          <w:b/>
          <w:bCs/>
          <w:kern w:val="0"/>
          <w:sz w:val="28"/>
          <w:szCs w:val="28"/>
          <w:highlight w:val="none"/>
          <w:lang w:val="en-US" w:eastAsia="zh-CN" w:bidi="ar-SA"/>
        </w:rPr>
        <w:t>B 商务及技术标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_Toc28310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95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_Toc2941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_Toc2941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97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_Toc17588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_Toc17588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98</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_Toc7161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部分  业绩证明文件</w:t>
      </w:r>
      <w:bookmarkStart w:id="295" w:name="_GoBack"/>
      <w:bookmarkEnd w:id="295"/>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_Toc7161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_Toc13663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部分  投标方案说明</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_Toc13663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103</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_Toc21440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_Toc21440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104</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_Toc8275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_Toc8275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4"/>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_Toc12792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部分  附件（如有）</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_Toc12792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9"/>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_Toc6351 </w:instrText>
      </w:r>
      <w:r>
        <w:rPr>
          <w:rFonts w:hint="eastAsia" w:ascii="仿宋" w:hAnsi="仿宋" w:eastAsia="仿宋" w:cs="仿宋"/>
          <w:b/>
          <w:bCs/>
          <w:kern w:val="0"/>
          <w:sz w:val="28"/>
          <w:szCs w:val="28"/>
        </w:rPr>
        <w:fldChar w:fldCharType="separate"/>
      </w:r>
      <w:r>
        <w:rPr>
          <w:rFonts w:hint="eastAsia" w:ascii="仿宋" w:hAnsi="仿宋" w:eastAsia="仿宋" w:cs="仿宋"/>
          <w:b/>
          <w:bCs/>
          <w:kern w:val="0"/>
          <w:sz w:val="28"/>
          <w:szCs w:val="28"/>
          <w:highlight w:val="none"/>
        </w:rPr>
        <w:t>一</w:t>
      </w:r>
      <w:r>
        <w:rPr>
          <w:rFonts w:hint="eastAsia" w:ascii="仿宋" w:hAnsi="仿宋" w:eastAsia="仿宋" w:cs="仿宋"/>
          <w:b/>
          <w:bCs/>
          <w:kern w:val="0"/>
          <w:sz w:val="28"/>
          <w:szCs w:val="28"/>
          <w:highlight w:val="none"/>
          <w:lang w:eastAsia="zh-CN"/>
        </w:rPr>
        <w:t>、</w:t>
      </w:r>
      <w:r>
        <w:rPr>
          <w:rFonts w:hint="eastAsia" w:ascii="仿宋" w:hAnsi="仿宋" w:eastAsia="仿宋" w:cs="仿宋"/>
          <w:b/>
          <w:bCs/>
          <w:kern w:val="0"/>
          <w:sz w:val="28"/>
          <w:szCs w:val="28"/>
          <w:highlight w:val="none"/>
        </w:rPr>
        <w:t>中小企业声明函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_Toc6351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9"/>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_Toc24279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二、监狱企业相关资格证明材料</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_Toc24279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9"/>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_Toc11719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rPr>
        <w:t>三、残疾人福利性单位声明函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_Toc11719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108</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21"/>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_Toc27591 </w:instrText>
      </w:r>
      <w:r>
        <w:rPr>
          <w:rFonts w:hint="eastAsia" w:ascii="仿宋" w:hAnsi="仿宋" w:eastAsia="仿宋" w:cs="仿宋"/>
          <w:b/>
          <w:bCs/>
          <w:kern w:val="0"/>
          <w:sz w:val="28"/>
          <w:szCs w:val="28"/>
        </w:rPr>
        <w:fldChar w:fldCharType="separate"/>
      </w:r>
      <w:r>
        <w:rPr>
          <w:rFonts w:hint="eastAsia" w:ascii="仿宋" w:hAnsi="仿宋" w:eastAsia="仿宋" w:cs="仿宋"/>
          <w:b/>
          <w:bCs/>
          <w:sz w:val="28"/>
          <w:szCs w:val="28"/>
          <w:highlight w:val="none"/>
          <w:lang w:val="en-US" w:eastAsia="zh-CN"/>
        </w:rPr>
        <w:t>C 电子文档</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_Toc27591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pStyle w:val="18"/>
        <w:keepNext w:val="0"/>
        <w:keepLines w:val="0"/>
        <w:pageBreakBefore w:val="0"/>
        <w:widowControl w:val="0"/>
        <w:tabs>
          <w:tab w:val="right" w:leader="dot" w:pos="9740"/>
        </w:tabs>
        <w:kinsoku/>
        <w:wordWrap/>
        <w:overflowPunct/>
        <w:topLinePunct w:val="0"/>
        <w:autoSpaceDE/>
        <w:autoSpaceDN/>
        <w:bidi w:val="0"/>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kern w:val="0"/>
          <w:sz w:val="28"/>
          <w:szCs w:val="28"/>
        </w:rPr>
        <w:fldChar w:fldCharType="begin"/>
      </w:r>
      <w:r>
        <w:rPr>
          <w:rFonts w:hint="eastAsia" w:ascii="仿宋" w:hAnsi="仿宋" w:eastAsia="仿宋" w:cs="仿宋"/>
          <w:b/>
          <w:bCs/>
          <w:kern w:val="0"/>
          <w:sz w:val="28"/>
          <w:szCs w:val="28"/>
        </w:rPr>
        <w:instrText xml:space="preserve"> HYPERLINK \l _Toc18312 </w:instrText>
      </w:r>
      <w:r>
        <w:rPr>
          <w:rFonts w:hint="eastAsia" w:ascii="仿宋" w:hAnsi="仿宋" w:eastAsia="仿宋" w:cs="仿宋"/>
          <w:b/>
          <w:bCs/>
          <w:kern w:val="0"/>
          <w:sz w:val="28"/>
          <w:szCs w:val="28"/>
        </w:rPr>
        <w:fldChar w:fldCharType="separate"/>
      </w:r>
      <w:r>
        <w:rPr>
          <w:rFonts w:hint="eastAsia" w:ascii="仿宋" w:hAnsi="仿宋" w:eastAsia="仿宋" w:cs="仿宋"/>
          <w:b/>
          <w:bCs/>
          <w:kern w:val="2"/>
          <w:sz w:val="28"/>
          <w:szCs w:val="28"/>
          <w:highlight w:val="none"/>
        </w:rPr>
        <w:t>第七章  投标保证金退还申请表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_Toc18312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110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rPr>
        <w:fldChar w:fldCharType="end"/>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 w:hAnsi="仿宋" w:eastAsia="仿宋" w:cs="仿宋"/>
          <w:b/>
          <w:bCs/>
          <w:sz w:val="28"/>
          <w:szCs w:val="28"/>
        </w:rPr>
        <w:sectPr>
          <w:footerReference r:id="rId5" w:type="default"/>
          <w:pgSz w:w="11906" w:h="16838"/>
          <w:pgMar w:top="1440" w:right="1083" w:bottom="1440" w:left="1083" w:header="851" w:footer="964" w:gutter="0"/>
          <w:pgNumType w:start="1"/>
          <w:cols w:space="720" w:num="1"/>
          <w:docGrid w:type="lines" w:linePitch="312" w:charSpace="0"/>
        </w:sectPr>
      </w:pPr>
      <w:r>
        <w:rPr>
          <w:rFonts w:hint="eastAsia" w:ascii="仿宋" w:hAnsi="仿宋" w:eastAsia="仿宋" w:cs="仿宋"/>
          <w:b/>
          <w:bCs/>
          <w:kern w:val="0"/>
          <w:sz w:val="28"/>
          <w:szCs w:val="28"/>
        </w:rPr>
        <w:fldChar w:fldCharType="end"/>
      </w:r>
    </w:p>
    <w:p>
      <w:pPr>
        <w:keepNext w:val="0"/>
        <w:keepLines w:val="0"/>
        <w:pageBreakBefore w:val="0"/>
        <w:kinsoku/>
        <w:overflowPunct/>
        <w:topLinePunct w:val="0"/>
        <w:autoSpaceDE/>
        <w:autoSpaceDN/>
        <w:bidi w:val="0"/>
        <w:adjustRightInd w:val="0"/>
        <w:spacing w:line="480" w:lineRule="exact"/>
        <w:jc w:val="center"/>
        <w:textAlignment w:val="auto"/>
        <w:outlineLvl w:val="0"/>
        <w:rPr>
          <w:rFonts w:ascii="仿宋" w:hAnsi="仿宋" w:eastAsia="仿宋" w:cs="仿宋"/>
          <w:b/>
          <w:sz w:val="44"/>
          <w:szCs w:val="44"/>
        </w:rPr>
      </w:pPr>
      <w:bookmarkStart w:id="37" w:name="_Toc26492"/>
      <w:bookmarkStart w:id="38" w:name="_Toc30926"/>
      <w:r>
        <w:rPr>
          <w:rFonts w:hint="eastAsia" w:ascii="仿宋" w:hAnsi="仿宋" w:eastAsia="仿宋" w:cs="仿宋"/>
          <w:b/>
          <w:sz w:val="44"/>
          <w:szCs w:val="44"/>
        </w:rPr>
        <w:t>第一章  招标公告</w:t>
      </w:r>
      <w:bookmarkEnd w:id="34"/>
      <w:bookmarkEnd w:id="35"/>
      <w:bookmarkEnd w:id="36"/>
      <w:bookmarkEnd w:id="37"/>
      <w:bookmarkEnd w:id="38"/>
    </w:p>
    <w:p>
      <w:pPr>
        <w:keepNext w:val="0"/>
        <w:keepLines w:val="0"/>
        <w:pageBreakBefore w:val="0"/>
        <w:kinsoku/>
        <w:overflowPunct/>
        <w:topLinePunct w:val="0"/>
        <w:autoSpaceDE/>
        <w:autoSpaceDN/>
        <w:bidi w:val="0"/>
        <w:snapToGrid w:val="0"/>
        <w:spacing w:line="480" w:lineRule="exact"/>
        <w:jc w:val="center"/>
        <w:textAlignment w:val="auto"/>
        <w:rPr>
          <w:rFonts w:hint="eastAsia" w:ascii="仿宋" w:hAnsi="仿宋" w:eastAsia="仿宋" w:cs="仿宋"/>
          <w:b/>
          <w:bCs/>
          <w:kern w:val="0"/>
          <w:sz w:val="32"/>
          <w:szCs w:val="32"/>
          <w:lang w:eastAsia="zh-CN"/>
        </w:rPr>
      </w:pPr>
      <w:bookmarkStart w:id="39" w:name="_Toc9486"/>
      <w:bookmarkStart w:id="40" w:name="_Toc11181"/>
      <w:bookmarkStart w:id="41" w:name="_Toc29842"/>
      <w:bookmarkStart w:id="42" w:name="_Toc19097_WPSOffice_Level1"/>
      <w:r>
        <w:rPr>
          <w:rFonts w:hint="eastAsia" w:ascii="仿宋" w:hAnsi="仿宋" w:eastAsia="仿宋" w:cs="仿宋"/>
          <w:b/>
          <w:bCs/>
          <w:kern w:val="0"/>
          <w:sz w:val="28"/>
          <w:szCs w:val="28"/>
          <w:lang w:eastAsia="zh-CN"/>
        </w:rPr>
        <w:t>渭南市临渭区人民法院2024年中省政法转移支付自定装备采购项目</w:t>
      </w:r>
    </w:p>
    <w:p>
      <w:pPr>
        <w:keepNext w:val="0"/>
        <w:keepLines w:val="0"/>
        <w:pageBreakBefore w:val="0"/>
        <w:kinsoku/>
        <w:overflowPunct/>
        <w:topLinePunct w:val="0"/>
        <w:autoSpaceDE/>
        <w:autoSpaceDN/>
        <w:bidi w:val="0"/>
        <w:snapToGrid w:val="0"/>
        <w:spacing w:line="480" w:lineRule="exact"/>
        <w:jc w:val="center"/>
        <w:textAlignment w:val="auto"/>
        <w:rPr>
          <w:rFonts w:ascii="仿宋" w:hAnsi="仿宋" w:eastAsia="仿宋" w:cs="仿宋"/>
          <w:b/>
          <w:bCs/>
          <w:kern w:val="0"/>
          <w:sz w:val="36"/>
          <w:szCs w:val="36"/>
        </w:rPr>
      </w:pPr>
      <w:r>
        <w:rPr>
          <w:rFonts w:hint="eastAsia" w:ascii="仿宋" w:hAnsi="仿宋" w:eastAsia="仿宋" w:cs="仿宋"/>
          <w:b/>
          <w:bCs/>
          <w:kern w:val="0"/>
          <w:sz w:val="28"/>
          <w:szCs w:val="28"/>
        </w:rPr>
        <w:t>招标公告</w:t>
      </w:r>
    </w:p>
    <w:p>
      <w:pPr>
        <w:pStyle w:val="24"/>
        <w:keepNext w:val="0"/>
        <w:keepLines w:val="0"/>
        <w:pageBreakBefore w:val="0"/>
        <w:kinsoku/>
        <w:overflowPunct/>
        <w:topLinePunct w:val="0"/>
        <w:autoSpaceDE/>
        <w:autoSpaceDN/>
        <w:bidi w:val="0"/>
        <w:spacing w:line="480" w:lineRule="exact"/>
        <w:textAlignment w:val="auto"/>
        <w:rPr>
          <w:rFonts w:ascii="仿宋" w:hAnsi="仿宋" w:eastAsia="仿宋" w:cs="仿宋"/>
          <w:b/>
          <w:bCs/>
          <w:sz w:val="28"/>
          <w:szCs w:val="28"/>
          <w:shd w:val="clear" w:color="auto" w:fill="FFFFFF"/>
        </w:rPr>
      </w:pPr>
      <w:r>
        <w:rPr>
          <w:rFonts w:hint="eastAsia" w:ascii="仿宋" w:hAnsi="仿宋" w:eastAsia="仿宋" w:cs="仿宋"/>
          <w:b/>
          <w:bCs/>
          <w:sz w:val="28"/>
          <w:szCs w:val="28"/>
        </w:rPr>
        <w:t>项目概况</w:t>
      </w:r>
    </w:p>
    <w:p>
      <w:pPr>
        <w:pStyle w:val="24"/>
        <w:keepNext w:val="0"/>
        <w:keepLines w:val="0"/>
        <w:pageBreakBefore w:val="0"/>
        <w:kinsoku/>
        <w:overflowPunct/>
        <w:topLinePunct w:val="0"/>
        <w:autoSpaceDE/>
        <w:autoSpaceDN/>
        <w:bidi w:val="0"/>
        <w:spacing w:line="480" w:lineRule="exact"/>
        <w:ind w:firstLine="562" w:firstLineChars="200"/>
        <w:textAlignment w:val="auto"/>
        <w:rPr>
          <w:rFonts w:ascii="仿宋" w:hAnsi="仿宋" w:eastAsia="仿宋" w:cs="仿宋"/>
          <w:b/>
          <w:bCs/>
          <w:sz w:val="28"/>
          <w:szCs w:val="28"/>
        </w:rPr>
      </w:pPr>
      <w:r>
        <w:rPr>
          <w:rFonts w:hint="eastAsia" w:ascii="仿宋" w:hAnsi="仿宋" w:eastAsia="仿宋" w:cs="仿宋"/>
          <w:b/>
          <w:bCs/>
          <w:kern w:val="0"/>
          <w:sz w:val="28"/>
          <w:szCs w:val="28"/>
          <w:lang w:eastAsia="zh-CN"/>
        </w:rPr>
        <w:t>2024年中省政法转移支付自定装备采购项目</w:t>
      </w:r>
      <w:r>
        <w:rPr>
          <w:rFonts w:hint="eastAsia" w:ascii="仿宋" w:hAnsi="仿宋" w:eastAsia="仿宋" w:cs="仿宋"/>
          <w:b/>
          <w:bCs/>
          <w:sz w:val="28"/>
          <w:szCs w:val="28"/>
        </w:rPr>
        <w:t>的潜在供应商应在西安市高新区科技二路71号竹园天寰国际14层1404室获取招标文件，并于202</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08</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27</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09</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30</w:t>
      </w:r>
      <w:r>
        <w:rPr>
          <w:rFonts w:hint="eastAsia" w:ascii="仿宋" w:hAnsi="仿宋" w:eastAsia="仿宋" w:cs="仿宋"/>
          <w:b/>
          <w:bCs/>
          <w:sz w:val="28"/>
          <w:szCs w:val="28"/>
        </w:rPr>
        <w:t>分（北京时间）前递交投标文件。</w:t>
      </w:r>
    </w:p>
    <w:p>
      <w:pPr>
        <w:pStyle w:val="24"/>
        <w:keepNext w:val="0"/>
        <w:keepLines w:val="0"/>
        <w:pageBreakBefore w:val="0"/>
        <w:numPr>
          <w:ilvl w:val="0"/>
          <w:numId w:val="5"/>
        </w:numPr>
        <w:kinsoku/>
        <w:overflowPunct/>
        <w:topLinePunct w:val="0"/>
        <w:autoSpaceDE/>
        <w:autoSpaceDN/>
        <w:bidi w:val="0"/>
        <w:spacing w:line="480" w:lineRule="exact"/>
        <w:textAlignment w:val="auto"/>
        <w:rPr>
          <w:rFonts w:ascii="仿宋" w:hAnsi="仿宋" w:eastAsia="仿宋" w:cs="仿宋"/>
          <w:b/>
          <w:bCs/>
          <w:sz w:val="28"/>
          <w:szCs w:val="28"/>
        </w:rPr>
      </w:pPr>
      <w:r>
        <w:rPr>
          <w:rFonts w:hint="eastAsia" w:ascii="仿宋" w:hAnsi="仿宋" w:eastAsia="仿宋" w:cs="仿宋"/>
          <w:b/>
          <w:bCs/>
          <w:sz w:val="28"/>
          <w:szCs w:val="28"/>
        </w:rPr>
        <w:t>项目基本情况</w:t>
      </w:r>
    </w:p>
    <w:p>
      <w:pPr>
        <w:pStyle w:val="24"/>
        <w:keepNext w:val="0"/>
        <w:keepLines w:val="0"/>
        <w:pageBreakBefore w:val="0"/>
        <w:kinsoku/>
        <w:overflowPunct/>
        <w:topLinePunct w:val="0"/>
        <w:autoSpaceDE/>
        <w:autoSpaceDN/>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ZCSP-临渭区-202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00138</w:t>
      </w:r>
      <w:r>
        <w:rPr>
          <w:rFonts w:hint="eastAsia" w:ascii="仿宋" w:hAnsi="仿宋" w:eastAsia="仿宋" w:cs="仿宋"/>
          <w:sz w:val="28"/>
          <w:szCs w:val="28"/>
          <w:highlight w:val="none"/>
        </w:rPr>
        <w:t>、X</w:t>
      </w:r>
      <w:r>
        <w:rPr>
          <w:rFonts w:hint="eastAsia" w:ascii="仿宋" w:hAnsi="仿宋" w:eastAsia="仿宋" w:cs="仿宋"/>
          <w:sz w:val="28"/>
          <w:szCs w:val="28"/>
        </w:rPr>
        <w:t>HLJZC-WN</w:t>
      </w:r>
      <w:r>
        <w:rPr>
          <w:rFonts w:hint="eastAsia" w:ascii="仿宋" w:hAnsi="仿宋" w:eastAsia="仿宋" w:cs="仿宋"/>
          <w:sz w:val="28"/>
          <w:szCs w:val="28"/>
          <w:lang w:eastAsia="zh-CN"/>
        </w:rPr>
        <w:t>2024-07</w:t>
      </w:r>
      <w:r>
        <w:rPr>
          <w:rFonts w:hint="eastAsia" w:ascii="仿宋" w:hAnsi="仿宋" w:eastAsia="仿宋" w:cs="仿宋"/>
          <w:sz w:val="28"/>
          <w:szCs w:val="28"/>
          <w:lang w:val="en-US" w:eastAsia="zh-CN"/>
        </w:rPr>
        <w:t>7</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项目名称：2024年中省政法转移支付自定装备采购项目</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采购方式：公开招标</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预算金额：1</w:t>
      </w:r>
      <w:r>
        <w:rPr>
          <w:rFonts w:hint="eastAsia" w:ascii="仿宋" w:hAnsi="仿宋" w:eastAsia="仿宋" w:cs="仿宋"/>
          <w:sz w:val="28"/>
          <w:szCs w:val="28"/>
          <w:lang w:val="en-US" w:eastAsia="zh-CN"/>
        </w:rPr>
        <w:t>6</w:t>
      </w:r>
      <w:r>
        <w:rPr>
          <w:rFonts w:hint="eastAsia" w:ascii="仿宋" w:hAnsi="仿宋" w:eastAsia="仿宋" w:cs="仿宋"/>
          <w:sz w:val="28"/>
          <w:szCs w:val="28"/>
        </w:rPr>
        <w:t>00000.00元</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采购需求：</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合同包1（</w:t>
      </w:r>
      <w:r>
        <w:rPr>
          <w:rFonts w:hint="eastAsia" w:ascii="仿宋" w:hAnsi="仿宋" w:eastAsia="仿宋" w:cs="仿宋"/>
          <w:sz w:val="28"/>
          <w:szCs w:val="28"/>
          <w:lang w:eastAsia="zh-CN"/>
        </w:rPr>
        <w:t>渭南市临渭区人民法院2024年中省政法转移支付自定装备采购项目</w:t>
      </w:r>
      <w:r>
        <w:rPr>
          <w:rFonts w:hint="eastAsia" w:ascii="仿宋" w:hAnsi="仿宋" w:eastAsia="仿宋" w:cs="仿宋"/>
          <w:sz w:val="28"/>
          <w:szCs w:val="28"/>
        </w:rPr>
        <w:t>）:</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合同包预算金额：1</w:t>
      </w:r>
      <w:r>
        <w:rPr>
          <w:rFonts w:hint="eastAsia" w:ascii="仿宋" w:hAnsi="仿宋" w:eastAsia="仿宋" w:cs="仿宋"/>
          <w:sz w:val="28"/>
          <w:szCs w:val="28"/>
          <w:lang w:val="en-US" w:eastAsia="zh-CN"/>
        </w:rPr>
        <w:t>6</w:t>
      </w:r>
      <w:r>
        <w:rPr>
          <w:rFonts w:hint="eastAsia" w:ascii="仿宋" w:hAnsi="仿宋" w:eastAsia="仿宋" w:cs="仿宋"/>
          <w:sz w:val="28"/>
          <w:szCs w:val="28"/>
        </w:rPr>
        <w:t>00000.00元</w:t>
      </w:r>
    </w:p>
    <w:tbl>
      <w:tblPr>
        <w:tblStyle w:val="27"/>
        <w:tblW w:w="99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9"/>
        <w:gridCol w:w="1373"/>
        <w:gridCol w:w="2010"/>
        <w:gridCol w:w="1176"/>
        <w:gridCol w:w="1503"/>
        <w:gridCol w:w="1801"/>
        <w:gridCol w:w="11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5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品目号</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highlight w:val="none"/>
              </w:rPr>
              <w:t>品目名称</w:t>
            </w:r>
          </w:p>
        </w:tc>
        <w:tc>
          <w:tcPr>
            <w:tcW w:w="20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采购标的</w:t>
            </w:r>
          </w:p>
        </w:tc>
        <w:tc>
          <w:tcPr>
            <w:tcW w:w="117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数量</w:t>
            </w:r>
          </w:p>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（单位）</w:t>
            </w:r>
          </w:p>
        </w:tc>
        <w:tc>
          <w:tcPr>
            <w:tcW w:w="150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技术规格、参数及要求</w:t>
            </w:r>
          </w:p>
        </w:tc>
        <w:tc>
          <w:tcPr>
            <w:tcW w:w="18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品目预算</w:t>
            </w:r>
          </w:p>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（元）</w:t>
            </w:r>
          </w:p>
        </w:tc>
        <w:tc>
          <w:tcPr>
            <w:tcW w:w="11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5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1-1</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其他信息化设备</w:t>
            </w:r>
          </w:p>
        </w:tc>
        <w:tc>
          <w:tcPr>
            <w:tcW w:w="20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lang w:val="en-US" w:eastAsia="zh-CN"/>
              </w:rPr>
              <w:t>中省政法转移支付自定设备</w:t>
            </w:r>
          </w:p>
        </w:tc>
        <w:tc>
          <w:tcPr>
            <w:tcW w:w="117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1（批）</w:t>
            </w:r>
          </w:p>
        </w:tc>
        <w:tc>
          <w:tcPr>
            <w:tcW w:w="150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spacing w:line="4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w:t>
            </w:r>
          </w:p>
          <w:p>
            <w:pPr>
              <w:keepNext w:val="0"/>
              <w:keepLines w:val="0"/>
              <w:pageBreakBefore w:val="0"/>
              <w:widowControl/>
              <w:kinsoku/>
              <w:wordWrap w:val="0"/>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文件</w:t>
            </w:r>
          </w:p>
        </w:tc>
        <w:tc>
          <w:tcPr>
            <w:tcW w:w="18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00000.00</w:t>
            </w:r>
          </w:p>
        </w:tc>
        <w:tc>
          <w:tcPr>
            <w:tcW w:w="11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spacing w:line="480" w:lineRule="exact"/>
              <w:jc w:val="center"/>
              <w:textAlignment w:val="auto"/>
              <w:rPr>
                <w:rFonts w:ascii="仿宋" w:hAnsi="仿宋" w:eastAsia="仿宋" w:cs="仿宋"/>
                <w:sz w:val="24"/>
                <w:szCs w:val="24"/>
              </w:rPr>
            </w:pPr>
            <w:r>
              <w:rPr>
                <w:rFonts w:hint="eastAsia" w:ascii="仿宋" w:hAnsi="仿宋" w:eastAsia="仿宋" w:cs="仿宋"/>
                <w:sz w:val="24"/>
                <w:szCs w:val="24"/>
              </w:rPr>
              <w:t>-</w:t>
            </w:r>
          </w:p>
        </w:tc>
      </w:tr>
    </w:tbl>
    <w:p>
      <w:pPr>
        <w:pStyle w:val="24"/>
        <w:keepNext w:val="0"/>
        <w:keepLines w:val="0"/>
        <w:pageBreakBefore w:val="0"/>
        <w:widowControl/>
        <w:kinsoku/>
        <w:overflowPunct/>
        <w:topLinePunct w:val="0"/>
        <w:autoSpaceDE/>
        <w:autoSpaceDN/>
        <w:bidi w:val="0"/>
        <w:spacing w:line="480" w:lineRule="exact"/>
        <w:ind w:firstLine="630"/>
        <w:jc w:val="both"/>
        <w:textAlignment w:val="auto"/>
        <w:rPr>
          <w:rFonts w:ascii="仿宋" w:hAnsi="仿宋" w:eastAsia="仿宋" w:cs="仿宋"/>
          <w:kern w:val="2"/>
          <w:sz w:val="28"/>
          <w:szCs w:val="28"/>
        </w:rPr>
      </w:pPr>
      <w:r>
        <w:rPr>
          <w:rFonts w:hint="eastAsia" w:ascii="仿宋" w:hAnsi="仿宋" w:eastAsia="仿宋" w:cs="仿宋"/>
          <w:kern w:val="2"/>
          <w:sz w:val="28"/>
          <w:szCs w:val="28"/>
        </w:rPr>
        <w:t>本合同包不接受联合体投标</w:t>
      </w:r>
    </w:p>
    <w:p>
      <w:pPr>
        <w:pStyle w:val="24"/>
        <w:keepNext w:val="0"/>
        <w:keepLines w:val="0"/>
        <w:pageBreakBefore w:val="0"/>
        <w:widowControl/>
        <w:kinsoku/>
        <w:overflowPunct/>
        <w:topLinePunct w:val="0"/>
        <w:autoSpaceDE/>
        <w:autoSpaceDN/>
        <w:bidi w:val="0"/>
        <w:spacing w:line="480" w:lineRule="exact"/>
        <w:ind w:firstLine="63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kern w:val="2"/>
          <w:sz w:val="28"/>
          <w:szCs w:val="28"/>
          <w:highlight w:val="none"/>
        </w:rPr>
        <w:t>合同履行期限：合同签订后</w:t>
      </w:r>
      <w:r>
        <w:rPr>
          <w:rFonts w:hint="eastAsia" w:ascii="仿宋" w:hAnsi="仿宋" w:eastAsia="仿宋" w:cs="仿宋"/>
          <w:kern w:val="2"/>
          <w:sz w:val="28"/>
          <w:szCs w:val="28"/>
          <w:highlight w:val="none"/>
          <w:lang w:val="en-US" w:eastAsia="zh-CN"/>
        </w:rPr>
        <w:t>15日历日</w:t>
      </w:r>
    </w:p>
    <w:p>
      <w:pPr>
        <w:pStyle w:val="24"/>
        <w:keepNext w:val="0"/>
        <w:keepLines w:val="0"/>
        <w:pageBreakBefore w:val="0"/>
        <w:widowControl/>
        <w:kinsoku/>
        <w:overflowPunct/>
        <w:topLinePunct w:val="0"/>
        <w:autoSpaceDE/>
        <w:autoSpaceDN/>
        <w:bidi w:val="0"/>
        <w:spacing w:line="480" w:lineRule="exact"/>
        <w:textAlignment w:val="auto"/>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二、供应商的资格要求</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1、满足《中华人民共和国政府采购法》第二十二条规定；</w:t>
      </w:r>
    </w:p>
    <w:p>
      <w:pPr>
        <w:pStyle w:val="24"/>
        <w:keepNext w:val="0"/>
        <w:keepLines w:val="0"/>
        <w:pageBreakBefore w:val="0"/>
        <w:kinsoku/>
        <w:overflowPunct/>
        <w:topLinePunct w:val="0"/>
        <w:autoSpaceDE/>
        <w:autoSpaceDN/>
        <w:bidi w:val="0"/>
        <w:spacing w:line="480" w:lineRule="exact"/>
        <w:ind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2、落实政府采购政策需满足的资格要求：</w:t>
      </w:r>
      <w:r>
        <w:rPr>
          <w:rFonts w:hint="eastAsia" w:ascii="仿宋" w:hAnsi="仿宋" w:eastAsia="仿宋" w:cs="仿宋"/>
          <w:sz w:val="28"/>
          <w:szCs w:val="28"/>
          <w:shd w:val="clear" w:color="auto" w:fill="FFFFFF"/>
          <w:lang w:eastAsia="zh-CN"/>
        </w:rPr>
        <w:t>无</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3.本项目的特定资格要求：</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合同包1（</w:t>
      </w:r>
      <w:r>
        <w:rPr>
          <w:rFonts w:hint="eastAsia" w:ascii="仿宋" w:hAnsi="仿宋" w:eastAsia="仿宋" w:cs="仿宋"/>
          <w:sz w:val="28"/>
          <w:szCs w:val="28"/>
          <w:lang w:eastAsia="zh-CN"/>
        </w:rPr>
        <w:t>渭南市临渭区人民法院2024年中省政法转移支付自定装备采购项目</w:t>
      </w:r>
      <w:r>
        <w:rPr>
          <w:rFonts w:hint="eastAsia" w:ascii="仿宋" w:hAnsi="仿宋" w:eastAsia="仿宋" w:cs="仿宋"/>
          <w:sz w:val="28"/>
          <w:szCs w:val="28"/>
          <w:shd w:val="clear" w:color="auto" w:fill="FFFFFF"/>
        </w:rPr>
        <w:t>）特定资格要求如下：</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（2）法定代表人授权委托书（附法定代表人身份证复印件）及被授权委托人身份证（法定代表人参加投标只须提供法定代表人身份证）；</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（3）提供202</w:t>
      </w:r>
      <w:r>
        <w:rPr>
          <w:rFonts w:hint="eastAsia" w:ascii="仿宋" w:hAnsi="仿宋" w:eastAsia="仿宋" w:cs="仿宋"/>
          <w:sz w:val="28"/>
          <w:szCs w:val="28"/>
          <w:shd w:val="clear" w:color="auto" w:fill="FFFFFF"/>
          <w:lang w:val="en-US" w:eastAsia="zh-CN"/>
        </w:rPr>
        <w:t>2</w:t>
      </w:r>
      <w:r>
        <w:rPr>
          <w:rFonts w:hint="eastAsia" w:ascii="仿宋" w:hAnsi="仿宋" w:eastAsia="仿宋" w:cs="仿宋"/>
          <w:sz w:val="28"/>
          <w:szCs w:val="28"/>
          <w:shd w:val="clear" w:color="auto" w:fill="FFFFFF"/>
        </w:rPr>
        <w:t>年度经审计的财务报告或开标前六个月内其基本账户银行出具的资信证明或财政部门认可的政府采购专业担保机构出具的担保函；</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（4）提供202</w:t>
      </w:r>
      <w:r>
        <w:rPr>
          <w:rFonts w:hint="eastAsia" w:ascii="仿宋" w:hAnsi="仿宋" w:eastAsia="仿宋" w:cs="仿宋"/>
          <w:sz w:val="28"/>
          <w:szCs w:val="28"/>
          <w:shd w:val="clear" w:color="auto" w:fill="FFFFFF"/>
          <w:lang w:val="en-US" w:eastAsia="zh-CN"/>
        </w:rPr>
        <w:t>3</w:t>
      </w:r>
      <w:r>
        <w:rPr>
          <w:rFonts w:hint="eastAsia" w:ascii="仿宋" w:hAnsi="仿宋" w:eastAsia="仿宋" w:cs="仿宋"/>
          <w:sz w:val="28"/>
          <w:szCs w:val="28"/>
          <w:shd w:val="clear" w:color="auto" w:fill="FFFFFF"/>
        </w:rPr>
        <w:t>年6月以来任意3个月依法缴纳税收和社会保险的相关证明材料；注：依法免税或不需要缴纳社会保险的供应商提供相关部门出具的证明文件</w:t>
      </w:r>
    </w:p>
    <w:p>
      <w:pPr>
        <w:pStyle w:val="24"/>
        <w:keepNext w:val="0"/>
        <w:keepLines w:val="0"/>
        <w:pageBreakBefore w:val="0"/>
        <w:widowControl/>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（5）提供具有履行合同所必需的设备和专业技术能力的承诺；</w:t>
      </w:r>
    </w:p>
    <w:p>
      <w:pPr>
        <w:pStyle w:val="24"/>
        <w:keepNext w:val="0"/>
        <w:keepLines w:val="0"/>
        <w:pageBreakBefore w:val="0"/>
        <w:widowControl/>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（6）提供参加政府采购活动前3年内在经营活动中没有重大违法记录的书面声明；</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（7）投标保证金交纳凭证</w:t>
      </w:r>
      <w:r>
        <w:rPr>
          <w:rFonts w:hint="eastAsia" w:ascii="仿宋" w:hAnsi="仿宋" w:eastAsia="仿宋" w:cs="仿宋"/>
          <w:sz w:val="28"/>
          <w:szCs w:val="28"/>
          <w:shd w:val="clear" w:color="auto" w:fill="FFFFFF"/>
          <w:lang w:eastAsia="zh-CN"/>
        </w:rPr>
        <w:t>；</w:t>
      </w:r>
    </w:p>
    <w:p>
      <w:pPr>
        <w:pStyle w:val="2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color w:val="auto"/>
          <w:sz w:val="28"/>
          <w:szCs w:val="28"/>
          <w:highlight w:val="none"/>
          <w:shd w:val="clear" w:color="auto" w:fill="FFFFFF"/>
        </w:rPr>
        <w:t>（8）单位负责人为同一人或者存在直接控股、管理关系的不同供应商，不得参加同一合同项下的政府采购活动</w:t>
      </w:r>
      <w:r>
        <w:rPr>
          <w:rFonts w:hint="eastAsia" w:ascii="仿宋" w:hAnsi="仿宋" w:eastAsia="仿宋" w:cs="仿宋"/>
          <w:color w:val="auto"/>
          <w:sz w:val="28"/>
          <w:szCs w:val="28"/>
          <w:highlight w:val="none"/>
          <w:shd w:val="clear" w:color="auto" w:fill="FFFFFF"/>
          <w:lang w:eastAsia="zh-CN"/>
        </w:rPr>
        <w:t>。</w:t>
      </w:r>
    </w:p>
    <w:p>
      <w:pPr>
        <w:pStyle w:val="24"/>
        <w:keepNext w:val="0"/>
        <w:keepLines w:val="0"/>
        <w:pageBreakBefore w:val="0"/>
        <w:kinsoku/>
        <w:overflowPunct/>
        <w:topLinePunct w:val="0"/>
        <w:autoSpaceDE/>
        <w:autoSpaceDN/>
        <w:bidi w:val="0"/>
        <w:spacing w:line="480" w:lineRule="exact"/>
        <w:textAlignment w:val="auto"/>
        <w:rPr>
          <w:rFonts w:ascii="仿宋" w:hAnsi="仿宋" w:eastAsia="仿宋" w:cs="仿宋"/>
          <w:b/>
          <w:bCs/>
          <w:sz w:val="28"/>
          <w:szCs w:val="28"/>
        </w:rPr>
      </w:pPr>
      <w:r>
        <w:rPr>
          <w:rFonts w:hint="eastAsia" w:ascii="仿宋" w:hAnsi="仿宋" w:eastAsia="仿宋" w:cs="仿宋"/>
          <w:b/>
          <w:bCs/>
          <w:sz w:val="28"/>
          <w:szCs w:val="28"/>
        </w:rPr>
        <w:t>三、获取招标文件</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07</w:t>
      </w:r>
      <w:r>
        <w:rPr>
          <w:rFonts w:hint="eastAsia" w:ascii="仿宋" w:hAnsi="仿宋" w:eastAsia="仿宋" w:cs="仿宋"/>
          <w:sz w:val="28"/>
          <w:szCs w:val="28"/>
        </w:rPr>
        <w:t>日至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日，每天上午09:00:00至11:30:00，下午14:00:00至17:00:00（北京时间）</w:t>
      </w:r>
    </w:p>
    <w:p>
      <w:pPr>
        <w:pStyle w:val="24"/>
        <w:keepNext w:val="0"/>
        <w:keepLines w:val="0"/>
        <w:pageBreakBefore w:val="0"/>
        <w:kinsoku/>
        <w:overflowPunct/>
        <w:topLinePunct w:val="0"/>
        <w:autoSpaceDE/>
        <w:autoSpaceDN/>
        <w:bidi w:val="0"/>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途径：西安市高新区科技二路71号竹园天寰国际14层1404室</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方式：现场获取</w:t>
      </w:r>
    </w:p>
    <w:p>
      <w:pPr>
        <w:pStyle w:val="24"/>
        <w:keepNext w:val="0"/>
        <w:keepLines w:val="0"/>
        <w:pageBreakBefore w:val="0"/>
        <w:kinsoku/>
        <w:overflowPunct/>
        <w:topLinePunct w:val="0"/>
        <w:autoSpaceDE/>
        <w:autoSpaceDN/>
        <w:bidi w:val="0"/>
        <w:spacing w:line="480" w:lineRule="exact"/>
        <w:ind w:firstLine="560" w:firstLineChars="200"/>
        <w:textAlignment w:val="auto"/>
        <w:rPr>
          <w:rStyle w:val="30"/>
          <w:rFonts w:ascii="仿宋" w:hAnsi="仿宋" w:eastAsia="仿宋" w:cs="仿宋"/>
          <w:bCs/>
          <w:sz w:val="28"/>
          <w:szCs w:val="28"/>
          <w:shd w:val="clear" w:color="auto" w:fill="FFFFFF"/>
        </w:rPr>
      </w:pPr>
      <w:r>
        <w:rPr>
          <w:rFonts w:hint="eastAsia" w:ascii="仿宋" w:hAnsi="仿宋" w:eastAsia="仿宋" w:cs="仿宋"/>
          <w:sz w:val="28"/>
          <w:szCs w:val="28"/>
        </w:rPr>
        <w:t>售价：500元</w:t>
      </w:r>
    </w:p>
    <w:p>
      <w:pPr>
        <w:pStyle w:val="24"/>
        <w:keepNext w:val="0"/>
        <w:keepLines w:val="0"/>
        <w:pageBreakBefore w:val="0"/>
        <w:kinsoku/>
        <w:overflowPunct/>
        <w:topLinePunct w:val="0"/>
        <w:autoSpaceDE/>
        <w:autoSpaceDN/>
        <w:bidi w:val="0"/>
        <w:spacing w:line="480" w:lineRule="exact"/>
        <w:textAlignment w:val="auto"/>
        <w:rPr>
          <w:rStyle w:val="30"/>
          <w:rFonts w:ascii="仿宋" w:hAnsi="仿宋" w:eastAsia="仿宋" w:cs="仿宋"/>
          <w:sz w:val="28"/>
          <w:szCs w:val="28"/>
          <w:shd w:val="clear" w:color="auto" w:fill="FFFFFF"/>
        </w:rPr>
      </w:pPr>
      <w:r>
        <w:rPr>
          <w:rStyle w:val="30"/>
          <w:rFonts w:hint="eastAsia" w:ascii="仿宋" w:hAnsi="仿宋" w:eastAsia="仿宋" w:cs="仿宋"/>
          <w:sz w:val="28"/>
          <w:szCs w:val="28"/>
          <w:shd w:val="clear" w:color="auto" w:fill="FFFFFF"/>
        </w:rPr>
        <w:t>四、提交投标文件截止时间、开标时间和地点</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分00秒（北京时间）</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提交投标文件地点：西安市高新区科技二路71号竹园天寰国际14层1404室</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highlight w:val="yellow"/>
        </w:rPr>
      </w:pPr>
      <w:r>
        <w:rPr>
          <w:rFonts w:hint="eastAsia" w:ascii="仿宋" w:hAnsi="仿宋" w:eastAsia="仿宋" w:cs="仿宋"/>
          <w:sz w:val="28"/>
          <w:szCs w:val="28"/>
          <w:highlight w:val="none"/>
        </w:rPr>
        <w:t>开标地点：西安市高新</w:t>
      </w:r>
      <w:r>
        <w:rPr>
          <w:rFonts w:hint="eastAsia" w:ascii="仿宋" w:hAnsi="仿宋" w:eastAsia="仿宋" w:cs="仿宋"/>
          <w:sz w:val="28"/>
          <w:szCs w:val="28"/>
        </w:rPr>
        <w:t>区科技二路71号竹园天寰国际14层1404室</w:t>
      </w:r>
    </w:p>
    <w:p>
      <w:pPr>
        <w:pStyle w:val="24"/>
        <w:keepNext w:val="0"/>
        <w:keepLines w:val="0"/>
        <w:pageBreakBefore w:val="0"/>
        <w:kinsoku/>
        <w:overflowPunct/>
        <w:topLinePunct w:val="0"/>
        <w:autoSpaceDE/>
        <w:autoSpaceDN/>
        <w:bidi w:val="0"/>
        <w:spacing w:line="480" w:lineRule="exact"/>
        <w:textAlignment w:val="auto"/>
        <w:rPr>
          <w:rFonts w:ascii="仿宋" w:hAnsi="仿宋" w:eastAsia="仿宋" w:cs="仿宋"/>
          <w:b/>
          <w:sz w:val="28"/>
          <w:szCs w:val="28"/>
        </w:rPr>
      </w:pPr>
      <w:r>
        <w:rPr>
          <w:rFonts w:hint="eastAsia" w:ascii="仿宋" w:hAnsi="仿宋" w:eastAsia="仿宋" w:cs="仿宋"/>
          <w:b/>
          <w:sz w:val="28"/>
          <w:szCs w:val="28"/>
        </w:rPr>
        <w:t>五、公告期限</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自本公告发布之日起5个工作日。</w:t>
      </w:r>
    </w:p>
    <w:p>
      <w:pPr>
        <w:keepNext w:val="0"/>
        <w:keepLines w:val="0"/>
        <w:pageBreakBefore w:val="0"/>
        <w:kinsoku/>
        <w:overflowPunct/>
        <w:topLinePunct w:val="0"/>
        <w:autoSpaceDE/>
        <w:autoSpaceDN/>
        <w:bidi w:val="0"/>
        <w:spacing w:line="480" w:lineRule="exact"/>
        <w:textAlignment w:val="auto"/>
        <w:rPr>
          <w:rFonts w:ascii="仿宋" w:hAnsi="仿宋" w:eastAsia="仿宋" w:cs="仿宋"/>
          <w:b/>
          <w:sz w:val="28"/>
          <w:szCs w:val="28"/>
          <w:highlight w:val="none"/>
        </w:rPr>
      </w:pPr>
      <w:r>
        <w:rPr>
          <w:rFonts w:hint="eastAsia" w:ascii="仿宋" w:hAnsi="仿宋" w:eastAsia="仿宋" w:cs="仿宋"/>
          <w:b/>
          <w:sz w:val="28"/>
          <w:szCs w:val="28"/>
        </w:rPr>
        <w:t>六、其他</w:t>
      </w:r>
      <w:r>
        <w:rPr>
          <w:rFonts w:hint="eastAsia" w:ascii="仿宋" w:hAnsi="仿宋" w:eastAsia="仿宋" w:cs="仿宋"/>
          <w:b/>
          <w:sz w:val="28"/>
          <w:szCs w:val="28"/>
          <w:highlight w:val="none"/>
        </w:rPr>
        <w:t>补充事宜</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1.</w:t>
      </w:r>
      <w:r>
        <w:rPr>
          <w:rFonts w:hint="eastAsia" w:ascii="仿宋" w:hAnsi="仿宋" w:eastAsia="仿宋" w:cs="仿宋"/>
          <w:sz w:val="28"/>
          <w:szCs w:val="28"/>
          <w:shd w:val="clear" w:color="auto" w:fill="FFFFFF"/>
        </w:rPr>
        <w:t>落实政府采购政策需满足的资格要求如下：</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（1）《财政部 发展改革委 生态环境部 市场监管总局关于调整优化节能产品、环境标志产品政府采购执行机制的通知》（财库〔2019〕9号）；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（2）《政府采购促进中小企业发展管理办法》（财库〔2020〕46号）；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（3）《财政部司法部关于政府采购支持监狱企业发展有关问题的通知》（财库〔2014〕68号）；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（4）《三部门联合发布关于促进残疾人就业政府采购政策的通知》（财库〔2017〕141号）；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（5）陕西省财政厅关于印发《陕西省中小企业政府采购信用融资办法》（陕财办采〔2018〕23号）；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（6）《关于运用政府采购政策支持乡村产业振兴的通知》（财库〔2021〕19号）；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（7）《财政部住房和城乡建设部关于政府采购支持绿色建材促进建筑品质提升试点工作的通知》（财库〔2020〕31号）；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（8）《陕西省财政厅关于进一步加强政府绿色采购有关问题的通知》（陕财办采〔2021〕29号）；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（9）《财政部关于在政府采购活动中落实平等对待内外资企业有关政策的通知》（财库〔2021〕35号）；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（10）其他需要落实的政府采购政策。</w:t>
      </w:r>
    </w:p>
    <w:p>
      <w:pPr>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.项目概况：法庭庭审记录设备、法庭信息发布设备、诉讼档案管理设备、网络设备等。</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.本项目属于非专门面向中小企业采购。</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可以电子邮件形式发送采购文件，无需现场报名购买。请在规定的文件发售期以内将单位介绍信（加盖公章）、经办人身份证复印件（加盖公章并附经办人联系方式）扫描件发送至项目负责人邮箱（368380031@qq.com），并及时告知采购代理机构确认，待审核确认无误后通过邮箱向供应商发送报名登记表及采购文件费用缴纳账户信息。</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.采购文件费用采用转账形式缴纳，通过企业基本户转入我单位指定账户，转账时请备注“</w:t>
      </w:r>
      <w:r>
        <w:rPr>
          <w:rFonts w:hint="eastAsia" w:ascii="仿宋" w:hAnsi="仿宋" w:eastAsia="仿宋" w:cs="仿宋"/>
          <w:sz w:val="28"/>
          <w:szCs w:val="28"/>
          <w:lang w:val="en-US" w:eastAsia="zh-CN"/>
        </w:rPr>
        <w:t>077</w:t>
      </w:r>
      <w:r>
        <w:rPr>
          <w:rFonts w:hint="eastAsia" w:ascii="仿宋" w:hAnsi="仿宋" w:eastAsia="仿宋" w:cs="仿宋"/>
          <w:sz w:val="28"/>
          <w:szCs w:val="28"/>
        </w:rPr>
        <w:t>项目文件费用”。</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.供应商填写并支付完成后，将报名登记表及文件购置费缴纳凭据扫描件发送至项目负责人邮箱（368380031@qq.com），并及时告知采购代理机构确认。待审核确认无误后通过邮箱向供应商发售采购文件，请及时查收。</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.请供应商按照陕西省财政厅关于政府采购供应商注册登记有关事项的通知中的要求，通过陕西省政府采购网（http://www.ccgp-shaanxi.gov.cn/）注册登记加入陕西省政府采购供应商库。</w:t>
      </w:r>
    </w:p>
    <w:p>
      <w:pPr>
        <w:pStyle w:val="24"/>
        <w:keepNext w:val="0"/>
        <w:keepLines w:val="0"/>
        <w:pageBreakBefore w:val="0"/>
        <w:kinsoku/>
        <w:overflowPunct/>
        <w:topLinePunct w:val="0"/>
        <w:autoSpaceDE/>
        <w:autoSpaceDN/>
        <w:bidi w:val="0"/>
        <w:spacing w:line="480" w:lineRule="exact"/>
        <w:textAlignment w:val="auto"/>
        <w:rPr>
          <w:rFonts w:ascii="仿宋" w:hAnsi="仿宋" w:eastAsia="仿宋" w:cs="仿宋"/>
          <w:b/>
          <w:sz w:val="28"/>
          <w:szCs w:val="28"/>
        </w:rPr>
      </w:pPr>
      <w:r>
        <w:rPr>
          <w:rFonts w:hint="eastAsia" w:ascii="仿宋" w:hAnsi="仿宋" w:eastAsia="仿宋" w:cs="仿宋"/>
          <w:b/>
          <w:sz w:val="28"/>
          <w:szCs w:val="28"/>
        </w:rPr>
        <w:t>七、凡对本次采购提出询问，请按以下方式联系。</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1.采购人信息</w:t>
      </w:r>
    </w:p>
    <w:p>
      <w:pPr>
        <w:pStyle w:val="24"/>
        <w:keepNext w:val="0"/>
        <w:keepLines w:val="0"/>
        <w:pageBreakBefore w:val="0"/>
        <w:kinsoku/>
        <w:overflowPunct/>
        <w:topLinePunct w:val="0"/>
        <w:autoSpaceDE/>
        <w:autoSpaceDN/>
        <w:bidi w:val="0"/>
        <w:spacing w:line="48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名称：渭南市</w:t>
      </w:r>
      <w:r>
        <w:rPr>
          <w:rFonts w:hint="eastAsia" w:ascii="仿宋" w:hAnsi="仿宋" w:eastAsia="仿宋" w:cs="仿宋"/>
          <w:bCs/>
          <w:sz w:val="28"/>
          <w:szCs w:val="28"/>
          <w:lang w:eastAsia="zh-CN"/>
        </w:rPr>
        <w:t>临渭区人民法院</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color w:val="auto"/>
          <w:kern w:val="0"/>
          <w:sz w:val="28"/>
          <w:szCs w:val="28"/>
          <w:highlight w:val="none"/>
          <w:lang w:val="en-US" w:eastAsia="zh-CN" w:bidi="ar"/>
        </w:rPr>
        <w:t>渭南市东风街中段159号</w:t>
      </w:r>
    </w:p>
    <w:p>
      <w:pPr>
        <w:pStyle w:val="24"/>
        <w:keepNext w:val="0"/>
        <w:keepLines w:val="0"/>
        <w:pageBreakBefore w:val="0"/>
        <w:kinsoku/>
        <w:overflowPunct/>
        <w:topLinePunct w:val="0"/>
        <w:autoSpaceDE/>
        <w:autoSpaceDN/>
        <w:bidi w:val="0"/>
        <w:spacing w:line="480" w:lineRule="exac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联系方式：</w:t>
      </w:r>
      <w:r>
        <w:rPr>
          <w:rFonts w:hint="eastAsia" w:ascii="仿宋" w:hAnsi="仿宋" w:eastAsia="仿宋" w:cs="仿宋"/>
          <w:bCs/>
          <w:color w:val="auto"/>
          <w:kern w:val="0"/>
          <w:sz w:val="28"/>
          <w:szCs w:val="28"/>
          <w:highlight w:val="none"/>
          <w:lang w:val="en-US" w:eastAsia="zh-CN" w:bidi="ar"/>
        </w:rPr>
        <w:t>0913-2119305</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2.采购代理机构信息</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名称：西安欣华联建工程咨询有限公司</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sz w:val="28"/>
          <w:szCs w:val="28"/>
          <w:shd w:val="clear" w:color="auto" w:fill="FFFFFF"/>
        </w:rPr>
        <w:t>陕西省</w:t>
      </w:r>
      <w:r>
        <w:rPr>
          <w:rFonts w:hint="eastAsia" w:ascii="仿宋" w:hAnsi="仿宋" w:eastAsia="仿宋" w:cs="仿宋"/>
          <w:sz w:val="28"/>
          <w:szCs w:val="28"/>
        </w:rPr>
        <w:t>西安市高新区科技二路71号竹园天寰国际14层1404室</w:t>
      </w:r>
    </w:p>
    <w:p>
      <w:pPr>
        <w:pStyle w:val="24"/>
        <w:keepNext w:val="0"/>
        <w:keepLines w:val="0"/>
        <w:pageBreakBefore w:val="0"/>
        <w:kinsoku/>
        <w:overflowPunct/>
        <w:topLinePunct w:val="0"/>
        <w:autoSpaceDE/>
        <w:autoSpaceDN/>
        <w:bidi w:val="0"/>
        <w:spacing w:line="48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联系方式：</w:t>
      </w:r>
      <w:r>
        <w:rPr>
          <w:rFonts w:hint="eastAsia" w:ascii="仿宋" w:hAnsi="仿宋" w:eastAsia="仿宋" w:cs="仿宋"/>
          <w:bCs/>
          <w:sz w:val="28"/>
          <w:szCs w:val="28"/>
          <w:lang w:eastAsia="zh-CN"/>
        </w:rPr>
        <w:t>029-89182932、029-82513983</w:t>
      </w:r>
    </w:p>
    <w:p>
      <w:pPr>
        <w:pStyle w:val="24"/>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3.项目联系方式</w:t>
      </w:r>
    </w:p>
    <w:p>
      <w:pPr>
        <w:pStyle w:val="24"/>
        <w:keepNext w:val="0"/>
        <w:keepLines w:val="0"/>
        <w:pageBreakBefore w:val="0"/>
        <w:kinsoku/>
        <w:overflowPunct/>
        <w:topLinePunct w:val="0"/>
        <w:autoSpaceDE/>
        <w:autoSpaceDN/>
        <w:bidi w:val="0"/>
        <w:spacing w:line="48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项目联系人：采购代理机构</w:t>
      </w:r>
      <w:r>
        <w:rPr>
          <w:rFonts w:hint="eastAsia" w:ascii="仿宋" w:hAnsi="仿宋" w:eastAsia="仿宋" w:cs="仿宋"/>
          <w:bCs/>
          <w:sz w:val="28"/>
          <w:szCs w:val="28"/>
          <w:highlight w:val="none"/>
          <w:lang w:eastAsia="zh-CN"/>
        </w:rPr>
        <w:t>高凡</w:t>
      </w:r>
    </w:p>
    <w:p>
      <w:pPr>
        <w:keepNext w:val="0"/>
        <w:keepLines w:val="0"/>
        <w:pageBreakBefore w:val="0"/>
        <w:kinsoku/>
        <w:overflowPunct/>
        <w:topLinePunct w:val="0"/>
        <w:autoSpaceDE/>
        <w:autoSpaceDN/>
        <w:bidi w:val="0"/>
        <w:spacing w:line="48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电话：</w:t>
      </w:r>
      <w:r>
        <w:rPr>
          <w:rFonts w:hint="eastAsia" w:ascii="仿宋" w:hAnsi="仿宋" w:eastAsia="仿宋" w:cs="仿宋"/>
          <w:bCs/>
          <w:sz w:val="28"/>
          <w:szCs w:val="28"/>
          <w:lang w:eastAsia="zh-CN"/>
        </w:rPr>
        <w:t>029-89182932、029-82513983</w:t>
      </w:r>
    </w:p>
    <w:p>
      <w:pPr>
        <w:keepNext w:val="0"/>
        <w:keepLines w:val="0"/>
        <w:pageBreakBefore w:val="0"/>
        <w:kinsoku/>
        <w:overflowPunct/>
        <w:topLinePunct w:val="0"/>
        <w:autoSpaceDE/>
        <w:autoSpaceDN/>
        <w:bidi w:val="0"/>
        <w:spacing w:line="480" w:lineRule="exact"/>
        <w:ind w:firstLine="4200" w:firstLineChars="1500"/>
        <w:jc w:val="right"/>
        <w:textAlignment w:val="auto"/>
        <w:rPr>
          <w:rFonts w:ascii="仿宋" w:hAnsi="仿宋" w:eastAsia="仿宋" w:cs="仿宋"/>
          <w:kern w:val="0"/>
          <w:sz w:val="28"/>
          <w:szCs w:val="28"/>
        </w:rPr>
      </w:pPr>
      <w:r>
        <w:rPr>
          <w:rFonts w:hint="eastAsia" w:ascii="仿宋" w:hAnsi="仿宋" w:eastAsia="仿宋" w:cs="仿宋"/>
          <w:kern w:val="0"/>
          <w:sz w:val="28"/>
          <w:szCs w:val="28"/>
        </w:rPr>
        <w:t>西安欣华联建工程咨询有限公司</w:t>
      </w:r>
    </w:p>
    <w:p>
      <w:pPr>
        <w:keepNext w:val="0"/>
        <w:keepLines w:val="0"/>
        <w:pageBreakBefore w:val="0"/>
        <w:kinsoku/>
        <w:overflowPunct/>
        <w:topLinePunct w:val="0"/>
        <w:autoSpaceDE/>
        <w:autoSpaceDN/>
        <w:bidi w:val="0"/>
        <w:spacing w:line="480" w:lineRule="exact"/>
        <w:jc w:val="right"/>
        <w:textAlignment w:val="auto"/>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08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06</w:t>
      </w:r>
      <w:r>
        <w:rPr>
          <w:rFonts w:hint="eastAsia" w:ascii="仿宋" w:hAnsi="仿宋" w:eastAsia="仿宋" w:cs="仿宋"/>
          <w:kern w:val="0"/>
          <w:sz w:val="28"/>
          <w:szCs w:val="28"/>
        </w:rPr>
        <w:t>日</w:t>
      </w:r>
    </w:p>
    <w:p>
      <w:pPr>
        <w:spacing w:line="460" w:lineRule="exact"/>
        <w:jc w:val="center"/>
        <w:outlineLvl w:val="0"/>
        <w:rPr>
          <w:rFonts w:ascii="仿宋" w:hAnsi="仿宋" w:eastAsia="仿宋" w:cs="仿宋"/>
          <w:b/>
          <w:sz w:val="36"/>
          <w:szCs w:val="36"/>
        </w:rPr>
      </w:pPr>
      <w:r>
        <w:rPr>
          <w:rFonts w:hint="eastAsia"/>
        </w:rPr>
        <w:br w:type="page"/>
      </w:r>
      <w:bookmarkStart w:id="43" w:name="_Toc10606"/>
      <w:bookmarkStart w:id="44" w:name="_Toc7175"/>
      <w:r>
        <w:rPr>
          <w:rFonts w:hint="eastAsia" w:ascii="仿宋" w:hAnsi="仿宋" w:eastAsia="仿宋" w:cs="仿宋"/>
          <w:b/>
          <w:sz w:val="44"/>
          <w:szCs w:val="44"/>
        </w:rPr>
        <w:t>第二章  供应商须知前附表</w:t>
      </w:r>
      <w:bookmarkEnd w:id="43"/>
      <w:bookmarkEnd w:id="44"/>
    </w:p>
    <w:tbl>
      <w:tblPr>
        <w:tblStyle w:val="27"/>
        <w:tblpPr w:leftFromText="180" w:rightFromText="180" w:vertAnchor="text" w:horzAnchor="page" w:tblpX="1150" w:tblpY="293"/>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78"/>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outlineLvl w:val="0"/>
              <w:rPr>
                <w:rFonts w:ascii="仿宋" w:hAnsi="仿宋" w:eastAsia="仿宋" w:cs="仿宋"/>
                <w:b/>
                <w:sz w:val="28"/>
                <w:szCs w:val="28"/>
              </w:rPr>
            </w:pPr>
            <w:bookmarkStart w:id="45" w:name="_Toc27701"/>
            <w:bookmarkStart w:id="46" w:name="_Toc463"/>
            <w:bookmarkStart w:id="47" w:name="_Toc8500"/>
            <w:bookmarkStart w:id="48" w:name="_Toc9085"/>
            <w:bookmarkStart w:id="49" w:name="_Toc23937"/>
            <w:bookmarkStart w:id="50" w:name="_Toc22036"/>
            <w:bookmarkStart w:id="51" w:name="_Toc3791"/>
            <w:bookmarkStart w:id="52" w:name="_Toc10287"/>
            <w:bookmarkStart w:id="53" w:name="_Toc17476"/>
            <w:r>
              <w:rPr>
                <w:rFonts w:hint="eastAsia" w:ascii="仿宋" w:hAnsi="仿宋" w:eastAsia="仿宋" w:cs="仿宋"/>
                <w:b/>
                <w:sz w:val="28"/>
                <w:szCs w:val="28"/>
              </w:rPr>
              <w:t>序号</w:t>
            </w:r>
            <w:bookmarkEnd w:id="45"/>
            <w:bookmarkEnd w:id="46"/>
            <w:bookmarkEnd w:id="47"/>
            <w:bookmarkEnd w:id="48"/>
            <w:bookmarkEnd w:id="49"/>
            <w:bookmarkEnd w:id="50"/>
            <w:bookmarkEnd w:id="51"/>
            <w:bookmarkEnd w:id="52"/>
            <w:bookmarkEnd w:id="53"/>
          </w:p>
        </w:tc>
        <w:tc>
          <w:tcPr>
            <w:tcW w:w="2078" w:type="dxa"/>
            <w:vAlign w:val="center"/>
          </w:tcPr>
          <w:p>
            <w:pPr>
              <w:keepNext/>
              <w:topLinePunct/>
              <w:spacing w:line="500" w:lineRule="exact"/>
              <w:jc w:val="center"/>
              <w:outlineLvl w:val="0"/>
              <w:rPr>
                <w:rFonts w:ascii="仿宋" w:hAnsi="仿宋" w:eastAsia="仿宋" w:cs="仿宋"/>
                <w:b/>
                <w:sz w:val="28"/>
                <w:szCs w:val="28"/>
              </w:rPr>
            </w:pPr>
            <w:bookmarkStart w:id="54" w:name="_Toc20840"/>
            <w:bookmarkStart w:id="55" w:name="_Toc3553"/>
            <w:bookmarkStart w:id="56" w:name="_Toc3249"/>
            <w:bookmarkStart w:id="57" w:name="_Toc20856"/>
            <w:bookmarkStart w:id="58" w:name="_Toc2766"/>
            <w:bookmarkStart w:id="59" w:name="_Toc25490"/>
            <w:bookmarkStart w:id="60" w:name="_Toc25078"/>
            <w:bookmarkStart w:id="61" w:name="_Toc30514"/>
            <w:bookmarkStart w:id="62" w:name="_Toc29271"/>
            <w:r>
              <w:rPr>
                <w:rFonts w:hint="eastAsia" w:ascii="仿宋" w:hAnsi="仿宋" w:eastAsia="仿宋" w:cs="仿宋"/>
                <w:b/>
                <w:sz w:val="28"/>
                <w:szCs w:val="28"/>
              </w:rPr>
              <w:t>内 容</w:t>
            </w:r>
            <w:bookmarkEnd w:id="54"/>
            <w:bookmarkEnd w:id="55"/>
            <w:bookmarkEnd w:id="56"/>
            <w:bookmarkEnd w:id="57"/>
            <w:bookmarkEnd w:id="58"/>
            <w:bookmarkEnd w:id="59"/>
            <w:bookmarkEnd w:id="60"/>
            <w:bookmarkEnd w:id="61"/>
            <w:bookmarkEnd w:id="62"/>
          </w:p>
        </w:tc>
        <w:tc>
          <w:tcPr>
            <w:tcW w:w="7019" w:type="dxa"/>
            <w:vAlign w:val="center"/>
          </w:tcPr>
          <w:p>
            <w:pPr>
              <w:keepNext/>
              <w:topLinePunct/>
              <w:spacing w:line="500" w:lineRule="exact"/>
              <w:jc w:val="center"/>
              <w:outlineLvl w:val="0"/>
              <w:rPr>
                <w:rFonts w:ascii="仿宋" w:hAnsi="仿宋" w:eastAsia="仿宋" w:cs="仿宋"/>
                <w:b/>
                <w:sz w:val="28"/>
                <w:szCs w:val="28"/>
              </w:rPr>
            </w:pPr>
            <w:bookmarkStart w:id="63" w:name="_Toc7568"/>
            <w:bookmarkStart w:id="64" w:name="_Toc16550"/>
            <w:bookmarkStart w:id="65" w:name="_Toc29661"/>
            <w:bookmarkStart w:id="66" w:name="_Toc16593"/>
            <w:bookmarkStart w:id="67" w:name="_Toc9158"/>
            <w:bookmarkStart w:id="68" w:name="_Toc566"/>
            <w:bookmarkStart w:id="69" w:name="_Toc28651"/>
            <w:bookmarkStart w:id="70" w:name="_Toc11892"/>
            <w:bookmarkStart w:id="71" w:name="_Toc18609"/>
            <w:r>
              <w:rPr>
                <w:rFonts w:hint="eastAsia" w:ascii="仿宋" w:hAnsi="仿宋" w:eastAsia="仿宋" w:cs="仿宋"/>
                <w:b/>
                <w:sz w:val="28"/>
                <w:szCs w:val="28"/>
              </w:rPr>
              <w:t>说明与要求</w:t>
            </w:r>
            <w:bookmarkEnd w:id="63"/>
            <w:bookmarkEnd w:id="64"/>
            <w:bookmarkEnd w:id="65"/>
            <w:bookmarkEnd w:id="66"/>
            <w:bookmarkEnd w:id="67"/>
            <w:bookmarkEnd w:id="68"/>
            <w:bookmarkEnd w:id="69"/>
            <w:bookmarkEnd w:id="70"/>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1</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采购人</w:t>
            </w:r>
          </w:p>
        </w:tc>
        <w:tc>
          <w:tcPr>
            <w:tcW w:w="7019" w:type="dxa"/>
            <w:vAlign w:val="center"/>
          </w:tcPr>
          <w:p>
            <w:pPr>
              <w:pStyle w:val="45"/>
              <w:keepNext/>
              <w:widowControl/>
              <w:topLinePunct/>
              <w:spacing w:before="0" w:line="500" w:lineRule="exact"/>
              <w:rPr>
                <w:rFonts w:hint="eastAsia" w:ascii="仿宋" w:hAnsi="仿宋" w:eastAsia="仿宋" w:cs="仿宋"/>
                <w:b w:val="0"/>
                <w:kern w:val="2"/>
                <w:sz w:val="28"/>
                <w:szCs w:val="28"/>
                <w:lang w:eastAsia="zh-CN"/>
              </w:rPr>
            </w:pPr>
            <w:r>
              <w:rPr>
                <w:rFonts w:hint="eastAsia" w:ascii="仿宋" w:hAnsi="仿宋" w:eastAsia="仿宋" w:cs="仿宋"/>
                <w:b w:val="0"/>
                <w:kern w:val="2"/>
                <w:sz w:val="28"/>
                <w:szCs w:val="28"/>
                <w:lang w:eastAsia="zh-CN"/>
              </w:rPr>
              <w:t>渭南市临渭区人民法院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2</w:t>
            </w:r>
          </w:p>
        </w:tc>
        <w:tc>
          <w:tcPr>
            <w:tcW w:w="2078" w:type="dxa"/>
            <w:vAlign w:val="center"/>
          </w:tcPr>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sz w:val="28"/>
                <w:szCs w:val="28"/>
                <w:highlight w:val="none"/>
              </w:rPr>
              <w:t>采</w:t>
            </w:r>
            <w:r>
              <w:rPr>
                <w:rFonts w:hint="eastAsia" w:ascii="仿宋" w:hAnsi="仿宋" w:eastAsia="仿宋" w:cs="仿宋"/>
                <w:kern w:val="0"/>
                <w:sz w:val="28"/>
                <w:szCs w:val="28"/>
                <w:highlight w:val="none"/>
              </w:rPr>
              <w:t>购代理机构</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 系 人</w:t>
            </w:r>
          </w:p>
          <w:p>
            <w:pPr>
              <w:keepNext/>
              <w:topLinePunct/>
              <w:spacing w:line="5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邮   箱</w:t>
            </w:r>
          </w:p>
        </w:tc>
        <w:tc>
          <w:tcPr>
            <w:tcW w:w="7019" w:type="dxa"/>
            <w:vAlign w:val="center"/>
          </w:tcPr>
          <w:p>
            <w:pPr>
              <w:keepLines/>
              <w:wordWrap w:val="0"/>
              <w:topLinePunct/>
              <w:spacing w:line="500" w:lineRule="exact"/>
              <w:rPr>
                <w:rFonts w:ascii="仿宋" w:hAnsi="仿宋" w:eastAsia="仿宋" w:cs="仿宋"/>
                <w:kern w:val="0"/>
                <w:sz w:val="28"/>
                <w:szCs w:val="28"/>
                <w:highlight w:val="none"/>
              </w:rPr>
            </w:pPr>
            <w:r>
              <w:rPr>
                <w:rFonts w:hint="eastAsia" w:ascii="仿宋" w:hAnsi="仿宋" w:eastAsia="仿宋" w:cs="仿宋"/>
                <w:sz w:val="28"/>
                <w:szCs w:val="28"/>
                <w:highlight w:val="none"/>
              </w:rPr>
              <w:t>西安欣华联建工程咨询有限公司</w:t>
            </w:r>
          </w:p>
          <w:p>
            <w:pPr>
              <w:pStyle w:val="24"/>
              <w:widowControl/>
              <w:snapToGrid w:val="0"/>
              <w:spacing w:line="500" w:lineRule="exac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高凡</w:t>
            </w:r>
          </w:p>
          <w:p>
            <w:pPr>
              <w:pStyle w:val="24"/>
              <w:widowControl/>
              <w:snapToGrid w:val="0"/>
              <w:spacing w:line="500" w:lineRule="exac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lang w:eastAsia="zh-CN"/>
              </w:rPr>
              <w:t>029-89182932、029-82513983</w:t>
            </w:r>
          </w:p>
          <w:p>
            <w:pPr>
              <w:keepNext/>
              <w:topLinePunct/>
              <w:spacing w:line="500" w:lineRule="exact"/>
              <w:rPr>
                <w:rFonts w:ascii="仿宋" w:hAnsi="仿宋" w:eastAsia="仿宋" w:cs="仿宋"/>
                <w:sz w:val="28"/>
                <w:szCs w:val="28"/>
                <w:highlight w:val="none"/>
              </w:rPr>
            </w:pPr>
            <w:r>
              <w:rPr>
                <w:rFonts w:hint="eastAsia" w:ascii="仿宋" w:hAnsi="仿宋" w:eastAsia="仿宋" w:cs="仿宋"/>
                <w:kern w:val="0"/>
                <w:sz w:val="28"/>
                <w:szCs w:val="28"/>
                <w:highlight w:val="none"/>
              </w:rPr>
              <w:t>xinhualianjian1@163.com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3</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7019" w:type="dxa"/>
            <w:vAlign w:val="center"/>
          </w:tcPr>
          <w:p>
            <w:pPr>
              <w:pStyle w:val="45"/>
              <w:keepNext/>
              <w:widowControl/>
              <w:topLinePunct/>
              <w:spacing w:before="0" w:line="500" w:lineRule="exact"/>
              <w:jc w:val="both"/>
              <w:rPr>
                <w:rFonts w:ascii="仿宋" w:hAnsi="仿宋" w:eastAsia="仿宋" w:cs="仿宋"/>
                <w:b w:val="0"/>
                <w:sz w:val="28"/>
                <w:szCs w:val="28"/>
              </w:rPr>
            </w:pPr>
            <w:r>
              <w:rPr>
                <w:rFonts w:hint="eastAsia" w:ascii="仿宋" w:hAnsi="仿宋" w:eastAsia="仿宋" w:cs="仿宋"/>
                <w:b w:val="0"/>
                <w:sz w:val="28"/>
                <w:szCs w:val="28"/>
                <w:lang w:eastAsia="zh-CN"/>
              </w:rPr>
              <w:t>渭南市临渭区人民法院2024年中省政法转移支付自定装备采购项目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4</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项目编号</w:t>
            </w:r>
          </w:p>
        </w:tc>
        <w:tc>
          <w:tcPr>
            <w:tcW w:w="7019" w:type="dxa"/>
            <w:vAlign w:val="center"/>
          </w:tcPr>
          <w:p>
            <w:pPr>
              <w:keepNext/>
              <w:topLinePunct/>
              <w:spacing w:line="500" w:lineRule="exact"/>
              <w:rPr>
                <w:rFonts w:hint="default" w:ascii="仿宋" w:hAnsi="仿宋" w:eastAsia="仿宋" w:cs="仿宋"/>
                <w:kern w:val="0"/>
                <w:sz w:val="28"/>
                <w:szCs w:val="28"/>
                <w:lang w:val="en-US" w:eastAsia="zh-CN"/>
              </w:rPr>
            </w:pPr>
            <w:r>
              <w:rPr>
                <w:rFonts w:hint="eastAsia" w:ascii="仿宋" w:hAnsi="仿宋" w:eastAsia="仿宋" w:cs="仿宋"/>
                <w:sz w:val="28"/>
                <w:szCs w:val="28"/>
                <w:lang w:eastAsia="zh-CN"/>
              </w:rPr>
              <w:t>ZCSP-临渭区-202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00138</w:t>
            </w:r>
            <w:r>
              <w:rPr>
                <w:rFonts w:hint="eastAsia" w:ascii="仿宋" w:hAnsi="仿宋" w:eastAsia="仿宋" w:cs="仿宋"/>
                <w:sz w:val="28"/>
                <w:szCs w:val="28"/>
                <w:highlight w:val="none"/>
              </w:rPr>
              <w:t>、</w:t>
            </w:r>
            <w:r>
              <w:rPr>
                <w:rFonts w:hint="eastAsia" w:ascii="仿宋" w:hAnsi="仿宋" w:eastAsia="仿宋" w:cs="仿宋"/>
                <w:sz w:val="28"/>
                <w:szCs w:val="28"/>
              </w:rPr>
              <w:t>XHLJZC-WN</w:t>
            </w:r>
            <w:r>
              <w:rPr>
                <w:rFonts w:hint="eastAsia" w:ascii="仿宋" w:hAnsi="仿宋" w:eastAsia="仿宋" w:cs="仿宋"/>
                <w:sz w:val="28"/>
                <w:szCs w:val="28"/>
                <w:lang w:eastAsia="zh-CN"/>
              </w:rPr>
              <w:t>2024-07</w:t>
            </w:r>
            <w:r>
              <w:rPr>
                <w:rFonts w:hint="eastAsia" w:ascii="仿宋" w:hAnsi="仿宋" w:eastAsia="仿宋" w:cs="仿宋"/>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5</w:t>
            </w:r>
          </w:p>
        </w:tc>
        <w:tc>
          <w:tcPr>
            <w:tcW w:w="2078" w:type="dxa"/>
            <w:vAlign w:val="center"/>
          </w:tcPr>
          <w:p>
            <w:pPr>
              <w:keepNext/>
              <w:topLinePunct/>
              <w:spacing w:line="500" w:lineRule="exact"/>
              <w:jc w:val="center"/>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采购内容</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lang w:val="zh-CN"/>
              </w:rPr>
              <w:t>和要求</w:t>
            </w:r>
          </w:p>
        </w:tc>
        <w:tc>
          <w:tcPr>
            <w:tcW w:w="7019" w:type="dxa"/>
            <w:vAlign w:val="center"/>
          </w:tcPr>
          <w:p>
            <w:pPr>
              <w:keepNext w:val="0"/>
              <w:keepLines w:val="0"/>
              <w:pageBreakBefore w:val="0"/>
              <w:kinsoku/>
              <w:overflowPunct/>
              <w:topLinePunct w:val="0"/>
              <w:autoSpaceDE/>
              <w:autoSpaceDN/>
              <w:bidi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法庭庭审记录设备、法庭信息发布设备、诉讼档案管理设备、网络设备等。</w:t>
            </w:r>
          </w:p>
          <w:p>
            <w:pPr>
              <w:keepNext/>
              <w:topLinePunct/>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lang w:val="zh-CN"/>
              </w:rPr>
              <w:t>（具</w:t>
            </w:r>
            <w:r>
              <w:rPr>
                <w:rFonts w:hint="eastAsia" w:ascii="仿宋" w:hAnsi="仿宋" w:eastAsia="仿宋" w:cs="仿宋"/>
                <w:sz w:val="28"/>
                <w:szCs w:val="28"/>
                <w:highlight w:val="none"/>
              </w:rPr>
              <w:t>体内容详见第四章采购内容）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078" w:type="dxa"/>
            <w:vAlign w:val="center"/>
          </w:tcPr>
          <w:p>
            <w:pPr>
              <w:keepNext/>
              <w:topLinePunct/>
              <w:spacing w:line="500" w:lineRule="exact"/>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核心产品</w:t>
            </w:r>
          </w:p>
        </w:tc>
        <w:tc>
          <w:tcPr>
            <w:tcW w:w="7019" w:type="dxa"/>
            <w:vAlign w:val="center"/>
          </w:tcPr>
          <w:p>
            <w:pPr>
              <w:keepNext/>
              <w:topLinePunct/>
              <w:spacing w:line="500" w:lineRule="exact"/>
              <w:rPr>
                <w:rFonts w:hint="default" w:ascii="仿宋" w:hAnsi="仿宋" w:eastAsia="仿宋" w:cs="仿宋"/>
                <w:sz w:val="28"/>
                <w:szCs w:val="28"/>
                <w:highlight w:val="none"/>
                <w:lang w:val="en-US"/>
              </w:rPr>
            </w:pPr>
            <w:r>
              <w:rPr>
                <w:rFonts w:hint="eastAsia" w:ascii="仿宋" w:hAnsi="仿宋" w:eastAsia="仿宋" w:cs="仿宋"/>
                <w:i w:val="0"/>
                <w:iCs w:val="0"/>
                <w:color w:val="000000"/>
                <w:kern w:val="0"/>
                <w:sz w:val="28"/>
                <w:szCs w:val="28"/>
                <w:highlight w:val="none"/>
                <w:u w:val="none"/>
                <w:lang w:val="en-US" w:eastAsia="zh-CN" w:bidi="ar"/>
              </w:rPr>
              <w:t>数字高清庭审主机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2078" w:type="dxa"/>
            <w:vAlign w:val="center"/>
          </w:tcPr>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预算金额</w:t>
            </w:r>
          </w:p>
          <w:p>
            <w:pPr>
              <w:keepNext/>
              <w:topLinePunct/>
              <w:spacing w:line="500" w:lineRule="exact"/>
              <w:jc w:val="center"/>
              <w:rPr>
                <w:rFonts w:ascii="仿宋" w:hAnsi="仿宋" w:eastAsia="仿宋" w:cs="仿宋"/>
                <w:sz w:val="28"/>
                <w:szCs w:val="28"/>
                <w:highlight w:val="none"/>
              </w:rPr>
            </w:pPr>
            <w:r>
              <w:rPr>
                <w:rFonts w:hint="eastAsia" w:ascii="仿宋" w:hAnsi="仿宋" w:eastAsia="仿宋" w:cs="仿宋"/>
                <w:kern w:val="0"/>
                <w:sz w:val="28"/>
                <w:szCs w:val="28"/>
                <w:highlight w:val="none"/>
              </w:rPr>
              <w:t>资金性质</w:t>
            </w:r>
          </w:p>
        </w:tc>
        <w:tc>
          <w:tcPr>
            <w:tcW w:w="7019" w:type="dxa"/>
            <w:vAlign w:val="center"/>
          </w:tcPr>
          <w:p>
            <w:pPr>
              <w:widowControl/>
              <w:spacing w:line="500" w:lineRule="exact"/>
              <w:jc w:val="left"/>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人民币壹佰陆拾万元整（¥1</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val="zh-CN"/>
              </w:rPr>
              <w:t>00000.00元）</w:t>
            </w:r>
          </w:p>
          <w:p>
            <w:pPr>
              <w:keepNext/>
              <w:topLinePunct/>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kern w:val="0"/>
                <w:sz w:val="28"/>
                <w:szCs w:val="28"/>
              </w:rPr>
            </w:pPr>
            <w:r>
              <w:rPr>
                <w:rFonts w:hint="eastAsia" w:ascii="仿宋" w:hAnsi="仿宋" w:eastAsia="仿宋" w:cs="仿宋"/>
                <w:sz w:val="28"/>
                <w:szCs w:val="28"/>
              </w:rPr>
              <w:t>招标文件发售时间、地点</w:t>
            </w:r>
          </w:p>
        </w:tc>
        <w:tc>
          <w:tcPr>
            <w:tcW w:w="7019" w:type="dxa"/>
            <w:vAlign w:val="center"/>
          </w:tcPr>
          <w:p>
            <w:pPr>
              <w:keepNext/>
              <w:topLinePunct/>
              <w:spacing w:line="500" w:lineRule="exact"/>
              <w:rPr>
                <w:rFonts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日至202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13</w:t>
            </w:r>
            <w:r>
              <w:rPr>
                <w:rFonts w:hint="eastAsia" w:ascii="仿宋" w:hAnsi="仿宋" w:eastAsia="仿宋" w:cs="仿宋"/>
                <w:kern w:val="0"/>
                <w:sz w:val="28"/>
                <w:szCs w:val="28"/>
              </w:rPr>
              <w:t>日</w:t>
            </w:r>
          </w:p>
          <w:p>
            <w:pPr>
              <w:keepNext/>
              <w:topLinePunct/>
              <w:spacing w:line="500" w:lineRule="exact"/>
              <w:rPr>
                <w:rFonts w:ascii="仿宋" w:hAnsi="仿宋" w:eastAsia="仿宋" w:cs="仿宋"/>
                <w:sz w:val="28"/>
                <w:szCs w:val="28"/>
              </w:rPr>
            </w:pPr>
            <w:r>
              <w:rPr>
                <w:rFonts w:hint="eastAsia" w:ascii="仿宋" w:hAnsi="仿宋" w:eastAsia="仿宋" w:cs="仿宋"/>
                <w:sz w:val="28"/>
                <w:szCs w:val="28"/>
              </w:rPr>
              <w:t>上午：9:00-11:30，下午：14:00-17:00（双休日及法定节假日除外）</w:t>
            </w:r>
          </w:p>
          <w:p>
            <w:pPr>
              <w:spacing w:line="500" w:lineRule="exact"/>
              <w:rPr>
                <w:rFonts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kern w:val="0"/>
                <w:sz w:val="28"/>
                <w:szCs w:val="28"/>
              </w:rPr>
              <w:t>西安市高新区科技二路71号竹园天寰国际14层1404室</w:t>
            </w:r>
          </w:p>
          <w:p>
            <w:pPr>
              <w:keepNext/>
              <w:topLinePunct/>
              <w:spacing w:line="500" w:lineRule="exact"/>
              <w:rPr>
                <w:rFonts w:ascii="仿宋" w:hAnsi="仿宋" w:eastAsia="仿宋" w:cs="仿宋"/>
                <w:kern w:val="0"/>
                <w:sz w:val="28"/>
                <w:szCs w:val="28"/>
              </w:rPr>
            </w:pPr>
            <w:r>
              <w:rPr>
                <w:rFonts w:hint="eastAsia" w:ascii="仿宋" w:hAnsi="仿宋" w:eastAsia="仿宋" w:cs="仿宋"/>
                <w:sz w:val="28"/>
                <w:szCs w:val="28"/>
              </w:rPr>
              <w:t>招标文件售价：每套500元（人民币），售后不退。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rPr>
            </w:pPr>
            <w:r>
              <w:rPr>
                <w:rFonts w:hint="eastAsia" w:ascii="仿宋" w:hAnsi="仿宋" w:eastAsia="仿宋" w:cs="仿宋"/>
                <w:sz w:val="28"/>
                <w:szCs w:val="28"/>
              </w:rPr>
              <w:t>投标保证金</w:t>
            </w:r>
          </w:p>
        </w:tc>
        <w:tc>
          <w:tcPr>
            <w:tcW w:w="7019" w:type="dxa"/>
            <w:vAlign w:val="center"/>
          </w:tcPr>
          <w:p>
            <w:pPr>
              <w:keepNext/>
              <w:keepLines/>
              <w:kinsoku w:val="0"/>
              <w:overflowPunct w:val="0"/>
              <w:topLinePunct/>
              <w:autoSpaceDE w:val="0"/>
              <w:autoSpaceDN w:val="0"/>
              <w:spacing w:line="500" w:lineRule="exact"/>
              <w:rPr>
                <w:rFonts w:ascii="仿宋" w:hAnsi="仿宋" w:eastAsia="仿宋" w:cs="仿宋"/>
                <w:sz w:val="28"/>
                <w:szCs w:val="28"/>
              </w:rPr>
            </w:pPr>
            <w:r>
              <w:rPr>
                <w:rFonts w:hint="eastAsia" w:ascii="仿宋" w:hAnsi="仿宋" w:eastAsia="仿宋" w:cs="仿宋"/>
                <w:sz w:val="28"/>
                <w:szCs w:val="28"/>
              </w:rPr>
              <w:t>保证金：</w:t>
            </w:r>
            <w:r>
              <w:rPr>
                <w:rFonts w:hint="eastAsia" w:ascii="仿宋" w:hAnsi="仿宋" w:eastAsia="仿宋" w:cs="仿宋"/>
                <w:sz w:val="28"/>
                <w:szCs w:val="28"/>
                <w:highlight w:val="none"/>
              </w:rPr>
              <w:t>人民币壹万</w:t>
            </w:r>
            <w:r>
              <w:rPr>
                <w:rFonts w:hint="eastAsia" w:ascii="仿宋" w:hAnsi="仿宋" w:eastAsia="仿宋" w:cs="仿宋"/>
                <w:sz w:val="28"/>
                <w:szCs w:val="28"/>
                <w:highlight w:val="none"/>
                <w:lang w:eastAsia="zh-CN"/>
              </w:rPr>
              <w:t>伍</w:t>
            </w:r>
            <w:r>
              <w:rPr>
                <w:rFonts w:hint="eastAsia" w:ascii="仿宋" w:hAnsi="仿宋" w:eastAsia="仿宋" w:cs="仿宋"/>
                <w:sz w:val="28"/>
                <w:szCs w:val="28"/>
                <w:highlight w:val="none"/>
              </w:rPr>
              <w:t>仟元整（¥1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000.00元）</w:t>
            </w:r>
          </w:p>
          <w:p>
            <w:pPr>
              <w:keepNext/>
              <w:keepLines/>
              <w:kinsoku w:val="0"/>
              <w:overflowPunct w:val="0"/>
              <w:topLinePunct/>
              <w:autoSpaceDE w:val="0"/>
              <w:autoSpaceDN w:val="0"/>
              <w:spacing w:line="500" w:lineRule="exact"/>
              <w:rPr>
                <w:rFonts w:ascii="仿宋" w:hAnsi="仿宋" w:eastAsia="仿宋" w:cs="仿宋"/>
                <w:sz w:val="28"/>
                <w:szCs w:val="28"/>
              </w:rPr>
            </w:pPr>
            <w:r>
              <w:rPr>
                <w:rFonts w:hint="eastAsia" w:ascii="仿宋" w:hAnsi="仿宋" w:eastAsia="仿宋" w:cs="仿宋"/>
                <w:sz w:val="28"/>
                <w:szCs w:val="28"/>
              </w:rPr>
              <w:t>支付方式：</w:t>
            </w:r>
            <w:r>
              <w:rPr>
                <w:rFonts w:hint="eastAsia" w:ascii="仿宋" w:hAnsi="仿宋" w:eastAsia="仿宋" w:cs="仿宋"/>
                <w:color w:val="auto"/>
                <w:sz w:val="28"/>
                <w:szCs w:val="28"/>
                <w:highlight w:val="none"/>
              </w:rPr>
              <w:t>转账、支票、本票、电汇或金融机构、担保机构出具的保函等非现金形式提交。</w:t>
            </w:r>
          </w:p>
          <w:p>
            <w:pPr>
              <w:pStyle w:val="46"/>
              <w:keepNext/>
              <w:keepLines/>
              <w:kinsoku w:val="0"/>
              <w:overflowPunct w:val="0"/>
              <w:topLinePunct/>
              <w:autoSpaceDE w:val="0"/>
              <w:autoSpaceDN w:val="0"/>
              <w:spacing w:line="500" w:lineRule="exact"/>
              <w:ind w:firstLine="0" w:firstLineChars="0"/>
              <w:rPr>
                <w:rFonts w:hint="default" w:ascii="仿宋" w:hAnsi="仿宋" w:cs="仿宋"/>
                <w:szCs w:val="28"/>
              </w:rPr>
            </w:pPr>
            <w:r>
              <w:rPr>
                <w:rFonts w:ascii="仿宋" w:hAnsi="仿宋" w:cs="仿宋"/>
                <w:szCs w:val="28"/>
              </w:rPr>
              <w:t>请供应商严格按照招标文件规定的形式交纳保证金，本项目不接受其他形式的保证金。</w:t>
            </w:r>
          </w:p>
          <w:p>
            <w:pPr>
              <w:pStyle w:val="46"/>
              <w:keepNext/>
              <w:keepLines/>
              <w:kinsoku w:val="0"/>
              <w:overflowPunct w:val="0"/>
              <w:topLinePunct/>
              <w:autoSpaceDE w:val="0"/>
              <w:autoSpaceDN w:val="0"/>
              <w:spacing w:line="500" w:lineRule="exact"/>
              <w:ind w:firstLine="0" w:firstLineChars="0"/>
              <w:rPr>
                <w:rFonts w:hint="default" w:ascii="仿宋" w:hAnsi="仿宋" w:cs="仿宋"/>
                <w:szCs w:val="28"/>
              </w:rPr>
            </w:pPr>
            <w:r>
              <w:rPr>
                <w:rFonts w:ascii="仿宋" w:hAnsi="仿宋" w:cs="仿宋"/>
                <w:szCs w:val="28"/>
                <w:lang w:val="zh-CN"/>
              </w:rPr>
              <w:t>以保函形式提交的必须是陕西省财政厅认定的具有开具保函资格的单位开具的保函，且供应商须在开标前至采购代理机构办理投标保证金收款凭证，并在投标文件中附收款凭证复印件。此凭证是证明投标保证金缴纳的唯一凭证。</w:t>
            </w:r>
          </w:p>
          <w:p>
            <w:pPr>
              <w:keepNext/>
              <w:keepLines/>
              <w:kinsoku w:val="0"/>
              <w:overflowPunct w:val="0"/>
              <w:topLinePunct/>
              <w:autoSpaceDE w:val="0"/>
              <w:autoSpaceDN w:val="0"/>
              <w:spacing w:line="500" w:lineRule="exact"/>
              <w:rPr>
                <w:rFonts w:ascii="仿宋" w:hAnsi="仿宋" w:eastAsia="仿宋" w:cs="仿宋"/>
                <w:b/>
                <w:bCs/>
                <w:sz w:val="28"/>
                <w:szCs w:val="28"/>
              </w:rPr>
            </w:pPr>
            <w:r>
              <w:rPr>
                <w:rFonts w:hint="eastAsia" w:ascii="仿宋" w:hAnsi="仿宋" w:eastAsia="仿宋" w:cs="仿宋"/>
                <w:b/>
                <w:bCs/>
                <w:sz w:val="28"/>
                <w:szCs w:val="28"/>
              </w:rPr>
              <w:t>交纳时请注明“保证金”</w:t>
            </w:r>
          </w:p>
          <w:p>
            <w:pPr>
              <w:keepNext/>
              <w:keepLines/>
              <w:kinsoku w:val="0"/>
              <w:overflowPunct w:val="0"/>
              <w:topLinePunct/>
              <w:autoSpaceDE w:val="0"/>
              <w:autoSpaceDN w:val="0"/>
              <w:spacing w:line="500" w:lineRule="exact"/>
              <w:rPr>
                <w:rFonts w:ascii="仿宋" w:hAnsi="仿宋" w:eastAsia="仿宋" w:cs="仿宋"/>
                <w:sz w:val="28"/>
                <w:szCs w:val="28"/>
              </w:rPr>
            </w:pPr>
            <w:r>
              <w:rPr>
                <w:rFonts w:hint="eastAsia" w:ascii="仿宋" w:hAnsi="仿宋" w:eastAsia="仿宋" w:cs="仿宋"/>
                <w:sz w:val="28"/>
                <w:szCs w:val="28"/>
              </w:rPr>
              <w:t>保证金开户名称：西安欣华联建工程咨询有限公司</w:t>
            </w:r>
          </w:p>
          <w:p>
            <w:pPr>
              <w:keepNext/>
              <w:keepLines/>
              <w:kinsoku w:val="0"/>
              <w:overflowPunct w:val="0"/>
              <w:topLinePunct/>
              <w:autoSpaceDE w:val="0"/>
              <w:autoSpaceDN w:val="0"/>
              <w:spacing w:line="500" w:lineRule="exact"/>
              <w:rPr>
                <w:rFonts w:ascii="仿宋" w:hAnsi="仿宋" w:eastAsia="仿宋" w:cs="仿宋"/>
                <w:sz w:val="28"/>
                <w:szCs w:val="28"/>
              </w:rPr>
            </w:pPr>
            <w:r>
              <w:rPr>
                <w:rFonts w:hint="eastAsia" w:ascii="仿宋" w:hAnsi="仿宋" w:eastAsia="仿宋" w:cs="仿宋"/>
                <w:sz w:val="28"/>
                <w:szCs w:val="28"/>
              </w:rPr>
              <w:t>开户银行：西安银行软件园支行</w:t>
            </w:r>
          </w:p>
          <w:p>
            <w:pPr>
              <w:keepNext/>
              <w:keepLines/>
              <w:kinsoku w:val="0"/>
              <w:overflowPunct w:val="0"/>
              <w:topLinePunct/>
              <w:autoSpaceDE w:val="0"/>
              <w:autoSpaceDN w:val="0"/>
              <w:spacing w:line="500" w:lineRule="exact"/>
              <w:rPr>
                <w:rFonts w:ascii="仿宋" w:hAnsi="仿宋" w:eastAsia="仿宋" w:cs="仿宋"/>
                <w:kern w:val="0"/>
                <w:sz w:val="28"/>
                <w:szCs w:val="28"/>
              </w:rPr>
            </w:pPr>
            <w:r>
              <w:rPr>
                <w:rFonts w:hint="eastAsia" w:ascii="仿宋" w:hAnsi="仿宋" w:eastAsia="仿宋" w:cs="仿宋"/>
                <w:sz w:val="28"/>
                <w:szCs w:val="28"/>
              </w:rPr>
              <w:t>账    号：912011580000191348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keepLines/>
              <w:kinsoku w:val="0"/>
              <w:overflowPunct w:val="0"/>
              <w:topLinePunct/>
              <w:autoSpaceDE w:val="0"/>
              <w:autoSpaceDN w:val="0"/>
              <w:spacing w:line="5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078" w:type="dxa"/>
            <w:vAlign w:val="center"/>
          </w:tcPr>
          <w:p>
            <w:pPr>
              <w:keepNext/>
              <w:keepLines/>
              <w:kinsoku w:val="0"/>
              <w:overflowPunct w:val="0"/>
              <w:topLinePunct/>
              <w:autoSpaceDE w:val="0"/>
              <w:autoSpaceDN w:val="0"/>
              <w:spacing w:line="500" w:lineRule="exact"/>
              <w:jc w:val="center"/>
              <w:rPr>
                <w:rFonts w:ascii="仿宋" w:hAnsi="仿宋" w:eastAsia="仿宋" w:cs="仿宋"/>
                <w:sz w:val="28"/>
                <w:szCs w:val="28"/>
              </w:rPr>
            </w:pPr>
            <w:r>
              <w:rPr>
                <w:rFonts w:hint="eastAsia" w:ascii="仿宋" w:hAnsi="仿宋" w:eastAsia="仿宋" w:cs="仿宋"/>
                <w:sz w:val="28"/>
                <w:szCs w:val="28"/>
              </w:rPr>
              <w:t>投标文件递交截止时间及开标时间和地点</w:t>
            </w:r>
          </w:p>
        </w:tc>
        <w:tc>
          <w:tcPr>
            <w:tcW w:w="7019" w:type="dxa"/>
            <w:vAlign w:val="center"/>
          </w:tcPr>
          <w:p>
            <w:pPr>
              <w:widowControl/>
              <w:spacing w:line="500" w:lineRule="exact"/>
              <w:jc w:val="left"/>
              <w:rPr>
                <w:rFonts w:hint="default" w:ascii="仿宋" w:hAnsi="仿宋" w:eastAsia="仿宋" w:cs="仿宋"/>
                <w:kern w:val="0"/>
                <w:sz w:val="28"/>
                <w:szCs w:val="28"/>
                <w:lang w:val="en-US"/>
              </w:rPr>
            </w:pPr>
            <w:r>
              <w:rPr>
                <w:rFonts w:hint="eastAsia" w:ascii="仿宋" w:hAnsi="仿宋" w:eastAsia="仿宋" w:cs="仿宋"/>
                <w:sz w:val="28"/>
                <w:szCs w:val="28"/>
              </w:rPr>
              <w:t>投标</w:t>
            </w:r>
            <w:r>
              <w:rPr>
                <w:rFonts w:hint="eastAsia" w:ascii="仿宋" w:hAnsi="仿宋" w:eastAsia="仿宋" w:cs="仿宋"/>
                <w:sz w:val="28"/>
                <w:szCs w:val="28"/>
                <w:lang w:val="zh-TW"/>
              </w:rPr>
              <w:t>文件递交时间：</w:t>
            </w: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27</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09</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00</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09</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30</w:t>
            </w:r>
          </w:p>
          <w:p>
            <w:pPr>
              <w:spacing w:line="500" w:lineRule="exact"/>
              <w:rPr>
                <w:rFonts w:hint="default" w:ascii="仿宋" w:hAnsi="仿宋" w:eastAsia="仿宋" w:cs="仿宋"/>
                <w:sz w:val="28"/>
                <w:szCs w:val="28"/>
                <w:lang w:val="en-US"/>
              </w:rPr>
            </w:pPr>
            <w:r>
              <w:rPr>
                <w:rFonts w:hint="eastAsia" w:ascii="仿宋" w:hAnsi="仿宋" w:eastAsia="仿宋" w:cs="仿宋"/>
                <w:sz w:val="28"/>
                <w:szCs w:val="28"/>
              </w:rPr>
              <w:t>投标</w:t>
            </w:r>
            <w:r>
              <w:rPr>
                <w:rFonts w:hint="eastAsia" w:ascii="仿宋" w:hAnsi="仿宋" w:eastAsia="仿宋" w:cs="仿宋"/>
                <w:sz w:val="28"/>
                <w:szCs w:val="28"/>
                <w:lang w:val="zh-TW"/>
              </w:rPr>
              <w:t>文件递交截止时间：</w:t>
            </w: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27</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09</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30</w:t>
            </w:r>
          </w:p>
          <w:p>
            <w:pPr>
              <w:spacing w:line="500" w:lineRule="exact"/>
              <w:rPr>
                <w:rFonts w:hint="default" w:ascii="仿宋" w:hAnsi="仿宋" w:eastAsia="仿宋" w:cs="仿宋"/>
                <w:sz w:val="28"/>
                <w:szCs w:val="28"/>
                <w:lang w:val="en-US"/>
              </w:rPr>
            </w:pPr>
            <w:r>
              <w:rPr>
                <w:rFonts w:hint="eastAsia" w:ascii="仿宋" w:hAnsi="仿宋" w:eastAsia="仿宋" w:cs="仿宋"/>
                <w:sz w:val="28"/>
                <w:szCs w:val="28"/>
                <w:lang w:val="zh-TW"/>
              </w:rPr>
              <w:t>开标时间：</w:t>
            </w: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27</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09</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30</w:t>
            </w:r>
          </w:p>
          <w:p>
            <w:pPr>
              <w:pStyle w:val="24"/>
              <w:widowControl/>
              <w:spacing w:line="500" w:lineRule="exact"/>
              <w:rPr>
                <w:rFonts w:ascii="仿宋" w:hAnsi="仿宋" w:eastAsia="仿宋" w:cs="仿宋"/>
                <w:sz w:val="28"/>
                <w:szCs w:val="28"/>
              </w:rPr>
            </w:pPr>
            <w:r>
              <w:rPr>
                <w:rFonts w:hint="eastAsia" w:ascii="仿宋" w:hAnsi="仿宋" w:eastAsia="仿宋" w:cs="仿宋"/>
                <w:sz w:val="28"/>
                <w:szCs w:val="28"/>
                <w:lang w:val="zh-TW"/>
              </w:rPr>
              <w:t>开标地点</w:t>
            </w:r>
            <w:r>
              <w:rPr>
                <w:rFonts w:hint="eastAsia" w:ascii="仿宋" w:hAnsi="仿宋" w:eastAsia="仿宋" w:cs="仿宋"/>
                <w:sz w:val="28"/>
                <w:szCs w:val="28"/>
                <w:lang w:val="zh-TW" w:eastAsia="zh-CN"/>
              </w:rPr>
              <w:t>：</w:t>
            </w:r>
            <w:r>
              <w:rPr>
                <w:rFonts w:hint="eastAsia" w:ascii="仿宋" w:hAnsi="仿宋" w:eastAsia="仿宋" w:cs="仿宋"/>
                <w:kern w:val="0"/>
                <w:sz w:val="28"/>
                <w:szCs w:val="28"/>
              </w:rPr>
              <w:t>西安市高新区科技二路71号竹园天寰国际14层1404室</w:t>
            </w:r>
          </w:p>
          <w:p>
            <w:pPr>
              <w:keepNext/>
              <w:keepLines/>
              <w:kinsoku w:val="0"/>
              <w:overflowPunct w:val="0"/>
              <w:topLinePunct/>
              <w:autoSpaceDE w:val="0"/>
              <w:autoSpaceDN w:val="0"/>
              <w:spacing w:line="500" w:lineRule="exact"/>
              <w:rPr>
                <w:rFonts w:ascii="仿宋" w:hAnsi="仿宋" w:eastAsia="仿宋" w:cs="仿宋"/>
                <w:kern w:val="0"/>
                <w:sz w:val="28"/>
                <w:szCs w:val="28"/>
              </w:rPr>
            </w:pPr>
            <w:r>
              <w:rPr>
                <w:rFonts w:hint="eastAsia" w:ascii="仿宋" w:hAnsi="仿宋" w:eastAsia="仿宋" w:cs="仿宋"/>
                <w:b/>
                <w:bCs/>
                <w:sz w:val="28"/>
                <w:szCs w:val="28"/>
                <w:lang w:val="zh-TW"/>
              </w:rPr>
              <w:t>注：</w:t>
            </w:r>
            <w:r>
              <w:rPr>
                <w:rFonts w:hint="eastAsia" w:ascii="仿宋" w:hAnsi="仿宋" w:eastAsia="仿宋" w:cs="仿宋"/>
                <w:b/>
                <w:bCs/>
                <w:sz w:val="28"/>
                <w:szCs w:val="28"/>
              </w:rPr>
              <w:t>邀请所有提交投标文件的供应商参加招标会议，</w:t>
            </w:r>
            <w:r>
              <w:rPr>
                <w:rFonts w:hint="eastAsia" w:ascii="仿宋" w:hAnsi="仿宋" w:eastAsia="仿宋" w:cs="仿宋"/>
                <w:b/>
                <w:bCs/>
                <w:sz w:val="28"/>
                <w:szCs w:val="28"/>
                <w:lang w:val="zh-TW"/>
              </w:rPr>
              <w:t>逾期送达的投标文件，采购代理机构拒收。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投标文件</w:t>
            </w:r>
          </w:p>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份数</w:t>
            </w:r>
          </w:p>
        </w:tc>
        <w:tc>
          <w:tcPr>
            <w:tcW w:w="7019" w:type="dxa"/>
            <w:vAlign w:val="center"/>
          </w:tcPr>
          <w:p>
            <w:pPr>
              <w:keepLines/>
              <w:wordWrap w:val="0"/>
              <w:topLinePunct/>
              <w:spacing w:line="500" w:lineRule="exact"/>
              <w:rPr>
                <w:rFonts w:ascii="仿宋" w:hAnsi="仿宋" w:eastAsia="仿宋" w:cs="仿宋"/>
                <w:sz w:val="28"/>
                <w:szCs w:val="28"/>
                <w:lang w:val="zh-TW"/>
              </w:rPr>
            </w:pPr>
            <w:r>
              <w:rPr>
                <w:rFonts w:hint="eastAsia" w:ascii="仿宋" w:hAnsi="仿宋" w:eastAsia="仿宋" w:cs="仿宋"/>
                <w:sz w:val="28"/>
                <w:szCs w:val="28"/>
                <w:lang w:val="zh-TW"/>
              </w:rPr>
              <w:t>资格标：“正本”1份，“副本”3份</w:t>
            </w:r>
          </w:p>
          <w:p>
            <w:pPr>
              <w:keepLines/>
              <w:wordWrap w:val="0"/>
              <w:topLinePunct/>
              <w:spacing w:line="500" w:lineRule="exact"/>
              <w:rPr>
                <w:rFonts w:ascii="仿宋" w:hAnsi="仿宋" w:eastAsia="仿宋" w:cs="仿宋"/>
                <w:sz w:val="28"/>
                <w:szCs w:val="28"/>
                <w:lang w:val="zh-TW"/>
              </w:rPr>
            </w:pPr>
            <w:r>
              <w:rPr>
                <w:rFonts w:hint="eastAsia" w:ascii="仿宋" w:hAnsi="仿宋" w:eastAsia="仿宋" w:cs="仿宋"/>
                <w:sz w:val="28"/>
                <w:szCs w:val="28"/>
                <w:lang w:val="zh-TW"/>
              </w:rPr>
              <w:t>商务及技术标：“正本”1份，“副本”3份</w:t>
            </w:r>
          </w:p>
          <w:p>
            <w:pPr>
              <w:keepLines/>
              <w:wordWrap w:val="0"/>
              <w:topLinePunct/>
              <w:spacing w:line="500" w:lineRule="exact"/>
              <w:rPr>
                <w:rFonts w:ascii="仿宋" w:hAnsi="仿宋" w:eastAsia="仿宋" w:cs="仿宋"/>
                <w:sz w:val="28"/>
                <w:szCs w:val="28"/>
                <w:lang w:val="zh-TW"/>
              </w:rPr>
            </w:pPr>
            <w:r>
              <w:rPr>
                <w:rFonts w:hint="eastAsia" w:ascii="仿宋" w:hAnsi="仿宋" w:eastAsia="仿宋" w:cs="仿宋"/>
                <w:sz w:val="28"/>
                <w:szCs w:val="28"/>
                <w:lang w:val="zh-TW"/>
              </w:rPr>
              <w:t>电子文档：1份</w:t>
            </w:r>
          </w:p>
          <w:p>
            <w:pPr>
              <w:keepLines/>
              <w:wordWrap w:val="0"/>
              <w:topLinePunct/>
              <w:spacing w:line="500" w:lineRule="exact"/>
              <w:rPr>
                <w:rFonts w:ascii="仿宋" w:hAnsi="仿宋" w:eastAsia="仿宋" w:cs="仿宋"/>
                <w:sz w:val="28"/>
                <w:szCs w:val="28"/>
                <w:lang w:val="zh-TW"/>
              </w:rPr>
            </w:pPr>
            <w:r>
              <w:rPr>
                <w:rFonts w:hint="eastAsia" w:ascii="仿宋" w:hAnsi="仿宋" w:eastAsia="仿宋" w:cs="仿宋"/>
                <w:sz w:val="28"/>
                <w:szCs w:val="28"/>
                <w:lang w:val="zh-TW"/>
              </w:rPr>
              <w:t>每份文件须清楚地标明“正本”、“副本”、“电子文档”，若正本与副本不符，以正本为准。</w:t>
            </w:r>
          </w:p>
          <w:p>
            <w:pPr>
              <w:keepNext/>
              <w:topLinePunct/>
              <w:spacing w:line="500" w:lineRule="exact"/>
              <w:rPr>
                <w:rFonts w:ascii="仿宋" w:hAnsi="仿宋" w:eastAsia="仿宋" w:cs="仿宋"/>
                <w:kern w:val="0"/>
                <w:sz w:val="28"/>
                <w:szCs w:val="28"/>
              </w:rPr>
            </w:pPr>
            <w:r>
              <w:rPr>
                <w:rFonts w:hint="eastAsia" w:ascii="仿宋" w:hAnsi="仿宋" w:eastAsia="仿宋" w:cs="仿宋"/>
                <w:b/>
                <w:bCs/>
                <w:sz w:val="28"/>
                <w:szCs w:val="28"/>
                <w:lang w:val="zh-TW"/>
              </w:rPr>
              <w:t>注：为了节约成本，鼓励各供应商双面打印本项目投标文件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2078" w:type="dxa"/>
            <w:vAlign w:val="center"/>
          </w:tcPr>
          <w:p>
            <w:pPr>
              <w:keepLines/>
              <w:wordWrap w:val="0"/>
              <w:topLinePunct/>
              <w:spacing w:line="500" w:lineRule="exact"/>
              <w:jc w:val="center"/>
              <w:rPr>
                <w:rFonts w:ascii="仿宋" w:hAnsi="仿宋" w:eastAsia="仿宋" w:cs="仿宋"/>
                <w:sz w:val="28"/>
                <w:szCs w:val="28"/>
              </w:rPr>
            </w:pPr>
            <w:r>
              <w:rPr>
                <w:rFonts w:hint="eastAsia" w:ascii="仿宋" w:hAnsi="仿宋" w:eastAsia="仿宋" w:cs="仿宋"/>
                <w:sz w:val="28"/>
                <w:szCs w:val="28"/>
              </w:rPr>
              <w:t>投标文件</w:t>
            </w:r>
          </w:p>
          <w:p>
            <w:pPr>
              <w:keepLines/>
              <w:wordWrap w:val="0"/>
              <w:topLinePunct/>
              <w:spacing w:line="500" w:lineRule="exact"/>
              <w:jc w:val="center"/>
              <w:rPr>
                <w:rFonts w:ascii="仿宋" w:hAnsi="仿宋" w:eastAsia="仿宋" w:cs="仿宋"/>
                <w:sz w:val="28"/>
                <w:szCs w:val="28"/>
              </w:rPr>
            </w:pPr>
            <w:r>
              <w:rPr>
                <w:rFonts w:hint="eastAsia" w:ascii="仿宋" w:hAnsi="仿宋" w:eastAsia="仿宋" w:cs="仿宋"/>
                <w:sz w:val="28"/>
                <w:szCs w:val="28"/>
              </w:rPr>
              <w:t>密封</w:t>
            </w:r>
          </w:p>
        </w:tc>
        <w:tc>
          <w:tcPr>
            <w:tcW w:w="7019" w:type="dxa"/>
            <w:vAlign w:val="center"/>
          </w:tcPr>
          <w:p>
            <w:pPr>
              <w:keepLines/>
              <w:wordWrap w:val="0"/>
              <w:topLinePunct/>
              <w:spacing w:line="500" w:lineRule="exact"/>
              <w:rPr>
                <w:rFonts w:ascii="仿宋" w:hAnsi="仿宋" w:eastAsia="仿宋" w:cs="仿宋"/>
                <w:sz w:val="28"/>
                <w:szCs w:val="28"/>
              </w:rPr>
            </w:pPr>
            <w:r>
              <w:rPr>
                <w:rFonts w:hint="eastAsia" w:ascii="仿宋" w:hAnsi="仿宋" w:eastAsia="仿宋" w:cs="仿宋"/>
                <w:sz w:val="28"/>
                <w:szCs w:val="28"/>
              </w:rPr>
              <w:t>“资格标”正本单独密封，“资格标”副本单独密封，“商务及技术标”正本单独密封，“商务及技术标”副本单独密封，“电子文档”单独密封。</w:t>
            </w:r>
          </w:p>
          <w:p>
            <w:pPr>
              <w:pStyle w:val="63"/>
              <w:numPr>
                <w:ilvl w:val="0"/>
                <w:numId w:val="0"/>
              </w:numPr>
              <w:tabs>
                <w:tab w:val="clear" w:pos="851"/>
              </w:tabs>
              <w:spacing w:line="500" w:lineRule="exact"/>
              <w:outlineLvl w:val="9"/>
              <w:rPr>
                <w:rFonts w:hint="default" w:cs="仿宋"/>
                <w:szCs w:val="28"/>
                <w:lang w:val="zh-TW"/>
              </w:rPr>
            </w:pPr>
            <w:bookmarkStart w:id="72" w:name="_Toc23536"/>
            <w:bookmarkStart w:id="73" w:name="_Toc861"/>
            <w:bookmarkStart w:id="74" w:name="_Toc10588"/>
            <w:bookmarkStart w:id="75" w:name="_Toc12096"/>
            <w:r>
              <w:rPr>
                <w:rFonts w:cs="仿宋"/>
                <w:b w:val="0"/>
                <w:bCs/>
                <w:szCs w:val="28"/>
              </w:rPr>
              <w:t>在密封袋（箱）封口处加盖单位公章并由法定代表人或被授权委托人签字或盖章。</w:t>
            </w:r>
            <w:bookmarkEnd w:id="72"/>
            <w:bookmarkEnd w:id="73"/>
            <w:bookmarkEnd w:id="74"/>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p>
        </w:tc>
        <w:tc>
          <w:tcPr>
            <w:tcW w:w="2078" w:type="dxa"/>
            <w:vAlign w:val="center"/>
          </w:tcPr>
          <w:p>
            <w:pPr>
              <w:keepNext/>
              <w:topLinePunct/>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密封袋（箱）</w:t>
            </w:r>
          </w:p>
          <w:p>
            <w:pPr>
              <w:keepNext/>
              <w:topLinePunct/>
              <w:spacing w:line="500" w:lineRule="exact"/>
              <w:jc w:val="center"/>
              <w:rPr>
                <w:rFonts w:ascii="仿宋" w:hAnsi="仿宋" w:eastAsia="仿宋" w:cs="仿宋"/>
                <w:sz w:val="28"/>
                <w:szCs w:val="28"/>
              </w:rPr>
            </w:pPr>
            <w:r>
              <w:rPr>
                <w:rFonts w:hint="eastAsia" w:ascii="仿宋" w:hAnsi="仿宋" w:eastAsia="仿宋" w:cs="仿宋"/>
                <w:kern w:val="0"/>
                <w:sz w:val="28"/>
                <w:szCs w:val="28"/>
              </w:rPr>
              <w:t>上写明</w:t>
            </w:r>
          </w:p>
        </w:tc>
        <w:tc>
          <w:tcPr>
            <w:tcW w:w="7019" w:type="dxa"/>
            <w:vAlign w:val="center"/>
          </w:tcPr>
          <w:p>
            <w:pPr>
              <w:keepNext/>
              <w:topLinePunct/>
              <w:spacing w:line="500" w:lineRule="exact"/>
              <w:rPr>
                <w:rFonts w:ascii="仿宋" w:hAnsi="仿宋" w:eastAsia="仿宋" w:cs="仿宋"/>
                <w:kern w:val="0"/>
                <w:sz w:val="28"/>
                <w:szCs w:val="28"/>
              </w:rPr>
            </w:pPr>
            <w:r>
              <w:rPr>
                <w:rFonts w:hint="eastAsia" w:ascii="仿宋" w:hAnsi="仿宋" w:eastAsia="仿宋" w:cs="仿宋"/>
                <w:kern w:val="0"/>
                <w:sz w:val="28"/>
                <w:szCs w:val="28"/>
              </w:rPr>
              <w:t>项目编号：</w:t>
            </w:r>
          </w:p>
          <w:p>
            <w:pPr>
              <w:keepNext/>
              <w:topLinePunct/>
              <w:spacing w:line="500" w:lineRule="exact"/>
              <w:rPr>
                <w:rFonts w:ascii="仿宋" w:hAnsi="仿宋" w:eastAsia="仿宋" w:cs="仿宋"/>
                <w:kern w:val="0"/>
                <w:sz w:val="28"/>
                <w:szCs w:val="28"/>
              </w:rPr>
            </w:pPr>
            <w:r>
              <w:rPr>
                <w:rFonts w:hint="eastAsia" w:ascii="仿宋" w:hAnsi="仿宋" w:eastAsia="仿宋" w:cs="仿宋"/>
                <w:kern w:val="0"/>
                <w:sz w:val="28"/>
                <w:szCs w:val="28"/>
              </w:rPr>
              <w:t>项目名称：</w:t>
            </w:r>
          </w:p>
          <w:p>
            <w:pPr>
              <w:keepNext/>
              <w:topLinePunct/>
              <w:spacing w:line="500" w:lineRule="exact"/>
              <w:rPr>
                <w:rFonts w:ascii="仿宋" w:hAnsi="仿宋" w:eastAsia="仿宋" w:cs="仿宋"/>
                <w:sz w:val="28"/>
                <w:szCs w:val="28"/>
              </w:rPr>
            </w:pPr>
            <w:r>
              <w:rPr>
                <w:rFonts w:hint="eastAsia" w:ascii="仿宋" w:hAnsi="仿宋" w:eastAsia="仿宋" w:cs="仿宋"/>
                <w:kern w:val="0"/>
                <w:sz w:val="28"/>
                <w:szCs w:val="28"/>
              </w:rPr>
              <w:t>供应商全称（并加盖单位公章）：</w:t>
            </w:r>
          </w:p>
          <w:p>
            <w:pPr>
              <w:keepNext/>
              <w:topLinePunct/>
              <w:spacing w:line="500" w:lineRule="exact"/>
              <w:rPr>
                <w:rFonts w:ascii="仿宋" w:hAnsi="仿宋" w:eastAsia="仿宋" w:cs="仿宋"/>
                <w:kern w:val="0"/>
                <w:sz w:val="28"/>
                <w:szCs w:val="28"/>
              </w:rPr>
            </w:pPr>
            <w:r>
              <w:rPr>
                <w:rFonts w:hint="eastAsia" w:ascii="仿宋" w:hAnsi="仿宋" w:eastAsia="仿宋" w:cs="仿宋"/>
                <w:kern w:val="0"/>
                <w:sz w:val="28"/>
                <w:szCs w:val="28"/>
              </w:rPr>
              <w:t>在202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27</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09</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投标有效期</w:t>
            </w:r>
          </w:p>
        </w:tc>
        <w:tc>
          <w:tcPr>
            <w:tcW w:w="7019" w:type="dxa"/>
            <w:vAlign w:val="center"/>
          </w:tcPr>
          <w:p>
            <w:pPr>
              <w:keepNext/>
              <w:topLinePunct/>
              <w:spacing w:line="500" w:lineRule="exact"/>
              <w:rPr>
                <w:rFonts w:ascii="仿宋" w:hAnsi="仿宋" w:eastAsia="仿宋" w:cs="仿宋"/>
                <w:kern w:val="0"/>
                <w:sz w:val="28"/>
                <w:szCs w:val="28"/>
              </w:rPr>
            </w:pPr>
            <w:r>
              <w:rPr>
                <w:rFonts w:hint="eastAsia" w:ascii="仿宋" w:hAnsi="仿宋" w:eastAsia="仿宋" w:cs="仿宋"/>
                <w:sz w:val="28"/>
                <w:szCs w:val="28"/>
              </w:rPr>
              <w:t>90日历日（从提交投标文件的截止之日起）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c>
          <w:tcPr>
            <w:tcW w:w="2078" w:type="dxa"/>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整个项目</w:t>
            </w:r>
          </w:p>
          <w:p>
            <w:pPr>
              <w:spacing w:line="500" w:lineRule="exact"/>
              <w:jc w:val="center"/>
              <w:rPr>
                <w:rFonts w:hint="eastAsia" w:ascii="仿宋" w:hAnsi="仿宋" w:eastAsia="仿宋" w:cs="仿宋"/>
                <w:sz w:val="28"/>
                <w:szCs w:val="28"/>
                <w:highlight w:val="yellow"/>
                <w:lang w:eastAsia="zh-CN"/>
              </w:rPr>
            </w:pPr>
            <w:r>
              <w:rPr>
                <w:rFonts w:hint="eastAsia" w:ascii="仿宋" w:hAnsi="仿宋" w:eastAsia="仿宋" w:cs="仿宋"/>
                <w:sz w:val="28"/>
                <w:szCs w:val="28"/>
                <w:highlight w:val="none"/>
                <w:lang w:eastAsia="zh-CN"/>
              </w:rPr>
              <w:t>完成期限</w:t>
            </w:r>
          </w:p>
        </w:tc>
        <w:tc>
          <w:tcPr>
            <w:tcW w:w="7019" w:type="dxa"/>
            <w:vAlign w:val="center"/>
          </w:tcPr>
          <w:p>
            <w:pPr>
              <w:spacing w:line="500" w:lineRule="exact"/>
              <w:rPr>
                <w:rFonts w:hint="eastAsia" w:ascii="仿宋" w:hAnsi="仿宋" w:eastAsia="仿宋" w:cs="仿宋"/>
                <w:kern w:val="0"/>
                <w:sz w:val="28"/>
                <w:szCs w:val="28"/>
                <w:highlight w:val="yellow"/>
                <w:lang w:eastAsia="zh-CN"/>
              </w:rPr>
            </w:pPr>
            <w:r>
              <w:rPr>
                <w:rFonts w:hint="eastAsia" w:ascii="仿宋" w:hAnsi="仿宋" w:eastAsia="仿宋" w:cs="仿宋"/>
                <w:sz w:val="28"/>
                <w:szCs w:val="28"/>
                <w:highlight w:val="none"/>
                <w:shd w:val="clear" w:color="auto" w:fill="FFFFFF"/>
                <w:lang w:eastAsia="zh-CN"/>
              </w:rPr>
              <w:t>合同签订后15日历日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评审方法</w:t>
            </w:r>
          </w:p>
        </w:tc>
        <w:tc>
          <w:tcPr>
            <w:tcW w:w="7019" w:type="dxa"/>
            <w:vAlign w:val="center"/>
          </w:tcPr>
          <w:p>
            <w:pPr>
              <w:keepNext/>
              <w:topLinePunct/>
              <w:spacing w:line="500" w:lineRule="exact"/>
              <w:jc w:val="left"/>
              <w:rPr>
                <w:rFonts w:ascii="仿宋" w:hAnsi="仿宋" w:eastAsia="仿宋" w:cs="仿宋"/>
                <w:kern w:val="0"/>
                <w:sz w:val="28"/>
                <w:szCs w:val="28"/>
              </w:rPr>
            </w:pPr>
            <w:r>
              <w:rPr>
                <w:rFonts w:hint="eastAsia" w:ascii="仿宋" w:hAnsi="仿宋" w:eastAsia="仿宋" w:cs="仿宋"/>
                <w:kern w:val="0"/>
                <w:sz w:val="28"/>
                <w:szCs w:val="28"/>
              </w:rPr>
              <w:t>综合评分法,详见评分标准及办法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资格要求</w:t>
            </w:r>
          </w:p>
        </w:tc>
        <w:tc>
          <w:tcPr>
            <w:tcW w:w="7019" w:type="dxa"/>
          </w:tcPr>
          <w:p>
            <w:pPr>
              <w:pStyle w:val="24"/>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keepLines/>
              <w:wordWrap w:val="0"/>
              <w:topLinePunct/>
              <w:spacing w:line="500" w:lineRule="exact"/>
              <w:rPr>
                <w:rFonts w:ascii="仿宋" w:hAnsi="仿宋" w:eastAsia="仿宋" w:cs="仿宋"/>
                <w:sz w:val="28"/>
                <w:szCs w:val="28"/>
              </w:rPr>
            </w:pPr>
            <w:r>
              <w:rPr>
                <w:rFonts w:hint="eastAsia" w:ascii="仿宋" w:hAnsi="仿宋" w:eastAsia="仿宋" w:cs="仿宋"/>
                <w:sz w:val="28"/>
                <w:szCs w:val="28"/>
              </w:rPr>
              <w:t>2、本项目的特定资格要求：（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Lines/>
              <w:wordWrap w:val="0"/>
              <w:topLinePunct/>
              <w:spacing w:line="500" w:lineRule="exact"/>
              <w:rPr>
                <w:rFonts w:ascii="仿宋" w:hAnsi="仿宋" w:eastAsia="仿宋" w:cs="仿宋"/>
                <w:sz w:val="28"/>
                <w:szCs w:val="28"/>
              </w:rPr>
            </w:pPr>
            <w:r>
              <w:rPr>
                <w:rFonts w:hint="eastAsia" w:ascii="仿宋" w:hAnsi="仿宋" w:eastAsia="仿宋" w:cs="仿宋"/>
                <w:sz w:val="28"/>
                <w:szCs w:val="28"/>
              </w:rPr>
              <w:t>（2）法定代表人授权委托书（附法定代表人身份证复印件）及被授权委托人身份证（法定代表人参加投标只须提供法定代表人身份证）；</w:t>
            </w:r>
          </w:p>
          <w:p>
            <w:pPr>
              <w:keepLines/>
              <w:wordWrap w:val="0"/>
              <w:topLinePunct/>
              <w:spacing w:line="500" w:lineRule="exact"/>
              <w:rPr>
                <w:rFonts w:ascii="仿宋" w:hAnsi="仿宋" w:eastAsia="仿宋" w:cs="仿宋"/>
                <w:sz w:val="28"/>
                <w:szCs w:val="28"/>
              </w:rPr>
            </w:pPr>
            <w:r>
              <w:rPr>
                <w:rFonts w:hint="eastAsia" w:ascii="仿宋" w:hAnsi="仿宋" w:eastAsia="仿宋" w:cs="仿宋"/>
                <w:sz w:val="28"/>
                <w:szCs w:val="28"/>
              </w:rPr>
              <w:t>（3）提供202</w:t>
            </w:r>
            <w:r>
              <w:rPr>
                <w:rFonts w:hint="eastAsia" w:ascii="仿宋" w:hAnsi="仿宋" w:eastAsia="仿宋" w:cs="仿宋"/>
                <w:sz w:val="28"/>
                <w:szCs w:val="28"/>
                <w:lang w:val="en-US" w:eastAsia="zh-CN"/>
              </w:rPr>
              <w:t>2</w:t>
            </w:r>
            <w:r>
              <w:rPr>
                <w:rFonts w:hint="eastAsia" w:ascii="仿宋" w:hAnsi="仿宋" w:eastAsia="仿宋" w:cs="仿宋"/>
                <w:sz w:val="28"/>
                <w:szCs w:val="28"/>
              </w:rPr>
              <w:t>年度经审计的财务报告或开标前六个月内其基本账户银行出具的资信证明或财政部门认可的政府采购专业担保机构出具的担保函；</w:t>
            </w:r>
          </w:p>
          <w:p>
            <w:pPr>
              <w:keepLines/>
              <w:wordWrap w:val="0"/>
              <w:topLinePunct/>
              <w:spacing w:line="500" w:lineRule="exact"/>
              <w:rPr>
                <w:rFonts w:ascii="仿宋" w:hAnsi="仿宋" w:eastAsia="仿宋" w:cs="仿宋"/>
                <w:sz w:val="28"/>
                <w:szCs w:val="28"/>
              </w:rPr>
            </w:pPr>
            <w:r>
              <w:rPr>
                <w:rFonts w:hint="eastAsia" w:ascii="仿宋" w:hAnsi="仿宋" w:eastAsia="仿宋" w:cs="仿宋"/>
                <w:sz w:val="28"/>
                <w:szCs w:val="28"/>
              </w:rPr>
              <w:t>（4）提供202</w:t>
            </w:r>
            <w:r>
              <w:rPr>
                <w:rFonts w:hint="eastAsia" w:ascii="仿宋" w:hAnsi="仿宋" w:eastAsia="仿宋" w:cs="仿宋"/>
                <w:sz w:val="28"/>
                <w:szCs w:val="28"/>
                <w:lang w:val="en-US" w:eastAsia="zh-CN"/>
              </w:rPr>
              <w:t>3</w:t>
            </w:r>
            <w:r>
              <w:rPr>
                <w:rFonts w:hint="eastAsia" w:ascii="仿宋" w:hAnsi="仿宋" w:eastAsia="仿宋" w:cs="仿宋"/>
                <w:sz w:val="28"/>
                <w:szCs w:val="28"/>
              </w:rPr>
              <w:t>年6月以来任意3个月依法缴纳税收和社会保险的相关证明材料；注：依法免税或不需要缴纳社会保险的供应商提供相关部门出具的证明文件；</w:t>
            </w:r>
          </w:p>
          <w:p>
            <w:pPr>
              <w:keepLines/>
              <w:wordWrap w:val="0"/>
              <w:topLinePunct/>
              <w:spacing w:line="500" w:lineRule="exact"/>
              <w:rPr>
                <w:rFonts w:ascii="仿宋" w:hAnsi="仿宋" w:eastAsia="仿宋" w:cs="仿宋"/>
                <w:sz w:val="28"/>
                <w:szCs w:val="28"/>
              </w:rPr>
            </w:pPr>
            <w:r>
              <w:rPr>
                <w:rFonts w:hint="eastAsia" w:ascii="仿宋" w:hAnsi="仿宋" w:eastAsia="仿宋" w:cs="仿宋"/>
                <w:sz w:val="28"/>
                <w:szCs w:val="28"/>
              </w:rPr>
              <w:t>（5）提供具有履行合同所必需的设备和专业技术能力的承诺；</w:t>
            </w:r>
          </w:p>
          <w:p>
            <w:pPr>
              <w:keepLines/>
              <w:wordWrap w:val="0"/>
              <w:topLinePunct/>
              <w:spacing w:line="500" w:lineRule="exact"/>
              <w:rPr>
                <w:rFonts w:ascii="仿宋" w:hAnsi="仿宋" w:eastAsia="仿宋" w:cs="仿宋"/>
                <w:sz w:val="28"/>
                <w:szCs w:val="28"/>
              </w:rPr>
            </w:pPr>
            <w:r>
              <w:rPr>
                <w:rFonts w:hint="eastAsia" w:ascii="仿宋" w:hAnsi="仿宋" w:eastAsia="仿宋" w:cs="仿宋"/>
                <w:sz w:val="28"/>
                <w:szCs w:val="28"/>
              </w:rPr>
              <w:t>（6）提供参加政府采购活动前3年内在经营活动中没有重大违法记录的书面声明；</w:t>
            </w:r>
          </w:p>
          <w:p>
            <w:pPr>
              <w:pStyle w:val="24"/>
              <w:keepNext/>
              <w:widowControl/>
              <w:topLinePunct/>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（7）投标保证金交纳凭证</w:t>
            </w:r>
            <w:r>
              <w:rPr>
                <w:rFonts w:hint="eastAsia" w:ascii="仿宋" w:hAnsi="仿宋" w:eastAsia="仿宋" w:cs="仿宋"/>
                <w:sz w:val="28"/>
                <w:szCs w:val="28"/>
                <w:lang w:eastAsia="zh-CN"/>
              </w:rPr>
              <w:t>；</w:t>
            </w:r>
          </w:p>
          <w:p>
            <w:pPr>
              <w:pStyle w:val="24"/>
              <w:keepNext/>
              <w:widowControl/>
              <w:topLinePunct/>
              <w:spacing w:line="500" w:lineRule="exact"/>
              <w:rPr>
                <w:rFonts w:hint="eastAsia" w:ascii="仿宋" w:hAnsi="仿宋" w:eastAsia="仿宋" w:cs="仿宋"/>
                <w:sz w:val="28"/>
                <w:szCs w:val="28"/>
                <w:lang w:eastAsia="zh-CN"/>
              </w:rPr>
            </w:pPr>
            <w:r>
              <w:rPr>
                <w:rFonts w:hint="eastAsia" w:ascii="仿宋" w:hAnsi="仿宋" w:eastAsia="仿宋" w:cs="仿宋"/>
                <w:b w:val="0"/>
                <w:bCs w:val="0"/>
                <w:sz w:val="28"/>
                <w:szCs w:val="28"/>
                <w:highlight w:val="none"/>
                <w:lang w:val="en-US" w:eastAsia="zh-CN"/>
              </w:rPr>
              <w:t>（8）单位负责人为同一人或者存在直接控股、管理关系的不同供应商，不得参加同一合同项下的政府采购活动。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p>
        </w:tc>
        <w:tc>
          <w:tcPr>
            <w:tcW w:w="2078" w:type="dxa"/>
            <w:shd w:val="clear" w:color="auto" w:fill="auto"/>
            <w:vAlign w:val="center"/>
          </w:tcPr>
          <w:p>
            <w:pPr>
              <w:keepNext/>
              <w:topLinePunct/>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7019" w:type="dxa"/>
            <w:shd w:val="clear" w:color="auto" w:fill="auto"/>
            <w:vAlign w:val="center"/>
          </w:tcPr>
          <w:p>
            <w:pPr>
              <w:keepNext/>
              <w:widowControl/>
              <w:topLinePunct/>
              <w:spacing w:line="500" w:lineRule="exact"/>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sz w:val="28"/>
                <w:szCs w:val="28"/>
                <w:highlight w:val="none"/>
                <w:shd w:val="clear" w:color="auto" w:fill="auto"/>
                <w:lang w:eastAsia="zh-CN"/>
              </w:rPr>
              <w:t>整个项目完成经验收合格并开具全额发票后一次性无息支付。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9</w:t>
            </w:r>
          </w:p>
        </w:tc>
        <w:tc>
          <w:tcPr>
            <w:tcW w:w="2078" w:type="dxa"/>
            <w:shd w:val="clear" w:color="auto" w:fill="auto"/>
            <w:vAlign w:val="center"/>
          </w:tcPr>
          <w:p>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7019" w:type="dxa"/>
            <w:shd w:val="clear" w:color="auto" w:fill="auto"/>
            <w:vAlign w:val="center"/>
          </w:tcPr>
          <w:p>
            <w:pPr>
              <w:spacing w:line="500" w:lineRule="exact"/>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验收合格后设备1年质保；系统软件3年质保，对系统软件提供终身免费升级支持，终身技术支持。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857" w:type="dxa"/>
            <w:vAlign w:val="center"/>
          </w:tcPr>
          <w:p>
            <w:pPr>
              <w:keepNext/>
              <w:topLinePunct/>
              <w:spacing w:line="5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代理服务费</w:t>
            </w:r>
          </w:p>
        </w:tc>
        <w:tc>
          <w:tcPr>
            <w:tcW w:w="7019" w:type="dxa"/>
            <w:vAlign w:val="center"/>
          </w:tcPr>
          <w:p>
            <w:pPr>
              <w:keepNext/>
              <w:topLinePunct/>
              <w:spacing w:line="500" w:lineRule="exact"/>
              <w:rPr>
                <w:rFonts w:ascii="仿宋" w:hAnsi="仿宋" w:eastAsia="仿宋" w:cs="仿宋"/>
                <w:kern w:val="0"/>
                <w:sz w:val="28"/>
                <w:szCs w:val="28"/>
              </w:rPr>
            </w:pPr>
            <w:r>
              <w:rPr>
                <w:rFonts w:hint="eastAsia" w:ascii="仿宋" w:hAnsi="仿宋" w:eastAsia="仿宋" w:cs="仿宋"/>
                <w:sz w:val="28"/>
                <w:szCs w:val="28"/>
              </w:rPr>
              <w:t>由中标供应商支付代理服务费，代理服务费参照</w:t>
            </w:r>
            <w:r>
              <w:rPr>
                <w:rFonts w:hint="eastAsia" w:ascii="仿宋" w:hAnsi="仿宋" w:eastAsia="仿宋" w:cs="仿宋"/>
                <w:bCs/>
                <w:sz w:val="28"/>
                <w:szCs w:val="28"/>
              </w:rPr>
              <w:t>《国家计委关于印发&lt;招标代理服务收费管理暂行办法&gt;的通知》（计价格〔2002〕1980号）</w:t>
            </w:r>
            <w:r>
              <w:rPr>
                <w:rFonts w:hint="eastAsia" w:ascii="仿宋" w:hAnsi="仿宋" w:eastAsia="仿宋" w:cs="仿宋"/>
                <w:sz w:val="28"/>
                <w:szCs w:val="28"/>
              </w:rPr>
              <w:t>、《国家发展改革委员会办公厅关于招标代理服务收费有关问题的通知》（发改办价格〔2003〕857号）</w:t>
            </w:r>
            <w:r>
              <w:rPr>
                <w:rFonts w:hint="eastAsia" w:ascii="仿宋" w:hAnsi="仿宋" w:eastAsia="仿宋" w:cs="仿宋"/>
                <w:bCs/>
                <w:sz w:val="28"/>
                <w:szCs w:val="28"/>
              </w:rPr>
              <w:t>的规定标准执行，按差额定率累进法收取费用，100万以下按1.5%收取，100万-500万按1.1%收取。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57" w:type="dxa"/>
            <w:vAlign w:val="center"/>
          </w:tcPr>
          <w:p>
            <w:pPr>
              <w:spacing w:line="460" w:lineRule="exact"/>
              <w:jc w:val="center"/>
              <w:rPr>
                <w:rFonts w:hint="default" w:ascii="仿宋" w:hAnsi="仿宋" w:eastAsia="仿宋" w:cs="仿宋"/>
                <w:sz w:val="28"/>
                <w:szCs w:val="28"/>
                <w:lang w:val="en-US" w:eastAsia="zh-CN"/>
              </w:rPr>
            </w:pPr>
            <w:bookmarkStart w:id="76" w:name="_Toc421604325"/>
            <w:bookmarkStart w:id="77" w:name="_Toc20403"/>
            <w:bookmarkStart w:id="78" w:name="_Toc1654_WPSOffice_Level1"/>
            <w:bookmarkStart w:id="79" w:name="_Toc24084"/>
            <w:bookmarkStart w:id="80" w:name="_Toc24383"/>
            <w:bookmarkStart w:id="81" w:name="_Toc16938519"/>
            <w:bookmarkStart w:id="82" w:name="_Toc120614214"/>
            <w:bookmarkStart w:id="83" w:name="_Toc403987205"/>
            <w:bookmarkStart w:id="84" w:name="_Toc513029203"/>
            <w:bookmarkStart w:id="85" w:name="_Toc421604326"/>
            <w:bookmarkStart w:id="86" w:name="_Toc20823275"/>
            <w:r>
              <w:rPr>
                <w:rFonts w:hint="eastAsia" w:ascii="仿宋" w:hAnsi="仿宋" w:eastAsia="仿宋" w:cs="仿宋"/>
                <w:sz w:val="28"/>
                <w:szCs w:val="28"/>
                <w:lang w:val="en-US" w:eastAsia="zh-CN"/>
              </w:rPr>
              <w:t>21</w:t>
            </w:r>
          </w:p>
        </w:tc>
        <w:tc>
          <w:tcPr>
            <w:tcW w:w="2078" w:type="dxa"/>
            <w:vAlign w:val="center"/>
          </w:tcPr>
          <w:p>
            <w:pPr>
              <w:spacing w:line="460" w:lineRule="exact"/>
              <w:jc w:val="center"/>
              <w:rPr>
                <w:rFonts w:ascii="仿宋" w:hAnsi="仿宋" w:eastAsia="仿宋" w:cs="仿宋"/>
                <w:sz w:val="28"/>
                <w:szCs w:val="28"/>
              </w:rPr>
            </w:pPr>
            <w:r>
              <w:rPr>
                <w:rFonts w:hint="eastAsia" w:ascii="仿宋" w:hAnsi="仿宋" w:eastAsia="仿宋" w:cs="仿宋"/>
                <w:sz w:val="28"/>
                <w:szCs w:val="28"/>
              </w:rPr>
              <w:t>是否接受</w:t>
            </w:r>
          </w:p>
          <w:p>
            <w:pPr>
              <w:spacing w:line="460" w:lineRule="exact"/>
              <w:jc w:val="center"/>
              <w:rPr>
                <w:rFonts w:ascii="仿宋" w:hAnsi="仿宋" w:eastAsia="仿宋" w:cs="仿宋"/>
                <w:bCs/>
                <w:sz w:val="28"/>
                <w:szCs w:val="28"/>
              </w:rPr>
            </w:pPr>
            <w:r>
              <w:rPr>
                <w:rFonts w:hint="eastAsia" w:ascii="仿宋" w:hAnsi="仿宋" w:eastAsia="仿宋" w:cs="仿宋"/>
                <w:sz w:val="28"/>
                <w:szCs w:val="28"/>
              </w:rPr>
              <w:t>联合体投标</w:t>
            </w:r>
          </w:p>
        </w:tc>
        <w:tc>
          <w:tcPr>
            <w:tcW w:w="7019" w:type="dxa"/>
            <w:vAlign w:val="center"/>
          </w:tcPr>
          <w:p>
            <w:pPr>
              <w:spacing w:line="460" w:lineRule="exact"/>
              <w:rPr>
                <w:rFonts w:ascii="仿宋" w:hAnsi="仿宋" w:eastAsia="仿宋" w:cs="仿宋"/>
                <w:szCs w:val="28"/>
              </w:rPr>
            </w:pP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57" w:type="dxa"/>
            <w:vAlign w:val="center"/>
          </w:tcPr>
          <w:p>
            <w:pPr>
              <w:keepLines/>
              <w:wordWrap w:val="0"/>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2</w:t>
            </w:r>
          </w:p>
        </w:tc>
        <w:tc>
          <w:tcPr>
            <w:tcW w:w="2078" w:type="dxa"/>
            <w:vAlign w:val="center"/>
          </w:tcPr>
          <w:p>
            <w:pPr>
              <w:spacing w:line="500" w:lineRule="exact"/>
              <w:jc w:val="center"/>
              <w:rPr>
                <w:rFonts w:ascii="仿宋" w:hAnsi="仿宋" w:eastAsia="仿宋" w:cs="仿宋"/>
                <w:sz w:val="28"/>
                <w:szCs w:val="28"/>
              </w:rPr>
            </w:pPr>
            <w:r>
              <w:rPr>
                <w:rFonts w:hint="eastAsia" w:ascii="仿宋" w:hAnsi="仿宋" w:eastAsia="仿宋" w:cs="仿宋"/>
                <w:bCs/>
                <w:sz w:val="28"/>
                <w:szCs w:val="28"/>
              </w:rPr>
              <w:t>是否专门面向中小企业采购</w:t>
            </w:r>
          </w:p>
        </w:tc>
        <w:tc>
          <w:tcPr>
            <w:tcW w:w="7019" w:type="dxa"/>
            <w:vAlign w:val="center"/>
          </w:tcPr>
          <w:p>
            <w:pPr>
              <w:keepLines/>
              <w:wordWrap w:val="0"/>
              <w:topLinePunct/>
              <w:spacing w:line="500" w:lineRule="exact"/>
              <w:rPr>
                <w:rFonts w:ascii="仿宋" w:hAnsi="仿宋" w:eastAsia="仿宋" w:cs="仿宋"/>
                <w:szCs w:val="28"/>
              </w:rPr>
            </w:pPr>
            <w:r>
              <w:rPr>
                <w:rFonts w:hint="eastAsia" w:ascii="仿宋" w:hAnsi="仿宋" w:eastAsia="仿宋" w:cs="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Lines/>
              <w:wordWrap w:val="0"/>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3</w:t>
            </w:r>
          </w:p>
        </w:tc>
        <w:tc>
          <w:tcPr>
            <w:tcW w:w="2078"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是否提交</w:t>
            </w:r>
          </w:p>
          <w:p>
            <w:pPr>
              <w:spacing w:line="500" w:lineRule="exact"/>
              <w:jc w:val="center"/>
              <w:rPr>
                <w:rFonts w:ascii="仿宋" w:hAnsi="仿宋" w:eastAsia="仿宋" w:cs="仿宋"/>
                <w:sz w:val="28"/>
                <w:szCs w:val="28"/>
              </w:rPr>
            </w:pPr>
            <w:r>
              <w:rPr>
                <w:rFonts w:hint="eastAsia" w:ascii="仿宋" w:hAnsi="仿宋" w:eastAsia="仿宋" w:cs="仿宋"/>
                <w:sz w:val="28"/>
                <w:szCs w:val="28"/>
              </w:rPr>
              <w:t>履约保证金</w:t>
            </w:r>
          </w:p>
        </w:tc>
        <w:tc>
          <w:tcPr>
            <w:tcW w:w="7019" w:type="dxa"/>
            <w:vAlign w:val="center"/>
          </w:tcPr>
          <w:p>
            <w:pPr>
              <w:pStyle w:val="23"/>
              <w:spacing w:line="500" w:lineRule="exact"/>
              <w:rPr>
                <w:rFonts w:ascii="仿宋" w:hAnsi="仿宋" w:eastAsia="仿宋" w:cs="仿宋"/>
                <w:szCs w:val="28"/>
              </w:rPr>
            </w:pPr>
            <w:r>
              <w:rPr>
                <w:rFonts w:hint="eastAsia" w:ascii="仿宋" w:hAnsi="仿宋" w:eastAsia="仿宋" w:cs="仿宋"/>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pPr>
              <w:keepLines/>
              <w:wordWrap w:val="0"/>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p>
        </w:tc>
        <w:tc>
          <w:tcPr>
            <w:tcW w:w="2078"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采购标的对应的中小企业划分标准所属行业</w:t>
            </w:r>
          </w:p>
        </w:tc>
        <w:tc>
          <w:tcPr>
            <w:tcW w:w="7019" w:type="dxa"/>
            <w:vAlign w:val="center"/>
          </w:tcPr>
          <w:p>
            <w:pPr>
              <w:pStyle w:val="23"/>
              <w:spacing w:line="500" w:lineRule="exact"/>
              <w:rPr>
                <w:rFonts w:ascii="仿宋" w:hAnsi="仿宋" w:eastAsia="仿宋" w:cs="仿宋"/>
                <w:b/>
                <w:bCs/>
                <w:szCs w:val="28"/>
              </w:rPr>
            </w:pPr>
            <w:r>
              <w:rPr>
                <w:rFonts w:hint="eastAsia" w:ascii="仿宋" w:hAnsi="仿宋" w:eastAsia="仿宋" w:cs="仿宋"/>
                <w:b/>
                <w:bCs/>
                <w:szCs w:val="28"/>
              </w:rPr>
              <w:t>工业</w:t>
            </w:r>
          </w:p>
          <w:p>
            <w:pPr>
              <w:pStyle w:val="23"/>
              <w:spacing w:line="500" w:lineRule="exact"/>
              <w:rPr>
                <w:rFonts w:ascii="仿宋" w:hAnsi="仿宋" w:eastAsia="仿宋" w:cs="仿宋"/>
                <w:b/>
                <w:bCs/>
                <w:szCs w:val="28"/>
              </w:rPr>
            </w:pPr>
            <w:r>
              <w:rPr>
                <w:rFonts w:hint="eastAsia" w:ascii="仿宋" w:hAnsi="仿宋" w:eastAsia="仿宋" w:cs="仿宋"/>
                <w:szCs w:val="28"/>
              </w:rPr>
              <w:t>参照《关于印发中小企业划型标准规定的通知》（工信部联企业〔2011〕300号）文件标准划分。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7" w:type="dxa"/>
            <w:vAlign w:val="center"/>
          </w:tcPr>
          <w:p>
            <w:pPr>
              <w:keepLines/>
              <w:wordWrap w:val="0"/>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5</w:t>
            </w:r>
          </w:p>
        </w:tc>
        <w:tc>
          <w:tcPr>
            <w:tcW w:w="2078"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信用担保和信用融资</w:t>
            </w:r>
          </w:p>
        </w:tc>
        <w:tc>
          <w:tcPr>
            <w:tcW w:w="7019" w:type="dxa"/>
            <w:vAlign w:val="center"/>
          </w:tcPr>
          <w:p>
            <w:pPr>
              <w:pStyle w:val="23"/>
              <w:spacing w:line="500" w:lineRule="exact"/>
              <w:rPr>
                <w:rFonts w:ascii="仿宋" w:hAnsi="仿宋" w:eastAsia="仿宋" w:cs="仿宋"/>
                <w:szCs w:val="28"/>
              </w:rPr>
            </w:pPr>
            <w:r>
              <w:rPr>
                <w:rFonts w:hint="eastAsia" w:ascii="仿宋" w:hAnsi="仿宋" w:eastAsia="仿宋" w:cs="仿宋"/>
                <w:szCs w:val="28"/>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pStyle w:val="23"/>
              <w:wordWrap w:val="0"/>
              <w:spacing w:line="500" w:lineRule="exact"/>
              <w:rPr>
                <w:rFonts w:ascii="仿宋" w:hAnsi="仿宋" w:eastAsia="仿宋" w:cs="仿宋"/>
                <w:szCs w:val="28"/>
              </w:rPr>
            </w:pPr>
            <w:r>
              <w:rPr>
                <w:rFonts w:hint="eastAsia" w:ascii="仿宋" w:hAnsi="仿宋" w:eastAsia="仿宋" w:cs="仿宋"/>
                <w:szCs w:val="28"/>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857" w:type="dxa"/>
            <w:vAlign w:val="center"/>
          </w:tcPr>
          <w:p>
            <w:pPr>
              <w:keepNext/>
              <w:topLinePunct/>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6</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信用信息查询</w:t>
            </w:r>
          </w:p>
        </w:tc>
        <w:tc>
          <w:tcPr>
            <w:tcW w:w="7019" w:type="dxa"/>
            <w:vAlign w:val="center"/>
          </w:tcPr>
          <w:p>
            <w:pPr>
              <w:keepNext/>
              <w:topLinePunct/>
              <w:spacing w:line="500" w:lineRule="exact"/>
              <w:rPr>
                <w:rFonts w:hint="eastAsia" w:ascii="仿宋" w:hAnsi="仿宋" w:eastAsia="仿宋" w:cs="仿宋"/>
                <w:sz w:val="28"/>
                <w:szCs w:val="28"/>
                <w:lang w:eastAsia="zh-CN"/>
              </w:rPr>
            </w:pPr>
            <w:r>
              <w:rPr>
                <w:rFonts w:hint="eastAsia" w:ascii="仿宋" w:hAnsi="仿宋" w:eastAsia="仿宋" w:cs="仿宋"/>
                <w:color w:val="auto"/>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w:t>
            </w:r>
            <w:r>
              <w:rPr>
                <w:rFonts w:hint="eastAsia" w:ascii="仿宋" w:hAnsi="仿宋" w:eastAsia="仿宋" w:cs="仿宋"/>
                <w:color w:val="auto"/>
                <w:sz w:val="28"/>
                <w:szCs w:val="28"/>
                <w:highlight w:val="none"/>
                <w:lang w:eastAsia="zh-CN"/>
              </w:rPr>
              <w:t>失信主体</w:t>
            </w:r>
            <w:r>
              <w:rPr>
                <w:rFonts w:hint="eastAsia" w:ascii="仿宋" w:hAnsi="仿宋" w:eastAsia="仿宋" w:cs="仿宋"/>
                <w:color w:val="auto"/>
                <w:sz w:val="28"/>
                <w:szCs w:val="28"/>
                <w:highlight w:val="none"/>
              </w:rPr>
              <w:t>、政府采购严重违法失信行为记录名单，其投标无效；采购代理机构将网站截图作为证据留存</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7" w:type="dxa"/>
            <w:vAlign w:val="center"/>
          </w:tcPr>
          <w:p>
            <w:pPr>
              <w:keepNext/>
              <w:topLinePunct/>
              <w:spacing w:line="5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078" w:type="dxa"/>
            <w:vAlign w:val="center"/>
          </w:tcPr>
          <w:p>
            <w:pPr>
              <w:keepNext/>
              <w:topLinePunct/>
              <w:spacing w:line="500" w:lineRule="exact"/>
              <w:jc w:val="center"/>
              <w:rPr>
                <w:rFonts w:ascii="仿宋" w:hAnsi="仿宋" w:eastAsia="仿宋" w:cs="仿宋"/>
                <w:sz w:val="28"/>
                <w:szCs w:val="28"/>
              </w:rPr>
            </w:pPr>
            <w:r>
              <w:rPr>
                <w:rFonts w:hint="eastAsia" w:ascii="仿宋" w:hAnsi="仿宋" w:eastAsia="仿宋" w:cs="仿宋"/>
                <w:sz w:val="28"/>
                <w:szCs w:val="28"/>
              </w:rPr>
              <w:t>其他未尽事宜</w:t>
            </w:r>
          </w:p>
        </w:tc>
        <w:tc>
          <w:tcPr>
            <w:tcW w:w="7019" w:type="dxa"/>
            <w:vAlign w:val="center"/>
          </w:tcPr>
          <w:p>
            <w:pPr>
              <w:keepNext/>
              <w:topLinePunct/>
              <w:spacing w:line="500" w:lineRule="exact"/>
              <w:rPr>
                <w:rFonts w:ascii="仿宋" w:hAnsi="仿宋" w:eastAsia="仿宋" w:cs="仿宋"/>
                <w:kern w:val="0"/>
                <w:sz w:val="28"/>
                <w:szCs w:val="28"/>
              </w:rPr>
            </w:pPr>
            <w:r>
              <w:rPr>
                <w:rFonts w:hint="eastAsia" w:ascii="仿宋" w:hAnsi="仿宋" w:eastAsia="仿宋" w:cs="仿宋"/>
                <w:sz w:val="28"/>
                <w:szCs w:val="28"/>
              </w:rPr>
              <w:t>按照《中华人民共和国政府采购法》及相关法律法规执行。</w:t>
            </w:r>
          </w:p>
        </w:tc>
      </w:tr>
      <w:bookmarkEnd w:id="39"/>
      <w:bookmarkEnd w:id="40"/>
      <w:bookmarkEnd w:id="41"/>
      <w:bookmarkEnd w:id="42"/>
    </w:tbl>
    <w:p>
      <w:pPr>
        <w:rPr>
          <w:rFonts w:ascii="仿宋" w:hAnsi="仿宋" w:eastAsia="仿宋" w:cs="仿宋"/>
          <w:sz w:val="44"/>
          <w:szCs w:val="44"/>
        </w:rPr>
      </w:pPr>
    </w:p>
    <w:p>
      <w:pPr>
        <w:ind w:firstLine="3080" w:firstLineChars="700"/>
        <w:rPr>
          <w:rFonts w:ascii="仿宋" w:hAnsi="仿宋" w:eastAsia="仿宋" w:cs="仿宋"/>
          <w:sz w:val="44"/>
          <w:szCs w:val="44"/>
        </w:rPr>
      </w:pPr>
      <w:bookmarkStart w:id="87" w:name="_Toc27428"/>
    </w:p>
    <w:p>
      <w:pPr>
        <w:ind w:firstLine="3080" w:firstLineChars="700"/>
        <w:rPr>
          <w:rFonts w:ascii="仿宋" w:hAnsi="仿宋" w:eastAsia="仿宋" w:cs="仿宋"/>
          <w:sz w:val="44"/>
          <w:szCs w:val="44"/>
        </w:rPr>
      </w:pPr>
    </w:p>
    <w:p>
      <w:pPr>
        <w:pStyle w:val="11"/>
        <w:rPr>
          <w:rFonts w:hint="default" w:ascii="仿宋" w:hAnsi="仿宋" w:cs="仿宋"/>
          <w:sz w:val="44"/>
          <w:szCs w:val="44"/>
        </w:rPr>
      </w:pPr>
    </w:p>
    <w:p/>
    <w:p>
      <w:pPr>
        <w:pStyle w:val="2"/>
        <w:ind w:firstLine="3092" w:firstLineChars="700"/>
        <w:jc w:val="both"/>
        <w:rPr>
          <w:rFonts w:hint="default" w:ascii="仿宋" w:hAnsi="仿宋" w:eastAsia="仿宋" w:cs="仿宋"/>
          <w:sz w:val="44"/>
          <w:szCs w:val="44"/>
        </w:rPr>
      </w:pPr>
      <w:bookmarkStart w:id="88" w:name="_Toc7900"/>
      <w:r>
        <w:rPr>
          <w:rFonts w:ascii="仿宋" w:hAnsi="仿宋" w:eastAsia="仿宋" w:cs="仿宋"/>
          <w:sz w:val="44"/>
          <w:szCs w:val="44"/>
        </w:rPr>
        <w:t>第三章  供应商须知</w:t>
      </w:r>
      <w:bookmarkEnd w:id="76"/>
      <w:bookmarkEnd w:id="77"/>
      <w:bookmarkEnd w:id="78"/>
      <w:bookmarkEnd w:id="79"/>
      <w:bookmarkEnd w:id="80"/>
      <w:bookmarkEnd w:id="87"/>
      <w:bookmarkEnd w:id="88"/>
    </w:p>
    <w:bookmarkEnd w:id="81"/>
    <w:bookmarkEnd w:id="82"/>
    <w:bookmarkEnd w:id="83"/>
    <w:bookmarkEnd w:id="84"/>
    <w:bookmarkEnd w:id="85"/>
    <w:bookmarkEnd w:id="86"/>
    <w:p>
      <w:pPr>
        <w:spacing w:line="500" w:lineRule="exact"/>
        <w:rPr>
          <w:rFonts w:ascii="仿宋" w:hAnsi="仿宋" w:eastAsia="仿宋" w:cs="仿宋"/>
          <w:b/>
          <w:bCs/>
          <w:sz w:val="28"/>
          <w:szCs w:val="28"/>
        </w:rPr>
      </w:pPr>
      <w:bookmarkStart w:id="89" w:name="_Hlt16619475"/>
      <w:bookmarkEnd w:id="89"/>
      <w:bookmarkStart w:id="90" w:name="_Toc120614215"/>
      <w:bookmarkStart w:id="91" w:name="_Toc16938525"/>
      <w:bookmarkStart w:id="92" w:name="_Toc11744"/>
      <w:bookmarkStart w:id="93" w:name="_Toc22915"/>
      <w:bookmarkStart w:id="94" w:name="_Toc12442"/>
      <w:bookmarkStart w:id="95" w:name="_Toc17068"/>
      <w:bookmarkStart w:id="96" w:name="_Toc421604327"/>
      <w:bookmarkStart w:id="97" w:name="_Toc22345"/>
      <w:bookmarkStart w:id="98" w:name="_Toc12607"/>
      <w:bookmarkStart w:id="99" w:name="_Toc18417"/>
      <w:bookmarkStart w:id="100" w:name="_Toc10080"/>
      <w:bookmarkStart w:id="101" w:name="_Toc23412"/>
      <w:bookmarkStart w:id="102" w:name="_Toc2079"/>
      <w:bookmarkStart w:id="103" w:name="_Toc513029209"/>
      <w:bookmarkStart w:id="104" w:name="_Toc403987206"/>
      <w:bookmarkStart w:id="105" w:name="_Toc1532"/>
      <w:bookmarkStart w:id="106" w:name="_Toc8649"/>
      <w:bookmarkStart w:id="107" w:name="_Toc26215"/>
      <w:bookmarkStart w:id="108" w:name="_Toc990"/>
      <w:bookmarkStart w:id="109" w:name="_Toc20823281"/>
      <w:bookmarkStart w:id="110" w:name="_Toc31403"/>
      <w:bookmarkStart w:id="111" w:name="_Toc4844"/>
      <w:bookmarkStart w:id="112" w:name="_Toc20465"/>
      <w:bookmarkStart w:id="113" w:name="_Toc19750"/>
      <w:bookmarkStart w:id="114" w:name="_Toc15653"/>
      <w:bookmarkStart w:id="115" w:name="_Toc12480"/>
      <w:bookmarkStart w:id="116" w:name="_Toc15003"/>
      <w:r>
        <w:rPr>
          <w:rFonts w:hint="eastAsia" w:ascii="仿宋" w:hAnsi="仿宋" w:eastAsia="仿宋" w:cs="仿宋"/>
          <w:b/>
          <w:bCs/>
          <w:sz w:val="28"/>
          <w:szCs w:val="28"/>
        </w:rPr>
        <w:t>一、名词解释</w:t>
      </w:r>
    </w:p>
    <w:p>
      <w:pPr>
        <w:pStyle w:val="46"/>
        <w:widowControl/>
        <w:adjustRightInd/>
        <w:spacing w:line="500" w:lineRule="exact"/>
        <w:ind w:firstLine="560"/>
        <w:rPr>
          <w:rFonts w:hint="eastAsia" w:ascii="仿宋" w:hAnsi="仿宋" w:eastAsia="仿宋" w:cs="仿宋"/>
          <w:szCs w:val="28"/>
          <w:lang w:val="en-US" w:eastAsia="zh-CN"/>
        </w:rPr>
      </w:pPr>
      <w:r>
        <w:rPr>
          <w:rFonts w:ascii="仿宋" w:hAnsi="仿宋" w:cs="仿宋"/>
          <w:szCs w:val="28"/>
        </w:rPr>
        <w:t>1、采   购   人：渭南市</w:t>
      </w:r>
      <w:r>
        <w:rPr>
          <w:rFonts w:hint="eastAsia" w:ascii="仿宋" w:hAnsi="仿宋" w:cs="仿宋"/>
          <w:szCs w:val="28"/>
          <w:lang w:eastAsia="zh-CN"/>
        </w:rPr>
        <w:t>临渭区人民法院</w:t>
      </w:r>
    </w:p>
    <w:p>
      <w:pPr>
        <w:pStyle w:val="46"/>
        <w:widowControl/>
        <w:adjustRightInd/>
        <w:spacing w:line="500" w:lineRule="exact"/>
        <w:ind w:firstLine="560"/>
        <w:rPr>
          <w:rFonts w:hint="default" w:ascii="仿宋" w:hAnsi="仿宋" w:cs="仿宋"/>
          <w:szCs w:val="28"/>
        </w:rPr>
      </w:pPr>
      <w:r>
        <w:rPr>
          <w:rFonts w:ascii="仿宋" w:hAnsi="仿宋" w:cs="仿宋"/>
          <w:szCs w:val="28"/>
        </w:rPr>
        <w:t>2、采购管理机构：渭南市</w:t>
      </w:r>
      <w:r>
        <w:rPr>
          <w:rFonts w:hint="eastAsia" w:ascii="仿宋" w:hAnsi="仿宋" w:cs="仿宋"/>
          <w:szCs w:val="28"/>
          <w:lang w:eastAsia="zh-CN"/>
        </w:rPr>
        <w:t>临渭区</w:t>
      </w:r>
      <w:r>
        <w:rPr>
          <w:rFonts w:ascii="仿宋" w:hAnsi="仿宋" w:cs="仿宋"/>
          <w:szCs w:val="28"/>
        </w:rPr>
        <w:t>财政局</w:t>
      </w:r>
    </w:p>
    <w:p>
      <w:pPr>
        <w:pStyle w:val="46"/>
        <w:widowControl/>
        <w:adjustRightInd/>
        <w:spacing w:line="500" w:lineRule="exact"/>
        <w:ind w:firstLine="560"/>
        <w:rPr>
          <w:rFonts w:hint="default" w:ascii="仿宋" w:hAnsi="仿宋" w:cs="仿宋"/>
          <w:szCs w:val="28"/>
        </w:rPr>
      </w:pPr>
      <w:r>
        <w:rPr>
          <w:rFonts w:ascii="仿宋" w:hAnsi="仿宋" w:cs="仿宋"/>
          <w:szCs w:val="28"/>
        </w:rPr>
        <w:t>3、采购代理机构：西安欣华联建工程咨询有限公司</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   应   商：参加本次公开招标的供应商</w:t>
      </w:r>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Pr>
        <w:spacing w:line="500" w:lineRule="exact"/>
        <w:rPr>
          <w:rFonts w:ascii="仿宋" w:hAnsi="仿宋" w:eastAsia="仿宋" w:cs="仿宋"/>
          <w:b/>
          <w:bCs/>
          <w:sz w:val="28"/>
          <w:szCs w:val="28"/>
        </w:rPr>
      </w:pPr>
      <w:bookmarkStart w:id="117" w:name="_Toc16941"/>
      <w:bookmarkStart w:id="118" w:name="_Toc17966"/>
      <w:bookmarkStart w:id="119" w:name="_Toc3063"/>
      <w:bookmarkStart w:id="120" w:name="_Toc281"/>
      <w:bookmarkStart w:id="121" w:name="_Toc30676"/>
      <w:bookmarkStart w:id="122" w:name="_Toc13587"/>
      <w:bookmarkStart w:id="123" w:name="_Toc5454"/>
      <w:bookmarkStart w:id="124" w:name="_Toc11939"/>
      <w:bookmarkStart w:id="125" w:name="_Toc26041"/>
      <w:bookmarkStart w:id="126" w:name="_Toc9523"/>
      <w:bookmarkStart w:id="127" w:name="_Toc25508"/>
      <w:bookmarkStart w:id="128" w:name="_Toc403987207"/>
      <w:bookmarkStart w:id="129" w:name="_Toc31727"/>
      <w:bookmarkStart w:id="130" w:name="_Toc27354"/>
      <w:bookmarkStart w:id="131" w:name="_Toc23338"/>
      <w:bookmarkStart w:id="132" w:name="_Toc17271"/>
      <w:bookmarkStart w:id="133" w:name="_Toc462564072"/>
      <w:bookmarkStart w:id="134" w:name="_Toc9916"/>
      <w:bookmarkStart w:id="135" w:name="_Toc513029213"/>
      <w:bookmarkStart w:id="136" w:name="_Toc120614216"/>
      <w:bookmarkStart w:id="137" w:name="_Toc421604328"/>
      <w:bookmarkStart w:id="138" w:name="_Toc16938529"/>
      <w:bookmarkStart w:id="139" w:name="_Toc10059"/>
      <w:bookmarkStart w:id="140" w:name="_Toc20823285"/>
      <w:bookmarkStart w:id="141" w:name="_Toc9319"/>
      <w:bookmarkStart w:id="142" w:name="_Toc19219"/>
      <w:bookmarkStart w:id="143" w:name="_Toc2709"/>
      <w:bookmarkStart w:id="144" w:name="_Toc22631"/>
      <w:r>
        <w:rPr>
          <w:rFonts w:hint="eastAsia" w:ascii="仿宋" w:hAnsi="仿宋" w:eastAsia="仿宋" w:cs="仿宋"/>
          <w:b/>
          <w:bCs/>
          <w:sz w:val="28"/>
          <w:szCs w:val="28"/>
        </w:rPr>
        <w:t>二、公开招标文件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1、招标文件的构成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1.1要求提供的服务、货物、招标过程和合同条件在招标文件中均有说明；招标文件各章名称见目录。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供应商应认真阅读招标文件中所有的事项、格式、条款和技术规范等。供应商没有按照招标文件要求提交全部资料，或者投标文件没有对招标文件在各方面都做出实质性响应是供应商的风险，并可能导致其投标被拒绝。</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2、招标文件的澄清或者修改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2.1采购人或者采购代理机构可以对已发出的招标文件进行必要的澄清或者修改，澄清或者修改的内容为招标文件的组成部分；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澄清或者修改的内容可能影响投标文件编制的，采购人或者采购代理机构应当在投标截止时间至少15日前，以书面形式通知所有获取招标文件的潜在供应商；不足15日的，采购人或者采购代理机构应当根据项目实际情况决定是否顺延提交投标文件的截止时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3、各供应商必须从采购代理机构购买招标文件，供应商自行转让或复制文件视为无效。招标文件一经售出，一律不退，仅作为本次招标使用。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4、本文件的解释权归采购人和采购代理机构。</w:t>
      </w:r>
    </w:p>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spacing w:line="500" w:lineRule="exact"/>
        <w:rPr>
          <w:rFonts w:ascii="仿宋" w:hAnsi="仿宋" w:eastAsia="仿宋" w:cs="仿宋"/>
          <w:b/>
          <w:bCs/>
          <w:sz w:val="28"/>
          <w:szCs w:val="28"/>
          <w:highlight w:val="none"/>
        </w:rPr>
      </w:pPr>
      <w:bookmarkStart w:id="145" w:name="_Toc49090511"/>
      <w:bookmarkStart w:id="146" w:name="_Toc14577360"/>
      <w:r>
        <w:rPr>
          <w:rFonts w:hint="eastAsia" w:ascii="仿宋" w:hAnsi="仿宋" w:eastAsia="仿宋" w:cs="仿宋"/>
          <w:b/>
          <w:bCs/>
          <w:sz w:val="28"/>
          <w:szCs w:val="28"/>
        </w:rPr>
        <w:t>三、招标的内容要求</w:t>
      </w:r>
    </w:p>
    <w:p>
      <w:pPr>
        <w:keepNext w:val="0"/>
        <w:keepLines w:val="0"/>
        <w:pageBreakBefore w:val="0"/>
        <w:kinsoku/>
        <w:overflowPunct/>
        <w:topLinePunct w:val="0"/>
        <w:autoSpaceDE/>
        <w:autoSpaceDN/>
        <w:bidi w:val="0"/>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highlight w:val="none"/>
        </w:rPr>
        <w:t>1、招标内容：</w:t>
      </w:r>
      <w:r>
        <w:rPr>
          <w:rFonts w:hint="eastAsia" w:ascii="仿宋" w:hAnsi="仿宋" w:eastAsia="仿宋" w:cs="仿宋"/>
          <w:kern w:val="0"/>
          <w:sz w:val="28"/>
          <w:szCs w:val="28"/>
          <w:highlight w:val="none"/>
        </w:rPr>
        <w:t>法庭庭审记录设备、法庭信息发布设备、诉讼档案管理设备、网络设备等</w:t>
      </w:r>
      <w:r>
        <w:rPr>
          <w:rFonts w:hint="eastAsia" w:ascii="仿宋" w:hAnsi="仿宋" w:eastAsia="仿宋" w:cs="仿宋"/>
          <w:sz w:val="28"/>
          <w:szCs w:val="28"/>
          <w:highlight w:val="none"/>
        </w:rPr>
        <w:t>（详见第四章采购内容），供应商应对所有内容进行响应，不得在其中选项，否则</w:t>
      </w:r>
      <w:r>
        <w:rPr>
          <w:rFonts w:hint="eastAsia" w:ascii="仿宋" w:hAnsi="仿宋" w:eastAsia="仿宋" w:cs="仿宋"/>
          <w:sz w:val="28"/>
          <w:szCs w:val="28"/>
        </w:rPr>
        <w:t>按无效文件处理。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2、供应商资格：</w:t>
      </w:r>
    </w:p>
    <w:p>
      <w:pPr>
        <w:pStyle w:val="24"/>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2.1满足《中华人民共和国政府采购法》第二十二条规定；</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2.2本项目的特定资格要求：</w:t>
      </w:r>
      <w:r>
        <w:rPr>
          <w:rFonts w:hint="eastAsia" w:ascii="仿宋" w:hAnsi="仿宋" w:eastAsia="仿宋" w:cs="仿宋"/>
          <w:kern w:val="0"/>
          <w:sz w:val="28"/>
          <w:szCs w:val="28"/>
        </w:rPr>
        <w:t>①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pStyle w:val="24"/>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②法定代表人授权委托书（附法定代表人身份证复印件）及被授权委托人身份证（法定代表人参加投标只须提供法定代表人身份证）；</w:t>
      </w:r>
    </w:p>
    <w:p>
      <w:pPr>
        <w:pStyle w:val="24"/>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③提供202</w:t>
      </w:r>
      <w:r>
        <w:rPr>
          <w:rFonts w:hint="eastAsia" w:ascii="仿宋" w:hAnsi="仿宋" w:eastAsia="仿宋" w:cs="仿宋"/>
          <w:sz w:val="28"/>
          <w:szCs w:val="28"/>
          <w:lang w:val="en-US" w:eastAsia="zh-CN"/>
        </w:rPr>
        <w:t>2</w:t>
      </w:r>
      <w:r>
        <w:rPr>
          <w:rFonts w:hint="eastAsia" w:ascii="仿宋" w:hAnsi="仿宋" w:eastAsia="仿宋" w:cs="仿宋"/>
          <w:sz w:val="28"/>
          <w:szCs w:val="28"/>
        </w:rPr>
        <w:t>年度经审计的财务报告或开标前六个月内其基本账户银行出具的资信证明或财政部门认可的政府采购专业担保机构出具的担保函；</w:t>
      </w:r>
    </w:p>
    <w:p>
      <w:pPr>
        <w:pStyle w:val="24"/>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④提供202</w:t>
      </w:r>
      <w:r>
        <w:rPr>
          <w:rFonts w:hint="eastAsia" w:ascii="仿宋" w:hAnsi="仿宋" w:eastAsia="仿宋" w:cs="仿宋"/>
          <w:sz w:val="28"/>
          <w:szCs w:val="28"/>
          <w:lang w:val="en-US" w:eastAsia="zh-CN"/>
        </w:rPr>
        <w:t>3</w:t>
      </w:r>
      <w:r>
        <w:rPr>
          <w:rFonts w:hint="eastAsia" w:ascii="仿宋" w:hAnsi="仿宋" w:eastAsia="仿宋" w:cs="仿宋"/>
          <w:sz w:val="28"/>
          <w:szCs w:val="28"/>
        </w:rPr>
        <w:t>年6月以来任意3个月依法缴纳税收和社会保险的相关证明材料；注：依法免税或不需要缴纳社会保险的供应商提供相关部门出具的证明文件；</w:t>
      </w:r>
    </w:p>
    <w:p>
      <w:pPr>
        <w:pStyle w:val="24"/>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⑤提供具有履行合同所必需的设备和专业技术能力的承诺；</w:t>
      </w:r>
    </w:p>
    <w:p>
      <w:pPr>
        <w:pStyle w:val="24"/>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⑥提供参加政府采购活动前3年内在经营活动中没有重大违法记录的书面声明；</w:t>
      </w:r>
    </w:p>
    <w:p>
      <w:pPr>
        <w:pStyle w:val="24"/>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⑦投标保证金交纳凭证</w:t>
      </w:r>
      <w:r>
        <w:rPr>
          <w:rFonts w:hint="eastAsia" w:ascii="仿宋" w:hAnsi="仿宋" w:eastAsia="仿宋" w:cs="仿宋"/>
          <w:sz w:val="28"/>
          <w:szCs w:val="28"/>
          <w:lang w:eastAsia="zh-CN"/>
        </w:rPr>
        <w:t>；</w:t>
      </w:r>
    </w:p>
    <w:p>
      <w:pPr>
        <w:pStyle w:val="24"/>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⑧单位负责人为同一人或者存在直接控股、管理关系的不同供应商，不得参加同一合同项下的政府采购活动。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3、投标文件的编制：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3.1投标文件必须根据招标文件要求的格式编写，做出实质性响应。具体内容包括：</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①按照要求填写投标响应函格式；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②报价一览表；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③供应商按要求出具的资格证明文件，证明参加投标的供应商是合格的，中标后有能力履行合同，且产品来源渠道合法，质量有保证等；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④各供应商按招标文件要求，完成本次采购任务，包含货物提供运输、安装调试、验收、售后服务等服务内容。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3.2投标报价：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①各供应商应在投标文件中的报价一览表上，</w:t>
      </w:r>
      <w:r>
        <w:rPr>
          <w:rFonts w:hint="eastAsia" w:ascii="仿宋" w:hAnsi="仿宋" w:eastAsia="仿宋" w:cs="仿宋"/>
          <w:sz w:val="28"/>
          <w:szCs w:val="28"/>
          <w:u w:color="000000"/>
        </w:rPr>
        <w:t>标明总价</w:t>
      </w:r>
      <w:r>
        <w:rPr>
          <w:rFonts w:hint="eastAsia" w:ascii="仿宋" w:hAnsi="仿宋" w:eastAsia="仿宋" w:cs="仿宋"/>
          <w:sz w:val="28"/>
          <w:szCs w:val="28"/>
          <w:highlight w:val="none"/>
          <w:u w:color="000000"/>
        </w:rPr>
        <w:t>、</w:t>
      </w:r>
      <w:r>
        <w:rPr>
          <w:rFonts w:hint="eastAsia" w:ascii="仿宋" w:hAnsi="仿宋" w:eastAsia="仿宋" w:cs="仿宋"/>
          <w:sz w:val="28"/>
          <w:szCs w:val="28"/>
          <w:highlight w:val="none"/>
          <w:lang w:eastAsia="zh-CN"/>
        </w:rPr>
        <w:t>整个项目完成期限</w:t>
      </w:r>
      <w:r>
        <w:rPr>
          <w:rFonts w:hint="eastAsia" w:ascii="仿宋" w:hAnsi="仿宋" w:eastAsia="仿宋" w:cs="仿宋"/>
          <w:sz w:val="28"/>
          <w:szCs w:val="28"/>
          <w:highlight w:val="none"/>
        </w:rPr>
        <w:t>、</w:t>
      </w:r>
      <w:r>
        <w:rPr>
          <w:rFonts w:hint="eastAsia" w:ascii="仿宋" w:hAnsi="仿宋" w:eastAsia="仿宋" w:cs="仿宋"/>
          <w:sz w:val="28"/>
          <w:szCs w:val="28"/>
        </w:rPr>
        <w:t>质量标准等项，在分项报价表中须标明单价，任何有选择的报价采购代理机构不予接受；</w:t>
      </w:r>
    </w:p>
    <w:p>
      <w:pPr>
        <w:spacing w:line="500" w:lineRule="exact"/>
        <w:ind w:firstLine="560" w:firstLineChars="200"/>
        <w:rPr>
          <w:rFonts w:ascii="仿宋" w:hAnsi="仿宋" w:eastAsia="仿宋" w:cs="仿宋"/>
          <w:sz w:val="28"/>
          <w:szCs w:val="28"/>
        </w:rPr>
      </w:pPr>
      <w:r>
        <w:rPr>
          <w:rFonts w:hint="eastAsia" w:ascii="仿宋" w:hAnsi="仿宋" w:cs="仿宋"/>
          <w:sz w:val="28"/>
          <w:szCs w:val="28"/>
        </w:rPr>
        <w:t>②</w:t>
      </w:r>
      <w:r>
        <w:rPr>
          <w:rFonts w:hint="eastAsia" w:ascii="仿宋" w:hAnsi="仿宋" w:eastAsia="仿宋" w:cs="仿宋"/>
          <w:sz w:val="28"/>
          <w:szCs w:val="28"/>
        </w:rPr>
        <w:t>投标总价为包括完成本项目招标文件中所提出的工作范围及要求的全部内容，并达到国家及采购人验收标准而产生的所有费用，包括</w:t>
      </w:r>
      <w:r>
        <w:rPr>
          <w:rFonts w:hint="eastAsia" w:ascii="仿宋" w:hAnsi="仿宋" w:eastAsia="仿宋" w:cs="仿宋"/>
          <w:b/>
          <w:bCs/>
          <w:sz w:val="28"/>
          <w:szCs w:val="28"/>
        </w:rPr>
        <w:t>货物价款、软件费、人工费、安装调试费、资料费、系统升级费、系统平台对接费、培训费、运杂费（含保险费）、售后服务费、验收费、税金及风险等所有费用，</w:t>
      </w:r>
      <w:r>
        <w:rPr>
          <w:rFonts w:hint="eastAsia" w:ascii="仿宋" w:hAnsi="仿宋" w:eastAsia="仿宋" w:cs="仿宋"/>
          <w:sz w:val="28"/>
          <w:szCs w:val="28"/>
        </w:rPr>
        <w:t>任何错报、漏报由供应商自行负责；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③凡因供应商对招标文件阅读不深、理解不透、误解、疏漏或因市场行情了解不清造成的后果和风险均由各供应商自负；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④各供应商自行现场踏勘；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⑤最低报价不作为中标的唯一条件。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3.3保证金：</w:t>
      </w:r>
      <w:r>
        <w:rPr>
          <w:rFonts w:hint="eastAsia" w:ascii="仿宋" w:hAnsi="仿宋" w:eastAsia="仿宋" w:cs="仿宋"/>
          <w:sz w:val="28"/>
          <w:szCs w:val="28"/>
          <w:u w:val="single"/>
        </w:rPr>
        <w:t>人民币壹万</w:t>
      </w:r>
      <w:r>
        <w:rPr>
          <w:rFonts w:hint="eastAsia" w:ascii="仿宋" w:hAnsi="仿宋" w:eastAsia="仿宋" w:cs="仿宋"/>
          <w:sz w:val="28"/>
          <w:szCs w:val="28"/>
          <w:u w:val="single"/>
          <w:lang w:eastAsia="zh-CN"/>
        </w:rPr>
        <w:t>伍</w:t>
      </w:r>
      <w:r>
        <w:rPr>
          <w:rFonts w:hint="eastAsia" w:ascii="仿宋" w:hAnsi="仿宋" w:eastAsia="仿宋" w:cs="仿宋"/>
          <w:sz w:val="28"/>
          <w:szCs w:val="28"/>
          <w:u w:val="single"/>
        </w:rPr>
        <w:t>仟元整（¥1</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000.00元）</w:t>
      </w:r>
    </w:p>
    <w:p>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①供应商须在文件递交截止时间前向采购代理机构交纳投标保证金（以到账时间为准），</w:t>
      </w:r>
      <w:r>
        <w:rPr>
          <w:rFonts w:hint="eastAsia" w:ascii="仿宋" w:hAnsi="仿宋" w:eastAsia="仿宋" w:cs="仿宋"/>
          <w:b/>
          <w:bCs/>
          <w:sz w:val="28"/>
          <w:szCs w:val="28"/>
        </w:rPr>
        <w:t>交纳时请注明“保证金”；</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②各供应商应按招标文件规定的金额递交保证金，并作为其投标文件的组成部分。</w:t>
      </w:r>
    </w:p>
    <w:p>
      <w:pPr>
        <w:widowControl/>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③保证金应为人民币，可采用下列任何一种形式支付：</w:t>
      </w:r>
    </w:p>
    <w:p>
      <w:pPr>
        <w:pStyle w:val="46"/>
        <w:widowControl/>
        <w:spacing w:line="500" w:lineRule="exact"/>
        <w:ind w:firstLine="560"/>
        <w:rPr>
          <w:rFonts w:hint="default" w:ascii="仿宋" w:hAnsi="仿宋" w:cs="仿宋"/>
          <w:szCs w:val="28"/>
        </w:rPr>
      </w:pPr>
      <w:r>
        <w:rPr>
          <w:rFonts w:ascii="仿宋" w:hAnsi="仿宋" w:cs="仿宋"/>
          <w:szCs w:val="28"/>
        </w:rPr>
        <w:t>转账、支票、本票、电汇或金融机构、担保机构出具的保函</w:t>
      </w:r>
      <w:r>
        <w:rPr>
          <w:rFonts w:hint="eastAsia" w:ascii="仿宋" w:hAnsi="仿宋" w:eastAsia="仿宋" w:cs="仿宋"/>
          <w:color w:val="auto"/>
          <w:sz w:val="28"/>
          <w:szCs w:val="28"/>
          <w:highlight w:val="none"/>
        </w:rPr>
        <w:t>等非现金形式提交，</w:t>
      </w:r>
      <w:r>
        <w:rPr>
          <w:rFonts w:ascii="仿宋" w:hAnsi="仿宋" w:cs="仿宋"/>
          <w:szCs w:val="28"/>
          <w:lang w:val="zh-CN"/>
        </w:rPr>
        <w:t>以保函形式提交的必须是陕西省财政厅认定的具有开具保函资格的单位开具的保函，且供应商须在开标前至采购代理机构办理投标保证金收款凭证，并在投标文件中附收款凭证复印件。此凭证是证明投标保证金缴纳的唯一凭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④凡没有随附保证金凭证的投标文件，视为非响应性投标，其投标文件无效；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⑤未中标单位的保证金，在中标通知书发出后五个工作日内,根据所提供的《投标保证金退还申请表》（格式见招标文件第七章）无息退还；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⑥中标单位的保证金，在合同签订后五个工作日内，根据所提供的《投标保证金退还申请表》（格式见招标文件第七章）无息退还；</w:t>
      </w:r>
      <w:r>
        <w:rPr>
          <w:rFonts w:hint="eastAsia" w:ascii="仿宋" w:hAnsi="仿宋" w:eastAsia="仿宋" w:cs="仿宋"/>
          <w:b/>
          <w:bCs/>
          <w:sz w:val="28"/>
          <w:szCs w:val="28"/>
        </w:rPr>
        <w:t>（合同签订后三个工作日内，须向采购代理机构提供两份合同原件，以便及时退还保证金）</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因供应商自身原因导致未及时退还的，由供应商自行负责。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3.4下列情况发生（包括但不限于），保证金将不予退还：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①供应商提供虚假资格谋取中标的；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②有围标、串标现象，经查证属实的；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③供应商在该项目招投标期间擅自退出投标活动的；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④投标文件递交截止时间后供应商撤销投标文件的；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⑤中标供应商自行放弃中标资格的；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⑥中标供应商不在规定的时效内领取《中标通知书》的；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⑦中标供应商不按规定支付采购代理服务费的；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⑧中标供应商因自身原因未能在规定期限内与采购人签订合同的。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3.5投标文件有效期为从提交投标文件的截止之日起90日历日，中标供应商的投标文件有效期延长至合同执行完毕。</w:t>
      </w:r>
    </w:p>
    <w:p>
      <w:pPr>
        <w:spacing w:line="500" w:lineRule="exact"/>
        <w:rPr>
          <w:rFonts w:ascii="仿宋" w:hAnsi="仿宋" w:eastAsia="仿宋" w:cs="仿宋"/>
          <w:b/>
          <w:bCs/>
          <w:sz w:val="28"/>
          <w:szCs w:val="28"/>
        </w:rPr>
      </w:pPr>
      <w:r>
        <w:rPr>
          <w:rFonts w:hint="eastAsia" w:ascii="仿宋" w:hAnsi="仿宋" w:eastAsia="仿宋" w:cs="仿宋"/>
          <w:b/>
          <w:bCs/>
          <w:sz w:val="28"/>
          <w:szCs w:val="28"/>
        </w:rPr>
        <w:t>四、投标文件的式样和签署</w:t>
      </w:r>
    </w:p>
    <w:p>
      <w:pPr>
        <w:pStyle w:val="46"/>
        <w:widowControl/>
        <w:spacing w:line="500" w:lineRule="exact"/>
        <w:ind w:firstLine="560"/>
        <w:rPr>
          <w:rFonts w:hint="default"/>
          <w:szCs w:val="28"/>
        </w:rPr>
      </w:pPr>
      <w:r>
        <w:rPr>
          <w:rFonts w:ascii="仿宋" w:hAnsi="仿宋" w:cs="仿宋"/>
          <w:szCs w:val="28"/>
        </w:rPr>
        <w:t>1、各供应商应按照给定的式样，准备投标文件。资格标：正本一份、副本三份；商务及技术标：正本一份、副本三份；电子文档一份，</w:t>
      </w:r>
      <w:r>
        <w:rPr>
          <w:rFonts w:ascii="仿宋" w:hAnsi="仿宋" w:cs="仿宋"/>
          <w:kern w:val="2"/>
          <w:szCs w:val="28"/>
        </w:rPr>
        <w:t>分别密封，</w:t>
      </w:r>
      <w:r>
        <w:rPr>
          <w:rFonts w:ascii="仿宋" w:hAnsi="仿宋" w:cs="仿宋"/>
          <w:szCs w:val="28"/>
        </w:rPr>
        <w:t>每套投标文件须清楚地标明“正本”“副本”及“电子文档”。一旦正本和副本不符，以正本为准。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2、投标文件的正本和所有的副本均需打印或用不褪色蓝（黑）墨水（汁）书写，统一胶装、编码，在每一页的正下方清楚标明页码。</w:t>
      </w:r>
    </w:p>
    <w:p>
      <w:pPr>
        <w:pStyle w:val="46"/>
        <w:widowControl/>
        <w:adjustRightInd/>
        <w:spacing w:line="500" w:lineRule="exact"/>
        <w:ind w:firstLine="560"/>
        <w:rPr>
          <w:rFonts w:hint="default" w:ascii="仿宋" w:hAnsi="仿宋" w:cs="仿宋"/>
          <w:szCs w:val="28"/>
        </w:rPr>
      </w:pPr>
      <w:r>
        <w:rPr>
          <w:rFonts w:ascii="仿宋" w:hAnsi="仿宋" w:cs="仿宋"/>
          <w:szCs w:val="28"/>
        </w:rPr>
        <w:t>3、投标文件必须加盖单位公章、其法定代表人或被授权委托人签字或盖章。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4、投标文件除各供应商对错处做必要修改外，不得行间插字、涂改和增删，如有修改错漏处，必须由供应商法定代表人或被授权委托人签字并加盖单位公章。</w:t>
      </w:r>
    </w:p>
    <w:p>
      <w:pPr>
        <w:spacing w:line="500" w:lineRule="exact"/>
        <w:rPr>
          <w:rFonts w:ascii="仿宋" w:hAnsi="仿宋" w:eastAsia="仿宋" w:cs="仿宋"/>
          <w:sz w:val="28"/>
          <w:szCs w:val="28"/>
        </w:rPr>
      </w:pPr>
      <w:r>
        <w:rPr>
          <w:rFonts w:hint="eastAsia" w:ascii="仿宋" w:hAnsi="仿宋" w:eastAsia="仿宋" w:cs="仿宋"/>
          <w:b/>
          <w:bCs/>
          <w:sz w:val="28"/>
          <w:szCs w:val="28"/>
        </w:rPr>
        <w:t>五、投标文件的密封及递交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1、投标文件的密封：</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1.1“资格标”正本单独密封，“资格标”副本单独密封，“商务及技术标”正本单独密封，“商务及技术标”副本单独密封，“电子文档”单独密封。</w:t>
      </w:r>
    </w:p>
    <w:p>
      <w:pPr>
        <w:spacing w:line="500" w:lineRule="exact"/>
        <w:ind w:firstLine="560" w:firstLineChars="200"/>
        <w:rPr>
          <w:rFonts w:eastAsia="仿宋"/>
          <w:sz w:val="28"/>
          <w:szCs w:val="28"/>
        </w:rPr>
      </w:pPr>
      <w:r>
        <w:rPr>
          <w:rFonts w:hint="eastAsia" w:ascii="仿宋" w:hAnsi="仿宋" w:eastAsia="仿宋" w:cs="仿宋"/>
          <w:sz w:val="28"/>
          <w:szCs w:val="28"/>
        </w:rPr>
        <w:t>1.2在密封袋（箱）封口处加盖单位公章并由法定代表人或被授权委托人签字或盖章；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1.3在密封袋（箱）上应标明项目编号、项目名称、供应商全称（并加盖单位公章）、</w:t>
      </w:r>
      <w:r>
        <w:rPr>
          <w:rFonts w:hint="eastAsia" w:ascii="仿宋" w:hAnsi="仿宋" w:eastAsia="仿宋" w:cs="仿宋"/>
          <w:kern w:val="0"/>
          <w:sz w:val="28"/>
          <w:szCs w:val="28"/>
        </w:rPr>
        <w:t>在20</w:t>
      </w:r>
      <w:r>
        <w:rPr>
          <w:rFonts w:hint="eastAsia" w:ascii="仿宋" w:hAnsi="仿宋" w:eastAsia="仿宋" w:cs="仿宋"/>
          <w:kern w:val="0"/>
          <w:sz w:val="28"/>
          <w:szCs w:val="28"/>
          <w:lang w:val="en-US" w:eastAsia="zh-CN"/>
        </w:rPr>
        <w:t>24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27</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09</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前不得开启</w:t>
      </w:r>
      <w:r>
        <w:rPr>
          <w:rFonts w:hint="eastAsia" w:ascii="仿宋" w:hAnsi="仿宋" w:eastAsia="仿宋" w:cs="仿宋"/>
          <w:sz w:val="28"/>
          <w:szCs w:val="28"/>
        </w:rPr>
        <w:t>等内容；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1.4如果投标文件未按要求密封，采购代理机构拒绝接收。</w:t>
      </w:r>
    </w:p>
    <w:p>
      <w:pPr>
        <w:spacing w:line="500" w:lineRule="exact"/>
        <w:ind w:firstLine="560" w:firstLineChars="200"/>
        <w:rPr>
          <w:sz w:val="28"/>
          <w:szCs w:val="28"/>
        </w:rPr>
      </w:pPr>
      <w:r>
        <w:rPr>
          <w:rFonts w:hint="eastAsia" w:ascii="仿宋" w:hAnsi="仿宋" w:eastAsia="仿宋" w:cs="仿宋"/>
          <w:sz w:val="28"/>
          <w:szCs w:val="28"/>
        </w:rPr>
        <w:t>2、投标文件的递交：</w:t>
      </w:r>
    </w:p>
    <w:p>
      <w:pPr>
        <w:pStyle w:val="8"/>
        <w:spacing w:before="0" w:line="500" w:lineRule="exact"/>
        <w:ind w:firstLine="560" w:firstLineChars="200"/>
        <w:rPr>
          <w:rFonts w:eastAsia="仿宋"/>
          <w:b/>
          <w:bCs/>
          <w:sz w:val="28"/>
          <w:szCs w:val="28"/>
        </w:rPr>
      </w:pPr>
      <w:r>
        <w:rPr>
          <w:rFonts w:hint="eastAsia" w:ascii="仿宋" w:hAnsi="仿宋" w:eastAsia="仿宋" w:cs="仿宋"/>
          <w:sz w:val="28"/>
          <w:szCs w:val="28"/>
        </w:rPr>
        <w:t>2.1供应商应将投标文件的正本、副本、电子文档，分别递交，且在封面标明“正本”“副本”“电子文档”字样；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2.2在投标文件递交截止期后，采购代理机构拒绝接收供应商递交的任何资料和文件；</w:t>
      </w:r>
    </w:p>
    <w:p>
      <w:pPr>
        <w:pStyle w:val="11"/>
        <w:spacing w:after="0" w:line="500" w:lineRule="exact"/>
        <w:ind w:firstLine="560" w:firstLineChars="200"/>
        <w:rPr>
          <w:rFonts w:hint="default"/>
          <w:sz w:val="28"/>
          <w:szCs w:val="28"/>
        </w:rPr>
      </w:pPr>
      <w:r>
        <w:rPr>
          <w:rFonts w:ascii="仿宋" w:hAnsi="仿宋" w:cs="仿宋"/>
          <w:kern w:val="2"/>
          <w:sz w:val="28"/>
          <w:szCs w:val="28"/>
        </w:rPr>
        <w:t>2.3供应商在投标截止时间前，可以对所递交的投标文件进行补充、修改或者撤回，并书面通知采购人或者采购代理机构。补充、修改的内容应当按照招标文件要求签署、盖章、密封后，作为投标文件的组成部分；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2.4投标文件递交截止后供应商不得对其投标文件做任何修改；</w:t>
      </w:r>
    </w:p>
    <w:p>
      <w:pPr>
        <w:spacing w:line="500" w:lineRule="exact"/>
        <w:ind w:firstLine="560" w:firstLineChars="200"/>
      </w:pPr>
      <w:r>
        <w:rPr>
          <w:rFonts w:hint="eastAsia" w:ascii="仿宋" w:hAnsi="仿宋" w:eastAsia="仿宋" w:cs="仿宋"/>
          <w:sz w:val="28"/>
          <w:szCs w:val="28"/>
        </w:rPr>
        <w:t>2.5在投标文件递交截止期后到投标规定的投标文件有效期满之间的这段时间内，供应商不得撤销其投标文件，否则将没收保证金，同时，还应按《中华人民共和国政府采购法》的有关规定处罚。</w:t>
      </w:r>
    </w:p>
    <w:bookmarkEnd w:id="145"/>
    <w:bookmarkEnd w:id="146"/>
    <w:p>
      <w:pPr>
        <w:spacing w:line="500" w:lineRule="exact"/>
        <w:rPr>
          <w:rFonts w:ascii="仿宋" w:hAnsi="仿宋" w:eastAsia="仿宋" w:cs="仿宋"/>
          <w:b/>
          <w:bCs/>
          <w:sz w:val="28"/>
          <w:szCs w:val="28"/>
        </w:rPr>
      </w:pPr>
      <w:r>
        <w:rPr>
          <w:rFonts w:hint="eastAsia" w:ascii="仿宋" w:hAnsi="仿宋" w:eastAsia="仿宋" w:cs="仿宋"/>
          <w:b/>
          <w:bCs/>
          <w:sz w:val="28"/>
          <w:szCs w:val="28"/>
        </w:rPr>
        <w:t>六、采购代理机构及评标委员会职能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1、采购代理机构职能：</w:t>
      </w:r>
    </w:p>
    <w:p>
      <w:pPr>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1.1采购代理机构组织开标、评审工作，开标整个过程接受采购管理机构的监督和管理，参加投标的供应商、评标委员会、监督机构及采购人须签名报到以证明出席；</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为确保招标工作公平、公正，根据《中华人民共和国政府采购法》《中华人民共和国政府采购法实施条例》及相关法律法规的规定成立评标委员会。评标委员会由采购人代表和评审专家组成，成员人数为5人以上单数，评审专家在政府采购专家库中随机抽取。</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2、评标委员会的职能：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2.1对各供应商就投标文件中（含澄清、说明或补正的内容）投标报价、商务部分、技术响应、业绩证明、售后服务承诺等进行评审；</w:t>
      </w:r>
    </w:p>
    <w:p>
      <w:pPr>
        <w:pStyle w:val="11"/>
        <w:spacing w:after="0" w:line="500" w:lineRule="exact"/>
        <w:ind w:firstLine="560" w:firstLineChars="200"/>
        <w:rPr>
          <w:rFonts w:hint="default" w:ascii="仿宋" w:hAnsi="仿宋" w:cs="仿宋"/>
          <w:kern w:val="2"/>
          <w:sz w:val="28"/>
          <w:szCs w:val="28"/>
        </w:rPr>
      </w:pPr>
      <w:r>
        <w:rPr>
          <w:rFonts w:ascii="仿宋" w:hAnsi="仿宋" w:cs="仿宋"/>
          <w:kern w:val="2"/>
          <w:sz w:val="28"/>
          <w:szCs w:val="28"/>
        </w:rPr>
        <w:t>2.2对于投标文件中含义不明确、同类问题表述不一致或者有明显文字和计算错误的内容，评标委员会应当以书面形式要求供应商作出必要的澄清、说明或者补正；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2.3依据招标文件的要求和评审标准，确定进入最终评审的供应商；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2.4排序推荐中标候选供应商；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2.5协商处理开标过程中出现的其他相关问题。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3、评标委员会成员应当遵守并履行下列义务：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3.1遵纪守法，客观、公正、廉洁地履行职责，审查投标文件是否符合招标文件的要求，并做出评价；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3.2要求供应商对投标文件有关事项作出解释或者澄清；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3.3按照招标文件的要求和评审办法进行评审，推荐中标候选供应商名单，对评审意见承担个人责任；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3.4对评审过程和结果以及供应商的商业秘密保密；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3.5参与评标报告的起草；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3.6配合采购代理机构答复供应商提出的质疑；</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3.7配合财政部门的投诉处理工作。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4、开标时，采购代理机构依据递交投标文件顺序的逆顺序，将各供应商的投标报价及有关内容进行公布。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5、开标后，直到与中标供应商签订合同为止，凡与审查、澄清、评价和比较各供应商的有关资料及意见等内容，评标委员会均不得向供应商及与投标无关的其他人透露。</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七、评审原则及程序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1、招标评审原则：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1.1评标委员会遵循“公平、公正、科学、择优”的原则；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1.2采用同一程序和标准对供应商进行评审。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2、投标文件出现下列情况，修正原则为：</w:t>
      </w:r>
    </w:p>
    <w:p>
      <w:pPr>
        <w:pStyle w:val="46"/>
        <w:adjustRightInd/>
        <w:spacing w:line="500" w:lineRule="exact"/>
        <w:ind w:firstLine="560"/>
        <w:rPr>
          <w:rFonts w:hint="default" w:ascii="仿宋" w:hAnsi="仿宋" w:cs="仿宋"/>
          <w:kern w:val="2"/>
          <w:szCs w:val="28"/>
        </w:rPr>
      </w:pPr>
      <w:r>
        <w:rPr>
          <w:rFonts w:ascii="仿宋" w:hAnsi="仿宋" w:cs="仿宋"/>
          <w:kern w:val="2"/>
          <w:szCs w:val="28"/>
        </w:rPr>
        <w:t>2.1文字与图表不符以文字为准；</w:t>
      </w:r>
    </w:p>
    <w:p>
      <w:pPr>
        <w:pStyle w:val="46"/>
        <w:adjustRightInd/>
        <w:spacing w:line="500" w:lineRule="exact"/>
        <w:ind w:firstLine="560"/>
        <w:rPr>
          <w:rFonts w:hint="default" w:ascii="仿宋" w:hAnsi="仿宋" w:cs="仿宋"/>
          <w:spacing w:val="-4"/>
          <w:szCs w:val="28"/>
        </w:rPr>
      </w:pPr>
      <w:r>
        <w:rPr>
          <w:rFonts w:ascii="仿宋" w:hAnsi="仿宋" w:cs="仿宋"/>
          <w:kern w:val="2"/>
          <w:szCs w:val="28"/>
        </w:rPr>
        <w:t>2.2</w:t>
      </w:r>
      <w:r>
        <w:rPr>
          <w:rFonts w:ascii="仿宋" w:hAnsi="仿宋" w:cs="仿宋"/>
          <w:spacing w:val="-4"/>
          <w:szCs w:val="28"/>
        </w:rPr>
        <w:t>正本与副本不符以正本为准；</w:t>
      </w:r>
    </w:p>
    <w:p>
      <w:pPr>
        <w:pStyle w:val="46"/>
        <w:adjustRightInd/>
        <w:spacing w:line="500" w:lineRule="exact"/>
        <w:ind w:firstLine="560"/>
        <w:rPr>
          <w:rFonts w:hint="default" w:ascii="仿宋" w:hAnsi="仿宋" w:cs="仿宋"/>
          <w:spacing w:val="-4"/>
          <w:szCs w:val="28"/>
        </w:rPr>
      </w:pPr>
      <w:r>
        <w:rPr>
          <w:rFonts w:ascii="仿宋" w:hAnsi="仿宋" w:cs="仿宋"/>
          <w:kern w:val="2"/>
          <w:szCs w:val="28"/>
        </w:rPr>
        <w:t>2.3</w:t>
      </w:r>
      <w:r>
        <w:rPr>
          <w:rFonts w:ascii="仿宋" w:hAnsi="仿宋" w:cs="仿宋"/>
          <w:spacing w:val="-4"/>
          <w:szCs w:val="28"/>
        </w:rPr>
        <w:t>投标文件中报价一览表（报价表）内容与投标文件中相应内容不一致的，以报价一览表（报价表）为准；</w:t>
      </w:r>
    </w:p>
    <w:p>
      <w:pPr>
        <w:pStyle w:val="46"/>
        <w:adjustRightInd/>
        <w:spacing w:line="500" w:lineRule="exact"/>
        <w:ind w:firstLine="560"/>
        <w:rPr>
          <w:rFonts w:hint="default" w:ascii="仿宋" w:hAnsi="仿宋" w:cs="仿宋"/>
          <w:spacing w:val="-4"/>
          <w:szCs w:val="28"/>
        </w:rPr>
      </w:pPr>
      <w:r>
        <w:rPr>
          <w:rFonts w:ascii="仿宋" w:hAnsi="仿宋" w:cs="仿宋"/>
          <w:kern w:val="2"/>
          <w:szCs w:val="28"/>
        </w:rPr>
        <w:t>2.4</w:t>
      </w:r>
      <w:r>
        <w:rPr>
          <w:rFonts w:ascii="仿宋" w:hAnsi="仿宋" w:cs="仿宋"/>
          <w:spacing w:val="-4"/>
          <w:szCs w:val="28"/>
        </w:rPr>
        <w:t>大写金额和小写金额不一致的，以大写金额为准；</w:t>
      </w:r>
    </w:p>
    <w:p>
      <w:pPr>
        <w:pStyle w:val="46"/>
        <w:adjustRightInd/>
        <w:spacing w:line="500" w:lineRule="exact"/>
        <w:ind w:firstLine="560"/>
        <w:rPr>
          <w:rFonts w:hint="default" w:ascii="仿宋" w:hAnsi="仿宋" w:cs="仿宋"/>
          <w:spacing w:val="-4"/>
          <w:szCs w:val="28"/>
        </w:rPr>
      </w:pPr>
      <w:r>
        <w:rPr>
          <w:rFonts w:ascii="仿宋" w:hAnsi="仿宋" w:cs="仿宋"/>
          <w:kern w:val="2"/>
          <w:szCs w:val="28"/>
        </w:rPr>
        <w:t>2.5</w:t>
      </w:r>
      <w:r>
        <w:rPr>
          <w:rFonts w:ascii="仿宋" w:hAnsi="仿宋" w:cs="仿宋"/>
          <w:spacing w:val="-4"/>
          <w:szCs w:val="28"/>
        </w:rPr>
        <w:t>单价金额小数点或者百分比有明显错位的，以报价一览表的总价为准，并修改单价；</w:t>
      </w:r>
    </w:p>
    <w:p>
      <w:pPr>
        <w:pStyle w:val="46"/>
        <w:widowControl/>
        <w:adjustRightInd/>
        <w:spacing w:line="500" w:lineRule="exact"/>
        <w:ind w:firstLine="560"/>
        <w:rPr>
          <w:rFonts w:hint="default" w:ascii="仿宋" w:hAnsi="仿宋" w:cs="仿宋"/>
          <w:spacing w:val="-4"/>
          <w:szCs w:val="28"/>
        </w:rPr>
      </w:pPr>
      <w:r>
        <w:rPr>
          <w:rFonts w:ascii="仿宋" w:hAnsi="仿宋" w:cs="仿宋"/>
          <w:kern w:val="2"/>
          <w:szCs w:val="28"/>
        </w:rPr>
        <w:t>2.6</w:t>
      </w:r>
      <w:r>
        <w:rPr>
          <w:rFonts w:ascii="仿宋" w:hAnsi="仿宋" w:cs="仿宋"/>
          <w:spacing w:val="-4"/>
          <w:szCs w:val="28"/>
        </w:rPr>
        <w:t>总价金额与按单价汇总金额不一致的，以单价金额计算结果为准。</w:t>
      </w:r>
    </w:p>
    <w:p>
      <w:pPr>
        <w:pStyle w:val="46"/>
        <w:widowControl/>
        <w:adjustRightInd/>
        <w:spacing w:line="500" w:lineRule="exact"/>
        <w:ind w:firstLine="544"/>
        <w:rPr>
          <w:rFonts w:hint="default" w:ascii="仿宋" w:hAnsi="仿宋" w:cs="仿宋"/>
          <w:spacing w:val="-4"/>
          <w:szCs w:val="28"/>
        </w:rPr>
      </w:pPr>
      <w:r>
        <w:rPr>
          <w:rFonts w:ascii="仿宋" w:hAnsi="仿宋" w:cs="仿宋"/>
          <w:spacing w:val="-4"/>
          <w:szCs w:val="28"/>
        </w:rPr>
        <w:t>同时出现两种以上不一致的，按照前款规定的顺序修正。修正后的报价经供应商确认后产生约束力，供应商不确认的，其投标无效。</w:t>
      </w:r>
    </w:p>
    <w:p>
      <w:pPr>
        <w:spacing w:line="500" w:lineRule="exact"/>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3、开标程序：</w:t>
      </w:r>
    </w:p>
    <w:p>
      <w:pPr>
        <w:spacing w:line="500" w:lineRule="exact"/>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开标的全过程分为：投标文件密封查验、公布投标报价、供应商资格审查、投标文件符合性审查、评审过程、评审专家评审结论等阶段。</w:t>
      </w:r>
    </w:p>
    <w:p>
      <w:pPr>
        <w:spacing w:line="500" w:lineRule="exact"/>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3.1投标文件密封查验：由供应商对投标文件密封情况进行查验；</w:t>
      </w:r>
    </w:p>
    <w:p>
      <w:pPr>
        <w:spacing w:line="500" w:lineRule="exact"/>
        <w:ind w:firstLine="544" w:firstLineChars="200"/>
        <w:rPr>
          <w:rFonts w:ascii="仿宋" w:hAnsi="仿宋" w:eastAsia="仿宋" w:cs="仿宋"/>
          <w:spacing w:val="-4"/>
          <w:sz w:val="28"/>
          <w:szCs w:val="28"/>
          <w:highlight w:val="none"/>
        </w:rPr>
      </w:pPr>
      <w:r>
        <w:rPr>
          <w:rFonts w:hint="eastAsia" w:ascii="仿宋" w:hAnsi="仿宋" w:eastAsia="仿宋" w:cs="仿宋"/>
          <w:spacing w:val="-4"/>
          <w:sz w:val="28"/>
          <w:szCs w:val="28"/>
        </w:rPr>
        <w:t>3.2公布投标报价：将各参加投标供应商的投标文件中的报价</w:t>
      </w:r>
      <w:r>
        <w:rPr>
          <w:rFonts w:hint="eastAsia" w:ascii="仿宋" w:hAnsi="仿宋" w:eastAsia="仿宋" w:cs="仿宋"/>
          <w:spacing w:val="-4"/>
          <w:sz w:val="28"/>
          <w:szCs w:val="28"/>
          <w:highlight w:val="none"/>
        </w:rPr>
        <w:t>、</w:t>
      </w:r>
      <w:r>
        <w:rPr>
          <w:rFonts w:hint="eastAsia" w:ascii="仿宋" w:hAnsi="仿宋" w:eastAsia="仿宋" w:cs="仿宋"/>
          <w:spacing w:val="-4"/>
          <w:sz w:val="28"/>
          <w:szCs w:val="28"/>
          <w:highlight w:val="none"/>
          <w:lang w:eastAsia="zh-CN"/>
        </w:rPr>
        <w:t>整个项目完成期限</w:t>
      </w:r>
      <w:r>
        <w:rPr>
          <w:rFonts w:hint="eastAsia" w:ascii="仿宋" w:hAnsi="仿宋" w:eastAsia="仿宋" w:cs="仿宋"/>
          <w:spacing w:val="-4"/>
          <w:sz w:val="28"/>
          <w:szCs w:val="28"/>
          <w:highlight w:val="none"/>
        </w:rPr>
        <w:t>、质量等内容以公开宣读的形式予以公布；</w:t>
      </w:r>
    </w:p>
    <w:p>
      <w:pPr>
        <w:spacing w:line="500" w:lineRule="exact"/>
        <w:ind w:firstLine="544" w:firstLineChars="200"/>
        <w:rPr>
          <w:rFonts w:ascii="仿宋" w:hAnsi="仿宋" w:eastAsia="仿宋" w:cs="仿宋"/>
          <w:spacing w:val="-4"/>
          <w:sz w:val="28"/>
          <w:szCs w:val="28"/>
          <w:highlight w:val="none"/>
        </w:rPr>
      </w:pPr>
      <w:r>
        <w:rPr>
          <w:rFonts w:hint="eastAsia" w:ascii="仿宋" w:hAnsi="仿宋" w:eastAsia="仿宋" w:cs="仿宋"/>
          <w:spacing w:val="-4"/>
          <w:sz w:val="28"/>
          <w:szCs w:val="28"/>
          <w:highlight w:val="none"/>
        </w:rPr>
        <w:t>3.3供应商资格审查：由采购人对供应商资格进行审查；</w:t>
      </w:r>
    </w:p>
    <w:p>
      <w:pPr>
        <w:spacing w:line="500" w:lineRule="exact"/>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3.4投标文件符合性审查：由评标委员会对资格审查合格供应商的投标文件进行符合性审查。凡未通过符合性审查的投标文件即作为无效文件，不得进入后续评审工作。</w:t>
      </w:r>
    </w:p>
    <w:p>
      <w:pPr>
        <w:spacing w:line="500" w:lineRule="exact"/>
        <w:ind w:firstLine="544" w:firstLineChars="200"/>
        <w:rPr>
          <w:rFonts w:ascii="仿宋" w:hAnsi="仿宋" w:eastAsia="仿宋" w:cs="仿宋"/>
          <w:sz w:val="28"/>
          <w:szCs w:val="28"/>
        </w:rPr>
      </w:pPr>
      <w:r>
        <w:rPr>
          <w:rFonts w:hint="eastAsia" w:ascii="仿宋" w:hAnsi="仿宋" w:eastAsia="仿宋" w:cs="仿宋"/>
          <w:spacing w:val="-4"/>
          <w:sz w:val="28"/>
          <w:szCs w:val="28"/>
        </w:rPr>
        <w:t>3.5评审过程：评标委员会在符合性评审的基础上对各供应商的投标文件认真阅读，并对采购内容、商务报价、产品性能等内容进行详细的评审。各供应商应评标委员会的要求对投标文件中的技术、商务价格、服务、所投产品的性能等内容按要求进行补充、完善、澄清、承诺，但补充完善的内容必须在其被授权范围内。评标委员会以补充、完善后的内容作为评审的依据。</w:t>
      </w:r>
    </w:p>
    <w:p>
      <w:pPr>
        <w:spacing w:line="500" w:lineRule="exact"/>
        <w:rPr>
          <w:rFonts w:ascii="仿宋" w:hAnsi="仿宋" w:eastAsia="仿宋" w:cs="仿宋"/>
          <w:b/>
          <w:bCs/>
          <w:sz w:val="28"/>
          <w:szCs w:val="28"/>
        </w:rPr>
      </w:pPr>
      <w:r>
        <w:rPr>
          <w:rFonts w:hint="eastAsia" w:ascii="仿宋" w:hAnsi="仿宋" w:eastAsia="仿宋" w:cs="仿宋"/>
          <w:b/>
          <w:bCs/>
          <w:sz w:val="28"/>
          <w:szCs w:val="28"/>
        </w:rPr>
        <w:t>八、评标须知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1、有下列情形之一的，视为供应商串通投标，其投标无效：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1.1不同供应商的投标文件由同一单位或者个人编制；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1.2不同供应商委托同一单位或者个人办理投标事宜；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1.3不同供应商的投标文件载明的项目管理成员或者联系人员为同一人；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1.4不同供应商的投标文件异常一致或者投标报价呈规律性差异；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1.5不同供应商的投标文件相互混装；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1.6不同供应商的投标保证金从同一单位或者个人的账户转出。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评标委员会对投标文件中的内容有疑问的部分，可以向供应商质询并要求该供应商做出书面澄清，但不得对投标文件做实质性修改，质询工作应当由全体评标委员会成员参加。对于实质性不符合招标文件的，评标委员会有权予以拒绝。质询工作应做书面记录，采购人代表、评标委员会成员及供应商应在记录上签字确认；</w:t>
      </w:r>
    </w:p>
    <w:p>
      <w:pPr>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4、评标委员会按照评分标准进行独立记名评分，其合计即为该供应商的综合得分，并汇总排序，选定得分最高者为第一中标候选人。</w:t>
      </w:r>
    </w:p>
    <w:p>
      <w:pPr>
        <w:spacing w:line="500" w:lineRule="exact"/>
        <w:rPr>
          <w:rFonts w:ascii="仿宋" w:hAnsi="仿宋" w:eastAsia="仿宋" w:cs="仿宋"/>
          <w:b/>
          <w:bCs/>
          <w:sz w:val="28"/>
          <w:szCs w:val="28"/>
        </w:rPr>
      </w:pPr>
      <w:r>
        <w:rPr>
          <w:rFonts w:hint="eastAsia" w:ascii="仿宋" w:hAnsi="仿宋" w:eastAsia="仿宋" w:cs="仿宋"/>
          <w:b/>
          <w:bCs/>
          <w:sz w:val="28"/>
          <w:szCs w:val="28"/>
        </w:rPr>
        <w:t>九、评审办法及内容</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坚持公平、公正、科学、择优、合理低价、禁止不正当竞争。</w:t>
      </w:r>
    </w:p>
    <w:p>
      <w:pPr>
        <w:pStyle w:val="11"/>
        <w:rPr>
          <w:rFonts w:hint="eastAsia" w:ascii="仿宋" w:hAnsi="仿宋" w:eastAsia="仿宋" w:cs="仿宋"/>
          <w:sz w:val="28"/>
          <w:szCs w:val="28"/>
        </w:rPr>
      </w:pPr>
    </w:p>
    <w:p>
      <w:pPr>
        <w:pStyle w:val="11"/>
        <w:rPr>
          <w:rFonts w:hint="eastAsia" w:ascii="仿宋" w:hAnsi="仿宋" w:eastAsia="仿宋" w:cs="仿宋"/>
          <w:sz w:val="28"/>
          <w:szCs w:val="28"/>
        </w:rPr>
      </w:pPr>
    </w:p>
    <w:p>
      <w:pPr>
        <w:pStyle w:val="11"/>
        <w:rPr>
          <w:rFonts w:hint="eastAsia" w:ascii="仿宋" w:hAnsi="仿宋" w:eastAsia="仿宋" w:cs="仿宋"/>
          <w:sz w:val="28"/>
          <w:szCs w:val="28"/>
        </w:rPr>
      </w:pPr>
    </w:p>
    <w:p>
      <w:pPr>
        <w:pStyle w:val="11"/>
        <w:rPr>
          <w:rFonts w:hint="eastAsia" w:ascii="仿宋" w:hAnsi="仿宋" w:eastAsia="仿宋" w:cs="仿宋"/>
          <w:sz w:val="28"/>
          <w:szCs w:val="28"/>
        </w:rPr>
      </w:pPr>
    </w:p>
    <w:p>
      <w:pPr>
        <w:pStyle w:val="16"/>
        <w:snapToGrid/>
        <w:spacing w:line="500" w:lineRule="exact"/>
        <w:ind w:firstLine="562" w:firstLineChars="200"/>
        <w:rPr>
          <w:rFonts w:hint="default" w:ascii="仿宋" w:hAnsi="仿宋" w:cs="仿宋"/>
          <w:b/>
          <w:bCs/>
          <w:sz w:val="28"/>
          <w:szCs w:val="28"/>
        </w:rPr>
      </w:pPr>
      <w:r>
        <w:rPr>
          <w:rFonts w:ascii="仿宋" w:hAnsi="仿宋" w:cs="仿宋"/>
          <w:b/>
          <w:bCs/>
          <w:sz w:val="28"/>
          <w:szCs w:val="28"/>
        </w:rPr>
        <w:t>1、资格标审查</w:t>
      </w:r>
    </w:p>
    <w:tbl>
      <w:tblPr>
        <w:tblStyle w:val="27"/>
        <w:tblW w:w="956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26"/>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9" w:type="dxa"/>
            <w:tcBorders>
              <w:top w:val="single" w:color="auto"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b/>
                <w:bCs/>
                <w:sz w:val="28"/>
                <w:szCs w:val="28"/>
              </w:rPr>
              <w:t>序号</w:t>
            </w:r>
          </w:p>
        </w:tc>
        <w:tc>
          <w:tcPr>
            <w:tcW w:w="2426" w:type="dxa"/>
            <w:tcBorders>
              <w:top w:val="single" w:color="auto"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b/>
                <w:bCs/>
                <w:sz w:val="28"/>
                <w:szCs w:val="28"/>
              </w:rPr>
              <w:t>审查内容</w:t>
            </w:r>
          </w:p>
        </w:tc>
        <w:tc>
          <w:tcPr>
            <w:tcW w:w="6223" w:type="dxa"/>
            <w:tcBorders>
              <w:top w:val="single" w:color="auto" w:sz="4" w:space="0"/>
            </w:tcBorders>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919"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1</w:t>
            </w:r>
          </w:p>
        </w:tc>
        <w:tc>
          <w:tcPr>
            <w:tcW w:w="2426"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具有独立承担民事责任的能力</w:t>
            </w:r>
          </w:p>
        </w:tc>
        <w:tc>
          <w:tcPr>
            <w:tcW w:w="6223" w:type="dxa"/>
            <w:vAlign w:val="center"/>
          </w:tcPr>
          <w:p>
            <w:pPr>
              <w:spacing w:line="500" w:lineRule="exact"/>
              <w:jc w:val="left"/>
              <w:rPr>
                <w:rFonts w:ascii="仿宋" w:hAnsi="仿宋" w:eastAsia="仿宋" w:cs="仿宋"/>
                <w:b/>
                <w:bCs/>
                <w:sz w:val="28"/>
                <w:szCs w:val="28"/>
              </w:rPr>
            </w:pPr>
            <w:r>
              <w:rPr>
                <w:rFonts w:hint="eastAsia" w:ascii="仿宋" w:hAnsi="仿宋" w:eastAsia="仿宋" w:cs="仿宋"/>
                <w:sz w:val="28"/>
                <w:szCs w:val="28"/>
              </w:rPr>
              <w:t>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19"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2</w:t>
            </w:r>
          </w:p>
        </w:tc>
        <w:tc>
          <w:tcPr>
            <w:tcW w:w="2426"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供应商授权合法的人员参加投标全过程</w:t>
            </w:r>
          </w:p>
        </w:tc>
        <w:tc>
          <w:tcPr>
            <w:tcW w:w="6223" w:type="dxa"/>
            <w:vAlign w:val="center"/>
          </w:tcPr>
          <w:p>
            <w:pPr>
              <w:spacing w:line="500" w:lineRule="exact"/>
              <w:jc w:val="left"/>
              <w:rPr>
                <w:rFonts w:ascii="仿宋" w:hAnsi="仿宋" w:eastAsia="仿宋" w:cs="仿宋"/>
                <w:sz w:val="28"/>
                <w:szCs w:val="28"/>
              </w:rPr>
            </w:pPr>
            <w:r>
              <w:rPr>
                <w:rFonts w:hint="eastAsia" w:ascii="仿宋" w:hAnsi="仿宋" w:eastAsia="仿宋" w:cs="仿宋"/>
                <w:kern w:val="0"/>
                <w:sz w:val="28"/>
                <w:szCs w:val="28"/>
              </w:rPr>
              <w:t>法定代表人授权委托书（附法定代表人身份证复印件）及被授权委托人身份证（法定代表人参加投标只须提供法定代表人身份证）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19"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3</w:t>
            </w:r>
          </w:p>
        </w:tc>
        <w:tc>
          <w:tcPr>
            <w:tcW w:w="2426"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具有良好的商业信誉和健全的财务会计制度</w:t>
            </w:r>
          </w:p>
        </w:tc>
        <w:tc>
          <w:tcPr>
            <w:tcW w:w="6223" w:type="dxa"/>
            <w:vAlign w:val="center"/>
          </w:tcPr>
          <w:p>
            <w:pPr>
              <w:spacing w:line="500" w:lineRule="exact"/>
              <w:jc w:val="left"/>
              <w:rPr>
                <w:rFonts w:ascii="仿宋" w:hAnsi="仿宋" w:eastAsia="仿宋" w:cs="仿宋"/>
                <w:b/>
                <w:bCs/>
                <w:sz w:val="28"/>
                <w:szCs w:val="28"/>
              </w:rPr>
            </w:pPr>
            <w:r>
              <w:rPr>
                <w:rFonts w:hint="eastAsia" w:ascii="仿宋" w:hAnsi="仿宋" w:eastAsia="仿宋" w:cs="仿宋"/>
                <w:sz w:val="28"/>
                <w:szCs w:val="28"/>
              </w:rPr>
              <w:t>提供20</w:t>
            </w:r>
            <w:r>
              <w:rPr>
                <w:rFonts w:hint="eastAsia" w:ascii="仿宋" w:hAnsi="仿宋" w:eastAsia="仿宋" w:cs="仿宋"/>
                <w:sz w:val="28"/>
                <w:szCs w:val="28"/>
                <w:lang w:val="en-US" w:eastAsia="zh-CN"/>
              </w:rPr>
              <w:t>22</w:t>
            </w:r>
            <w:r>
              <w:rPr>
                <w:rFonts w:hint="eastAsia" w:ascii="仿宋" w:hAnsi="仿宋" w:eastAsia="仿宋" w:cs="仿宋"/>
                <w:sz w:val="28"/>
                <w:szCs w:val="28"/>
              </w:rPr>
              <w:t>年度经审计的财务报告或开标前六个月内其基本账户银行出具的资信证明或财政部门认可的政府采购专业担保机构出具的担保函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4</w:t>
            </w:r>
          </w:p>
        </w:tc>
        <w:tc>
          <w:tcPr>
            <w:tcW w:w="2426"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有依法缴纳税收和社会保障资金的良好记录</w:t>
            </w:r>
          </w:p>
        </w:tc>
        <w:tc>
          <w:tcPr>
            <w:tcW w:w="6223" w:type="dxa"/>
            <w:vAlign w:val="center"/>
          </w:tcPr>
          <w:p>
            <w:pPr>
              <w:spacing w:line="500" w:lineRule="exact"/>
              <w:jc w:val="left"/>
              <w:rPr>
                <w:rFonts w:ascii="仿宋" w:hAnsi="仿宋" w:eastAsia="仿宋" w:cs="仿宋"/>
                <w:b/>
                <w:bCs/>
                <w:sz w:val="28"/>
                <w:szCs w:val="28"/>
              </w:rPr>
            </w:pPr>
            <w:r>
              <w:rPr>
                <w:rFonts w:hint="eastAsia" w:ascii="仿宋" w:hAnsi="仿宋" w:eastAsia="仿宋" w:cs="仿宋"/>
                <w:sz w:val="28"/>
                <w:szCs w:val="28"/>
              </w:rPr>
              <w:t>提供2022年6月以来任意3个月依法缴纳税收和社会保险的相关证明材料；注：依法免税或不需要缴纳社会保险的供应商提供相关部门出具的证明文件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5</w:t>
            </w:r>
          </w:p>
        </w:tc>
        <w:tc>
          <w:tcPr>
            <w:tcW w:w="2426"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具有履行合同所必需的设备和专业技术能力</w:t>
            </w:r>
          </w:p>
        </w:tc>
        <w:tc>
          <w:tcPr>
            <w:tcW w:w="6223" w:type="dxa"/>
            <w:vAlign w:val="center"/>
          </w:tcPr>
          <w:p>
            <w:pPr>
              <w:spacing w:line="500" w:lineRule="exact"/>
              <w:jc w:val="left"/>
              <w:rPr>
                <w:rFonts w:ascii="仿宋" w:hAnsi="仿宋" w:eastAsia="仿宋" w:cs="仿宋"/>
                <w:b/>
                <w:bCs/>
                <w:sz w:val="28"/>
                <w:szCs w:val="28"/>
              </w:rPr>
            </w:pPr>
            <w:r>
              <w:rPr>
                <w:rFonts w:hint="eastAsia" w:ascii="仿宋" w:hAnsi="仿宋" w:eastAsia="仿宋" w:cs="仿宋"/>
                <w:sz w:val="28"/>
                <w:szCs w:val="28"/>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6</w:t>
            </w:r>
          </w:p>
        </w:tc>
        <w:tc>
          <w:tcPr>
            <w:tcW w:w="2426"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参加政府采购活动前三年内，在经营活动中没有重大违法记录</w:t>
            </w:r>
          </w:p>
        </w:tc>
        <w:tc>
          <w:tcPr>
            <w:tcW w:w="6223" w:type="dxa"/>
            <w:vAlign w:val="center"/>
          </w:tcPr>
          <w:p>
            <w:pPr>
              <w:spacing w:line="500" w:lineRule="exact"/>
              <w:jc w:val="left"/>
              <w:rPr>
                <w:rFonts w:ascii="仿宋" w:hAnsi="仿宋" w:eastAsia="仿宋" w:cs="仿宋"/>
                <w:b/>
                <w:bCs/>
                <w:sz w:val="28"/>
                <w:szCs w:val="28"/>
              </w:rPr>
            </w:pPr>
            <w:r>
              <w:rPr>
                <w:rFonts w:hint="eastAsia" w:ascii="仿宋" w:hAnsi="仿宋" w:eastAsia="仿宋" w:cs="仿宋"/>
                <w:sz w:val="28"/>
                <w:szCs w:val="28"/>
              </w:rPr>
              <w:t>提供参加政府采购活动前3年内在经营活动中没有重大违法记录的书面声明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19"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7</w:t>
            </w:r>
          </w:p>
        </w:tc>
        <w:tc>
          <w:tcPr>
            <w:tcW w:w="2426" w:type="dxa"/>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投标保证金交纳凭证</w:t>
            </w:r>
          </w:p>
        </w:tc>
        <w:tc>
          <w:tcPr>
            <w:tcW w:w="6223" w:type="dxa"/>
            <w:vAlign w:val="center"/>
          </w:tcPr>
          <w:p>
            <w:pPr>
              <w:spacing w:line="500" w:lineRule="exact"/>
              <w:jc w:val="left"/>
              <w:rPr>
                <w:rFonts w:ascii="仿宋" w:hAnsi="仿宋" w:eastAsia="仿宋" w:cs="仿宋"/>
                <w:b/>
                <w:bCs/>
                <w:sz w:val="28"/>
                <w:szCs w:val="28"/>
              </w:rPr>
            </w:pPr>
            <w:r>
              <w:rPr>
                <w:rFonts w:hint="eastAsia" w:ascii="仿宋" w:hAnsi="仿宋" w:eastAsia="仿宋" w:cs="仿宋"/>
                <w:sz w:val="28"/>
                <w:szCs w:val="28"/>
              </w:rPr>
              <w:t>供应商投标保证金交纳凭证</w:t>
            </w:r>
          </w:p>
        </w:tc>
      </w:tr>
    </w:tbl>
    <w:p>
      <w:pPr>
        <w:spacing w:line="500" w:lineRule="exact"/>
        <w:rPr>
          <w:rFonts w:hint="eastAsia" w:ascii="仿宋" w:hAnsi="仿宋" w:eastAsia="仿宋" w:cs="仿宋"/>
          <w:b/>
          <w:bCs/>
          <w:sz w:val="28"/>
          <w:szCs w:val="28"/>
        </w:rPr>
      </w:pPr>
    </w:p>
    <w:p>
      <w:pPr>
        <w:spacing w:line="500" w:lineRule="exact"/>
        <w:rPr>
          <w:rFonts w:ascii="仿宋" w:hAnsi="仿宋" w:eastAsia="仿宋" w:cs="仿宋"/>
          <w:b/>
          <w:bCs/>
          <w:sz w:val="28"/>
          <w:szCs w:val="28"/>
        </w:rPr>
      </w:pPr>
      <w:r>
        <w:rPr>
          <w:rFonts w:hint="eastAsia" w:ascii="仿宋" w:hAnsi="仿宋" w:eastAsia="仿宋" w:cs="仿宋"/>
          <w:b/>
          <w:bCs/>
          <w:sz w:val="28"/>
          <w:szCs w:val="28"/>
        </w:rPr>
        <w:t>注：供应商对资格证明文件的真实性、合法性承担法律责任；</w:t>
      </w:r>
    </w:p>
    <w:p>
      <w:pPr>
        <w:spacing w:line="500" w:lineRule="exact"/>
        <w:rPr>
          <w:rFonts w:ascii="仿宋" w:hAnsi="仿宋" w:eastAsia="仿宋" w:cs="仿宋"/>
          <w:sz w:val="28"/>
          <w:szCs w:val="28"/>
        </w:rPr>
      </w:pPr>
      <w:r>
        <w:rPr>
          <w:rFonts w:hint="eastAsia" w:ascii="仿宋" w:hAnsi="仿宋" w:eastAsia="仿宋" w:cs="仿宋"/>
          <w:b/>
          <w:bCs/>
          <w:sz w:val="28"/>
          <w:szCs w:val="28"/>
        </w:rPr>
        <w:t>由采购人对上述资料进行审查，以上内容有一项不符合要求，则投标文件的资格标审查为不合格，投标文件无效，无资格进入后续评审阶段。</w:t>
      </w: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hint="eastAsia" w:ascii="仿宋" w:hAnsi="仿宋" w:eastAsia="仿宋" w:cs="仿宋"/>
          <w:b/>
          <w:bCs/>
          <w:sz w:val="28"/>
          <w:szCs w:val="28"/>
          <w:highlight w:val="none"/>
        </w:rPr>
      </w:pP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2、符合性审查</w:t>
      </w:r>
    </w:p>
    <w:tbl>
      <w:tblPr>
        <w:tblStyle w:val="27"/>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6146"/>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15" w:type="dxa"/>
            <w:vAlign w:val="center"/>
          </w:tcPr>
          <w:p>
            <w:pPr>
              <w:adjustRightInd w:val="0"/>
              <w:snapToGrid w:val="0"/>
              <w:spacing w:line="54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6146" w:type="dxa"/>
            <w:vAlign w:val="center"/>
          </w:tcPr>
          <w:p>
            <w:pPr>
              <w:adjustRightInd w:val="0"/>
              <w:snapToGrid w:val="0"/>
              <w:spacing w:line="540" w:lineRule="exact"/>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审查内容</w:t>
            </w:r>
          </w:p>
        </w:tc>
        <w:tc>
          <w:tcPr>
            <w:tcW w:w="2773" w:type="dxa"/>
            <w:vAlign w:val="center"/>
          </w:tcPr>
          <w:p>
            <w:pPr>
              <w:adjustRightInd w:val="0"/>
              <w:snapToGrid w:val="0"/>
              <w:spacing w:line="540" w:lineRule="exact"/>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1</w:t>
            </w:r>
          </w:p>
        </w:tc>
        <w:tc>
          <w:tcPr>
            <w:tcW w:w="6146" w:type="dxa"/>
            <w:vAlign w:val="center"/>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投标文件、投标响应函未加盖单位公章、未经法定代表人或被授权委托人签字或盖章的</w:t>
            </w:r>
          </w:p>
        </w:tc>
        <w:tc>
          <w:tcPr>
            <w:tcW w:w="2773"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2</w:t>
            </w:r>
          </w:p>
        </w:tc>
        <w:tc>
          <w:tcPr>
            <w:tcW w:w="6146" w:type="dxa"/>
            <w:vAlign w:val="center"/>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投标文件无投标有效期或有效期达不到招标文件的要求</w:t>
            </w:r>
          </w:p>
        </w:tc>
        <w:tc>
          <w:tcPr>
            <w:tcW w:w="2773"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15"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3</w:t>
            </w:r>
          </w:p>
        </w:tc>
        <w:tc>
          <w:tcPr>
            <w:tcW w:w="6146" w:type="dxa"/>
            <w:vAlign w:val="center"/>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报价超过本项目预算金额的</w:t>
            </w:r>
          </w:p>
        </w:tc>
        <w:tc>
          <w:tcPr>
            <w:tcW w:w="2773"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4</w:t>
            </w:r>
          </w:p>
        </w:tc>
        <w:tc>
          <w:tcPr>
            <w:tcW w:w="6146" w:type="dxa"/>
            <w:vAlign w:val="center"/>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供应商针对同一货物递交两份或多份内容不同的投标文件，未书面声明哪一份是有效的,出现选择性报价的</w:t>
            </w:r>
          </w:p>
        </w:tc>
        <w:tc>
          <w:tcPr>
            <w:tcW w:w="2773"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15" w:type="dxa"/>
            <w:vAlign w:val="center"/>
          </w:tcPr>
          <w:p>
            <w:pPr>
              <w:adjustRightInd w:val="0"/>
              <w:snapToGrid w:val="0"/>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6146" w:type="dxa"/>
            <w:vAlign w:val="center"/>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投标文件附有采购人不能接受的条件的</w:t>
            </w:r>
          </w:p>
        </w:tc>
        <w:tc>
          <w:tcPr>
            <w:tcW w:w="2773"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15" w:type="dxa"/>
            <w:vAlign w:val="center"/>
          </w:tcPr>
          <w:p>
            <w:pPr>
              <w:adjustRightInd w:val="0"/>
              <w:snapToGrid w:val="0"/>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6146" w:type="dxa"/>
            <w:vAlign w:val="center"/>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不符合招标文件规定的其他实质性要求的</w:t>
            </w:r>
          </w:p>
        </w:tc>
        <w:tc>
          <w:tcPr>
            <w:tcW w:w="2773"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pPr>
              <w:adjustRightInd w:val="0"/>
              <w:snapToGrid w:val="0"/>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6146" w:type="dxa"/>
            <w:vAlign w:val="center"/>
          </w:tcPr>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违反《中华人民共和国政府采购法》和其他相关法律、法规的规定</w:t>
            </w:r>
          </w:p>
        </w:tc>
        <w:tc>
          <w:tcPr>
            <w:tcW w:w="2773"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符合招标文件要求</w:t>
            </w:r>
          </w:p>
        </w:tc>
      </w:tr>
    </w:tbl>
    <w:p>
      <w:pPr>
        <w:pStyle w:val="16"/>
        <w:rPr>
          <w:rFonts w:hint="default" w:ascii="仿宋" w:hAnsi="仿宋" w:cs="仿宋"/>
          <w:b/>
          <w:bCs/>
          <w:sz w:val="28"/>
          <w:szCs w:val="28"/>
        </w:rPr>
      </w:pPr>
    </w:p>
    <w:p>
      <w:pPr>
        <w:pStyle w:val="16"/>
        <w:snapToGrid/>
        <w:spacing w:line="500" w:lineRule="exact"/>
        <w:rPr>
          <w:rFonts w:hint="default" w:ascii="仿宋" w:hAnsi="仿宋" w:cs="仿宋"/>
          <w:sz w:val="28"/>
          <w:szCs w:val="28"/>
        </w:rPr>
      </w:pPr>
      <w:r>
        <w:rPr>
          <w:rFonts w:ascii="仿宋" w:hAnsi="仿宋" w:cs="仿宋"/>
          <w:b/>
          <w:bCs/>
          <w:sz w:val="28"/>
          <w:szCs w:val="28"/>
        </w:rPr>
        <w:t>注：由评标委员会对上述资料进行审查，以上内容有一项不符合要求，则投标文件的符合性审查为不合格，投标文件无效，无资格进入后续评审阶段。</w:t>
      </w:r>
    </w:p>
    <w:p>
      <w:pPr>
        <w:spacing w:line="500" w:lineRule="exact"/>
        <w:ind w:firstLine="560" w:firstLineChars="200"/>
        <w:rPr>
          <w:rFonts w:ascii="仿宋" w:hAnsi="仿宋" w:eastAsia="仿宋" w:cs="仿宋"/>
          <w:sz w:val="28"/>
          <w:szCs w:val="28"/>
        </w:rPr>
      </w:pPr>
    </w:p>
    <w:p>
      <w:pPr>
        <w:pStyle w:val="16"/>
        <w:rPr>
          <w:rFonts w:ascii="仿宋" w:hAnsi="仿宋" w:eastAsia="仿宋" w:cs="仿宋"/>
          <w:sz w:val="28"/>
          <w:szCs w:val="28"/>
        </w:rPr>
      </w:pPr>
    </w:p>
    <w:p>
      <w:pPr>
        <w:rPr>
          <w:rFonts w:ascii="仿宋" w:hAnsi="仿宋" w:eastAsia="仿宋" w:cs="仿宋"/>
          <w:sz w:val="28"/>
          <w:szCs w:val="28"/>
        </w:rPr>
      </w:pPr>
    </w:p>
    <w:p>
      <w:pPr>
        <w:pStyle w:val="16"/>
        <w:rPr>
          <w:rFonts w:ascii="仿宋" w:hAnsi="仿宋" w:eastAsia="仿宋" w:cs="仿宋"/>
          <w:sz w:val="28"/>
          <w:szCs w:val="28"/>
        </w:rPr>
      </w:pPr>
    </w:p>
    <w:p>
      <w:pPr>
        <w:rPr>
          <w:rFonts w:ascii="仿宋" w:hAnsi="仿宋" w:eastAsia="仿宋" w:cs="仿宋"/>
          <w:sz w:val="28"/>
          <w:szCs w:val="28"/>
        </w:rPr>
      </w:pPr>
    </w:p>
    <w:p>
      <w:pPr>
        <w:pStyle w:val="16"/>
        <w:rPr>
          <w:rFonts w:ascii="仿宋" w:hAnsi="仿宋" w:eastAsia="仿宋" w:cs="仿宋"/>
          <w:sz w:val="28"/>
          <w:szCs w:val="28"/>
        </w:rPr>
      </w:pPr>
    </w:p>
    <w:p>
      <w:pPr>
        <w:rPr>
          <w:rFonts w:ascii="仿宋" w:hAnsi="仿宋" w:eastAsia="仿宋" w:cs="仿宋"/>
          <w:sz w:val="28"/>
          <w:szCs w:val="28"/>
        </w:rPr>
      </w:pPr>
    </w:p>
    <w:p>
      <w:pPr>
        <w:pStyle w:val="16"/>
        <w:rPr>
          <w:rFonts w:ascii="仿宋" w:hAnsi="仿宋" w:eastAsia="仿宋" w:cs="仿宋"/>
          <w:sz w:val="28"/>
          <w:szCs w:val="28"/>
        </w:rPr>
      </w:pPr>
    </w:p>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3、商务及技术标评分标准及办法</w:t>
      </w:r>
    </w:p>
    <w:p>
      <w:pPr>
        <w:spacing w:line="500" w:lineRule="exact"/>
        <w:ind w:firstLine="560" w:firstLineChars="200"/>
      </w:pPr>
      <w:r>
        <w:rPr>
          <w:rFonts w:hint="eastAsia" w:ascii="仿宋" w:hAnsi="仿宋" w:eastAsia="仿宋" w:cs="仿宋"/>
          <w:sz w:val="28"/>
          <w:szCs w:val="28"/>
        </w:rPr>
        <w:t>满分：100分，综合评分法。各分项分值分配如下：</w:t>
      </w:r>
    </w:p>
    <w:tbl>
      <w:tblPr>
        <w:tblStyle w:val="27"/>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825"/>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055" w:type="dxa"/>
            <w:vAlign w:val="center"/>
          </w:tcPr>
          <w:p>
            <w:pPr>
              <w:spacing w:line="490" w:lineRule="exact"/>
              <w:jc w:val="center"/>
              <w:rPr>
                <w:rFonts w:ascii="仿宋" w:hAnsi="仿宋" w:eastAsia="仿宋" w:cs="仿宋"/>
                <w:sz w:val="28"/>
                <w:szCs w:val="28"/>
              </w:rPr>
            </w:pPr>
            <w:r>
              <w:rPr>
                <w:rFonts w:hint="eastAsia" w:ascii="仿宋" w:hAnsi="仿宋" w:eastAsia="仿宋" w:cs="仿宋"/>
                <w:sz w:val="28"/>
                <w:szCs w:val="28"/>
              </w:rPr>
              <w:t>投标</w:t>
            </w:r>
          </w:p>
          <w:p>
            <w:pPr>
              <w:spacing w:line="490" w:lineRule="exact"/>
              <w:jc w:val="center"/>
              <w:rPr>
                <w:rFonts w:ascii="仿宋" w:hAnsi="仿宋" w:eastAsia="仿宋" w:cs="仿宋"/>
                <w:sz w:val="28"/>
                <w:szCs w:val="28"/>
              </w:rPr>
            </w:pPr>
            <w:r>
              <w:rPr>
                <w:rFonts w:hint="eastAsia" w:ascii="仿宋" w:hAnsi="仿宋" w:eastAsia="仿宋" w:cs="仿宋"/>
                <w:sz w:val="28"/>
                <w:szCs w:val="28"/>
              </w:rPr>
              <w:t>报价</w:t>
            </w:r>
          </w:p>
        </w:tc>
        <w:tc>
          <w:tcPr>
            <w:tcW w:w="825" w:type="dxa"/>
            <w:vAlign w:val="center"/>
          </w:tcPr>
          <w:p>
            <w:pPr>
              <w:spacing w:line="490" w:lineRule="exact"/>
              <w:jc w:val="center"/>
              <w:rPr>
                <w:rFonts w:ascii="仿宋" w:hAnsi="仿宋" w:eastAsia="仿宋" w:cs="仿宋"/>
                <w:sz w:val="28"/>
                <w:szCs w:val="28"/>
              </w:rPr>
            </w:pPr>
            <w:r>
              <w:rPr>
                <w:rFonts w:hint="eastAsia" w:ascii="仿宋" w:hAnsi="仿宋" w:eastAsia="仿宋" w:cs="仿宋"/>
                <w:sz w:val="28"/>
                <w:szCs w:val="28"/>
                <w:lang w:val="en-US" w:eastAsia="zh-CN"/>
              </w:rPr>
              <w:t>30</w:t>
            </w:r>
            <w:r>
              <w:rPr>
                <w:rFonts w:hint="eastAsia" w:ascii="仿宋" w:hAnsi="仿宋" w:eastAsia="仿宋" w:cs="仿宋"/>
                <w:sz w:val="28"/>
                <w:szCs w:val="28"/>
              </w:rPr>
              <w:t>分</w:t>
            </w:r>
          </w:p>
        </w:tc>
        <w:tc>
          <w:tcPr>
            <w:tcW w:w="7671" w:type="dxa"/>
            <w:vAlign w:val="center"/>
          </w:tcPr>
          <w:p>
            <w:pPr>
              <w:spacing w:line="490" w:lineRule="exact"/>
              <w:rPr>
                <w:rFonts w:ascii="仿宋" w:hAnsi="仿宋" w:eastAsia="仿宋" w:cs="仿宋"/>
                <w:sz w:val="28"/>
                <w:szCs w:val="28"/>
              </w:rPr>
            </w:pPr>
            <w:r>
              <w:rPr>
                <w:rFonts w:hint="eastAsia" w:ascii="仿宋" w:hAnsi="仿宋" w:eastAsia="仿宋" w:cs="仿宋"/>
                <w:sz w:val="28"/>
                <w:szCs w:val="28"/>
              </w:rPr>
              <w:t>价格分采用低价优先法计算，即满足招标文件要求且投标报价最低的投标报价为评标基准价，其价格分为满分。其他供应商的价格分统一按照下列公式计算：</w:t>
            </w:r>
          </w:p>
          <w:p>
            <w:pPr>
              <w:spacing w:line="490" w:lineRule="exact"/>
              <w:rPr>
                <w:rFonts w:ascii="仿宋" w:hAnsi="仿宋" w:eastAsia="仿宋" w:cs="仿宋"/>
                <w:sz w:val="28"/>
                <w:szCs w:val="28"/>
              </w:rPr>
            </w:pPr>
            <w:r>
              <w:rPr>
                <w:rFonts w:hint="eastAsia" w:ascii="仿宋" w:hAnsi="仿宋" w:eastAsia="仿宋" w:cs="仿宋"/>
                <w:sz w:val="28"/>
                <w:szCs w:val="28"/>
              </w:rPr>
              <w:t>投标报价得分=（评标基准价/有效报价）×价格权值（</w:t>
            </w:r>
            <w:r>
              <w:rPr>
                <w:rFonts w:hint="eastAsia" w:ascii="仿宋" w:hAnsi="仿宋" w:eastAsia="仿宋" w:cs="仿宋"/>
                <w:sz w:val="28"/>
                <w:szCs w:val="28"/>
                <w:lang w:val="en-US" w:eastAsia="zh-CN"/>
              </w:rPr>
              <w:t>30</w:t>
            </w:r>
            <w:r>
              <w:rPr>
                <w:rFonts w:hint="eastAsia" w:ascii="仿宋" w:hAnsi="仿宋" w:eastAsia="仿宋" w:cs="仿宋"/>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055" w:type="dxa"/>
            <w:vAlign w:val="center"/>
          </w:tcPr>
          <w:p>
            <w:pPr>
              <w:spacing w:line="490" w:lineRule="exact"/>
              <w:jc w:val="center"/>
              <w:rPr>
                <w:rFonts w:ascii="仿宋" w:hAnsi="仿宋" w:eastAsia="仿宋" w:cs="仿宋"/>
                <w:sz w:val="28"/>
                <w:szCs w:val="28"/>
              </w:rPr>
            </w:pPr>
            <w:r>
              <w:rPr>
                <w:rFonts w:hint="eastAsia" w:ascii="仿宋" w:hAnsi="仿宋" w:eastAsia="仿宋" w:cs="仿宋"/>
                <w:sz w:val="28"/>
                <w:szCs w:val="28"/>
              </w:rPr>
              <w:t>商务</w:t>
            </w:r>
          </w:p>
          <w:p>
            <w:pPr>
              <w:spacing w:line="490" w:lineRule="exact"/>
              <w:jc w:val="center"/>
              <w:rPr>
                <w:rFonts w:ascii="仿宋" w:hAnsi="仿宋" w:eastAsia="仿宋" w:cs="仿宋"/>
                <w:sz w:val="28"/>
                <w:szCs w:val="28"/>
              </w:rPr>
            </w:pPr>
            <w:r>
              <w:rPr>
                <w:rFonts w:hint="eastAsia" w:ascii="仿宋" w:hAnsi="仿宋" w:eastAsia="仿宋" w:cs="仿宋"/>
                <w:sz w:val="28"/>
                <w:szCs w:val="28"/>
              </w:rPr>
              <w:t>部分</w:t>
            </w:r>
          </w:p>
        </w:tc>
        <w:tc>
          <w:tcPr>
            <w:tcW w:w="825" w:type="dxa"/>
            <w:vAlign w:val="center"/>
          </w:tcPr>
          <w:p>
            <w:pPr>
              <w:spacing w:line="490" w:lineRule="exact"/>
              <w:jc w:val="center"/>
              <w:rPr>
                <w:rFonts w:ascii="仿宋" w:hAnsi="仿宋" w:eastAsia="仿宋" w:cs="仿宋"/>
                <w:sz w:val="28"/>
                <w:szCs w:val="28"/>
              </w:rPr>
            </w:pPr>
            <w:r>
              <w:rPr>
                <w:rFonts w:hint="eastAsia" w:ascii="仿宋" w:hAnsi="仿宋" w:eastAsia="仿宋" w:cs="仿宋"/>
                <w:sz w:val="28"/>
                <w:szCs w:val="28"/>
              </w:rPr>
              <w:t>2分</w:t>
            </w:r>
          </w:p>
        </w:tc>
        <w:tc>
          <w:tcPr>
            <w:tcW w:w="7671" w:type="dxa"/>
            <w:vAlign w:val="center"/>
          </w:tcPr>
          <w:p>
            <w:pPr>
              <w:spacing w:line="490" w:lineRule="exact"/>
              <w:rPr>
                <w:rFonts w:ascii="仿宋" w:hAnsi="仿宋" w:eastAsia="仿宋" w:cs="仿宋"/>
                <w:sz w:val="28"/>
                <w:szCs w:val="28"/>
              </w:rPr>
            </w:pPr>
            <w:r>
              <w:rPr>
                <w:rFonts w:hint="eastAsia" w:ascii="仿宋" w:hAnsi="仿宋" w:eastAsia="仿宋" w:cs="仿宋"/>
                <w:sz w:val="28"/>
                <w:szCs w:val="28"/>
              </w:rPr>
              <w:t>通过资格和符合性审查的供应商，对商务要求完全响应招标文件要求的得2分。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5" w:type="dxa"/>
            <w:vMerge w:val="restart"/>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技术</w:t>
            </w:r>
          </w:p>
          <w:p>
            <w:pPr>
              <w:spacing w:line="500" w:lineRule="exact"/>
              <w:jc w:val="center"/>
              <w:rPr>
                <w:rFonts w:ascii="仿宋" w:hAnsi="仿宋" w:eastAsia="仿宋" w:cs="仿宋"/>
                <w:sz w:val="28"/>
                <w:szCs w:val="28"/>
              </w:rPr>
            </w:pPr>
            <w:r>
              <w:rPr>
                <w:rFonts w:hint="eastAsia" w:ascii="仿宋" w:hAnsi="仿宋" w:eastAsia="仿宋" w:cs="仿宋"/>
                <w:sz w:val="28"/>
                <w:szCs w:val="28"/>
              </w:rPr>
              <w:t>响应</w:t>
            </w:r>
          </w:p>
        </w:tc>
        <w:tc>
          <w:tcPr>
            <w:tcW w:w="825" w:type="dxa"/>
            <w:vMerge w:val="restart"/>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5分</w:t>
            </w:r>
          </w:p>
        </w:tc>
        <w:tc>
          <w:tcPr>
            <w:tcW w:w="7671" w:type="dxa"/>
            <w:vAlign w:val="center"/>
          </w:tcPr>
          <w:p>
            <w:pPr>
              <w:pStyle w:val="26"/>
              <w:keepNext w:val="0"/>
              <w:keepLines w:val="0"/>
              <w:pageBreakBefore w:val="0"/>
              <w:widowControl w:val="0"/>
              <w:numPr>
                <w:ilvl w:val="0"/>
                <w:numId w:val="0"/>
              </w:numPr>
              <w:kinsoku/>
              <w:wordWrap/>
              <w:overflowPunct/>
              <w:topLinePunct w:val="0"/>
              <w:autoSpaceDE/>
              <w:autoSpaceDN/>
              <w:bidi w:val="0"/>
              <w:adjustRightInd w:val="0"/>
              <w:snapToGrid/>
              <w:spacing w:before="0" w:after="0" w:line="490" w:lineRule="exact"/>
              <w:ind w:right="0" w:rightChars="0"/>
              <w:textAlignment w:val="auto"/>
              <w:rPr>
                <w:rFonts w:hint="eastAsia" w:ascii="仿宋" w:hAnsi="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1、所投产品技术参数指标，</w:t>
            </w:r>
            <w:r>
              <w:rPr>
                <w:rFonts w:hint="eastAsia" w:ascii="仿宋" w:hAnsi="仿宋" w:eastAsia="仿宋" w:cs="仿宋"/>
                <w:b/>
                <w:bCs/>
                <w:sz w:val="28"/>
                <w:szCs w:val="28"/>
                <w:highlight w:val="none"/>
                <w:lang w:val="en-US" w:eastAsia="zh-CN"/>
              </w:rPr>
              <w:t>本项基础分</w:t>
            </w:r>
            <w:r>
              <w:rPr>
                <w:rFonts w:hint="eastAsia" w:ascii="仿宋" w:hAnsi="仿宋" w:cs="仿宋"/>
                <w:b/>
                <w:bCs/>
                <w:color w:val="auto"/>
                <w:kern w:val="2"/>
                <w:sz w:val="28"/>
                <w:szCs w:val="28"/>
                <w:highlight w:val="none"/>
                <w:lang w:val="en-US" w:eastAsia="zh-CN" w:bidi="ar-SA"/>
              </w:rPr>
              <w:t>30分。</w:t>
            </w:r>
          </w:p>
          <w:p>
            <w:pPr>
              <w:pStyle w:val="26"/>
              <w:keepNext w:val="0"/>
              <w:keepLines w:val="0"/>
              <w:pageBreakBefore w:val="0"/>
              <w:widowControl w:val="0"/>
              <w:numPr>
                <w:ilvl w:val="0"/>
                <w:numId w:val="0"/>
              </w:numPr>
              <w:kinsoku/>
              <w:wordWrap/>
              <w:overflowPunct/>
              <w:topLinePunct w:val="0"/>
              <w:autoSpaceDE/>
              <w:autoSpaceDN/>
              <w:bidi w:val="0"/>
              <w:adjustRightInd w:val="0"/>
              <w:snapToGrid/>
              <w:spacing w:before="0" w:after="0" w:line="49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cs="仿宋"/>
                <w:b w:val="0"/>
                <w:bCs w:val="0"/>
                <w:color w:val="auto"/>
                <w:kern w:val="2"/>
                <w:sz w:val="28"/>
                <w:szCs w:val="28"/>
                <w:highlight w:val="none"/>
                <w:lang w:val="en-US" w:eastAsia="zh-CN" w:bidi="ar-SA"/>
              </w:rPr>
              <w:t>标★参数有一项不满足扣1分，非★参数有一项不满足扣0.5分，扣完为止。</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ascii="仿宋" w:hAnsi="仿宋" w:eastAsia="仿宋" w:cs="仿宋"/>
                <w:color w:val="auto"/>
                <w:sz w:val="28"/>
                <w:szCs w:val="28"/>
                <w:highlight w:val="none"/>
                <w:lang w:val="en-US" w:eastAsia="zh-CN"/>
              </w:rPr>
              <w:t>注：投标文件中需提供的作为评审依据的证明文件（包括但不限于第三方检测报告、加盖公章的产品彩页、加盖公章的官网截图等）。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055" w:type="dxa"/>
            <w:vMerge w:val="continue"/>
            <w:vAlign w:val="center"/>
          </w:tcPr>
          <w:p>
            <w:pPr>
              <w:spacing w:line="500" w:lineRule="exact"/>
              <w:jc w:val="center"/>
              <w:rPr>
                <w:rFonts w:hint="eastAsia" w:ascii="仿宋" w:hAnsi="仿宋" w:eastAsia="仿宋" w:cs="仿宋"/>
                <w:sz w:val="28"/>
                <w:szCs w:val="28"/>
              </w:rPr>
            </w:pPr>
          </w:p>
        </w:tc>
        <w:tc>
          <w:tcPr>
            <w:tcW w:w="825" w:type="dxa"/>
            <w:vMerge w:val="continue"/>
            <w:vAlign w:val="center"/>
          </w:tcPr>
          <w:p>
            <w:pPr>
              <w:spacing w:line="500" w:lineRule="exact"/>
              <w:jc w:val="center"/>
              <w:rPr>
                <w:rFonts w:hint="eastAsia" w:ascii="仿宋" w:hAnsi="仿宋" w:eastAsia="仿宋" w:cs="仿宋"/>
                <w:sz w:val="28"/>
                <w:szCs w:val="28"/>
                <w:lang w:val="en-US" w:eastAsia="zh-CN"/>
              </w:rPr>
            </w:pPr>
          </w:p>
        </w:tc>
        <w:tc>
          <w:tcPr>
            <w:tcW w:w="7671" w:type="dxa"/>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所投产品相关资料（</w:t>
            </w:r>
            <w:r>
              <w:rPr>
                <w:rFonts w:hint="eastAsia" w:ascii="仿宋" w:hAnsi="仿宋" w:eastAsia="仿宋" w:cs="仿宋"/>
                <w:color w:val="auto"/>
                <w:sz w:val="28"/>
                <w:szCs w:val="28"/>
                <w:highlight w:val="none"/>
              </w:rPr>
              <w:t>包括但不限于产品来源渠道、产品说明书、产品质量检测报告</w:t>
            </w:r>
            <w:r>
              <w:rPr>
                <w:rFonts w:hint="eastAsia" w:ascii="仿宋" w:hAnsi="仿宋" w:eastAsia="仿宋" w:cs="仿宋"/>
                <w:color w:val="auto"/>
                <w:sz w:val="28"/>
                <w:szCs w:val="28"/>
                <w:highlight w:val="none"/>
                <w:lang w:eastAsia="zh-CN"/>
              </w:rPr>
              <w:t>等</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本项满分15分。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技术资料详细完整，计10.1</w:t>
            </w:r>
            <w:r>
              <w:rPr>
                <w:rFonts w:hint="eastAsia" w:ascii="仿宋" w:hAnsi="仿宋" w:cs="仿宋"/>
                <w:b w:val="0"/>
                <w:bCs w:val="0"/>
                <w:color w:val="auto"/>
                <w:kern w:val="2"/>
                <w:sz w:val="28"/>
                <w:szCs w:val="28"/>
                <w:highlight w:val="none"/>
                <w:lang w:val="en-US" w:eastAsia="zh-CN" w:bidi="ar-SA"/>
              </w:rPr>
              <w:t>～</w:t>
            </w:r>
            <w:r>
              <w:rPr>
                <w:rFonts w:hint="eastAsia" w:ascii="仿宋" w:hAnsi="仿宋" w:eastAsia="仿宋" w:cs="仿宋"/>
                <w:b w:val="0"/>
                <w:bCs w:val="0"/>
                <w:color w:val="auto"/>
                <w:sz w:val="28"/>
                <w:szCs w:val="28"/>
                <w:highlight w:val="none"/>
                <w:lang w:val="en-US" w:eastAsia="zh-CN"/>
              </w:rPr>
              <w:t>15分；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技术资料较详细，计5.1</w:t>
            </w:r>
            <w:r>
              <w:rPr>
                <w:rFonts w:hint="eastAsia" w:ascii="仿宋" w:hAnsi="仿宋" w:cs="仿宋"/>
                <w:b w:val="0"/>
                <w:bCs w:val="0"/>
                <w:color w:val="auto"/>
                <w:kern w:val="2"/>
                <w:sz w:val="28"/>
                <w:szCs w:val="28"/>
                <w:highlight w:val="none"/>
                <w:lang w:val="en-US" w:eastAsia="zh-CN" w:bidi="ar-SA"/>
              </w:rPr>
              <w:t>～10</w:t>
            </w:r>
            <w:r>
              <w:rPr>
                <w:rFonts w:hint="eastAsia" w:ascii="仿宋" w:hAnsi="仿宋" w:eastAsia="仿宋" w:cs="仿宋"/>
                <w:b w:val="0"/>
                <w:bCs w:val="0"/>
                <w:color w:val="auto"/>
                <w:sz w:val="28"/>
                <w:szCs w:val="28"/>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技术资料不完整，计1</w:t>
            </w:r>
            <w:r>
              <w:rPr>
                <w:rFonts w:hint="eastAsia" w:ascii="仿宋" w:hAnsi="仿宋" w:cs="仿宋"/>
                <w:b w:val="0"/>
                <w:bCs w:val="0"/>
                <w:color w:val="auto"/>
                <w:kern w:val="2"/>
                <w:sz w:val="28"/>
                <w:szCs w:val="28"/>
                <w:highlight w:val="none"/>
                <w:lang w:val="en-US" w:eastAsia="zh-CN" w:bidi="ar-SA"/>
              </w:rPr>
              <w:t>～5</w:t>
            </w:r>
            <w:r>
              <w:rPr>
                <w:rFonts w:hint="eastAsia" w:ascii="仿宋" w:hAnsi="仿宋" w:eastAsia="仿宋" w:cs="仿宋"/>
                <w:b w:val="0"/>
                <w:bCs w:val="0"/>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055" w:type="dxa"/>
            <w:vMerge w:val="continue"/>
            <w:vAlign w:val="center"/>
          </w:tcPr>
          <w:p>
            <w:pPr>
              <w:spacing w:line="500" w:lineRule="exact"/>
              <w:jc w:val="center"/>
              <w:rPr>
                <w:rFonts w:hint="eastAsia" w:ascii="仿宋" w:hAnsi="仿宋" w:eastAsia="仿宋" w:cs="仿宋"/>
                <w:sz w:val="28"/>
                <w:szCs w:val="28"/>
              </w:rPr>
            </w:pPr>
          </w:p>
        </w:tc>
        <w:tc>
          <w:tcPr>
            <w:tcW w:w="825" w:type="dxa"/>
            <w:vMerge w:val="continue"/>
            <w:vAlign w:val="center"/>
          </w:tcPr>
          <w:p>
            <w:pPr>
              <w:spacing w:line="500" w:lineRule="exact"/>
              <w:jc w:val="center"/>
              <w:rPr>
                <w:rFonts w:hint="eastAsia" w:ascii="仿宋" w:hAnsi="仿宋" w:eastAsia="仿宋" w:cs="仿宋"/>
                <w:sz w:val="28"/>
                <w:szCs w:val="28"/>
                <w:lang w:val="en-US" w:eastAsia="zh-CN"/>
              </w:rPr>
            </w:pPr>
          </w:p>
        </w:tc>
        <w:tc>
          <w:tcPr>
            <w:tcW w:w="7671" w:type="dxa"/>
            <w:vAlign w:val="center"/>
          </w:tcPr>
          <w:p>
            <w:pPr>
              <w:numPr>
                <w:ilvl w:val="0"/>
                <w:numId w:val="6"/>
              </w:numPr>
              <w:spacing w:line="490" w:lineRule="exact"/>
              <w:ind w:left="0" w:leftChars="0" w:firstLine="0" w:firstLineChars="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针对本项目特点制定整体实施方案，</w:t>
            </w:r>
            <w:r>
              <w:rPr>
                <w:rFonts w:hint="eastAsia" w:ascii="仿宋" w:hAnsi="仿宋" w:eastAsia="仿宋" w:cs="仿宋"/>
                <w:b/>
                <w:bCs/>
                <w:color w:val="auto"/>
                <w:kern w:val="2"/>
                <w:sz w:val="28"/>
                <w:szCs w:val="28"/>
                <w:highlight w:val="none"/>
                <w:lang w:val="en-US" w:eastAsia="zh-CN" w:bidi="ar-SA"/>
              </w:rPr>
              <w:t>本项满分</w:t>
            </w:r>
            <w:r>
              <w:rPr>
                <w:rFonts w:hint="eastAsia" w:ascii="仿宋" w:hAnsi="仿宋" w:cs="仿宋"/>
                <w:b/>
                <w:bCs/>
                <w:color w:val="auto"/>
                <w:kern w:val="2"/>
                <w:sz w:val="28"/>
                <w:szCs w:val="28"/>
                <w:highlight w:val="none"/>
                <w:lang w:val="en-US" w:eastAsia="zh-CN" w:bidi="ar-SA"/>
              </w:rPr>
              <w:t>10</w:t>
            </w:r>
            <w:r>
              <w:rPr>
                <w:rFonts w:hint="eastAsia" w:ascii="仿宋" w:hAnsi="仿宋" w:eastAsia="仿宋" w:cs="仿宋"/>
                <w:b/>
                <w:bCs/>
                <w:color w:val="auto"/>
                <w:kern w:val="2"/>
                <w:sz w:val="28"/>
                <w:szCs w:val="28"/>
                <w:highlight w:val="none"/>
                <w:lang w:val="en-US" w:eastAsia="zh-CN" w:bidi="ar-SA"/>
              </w:rPr>
              <w:t>分。</w:t>
            </w:r>
          </w:p>
          <w:p>
            <w:pPr>
              <w:numPr>
                <w:ilvl w:val="0"/>
                <w:numId w:val="0"/>
              </w:numPr>
              <w:spacing w:line="490" w:lineRule="exact"/>
              <w:ind w:leftChars="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整体实施方案针对性强，对用户及项目了解全面，内容完整、可行性强；能够安全、保质、保量完成，计</w:t>
            </w:r>
            <w:r>
              <w:rPr>
                <w:rFonts w:hint="eastAsia" w:ascii="仿宋" w:hAnsi="仿宋" w:cs="仿宋"/>
                <w:b w:val="0"/>
                <w:bCs w:val="0"/>
                <w:color w:val="auto"/>
                <w:kern w:val="2"/>
                <w:sz w:val="28"/>
                <w:szCs w:val="28"/>
                <w:highlight w:val="none"/>
                <w:lang w:val="en-US" w:eastAsia="zh-CN" w:bidi="ar-SA"/>
              </w:rPr>
              <w:t>6.1</w:t>
            </w:r>
            <w:r>
              <w:rPr>
                <w:rFonts w:hint="eastAsia" w:ascii="仿宋" w:hAnsi="仿宋" w:eastAsia="仿宋" w:cs="仿宋"/>
                <w:b w:val="0"/>
                <w:bCs w:val="0"/>
                <w:color w:val="auto"/>
                <w:kern w:val="2"/>
                <w:sz w:val="28"/>
                <w:szCs w:val="28"/>
                <w:highlight w:val="none"/>
                <w:lang w:val="en-US" w:eastAsia="zh-CN" w:bidi="ar-SA"/>
              </w:rPr>
              <w:t>～</w:t>
            </w:r>
            <w:r>
              <w:rPr>
                <w:rFonts w:hint="eastAsia" w:ascii="仿宋" w:hAnsi="仿宋" w:cs="仿宋"/>
                <w:b w:val="0"/>
                <w:bCs w:val="0"/>
                <w:color w:val="auto"/>
                <w:kern w:val="2"/>
                <w:sz w:val="28"/>
                <w:szCs w:val="28"/>
                <w:highlight w:val="none"/>
                <w:lang w:val="en-US" w:eastAsia="zh-CN" w:bidi="ar-SA"/>
              </w:rPr>
              <w:t>10</w:t>
            </w:r>
            <w:r>
              <w:rPr>
                <w:rFonts w:hint="eastAsia" w:ascii="仿宋" w:hAnsi="仿宋" w:eastAsia="仿宋" w:cs="仿宋"/>
                <w:b w:val="0"/>
                <w:bCs w:val="0"/>
                <w:color w:val="auto"/>
                <w:kern w:val="2"/>
                <w:sz w:val="28"/>
                <w:szCs w:val="28"/>
                <w:highlight w:val="none"/>
                <w:lang w:val="en-US" w:eastAsia="zh-CN" w:bidi="ar-SA"/>
              </w:rPr>
              <w:t>分；</w:t>
            </w:r>
          </w:p>
          <w:p>
            <w:pPr>
              <w:numPr>
                <w:ilvl w:val="0"/>
                <w:numId w:val="0"/>
              </w:numPr>
              <w:spacing w:line="490" w:lineRule="exact"/>
              <w:ind w:leftChars="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实施方案针对性不强，质量保证措施一般，计3.1～</w:t>
            </w:r>
            <w:r>
              <w:rPr>
                <w:rFonts w:hint="eastAsia" w:ascii="仿宋" w:hAnsi="仿宋" w:cs="仿宋"/>
                <w:b w:val="0"/>
                <w:bCs w:val="0"/>
                <w:color w:val="auto"/>
                <w:kern w:val="2"/>
                <w:sz w:val="28"/>
                <w:szCs w:val="28"/>
                <w:highlight w:val="none"/>
                <w:lang w:val="en-US" w:eastAsia="zh-CN" w:bidi="ar-SA"/>
              </w:rPr>
              <w:t>6</w:t>
            </w:r>
            <w:r>
              <w:rPr>
                <w:rFonts w:hint="eastAsia" w:ascii="仿宋" w:hAnsi="仿宋" w:eastAsia="仿宋" w:cs="仿宋"/>
                <w:b w:val="0"/>
                <w:bCs w:val="0"/>
                <w:color w:val="auto"/>
                <w:kern w:val="2"/>
                <w:sz w:val="28"/>
                <w:szCs w:val="28"/>
                <w:highlight w:val="none"/>
                <w:lang w:val="en-US" w:eastAsia="zh-CN" w:bidi="ar-SA"/>
              </w:rPr>
              <w:t>分；</w:t>
            </w:r>
          </w:p>
          <w:p>
            <w:pPr>
              <w:numPr>
                <w:ilvl w:val="0"/>
                <w:numId w:val="0"/>
              </w:numPr>
              <w:spacing w:line="490" w:lineRule="exact"/>
              <w:ind w:leftChars="0"/>
              <w:rPr>
                <w:rFonts w:hint="eastAsia" w:ascii="仿宋" w:hAnsi="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未考虑到物资特点及用户实际需求，方案不完整，计1～</w:t>
            </w:r>
            <w:r>
              <w:rPr>
                <w:rFonts w:hint="eastAsia" w:ascii="仿宋" w:hAnsi="仿宋" w:cs="仿宋"/>
                <w:b w:val="0"/>
                <w:bCs w:val="0"/>
                <w:color w:val="auto"/>
                <w:kern w:val="2"/>
                <w:sz w:val="28"/>
                <w:szCs w:val="28"/>
                <w:highlight w:val="none"/>
                <w:lang w:val="en-US" w:eastAsia="zh-CN" w:bidi="ar-SA"/>
              </w:rPr>
              <w:t>3</w:t>
            </w:r>
            <w:r>
              <w:rPr>
                <w:rFonts w:hint="eastAsia" w:ascii="仿宋" w:hAnsi="仿宋" w:eastAsia="仿宋" w:cs="仿宋"/>
                <w:b w:val="0"/>
                <w:bCs w:val="0"/>
                <w:color w:val="auto"/>
                <w:kern w:val="2"/>
                <w:sz w:val="28"/>
                <w:szCs w:val="28"/>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55" w:type="dxa"/>
            <w:vAlign w:val="center"/>
          </w:tcPr>
          <w:p>
            <w:pPr>
              <w:spacing w:line="490" w:lineRule="exact"/>
              <w:jc w:val="center"/>
              <w:rPr>
                <w:rFonts w:ascii="仿宋" w:hAnsi="仿宋" w:eastAsia="仿宋" w:cs="仿宋"/>
                <w:sz w:val="28"/>
                <w:szCs w:val="28"/>
              </w:rPr>
            </w:pPr>
            <w:r>
              <w:rPr>
                <w:rFonts w:hint="eastAsia" w:ascii="仿宋" w:hAnsi="仿宋" w:eastAsia="仿宋" w:cs="仿宋"/>
                <w:sz w:val="28"/>
                <w:szCs w:val="28"/>
              </w:rPr>
              <w:t>业绩</w:t>
            </w:r>
          </w:p>
          <w:p>
            <w:pPr>
              <w:spacing w:line="490" w:lineRule="exact"/>
              <w:jc w:val="center"/>
              <w:rPr>
                <w:rFonts w:ascii="仿宋" w:hAnsi="仿宋" w:eastAsia="仿宋" w:cs="仿宋"/>
                <w:sz w:val="28"/>
                <w:szCs w:val="28"/>
              </w:rPr>
            </w:pPr>
            <w:r>
              <w:rPr>
                <w:rFonts w:hint="eastAsia" w:ascii="仿宋" w:hAnsi="仿宋" w:eastAsia="仿宋" w:cs="仿宋"/>
                <w:sz w:val="28"/>
                <w:szCs w:val="28"/>
              </w:rPr>
              <w:t>证明</w:t>
            </w:r>
          </w:p>
        </w:tc>
        <w:tc>
          <w:tcPr>
            <w:tcW w:w="825"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8分</w:t>
            </w:r>
          </w:p>
        </w:tc>
        <w:tc>
          <w:tcPr>
            <w:tcW w:w="7671" w:type="dxa"/>
            <w:vAlign w:val="center"/>
          </w:tcPr>
          <w:p>
            <w:pPr>
              <w:spacing w:line="490" w:lineRule="exact"/>
              <w:rPr>
                <w:rFonts w:ascii="仿宋" w:hAnsi="仿宋" w:eastAsia="仿宋" w:cs="仿宋"/>
                <w:sz w:val="28"/>
                <w:szCs w:val="28"/>
              </w:rPr>
            </w:pPr>
            <w:r>
              <w:rPr>
                <w:rFonts w:hint="eastAsia" w:ascii="仿宋" w:hAnsi="仿宋" w:eastAsia="仿宋" w:cs="仿宋"/>
                <w:sz w:val="28"/>
                <w:szCs w:val="28"/>
              </w:rPr>
              <w:t>提供202</w:t>
            </w:r>
            <w:r>
              <w:rPr>
                <w:rFonts w:hint="eastAsia" w:ascii="仿宋" w:hAnsi="仿宋" w:eastAsia="仿宋" w:cs="仿宋"/>
                <w:sz w:val="28"/>
                <w:szCs w:val="28"/>
                <w:lang w:val="en-US" w:eastAsia="zh-CN"/>
              </w:rPr>
              <w:t>1</w:t>
            </w:r>
            <w:r>
              <w:rPr>
                <w:rFonts w:hint="eastAsia" w:ascii="仿宋" w:hAnsi="仿宋" w:eastAsia="仿宋" w:cs="仿宋"/>
                <w:sz w:val="28"/>
                <w:szCs w:val="28"/>
              </w:rPr>
              <w:t>年1月1日以来供应商类似项目的业绩合同（以合同签订日期为准），附业绩合同复印件，每份2分，满分8分。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055" w:type="dxa"/>
            <w:vMerge w:val="restart"/>
            <w:vAlign w:val="center"/>
          </w:tcPr>
          <w:p>
            <w:pPr>
              <w:spacing w:line="490" w:lineRule="exact"/>
              <w:jc w:val="center"/>
              <w:rPr>
                <w:rFonts w:ascii="仿宋" w:hAnsi="仿宋" w:eastAsia="仿宋" w:cs="仿宋"/>
                <w:sz w:val="28"/>
                <w:szCs w:val="28"/>
              </w:rPr>
            </w:pPr>
            <w:r>
              <w:rPr>
                <w:rFonts w:hint="eastAsia" w:ascii="仿宋" w:hAnsi="仿宋" w:eastAsia="仿宋" w:cs="仿宋"/>
                <w:sz w:val="28"/>
                <w:szCs w:val="28"/>
              </w:rPr>
              <w:t>售后</w:t>
            </w:r>
          </w:p>
          <w:p>
            <w:pPr>
              <w:spacing w:line="490" w:lineRule="exact"/>
              <w:jc w:val="center"/>
              <w:rPr>
                <w:rFonts w:ascii="仿宋" w:hAnsi="仿宋" w:eastAsia="仿宋" w:cs="仿宋"/>
                <w:sz w:val="28"/>
                <w:szCs w:val="28"/>
              </w:rPr>
            </w:pPr>
            <w:r>
              <w:rPr>
                <w:rFonts w:hint="eastAsia" w:ascii="仿宋" w:hAnsi="仿宋" w:eastAsia="仿宋" w:cs="仿宋"/>
                <w:sz w:val="28"/>
                <w:szCs w:val="28"/>
              </w:rPr>
              <w:t>服务及培训</w:t>
            </w:r>
          </w:p>
        </w:tc>
        <w:tc>
          <w:tcPr>
            <w:tcW w:w="825" w:type="dxa"/>
            <w:vMerge w:val="restart"/>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5分</w:t>
            </w:r>
          </w:p>
        </w:tc>
        <w:tc>
          <w:tcPr>
            <w:tcW w:w="7671" w:type="dxa"/>
          </w:tcPr>
          <w:p>
            <w:pPr>
              <w:spacing w:line="500" w:lineRule="exact"/>
            </w:pPr>
            <w:r>
              <w:rPr>
                <w:rFonts w:hint="eastAsia" w:ascii="仿宋" w:hAnsi="仿宋" w:eastAsia="仿宋" w:cs="仿宋"/>
                <w:sz w:val="28"/>
                <w:szCs w:val="28"/>
              </w:rPr>
              <w:t>1、</w:t>
            </w:r>
            <w:r>
              <w:rPr>
                <w:rFonts w:hint="default" w:ascii="仿宋" w:hAnsi="仿宋" w:eastAsia="仿宋" w:cs="仿宋"/>
                <w:color w:val="auto"/>
                <w:sz w:val="28"/>
                <w:szCs w:val="28"/>
                <w:highlight w:val="none"/>
                <w:lang w:val="en-US" w:eastAsia="zh-CN"/>
              </w:rPr>
              <w:t>完全承诺招标文件的要求，并针对本项目实际需求提供实质性承诺，包括售后</w:t>
            </w:r>
            <w:r>
              <w:rPr>
                <w:rFonts w:hint="default" w:ascii="仿宋" w:hAnsi="仿宋" w:eastAsia="仿宋" w:cs="仿宋"/>
                <w:color w:val="auto"/>
                <w:sz w:val="28"/>
                <w:szCs w:val="28"/>
                <w:highlight w:val="none"/>
                <w:lang w:val="en-US"/>
              </w:rPr>
              <w:t>服务措施、维修响应时间、零配件及易损件储备</w:t>
            </w:r>
            <w:r>
              <w:rPr>
                <w:rFonts w:hint="default" w:ascii="仿宋" w:hAnsi="仿宋" w:eastAsia="仿宋" w:cs="仿宋"/>
                <w:color w:val="auto"/>
                <w:sz w:val="28"/>
                <w:szCs w:val="28"/>
                <w:highlight w:val="none"/>
                <w:lang w:val="en-US" w:eastAsia="zh-CN"/>
              </w:rPr>
              <w:t>、发生故障后的补救措施等方面，根据响应程度</w:t>
            </w:r>
            <w:r>
              <w:rPr>
                <w:rFonts w:hint="default" w:ascii="仿宋" w:hAnsi="仿宋" w:eastAsia="仿宋" w:cs="仿宋"/>
                <w:color w:val="auto"/>
                <w:sz w:val="28"/>
                <w:szCs w:val="28"/>
                <w:highlight w:val="none"/>
                <w:lang w:val="en-US"/>
              </w:rPr>
              <w:t>计</w:t>
            </w:r>
            <w:r>
              <w:rPr>
                <w:rFonts w:hint="default"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rPr>
              <w:t>分</w:t>
            </w: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55" w:type="dxa"/>
            <w:vMerge w:val="continue"/>
            <w:vAlign w:val="center"/>
          </w:tcPr>
          <w:p>
            <w:pPr>
              <w:spacing w:line="490" w:lineRule="exact"/>
              <w:jc w:val="center"/>
              <w:rPr>
                <w:rFonts w:hint="eastAsia" w:ascii="仿宋" w:hAnsi="仿宋" w:eastAsia="仿宋" w:cs="仿宋"/>
                <w:sz w:val="28"/>
                <w:szCs w:val="28"/>
              </w:rPr>
            </w:pPr>
          </w:p>
        </w:tc>
        <w:tc>
          <w:tcPr>
            <w:tcW w:w="825" w:type="dxa"/>
            <w:vMerge w:val="continue"/>
            <w:vAlign w:val="center"/>
          </w:tcPr>
          <w:p>
            <w:pPr>
              <w:spacing w:line="500" w:lineRule="exact"/>
              <w:jc w:val="center"/>
              <w:rPr>
                <w:rFonts w:hint="eastAsia" w:ascii="仿宋" w:hAnsi="仿宋" w:eastAsia="仿宋" w:cs="仿宋"/>
                <w:sz w:val="28"/>
                <w:szCs w:val="28"/>
              </w:rPr>
            </w:pPr>
          </w:p>
        </w:tc>
        <w:tc>
          <w:tcPr>
            <w:tcW w:w="7671" w:type="dxa"/>
          </w:tcPr>
          <w:p>
            <w:pPr>
              <w:spacing w:line="500" w:lineRule="exact"/>
              <w:rPr>
                <w:rFonts w:hint="eastAsia" w:ascii="仿宋" w:hAnsi="仿宋" w:eastAsia="仿宋" w:cs="仿宋"/>
                <w:sz w:val="28"/>
                <w:szCs w:val="28"/>
              </w:rPr>
            </w:pPr>
            <w:r>
              <w:rPr>
                <w:rFonts w:hint="eastAsia" w:ascii="仿宋" w:hAnsi="仿宋" w:eastAsia="仿宋" w:cs="仿宋"/>
                <w:sz w:val="28"/>
                <w:szCs w:val="28"/>
              </w:rPr>
              <w:t>2、提供详细的技术培训方案，保证最终用户能够熟练操作和日常维护、保养，根据响应程度计1</w:t>
            </w:r>
            <w:r>
              <w:rPr>
                <w:rFonts w:hint="eastAsia" w:ascii="仿宋" w:hAnsi="仿宋" w:eastAsia="仿宋" w:cs="仿宋"/>
                <w:kern w:val="0"/>
                <w:sz w:val="28"/>
                <w:szCs w:val="28"/>
              </w:rPr>
              <w:t>～2</w:t>
            </w:r>
            <w:r>
              <w:rPr>
                <w:rFonts w:hint="eastAsia" w:ascii="仿宋" w:hAnsi="仿宋" w:eastAsia="仿宋" w:cs="仿宋"/>
                <w:sz w:val="28"/>
                <w:szCs w:val="28"/>
              </w:rPr>
              <w:t>分。</w:t>
            </w:r>
          </w:p>
        </w:tc>
      </w:tr>
    </w:tbl>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highlight w:val="none"/>
        </w:rPr>
        <w:t>提供相同品牌产品（核心产品</w:t>
      </w:r>
      <w:r>
        <w:rPr>
          <w:rFonts w:hint="eastAsia" w:ascii="仿宋" w:hAnsi="仿宋" w:eastAsia="仿宋" w:cs="仿宋"/>
          <w:sz w:val="28"/>
          <w:szCs w:val="28"/>
          <w:highlight w:val="none"/>
          <w:lang w:eastAsia="zh-CN"/>
        </w:rPr>
        <w:t>）</w:t>
      </w:r>
      <w:r>
        <w:rPr>
          <w:rFonts w:hint="eastAsia" w:ascii="仿宋" w:hAnsi="仿宋" w:eastAsia="仿宋" w:cs="仿宋"/>
          <w:sz w:val="28"/>
          <w:szCs w:val="28"/>
        </w:rPr>
        <w:t>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其他同品牌供应商不作为中标候选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（2）评委打分超过得分界限或未按本方法赋分时，该评委的打分按废票处理；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（3）各种计算数字均保留两位小数，第三位“四舍五入”；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（4）评标委员会根据以上内容打分，由高到低进行，推荐出中标候选单位。评标委员会依据评审结果写出评标报告，送采购人审定。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采购代理机构在整个评标工作结束后，将把售标、开标、评标及推荐中标全过程的情况以书面形式（评标报告）报送采购人审核，同时报监督管理机构审核备案。</w:t>
      </w:r>
    </w:p>
    <w:p>
      <w:pPr>
        <w:pStyle w:val="63"/>
        <w:numPr>
          <w:ilvl w:val="0"/>
          <w:numId w:val="0"/>
        </w:numPr>
        <w:tabs>
          <w:tab w:val="clear" w:pos="851"/>
        </w:tabs>
        <w:spacing w:line="500" w:lineRule="exact"/>
        <w:outlineLvl w:val="9"/>
        <w:rPr>
          <w:rFonts w:hint="default" w:cs="仿宋"/>
          <w:szCs w:val="28"/>
        </w:rPr>
      </w:pPr>
      <w:bookmarkStart w:id="147" w:name="_Toc5329"/>
      <w:bookmarkStart w:id="148" w:name="_Toc24054"/>
      <w:bookmarkStart w:id="149" w:name="_Toc28539"/>
      <w:bookmarkStart w:id="150" w:name="_Toc20432"/>
      <w:r>
        <w:rPr>
          <w:rFonts w:cs="仿宋"/>
          <w:bCs/>
          <w:szCs w:val="28"/>
        </w:rPr>
        <w:t>十、</w:t>
      </w:r>
      <w:r>
        <w:rPr>
          <w:rFonts w:cs="仿宋"/>
          <w:szCs w:val="28"/>
        </w:rPr>
        <w:t>政策功能</w:t>
      </w:r>
      <w:bookmarkEnd w:id="147"/>
      <w:bookmarkEnd w:id="148"/>
      <w:bookmarkEnd w:id="149"/>
      <w:bookmarkEnd w:id="150"/>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1、关于节能产品、环境标志产品</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根据《财政部 发展改革委 生态环境部 市场监管总局关于调整优化节能产品、环境标志产品政府采购执行机制的通知》（财库〔2019〕9号）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2、关于小微企业、监狱企业、残疾人福利性单位</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（1）小微企业</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①根据《政府采购促进中小企业发展管理办法》（财库〔2020〕46号）的规定，在政府采购活动中，供应商提供的货物、工程或者服务符合下列情形的，享受中小企业扶持政策：</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在本项目中若提供的货物全部由符合政策要求的小微企业制造，报价给予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w:t>
      </w:r>
      <w:r>
        <w:rPr>
          <w:rFonts w:hint="eastAsia" w:ascii="仿宋" w:hAnsi="仿宋" w:eastAsia="仿宋" w:cs="仿宋"/>
          <w:sz w:val="28"/>
          <w:szCs w:val="28"/>
        </w:rPr>
        <w:t>扣除，用扣除后的价格参加评审</w:t>
      </w:r>
      <w:r>
        <w:rPr>
          <w:rFonts w:hint="eastAsia" w:ascii="仿宋" w:hAnsi="仿宋" w:eastAsia="仿宋" w:cs="仿宋"/>
          <w:sz w:val="28"/>
          <w:szCs w:val="28"/>
          <w:lang w:val="zh-CN"/>
        </w:rPr>
        <w:t>。</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②中小企业参加政府采购活动，应当出具符合财库〔2020〕46号规定的《中小企业声明函》,否则不得享受相关中小企业扶持政策。</w:t>
      </w:r>
    </w:p>
    <w:p>
      <w:pPr>
        <w:pStyle w:val="26"/>
        <w:spacing w:after="0" w:line="500" w:lineRule="exact"/>
        <w:ind w:firstLine="560" w:firstLineChars="200"/>
        <w:rPr>
          <w:rFonts w:hint="default" w:ascii="仿宋" w:hAnsi="仿宋" w:cs="仿宋"/>
          <w:sz w:val="28"/>
          <w:szCs w:val="28"/>
        </w:rPr>
      </w:pPr>
      <w:r>
        <w:rPr>
          <w:rFonts w:ascii="仿宋" w:hAnsi="仿宋" w:cs="仿宋"/>
          <w:kern w:val="2"/>
          <w:sz w:val="28"/>
          <w:szCs w:val="28"/>
        </w:rPr>
        <w:t>③根据《政府采购促进中小企业发展管理办法》（财库〔2020〕46号）的规定，享受扶持政策获得政府采购合同的，小微企业不得将合同分包给大中型企业，中型企业不得将合同分包给大型企业。</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（2）监狱企业参加政府采购活动时，应当提供相关证明文件。监狱企业参加政府采购活动时，视同小微企业。</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3、关于信用担保和信用融资</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wordWrap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有融资需求的供应商可凭政府采购中标（成交）通知书、政府采购合同等相关资料，按照文件规定的程序申请办理，具体规定可登录“陕西省政府采购网-陕西省政府采购信用融资平台（http://www.ccgp-shaanxi.gov.cn/zcdservice/zcd/shanxi/）”了解，业务流程简图如下：</w:t>
      </w:r>
    </w:p>
    <w:p>
      <w:pPr>
        <w:adjustRightInd w:val="0"/>
        <w:spacing w:line="500" w:lineRule="exact"/>
        <w:rPr>
          <w:rFonts w:ascii="仿宋" w:hAnsi="仿宋" w:eastAsia="仿宋" w:cs="仿宋"/>
          <w:sz w:val="28"/>
          <w:szCs w:val="28"/>
        </w:rPr>
      </w:pPr>
      <w:r>
        <w:rPr>
          <w:rFonts w:hint="eastAsia" w:ascii="仿宋" w:hAnsi="仿宋" w:eastAsia="仿宋" w:cs="仿宋"/>
          <w:sz w:val="28"/>
          <w:szCs w:val="28"/>
          <w:shd w:val="clear" w:color="auto" w:fill="FFFFFF"/>
        </w:rPr>
        <w:t>未签订采购合同申请流程</w:t>
      </w:r>
    </w:p>
    <w:p>
      <w:pPr>
        <w:rPr>
          <w:rFonts w:ascii="仿宋" w:hAnsi="仿宋" w:eastAsia="仿宋" w:cs="仿宋"/>
          <w:sz w:val="28"/>
          <w:szCs w:val="28"/>
          <w:shd w:val="clear" w:color="auto" w:fill="FFFFFF"/>
        </w:rPr>
      </w:pPr>
      <w:r>
        <w:drawing>
          <wp:inline distT="0" distB="0" distL="114300" distR="114300">
            <wp:extent cx="6181725" cy="3486150"/>
            <wp:effectExtent l="0" t="0" r="9525" b="0"/>
            <wp:docPr id="6"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02105081846_1620470769847_2270"/>
                    <pic:cNvPicPr>
                      <a:picLocks noChangeAspect="1"/>
                    </pic:cNvPicPr>
                  </pic:nvPicPr>
                  <pic:blipFill>
                    <a:blip r:embed="rId16" cstate="print"/>
                    <a:stretch>
                      <a:fillRect/>
                    </a:stretch>
                  </pic:blipFill>
                  <pic:spPr>
                    <a:xfrm>
                      <a:off x="0" y="0"/>
                      <a:ext cx="6181725" cy="3486150"/>
                    </a:xfrm>
                    <a:prstGeom prst="rect">
                      <a:avLst/>
                    </a:prstGeom>
                    <a:noFill/>
                    <a:ln>
                      <a:noFill/>
                    </a:ln>
                  </pic:spPr>
                </pic:pic>
              </a:graphicData>
            </a:graphic>
          </wp:inline>
        </w:drawing>
      </w:r>
    </w:p>
    <w:p>
      <w:pP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br w:type="page"/>
      </w:r>
      <w:r>
        <w:rPr>
          <w:rFonts w:hint="eastAsia" w:ascii="仿宋" w:hAnsi="仿宋" w:eastAsia="仿宋" w:cs="仿宋"/>
          <w:sz w:val="28"/>
          <w:szCs w:val="28"/>
          <w:shd w:val="clear" w:color="auto" w:fill="FFFFFF"/>
        </w:rPr>
        <w:t>已签订采购合同申请流程</w:t>
      </w:r>
    </w:p>
    <w:p>
      <w:pPr>
        <w:pStyle w:val="24"/>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drawing>
          <wp:inline distT="0" distB="0" distL="114300" distR="114300">
            <wp:extent cx="6223000" cy="3514725"/>
            <wp:effectExtent l="0" t="0" r="635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7" cstate="print"/>
                    <a:stretch>
                      <a:fillRect/>
                    </a:stretch>
                  </pic:blipFill>
                  <pic:spPr>
                    <a:xfrm>
                      <a:off x="0" y="0"/>
                      <a:ext cx="6223000" cy="3514725"/>
                    </a:xfrm>
                    <a:prstGeom prst="rect">
                      <a:avLst/>
                    </a:prstGeom>
                  </pic:spPr>
                </pic:pic>
              </a:graphicData>
            </a:graphic>
          </wp:inline>
        </w:drawing>
      </w:r>
    </w:p>
    <w:p>
      <w:pPr>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渭南市政府采购信用融资合作机构联系名单</w:t>
      </w:r>
    </w:p>
    <w:tbl>
      <w:tblPr>
        <w:tblStyle w:val="27"/>
        <w:tblW w:w="9776" w:type="dxa"/>
        <w:jc w:val="center"/>
        <w:tblLayout w:type="fixed"/>
        <w:tblCellMar>
          <w:top w:w="0" w:type="dxa"/>
          <w:left w:w="108" w:type="dxa"/>
          <w:bottom w:w="0" w:type="dxa"/>
          <w:right w:w="108" w:type="dxa"/>
        </w:tblCellMar>
      </w:tblPr>
      <w:tblGrid>
        <w:gridCol w:w="835"/>
        <w:gridCol w:w="5325"/>
        <w:gridCol w:w="1650"/>
        <w:gridCol w:w="1966"/>
      </w:tblGrid>
      <w:tr>
        <w:tblPrEx>
          <w:tblCellMar>
            <w:top w:w="0" w:type="dxa"/>
            <w:left w:w="108" w:type="dxa"/>
            <w:bottom w:w="0" w:type="dxa"/>
            <w:right w:w="108" w:type="dxa"/>
          </w:tblCellMar>
        </w:tblPrEx>
        <w:trPr>
          <w:trHeight w:val="740" w:hRule="atLeast"/>
          <w:jc w:val="center"/>
        </w:trPr>
        <w:tc>
          <w:tcPr>
            <w:tcW w:w="83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53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单位名称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联系人</w:t>
            </w:r>
          </w:p>
        </w:tc>
        <w:tc>
          <w:tcPr>
            <w:tcW w:w="19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联系电话</w:t>
            </w:r>
          </w:p>
        </w:tc>
      </w:tr>
      <w:tr>
        <w:tblPrEx>
          <w:tblCellMar>
            <w:top w:w="0" w:type="dxa"/>
            <w:left w:w="108" w:type="dxa"/>
            <w:bottom w:w="0" w:type="dxa"/>
            <w:right w:w="108" w:type="dxa"/>
          </w:tblCellMar>
        </w:tblPrEx>
        <w:trPr>
          <w:trHeight w:val="51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w:t>
            </w:r>
          </w:p>
        </w:tc>
        <w:tc>
          <w:tcPr>
            <w:tcW w:w="532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建设银行</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田宇</w:t>
            </w:r>
          </w:p>
        </w:tc>
        <w:tc>
          <w:tcPr>
            <w:tcW w:w="196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17791059890                        0913-2083572</w:t>
            </w:r>
          </w:p>
        </w:tc>
      </w:tr>
      <w:tr>
        <w:tblPrEx>
          <w:tblCellMar>
            <w:top w:w="0" w:type="dxa"/>
            <w:left w:w="108" w:type="dxa"/>
            <w:bottom w:w="0" w:type="dxa"/>
            <w:right w:w="108" w:type="dxa"/>
          </w:tblCellMar>
        </w:tblPrEx>
        <w:trPr>
          <w:trHeight w:val="51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532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96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r>
      <w:tr>
        <w:tblPrEx>
          <w:tblCellMar>
            <w:top w:w="0" w:type="dxa"/>
            <w:left w:w="108" w:type="dxa"/>
            <w:bottom w:w="0" w:type="dxa"/>
            <w:right w:w="108" w:type="dxa"/>
          </w:tblCellMar>
        </w:tblPrEx>
        <w:trPr>
          <w:trHeight w:val="51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2</w:t>
            </w:r>
          </w:p>
        </w:tc>
        <w:tc>
          <w:tcPr>
            <w:tcW w:w="532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浦发银行</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孙哲龙</w:t>
            </w:r>
          </w:p>
          <w:p>
            <w:pPr>
              <w:spacing w:line="500" w:lineRule="exact"/>
              <w:jc w:val="center"/>
              <w:rPr>
                <w:rFonts w:ascii="仿宋" w:hAnsi="仿宋" w:eastAsia="仿宋" w:cs="仿宋"/>
                <w:sz w:val="28"/>
                <w:szCs w:val="28"/>
              </w:rPr>
            </w:pPr>
            <w:r>
              <w:rPr>
                <w:rFonts w:hint="eastAsia" w:ascii="仿宋" w:hAnsi="仿宋" w:eastAsia="仿宋" w:cs="仿宋"/>
                <w:sz w:val="28"/>
                <w:szCs w:val="28"/>
              </w:rPr>
              <w:t>蒙波</w:t>
            </w:r>
          </w:p>
        </w:tc>
        <w:tc>
          <w:tcPr>
            <w:tcW w:w="196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13892383911</w:t>
            </w:r>
          </w:p>
          <w:p>
            <w:pPr>
              <w:spacing w:line="500" w:lineRule="exact"/>
              <w:jc w:val="center"/>
              <w:rPr>
                <w:rFonts w:ascii="仿宋" w:hAnsi="仿宋" w:eastAsia="仿宋" w:cs="仿宋"/>
                <w:sz w:val="28"/>
                <w:szCs w:val="28"/>
              </w:rPr>
            </w:pPr>
            <w:r>
              <w:rPr>
                <w:rFonts w:hint="eastAsia" w:ascii="仿宋" w:hAnsi="仿宋" w:eastAsia="仿宋" w:cs="仿宋"/>
                <w:sz w:val="28"/>
                <w:szCs w:val="28"/>
              </w:rPr>
              <w:t>15249035320</w:t>
            </w:r>
          </w:p>
        </w:tc>
      </w:tr>
      <w:tr>
        <w:tblPrEx>
          <w:tblCellMar>
            <w:top w:w="0" w:type="dxa"/>
            <w:left w:w="108" w:type="dxa"/>
            <w:bottom w:w="0" w:type="dxa"/>
            <w:right w:w="108" w:type="dxa"/>
          </w:tblCellMar>
        </w:tblPrEx>
        <w:trPr>
          <w:trHeight w:val="51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532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96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r>
      <w:tr>
        <w:tblPrEx>
          <w:tblCellMar>
            <w:top w:w="0" w:type="dxa"/>
            <w:left w:w="108" w:type="dxa"/>
            <w:bottom w:w="0" w:type="dxa"/>
            <w:right w:w="108" w:type="dxa"/>
          </w:tblCellMar>
        </w:tblPrEx>
        <w:trPr>
          <w:trHeight w:val="51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3</w:t>
            </w:r>
          </w:p>
        </w:tc>
        <w:tc>
          <w:tcPr>
            <w:tcW w:w="532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中信银行</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杨洋</w:t>
            </w:r>
          </w:p>
          <w:p>
            <w:pPr>
              <w:spacing w:line="500" w:lineRule="exact"/>
              <w:jc w:val="center"/>
              <w:rPr>
                <w:rFonts w:ascii="仿宋" w:hAnsi="仿宋" w:eastAsia="仿宋" w:cs="仿宋"/>
                <w:sz w:val="28"/>
                <w:szCs w:val="28"/>
              </w:rPr>
            </w:pPr>
            <w:r>
              <w:rPr>
                <w:rFonts w:hint="eastAsia" w:ascii="仿宋" w:hAnsi="仿宋" w:eastAsia="仿宋" w:cs="仿宋"/>
                <w:sz w:val="28"/>
                <w:szCs w:val="28"/>
              </w:rPr>
              <w:t>耿浩</w:t>
            </w:r>
          </w:p>
        </w:tc>
        <w:tc>
          <w:tcPr>
            <w:tcW w:w="196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18191815559</w:t>
            </w:r>
          </w:p>
          <w:p>
            <w:pPr>
              <w:spacing w:line="500" w:lineRule="exact"/>
              <w:jc w:val="center"/>
              <w:rPr>
                <w:rFonts w:ascii="仿宋" w:hAnsi="仿宋" w:eastAsia="仿宋" w:cs="仿宋"/>
                <w:sz w:val="28"/>
                <w:szCs w:val="28"/>
              </w:rPr>
            </w:pPr>
            <w:r>
              <w:rPr>
                <w:rFonts w:hint="eastAsia" w:ascii="仿宋" w:hAnsi="仿宋" w:eastAsia="仿宋" w:cs="仿宋"/>
                <w:sz w:val="28"/>
                <w:szCs w:val="28"/>
              </w:rPr>
              <w:t>13193388328</w:t>
            </w:r>
          </w:p>
        </w:tc>
      </w:tr>
      <w:tr>
        <w:tblPrEx>
          <w:tblCellMar>
            <w:top w:w="0" w:type="dxa"/>
            <w:left w:w="108" w:type="dxa"/>
            <w:bottom w:w="0" w:type="dxa"/>
            <w:right w:w="108" w:type="dxa"/>
          </w:tblCellMar>
        </w:tblPrEx>
        <w:trPr>
          <w:trHeight w:val="51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532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96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r>
      <w:tr>
        <w:tblPrEx>
          <w:tblCellMar>
            <w:top w:w="0" w:type="dxa"/>
            <w:left w:w="108" w:type="dxa"/>
            <w:bottom w:w="0" w:type="dxa"/>
            <w:right w:w="108" w:type="dxa"/>
          </w:tblCellMar>
        </w:tblPrEx>
        <w:trPr>
          <w:trHeight w:val="51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4</w:t>
            </w:r>
          </w:p>
        </w:tc>
        <w:tc>
          <w:tcPr>
            <w:tcW w:w="532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兴业银行</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权奥星</w:t>
            </w:r>
          </w:p>
        </w:tc>
        <w:tc>
          <w:tcPr>
            <w:tcW w:w="196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15706090239</w:t>
            </w:r>
          </w:p>
        </w:tc>
      </w:tr>
      <w:tr>
        <w:tblPrEx>
          <w:tblCellMar>
            <w:top w:w="0" w:type="dxa"/>
            <w:left w:w="108" w:type="dxa"/>
            <w:bottom w:w="0" w:type="dxa"/>
            <w:right w:w="108" w:type="dxa"/>
          </w:tblCellMar>
        </w:tblPrEx>
        <w:trPr>
          <w:trHeight w:val="51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532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96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r>
      <w:tr>
        <w:tblPrEx>
          <w:tblCellMar>
            <w:top w:w="0" w:type="dxa"/>
            <w:left w:w="108" w:type="dxa"/>
            <w:bottom w:w="0" w:type="dxa"/>
            <w:right w:w="108" w:type="dxa"/>
          </w:tblCellMar>
        </w:tblPrEx>
        <w:trPr>
          <w:trHeight w:val="51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5</w:t>
            </w:r>
          </w:p>
        </w:tc>
        <w:tc>
          <w:tcPr>
            <w:tcW w:w="532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工商银行</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张欢</w:t>
            </w:r>
          </w:p>
        </w:tc>
        <w:tc>
          <w:tcPr>
            <w:tcW w:w="196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15229730006</w:t>
            </w:r>
          </w:p>
        </w:tc>
      </w:tr>
      <w:tr>
        <w:tblPrEx>
          <w:tblCellMar>
            <w:top w:w="0" w:type="dxa"/>
            <w:left w:w="108" w:type="dxa"/>
            <w:bottom w:w="0" w:type="dxa"/>
            <w:right w:w="108" w:type="dxa"/>
          </w:tblCellMar>
        </w:tblPrEx>
        <w:trPr>
          <w:trHeight w:val="51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532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96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r>
      <w:tr>
        <w:tblPrEx>
          <w:tblCellMar>
            <w:top w:w="0" w:type="dxa"/>
            <w:left w:w="108" w:type="dxa"/>
            <w:bottom w:w="0" w:type="dxa"/>
            <w:right w:w="108" w:type="dxa"/>
          </w:tblCellMar>
        </w:tblPrEx>
        <w:trPr>
          <w:trHeight w:val="51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6</w:t>
            </w:r>
          </w:p>
        </w:tc>
        <w:tc>
          <w:tcPr>
            <w:tcW w:w="532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长安银行</w:t>
            </w: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李华</w:t>
            </w:r>
          </w:p>
        </w:tc>
        <w:tc>
          <w:tcPr>
            <w:tcW w:w="1966"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13335331958</w:t>
            </w:r>
          </w:p>
        </w:tc>
      </w:tr>
      <w:tr>
        <w:tblPrEx>
          <w:tblCellMar>
            <w:top w:w="0" w:type="dxa"/>
            <w:left w:w="108" w:type="dxa"/>
            <w:bottom w:w="0" w:type="dxa"/>
            <w:right w:w="108" w:type="dxa"/>
          </w:tblCellMar>
        </w:tblPrEx>
        <w:trPr>
          <w:trHeight w:val="51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532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c>
          <w:tcPr>
            <w:tcW w:w="1966"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cs="仿宋"/>
                <w:sz w:val="28"/>
                <w:szCs w:val="28"/>
              </w:rPr>
            </w:pPr>
          </w:p>
        </w:tc>
      </w:tr>
      <w:tr>
        <w:tblPrEx>
          <w:tblCellMar>
            <w:top w:w="0" w:type="dxa"/>
            <w:left w:w="108" w:type="dxa"/>
            <w:bottom w:w="0" w:type="dxa"/>
            <w:right w:w="108" w:type="dxa"/>
          </w:tblCellMar>
        </w:tblPrEx>
        <w:trPr>
          <w:trHeight w:val="510" w:hRule="atLeast"/>
          <w:jc w:val="center"/>
        </w:trPr>
        <w:tc>
          <w:tcPr>
            <w:tcW w:w="83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7</w:t>
            </w:r>
          </w:p>
        </w:tc>
        <w:tc>
          <w:tcPr>
            <w:tcW w:w="53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邮储银行</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高珍珍</w:t>
            </w:r>
          </w:p>
        </w:tc>
        <w:tc>
          <w:tcPr>
            <w:tcW w:w="19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15309130053</w:t>
            </w:r>
          </w:p>
          <w:p>
            <w:pPr>
              <w:spacing w:line="500" w:lineRule="exact"/>
              <w:jc w:val="center"/>
              <w:rPr>
                <w:rFonts w:ascii="仿宋" w:hAnsi="仿宋" w:eastAsia="仿宋" w:cs="仿宋"/>
                <w:sz w:val="28"/>
                <w:szCs w:val="28"/>
              </w:rPr>
            </w:pPr>
            <w:r>
              <w:rPr>
                <w:rFonts w:hint="eastAsia" w:ascii="仿宋" w:hAnsi="仿宋" w:eastAsia="仿宋" w:cs="仿宋"/>
                <w:sz w:val="28"/>
                <w:szCs w:val="28"/>
              </w:rPr>
              <w:t>18091365182</w:t>
            </w:r>
          </w:p>
        </w:tc>
      </w:tr>
      <w:tr>
        <w:tblPrEx>
          <w:tblCellMar>
            <w:top w:w="0" w:type="dxa"/>
            <w:left w:w="108" w:type="dxa"/>
            <w:bottom w:w="0" w:type="dxa"/>
            <w:right w:w="108" w:type="dxa"/>
          </w:tblCellMar>
        </w:tblPrEx>
        <w:trPr>
          <w:trHeight w:val="944" w:hRule="atLeast"/>
          <w:jc w:val="center"/>
        </w:trPr>
        <w:tc>
          <w:tcPr>
            <w:tcW w:w="83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8</w:t>
            </w:r>
          </w:p>
        </w:tc>
        <w:tc>
          <w:tcPr>
            <w:tcW w:w="53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交通银行</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李颖</w:t>
            </w:r>
          </w:p>
        </w:tc>
        <w:tc>
          <w:tcPr>
            <w:tcW w:w="19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18992316177</w:t>
            </w:r>
          </w:p>
        </w:tc>
      </w:tr>
    </w:tbl>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4、关于政府采购支持绿色建材</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财政部住房和城乡建设部关于政府采购支持绿色建材促进建筑品质提升试点工作的通知》（财库〔2020〕31号）规定，牢固树立新发展理念，发挥政府采购的示范引领作用，在政府采购工程中积极推广绿色建筑和绿色建材应用，推进建筑业供给侧结构性改革，促进绿色生产和绿色消费，推动经济社会绿色发展。</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5、关于进一步加强政府绿色采购</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陕西省财政厅关于进一步加强政府绿色采购有关问题的通知》（陕财办采〔2021〕29号）规定，严格落实节能和环保产品采购政策、加大绿色建材产品在政府采购工程中使用、优先采购绿色印刷服务、落实绿色包装和绿色运输要求。</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6、关于落实平等对待内外资企业有关政策</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财政部关于在政府采购活动中落实平等对待内外资企业有关政策的通知》（财库〔2021〕35号）规定，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平等维护内外资企业的合法权益。</w:t>
      </w:r>
    </w:p>
    <w:p>
      <w:pPr>
        <w:pStyle w:val="24"/>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7、其他需要落实的政府采购政策。</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十一、特殊情况处理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1、若出现综合得分并列时，投标报价得分高者为第一中标候选人，若投标报价和技术得分两项得分相同，则由全体评标委员会成员无记名投票，得票高者为第一中标候选人。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2、评标过程中，若出现合格供应商少于三家时，本项目按废标处理并报监督管理机构批准重新组织招标。</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十二、中标、询问及质疑</w:t>
      </w:r>
    </w:p>
    <w:p>
      <w:pPr>
        <w:spacing w:line="500" w:lineRule="exact"/>
        <w:ind w:firstLine="560" w:firstLineChars="200"/>
        <w:rPr>
          <w:rFonts w:ascii="仿宋" w:hAnsi="仿宋" w:cs="仿宋"/>
          <w:szCs w:val="28"/>
        </w:rPr>
      </w:pPr>
      <w:r>
        <w:rPr>
          <w:rFonts w:hint="eastAsia" w:ascii="仿宋" w:hAnsi="仿宋" w:eastAsia="仿宋" w:cs="仿宋"/>
          <w:sz w:val="28"/>
          <w:szCs w:val="28"/>
        </w:rPr>
        <w:t>1、确定中标人</w:t>
      </w:r>
    </w:p>
    <w:p>
      <w:pPr>
        <w:pStyle w:val="46"/>
        <w:kinsoku w:val="0"/>
        <w:topLinePunct/>
        <w:spacing w:line="500" w:lineRule="exact"/>
        <w:ind w:firstLine="560"/>
        <w:rPr>
          <w:rFonts w:hint="default" w:ascii="仿宋" w:hAnsi="仿宋" w:cs="仿宋"/>
          <w:szCs w:val="28"/>
        </w:rPr>
      </w:pPr>
      <w:r>
        <w:rPr>
          <w:rFonts w:ascii="仿宋" w:hAnsi="仿宋" w:cs="仿宋"/>
          <w:szCs w:val="28"/>
        </w:rPr>
        <w:t>1.1采购代理机构在评标结束后2个工作日内将评标报告送采购人确认。采购人在收到评标报告后5个工作日内，从评标报告提出的中标候选供应商中，按照排序由高到低的原则确定中标供应商；</w:t>
      </w:r>
    </w:p>
    <w:p>
      <w:pPr>
        <w:pStyle w:val="46"/>
        <w:spacing w:line="500" w:lineRule="exact"/>
        <w:ind w:firstLine="560"/>
        <w:rPr>
          <w:rFonts w:hint="default"/>
        </w:rPr>
      </w:pPr>
      <w:r>
        <w:rPr>
          <w:rFonts w:ascii="仿宋" w:hAnsi="仿宋" w:cs="仿宋"/>
          <w:szCs w:val="28"/>
        </w:rPr>
        <w:t>1.2采购代理机构在中标供应商确定后2个工作日内在陕西省政府采购网公告中标结果并发放《中标通知书》。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问及质疑依据《中华人民共和国政府采购法》《中华人民共和国政府采购法实施条例》《中华人民共和国财政部令第94号》及相关法律法规处理。供应商在法定质疑期内一次性提出针对同一采购程序环节的质疑。</w:t>
      </w:r>
    </w:p>
    <w:p>
      <w:pPr>
        <w:pStyle w:val="46"/>
        <w:widowControl/>
        <w:adjustRightInd/>
        <w:spacing w:line="500" w:lineRule="exact"/>
        <w:ind w:firstLine="560"/>
        <w:rPr>
          <w:rFonts w:hint="default" w:ascii="仿宋" w:hAnsi="仿宋" w:cs="仿宋"/>
        </w:rPr>
      </w:pPr>
      <w:r>
        <w:rPr>
          <w:rFonts w:ascii="仿宋" w:hAnsi="仿宋" w:cs="仿宋"/>
        </w:rPr>
        <w:t>（1）质疑函应以书面方式递交；（格式见陕西省政府采购网政府采购供应商质疑函范本）</w:t>
      </w:r>
    </w:p>
    <w:p>
      <w:pPr>
        <w:pStyle w:val="46"/>
        <w:widowControl/>
        <w:adjustRightInd/>
        <w:spacing w:line="500" w:lineRule="exact"/>
        <w:ind w:firstLine="560"/>
        <w:rPr>
          <w:rFonts w:hint="default" w:ascii="仿宋" w:hAnsi="仿宋" w:cs="仿宋"/>
        </w:rPr>
      </w:pPr>
      <w:r>
        <w:rPr>
          <w:rFonts w:ascii="仿宋" w:hAnsi="仿宋" w:cs="仿宋"/>
        </w:rPr>
        <w:t>（2）质疑函递交联系方式：</w:t>
      </w:r>
    </w:p>
    <w:p>
      <w:pPr>
        <w:pStyle w:val="46"/>
        <w:widowControl/>
        <w:adjustRightInd/>
        <w:spacing w:line="500" w:lineRule="exact"/>
        <w:ind w:firstLine="1260" w:firstLineChars="450"/>
        <w:rPr>
          <w:rFonts w:hint="default" w:ascii="仿宋" w:hAnsi="仿宋" w:cs="仿宋"/>
        </w:rPr>
      </w:pPr>
      <w:r>
        <w:rPr>
          <w:rFonts w:ascii="仿宋" w:hAnsi="仿宋" w:cs="仿宋"/>
        </w:rPr>
        <w:t>采购代理机构名称：西安欣华联建工程咨询有限公司</w:t>
      </w:r>
    </w:p>
    <w:p>
      <w:pPr>
        <w:pStyle w:val="46"/>
        <w:widowControl/>
        <w:adjustRightInd/>
        <w:spacing w:line="500" w:lineRule="exact"/>
        <w:ind w:firstLine="1260" w:firstLineChars="450"/>
        <w:rPr>
          <w:rFonts w:hint="eastAsia" w:ascii="仿宋" w:hAnsi="仿宋" w:eastAsia="仿宋" w:cs="仿宋"/>
          <w:lang w:eastAsia="zh-CN"/>
        </w:rPr>
      </w:pPr>
      <w:r>
        <w:rPr>
          <w:rFonts w:ascii="仿宋" w:hAnsi="仿宋" w:cs="仿宋"/>
        </w:rPr>
        <w:t>电话：</w:t>
      </w:r>
      <w:r>
        <w:rPr>
          <w:rFonts w:hint="eastAsia" w:ascii="仿宋" w:hAnsi="仿宋" w:cs="仿宋"/>
          <w:szCs w:val="28"/>
          <w:lang w:eastAsia="zh-CN"/>
        </w:rPr>
        <w:t>029-89182932、029-82513983</w:t>
      </w:r>
    </w:p>
    <w:p>
      <w:pPr>
        <w:pStyle w:val="46"/>
        <w:widowControl/>
        <w:adjustRightInd/>
        <w:spacing w:line="500" w:lineRule="exact"/>
        <w:ind w:firstLine="1260" w:firstLineChars="450"/>
        <w:rPr>
          <w:rFonts w:hint="default" w:ascii="仿宋" w:hAnsi="仿宋" w:cs="仿宋"/>
          <w:szCs w:val="28"/>
        </w:rPr>
      </w:pPr>
      <w:r>
        <w:rPr>
          <w:rFonts w:ascii="仿宋" w:hAnsi="仿宋" w:cs="仿宋"/>
        </w:rPr>
        <w:t>地址：</w:t>
      </w:r>
      <w:r>
        <w:rPr>
          <w:rFonts w:ascii="仿宋" w:hAnsi="仿宋" w:cs="仿宋"/>
          <w:szCs w:val="28"/>
        </w:rPr>
        <w:t>西安市高新区科技二路71号竹园天寰国际14层1404室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3、采购代理机构不做未中标原因的解释。</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十三、合同授予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1、中标通知书是合同的重要组成部分。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2、招标文件、中标人的投标文件及评审过程中有关的澄清文件均作为合同附件。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3、签订合同</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人与中标供应商应当在中标通知书发出之日起三十日内，按照采购文件确定的事项签订政府采购合同。中标供应商拒绝与采购人签订合同的，采购人可以按照评标报告推荐的中标候选人名单排序，确定下一候选人为中标供应商，也可以重新开展政府采购活动。</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十四、代理服务费</w:t>
      </w:r>
    </w:p>
    <w:p>
      <w:pPr>
        <w:spacing w:line="500" w:lineRule="exact"/>
        <w:ind w:firstLine="560" w:firstLineChars="200"/>
        <w:rPr>
          <w:rFonts w:ascii="仿宋" w:hAnsi="仿宋" w:eastAsia="仿宋" w:cs="仿宋"/>
          <w:sz w:val="28"/>
          <w:szCs w:val="28"/>
        </w:rPr>
      </w:pPr>
      <w:bookmarkStart w:id="151" w:name="_Toc193126874"/>
      <w:bookmarkStart w:id="152" w:name="_Toc194663910"/>
      <w:bookmarkStart w:id="153" w:name="_Toc188808820"/>
      <w:bookmarkStart w:id="154" w:name="_Toc193187089"/>
      <w:r>
        <w:rPr>
          <w:rFonts w:hint="eastAsia" w:ascii="仿宋" w:hAnsi="仿宋" w:eastAsia="仿宋" w:cs="仿宋"/>
          <w:bCs/>
          <w:sz w:val="28"/>
          <w:szCs w:val="28"/>
        </w:rPr>
        <w:t>1、中标供应商在领取中标通知书时须</w:t>
      </w:r>
      <w:r>
        <w:rPr>
          <w:rFonts w:hint="eastAsia" w:ascii="仿宋" w:hAnsi="仿宋" w:eastAsia="仿宋" w:cs="仿宋"/>
          <w:sz w:val="28"/>
          <w:szCs w:val="28"/>
        </w:rPr>
        <w:t>向采购代理机构支付</w:t>
      </w:r>
      <w:r>
        <w:rPr>
          <w:rFonts w:hint="eastAsia" w:ascii="仿宋" w:hAnsi="仿宋" w:eastAsia="仿宋" w:cs="仿宋"/>
          <w:bCs/>
          <w:kern w:val="0"/>
          <w:sz w:val="28"/>
          <w:szCs w:val="28"/>
        </w:rPr>
        <w:t>代理服务费。</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sz w:val="28"/>
          <w:szCs w:val="28"/>
        </w:rPr>
        <w:t>2、代理服务费：参照</w:t>
      </w:r>
      <w:r>
        <w:rPr>
          <w:rFonts w:hint="eastAsia" w:ascii="仿宋" w:hAnsi="仿宋" w:eastAsia="仿宋" w:cs="仿宋"/>
          <w:bCs/>
          <w:sz w:val="28"/>
          <w:szCs w:val="28"/>
        </w:rPr>
        <w:t>《国家计委关于印发&lt;招标代理服务收费管理暂行办法&gt;的通知》（计价格〔2002〕1980号）、《国家发展改革委员会办公厅关于招标代理服务收费有关问题的通知》（发改办价格〔2003〕857号）的规定标准执行，按差额定率累进法收取费用，100万以下按1.5%收取，100万-500万按1.1%收取。</w:t>
      </w:r>
    </w:p>
    <w:p>
      <w:pPr>
        <w:tabs>
          <w:tab w:val="left" w:pos="2700"/>
        </w:tabs>
        <w:spacing w:line="500" w:lineRule="exact"/>
        <w:ind w:firstLine="560" w:firstLineChars="200"/>
      </w:pPr>
      <w:r>
        <w:rPr>
          <w:rFonts w:hint="eastAsia" w:ascii="仿宋" w:hAnsi="仿宋" w:eastAsia="仿宋" w:cs="仿宋"/>
          <w:sz w:val="28"/>
          <w:szCs w:val="28"/>
        </w:rPr>
        <w:t>中标供应商如未按上述规定办理，其投标保证金不予退还。</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十五、其他</w:t>
      </w:r>
      <w:bookmarkEnd w:id="151"/>
      <w:bookmarkEnd w:id="152"/>
      <w:bookmarkEnd w:id="153"/>
      <w:bookmarkEnd w:id="154"/>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1、如果发生下列情况本项目按废标处理并报监督管理机构批准重新组织招标：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1.1有效供应商不足三家；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1.2所有供应商的报价均超出预算金额，采购人不能支付的；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1.3评标委员会三分之二以上评委认定所有投标报价存在价格不实的现象；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1.4有证据证明有围标现象的发生。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2、拒绝商业贿赂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2.1遵照陕西省财政厅的规定，采购人、采购代理机构、供应商和评标委员会在招投标活动中，都要签订相应的《拒绝政府采购领域商业贿赂承诺书》，并对违反承诺的行为承担全部责任；</w:t>
      </w:r>
    </w:p>
    <w:p>
      <w:pPr>
        <w:keepNext w:val="0"/>
        <w:keepLines w:val="0"/>
        <w:pageBreakBefore w:val="0"/>
        <w:wordWrap/>
        <w:overflowPunct/>
        <w:autoSpaceDE/>
        <w:autoSpaceDN/>
        <w:bidi w:val="0"/>
        <w:snapToGrid w:val="0"/>
        <w:spacing w:line="500" w:lineRule="exact"/>
        <w:ind w:firstLine="560"/>
        <w:textAlignment w:val="auto"/>
        <w:rPr>
          <w:rFonts w:hint="eastAsia" w:ascii="仿宋" w:hAnsi="仿宋" w:eastAsia="仿宋" w:cs="仿宋"/>
          <w:b/>
          <w:bCs/>
          <w:kern w:val="0"/>
          <w:sz w:val="44"/>
          <w:szCs w:val="44"/>
          <w:highlight w:val="none"/>
        </w:rPr>
      </w:pPr>
      <w:r>
        <w:rPr>
          <w:rFonts w:hint="eastAsia" w:ascii="仿宋" w:hAnsi="仿宋" w:eastAsia="仿宋" w:cs="仿宋"/>
          <w:sz w:val="28"/>
          <w:szCs w:val="28"/>
        </w:rPr>
        <w:t>2.2供应商必须填写一份《拒绝政府采购领域商业贿赂承诺书》（附件），应保证投标文件正、副本中均有且一致</w:t>
      </w:r>
      <w:r>
        <w:rPr>
          <w:rFonts w:hint="eastAsia" w:ascii="仿宋" w:hAnsi="仿宋" w:eastAsia="仿宋" w:cs="仿宋"/>
          <w:sz w:val="28"/>
          <w:szCs w:val="28"/>
          <w:highlight w:val="none"/>
        </w:rPr>
        <w:t>。</w:t>
      </w:r>
    </w:p>
    <w:p>
      <w:pPr>
        <w:rPr>
          <w:rFonts w:hint="eastAsia" w:ascii="仿宋" w:hAnsi="仿宋" w:eastAsia="仿宋" w:cs="仿宋"/>
          <w:b/>
          <w:bCs/>
          <w:kern w:val="0"/>
          <w:sz w:val="44"/>
          <w:szCs w:val="44"/>
          <w:highlight w:val="none"/>
        </w:rPr>
      </w:pPr>
      <w:r>
        <w:rPr>
          <w:rFonts w:hint="eastAsia" w:ascii="仿宋" w:hAnsi="仿宋" w:eastAsia="仿宋" w:cs="仿宋"/>
          <w:b/>
          <w:bCs/>
          <w:kern w:val="0"/>
          <w:sz w:val="44"/>
          <w:szCs w:val="44"/>
          <w:highlight w:val="none"/>
        </w:rPr>
        <w:br w:type="page"/>
      </w:r>
    </w:p>
    <w:bookmarkEnd w:id="10"/>
    <w:bookmarkEnd w:id="11"/>
    <w:p>
      <w:pPr>
        <w:numPr>
          <w:ilvl w:val="0"/>
          <w:numId w:val="0"/>
        </w:numPr>
        <w:snapToGrid w:val="0"/>
        <w:spacing w:line="500" w:lineRule="exact"/>
        <w:jc w:val="center"/>
        <w:outlineLvl w:val="0"/>
        <w:rPr>
          <w:rFonts w:hint="eastAsia" w:ascii="仿宋" w:hAnsi="仿宋" w:eastAsia="仿宋" w:cs="仿宋"/>
          <w:b/>
          <w:bCs/>
          <w:kern w:val="0"/>
          <w:sz w:val="44"/>
          <w:szCs w:val="44"/>
          <w:highlight w:val="none"/>
          <w:lang w:eastAsia="zh-CN"/>
        </w:rPr>
        <w:sectPr>
          <w:headerReference r:id="rId6" w:type="default"/>
          <w:footerReference r:id="rId7" w:type="default"/>
          <w:pgSz w:w="11906" w:h="16838"/>
          <w:pgMar w:top="1440" w:right="1083" w:bottom="1440" w:left="1083" w:header="851" w:footer="964" w:gutter="0"/>
          <w:pgNumType w:fmt="decimal" w:start="1"/>
          <w:cols w:space="720" w:num="1"/>
          <w:docGrid w:type="lines" w:linePitch="312" w:charSpace="0"/>
        </w:sectPr>
      </w:pPr>
      <w:bookmarkStart w:id="155" w:name="_Toc9026"/>
      <w:bookmarkStart w:id="156" w:name="_Toc24325"/>
      <w:bookmarkStart w:id="157" w:name="_Toc2621_WPSOffice_Level1"/>
      <w:bookmarkStart w:id="158" w:name="_Toc24637"/>
      <w:bookmarkStart w:id="159" w:name="_Toc713"/>
      <w:bookmarkStart w:id="160" w:name="_Toc15896"/>
      <w:bookmarkStart w:id="161" w:name="OLE_LINK2"/>
      <w:bookmarkStart w:id="162" w:name="OLE_LINK1"/>
    </w:p>
    <w:p>
      <w:pPr>
        <w:pStyle w:val="2"/>
        <w:jc w:val="center"/>
        <w:rPr>
          <w:rFonts w:hint="eastAsia" w:ascii="仿宋" w:hAnsi="仿宋" w:eastAsia="仿宋" w:cs="仿宋"/>
          <w:sz w:val="44"/>
          <w:szCs w:val="44"/>
        </w:rPr>
      </w:pPr>
      <w:bookmarkStart w:id="163" w:name="_Toc30807"/>
      <w:r>
        <w:rPr>
          <w:rFonts w:hint="eastAsia" w:ascii="仿宋" w:hAnsi="仿宋" w:eastAsia="仿宋" w:cs="仿宋"/>
          <w:sz w:val="44"/>
          <w:szCs w:val="44"/>
          <w:lang w:eastAsia="zh-CN"/>
        </w:rPr>
        <w:t>第四章</w:t>
      </w:r>
      <w:r>
        <w:rPr>
          <w:rFonts w:hint="eastAsia" w:ascii="仿宋" w:hAnsi="仿宋" w:eastAsia="仿宋" w:cs="仿宋"/>
          <w:sz w:val="44"/>
          <w:szCs w:val="44"/>
        </w:rPr>
        <w:t xml:space="preserve"> </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采购内容</w:t>
      </w:r>
      <w:bookmarkEnd w:id="163"/>
    </w:p>
    <w:tbl>
      <w:tblPr>
        <w:tblStyle w:val="2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5"/>
        <w:gridCol w:w="4186"/>
        <w:gridCol w:w="2231"/>
        <w:gridCol w:w="6179"/>
        <w:gridCol w:w="9"/>
        <w:gridCol w:w="6"/>
        <w:gridCol w:w="14"/>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454" w:hRule="atLeast"/>
        </w:trPr>
        <w:tc>
          <w:tcPr>
            <w:tcW w:w="4996" w:type="pct"/>
            <w:gridSpan w:val="7"/>
            <w:tcBorders>
              <w:top w:val="nil"/>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eastAsia" w:ascii="仿宋" w:hAnsi="仿宋" w:eastAsia="仿宋" w:cs="仿宋"/>
                <w:b w:val="0"/>
                <w:bCs w:val="0"/>
                <w:i w:val="0"/>
                <w:iCs w:val="0"/>
                <w:color w:val="000000"/>
                <w:sz w:val="28"/>
                <w:szCs w:val="28"/>
                <w:u w:val="none"/>
              </w:rPr>
            </w:pPr>
            <w:r>
              <w:rPr>
                <w:rFonts w:hint="eastAsia" w:ascii="仿宋" w:hAnsi="仿宋" w:eastAsia="仿宋" w:cs="仿宋"/>
                <w:b/>
                <w:bCs/>
                <w:i w:val="0"/>
                <w:iCs w:val="0"/>
                <w:color w:val="000000"/>
                <w:kern w:val="0"/>
                <w:sz w:val="32"/>
                <w:szCs w:val="32"/>
                <w:u w:val="none"/>
                <w:lang w:val="en-US" w:eastAsia="zh-CN" w:bidi="ar"/>
              </w:rPr>
              <w:t>渭南市临渭区人民法院2024年中省政法转移支付自定装备采购项目需求表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1" w:type="pct"/>
          <w:trHeight w:val="454"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装备配备项目及内容</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数量（套）</w:t>
            </w:r>
          </w:p>
        </w:tc>
        <w:tc>
          <w:tcPr>
            <w:tcW w:w="2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49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临渭区法院机关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49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b w:val="0"/>
                <w:bCs w:val="0"/>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一 业务技术装备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 w:type="pct"/>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法庭庭审记录设备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2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根据省高院要求配备，含大屏幕电视、话筒等，无纸化法庭升级1套包含35个科技法庭点位。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 w:type="pct"/>
          <w:trHeight w:val="454"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法庭信息发布设备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2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49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二 业务综合保障装备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49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（一）诉讼档案管理设备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 w:type="pct"/>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档案数字化系统</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21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（日常办公）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49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（二）业务通用设备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1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国产化桌面云</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5</w:t>
            </w:r>
          </w:p>
        </w:tc>
        <w:tc>
          <w:tcPr>
            <w:tcW w:w="21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（日常办公）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147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打印机</w:t>
            </w:r>
          </w:p>
        </w:tc>
        <w:tc>
          <w:tcPr>
            <w:tcW w:w="7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6</w:t>
            </w:r>
          </w:p>
        </w:tc>
        <w:tc>
          <w:tcPr>
            <w:tcW w:w="21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（日常办公）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w:t>
            </w:r>
          </w:p>
        </w:tc>
        <w:tc>
          <w:tcPr>
            <w:tcW w:w="147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档案卷宗扫描仪</w:t>
            </w:r>
          </w:p>
        </w:tc>
        <w:tc>
          <w:tcPr>
            <w:tcW w:w="7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8</w:t>
            </w:r>
          </w:p>
        </w:tc>
        <w:tc>
          <w:tcPr>
            <w:tcW w:w="21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（日常办公）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4</w:t>
            </w:r>
          </w:p>
        </w:tc>
        <w:tc>
          <w:tcPr>
            <w:tcW w:w="147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卷宗装订机</w:t>
            </w:r>
          </w:p>
        </w:tc>
        <w:tc>
          <w:tcPr>
            <w:tcW w:w="7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21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（日常办公）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5</w:t>
            </w:r>
          </w:p>
        </w:tc>
        <w:tc>
          <w:tcPr>
            <w:tcW w:w="147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执法记录仪</w:t>
            </w:r>
          </w:p>
        </w:tc>
        <w:tc>
          <w:tcPr>
            <w:tcW w:w="7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30</w:t>
            </w:r>
          </w:p>
        </w:tc>
        <w:tc>
          <w:tcPr>
            <w:tcW w:w="21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（日常办公）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454" w:hRule="atLeast"/>
        </w:trPr>
        <w:tc>
          <w:tcPr>
            <w:tcW w:w="499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（三）信息网络设备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147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网络系统</w:t>
            </w:r>
          </w:p>
        </w:tc>
        <w:tc>
          <w:tcPr>
            <w:tcW w:w="7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21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（日常办公）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4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2</w:t>
            </w:r>
          </w:p>
        </w:tc>
        <w:tc>
          <w:tcPr>
            <w:tcW w:w="147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音视频系统</w:t>
            </w:r>
          </w:p>
        </w:tc>
        <w:tc>
          <w:tcPr>
            <w:tcW w:w="7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1</w:t>
            </w:r>
          </w:p>
        </w:tc>
        <w:tc>
          <w:tcPr>
            <w:tcW w:w="21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（日常办公）</w:t>
            </w: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sz w:val="28"/>
          <w:szCs w:val="28"/>
        </w:rPr>
      </w:pPr>
      <w:r>
        <w:rPr>
          <w:rFonts w:hint="eastAsia" w:ascii="仿宋" w:hAnsi="仿宋" w:eastAsia="仿宋" w:cs="仿宋"/>
          <w:b/>
          <w:bCs/>
          <w:sz w:val="28"/>
          <w:szCs w:val="28"/>
        </w:rPr>
        <w:t>法庭庭审记录设备</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2"/>
        <w:gridCol w:w="1640"/>
        <w:gridCol w:w="8759"/>
        <w:gridCol w:w="903"/>
        <w:gridCol w:w="346"/>
        <w:gridCol w:w="539"/>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一、法庭设备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数字高清庭审主机</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highlight w:val="red"/>
                <w:u w:val="none"/>
                <w:lang w:val="en-US" w:eastAsia="zh-CN" w:bidi="ar"/>
              </w:rPr>
            </w:pPr>
            <w:r>
              <w:rPr>
                <w:rFonts w:hint="eastAsia" w:ascii="仿宋" w:hAnsi="仿宋" w:eastAsia="仿宋" w:cs="仿宋"/>
                <w:i w:val="0"/>
                <w:iCs w:val="0"/>
                <w:color w:val="000000"/>
                <w:kern w:val="0"/>
                <w:sz w:val="28"/>
                <w:szCs w:val="28"/>
                <w:u w:val="none"/>
                <w:lang w:val="en-US" w:eastAsia="zh-CN" w:bidi="ar"/>
              </w:rPr>
              <w:t>1、★主机需具备音频处理器、视频矩阵、录播编解码、视频会议终端、多方互动MCU、可编程中控等功能，需采用纯嵌入式架构。不接受多品牌多设备堆叠方式实现以上功能。提供检测报告证明。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2、★主机应采用19"标准单一机箱，设备高度不高于1U。提供证明文件。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3、视频输入接口≥2路3G/HD-SDI输入，支持4路网络IPCAM视频输入，≥4路HDMI输入接口，HDMI支持DVI/VGA/YPbPr等信号格式。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4、视频输出接口≥2路HDMI接口，HDMI输出含DVI/VGA 信号格式，其中1路最高可支持4K@60HZ输出，可工作于本地矩阵切换环出及解码状态;</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5、音频接口≥2路麦克风接入（需带48V幻象供电）；≥4路线路接入；支持HDMI内嵌数字音频输入。≥4路线路输出。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6、控制接口≥5路RS232、≥1路RS485，≥4路继电器RELAY，≥2路IR发射接口、≥1路IR学习接收接口，≥2路USB接口，可USB外置光驱进行音视频实时刻录，键盘鼠标操作GUI管理界面，U盘文件下载。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7、应支持H.265,H.264视频压缩算法，支持音频G.711A/G.711U/AAC音频压缩算法；编码分辨率、码率、采样率可调。</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8、≥6路音视频编码，每路支持双流；≥4路音视频解码。</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9、★主机应具备音频处理功能，应支持回声消除AEC，反馈抑制AFC，环境噪声抑制ANS，均衡调节等功能；麦克风变声保护等音效处理功能。提供检测报告证明。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10、★主机需支持语音激励功能，支持设置MIC语音激励调取摄像机画面、导播特写。语音激励关系支持保存为预案场景。提供</w:t>
            </w:r>
            <w:r>
              <w:rPr>
                <w:rFonts w:hint="eastAsia" w:ascii="仿宋" w:hAnsi="仿宋" w:eastAsia="仿宋" w:cs="仿宋"/>
                <w:i w:val="0"/>
                <w:iCs w:val="0"/>
                <w:color w:val="000000"/>
                <w:kern w:val="0"/>
                <w:sz w:val="28"/>
                <w:szCs w:val="28"/>
                <w:highlight w:val="none"/>
                <w:u w:val="none"/>
                <w:lang w:val="en-US" w:eastAsia="zh-CN" w:bidi="ar"/>
              </w:rPr>
              <w:t>检</w:t>
            </w:r>
            <w:r>
              <w:rPr>
                <w:rFonts w:hint="eastAsia" w:ascii="仿宋" w:hAnsi="仿宋" w:eastAsia="仿宋" w:cs="仿宋"/>
                <w:i w:val="0"/>
                <w:iCs w:val="0"/>
                <w:color w:val="000000"/>
                <w:kern w:val="0"/>
                <w:sz w:val="28"/>
                <w:szCs w:val="28"/>
                <w:u w:val="none"/>
                <w:lang w:val="en-US" w:eastAsia="zh-CN" w:bidi="ar"/>
              </w:rPr>
              <w:t>测报告证明。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11、需支持H.323/SIP协议，实现设备与设备、设备与手机、设备与市场主流视频会议终端和MCU之间一键交互。</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12、★设备应自带≥4方组会MCU，支持联系人通讯录、一键呼叫/挂断、群呼等会议管理。提供检测报告证明。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13、主机需支持以视频会议终端进行GK注册、注册SIP，支持通过别名、会议号及纯IP地址呼叫；兼容主流品牌</w:t>
            </w:r>
            <w:r>
              <w:rPr>
                <w:rFonts w:hint="eastAsia" w:ascii="仿宋" w:hAnsi="仿宋" w:eastAsia="仿宋" w:cs="仿宋"/>
                <w:i w:val="0"/>
                <w:iCs w:val="0"/>
                <w:color w:val="000000"/>
                <w:kern w:val="0"/>
                <w:sz w:val="28"/>
                <w:szCs w:val="28"/>
                <w:highlight w:val="none"/>
                <w:u w:val="none"/>
                <w:lang w:val="en-US" w:eastAsia="zh-CN" w:bidi="ar"/>
              </w:rPr>
              <w:t>华为/宝利通/思科/中兴等</w:t>
            </w:r>
            <w:r>
              <w:rPr>
                <w:rFonts w:hint="eastAsia" w:ascii="仿宋" w:hAnsi="仿宋" w:eastAsia="仿宋" w:cs="仿宋"/>
                <w:i w:val="0"/>
                <w:iCs w:val="0"/>
                <w:color w:val="000000"/>
                <w:kern w:val="0"/>
                <w:sz w:val="28"/>
                <w:szCs w:val="28"/>
                <w:u w:val="none"/>
                <w:lang w:val="en-US" w:eastAsia="zh-CN" w:bidi="ar"/>
              </w:rPr>
              <w:t>会议管理服务器。支持H.239和BFCP双流标准，双流分辨率达到1080P30帧。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14、主机应具备录播功能，内置不低于2T容量硬盘，可扩展至8T；≥6路音视频码流实时存储。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15、★需满足不低于2路画面合成；≥23种合成模式，支持2/4/6/8等分屏模式；不低于12种切换特效,擦除/收缩/淡入淡出等；合成分辨率≥4K，且可设置。提供检测报告证明。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16、主机需支持字幕叠加、台标叠加，支持图像画面移动检测实现自动视频切换。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17、主机需支持FTP手动/定时/结束自动上传模式；支持手动/定时预约/开机录制；支持网络直播/点播/文件查看、下载、删除等管理；支持多任务分时分录；支持硬盘文件本地视频输出端口直接回放。</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18、需支持向第三方流媒体平台直播推流，同时支持互联网二维码一键直播应用。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19、需支持设置和载入会议云台摄像机，不低于7个预置位；支持摄像机云台上、下、左、右方向旋转，支持归位操作；支持对摄像头的焦距进行调节、推近、拉远。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20、主机需具备中控接口，支持红外学习、串口和网络数据传输。客户端软件支持自定义中控按钮编程，如灯光、大屏、环境控制等，支持导入可编程中控界面。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21、需支持TCP/UDP/RTSP/RTP/RTMP/ONVIF/H.323/SIP/HTTP等协议。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22、★主机应支持B/S、GUI可视化集控操作界面，具备场景一键调用、视频可视化预览及拖拽切换。并支持C/S客户端APP，实现IOS、安卓、Windwos以及国产化中标麒麟等系统客户端可视化管理。提供检测报告证明。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23、C/S可视化集控端,应具备可编程自定义功能，根据不同应用场景实现自定义界面。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24、★支持证人/嫌疑人视频画面马赛克和音频变声功能。提供检测报告证明。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25、要求主机设备平均无故障运行时间MTBF≥100000小时。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26、提供主机厂商信息安全管理体系、环境管理体系、职业健康管理体系证书复印件。                                                                                                                                                                                                                                        27、提供原厂家针对本项目售后服务承诺函原件。</w:t>
            </w:r>
            <w:r>
              <w:rPr>
                <w:rFonts w:hint="eastAsia" w:ascii="仿宋" w:hAnsi="仿宋" w:eastAsia="仿宋" w:cs="仿宋"/>
                <w:i w:val="0"/>
                <w:iCs w:val="0"/>
                <w:color w:val="000000"/>
                <w:kern w:val="0"/>
                <w:sz w:val="28"/>
                <w:szCs w:val="28"/>
                <w:highlight w:val="none"/>
                <w:u w:val="none"/>
                <w:lang w:val="en-US" w:eastAsia="zh-CN" w:bidi="ar"/>
              </w:rPr>
              <w:t xml:space="preserve">                    </w:t>
            </w:r>
            <w:r>
              <w:rPr>
                <w:rFonts w:hint="eastAsia" w:ascii="仿宋" w:hAnsi="仿宋" w:eastAsia="仿宋" w:cs="仿宋"/>
                <w:i w:val="0"/>
                <w:iCs w:val="0"/>
                <w:color w:val="000000"/>
                <w:kern w:val="0"/>
                <w:sz w:val="28"/>
                <w:szCs w:val="28"/>
                <w:highlight w:val="red"/>
                <w:u w:val="none"/>
                <w:lang w:val="en-US" w:eastAsia="zh-CN" w:bidi="ar"/>
              </w:rPr>
              <w:t xml:space="preserve">                                                                                                                                                                                                           </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庭审控制面板</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平台需具备视频监视、视频切换、云台控制、可编程中控、音频调节、直播、录播控制、互动拨号呼叫、系统管理等功能。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2、平台需支持B/S、C/S、GUI等管理及控制方式。支持IOS、安卓、鸿蒙、Windwos、</w:t>
            </w:r>
            <w:r>
              <w:rPr>
                <w:rFonts w:hint="eastAsia" w:ascii="仿宋" w:hAnsi="仿宋" w:eastAsia="仿宋" w:cs="仿宋"/>
                <w:i w:val="0"/>
                <w:iCs w:val="0"/>
                <w:color w:val="000000"/>
                <w:kern w:val="0"/>
                <w:sz w:val="28"/>
                <w:szCs w:val="28"/>
                <w:highlight w:val="none"/>
                <w:u w:val="none"/>
                <w:lang w:val="en-US" w:eastAsia="zh-CN" w:bidi="ar"/>
              </w:rPr>
              <w:t>中标麒麟系统。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3、★系统应能实时显示录播画面、显示会议信息、录制时间和硬盘容量、剩余硬盘空间、网络连接状态等实时信息。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4、★应支持第三方流媒体平台直播推流，同时支持互联网二维码一键直播应用，实现互联网直播。（需提供界面截图证明）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5、应支持不少于7路高清视频的实时预览显示，支持视频通道拖拽式切换；支持输出视频通道预览放大。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6、平台需支持输入输出音频控制，以音柱实时显示音频大小，采用推拉式音量调节。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7、中控界面可编程页面在线编辑，支持图片，文字，按键等编程应用，实现中控的集中控制管理。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8、需支持本地画面，远程交互画面合成布局，具备23种以上合成布局模式。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9、平台需具备录制、暂停、停止、录制通道选择、直播推送控制功能。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w:t>
            </w:r>
            <w:r>
              <w:rPr>
                <w:rFonts w:hint="eastAsia" w:ascii="仿宋" w:hAnsi="仿宋" w:eastAsia="仿宋" w:cs="仿宋"/>
                <w:i w:val="0"/>
                <w:iCs w:val="0"/>
                <w:color w:val="000000"/>
                <w:kern w:val="0"/>
                <w:sz w:val="28"/>
                <w:szCs w:val="28"/>
                <w:highlight w:val="none"/>
                <w:u w:val="none"/>
                <w:lang w:val="en-US" w:eastAsia="zh-CN" w:bidi="ar"/>
              </w:rPr>
              <w:t>★需支持视频文件在线点播VOD，需支持录像文件下载、FTP上传管理。</w:t>
            </w:r>
            <w:r>
              <w:rPr>
                <w:rFonts w:hint="eastAsia" w:ascii="仿宋" w:hAnsi="仿宋" w:eastAsia="仿宋" w:cs="仿宋"/>
                <w:i w:val="0"/>
                <w:iCs w:val="0"/>
                <w:color w:val="000000"/>
                <w:kern w:val="0"/>
                <w:sz w:val="28"/>
                <w:szCs w:val="28"/>
                <w:u w:val="none"/>
                <w:lang w:val="en-US" w:eastAsia="zh-CN" w:bidi="ar"/>
              </w:rPr>
              <w:t>（需提截图证明）</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11、★需支持值班模式、工作模式、演习模式、休息模式等场景保存，一键调取场景预案。（需提供场景管理界面截图证明）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12、需提供可视化信息发布软件证书。（需提有效的证书复印件）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13、标配1套控制一体机：国产鸿蒙操作系统；海思处理器；主频≥2.0GHz/≥四核心；≥4GB存储容量，≥128GB存储；≥10英寸屏幕，屏幕分辨率≥2000x1200；屏幕刷新率≥120HZ；电容式触摸屏，多点式触摸屏；十点式触摸IPS屏幕。                                                                                                                                                                            14、与庭审主机为同一品牌，配套使用。                                                                                                                                                                                                            15.★具备多媒体会议系统集中控制软件证书。 </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强电控制器</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1.总功率≥6500W；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2.可控制万用插座电源≥8个；</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3.可级联数量≥16台,RJ45级联方式；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4.电源通道开启模式≥3种,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6.每个电源插座可单独控制；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7.每通道开启或关闭时,可单独设置延时时间；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8.带RS232双向中控接口；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9.自带液晶显示屏,支持中英文操作。</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书记员终端</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1、CPU≥四核、主频≥ 2.41GHz、内存≥2G、存储≥ 16G、 USB≥ 6个、 1 个 VGA、1个HDMI、 1个千兆电口、 1 对音频口。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2、支持桌面云和瘦终端可通过一个管理管理平台管理桌面云和瘦终端。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3、在瘦终端的管理方面，需支持分组管理、批量移动、删除、关闭瘦终端，支持配置定时开关机计划及加电自启动功能，支持自定义开机画面、配置自动登录和保存密码。（需提供产品功能截图）</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4、云终端权限管理：支持配置是否允许显示本地桌面和是否允许安装应用、支持开启“修改云终端配置和登录信息需要密码”功能、支持配置是否允许新的云终端接入或者接入需要密码。</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法官终端</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CPU≥四核、主频≥ 1.6GHz、内存≥ 1G、存储≥ 4G、 USB≥ 6个、 1 个 VGA或1个HDMI、 2个以太网口、 1 对音频口；1个网络切换按钮。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2、支持桌面云和瘦终端可通过一个管理管理平台管理桌面云和瘦终端。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3、在瘦终端的管理方面，需支持分组管理、批量移动、删除、关闭瘦终端，支持配置定时开关机计划及加电自启动功能，支持自定义开机画面、配置自动登录和保存密码。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4、云终端权限管理：支持配置是否允许显示本地桌面和是否允许安装应用、支持开启“修改云终端配置和登录信息需要密码”功能、支持配置是否允许新的云终端接入或者接入需要密码。含系统</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VDI授权与配件</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本项目要求提供虚拟桌面授权≥2点；提供远程协助桌面服务功能，支持发布专有桌面、还原桌面、池化桌面、共享桌面、远程应用≥5种桌面资源，满足不同场景的应用需求。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2、在多应用办公场景下，可针对当下使用频率较高的软件做加速，管理员也可自定义需做进程加速应用，以保障应用使用体验。</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500" w:lineRule="exact"/>
              <w:ind w:left="0" w:leftChars="0" w:firstLine="0" w:firstLineChars="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为了保障用户的使用体验，所投产品需支持还原桌面用户在重启虚拟机桌面的情况或管理员通过模版更新更新虚拟机桌面的情况下，用户之前的个性化配置（如输入法配置等）还能够继续保留使用。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4、为了提高桌面使用稳定性，所投产品客户端连接虚拟桌面无需依赖虚拟机IP，如禁用虚机网卡或者随意更改IP，桌面会话不会中断，用户可以正常办公，避免因误操作而导致业务中断。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5、支持就近打印配置，可以根据客户机对象或者终端ip对象关联打印机配置，用户通过终端登录桌面，自动匹配终端管理的打印机配置，实现就近打印。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为了快速满足用户对桌面资源的诉求，所投产品需支持用户可自助申请虚拟机配置变更，由管理员审核，管理员可以选择审批通过、修改申请配置后申请通过、驳回操作，审核通过资源自动加到用户虚拟机上。并且用户申请虚拟机配置变更可以直接指定给部门资产管理员审批，既符合规定又提高效率。</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7、支持自助快照恢复，当用户自己误操作导致云桌面卡慢、蓝屏、死机或者中病毒的时候，用户通过导航条按钮，可以自助进行系统盘快照还原操作，支持安卓瘦终端、PC客户端。</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8、支持虚拟机快照技术，当数据误删或系统故障时可实现回滚，快照只保存增量数据，节省存储空间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用户可自主选择云终端对应重点工作可视化主题（例如:扫黑除恶专项斗争、不忘初心、牢记使命等主题），并支持自行定制主题，管理员可以在主题商城中下载主题，并将主题应用到包括瘦终端（ARM、X86）、PC客户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10、支持满屏水印，水印内容颜色和边框颜色反色调设置，防止背景颜色与水印颜色一致，覆盖水印，支持水印内容、透明度、水印字体大小、倾斜度调整。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11、支持多种认证方式随需组合，包括本地账号密码、短信认证、硬件特征绑定认证，满足不同级别用户的安全接入需求。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应用虚拟化服务器支持设置熔断机制，即设置在超过一定负载时，则拒绝新用户接入，且老用户能够正常使用，以保障服务器不至于超过自身的承载能力，影响用户体验。熔断机制的指标包括：CPU利用率、内存利用率、磁盘利用率、当前会话数，要求任一指标达到上限，则阻止新用户接入。</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13、支持虚拟机回收站功能，避免误操作导致虚拟机数据丢失，当虚拟机删除后，会自动进入回收站，支持恢复到原位置，可设置回收站自动清理时长。</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书记员庭审系统</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用户登录</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系统为书记员提供内网登录功能。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2、★庭审分析</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书记员可查看和查询开庭情况分析，查看案由占比数据、查看开庭时长数据。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3、待开庭列表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书记员可利用查询条件查看待开庭列表，进入庭审控制界面。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4、庭审信息总览</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庭审信息总览界面，左上为庭审视频展示区、左下为案件信息展示区，右侧为庭审互动区。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5、庭审控制管理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书记员可在庭审开始前，或庭审过程中，使用各类庭审控制功能。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设备管理：展示当前法庭的设备，拉取设备可以拉取未入会的设备重新入会。</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核实身份：可以手动选择当事人是否参会，也可以查看通过高拍仪的核验情况。</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开始共享：点进后当事人及其他端可以看到书记员桌面共享。</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6、庭审笔录管理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书记员可编辑笔录，将已编辑笔录共享给当事人双方确认。</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书记员可查看当事人的签字，在确认前要求当事人重新签字。</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7、庭审视频查看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书记员可切换庭审视频的播放方式，为独占或小窗口。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8、★庭审卷宗查看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书记员可在庭审过程中查看电子卷宗，并可将已经确认签字的笔录回传至电子卷宗。（需提供软件相关功能截图证明）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9、★庭审文书送达</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书记员可于开庭前，当庭向当事人双方送达文书。（需提供软件相关功能截图证明）</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10、庭审质证管理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书记员可主持当事人双方展开庭审质证。</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★审判讨论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针对不方便向当时人公开的审判讨论，书记员可打开文字讨论界面，审判组织人员可以在该界面进行讨论。讨论内容仅审判成员可浏</w:t>
            </w:r>
            <w:r>
              <w:rPr>
                <w:rFonts w:hint="eastAsia" w:ascii="仿宋" w:hAnsi="仿宋" w:eastAsia="仿宋" w:cs="仿宋"/>
                <w:i w:val="0"/>
                <w:iCs w:val="0"/>
                <w:color w:val="000000"/>
                <w:kern w:val="0"/>
                <w:sz w:val="28"/>
                <w:szCs w:val="28"/>
                <w:highlight w:val="none"/>
                <w:u w:val="none"/>
                <w:lang w:val="en-US" w:eastAsia="zh-CN" w:bidi="ar"/>
              </w:rPr>
              <w:t>览。（需提供软件相关功能截图证明）</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12、辅助审判</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为辅助书记员快捷办案，系统提供相似案例查询、类案文书查询、相关法条查询、司法视点浏览、关联案件查看、串案分析查看、适用民法典查看、已开庭列表等辅助审判功能。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13、已开庭列表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书记员可于自己的个人首页查看已开庭案件列表。                                                                                                                                                                                                14、★书记员庭审软件必须和陕西省法院卷宗平台互联互通、无缝对接。提供陕西省内法院单位、或者现有陕西省法院卷宗平台生产厂商出具对接完成证明文件，复印件并加盖公章。                                                                                                                                                                                                                                                         15、书记员庭审软件系统厂家具备书记员庭审系统软件登记证书。</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16、书记员庭审软件系统厂家具备音视频多媒体资源管理系统软件登记证书。</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法官办案系统</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用户登录</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系统为法官提供内网登录功能。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2、待开庭列表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法官可利用查询条件查看待开庭列表，进入庭审控制界面。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3、庭审信息总览</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庭审信息总览界面，左上为庭审视频展示区、左下为案件信息展示区，右侧为庭审互动区。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4、庭审视频查看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法官可切换庭审视频的播放方式，为独占或小窗口。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5、★庭审卷宗查看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法官可在庭审过程中查看电子卷宗。</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6、★庭审质证管理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法官可查看当事人双方的庭审质证。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7、审判讨论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针对不方便向当时人公开的审判讨论，法官可加入由书记员打开的审判讨论功能。讨论内容仅审判成员可浏览。</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8、★辅助审判</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为辅助法官快捷办案，系统提供相似案例查询、类案文书查询、相关法条查询、司法视点浏览、关联案件查看、串案分析查看、适用民法典查看、已开庭列表等辅助审判功能。</w:t>
            </w:r>
            <w:r>
              <w:rPr>
                <w:rFonts w:hint="eastAsia" w:ascii="仿宋" w:hAnsi="仿宋" w:eastAsia="仿宋" w:cs="仿宋"/>
                <w:i w:val="0"/>
                <w:iCs w:val="0"/>
                <w:color w:val="000000"/>
                <w:kern w:val="0"/>
                <w:sz w:val="28"/>
                <w:szCs w:val="28"/>
                <w:highlight w:val="none"/>
                <w:u w:val="none"/>
                <w:lang w:val="en-US" w:eastAsia="zh-CN" w:bidi="ar"/>
              </w:rPr>
              <w:t>（需提供软件相关功能截图证明）</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当事人应用系统</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1、用户登录</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系统为当事人提供内网终端接入设备。</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2、庭审信息总览</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庭审信息总览界面，左上为庭审视频展示区、左下为案件信息展示区，右侧为庭审互动区。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3、★庭审笔录查看和签名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当事人可查看书记员整理的庭审笔录，待笔录确定无误后，由书记员定稿，定稿后，当事人确认无误可进行在线签字确认。</w:t>
            </w:r>
            <w:r>
              <w:rPr>
                <w:rFonts w:hint="eastAsia" w:ascii="仿宋" w:hAnsi="仿宋" w:eastAsia="仿宋" w:cs="仿宋"/>
                <w:i w:val="0"/>
                <w:iCs w:val="0"/>
                <w:color w:val="000000"/>
                <w:kern w:val="0"/>
                <w:sz w:val="28"/>
                <w:szCs w:val="28"/>
                <w:highlight w:val="none"/>
                <w:u w:val="none"/>
                <w:lang w:val="en-US" w:eastAsia="zh-CN" w:bidi="ar"/>
              </w:rPr>
              <w:t>（需提供软件相关功能截图证明）</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4、庭审质证</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当事人可通过在线聊天对话框完成庭审证据材料的展示和质证，当事人可通过文字、图片、电子附件、文档等多种方式完成在线质证。</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无纸化庭审系统升级</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为智慧庭审无纸化应用提供应用能力支持服务，实现智慧法庭的后台管理和流媒体管理，需具备在庭审环节中提供法律业务智慧化的能力支撑，需至少具备如下功能模块：</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1.庭室管理模块：需具备对法庭、远程庭审室等信息进行集中管理。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2.服务器监控模块：需具备对流媒体服务器等能力类支撑的服务器运行状态进行整体的数据汇聚和集中管理，监控服务器的资源状况。</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3.设备管理：展示法庭的设备列表，可编辑删除设备信息，包含设备名称 ip地址 所属法庭。</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场所管理：展示场所列表，可对场所进行编辑，包含法院代码，本地录像存放地址，本地录像流地址，所属法院，服务器录像流地址，法庭类型，具体地址，设备IP地址，设备端口，法庭设备开启配置，书记员推流。</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5.★直播管理：展示当前直播列表，点击查看 可以直接播放直播，并展示当前案件基础信息包含 案件全称，承办人，审判长，案由。</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6.点播管理：展示已开庭的视频列表可进行点播查看，录像上传，可根据具法院代码或案号全称进行查询。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7.视频状态：展示已开庭的视频列表同步状态，可根据法院代码或案号全称进行查询。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业务管理模块：支持案件管理和排期管理，需提供对接接口从法院的审判流程系统中自动同步案件的信息和排期数据，也支持手工新建案件和排期信息，保证庭审数据的完整性。包括对案件信息的添加、删除和修改，排期信息的添加、删除和修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9.★数据统计：支持开庭次数、开庭案件数、案件类别、开庭时长数据统计，支持用柱状、表格方式展示。</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10.庭审播报模块：管理后台可进行手动上传庭审播报内容。                                                                                                                                                                                                    11.★法庭</w:t>
            </w:r>
            <w:r>
              <w:rPr>
                <w:rFonts w:hint="eastAsia" w:ascii="仿宋" w:hAnsi="仿宋" w:eastAsia="仿宋" w:cs="仿宋"/>
                <w:i w:val="0"/>
                <w:iCs w:val="0"/>
                <w:color w:val="000000"/>
                <w:kern w:val="0"/>
                <w:sz w:val="28"/>
                <w:szCs w:val="28"/>
                <w:highlight w:val="none"/>
                <w:u w:val="none"/>
                <w:lang w:val="en-US" w:eastAsia="zh-CN" w:bidi="ar"/>
              </w:rPr>
              <w:t xml:space="preserve">辅助设备管理：支持庭审公告设备接入，支持排期信息发布管理配置。                                                                                                                                         12.庭审维护功能：支持庭审案件远程维护，支持庭审案件查看，可控制结束庭审。                                                                                                                         13.★桌牌管理：支持庭审现场电子桌牌接入，信息编辑、修改、添加。（需提供软件相关功能截图证明）    </w:t>
            </w: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highlight w:val="none"/>
                <w:u w:val="none"/>
                <w:lang w:val="en-US" w:eastAsia="zh-CN" w:bidi="ar"/>
              </w:rPr>
              <w:t>14.庭审管理系统必须与庭审主机配套使用，提供厂家售后承诺函原件；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15.庭审管理系统具备庭审资源管理及记录软件登记证书；</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16.庭审管理系统具备法院信息化综合应用管理系统软件登记证书。</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二.法庭证据+打印机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实物展台</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像素：≥500万像素；</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变焦：整机220倍放大；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解像度： ≥900线；</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对焦/白平衡：自动/手动；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图像特技：负片、冻结、镜像、黑白、旋转、同屏对比、标题；</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接口：2组RGB输入、2组RGB输出、3.5插口音频输入3组、3.5插口音频输出1组、麦克风输入、复合视频RCA输入1组、复合视频RCA输出1组、S-VIDEO输出1组、1组RS232控制接口；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光源：2*1W LED双臂灯；红、蓝增益及亮度调节功能；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方便的底部抽拉式主板设计；展台臂杆顶部放大缩小旋钮；展台内置遥控器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内置简易中控功能，可控制投影机开关机，投影机输入信号切换等；</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功能键：为方便使用者操作，展台操作面板功能按键不少于18个，且提供中文标识，通过展台面板功能键可实现：图像存储、回放、同屏对比、标题显示、投影机开关机、投影机输入信号切换、冻结、旋转、文本/图像、灯光调整、聚远、聚近、亮度加减、展台/电脑/视频信号切换、自动白平衡及聚焦等功能</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打印机</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A4黑白激光打印机; 最高分辨率 600×600dpi;打印速度:A4：29ppm， 双面自动打印 , 无线/有线网络打印,首页打印时间 小于7.2秒, 月打印负荷 20000页.接口类型 USB2.0 \快速以太网 10/100 base-TX x1\低功耗蓝牙的双频(2.4/5.0 GHz) 无线 802.11b/g/n x1; 介质规格:介质尺寸 A4，A5，A6，B5(JIS)，101.6x152.4 - 216x356 毫米;进纸盒容量 ≥150页;出纸盒容量 ≥100页</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三.法庭摄像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高清固定一体化变焦摄像机</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图像传感器≥ 1/2.8英寸高品质4K CMOS传感器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有效像素≥ 828万、16：9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视频制式 ≥SDI/U3接口:MJPG/H264：1920*1080/1600*896 /1280*720 /1024*576 /960*540 /800*600 /800*448 /720*576/720*480 /640*480 /640*360 /480*270 /352*288 /320*240@30/25/20/15/10/5fps；</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YUY2/NV12：1920*1080 /1280*720 /1024*576 /800*600 /800*448 /640*480 /640*360 /480*270 /320*180@30/25/20/15/10/5fp；</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USB3.0可以兼容USB2.0输出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视角 ≥51.6°（D） /45.5°（H）/26.5°（V） 95°（D）/83°(H)/46°(V)</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焦距 ≥f=6.8mm f=3.24mm≥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光圈 F2.5 F2.10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电子变倍 ≥3X</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最低照度 ≥0.1Lux(F1.8, AGC ON)</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数字降噪 ≥2D﹠3D数字降噪</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白平衡 自动/手动/一键白平衡/指定色温（2400K-7100K，步长为100）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聚焦 定焦</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曝光 自动/手动/快门优先/亮度优先</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背光补偿 开/关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信噪比 ≥50dB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接口功能性能≥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视频输出接口 1路SDI接口；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1路USB 接口；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1路LAN 接口:10M/100M/1000M自适应以太网口（支持PoE）；</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视频压缩格式 H.264、H.265、MJPEG、YUY2、NV12≥</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音频输入接口 双声道3.5mm线性输入</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音频压缩格式 AAC、MP3、G.711A</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网络协议 RTSP、RTMP、SRT、ONVIF、GB/T28181</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控制接口 RS232、RS485、LAN</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通讯协议 VISCA、Pelco-D、Pelco-P；支持波特率115200/38400/9600/4800/2400；支持网络VISCA控制协议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电源接口 DC12V</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四、电视+显示器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55寸液晶电视</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液晶电视尺寸：≥55英寸；显示比例：16:9；分辨率：1920×1080；支持1080P全高清；HDMI端子：≥1组；USB接口：≥2组；分量端子：≥1组；VGA接口：≥1组。</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专用壁挂架</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1.倾仰角度≥+8°/-5°左右旋转度数≥50°/70°                                                             2.SPCC高强度钢材，承重范围≥45KG</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液晶显示器</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显示尺寸≥21.5  。物理分辨率：1920 × 1080@60 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像素间距：0.241 mm (H) × 0.241 mm (V)</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亮度≥250 cd/m²可视角≥178°/178°</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色深度≥8 bit对比度≥3000 : 1</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响应时间≥6.5 ms（typ）刷新率≥60 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音视频输入接口≥VGA × 1, ≥HDMI 1.4 × 1</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显示器活动支架</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调节形式：双轴调节，安装方式：桌面/壁挂。仰俯角度：MAX90°。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高清分配器</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VGA≥一分八视频分配器</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五.扩声部分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音响</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1.频率响应(±3dB)：≥130 - 18kHz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2.频率响应（-10dB）：≥100 - 20kHz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3.低频尺寸：≥4 × 2〞</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4.高频尺寸：≥2 × 0.75〞球顶高音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5.指向角度:≥140°×20°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6.阻抗:≥8Ω</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7.持续功率:≥80W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8.节目功率:≥160W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9.峰值功率:≥320W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10.灵敏度:≥92dB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11.最大声压级持续:≥111dB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12.最大声压级节目:≥114dB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13.最大声压级峰值:≥117dB</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功放</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1.不劣于8Ω*:200W;4Ω*：300w;2Ω*：600w;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2.频响：≥20~20kHz(-0.5dB);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3.总谐波失真：&lt;0.05;</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4.信噪比：&gt;100dB;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5.阻尼系数：&gt;550;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6.分离度：&gt;60dB;</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庭审话筒</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1.换能方式：电容式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2.指向性：心型指向</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3.频率响应：≥20Hz-18KHz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4.输出阻抗（欧姆）：≥75Ω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5.灵敏度：-40dB±2dB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6.供电电压：DC3V/幻象48V</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7.抗手机、电磁、高频干扰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8.咪管长度：≥430mm</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设备机柜</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类型：设备机柜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机柜容量：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外形尺寸：≥H1200*W600*D800(不含脚轮高度)</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散热风扇数：≥2</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表面处理：酸洗、磷化、静电喷涂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配件：PDU电源；托板；高级门锁；重型脚轮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颜色：黑色</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音频线</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双芯带屏蔽音频线缆</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VGA线</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国际品牌.视频线材根据现场实际</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接插件</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卡侬公母头</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接插件</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专业音箱插头</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电源三角插</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电线插头</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安装调试交付</w:t>
            </w:r>
          </w:p>
        </w:tc>
        <w:tc>
          <w:tcPr>
            <w:tcW w:w="3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本项目所含设备的布线安装调试</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法庭信息发布设备</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2903"/>
        <w:gridCol w:w="7225"/>
        <w:gridCol w:w="1024"/>
        <w:gridCol w:w="1024"/>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室内信息发布显示屏</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1、像素点间距：≤1.5mm     2、像素密度：≥422500Dots/m2      3、单元板分辨率：≥21632Dots      4、显示效果：4K超清显示、色温均匀性好、亮度均匀性好，对比度高、色域广</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5、驱动方式：恒流驱动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6、供电方式：支持电源均流DC4.2V～DC5V，供电支持电源双输出电压DC2.8V/DC3.8V</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7、整屏平整度：≤0.04mm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8、模组平整度：≤0.03mm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9、拼接缝：≤0.03mm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10、白平衡亮度：≥750Cd/m²</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11、亮度均匀性：≥99%</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12、色度均匀性：±0.001Cx、Cy内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13、色温：800-18000K</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14、水平视角：≥170°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15、垂直视角：≥170°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16、对比度：≥9000：1</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17、刷新率：≥3840Hz（含电源，接收卡，视频处理器，钢结构线材等）</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3.69</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法庭信息发布显示设备</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液晶电视尺寸：≥55英寸；显示比例：16:9；分辨率：1920×1080；支持1080P全高清；HDMI端子：≥1组；USB接口：≥2组；分量端子：≥1组；VGA接口：≥1组。</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信息发布智慧屏</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产品采用一体化设计，标配不少于1个全高清红外触控显示屏，显示屏尺寸不低于65英寸，显示器物理分辨率3840*2160,显示比例16:9，具备内置摄像头、麦克风、扬声器、编解码器、触摸屏，整体美观、大方，可以提供统一的维保和服务。</w:t>
            </w:r>
            <w:r>
              <w:rPr>
                <w:rFonts w:hint="eastAsia" w:ascii="仿宋" w:hAnsi="仿宋" w:eastAsia="仿宋" w:cs="仿宋"/>
                <w:i w:val="0"/>
                <w:iCs w:val="0"/>
                <w:color w:val="000000"/>
                <w:kern w:val="0"/>
                <w:sz w:val="28"/>
                <w:szCs w:val="28"/>
                <w:highlight w:val="yellow"/>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2、产品须采用国产自主的编解码芯片和嵌入式操作系统，采用硬件编解码方式，非PC结构，产品稳定</w:t>
            </w:r>
            <w:r>
              <w:rPr>
                <w:rFonts w:hint="eastAsia" w:ascii="仿宋" w:hAnsi="仿宋" w:eastAsia="仿宋" w:cs="仿宋"/>
                <w:i w:val="0"/>
                <w:iCs w:val="0"/>
                <w:color w:val="000000"/>
                <w:kern w:val="0"/>
                <w:sz w:val="28"/>
                <w:szCs w:val="28"/>
                <w:highlight w:val="none"/>
                <w:u w:val="none"/>
                <w:lang w:val="en-US" w:eastAsia="zh-CN" w:bidi="ar"/>
              </w:rPr>
              <w:t>，须提供检验报告证明。</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3、产品支持召开音视频会议，并支持1080P、720P视频解码能力，支持1080P25/30fps，720P50/60fps， 720P 25/30fps，4CIF， CIF等视频格式编解码。</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4、产品支持内置电子白板功能，非OPS电脑或第三方APP功能。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5、产品支持通过PC电脑直接连接控制口，作为PC的触摸屏进行反向控制使用，方便PC材料的现场讲解和触控操作。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6、产品支持无线双流功能，兼容Windows操作系统，PC可通过Wi-Fi或有线网络将桌面内容或是扩展屏作为双流发送给远端会场，视频清晰度不少于4K，支持音频共享。</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产品无须输入终端IP地址，支持通过投影码实现移动设备或PC与终端投屏共享，投影码位数可设置，支持移动设备无线投屏功能，兼容Android手机和Android触摸式平板，支持通过输入投影码进行连接，将移动设备的投屏内容发送给远端会场，视频清晰度不少于1080P。</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8、产品支持会议协作，与会多方可以同时对一个材料进行共同标注，并可以对他人标注进行修改；支持本地双人同时书写，不少于20个触控点，须提供第三方检测机构出具的检验报告证明。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9、产品支持在白板书写时，支持手写文字变为标准字体文字，让本地会议记录变得更美观。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★10、产品支持ITUT H.323和IETF SIP通信协议，保证良好的互通性。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11、支持TCP/IP、RTP、RTCP、DHCP、DNS、SMTP、SNMP、SNTP、Telnet、SSH、HTTP、HTTPS、TR-069网络传输协议。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12、产品应支持H.263,H.263+,H.264 BP, H.264 HP, H.264 SVC视频编解码协议, 须提供第三方检测机构出具的检验报告证明。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13、产品支持主流达到1080P30fps的情况下，辅流同时到达1080P30fps；或是支持主流达到1080P30fps的情况下，辅流同时达到4K8fps。</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14、产品支持数据会议功能，在两方或多方会议下实现数据材料共享，数据会议清晰度不低于4K，</w:t>
            </w:r>
            <w:r>
              <w:rPr>
                <w:rFonts w:hint="eastAsia" w:ascii="仿宋" w:hAnsi="仿宋" w:eastAsia="仿宋" w:cs="仿宋"/>
                <w:i w:val="0"/>
                <w:iCs w:val="0"/>
                <w:color w:val="000000"/>
                <w:kern w:val="0"/>
                <w:sz w:val="28"/>
                <w:szCs w:val="28"/>
                <w:highlight w:val="none"/>
                <w:u w:val="none"/>
                <w:lang w:val="en-US" w:eastAsia="zh-CN" w:bidi="ar"/>
              </w:rPr>
              <w:t>须提供检验报告证明。</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15、支持G.711A、G.711u、G.722、G.722.1C、G.729A、ACC-LD、Opus等音频协议，支持双声道立体声功能。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16、支持内置麦克风进行前向180°拾音，可以达到8米范围拾音。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17、产品支持发言人跟踪智能跟踪功能，采用声源定位和图像定位技术，自动切换发言人特写画面，无需人工干预。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18、产品支持IPv4和IPv6双协议栈，须提供第三方检测机构出具的检验报告证明。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19、产品应具备良好的网络适应性，最大30%网络丢包下,图像流畅、清晰、无卡顿、无马赛克现象，确保会议正常进行；在70%的网络丢包时，声音清晰，不影响会议继续进行，须提供第三方检测机构出具的检验报告证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20、支持在H.323协议下，H.235信令加密，支持在SIP下，TLS、SRTP加密。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21、产品支持欢迎词场景，可以根据需要进行更换欢迎词气氛背景，欢迎词可在设备上进行实时编辑，无需后台进行操作，方便单一会议室或区域场所的临时欢迎或是指示说明，支持信息窗场景，可以进行内容的滚动显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22、产品支持安装常用应用，便于进行快捷操作，支持安装其他通讯APP，同时也支持在OPS电脑上安装其他通讯APP，并可以调取内置摄像头图像进行使用。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23、产品提供API二次开发接口，实现与第三方系统集成。</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24、触摸精度：白板触摸精度可达±1mm；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25、无需外接OPS电脑，产品支持不少于以下接口及数量：HDMI×3、3.5MM×2、USB Type-A×2、USB Type-B×1、RJ45×2，同时要求设备的物理接口与标书中的接口类型一致，通过转接视为不满足, 提供至少2路高清视频输入、至少1路高清视频输出接口，提供至少3路音频输入接口、至少2路音频输出接口。含挂墙支架</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无线投屏器</w:t>
            </w:r>
          </w:p>
        </w:tc>
        <w:tc>
          <w:tcPr>
            <w:tcW w:w="2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与屏体相同品牌，媒体转换单元-USB-3840*2160-1.5W-5V-中英文-无线投屏器</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档案数字化管理系统</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3"/>
        <w:gridCol w:w="2914"/>
        <w:gridCol w:w="7347"/>
        <w:gridCol w:w="987"/>
        <w:gridCol w:w="987"/>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档案数字化管理系统终端</w:t>
            </w:r>
          </w:p>
        </w:tc>
        <w:tc>
          <w:tcPr>
            <w:tcW w:w="2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全面实现国产化适配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档案管理系统成熟稳定、安全可靠、功能涵盖档案全生命周期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针对企事业单位在档案管理过程中遇到的难题，档案管理系统在依照国家档案管理标准的基础上，实现档案管理的自动化、标准化、规范化和专业化、电子档案的收集、整理、鉴定、保管、统计、检索、利用、编研的全生命周期管理。硬件参数：支持页码自动批量打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★支持正面右侧上方及下方页码印刷/反面左侧上方及下方页码印刷一键切换；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多种工作模式可选，支持一次性处理多份文件；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支持系统自动判别空白页；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★支持智能辅助判断模式；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空白页识别：支持自定义尺寸；支持红章蓝章渗透识别；</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支持文字反白，大小调节，自然码打印、自由补“0”多位码打印；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支持数据补打、补扫、页码一键清零；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支持数据日志查询，数据校验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适应纸张厚度：40g ~ 120g(max)；</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支持纸张容量A4纸张150页；</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★识别方式：CIS；</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★支持重张检测；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进纸方式：自动吸纸；</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打印方式：单色喷墨，标准为黑色，可更换其它颜色；</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打码速度：最高80页/160面/分钟；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字迹清晰耐刮，即打即干；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机身全金属固件，结构耐用；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支持触摸显示屏；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支持分纸打印机扫描等模块工作状态检测；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支持耗材更换提醒；</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设备故障蜂鸣报警提示；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数据传输：USB2.0高速传输；</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软件：支持行业定制软件开发;</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通信接口：USB;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产品颜色：黑色;</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系统参数 Windows：7(32/64位),10（32/64位）,8.1(32/64位),10(32/64位),XP(32位）;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电源：电源类型：内置电源；电源 要求：220伏输入电压：220～240伏交流电，50/60赫兹;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工作电流：2A(max);</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工作温度：10℃-40℃;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工作相对湿度：20~70%RH（无凝结）;                                                                                                                                                         </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档案数字化管理系统终端</w:t>
            </w:r>
          </w:p>
        </w:tc>
        <w:tc>
          <w:tcPr>
            <w:tcW w:w="2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全面实现国产化适配</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档案管理系统成熟稳定、安全可靠、功能涵盖档案全生命周期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针对企事业单位在档案管理过程中遇到的难题，档案管理系统在依照国家档案管理标准的基础上，实现档案管理的自动化、标准化、规范化和专业化、电子档案的收集、整理、鉴定、保管、统计、检索、利用、编研的全生命周期管理。硬件参数：★打印方式：热转印技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纸张厚度:0.38mm 以下牛皮纸，卷材牛皮纸，孔位标签纸；</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★进纸方式:卷材、自动感应进纸；</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分辨率:303DPI；</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打印速度:≥300个/小时；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可进纸宽幅:110mm-320mm；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可打印宽度:12 寸（303mm）；</w:t>
            </w:r>
            <w:r>
              <w:rPr>
                <w:rFonts w:hint="eastAsia" w:ascii="仿宋" w:hAnsi="仿宋" w:eastAsia="仿宋" w:cs="仿宋"/>
                <w:i w:val="0"/>
                <w:iCs w:val="0"/>
                <w:color w:val="000000"/>
                <w:kern w:val="0"/>
                <w:sz w:val="28"/>
                <w:szCs w:val="28"/>
                <w:highlight w:val="yellow"/>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★切刀：带切刀，自动裁切；</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字迹保存：≥70年以上；</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通信接口:USB、蓝牙连接；</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支持选配功能：可进行可视化模板制作、书刊成册扫描,可进行RFID读写功能；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工作温度:0℃-40℃(无凝结)；</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工作相对湿度:20~70%RH(无凝结)；</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储存温度(整机) :-10~60℃(无凝结)；</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储存温度(色带) :-10~40℃(无凝结)；</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储存相对湿度:10~90%RH(无凝结)；</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★支持国产系统适配，提供国产麒麟系统/统信系统/中科方德系统匹配互认证书;</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国产化桌面云</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2900"/>
        <w:gridCol w:w="7186"/>
        <w:gridCol w:w="1032"/>
        <w:gridCol w:w="103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桌面云瘦终端</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1、CPU≥四核、主频≥ 1.6GHz、内存≥ 1G、存储≥ 4G、 USB≥ 6个、 1 个 VGA或1个HDMI、 2个以太网口、 1 对音频口；1个网络切换按钮。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2、支持桌面云和瘦终端可通过一个管理管理平台管理桌面云和瘦终端。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在瘦终端的管理方面，需支持分组管理、批量移动、删除、关闭瘦终端，支持配置定时开关机计划及加电自启动功能，支持自定义开机画面、配置自动登录和保存密码。（需提供产品功能截图，并加盖厂商公章）</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4、云终端权限管理：支持配置是否允许显示本地桌面和是否允许安装应用、支持开启“修改云终端配置和登录信息需要密码”功能、支持配置是否允许新的云终端接入或者接入需要密码。</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授权与配件</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1、本项目要求提供虚拟桌面授权≥50点；提供远程协助桌面服务功能，支持发布专有桌面、还原桌面、池化桌面、共享桌面、远程应用≥5种桌面资源，满足不同场景的应用需求。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2、在多应用办公场景下，可针对当下使用频率较高的软件做加速，管理员也可自定义需做进程加速应用，以保障应用使用体验。</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3、为了保障用户的使用体验，所投产品需支持还原桌面用户在重启虚拟机桌面的情况或管理员通过模版更新更新虚拟机桌面的情况下，用户之前的个性化配置（如输入法配置等）还能够继续保留使用。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4、为了提高桌面使用稳定性，所投产品客户端连接虚拟桌面无需依赖虚拟机IP，如禁用虚机网卡或者随意更改IP，桌面会话不会中断，用户可以正常办公，避免因误操作而导致业务中断。</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5、支持就近打印配置，可以根据客户机对象或者终端ip对象关联打印机配置，用户通过终端登录桌面，自动匹配终端管理的打印机配置，实现就近打印。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为了快速满足用户对桌面资源的诉求，所投产品需支持用户可自助申请虚拟机配置变更，由管理员审核，管理员可以选择审批通过、修改申请配置后申请通过、驳回操作，审核通过资源自动加到用户虚拟机上。并且用户申请虚拟机配置变更可以直接指定给部门资产管理员审批，既符合规定又提高效率。</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7、支持自助快照恢复，当用户自己误操作导致云桌面卡慢、蓝屏、死机或者中病毒的时候，用户通过导航条按钮，可以自助进行系统盘快照还原操作，支持安卓瘦终端、PC客户端。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8、支持虚拟机快照技术，当数据误删或系统故障时可实现回滚，快照只保存增量数据，节省存储空间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用户可自主选择云终端对应重点工作可视化主题（例如:扫黑除恶专项斗争、不忘初心、牢记使命等主题），并支持自行定制主题，管理员可以在主题商城中下载主题，并将主题应用到包括瘦终端（ARM、X86）、PC客户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10、支持满屏水印，水印内容颜色和边框颜色反色调设置，防止背景颜色与水印颜色一致，覆盖水印，支持水印内容、透明度、水印字体大小、倾斜度调整。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11、支持多种认证方式随需组合，包括本地账号密码、短信认证、硬件特征绑定认证，满足不同级别用户的安全接入需求。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应用虚拟化服务器支持设置熔断机制，即设置在超过一定负载时，则拒绝新用户接入，且老用户能够正常使用，以保障服务器不至于超过自身的承载能力，影响用户体验。熔断机制的指标包括：CPU利用率、内存利用率、磁盘利用率、当前会话数，要求任一指标达到上限，则阻止新用户接入。</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13、支持虚拟机回收站功能，避免误操作导致虚拟机数据丢失，当虚拟机删除后，会自动进入回收站，支持恢复到原位置，可设置回收站自动清理时长。</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监控显示器</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显示尺寸≥21.5  。物理分辨率：1920 × 1080@60 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像素间距：0.241 mm (H) × 0.241 mm (V)</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亮度≥250 cd/m²可视角≥178°/178°</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色深度≥8 bit对比度≥3000 : 1</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响应时间≥6.5 ms（typ）刷新率≥60 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音视频输入接口≥VGA × 1, ≥HDMI 1.4 × 1</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无线键鼠</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无线键盘鼠标平含鼠标垫</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打印机</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9"/>
        <w:gridCol w:w="2900"/>
        <w:gridCol w:w="7183"/>
        <w:gridCol w:w="1032"/>
        <w:gridCol w:w="103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打印机</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1.彩色激光多功能一体机，涵盖功能打印/复印/扫描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2.最大处理幅面 A4</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3.网络功能支持无线/有线网络打印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4.黑白打印速度 18ppm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5.彩色打印速度 4ppm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6.打印分辨率 600x600dpi</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7.复印速度黑白:18cpm，彩色:4cpm8.复印分辨率 600x600dpi</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9.扫描速度黑白:15ppm，彩色:6ppm10.光学分辨率 600x600dpi</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11.内存标配:128MB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12.接口类型 USB 2.0，10Base-T/100Base-Tx，无</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线802.11 b/g/n</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档案卷宗扫描仪</w:t>
      </w:r>
    </w:p>
    <w:tbl>
      <w:tblPr>
        <w:tblStyle w:val="2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2944"/>
        <w:gridCol w:w="7180"/>
        <w:gridCol w:w="1032"/>
        <w:gridCol w:w="956"/>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档案卷宗扫描仪</w:t>
            </w:r>
          </w:p>
        </w:tc>
        <w:tc>
          <w:tcPr>
            <w:tcW w:w="2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扫描速度 40ppm/80ipm.扫描范围 A4.感光件: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2.CIS.光学分辨率 600*600dpi.</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卷宗装订机</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9"/>
        <w:gridCol w:w="2900"/>
        <w:gridCol w:w="7186"/>
        <w:gridCol w:w="1032"/>
        <w:gridCol w:w="1032"/>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卷宗装订机</w:t>
            </w:r>
          </w:p>
        </w:tc>
        <w:tc>
          <w:tcPr>
            <w:tcW w:w="2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设备性能：自动打孔、穿线、移位、切线、一步完成，装订速度15秒；</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智能化功能：智能语音与文字同时提醒功能；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一体式装订销毁，一机多用；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垫片自动旋转；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使用耗材以及介绍:防腐蜡线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安全节能：感应式控制待机模式，非工作状态下，自动休眠；</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手轻触摸屏，自动开机；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★操作显示：≥8 寸液晶触摸大屏；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设备材质：整机全钢机身；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装订孔间距：孔距≤83MM；</w:t>
            </w:r>
            <w:r>
              <w:rPr>
                <w:rFonts w:hint="eastAsia" w:ascii="仿宋" w:hAnsi="仿宋" w:eastAsia="仿宋" w:cs="仿宋"/>
                <w:i w:val="0"/>
                <w:iCs w:val="0"/>
                <w:color w:val="000000"/>
                <w:kern w:val="0"/>
                <w:sz w:val="28"/>
                <w:szCs w:val="28"/>
                <w:highlight w:val="yellow"/>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功能性能：打孔刀与穿线针固定，不需移动，保证同心度；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入线方式：免工具便捷放线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装订厚度：0-50mm 任意厚度（70g/m2 纸张）；</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适用钻刀：Φ3.5*50 Φ4*50 中空特种钻刀；</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孔中心距边缘尺寸：任意调节；</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工作台尺寸：≥460（宽）*460（长）mm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电源：220V±5%、50Hz；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供电电压：≤24V（安全电压）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功率：非工作状态 P≤10W 工作状态（最大）≤400W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碎纸能力：≥8张（80g/m2 纸张） 粉碎速度：≥2.5 米/每分钟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碎纸效果：≥4*35mm；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（选配）垃圾箱容量：≥13 升 ；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多功能便捷式一体柜，方便工具收纳的同时又可销毁废弃文件万向轮配置，随用随走；</w:t>
            </w:r>
            <w:r>
              <w:rPr>
                <w:rFonts w:hint="eastAsia" w:ascii="仿宋" w:hAnsi="仿宋" w:eastAsia="仿宋" w:cs="仿宋"/>
                <w:i w:val="0"/>
                <w:iCs w:val="0"/>
                <w:color w:val="000000"/>
                <w:kern w:val="0"/>
                <w:sz w:val="28"/>
                <w:szCs w:val="28"/>
                <w:highlight w:val="yellow"/>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机器带有缺线自检功能；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★尾线电动切线功能；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机器自带视频，机器操作及安装视频；</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穿线成功率99.5%以上；</w:t>
            </w:r>
            <w:r>
              <w:rPr>
                <w:rFonts w:hint="eastAsia" w:ascii="仿宋" w:hAnsi="仿宋" w:eastAsia="仿宋" w:cs="仿宋"/>
                <w:i w:val="0"/>
                <w:iCs w:val="0"/>
                <w:color w:val="000000"/>
                <w:kern w:val="0"/>
                <w:sz w:val="28"/>
                <w:szCs w:val="28"/>
                <w:highlight w:val="red"/>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★要求投标时提供生产厂家出具售后服务承诺函原件。</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执法记录仪</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9"/>
        <w:gridCol w:w="2900"/>
        <w:gridCol w:w="7183"/>
        <w:gridCol w:w="1032"/>
        <w:gridCol w:w="103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执法记录仪</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【防抖执法记录仪】【安卓4G版本】</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显示屏：≥2.0英寸TFT ；320*240；触摸屏；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操作系统：≥Android 9.0；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内存：≥2GB；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视频输入：≥主机内置摄像机录像分辨率1080P、720P、D1;</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视频录像：≥视频分辨率最高为1080P/25帧，1280×720、720x576可选；</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双码流：≥录像1080P25，同时网传1080P25；</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视频编码格式：≥H.264,H.265；</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拍照：≥主相机支持3000万像素；</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快门：≥电子快门；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红外夜视：≥自动红外夜视灯开/关，滤光片自动切换；</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白平衡：自动；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白光灯：支持；</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存储容量：内置存储，容量≥32GB；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卫星定位：内置GPS和北斗二代组合定位功能；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网络传输：支持4G全网通；</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WIFI：支持WIFI功能，802.11b/g/n；</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蓝牙：BT4.0；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传感器：加速度；</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电池：≥3220mAH，1080P录像不低于8小时；</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网络系统</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2906"/>
        <w:gridCol w:w="7240"/>
        <w:gridCol w:w="1018"/>
        <w:gridCol w:w="1018"/>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UPS电源</w:t>
            </w:r>
          </w:p>
        </w:tc>
        <w:tc>
          <w:tcPr>
            <w:tcW w:w="2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含≥88节100AH/12V，铅酸蓄电池；含电池柜，散力架，线材辅材等。</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校时服务器</w:t>
            </w:r>
          </w:p>
        </w:tc>
        <w:tc>
          <w:tcPr>
            <w:tcW w:w="2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支持GPS、北斗、上级NTP；</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支持多网域校时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支持双机热备、级联方案</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处理器：嵌入式ARM处理器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同步精度：卫星同步精度&lt;20ns</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存储：≥512M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守时精度：≤28us</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跟踪通道数：≥32</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捕获通道数：≥128</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冷启动捕获灵敏度：-148dBm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热启动捕获灵敏度：-156dBm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热启动时间＜2min；冷启动时间＜20min</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授时容量： 10000次/每秒（单千兆网口）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授时精度：≤5us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授时频段：GPS: 1575.42±1.023MHz ，北斗: 1561.098±2.046MHz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接口≥（4个可插拔模块化输出卡）</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NTP输出卡1（RJ45）：NTP1~NTP4，支持端口、双卡绑定</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NTP输出卡2（RJ45）：NTP5~NTP8，支持端口、双卡绑定</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光输出卡1（ST）：1-4路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RS422/485输出卡1：1-5路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网络管理端口（RJ45）：管理口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NTP输入端口（RJ45）:NTP INP</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PPS授时端口（SMA）：1PPS</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10M授时端口（SMA）：10MHZ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串行管理端口（RS232）：串口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1路GPS/BD天线接口 </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支持web管理、设备级联、双机热备、双卡绑定、用户列表、告警等功能</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bl>
    <w:p>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音视频系统</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9"/>
        <w:gridCol w:w="2900"/>
        <w:gridCol w:w="7183"/>
        <w:gridCol w:w="1032"/>
        <w:gridCol w:w="103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2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庭审摄像头</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接口USB2.0外接，免驱动，可夹式内置麦克风，降噪分辨率：≥720p对焦：定焦</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智能消费产品</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操作系统 Android 11</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摄像头 ≥200W像素双目摄像头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显示屏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屏幕比例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分辨率≥ 8英寸 8英寸+4.3英寸</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16：9 16：9 + 9：16</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800*1280 800*1280/800*480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设备容量 ≥支持100000张人脸库，500000张卡、15万条消费记录</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读卡类型 ≥IC卡、身份证序列号、CPU序列号/内容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通讯方式 有线、WIFI 有线、wifi、4G</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网络协议 IPV4</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广角摄像机</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广角会议摄像机</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网络型桌面式代表单元（短杆）</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1.电容式超心形指向性话筒；</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2.军工级别高亮度超清OLED显示面板；</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3.抗手机、RF射频干扰设计；</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4.★提供12dB降噪处理技术，拾音距离可达70cm；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5.亮度调节按钮，可调节单元屏幕亮度；</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6.★采用RJ45标准网络接口，单元使用“T”字型连接线方式；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7.工作电压：DC24V；</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8.指向性：超心型；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9.信噪比：68dB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10.静态电流：42mA；</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11.灵敏度：-47±1dB；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12.数据传输线：RJ45网线；</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13.安装方式：桌面式；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14.话筒杆长度：22CM；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15.单元颜色：月光银，典雅黑；</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16.话筒杆带指示光环。</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筒型枪机</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≥200万星光级1/2.7”CMOS ICR红外阵列筒型网络摄像机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最小照度: 彩色: 0.002 Lux @(F1.2,AGC ON), 0 Lux with IR</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镜头: ≥4mm, 水平视场角81°</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宽动态范围: ≥120dB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视频压缩标准: H.265/H.264/ MJPEG</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最大图像尺寸: ≥1920 × 1080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存储功能: 支持Micro SD(即TF卡)/Micro SDHC/Micro SDXC卡(128G)断网本地存储及断网续传,NAS(NFS,SMB/CIFS均支持)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通讯接口: 1个RJ45 10M / 100M 自适应以太网口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音频接口: 1对音频输入（Line in）/输出接口(插线式接口)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报警接口 : 2对报警输入输出接口（三极管:超过30毫安建议加继电器）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工作温度和湿度: -30℃~60℃,湿度小于95%(无凝结)</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电源供应: DC12V±20%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电源接口类型: Φ5.5mm圆头电源接口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功耗: DC12V: 7W Max</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红外照射距离: ≥50米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i w:val="0"/>
                <w:iCs w:val="0"/>
                <w:color w:val="FF0000"/>
                <w:sz w:val="28"/>
                <w:szCs w:val="28"/>
                <w:u w:val="none"/>
              </w:rPr>
            </w:pPr>
          </w:p>
        </w:tc>
      </w:tr>
    </w:tbl>
    <w:p>
      <w:pPr>
        <w:pStyle w:val="39"/>
        <w:rPr>
          <w:rFonts w:hint="eastAsia"/>
          <w:lang w:eastAsia="zh-CN"/>
        </w:rPr>
      </w:pPr>
      <w:r>
        <w:rPr>
          <w:rFonts w:hint="eastAsia" w:ascii="仿宋" w:hAnsi="仿宋" w:eastAsia="仿宋" w:cs="仿宋"/>
          <w:b/>
          <w:bCs/>
          <w:sz w:val="28"/>
          <w:szCs w:val="28"/>
        </w:rPr>
        <w:t>注：采购标的对应的中小企业划分标准所属行业为：</w:t>
      </w:r>
      <w:r>
        <w:rPr>
          <w:rFonts w:hint="eastAsia" w:ascii="仿宋" w:hAnsi="仿宋" w:eastAsia="仿宋" w:cs="仿宋"/>
          <w:b/>
          <w:bCs/>
          <w:sz w:val="28"/>
          <w:szCs w:val="28"/>
          <w:lang w:eastAsia="zh-CN"/>
        </w:rPr>
        <w:t>工业</w:t>
      </w:r>
    </w:p>
    <w:p>
      <w:pPr>
        <w:pStyle w:val="39"/>
        <w:rPr>
          <w:rFonts w:hint="eastAsia"/>
          <w:lang w:eastAsia="zh-CN"/>
        </w:rPr>
      </w:pPr>
    </w:p>
    <w:p>
      <w:pPr>
        <w:pStyle w:val="39"/>
        <w:rPr>
          <w:rFonts w:hint="eastAsia"/>
          <w:lang w:eastAsia="zh-CN"/>
        </w:rPr>
        <w:sectPr>
          <w:headerReference r:id="rId8" w:type="default"/>
          <w:footerReference r:id="rId9" w:type="default"/>
          <w:pgSz w:w="16838" w:h="11906" w:orient="landscape"/>
          <w:pgMar w:top="1083" w:right="1440" w:bottom="1083" w:left="1440" w:header="851" w:footer="964" w:gutter="0"/>
          <w:pgNumType w:fmt="decimal"/>
          <w:cols w:space="720" w:num="1"/>
          <w:docGrid w:type="lines" w:linePitch="312" w:charSpace="0"/>
        </w:sectPr>
      </w:pPr>
    </w:p>
    <w:bookmarkEnd w:id="155"/>
    <w:p>
      <w:pPr>
        <w:pStyle w:val="39"/>
        <w:rPr>
          <w:rFonts w:hint="eastAsia"/>
        </w:rPr>
      </w:pPr>
    </w:p>
    <w:p/>
    <w:p>
      <w:pPr>
        <w:spacing w:line="500" w:lineRule="exact"/>
        <w:ind w:firstLine="3092" w:firstLineChars="700"/>
        <w:outlineLvl w:val="0"/>
        <w:rPr>
          <w:rFonts w:ascii="仿宋" w:hAnsi="仿宋" w:eastAsia="仿宋" w:cs="仿宋"/>
          <w:b/>
          <w:szCs w:val="28"/>
          <w:highlight w:val="none"/>
        </w:rPr>
      </w:pPr>
      <w:bookmarkStart w:id="164" w:name="_Toc25635"/>
      <w:r>
        <w:rPr>
          <w:rFonts w:hint="eastAsia" w:ascii="仿宋" w:hAnsi="仿宋" w:eastAsia="仿宋" w:cs="仿宋"/>
          <w:b/>
          <w:sz w:val="44"/>
          <w:szCs w:val="44"/>
          <w:highlight w:val="none"/>
        </w:rPr>
        <w:t>第五章  合同</w:t>
      </w:r>
      <w:bookmarkEnd w:id="156"/>
      <w:bookmarkStart w:id="165" w:name="_Toc513029243"/>
      <w:bookmarkStart w:id="166" w:name="_Toc20823315"/>
      <w:bookmarkStart w:id="167" w:name="_Toc16938559"/>
      <w:r>
        <w:rPr>
          <w:rFonts w:hint="eastAsia" w:ascii="仿宋" w:hAnsi="仿宋" w:eastAsia="仿宋" w:cs="仿宋"/>
          <w:b/>
          <w:sz w:val="44"/>
          <w:szCs w:val="44"/>
          <w:highlight w:val="none"/>
        </w:rPr>
        <w:t>范本</w:t>
      </w:r>
      <w:bookmarkEnd w:id="157"/>
      <w:bookmarkEnd w:id="158"/>
      <w:bookmarkEnd w:id="159"/>
      <w:bookmarkEnd w:id="160"/>
      <w:bookmarkEnd w:id="164"/>
      <w:bookmarkEnd w:id="165"/>
      <w:bookmarkEnd w:id="166"/>
      <w:bookmarkEnd w:id="167"/>
    </w:p>
    <w:p>
      <w:pPr>
        <w:pStyle w:val="44"/>
        <w:widowControl/>
        <w:spacing w:line="600" w:lineRule="exact"/>
        <w:ind w:firstLine="0"/>
        <w:jc w:val="both"/>
        <w:rPr>
          <w:rFonts w:ascii="仿宋" w:hAnsi="仿宋" w:eastAsia="仿宋" w:cs="仿宋"/>
          <w:b/>
          <w:sz w:val="24"/>
          <w:highlight w:val="none"/>
        </w:rPr>
      </w:pPr>
    </w:p>
    <w:p>
      <w:pPr>
        <w:pStyle w:val="44"/>
        <w:widowControl/>
        <w:spacing w:line="600" w:lineRule="exact"/>
        <w:ind w:firstLine="0"/>
        <w:jc w:val="both"/>
        <w:rPr>
          <w:rFonts w:ascii="仿宋" w:hAnsi="仿宋" w:eastAsia="仿宋" w:cs="仿宋"/>
          <w:b/>
          <w:sz w:val="24"/>
          <w:highlight w:val="none"/>
        </w:rPr>
      </w:pPr>
    </w:p>
    <w:bookmarkEnd w:id="12"/>
    <w:bookmarkEnd w:id="13"/>
    <w:bookmarkEnd w:id="14"/>
    <w:bookmarkEnd w:id="161"/>
    <w:bookmarkEnd w:id="162"/>
    <w:p>
      <w:pPr>
        <w:pStyle w:val="44"/>
        <w:widowControl/>
        <w:spacing w:before="0" w:after="0"/>
        <w:ind w:firstLine="0"/>
        <w:jc w:val="center"/>
        <w:rPr>
          <w:rFonts w:hint="eastAsia" w:ascii="仿宋" w:hAnsi="仿宋" w:eastAsia="仿宋" w:cs="仿宋"/>
          <w:b/>
          <w:sz w:val="52"/>
          <w:szCs w:val="52"/>
          <w:highlight w:val="none"/>
          <w:lang w:val="en-US" w:eastAsia="zh-CN"/>
        </w:rPr>
      </w:pPr>
      <w:bookmarkStart w:id="168" w:name="_Toc421604335"/>
      <w:r>
        <w:rPr>
          <w:rFonts w:hint="eastAsia" w:ascii="仿宋" w:hAnsi="仿宋" w:eastAsia="仿宋" w:cs="仿宋"/>
          <w:b/>
          <w:sz w:val="52"/>
          <w:szCs w:val="52"/>
          <w:highlight w:val="none"/>
          <w:lang w:val="en-US" w:eastAsia="zh-CN"/>
        </w:rPr>
        <w:t>渭南市临渭区人民法院2024年中省政法</w:t>
      </w:r>
    </w:p>
    <w:p>
      <w:pPr>
        <w:pStyle w:val="44"/>
        <w:widowControl/>
        <w:spacing w:before="0" w:after="0"/>
        <w:ind w:firstLine="0"/>
        <w:jc w:val="center"/>
        <w:rPr>
          <w:rFonts w:ascii="仿宋" w:hAnsi="仿宋" w:eastAsia="仿宋" w:cs="仿宋"/>
          <w:b/>
          <w:sz w:val="24"/>
          <w:highlight w:val="none"/>
        </w:rPr>
      </w:pPr>
      <w:r>
        <w:rPr>
          <w:rFonts w:hint="eastAsia" w:ascii="仿宋" w:hAnsi="仿宋" w:eastAsia="仿宋" w:cs="仿宋"/>
          <w:b/>
          <w:sz w:val="52"/>
          <w:szCs w:val="52"/>
          <w:highlight w:val="none"/>
          <w:lang w:val="en-US" w:eastAsia="zh-CN"/>
        </w:rPr>
        <w:t>转移支付自定装备采购项目</w:t>
      </w:r>
    </w:p>
    <w:p>
      <w:pPr>
        <w:pStyle w:val="11"/>
        <w:jc w:val="center"/>
        <w:rPr>
          <w:rFonts w:hint="default"/>
          <w:highlight w:val="none"/>
        </w:rPr>
      </w:pPr>
    </w:p>
    <w:p>
      <w:pPr>
        <w:pStyle w:val="11"/>
        <w:rPr>
          <w:rFonts w:hint="default"/>
          <w:highlight w:val="none"/>
        </w:rPr>
      </w:pPr>
    </w:p>
    <w:p>
      <w:pPr>
        <w:rPr>
          <w:rFonts w:hint="default"/>
          <w:highlight w:val="none"/>
        </w:rPr>
      </w:pPr>
    </w:p>
    <w:p>
      <w:pPr>
        <w:pStyle w:val="16"/>
        <w:rPr>
          <w:rFonts w:hint="default"/>
        </w:rPr>
      </w:pPr>
    </w:p>
    <w:p>
      <w:pPr>
        <w:pStyle w:val="11"/>
        <w:rPr>
          <w:rFonts w:hint="default"/>
          <w:highlight w:val="none"/>
        </w:rPr>
      </w:pPr>
    </w:p>
    <w:p>
      <w:pPr>
        <w:spacing w:line="600" w:lineRule="auto"/>
        <w:jc w:val="center"/>
        <w:rPr>
          <w:rFonts w:hint="eastAsia" w:ascii="仿宋" w:hAnsi="仿宋" w:eastAsia="仿宋" w:cs="仿宋"/>
          <w:b/>
          <w:kern w:val="0"/>
          <w:sz w:val="52"/>
          <w:szCs w:val="52"/>
          <w:highlight w:val="none"/>
        </w:rPr>
      </w:pPr>
      <w:r>
        <w:rPr>
          <w:rFonts w:hint="eastAsia" w:ascii="仿宋" w:hAnsi="仿宋" w:eastAsia="仿宋" w:cs="仿宋"/>
          <w:b/>
          <w:kern w:val="0"/>
          <w:sz w:val="52"/>
          <w:szCs w:val="52"/>
          <w:highlight w:val="none"/>
        </w:rPr>
        <w:t>合 同 书</w:t>
      </w:r>
    </w:p>
    <w:p>
      <w:pPr>
        <w:spacing w:line="600" w:lineRule="auto"/>
        <w:jc w:val="center"/>
        <w:rPr>
          <w:rFonts w:ascii="仿宋" w:hAnsi="仿宋" w:eastAsia="仿宋" w:cs="仿宋"/>
          <w:b/>
          <w:kern w:val="0"/>
          <w:sz w:val="36"/>
          <w:szCs w:val="36"/>
          <w:highlight w:val="none"/>
        </w:rPr>
      </w:pPr>
      <w:r>
        <w:rPr>
          <w:rFonts w:hint="eastAsia" w:ascii="仿宋" w:hAnsi="仿宋" w:eastAsia="仿宋" w:cs="仿宋"/>
          <w:b/>
          <w:kern w:val="0"/>
          <w:sz w:val="28"/>
          <w:szCs w:val="28"/>
          <w:highlight w:val="none"/>
        </w:rPr>
        <w:t>（本格式条款为合同基础条款，甲乙双方可根据项目实际情况增加条款和内容）</w:t>
      </w:r>
    </w:p>
    <w:p>
      <w:pPr>
        <w:spacing w:line="560" w:lineRule="exact"/>
        <w:jc w:val="center"/>
        <w:rPr>
          <w:rFonts w:ascii="仿宋" w:hAnsi="仿宋" w:eastAsia="仿宋" w:cs="仿宋"/>
          <w:b/>
          <w:kern w:val="0"/>
          <w:sz w:val="36"/>
          <w:szCs w:val="36"/>
          <w:highlight w:val="none"/>
        </w:rPr>
      </w:pPr>
    </w:p>
    <w:p>
      <w:pPr>
        <w:pStyle w:val="11"/>
        <w:rPr>
          <w:rFonts w:hint="default"/>
          <w:highlight w:val="none"/>
        </w:rPr>
      </w:pPr>
    </w:p>
    <w:p>
      <w:pPr>
        <w:spacing w:line="560" w:lineRule="exact"/>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合同编号：XXXX</w:t>
      </w:r>
    </w:p>
    <w:p>
      <w:pPr>
        <w:spacing w:line="560" w:lineRule="exact"/>
        <w:rPr>
          <w:rFonts w:ascii="仿宋" w:hAnsi="仿宋" w:eastAsia="仿宋" w:cs="仿宋"/>
          <w:b/>
          <w:highlight w:val="none"/>
        </w:rPr>
      </w:pPr>
    </w:p>
    <w:p>
      <w:pPr>
        <w:rPr>
          <w:highlight w:val="none"/>
        </w:rPr>
      </w:pPr>
    </w:p>
    <w:p>
      <w:pPr>
        <w:pStyle w:val="13"/>
        <w:ind w:left="1470" w:right="1470"/>
        <w:rPr>
          <w:highlight w:val="none"/>
        </w:rPr>
      </w:pPr>
    </w:p>
    <w:p>
      <w:pPr>
        <w:rPr>
          <w:highlight w:val="none"/>
        </w:rPr>
      </w:pPr>
    </w:p>
    <w:p>
      <w:pPr>
        <w:spacing w:line="560" w:lineRule="exact"/>
        <w:rPr>
          <w:rFonts w:hint="eastAsia" w:ascii="仿宋" w:hAnsi="仿宋" w:eastAsia="仿宋" w:cs="仿宋"/>
          <w:b/>
          <w:spacing w:val="23"/>
          <w:sz w:val="32"/>
          <w:szCs w:val="32"/>
          <w:highlight w:val="none"/>
          <w:lang w:bidi="ar"/>
        </w:rPr>
      </w:pPr>
    </w:p>
    <w:p>
      <w:pPr>
        <w:pStyle w:val="8"/>
        <w:rPr>
          <w:rFonts w:hint="eastAsia"/>
        </w:rPr>
      </w:pPr>
    </w:p>
    <w:p>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甲方</w:t>
      </w:r>
      <w:r>
        <w:rPr>
          <w:rFonts w:hint="eastAsia" w:ascii="仿宋" w:hAnsi="仿宋" w:eastAsia="仿宋" w:cs="仿宋"/>
          <w:b/>
          <w:spacing w:val="23"/>
          <w:sz w:val="32"/>
          <w:szCs w:val="32"/>
          <w:highlight w:val="none"/>
          <w:lang w:eastAsia="zh-CN" w:bidi="ar"/>
        </w:rPr>
        <w:t>（</w:t>
      </w:r>
      <w:r>
        <w:rPr>
          <w:highlight w:val="none"/>
        </w:rPr>
        <w:fldChar w:fldCharType="begin"/>
      </w:r>
      <w:r>
        <w:rPr>
          <w:highlight w:val="none"/>
        </w:rPr>
        <w:instrText xml:space="preserve"> HYPERLINK "http://set2.mail.qq.com/cgi-bin/mail_spam?action=check_link&amp;spam=0&amp;url=http://www.baidu.com/s?wd=%E9%87%87%E8%B4%AD%E5%8D%95&amp;hl_tag=textlink&amp;tn=SE_hldp01350_v6v6zkg6" </w:instrText>
      </w:r>
      <w:r>
        <w:rPr>
          <w:highlight w:val="none"/>
        </w:rPr>
        <w:fldChar w:fldCharType="separate"/>
      </w:r>
      <w:r>
        <w:rPr>
          <w:rStyle w:val="34"/>
          <w:rFonts w:hint="default" w:ascii="仿宋" w:hAnsi="仿宋" w:eastAsia="仿宋" w:cs="仿宋"/>
          <w:b/>
          <w:color w:val="auto"/>
          <w:spacing w:val="23"/>
          <w:sz w:val="32"/>
          <w:szCs w:val="32"/>
          <w:highlight w:val="none"/>
        </w:rPr>
        <w:t>采购人</w:t>
      </w:r>
      <w:r>
        <w:rPr>
          <w:rStyle w:val="34"/>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w:t>
      </w:r>
      <w:r>
        <w:rPr>
          <w:highlight w:val="none"/>
        </w:rPr>
        <w:fldChar w:fldCharType="begin"/>
      </w:r>
      <w:r>
        <w:rPr>
          <w:highlight w:val="none"/>
        </w:rPr>
        <w:instrText xml:space="preserve"> HYPERLINK "http://set2.mail.qq.com/cgi-bin/mail_spam?action=check_link&amp;spam=0&amp;url=http://www.baidu.com/s?wd=%E4%B9%99%E6%96%B9&amp;hl_tag=textlink&amp;tn=SE_hldp01350_v6v6zkg6" </w:instrText>
      </w:r>
      <w:r>
        <w:rPr>
          <w:highlight w:val="none"/>
        </w:rPr>
        <w:fldChar w:fldCharType="separate"/>
      </w:r>
      <w:r>
        <w:rPr>
          <w:rStyle w:val="34"/>
          <w:rFonts w:hint="default" w:ascii="仿宋" w:hAnsi="仿宋" w:eastAsia="仿宋" w:cs="仿宋"/>
          <w:b/>
          <w:color w:val="auto"/>
          <w:spacing w:val="23"/>
          <w:sz w:val="32"/>
          <w:szCs w:val="32"/>
          <w:highlight w:val="none"/>
        </w:rPr>
        <w:t>乙方</w:t>
      </w:r>
      <w:r>
        <w:rPr>
          <w:rStyle w:val="34"/>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供应商</w:t>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pPr>
        <w:pStyle w:val="24"/>
        <w:widowControl/>
        <w:adjustRightInd w:val="0"/>
        <w:spacing w:line="560" w:lineRule="exact"/>
        <w:rPr>
          <w:rFonts w:hint="eastAsia" w:ascii="仿宋" w:hAnsi="仿宋" w:eastAsia="仿宋" w:cs="仿宋"/>
          <w:b/>
          <w:spacing w:val="23"/>
          <w:kern w:val="0"/>
          <w:sz w:val="32"/>
          <w:szCs w:val="32"/>
          <w:highlight w:val="none"/>
          <w:lang w:bidi="ar"/>
        </w:rPr>
      </w:pPr>
      <w:r>
        <w:rPr>
          <w:rFonts w:hint="eastAsia" w:ascii="仿宋" w:hAnsi="仿宋" w:eastAsia="仿宋" w:cs="仿宋"/>
          <w:b/>
          <w:spacing w:val="23"/>
          <w:kern w:val="0"/>
          <w:sz w:val="32"/>
          <w:szCs w:val="32"/>
          <w:highlight w:val="none"/>
          <w:lang w:bidi="ar"/>
        </w:rPr>
        <w:t xml:space="preserve">          签订时间：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月</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日</w:t>
      </w:r>
      <w:bookmarkStart w:id="169" w:name="_Toc26903"/>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val="0"/>
          <w:color w:val="auto"/>
          <w:sz w:val="32"/>
          <w:szCs w:val="32"/>
          <w:highlight w:val="none"/>
          <w:lang w:eastAsia="zh-CN" w:bidi="ar"/>
        </w:rPr>
      </w:pPr>
      <w:r>
        <w:rPr>
          <w:rFonts w:hint="eastAsia" w:ascii="仿宋" w:hAnsi="仿宋" w:eastAsia="仿宋" w:cs="仿宋"/>
          <w:b/>
          <w:bCs w:val="0"/>
          <w:color w:val="auto"/>
          <w:sz w:val="32"/>
          <w:szCs w:val="32"/>
          <w:highlight w:val="none"/>
          <w:lang w:eastAsia="zh-CN" w:bidi="ar"/>
        </w:rPr>
        <w:t>合同范本</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甲方</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采购人</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w:t>
      </w:r>
      <w:r>
        <w:rPr>
          <w:rFonts w:hint="eastAsia" w:ascii="仿宋" w:hAnsi="仿宋" w:eastAsia="仿宋" w:cs="仿宋"/>
          <w:b w:val="0"/>
          <w:bCs/>
          <w:color w:val="auto"/>
          <w:sz w:val="28"/>
          <w:szCs w:val="28"/>
          <w:highlight w:val="none"/>
          <w:u w:val="single"/>
          <w:lang w:bidi="ar"/>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乙方</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供应商</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w:t>
      </w:r>
      <w:r>
        <w:rPr>
          <w:rFonts w:hint="eastAsia" w:ascii="仿宋" w:hAnsi="仿宋" w:eastAsia="仿宋" w:cs="仿宋"/>
          <w:b w:val="0"/>
          <w:bCs/>
          <w:color w:val="auto"/>
          <w:sz w:val="28"/>
          <w:szCs w:val="28"/>
          <w:highlight w:val="none"/>
          <w:u w:val="single"/>
          <w:lang w:bidi="ar"/>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甲乙双方根据</w:t>
      </w:r>
      <w:r>
        <w:rPr>
          <w:rFonts w:hint="eastAsia" w:ascii="仿宋" w:hAnsi="仿宋" w:eastAsia="仿宋" w:cs="仿宋"/>
          <w:b w:val="0"/>
          <w:bCs/>
          <w:color w:val="auto"/>
          <w:sz w:val="28"/>
          <w:szCs w:val="28"/>
          <w:highlight w:val="none"/>
          <w:u w:val="single"/>
          <w:lang w:val="en-US" w:eastAsia="zh-CN" w:bidi="ar"/>
        </w:rPr>
        <w:t xml:space="preserve">           </w:t>
      </w:r>
      <w:r>
        <w:rPr>
          <w:rFonts w:hint="eastAsia" w:ascii="仿宋" w:hAnsi="仿宋" w:eastAsia="仿宋" w:cs="仿宋"/>
          <w:b w:val="0"/>
          <w:bCs/>
          <w:color w:val="auto"/>
          <w:sz w:val="28"/>
          <w:szCs w:val="28"/>
          <w:highlight w:val="none"/>
          <w:lang w:bidi="ar"/>
        </w:rPr>
        <w:t>政府采购招标项目</w:t>
      </w:r>
      <w:r>
        <w:rPr>
          <w:rFonts w:hint="eastAsia" w:ascii="仿宋" w:hAnsi="仿宋" w:eastAsia="仿宋" w:cs="仿宋"/>
          <w:b w:val="0"/>
          <w:bCs/>
          <w:color w:val="auto"/>
          <w:sz w:val="28"/>
          <w:szCs w:val="28"/>
          <w:highlight w:val="none"/>
          <w:lang w:eastAsia="zh-CN" w:bidi="ar"/>
        </w:rPr>
        <w:t>（项目编号：</w:t>
      </w:r>
      <w:r>
        <w:rPr>
          <w:rFonts w:hint="eastAsia" w:ascii="仿宋" w:hAnsi="仿宋" w:eastAsia="仿宋" w:cs="仿宋"/>
          <w:b w:val="0"/>
          <w:bCs/>
          <w:color w:val="auto"/>
          <w:sz w:val="28"/>
          <w:szCs w:val="28"/>
          <w:highlight w:val="none"/>
          <w:u w:val="single"/>
          <w:lang w:val="en-US" w:eastAsia="zh-CN" w:bidi="ar"/>
        </w:rPr>
        <w:t xml:space="preserve">           </w:t>
      </w:r>
      <w:r>
        <w:rPr>
          <w:rFonts w:hint="eastAsia" w:ascii="仿宋" w:hAnsi="仿宋" w:eastAsia="仿宋" w:cs="仿宋"/>
          <w:b w:val="0"/>
          <w:bCs/>
          <w:color w:val="auto"/>
          <w:sz w:val="28"/>
          <w:szCs w:val="28"/>
          <w:highlight w:val="none"/>
          <w:lang w:eastAsia="zh-CN" w:bidi="ar"/>
        </w:rPr>
        <w:t>）</w:t>
      </w:r>
      <w:r>
        <w:rPr>
          <w:rFonts w:hint="eastAsia" w:ascii="仿宋" w:hAnsi="仿宋" w:eastAsia="仿宋" w:cs="仿宋"/>
          <w:b w:val="0"/>
          <w:bCs/>
          <w:color w:val="auto"/>
          <w:sz w:val="28"/>
          <w:szCs w:val="28"/>
          <w:highlight w:val="none"/>
          <w:lang w:bidi="ar"/>
        </w:rPr>
        <w:t>采购结果及相关招投标文件，经协商一致，订立本合同，供双方共同遵守：</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color w:val="auto"/>
          <w:sz w:val="28"/>
          <w:szCs w:val="28"/>
          <w:highlight w:val="none"/>
          <w:lang w:bidi="ar"/>
        </w:rPr>
      </w:pPr>
      <w:r>
        <w:rPr>
          <w:rFonts w:hint="eastAsia" w:ascii="仿宋" w:hAnsi="仿宋" w:eastAsia="仿宋" w:cs="仿宋"/>
          <w:b/>
          <w:bCs w:val="0"/>
          <w:color w:val="auto"/>
          <w:sz w:val="28"/>
          <w:szCs w:val="28"/>
          <w:highlight w:val="none"/>
          <w:lang w:bidi="ar"/>
        </w:rPr>
        <w:t xml:space="preserve">第一条  </w:t>
      </w:r>
      <w:r>
        <w:rPr>
          <w:rFonts w:hint="eastAsia" w:ascii="仿宋" w:hAnsi="仿宋" w:eastAsia="仿宋" w:cs="仿宋"/>
          <w:b/>
          <w:color w:val="auto"/>
          <w:sz w:val="28"/>
          <w:szCs w:val="28"/>
          <w:highlight w:val="none"/>
          <w:lang w:bidi="ar"/>
        </w:rPr>
        <w:t>甲方采购的物品内容和含税价格</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货物名称 ____________________</w:t>
      </w:r>
      <w:r>
        <w:rPr>
          <w:rFonts w:hint="eastAsia" w:ascii="仿宋" w:hAnsi="仿宋" w:eastAsia="仿宋" w:cs="仿宋"/>
          <w:b w:val="0"/>
          <w:bCs/>
          <w:color w:val="auto"/>
          <w:sz w:val="28"/>
          <w:szCs w:val="28"/>
          <w:highlight w:val="none"/>
          <w:lang w:eastAsia="zh-CN" w:bidi="ar"/>
        </w:rPr>
        <w:t>（后附采购清单）</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货物型号 ____________________</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 xml:space="preserve">数    量____________________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合    计____________________ （金额单位：人民币元)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bidi="ar"/>
        </w:rPr>
      </w:pPr>
      <w:r>
        <w:rPr>
          <w:rFonts w:hint="eastAsia" w:ascii="仿宋" w:hAnsi="仿宋" w:eastAsia="仿宋" w:cs="仿宋"/>
          <w:b w:val="0"/>
          <w:bCs/>
          <w:color w:val="auto"/>
          <w:sz w:val="28"/>
          <w:szCs w:val="28"/>
          <w:highlight w:val="none"/>
          <w:lang w:bidi="ar"/>
        </w:rPr>
        <w:t>采购货物由乙方免费配送，甲方不再另付任何费用。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eastAsia="zh-CN" w:bidi="ar"/>
        </w:rPr>
        <w:t>第二条</w:t>
      </w:r>
      <w:r>
        <w:rPr>
          <w:rFonts w:hint="eastAsia" w:ascii="仿宋" w:hAnsi="仿宋" w:eastAsia="仿宋" w:cs="仿宋"/>
          <w:b/>
          <w:color w:val="auto"/>
          <w:sz w:val="28"/>
          <w:szCs w:val="28"/>
          <w:highlight w:val="none"/>
          <w:lang w:val="en-US" w:eastAsia="zh-CN" w:bidi="ar"/>
        </w:rPr>
        <w:t xml:space="preserve"> </w:t>
      </w:r>
      <w:r>
        <w:rPr>
          <w:rFonts w:hint="eastAsia" w:ascii="仿宋" w:hAnsi="仿宋" w:eastAsia="仿宋" w:cs="仿宋"/>
          <w:b/>
          <w:color w:val="auto"/>
          <w:sz w:val="28"/>
          <w:szCs w:val="28"/>
          <w:highlight w:val="none"/>
          <w:lang w:bidi="ar"/>
        </w:rPr>
        <w:t xml:space="preserve"> 货物的质量</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技术标准</w:t>
      </w:r>
      <w:r>
        <w:rPr>
          <w:rFonts w:hint="eastAsia" w:ascii="仿宋" w:hAnsi="仿宋" w:eastAsia="仿宋" w:cs="仿宋"/>
          <w:b/>
          <w:color w:val="auto"/>
          <w:sz w:val="28"/>
          <w:szCs w:val="28"/>
          <w:highlight w:val="none"/>
          <w:lang w:bidi="ar"/>
        </w:rPr>
        <w:fldChar w:fldCharType="end"/>
      </w:r>
      <w:r>
        <w:rPr>
          <w:rFonts w:hint="eastAsia" w:ascii="仿宋" w:hAnsi="仿宋" w:eastAsia="仿宋" w:cs="仿宋"/>
          <w:b/>
          <w:color w:val="auto"/>
          <w:sz w:val="28"/>
          <w:szCs w:val="28"/>
          <w:highlight w:val="none"/>
          <w:lang w:bidi="ar"/>
        </w:rPr>
        <w:t>、</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乙方</w:t>
      </w:r>
      <w:r>
        <w:rPr>
          <w:rFonts w:hint="eastAsia" w:ascii="仿宋" w:hAnsi="仿宋" w:eastAsia="仿宋" w:cs="仿宋"/>
          <w:b/>
          <w:color w:val="auto"/>
          <w:sz w:val="28"/>
          <w:szCs w:val="28"/>
          <w:highlight w:val="none"/>
          <w:lang w:bidi="ar"/>
        </w:rPr>
        <w:fldChar w:fldCharType="end"/>
      </w:r>
      <w:r>
        <w:rPr>
          <w:rFonts w:hint="eastAsia" w:ascii="仿宋" w:hAnsi="仿宋" w:eastAsia="仿宋" w:cs="仿宋"/>
          <w:b/>
          <w:color w:val="auto"/>
          <w:sz w:val="28"/>
          <w:szCs w:val="28"/>
          <w:highlight w:val="none"/>
          <w:lang w:bidi="ar"/>
        </w:rPr>
        <w:t>售后服务及</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"http://set2.mail.qq.com/cgi-bin/mail_spam?action=check_link&amp;spam=0&amp;url=http%3A%2F%2Fwww%2Ebaidu%2Ecom%2Fs%3Fwd%3D%25E6%258D%259F%25E5%25AE%25B3%25E8%25B5%2594%25E5%2581%25BF%26hl_tag%3Dtextlink%26tn%3DSE_hldp01350_v6v6zkg6"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损害赔偿</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kern w:val="0"/>
          <w:sz w:val="28"/>
          <w:szCs w:val="28"/>
          <w:highlight w:val="none"/>
          <w:lang w:bidi="ar"/>
        </w:rPr>
      </w:pPr>
      <w:r>
        <w:rPr>
          <w:rFonts w:hint="eastAsia" w:ascii="仿宋" w:hAnsi="仿宋" w:eastAsia="仿宋" w:cs="仿宋"/>
          <w:bCs/>
          <w:color w:val="auto"/>
          <w:kern w:val="0"/>
          <w:sz w:val="28"/>
          <w:szCs w:val="28"/>
          <w:highlight w:val="none"/>
          <w:lang w:bidi="ar"/>
        </w:rPr>
        <w:t>1、货物的质量</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bidi="ar"/>
        </w:rPr>
        <w:t>技术标准</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按国家法律法规规定的合格标准、</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eastAsia="zh-CN" w:bidi="ar"/>
        </w:rPr>
        <w:t>招标</w:t>
      </w:r>
      <w:r>
        <w:rPr>
          <w:rFonts w:hint="eastAsia" w:ascii="仿宋" w:hAnsi="仿宋" w:eastAsia="仿宋" w:cs="仿宋"/>
          <w:bCs/>
          <w:color w:val="auto"/>
          <w:kern w:val="0"/>
          <w:sz w:val="28"/>
          <w:szCs w:val="28"/>
          <w:highlight w:val="none"/>
          <w:lang w:bidi="ar"/>
        </w:rPr>
        <w:t>文件</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要求的</w:t>
      </w:r>
      <w:r>
        <w:rPr>
          <w:rFonts w:hint="eastAsia" w:ascii="仿宋" w:hAnsi="仿宋" w:eastAsia="仿宋" w:cs="仿宋"/>
          <w:bCs/>
          <w:color w:val="auto"/>
          <w:kern w:val="0"/>
          <w:sz w:val="28"/>
          <w:szCs w:val="28"/>
          <w:highlight w:val="none"/>
          <w:lang w:bidi="ar"/>
        </w:rPr>
        <w:fldChar w:fldCharType="begin"/>
      </w:r>
      <w:r>
        <w:rPr>
          <w:rFonts w:hint="eastAsia" w:ascii="仿宋" w:hAnsi="仿宋" w:eastAsia="仿宋" w:cs="仿宋"/>
          <w:bCs/>
          <w:color w:val="auto"/>
          <w:kern w:val="0"/>
          <w:sz w:val="28"/>
          <w:szCs w:val="28"/>
          <w:highlight w:val="none"/>
          <w:lang w:bidi="ar"/>
        </w:rPr>
        <w:instrText xml:space="preserve">HYPERLINK "http://set2.mail.qq.com/cgi-bin/mail_spam?action=check_link&amp;spam=0&amp;url=http%3A%2F%2Fwww%2Ebaidu%2Ecom%2Fs%3Fwd%3D%25E6%258A%2580%25E6%259C%25AF%25E6%25A0%2587%25E5%2587%2586%26hl_tag%3Dtextlink%26tn%3DSE_hldp01350_v6v6zkg6"</w:instrText>
      </w:r>
      <w:r>
        <w:rPr>
          <w:rFonts w:hint="eastAsia" w:ascii="仿宋" w:hAnsi="仿宋" w:eastAsia="仿宋" w:cs="仿宋"/>
          <w:bCs/>
          <w:color w:val="auto"/>
          <w:kern w:val="0"/>
          <w:sz w:val="28"/>
          <w:szCs w:val="28"/>
          <w:highlight w:val="none"/>
          <w:lang w:bidi="ar"/>
        </w:rPr>
        <w:fldChar w:fldCharType="separate"/>
      </w:r>
      <w:r>
        <w:rPr>
          <w:rFonts w:hint="eastAsia" w:ascii="仿宋" w:hAnsi="仿宋" w:eastAsia="仿宋" w:cs="仿宋"/>
          <w:bCs/>
          <w:color w:val="auto"/>
          <w:kern w:val="0"/>
          <w:sz w:val="28"/>
          <w:szCs w:val="28"/>
          <w:highlight w:val="none"/>
          <w:lang w:bidi="ar"/>
        </w:rPr>
        <w:t>技术标准</w:t>
      </w:r>
      <w:r>
        <w:rPr>
          <w:rFonts w:hint="eastAsia" w:ascii="仿宋" w:hAnsi="仿宋" w:eastAsia="仿宋" w:cs="仿宋"/>
          <w:bCs/>
          <w:color w:val="auto"/>
          <w:kern w:val="0"/>
          <w:sz w:val="28"/>
          <w:szCs w:val="28"/>
          <w:highlight w:val="none"/>
          <w:lang w:bidi="ar"/>
        </w:rPr>
        <w:fldChar w:fldCharType="end"/>
      </w:r>
      <w:r>
        <w:rPr>
          <w:rFonts w:hint="eastAsia" w:ascii="仿宋" w:hAnsi="仿宋" w:eastAsia="仿宋" w:cs="仿宋"/>
          <w:bCs/>
          <w:color w:val="auto"/>
          <w:kern w:val="0"/>
          <w:sz w:val="28"/>
          <w:szCs w:val="28"/>
          <w:highlight w:val="none"/>
          <w:lang w:bidi="ar"/>
        </w:rPr>
        <w:t>执行。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kern w:val="0"/>
          <w:sz w:val="28"/>
          <w:szCs w:val="28"/>
          <w:highlight w:val="none"/>
          <w:lang w:bidi="ar"/>
        </w:rPr>
      </w:pPr>
      <w:r>
        <w:rPr>
          <w:rFonts w:hint="eastAsia" w:ascii="仿宋" w:hAnsi="仿宋" w:eastAsia="仿宋" w:cs="仿宋"/>
          <w:bCs/>
          <w:color w:val="auto"/>
          <w:kern w:val="0"/>
          <w:sz w:val="28"/>
          <w:szCs w:val="28"/>
          <w:highlight w:val="none"/>
          <w:lang w:val="en-US" w:eastAsia="zh-CN" w:bidi="ar"/>
        </w:rPr>
        <w:t>2、</w:t>
      </w:r>
      <w:r>
        <w:rPr>
          <w:rFonts w:hint="eastAsia" w:ascii="仿宋" w:hAnsi="仿宋" w:eastAsia="仿宋" w:cs="仿宋"/>
          <w:bCs/>
          <w:color w:val="auto"/>
          <w:kern w:val="0"/>
          <w:sz w:val="28"/>
          <w:szCs w:val="28"/>
          <w:highlight w:val="none"/>
          <w:lang w:bidi="ar"/>
        </w:rPr>
        <w:t>乙方从项目验收合格之日起，产品提供</w:t>
      </w:r>
      <w:r>
        <w:rPr>
          <w:rFonts w:hint="eastAsia" w:ascii="仿宋" w:hAnsi="仿宋" w:eastAsia="仿宋" w:cs="仿宋"/>
          <w:bCs/>
          <w:color w:val="auto"/>
          <w:kern w:val="0"/>
          <w:sz w:val="28"/>
          <w:szCs w:val="28"/>
          <w:highlight w:val="none"/>
          <w:u w:val="single"/>
          <w:lang w:bidi="ar"/>
        </w:rPr>
        <w:t xml:space="preserve">     </w:t>
      </w:r>
      <w:r>
        <w:rPr>
          <w:rFonts w:hint="eastAsia" w:ascii="仿宋" w:hAnsi="仿宋" w:eastAsia="仿宋" w:cs="仿宋"/>
          <w:bCs/>
          <w:color w:val="auto"/>
          <w:kern w:val="0"/>
          <w:sz w:val="28"/>
          <w:szCs w:val="28"/>
          <w:highlight w:val="none"/>
          <w:lang w:bidi="ar"/>
        </w:rPr>
        <w:t>年质保，质保期内出现质量问题予以免费调换。</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kern w:val="0"/>
          <w:sz w:val="28"/>
          <w:szCs w:val="28"/>
          <w:highlight w:val="none"/>
          <w:lang w:val="en-US" w:eastAsia="zh-CN" w:bidi="ar"/>
        </w:rPr>
        <w:t>3、</w:t>
      </w:r>
      <w:r>
        <w:rPr>
          <w:rFonts w:hint="eastAsia" w:ascii="仿宋" w:hAnsi="仿宋" w:eastAsia="仿宋" w:cs="仿宋"/>
          <w:bCs/>
          <w:color w:val="auto"/>
          <w:sz w:val="28"/>
          <w:szCs w:val="28"/>
          <w:highlight w:val="none"/>
          <w:lang w:bidi="ar"/>
        </w:rPr>
        <w:t>乙方售后服务</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"http://set2.mail.qq.com/cgi-bin/mail_spam?action=check_link&amp;spam=0&amp;url=http%3A%2F%2Fwww%2Ebaidu%2Ecom%2Fs%3Fwd%3D%25E5%2593%258D%25E5%25BA%2594%25E6%2597%25B6%25E9%2597%25B4%26hl_tag%3Dtextlink%26tn%3DSE_hldp01350_v6v6zkg6"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响应时间</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每天24小时及时响应，4小时内到现场处理相关问题，费用由乙方负责。如乙方在接到通知工作日的24小时内没有答复和处理问题，则视为乙方承认质量问题并承担由此而发生的一切费用。质保期间因产品的任何质量问题原因造成的直接经济损失应全部由乙方自行负责。</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val="en-US" w:eastAsia="zh-CN" w:bidi="ar"/>
        </w:rPr>
        <w:t>4</w:t>
      </w:r>
      <w:r>
        <w:rPr>
          <w:rFonts w:hint="eastAsia" w:ascii="仿宋" w:hAnsi="仿宋" w:eastAsia="仿宋" w:cs="仿宋"/>
          <w:bCs/>
          <w:color w:val="auto"/>
          <w:sz w:val="28"/>
          <w:szCs w:val="28"/>
          <w:highlight w:val="none"/>
          <w:lang w:bidi="ar"/>
        </w:rPr>
        <w:t>、如因乙方货物质量问题的原因，导致甲方损失，乙方应予以赔偿。</w:t>
      </w:r>
    </w:p>
    <w:p>
      <w:pPr>
        <w:keepNext w:val="0"/>
        <w:keepLines w:val="0"/>
        <w:pageBreakBefore w:val="0"/>
        <w:widowControl/>
        <w:numPr>
          <w:ilvl w:val="0"/>
          <w:numId w:val="0"/>
        </w:numPr>
        <w:kinsoku/>
        <w:wordWrap/>
        <w:overflowPunct/>
        <w:topLinePunct w:val="0"/>
        <w:autoSpaceDE/>
        <w:autoSpaceDN/>
        <w:bidi w:val="0"/>
        <w:adjustRightInd/>
        <w:spacing w:line="500" w:lineRule="exact"/>
        <w:ind w:right="0" w:rightChars="0"/>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eastAsia="zh-CN" w:bidi="ar"/>
        </w:rPr>
        <w:t>第三条</w:t>
      </w:r>
      <w:r>
        <w:rPr>
          <w:rFonts w:hint="eastAsia" w:ascii="仿宋" w:hAnsi="仿宋" w:eastAsia="仿宋" w:cs="仿宋"/>
          <w:b/>
          <w:color w:val="auto"/>
          <w:sz w:val="28"/>
          <w:szCs w:val="28"/>
          <w:highlight w:val="none"/>
          <w:lang w:val="en-US" w:eastAsia="zh-CN" w:bidi="ar"/>
        </w:rPr>
        <w:t xml:space="preserve">  系统软件服务项目</w:t>
      </w:r>
    </w:p>
    <w:p>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w:t>
      </w:r>
      <w:r>
        <w:rPr>
          <w:rFonts w:hint="eastAsia" w:ascii="仿宋" w:hAnsi="仿宋" w:eastAsia="仿宋" w:cs="仿宋"/>
          <w:bCs/>
          <w:sz w:val="28"/>
          <w:szCs w:val="28"/>
          <w:highlight w:val="none"/>
          <w:lang w:eastAsia="zh-CN" w:bidi="ar"/>
        </w:rPr>
        <w:t>、</w:t>
      </w:r>
      <w:r>
        <w:rPr>
          <w:rFonts w:hint="eastAsia" w:ascii="仿宋" w:hAnsi="仿宋" w:eastAsia="仿宋" w:cs="仿宋"/>
          <w:bCs/>
          <w:sz w:val="28"/>
          <w:szCs w:val="28"/>
          <w:highlight w:val="none"/>
          <w:lang w:bidi="ar"/>
        </w:rPr>
        <w:t>乙方在工作时间内随时为甲方以电话、传真、电子邮件方式免费提供所买产品的服务与技术支持维护，通常软件系统故障，提供实时响应解决。</w:t>
      </w:r>
    </w:p>
    <w:p>
      <w:pPr>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乙方提供验收合格后软件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eastAsia="zh-CN"/>
        </w:rPr>
        <w:t>年</w:t>
      </w:r>
      <w:r>
        <w:rPr>
          <w:rFonts w:hint="eastAsia" w:ascii="仿宋" w:hAnsi="仿宋" w:eastAsia="仿宋" w:cs="仿宋"/>
          <w:sz w:val="28"/>
          <w:szCs w:val="28"/>
          <w:highlight w:val="none"/>
        </w:rPr>
        <w:t>质保。</w:t>
      </w:r>
    </w:p>
    <w:p>
      <w:pPr>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乙方对系统</w:t>
      </w:r>
      <w:r>
        <w:rPr>
          <w:rFonts w:hint="eastAsia" w:ascii="仿宋" w:hAnsi="仿宋" w:eastAsia="仿宋" w:cs="仿宋"/>
          <w:sz w:val="28"/>
          <w:szCs w:val="28"/>
          <w:highlight w:val="none"/>
          <w:lang w:eastAsia="zh-CN"/>
        </w:rPr>
        <w:t>软件</w:t>
      </w:r>
      <w:r>
        <w:rPr>
          <w:rFonts w:hint="eastAsia" w:ascii="仿宋" w:hAnsi="仿宋" w:eastAsia="仿宋" w:cs="仿宋"/>
          <w:sz w:val="28"/>
          <w:szCs w:val="28"/>
          <w:highlight w:val="none"/>
        </w:rPr>
        <w:t>提供</w:t>
      </w:r>
      <w:r>
        <w:rPr>
          <w:rFonts w:hint="eastAsia" w:ascii="仿宋" w:hAnsi="仿宋" w:eastAsia="仿宋" w:cs="仿宋"/>
          <w:sz w:val="28"/>
          <w:szCs w:val="28"/>
          <w:highlight w:val="none"/>
          <w:u w:val="none"/>
          <w:lang w:eastAsia="zh-CN"/>
        </w:rPr>
        <w:t>终身</w:t>
      </w:r>
      <w:r>
        <w:rPr>
          <w:rFonts w:hint="eastAsia" w:ascii="仿宋" w:hAnsi="仿宋" w:eastAsia="仿宋" w:cs="仿宋"/>
          <w:sz w:val="28"/>
          <w:szCs w:val="28"/>
          <w:highlight w:val="none"/>
        </w:rPr>
        <w:t>免费升级支持。</w:t>
      </w:r>
    </w:p>
    <w:p>
      <w:pPr>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乙方对系统</w:t>
      </w:r>
      <w:r>
        <w:rPr>
          <w:rFonts w:hint="eastAsia" w:ascii="仿宋" w:hAnsi="仿宋" w:eastAsia="仿宋" w:cs="仿宋"/>
          <w:sz w:val="28"/>
          <w:szCs w:val="28"/>
          <w:highlight w:val="none"/>
          <w:lang w:eastAsia="zh-CN"/>
        </w:rPr>
        <w:t>软件</w:t>
      </w:r>
      <w:r>
        <w:rPr>
          <w:rFonts w:hint="eastAsia" w:ascii="仿宋" w:hAnsi="仿宋" w:eastAsia="仿宋" w:cs="仿宋"/>
          <w:sz w:val="28"/>
          <w:szCs w:val="28"/>
          <w:highlight w:val="none"/>
        </w:rPr>
        <w:t>提供终身技术支持。</w:t>
      </w:r>
    </w:p>
    <w:p>
      <w:pPr>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如遇甲方要求的不影响软件产品界面统一性、通用性而作的必要的更改，乙方免费提供修改支持。</w:t>
      </w:r>
    </w:p>
    <w:p>
      <w:pPr>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由乙方对甲方操作人员进行软件操作培训。</w:t>
      </w:r>
    </w:p>
    <w:p>
      <w:pPr>
        <w:widowControl/>
        <w:spacing w:line="500" w:lineRule="exact"/>
        <w:ind w:firstLine="560" w:firstLineChars="200"/>
        <w:jc w:val="left"/>
        <w:rPr>
          <w:rFonts w:hint="eastAsia" w:ascii="仿宋" w:hAnsi="仿宋" w:eastAsia="仿宋" w:cs="仿宋"/>
          <w:bCs/>
          <w:sz w:val="28"/>
          <w:szCs w:val="28"/>
          <w:highlight w:val="none"/>
          <w:lang w:bidi="ar"/>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乙方保证所售软件不会侵犯任何第三方权利，否则乙方将承担甲方由此受到的一切损失。</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bCs w:val="0"/>
          <w:color w:val="auto"/>
          <w:sz w:val="28"/>
          <w:szCs w:val="28"/>
          <w:highlight w:val="none"/>
          <w:lang w:eastAsia="zh-CN" w:bidi="ar"/>
        </w:rPr>
      </w:pPr>
      <w:r>
        <w:rPr>
          <w:rFonts w:hint="eastAsia" w:ascii="仿宋" w:hAnsi="仿宋" w:eastAsia="仿宋" w:cs="仿宋"/>
          <w:bCs/>
          <w:sz w:val="28"/>
          <w:szCs w:val="28"/>
          <w:highlight w:val="none"/>
          <w:lang w:bidi="ar"/>
        </w:rPr>
        <w:t>拟派本项目负责人姓名：</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lang w:bidi="ar"/>
        </w:rPr>
        <w:t>，身份证号：</w:t>
      </w:r>
      <w:r>
        <w:rPr>
          <w:rFonts w:hint="eastAsia" w:ascii="仿宋" w:hAnsi="仿宋" w:eastAsia="仿宋" w:cs="仿宋"/>
          <w:bCs/>
          <w:sz w:val="28"/>
          <w:szCs w:val="28"/>
          <w:highlight w:val="none"/>
          <w:u w:val="single"/>
          <w:lang w:bidi="ar"/>
        </w:rPr>
        <w:t xml:space="preserve">              </w:t>
      </w:r>
      <w:r>
        <w:rPr>
          <w:rFonts w:hint="eastAsia" w:ascii="仿宋" w:hAnsi="仿宋" w:eastAsia="仿宋" w:cs="仿宋"/>
          <w:bCs/>
          <w:sz w:val="28"/>
          <w:szCs w:val="28"/>
          <w:highlight w:val="none"/>
          <w:u w:val="single"/>
          <w:lang w:eastAsia="zh-CN" w:bidi="ar"/>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bCs w:val="0"/>
          <w:color w:val="auto"/>
          <w:sz w:val="28"/>
          <w:szCs w:val="28"/>
          <w:highlight w:val="none"/>
          <w:lang w:val="en-US" w:eastAsia="zh-CN" w:bidi="ar"/>
        </w:rPr>
      </w:pPr>
      <w:r>
        <w:rPr>
          <w:rFonts w:hint="eastAsia" w:ascii="仿宋" w:hAnsi="仿宋" w:eastAsia="仿宋" w:cs="仿宋"/>
          <w:b/>
          <w:bCs w:val="0"/>
          <w:color w:val="auto"/>
          <w:sz w:val="28"/>
          <w:szCs w:val="28"/>
          <w:highlight w:val="none"/>
          <w:lang w:eastAsia="zh-CN" w:bidi="ar"/>
        </w:rPr>
        <w:t>第四条</w:t>
      </w:r>
      <w:r>
        <w:rPr>
          <w:rFonts w:hint="eastAsia" w:ascii="仿宋" w:hAnsi="仿宋" w:eastAsia="仿宋" w:cs="仿宋"/>
          <w:b/>
          <w:bCs w:val="0"/>
          <w:color w:val="auto"/>
          <w:sz w:val="28"/>
          <w:szCs w:val="28"/>
          <w:highlight w:val="none"/>
          <w:lang w:val="en-US" w:eastAsia="zh-CN" w:bidi="ar"/>
        </w:rPr>
        <w:t xml:space="preserve">  技术培训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color w:val="auto"/>
          <w:highlight w:val="none"/>
        </w:rPr>
      </w:pPr>
      <w:r>
        <w:rPr>
          <w:rFonts w:hint="eastAsia" w:ascii="仿宋" w:hAnsi="仿宋" w:eastAsia="仿宋" w:cs="仿宋"/>
          <w:bCs/>
          <w:color w:val="auto"/>
          <w:sz w:val="28"/>
          <w:szCs w:val="28"/>
          <w:highlight w:val="none"/>
          <w:lang w:bidi="ar"/>
        </w:rPr>
        <w:t>应包括货物(产品)使用操作、保养等培训内容。乙方需按甲方要求的时间为甲方免费培训技术人员若干名，培训服务以受培训人员熟练掌握相应技能为原则。对于甲方初次使用或使用频率不高的产品，应在产品投入使用初期进行必要的跟踪指导，保障产品的正常使用。投标产品需在培训基地培训的，乙方应按要求履行，培训产生的交通费、食宿费、培训费等均由乙方承担。</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五</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交货</w:t>
      </w:r>
      <w:r>
        <w:rPr>
          <w:rFonts w:hint="eastAsia" w:ascii="仿宋" w:hAnsi="仿宋" w:eastAsia="仿宋" w:cs="仿宋"/>
          <w:b/>
          <w:color w:val="auto"/>
          <w:sz w:val="28"/>
          <w:szCs w:val="28"/>
          <w:highlight w:val="none"/>
          <w:lang w:bidi="ar"/>
        </w:rPr>
        <w:t>和验收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u w:val="none"/>
          <w:lang w:val="en-US" w:eastAsia="zh-CN" w:bidi="ar"/>
        </w:rPr>
      </w:pPr>
      <w:r>
        <w:rPr>
          <w:rFonts w:hint="eastAsia" w:ascii="仿宋" w:hAnsi="仿宋" w:eastAsia="仿宋" w:cs="仿宋"/>
          <w:bCs/>
          <w:color w:val="auto"/>
          <w:sz w:val="28"/>
          <w:szCs w:val="28"/>
          <w:highlight w:val="none"/>
          <w:lang w:bidi="ar"/>
        </w:rPr>
        <w:t>1、</w:t>
      </w:r>
      <w:r>
        <w:rPr>
          <w:rFonts w:hint="eastAsia" w:ascii="仿宋" w:hAnsi="仿宋" w:eastAsia="仿宋" w:cs="仿宋"/>
          <w:color w:val="auto"/>
          <w:sz w:val="28"/>
          <w:szCs w:val="28"/>
          <w:highlight w:val="none"/>
          <w:lang w:eastAsia="zh-CN"/>
        </w:rPr>
        <w:t>整个项目完成期限</w:t>
      </w:r>
      <w:r>
        <w:rPr>
          <w:rFonts w:hint="eastAsia" w:ascii="仿宋" w:hAnsi="仿宋" w:eastAsia="仿宋" w:cs="仿宋"/>
          <w:bCs/>
          <w:color w:val="auto"/>
          <w:sz w:val="28"/>
          <w:szCs w:val="28"/>
          <w:highlight w:val="none"/>
          <w:lang w:eastAsia="zh-CN" w:bidi="ar"/>
        </w:rPr>
        <w:t>：合同签订后</w:t>
      </w:r>
      <w:r>
        <w:rPr>
          <w:rFonts w:hint="eastAsia" w:ascii="仿宋" w:hAnsi="仿宋" w:eastAsia="仿宋" w:cs="仿宋"/>
          <w:bCs/>
          <w:color w:val="auto"/>
          <w:sz w:val="28"/>
          <w:szCs w:val="28"/>
          <w:highlight w:val="none"/>
          <w:u w:val="single"/>
          <w:lang w:val="en-US" w:eastAsia="zh-CN" w:bidi="ar"/>
        </w:rPr>
        <w:t xml:space="preserve">    </w:t>
      </w:r>
      <w:r>
        <w:rPr>
          <w:rFonts w:hint="eastAsia" w:ascii="仿宋" w:hAnsi="仿宋" w:eastAsia="仿宋" w:cs="仿宋"/>
          <w:bCs/>
          <w:color w:val="auto"/>
          <w:sz w:val="28"/>
          <w:szCs w:val="28"/>
          <w:highlight w:val="none"/>
          <w:u w:val="none"/>
          <w:lang w:val="en-US" w:eastAsia="zh-CN" w:bidi="ar"/>
        </w:rPr>
        <w:t>日历日</w:t>
      </w:r>
    </w:p>
    <w:p>
      <w:pPr>
        <w:keepNext w:val="0"/>
        <w:keepLines w:val="0"/>
        <w:pageBreakBefore w:val="0"/>
        <w:widowControl/>
        <w:kinsoku/>
        <w:wordWrap/>
        <w:overflowPunct/>
        <w:topLinePunct w:val="0"/>
        <w:autoSpaceDE/>
        <w:autoSpaceDN/>
        <w:bidi w:val="0"/>
        <w:adjustRightInd/>
        <w:snapToGrid/>
        <w:spacing w:line="500" w:lineRule="exact"/>
        <w:ind w:firstLine="1120" w:firstLineChars="4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交付地点：甲方指定地点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2、乙方负责货物的运输</w:t>
      </w:r>
      <w:r>
        <w:rPr>
          <w:rFonts w:hint="eastAsia" w:ascii="仿宋" w:hAnsi="仿宋" w:eastAsia="仿宋" w:cs="仿宋"/>
          <w:bCs/>
          <w:color w:val="auto"/>
          <w:sz w:val="28"/>
          <w:szCs w:val="28"/>
          <w:highlight w:val="none"/>
          <w:lang w:eastAsia="zh-CN" w:bidi="ar"/>
        </w:rPr>
        <w:t>、安装、调试，</w:t>
      </w:r>
      <w:r>
        <w:rPr>
          <w:rFonts w:hint="eastAsia" w:ascii="仿宋" w:hAnsi="仿宋" w:eastAsia="仿宋" w:cs="仿宋"/>
          <w:bCs/>
          <w:color w:val="auto"/>
          <w:sz w:val="28"/>
          <w:szCs w:val="28"/>
          <w:highlight w:val="none"/>
          <w:lang w:bidi="ar"/>
        </w:rPr>
        <w:t>提供货物合格证等相关资料；并承担由此产生的全部费用。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3、验收标准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lang w:bidi="ar"/>
        </w:rPr>
        <w:t>应有产品合格证、检测报告、产品说明书、</w:t>
      </w:r>
      <w:r>
        <w:rPr>
          <w:rFonts w:hint="eastAsia" w:ascii="仿宋" w:hAnsi="仿宋" w:eastAsia="仿宋" w:cs="仿宋"/>
          <w:bCs/>
          <w:color w:val="auto"/>
          <w:sz w:val="28"/>
          <w:szCs w:val="28"/>
          <w:highlight w:val="none"/>
          <w:lang w:eastAsia="zh-CN" w:bidi="ar"/>
        </w:rPr>
        <w:t>用户手册</w:t>
      </w:r>
      <w:r>
        <w:rPr>
          <w:rFonts w:hint="eastAsia" w:ascii="仿宋" w:hAnsi="仿宋" w:eastAsia="仿宋" w:cs="仿宋"/>
          <w:bCs/>
          <w:color w:val="auto"/>
          <w:sz w:val="28"/>
          <w:szCs w:val="28"/>
          <w:highlight w:val="none"/>
          <w:lang w:bidi="ar"/>
        </w:rPr>
        <w:t>、保修证明以及相应产品的检定证书和其他应具有的单证；</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val="en-US" w:eastAsia="zh-CN" w:bidi="ar"/>
        </w:rPr>
        <w:t>2</w:t>
      </w:r>
      <w:r>
        <w:rPr>
          <w:rFonts w:hint="eastAsia" w:ascii="仿宋" w:hAnsi="仿宋" w:eastAsia="仿宋" w:cs="仿宋"/>
          <w:bCs/>
          <w:color w:val="auto"/>
          <w:sz w:val="28"/>
          <w:szCs w:val="28"/>
          <w:highlight w:val="none"/>
          <w:lang w:bidi="ar"/>
        </w:rPr>
        <w:t>）质量符合国家法律法规规定的合格标准、</w:t>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文件的要求。</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六</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价款</w:t>
      </w:r>
      <w:r>
        <w:rPr>
          <w:rFonts w:hint="eastAsia" w:ascii="仿宋" w:hAnsi="仿宋" w:eastAsia="仿宋" w:cs="仿宋"/>
          <w:b/>
          <w:color w:val="auto"/>
          <w:sz w:val="28"/>
          <w:szCs w:val="28"/>
          <w:highlight w:val="none"/>
          <w:lang w:bidi="ar"/>
        </w:rPr>
        <w:t>的结算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1、结算依据：</w:t>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"http://set2.mail.qq.com/cgi-bin/mail_spam?action=check_link&amp;spam=0&amp;url=http%3A%2F%2Fwww%2Ebaidu%2Ecom%2Fs%3Fwd%3D%25E9%2587%2587%25E8%25B4%25AD%25E5%2590%2588%25E5%2590%258C%26hl_tag%3Dtextlink%26tn%3DSE_hldp01350_v6v6zkg6"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采购合同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、乙方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"http://set2.mail.qq.com/cgi-bin/mail_spam?action=check_link&amp;spam=0&amp;url=http%3A%2F%2Fwww%2Ebaidu%2Ecom%2Fs%3Fwd%3D%25E9%2594%2580%25E5%2594%25AE%25E5%258F%2591%25E7%25A5%25A8%26hl_tag%3Dtextlink%26tn%3DSE_hldp01350_v6v6zkg6"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销售发票</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、甲方出具的验收报告。</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"http://set2.mail.qq.com/cgi-bin/mail_spam?action=check_link&amp;spam=0&amp;url=http%3A%2F%2Fwww%2Ebaidu%2Ecom%2Fs%3Fwd%3D%25E7%25BB%2593%25E7%25AE%2597%25E6%2596%25B9%25E5%25BC%258F%26hl_tag%3Dtextlink%26tn%3DSE_hldp01350_v6v6zkg6"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结算方式</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color w:val="auto"/>
          <w:sz w:val="28"/>
          <w:szCs w:val="28"/>
          <w:highlight w:val="none"/>
          <w:shd w:val="clear" w:color="auto" w:fill="auto"/>
          <w:lang w:eastAsia="zh-CN"/>
        </w:rPr>
        <w:t>整个项目完成经验收合格并开具全额发票后一次性无息支付。</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七</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甲</w:t>
      </w:r>
      <w:r>
        <w:rPr>
          <w:rFonts w:hint="eastAsia" w:ascii="仿宋" w:hAnsi="仿宋" w:eastAsia="仿宋" w:cs="仿宋"/>
          <w:b/>
          <w:color w:val="auto"/>
          <w:sz w:val="28"/>
          <w:szCs w:val="28"/>
          <w:highlight w:val="none"/>
          <w:lang w:bidi="ar"/>
        </w:rPr>
        <w:t>方的</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违约责任</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bCs/>
          <w:color w:val="auto"/>
          <w:sz w:val="28"/>
          <w:szCs w:val="28"/>
          <w:highlight w:val="none"/>
          <w:lang w:bidi="ar"/>
        </w:rPr>
        <w:t>1、</w:t>
      </w:r>
      <w:r>
        <w:rPr>
          <w:rFonts w:hint="eastAsia" w:ascii="仿宋" w:hAnsi="仿宋" w:eastAsia="仿宋" w:cs="仿宋"/>
          <w:color w:val="auto"/>
          <w:kern w:val="0"/>
          <w:sz w:val="28"/>
          <w:szCs w:val="28"/>
          <w:highlight w:val="none"/>
        </w:rPr>
        <w:t>甲方逾期付款，</w:t>
      </w:r>
      <w:r>
        <w:rPr>
          <w:rFonts w:hint="eastAsia" w:ascii="仿宋" w:hAnsi="仿宋" w:eastAsia="仿宋" w:cs="仿宋"/>
          <w:color w:val="auto"/>
          <w:kern w:val="0"/>
          <w:sz w:val="28"/>
          <w:szCs w:val="28"/>
          <w:highlight w:val="none"/>
          <w:lang w:val="en-US" w:eastAsia="zh-CN"/>
        </w:rPr>
        <w:t>应就逾期部分向乙方支付按照中国人民银行规定的同期贷款基准利率计算的逾期付款违约金。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2、甲方违反合同规定拒绝接货的，应当承担由此对乙方造成的损失。</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八</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eastAsia="zh-CN" w:bidi="ar"/>
        </w:rPr>
        <w:t>乙</w:t>
      </w:r>
      <w:r>
        <w:rPr>
          <w:rFonts w:hint="eastAsia" w:ascii="仿宋" w:hAnsi="仿宋" w:eastAsia="仿宋" w:cs="仿宋"/>
          <w:b/>
          <w:color w:val="auto"/>
          <w:sz w:val="28"/>
          <w:szCs w:val="28"/>
          <w:highlight w:val="none"/>
          <w:lang w:bidi="ar"/>
        </w:rPr>
        <w:t>方的</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违约责任</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1、乙方不能按期</w:t>
      </w:r>
      <w:r>
        <w:rPr>
          <w:rFonts w:hint="eastAsia" w:ascii="仿宋" w:hAnsi="仿宋" w:eastAsia="仿宋" w:cs="仿宋"/>
          <w:bCs/>
          <w:color w:val="auto"/>
          <w:sz w:val="28"/>
          <w:szCs w:val="28"/>
          <w:highlight w:val="none"/>
          <w:lang w:eastAsia="zh-CN" w:bidi="ar"/>
        </w:rPr>
        <w:t>交货</w:t>
      </w:r>
      <w:r>
        <w:rPr>
          <w:rFonts w:hint="eastAsia" w:ascii="仿宋" w:hAnsi="仿宋" w:eastAsia="仿宋" w:cs="仿宋"/>
          <w:bCs/>
          <w:color w:val="auto"/>
          <w:sz w:val="28"/>
          <w:szCs w:val="28"/>
          <w:highlight w:val="none"/>
          <w:lang w:bidi="ar"/>
        </w:rPr>
        <w:t>的，每逾期1日，乙方应向甲方赔付合同总价的0.1%作为违约金。</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2、乙方所交货物不符合国家法律法规和合同规定的，甲方有权拒收，并由乙方承担一切费用。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九</w:t>
      </w:r>
      <w:r>
        <w:rPr>
          <w:rFonts w:hint="eastAsia" w:ascii="仿宋" w:hAnsi="仿宋" w:eastAsia="仿宋" w:cs="仿宋"/>
          <w:b/>
          <w:color w:val="auto"/>
          <w:sz w:val="28"/>
          <w:szCs w:val="28"/>
          <w:highlight w:val="none"/>
          <w:lang w:bidi="ar"/>
        </w:rPr>
        <w:t xml:space="preserve">条  </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不可抗力</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甲乙双方任何一方由于</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不可抗力</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原因不能履行合同时，应及时向对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"http://set2.mail.qq.com/cgi-bin/mail_spam?action=check_link&amp;spam=0&amp;url=http%3A%2F%2Fwww%2Ebaidu%2Ecom%2Fs%3Fwd%3D%25E6%2596%25B9%25E9%2580%259A%26hl_tag%3Dtextlink%26tn%3DSE_hldp01350_v6v6zkg6"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方通</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报不能履行或不能完全履行的理由，以减轻可能给对方造成的损失，在取得有关机构证明后，允许延期履行、部分履行或不履行合同，并根据情况可部分或全部免予承担</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违约责任</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十</w:t>
      </w:r>
      <w:r>
        <w:rPr>
          <w:rFonts w:hint="eastAsia" w:ascii="仿宋" w:hAnsi="仿宋" w:eastAsia="仿宋" w:cs="仿宋"/>
          <w:b/>
          <w:color w:val="auto"/>
          <w:sz w:val="28"/>
          <w:szCs w:val="28"/>
          <w:highlight w:val="none"/>
          <w:lang w:bidi="ar"/>
        </w:rPr>
        <w:t>条  争议解决</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双方本着友好合作的态度,对合同履行过程中发生的纠纷应及时协商解决，协商不成的，向甲方所在地有管辖权的人民法院诉讼解决。</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w:t>
      </w:r>
      <w:r>
        <w:rPr>
          <w:rFonts w:hint="eastAsia" w:ascii="仿宋" w:hAnsi="仿宋" w:eastAsia="仿宋" w:cs="仿宋"/>
          <w:b/>
          <w:color w:val="auto"/>
          <w:sz w:val="28"/>
          <w:szCs w:val="28"/>
          <w:highlight w:val="none"/>
          <w:lang w:eastAsia="zh-CN" w:bidi="ar"/>
        </w:rPr>
        <w:t>十一</w:t>
      </w:r>
      <w:r>
        <w:rPr>
          <w:rFonts w:hint="eastAsia" w:ascii="仿宋" w:hAnsi="仿宋" w:eastAsia="仿宋" w:cs="仿宋"/>
          <w:b/>
          <w:color w:val="auto"/>
          <w:sz w:val="28"/>
          <w:szCs w:val="28"/>
          <w:highlight w:val="none"/>
          <w:lang w:bidi="ar"/>
        </w:rPr>
        <w:t>条  监督和管理</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1、政府采购合同履行中，采购人需追加与合同标的相同的货物、工程或者服务的，在不改变合同其他条款的前提下，可以与供应商协商签订补充合同，但所有补充合同的采购金额不得超过原合同采购金额的10%。</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2、甲乙双方均应自觉配合有关监督管理部门对</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"http://set2.mail.qq.com/cgi-bin/mail_spam?action=check_link&amp;spam=0&amp;url=http%3A%2F%2Fwww%2Ebaidu%2Ecom%2Fs%3Fwd%3D%25E5%2590%2588%25E5%2590%258C%25E5%25B1%25A5%25E8%25A1%258C%26hl_tag%3Dtextlink%26tn%3DSE_hldp01350_v6v6zkg6"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合同履行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情况的监督检查，如实反映情况，提供有关资料；否则，将对有关单位、当事人按照有关规定予以处罚。</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第十</w:t>
      </w:r>
      <w:r>
        <w:rPr>
          <w:rFonts w:hint="eastAsia" w:ascii="仿宋" w:hAnsi="仿宋" w:eastAsia="仿宋" w:cs="仿宋"/>
          <w:b/>
          <w:color w:val="auto"/>
          <w:sz w:val="28"/>
          <w:szCs w:val="28"/>
          <w:highlight w:val="none"/>
          <w:lang w:eastAsia="zh-CN" w:bidi="ar"/>
        </w:rPr>
        <w:t>二</w:t>
      </w:r>
      <w:r>
        <w:rPr>
          <w:rFonts w:hint="eastAsia" w:ascii="仿宋" w:hAnsi="仿宋" w:eastAsia="仿宋" w:cs="仿宋"/>
          <w:b/>
          <w:color w:val="auto"/>
          <w:sz w:val="28"/>
          <w:szCs w:val="28"/>
          <w:highlight w:val="none"/>
          <w:lang w:bidi="ar"/>
        </w:rPr>
        <w:t>条</w:t>
      </w:r>
      <w:r>
        <w:rPr>
          <w:rFonts w:hint="eastAsia" w:ascii="仿宋" w:hAnsi="仿宋" w:eastAsia="仿宋" w:cs="仿宋"/>
          <w:b/>
          <w:color w:val="auto"/>
          <w:sz w:val="28"/>
          <w:szCs w:val="28"/>
          <w:highlight w:val="none"/>
          <w:lang w:bidi="ar"/>
        </w:rPr>
        <w:fldChar w:fldCharType="begin"/>
      </w:r>
      <w:r>
        <w:rPr>
          <w:rFonts w:hint="eastAsia" w:ascii="仿宋" w:hAnsi="仿宋" w:eastAsia="仿宋" w:cs="仿宋"/>
          <w:b/>
          <w:color w:val="auto"/>
          <w:sz w:val="28"/>
          <w:szCs w:val="28"/>
          <w:highlight w:val="none"/>
          <w:lang w:bidi="ar"/>
        </w:rPr>
        <w:instrText xml:space="preserve">HYPERLINK "http://set2.mail.qq.com/cgi-bin/mail_spam?action=check_link&amp;spam=0&amp;url=http%3A%2F%2Fwww%2Ebaidu%2Ecom%2Fs%3Fwd%3D%25E6%2597%25A0%25E6%2595%2588%25E5%2590%2588%25E5%2590%258C%26hl_tag%3Dtextlink%26tn%3DSE_hldp01350_v6v6zkg6"</w:instrText>
      </w:r>
      <w:r>
        <w:rPr>
          <w:rFonts w:hint="eastAsia" w:ascii="仿宋" w:hAnsi="仿宋" w:eastAsia="仿宋" w:cs="仿宋"/>
          <w:b/>
          <w:color w:val="auto"/>
          <w:sz w:val="28"/>
          <w:szCs w:val="28"/>
          <w:highlight w:val="none"/>
          <w:lang w:bidi="ar"/>
        </w:rPr>
        <w:fldChar w:fldCharType="separate"/>
      </w:r>
      <w:r>
        <w:rPr>
          <w:rFonts w:hint="eastAsia" w:ascii="仿宋" w:hAnsi="仿宋" w:eastAsia="仿宋" w:cs="仿宋"/>
          <w:b/>
          <w:color w:val="auto"/>
          <w:sz w:val="28"/>
          <w:szCs w:val="28"/>
          <w:highlight w:val="none"/>
          <w:lang w:bidi="ar"/>
        </w:rPr>
        <w:t>无效合同</w:t>
      </w:r>
      <w:r>
        <w:rPr>
          <w:rFonts w:hint="eastAsia" w:ascii="仿宋" w:hAnsi="仿宋" w:eastAsia="仿宋" w:cs="仿宋"/>
          <w:b/>
          <w:color w:val="auto"/>
          <w:sz w:val="28"/>
          <w:szCs w:val="28"/>
          <w:highlight w:val="none"/>
          <w:lang w:bidi="ar"/>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甲乙双方如因违反政府采购法及相关法律法规的规定，被宣告</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"http://set2.mail.qq.com/cgi-bin/mail_spam?action=check_link&amp;spam=0&amp;url=http%3A%2F%2Fwww%2Ebaidu%2Ecom%2Fs%3Fwd%3D%25E5%2590%2588%25E5%2590%258C%25E6%2597%25A0%25E6%2595%2588%26hl_tag%3Dtextlink%26tn%3DSE_hldp01350_v6v6zkg6"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合同无效</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的，一切责任概由过错方自行承担。</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第十</w:t>
      </w:r>
      <w:r>
        <w:rPr>
          <w:rFonts w:hint="eastAsia" w:ascii="仿宋" w:hAnsi="仿宋" w:eastAsia="仿宋" w:cs="仿宋"/>
          <w:b/>
          <w:color w:val="auto"/>
          <w:sz w:val="28"/>
          <w:szCs w:val="28"/>
          <w:highlight w:val="none"/>
          <w:lang w:eastAsia="zh-CN" w:bidi="ar"/>
        </w:rPr>
        <w:t>三</w:t>
      </w:r>
      <w:r>
        <w:rPr>
          <w:rFonts w:hint="eastAsia" w:ascii="仿宋" w:hAnsi="仿宋" w:eastAsia="仿宋" w:cs="仿宋"/>
          <w:b/>
          <w:color w:val="auto"/>
          <w:sz w:val="28"/>
          <w:szCs w:val="28"/>
          <w:highlight w:val="none"/>
          <w:lang w:bidi="ar"/>
        </w:rPr>
        <w:t>条附则</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w:t>
      </w:r>
      <w:r>
        <w:rPr>
          <w:rFonts w:hint="eastAsia" w:ascii="仿宋" w:hAnsi="仿宋" w:eastAsia="仿宋" w:cs="仿宋"/>
          <w:bCs/>
          <w:color w:val="auto"/>
          <w:sz w:val="28"/>
          <w:szCs w:val="28"/>
          <w:highlight w:val="none"/>
          <w:u w:val="single"/>
          <w:lang w:bidi="ar"/>
        </w:rPr>
        <w:t></w:t>
      </w:r>
      <w:r>
        <w:rPr>
          <w:rFonts w:hint="eastAsia" w:ascii="仿宋" w:hAnsi="仿宋" w:eastAsia="仿宋" w:cs="仿宋"/>
          <w:bCs/>
          <w:color w:val="auto"/>
          <w:sz w:val="28"/>
          <w:szCs w:val="28"/>
          <w:highlight w:val="none"/>
          <w:lang w:bidi="ar"/>
        </w:rPr>
        <w:t>项目（项目编号：</w:t>
      </w:r>
      <w:r>
        <w:rPr>
          <w:rFonts w:hint="eastAsia" w:ascii="仿宋" w:hAnsi="仿宋" w:eastAsia="仿宋" w:cs="仿宋"/>
          <w:bCs/>
          <w:color w:val="auto"/>
          <w:sz w:val="28"/>
          <w:szCs w:val="28"/>
          <w:highlight w:val="none"/>
          <w:u w:val="single"/>
          <w:lang w:bidi="ar"/>
        </w:rPr>
        <w:t></w:t>
      </w:r>
      <w:r>
        <w:rPr>
          <w:rFonts w:hint="eastAsia" w:ascii="仿宋" w:hAnsi="仿宋" w:eastAsia="仿宋" w:cs="仿宋"/>
          <w:bCs/>
          <w:color w:val="auto"/>
          <w:sz w:val="28"/>
          <w:szCs w:val="28"/>
          <w:highlight w:val="none"/>
          <w:lang w:bidi="ar"/>
        </w:rPr>
        <w:t>）的</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eastAsia="zh-CN" w:bidi="ar"/>
        </w:rPr>
        <w:t>招标</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eastAsia="zh-CN" w:bidi="ar"/>
        </w:rPr>
        <w:t>中标</w:t>
      </w:r>
      <w:r>
        <w:rPr>
          <w:rFonts w:hint="eastAsia" w:ascii="仿宋" w:hAnsi="仿宋" w:eastAsia="仿宋" w:cs="仿宋"/>
          <w:bCs/>
          <w:color w:val="auto"/>
          <w:sz w:val="28"/>
          <w:szCs w:val="28"/>
          <w:highlight w:val="none"/>
          <w:lang w:bidi="ar"/>
        </w:rPr>
        <w:t>通知书、乙方</w:t>
      </w:r>
      <w:r>
        <w:rPr>
          <w:rFonts w:hint="eastAsia" w:ascii="仿宋" w:hAnsi="仿宋" w:eastAsia="仿宋" w:cs="仿宋"/>
          <w:bCs/>
          <w:color w:val="auto"/>
          <w:sz w:val="28"/>
          <w:szCs w:val="28"/>
          <w:highlight w:val="none"/>
          <w:lang w:eastAsia="zh-CN" w:bidi="ar"/>
        </w:rPr>
        <w:t>投标</w:t>
      </w:r>
      <w:r>
        <w:rPr>
          <w:rFonts w:hint="eastAsia" w:ascii="仿宋" w:hAnsi="仿宋" w:eastAsia="仿宋" w:cs="仿宋"/>
          <w:bCs/>
          <w:color w:val="auto"/>
          <w:sz w:val="28"/>
          <w:szCs w:val="28"/>
          <w:highlight w:val="none"/>
          <w:lang w:bidi="ar"/>
        </w:rPr>
        <w:t>文件及澄清说明文件都是本合同的组成部分，甲、乙双方必须全面遵守，如有违反，应承担违约责任。</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2、本合同一式</w:t>
      </w:r>
      <w:r>
        <w:rPr>
          <w:rFonts w:hint="eastAsia" w:ascii="仿宋" w:hAnsi="仿宋" w:eastAsia="仿宋" w:cs="仿宋"/>
          <w:bCs/>
          <w:color w:val="auto"/>
          <w:sz w:val="28"/>
          <w:szCs w:val="28"/>
          <w:highlight w:val="none"/>
          <w:lang w:val="en-US" w:eastAsia="zh-CN" w:bidi="ar"/>
        </w:rPr>
        <w:t>六</w:t>
      </w:r>
      <w:r>
        <w:rPr>
          <w:rFonts w:hint="eastAsia" w:ascii="仿宋" w:hAnsi="仿宋" w:eastAsia="仿宋" w:cs="仿宋"/>
          <w:bCs/>
          <w:color w:val="auto"/>
          <w:sz w:val="28"/>
          <w:szCs w:val="28"/>
          <w:highlight w:val="none"/>
          <w:lang w:bidi="ar"/>
        </w:rPr>
        <w:t>份,甲乙双方各执</w:t>
      </w:r>
      <w:r>
        <w:rPr>
          <w:rFonts w:hint="eastAsia" w:ascii="仿宋" w:hAnsi="仿宋" w:eastAsia="仿宋" w:cs="仿宋"/>
          <w:bCs/>
          <w:color w:val="auto"/>
          <w:sz w:val="28"/>
          <w:szCs w:val="28"/>
          <w:highlight w:val="none"/>
          <w:lang w:val="en-US" w:eastAsia="zh-CN" w:bidi="ar"/>
        </w:rPr>
        <w:t>两</w:t>
      </w:r>
      <w:r>
        <w:rPr>
          <w:rFonts w:hint="eastAsia" w:ascii="仿宋" w:hAnsi="仿宋" w:eastAsia="仿宋" w:cs="仿宋"/>
          <w:bCs/>
          <w:color w:val="auto"/>
          <w:sz w:val="28"/>
          <w:szCs w:val="28"/>
          <w:highlight w:val="none"/>
          <w:lang w:bidi="ar"/>
        </w:rPr>
        <w:t>份,政府采购代理机构两份。</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3、本合同自</w:t>
      </w:r>
      <w:r>
        <w:rPr>
          <w:rFonts w:hint="eastAsia" w:ascii="仿宋" w:hAnsi="仿宋" w:eastAsia="仿宋" w:cs="仿宋"/>
          <w:bCs/>
          <w:color w:val="auto"/>
          <w:sz w:val="28"/>
          <w:szCs w:val="28"/>
          <w:highlight w:val="none"/>
          <w:lang w:eastAsia="zh-CN" w:bidi="ar"/>
        </w:rPr>
        <w:t>签字盖章</w:t>
      </w:r>
      <w:r>
        <w:rPr>
          <w:rFonts w:hint="eastAsia" w:ascii="仿宋" w:hAnsi="仿宋" w:eastAsia="仿宋" w:cs="仿宋"/>
          <w:bCs/>
          <w:color w:val="auto"/>
          <w:sz w:val="28"/>
          <w:szCs w:val="28"/>
          <w:highlight w:val="none"/>
          <w:lang w:bidi="ar"/>
        </w:rPr>
        <w:t>之日起生效。</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4、附件：</w:t>
      </w:r>
      <w:r>
        <w:rPr>
          <w:rFonts w:hint="eastAsia" w:ascii="仿宋" w:hAnsi="仿宋" w:eastAsia="仿宋" w:cs="仿宋"/>
          <w:color w:val="auto"/>
          <w:sz w:val="28"/>
          <w:szCs w:val="28"/>
          <w:highlight w:val="none"/>
        </w:rPr>
        <w:t>（包含但不限于供货</w:t>
      </w:r>
      <w:r>
        <w:rPr>
          <w:rFonts w:hint="eastAsia" w:ascii="仿宋" w:hAnsi="仿宋" w:eastAsia="仿宋" w:cs="仿宋"/>
          <w:color w:val="auto"/>
          <w:kern w:val="0"/>
          <w:sz w:val="28"/>
          <w:szCs w:val="28"/>
          <w:highlight w:val="none"/>
        </w:rPr>
        <w:t>清单和货物详细技术参数</w:t>
      </w:r>
      <w:r>
        <w:rPr>
          <w:rFonts w:hint="eastAsia"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采购人(甲方)：供应商(乙方)：</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法定代表人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法定代表人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委托代理人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委托代理人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开户银行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开户银行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eastAsia="zh-CN" w:bidi="ar"/>
        </w:rPr>
        <w:t>账</w:t>
      </w:r>
      <w:r>
        <w:rPr>
          <w:rFonts w:hint="eastAsia" w:ascii="仿宋" w:hAnsi="仿宋" w:eastAsia="仿宋" w:cs="仿宋"/>
          <w:bCs/>
          <w:color w:val="auto"/>
          <w:sz w:val="28"/>
          <w:szCs w:val="28"/>
          <w:highlight w:val="none"/>
          <w:lang w:bidi="ar"/>
        </w:rPr>
        <w:t xml:space="preserve">    号：</w:t>
      </w:r>
      <w:r>
        <w:rPr>
          <w:rFonts w:hint="eastAsia" w:ascii="仿宋" w:hAnsi="仿宋" w:eastAsia="仿宋" w:cs="仿宋"/>
          <w:bCs/>
          <w:color w:val="auto"/>
          <w:sz w:val="28"/>
          <w:szCs w:val="28"/>
          <w:highlight w:val="none"/>
          <w:lang w:eastAsia="zh-CN" w:bidi="ar"/>
        </w:rPr>
        <w:t>账</w:t>
      </w:r>
      <w:r>
        <w:rPr>
          <w:rFonts w:hint="eastAsia" w:ascii="仿宋" w:hAnsi="仿宋" w:eastAsia="仿宋" w:cs="仿宋"/>
          <w:bCs/>
          <w:color w:val="auto"/>
          <w:sz w:val="28"/>
          <w:szCs w:val="28"/>
          <w:highlight w:val="none"/>
          <w:lang w:bidi="ar"/>
        </w:rPr>
        <w:t xml:space="preserve">     号：</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电    话：电    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地    址：地    址：</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bCs/>
          <w:color w:val="auto"/>
          <w:sz w:val="44"/>
          <w:szCs w:val="44"/>
          <w:highlight w:val="none"/>
        </w:rPr>
      </w:pPr>
      <w:r>
        <w:rPr>
          <w:rFonts w:hint="eastAsia" w:ascii="仿宋" w:hAnsi="仿宋" w:eastAsia="仿宋" w:cs="仿宋"/>
          <w:bCs/>
          <w:color w:val="auto"/>
          <w:sz w:val="28"/>
          <w:szCs w:val="28"/>
          <w:highlight w:val="none"/>
          <w:lang w:bidi="ar"/>
        </w:rPr>
        <w:t>时    间：  年月日    时    间： 年月日</w:t>
      </w:r>
    </w:p>
    <w:p>
      <w:pPr>
        <w:rPr>
          <w:rFonts w:hint="eastAsia"/>
          <w:color w:val="auto"/>
          <w:highlight w:val="none"/>
        </w:rPr>
      </w:pP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p>
    <w:p>
      <w:pPr>
        <w:rPr>
          <w:highlight w:val="none"/>
        </w:rPr>
      </w:pPr>
    </w:p>
    <w:p>
      <w:pPr>
        <w:widowControl/>
        <w:spacing w:line="360" w:lineRule="auto"/>
        <w:jc w:val="center"/>
        <w:outlineLvl w:val="0"/>
        <w:rPr>
          <w:rFonts w:ascii="仿宋" w:hAnsi="仿宋" w:eastAsia="仿宋" w:cs="仿宋"/>
          <w:b/>
          <w:sz w:val="44"/>
          <w:szCs w:val="44"/>
          <w:highlight w:val="none"/>
        </w:rPr>
      </w:pPr>
      <w:r>
        <w:rPr>
          <w:rFonts w:hint="eastAsia" w:ascii="仿宋" w:hAnsi="仿宋" w:eastAsia="仿宋" w:cs="仿宋"/>
          <w:kern w:val="0"/>
          <w:sz w:val="28"/>
          <w:szCs w:val="28"/>
          <w:highlight w:val="none"/>
        </w:rPr>
        <w:br w:type="page"/>
      </w:r>
      <w:bookmarkStart w:id="170" w:name="_Toc3645"/>
      <w:bookmarkStart w:id="171" w:name="_Toc28341"/>
      <w:bookmarkStart w:id="172" w:name="_Toc31522_WPSOffice_Level1"/>
      <w:bookmarkStart w:id="173" w:name="_Toc2228"/>
      <w:bookmarkStart w:id="174" w:name="_Toc12275"/>
      <w:r>
        <w:rPr>
          <w:rFonts w:hint="eastAsia" w:ascii="仿宋" w:hAnsi="仿宋" w:eastAsia="仿宋" w:cs="仿宋"/>
          <w:b/>
          <w:bCs/>
          <w:kern w:val="0"/>
          <w:sz w:val="44"/>
          <w:szCs w:val="44"/>
          <w:highlight w:val="none"/>
        </w:rPr>
        <w:t>第六章  投标文件格式</w:t>
      </w:r>
      <w:bookmarkEnd w:id="168"/>
      <w:bookmarkEnd w:id="169"/>
      <w:bookmarkEnd w:id="170"/>
      <w:bookmarkEnd w:id="171"/>
      <w:bookmarkEnd w:id="172"/>
      <w:bookmarkEnd w:id="173"/>
      <w:bookmarkEnd w:id="174"/>
      <w:bookmarkStart w:id="175" w:name="_Toc26554094"/>
      <w:bookmarkStart w:id="176" w:name="_Toc120614282"/>
      <w:bookmarkStart w:id="177" w:name="_Toc49090576"/>
    </w:p>
    <w:tbl>
      <w:tblPr>
        <w:tblStyle w:val="27"/>
        <w:tblpPr w:leftFromText="180" w:rightFromText="180" w:vertAnchor="text" w:horzAnchor="page" w:tblpX="9105"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bookmarkStart w:id="178" w:name="_Toc2950_WPSOffice_Level1"/>
            <w:bookmarkStart w:id="179" w:name="_Toc19647_WPSOffice_Level1"/>
            <w:r>
              <w:rPr>
                <w:rFonts w:hint="eastAsia" w:ascii="仿宋" w:hAnsi="仿宋" w:eastAsia="仿宋" w:cs="仿宋"/>
                <w:b/>
                <w:sz w:val="40"/>
                <w:szCs w:val="44"/>
                <w:highlight w:val="none"/>
              </w:rPr>
              <w:t>正/副本</w:t>
            </w:r>
          </w:p>
        </w:tc>
      </w:tr>
    </w:tbl>
    <w:p>
      <w:pPr>
        <w:pStyle w:val="46"/>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180" w:name="_Toc26032"/>
      <w:bookmarkStart w:id="181" w:name="_Toc269"/>
      <w:bookmarkStart w:id="182" w:name="_Toc31112"/>
      <w:r>
        <w:rPr>
          <w:rFonts w:hint="eastAsia" w:ascii="仿宋" w:hAnsi="仿宋" w:cs="仿宋"/>
          <w:b/>
          <w:kern w:val="0"/>
          <w:sz w:val="32"/>
          <w:szCs w:val="32"/>
          <w:highlight w:val="none"/>
          <w:lang w:val="en-US" w:eastAsia="zh-CN" w:bidi="ar-SA"/>
        </w:rPr>
        <w:t xml:space="preserve">A </w:t>
      </w:r>
      <w:r>
        <w:rPr>
          <w:rFonts w:hint="eastAsia" w:ascii="仿宋" w:hAnsi="仿宋" w:eastAsia="仿宋" w:cs="仿宋"/>
          <w:b/>
          <w:kern w:val="0"/>
          <w:sz w:val="32"/>
          <w:szCs w:val="32"/>
          <w:highlight w:val="none"/>
          <w:lang w:val="en-US" w:eastAsia="zh-CN" w:bidi="ar-SA"/>
        </w:rPr>
        <w:t>资格标</w:t>
      </w:r>
      <w:bookmarkEnd w:id="180"/>
      <w:bookmarkEnd w:id="181"/>
      <w:bookmarkEnd w:id="182"/>
    </w:p>
    <w:p>
      <w:pPr>
        <w:pStyle w:val="44"/>
        <w:widowControl/>
        <w:spacing w:before="0" w:after="0"/>
        <w:ind w:firstLine="0"/>
        <w:jc w:val="both"/>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bookmarkEnd w:id="178"/>
      <w:bookmarkEnd w:id="179"/>
      <w:r>
        <w:rPr>
          <w:rFonts w:hint="eastAsia" w:ascii="仿宋" w:hAnsi="仿宋" w:eastAsia="仿宋" w:cs="仿宋"/>
          <w:b/>
          <w:sz w:val="32"/>
          <w:szCs w:val="32"/>
          <w:highlight w:val="none"/>
          <w:lang w:eastAsia="zh-CN"/>
        </w:rPr>
        <w:t>XHLJZC-WN2024-07</w:t>
      </w:r>
      <w:r>
        <w:rPr>
          <w:rFonts w:hint="eastAsia" w:ascii="仿宋" w:hAnsi="仿宋" w:eastAsia="仿宋" w:cs="仿宋"/>
          <w:b/>
          <w:sz w:val="32"/>
          <w:szCs w:val="32"/>
          <w:highlight w:val="none"/>
          <w:lang w:val="en-US" w:eastAsia="zh-CN"/>
        </w:rPr>
        <w:t>7</w:t>
      </w:r>
    </w:p>
    <w:p>
      <w:pPr>
        <w:pStyle w:val="44"/>
        <w:widowControl/>
        <w:ind w:left="1680" w:leftChars="0" w:firstLine="420" w:firstLineChars="0"/>
        <w:jc w:val="both"/>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lang w:eastAsia="zh-CN"/>
        </w:rPr>
        <w:t>ZCSP-临渭区-202</w:t>
      </w:r>
      <w:r>
        <w:rPr>
          <w:rFonts w:hint="eastAsia" w:ascii="仿宋" w:hAnsi="仿宋" w:eastAsia="仿宋" w:cs="仿宋"/>
          <w:b/>
          <w:sz w:val="32"/>
          <w:szCs w:val="32"/>
          <w:highlight w:val="none"/>
          <w:lang w:val="en-US" w:eastAsia="zh-CN"/>
        </w:rPr>
        <w:t>4</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00138</w:t>
      </w:r>
    </w:p>
    <w:p>
      <w:pPr>
        <w:pStyle w:val="44"/>
        <w:widowControl/>
        <w:spacing w:before="0" w:after="0"/>
        <w:ind w:firstLine="0"/>
        <w:jc w:val="both"/>
        <w:rPr>
          <w:rFonts w:hint="default" w:ascii="仿宋" w:hAnsi="仿宋" w:eastAsia="仿宋" w:cs="仿宋"/>
          <w:b/>
          <w:sz w:val="32"/>
          <w:szCs w:val="32"/>
          <w:highlight w:val="none"/>
          <w:lang w:val="en-US" w:eastAsia="zh-CN"/>
        </w:rPr>
      </w:pPr>
    </w:p>
    <w:p>
      <w:pPr>
        <w:pStyle w:val="44"/>
        <w:widowControl/>
        <w:spacing w:before="0" w:after="0" w:line="600" w:lineRule="exact"/>
        <w:ind w:firstLine="0"/>
        <w:jc w:val="both"/>
        <w:rPr>
          <w:rFonts w:ascii="仿宋" w:hAnsi="仿宋" w:eastAsia="仿宋" w:cs="仿宋"/>
          <w:b/>
          <w:sz w:val="44"/>
          <w:szCs w:val="44"/>
          <w:highlight w:val="green"/>
        </w:rPr>
      </w:pPr>
    </w:p>
    <w:p>
      <w:pPr>
        <w:pStyle w:val="46"/>
        <w:widowControl/>
        <w:spacing w:line="480" w:lineRule="auto"/>
        <w:ind w:firstLine="0" w:firstLineChars="0"/>
        <w:jc w:val="center"/>
        <w:rPr>
          <w:rFonts w:hint="default" w:ascii="仿宋" w:hAnsi="仿宋" w:cs="仿宋"/>
          <w:b/>
          <w:sz w:val="52"/>
          <w:szCs w:val="52"/>
          <w:highlight w:val="none"/>
          <w:lang w:val="en-US" w:eastAsia="zh-CN"/>
        </w:rPr>
      </w:pPr>
      <w:bookmarkStart w:id="183" w:name="_Toc6284_WPSOffice_Level1"/>
      <w:bookmarkStart w:id="184" w:name="_Toc17020_WPSOffice_Level1"/>
      <w:r>
        <w:rPr>
          <w:rFonts w:hint="default" w:ascii="仿宋" w:hAnsi="仿宋" w:cs="仿宋"/>
          <w:b/>
          <w:sz w:val="52"/>
          <w:szCs w:val="52"/>
          <w:highlight w:val="none"/>
          <w:lang w:val="en-US" w:eastAsia="zh-CN"/>
        </w:rPr>
        <w:t>渭南市临渭区人民法院202</w:t>
      </w:r>
      <w:r>
        <w:rPr>
          <w:rFonts w:hint="eastAsia" w:ascii="仿宋" w:hAnsi="仿宋" w:cs="仿宋"/>
          <w:b/>
          <w:sz w:val="52"/>
          <w:szCs w:val="52"/>
          <w:highlight w:val="none"/>
          <w:lang w:val="en-US" w:eastAsia="zh-CN"/>
        </w:rPr>
        <w:t>4</w:t>
      </w:r>
      <w:r>
        <w:rPr>
          <w:rFonts w:hint="default" w:ascii="仿宋" w:hAnsi="仿宋" w:cs="仿宋"/>
          <w:b/>
          <w:sz w:val="52"/>
          <w:szCs w:val="52"/>
          <w:highlight w:val="none"/>
          <w:lang w:val="en-US" w:eastAsia="zh-CN"/>
        </w:rPr>
        <w:t>年中省政法</w:t>
      </w:r>
    </w:p>
    <w:p>
      <w:pPr>
        <w:pStyle w:val="46"/>
        <w:widowControl/>
        <w:spacing w:line="480" w:lineRule="auto"/>
        <w:ind w:firstLine="0" w:firstLineChars="0"/>
        <w:jc w:val="center"/>
        <w:rPr>
          <w:rFonts w:hint="default" w:ascii="仿宋" w:hAnsi="仿宋" w:cs="仿宋"/>
          <w:b/>
          <w:sz w:val="52"/>
          <w:szCs w:val="52"/>
          <w:highlight w:val="none"/>
        </w:rPr>
      </w:pPr>
      <w:r>
        <w:rPr>
          <w:rFonts w:hint="default" w:ascii="仿宋" w:hAnsi="仿宋" w:cs="仿宋"/>
          <w:b/>
          <w:sz w:val="52"/>
          <w:szCs w:val="52"/>
          <w:highlight w:val="none"/>
          <w:lang w:val="en-US" w:eastAsia="zh-CN"/>
        </w:rPr>
        <w:t>转移支付自定装备采购项目</w:t>
      </w:r>
    </w:p>
    <w:p>
      <w:pPr>
        <w:pStyle w:val="46"/>
        <w:widowControl/>
        <w:spacing w:line="480" w:lineRule="auto"/>
        <w:ind w:firstLine="0" w:firstLineChars="0"/>
        <w:jc w:val="center"/>
        <w:rPr>
          <w:rFonts w:hint="default" w:ascii="仿宋" w:hAnsi="仿宋" w:cs="仿宋"/>
          <w:b/>
          <w:sz w:val="52"/>
          <w:szCs w:val="52"/>
          <w:highlight w:val="none"/>
        </w:rPr>
      </w:pPr>
    </w:p>
    <w:p>
      <w:pPr>
        <w:pStyle w:val="46"/>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bookmarkEnd w:id="183"/>
      <w:bookmarkEnd w:id="184"/>
    </w:p>
    <w:p>
      <w:pPr>
        <w:pStyle w:val="46"/>
        <w:widowControl/>
        <w:spacing w:line="480" w:lineRule="auto"/>
        <w:ind w:firstLine="0" w:firstLineChars="0"/>
        <w:jc w:val="center"/>
        <w:rPr>
          <w:rFonts w:hint="default" w:ascii="仿宋" w:hAnsi="仿宋" w:cs="仿宋"/>
          <w:b/>
          <w:sz w:val="52"/>
          <w:szCs w:val="52"/>
          <w:highlight w:val="none"/>
        </w:rPr>
      </w:pPr>
      <w:bookmarkStart w:id="185" w:name="_Toc24484_WPSOffice_Level1"/>
      <w:bookmarkStart w:id="186" w:name="_Toc17469_WPSOffice_Level1"/>
      <w:r>
        <w:rPr>
          <w:rFonts w:ascii="仿宋" w:hAnsi="仿宋" w:cs="仿宋"/>
          <w:b/>
          <w:sz w:val="52"/>
          <w:szCs w:val="52"/>
          <w:highlight w:val="none"/>
        </w:rPr>
        <w:t>（格式）</w:t>
      </w:r>
      <w:bookmarkEnd w:id="185"/>
      <w:bookmarkEnd w:id="186"/>
    </w:p>
    <w:bookmarkEnd w:id="15"/>
    <w:bookmarkEnd w:id="16"/>
    <w:bookmarkEnd w:id="175"/>
    <w:bookmarkEnd w:id="176"/>
    <w:bookmarkEnd w:id="177"/>
    <w:p>
      <w:pPr>
        <w:spacing w:line="480" w:lineRule="auto"/>
        <w:jc w:val="center"/>
        <w:rPr>
          <w:rFonts w:ascii="仿宋" w:hAnsi="仿宋" w:eastAsia="仿宋" w:cs="仿宋"/>
          <w:b/>
          <w:spacing w:val="8"/>
          <w:sz w:val="28"/>
          <w:szCs w:val="28"/>
          <w:highlight w:val="none"/>
          <w:u w:val="single"/>
        </w:rPr>
      </w:pPr>
      <w:bookmarkStart w:id="187" w:name="_Toc4511"/>
    </w:p>
    <w:p>
      <w:pPr>
        <w:pStyle w:val="40"/>
        <w:rPr>
          <w:highlight w:val="none"/>
        </w:rPr>
      </w:pPr>
    </w:p>
    <w:p>
      <w:pPr>
        <w:rPr>
          <w:highlight w:val="none"/>
        </w:rPr>
      </w:pPr>
    </w:p>
    <w:p>
      <w:pPr>
        <w:pStyle w:val="11"/>
        <w:rPr>
          <w:rFonts w:hint="default"/>
          <w:highlight w:val="none"/>
        </w:rPr>
      </w:pPr>
    </w:p>
    <w:p>
      <w:pPr>
        <w:rPr>
          <w:highlight w:val="none"/>
        </w:rPr>
      </w:pPr>
    </w:p>
    <w:p>
      <w:pPr>
        <w:pStyle w:val="26"/>
      </w:pPr>
    </w:p>
    <w:p>
      <w:pPr>
        <w:pStyle w:val="25"/>
        <w:keepNext w:val="0"/>
        <w:keepLines w:val="0"/>
        <w:pageBreakBefore w:val="0"/>
        <w:widowControl w:val="0"/>
        <w:kinsoku/>
        <w:wordWrap/>
        <w:overflowPunct/>
        <w:topLinePunct w:val="0"/>
        <w:autoSpaceDE/>
        <w:autoSpaceDN/>
        <w:bidi w:val="0"/>
        <w:adjustRightInd/>
        <w:snapToGrid/>
        <w:spacing w:after="0"/>
        <w:ind w:left="0" w:leftChars="0" w:firstLine="1687" w:firstLineChars="600"/>
        <w:jc w:val="both"/>
        <w:textAlignment w:val="auto"/>
        <w:rPr>
          <w:rFonts w:hint="default" w:ascii="仿宋" w:hAnsi="仿宋" w:cs="仿宋"/>
          <w:b/>
          <w:bCs/>
          <w:sz w:val="28"/>
          <w:szCs w:val="28"/>
          <w:u w:val="single"/>
          <w:lang w:val="en-US" w:eastAsia="zh-CN"/>
        </w:rPr>
      </w:pPr>
      <w:r>
        <w:rPr>
          <w:rFonts w:hint="eastAsia" w:ascii="仿宋" w:hAnsi="仿宋" w:cs="仿宋"/>
          <w:b/>
          <w:bCs/>
          <w:sz w:val="28"/>
          <w:szCs w:val="28"/>
          <w:lang w:eastAsia="zh-CN"/>
        </w:rPr>
        <w:t>投标文件内容：</w:t>
      </w:r>
      <w:r>
        <w:rPr>
          <w:rFonts w:hint="eastAsia" w:ascii="仿宋" w:hAnsi="仿宋" w:cs="仿宋"/>
          <w:b/>
          <w:bCs/>
          <w:sz w:val="28"/>
          <w:szCs w:val="28"/>
          <w:u w:val="single"/>
          <w:lang w:val="en-US" w:eastAsia="zh-CN"/>
        </w:rPr>
        <w:t xml:space="preserve">    资 格 标    </w:t>
      </w:r>
    </w:p>
    <w:p>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仿宋" w:hAnsi="仿宋" w:eastAsia="仿宋" w:cs="仿宋"/>
          <w:b/>
          <w:spacing w:val="8"/>
          <w:sz w:val="28"/>
          <w:szCs w:val="28"/>
          <w:highlight w:val="non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kern w:val="0"/>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 xml:space="preserve">第一部分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供应商资格声明文件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 xml:space="preserve">第二部分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供应商资格证明文件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adjustRightInd w:val="0"/>
        <w:spacing w:line="480" w:lineRule="auto"/>
        <w:jc w:val="center"/>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spacing w:line="480" w:lineRule="atLeast"/>
        <w:jc w:val="center"/>
        <w:outlineLvl w:val="2"/>
        <w:rPr>
          <w:rFonts w:ascii="仿宋" w:hAnsi="仿宋" w:eastAsia="仿宋" w:cs="仿宋"/>
          <w:b/>
          <w:bCs/>
          <w:sz w:val="36"/>
          <w:szCs w:val="36"/>
          <w:highlight w:val="none"/>
        </w:rPr>
      </w:pPr>
      <w:bookmarkStart w:id="188" w:name="_Toc3856"/>
      <w:bookmarkStart w:id="189" w:name="_Toc8204"/>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部分  供应商资格声明文件</w:t>
      </w:r>
      <w:bookmarkEnd w:id="188"/>
      <w:bookmarkEnd w:id="189"/>
    </w:p>
    <w:tbl>
      <w:tblPr>
        <w:tblStyle w:val="27"/>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486"/>
        <w:gridCol w:w="1218"/>
        <w:gridCol w:w="1455"/>
        <w:gridCol w:w="1218"/>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开户银行</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账号</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6499" w:type="dxa"/>
            <w:gridSpan w:val="5"/>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rPr>
              <w:t>是否依法缴纳</w:t>
            </w:r>
            <w:r>
              <w:rPr>
                <w:rFonts w:hint="eastAsia" w:ascii="仿宋" w:hAnsi="仿宋" w:eastAsia="仿宋" w:cs="仿宋"/>
                <w:bCs/>
                <w:color w:val="auto"/>
                <w:sz w:val="24"/>
                <w:szCs w:val="24"/>
                <w:highlight w:val="none"/>
                <w:lang w:eastAsia="zh-CN"/>
              </w:rPr>
              <w:t>社会保险</w:t>
            </w:r>
          </w:p>
        </w:tc>
        <w:tc>
          <w:tcPr>
            <w:tcW w:w="6499"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left="960" w:hanging="960" w:hangingChars="400"/>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20</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3140" w:type="dxa"/>
            <w:tcBorders>
              <w:left w:val="single" w:color="auto" w:sz="4" w:space="0"/>
              <w:right w:val="single" w:color="auto" w:sz="4" w:space="0"/>
            </w:tcBorders>
            <w:vAlign w:val="center"/>
          </w:tcPr>
          <w:p>
            <w:pPr>
              <w:spacing w:line="400" w:lineRule="exact"/>
              <w:jc w:val="center"/>
              <w:rPr>
                <w:rFonts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6499"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ascii="仿宋" w:hAnsi="仿宋" w:eastAsia="仿宋" w:cs="仿宋"/>
                <w:bCs/>
                <w:sz w:val="24"/>
                <w:szCs w:val="24"/>
                <w:highlight w:val="none"/>
              </w:rPr>
            </w:pPr>
          </w:p>
        </w:tc>
      </w:tr>
    </w:tbl>
    <w:p>
      <w:pPr>
        <w:pStyle w:val="46"/>
        <w:widowControl/>
        <w:spacing w:line="500" w:lineRule="exact"/>
        <w:ind w:firstLine="560"/>
        <w:rPr>
          <w:rFonts w:hint="default" w:ascii="仿宋" w:hAnsi="仿宋" w:cs="仿宋"/>
          <w:szCs w:val="28"/>
          <w:highlight w:val="none"/>
        </w:rPr>
      </w:pPr>
    </w:p>
    <w:p>
      <w:pPr>
        <w:pStyle w:val="46"/>
        <w:widowControl/>
        <w:spacing w:line="500" w:lineRule="exact"/>
        <w:ind w:firstLine="560"/>
        <w:rPr>
          <w:rFonts w:hint="default"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pPr>
        <w:pStyle w:val="46"/>
        <w:widowControl/>
        <w:spacing w:line="500" w:lineRule="exact"/>
        <w:ind w:firstLine="560"/>
        <w:rPr>
          <w:rFonts w:hint="default"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pPr>
        <w:pStyle w:val="46"/>
        <w:widowControl/>
        <w:spacing w:line="500" w:lineRule="exact"/>
        <w:ind w:firstLine="560"/>
        <w:rPr>
          <w:rFonts w:hint="default"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pPr>
        <w:pStyle w:val="46"/>
        <w:widowControl/>
        <w:spacing w:line="500" w:lineRule="exact"/>
        <w:ind w:firstLine="560"/>
        <w:rPr>
          <w:rFonts w:hint="default"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pPr>
        <w:pStyle w:val="46"/>
        <w:widowControl/>
        <w:spacing w:line="500" w:lineRule="exact"/>
        <w:ind w:firstLine="560"/>
        <w:rPr>
          <w:rFonts w:hint="default"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pStyle w:val="16"/>
        <w:rPr>
          <w:rFonts w:hint="eastAsia" w:ascii="仿宋" w:hAnsi="仿宋" w:eastAsia="仿宋" w:cs="仿宋"/>
          <w:b/>
          <w:kern w:val="0"/>
          <w:sz w:val="44"/>
          <w:szCs w:val="44"/>
          <w:highlight w:val="none"/>
        </w:rPr>
      </w:pPr>
    </w:p>
    <w:p>
      <w:pPr>
        <w:spacing w:line="500" w:lineRule="atLeast"/>
        <w:jc w:val="center"/>
        <w:outlineLvl w:val="2"/>
        <w:rPr>
          <w:rFonts w:ascii="仿宋" w:hAnsi="仿宋" w:eastAsia="仿宋" w:cs="仿宋"/>
          <w:b/>
          <w:bCs/>
          <w:sz w:val="36"/>
          <w:szCs w:val="36"/>
          <w:highlight w:val="none"/>
        </w:rPr>
      </w:pPr>
      <w:bookmarkStart w:id="190" w:name="_Toc15462"/>
      <w:bookmarkStart w:id="191" w:name="_Toc25184"/>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二</w:t>
      </w:r>
      <w:r>
        <w:rPr>
          <w:rFonts w:hint="eastAsia" w:ascii="仿宋" w:hAnsi="仿宋" w:eastAsia="仿宋" w:cs="仿宋"/>
          <w:b/>
          <w:bCs/>
          <w:sz w:val="36"/>
          <w:szCs w:val="36"/>
          <w:highlight w:val="none"/>
        </w:rPr>
        <w:t>部分  供应商资格证明文件</w:t>
      </w:r>
      <w:bookmarkEnd w:id="190"/>
      <w:bookmarkEnd w:id="191"/>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资格要求：</w:t>
      </w:r>
    </w:p>
    <w:p>
      <w:pPr>
        <w:pStyle w:val="24"/>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满足《中华人民共和国政府采购法》第二十二条规定；</w:t>
      </w:r>
    </w:p>
    <w:p>
      <w:pPr>
        <w:pStyle w:val="24"/>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本项目的特定资格要求：（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widowControl/>
        <w:numPr>
          <w:ilvl w:val="0"/>
          <w:numId w:val="0"/>
        </w:numPr>
        <w:tabs>
          <w:tab w:val="left" w:pos="18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提供202</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年度经审计的财务报告或开标前六个月内其基本账户银行出具的资信证明或财政部门认可的政府采购专业担保机构出具的担保函；</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月以来任意3个月</w:t>
      </w:r>
      <w:r>
        <w:rPr>
          <w:rFonts w:hint="eastAsia" w:ascii="仿宋" w:hAnsi="仿宋" w:eastAsia="仿宋" w:cs="仿宋"/>
          <w:kern w:val="0"/>
          <w:sz w:val="28"/>
          <w:szCs w:val="28"/>
          <w:highlight w:val="none"/>
          <w:lang w:eastAsia="zh-CN"/>
        </w:rPr>
        <w:t>依法缴纳税收和社会保险的相关证明材料；</w:t>
      </w:r>
      <w:r>
        <w:rPr>
          <w:rFonts w:hint="eastAsia" w:ascii="仿宋" w:hAnsi="仿宋" w:eastAsia="仿宋" w:cs="仿宋"/>
          <w:kern w:val="0"/>
          <w:sz w:val="28"/>
          <w:szCs w:val="28"/>
          <w:highlight w:val="none"/>
        </w:rPr>
        <w:t>注：依法免税或不需要缴纳社会保险的供应商提供相关部门出具的证明文件</w:t>
      </w:r>
      <w:r>
        <w:rPr>
          <w:rFonts w:hint="eastAsia" w:ascii="仿宋" w:hAnsi="仿宋" w:eastAsia="仿宋" w:cs="仿宋"/>
          <w:kern w:val="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47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（7）</w:t>
      </w:r>
      <w:r>
        <w:rPr>
          <w:rFonts w:hint="eastAsia" w:ascii="仿宋" w:hAnsi="仿宋" w:eastAsia="仿宋" w:cs="仿宋"/>
          <w:kern w:val="0"/>
          <w:sz w:val="28"/>
          <w:szCs w:val="28"/>
          <w:highlight w:val="none"/>
          <w:lang w:eastAsia="zh-CN"/>
        </w:rPr>
        <w:t>投标保证金交纳凭证</w:t>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7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（9）供应商认为有必要提供而增加其竞争性的其它资料。</w:t>
      </w:r>
    </w:p>
    <w:p>
      <w:pPr>
        <w:pStyle w:val="16"/>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kern w:val="0"/>
          <w:sz w:val="28"/>
          <w:szCs w:val="28"/>
          <w:highlight w:val="cyan"/>
          <w:lang w:eastAsia="zh-CN"/>
        </w:rPr>
      </w:pPr>
    </w:p>
    <w:p>
      <w:pPr>
        <w:pStyle w:val="1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注：身份证原件现场单独递交。</w:t>
      </w:r>
    </w:p>
    <w:p>
      <w:pPr>
        <w:pStyle w:val="1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以上资格要求第（</w:t>
      </w:r>
      <w:r>
        <w:rPr>
          <w:rFonts w:hint="eastAsia" w:ascii="仿宋" w:hAnsi="仿宋" w:eastAsia="仿宋" w:cs="仿宋"/>
          <w:b/>
          <w:kern w:val="0"/>
          <w:sz w:val="28"/>
          <w:szCs w:val="28"/>
          <w:highlight w:val="none"/>
          <w:lang w:val="en-US" w:eastAsia="zh-CN"/>
        </w:rPr>
        <w:t>2</w:t>
      </w:r>
      <w:r>
        <w:rPr>
          <w:rFonts w:hint="eastAsia" w:ascii="仿宋" w:hAnsi="仿宋" w:eastAsia="仿宋" w:cs="仿宋"/>
          <w:b/>
          <w:kern w:val="0"/>
          <w:sz w:val="28"/>
          <w:szCs w:val="28"/>
          <w:highlight w:val="none"/>
          <w:lang w:eastAsia="zh-CN"/>
        </w:rPr>
        <w:t>）项须按照格式要求签字盖章，其余</w:t>
      </w:r>
      <w:r>
        <w:rPr>
          <w:rFonts w:hint="eastAsia" w:ascii="仿宋" w:hAnsi="仿宋" w:eastAsia="仿宋" w:cs="仿宋"/>
          <w:b/>
          <w:kern w:val="0"/>
          <w:sz w:val="28"/>
          <w:szCs w:val="28"/>
          <w:highlight w:val="none"/>
        </w:rPr>
        <w:t>每一项均为加盖单位公章的复印件或扫描件</w:t>
      </w:r>
      <w:r>
        <w:rPr>
          <w:rFonts w:hint="eastAsia" w:ascii="仿宋" w:hAnsi="仿宋" w:eastAsia="仿宋" w:cs="仿宋"/>
          <w:b/>
          <w:kern w:val="0"/>
          <w:sz w:val="28"/>
          <w:szCs w:val="28"/>
          <w:highlight w:val="none"/>
          <w:lang w:eastAsia="zh-CN"/>
        </w:rPr>
        <w:t>。</w:t>
      </w:r>
      <w:bookmarkStart w:id="192" w:name="_Toc8220"/>
      <w:bookmarkStart w:id="193" w:name="_Toc16146"/>
    </w:p>
    <w:p>
      <w:pPr>
        <w:pStyle w:val="1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kern w:val="0"/>
          <w:sz w:val="28"/>
          <w:szCs w:val="28"/>
          <w:highlight w:val="none"/>
          <w:lang w:eastAsia="zh-CN"/>
        </w:rPr>
      </w:pPr>
    </w:p>
    <w:p>
      <w:pPr>
        <w:pStyle w:val="44"/>
        <w:keepNext w:val="0"/>
        <w:keepLines w:val="0"/>
        <w:pageBreakBefore w:val="0"/>
        <w:widowControl/>
        <w:kinsoku/>
        <w:wordWrap/>
        <w:overflowPunct/>
        <w:topLinePunct w:val="0"/>
        <w:autoSpaceDE/>
        <w:autoSpaceDN/>
        <w:bidi w:val="0"/>
        <w:adjustRightInd w:val="0"/>
        <w:snapToGrid/>
        <w:spacing w:before="0" w:after="0"/>
        <w:ind w:firstLine="0"/>
        <w:jc w:val="center"/>
        <w:textAlignment w:val="auto"/>
        <w:outlineLvl w:val="3"/>
        <w:rPr>
          <w:rFonts w:hint="eastAsia" w:ascii="仿宋" w:hAnsi="仿宋" w:eastAsia="仿宋" w:cs="仿宋"/>
          <w:sz w:val="30"/>
          <w:szCs w:val="30"/>
        </w:rPr>
      </w:pPr>
      <w:bookmarkStart w:id="194" w:name="_Toc18689"/>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_Toc19385 </w:instrText>
      </w:r>
      <w:r>
        <w:rPr>
          <w:rFonts w:hint="eastAsia" w:ascii="仿宋" w:hAnsi="仿宋" w:eastAsia="仿宋" w:cs="仿宋"/>
          <w:sz w:val="30"/>
          <w:szCs w:val="30"/>
        </w:rPr>
        <w:fldChar w:fldCharType="separate"/>
      </w:r>
      <w:r>
        <w:rPr>
          <w:rFonts w:hint="eastAsia" w:ascii="仿宋" w:hAnsi="仿宋" w:eastAsia="仿宋" w:cs="仿宋"/>
          <w:b/>
          <w:bCs/>
          <w:sz w:val="28"/>
          <w:szCs w:val="28"/>
          <w:lang w:val="en-US" w:eastAsia="zh-CN"/>
        </w:rPr>
        <w:t>1、供应商</w:t>
      </w:r>
      <w:r>
        <w:rPr>
          <w:rFonts w:hint="eastAsia" w:ascii="仿宋" w:hAnsi="仿宋" w:eastAsia="仿宋" w:cs="仿宋"/>
          <w:b/>
          <w:bCs/>
          <w:sz w:val="28"/>
          <w:szCs w:val="28"/>
        </w:rPr>
        <w:t>具有独立承担民事责任的能力</w:t>
      </w:r>
      <w:r>
        <w:rPr>
          <w:rFonts w:hint="eastAsia" w:ascii="仿宋" w:hAnsi="仿宋" w:eastAsia="仿宋" w:cs="仿宋"/>
          <w:sz w:val="30"/>
          <w:szCs w:val="30"/>
        </w:rPr>
        <w:fldChar w:fldCharType="end"/>
      </w:r>
      <w:bookmarkEnd w:id="192"/>
      <w:bookmarkEnd w:id="193"/>
      <w:bookmarkEnd w:id="194"/>
    </w:p>
    <w:p>
      <w:pPr>
        <w:pStyle w:val="44"/>
        <w:keepNext w:val="0"/>
        <w:keepLines w:val="0"/>
        <w:pageBreakBefore w:val="0"/>
        <w:widowControl/>
        <w:kinsoku/>
        <w:wordWrap/>
        <w:overflowPunct/>
        <w:topLinePunct w:val="0"/>
        <w:autoSpaceDE/>
        <w:autoSpaceDN/>
        <w:bidi w:val="0"/>
        <w:adjustRightInd w:val="0"/>
        <w:snapToGrid/>
        <w:spacing w:before="0" w:after="0"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p>
    <w:p>
      <w:pPr>
        <w:keepNext w:val="0"/>
        <w:keepLines w:val="0"/>
        <w:pageBreakBefore w:val="0"/>
        <w:kinsoku/>
        <w:wordWrap/>
        <w:overflowPunct/>
        <w:topLinePunct w:val="0"/>
        <w:autoSpaceDE/>
        <w:autoSpaceDN/>
        <w:bidi w:val="0"/>
        <w:snapToGrid/>
        <w:spacing w:line="500" w:lineRule="atLeast"/>
        <w:textAlignment w:val="auto"/>
        <w:rPr>
          <w:rFonts w:hint="eastAsia"/>
          <w:sz w:val="28"/>
          <w:szCs w:val="28"/>
        </w:rPr>
        <w:sectPr>
          <w:headerReference r:id="rId10" w:type="default"/>
          <w:footerReference r:id="rId11" w:type="default"/>
          <w:pgSz w:w="11906" w:h="16838"/>
          <w:pgMar w:top="1440" w:right="1080" w:bottom="1440" w:left="1080" w:header="851" w:footer="992" w:gutter="0"/>
          <w:pgNumType w:fmt="decimal"/>
          <w:cols w:space="425" w:num="1"/>
          <w:docGrid w:type="lines" w:linePitch="312" w:charSpace="0"/>
        </w:sect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highlight w:val="yellow"/>
          <w:lang w:val="en-US" w:eastAsia="zh-CN"/>
        </w:rPr>
      </w:pPr>
      <w:bookmarkStart w:id="195" w:name="_Toc21797"/>
      <w:r>
        <w:rPr>
          <w:rFonts w:hint="eastAsia" w:ascii="仿宋" w:hAnsi="仿宋" w:eastAsia="仿宋" w:cs="仿宋"/>
          <w:b/>
          <w:bCs/>
          <w:sz w:val="28"/>
          <w:szCs w:val="28"/>
          <w:highlight w:val="yellow"/>
          <w:lang w:val="en-US" w:eastAsia="zh-CN"/>
        </w:rPr>
        <w:fldChar w:fldCharType="begin"/>
      </w:r>
      <w:r>
        <w:rPr>
          <w:rFonts w:hint="eastAsia" w:ascii="仿宋" w:hAnsi="仿宋" w:eastAsia="仿宋" w:cs="仿宋"/>
          <w:b/>
          <w:bCs/>
          <w:sz w:val="28"/>
          <w:szCs w:val="28"/>
          <w:highlight w:val="yellow"/>
          <w:lang w:val="en-US" w:eastAsia="zh-CN"/>
        </w:rPr>
        <w:instrText xml:space="preserve"> HYPERLINK \l _Toc3988 </w:instrText>
      </w:r>
      <w:r>
        <w:rPr>
          <w:rFonts w:hint="eastAsia" w:ascii="仿宋" w:hAnsi="仿宋" w:eastAsia="仿宋" w:cs="仿宋"/>
          <w:b/>
          <w:bCs/>
          <w:sz w:val="28"/>
          <w:szCs w:val="28"/>
          <w:highlight w:val="yellow"/>
          <w:lang w:val="en-US" w:eastAsia="zh-CN"/>
        </w:rPr>
        <w:fldChar w:fldCharType="separate"/>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供</w:t>
      </w:r>
      <w:r>
        <w:rPr>
          <w:rFonts w:hint="eastAsia" w:ascii="仿宋" w:hAnsi="仿宋" w:eastAsia="仿宋" w:cs="仿宋"/>
          <w:b/>
          <w:bCs/>
          <w:sz w:val="28"/>
          <w:szCs w:val="28"/>
          <w:lang w:eastAsia="zh-CN"/>
        </w:rPr>
        <w:t>应商授权合法的人员参加投标全过程</w:t>
      </w:r>
      <w:r>
        <w:rPr>
          <w:rFonts w:hint="eastAsia" w:ascii="仿宋" w:hAnsi="仿宋" w:eastAsia="仿宋" w:cs="仿宋"/>
          <w:b/>
          <w:bCs/>
          <w:sz w:val="28"/>
          <w:szCs w:val="28"/>
          <w:highlight w:val="yellow"/>
          <w:lang w:val="en-US" w:eastAsia="zh-CN"/>
        </w:rPr>
        <w:fldChar w:fldCharType="end"/>
      </w:r>
      <w:bookmarkEnd w:id="195"/>
    </w:p>
    <w:p>
      <w:pPr>
        <w:pStyle w:val="49"/>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法定代表人身份证明书</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 </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 </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 </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法定代表人身份证复印件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500" w:lineRule="atLeast"/>
              <w:jc w:val="center"/>
              <w:rPr>
                <w:rFonts w:hint="eastAsia" w:ascii="仿宋" w:hAnsi="仿宋" w:eastAsia="仿宋" w:cs="仿宋"/>
                <w:sz w:val="28"/>
                <w:szCs w:val="28"/>
                <w:u w:val="single"/>
              </w:rPr>
            </w:pPr>
            <w:r>
              <w:rPr>
                <w:rFonts w:hint="eastAsia" w:ascii="仿宋" w:hAnsi="仿宋" w:eastAsia="仿宋" w:cs="仿宋"/>
                <w:sz w:val="28"/>
                <w:szCs w:val="28"/>
              </w:rPr>
              <w:t>正反面</w:t>
            </w:r>
          </w:p>
        </w:tc>
      </w:tr>
    </w:tbl>
    <w:p>
      <w:pPr>
        <w:pStyle w:val="49"/>
        <w:spacing w:line="500" w:lineRule="atLeast"/>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pStyle w:val="49"/>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500" w:lineRule="atLeast"/>
        <w:jc w:val="center"/>
        <w:rPr>
          <w:rFonts w:hint="eastAsia" w:ascii="仿宋" w:hAnsi="仿宋" w:eastAsia="仿宋" w:cs="仿宋"/>
          <w:b/>
          <w:bCs/>
          <w:sz w:val="28"/>
          <w:szCs w:val="28"/>
        </w:rPr>
      </w:pPr>
    </w:p>
    <w:p>
      <w:pPr>
        <w:spacing w:line="500" w:lineRule="atLeas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法定代表人授权委托书</w:t>
      </w:r>
    </w:p>
    <w:p>
      <w:pPr>
        <w:adjustRightInd w:val="0"/>
        <w:snapToGrid w:val="0"/>
        <w:spacing w:line="5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注册于</w:t>
      </w:r>
      <w:r>
        <w:rPr>
          <w:rFonts w:hint="eastAsia" w:ascii="仿宋" w:hAnsi="仿宋" w:eastAsia="仿宋" w:cs="仿宋"/>
          <w:sz w:val="28"/>
          <w:szCs w:val="28"/>
          <w:u w:val="single"/>
        </w:rPr>
        <w:t>（工商行政管理局名称）</w:t>
      </w:r>
      <w:r>
        <w:rPr>
          <w:rFonts w:hint="eastAsia" w:ascii="仿宋" w:hAnsi="仿宋" w:eastAsia="仿宋" w:cs="仿宋"/>
          <w:sz w:val="28"/>
          <w:szCs w:val="28"/>
        </w:rPr>
        <w:t>之</w:t>
      </w:r>
      <w:r>
        <w:rPr>
          <w:rFonts w:hint="eastAsia" w:ascii="仿宋" w:hAnsi="仿宋" w:eastAsia="仿宋" w:cs="仿宋"/>
          <w:sz w:val="28"/>
          <w:szCs w:val="28"/>
          <w:u w:val="single"/>
        </w:rPr>
        <w:t>（供应商全称）</w:t>
      </w:r>
      <w:r>
        <w:rPr>
          <w:rFonts w:hint="eastAsia" w:ascii="仿宋" w:hAnsi="仿宋" w:eastAsia="仿宋" w:cs="仿宋"/>
          <w:sz w:val="28"/>
          <w:szCs w:val="28"/>
        </w:rPr>
        <w:t>法定代表人</w:t>
      </w:r>
      <w:r>
        <w:rPr>
          <w:rFonts w:hint="eastAsia" w:ascii="仿宋" w:hAnsi="仿宋" w:eastAsia="仿宋" w:cs="仿宋"/>
          <w:sz w:val="28"/>
          <w:szCs w:val="28"/>
          <w:u w:val="single"/>
        </w:rPr>
        <w:t>（姓名、职务）</w:t>
      </w:r>
      <w:r>
        <w:rPr>
          <w:rFonts w:hint="eastAsia" w:ascii="仿宋" w:hAnsi="仿宋" w:eastAsia="仿宋" w:cs="仿宋"/>
          <w:sz w:val="28"/>
          <w:szCs w:val="28"/>
        </w:rPr>
        <w:t>授权</w:t>
      </w:r>
      <w:r>
        <w:rPr>
          <w:rFonts w:hint="eastAsia" w:ascii="仿宋" w:hAnsi="仿宋" w:eastAsia="仿宋" w:cs="仿宋"/>
          <w:sz w:val="28"/>
          <w:szCs w:val="28"/>
          <w:u w:val="single"/>
        </w:rPr>
        <w:t>（被授权委托人姓名、职务）</w:t>
      </w:r>
      <w:r>
        <w:rPr>
          <w:rFonts w:hint="eastAsia" w:ascii="仿宋" w:hAnsi="仿宋" w:eastAsia="仿宋" w:cs="仿宋"/>
          <w:sz w:val="28"/>
          <w:szCs w:val="28"/>
        </w:rPr>
        <w:t>为本公司的合法代理人，就</w:t>
      </w:r>
      <w:r>
        <w:rPr>
          <w:rFonts w:hint="eastAsia" w:ascii="仿宋" w:hAnsi="仿宋" w:eastAsia="仿宋" w:cs="仿宋"/>
          <w:sz w:val="28"/>
          <w:szCs w:val="28"/>
          <w:u w:val="single"/>
        </w:rPr>
        <w:t>（项目名称）</w:t>
      </w:r>
      <w:r>
        <w:rPr>
          <w:rFonts w:hint="eastAsia" w:ascii="仿宋" w:hAnsi="仿宋" w:eastAsia="仿宋" w:cs="仿宋"/>
          <w:sz w:val="28"/>
          <w:szCs w:val="28"/>
        </w:rPr>
        <w:t>的</w:t>
      </w:r>
      <w:r>
        <w:rPr>
          <w:rFonts w:hint="eastAsia" w:ascii="仿宋" w:hAnsi="仿宋" w:eastAsia="仿宋" w:cs="仿宋"/>
          <w:sz w:val="28"/>
          <w:szCs w:val="28"/>
          <w:lang w:eastAsia="zh-CN"/>
        </w:rPr>
        <w:t>投标</w:t>
      </w:r>
      <w:r>
        <w:rPr>
          <w:rFonts w:hint="eastAsia" w:ascii="仿宋" w:hAnsi="仿宋" w:eastAsia="仿宋" w:cs="仿宋"/>
          <w:sz w:val="28"/>
          <w:szCs w:val="28"/>
        </w:rPr>
        <w:t>及合同的执行和完成，以本公司的名义处理一切与之有关的事宜。</w:t>
      </w:r>
    </w:p>
    <w:p>
      <w:pPr>
        <w:adjustRightInd w:val="0"/>
        <w:snapToGrid w:val="0"/>
        <w:spacing w:line="500" w:lineRule="atLeast"/>
        <w:rPr>
          <w:rFonts w:hint="eastAsia" w:ascii="仿宋" w:hAnsi="仿宋" w:eastAsia="仿宋" w:cs="仿宋"/>
          <w:sz w:val="28"/>
          <w:szCs w:val="28"/>
          <w:u w:val="single"/>
        </w:rPr>
      </w:pPr>
      <w:r>
        <w:rPr>
          <w:rFonts w:hint="eastAsia" w:ascii="仿宋" w:hAnsi="仿宋" w:eastAsia="仿宋" w:cs="仿宋"/>
          <w:sz w:val="28"/>
          <w:szCs w:val="28"/>
        </w:rPr>
        <w:t>附：被授权委托人姓名：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职    务：</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通讯地址：</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adjustRightInd w:val="0"/>
        <w:snapToGrid w:val="0"/>
        <w:spacing w:line="500" w:lineRule="atLeast"/>
        <w:ind w:firstLine="630"/>
        <w:rPr>
          <w:rFonts w:hint="eastAsia" w:ascii="仿宋" w:hAnsi="仿宋" w:eastAsia="仿宋" w:cs="仿宋"/>
          <w:sz w:val="28"/>
          <w:szCs w:val="28"/>
        </w:rPr>
      </w:pPr>
    </w:p>
    <w:p>
      <w:pPr>
        <w:adjustRightInd w:val="0"/>
        <w:snapToGrid w:val="0"/>
        <w:spacing w:line="500" w:lineRule="atLeast"/>
        <w:ind w:firstLine="63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hint="eastAsia" w:ascii="仿宋" w:hAnsi="仿宋" w:eastAsia="仿宋" w:cs="仿宋"/>
          <w:sz w:val="28"/>
          <w:szCs w:val="28"/>
        </w:rPr>
        <w:t>被授权委托人身份证复印件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19"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正反面</w:t>
            </w:r>
          </w:p>
        </w:tc>
        <w:tc>
          <w:tcPr>
            <w:tcW w:w="4721" w:type="dxa"/>
            <w:noWrap w:val="0"/>
            <w:vAlign w:val="center"/>
          </w:tcPr>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被授权委托人身份证复印件</w:t>
            </w:r>
          </w:p>
          <w:p>
            <w:pPr>
              <w:adjustRightInd w:val="0"/>
              <w:snapToGrid w:val="0"/>
              <w:spacing w:line="500" w:lineRule="atLeast"/>
              <w:jc w:val="center"/>
              <w:rPr>
                <w:rFonts w:hint="eastAsia" w:ascii="仿宋" w:hAnsi="仿宋" w:eastAsia="仿宋" w:cs="仿宋"/>
                <w:sz w:val="28"/>
                <w:szCs w:val="28"/>
              </w:rPr>
            </w:pPr>
            <w:r>
              <w:rPr>
                <w:rFonts w:hint="eastAsia" w:ascii="仿宋" w:hAnsi="仿宋" w:eastAsia="仿宋" w:cs="仿宋"/>
                <w:sz w:val="28"/>
                <w:szCs w:val="28"/>
              </w:rPr>
              <w:t>正反面</w:t>
            </w:r>
          </w:p>
        </w:tc>
      </w:tr>
    </w:tbl>
    <w:p>
      <w:pPr>
        <w:adjustRightInd w:val="0"/>
        <w:snapToGrid w:val="0"/>
        <w:spacing w:line="500" w:lineRule="atLeast"/>
        <w:ind w:firstLine="630"/>
        <w:rPr>
          <w:rFonts w:hint="eastAsia" w:ascii="仿宋" w:hAnsi="仿宋" w:eastAsia="仿宋" w:cs="仿宋"/>
          <w:sz w:val="28"/>
          <w:szCs w:val="28"/>
        </w:rPr>
      </w:pPr>
    </w:p>
    <w:p>
      <w:pPr>
        <w:adjustRightInd w:val="0"/>
        <w:snapToGrid w:val="0"/>
        <w:spacing w:line="500" w:lineRule="atLeas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（公      章）</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rPr>
      </w:pPr>
      <w:r>
        <w:rPr>
          <w:rFonts w:hint="eastAsia" w:ascii="仿宋" w:hAnsi="仿宋" w:eastAsia="仿宋" w:cs="仿宋"/>
          <w:sz w:val="28"/>
          <w:szCs w:val="28"/>
        </w:rPr>
        <w:t>被授权委托人：</w:t>
      </w:r>
      <w:r>
        <w:rPr>
          <w:rFonts w:hint="eastAsia" w:ascii="仿宋" w:hAnsi="仿宋" w:eastAsia="仿宋" w:cs="仿宋"/>
          <w:sz w:val="28"/>
          <w:szCs w:val="28"/>
          <w:u w:val="single"/>
        </w:rPr>
        <w:t xml:space="preserve">                            </w:t>
      </w:r>
      <w:r>
        <w:rPr>
          <w:rFonts w:hint="eastAsia" w:ascii="仿宋" w:hAnsi="仿宋" w:eastAsia="仿宋" w:cs="仿宋"/>
          <w:sz w:val="28"/>
          <w:szCs w:val="28"/>
        </w:rPr>
        <w:t>（签      字）</w:t>
      </w:r>
    </w:p>
    <w:p>
      <w:pPr>
        <w:keepNext w:val="0"/>
        <w:keepLines w:val="0"/>
        <w:pageBreakBefore w:val="0"/>
        <w:widowControl w:val="0"/>
        <w:kinsoku/>
        <w:wordWrap/>
        <w:overflowPunct/>
        <w:topLinePunct w:val="0"/>
        <w:autoSpaceDE/>
        <w:autoSpaceDN/>
        <w:bidi w:val="0"/>
        <w:spacing w:line="500" w:lineRule="atLeast"/>
        <w:ind w:firstLine="560" w:firstLineChars="200"/>
        <w:jc w:val="center"/>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授权日期：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spacing w:line="500" w:lineRule="atLeast"/>
        <w:textAlignment w:val="auto"/>
      </w:pPr>
    </w:p>
    <w:p>
      <w:pPr>
        <w:keepNext w:val="0"/>
        <w:keepLines w:val="0"/>
        <w:pageBreakBefore w:val="0"/>
        <w:widowControl w:val="0"/>
        <w:kinsoku/>
        <w:wordWrap/>
        <w:overflowPunct/>
        <w:topLinePunct w:val="0"/>
        <w:autoSpaceDE/>
        <w:autoSpaceDN/>
        <w:bidi w:val="0"/>
        <w:spacing w:line="500" w:lineRule="atLeast"/>
        <w:jc w:val="center"/>
        <w:textAlignment w:val="auto"/>
        <w:rPr>
          <w:rFonts w:hint="eastAsia" w:ascii="仿宋" w:hAnsi="仿宋" w:eastAsia="仿宋" w:cs="仿宋"/>
        </w:rPr>
      </w:pPr>
      <w:r>
        <w:rPr>
          <w:rFonts w:hint="eastAsia" w:ascii="仿宋" w:hAnsi="仿宋" w:eastAsia="仿宋" w:cs="仿宋"/>
          <w:b/>
          <w:bCs/>
          <w:sz w:val="28"/>
          <w:szCs w:val="28"/>
        </w:rPr>
        <w:t>（注：本授权有效期为自授权之日起至投标有效期结束之日止）</w:t>
      </w:r>
    </w:p>
    <w:p>
      <w:pPr>
        <w:rPr>
          <w:rFonts w:hint="eastAsia"/>
        </w:rPr>
        <w:sectPr>
          <w:footerReference r:id="rId12" w:type="default"/>
          <w:pgSz w:w="11906" w:h="16838"/>
          <w:pgMar w:top="1440" w:right="1080" w:bottom="1440" w:left="1080" w:header="851" w:footer="992" w:gutter="0"/>
          <w:pgNumType w:fmt="decimal"/>
          <w:cols w:space="425" w:num="1"/>
          <w:docGrid w:type="lines" w:linePitch="312" w:charSpace="0"/>
        </w:sect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highlight w:val="none"/>
          <w:lang w:val="en-US" w:eastAsia="zh-CN"/>
        </w:rPr>
      </w:pPr>
      <w:bookmarkStart w:id="196" w:name="_Toc22026"/>
      <w:r>
        <w:rPr>
          <w:rFonts w:hint="eastAsia" w:ascii="仿宋" w:hAnsi="仿宋" w:eastAsia="仿宋" w:cs="仿宋"/>
          <w:b/>
          <w:bCs/>
          <w:sz w:val="28"/>
          <w:szCs w:val="28"/>
          <w:highlight w:val="none"/>
          <w:lang w:val="en-US" w:eastAsia="zh-CN"/>
        </w:rPr>
        <w:t>3、供应商具有良好的商业信誉和健全的财务会计制度</w:t>
      </w:r>
      <w:bookmarkEnd w:id="19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eastAsia="仿宋"/>
          <w:highlight w:val="none"/>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r>
        <w:rPr>
          <w:rFonts w:hint="eastAsia" w:ascii="仿宋" w:hAnsi="仿宋" w:eastAsia="仿宋" w:cs="仿宋"/>
          <w:sz w:val="28"/>
          <w:szCs w:val="28"/>
          <w:highlight w:val="none"/>
          <w:lang w:eastAsia="zh-CN"/>
        </w:rPr>
        <w:t>。</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highlight w:val="none"/>
          <w:lang w:val="en-US" w:eastAsia="zh-CN"/>
        </w:rPr>
      </w:pPr>
      <w:bookmarkStart w:id="197" w:name="_Toc29145"/>
      <w:r>
        <w:rPr>
          <w:rFonts w:hint="eastAsia" w:ascii="仿宋" w:hAnsi="仿宋" w:eastAsia="仿宋" w:cs="仿宋"/>
          <w:b/>
          <w:bCs/>
          <w:sz w:val="28"/>
          <w:szCs w:val="28"/>
          <w:highlight w:val="none"/>
          <w:lang w:val="en-US" w:eastAsia="zh-CN"/>
        </w:rPr>
        <w:t>4、供应商有依法缴纳税收和社会保障资金的良好记录</w:t>
      </w:r>
      <w:bookmarkEnd w:id="19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p>
    <w:p>
      <w:pPr>
        <w:rPr>
          <w:rFonts w:hint="eastAsia"/>
        </w:rPr>
        <w:sectPr>
          <w:pgSz w:w="11906" w:h="16838"/>
          <w:pgMar w:top="1440" w:right="1080" w:bottom="1440" w:left="1080" w:header="851" w:footer="992" w:gutter="0"/>
          <w:pgNumType w:fmt="decimal"/>
          <w:cols w:space="425" w:num="1"/>
          <w:docGrid w:type="lines" w:linePitch="312" w:charSpace="0"/>
        </w:sectPr>
      </w:pP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lang w:val="en-US" w:eastAsia="zh-CN"/>
        </w:rPr>
      </w:pPr>
      <w:bookmarkStart w:id="198" w:name="_Toc22436"/>
      <w:r>
        <w:rPr>
          <w:rFonts w:hint="eastAsia" w:ascii="仿宋" w:hAnsi="仿宋" w:eastAsia="仿宋" w:cs="仿宋"/>
          <w:b/>
          <w:bCs/>
          <w:sz w:val="28"/>
          <w:szCs w:val="28"/>
          <w:lang w:val="en-US" w:eastAsia="zh-CN"/>
        </w:rPr>
        <w:t>5、供应商具有履行合同所必需的设备和专业技术能力</w:t>
      </w:r>
      <w:bookmarkEnd w:id="198"/>
    </w:p>
    <w:p>
      <w:pPr>
        <w:ind w:firstLine="560" w:firstLineChars="200"/>
        <w:jc w:val="both"/>
        <w:rPr>
          <w:rFonts w:hint="eastAsia" w:ascii="仿宋" w:hAnsi="仿宋" w:eastAsia="仿宋" w:cs="仿宋"/>
          <w:sz w:val="28"/>
          <w:szCs w:val="28"/>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lang w:val="en-US" w:eastAsia="zh-CN"/>
        </w:rPr>
        <w:t>提供具有履行合同所必需的设备和专业技术能力的承诺。</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bCs/>
          <w:sz w:val="28"/>
          <w:szCs w:val="28"/>
          <w:lang w:val="en-US" w:eastAsia="zh-CN"/>
        </w:rPr>
      </w:pPr>
      <w:bookmarkStart w:id="199" w:name="_Toc31885"/>
      <w:r>
        <w:rPr>
          <w:rFonts w:hint="eastAsia" w:ascii="仿宋" w:hAnsi="仿宋" w:eastAsia="仿宋" w:cs="仿宋"/>
          <w:b/>
          <w:bCs/>
          <w:sz w:val="28"/>
          <w:szCs w:val="28"/>
          <w:lang w:val="en-US" w:eastAsia="zh-CN"/>
        </w:rPr>
        <w:t>6、供应商参加政府采购活动前三年内，在经营活动中没有重大违法记录</w:t>
      </w:r>
      <w:bookmarkEnd w:id="199"/>
    </w:p>
    <w:p>
      <w:pPr>
        <w:pStyle w:val="21"/>
        <w:tabs>
          <w:tab w:val="right" w:leader="dot" w:pos="9460"/>
        </w:tabs>
        <w:spacing w:line="360" w:lineRule="auto"/>
        <w:ind w:left="0" w:leftChars="0" w:firstLine="560" w:firstLineChars="200"/>
        <w:rPr>
          <w:rFonts w:hint="eastAsia" w:eastAsia="仿宋"/>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sz w:val="28"/>
          <w:szCs w:val="28"/>
        </w:rPr>
      </w:pPr>
      <w:bookmarkStart w:id="200" w:name="_Toc17703"/>
      <w:r>
        <w:rPr>
          <w:rFonts w:hint="eastAsia" w:ascii="仿宋" w:hAnsi="仿宋" w:eastAsia="仿宋" w:cs="仿宋"/>
          <w:b/>
          <w:bCs/>
          <w:sz w:val="28"/>
          <w:szCs w:val="28"/>
          <w:lang w:val="en-US" w:eastAsia="zh-CN"/>
        </w:rPr>
        <w:t>7、供应商</w:t>
      </w:r>
      <w:r>
        <w:rPr>
          <w:rFonts w:hint="eastAsia" w:ascii="仿宋" w:hAnsi="仿宋" w:eastAsia="仿宋" w:cs="仿宋"/>
          <w:b/>
          <w:bCs/>
          <w:sz w:val="28"/>
          <w:szCs w:val="28"/>
          <w:lang w:eastAsia="zh-CN"/>
        </w:rPr>
        <w:t>投标保证金交纳凭证</w:t>
      </w:r>
      <w:bookmarkEnd w:id="200"/>
    </w:p>
    <w:p>
      <w:pPr>
        <w:keepNext w:val="0"/>
        <w:keepLines w:val="0"/>
        <w:pageBreakBefore w:val="0"/>
        <w:widowControl w:val="0"/>
        <w:kinsoku/>
        <w:wordWrap/>
        <w:overflowPunct/>
        <w:topLinePunct w:val="0"/>
        <w:autoSpaceDE/>
        <w:autoSpaceDN/>
        <w:bidi w:val="0"/>
        <w:adjustRightInd/>
        <w:snapToGrid/>
        <w:spacing w:line="500" w:lineRule="atLeast"/>
        <w:ind w:firstLine="573"/>
        <w:textAlignment w:val="auto"/>
        <w:rPr>
          <w:rFonts w:hint="eastAsia" w:ascii="仿宋" w:hAnsi="仿宋" w:eastAsia="仿宋" w:cs="仿宋"/>
          <w:sz w:val="28"/>
          <w:szCs w:val="28"/>
        </w:rPr>
      </w:pPr>
      <w:r>
        <w:rPr>
          <w:rFonts w:hint="eastAsia" w:ascii="仿宋" w:hAnsi="仿宋" w:eastAsia="仿宋" w:cs="仿宋"/>
          <w:sz w:val="28"/>
          <w:szCs w:val="28"/>
        </w:rPr>
        <w:t>鉴于</w:t>
      </w:r>
      <w:r>
        <w:rPr>
          <w:rFonts w:hint="eastAsia" w:ascii="仿宋" w:hAnsi="仿宋" w:eastAsia="仿宋" w:cs="仿宋"/>
          <w:sz w:val="28"/>
          <w:szCs w:val="28"/>
          <w:u w:val="single"/>
        </w:rPr>
        <w:t xml:space="preserve">            </w:t>
      </w:r>
      <w:r>
        <w:rPr>
          <w:rFonts w:hint="eastAsia" w:ascii="仿宋" w:hAnsi="仿宋" w:eastAsia="仿宋" w:cs="仿宋"/>
          <w:sz w:val="28"/>
          <w:szCs w:val="28"/>
        </w:rPr>
        <w:t>（供应商）于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日参加</w:t>
      </w:r>
      <w:r>
        <w:rPr>
          <w:rFonts w:hint="eastAsia" w:ascii="仿宋" w:hAnsi="仿宋" w:eastAsia="仿宋" w:cs="仿宋"/>
          <w:sz w:val="28"/>
          <w:szCs w:val="28"/>
          <w:u w:val="single"/>
        </w:rPr>
        <w:t xml:space="preserve">          </w:t>
      </w:r>
      <w:r>
        <w:rPr>
          <w:rFonts w:hint="eastAsia" w:ascii="仿宋" w:hAnsi="仿宋" w:eastAsia="仿宋" w:cs="仿宋"/>
          <w:sz w:val="28"/>
          <w:szCs w:val="28"/>
        </w:rPr>
        <w:t>项目的</w:t>
      </w:r>
      <w:r>
        <w:rPr>
          <w:rFonts w:hint="eastAsia" w:ascii="仿宋" w:hAnsi="仿宋" w:eastAsia="仿宋" w:cs="仿宋"/>
          <w:sz w:val="28"/>
          <w:szCs w:val="28"/>
          <w:lang w:eastAsia="zh-CN"/>
        </w:rPr>
        <w:t>公开招标</w:t>
      </w:r>
      <w:r>
        <w:rPr>
          <w:rFonts w:hint="eastAsia" w:ascii="仿宋" w:hAnsi="仿宋" w:eastAsia="仿宋" w:cs="仿宋"/>
          <w:sz w:val="28"/>
          <w:szCs w:val="28"/>
        </w:rPr>
        <w:t>。供应商在此承担向采购代理机构交纳金额</w:t>
      </w:r>
      <w:r>
        <w:rPr>
          <w:rFonts w:hint="eastAsia" w:ascii="仿宋" w:hAnsi="仿宋" w:eastAsia="仿宋" w:cs="仿宋"/>
          <w:sz w:val="28"/>
          <w:szCs w:val="28"/>
          <w:u w:val="single"/>
        </w:rPr>
        <w:t xml:space="preserve">        </w:t>
      </w:r>
      <w:r>
        <w:rPr>
          <w:rFonts w:hint="eastAsia" w:ascii="仿宋" w:hAnsi="仿宋" w:eastAsia="仿宋" w:cs="仿宋"/>
          <w:sz w:val="28"/>
          <w:szCs w:val="28"/>
        </w:rPr>
        <w:t>元的责任。</w:t>
      </w:r>
    </w:p>
    <w:p>
      <w:pPr>
        <w:keepNext w:val="0"/>
        <w:keepLines w:val="0"/>
        <w:pageBreakBefore w:val="0"/>
        <w:widowControl w:val="0"/>
        <w:kinsoku/>
        <w:wordWrap/>
        <w:overflowPunct/>
        <w:topLinePunct w:val="0"/>
        <w:autoSpaceDE/>
        <w:autoSpaceDN/>
        <w:bidi w:val="0"/>
        <w:adjustRightInd/>
        <w:snapToGrid/>
        <w:spacing w:line="500" w:lineRule="atLeast"/>
        <w:ind w:firstLine="573"/>
        <w:textAlignment w:val="auto"/>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保证金在投标有效期内保持有效。</w:t>
      </w:r>
    </w:p>
    <w:p>
      <w:pPr>
        <w:spacing w:line="500" w:lineRule="atLeast"/>
        <w:ind w:firstLine="570"/>
        <w:jc w:val="center"/>
        <w:rPr>
          <w:rFonts w:hint="eastAsia" w:ascii="仿宋" w:hAnsi="仿宋" w:eastAsia="仿宋" w:cs="仿宋"/>
          <w:sz w:val="28"/>
          <w:szCs w:val="28"/>
        </w:rPr>
      </w:pPr>
    </w:p>
    <w:tbl>
      <w:tblPr>
        <w:tblStyle w:val="27"/>
        <w:tblW w:w="0" w:type="auto"/>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noWrap w:val="0"/>
            <w:vAlign w:val="center"/>
          </w:tcPr>
          <w:p>
            <w:pPr>
              <w:spacing w:line="500" w:lineRule="atLeast"/>
              <w:ind w:firstLine="570"/>
              <w:jc w:val="center"/>
              <w:rPr>
                <w:rFonts w:hint="eastAsia" w:ascii="仿宋" w:hAnsi="仿宋" w:eastAsia="仿宋" w:cs="仿宋"/>
                <w:sz w:val="28"/>
                <w:szCs w:val="28"/>
              </w:rPr>
            </w:pPr>
            <w:r>
              <w:rPr>
                <w:rFonts w:hint="eastAsia" w:ascii="仿宋" w:hAnsi="仿宋" w:eastAsia="仿宋" w:cs="仿宋"/>
                <w:sz w:val="28"/>
                <w:szCs w:val="28"/>
                <w:lang w:eastAsia="zh-CN"/>
              </w:rPr>
              <w:t>投标</w:t>
            </w:r>
            <w:r>
              <w:rPr>
                <w:rFonts w:hint="eastAsia" w:ascii="仿宋" w:hAnsi="仿宋" w:eastAsia="仿宋" w:cs="仿宋"/>
                <w:sz w:val="28"/>
                <w:szCs w:val="28"/>
              </w:rPr>
              <w:t>保证金证明（供应商交纳凭证复印件）</w:t>
            </w:r>
          </w:p>
        </w:tc>
      </w:tr>
    </w:tbl>
    <w:p>
      <w:pPr>
        <w:spacing w:line="500" w:lineRule="atLeast"/>
        <w:ind w:firstLine="570"/>
        <w:jc w:val="center"/>
        <w:rPr>
          <w:rFonts w:hint="eastAsia" w:ascii="仿宋" w:hAnsi="仿宋" w:eastAsia="仿宋" w:cs="仿宋"/>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rPr>
          <w:rFonts w:hint="eastAsia" w:ascii="仿宋" w:hAnsi="仿宋" w:eastAsia="仿宋" w:cs="仿宋"/>
          <w:color w:val="FF0000"/>
          <w:sz w:val="28"/>
          <w:szCs w:val="28"/>
        </w:rPr>
      </w:pPr>
    </w:p>
    <w:p>
      <w:pPr>
        <w:pStyle w:val="1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6"/>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cs="仿宋"/>
          <w:b/>
          <w:bCs/>
          <w:color w:val="auto"/>
          <w:sz w:val="28"/>
          <w:szCs w:val="28"/>
          <w:lang w:val="en-US" w:eastAsia="zh-CN"/>
        </w:rPr>
      </w:pPr>
    </w:p>
    <w:p>
      <w:pPr>
        <w:pStyle w:val="15"/>
        <w:numPr>
          <w:ilvl w:val="0"/>
          <w:numId w:val="14"/>
        </w:numPr>
        <w:ind w:left="0" w:leftChars="0"/>
        <w:jc w:val="center"/>
        <w:outlineLvl w:val="3"/>
        <w:rPr>
          <w:rFonts w:hint="default" w:ascii="仿宋" w:hAnsi="仿宋" w:cs="仿宋"/>
          <w:b/>
          <w:bCs/>
          <w:kern w:val="2"/>
          <w:sz w:val="28"/>
          <w:szCs w:val="28"/>
        </w:rPr>
      </w:pPr>
      <w:bookmarkStart w:id="201" w:name="_Toc22217"/>
      <w:r>
        <w:rPr>
          <w:rFonts w:ascii="仿宋" w:hAnsi="仿宋" w:cs="仿宋"/>
          <w:b/>
          <w:bCs/>
          <w:kern w:val="2"/>
          <w:sz w:val="28"/>
          <w:szCs w:val="28"/>
        </w:rPr>
        <w:t>投标承诺</w:t>
      </w:r>
      <w:bookmarkEnd w:id="201"/>
    </w:p>
    <w:p>
      <w:pPr>
        <w:pStyle w:val="15"/>
        <w:spacing w:after="0" w:line="500" w:lineRule="exact"/>
        <w:ind w:left="0" w:leftChars="0" w:firstLine="560" w:firstLineChars="200"/>
        <w:rPr>
          <w:rFonts w:hint="default" w:ascii="仿宋" w:hAnsi="仿宋" w:cs="仿宋"/>
          <w:sz w:val="28"/>
          <w:szCs w:val="28"/>
        </w:rPr>
      </w:pPr>
      <w:r>
        <w:rPr>
          <w:rFonts w:ascii="仿宋" w:hAnsi="仿宋" w:cs="仿宋"/>
          <w:sz w:val="28"/>
          <w:szCs w:val="28"/>
        </w:rPr>
        <w:t>单位负责人为同一人或者存在直接控股、管理关系的不同供应商，不得参加同一合同项下的政府采购活动。</w:t>
      </w:r>
    </w:p>
    <w:p>
      <w:pPr>
        <w:pStyle w:val="1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bCs/>
          <w:kern w:val="2"/>
          <w:sz w:val="28"/>
          <w:szCs w:val="28"/>
          <w:lang w:val="en-US" w:eastAsia="zh-CN" w:bidi="ar-SA"/>
        </w:rPr>
      </w:pPr>
    </w:p>
    <w:p>
      <w:pPr>
        <w:bidi w:val="0"/>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5"/>
        <w:numPr>
          <w:ilvl w:val="0"/>
          <w:numId w:val="14"/>
        </w:numPr>
        <w:ind w:left="0" w:leftChars="0"/>
        <w:jc w:val="center"/>
        <w:outlineLvl w:val="3"/>
        <w:rPr>
          <w:rFonts w:hint="eastAsia" w:ascii="仿宋" w:hAnsi="仿宋" w:cs="仿宋"/>
          <w:b/>
          <w:bCs/>
          <w:kern w:val="2"/>
          <w:sz w:val="28"/>
          <w:szCs w:val="28"/>
          <w:lang w:val="en-US" w:eastAsia="zh-CN"/>
        </w:rPr>
      </w:pPr>
      <w:bookmarkStart w:id="202" w:name="_Toc27462"/>
      <w:r>
        <w:rPr>
          <w:rFonts w:hint="eastAsia" w:ascii="仿宋" w:hAnsi="仿宋" w:cs="仿宋"/>
          <w:b/>
          <w:bCs/>
          <w:kern w:val="2"/>
          <w:sz w:val="28"/>
          <w:szCs w:val="28"/>
          <w:lang w:val="en-US" w:eastAsia="zh-CN"/>
        </w:rPr>
        <w:t>供应商认为有必要提供而增加其竞争性的其它资料</w:t>
      </w:r>
      <w:bookmarkEnd w:id="202"/>
    </w:p>
    <w:p>
      <w:pPr>
        <w:pStyle w:val="16"/>
        <w:rPr>
          <w:rFonts w:hint="eastAsia"/>
          <w:lang w:val="en-US" w:eastAsia="zh-CN"/>
        </w:rPr>
      </w:pPr>
    </w:p>
    <w:p>
      <w:pPr>
        <w:rPr>
          <w:rFonts w:hint="eastAsia"/>
          <w:lang w:val="en-US" w:eastAsia="zh-CN"/>
        </w:rPr>
      </w:pPr>
      <w:r>
        <w:rPr>
          <w:rFonts w:hint="eastAsia"/>
          <w:lang w:val="en-US" w:eastAsia="zh-CN"/>
        </w:rPr>
        <w:br w:type="page"/>
      </w:r>
    </w:p>
    <w:bookmarkEnd w:id="187"/>
    <w:tbl>
      <w:tblPr>
        <w:tblStyle w:val="27"/>
        <w:tblpPr w:leftFromText="180" w:rightFromText="180" w:vertAnchor="text" w:horzAnchor="page" w:tblpX="9086"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pPr>
              <w:spacing w:line="360" w:lineRule="auto"/>
              <w:jc w:val="center"/>
              <w:rPr>
                <w:rFonts w:ascii="仿宋" w:hAnsi="仿宋" w:eastAsia="仿宋" w:cs="仿宋"/>
                <w:b/>
                <w:sz w:val="40"/>
                <w:szCs w:val="44"/>
                <w:highlight w:val="none"/>
              </w:rPr>
            </w:pPr>
            <w:bookmarkStart w:id="203" w:name="_Toc19526"/>
            <w:bookmarkStart w:id="204" w:name="_Toc25352_WPSOffice_Level1"/>
            <w:bookmarkStart w:id="205" w:name="_Toc3443"/>
            <w:bookmarkStart w:id="206" w:name="_Toc5680"/>
            <w:bookmarkStart w:id="207" w:name="_Toc13405_WPSOffice_Level1"/>
            <w:bookmarkStart w:id="208" w:name="_Toc438541313"/>
            <w:bookmarkStart w:id="209" w:name="_Toc120614284"/>
            <w:bookmarkStart w:id="210" w:name="_Toc204524343"/>
            <w:r>
              <w:rPr>
                <w:rFonts w:hint="eastAsia" w:ascii="仿宋" w:hAnsi="仿宋" w:eastAsia="仿宋" w:cs="仿宋"/>
                <w:b/>
                <w:sz w:val="40"/>
                <w:szCs w:val="44"/>
                <w:highlight w:val="none"/>
              </w:rPr>
              <w:t>正/副本</w:t>
            </w:r>
          </w:p>
        </w:tc>
      </w:tr>
    </w:tbl>
    <w:p>
      <w:pPr>
        <w:pStyle w:val="46"/>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211" w:name="_Toc2276"/>
      <w:bookmarkStart w:id="212" w:name="_Toc28310"/>
      <w:r>
        <w:rPr>
          <w:rFonts w:hint="eastAsia" w:ascii="仿宋" w:hAnsi="仿宋" w:cs="仿宋"/>
          <w:b/>
          <w:kern w:val="0"/>
          <w:sz w:val="32"/>
          <w:szCs w:val="32"/>
          <w:highlight w:val="none"/>
          <w:lang w:val="en-US" w:eastAsia="zh-CN" w:bidi="ar-SA"/>
        </w:rPr>
        <w:t>B 商务及技术标</w:t>
      </w:r>
      <w:bookmarkEnd w:id="211"/>
      <w:bookmarkEnd w:id="212"/>
    </w:p>
    <w:p>
      <w:pPr>
        <w:pStyle w:val="44"/>
        <w:widowControl/>
        <w:spacing w:before="0" w:after="0"/>
        <w:ind w:firstLine="0"/>
        <w:jc w:val="both"/>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XHLJZC-WN2024-07</w:t>
      </w:r>
      <w:r>
        <w:rPr>
          <w:rFonts w:hint="eastAsia" w:ascii="仿宋" w:hAnsi="仿宋" w:eastAsia="仿宋" w:cs="仿宋"/>
          <w:b/>
          <w:sz w:val="32"/>
          <w:szCs w:val="32"/>
          <w:highlight w:val="none"/>
          <w:lang w:val="en-US" w:eastAsia="zh-CN"/>
        </w:rPr>
        <w:t>7</w:t>
      </w:r>
    </w:p>
    <w:p>
      <w:pPr>
        <w:pStyle w:val="44"/>
        <w:widowControl/>
        <w:spacing w:before="0" w:after="0"/>
        <w:ind w:left="1680" w:leftChars="0" w:firstLine="420" w:firstLineChars="0"/>
        <w:jc w:val="both"/>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lang w:eastAsia="zh-CN"/>
        </w:rPr>
        <w:t>ZCSP-临渭区-202</w:t>
      </w:r>
      <w:r>
        <w:rPr>
          <w:rFonts w:hint="eastAsia" w:ascii="仿宋" w:hAnsi="仿宋" w:eastAsia="仿宋" w:cs="仿宋"/>
          <w:b/>
          <w:sz w:val="32"/>
          <w:szCs w:val="32"/>
          <w:highlight w:val="none"/>
          <w:lang w:val="en-US" w:eastAsia="zh-CN"/>
        </w:rPr>
        <w:t>4</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00138</w:t>
      </w:r>
    </w:p>
    <w:p>
      <w:pPr>
        <w:pStyle w:val="44"/>
        <w:widowControl/>
        <w:spacing w:before="0" w:after="0" w:line="600" w:lineRule="exact"/>
        <w:ind w:firstLine="0"/>
        <w:jc w:val="both"/>
        <w:rPr>
          <w:rFonts w:ascii="仿宋" w:hAnsi="仿宋" w:eastAsia="仿宋" w:cs="仿宋"/>
          <w:b/>
          <w:sz w:val="44"/>
          <w:szCs w:val="44"/>
          <w:highlight w:val="green"/>
        </w:rPr>
      </w:pPr>
    </w:p>
    <w:p>
      <w:pPr>
        <w:pStyle w:val="44"/>
        <w:widowControl/>
        <w:spacing w:before="0" w:after="0" w:line="600" w:lineRule="exact"/>
        <w:ind w:firstLine="0"/>
        <w:jc w:val="both"/>
        <w:rPr>
          <w:rFonts w:ascii="仿宋" w:hAnsi="仿宋" w:eastAsia="仿宋" w:cs="仿宋"/>
          <w:b/>
          <w:sz w:val="44"/>
          <w:szCs w:val="44"/>
          <w:highlight w:val="green"/>
        </w:rPr>
      </w:pPr>
    </w:p>
    <w:p>
      <w:pPr>
        <w:pStyle w:val="46"/>
        <w:widowControl/>
        <w:spacing w:line="480" w:lineRule="auto"/>
        <w:ind w:firstLine="0" w:firstLineChars="0"/>
        <w:jc w:val="center"/>
        <w:rPr>
          <w:rFonts w:hint="default" w:ascii="仿宋" w:hAnsi="仿宋" w:cs="仿宋"/>
          <w:b/>
          <w:sz w:val="52"/>
          <w:szCs w:val="52"/>
          <w:highlight w:val="none"/>
          <w:lang w:val="en-US" w:eastAsia="zh-CN"/>
        </w:rPr>
      </w:pPr>
      <w:r>
        <w:rPr>
          <w:rFonts w:hint="default" w:ascii="仿宋" w:hAnsi="仿宋" w:cs="仿宋"/>
          <w:b/>
          <w:sz w:val="52"/>
          <w:szCs w:val="52"/>
          <w:highlight w:val="none"/>
          <w:lang w:val="en-US" w:eastAsia="zh-CN"/>
        </w:rPr>
        <w:t>渭南市临渭区人民法院20</w:t>
      </w:r>
      <w:r>
        <w:rPr>
          <w:rFonts w:hint="eastAsia" w:ascii="仿宋" w:hAnsi="仿宋" w:cs="仿宋"/>
          <w:b/>
          <w:sz w:val="52"/>
          <w:szCs w:val="52"/>
          <w:highlight w:val="none"/>
          <w:lang w:val="en-US" w:eastAsia="zh-CN"/>
        </w:rPr>
        <w:t>24</w:t>
      </w:r>
      <w:r>
        <w:rPr>
          <w:rFonts w:hint="default" w:ascii="仿宋" w:hAnsi="仿宋" w:cs="仿宋"/>
          <w:b/>
          <w:sz w:val="52"/>
          <w:szCs w:val="52"/>
          <w:highlight w:val="none"/>
          <w:lang w:val="en-US" w:eastAsia="zh-CN"/>
        </w:rPr>
        <w:t>年中省政法</w:t>
      </w:r>
    </w:p>
    <w:p>
      <w:pPr>
        <w:pStyle w:val="46"/>
        <w:widowControl/>
        <w:spacing w:line="480" w:lineRule="auto"/>
        <w:ind w:firstLine="0" w:firstLineChars="0"/>
        <w:jc w:val="center"/>
        <w:rPr>
          <w:rFonts w:hint="default" w:ascii="仿宋" w:hAnsi="仿宋" w:cs="仿宋"/>
          <w:b/>
          <w:sz w:val="52"/>
          <w:szCs w:val="52"/>
          <w:highlight w:val="none"/>
        </w:rPr>
      </w:pPr>
      <w:r>
        <w:rPr>
          <w:rFonts w:hint="default" w:ascii="仿宋" w:hAnsi="仿宋" w:cs="仿宋"/>
          <w:b/>
          <w:sz w:val="52"/>
          <w:szCs w:val="52"/>
          <w:highlight w:val="none"/>
          <w:lang w:val="en-US" w:eastAsia="zh-CN"/>
        </w:rPr>
        <w:t>转移支付自定装备采购项目</w:t>
      </w:r>
    </w:p>
    <w:p>
      <w:pPr>
        <w:pStyle w:val="46"/>
        <w:widowControl/>
        <w:spacing w:line="480" w:lineRule="auto"/>
        <w:ind w:firstLine="0" w:firstLineChars="0"/>
        <w:jc w:val="center"/>
        <w:rPr>
          <w:rFonts w:hint="default" w:ascii="仿宋" w:hAnsi="仿宋" w:cs="仿宋"/>
          <w:b/>
          <w:sz w:val="52"/>
          <w:szCs w:val="52"/>
          <w:highlight w:val="none"/>
        </w:rPr>
      </w:pPr>
    </w:p>
    <w:p>
      <w:pPr>
        <w:pStyle w:val="46"/>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p>
    <w:p>
      <w:pPr>
        <w:pStyle w:val="46"/>
        <w:widowControl/>
        <w:spacing w:line="480" w:lineRule="auto"/>
        <w:ind w:firstLine="0" w:firstLineChars="0"/>
        <w:jc w:val="center"/>
        <w:rPr>
          <w:rFonts w:hint="default" w:ascii="仿宋" w:hAnsi="仿宋" w:cs="仿宋"/>
          <w:b/>
          <w:sz w:val="52"/>
          <w:szCs w:val="52"/>
          <w:highlight w:val="none"/>
        </w:rPr>
      </w:pPr>
      <w:r>
        <w:rPr>
          <w:rFonts w:ascii="仿宋" w:hAnsi="仿宋" w:cs="仿宋"/>
          <w:b/>
          <w:sz w:val="52"/>
          <w:szCs w:val="52"/>
          <w:highlight w:val="none"/>
        </w:rPr>
        <w:t>（格式）</w:t>
      </w:r>
    </w:p>
    <w:p>
      <w:pPr>
        <w:spacing w:line="480" w:lineRule="auto"/>
        <w:jc w:val="center"/>
        <w:rPr>
          <w:rFonts w:ascii="仿宋" w:hAnsi="仿宋" w:eastAsia="仿宋" w:cs="仿宋"/>
          <w:b/>
          <w:spacing w:val="8"/>
          <w:sz w:val="28"/>
          <w:szCs w:val="28"/>
          <w:highlight w:val="none"/>
          <w:u w:val="single"/>
        </w:rPr>
      </w:pPr>
    </w:p>
    <w:p>
      <w:pPr>
        <w:pStyle w:val="40"/>
        <w:rPr>
          <w:highlight w:val="none"/>
        </w:rPr>
      </w:pPr>
    </w:p>
    <w:p>
      <w:pPr>
        <w:rPr>
          <w:highlight w:val="none"/>
        </w:rPr>
      </w:pPr>
    </w:p>
    <w:p>
      <w:pPr>
        <w:pStyle w:val="11"/>
        <w:rPr>
          <w:rFonts w:hint="default"/>
          <w:highlight w:val="none"/>
        </w:rPr>
      </w:pPr>
    </w:p>
    <w:p>
      <w:pPr>
        <w:rPr>
          <w:highlight w:val="none"/>
        </w:rPr>
      </w:pPr>
    </w:p>
    <w:p>
      <w:pPr>
        <w:ind w:firstLine="1687" w:firstLineChars="600"/>
        <w:jc w:val="both"/>
        <w:rPr>
          <w:rFonts w:hint="eastAsia" w:ascii="仿宋" w:hAnsi="仿宋" w:eastAsia="仿宋" w:cs="仿宋"/>
          <w:b/>
          <w:bCs/>
          <w:sz w:val="28"/>
          <w:szCs w:val="24"/>
          <w:u w:val="none"/>
          <w:lang w:eastAsia="zh-CN"/>
        </w:rPr>
      </w:pPr>
    </w:p>
    <w:p>
      <w:pPr>
        <w:pStyle w:val="26"/>
        <w:ind w:left="0" w:leftChars="0" w:firstLine="0" w:firstLineChars="0"/>
        <w:rPr>
          <w:rFonts w:hint="eastAsia"/>
          <w:lang w:eastAsia="zh-CN"/>
        </w:rPr>
      </w:pPr>
    </w:p>
    <w:p>
      <w:pPr>
        <w:ind w:firstLine="1687" w:firstLineChars="600"/>
        <w:jc w:val="both"/>
        <w:rPr>
          <w:rFonts w:hint="default" w:ascii="仿宋" w:hAnsi="仿宋" w:eastAsia="仿宋" w:cs="仿宋"/>
          <w:b/>
          <w:bCs/>
          <w:sz w:val="28"/>
          <w:szCs w:val="24"/>
          <w:u w:val="single"/>
          <w:lang w:val="en-US" w:eastAsia="zh-CN"/>
        </w:rPr>
      </w:pPr>
      <w:r>
        <w:rPr>
          <w:rFonts w:hint="eastAsia" w:ascii="仿宋" w:hAnsi="仿宋" w:eastAsia="仿宋" w:cs="仿宋"/>
          <w:b/>
          <w:bCs/>
          <w:sz w:val="28"/>
          <w:szCs w:val="24"/>
          <w:u w:val="none"/>
          <w:lang w:eastAsia="zh-CN"/>
        </w:rPr>
        <w:t>投标文件内容：</w:t>
      </w:r>
      <w:r>
        <w:rPr>
          <w:rFonts w:hint="eastAsia" w:ascii="仿宋" w:hAnsi="仿宋" w:eastAsia="仿宋" w:cs="仿宋"/>
          <w:b/>
          <w:bCs/>
          <w:sz w:val="28"/>
          <w:szCs w:val="24"/>
          <w:u w:val="single"/>
          <w:lang w:val="en-US" w:eastAsia="zh-CN"/>
        </w:rPr>
        <w:t xml:space="preserve">    商务及技术标    </w:t>
      </w:r>
    </w:p>
    <w:p>
      <w:pPr>
        <w:jc w:val="center"/>
        <w:rPr>
          <w:rFonts w:hint="eastAsia" w:ascii="仿宋" w:hAnsi="仿宋" w:eastAsia="仿宋" w:cs="仿宋"/>
          <w:b/>
          <w:bCs/>
          <w:sz w:val="28"/>
          <w:szCs w:val="24"/>
          <w:u w:val="single"/>
        </w:rPr>
      </w:pPr>
      <w:r>
        <w:rPr>
          <w:rFonts w:hint="eastAsia" w:ascii="仿宋" w:hAnsi="仿宋" w:eastAsia="仿宋" w:cs="仿宋"/>
          <w:b/>
          <w:bCs/>
          <w:sz w:val="28"/>
          <w:szCs w:val="24"/>
          <w:u w:val="none"/>
        </w:rPr>
        <w:t>供应商名称：</w:t>
      </w:r>
      <w:r>
        <w:rPr>
          <w:rFonts w:hint="eastAsia" w:ascii="仿宋" w:hAnsi="仿宋" w:eastAsia="仿宋" w:cs="仿宋"/>
          <w:b/>
          <w:bCs/>
          <w:sz w:val="28"/>
          <w:szCs w:val="24"/>
          <w:u w:val="single"/>
        </w:rPr>
        <w:t xml:space="preserve">              </w:t>
      </w:r>
      <w:r>
        <w:rPr>
          <w:rFonts w:hint="eastAsia" w:ascii="仿宋" w:hAnsi="仿宋" w:eastAsia="仿宋" w:cs="仿宋"/>
          <w:b/>
          <w:bCs/>
          <w:sz w:val="28"/>
          <w:szCs w:val="24"/>
          <w:u w:val="single"/>
          <w:lang w:val="en-US" w:eastAsia="zh-CN"/>
        </w:rPr>
        <w:t xml:space="preserve">   </w:t>
      </w:r>
      <w:r>
        <w:rPr>
          <w:rFonts w:hint="eastAsia" w:ascii="仿宋" w:hAnsi="仿宋" w:eastAsia="仿宋" w:cs="仿宋"/>
          <w:b/>
          <w:bCs/>
          <w:sz w:val="28"/>
          <w:szCs w:val="24"/>
          <w:u w:val="single"/>
        </w:rPr>
        <w:t xml:space="preserve">    （公     章）</w:t>
      </w:r>
    </w:p>
    <w:p>
      <w:pPr>
        <w:jc w:val="center"/>
        <w:rPr>
          <w:rFonts w:hint="eastAsia" w:ascii="仿宋" w:hAnsi="仿宋" w:eastAsia="仿宋" w:cs="仿宋"/>
          <w:b/>
          <w:bCs/>
          <w:sz w:val="28"/>
          <w:szCs w:val="24"/>
          <w:u w:val="single"/>
        </w:rPr>
      </w:pPr>
      <w:r>
        <w:rPr>
          <w:rFonts w:hint="eastAsia" w:ascii="仿宋" w:hAnsi="仿宋" w:eastAsia="仿宋" w:cs="仿宋"/>
          <w:b/>
          <w:bCs/>
          <w:sz w:val="28"/>
          <w:szCs w:val="24"/>
          <w:u w:val="none"/>
        </w:rPr>
        <w:t>法定代表人或被授权委托人</w:t>
      </w:r>
      <w:r>
        <w:rPr>
          <w:rFonts w:hint="eastAsia" w:ascii="仿宋" w:hAnsi="仿宋" w:eastAsia="仿宋" w:cs="仿宋"/>
          <w:b/>
          <w:bCs/>
          <w:sz w:val="28"/>
          <w:szCs w:val="24"/>
          <w:u w:val="none"/>
          <w:lang w:eastAsia="zh-CN"/>
        </w:rPr>
        <w:t>：</w:t>
      </w:r>
      <w:r>
        <w:rPr>
          <w:rFonts w:hint="eastAsia" w:ascii="仿宋" w:hAnsi="仿宋" w:eastAsia="仿宋" w:cs="仿宋"/>
          <w:b/>
          <w:bCs/>
          <w:sz w:val="28"/>
          <w:szCs w:val="24"/>
          <w:u w:val="single"/>
        </w:rPr>
        <w:t xml:space="preserve">      （签字或盖章）</w:t>
      </w:r>
    </w:p>
    <w:p>
      <w:pPr>
        <w:jc w:val="center"/>
        <w:rPr>
          <w:rFonts w:hint="eastAsia" w:ascii="仿宋" w:hAnsi="仿宋" w:eastAsia="仿宋" w:cs="仿宋"/>
          <w:b/>
          <w:kern w:val="0"/>
          <w:sz w:val="44"/>
          <w:szCs w:val="44"/>
          <w:highlight w:val="none"/>
        </w:rPr>
      </w:pPr>
      <w:r>
        <w:rPr>
          <w:rFonts w:hint="eastAsia" w:ascii="仿宋" w:hAnsi="仿宋" w:eastAsia="仿宋" w:cs="仿宋"/>
          <w:b/>
          <w:bCs/>
          <w:sz w:val="28"/>
          <w:szCs w:val="24"/>
          <w:u w:val="none"/>
        </w:rPr>
        <w:t>时      间：</w:t>
      </w:r>
      <w:r>
        <w:rPr>
          <w:rFonts w:hint="eastAsia" w:ascii="仿宋" w:hAnsi="仿宋" w:eastAsia="仿宋" w:cs="仿宋"/>
          <w:b/>
          <w:bCs/>
          <w:sz w:val="28"/>
          <w:szCs w:val="24"/>
          <w:u w:val="single"/>
        </w:rPr>
        <w:t xml:space="preserve">                                 .</w:t>
      </w:r>
    </w:p>
    <w:p>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spacing w:line="480" w:lineRule="auto"/>
        <w:jc w:val="center"/>
        <w:rPr>
          <w:rFonts w:hint="eastAsia"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pPr>
        <w:spacing w:line="48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 xml:space="preserve">部分    业绩证明文件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"_Toc29348" </w:instrText>
      </w:r>
      <w:r>
        <w:rPr>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投标方案说明                                 （页码）</w:t>
      </w:r>
    </w:p>
    <w:p>
      <w:pPr>
        <w:spacing w:line="480" w:lineRule="auto"/>
        <w:jc w:val="center"/>
        <w:rPr>
          <w:b/>
          <w:bCs/>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                                 （页码）</w:t>
      </w:r>
    </w:p>
    <w:p>
      <w:pPr>
        <w:spacing w:line="48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部分    政府采购供应商拒绝政府采购领域商业贿赂承诺书 （页码）</w:t>
      </w:r>
    </w:p>
    <w:p>
      <w:pPr>
        <w:pStyle w:val="11"/>
        <w:spacing w:line="480" w:lineRule="auto"/>
        <w:jc w:val="center"/>
        <w:rPr>
          <w:rFonts w:hint="default" w:ascii="仿宋" w:hAnsi="仿宋" w:cs="仿宋"/>
          <w:sz w:val="28"/>
          <w:szCs w:val="28"/>
          <w:highlight w:val="none"/>
        </w:rPr>
      </w:pPr>
      <w:r>
        <w:rPr>
          <w:rFonts w:ascii="仿宋" w:hAnsi="仿宋" w:cs="仿宋"/>
          <w:b/>
          <w:bCs/>
          <w:kern w:val="2"/>
          <w:sz w:val="28"/>
          <w:szCs w:val="28"/>
          <w:highlight w:val="none"/>
        </w:rPr>
        <w:t>第</w:t>
      </w:r>
      <w:r>
        <w:rPr>
          <w:rFonts w:hint="eastAsia" w:ascii="仿宋" w:hAnsi="仿宋" w:cs="仿宋"/>
          <w:b/>
          <w:bCs/>
          <w:kern w:val="2"/>
          <w:sz w:val="28"/>
          <w:szCs w:val="28"/>
          <w:highlight w:val="none"/>
          <w:lang w:eastAsia="zh-CN"/>
        </w:rPr>
        <w:t>七</w:t>
      </w:r>
      <w:r>
        <w:rPr>
          <w:rFonts w:ascii="仿宋" w:hAnsi="仿宋" w:cs="仿宋"/>
          <w:b/>
          <w:bCs/>
          <w:kern w:val="2"/>
          <w:sz w:val="28"/>
          <w:szCs w:val="28"/>
          <w:highlight w:val="none"/>
        </w:rPr>
        <w:t xml:space="preserve">部分  </w:t>
      </w:r>
      <w:r>
        <w:rPr>
          <w:rFonts w:hint="eastAsia" w:ascii="仿宋" w:hAnsi="仿宋" w:cs="仿宋"/>
          <w:b/>
          <w:bCs/>
          <w:kern w:val="2"/>
          <w:sz w:val="28"/>
          <w:szCs w:val="28"/>
          <w:highlight w:val="none"/>
          <w:lang w:val="en-US" w:eastAsia="zh-CN"/>
        </w:rPr>
        <w:t xml:space="preserve">  </w:t>
      </w:r>
      <w:r>
        <w:rPr>
          <w:rFonts w:ascii="仿宋" w:hAnsi="仿宋" w:cs="仿宋"/>
          <w:b/>
          <w:bCs/>
          <w:kern w:val="2"/>
          <w:sz w:val="28"/>
          <w:szCs w:val="28"/>
          <w:highlight w:val="none"/>
        </w:rPr>
        <w:t xml:space="preserve">附件（如有）                                 </w:t>
      </w:r>
      <w:r>
        <w:rPr>
          <w:rFonts w:ascii="仿宋" w:hAnsi="仿宋" w:cs="仿宋"/>
          <w:b/>
          <w:bCs/>
          <w:sz w:val="28"/>
          <w:szCs w:val="28"/>
          <w:highlight w:val="none"/>
        </w:rPr>
        <w:t>（页码）</w:t>
      </w:r>
    </w:p>
    <w:p>
      <w:pPr>
        <w:pStyle w:val="11"/>
        <w:spacing w:line="500" w:lineRule="exact"/>
        <w:rPr>
          <w:rFonts w:hint="default" w:ascii="仿宋" w:hAnsi="仿宋" w:cs="仿宋"/>
          <w:sz w:val="28"/>
          <w:szCs w:val="28"/>
          <w:highlight w:val="none"/>
        </w:rPr>
      </w:pPr>
    </w:p>
    <w:p>
      <w:pPr>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6"/>
        <w:rPr>
          <w:rFonts w:hint="default" w:ascii="仿宋" w:hAnsi="仿宋" w:cs="仿宋"/>
          <w:sz w:val="28"/>
          <w:szCs w:val="28"/>
          <w:highlight w:val="none"/>
        </w:rPr>
      </w:pPr>
    </w:p>
    <w:p>
      <w:pPr>
        <w:pStyle w:val="11"/>
        <w:spacing w:line="500" w:lineRule="exact"/>
        <w:jc w:val="center"/>
        <w:outlineLvl w:val="2"/>
        <w:rPr>
          <w:rFonts w:hint="default" w:ascii="仿宋" w:hAnsi="仿宋" w:cs="仿宋"/>
          <w:b/>
          <w:bCs/>
          <w:sz w:val="44"/>
          <w:szCs w:val="44"/>
          <w:highlight w:val="none"/>
        </w:rPr>
      </w:pPr>
      <w:bookmarkStart w:id="213" w:name="_Toc2941"/>
      <w:bookmarkStart w:id="214" w:name="_Toc24427"/>
      <w:r>
        <w:rPr>
          <w:rFonts w:ascii="仿宋" w:hAnsi="仿宋" w:cs="仿宋"/>
          <w:b/>
          <w:bCs/>
          <w:sz w:val="36"/>
          <w:szCs w:val="36"/>
          <w:highlight w:val="none"/>
        </w:rPr>
        <w:t>第一部分  投标响应函</w:t>
      </w:r>
      <w:bookmarkEnd w:id="203"/>
      <w:bookmarkEnd w:id="204"/>
      <w:bookmarkEnd w:id="205"/>
      <w:bookmarkEnd w:id="206"/>
      <w:bookmarkEnd w:id="207"/>
      <w:bookmarkEnd w:id="208"/>
      <w:bookmarkEnd w:id="213"/>
      <w:bookmarkEnd w:id="214"/>
    </w:p>
    <w:p>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我公司收到贵单位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招标文件，经详细研究，我们决定参加本次招标活动。为此，我方郑重声明以下诸点，并负法律责任。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sz w:val="28"/>
          <w:szCs w:val="28"/>
          <w:highlight w:val="none"/>
        </w:rPr>
      </w:pPr>
      <w:r>
        <w:rPr>
          <w:rFonts w:hint="eastAsia" w:ascii="仿宋" w:hAnsi="仿宋" w:eastAsia="仿宋" w:cs="仿宋"/>
          <w:sz w:val="28"/>
          <w:szCs w:val="28"/>
          <w:highlight w:val="none"/>
        </w:rPr>
        <w:t>1、愿意按照招标文件中的一切要求，提供货物及服务，完成合同的责任和义务。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2、按招标文件的规定，我公司的投标总报价为：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3、我方提交的投标文件正本一份、副本三份、电子文档一份。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4、已详细阅读了招标文件，完全理解并放弃提出含糊不清或易形成歧义的表述和资料。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5、在规定的招标有效期内撤回投标文件，我们愿接受政府采购的有关处罚决定。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6、同意向贵方提供可能要求的，与本次招标有关的任何证据或资料。我们完全理解最低报价不作为中标的唯一条件，且尊重评标委员会的结论和中标结果。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7、我方的投标有效期为从提交投标文件的截止之日起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日历日。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8、有关于投标文件的函电，请按下列地址联系。</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投标供应商全称：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    址：__________________________________________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    话：__________________________________________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传    真：__________________________________________</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邮    编：__________________________________________</w:t>
      </w:r>
    </w:p>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_____年_____月_____日</w:t>
      </w:r>
    </w:p>
    <w:p>
      <w:pPr>
        <w:spacing w:line="500" w:lineRule="atLeast"/>
        <w:jc w:val="center"/>
        <w:outlineLvl w:val="9"/>
        <w:rPr>
          <w:rFonts w:hint="eastAsia" w:ascii="仿宋" w:hAnsi="仿宋" w:eastAsia="仿宋" w:cs="仿宋"/>
          <w:b/>
          <w:bCs/>
          <w:sz w:val="36"/>
          <w:szCs w:val="36"/>
          <w:highlight w:val="none"/>
        </w:rPr>
      </w:pPr>
      <w:bookmarkStart w:id="215" w:name="_Toc438541314"/>
      <w:bookmarkStart w:id="216" w:name="_Toc21079"/>
      <w:bookmarkStart w:id="217" w:name="_Toc17278"/>
      <w:bookmarkStart w:id="218" w:name="_Toc27691"/>
      <w:bookmarkStart w:id="219" w:name="_Toc1669_WPSOffice_Level1"/>
      <w:bookmarkStart w:id="220" w:name="_Toc8963_WPSOffice_Level1"/>
    </w:p>
    <w:p>
      <w:pPr>
        <w:spacing w:line="500" w:lineRule="atLeast"/>
        <w:jc w:val="center"/>
        <w:outlineLvl w:val="2"/>
        <w:rPr>
          <w:rFonts w:ascii="仿宋" w:hAnsi="仿宋" w:eastAsia="仿宋" w:cs="仿宋"/>
          <w:b/>
          <w:bCs/>
          <w:sz w:val="36"/>
          <w:szCs w:val="36"/>
          <w:highlight w:val="none"/>
        </w:rPr>
      </w:pPr>
      <w:bookmarkStart w:id="221" w:name="_Toc15179"/>
      <w:bookmarkStart w:id="222" w:name="_Toc17588"/>
      <w:r>
        <w:rPr>
          <w:rFonts w:hint="eastAsia" w:ascii="仿宋" w:hAnsi="仿宋" w:eastAsia="仿宋" w:cs="仿宋"/>
          <w:b/>
          <w:bCs/>
          <w:sz w:val="36"/>
          <w:szCs w:val="36"/>
          <w:highlight w:val="none"/>
        </w:rPr>
        <w:t>第二部分  报价一览表</w:t>
      </w:r>
      <w:bookmarkEnd w:id="215"/>
      <w:bookmarkEnd w:id="216"/>
      <w:bookmarkEnd w:id="217"/>
      <w:bookmarkEnd w:id="218"/>
      <w:bookmarkEnd w:id="219"/>
      <w:bookmarkEnd w:id="220"/>
      <w:bookmarkEnd w:id="221"/>
      <w:bookmarkEnd w:id="222"/>
    </w:p>
    <w:p>
      <w:pPr>
        <w:pStyle w:val="11"/>
        <w:rPr>
          <w:rFonts w:hint="default"/>
          <w:highlight w:val="none"/>
        </w:rPr>
      </w:pPr>
    </w:p>
    <w:p>
      <w:pPr>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val="en-US" w:eastAsia="zh-CN"/>
        </w:rPr>
        <w:t>渭南市临渭区人民法院2024年中省政法转移支付自定装备采购项目</w:t>
      </w:r>
    </w:p>
    <w:p>
      <w:pPr>
        <w:spacing w:line="500" w:lineRule="exact"/>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ZCSP-临渭区-202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-00138、</w:t>
      </w:r>
      <w:r>
        <w:rPr>
          <w:rFonts w:hint="eastAsia" w:ascii="仿宋" w:hAnsi="仿宋" w:eastAsia="仿宋" w:cs="仿宋"/>
          <w:kern w:val="0"/>
          <w:sz w:val="28"/>
          <w:szCs w:val="28"/>
          <w:highlight w:val="none"/>
          <w:lang w:eastAsia="zh-CN"/>
        </w:rPr>
        <w:t>XHLJZC-WN2024-07</w:t>
      </w:r>
      <w:r>
        <w:rPr>
          <w:rFonts w:hint="eastAsia" w:ascii="仿宋" w:hAnsi="仿宋" w:eastAsia="仿宋" w:cs="仿宋"/>
          <w:kern w:val="0"/>
          <w:sz w:val="28"/>
          <w:szCs w:val="28"/>
          <w:highlight w:val="none"/>
          <w:lang w:val="en-US" w:eastAsia="zh-CN"/>
        </w:rPr>
        <w:t>7</w:t>
      </w:r>
    </w:p>
    <w:p>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供 应 商：</w:t>
      </w: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报价单位：人民币  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284"/>
        <w:gridCol w:w="1786"/>
        <w:gridCol w:w="232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383" w:type="dxa"/>
            <w:vAlign w:val="center"/>
          </w:tcPr>
          <w:p>
            <w:pPr>
              <w:pStyle w:val="47"/>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采购内容</w:t>
            </w:r>
          </w:p>
        </w:tc>
        <w:tc>
          <w:tcPr>
            <w:tcW w:w="2284" w:type="dxa"/>
            <w:vAlign w:val="center"/>
          </w:tcPr>
          <w:p>
            <w:pPr>
              <w:pStyle w:val="47"/>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w:t>
            </w:r>
          </w:p>
          <w:p>
            <w:pPr>
              <w:pStyle w:val="47"/>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（元）</w:t>
            </w:r>
          </w:p>
        </w:tc>
        <w:tc>
          <w:tcPr>
            <w:tcW w:w="1786" w:type="dxa"/>
            <w:vAlign w:val="center"/>
          </w:tcPr>
          <w:p>
            <w:pPr>
              <w:pStyle w:val="47"/>
              <w:spacing w:line="500" w:lineRule="exact"/>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整个项目</w:t>
            </w:r>
          </w:p>
          <w:p>
            <w:pPr>
              <w:pStyle w:val="47"/>
              <w:spacing w:line="500" w:lineRule="exact"/>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完成期限</w:t>
            </w:r>
          </w:p>
          <w:p>
            <w:pPr>
              <w:pStyle w:val="47"/>
              <w:spacing w:line="500" w:lineRule="exact"/>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（日历日）</w:t>
            </w:r>
          </w:p>
        </w:tc>
        <w:tc>
          <w:tcPr>
            <w:tcW w:w="2322" w:type="dxa"/>
            <w:vAlign w:val="center"/>
          </w:tcPr>
          <w:p>
            <w:pPr>
              <w:pStyle w:val="47"/>
              <w:spacing w:line="500" w:lineRule="exact"/>
              <w:rPr>
                <w:rFonts w:ascii="仿宋" w:hAnsi="仿宋" w:eastAsia="仿宋" w:cs="仿宋"/>
                <w:b w:val="0"/>
                <w:bCs/>
                <w:kern w:val="2"/>
                <w:sz w:val="28"/>
                <w:szCs w:val="28"/>
                <w:highlight w:val="none"/>
                <w:lang w:val="zh-CN"/>
              </w:rPr>
            </w:pPr>
            <w:r>
              <w:rPr>
                <w:rFonts w:hint="eastAsia" w:ascii="仿宋" w:hAnsi="仿宋" w:eastAsia="仿宋" w:cs="仿宋"/>
                <w:b w:val="0"/>
                <w:bCs/>
                <w:kern w:val="2"/>
                <w:sz w:val="28"/>
                <w:szCs w:val="28"/>
                <w:highlight w:val="none"/>
                <w:lang w:val="zh-CN"/>
              </w:rPr>
              <w:t>质量标准</w:t>
            </w:r>
          </w:p>
          <w:p>
            <w:pPr>
              <w:pStyle w:val="47"/>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bCs/>
                <w:kern w:val="2"/>
                <w:sz w:val="28"/>
                <w:szCs w:val="28"/>
                <w:highlight w:val="none"/>
                <w:lang w:val="zh-CN"/>
              </w:rPr>
              <w:t>（合格</w:t>
            </w:r>
            <w:r>
              <w:rPr>
                <w:rFonts w:hint="eastAsia" w:ascii="仿宋" w:hAnsi="仿宋" w:eastAsia="仿宋" w:cs="仿宋"/>
                <w:b w:val="0"/>
                <w:bCs/>
                <w:kern w:val="2"/>
                <w:sz w:val="28"/>
                <w:szCs w:val="28"/>
                <w:highlight w:val="none"/>
              </w:rPr>
              <w:t>/不合格）</w:t>
            </w:r>
          </w:p>
        </w:tc>
        <w:tc>
          <w:tcPr>
            <w:tcW w:w="1187" w:type="dxa"/>
            <w:vAlign w:val="center"/>
          </w:tcPr>
          <w:p>
            <w:pPr>
              <w:pStyle w:val="47"/>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6" w:hRule="atLeast"/>
        </w:trPr>
        <w:tc>
          <w:tcPr>
            <w:tcW w:w="2383" w:type="dxa"/>
            <w:vAlign w:val="center"/>
          </w:tcPr>
          <w:p>
            <w:pPr>
              <w:pStyle w:val="47"/>
              <w:spacing w:line="500" w:lineRule="atLeast"/>
              <w:rPr>
                <w:rFonts w:ascii="仿宋" w:hAnsi="仿宋" w:eastAsia="仿宋" w:cs="仿宋"/>
                <w:b w:val="0"/>
                <w:kern w:val="2"/>
                <w:sz w:val="28"/>
                <w:szCs w:val="28"/>
                <w:highlight w:val="none"/>
                <w:lang w:val="zh-CN"/>
              </w:rPr>
            </w:pPr>
          </w:p>
        </w:tc>
        <w:tc>
          <w:tcPr>
            <w:tcW w:w="2284" w:type="dxa"/>
            <w:vAlign w:val="center"/>
          </w:tcPr>
          <w:p>
            <w:pPr>
              <w:pStyle w:val="47"/>
              <w:spacing w:line="500" w:lineRule="atLeast"/>
              <w:rPr>
                <w:rFonts w:ascii="仿宋" w:hAnsi="仿宋" w:eastAsia="仿宋" w:cs="仿宋"/>
                <w:b w:val="0"/>
                <w:kern w:val="2"/>
                <w:sz w:val="28"/>
                <w:szCs w:val="28"/>
                <w:highlight w:val="none"/>
                <w:lang w:val="zh-CN"/>
              </w:rPr>
            </w:pPr>
          </w:p>
        </w:tc>
        <w:tc>
          <w:tcPr>
            <w:tcW w:w="1786" w:type="dxa"/>
            <w:vAlign w:val="center"/>
          </w:tcPr>
          <w:p>
            <w:pPr>
              <w:pStyle w:val="47"/>
              <w:spacing w:line="500" w:lineRule="atLeast"/>
              <w:rPr>
                <w:rFonts w:ascii="仿宋" w:hAnsi="仿宋" w:eastAsia="仿宋" w:cs="仿宋"/>
                <w:b w:val="0"/>
                <w:kern w:val="2"/>
                <w:sz w:val="28"/>
                <w:szCs w:val="28"/>
                <w:highlight w:val="none"/>
                <w:lang w:val="zh-CN"/>
              </w:rPr>
            </w:pPr>
          </w:p>
        </w:tc>
        <w:tc>
          <w:tcPr>
            <w:tcW w:w="2322" w:type="dxa"/>
            <w:vAlign w:val="center"/>
          </w:tcPr>
          <w:p>
            <w:pPr>
              <w:pStyle w:val="47"/>
              <w:spacing w:line="500" w:lineRule="atLeast"/>
              <w:rPr>
                <w:rFonts w:ascii="仿宋" w:hAnsi="仿宋" w:eastAsia="仿宋" w:cs="仿宋"/>
                <w:b w:val="0"/>
                <w:kern w:val="2"/>
                <w:sz w:val="28"/>
                <w:szCs w:val="28"/>
                <w:highlight w:val="none"/>
                <w:lang w:val="zh-CN"/>
              </w:rPr>
            </w:pPr>
          </w:p>
        </w:tc>
        <w:tc>
          <w:tcPr>
            <w:tcW w:w="1187" w:type="dxa"/>
            <w:vAlign w:val="center"/>
          </w:tcPr>
          <w:p>
            <w:pPr>
              <w:pStyle w:val="47"/>
              <w:spacing w:line="500" w:lineRule="atLeast"/>
              <w:rPr>
                <w:rFonts w:ascii="仿宋" w:hAnsi="仿宋" w:eastAsia="仿宋" w:cs="仿宋"/>
                <w:b w:val="0"/>
                <w:kern w:val="2"/>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62" w:type="dxa"/>
            <w:gridSpan w:val="5"/>
          </w:tcPr>
          <w:p>
            <w:pPr>
              <w:pStyle w:val="47"/>
              <w:spacing w:line="500" w:lineRule="atLeast"/>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总报价（大写）：</w:t>
            </w:r>
          </w:p>
        </w:tc>
      </w:tr>
    </w:tbl>
    <w:p>
      <w:pPr>
        <w:spacing w:line="500" w:lineRule="exac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注：包括货物价款、</w:t>
      </w:r>
      <w:r>
        <w:rPr>
          <w:rFonts w:hint="eastAsia" w:ascii="仿宋" w:hAnsi="仿宋" w:eastAsia="仿宋" w:cs="仿宋"/>
          <w:b/>
          <w:bCs/>
          <w:sz w:val="28"/>
          <w:szCs w:val="28"/>
          <w:highlight w:val="none"/>
          <w:lang w:eastAsia="zh-CN"/>
        </w:rPr>
        <w:t>软件费、</w:t>
      </w:r>
      <w:r>
        <w:rPr>
          <w:rFonts w:hint="eastAsia" w:ascii="仿宋" w:hAnsi="仿宋" w:eastAsia="仿宋" w:cs="仿宋"/>
          <w:b/>
          <w:bCs/>
          <w:sz w:val="28"/>
          <w:szCs w:val="28"/>
          <w:highlight w:val="none"/>
        </w:rPr>
        <w:t>人工费、运杂费（含保险费）、安装调试费、</w:t>
      </w:r>
      <w:r>
        <w:rPr>
          <w:rFonts w:hint="eastAsia" w:ascii="仿宋" w:hAnsi="仿宋" w:eastAsia="仿宋" w:cs="仿宋"/>
          <w:b/>
          <w:bCs/>
          <w:sz w:val="28"/>
          <w:szCs w:val="28"/>
          <w:highlight w:val="none"/>
          <w:lang w:eastAsia="zh-CN"/>
        </w:rPr>
        <w:t>系统平台对接费、系统软件升级费、</w:t>
      </w:r>
      <w:r>
        <w:rPr>
          <w:rFonts w:hint="eastAsia" w:ascii="仿宋" w:hAnsi="仿宋" w:eastAsia="仿宋" w:cs="仿宋"/>
          <w:b/>
          <w:bCs/>
          <w:sz w:val="28"/>
          <w:szCs w:val="28"/>
          <w:highlight w:val="none"/>
        </w:rPr>
        <w:t>技术资料费、培训费、售后服务费、验收费、税金</w:t>
      </w:r>
      <w:r>
        <w:rPr>
          <w:rFonts w:hint="eastAsia" w:ascii="仿宋" w:hAnsi="仿宋" w:eastAsia="仿宋" w:cs="仿宋"/>
          <w:b/>
          <w:bCs/>
          <w:sz w:val="28"/>
          <w:szCs w:val="28"/>
          <w:highlight w:val="none"/>
          <w:lang w:eastAsia="zh-CN"/>
        </w:rPr>
        <w:t>及</w:t>
      </w:r>
      <w:r>
        <w:rPr>
          <w:rFonts w:hint="eastAsia" w:ascii="仿宋" w:hAnsi="仿宋" w:eastAsia="仿宋" w:cs="仿宋"/>
          <w:b/>
          <w:bCs/>
          <w:sz w:val="28"/>
          <w:szCs w:val="28"/>
          <w:highlight w:val="none"/>
        </w:rPr>
        <w:t>风险等所有费用</w:t>
      </w:r>
      <w:r>
        <w:rPr>
          <w:rFonts w:hint="eastAsia" w:ascii="仿宋" w:hAnsi="仿宋" w:eastAsia="仿宋" w:cs="仿宋"/>
          <w:b/>
          <w:bCs/>
          <w:sz w:val="28"/>
          <w:szCs w:val="28"/>
          <w:highlight w:val="none"/>
          <w:lang w:eastAsia="zh-CN"/>
        </w:rPr>
        <w:t>。</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jc w:val="right"/>
        <w:rPr>
          <w:rFonts w:ascii="仿宋" w:hAnsi="仿宋" w:eastAsia="仿宋" w:cs="仿宋"/>
          <w:sz w:val="28"/>
          <w:szCs w:val="28"/>
          <w:highlight w:val="none"/>
        </w:rPr>
      </w:pPr>
    </w:p>
    <w:p>
      <w:pPr>
        <w:spacing w:line="500" w:lineRule="exact"/>
        <w:jc w:val="right"/>
        <w:rPr>
          <w:rFonts w:ascii="仿宋" w:hAnsi="仿宋" w:eastAsia="仿宋" w:cs="仿宋"/>
          <w:bCs/>
          <w:sz w:val="32"/>
          <w:szCs w:val="32"/>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Start w:id="223" w:name="_Toc12941"/>
      <w:bookmarkStart w:id="224" w:name="_Toc438541316"/>
      <w:bookmarkStart w:id="225" w:name="_Toc16561"/>
    </w:p>
    <w:p>
      <w:pPr>
        <w:rPr>
          <w:rFonts w:ascii="仿宋" w:hAnsi="仿宋" w:eastAsia="仿宋" w:cs="仿宋"/>
          <w:bCs/>
          <w:sz w:val="32"/>
          <w:szCs w:val="32"/>
          <w:highlight w:val="none"/>
        </w:rPr>
      </w:pPr>
      <w:r>
        <w:rPr>
          <w:rFonts w:hint="eastAsia" w:ascii="仿宋" w:hAnsi="仿宋" w:eastAsia="仿宋" w:cs="仿宋"/>
          <w:bCs/>
          <w:sz w:val="32"/>
          <w:szCs w:val="32"/>
          <w:highlight w:val="none"/>
        </w:rPr>
        <w:br w:type="page"/>
      </w:r>
    </w:p>
    <w:p>
      <w:pPr>
        <w:pStyle w:val="47"/>
        <w:spacing w:line="500" w:lineRule="exact"/>
        <w:rPr>
          <w:rFonts w:ascii="仿宋" w:hAnsi="仿宋" w:eastAsia="仿宋" w:cs="仿宋"/>
          <w:bCs/>
          <w:sz w:val="32"/>
          <w:szCs w:val="32"/>
          <w:highlight w:val="none"/>
        </w:rPr>
      </w:pPr>
      <w:r>
        <w:rPr>
          <w:rFonts w:hint="eastAsia" w:ascii="仿宋" w:hAnsi="仿宋" w:eastAsia="仿宋" w:cs="仿宋"/>
          <w:bCs/>
          <w:sz w:val="32"/>
          <w:szCs w:val="32"/>
          <w:highlight w:val="none"/>
        </w:rPr>
        <w:t>分项报价表</w:t>
      </w:r>
    </w:p>
    <w:p>
      <w:pPr>
        <w:spacing w:line="500" w:lineRule="exact"/>
        <w:ind w:firstLine="5320" w:firstLineChars="190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（报价单位：人民币 元）</w:t>
      </w:r>
    </w:p>
    <w:tbl>
      <w:tblPr>
        <w:tblStyle w:val="27"/>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977"/>
        <w:gridCol w:w="1214"/>
        <w:gridCol w:w="1480"/>
        <w:gridCol w:w="1386"/>
        <w:gridCol w:w="734"/>
        <w:gridCol w:w="874"/>
        <w:gridCol w:w="804"/>
        <w:gridCol w:w="70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pStyle w:val="16"/>
              <w:jc w:val="center"/>
              <w:rPr>
                <w:rFonts w:hint="default" w:eastAsia="仿宋"/>
                <w:lang w:val="en-US" w:eastAsia="zh-CN"/>
              </w:rPr>
            </w:pPr>
            <w:r>
              <w:rPr>
                <w:rFonts w:hint="eastAsia" w:ascii="仿宋" w:hAnsi="仿宋" w:eastAsia="仿宋" w:cs="仿宋"/>
                <w:b/>
                <w:bCs/>
                <w:kern w:val="0"/>
                <w:sz w:val="24"/>
                <w:szCs w:val="24"/>
                <w:highlight w:val="none"/>
                <w:lang w:val="en-US" w:eastAsia="zh-CN" w:bidi="ar-SA"/>
              </w:rPr>
              <w:t>序号</w:t>
            </w:r>
          </w:p>
        </w:tc>
        <w:tc>
          <w:tcPr>
            <w:tcW w:w="97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名称</w:t>
            </w:r>
          </w:p>
        </w:tc>
        <w:tc>
          <w:tcPr>
            <w:tcW w:w="121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生产厂家</w:t>
            </w:r>
          </w:p>
        </w:tc>
        <w:tc>
          <w:tcPr>
            <w:tcW w:w="1480"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品牌、型号</w:t>
            </w:r>
          </w:p>
        </w:tc>
        <w:tc>
          <w:tcPr>
            <w:tcW w:w="1386"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规格、产地</w:t>
            </w:r>
          </w:p>
        </w:tc>
        <w:tc>
          <w:tcPr>
            <w:tcW w:w="73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87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804"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单价</w:t>
            </w:r>
          </w:p>
        </w:tc>
        <w:tc>
          <w:tcPr>
            <w:tcW w:w="703"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合价</w:t>
            </w:r>
          </w:p>
        </w:tc>
        <w:tc>
          <w:tcPr>
            <w:tcW w:w="816"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vAlign w:val="center"/>
          </w:tcPr>
          <w:p>
            <w:pPr>
              <w:widowControl/>
              <w:jc w:val="center"/>
              <w:rPr>
                <w:rFonts w:ascii="仿宋" w:hAnsi="仿宋" w:eastAsia="仿宋" w:cs="仿宋"/>
                <w:kern w:val="0"/>
                <w:sz w:val="24"/>
                <w:szCs w:val="24"/>
                <w:highlight w:val="none"/>
              </w:rPr>
            </w:pPr>
          </w:p>
        </w:tc>
        <w:tc>
          <w:tcPr>
            <w:tcW w:w="874" w:type="dxa"/>
            <w:vAlign w:val="center"/>
          </w:tcPr>
          <w:p>
            <w:pPr>
              <w:widowControl/>
              <w:jc w:val="center"/>
              <w:rPr>
                <w:rFonts w:ascii="仿宋" w:hAnsi="仿宋" w:eastAsia="仿宋" w:cs="仿宋"/>
                <w:kern w:val="0"/>
                <w:sz w:val="24"/>
                <w:szCs w:val="24"/>
                <w:highlight w:val="none"/>
              </w:rPr>
            </w:pPr>
          </w:p>
        </w:tc>
        <w:tc>
          <w:tcPr>
            <w:tcW w:w="804" w:type="dxa"/>
            <w:vAlign w:val="center"/>
          </w:tcPr>
          <w:p>
            <w:pPr>
              <w:widowControl/>
              <w:jc w:val="center"/>
              <w:rPr>
                <w:rFonts w:ascii="仿宋" w:hAnsi="仿宋" w:eastAsia="仿宋" w:cs="仿宋"/>
                <w:kern w:val="0"/>
                <w:sz w:val="24"/>
                <w:szCs w:val="24"/>
                <w:highlight w:val="none"/>
              </w:rPr>
            </w:pPr>
          </w:p>
        </w:tc>
        <w:tc>
          <w:tcPr>
            <w:tcW w:w="703" w:type="dxa"/>
            <w:vAlign w:val="center"/>
          </w:tcPr>
          <w:p>
            <w:pPr>
              <w:widowControl/>
              <w:jc w:val="left"/>
              <w:rPr>
                <w:rFonts w:ascii="仿宋" w:hAnsi="仿宋" w:eastAsia="仿宋" w:cs="仿宋"/>
                <w:b/>
                <w:bCs/>
                <w:kern w:val="0"/>
                <w:sz w:val="24"/>
                <w:szCs w:val="24"/>
                <w:highlight w:val="none"/>
              </w:rPr>
            </w:pPr>
          </w:p>
        </w:tc>
        <w:tc>
          <w:tcPr>
            <w:tcW w:w="816" w:type="dxa"/>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vAlign w:val="center"/>
          </w:tcPr>
          <w:p>
            <w:pPr>
              <w:widowControl/>
              <w:jc w:val="center"/>
              <w:rPr>
                <w:rFonts w:ascii="仿宋" w:hAnsi="仿宋" w:eastAsia="仿宋" w:cs="仿宋"/>
                <w:kern w:val="0"/>
                <w:sz w:val="24"/>
                <w:szCs w:val="24"/>
                <w:highlight w:val="none"/>
              </w:rPr>
            </w:pPr>
          </w:p>
        </w:tc>
        <w:tc>
          <w:tcPr>
            <w:tcW w:w="874" w:type="dxa"/>
            <w:vAlign w:val="center"/>
          </w:tcPr>
          <w:p>
            <w:pPr>
              <w:widowControl/>
              <w:jc w:val="center"/>
              <w:rPr>
                <w:rFonts w:ascii="仿宋" w:hAnsi="仿宋" w:eastAsia="仿宋" w:cs="仿宋"/>
                <w:kern w:val="0"/>
                <w:sz w:val="24"/>
                <w:szCs w:val="24"/>
                <w:highlight w:val="none"/>
              </w:rPr>
            </w:pPr>
          </w:p>
        </w:tc>
        <w:tc>
          <w:tcPr>
            <w:tcW w:w="804" w:type="dxa"/>
            <w:vAlign w:val="center"/>
          </w:tcPr>
          <w:p>
            <w:pPr>
              <w:widowControl/>
              <w:jc w:val="center"/>
              <w:rPr>
                <w:rFonts w:ascii="仿宋" w:hAnsi="仿宋" w:eastAsia="仿宋" w:cs="仿宋"/>
                <w:kern w:val="0"/>
                <w:sz w:val="24"/>
                <w:szCs w:val="24"/>
                <w:highlight w:val="none"/>
              </w:rPr>
            </w:pPr>
          </w:p>
        </w:tc>
        <w:tc>
          <w:tcPr>
            <w:tcW w:w="703" w:type="dxa"/>
            <w:vAlign w:val="center"/>
          </w:tcPr>
          <w:p>
            <w:pPr>
              <w:widowControl/>
              <w:jc w:val="left"/>
              <w:rPr>
                <w:rFonts w:ascii="仿宋" w:hAnsi="仿宋" w:eastAsia="仿宋" w:cs="仿宋"/>
                <w:b/>
                <w:bCs/>
                <w:kern w:val="0"/>
                <w:sz w:val="24"/>
                <w:szCs w:val="24"/>
                <w:highlight w:val="none"/>
              </w:rPr>
            </w:pPr>
          </w:p>
        </w:tc>
        <w:tc>
          <w:tcPr>
            <w:tcW w:w="816" w:type="dxa"/>
            <w:vAlign w:val="center"/>
          </w:tcPr>
          <w:p>
            <w:pPr>
              <w:widowControl/>
              <w:jc w:val="left"/>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bCs/>
                <w:kern w:val="0"/>
                <w:sz w:val="24"/>
                <w:szCs w:val="24"/>
                <w:highlight w:val="none"/>
              </w:rPr>
            </w:pPr>
            <w:r>
              <w:rPr>
                <w:rFonts w:hint="eastAsia" w:ascii="仿宋" w:hAnsi="仿宋" w:eastAsia="仿宋" w:cs="仿宋"/>
                <w:b/>
                <w:kern w:val="0"/>
                <w:sz w:val="24"/>
                <w:szCs w:val="24"/>
                <w:highlight w:val="none"/>
              </w:rPr>
              <w:t>3</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vAlign w:val="center"/>
          </w:tcPr>
          <w:p>
            <w:pPr>
              <w:widowControl/>
              <w:jc w:val="center"/>
              <w:rPr>
                <w:rFonts w:ascii="仿宋" w:hAnsi="仿宋" w:eastAsia="仿宋" w:cs="仿宋"/>
                <w:kern w:val="0"/>
                <w:sz w:val="24"/>
                <w:szCs w:val="24"/>
                <w:highlight w:val="none"/>
              </w:rPr>
            </w:pPr>
          </w:p>
        </w:tc>
        <w:tc>
          <w:tcPr>
            <w:tcW w:w="874" w:type="dxa"/>
            <w:vAlign w:val="center"/>
          </w:tcPr>
          <w:p>
            <w:pPr>
              <w:widowControl/>
              <w:jc w:val="center"/>
              <w:rPr>
                <w:rFonts w:ascii="仿宋" w:hAnsi="仿宋" w:eastAsia="仿宋" w:cs="仿宋"/>
                <w:kern w:val="0"/>
                <w:sz w:val="24"/>
                <w:szCs w:val="24"/>
                <w:highlight w:val="none"/>
              </w:rPr>
            </w:pPr>
          </w:p>
        </w:tc>
        <w:tc>
          <w:tcPr>
            <w:tcW w:w="804" w:type="dxa"/>
            <w:vAlign w:val="center"/>
          </w:tcPr>
          <w:p>
            <w:pPr>
              <w:widowControl/>
              <w:jc w:val="center"/>
              <w:rPr>
                <w:rFonts w:ascii="仿宋" w:hAnsi="仿宋" w:eastAsia="仿宋" w:cs="仿宋"/>
                <w:kern w:val="0"/>
                <w:sz w:val="24"/>
                <w:szCs w:val="24"/>
                <w:highlight w:val="none"/>
              </w:rPr>
            </w:pPr>
          </w:p>
        </w:tc>
        <w:tc>
          <w:tcPr>
            <w:tcW w:w="703" w:type="dxa"/>
            <w:vAlign w:val="center"/>
          </w:tcPr>
          <w:p>
            <w:pPr>
              <w:widowControl/>
              <w:rPr>
                <w:rFonts w:ascii="仿宋" w:hAnsi="仿宋" w:eastAsia="仿宋" w:cs="仿宋"/>
                <w:kern w:val="0"/>
                <w:sz w:val="24"/>
                <w:szCs w:val="24"/>
                <w:highlight w:val="none"/>
              </w:rPr>
            </w:pPr>
          </w:p>
        </w:tc>
        <w:tc>
          <w:tcPr>
            <w:tcW w:w="816" w:type="dxa"/>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ascii="仿宋" w:hAnsi="仿宋" w:eastAsia="仿宋" w:cs="仿宋"/>
                <w:b/>
                <w:kern w:val="0"/>
                <w:sz w:val="24"/>
                <w:szCs w:val="24"/>
                <w:highlight w:val="none"/>
              </w:rPr>
            </w:pPr>
            <w:r>
              <w:rPr>
                <w:rFonts w:hint="eastAsia" w:ascii="仿宋" w:hAnsi="仿宋" w:eastAsia="仿宋" w:cs="仿宋"/>
                <w:b/>
                <w:bCs/>
                <w:kern w:val="0"/>
                <w:sz w:val="24"/>
                <w:szCs w:val="24"/>
                <w:highlight w:val="none"/>
              </w:rPr>
              <w:t>4</w:t>
            </w:r>
          </w:p>
        </w:tc>
        <w:tc>
          <w:tcPr>
            <w:tcW w:w="977" w:type="dxa"/>
            <w:vAlign w:val="center"/>
          </w:tcPr>
          <w:p>
            <w:pPr>
              <w:widowControl/>
              <w:jc w:val="left"/>
              <w:rPr>
                <w:rFonts w:ascii="仿宋" w:hAnsi="仿宋" w:eastAsia="仿宋" w:cs="仿宋"/>
                <w:kern w:val="0"/>
                <w:sz w:val="24"/>
                <w:szCs w:val="24"/>
                <w:highlight w:val="none"/>
              </w:rPr>
            </w:pPr>
          </w:p>
        </w:tc>
        <w:tc>
          <w:tcPr>
            <w:tcW w:w="1214" w:type="dxa"/>
            <w:vAlign w:val="center"/>
          </w:tcPr>
          <w:p>
            <w:pPr>
              <w:widowControl/>
              <w:jc w:val="left"/>
              <w:rPr>
                <w:rFonts w:ascii="仿宋" w:hAnsi="仿宋" w:eastAsia="仿宋" w:cs="仿宋"/>
                <w:kern w:val="0"/>
                <w:sz w:val="24"/>
                <w:szCs w:val="24"/>
                <w:highlight w:val="none"/>
              </w:rPr>
            </w:pPr>
          </w:p>
        </w:tc>
        <w:tc>
          <w:tcPr>
            <w:tcW w:w="1480" w:type="dxa"/>
            <w:vAlign w:val="center"/>
          </w:tcPr>
          <w:p>
            <w:pPr>
              <w:widowControl/>
              <w:jc w:val="left"/>
              <w:rPr>
                <w:rFonts w:ascii="仿宋" w:hAnsi="仿宋" w:eastAsia="仿宋" w:cs="仿宋"/>
                <w:kern w:val="0"/>
                <w:sz w:val="24"/>
                <w:szCs w:val="24"/>
                <w:highlight w:val="none"/>
              </w:rPr>
            </w:pPr>
          </w:p>
        </w:tc>
        <w:tc>
          <w:tcPr>
            <w:tcW w:w="1386" w:type="dxa"/>
            <w:vAlign w:val="center"/>
          </w:tcPr>
          <w:p>
            <w:pPr>
              <w:widowControl/>
              <w:jc w:val="left"/>
              <w:rPr>
                <w:rFonts w:ascii="仿宋" w:hAnsi="仿宋" w:eastAsia="仿宋" w:cs="仿宋"/>
                <w:kern w:val="0"/>
                <w:sz w:val="24"/>
                <w:szCs w:val="24"/>
                <w:highlight w:val="none"/>
              </w:rPr>
            </w:pPr>
          </w:p>
        </w:tc>
        <w:tc>
          <w:tcPr>
            <w:tcW w:w="734" w:type="dxa"/>
            <w:vAlign w:val="center"/>
          </w:tcPr>
          <w:p>
            <w:pPr>
              <w:widowControl/>
              <w:jc w:val="center"/>
              <w:rPr>
                <w:rFonts w:ascii="仿宋" w:hAnsi="仿宋" w:eastAsia="仿宋" w:cs="仿宋"/>
                <w:kern w:val="0"/>
                <w:sz w:val="24"/>
                <w:szCs w:val="24"/>
                <w:highlight w:val="none"/>
              </w:rPr>
            </w:pPr>
          </w:p>
        </w:tc>
        <w:tc>
          <w:tcPr>
            <w:tcW w:w="874" w:type="dxa"/>
            <w:vAlign w:val="center"/>
          </w:tcPr>
          <w:p>
            <w:pPr>
              <w:widowControl/>
              <w:jc w:val="center"/>
              <w:rPr>
                <w:rFonts w:ascii="仿宋" w:hAnsi="仿宋" w:eastAsia="仿宋" w:cs="仿宋"/>
                <w:kern w:val="0"/>
                <w:sz w:val="24"/>
                <w:szCs w:val="24"/>
                <w:highlight w:val="none"/>
              </w:rPr>
            </w:pPr>
          </w:p>
        </w:tc>
        <w:tc>
          <w:tcPr>
            <w:tcW w:w="804" w:type="dxa"/>
            <w:vAlign w:val="center"/>
          </w:tcPr>
          <w:p>
            <w:pPr>
              <w:widowControl/>
              <w:jc w:val="center"/>
              <w:rPr>
                <w:rFonts w:ascii="仿宋" w:hAnsi="仿宋" w:eastAsia="仿宋" w:cs="仿宋"/>
                <w:kern w:val="0"/>
                <w:sz w:val="24"/>
                <w:szCs w:val="24"/>
                <w:highlight w:val="none"/>
              </w:rPr>
            </w:pPr>
          </w:p>
        </w:tc>
        <w:tc>
          <w:tcPr>
            <w:tcW w:w="703" w:type="dxa"/>
            <w:vAlign w:val="center"/>
          </w:tcPr>
          <w:p>
            <w:pPr>
              <w:widowControl/>
              <w:rPr>
                <w:rFonts w:ascii="仿宋" w:hAnsi="仿宋" w:eastAsia="仿宋" w:cs="仿宋"/>
                <w:kern w:val="0"/>
                <w:sz w:val="24"/>
                <w:szCs w:val="24"/>
                <w:highlight w:val="none"/>
              </w:rPr>
            </w:pPr>
          </w:p>
        </w:tc>
        <w:tc>
          <w:tcPr>
            <w:tcW w:w="816" w:type="dxa"/>
            <w:vAlign w:val="center"/>
          </w:tcPr>
          <w:p>
            <w:pPr>
              <w:widowControl/>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5</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6</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7</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8</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9</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10</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widowControl/>
              <w:jc w:val="center"/>
              <w:rPr>
                <w:rFonts w:hint="default"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w:t>
            </w:r>
          </w:p>
        </w:tc>
        <w:tc>
          <w:tcPr>
            <w:tcW w:w="977" w:type="dxa"/>
            <w:vAlign w:val="center"/>
          </w:tcPr>
          <w:p>
            <w:pPr>
              <w:widowControl/>
              <w:jc w:val="left"/>
              <w:rPr>
                <w:rFonts w:ascii="仿宋" w:hAnsi="仿宋" w:eastAsia="仿宋" w:cs="仿宋"/>
                <w:b/>
                <w:bCs/>
                <w:kern w:val="0"/>
                <w:sz w:val="24"/>
                <w:szCs w:val="24"/>
                <w:highlight w:val="none"/>
              </w:rPr>
            </w:pPr>
          </w:p>
        </w:tc>
        <w:tc>
          <w:tcPr>
            <w:tcW w:w="1214" w:type="dxa"/>
            <w:vAlign w:val="center"/>
          </w:tcPr>
          <w:p>
            <w:pPr>
              <w:widowControl/>
              <w:jc w:val="left"/>
              <w:rPr>
                <w:rFonts w:ascii="仿宋" w:hAnsi="仿宋" w:eastAsia="仿宋" w:cs="仿宋"/>
                <w:b/>
                <w:bCs/>
                <w:kern w:val="0"/>
                <w:sz w:val="24"/>
                <w:szCs w:val="24"/>
                <w:highlight w:val="none"/>
              </w:rPr>
            </w:pPr>
          </w:p>
        </w:tc>
        <w:tc>
          <w:tcPr>
            <w:tcW w:w="1480" w:type="dxa"/>
            <w:vAlign w:val="center"/>
          </w:tcPr>
          <w:p>
            <w:pPr>
              <w:rPr>
                <w:rFonts w:ascii="仿宋" w:hAnsi="仿宋" w:eastAsia="仿宋" w:cs="仿宋"/>
                <w:kern w:val="0"/>
                <w:sz w:val="24"/>
                <w:szCs w:val="24"/>
                <w:highlight w:val="none"/>
              </w:rPr>
            </w:pPr>
          </w:p>
        </w:tc>
        <w:tc>
          <w:tcPr>
            <w:tcW w:w="1386" w:type="dxa"/>
            <w:vAlign w:val="center"/>
          </w:tcPr>
          <w:p>
            <w:pPr>
              <w:rPr>
                <w:rFonts w:ascii="仿宋" w:hAnsi="仿宋" w:eastAsia="仿宋" w:cs="仿宋"/>
                <w:kern w:val="0"/>
                <w:sz w:val="24"/>
                <w:szCs w:val="24"/>
                <w:highlight w:val="none"/>
              </w:rPr>
            </w:pPr>
          </w:p>
        </w:tc>
        <w:tc>
          <w:tcPr>
            <w:tcW w:w="734" w:type="dxa"/>
            <w:vAlign w:val="center"/>
          </w:tcPr>
          <w:p>
            <w:pPr>
              <w:jc w:val="center"/>
              <w:rPr>
                <w:rFonts w:ascii="仿宋" w:hAnsi="仿宋" w:eastAsia="仿宋" w:cs="仿宋"/>
                <w:kern w:val="0"/>
                <w:sz w:val="24"/>
                <w:szCs w:val="24"/>
                <w:highlight w:val="none"/>
              </w:rPr>
            </w:pPr>
          </w:p>
        </w:tc>
        <w:tc>
          <w:tcPr>
            <w:tcW w:w="874" w:type="dxa"/>
            <w:vAlign w:val="center"/>
          </w:tcPr>
          <w:p>
            <w:pPr>
              <w:jc w:val="center"/>
              <w:rPr>
                <w:rFonts w:ascii="仿宋" w:hAnsi="仿宋" w:eastAsia="仿宋" w:cs="仿宋"/>
                <w:kern w:val="0"/>
                <w:sz w:val="24"/>
                <w:szCs w:val="24"/>
                <w:highlight w:val="none"/>
              </w:rPr>
            </w:pPr>
          </w:p>
        </w:tc>
        <w:tc>
          <w:tcPr>
            <w:tcW w:w="804" w:type="dxa"/>
            <w:vAlign w:val="center"/>
          </w:tcPr>
          <w:p>
            <w:pPr>
              <w:jc w:val="center"/>
              <w:rPr>
                <w:rFonts w:ascii="仿宋" w:hAnsi="仿宋" w:eastAsia="仿宋" w:cs="仿宋"/>
                <w:kern w:val="0"/>
                <w:sz w:val="24"/>
                <w:szCs w:val="24"/>
                <w:highlight w:val="none"/>
              </w:rPr>
            </w:pPr>
          </w:p>
        </w:tc>
        <w:tc>
          <w:tcPr>
            <w:tcW w:w="703" w:type="dxa"/>
            <w:vAlign w:val="center"/>
          </w:tcPr>
          <w:p>
            <w:pPr>
              <w:rPr>
                <w:rFonts w:ascii="仿宋" w:hAnsi="仿宋" w:eastAsia="仿宋" w:cs="仿宋"/>
                <w:kern w:val="0"/>
                <w:sz w:val="24"/>
                <w:szCs w:val="24"/>
                <w:highlight w:val="none"/>
              </w:rPr>
            </w:pPr>
          </w:p>
        </w:tc>
        <w:tc>
          <w:tcPr>
            <w:tcW w:w="816" w:type="dxa"/>
            <w:vAlign w:val="center"/>
          </w:tcPr>
          <w:p>
            <w:pPr>
              <w:rPr>
                <w:rFonts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vAlign w:val="center"/>
          </w:tcPr>
          <w:p>
            <w:pPr>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总价</w:t>
            </w:r>
          </w:p>
        </w:tc>
        <w:tc>
          <w:tcPr>
            <w:tcW w:w="8988" w:type="dxa"/>
            <w:gridSpan w:val="9"/>
            <w:vAlign w:val="center"/>
          </w:tcPr>
          <w:p>
            <w:pP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大写：人民币                              （小写：</w:t>
            </w:r>
            <w:r>
              <w:rPr>
                <w:rFonts w:hint="eastAsia" w:ascii="仿宋" w:hAnsi="仿宋" w:eastAsia="仿宋" w:cs="仿宋"/>
                <w:b/>
                <w:bCs/>
                <w:kern w:val="0"/>
                <w:sz w:val="28"/>
                <w:szCs w:val="28"/>
                <w:highlight w:val="none"/>
                <w:lang w:val="zh-CN"/>
              </w:rPr>
              <w:t>¥</w:t>
            </w:r>
            <w:r>
              <w:rPr>
                <w:rFonts w:hint="eastAsia" w:ascii="仿宋" w:hAnsi="仿宋" w:eastAsia="仿宋" w:cs="仿宋"/>
                <w:b/>
                <w:bCs/>
                <w:kern w:val="0"/>
                <w:sz w:val="28"/>
                <w:szCs w:val="28"/>
                <w:highlight w:val="none"/>
              </w:rPr>
              <w:t xml:space="preserve">    元）</w:t>
            </w:r>
          </w:p>
        </w:tc>
      </w:tr>
    </w:tbl>
    <w:p>
      <w:pPr>
        <w:keepNext w:val="0"/>
        <w:keepLines w:val="0"/>
        <w:pageBreakBefore w:val="0"/>
        <w:widowControl w:val="0"/>
        <w:kinsoku/>
        <w:wordWrap/>
        <w:overflowPunct/>
        <w:topLinePunct w:val="0"/>
        <w:autoSpaceDE/>
        <w:autoSpaceDN/>
        <w:bidi w:val="0"/>
        <w:adjustRightInd/>
        <w:snapToGrid/>
        <w:spacing w:line="500" w:lineRule="atLeas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注：1.若表格不够用，各供应商可按此表复制。</w:t>
      </w:r>
    </w:p>
    <w:p>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2.名称同第四章采购内容。</w:t>
      </w:r>
    </w:p>
    <w:p>
      <w:pPr>
        <w:spacing w:line="500" w:lineRule="exact"/>
        <w:rPr>
          <w:rFonts w:ascii="仿宋" w:hAnsi="仿宋" w:eastAsia="仿宋" w:cs="仿宋"/>
          <w:sz w:val="28"/>
          <w:szCs w:val="28"/>
          <w:highlight w:val="none"/>
        </w:rPr>
      </w:pPr>
    </w:p>
    <w:p>
      <w:pPr>
        <w:pStyle w:val="47"/>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7"/>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7"/>
        <w:spacing w:line="500" w:lineRule="exact"/>
        <w:ind w:firstLine="2660" w:firstLineChars="950"/>
        <w:jc w:val="both"/>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pStyle w:val="47"/>
        <w:spacing w:line="500" w:lineRule="exact"/>
        <w:ind w:firstLine="2660" w:firstLineChars="950"/>
        <w:jc w:val="both"/>
        <w:rPr>
          <w:rFonts w:hint="eastAsia" w:ascii="仿宋" w:hAnsi="仿宋" w:eastAsia="仿宋" w:cs="仿宋"/>
          <w:b w:val="0"/>
          <w:kern w:val="2"/>
          <w:sz w:val="28"/>
          <w:szCs w:val="28"/>
          <w:highlight w:val="none"/>
          <w:lang w:val="zh-CN"/>
        </w:rPr>
      </w:pPr>
    </w:p>
    <w:p>
      <w:pPr>
        <w:pStyle w:val="47"/>
        <w:spacing w:line="500" w:lineRule="exact"/>
        <w:ind w:firstLine="2660" w:firstLineChars="950"/>
        <w:jc w:val="both"/>
        <w:rPr>
          <w:rFonts w:hint="eastAsia" w:ascii="仿宋" w:hAnsi="仿宋" w:eastAsia="仿宋" w:cs="仿宋"/>
          <w:b w:val="0"/>
          <w:kern w:val="2"/>
          <w:sz w:val="28"/>
          <w:szCs w:val="28"/>
          <w:highlight w:val="none"/>
          <w:lang w:val="zh-CN"/>
        </w:rPr>
      </w:pPr>
    </w:p>
    <w:p>
      <w:pPr>
        <w:pStyle w:val="47"/>
        <w:spacing w:line="500" w:lineRule="exact"/>
        <w:ind w:firstLine="2660" w:firstLineChars="950"/>
        <w:jc w:val="both"/>
        <w:rPr>
          <w:rFonts w:hint="eastAsia" w:ascii="仿宋" w:hAnsi="仿宋" w:eastAsia="仿宋" w:cs="仿宋"/>
          <w:b w:val="0"/>
          <w:kern w:val="2"/>
          <w:sz w:val="28"/>
          <w:szCs w:val="28"/>
          <w:highlight w:val="none"/>
          <w:lang w:val="zh-CN"/>
        </w:rPr>
      </w:pPr>
    </w:p>
    <w:p>
      <w:pPr>
        <w:pStyle w:val="47"/>
        <w:spacing w:line="500" w:lineRule="exact"/>
        <w:ind w:firstLine="2660" w:firstLineChars="950"/>
        <w:jc w:val="both"/>
        <w:rPr>
          <w:rFonts w:hint="eastAsia" w:ascii="仿宋" w:hAnsi="仿宋" w:eastAsia="仿宋" w:cs="仿宋"/>
          <w:b w:val="0"/>
          <w:kern w:val="2"/>
          <w:sz w:val="28"/>
          <w:szCs w:val="28"/>
          <w:highlight w:val="none"/>
          <w:lang w:val="zh-CN"/>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技术要求响应表</w:t>
      </w:r>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5"/>
        <w:gridCol w:w="2192"/>
        <w:gridCol w:w="2373"/>
        <w:gridCol w:w="2315"/>
        <w:gridCol w:w="1086"/>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192"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名称</w:t>
            </w:r>
          </w:p>
        </w:tc>
        <w:tc>
          <w:tcPr>
            <w:tcW w:w="2373"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招标文件技术要求</w:t>
            </w:r>
          </w:p>
        </w:tc>
        <w:tc>
          <w:tcPr>
            <w:tcW w:w="2315"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投标文件技术响应</w:t>
            </w:r>
          </w:p>
        </w:tc>
        <w:tc>
          <w:tcPr>
            <w:tcW w:w="1086"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偏离</w:t>
            </w:r>
          </w:p>
        </w:tc>
        <w:tc>
          <w:tcPr>
            <w:tcW w:w="1197" w:type="dxa"/>
            <w:vAlign w:val="center"/>
          </w:tcPr>
          <w:p>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响应说明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2192" w:type="dxa"/>
          </w:tcPr>
          <w:p>
            <w:pPr>
              <w:spacing w:line="500" w:lineRule="exact"/>
              <w:jc w:val="center"/>
              <w:rPr>
                <w:rFonts w:ascii="仿宋" w:hAnsi="仿宋" w:eastAsia="仿宋" w:cs="仿宋"/>
                <w:sz w:val="24"/>
                <w:szCs w:val="24"/>
                <w:highlight w:val="none"/>
              </w:rPr>
            </w:pPr>
          </w:p>
        </w:tc>
        <w:tc>
          <w:tcPr>
            <w:tcW w:w="2373" w:type="dxa"/>
          </w:tcPr>
          <w:p>
            <w:pPr>
              <w:spacing w:line="500" w:lineRule="exact"/>
              <w:jc w:val="center"/>
              <w:rPr>
                <w:rFonts w:ascii="仿宋" w:hAnsi="仿宋" w:eastAsia="仿宋" w:cs="仿宋"/>
                <w:sz w:val="24"/>
                <w:szCs w:val="24"/>
                <w:highlight w:val="none"/>
              </w:rPr>
            </w:pPr>
          </w:p>
        </w:tc>
        <w:tc>
          <w:tcPr>
            <w:tcW w:w="2315" w:type="dxa"/>
          </w:tcPr>
          <w:p>
            <w:pPr>
              <w:spacing w:line="500" w:lineRule="exact"/>
              <w:jc w:val="center"/>
              <w:rPr>
                <w:rFonts w:ascii="仿宋" w:hAnsi="仿宋" w:eastAsia="仿宋" w:cs="仿宋"/>
                <w:sz w:val="24"/>
                <w:szCs w:val="24"/>
                <w:highlight w:val="none"/>
              </w:rPr>
            </w:pPr>
          </w:p>
        </w:tc>
        <w:tc>
          <w:tcPr>
            <w:tcW w:w="1086" w:type="dxa"/>
          </w:tcPr>
          <w:p>
            <w:pPr>
              <w:spacing w:line="500" w:lineRule="exact"/>
              <w:jc w:val="center"/>
              <w:rPr>
                <w:rFonts w:ascii="仿宋" w:hAnsi="仿宋" w:eastAsia="仿宋" w:cs="仿宋"/>
                <w:sz w:val="24"/>
                <w:szCs w:val="24"/>
                <w:highlight w:val="none"/>
              </w:rPr>
            </w:pPr>
          </w:p>
        </w:tc>
        <w:tc>
          <w:tcPr>
            <w:tcW w:w="1197" w:type="dxa"/>
          </w:tcPr>
          <w:p>
            <w:pPr>
              <w:spacing w:line="500" w:lineRule="exact"/>
              <w:jc w:val="center"/>
              <w:rPr>
                <w:rFonts w:ascii="仿宋" w:hAnsi="仿宋" w:eastAsia="仿宋" w:cs="仿宋"/>
                <w:sz w:val="24"/>
                <w:szCs w:val="24"/>
                <w:highlight w:val="none"/>
              </w:rPr>
            </w:pPr>
          </w:p>
        </w:tc>
      </w:tr>
    </w:tbl>
    <w:p>
      <w:pPr>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注：1.招标文件技术要求详见招标文件第四章采购内容</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2.偏离填写：有偏离（正/负）、无偏离</w:t>
      </w:r>
    </w:p>
    <w:p>
      <w:pPr>
        <w:spacing w:line="360" w:lineRule="auto"/>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3.响应说明填写：优于、满足</w:t>
      </w:r>
    </w:p>
    <w:p>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4.表格不够用，各供应商可按此表复制</w:t>
      </w:r>
    </w:p>
    <w:p>
      <w:pPr>
        <w:pStyle w:val="11"/>
        <w:rPr>
          <w:rFonts w:hint="default"/>
          <w:highlight w:val="none"/>
        </w:rPr>
      </w:pPr>
    </w:p>
    <w:p>
      <w:pPr>
        <w:pStyle w:val="47"/>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7"/>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7"/>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adjustRightInd w:val="0"/>
        <w:snapToGrid w:val="0"/>
        <w:spacing w:line="360" w:lineRule="auto"/>
        <w:rPr>
          <w:rFonts w:ascii="仿宋" w:hAnsi="仿宋" w:eastAsia="仿宋" w:cs="仿宋"/>
          <w:b/>
          <w:sz w:val="32"/>
          <w:szCs w:val="32"/>
          <w:highlight w:val="none"/>
        </w:rPr>
      </w:pPr>
    </w:p>
    <w:p>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商务要求响应表</w:t>
      </w:r>
    </w:p>
    <w:tbl>
      <w:tblPr>
        <w:tblStyle w:val="2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8"/>
        <w:gridCol w:w="1500"/>
        <w:gridCol w:w="4180"/>
        <w:gridCol w:w="2145"/>
        <w:gridCol w:w="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90"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500"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4180"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招标文件商务要求</w:t>
            </w:r>
          </w:p>
        </w:tc>
        <w:tc>
          <w:tcPr>
            <w:tcW w:w="2145"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（响应/不响应）</w:t>
            </w:r>
          </w:p>
        </w:tc>
        <w:tc>
          <w:tcPr>
            <w:tcW w:w="987" w:type="dxa"/>
            <w:vAlign w:val="center"/>
          </w:tcPr>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响应</w:t>
            </w:r>
          </w:p>
          <w:p>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70"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00" w:type="dxa"/>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整个项目</w:t>
            </w:r>
          </w:p>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完成期限</w:t>
            </w:r>
          </w:p>
        </w:tc>
        <w:tc>
          <w:tcPr>
            <w:tcW w:w="4180" w:type="dxa"/>
            <w:vAlign w:val="center"/>
          </w:tcPr>
          <w:p>
            <w:pPr>
              <w:pStyle w:val="24"/>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shd w:val="clear" w:color="auto" w:fill="FFFFFF"/>
                <w:lang w:eastAsia="zh-CN"/>
              </w:rPr>
              <w:t>合同签订后15日历日</w:t>
            </w:r>
          </w:p>
        </w:tc>
        <w:tc>
          <w:tcPr>
            <w:tcW w:w="2145" w:type="dxa"/>
          </w:tcPr>
          <w:p>
            <w:pPr>
              <w:spacing w:line="500" w:lineRule="exact"/>
              <w:jc w:val="center"/>
              <w:rPr>
                <w:rFonts w:ascii="仿宋" w:hAnsi="仿宋" w:eastAsia="仿宋" w:cs="仿宋"/>
                <w:sz w:val="28"/>
                <w:szCs w:val="28"/>
                <w:highlight w:val="green"/>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质量标准</w:t>
            </w:r>
          </w:p>
        </w:tc>
        <w:tc>
          <w:tcPr>
            <w:tcW w:w="418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合格</w:t>
            </w:r>
          </w:p>
        </w:tc>
        <w:tc>
          <w:tcPr>
            <w:tcW w:w="2145" w:type="dxa"/>
          </w:tcPr>
          <w:p>
            <w:pPr>
              <w:spacing w:line="500" w:lineRule="exact"/>
              <w:jc w:val="center"/>
              <w:rPr>
                <w:rFonts w:ascii="仿宋" w:hAnsi="仿宋" w:eastAsia="仿宋" w:cs="仿宋"/>
                <w:sz w:val="28"/>
                <w:szCs w:val="28"/>
                <w:highlight w:val="green"/>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814" w:hRule="exac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418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color w:val="auto"/>
                <w:sz w:val="28"/>
                <w:szCs w:val="28"/>
                <w:highlight w:val="none"/>
                <w:shd w:val="clear" w:color="auto" w:fill="auto"/>
                <w:lang w:eastAsia="zh-CN"/>
              </w:rPr>
              <w:t>整个项目完成经验收合格并开具全额发票后一次性无息支付</w:t>
            </w:r>
          </w:p>
        </w:tc>
        <w:tc>
          <w:tcPr>
            <w:tcW w:w="2145" w:type="dxa"/>
          </w:tcPr>
          <w:p>
            <w:pPr>
              <w:spacing w:line="500" w:lineRule="exact"/>
              <w:jc w:val="center"/>
              <w:rPr>
                <w:rFonts w:ascii="仿宋" w:hAnsi="仿宋" w:eastAsia="仿宋" w:cs="仿宋"/>
                <w:sz w:val="28"/>
                <w:szCs w:val="28"/>
                <w:highlight w:val="green"/>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4180" w:type="dxa"/>
            <w:vAlign w:val="center"/>
          </w:tcPr>
          <w:p>
            <w:pPr>
              <w:spacing w:line="500" w:lineRule="exact"/>
              <w:jc w:val="center"/>
              <w:rPr>
                <w:rFonts w:ascii="仿宋" w:hAnsi="仿宋" w:eastAsia="仿宋" w:cs="仿宋"/>
                <w:bCs/>
                <w:sz w:val="28"/>
                <w:szCs w:val="28"/>
                <w:highlight w:val="none"/>
                <w:lang w:bidi="ar"/>
              </w:rPr>
            </w:pPr>
            <w:r>
              <w:rPr>
                <w:rFonts w:hint="eastAsia" w:ascii="仿宋" w:hAnsi="仿宋" w:eastAsia="仿宋" w:cs="仿宋"/>
                <w:bCs/>
                <w:sz w:val="28"/>
                <w:szCs w:val="28"/>
                <w:highlight w:val="none"/>
                <w:lang w:val="en-US" w:eastAsia="zh-CN" w:bidi="ar"/>
              </w:rPr>
              <w:t>验收合格后设备1年质保；系统软件3年质保，对系统软件提供终身免费升级支持，终身技术支持</w:t>
            </w:r>
          </w:p>
        </w:tc>
        <w:tc>
          <w:tcPr>
            <w:tcW w:w="2145" w:type="dxa"/>
          </w:tcPr>
          <w:p>
            <w:pPr>
              <w:spacing w:line="500" w:lineRule="exact"/>
              <w:jc w:val="center"/>
              <w:rPr>
                <w:rFonts w:ascii="仿宋" w:hAnsi="仿宋" w:eastAsia="仿宋" w:cs="仿宋"/>
                <w:sz w:val="28"/>
                <w:szCs w:val="28"/>
                <w:highlight w:val="green"/>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合同条款</w:t>
            </w:r>
          </w:p>
        </w:tc>
        <w:tc>
          <w:tcPr>
            <w:tcW w:w="4180" w:type="dxa"/>
            <w:vAlign w:val="center"/>
          </w:tcPr>
          <w:p>
            <w:pPr>
              <w:spacing w:line="500" w:lineRule="exact"/>
              <w:jc w:val="center"/>
              <w:rPr>
                <w:rFonts w:ascii="仿宋" w:hAnsi="仿宋" w:eastAsia="仿宋" w:cs="仿宋"/>
                <w:sz w:val="28"/>
                <w:szCs w:val="28"/>
                <w:highlight w:val="green"/>
              </w:rPr>
            </w:pPr>
            <w:r>
              <w:rPr>
                <w:rFonts w:hint="eastAsia" w:ascii="仿宋" w:hAnsi="仿宋" w:eastAsia="仿宋" w:cs="仿宋"/>
                <w:sz w:val="28"/>
                <w:szCs w:val="28"/>
                <w:highlight w:val="none"/>
              </w:rPr>
              <w:t>第五章  合同范本</w:t>
            </w:r>
          </w:p>
        </w:tc>
        <w:tc>
          <w:tcPr>
            <w:tcW w:w="2145" w:type="dxa"/>
            <w:vAlign w:val="center"/>
          </w:tcPr>
          <w:p>
            <w:pPr>
              <w:spacing w:line="500" w:lineRule="exact"/>
              <w:jc w:val="center"/>
              <w:rPr>
                <w:rFonts w:ascii="仿宋" w:hAnsi="仿宋" w:eastAsia="仿宋" w:cs="仿宋"/>
                <w:sz w:val="28"/>
                <w:szCs w:val="28"/>
                <w:highlight w:val="green"/>
              </w:rPr>
            </w:pPr>
          </w:p>
        </w:tc>
        <w:tc>
          <w:tcPr>
            <w:tcW w:w="987" w:type="dxa"/>
          </w:tcPr>
          <w:p>
            <w:pPr>
              <w:spacing w:line="500" w:lineRule="exact"/>
              <w:jc w:val="center"/>
              <w:rPr>
                <w:rFonts w:ascii="仿宋" w:hAnsi="仿宋" w:eastAsia="仿宋" w:cs="仿宋"/>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90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1500" w:type="dxa"/>
            <w:vAlign w:val="center"/>
          </w:tcPr>
          <w:p>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4180" w:type="dxa"/>
            <w:vAlign w:val="center"/>
          </w:tcPr>
          <w:p>
            <w:pPr>
              <w:spacing w:line="500" w:lineRule="exact"/>
              <w:jc w:val="center"/>
              <w:rPr>
                <w:rFonts w:ascii="仿宋" w:hAnsi="仿宋" w:eastAsia="仿宋" w:cs="仿宋"/>
                <w:sz w:val="28"/>
                <w:szCs w:val="28"/>
                <w:highlight w:val="none"/>
              </w:rPr>
            </w:pPr>
          </w:p>
        </w:tc>
        <w:tc>
          <w:tcPr>
            <w:tcW w:w="2145" w:type="dxa"/>
            <w:vAlign w:val="center"/>
          </w:tcPr>
          <w:p>
            <w:pPr>
              <w:spacing w:line="500" w:lineRule="exact"/>
              <w:jc w:val="center"/>
              <w:rPr>
                <w:rFonts w:ascii="仿宋" w:hAnsi="仿宋" w:eastAsia="仿宋" w:cs="仿宋"/>
                <w:sz w:val="28"/>
                <w:szCs w:val="28"/>
                <w:highlight w:val="none"/>
              </w:rPr>
            </w:pPr>
          </w:p>
        </w:tc>
        <w:tc>
          <w:tcPr>
            <w:tcW w:w="987" w:type="dxa"/>
            <w:vAlign w:val="center"/>
          </w:tcPr>
          <w:p>
            <w:pPr>
              <w:spacing w:line="500" w:lineRule="exact"/>
              <w:jc w:val="center"/>
              <w:rPr>
                <w:rFonts w:ascii="仿宋" w:hAnsi="仿宋" w:eastAsia="仿宋" w:cs="仿宋"/>
                <w:sz w:val="28"/>
                <w:szCs w:val="28"/>
                <w:highlight w:val="none"/>
              </w:rPr>
            </w:pPr>
          </w:p>
        </w:tc>
      </w:tr>
    </w:tbl>
    <w:p>
      <w:pPr>
        <w:spacing w:line="500" w:lineRule="exact"/>
        <w:rPr>
          <w:rFonts w:ascii="仿宋" w:hAnsi="仿宋" w:eastAsia="仿宋" w:cs="仿宋"/>
          <w:bCs/>
          <w:sz w:val="28"/>
          <w:szCs w:val="28"/>
          <w:highlight w:val="none"/>
        </w:rPr>
      </w:pPr>
      <w:r>
        <w:rPr>
          <w:rFonts w:hint="eastAsia" w:ascii="仿宋" w:hAnsi="仿宋" w:eastAsia="仿宋" w:cs="仿宋"/>
          <w:bCs/>
          <w:sz w:val="28"/>
          <w:szCs w:val="28"/>
          <w:highlight w:val="none"/>
        </w:rPr>
        <w:t>注：1.响应说明：若优于要求具体填写相关内容。</w:t>
      </w:r>
    </w:p>
    <w:p>
      <w:pPr>
        <w:spacing w:line="50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2.表格不够用，各供应商可按此表复制。</w:t>
      </w:r>
    </w:p>
    <w:p>
      <w:pPr>
        <w:pStyle w:val="22"/>
        <w:ind w:left="0" w:leftChars="0"/>
        <w:rPr>
          <w:highlight w:val="none"/>
        </w:rPr>
      </w:pPr>
    </w:p>
    <w:p>
      <w:pPr>
        <w:rPr>
          <w:highlight w:val="none"/>
        </w:rPr>
      </w:pPr>
    </w:p>
    <w:p>
      <w:pPr>
        <w:pStyle w:val="47"/>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7"/>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7"/>
        <w:spacing w:line="500" w:lineRule="exac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bookmarkEnd w:id="223"/>
    <w:bookmarkEnd w:id="224"/>
    <w:bookmarkEnd w:id="225"/>
    <w:p>
      <w:pPr>
        <w:rPr>
          <w:rFonts w:ascii="仿宋" w:hAnsi="仿宋" w:cs="仿宋"/>
          <w:szCs w:val="28"/>
          <w:highlight w:val="none"/>
        </w:rPr>
      </w:pPr>
      <w:r>
        <w:rPr>
          <w:rFonts w:ascii="仿宋" w:hAnsi="仿宋" w:cs="仿宋"/>
          <w:szCs w:val="28"/>
          <w:highlight w:val="none"/>
        </w:rPr>
        <w:br w:type="page"/>
      </w:r>
    </w:p>
    <w:p>
      <w:pPr>
        <w:spacing w:line="500" w:lineRule="atLeast"/>
        <w:jc w:val="center"/>
        <w:outlineLvl w:val="2"/>
        <w:rPr>
          <w:rFonts w:ascii="仿宋" w:hAnsi="仿宋" w:eastAsia="仿宋" w:cs="仿宋"/>
          <w:b/>
          <w:bCs/>
          <w:sz w:val="36"/>
          <w:szCs w:val="36"/>
          <w:highlight w:val="none"/>
        </w:rPr>
      </w:pPr>
      <w:bookmarkStart w:id="226" w:name="_Toc14381_WPSOffice_Level1"/>
      <w:bookmarkStart w:id="227" w:name="_Toc14488"/>
      <w:bookmarkStart w:id="228" w:name="_Toc11782"/>
      <w:bookmarkStart w:id="229" w:name="_Toc28061"/>
      <w:bookmarkStart w:id="230" w:name="_Toc18268_WPSOffice_Level1"/>
      <w:bookmarkStart w:id="231" w:name="_Toc18984"/>
      <w:bookmarkStart w:id="232" w:name="_Toc7161"/>
      <w:bookmarkStart w:id="233" w:name="_Toc438541323"/>
      <w:bookmarkStart w:id="234" w:name="_Toc4156"/>
      <w:bookmarkStart w:id="235" w:name="_Toc5608"/>
      <w:bookmarkStart w:id="236" w:name="_Toc438541320"/>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三</w:t>
      </w:r>
      <w:r>
        <w:rPr>
          <w:rFonts w:hint="eastAsia" w:ascii="仿宋" w:hAnsi="仿宋" w:eastAsia="仿宋" w:cs="仿宋"/>
          <w:b/>
          <w:bCs/>
          <w:sz w:val="36"/>
          <w:szCs w:val="36"/>
          <w:highlight w:val="none"/>
        </w:rPr>
        <w:t>部分  业绩证明文件</w:t>
      </w:r>
      <w:bookmarkEnd w:id="226"/>
      <w:bookmarkEnd w:id="227"/>
      <w:bookmarkEnd w:id="228"/>
      <w:bookmarkEnd w:id="229"/>
      <w:bookmarkEnd w:id="230"/>
      <w:bookmarkEnd w:id="231"/>
      <w:bookmarkEnd w:id="232"/>
      <w:bookmarkEnd w:id="233"/>
      <w:bookmarkEnd w:id="234"/>
    </w:p>
    <w:p>
      <w:pPr>
        <w:spacing w:line="500" w:lineRule="exact"/>
        <w:rPr>
          <w:rFonts w:ascii="仿宋" w:hAnsi="仿宋" w:eastAsia="仿宋" w:cs="仿宋"/>
          <w:sz w:val="28"/>
          <w:szCs w:val="24"/>
          <w:highlight w:val="none"/>
          <w:u w:val="single"/>
        </w:rPr>
      </w:pPr>
      <w:r>
        <w:rPr>
          <w:rFonts w:hint="eastAsia" w:ascii="仿宋" w:hAnsi="仿宋" w:eastAsia="仿宋" w:cs="仿宋"/>
          <w:sz w:val="28"/>
          <w:szCs w:val="24"/>
          <w:highlight w:val="none"/>
        </w:rPr>
        <w:t>供应商名称：</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 xml:space="preserve">     采购项目编号：</w:t>
      </w:r>
      <w:r>
        <w:rPr>
          <w:rFonts w:hint="eastAsia" w:ascii="仿宋" w:hAnsi="仿宋" w:eastAsia="仿宋" w:cs="仿宋"/>
          <w:sz w:val="28"/>
          <w:szCs w:val="24"/>
          <w:highlight w:val="none"/>
          <w:u w:val="single"/>
        </w:rPr>
        <w:t xml:space="preserve">           .</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3"/>
        <w:gridCol w:w="1554"/>
        <w:gridCol w:w="2697"/>
        <w:gridCol w:w="1123"/>
        <w:gridCol w:w="1065"/>
        <w:gridCol w:w="900"/>
        <w:gridCol w:w="17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序号</w:t>
            </w:r>
          </w:p>
        </w:tc>
        <w:tc>
          <w:tcPr>
            <w:tcW w:w="1554"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项目名称</w:t>
            </w:r>
          </w:p>
        </w:tc>
        <w:tc>
          <w:tcPr>
            <w:tcW w:w="2697"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项目内容</w:t>
            </w:r>
          </w:p>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（类似项目）</w:t>
            </w: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完成日期</w:t>
            </w:r>
          </w:p>
        </w:tc>
        <w:tc>
          <w:tcPr>
            <w:tcW w:w="1065"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质量</w:t>
            </w:r>
          </w:p>
        </w:tc>
        <w:tc>
          <w:tcPr>
            <w:tcW w:w="900"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金额</w:t>
            </w:r>
          </w:p>
        </w:tc>
        <w:tc>
          <w:tcPr>
            <w:tcW w:w="1748" w:type="dxa"/>
            <w:vAlign w:val="center"/>
          </w:tcPr>
          <w:p>
            <w:pPr>
              <w:spacing w:line="500" w:lineRule="exact"/>
              <w:jc w:val="center"/>
              <w:rPr>
                <w:rFonts w:ascii="仿宋" w:hAnsi="仿宋" w:eastAsia="仿宋" w:cs="仿宋"/>
                <w:b/>
                <w:bCs/>
                <w:sz w:val="24"/>
                <w:szCs w:val="20"/>
                <w:highlight w:val="none"/>
              </w:rPr>
            </w:pPr>
            <w:r>
              <w:rPr>
                <w:rFonts w:hint="eastAsia" w:ascii="仿宋" w:hAnsi="仿宋" w:eastAsia="仿宋" w:cs="仿宋"/>
                <w:b/>
                <w:bCs/>
                <w:sz w:val="24"/>
                <w:szCs w:val="20"/>
                <w:highlight w:val="none"/>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tcPr>
          <w:p>
            <w:pPr>
              <w:spacing w:line="500" w:lineRule="exact"/>
              <w:jc w:val="center"/>
              <w:rPr>
                <w:rFonts w:ascii="仿宋" w:hAnsi="仿宋" w:eastAsia="仿宋" w:cs="仿宋"/>
                <w:sz w:val="24"/>
                <w:highlight w:val="none"/>
              </w:rPr>
            </w:pPr>
          </w:p>
        </w:tc>
        <w:tc>
          <w:tcPr>
            <w:tcW w:w="1748" w:type="dxa"/>
          </w:tcPr>
          <w:p>
            <w:pPr>
              <w:spacing w:line="500" w:lineRule="exact"/>
              <w:jc w:val="center"/>
              <w:rPr>
                <w:rFonts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613" w:type="dxa"/>
            <w:vAlign w:val="center"/>
          </w:tcPr>
          <w:p>
            <w:pPr>
              <w:spacing w:line="500" w:lineRule="exact"/>
              <w:ind w:left="120"/>
              <w:jc w:val="center"/>
              <w:rPr>
                <w:rFonts w:ascii="仿宋" w:hAnsi="仿宋" w:eastAsia="仿宋" w:cs="仿宋"/>
                <w:sz w:val="24"/>
                <w:highlight w:val="none"/>
              </w:rPr>
            </w:pPr>
            <w:r>
              <w:rPr>
                <w:rFonts w:hint="eastAsia" w:ascii="仿宋" w:hAnsi="仿宋" w:eastAsia="仿宋" w:cs="仿宋"/>
                <w:sz w:val="24"/>
                <w:highlight w:val="none"/>
              </w:rPr>
              <w:t>...</w:t>
            </w:r>
          </w:p>
        </w:tc>
        <w:tc>
          <w:tcPr>
            <w:tcW w:w="1554" w:type="dxa"/>
            <w:vAlign w:val="center"/>
          </w:tcPr>
          <w:p>
            <w:pPr>
              <w:spacing w:line="500" w:lineRule="exact"/>
              <w:jc w:val="center"/>
              <w:rPr>
                <w:rFonts w:ascii="仿宋" w:hAnsi="仿宋" w:eastAsia="仿宋" w:cs="仿宋"/>
                <w:sz w:val="24"/>
                <w:highlight w:val="none"/>
              </w:rPr>
            </w:pPr>
          </w:p>
        </w:tc>
        <w:tc>
          <w:tcPr>
            <w:tcW w:w="2697" w:type="dxa"/>
            <w:vAlign w:val="center"/>
          </w:tcPr>
          <w:p>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pPr>
              <w:spacing w:line="500" w:lineRule="exact"/>
              <w:jc w:val="center"/>
              <w:rPr>
                <w:rFonts w:ascii="仿宋" w:hAnsi="仿宋" w:eastAsia="仿宋" w:cs="仿宋"/>
                <w:sz w:val="24"/>
                <w:highlight w:val="none"/>
              </w:rPr>
            </w:pPr>
          </w:p>
        </w:tc>
        <w:tc>
          <w:tcPr>
            <w:tcW w:w="1065" w:type="dxa"/>
            <w:vAlign w:val="center"/>
          </w:tcPr>
          <w:p>
            <w:pPr>
              <w:spacing w:line="500" w:lineRule="exact"/>
              <w:jc w:val="center"/>
              <w:rPr>
                <w:rFonts w:ascii="仿宋" w:hAnsi="仿宋" w:eastAsia="仿宋" w:cs="仿宋"/>
                <w:sz w:val="24"/>
                <w:highlight w:val="none"/>
              </w:rPr>
            </w:pPr>
          </w:p>
        </w:tc>
        <w:tc>
          <w:tcPr>
            <w:tcW w:w="900" w:type="dxa"/>
            <w:vAlign w:val="center"/>
          </w:tcPr>
          <w:p>
            <w:pPr>
              <w:spacing w:line="500" w:lineRule="exact"/>
              <w:jc w:val="center"/>
              <w:rPr>
                <w:rFonts w:ascii="仿宋" w:hAnsi="仿宋" w:eastAsia="仿宋" w:cs="仿宋"/>
                <w:sz w:val="24"/>
                <w:highlight w:val="none"/>
              </w:rPr>
            </w:pPr>
          </w:p>
        </w:tc>
        <w:tc>
          <w:tcPr>
            <w:tcW w:w="1748" w:type="dxa"/>
            <w:vAlign w:val="center"/>
          </w:tcPr>
          <w:p>
            <w:pPr>
              <w:spacing w:line="500" w:lineRule="exact"/>
              <w:jc w:val="center"/>
              <w:rPr>
                <w:rFonts w:ascii="仿宋" w:hAnsi="仿宋" w:eastAsia="仿宋" w:cs="仿宋"/>
                <w:sz w:val="24"/>
                <w:highlight w:val="none"/>
              </w:rPr>
            </w:pPr>
          </w:p>
        </w:tc>
      </w:tr>
    </w:tbl>
    <w:p>
      <w:pPr>
        <w:spacing w:line="500" w:lineRule="exact"/>
        <w:rPr>
          <w:rFonts w:ascii="仿宋" w:hAnsi="仿宋" w:eastAsia="仿宋" w:cs="仿宋"/>
          <w:bCs/>
          <w:sz w:val="28"/>
          <w:szCs w:val="24"/>
          <w:highlight w:val="none"/>
        </w:rPr>
      </w:pPr>
      <w:r>
        <w:rPr>
          <w:rFonts w:hint="eastAsia" w:ascii="仿宋" w:hAnsi="仿宋" w:eastAsia="仿宋" w:cs="仿宋"/>
          <w:bCs/>
          <w:sz w:val="28"/>
          <w:szCs w:val="24"/>
          <w:highlight w:val="none"/>
        </w:rPr>
        <w:t>注：1.若表格不够用，各供应商可按此表自行复制；</w:t>
      </w:r>
    </w:p>
    <w:p>
      <w:pPr>
        <w:spacing w:line="50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4"/>
          <w:highlight w:val="none"/>
        </w:rPr>
        <w:t>2.</w:t>
      </w:r>
      <w:r>
        <w:rPr>
          <w:rFonts w:hint="eastAsia" w:ascii="仿宋" w:hAnsi="仿宋" w:eastAsia="仿宋" w:cs="仿宋"/>
          <w:sz w:val="28"/>
          <w:szCs w:val="28"/>
          <w:highlight w:val="none"/>
        </w:rPr>
        <w:t>提供20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年1月1日以来供应商类似项目的业绩合同（以合同签订日期为准），附业绩合同复印件加盖公章。</w:t>
      </w:r>
    </w:p>
    <w:p>
      <w:pPr>
        <w:pStyle w:val="11"/>
        <w:rPr>
          <w:rFonts w:hint="default"/>
          <w:highlight w:val="none"/>
        </w:rPr>
      </w:pPr>
    </w:p>
    <w:p>
      <w:pPr>
        <w:rPr>
          <w:highlight w:val="none"/>
        </w:rPr>
      </w:pP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供</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应</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zh-CN"/>
        </w:rPr>
        <w:t>（公</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法定代表人或被授权委托人：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spacing w:line="500" w:lineRule="exact"/>
        <w:ind w:firstLine="560"/>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 xml:space="preserve">日   </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  期：</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年</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月</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日</w:t>
      </w:r>
      <w:bookmarkEnd w:id="235"/>
      <w:bookmarkEnd w:id="236"/>
      <w:bookmarkStart w:id="237" w:name="_Toc438541322"/>
    </w:p>
    <w:p>
      <w:pPr>
        <w:pStyle w:val="26"/>
        <w:rPr>
          <w:rFonts w:hint="default"/>
        </w:rPr>
      </w:pPr>
    </w:p>
    <w:p>
      <w:pPr>
        <w:spacing w:line="500" w:lineRule="atLeast"/>
        <w:jc w:val="center"/>
        <w:outlineLvl w:val="2"/>
        <w:rPr>
          <w:rFonts w:ascii="仿宋" w:hAnsi="仿宋" w:eastAsia="仿宋" w:cs="仿宋"/>
          <w:b/>
          <w:bCs/>
          <w:sz w:val="36"/>
          <w:szCs w:val="36"/>
          <w:highlight w:val="none"/>
        </w:rPr>
      </w:pPr>
      <w:bookmarkStart w:id="238" w:name="_Toc2574"/>
      <w:bookmarkStart w:id="239" w:name="_Toc18258_WPSOffice_Level1"/>
      <w:bookmarkStart w:id="240" w:name="_Toc24582"/>
      <w:bookmarkStart w:id="241" w:name="_Toc13736"/>
      <w:bookmarkStart w:id="242" w:name="_Toc26416_WPSOffice_Level1"/>
      <w:bookmarkStart w:id="243" w:name="_Toc742"/>
      <w:bookmarkStart w:id="244" w:name="_Toc13663"/>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四</w:t>
      </w:r>
      <w:r>
        <w:rPr>
          <w:rFonts w:hint="eastAsia" w:ascii="仿宋" w:hAnsi="仿宋" w:eastAsia="仿宋" w:cs="仿宋"/>
          <w:b/>
          <w:bCs/>
          <w:sz w:val="36"/>
          <w:szCs w:val="36"/>
          <w:highlight w:val="none"/>
        </w:rPr>
        <w:t>部分  投标</w:t>
      </w:r>
      <w:bookmarkEnd w:id="237"/>
      <w:bookmarkEnd w:id="238"/>
      <w:bookmarkEnd w:id="239"/>
      <w:bookmarkEnd w:id="240"/>
      <w:bookmarkEnd w:id="241"/>
      <w:bookmarkEnd w:id="242"/>
      <w:r>
        <w:rPr>
          <w:rFonts w:hint="eastAsia" w:ascii="仿宋" w:hAnsi="仿宋" w:eastAsia="仿宋" w:cs="仿宋"/>
          <w:b/>
          <w:bCs/>
          <w:sz w:val="36"/>
          <w:szCs w:val="36"/>
          <w:highlight w:val="none"/>
        </w:rPr>
        <w:t>方案说明</w:t>
      </w:r>
      <w:bookmarkEnd w:id="243"/>
      <w:bookmarkEnd w:id="244"/>
    </w:p>
    <w:p>
      <w:pPr>
        <w:pStyle w:val="11"/>
        <w:rPr>
          <w:rFonts w:hint="default"/>
          <w:highlight w:val="none"/>
        </w:rPr>
      </w:pP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供应商企业简介；</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商务部分响应；</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bookmarkStart w:id="245" w:name="_Toc27627"/>
      <w:bookmarkStart w:id="246" w:name="_Toc1371_WPSOffice_Level1"/>
      <w:bookmarkStart w:id="247" w:name="_Toc20394"/>
      <w:bookmarkStart w:id="248" w:name="_Toc8829_WPSOffice_Level1"/>
      <w:bookmarkStart w:id="249" w:name="_Toc438541324"/>
      <w:bookmarkStart w:id="250" w:name="_Toc29179"/>
      <w:r>
        <w:rPr>
          <w:rFonts w:hint="eastAsia" w:ascii="仿宋" w:hAnsi="仿宋" w:eastAsia="仿宋" w:cs="仿宋"/>
          <w:color w:val="auto"/>
          <w:sz w:val="28"/>
          <w:szCs w:val="28"/>
          <w:highlight w:val="none"/>
        </w:rPr>
        <w:t>技术部分响应：</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kern w:val="2"/>
          <w:sz w:val="28"/>
          <w:szCs w:val="28"/>
          <w:highlight w:val="none"/>
          <w:lang w:val="en-US" w:eastAsia="zh-CN" w:bidi="ar-SA"/>
        </w:rPr>
        <w:t>所投产品技术参数指标；</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所投产品相关资料；</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color w:val="auto"/>
          <w:sz w:val="28"/>
          <w:szCs w:val="28"/>
          <w:highlight w:val="none"/>
        </w:rPr>
        <w:t>整体实施方案</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4、售后服务承诺及培训</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（1）针对本项目实际需求提供实质性承诺；</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rPr>
        <w:t>提供详细的技术培训方案</w:t>
      </w:r>
      <w:r>
        <w:rPr>
          <w:rFonts w:hint="eastAsia" w:ascii="仿宋" w:hAnsi="仿宋" w:eastAsia="仿宋" w:cs="仿宋"/>
          <w:color w:val="auto"/>
          <w:sz w:val="28"/>
          <w:szCs w:val="28"/>
          <w:highlight w:val="none"/>
          <w:lang w:val="en-US"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供应商认为有必要提供而增加其竞争性的其它资料。</w:t>
      </w:r>
    </w:p>
    <w:p>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pPr>
        <w:spacing w:line="500" w:lineRule="atLeast"/>
        <w:jc w:val="center"/>
        <w:outlineLvl w:val="2"/>
        <w:rPr>
          <w:rFonts w:ascii="仿宋" w:hAnsi="仿宋" w:eastAsia="仿宋" w:cs="仿宋"/>
          <w:sz w:val="28"/>
          <w:szCs w:val="28"/>
          <w:highlight w:val="none"/>
        </w:rPr>
      </w:pPr>
      <w:bookmarkStart w:id="251" w:name="_Toc5347"/>
      <w:bookmarkStart w:id="252" w:name="_Toc21440"/>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 xml:space="preserve">部分  </w:t>
      </w:r>
      <w:bookmarkEnd w:id="245"/>
      <w:bookmarkEnd w:id="246"/>
      <w:bookmarkEnd w:id="247"/>
      <w:bookmarkEnd w:id="248"/>
      <w:bookmarkEnd w:id="249"/>
      <w:bookmarkEnd w:id="250"/>
      <w:r>
        <w:rPr>
          <w:rFonts w:hint="eastAsia" w:ascii="仿宋" w:hAnsi="仿宋" w:eastAsia="仿宋" w:cs="仿宋"/>
          <w:b/>
          <w:bCs/>
          <w:sz w:val="36"/>
          <w:szCs w:val="36"/>
          <w:highlight w:val="none"/>
        </w:rPr>
        <w:t>供应商承诺书</w:t>
      </w:r>
      <w:bookmarkEnd w:id="251"/>
      <w:bookmarkEnd w:id="252"/>
    </w:p>
    <w:p>
      <w:pPr>
        <w:spacing w:line="500" w:lineRule="atLeast"/>
        <w:rPr>
          <w:rFonts w:ascii="仿宋" w:hAnsi="仿宋" w:eastAsia="仿宋" w:cs="仿宋"/>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作为参加贵单位组织的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的投标供应商，本公司郑重承诺：</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1、在参加本项目投标之前不存在被依法禁止经营行为、财产被接管或冻结的情况，如有隐瞒实情，愿承担一切责任及后果。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2、近三年受到有关行政主管部门的行政处理、不良行为记录为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次（没有填零），如有隐瞒实情，愿承担一切责任及后果。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3、参加本次投标提交的所有资格证明文件是真实的、有效的，如有隐瞒实情，愿承担一切责任及后果。</w:t>
      </w:r>
    </w:p>
    <w:p>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4、我方已阅读《财政部关于在政府采购活动中查询及使用信用记录有关问题的通知-财库〔2016〕125号》文件，并领会了文件的精神。因违反文件规定所产生的后果由我方自行承担。</w:t>
      </w:r>
    </w:p>
    <w:p>
      <w:pPr>
        <w:spacing w:line="500" w:lineRule="atLeast"/>
        <w:rPr>
          <w:rFonts w:ascii="仿宋" w:hAnsi="仿宋" w:eastAsia="仿宋" w:cs="仿宋"/>
          <w:sz w:val="28"/>
          <w:szCs w:val="28"/>
          <w:highlight w:val="none"/>
        </w:rPr>
      </w:pPr>
    </w:p>
    <w:p>
      <w:pPr>
        <w:pStyle w:val="11"/>
        <w:rPr>
          <w:rFonts w:hint="default" w:ascii="仿宋" w:hAnsi="仿宋" w:cs="仿宋"/>
          <w:sz w:val="28"/>
          <w:szCs w:val="28"/>
          <w:highlight w:val="none"/>
        </w:rPr>
      </w:pPr>
    </w:p>
    <w:p>
      <w:pPr>
        <w:pStyle w:val="11"/>
        <w:rPr>
          <w:rFonts w:hint="default" w:ascii="仿宋" w:hAnsi="仿宋" w:cs="仿宋"/>
          <w:sz w:val="28"/>
          <w:szCs w:val="28"/>
          <w:highlight w:val="none"/>
        </w:rPr>
      </w:pPr>
    </w:p>
    <w:p>
      <w:pPr>
        <w:pStyle w:val="47"/>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pPr>
        <w:pStyle w:val="47"/>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pPr>
        <w:pStyle w:val="47"/>
        <w:spacing w:line="500" w:lineRule="atLeast"/>
        <w:ind w:firstLine="2660" w:firstLineChars="950"/>
        <w:jc w:val="both"/>
        <w:rPr>
          <w:rFonts w:ascii="仿宋" w:hAnsi="仿宋" w:eastAsia="仿宋" w:cs="仿宋"/>
          <w:b w:val="0"/>
          <w:kern w:val="2"/>
          <w:sz w:val="24"/>
          <w:szCs w:val="24"/>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pPr>
        <w:keepNext w:val="0"/>
        <w:keepLines w:val="0"/>
        <w:pageBreakBefore w:val="0"/>
        <w:widowControl w:val="0"/>
        <w:tabs>
          <w:tab w:val="left" w:pos="1755"/>
        </w:tabs>
        <w:kinsoku/>
        <w:wordWrap/>
        <w:overflowPunct/>
        <w:topLinePunct w:val="0"/>
        <w:autoSpaceDE/>
        <w:autoSpaceDN/>
        <w:bidi w:val="0"/>
        <w:adjustRightInd/>
        <w:snapToGrid/>
        <w:spacing w:line="480" w:lineRule="auto"/>
        <w:jc w:val="center"/>
        <w:textAlignment w:val="auto"/>
        <w:outlineLvl w:val="2"/>
      </w:pPr>
      <w:r>
        <w:rPr>
          <w:rFonts w:hint="eastAsia" w:ascii="仿宋" w:hAnsi="仿宋" w:eastAsia="仿宋" w:cs="仿宋"/>
          <w:sz w:val="28"/>
          <w:szCs w:val="28"/>
          <w:highlight w:val="none"/>
        </w:rPr>
        <w:br w:type="page"/>
      </w:r>
      <w:bookmarkStart w:id="253" w:name="_Toc438541325"/>
      <w:bookmarkStart w:id="254" w:name="_Toc24209"/>
      <w:bookmarkStart w:id="255" w:name="_Toc31068"/>
      <w:bookmarkStart w:id="256" w:name="_Toc31299"/>
      <w:bookmarkStart w:id="257" w:name="_Toc6166_WPSOffice_Level1"/>
      <w:bookmarkStart w:id="258" w:name="_Toc22372_WPSOffice_Level1"/>
      <w:bookmarkStart w:id="259" w:name="_Toc8275"/>
      <w:bookmarkStart w:id="260" w:name="_Toc31198"/>
      <w:bookmarkStart w:id="261" w:name="_Toc9648"/>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部分  政府采购供应商拒绝政府采购</w:t>
      </w:r>
      <w:bookmarkEnd w:id="253"/>
      <w:bookmarkEnd w:id="254"/>
      <w:bookmarkEnd w:id="255"/>
      <w:bookmarkStart w:id="262" w:name="_Toc28167"/>
      <w:bookmarkStart w:id="263" w:name="_Toc435777821"/>
      <w:bookmarkStart w:id="264" w:name="_Toc438541326"/>
      <w:bookmarkStart w:id="265" w:name="_Toc437425973"/>
      <w:bookmarkStart w:id="266" w:name="_Toc437247481"/>
      <w:r>
        <w:rPr>
          <w:rFonts w:hint="eastAsia" w:ascii="仿宋" w:hAnsi="仿宋" w:eastAsia="仿宋" w:cs="仿宋"/>
          <w:b/>
          <w:bCs/>
          <w:sz w:val="32"/>
          <w:szCs w:val="32"/>
          <w:highlight w:val="none"/>
        </w:rPr>
        <w:t>领域</w:t>
      </w:r>
      <w:bookmarkStart w:id="267" w:name="_Toc435777721"/>
      <w:bookmarkStart w:id="268" w:name="_Toc435776434"/>
      <w:r>
        <w:rPr>
          <w:rFonts w:hint="eastAsia" w:ascii="仿宋" w:hAnsi="仿宋" w:eastAsia="仿宋" w:cs="仿宋"/>
          <w:b/>
          <w:bCs/>
          <w:sz w:val="32"/>
          <w:szCs w:val="32"/>
          <w:highlight w:val="none"/>
        </w:rPr>
        <w:t>商业</w:t>
      </w:r>
      <w:bookmarkEnd w:id="262"/>
      <w:bookmarkEnd w:id="263"/>
      <w:bookmarkEnd w:id="264"/>
      <w:bookmarkEnd w:id="265"/>
      <w:bookmarkEnd w:id="266"/>
      <w:bookmarkEnd w:id="267"/>
      <w:bookmarkEnd w:id="268"/>
      <w:r>
        <w:rPr>
          <w:rFonts w:hint="eastAsia" w:ascii="仿宋" w:hAnsi="仿宋" w:eastAsia="仿宋" w:cs="仿宋"/>
          <w:b/>
          <w:bCs/>
          <w:sz w:val="32"/>
          <w:szCs w:val="32"/>
          <w:highlight w:val="none"/>
        </w:rPr>
        <w:t>贿赂承诺书</w:t>
      </w:r>
      <w:bookmarkEnd w:id="209"/>
      <w:bookmarkEnd w:id="210"/>
      <w:bookmarkEnd w:id="256"/>
      <w:bookmarkEnd w:id="257"/>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不向采购人、采购代理机构和政府采购评审专家进行任何形式的商业贿赂以谋取交易机会。</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不与采购人、采购代理机构政府采购评审专家或其他供应商恶意串通，进行质疑和投诉，维护政府采购市场秩序。</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尊重和接受政府采购监督管理部门的监督和采购代理机构的招标要求，承担因违约行为给采购人造成的损失。</w:t>
      </w:r>
    </w:p>
    <w:p>
      <w:pPr>
        <w:numPr>
          <w:ilvl w:val="0"/>
          <w:numId w:val="16"/>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不发生其他有悖于政府采购公开、公平、公正和诚信原则的行为。</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pPr>
        <w:spacing w:line="500" w:lineRule="atLeast"/>
        <w:ind w:firstLine="2240" w:firstLineChars="800"/>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pPr>
        <w:keepNext w:val="0"/>
        <w:keepLines w:val="0"/>
        <w:pageBreakBefore w:val="0"/>
        <w:widowControl w:val="0"/>
        <w:tabs>
          <w:tab w:val="left" w:pos="1755"/>
        </w:tabs>
        <w:kinsoku/>
        <w:wordWrap/>
        <w:overflowPunct/>
        <w:topLinePunct w:val="0"/>
        <w:autoSpaceDE/>
        <w:autoSpaceDN/>
        <w:bidi w:val="0"/>
        <w:adjustRightInd/>
        <w:snapToGrid/>
        <w:spacing w:line="480" w:lineRule="auto"/>
        <w:jc w:val="center"/>
        <w:textAlignment w:val="auto"/>
        <w:outlineLvl w:val="2"/>
      </w:pPr>
      <w:bookmarkStart w:id="269" w:name="_Toc21078"/>
      <w:bookmarkStart w:id="270" w:name="_Toc20090_WPSOffice_Level1"/>
      <w:bookmarkStart w:id="271" w:name="_Toc14162_WPSOffice_Level1"/>
      <w:bookmarkStart w:id="272" w:name="_Toc25411"/>
      <w:bookmarkStart w:id="273" w:name="_Toc28493"/>
      <w:bookmarkStart w:id="274" w:name="_Toc12792"/>
      <w:bookmarkStart w:id="275" w:name="_Toc20718"/>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七</w:t>
      </w:r>
      <w:r>
        <w:rPr>
          <w:rFonts w:hint="eastAsia" w:ascii="仿宋" w:hAnsi="仿宋" w:eastAsia="仿宋" w:cs="仿宋"/>
          <w:b/>
          <w:bCs/>
          <w:sz w:val="36"/>
          <w:szCs w:val="36"/>
          <w:highlight w:val="none"/>
        </w:rPr>
        <w:t>部分  附件</w:t>
      </w:r>
      <w:bookmarkEnd w:id="269"/>
      <w:bookmarkEnd w:id="270"/>
      <w:bookmarkEnd w:id="271"/>
      <w:bookmarkEnd w:id="272"/>
      <w:bookmarkEnd w:id="273"/>
      <w:r>
        <w:rPr>
          <w:rFonts w:hint="eastAsia" w:ascii="仿宋" w:hAnsi="仿宋" w:eastAsia="仿宋" w:cs="仿宋"/>
          <w:b/>
          <w:bCs/>
          <w:sz w:val="36"/>
          <w:szCs w:val="36"/>
          <w:highlight w:val="none"/>
        </w:rPr>
        <w:t>（如有）</w:t>
      </w:r>
      <w:bookmarkEnd w:id="274"/>
      <w:bookmarkEnd w:id="275"/>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3"/>
        <w:rPr>
          <w:rFonts w:hint="default"/>
          <w:highlight w:val="none"/>
        </w:rPr>
      </w:pPr>
      <w:bookmarkStart w:id="276" w:name="_Toc24063"/>
      <w:bookmarkStart w:id="277" w:name="_Toc20607"/>
      <w:bookmarkStart w:id="278" w:name="_Toc8639"/>
      <w:bookmarkStart w:id="279" w:name="_Toc6351"/>
      <w:bookmarkStart w:id="280" w:name="_Toc30274"/>
      <w:bookmarkStart w:id="281" w:name="_Toc5558"/>
      <w:bookmarkStart w:id="282" w:name="_Toc13622"/>
      <w:r>
        <w:rPr>
          <w:rFonts w:hint="eastAsia" w:ascii="仿宋" w:hAnsi="仿宋" w:eastAsia="仿宋" w:cs="仿宋"/>
          <w:b/>
          <w:bCs/>
          <w:kern w:val="0"/>
          <w:sz w:val="32"/>
          <w:szCs w:val="32"/>
          <w:highlight w:val="none"/>
        </w:rPr>
        <w:t>一</w:t>
      </w:r>
      <w:bookmarkEnd w:id="276"/>
      <w:bookmarkEnd w:id="277"/>
      <w:r>
        <w:rPr>
          <w:rFonts w:hint="eastAsia" w:ascii="仿宋" w:hAnsi="仿宋" w:eastAsia="仿宋" w:cs="仿宋"/>
          <w:b/>
          <w:bCs/>
          <w:kern w:val="0"/>
          <w:sz w:val="32"/>
          <w:szCs w:val="32"/>
          <w:highlight w:val="none"/>
          <w:lang w:eastAsia="zh-CN"/>
        </w:rPr>
        <w:t>、</w:t>
      </w:r>
      <w:r>
        <w:rPr>
          <w:rFonts w:hint="eastAsia" w:ascii="仿宋" w:hAnsi="仿宋" w:eastAsia="仿宋" w:cs="仿宋"/>
          <w:b/>
          <w:bCs/>
          <w:kern w:val="0"/>
          <w:sz w:val="32"/>
          <w:szCs w:val="32"/>
          <w:highlight w:val="none"/>
        </w:rPr>
        <w:t>中小企业声明函</w:t>
      </w:r>
      <w:bookmarkEnd w:id="278"/>
      <w:bookmarkEnd w:id="279"/>
      <w:bookmarkEnd w:id="280"/>
      <w:bookmarkEnd w:id="281"/>
      <w:bookmarkEnd w:id="282"/>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公司郑重声明，根据《政府采购促进中小企业发展管理办法》（财库〔2020〕46号）的规定，本公司参加（单位名称）的（项目名称）采购活动，提供的货物全部由符合政策要求的中小企业制造。相关企业的具体情况如下：</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eastAsia="zh-CN"/>
        </w:rPr>
        <w:t>工业</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eastAsia="zh-CN"/>
        </w:rPr>
        <w:t>工业</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spacing w:line="480" w:lineRule="atLeast"/>
        <w:ind w:firstLine="560" w:firstLineChars="200"/>
        <w:jc w:val="left"/>
        <w:rPr>
          <w:rFonts w:ascii="仿宋" w:hAnsi="仿宋" w:eastAsia="仿宋" w:cs="仿宋"/>
          <w:sz w:val="28"/>
          <w:szCs w:val="28"/>
          <w:highlight w:val="none"/>
        </w:rPr>
      </w:pPr>
    </w:p>
    <w:p>
      <w:pPr>
        <w:widowControl/>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企业名称（盖章）：</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u w:val="single"/>
        </w:rPr>
        <w:t>.</w:t>
      </w:r>
    </w:p>
    <w:p>
      <w:pPr>
        <w:autoSpaceDN w:val="0"/>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日 期：</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年</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月</w:t>
      </w:r>
      <w:r>
        <w:rPr>
          <w:rFonts w:hint="eastAsia" w:ascii="仿宋" w:hAnsi="仿宋" w:eastAsia="仿宋" w:cs="仿宋"/>
          <w:kern w:val="0"/>
          <w:sz w:val="28"/>
          <w:szCs w:val="28"/>
          <w:highlight w:val="none"/>
          <w:u w:val="single"/>
          <w:lang w:bidi="ar"/>
        </w:rPr>
        <w:t xml:space="preserve">    </w:t>
      </w:r>
      <w:r>
        <w:rPr>
          <w:rFonts w:hint="eastAsia" w:ascii="仿宋" w:hAnsi="仿宋" w:eastAsia="仿宋" w:cs="仿宋"/>
          <w:kern w:val="0"/>
          <w:sz w:val="28"/>
          <w:szCs w:val="28"/>
          <w:highlight w:val="none"/>
          <w:lang w:bidi="ar"/>
        </w:rPr>
        <w:t>日</w:t>
      </w:r>
    </w:p>
    <w:p>
      <w:pPr>
        <w:spacing w:line="500" w:lineRule="exact"/>
        <w:rPr>
          <w:rFonts w:ascii="仿宋" w:hAnsi="仿宋" w:eastAsia="仿宋" w:cs="仿宋"/>
          <w:b/>
          <w:bCs/>
          <w:sz w:val="28"/>
          <w:szCs w:val="28"/>
          <w:highlight w:val="none"/>
        </w:rPr>
      </w:pPr>
    </w:p>
    <w:p>
      <w:pPr>
        <w:pStyle w:val="11"/>
        <w:spacing w:line="500" w:lineRule="exact"/>
        <w:rPr>
          <w:rFonts w:hint="default"/>
          <w:highlight w:val="none"/>
        </w:rPr>
      </w:pPr>
      <w:r>
        <w:rPr>
          <w:rFonts w:ascii="仿宋" w:hAnsi="仿宋" w:cs="仿宋"/>
          <w:b/>
          <w:bCs/>
          <w:sz w:val="28"/>
          <w:szCs w:val="28"/>
          <w:highlight w:val="none"/>
        </w:rPr>
        <w:t>注：非</w:t>
      </w:r>
      <w:r>
        <w:rPr>
          <w:rFonts w:hint="eastAsia" w:ascii="仿宋" w:hAnsi="仿宋" w:cs="仿宋"/>
          <w:b/>
          <w:bCs/>
          <w:sz w:val="28"/>
          <w:szCs w:val="28"/>
          <w:highlight w:val="none"/>
          <w:lang w:eastAsia="zh-CN"/>
        </w:rPr>
        <w:t>中型、</w:t>
      </w:r>
      <w:r>
        <w:rPr>
          <w:rFonts w:ascii="仿宋" w:hAnsi="仿宋" w:cs="仿宋"/>
          <w:b/>
          <w:bCs/>
          <w:sz w:val="28"/>
          <w:szCs w:val="28"/>
          <w:highlight w:val="none"/>
        </w:rPr>
        <w:t>小型、微型企业可不填写此表。</w:t>
      </w:r>
    </w:p>
    <w:p>
      <w:pPr>
        <w:pStyle w:val="25"/>
        <w:ind w:firstLine="0" w:firstLineChars="0"/>
        <w:rPr>
          <w:rFonts w:hint="default"/>
          <w:highlight w:val="none"/>
        </w:rPr>
      </w:pPr>
    </w:p>
    <w:p>
      <w:pPr>
        <w:pStyle w:val="25"/>
        <w:ind w:firstLine="0" w:firstLineChars="0"/>
        <w:rPr>
          <w:rFonts w:hint="default" w:ascii="仿宋" w:hAnsi="仿宋" w:cs="仿宋"/>
          <w:b/>
          <w:bCs/>
          <w:sz w:val="28"/>
          <w:szCs w:val="28"/>
          <w:highlight w:val="none"/>
        </w:rPr>
      </w:pPr>
    </w:p>
    <w:p>
      <w:pPr>
        <w:widowControl/>
        <w:jc w:val="center"/>
        <w:rPr>
          <w:rFonts w:ascii="仿宋" w:hAnsi="仿宋" w:eastAsia="仿宋" w:cs="仿宋"/>
          <w:b/>
          <w:bCs/>
          <w:sz w:val="32"/>
          <w:szCs w:val="32"/>
          <w:highlight w:val="none"/>
        </w:rPr>
      </w:pPr>
      <w:r>
        <w:rPr>
          <w:rFonts w:hint="eastAsia" w:ascii="仿宋" w:hAnsi="仿宋" w:eastAsia="仿宋" w:cs="仿宋"/>
          <w:b/>
          <w:bCs/>
          <w:kern w:val="0"/>
          <w:sz w:val="22"/>
          <w:szCs w:val="22"/>
          <w:highlight w:val="none"/>
          <w:vertAlign w:val="superscript"/>
          <w:lang w:bidi="ar"/>
        </w:rPr>
        <w:t xml:space="preserve">1 </w:t>
      </w:r>
      <w:r>
        <w:rPr>
          <w:rFonts w:hint="eastAsia" w:ascii="仿宋" w:hAnsi="仿宋" w:eastAsia="仿宋" w:cs="仿宋"/>
          <w:b/>
          <w:bCs/>
          <w:kern w:val="0"/>
          <w:sz w:val="22"/>
          <w:szCs w:val="22"/>
          <w:highlight w:val="none"/>
          <w:lang w:bidi="ar"/>
        </w:rPr>
        <w:t>从业人员、营业收入、资产总额填报上一年度数据，无上一年度数据的新成立企业可不填报。</w:t>
      </w:r>
      <w:bookmarkStart w:id="283" w:name="_Toc13115"/>
      <w:bookmarkStart w:id="284" w:name="_Toc32499"/>
      <w:bookmarkStart w:id="285" w:name="_Toc26990"/>
    </w:p>
    <w:p>
      <w:pPr>
        <w:tabs>
          <w:tab w:val="left" w:pos="1755"/>
        </w:tabs>
        <w:spacing w:line="500" w:lineRule="atLeast"/>
        <w:ind w:left="-120"/>
        <w:jc w:val="center"/>
        <w:outlineLvl w:val="3"/>
        <w:rPr>
          <w:rFonts w:ascii="仿宋" w:hAnsi="仿宋" w:eastAsia="仿宋" w:cs="仿宋"/>
          <w:b/>
          <w:bCs/>
          <w:sz w:val="32"/>
          <w:szCs w:val="32"/>
          <w:highlight w:val="none"/>
        </w:rPr>
      </w:pPr>
      <w:bookmarkStart w:id="286" w:name="_Toc24279"/>
      <w:r>
        <w:rPr>
          <w:rFonts w:hint="eastAsia" w:ascii="仿宋" w:hAnsi="仿宋" w:eastAsia="仿宋" w:cs="仿宋"/>
          <w:b/>
          <w:bCs/>
          <w:sz w:val="32"/>
          <w:szCs w:val="32"/>
          <w:highlight w:val="none"/>
        </w:rPr>
        <w:t>二、监狱企业相关资格证明材料</w:t>
      </w:r>
      <w:bookmarkEnd w:id="283"/>
      <w:bookmarkEnd w:id="284"/>
      <w:bookmarkEnd w:id="285"/>
      <w:bookmarkEnd w:id="286"/>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pStyle w:val="11"/>
        <w:spacing w:line="500" w:lineRule="exact"/>
        <w:ind w:left="-119"/>
        <w:jc w:val="center"/>
        <w:rPr>
          <w:rFonts w:hint="default"/>
          <w:highlight w:val="none"/>
        </w:rPr>
      </w:pPr>
    </w:p>
    <w:p>
      <w:pPr>
        <w:spacing w:line="4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注：非监狱企业可不填写此表。</w:t>
      </w:r>
    </w:p>
    <w:p>
      <w:pPr>
        <w:pStyle w:val="11"/>
        <w:spacing w:line="500" w:lineRule="exact"/>
        <w:ind w:left="-119"/>
        <w:jc w:val="center"/>
        <w:outlineLvl w:val="3"/>
        <w:rPr>
          <w:rFonts w:hint="default"/>
          <w:b/>
          <w:bCs/>
          <w:sz w:val="32"/>
          <w:szCs w:val="24"/>
          <w:highlight w:val="none"/>
        </w:rPr>
      </w:pPr>
      <w:r>
        <w:rPr>
          <w:highlight w:val="none"/>
        </w:rPr>
        <w:br w:type="page"/>
      </w:r>
      <w:bookmarkStart w:id="287" w:name="_Toc11719"/>
      <w:r>
        <w:rPr>
          <w:b/>
          <w:bCs/>
          <w:sz w:val="32"/>
          <w:szCs w:val="24"/>
          <w:highlight w:val="none"/>
        </w:rPr>
        <w:t>三、残疾人福利性单位声明函</w:t>
      </w:r>
      <w:bookmarkEnd w:id="287"/>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pPr>
        <w:spacing w:line="500" w:lineRule="exact"/>
        <w:ind w:firstLine="584" w:firstLineChars="200"/>
        <w:rPr>
          <w:rFonts w:ascii="仿宋" w:hAnsi="仿宋" w:eastAsia="仿宋" w:cs="仿宋"/>
          <w:spacing w:val="6"/>
          <w:sz w:val="28"/>
          <w:szCs w:val="28"/>
          <w:highlight w:val="none"/>
        </w:rPr>
      </w:pPr>
    </w:p>
    <w:p>
      <w:pPr>
        <w:spacing w:line="500" w:lineRule="exact"/>
        <w:ind w:firstLine="584" w:firstLineChars="200"/>
        <w:rPr>
          <w:rFonts w:ascii="仿宋" w:hAnsi="仿宋" w:eastAsia="仿宋" w:cs="仿宋"/>
          <w:spacing w:val="6"/>
          <w:sz w:val="28"/>
          <w:szCs w:val="28"/>
          <w:highlight w:val="none"/>
        </w:rPr>
      </w:pP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pPr>
        <w:spacing w:line="500" w:lineRule="exact"/>
        <w:jc w:val="center"/>
        <w:rPr>
          <w:rFonts w:ascii="仿宋" w:hAnsi="仿宋" w:eastAsia="仿宋" w:cs="仿宋"/>
          <w:b/>
          <w:bCs/>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Fonts w:ascii="仿宋" w:hAnsi="仿宋" w:eastAsia="仿宋" w:cs="仿宋"/>
          <w:kern w:val="0"/>
          <w:sz w:val="28"/>
          <w:szCs w:val="28"/>
          <w:highlight w:val="none"/>
        </w:rPr>
      </w:pPr>
    </w:p>
    <w:p>
      <w:pPr>
        <w:spacing w:line="500" w:lineRule="exact"/>
        <w:jc w:val="center"/>
        <w:rPr>
          <w:rStyle w:val="51"/>
          <w:rFonts w:hint="default" w:ascii="仿宋" w:hAnsi="仿宋" w:eastAsia="仿宋" w:cs="仿宋"/>
          <w:sz w:val="24"/>
          <w:szCs w:val="24"/>
          <w:highlight w:val="none"/>
        </w:rPr>
      </w:pPr>
    </w:p>
    <w:p>
      <w:pPr>
        <w:spacing w:line="5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pPr>
        <w:spacing w:line="500" w:lineRule="exact"/>
        <w:jc w:val="center"/>
        <w:rPr>
          <w:rStyle w:val="51"/>
          <w:rFonts w:hint="default" w:ascii="仿宋" w:hAnsi="仿宋" w:eastAsia="仿宋" w:cs="仿宋"/>
          <w:sz w:val="24"/>
          <w:szCs w:val="24"/>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rPr>
          <w:rFonts w:ascii="仿宋" w:hAnsi="仿宋" w:eastAsia="仿宋" w:cs="仿宋"/>
          <w:kern w:val="0"/>
          <w:sz w:val="28"/>
          <w:szCs w:val="28"/>
          <w:highlight w:val="none"/>
        </w:rPr>
      </w:pPr>
    </w:p>
    <w:p>
      <w:pPr>
        <w:pStyle w:val="11"/>
        <w:rPr>
          <w:rFonts w:hint="default"/>
          <w:highlight w:val="none"/>
        </w:rPr>
      </w:pPr>
    </w:p>
    <w:p>
      <w:pPr>
        <w:rPr>
          <w:rFonts w:hint="default"/>
          <w:highlight w:val="none"/>
        </w:rPr>
      </w:pPr>
    </w:p>
    <w:p>
      <w:pPr>
        <w:pStyle w:val="16"/>
        <w:rPr>
          <w:rFonts w:hint="default"/>
          <w:highlight w:val="none"/>
        </w:rPr>
      </w:pPr>
    </w:p>
    <w:p>
      <w:pPr>
        <w:pStyle w:val="16"/>
        <w:rPr>
          <w:rFonts w:hint="default"/>
          <w:highlight w:val="none"/>
        </w:rPr>
      </w:pPr>
    </w:p>
    <w:p>
      <w:pPr>
        <w:pStyle w:val="11"/>
        <w:spacing w:line="500" w:lineRule="exact"/>
        <w:rPr>
          <w:rFonts w:hint="default" w:ascii="仿宋" w:hAnsi="仿宋" w:cs="仿宋"/>
          <w:sz w:val="28"/>
          <w:szCs w:val="28"/>
          <w:highlight w:val="none"/>
        </w:rPr>
      </w:pPr>
    </w:p>
    <w:p>
      <w:pPr>
        <w:pStyle w:val="11"/>
        <w:spacing w:line="500" w:lineRule="exact"/>
        <w:rPr>
          <w:rFonts w:hint="default" w:ascii="仿宋" w:hAnsi="仿宋" w:cs="仿宋"/>
          <w:sz w:val="28"/>
          <w:szCs w:val="28"/>
          <w:highlight w:val="none"/>
        </w:rPr>
      </w:pPr>
    </w:p>
    <w:p>
      <w:pPr>
        <w:pStyle w:val="13"/>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highlight w:val="none"/>
        </w:rPr>
      </w:pPr>
      <w:bookmarkStart w:id="288" w:name="_Toc27591"/>
      <w:bookmarkStart w:id="289" w:name="_Toc24692"/>
      <w:bookmarkStart w:id="290" w:name="_Toc22499"/>
      <w:bookmarkStart w:id="291" w:name="_Toc26174"/>
      <w:r>
        <w:rPr>
          <w:rFonts w:hint="eastAsia" w:ascii="仿宋" w:hAnsi="仿宋" w:eastAsia="仿宋" w:cs="仿宋"/>
          <w:b/>
          <w:bCs/>
          <w:sz w:val="32"/>
          <w:szCs w:val="28"/>
          <w:highlight w:val="none"/>
          <w:lang w:val="en-US" w:eastAsia="zh-CN"/>
        </w:rPr>
        <w:t>C 电子文档</w:t>
      </w:r>
      <w:bookmarkEnd w:id="288"/>
      <w:bookmarkEnd w:id="289"/>
      <w:bookmarkEnd w:id="290"/>
      <w:bookmarkEnd w:id="291"/>
    </w:p>
    <w:p>
      <w:pPr>
        <w:pStyle w:val="11"/>
        <w:spacing w:after="0" w:line="500" w:lineRule="exact"/>
        <w:ind w:firstLine="562" w:firstLineChars="200"/>
        <w:rPr>
          <w:rFonts w:hint="default" w:ascii="仿宋" w:hAnsi="仿宋" w:cs="仿宋"/>
          <w:b/>
          <w:bCs/>
          <w:sz w:val="28"/>
          <w:szCs w:val="28"/>
        </w:rPr>
      </w:pPr>
      <w:bookmarkStart w:id="292" w:name="_Toc26999"/>
      <w:r>
        <w:rPr>
          <w:rFonts w:ascii="仿宋" w:hAnsi="仿宋" w:cs="仿宋"/>
          <w:b/>
          <w:bCs/>
          <w:sz w:val="28"/>
          <w:szCs w:val="28"/>
        </w:rPr>
        <w:t>电子文档要求：1、供应商所提供的电子版投标文件必须能够打开，内容必须与文字版投标文件内容一致。</w:t>
      </w:r>
    </w:p>
    <w:p>
      <w:pPr>
        <w:pStyle w:val="11"/>
        <w:spacing w:after="0" w:line="500" w:lineRule="exact"/>
        <w:ind w:left="420" w:leftChars="200"/>
        <w:rPr>
          <w:rFonts w:hint="default" w:ascii="仿宋" w:hAnsi="仿宋" w:cs="仿宋"/>
          <w:sz w:val="28"/>
          <w:szCs w:val="28"/>
        </w:rPr>
      </w:pPr>
      <w:r>
        <w:rPr>
          <w:rFonts w:ascii="仿宋" w:hAnsi="仿宋" w:cs="仿宋"/>
          <w:b/>
          <w:bCs/>
          <w:sz w:val="28"/>
          <w:szCs w:val="28"/>
        </w:rPr>
        <w:t>2、格式要求为：</w:t>
      </w:r>
      <w:r>
        <w:rPr>
          <w:rFonts w:hint="eastAsia" w:ascii="仿宋" w:hAnsi="仿宋" w:cs="仿宋"/>
          <w:b/>
          <w:bCs/>
          <w:sz w:val="28"/>
          <w:szCs w:val="28"/>
        </w:rPr>
        <w:t>word版及pdf（签字盖章齐全）各一份。</w:t>
      </w:r>
    </w:p>
    <w:p>
      <w:pPr>
        <w:rPr>
          <w:rFonts w:ascii="仿宋" w:hAnsi="仿宋" w:cs="仿宋"/>
          <w:b/>
          <w:kern w:val="2"/>
          <w:sz w:val="36"/>
          <w:szCs w:val="36"/>
          <w:highlight w:val="none"/>
        </w:rPr>
      </w:pPr>
      <w:r>
        <w:rPr>
          <w:rFonts w:ascii="仿宋" w:hAnsi="仿宋" w:cs="仿宋"/>
          <w:b/>
          <w:kern w:val="2"/>
          <w:sz w:val="36"/>
          <w:szCs w:val="36"/>
          <w:highlight w:val="none"/>
        </w:rPr>
        <w:br w:type="page"/>
      </w:r>
    </w:p>
    <w:p>
      <w:pPr>
        <w:pStyle w:val="11"/>
        <w:jc w:val="center"/>
        <w:outlineLvl w:val="0"/>
        <w:rPr>
          <w:rFonts w:hint="default" w:ascii="仿宋" w:hAnsi="仿宋" w:cs="仿宋"/>
          <w:b/>
          <w:kern w:val="2"/>
          <w:sz w:val="44"/>
          <w:szCs w:val="44"/>
          <w:highlight w:val="none"/>
        </w:rPr>
      </w:pPr>
      <w:bookmarkStart w:id="293" w:name="_Toc18312"/>
      <w:bookmarkStart w:id="294" w:name="_Toc16271"/>
      <w:r>
        <w:rPr>
          <w:rFonts w:ascii="仿宋" w:hAnsi="仿宋" w:cs="仿宋"/>
          <w:b/>
          <w:kern w:val="2"/>
          <w:sz w:val="44"/>
          <w:szCs w:val="44"/>
          <w:highlight w:val="none"/>
        </w:rPr>
        <w:t>第七章  投标保证金退还申请表</w:t>
      </w:r>
      <w:bookmarkEnd w:id="292"/>
      <w:bookmarkEnd w:id="293"/>
      <w:bookmarkEnd w:id="294"/>
    </w:p>
    <w:tbl>
      <w:tblPr>
        <w:tblStyle w:val="27"/>
        <w:tblW w:w="1002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申请退款单位名称</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项目编号</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开标日期</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保证金交纳金额</w:t>
            </w:r>
          </w:p>
        </w:tc>
        <w:tc>
          <w:tcPr>
            <w:tcW w:w="7454" w:type="dxa"/>
            <w:vAlign w:val="center"/>
          </w:tcPr>
          <w:p>
            <w:pPr>
              <w:spacing w:line="500" w:lineRule="exact"/>
              <w:jc w:val="center"/>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66" w:type="dxa"/>
            <w:vMerge w:val="restart"/>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应退保证金金额</w:t>
            </w: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566" w:type="dxa"/>
            <w:vMerge w:val="continue"/>
            <w:vAlign w:val="center"/>
          </w:tcPr>
          <w:p>
            <w:pPr>
              <w:spacing w:line="500" w:lineRule="exact"/>
              <w:jc w:val="center"/>
              <w:outlineLvl w:val="5"/>
              <w:rPr>
                <w:rFonts w:ascii="仿宋" w:hAnsi="仿宋" w:eastAsia="仿宋" w:cs="仿宋"/>
                <w:b/>
                <w:sz w:val="24"/>
                <w:szCs w:val="24"/>
                <w:highlight w:val="none"/>
              </w:rPr>
            </w:pPr>
          </w:p>
        </w:tc>
        <w:tc>
          <w:tcPr>
            <w:tcW w:w="7454" w:type="dxa"/>
            <w:vAlign w:val="center"/>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收款单位名称</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收款单位开户银行</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收款单位账号</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收款单位联系方式</w:t>
            </w:r>
          </w:p>
        </w:tc>
        <w:tc>
          <w:tcPr>
            <w:tcW w:w="7454" w:type="dxa"/>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566" w:type="dxa"/>
            <w:vAlign w:val="center"/>
          </w:tcPr>
          <w:p>
            <w:pPr>
              <w:spacing w:line="500" w:lineRule="exact"/>
              <w:jc w:val="center"/>
              <w:outlineLvl w:val="5"/>
              <w:rPr>
                <w:rFonts w:ascii="仿宋" w:hAnsi="仿宋" w:eastAsia="仿宋" w:cs="仿宋"/>
                <w:b/>
                <w:sz w:val="24"/>
                <w:szCs w:val="24"/>
                <w:highlight w:val="none"/>
              </w:rPr>
            </w:pPr>
            <w:r>
              <w:rPr>
                <w:rFonts w:hint="eastAsia" w:ascii="仿宋" w:hAnsi="仿宋" w:eastAsia="仿宋" w:cs="仿宋"/>
                <w:b/>
                <w:sz w:val="24"/>
                <w:szCs w:val="24"/>
                <w:highlight w:val="none"/>
              </w:rPr>
              <w:t>采购代理机构审核</w:t>
            </w:r>
          </w:p>
        </w:tc>
        <w:tc>
          <w:tcPr>
            <w:tcW w:w="7454" w:type="dxa"/>
            <w:vAlign w:val="center"/>
          </w:tcPr>
          <w:p>
            <w:pPr>
              <w:spacing w:line="500" w:lineRule="exact"/>
              <w:outlineLvl w:val="5"/>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0020" w:type="dxa"/>
            <w:gridSpan w:val="2"/>
          </w:tcPr>
          <w:p>
            <w:pPr>
              <w:spacing w:line="500" w:lineRule="exact"/>
              <w:outlineLvl w:val="5"/>
              <w:rPr>
                <w:rFonts w:ascii="仿宋" w:hAnsi="仿宋" w:eastAsia="仿宋" w:cs="仿宋"/>
                <w:b/>
                <w:sz w:val="24"/>
                <w:szCs w:val="24"/>
                <w:highlight w:val="none"/>
              </w:rPr>
            </w:pPr>
            <w:r>
              <w:rPr>
                <w:rFonts w:hint="eastAsia" w:ascii="仿宋" w:hAnsi="仿宋" w:eastAsia="仿宋" w:cs="仿宋"/>
                <w:b/>
                <w:sz w:val="24"/>
                <w:szCs w:val="24"/>
                <w:highlight w:val="none"/>
              </w:rPr>
              <w:t>注：1.本表仅用于供应商退还保证金时使用。</w:t>
            </w:r>
          </w:p>
          <w:p>
            <w:pPr>
              <w:spacing w:line="500" w:lineRule="exact"/>
              <w:ind w:firstLine="482" w:firstLineChars="200"/>
              <w:jc w:val="left"/>
              <w:outlineLvl w:val="5"/>
              <w:rPr>
                <w:rFonts w:ascii="仿宋" w:hAnsi="仿宋" w:eastAsia="仿宋" w:cs="仿宋"/>
                <w:b/>
                <w:sz w:val="24"/>
                <w:szCs w:val="24"/>
                <w:highlight w:val="none"/>
              </w:rPr>
            </w:pPr>
            <w:r>
              <w:rPr>
                <w:rFonts w:hint="eastAsia" w:ascii="仿宋" w:hAnsi="仿宋" w:eastAsia="仿宋" w:cs="仿宋"/>
                <w:b/>
                <w:sz w:val="24"/>
                <w:szCs w:val="24"/>
                <w:highlight w:val="none"/>
              </w:rPr>
              <w:t>2.请供应商在递交投标文件的同时向采购代理机构工作人员单独递交本表，以便尽快退还供应商的保证金。</w:t>
            </w:r>
          </w:p>
        </w:tc>
      </w:tr>
    </w:tbl>
    <w:p>
      <w:pPr>
        <w:pStyle w:val="13"/>
        <w:ind w:left="0" w:leftChars="0" w:right="1470"/>
        <w:rPr>
          <w:highlight w:val="none"/>
        </w:rPr>
      </w:pPr>
    </w:p>
    <w:p>
      <w:pPr>
        <w:pStyle w:val="13"/>
        <w:ind w:left="0" w:leftChars="0" w:right="1470"/>
        <w:rPr>
          <w:highlight w:val="none"/>
        </w:rPr>
      </w:pPr>
    </w:p>
    <w:p>
      <w:pPr>
        <w:pStyle w:val="13"/>
        <w:ind w:left="0" w:leftChars="0" w:right="1470"/>
        <w:rPr>
          <w:highlight w:val="none"/>
        </w:rPr>
      </w:pPr>
    </w:p>
    <w:p>
      <w:pPr>
        <w:pStyle w:val="13"/>
        <w:ind w:left="0" w:leftChars="0" w:right="1470"/>
        <w:rPr>
          <w:rFonts w:hint="eastAsia" w:eastAsia="宋体"/>
          <w:highlight w:val="none"/>
          <w:lang w:eastAsia="zh-CN"/>
        </w:rPr>
      </w:pPr>
    </w:p>
    <w:sectPr>
      <w:headerReference r:id="rId13" w:type="default"/>
      <w:footerReference r:id="rId1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default" w:ascii="仿宋" w:hAnsi="仿宋" w:cs="仿宋"/>
      </w:rPr>
    </w:pPr>
    <w:r>
      <w:rPr>
        <w:rFonts w:hint="default" w:ascii="仿宋" w:hAnsi="仿宋" w:cs="仿宋"/>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-67945</wp:posOffset>
              </wp:positionV>
              <wp:extent cx="6190615" cy="14605"/>
              <wp:effectExtent l="0" t="4445" r="635" b="9525"/>
              <wp:wrapNone/>
              <wp:docPr id="7" name="直接连接符 7"/>
              <wp:cNvGraphicFramePr/>
              <a:graphic xmlns:a="http://schemas.openxmlformats.org/drawingml/2006/main">
                <a:graphicData uri="http://schemas.microsoft.com/office/word/2010/wordprocessingShape">
                  <wps:wsp>
                    <wps:cNvCnPr/>
                    <wps:spPr>
                      <a:xfrm flipV="1">
                        <a:off x="0" y="0"/>
                        <a:ext cx="6190615" cy="146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05pt;margin-top:-5.35pt;height:1.15pt;width:487.45pt;z-index:251659264;mso-width-relative:page;mso-height-relative:page;" filled="f" stroked="t" coordsize="21600,21600" o:gfxdata="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V1NlHWAAAABwEAAA8AAAAAAAAAAQAgAAAAIgAAAGRycy9kb3ducmV2Lnht&#10;bFBLAQIUABQAAAAIAIdO4kAIpGSk+wEAAPQDAAAOAAAAAAAAAAEAIAAAACUBAABkcnMvZTJvRG9j&#10;LnhtbFBLBQYAAAAABgAGAFkBAACSBQ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default" w:ascii="仿宋" w:hAnsi="仿宋" w:cs="仿宋"/>
      </w:rPr>
    </w:pPr>
    <w:r>
      <w:rPr>
        <w:rFonts w:hint="default" w:ascii="仿宋" w:hAnsi="仿宋" w:cs="仿宋"/>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11" name="直接连接符 6"/>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0.05pt;margin-top:-4.2pt;height:0.3pt;width:485.85pt;z-index:251665408;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IagQrVAAAABgEAAA8AAAAAAAAAAQAgAAAAIgAAAGRycy9kb3ducmV2LnhtbFBLAQIU&#10;ABQAAAAIAIdO4kDifIvu9gEAAOoDAAAOAAAAAAAAAAEAIAAAACQBAABkcnMvZTJvRG9jLnhtbFBL&#10;BQYAAAAABgAGAFkBAACMBQ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default"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60288;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GoEK1QAAAAYBAAAPAAAAAAAAAAEAIAAAACIAAABkcnMvZG93bnJldi54bWxQSwECFAAUAAAA&#10;CACHTuJAjdpJs/EBAADdAwAADgAAAAAAAAABACAAAAAkAQAAZHJzL2Uyb0RvYy54bWxQSwUGAAAA&#10;AAYABgBZAQAAhwUAAAAA&#10;">
              <v:fill on="f" focussize="0,0"/>
              <v:stroke color="#000000"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1312" behindDoc="0" locked="0" layoutInCell="1" allowOverlap="1">
              <wp:simplePos x="0" y="0"/>
              <wp:positionH relativeFrom="margin">
                <wp:posOffset>2865755</wp:posOffset>
              </wp:positionH>
              <wp:positionV relativeFrom="paragraph">
                <wp:posOffset>285750</wp:posOffset>
              </wp:positionV>
              <wp:extent cx="457200"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ascii="仿宋" w:hAnsi="仿宋" w:eastAsia="仿宋" w:cs="仿宋"/>
                              <w:sz w:val="18"/>
                            </w:rPr>
                            <w:t>45</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225.65pt;margin-top:22.5pt;height:11.65pt;width:36pt;mso-position-horizontal-relative:margin;mso-wrap-style:none;z-index:251661312;mso-width-relative:page;mso-height-relative:page;" filled="f" stroked="f" coordsize="21600,21600" o:gfxdata="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JSiP9UAAAAJAQAADwAAAAAAAAABACAAAAAiAAAAZHJz&#10;L2Rvd25yZXYueG1sUEsBAhQAFAAAAAgAh07iQBf98W3OAQAAmQMAAA4AAAAAAAAAAQAgAAAAJAEA&#10;AGRycy9lMm9Eb2MueG1sUEsFBgAAAAAGAAYAWQEAAGQFAAAAAA==&#10;">
              <v:fill on="f" focussize="0,0"/>
              <v:stroke on="f"/>
              <v:imagedata o:title=""/>
              <o:lock v:ext="edit" aspectratio="f"/>
              <v:textbox inset="0mm,0mm,0mm,0mm" style="mso-fit-shape-to-text:t;">
                <w:txbxContent>
                  <w:p>
                    <w:pPr>
                      <w:snapToGrid w:val="0"/>
                      <w:rPr>
                        <w:rFonts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ascii="仿宋" w:hAnsi="仿宋" w:eastAsia="仿宋" w:cs="仿宋"/>
                        <w:sz w:val="18"/>
                      </w:rPr>
                      <w:t>45</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default" w:ascii="仿宋" w:hAnsi="仿宋" w:cs="仿宋"/>
      </w:rPr>
    </w:pPr>
    <w:r>
      <w:rPr>
        <w:rFonts w:ascii="仿宋" w:hAnsi="仿宋" w:cs="仿宋"/>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-53340</wp:posOffset>
              </wp:positionV>
              <wp:extent cx="8910320" cy="762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8910320"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6pt;width:701.6pt;z-index:251664384;mso-width-relative:page;mso-height-relative:page;" filled="f" stroked="t" coordsize="21600,21600" o:gfxdata="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Ln&#10;JULUAAAABwEAAA8AAAAAAAAAAQAgAAAAIgAAAGRycy9kb3ducmV2LnhtbFBLAQIUABQAAAAIAIdO&#10;4kAPKG5H7gEAAN0DAAAOAAAAAAAAAAEAIAAAACMBAABkcnMvZTJvRG9jLnhtbFBLBQYAAAAABgAG&#10;AFkBAACDBQAAAAA=&#10;">
              <v:fill on="f" focussize="0,0"/>
              <v:stroke color="#000000"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285750</wp:posOffset>
              </wp:positionV>
              <wp:extent cx="457200" cy="147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ascii="仿宋" w:hAnsi="仿宋" w:eastAsia="仿宋" w:cs="仿宋"/>
                              <w:sz w:val="18"/>
                            </w:rPr>
                            <w:t>45</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22.5pt;height:11.65pt;width:36pt;mso-position-horizontal:center;mso-position-horizontal-relative:margin;mso-wrap-style:none;z-index:251665408;mso-width-relative:page;mso-height-relative:page;" filled="f" stroked="f" coordsize="21600,21600" o:gfxdata="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Xe0P9IAAAAFAQAADwAAAAAAAAABACAAAAAiAAAAZHJzL2Rv&#10;d25yZXYueG1sUEsBAhQAFAAAAAgAh07iQOCT9tTOAQAAmQMAAA4AAAAAAAAAAQAgAAAAIQEAAGRy&#10;cy9lMm9Eb2MueG1sUEsFBgAAAAAGAAYAWQEAAGEFAAAAAA==&#10;">
              <v:fill on="f" focussize="0,0"/>
              <v:stroke on="f"/>
              <v:imagedata o:title=""/>
              <o:lock v:ext="edit" aspectratio="f"/>
              <v:textbox inset="0mm,0mm,0mm,0mm" style="mso-fit-shape-to-text:t;">
                <w:txbxContent>
                  <w:p>
                    <w:pPr>
                      <w:snapToGrid w:val="0"/>
                      <w:rPr>
                        <w:rFonts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ascii="仿宋" w:hAnsi="仿宋" w:eastAsia="仿宋" w:cs="仿宋"/>
                        <w:sz w:val="18"/>
                      </w:rPr>
                      <w:t>45</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0288;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K1znWAAAACAEAAA8AAAAAAAAAAQAgAAAAIgAAAGRycy9kb3du&#10;cmV2LnhtbFBLAQIUABQAAAAIAIdO4kCWoqQ+AQIAAPEDAAAOAAAAAAAAAAEAIAAAACUBAABkcnMv&#10;ZTJvRG9jLnhtbFBLBQYAAAAABgAGAFkBAACY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1312;mso-width-relative:page;mso-height-relative:page;" filled="f" stroked="f" coordsize="21600,21600" o:gfxdata="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lPI6XVAAAABw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pPr>
                      <w:pStyle w:val="1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ascii="仿宋" w:hAnsi="仿宋" w:cs="仿宋"/>
      </w:rPr>
      <w:t xml:space="preserve">西安欣华联建工程咨询有限公司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 w:hAnsi="仿宋" w:cs="仿宋"/>
      </w:rPr>
    </w:pPr>
    <w:r>
      <w:rPr>
        <w:rFonts w:ascii="仿宋" w:hAnsi="仿宋" w:cs="仿宋"/>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2336;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Stc51gAAAAgBAAAPAAAAAAAAAAEAIAAAACIAAABkcnMvZG93bnJl&#10;di54bWxQSwECFAAUAAAACACHTuJAp/f+Yv8BAADxAwAADgAAAAAAAAABACAAAAAlAQAAZHJzL2Uy&#10;b0RvYy54bWxQSwUGAAAAAAYABgBZAQAAlgU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3360;mso-width-relative:page;mso-height-relative:page;" filled="f" stroked="f" coordsize="21600,21600" o:gfxdata="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U8jpdUAAAAH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pPr>
                      <w:pStyle w:val="1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rFonts w:ascii="仿宋" w:hAnsi="仿宋" w:cs="仿宋"/>
      </w:rPr>
      <w:t xml:space="preserve">西安欣华联建工程咨询有限公司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default" w:ascii="仿宋" w:hAnsi="仿宋" w:cs="仿宋"/>
      </w:rPr>
    </w:pPr>
    <w:r>
      <w:rPr>
        <w:rFonts w:ascii="仿宋" w:hAnsi="仿宋" w:cs="仿宋"/>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-26670</wp:posOffset>
              </wp:positionV>
              <wp:extent cx="6170295"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2.1pt;height:0.3pt;width:485.85pt;z-index:251663360;mso-width-relative:page;mso-height-relative:page;" filled="f" stroked="t" coordsize="21600,21600" o:gfxdata="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vh8h9QAAAAGAQAADwAAAAAAAAABACAAAAAiAAAAZHJzL2Rvd25yZXYueG1sUEsBAhQAFAAAAAgA&#10;h07iQOYXS1DwAQAA2wMAAA4AAAAAAAAAAQAgAAAAIwEAAGRycy9lMm9Eb2MueG1sUEsFBgAAAAAG&#10;AAYAWQEAAIUFAAAAAA==&#10;">
              <v:fill on="f" focussize="0,0"/>
              <v:stroke color="#000000" joinstyle="round"/>
              <v:imagedata o:title=""/>
              <o:lock v:ext="edit" aspectratio="f"/>
            </v:line>
          </w:pict>
        </mc:Fallback>
      </mc:AlternateContent>
    </w: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435023895</wp:posOffset>
              </wp:positionV>
              <wp:extent cx="618934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89345" cy="7620"/>
                      </a:xfrm>
                      <a:prstGeom prst="line">
                        <a:avLst/>
                      </a:prstGeom>
                      <a:ln w="9525"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212.7pt;margin-top:34253.85pt;height:0.6pt;width:487.35pt;z-index:251660288;mso-width-relative:page;mso-height-relative:page;" filled="f" stroked="t" coordsize="21600,21600" o:gfxdata="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PUfu3AAAABABAAAPAAAAAAAAAAEAIAAAACIAAABkcnMvZG93bnJldi54bWxQSwEC&#10;FAAUAAAACACHTuJALlCdC/ABAADbAwAADgAAAAAAAAABACAAAAArAQAAZHJzL2Uyb0RvYy54bWxQ&#10;SwUGAAAAAAYABgBZAQAAjQUAAAAA&#10;">
              <v:fill on="f" focussize="0,0"/>
              <v:stroke color="#000000 [3213]" joinstyle="round"/>
              <v:imagedata o:title=""/>
              <o:lock v:ext="edit" aspectratio="f"/>
            </v:line>
          </w:pict>
        </mc:Fallback>
      </mc:AlternateContent>
    </w:r>
    <w:r>
      <w:rPr>
        <w:rFonts w:ascii="仿宋" w:hAnsi="仿宋" w:cs="仿宋"/>
      </w:rPr>
      <w:t>西安欣华联建工程咨询有限公司</w:t>
    </w:r>
    <w:r>
      <w:rPr>
        <w:rFonts w:ascii="仿宋" w:hAnsi="仿宋" w:cs="仿宋"/>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285750</wp:posOffset>
              </wp:positionV>
              <wp:extent cx="457200"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 cy="147955"/>
                      </a:xfrm>
                      <a:prstGeom prst="rect">
                        <a:avLst/>
                      </a:prstGeom>
                      <a:noFill/>
                      <a:ln>
                        <a:noFill/>
                      </a:ln>
                    </wps:spPr>
                    <wps:txbx>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98</w:t>
                          </w:r>
                          <w:r>
                            <w:rPr>
                              <w:rFonts w:hint="eastAsia" w:ascii="仿宋" w:hAnsi="仿宋" w:eastAsia="仿宋" w:cs="仿宋"/>
                              <w:sz w:val="18"/>
                            </w:rPr>
                            <w:fldChar w:fldCharType="end"/>
                          </w:r>
                          <w:r>
                            <w:rPr>
                              <w:rFonts w:hint="eastAsia" w:ascii="仿宋" w:hAnsi="仿宋" w:eastAsia="仿宋" w:cs="仿宋"/>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22.5pt;height:11.65pt;width:36pt;mso-position-horizontal:center;mso-position-horizontal-relative:margin;mso-wrap-style:none;z-index:251662336;mso-width-relative:page;mso-height-relative:page;" filled="f" stroked="f" coordsize="21600,21600" o:gfxdata="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Xe0P9IAAAAFAQAADwAAAAAAAAABACAAAAAiAAAAZHJzL2Rv&#10;d25yZXYueG1sUEsBAhQAFAAAAAgAh07iQIRncHjOAQAAlwMAAA4AAAAAAAAAAQAgAAAAIQEAAGRy&#10;cy9lMm9Eb2MueG1sUEsFBgAAAAAGAAYAWQEAAGEFAAAAAA==&#10;">
              <v:fill on="f" focussize="0,0"/>
              <v:stroke on="f"/>
              <v:imagedata o:title=""/>
              <o:lock v:ext="edit" aspectratio="f"/>
              <v:textbox inset="0mm,0mm,0mm,0mm" style="mso-fit-shape-to-text:t;">
                <w:txbxContent>
                  <w:p>
                    <w:pPr>
                      <w:snapToGrid w:val="0"/>
                      <w:rPr>
                        <w:rFonts w:hint="eastAsia" w:ascii="仿宋" w:hAnsi="仿宋" w:eastAsia="仿宋" w:cs="仿宋"/>
                        <w:sz w:val="18"/>
                      </w:rPr>
                    </w:pPr>
                    <w:r>
                      <w:rPr>
                        <w:rFonts w:hint="eastAsia" w:ascii="仿宋" w:hAnsi="仿宋" w:eastAsia="仿宋" w:cs="仿宋"/>
                        <w:sz w:val="18"/>
                      </w:rPr>
                      <w:t xml:space="preserve">第 </w:t>
                    </w:r>
                    <w:r>
                      <w:rPr>
                        <w:rFonts w:hint="eastAsia" w:ascii="仿宋" w:hAnsi="仿宋" w:eastAsia="仿宋" w:cs="仿宋"/>
                        <w:sz w:val="18"/>
                      </w:rPr>
                      <w:fldChar w:fldCharType="begin"/>
                    </w:r>
                    <w:r>
                      <w:rPr>
                        <w:rFonts w:hint="eastAsia" w:ascii="仿宋" w:hAnsi="仿宋" w:eastAsia="仿宋" w:cs="仿宋"/>
                        <w:sz w:val="18"/>
                      </w:rPr>
                      <w:instrText xml:space="preserve"> PAGE  \* MERGEFORMAT </w:instrText>
                    </w:r>
                    <w:r>
                      <w:rPr>
                        <w:rFonts w:hint="eastAsia" w:ascii="仿宋" w:hAnsi="仿宋" w:eastAsia="仿宋" w:cs="仿宋"/>
                        <w:sz w:val="18"/>
                      </w:rPr>
                      <w:fldChar w:fldCharType="separate"/>
                    </w:r>
                    <w:r>
                      <w:rPr>
                        <w:rFonts w:hint="eastAsia" w:ascii="仿宋" w:hAnsi="仿宋" w:eastAsia="仿宋" w:cs="仿宋"/>
                        <w:sz w:val="18"/>
                      </w:rPr>
                      <w:t>98</w:t>
                    </w:r>
                    <w:r>
                      <w:rPr>
                        <w:rFonts w:hint="eastAsia" w:ascii="仿宋" w:hAnsi="仿宋" w:eastAsia="仿宋" w:cs="仿宋"/>
                        <w:sz w:val="18"/>
                      </w:rPr>
                      <w:fldChar w:fldCharType="end"/>
                    </w:r>
                    <w:r>
                      <w:rPr>
                        <w:rFonts w:hint="eastAsia" w:ascii="仿宋" w:hAnsi="仿宋" w:eastAsia="仿宋" w:cs="仿宋"/>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widowControl/>
      <w:spacing w:before="0" w:after="0"/>
      <w:ind w:firstLine="0"/>
      <w:jc w:val="both"/>
      <w:rPr>
        <w:rFonts w:hint="eastAsia" w:eastAsia="仿宋"/>
        <w:lang w:val="en-US" w:eastAsia="zh-CN"/>
      </w:rPr>
    </w:pPr>
    <w:r>
      <w:rPr>
        <w:rFonts w:hint="eastAsia" w:ascii="仿宋" w:hAnsi="仿宋" w:eastAsia="仿宋" w:cs="仿宋"/>
        <w:sz w:val="18"/>
        <w:szCs w:val="18"/>
        <w:u w:val="single"/>
      </w:rPr>
      <w:t>项目名称：</w:t>
    </w:r>
    <w:r>
      <w:rPr>
        <w:rFonts w:hint="eastAsia" w:ascii="仿宋" w:hAnsi="仿宋" w:eastAsia="仿宋" w:cs="仿宋"/>
        <w:sz w:val="18"/>
        <w:szCs w:val="18"/>
        <w:u w:val="single"/>
        <w:lang w:eastAsia="zh-CN"/>
      </w:rPr>
      <w:t>渭南市临渭区人民法院2024年中省政法转移支付自定装备采购项目</w:t>
    </w:r>
    <w:r>
      <w:rPr>
        <w:rFonts w:hint="eastAsia" w:ascii="仿宋" w:hAnsi="仿宋" w:eastAsia="仿宋" w:cs="仿宋"/>
        <w:sz w:val="18"/>
        <w:szCs w:val="18"/>
        <w:u w:val="single"/>
      </w:rPr>
      <w:t xml:space="preserve">              项目编号：XHLJZC-WN</w:t>
    </w:r>
    <w:r>
      <w:rPr>
        <w:rFonts w:hint="eastAsia" w:ascii="仿宋" w:hAnsi="仿宋" w:eastAsia="仿宋" w:cs="仿宋"/>
        <w:sz w:val="18"/>
        <w:szCs w:val="18"/>
        <w:u w:val="single"/>
        <w:lang w:eastAsia="zh-CN"/>
      </w:rPr>
      <w:t>2024-07</w:t>
    </w:r>
    <w:r>
      <w:rPr>
        <w:rFonts w:hint="eastAsia" w:ascii="仿宋" w:hAnsi="仿宋" w:eastAsia="仿宋" w:cs="仿宋"/>
        <w:sz w:val="18"/>
        <w:szCs w:val="18"/>
        <w:u w:val="single"/>
        <w:lang w:val="en-US" w:eastAsia="zh-C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widowControl/>
      <w:spacing w:line="240" w:lineRule="auto"/>
      <w:ind w:firstLine="0"/>
      <w:jc w:val="both"/>
      <w:rPr>
        <w:rFonts w:hint="default"/>
        <w:lang w:val="en-US"/>
      </w:rPr>
    </w:pPr>
    <w:r>
      <w:rPr>
        <w:rFonts w:hint="eastAsia" w:ascii="仿宋" w:hAnsi="仿宋" w:eastAsia="仿宋" w:cs="仿宋"/>
        <w:sz w:val="18"/>
        <w:szCs w:val="18"/>
        <w:u w:val="single"/>
      </w:rPr>
      <w:t xml:space="preserve">项目名称：渭南市临渭区人民法院2024年中省政法转移支付自定装备采购项目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highlight w:val="none"/>
        <w:u w:val="single"/>
        <w:lang w:val="en-US" w:eastAsia="zh-CN"/>
      </w:rPr>
      <w:t xml:space="preserve">   </w:t>
    </w:r>
    <w:r>
      <w:rPr>
        <w:rFonts w:hint="eastAsia" w:ascii="仿宋" w:hAnsi="仿宋" w:eastAsia="仿宋" w:cs="仿宋"/>
        <w:sz w:val="18"/>
        <w:szCs w:val="18"/>
        <w:highlight w:val="none"/>
        <w:u w:val="single"/>
      </w:rPr>
      <w:t xml:space="preserve">   项目编号：</w:t>
    </w:r>
    <w:r>
      <w:rPr>
        <w:rFonts w:hint="eastAsia" w:ascii="仿宋" w:hAnsi="仿宋" w:eastAsia="仿宋" w:cs="仿宋"/>
        <w:sz w:val="18"/>
        <w:szCs w:val="18"/>
        <w:highlight w:val="none"/>
        <w:u w:val="single"/>
        <w:lang w:eastAsia="zh-CN"/>
      </w:rPr>
      <w:t>XHLJZC-WN2024-0</w:t>
    </w:r>
    <w:r>
      <w:rPr>
        <w:rFonts w:hint="eastAsia" w:ascii="仿宋" w:hAnsi="仿宋" w:eastAsia="仿宋" w:cs="仿宋"/>
        <w:sz w:val="18"/>
        <w:szCs w:val="18"/>
        <w:highlight w:val="none"/>
        <w:u w:val="single"/>
        <w:lang w:val="en-US" w:eastAsia="zh-CN"/>
      </w:rPr>
      <w:t>77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widowControl/>
      <w:spacing w:line="240" w:lineRule="auto"/>
      <w:ind w:firstLine="0"/>
      <w:jc w:val="both"/>
    </w:pPr>
    <w:r>
      <w:rPr>
        <w:rFonts w:hint="eastAsia" w:ascii="仿宋" w:hAnsi="仿宋" w:eastAsia="仿宋" w:cs="仿宋"/>
        <w:sz w:val="18"/>
        <w:szCs w:val="18"/>
        <w:u w:val="single"/>
      </w:rPr>
      <w:t xml:space="preserve">项目名称：渭南市临渭区人民法院2024年中省政法转移支付自定装备采购项目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highlight w:val="none"/>
        <w:u w:val="single"/>
        <w:lang w:val="en-US" w:eastAsia="zh-CN"/>
      </w:rPr>
      <w:t xml:space="preserve">                                              </w:t>
    </w:r>
    <w:r>
      <w:rPr>
        <w:rFonts w:hint="eastAsia" w:ascii="仿宋" w:hAnsi="仿宋" w:eastAsia="仿宋" w:cs="仿宋"/>
        <w:sz w:val="18"/>
        <w:szCs w:val="18"/>
        <w:highlight w:val="none"/>
        <w:u w:val="single"/>
      </w:rPr>
      <w:t xml:space="preserve">   项目编号：</w:t>
    </w:r>
    <w:r>
      <w:rPr>
        <w:rFonts w:hint="eastAsia" w:ascii="仿宋" w:hAnsi="仿宋" w:eastAsia="仿宋" w:cs="仿宋"/>
        <w:sz w:val="18"/>
        <w:szCs w:val="18"/>
        <w:highlight w:val="none"/>
        <w:u w:val="single"/>
        <w:lang w:eastAsia="zh-CN"/>
      </w:rPr>
      <w:t>XHLJZC-WN2024-0</w:t>
    </w:r>
    <w:r>
      <w:rPr>
        <w:rFonts w:hint="eastAsia" w:ascii="仿宋" w:hAnsi="仿宋" w:eastAsia="仿宋" w:cs="仿宋"/>
        <w:sz w:val="18"/>
        <w:szCs w:val="18"/>
        <w:highlight w:val="none"/>
        <w:u w:val="single"/>
        <w:lang w:val="en-US" w:eastAsia="zh-CN"/>
      </w:rPr>
      <w:t>77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widowControl/>
      <w:spacing w:line="240" w:lineRule="auto"/>
      <w:ind w:firstLine="0"/>
      <w:jc w:val="both"/>
      <w:rPr>
        <w:rFonts w:hint="default"/>
        <w:lang w:val="en-US"/>
      </w:rPr>
    </w:pPr>
    <w:r>
      <w:rPr>
        <w:rFonts w:hint="eastAsia" w:ascii="仿宋" w:hAnsi="仿宋" w:eastAsia="仿宋" w:cs="仿宋"/>
        <w:sz w:val="18"/>
        <w:szCs w:val="18"/>
        <w:u w:val="single"/>
      </w:rPr>
      <w:t>项目名称：</w:t>
    </w:r>
    <w:r>
      <w:rPr>
        <w:rFonts w:hint="eastAsia" w:ascii="仿宋" w:hAnsi="仿宋" w:eastAsia="仿宋" w:cs="仿宋"/>
        <w:sz w:val="18"/>
        <w:szCs w:val="18"/>
        <w:u w:val="single"/>
        <w:lang w:val="en-US" w:eastAsia="zh-CN"/>
      </w:rPr>
      <w:t>渭南市临渭区人民法院2024年中省政法转移支付自定装备采购项目</w:t>
    </w:r>
    <w:r>
      <w:rPr>
        <w:rFonts w:hint="eastAsia" w:ascii="仿宋" w:hAnsi="仿宋" w:eastAsia="仿宋" w:cs="仿宋"/>
        <w:sz w:val="18"/>
        <w:szCs w:val="18"/>
        <w:u w:val="single"/>
      </w:rPr>
      <w:t xml:space="preserve">  </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highlight w:val="none"/>
        <w:u w:val="single"/>
        <w:lang w:val="en-US" w:eastAsia="zh-CN"/>
      </w:rPr>
      <w:t xml:space="preserve"> </w:t>
    </w:r>
    <w:r>
      <w:rPr>
        <w:rFonts w:hint="eastAsia" w:ascii="仿宋" w:hAnsi="仿宋" w:eastAsia="仿宋" w:cs="仿宋"/>
        <w:sz w:val="18"/>
        <w:szCs w:val="18"/>
        <w:highlight w:val="none"/>
        <w:u w:val="single"/>
      </w:rPr>
      <w:t xml:space="preserve">   项目编号：</w:t>
    </w:r>
    <w:r>
      <w:rPr>
        <w:rFonts w:hint="eastAsia" w:ascii="仿宋" w:hAnsi="仿宋" w:eastAsia="仿宋" w:cs="仿宋"/>
        <w:sz w:val="18"/>
        <w:szCs w:val="18"/>
        <w:highlight w:val="none"/>
        <w:u w:val="single"/>
        <w:lang w:eastAsia="zh-CN"/>
      </w:rPr>
      <w:t>XHLJZC-WN2024-0</w:t>
    </w:r>
    <w:r>
      <w:rPr>
        <w:rFonts w:hint="eastAsia" w:ascii="仿宋" w:hAnsi="仿宋" w:eastAsia="仿宋" w:cs="仿宋"/>
        <w:sz w:val="18"/>
        <w:szCs w:val="18"/>
        <w:highlight w:val="none"/>
        <w:u w:val="single"/>
        <w:lang w:val="en-US" w:eastAsia="zh-CN"/>
      </w:rPr>
      <w:t>77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widowControl/>
      <w:spacing w:line="240" w:lineRule="auto"/>
      <w:ind w:firstLine="0"/>
      <w:jc w:val="both"/>
      <w:rPr>
        <w:rFonts w:hint="default" w:ascii="仿宋" w:hAnsi="仿宋" w:eastAsia="仿宋" w:cs="仿宋"/>
        <w:sz w:val="18"/>
        <w:szCs w:val="18"/>
        <w:highlight w:val="none"/>
        <w:u w:val="single"/>
        <w:lang w:val="en-US" w:eastAsia="zh-CN"/>
      </w:rPr>
    </w:pPr>
    <w:r>
      <w:rPr>
        <w:rFonts w:hint="eastAsia" w:ascii="仿宋" w:hAnsi="仿宋" w:eastAsia="仿宋" w:cs="仿宋"/>
        <w:sz w:val="18"/>
        <w:szCs w:val="18"/>
        <w:u w:val="single"/>
      </w:rPr>
      <w:t>项目名称：</w:t>
    </w:r>
    <w:r>
      <w:rPr>
        <w:rFonts w:hint="eastAsia" w:ascii="仿宋" w:hAnsi="仿宋" w:eastAsia="仿宋" w:cs="仿宋"/>
        <w:sz w:val="18"/>
        <w:szCs w:val="18"/>
        <w:u w:val="single"/>
        <w:lang w:val="en-US" w:eastAsia="zh-CN"/>
      </w:rPr>
      <w:t>渭南市临渭区人民法院2024年中省政法转移支付自定装备采购项目</w:t>
    </w:r>
    <w:r>
      <w:rPr>
        <w:rFonts w:hint="eastAsia" w:ascii="仿宋" w:hAnsi="仿宋" w:eastAsia="仿宋" w:cs="仿宋"/>
        <w:sz w:val="18"/>
        <w:szCs w:val="18"/>
        <w:u w:val="single"/>
      </w:rPr>
      <w:t xml:space="preserve">              项目编号：</w:t>
    </w:r>
    <w:r>
      <w:rPr>
        <w:rFonts w:hint="eastAsia" w:ascii="仿宋" w:hAnsi="仿宋" w:eastAsia="仿宋" w:cs="仿宋"/>
        <w:sz w:val="18"/>
        <w:szCs w:val="18"/>
        <w:highlight w:val="none"/>
        <w:u w:val="single"/>
        <w:lang w:eastAsia="zh-CN"/>
      </w:rPr>
      <w:t>XHLJZC-WN2024-07</w:t>
    </w:r>
    <w:r>
      <w:rPr>
        <w:rFonts w:hint="eastAsia" w:ascii="仿宋" w:hAnsi="仿宋" w:eastAsia="仿宋" w:cs="仿宋"/>
        <w:sz w:val="18"/>
        <w:szCs w:val="18"/>
        <w:highlight w:val="none"/>
        <w:u w:val="single"/>
        <w:lang w:val="en-US" w:eastAsia="zh-CN"/>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CCAC8"/>
    <w:multiLevelType w:val="singleLevel"/>
    <w:tmpl w:val="9E5CCAC8"/>
    <w:lvl w:ilvl="0" w:tentative="0">
      <w:start w:val="11"/>
      <w:numFmt w:val="decimal"/>
      <w:suff w:val="nothing"/>
      <w:lvlText w:val="%1、"/>
      <w:lvlJc w:val="left"/>
    </w:lvl>
  </w:abstractNum>
  <w:abstractNum w:abstractNumId="1">
    <w:nsid w:val="A2372829"/>
    <w:multiLevelType w:val="singleLevel"/>
    <w:tmpl w:val="A2372829"/>
    <w:lvl w:ilvl="0" w:tentative="0">
      <w:start w:val="2"/>
      <w:numFmt w:val="decimal"/>
      <w:suff w:val="nothing"/>
      <w:lvlText w:val="%1、"/>
      <w:lvlJc w:val="left"/>
    </w:lvl>
  </w:abstractNum>
  <w:abstractNum w:abstractNumId="2">
    <w:nsid w:val="A906312C"/>
    <w:multiLevelType w:val="singleLevel"/>
    <w:tmpl w:val="A906312C"/>
    <w:lvl w:ilvl="0" w:tentative="0">
      <w:start w:val="1"/>
      <w:numFmt w:val="decimal"/>
      <w:suff w:val="nothing"/>
      <w:lvlText w:val="%1、"/>
      <w:lvlJc w:val="left"/>
    </w:lvl>
  </w:abstractNum>
  <w:abstractNum w:abstractNumId="3">
    <w:nsid w:val="BE414EAD"/>
    <w:multiLevelType w:val="singleLevel"/>
    <w:tmpl w:val="BE414EAD"/>
    <w:lvl w:ilvl="0" w:tentative="0">
      <w:start w:val="8"/>
      <w:numFmt w:val="decimal"/>
      <w:suff w:val="nothing"/>
      <w:lvlText w:val="%1、"/>
      <w:lvlJc w:val="left"/>
    </w:lvl>
  </w:abstractNum>
  <w:abstractNum w:abstractNumId="4">
    <w:nsid w:val="DAE13EE9"/>
    <w:multiLevelType w:val="singleLevel"/>
    <w:tmpl w:val="DAE13EE9"/>
    <w:lvl w:ilvl="0" w:tentative="0">
      <w:start w:val="1"/>
      <w:numFmt w:val="decimal"/>
      <w:lvlText w:val="%1."/>
      <w:lvlJc w:val="left"/>
      <w:pPr>
        <w:tabs>
          <w:tab w:val="left" w:pos="312"/>
        </w:tabs>
      </w:pPr>
    </w:lvl>
  </w:abstractNum>
  <w:abstractNum w:abstractNumId="5">
    <w:nsid w:val="E8AA69F8"/>
    <w:multiLevelType w:val="singleLevel"/>
    <w:tmpl w:val="E8AA69F8"/>
    <w:lvl w:ilvl="0" w:tentative="0">
      <w:start w:val="1"/>
      <w:numFmt w:val="decimal"/>
      <w:suff w:val="nothing"/>
      <w:lvlText w:val="%1、"/>
      <w:lvlJc w:val="left"/>
    </w:lvl>
  </w:abstractNum>
  <w:abstractNum w:abstractNumId="6">
    <w:nsid w:val="F701290B"/>
    <w:multiLevelType w:val="singleLevel"/>
    <w:tmpl w:val="F701290B"/>
    <w:lvl w:ilvl="0" w:tentative="0">
      <w:start w:val="1"/>
      <w:numFmt w:val="bullet"/>
      <w:pStyle w:val="7"/>
      <w:lvlText w:val=""/>
      <w:lvlJc w:val="left"/>
      <w:pPr>
        <w:tabs>
          <w:tab w:val="left" w:pos="360"/>
        </w:tabs>
        <w:ind w:left="360" w:hanging="360"/>
      </w:pPr>
      <w:rPr>
        <w:rFonts w:hint="default" w:ascii="Wingdings" w:hAnsi="Wingdings"/>
      </w:rPr>
    </w:lvl>
  </w:abstractNum>
  <w:abstractNum w:abstractNumId="7">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893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567" w:firstLine="0"/>
      </w:pPr>
      <w:rPr>
        <w:rFonts w:hint="default" w:ascii="Book Antiqua" w:hAnsi="Book Antiqua" w:eastAsia="黑体" w:cs="Book Antiqua"/>
        <w:bCs/>
        <w:i w:val="0"/>
        <w:iCs w:val="0"/>
        <w:caps w:val="0"/>
        <w:strike w:val="0"/>
        <w:dstrike w:val="0"/>
        <w:vanish w:val="0"/>
        <w:color w:val="000000"/>
        <w:sz w:val="28"/>
        <w:szCs w:val="28"/>
        <w:vertAlign w:val="baseline"/>
      </w:rPr>
    </w:lvl>
    <w:lvl w:ilvl="4" w:tentative="0">
      <w:start w:val="1"/>
      <w:numFmt w:val="decimal"/>
      <w:pStyle w:val="5"/>
      <w:suff w:val="nothing"/>
      <w:lvlText w:val="%1.%2.%3.%4.%5 "/>
      <w:lvlJc w:val="left"/>
      <w:pPr>
        <w:ind w:left="0" w:firstLine="0"/>
      </w:pPr>
      <w:rPr>
        <w:rFonts w:hint="default" w:ascii="Book Antiqua" w:hAnsi="Book Antiqua" w:eastAsia="黑体" w:cs="Book Antiqua"/>
        <w:bCs/>
        <w:i w:val="0"/>
        <w:iCs w:val="0"/>
        <w:caps w:val="0"/>
        <w:strike w:val="0"/>
        <w:dstrike w:val="0"/>
        <w:vanish w:val="0"/>
        <w:color w:val="00000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Arial"/>
        <w:b w:val="0"/>
        <w:bCs/>
        <w:i w:val="0"/>
        <w:iCs w:val="0"/>
        <w:caps w:val="0"/>
        <w:strike w:val="0"/>
        <w:dstrike w:val="0"/>
        <w:vanish w:val="0"/>
        <w:color w:val="auto"/>
        <w:sz w:val="21"/>
        <w:szCs w:val="20"/>
        <w:vertAlign w:val="baseline"/>
      </w:rPr>
    </w:lvl>
    <w:lvl w:ilvl="6" w:tentative="0">
      <w:start w:val="1"/>
      <w:numFmt w:val="decimal"/>
      <w:lvlText w:val="%7."/>
      <w:lvlJc w:val="left"/>
      <w:pPr>
        <w:tabs>
          <w:tab w:val="left" w:pos="2126"/>
        </w:tabs>
        <w:ind w:left="2126" w:hanging="425"/>
      </w:pPr>
      <w:rPr>
        <w:rFonts w:hint="default" w:ascii="Times New Roman" w:hAnsi="Times New Roman" w:eastAsia="黑体" w:cs="Times New Roman"/>
        <w:b w:val="0"/>
        <w:bCs/>
        <w:i w:val="0"/>
        <w:iCs w:val="0"/>
        <w:color w:val="auto"/>
        <w:sz w:val="21"/>
        <w:szCs w:val="21"/>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8" w:tentative="0">
      <w:start w:val="1"/>
      <w:numFmt w:val="decimal"/>
      <w:lvlRestart w:val="1"/>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8">
    <w:nsid w:val="1F87E9FA"/>
    <w:multiLevelType w:val="singleLevel"/>
    <w:tmpl w:val="1F87E9FA"/>
    <w:lvl w:ilvl="0" w:tentative="0">
      <w:start w:val="1"/>
      <w:numFmt w:val="decimal"/>
      <w:suff w:val="nothing"/>
      <w:lvlText w:val="%1、"/>
      <w:lvlJc w:val="left"/>
    </w:lvl>
  </w:abstractNum>
  <w:abstractNum w:abstractNumId="9">
    <w:nsid w:val="2670F4CC"/>
    <w:multiLevelType w:val="singleLevel"/>
    <w:tmpl w:val="2670F4CC"/>
    <w:lvl w:ilvl="0" w:tentative="0">
      <w:start w:val="1"/>
      <w:numFmt w:val="decimal"/>
      <w:suff w:val="nothing"/>
      <w:lvlText w:val="%1、"/>
      <w:lvlJc w:val="left"/>
    </w:lvl>
  </w:abstractNum>
  <w:abstractNum w:abstractNumId="10">
    <w:nsid w:val="35458AF2"/>
    <w:multiLevelType w:val="singleLevel"/>
    <w:tmpl w:val="35458AF2"/>
    <w:lvl w:ilvl="0" w:tentative="0">
      <w:start w:val="1"/>
      <w:numFmt w:val="decimal"/>
      <w:suff w:val="nothing"/>
      <w:lvlText w:val="%1、"/>
      <w:lvlJc w:val="left"/>
    </w:lvl>
  </w:abstractNum>
  <w:abstractNum w:abstractNumId="11">
    <w:nsid w:val="3B7D6D87"/>
    <w:multiLevelType w:val="singleLevel"/>
    <w:tmpl w:val="3B7D6D87"/>
    <w:lvl w:ilvl="0" w:tentative="0">
      <w:start w:val="1"/>
      <w:numFmt w:val="decimal"/>
      <w:suff w:val="nothing"/>
      <w:lvlText w:val="%1、"/>
      <w:lvlJc w:val="left"/>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45284EC1"/>
    <w:multiLevelType w:val="singleLevel"/>
    <w:tmpl w:val="45284EC1"/>
    <w:lvl w:ilvl="0" w:tentative="0">
      <w:start w:val="1"/>
      <w:numFmt w:val="chineseCounting"/>
      <w:suff w:val="nothing"/>
      <w:lvlText w:val="%1、"/>
      <w:lvlJc w:val="left"/>
      <w:rPr>
        <w:rFonts w:hint="eastAsia"/>
      </w:rPr>
    </w:lvl>
  </w:abstractNum>
  <w:abstractNum w:abstractNumId="14">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63"/>
      <w:isLgl/>
      <w:lvlText w:val="%1.%2"/>
      <w:lvlJc w:val="left"/>
      <w:pPr>
        <w:tabs>
          <w:tab w:val="left" w:pos="851"/>
        </w:tabs>
        <w:ind w:left="0" w:firstLine="0"/>
      </w:pPr>
    </w:lvl>
    <w:lvl w:ilvl="2" w:tentative="0">
      <w:start w:val="1"/>
      <w:numFmt w:val="decimal"/>
      <w:pStyle w:val="64"/>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15">
    <w:nsid w:val="7BBD6E6E"/>
    <w:multiLevelType w:val="singleLevel"/>
    <w:tmpl w:val="7BBD6E6E"/>
    <w:lvl w:ilvl="0" w:tentative="0">
      <w:start w:val="1"/>
      <w:numFmt w:val="decimal"/>
      <w:suff w:val="nothing"/>
      <w:lvlText w:val="%1、"/>
      <w:lvlJc w:val="left"/>
    </w:lvl>
  </w:abstractNum>
  <w:num w:numId="1">
    <w:abstractNumId w:val="7"/>
  </w:num>
  <w:num w:numId="2">
    <w:abstractNumId w:val="6"/>
  </w:num>
  <w:num w:numId="3">
    <w:abstractNumId w:val="12"/>
  </w:num>
  <w:num w:numId="4">
    <w:abstractNumId w:val="14"/>
  </w:num>
  <w:num w:numId="5">
    <w:abstractNumId w:val="13"/>
  </w:num>
  <w:num w:numId="6">
    <w:abstractNumId w:val="1"/>
  </w:num>
  <w:num w:numId="7">
    <w:abstractNumId w:val="9"/>
  </w:num>
  <w:num w:numId="8">
    <w:abstractNumId w:val="10"/>
  </w:num>
  <w:num w:numId="9">
    <w:abstractNumId w:val="15"/>
  </w:num>
  <w:num w:numId="10">
    <w:abstractNumId w:val="8"/>
  </w:num>
  <w:num w:numId="11">
    <w:abstractNumId w:val="0"/>
  </w:num>
  <w:num w:numId="12">
    <w:abstractNumId w:val="11"/>
  </w:num>
  <w:num w:numId="13">
    <w:abstractNumId w:val="4"/>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jZDY0NTAwZjI5OTBmY2Q1MWRhNmFmMGU3YTczM2QifQ=="/>
  </w:docVars>
  <w:rsids>
    <w:rsidRoot w:val="33AC38C4"/>
    <w:rsid w:val="00125861"/>
    <w:rsid w:val="00177A77"/>
    <w:rsid w:val="002A00D3"/>
    <w:rsid w:val="00305807"/>
    <w:rsid w:val="00356A16"/>
    <w:rsid w:val="003F1F6D"/>
    <w:rsid w:val="00A30AAE"/>
    <w:rsid w:val="00CD5760"/>
    <w:rsid w:val="00D05FF6"/>
    <w:rsid w:val="00D17E27"/>
    <w:rsid w:val="0133656B"/>
    <w:rsid w:val="01366C30"/>
    <w:rsid w:val="016452B2"/>
    <w:rsid w:val="016775C2"/>
    <w:rsid w:val="01E062DA"/>
    <w:rsid w:val="01E2173A"/>
    <w:rsid w:val="02106DC3"/>
    <w:rsid w:val="02125666"/>
    <w:rsid w:val="02181133"/>
    <w:rsid w:val="021D3BB1"/>
    <w:rsid w:val="026C0C38"/>
    <w:rsid w:val="026C549F"/>
    <w:rsid w:val="02721349"/>
    <w:rsid w:val="02940D6F"/>
    <w:rsid w:val="02C22E4A"/>
    <w:rsid w:val="02CF7A3A"/>
    <w:rsid w:val="030E077B"/>
    <w:rsid w:val="031F2FA7"/>
    <w:rsid w:val="03482F92"/>
    <w:rsid w:val="037A095A"/>
    <w:rsid w:val="03895AEB"/>
    <w:rsid w:val="038D6E90"/>
    <w:rsid w:val="03A46AB0"/>
    <w:rsid w:val="03B15486"/>
    <w:rsid w:val="03E0629E"/>
    <w:rsid w:val="04364B0E"/>
    <w:rsid w:val="043872C6"/>
    <w:rsid w:val="046F5689"/>
    <w:rsid w:val="048C725E"/>
    <w:rsid w:val="049E0E2B"/>
    <w:rsid w:val="04C17856"/>
    <w:rsid w:val="04C62F3B"/>
    <w:rsid w:val="04CE504D"/>
    <w:rsid w:val="04D052A8"/>
    <w:rsid w:val="051C75D2"/>
    <w:rsid w:val="05342BC8"/>
    <w:rsid w:val="05B514BE"/>
    <w:rsid w:val="05D11D1B"/>
    <w:rsid w:val="05D879A7"/>
    <w:rsid w:val="05DD06BF"/>
    <w:rsid w:val="06074925"/>
    <w:rsid w:val="06171836"/>
    <w:rsid w:val="0617661D"/>
    <w:rsid w:val="061D286A"/>
    <w:rsid w:val="062736E9"/>
    <w:rsid w:val="06333633"/>
    <w:rsid w:val="063B1C58"/>
    <w:rsid w:val="06832FA6"/>
    <w:rsid w:val="069A0A43"/>
    <w:rsid w:val="06E12F07"/>
    <w:rsid w:val="06E423FD"/>
    <w:rsid w:val="06FF117C"/>
    <w:rsid w:val="07595E68"/>
    <w:rsid w:val="07A37E3B"/>
    <w:rsid w:val="07EA0E72"/>
    <w:rsid w:val="07FA6991"/>
    <w:rsid w:val="08042CDB"/>
    <w:rsid w:val="082822EA"/>
    <w:rsid w:val="082D7DE6"/>
    <w:rsid w:val="082F264E"/>
    <w:rsid w:val="083A0B3E"/>
    <w:rsid w:val="08435176"/>
    <w:rsid w:val="085127C9"/>
    <w:rsid w:val="087E1C52"/>
    <w:rsid w:val="08A75568"/>
    <w:rsid w:val="08B53E4F"/>
    <w:rsid w:val="08B551C5"/>
    <w:rsid w:val="08D54A99"/>
    <w:rsid w:val="08DA3F6B"/>
    <w:rsid w:val="08F10D8A"/>
    <w:rsid w:val="090B4355"/>
    <w:rsid w:val="091E45B2"/>
    <w:rsid w:val="093B7C41"/>
    <w:rsid w:val="09792717"/>
    <w:rsid w:val="099512B1"/>
    <w:rsid w:val="09A2776F"/>
    <w:rsid w:val="09B4595F"/>
    <w:rsid w:val="09CE6635"/>
    <w:rsid w:val="0A0855DF"/>
    <w:rsid w:val="0B1269BE"/>
    <w:rsid w:val="0B7F5D75"/>
    <w:rsid w:val="0B997ABD"/>
    <w:rsid w:val="0BA47589"/>
    <w:rsid w:val="0BAB4F7F"/>
    <w:rsid w:val="0BAF62FB"/>
    <w:rsid w:val="0BD52526"/>
    <w:rsid w:val="0BE605C9"/>
    <w:rsid w:val="0BE832C4"/>
    <w:rsid w:val="0BEF517C"/>
    <w:rsid w:val="0BF30E45"/>
    <w:rsid w:val="0BFB484D"/>
    <w:rsid w:val="0C19404B"/>
    <w:rsid w:val="0C1A3FB2"/>
    <w:rsid w:val="0C210B2D"/>
    <w:rsid w:val="0C6F6D18"/>
    <w:rsid w:val="0C7B0574"/>
    <w:rsid w:val="0C7B131D"/>
    <w:rsid w:val="0C822729"/>
    <w:rsid w:val="0CC37F8B"/>
    <w:rsid w:val="0CD13905"/>
    <w:rsid w:val="0CE67188"/>
    <w:rsid w:val="0CFC52EE"/>
    <w:rsid w:val="0D0758FB"/>
    <w:rsid w:val="0D693ECA"/>
    <w:rsid w:val="0D707DB3"/>
    <w:rsid w:val="0D797BC8"/>
    <w:rsid w:val="0DA20D97"/>
    <w:rsid w:val="0DA60ECE"/>
    <w:rsid w:val="0DAD0977"/>
    <w:rsid w:val="0DCF2C5E"/>
    <w:rsid w:val="0DD92C16"/>
    <w:rsid w:val="0DDC300B"/>
    <w:rsid w:val="0E004658"/>
    <w:rsid w:val="0E145B1A"/>
    <w:rsid w:val="0E1B7FD7"/>
    <w:rsid w:val="0E2D1364"/>
    <w:rsid w:val="0E8338C9"/>
    <w:rsid w:val="0EE42C1E"/>
    <w:rsid w:val="0F404305"/>
    <w:rsid w:val="0F652C69"/>
    <w:rsid w:val="0F9F17DF"/>
    <w:rsid w:val="0FA47B58"/>
    <w:rsid w:val="0FB029A1"/>
    <w:rsid w:val="0FC25F7D"/>
    <w:rsid w:val="0FC41115"/>
    <w:rsid w:val="0FDB5CB2"/>
    <w:rsid w:val="100268E6"/>
    <w:rsid w:val="102F5835"/>
    <w:rsid w:val="103D6409"/>
    <w:rsid w:val="1055163A"/>
    <w:rsid w:val="106A0DA2"/>
    <w:rsid w:val="10711DBE"/>
    <w:rsid w:val="10AA6ADE"/>
    <w:rsid w:val="10B714E3"/>
    <w:rsid w:val="10E11DAB"/>
    <w:rsid w:val="10E251F9"/>
    <w:rsid w:val="111F20E7"/>
    <w:rsid w:val="11380EA0"/>
    <w:rsid w:val="117E0F7D"/>
    <w:rsid w:val="11A46535"/>
    <w:rsid w:val="11B31BB8"/>
    <w:rsid w:val="11BF1C0B"/>
    <w:rsid w:val="11D7042A"/>
    <w:rsid w:val="11DD5E6D"/>
    <w:rsid w:val="11E710C1"/>
    <w:rsid w:val="11E84D68"/>
    <w:rsid w:val="11FD45A0"/>
    <w:rsid w:val="11FF222F"/>
    <w:rsid w:val="1256784C"/>
    <w:rsid w:val="125E66E4"/>
    <w:rsid w:val="126D2A4F"/>
    <w:rsid w:val="12747D73"/>
    <w:rsid w:val="12794C71"/>
    <w:rsid w:val="12861559"/>
    <w:rsid w:val="12965A4B"/>
    <w:rsid w:val="12977BDD"/>
    <w:rsid w:val="12B75F6D"/>
    <w:rsid w:val="12BE3214"/>
    <w:rsid w:val="12CB3684"/>
    <w:rsid w:val="12D45DCF"/>
    <w:rsid w:val="12DF61CE"/>
    <w:rsid w:val="13022C38"/>
    <w:rsid w:val="130E3D98"/>
    <w:rsid w:val="13412693"/>
    <w:rsid w:val="135A2CE6"/>
    <w:rsid w:val="135A30CB"/>
    <w:rsid w:val="13670C33"/>
    <w:rsid w:val="13AB5CA8"/>
    <w:rsid w:val="14027543"/>
    <w:rsid w:val="14081E2D"/>
    <w:rsid w:val="148F405C"/>
    <w:rsid w:val="1499542D"/>
    <w:rsid w:val="14AD4931"/>
    <w:rsid w:val="14BD4DF6"/>
    <w:rsid w:val="14D233B9"/>
    <w:rsid w:val="15107346"/>
    <w:rsid w:val="152A6D51"/>
    <w:rsid w:val="153674A4"/>
    <w:rsid w:val="153A3FEA"/>
    <w:rsid w:val="153E61F1"/>
    <w:rsid w:val="156D60D7"/>
    <w:rsid w:val="157A515D"/>
    <w:rsid w:val="15B63FD5"/>
    <w:rsid w:val="15B92641"/>
    <w:rsid w:val="160144A3"/>
    <w:rsid w:val="1626007A"/>
    <w:rsid w:val="16451919"/>
    <w:rsid w:val="167B3BB4"/>
    <w:rsid w:val="16900E36"/>
    <w:rsid w:val="16D15293"/>
    <w:rsid w:val="17460E19"/>
    <w:rsid w:val="178860AD"/>
    <w:rsid w:val="178B0334"/>
    <w:rsid w:val="178E63E4"/>
    <w:rsid w:val="17B11C21"/>
    <w:rsid w:val="17C0399D"/>
    <w:rsid w:val="17E23670"/>
    <w:rsid w:val="18063E8D"/>
    <w:rsid w:val="18161EDA"/>
    <w:rsid w:val="185B1FE2"/>
    <w:rsid w:val="18722EE9"/>
    <w:rsid w:val="18821758"/>
    <w:rsid w:val="189B2498"/>
    <w:rsid w:val="18B76B4E"/>
    <w:rsid w:val="18BB206F"/>
    <w:rsid w:val="18CC437C"/>
    <w:rsid w:val="19036239"/>
    <w:rsid w:val="192A099B"/>
    <w:rsid w:val="192F5A09"/>
    <w:rsid w:val="19390DD6"/>
    <w:rsid w:val="193A32DB"/>
    <w:rsid w:val="195833A8"/>
    <w:rsid w:val="19DD0D97"/>
    <w:rsid w:val="19EA6CD0"/>
    <w:rsid w:val="19FE3922"/>
    <w:rsid w:val="1A9B4369"/>
    <w:rsid w:val="1AE1170F"/>
    <w:rsid w:val="1AF328E2"/>
    <w:rsid w:val="1AF3324A"/>
    <w:rsid w:val="1AF52A73"/>
    <w:rsid w:val="1B070C4A"/>
    <w:rsid w:val="1B0A1726"/>
    <w:rsid w:val="1B507B07"/>
    <w:rsid w:val="1BA82DA5"/>
    <w:rsid w:val="1BD7448B"/>
    <w:rsid w:val="1BF43C15"/>
    <w:rsid w:val="1C0D58A7"/>
    <w:rsid w:val="1C161137"/>
    <w:rsid w:val="1C4346E1"/>
    <w:rsid w:val="1C4E2990"/>
    <w:rsid w:val="1C5D66C1"/>
    <w:rsid w:val="1C6568C1"/>
    <w:rsid w:val="1C8A5169"/>
    <w:rsid w:val="1CD026E5"/>
    <w:rsid w:val="1CE05AFD"/>
    <w:rsid w:val="1D444D17"/>
    <w:rsid w:val="1D5D57EA"/>
    <w:rsid w:val="1D607FF8"/>
    <w:rsid w:val="1DA63624"/>
    <w:rsid w:val="1DAE63EC"/>
    <w:rsid w:val="1DCE6CD5"/>
    <w:rsid w:val="1DD82485"/>
    <w:rsid w:val="1DF05690"/>
    <w:rsid w:val="1E29229C"/>
    <w:rsid w:val="1E4314C7"/>
    <w:rsid w:val="1E50465B"/>
    <w:rsid w:val="1EB124AC"/>
    <w:rsid w:val="1EC024D4"/>
    <w:rsid w:val="1F022AED"/>
    <w:rsid w:val="1F27545C"/>
    <w:rsid w:val="1F800B2C"/>
    <w:rsid w:val="1F810364"/>
    <w:rsid w:val="1F8169D4"/>
    <w:rsid w:val="1FD20E64"/>
    <w:rsid w:val="1FF17E0A"/>
    <w:rsid w:val="20051926"/>
    <w:rsid w:val="20120B0E"/>
    <w:rsid w:val="2059498F"/>
    <w:rsid w:val="208F53EE"/>
    <w:rsid w:val="20B449AA"/>
    <w:rsid w:val="20D21BBC"/>
    <w:rsid w:val="20EA3839"/>
    <w:rsid w:val="20FB1D7B"/>
    <w:rsid w:val="20FB6292"/>
    <w:rsid w:val="21123BCD"/>
    <w:rsid w:val="211F33D1"/>
    <w:rsid w:val="213071EA"/>
    <w:rsid w:val="21CB366A"/>
    <w:rsid w:val="21CD3DC1"/>
    <w:rsid w:val="21E34142"/>
    <w:rsid w:val="22020E18"/>
    <w:rsid w:val="223C2A3B"/>
    <w:rsid w:val="22C205C9"/>
    <w:rsid w:val="22D96755"/>
    <w:rsid w:val="22F02194"/>
    <w:rsid w:val="230D6D23"/>
    <w:rsid w:val="233A5D99"/>
    <w:rsid w:val="23610BF5"/>
    <w:rsid w:val="23BE00B4"/>
    <w:rsid w:val="23C65C05"/>
    <w:rsid w:val="23CB1530"/>
    <w:rsid w:val="24186728"/>
    <w:rsid w:val="24391FCC"/>
    <w:rsid w:val="245C416B"/>
    <w:rsid w:val="24665464"/>
    <w:rsid w:val="24A4303F"/>
    <w:rsid w:val="24A85F4F"/>
    <w:rsid w:val="24E32EB3"/>
    <w:rsid w:val="25244A61"/>
    <w:rsid w:val="2525539A"/>
    <w:rsid w:val="255A72E3"/>
    <w:rsid w:val="259B2DFF"/>
    <w:rsid w:val="25B25376"/>
    <w:rsid w:val="25B96481"/>
    <w:rsid w:val="25C74149"/>
    <w:rsid w:val="25DC4787"/>
    <w:rsid w:val="260C0FF2"/>
    <w:rsid w:val="260E64C3"/>
    <w:rsid w:val="26487037"/>
    <w:rsid w:val="264F2CFF"/>
    <w:rsid w:val="265E685B"/>
    <w:rsid w:val="267F67D1"/>
    <w:rsid w:val="268B0DAE"/>
    <w:rsid w:val="26A02BC0"/>
    <w:rsid w:val="26BD4963"/>
    <w:rsid w:val="26E54B5E"/>
    <w:rsid w:val="271434DB"/>
    <w:rsid w:val="272915D9"/>
    <w:rsid w:val="276F005E"/>
    <w:rsid w:val="27773922"/>
    <w:rsid w:val="27D119AC"/>
    <w:rsid w:val="283E16C3"/>
    <w:rsid w:val="286208D7"/>
    <w:rsid w:val="286A6ED2"/>
    <w:rsid w:val="28757F59"/>
    <w:rsid w:val="289C346E"/>
    <w:rsid w:val="29080D00"/>
    <w:rsid w:val="290D0804"/>
    <w:rsid w:val="29104399"/>
    <w:rsid w:val="29236F71"/>
    <w:rsid w:val="29343186"/>
    <w:rsid w:val="296F6FD1"/>
    <w:rsid w:val="297E7214"/>
    <w:rsid w:val="29912B16"/>
    <w:rsid w:val="29C553E2"/>
    <w:rsid w:val="29E637CA"/>
    <w:rsid w:val="29EF57F4"/>
    <w:rsid w:val="2A03190E"/>
    <w:rsid w:val="2A1F4553"/>
    <w:rsid w:val="2A853B8B"/>
    <w:rsid w:val="2A8C2A8A"/>
    <w:rsid w:val="2A8E16D9"/>
    <w:rsid w:val="2A923EAF"/>
    <w:rsid w:val="2AA61E69"/>
    <w:rsid w:val="2AB91A60"/>
    <w:rsid w:val="2AC1125F"/>
    <w:rsid w:val="2ACD3FAF"/>
    <w:rsid w:val="2AD1375B"/>
    <w:rsid w:val="2AD748CF"/>
    <w:rsid w:val="2AE850A9"/>
    <w:rsid w:val="2AF60BF3"/>
    <w:rsid w:val="2B17490F"/>
    <w:rsid w:val="2B3059D5"/>
    <w:rsid w:val="2B350FC7"/>
    <w:rsid w:val="2B526AAD"/>
    <w:rsid w:val="2B6373AC"/>
    <w:rsid w:val="2B7B0336"/>
    <w:rsid w:val="2BAE1743"/>
    <w:rsid w:val="2BF22108"/>
    <w:rsid w:val="2C2C11A9"/>
    <w:rsid w:val="2C326C88"/>
    <w:rsid w:val="2C42327B"/>
    <w:rsid w:val="2C4C0E86"/>
    <w:rsid w:val="2C622328"/>
    <w:rsid w:val="2C725028"/>
    <w:rsid w:val="2C770AFE"/>
    <w:rsid w:val="2CAC5589"/>
    <w:rsid w:val="2CE83322"/>
    <w:rsid w:val="2CFD76BC"/>
    <w:rsid w:val="2D006ED4"/>
    <w:rsid w:val="2D236049"/>
    <w:rsid w:val="2D445CBE"/>
    <w:rsid w:val="2D48136A"/>
    <w:rsid w:val="2D9440D5"/>
    <w:rsid w:val="2DDD09AD"/>
    <w:rsid w:val="2E274D41"/>
    <w:rsid w:val="2E3C3299"/>
    <w:rsid w:val="2E5346AA"/>
    <w:rsid w:val="2E5549E7"/>
    <w:rsid w:val="2EBF0997"/>
    <w:rsid w:val="2EC76F67"/>
    <w:rsid w:val="2ED668FD"/>
    <w:rsid w:val="2EF2727F"/>
    <w:rsid w:val="2F375C5E"/>
    <w:rsid w:val="2F3D6450"/>
    <w:rsid w:val="2F3E6E42"/>
    <w:rsid w:val="2F500984"/>
    <w:rsid w:val="2F66122A"/>
    <w:rsid w:val="2F6E3407"/>
    <w:rsid w:val="2F78470D"/>
    <w:rsid w:val="2F9F3CF3"/>
    <w:rsid w:val="2FB63264"/>
    <w:rsid w:val="2FB716BC"/>
    <w:rsid w:val="2FD83198"/>
    <w:rsid w:val="2FE6203B"/>
    <w:rsid w:val="2FF275D2"/>
    <w:rsid w:val="2FFD02C4"/>
    <w:rsid w:val="30085A89"/>
    <w:rsid w:val="30096B09"/>
    <w:rsid w:val="30282733"/>
    <w:rsid w:val="302D048E"/>
    <w:rsid w:val="302D6332"/>
    <w:rsid w:val="303135DC"/>
    <w:rsid w:val="30316A06"/>
    <w:rsid w:val="303D1AEB"/>
    <w:rsid w:val="30434E15"/>
    <w:rsid w:val="30502980"/>
    <w:rsid w:val="30593508"/>
    <w:rsid w:val="306E1044"/>
    <w:rsid w:val="30A17D94"/>
    <w:rsid w:val="30C61C89"/>
    <w:rsid w:val="30F05D12"/>
    <w:rsid w:val="30F95388"/>
    <w:rsid w:val="30FE0FDD"/>
    <w:rsid w:val="30FF49EA"/>
    <w:rsid w:val="311873C2"/>
    <w:rsid w:val="3130699B"/>
    <w:rsid w:val="314F6C88"/>
    <w:rsid w:val="3185533B"/>
    <w:rsid w:val="318F1FBE"/>
    <w:rsid w:val="319234CF"/>
    <w:rsid w:val="31C72034"/>
    <w:rsid w:val="320100F1"/>
    <w:rsid w:val="32026C34"/>
    <w:rsid w:val="3231072C"/>
    <w:rsid w:val="32585281"/>
    <w:rsid w:val="325E0DB4"/>
    <w:rsid w:val="32763F3A"/>
    <w:rsid w:val="32952294"/>
    <w:rsid w:val="32AD03B8"/>
    <w:rsid w:val="32C22C80"/>
    <w:rsid w:val="330D7A66"/>
    <w:rsid w:val="33247082"/>
    <w:rsid w:val="33517E72"/>
    <w:rsid w:val="336A6FAF"/>
    <w:rsid w:val="33AB7105"/>
    <w:rsid w:val="33AC38C4"/>
    <w:rsid w:val="33D17133"/>
    <w:rsid w:val="33E51D62"/>
    <w:rsid w:val="341944A9"/>
    <w:rsid w:val="345C6C88"/>
    <w:rsid w:val="345D532D"/>
    <w:rsid w:val="345D61A1"/>
    <w:rsid w:val="347B2E8F"/>
    <w:rsid w:val="34836916"/>
    <w:rsid w:val="34C6520E"/>
    <w:rsid w:val="34F62354"/>
    <w:rsid w:val="34FB5BBD"/>
    <w:rsid w:val="352B6A18"/>
    <w:rsid w:val="355A21C6"/>
    <w:rsid w:val="357864AF"/>
    <w:rsid w:val="35866518"/>
    <w:rsid w:val="35BF3530"/>
    <w:rsid w:val="35BF71A8"/>
    <w:rsid w:val="35CE4683"/>
    <w:rsid w:val="361A2A0B"/>
    <w:rsid w:val="361E4AE6"/>
    <w:rsid w:val="36203BF5"/>
    <w:rsid w:val="36255C44"/>
    <w:rsid w:val="36285FDD"/>
    <w:rsid w:val="36382F77"/>
    <w:rsid w:val="36557982"/>
    <w:rsid w:val="368E557E"/>
    <w:rsid w:val="36EA6E66"/>
    <w:rsid w:val="36FD2AB4"/>
    <w:rsid w:val="37092AF7"/>
    <w:rsid w:val="37417DF5"/>
    <w:rsid w:val="374C59AF"/>
    <w:rsid w:val="37642B96"/>
    <w:rsid w:val="376734F4"/>
    <w:rsid w:val="376F6EDF"/>
    <w:rsid w:val="377B3BDF"/>
    <w:rsid w:val="377D6D5D"/>
    <w:rsid w:val="379C71E3"/>
    <w:rsid w:val="37D55376"/>
    <w:rsid w:val="37D821FC"/>
    <w:rsid w:val="37FB5F35"/>
    <w:rsid w:val="380F07E5"/>
    <w:rsid w:val="38397632"/>
    <w:rsid w:val="384321A7"/>
    <w:rsid w:val="38492DB1"/>
    <w:rsid w:val="38510044"/>
    <w:rsid w:val="389F0D88"/>
    <w:rsid w:val="38FD0155"/>
    <w:rsid w:val="38FF472E"/>
    <w:rsid w:val="39175374"/>
    <w:rsid w:val="39282970"/>
    <w:rsid w:val="3942200C"/>
    <w:rsid w:val="39696C18"/>
    <w:rsid w:val="398021B4"/>
    <w:rsid w:val="39961511"/>
    <w:rsid w:val="39AD120F"/>
    <w:rsid w:val="39FE7232"/>
    <w:rsid w:val="3A383F90"/>
    <w:rsid w:val="3A994551"/>
    <w:rsid w:val="3AA233B0"/>
    <w:rsid w:val="3AB74334"/>
    <w:rsid w:val="3AE30638"/>
    <w:rsid w:val="3B0612C0"/>
    <w:rsid w:val="3B1C3A4F"/>
    <w:rsid w:val="3B2918C2"/>
    <w:rsid w:val="3B4D383B"/>
    <w:rsid w:val="3B5C1AB6"/>
    <w:rsid w:val="3BA7203F"/>
    <w:rsid w:val="3BAC628D"/>
    <w:rsid w:val="3BC22A08"/>
    <w:rsid w:val="3BD648D2"/>
    <w:rsid w:val="3C21415B"/>
    <w:rsid w:val="3C281A27"/>
    <w:rsid w:val="3C4741A0"/>
    <w:rsid w:val="3C485B8B"/>
    <w:rsid w:val="3C553E04"/>
    <w:rsid w:val="3CBD429C"/>
    <w:rsid w:val="3CD31FCF"/>
    <w:rsid w:val="3D2C23B6"/>
    <w:rsid w:val="3D30215D"/>
    <w:rsid w:val="3D33381D"/>
    <w:rsid w:val="3D516798"/>
    <w:rsid w:val="3D5F13DF"/>
    <w:rsid w:val="3D8A6036"/>
    <w:rsid w:val="3DA37748"/>
    <w:rsid w:val="3DBE7E92"/>
    <w:rsid w:val="3DCB380D"/>
    <w:rsid w:val="3DCC58DF"/>
    <w:rsid w:val="3DCE22E0"/>
    <w:rsid w:val="3DFE6413"/>
    <w:rsid w:val="3E157CEF"/>
    <w:rsid w:val="3E49086C"/>
    <w:rsid w:val="3EE02273"/>
    <w:rsid w:val="3EE377F9"/>
    <w:rsid w:val="3EEC2F11"/>
    <w:rsid w:val="3F010273"/>
    <w:rsid w:val="3F4C33BB"/>
    <w:rsid w:val="3F634A8A"/>
    <w:rsid w:val="3F7352B7"/>
    <w:rsid w:val="3F8847ED"/>
    <w:rsid w:val="3FF208A8"/>
    <w:rsid w:val="40011D73"/>
    <w:rsid w:val="406B603B"/>
    <w:rsid w:val="407C4D82"/>
    <w:rsid w:val="40816CD3"/>
    <w:rsid w:val="408D2CE0"/>
    <w:rsid w:val="40A94E35"/>
    <w:rsid w:val="40E702D3"/>
    <w:rsid w:val="40F47DD2"/>
    <w:rsid w:val="40FA4830"/>
    <w:rsid w:val="410F0A26"/>
    <w:rsid w:val="413D2FBF"/>
    <w:rsid w:val="415E19AD"/>
    <w:rsid w:val="41730511"/>
    <w:rsid w:val="41934E9B"/>
    <w:rsid w:val="42175DE6"/>
    <w:rsid w:val="42197AF1"/>
    <w:rsid w:val="421B27BF"/>
    <w:rsid w:val="42294680"/>
    <w:rsid w:val="42504AB8"/>
    <w:rsid w:val="4254669C"/>
    <w:rsid w:val="42643A72"/>
    <w:rsid w:val="42B0369E"/>
    <w:rsid w:val="42D21250"/>
    <w:rsid w:val="42FE3484"/>
    <w:rsid w:val="430A7413"/>
    <w:rsid w:val="43173315"/>
    <w:rsid w:val="434626F9"/>
    <w:rsid w:val="43491BA1"/>
    <w:rsid w:val="434E2448"/>
    <w:rsid w:val="43635059"/>
    <w:rsid w:val="438D7342"/>
    <w:rsid w:val="43EE5D8E"/>
    <w:rsid w:val="440840AD"/>
    <w:rsid w:val="441D629E"/>
    <w:rsid w:val="44307034"/>
    <w:rsid w:val="44315157"/>
    <w:rsid w:val="443835DA"/>
    <w:rsid w:val="44420495"/>
    <w:rsid w:val="44972AB2"/>
    <w:rsid w:val="44A801B7"/>
    <w:rsid w:val="44CE037E"/>
    <w:rsid w:val="44DA31A2"/>
    <w:rsid w:val="44E110EC"/>
    <w:rsid w:val="450E3FAF"/>
    <w:rsid w:val="4536363E"/>
    <w:rsid w:val="45474CFD"/>
    <w:rsid w:val="45654104"/>
    <w:rsid w:val="458324DC"/>
    <w:rsid w:val="458A7B18"/>
    <w:rsid w:val="459D6604"/>
    <w:rsid w:val="45A879D2"/>
    <w:rsid w:val="45D02ACA"/>
    <w:rsid w:val="45D97854"/>
    <w:rsid w:val="46036683"/>
    <w:rsid w:val="464A4D92"/>
    <w:rsid w:val="464C43F1"/>
    <w:rsid w:val="465C5277"/>
    <w:rsid w:val="46695C48"/>
    <w:rsid w:val="46835C7A"/>
    <w:rsid w:val="468F2F29"/>
    <w:rsid w:val="46972647"/>
    <w:rsid w:val="469A6FE4"/>
    <w:rsid w:val="46D5626E"/>
    <w:rsid w:val="46D63D94"/>
    <w:rsid w:val="46E92D5E"/>
    <w:rsid w:val="47195E2A"/>
    <w:rsid w:val="4799269C"/>
    <w:rsid w:val="479E7FE4"/>
    <w:rsid w:val="479F3B90"/>
    <w:rsid w:val="47B37D20"/>
    <w:rsid w:val="47C02A7A"/>
    <w:rsid w:val="48137BF0"/>
    <w:rsid w:val="482C5A25"/>
    <w:rsid w:val="48527724"/>
    <w:rsid w:val="486B1B3A"/>
    <w:rsid w:val="48917A25"/>
    <w:rsid w:val="48934632"/>
    <w:rsid w:val="489C3950"/>
    <w:rsid w:val="48A73A31"/>
    <w:rsid w:val="48AB5C8A"/>
    <w:rsid w:val="48FE35AC"/>
    <w:rsid w:val="491311E3"/>
    <w:rsid w:val="492E4B02"/>
    <w:rsid w:val="494E3998"/>
    <w:rsid w:val="497955D6"/>
    <w:rsid w:val="49B641BA"/>
    <w:rsid w:val="4A0C18D0"/>
    <w:rsid w:val="4A103E13"/>
    <w:rsid w:val="4A336FB4"/>
    <w:rsid w:val="4A4D3308"/>
    <w:rsid w:val="4A781DF1"/>
    <w:rsid w:val="4A8D192B"/>
    <w:rsid w:val="4A9A20BA"/>
    <w:rsid w:val="4AFA296E"/>
    <w:rsid w:val="4B061D40"/>
    <w:rsid w:val="4B1911F2"/>
    <w:rsid w:val="4B3B68BB"/>
    <w:rsid w:val="4B427C4A"/>
    <w:rsid w:val="4B4B7D18"/>
    <w:rsid w:val="4B656869"/>
    <w:rsid w:val="4B7122DD"/>
    <w:rsid w:val="4B7440C2"/>
    <w:rsid w:val="4B810CB8"/>
    <w:rsid w:val="4B8B5559"/>
    <w:rsid w:val="4BBF1C15"/>
    <w:rsid w:val="4BF13283"/>
    <w:rsid w:val="4C2A466B"/>
    <w:rsid w:val="4CB80080"/>
    <w:rsid w:val="4CCA52F1"/>
    <w:rsid w:val="4CF055EE"/>
    <w:rsid w:val="4CF45063"/>
    <w:rsid w:val="4D1214E6"/>
    <w:rsid w:val="4D6B7310"/>
    <w:rsid w:val="4D711BEF"/>
    <w:rsid w:val="4D863560"/>
    <w:rsid w:val="4D924CCF"/>
    <w:rsid w:val="4D9D2EC2"/>
    <w:rsid w:val="4DA11DD8"/>
    <w:rsid w:val="4DAD7DED"/>
    <w:rsid w:val="4DF61518"/>
    <w:rsid w:val="4E081169"/>
    <w:rsid w:val="4E0C4693"/>
    <w:rsid w:val="4E141781"/>
    <w:rsid w:val="4E6D79BE"/>
    <w:rsid w:val="4E6F45A6"/>
    <w:rsid w:val="4E726054"/>
    <w:rsid w:val="4EA24700"/>
    <w:rsid w:val="4ED93C8A"/>
    <w:rsid w:val="4EDF7E62"/>
    <w:rsid w:val="4EE3431C"/>
    <w:rsid w:val="4F2A03A3"/>
    <w:rsid w:val="4F9F29BD"/>
    <w:rsid w:val="4FC6772C"/>
    <w:rsid w:val="4FCD60AC"/>
    <w:rsid w:val="4FCF54F6"/>
    <w:rsid w:val="4FDE5F20"/>
    <w:rsid w:val="500A342C"/>
    <w:rsid w:val="501D1A9C"/>
    <w:rsid w:val="502D6AE4"/>
    <w:rsid w:val="503E5A6A"/>
    <w:rsid w:val="50612555"/>
    <w:rsid w:val="50677977"/>
    <w:rsid w:val="50A65E90"/>
    <w:rsid w:val="50CD548F"/>
    <w:rsid w:val="50EA68C4"/>
    <w:rsid w:val="50F6750C"/>
    <w:rsid w:val="51144B85"/>
    <w:rsid w:val="512D2052"/>
    <w:rsid w:val="51477D68"/>
    <w:rsid w:val="51A92080"/>
    <w:rsid w:val="51D814B1"/>
    <w:rsid w:val="51DA4902"/>
    <w:rsid w:val="51F6547F"/>
    <w:rsid w:val="51FF1C32"/>
    <w:rsid w:val="52076CA1"/>
    <w:rsid w:val="520C1704"/>
    <w:rsid w:val="520F5A57"/>
    <w:rsid w:val="52665C2B"/>
    <w:rsid w:val="527D03E3"/>
    <w:rsid w:val="527D3C92"/>
    <w:rsid w:val="52805540"/>
    <w:rsid w:val="5284715E"/>
    <w:rsid w:val="52A1549E"/>
    <w:rsid w:val="52CF1307"/>
    <w:rsid w:val="5304612E"/>
    <w:rsid w:val="53146793"/>
    <w:rsid w:val="532F3584"/>
    <w:rsid w:val="5341266C"/>
    <w:rsid w:val="53483599"/>
    <w:rsid w:val="53537745"/>
    <w:rsid w:val="53991F86"/>
    <w:rsid w:val="53B61BA3"/>
    <w:rsid w:val="53B77530"/>
    <w:rsid w:val="54650990"/>
    <w:rsid w:val="54771301"/>
    <w:rsid w:val="54A43EF2"/>
    <w:rsid w:val="54CB2162"/>
    <w:rsid w:val="558327A4"/>
    <w:rsid w:val="55AC1D61"/>
    <w:rsid w:val="55B41744"/>
    <w:rsid w:val="55F06C20"/>
    <w:rsid w:val="564776D2"/>
    <w:rsid w:val="564D747D"/>
    <w:rsid w:val="56822963"/>
    <w:rsid w:val="56AA6EF5"/>
    <w:rsid w:val="56CB2EF7"/>
    <w:rsid w:val="56E4159D"/>
    <w:rsid w:val="5722458B"/>
    <w:rsid w:val="57616E10"/>
    <w:rsid w:val="577202D2"/>
    <w:rsid w:val="577337DA"/>
    <w:rsid w:val="57A31574"/>
    <w:rsid w:val="57B32A0E"/>
    <w:rsid w:val="57D04C5C"/>
    <w:rsid w:val="57D7497F"/>
    <w:rsid w:val="57DF0403"/>
    <w:rsid w:val="57E53AE8"/>
    <w:rsid w:val="57EE710F"/>
    <w:rsid w:val="57FD00E5"/>
    <w:rsid w:val="58017A69"/>
    <w:rsid w:val="581038EE"/>
    <w:rsid w:val="58526DEF"/>
    <w:rsid w:val="586E6A60"/>
    <w:rsid w:val="587F762C"/>
    <w:rsid w:val="58AC28C3"/>
    <w:rsid w:val="58B30533"/>
    <w:rsid w:val="58E722DE"/>
    <w:rsid w:val="58FC29ED"/>
    <w:rsid w:val="59A154FF"/>
    <w:rsid w:val="59B47F65"/>
    <w:rsid w:val="59BD4FF3"/>
    <w:rsid w:val="59E06FAB"/>
    <w:rsid w:val="59E62C29"/>
    <w:rsid w:val="59EE244B"/>
    <w:rsid w:val="59F22AD8"/>
    <w:rsid w:val="59FE4EE4"/>
    <w:rsid w:val="5A12004C"/>
    <w:rsid w:val="5A2B266A"/>
    <w:rsid w:val="5A543D99"/>
    <w:rsid w:val="5A5F6122"/>
    <w:rsid w:val="5A6058D2"/>
    <w:rsid w:val="5A6E49E2"/>
    <w:rsid w:val="5A7842F4"/>
    <w:rsid w:val="5A920D5A"/>
    <w:rsid w:val="5AEE2378"/>
    <w:rsid w:val="5B37645A"/>
    <w:rsid w:val="5B55074A"/>
    <w:rsid w:val="5B711CD4"/>
    <w:rsid w:val="5B7855EB"/>
    <w:rsid w:val="5B8878EC"/>
    <w:rsid w:val="5B950086"/>
    <w:rsid w:val="5B995664"/>
    <w:rsid w:val="5BCB3845"/>
    <w:rsid w:val="5BCC45D6"/>
    <w:rsid w:val="5BCF1086"/>
    <w:rsid w:val="5BE6384E"/>
    <w:rsid w:val="5C02145B"/>
    <w:rsid w:val="5C2417CB"/>
    <w:rsid w:val="5C4307BC"/>
    <w:rsid w:val="5CAE35A5"/>
    <w:rsid w:val="5CD66177"/>
    <w:rsid w:val="5CE9729B"/>
    <w:rsid w:val="5D5E4DB7"/>
    <w:rsid w:val="5D977651"/>
    <w:rsid w:val="5D9B02E7"/>
    <w:rsid w:val="5DCB13D2"/>
    <w:rsid w:val="5DE828D3"/>
    <w:rsid w:val="5DEC0485"/>
    <w:rsid w:val="5DEF61CF"/>
    <w:rsid w:val="5E0E3F5B"/>
    <w:rsid w:val="5E171D3B"/>
    <w:rsid w:val="5E1967BC"/>
    <w:rsid w:val="5E5105EC"/>
    <w:rsid w:val="5EC46585"/>
    <w:rsid w:val="5ECA5B63"/>
    <w:rsid w:val="5ED6097D"/>
    <w:rsid w:val="5EDD1D0C"/>
    <w:rsid w:val="5EE82966"/>
    <w:rsid w:val="5F15731E"/>
    <w:rsid w:val="5F1E5539"/>
    <w:rsid w:val="5F226AC0"/>
    <w:rsid w:val="5F2A267B"/>
    <w:rsid w:val="5F4F0E5B"/>
    <w:rsid w:val="5F6244B3"/>
    <w:rsid w:val="5F802A46"/>
    <w:rsid w:val="5F8E4ADB"/>
    <w:rsid w:val="5F9D5229"/>
    <w:rsid w:val="5FB6394F"/>
    <w:rsid w:val="5FD20EE7"/>
    <w:rsid w:val="5FF73970"/>
    <w:rsid w:val="600663C8"/>
    <w:rsid w:val="601E082E"/>
    <w:rsid w:val="60A11F6C"/>
    <w:rsid w:val="60A71681"/>
    <w:rsid w:val="60C1363A"/>
    <w:rsid w:val="60CB0E36"/>
    <w:rsid w:val="60D1050D"/>
    <w:rsid w:val="60EE1A26"/>
    <w:rsid w:val="60F46B68"/>
    <w:rsid w:val="610268D0"/>
    <w:rsid w:val="612E1B66"/>
    <w:rsid w:val="61701AC5"/>
    <w:rsid w:val="61730824"/>
    <w:rsid w:val="617A4B16"/>
    <w:rsid w:val="61842912"/>
    <w:rsid w:val="61920181"/>
    <w:rsid w:val="619B1A52"/>
    <w:rsid w:val="61A84853"/>
    <w:rsid w:val="61D504A2"/>
    <w:rsid w:val="62016730"/>
    <w:rsid w:val="620F1566"/>
    <w:rsid w:val="622B6426"/>
    <w:rsid w:val="627B7E9F"/>
    <w:rsid w:val="628F33AD"/>
    <w:rsid w:val="629972EB"/>
    <w:rsid w:val="62A86574"/>
    <w:rsid w:val="62AD7C47"/>
    <w:rsid w:val="62B80608"/>
    <w:rsid w:val="62BE2FF3"/>
    <w:rsid w:val="62CD613F"/>
    <w:rsid w:val="62DD1F8C"/>
    <w:rsid w:val="63275CF4"/>
    <w:rsid w:val="63346127"/>
    <w:rsid w:val="63402BEB"/>
    <w:rsid w:val="63B95F87"/>
    <w:rsid w:val="63CB474D"/>
    <w:rsid w:val="640B2635"/>
    <w:rsid w:val="642E6818"/>
    <w:rsid w:val="643A741C"/>
    <w:rsid w:val="64872CE3"/>
    <w:rsid w:val="64BC1286"/>
    <w:rsid w:val="64C66275"/>
    <w:rsid w:val="64F977F6"/>
    <w:rsid w:val="651144BD"/>
    <w:rsid w:val="655F7541"/>
    <w:rsid w:val="657038D9"/>
    <w:rsid w:val="657A0163"/>
    <w:rsid w:val="65844D1A"/>
    <w:rsid w:val="65BA4B55"/>
    <w:rsid w:val="65BD2897"/>
    <w:rsid w:val="65BE010D"/>
    <w:rsid w:val="65DE0F69"/>
    <w:rsid w:val="65DF6900"/>
    <w:rsid w:val="660364FC"/>
    <w:rsid w:val="660A2E72"/>
    <w:rsid w:val="660C21F0"/>
    <w:rsid w:val="66205B10"/>
    <w:rsid w:val="66471A99"/>
    <w:rsid w:val="66591E7D"/>
    <w:rsid w:val="66766068"/>
    <w:rsid w:val="66CD28BF"/>
    <w:rsid w:val="66D10C23"/>
    <w:rsid w:val="66D432C5"/>
    <w:rsid w:val="66FA6593"/>
    <w:rsid w:val="671C645D"/>
    <w:rsid w:val="672577A4"/>
    <w:rsid w:val="6726260B"/>
    <w:rsid w:val="674A4E86"/>
    <w:rsid w:val="67722252"/>
    <w:rsid w:val="67831661"/>
    <w:rsid w:val="67A621D7"/>
    <w:rsid w:val="67F05B9A"/>
    <w:rsid w:val="680440AB"/>
    <w:rsid w:val="68374AD9"/>
    <w:rsid w:val="686235C4"/>
    <w:rsid w:val="68780AE3"/>
    <w:rsid w:val="688356D2"/>
    <w:rsid w:val="68C1269E"/>
    <w:rsid w:val="68EF7BE3"/>
    <w:rsid w:val="68FB170C"/>
    <w:rsid w:val="6921379E"/>
    <w:rsid w:val="693F5627"/>
    <w:rsid w:val="69440852"/>
    <w:rsid w:val="69A16757"/>
    <w:rsid w:val="69B71022"/>
    <w:rsid w:val="69C631C0"/>
    <w:rsid w:val="69D26857"/>
    <w:rsid w:val="69DE0CFA"/>
    <w:rsid w:val="6A1055C1"/>
    <w:rsid w:val="6A185167"/>
    <w:rsid w:val="6A4E534E"/>
    <w:rsid w:val="6A5827AD"/>
    <w:rsid w:val="6A582B68"/>
    <w:rsid w:val="6A6E23B2"/>
    <w:rsid w:val="6A933141"/>
    <w:rsid w:val="6AD34B93"/>
    <w:rsid w:val="6AE70738"/>
    <w:rsid w:val="6AEF6824"/>
    <w:rsid w:val="6AF44DEA"/>
    <w:rsid w:val="6AF61231"/>
    <w:rsid w:val="6B5E5F23"/>
    <w:rsid w:val="6B647ABE"/>
    <w:rsid w:val="6BB973ED"/>
    <w:rsid w:val="6BC1075B"/>
    <w:rsid w:val="6BD04C1C"/>
    <w:rsid w:val="6BE82C87"/>
    <w:rsid w:val="6C2860BB"/>
    <w:rsid w:val="6C2E3BA6"/>
    <w:rsid w:val="6C3B3902"/>
    <w:rsid w:val="6C4312E5"/>
    <w:rsid w:val="6C526C75"/>
    <w:rsid w:val="6C872162"/>
    <w:rsid w:val="6C894C5E"/>
    <w:rsid w:val="6C9436BB"/>
    <w:rsid w:val="6CB967BC"/>
    <w:rsid w:val="6CC35851"/>
    <w:rsid w:val="6CD05E9D"/>
    <w:rsid w:val="6CDC2A73"/>
    <w:rsid w:val="6CE342AC"/>
    <w:rsid w:val="6CEE2283"/>
    <w:rsid w:val="6D2106FC"/>
    <w:rsid w:val="6D2356D5"/>
    <w:rsid w:val="6D263819"/>
    <w:rsid w:val="6D57537F"/>
    <w:rsid w:val="6D5921BD"/>
    <w:rsid w:val="6DA067C4"/>
    <w:rsid w:val="6DAB69A9"/>
    <w:rsid w:val="6DB84779"/>
    <w:rsid w:val="6DDD6884"/>
    <w:rsid w:val="6E054BF0"/>
    <w:rsid w:val="6E1D39B2"/>
    <w:rsid w:val="6E1F4345"/>
    <w:rsid w:val="6E462E06"/>
    <w:rsid w:val="6E6A2D9D"/>
    <w:rsid w:val="6E8B5C0E"/>
    <w:rsid w:val="6EA22A4F"/>
    <w:rsid w:val="6EAA3D90"/>
    <w:rsid w:val="6EAF1446"/>
    <w:rsid w:val="6EC6456A"/>
    <w:rsid w:val="6ECB392F"/>
    <w:rsid w:val="6ED0600D"/>
    <w:rsid w:val="6ED451A6"/>
    <w:rsid w:val="6EDA6084"/>
    <w:rsid w:val="6EED3168"/>
    <w:rsid w:val="6EEF5DF6"/>
    <w:rsid w:val="6F630851"/>
    <w:rsid w:val="6F895208"/>
    <w:rsid w:val="6F996B23"/>
    <w:rsid w:val="6F9E7295"/>
    <w:rsid w:val="6FB2192A"/>
    <w:rsid w:val="6FDC1B6B"/>
    <w:rsid w:val="6FE27182"/>
    <w:rsid w:val="6FEA4B0E"/>
    <w:rsid w:val="700D50E9"/>
    <w:rsid w:val="70844E4F"/>
    <w:rsid w:val="7084648B"/>
    <w:rsid w:val="70DC1F64"/>
    <w:rsid w:val="7132025E"/>
    <w:rsid w:val="714E6684"/>
    <w:rsid w:val="715D58D5"/>
    <w:rsid w:val="718A139B"/>
    <w:rsid w:val="71C3127A"/>
    <w:rsid w:val="72060891"/>
    <w:rsid w:val="7217111C"/>
    <w:rsid w:val="727847C7"/>
    <w:rsid w:val="727B1415"/>
    <w:rsid w:val="72887087"/>
    <w:rsid w:val="729A60A3"/>
    <w:rsid w:val="72A906F0"/>
    <w:rsid w:val="72F02F4D"/>
    <w:rsid w:val="7326711B"/>
    <w:rsid w:val="73277329"/>
    <w:rsid w:val="73337CF4"/>
    <w:rsid w:val="73357F10"/>
    <w:rsid w:val="73504555"/>
    <w:rsid w:val="73563865"/>
    <w:rsid w:val="735710F7"/>
    <w:rsid w:val="73A723E2"/>
    <w:rsid w:val="73AC5D54"/>
    <w:rsid w:val="73C46132"/>
    <w:rsid w:val="73D54113"/>
    <w:rsid w:val="73E32E45"/>
    <w:rsid w:val="73EC4A73"/>
    <w:rsid w:val="74017DE6"/>
    <w:rsid w:val="740622CB"/>
    <w:rsid w:val="74884519"/>
    <w:rsid w:val="74B4645F"/>
    <w:rsid w:val="74DD759C"/>
    <w:rsid w:val="74FC2155"/>
    <w:rsid w:val="750A1614"/>
    <w:rsid w:val="759043E0"/>
    <w:rsid w:val="759519CF"/>
    <w:rsid w:val="75953000"/>
    <w:rsid w:val="759F3B3B"/>
    <w:rsid w:val="75C8506C"/>
    <w:rsid w:val="75DA7B6D"/>
    <w:rsid w:val="75FE70F2"/>
    <w:rsid w:val="76432684"/>
    <w:rsid w:val="76464DAE"/>
    <w:rsid w:val="765E465B"/>
    <w:rsid w:val="76663335"/>
    <w:rsid w:val="766E7FC7"/>
    <w:rsid w:val="76791BE6"/>
    <w:rsid w:val="769C6556"/>
    <w:rsid w:val="76A73F43"/>
    <w:rsid w:val="76C07AF1"/>
    <w:rsid w:val="7739189D"/>
    <w:rsid w:val="773D7DC9"/>
    <w:rsid w:val="777F205E"/>
    <w:rsid w:val="7792638A"/>
    <w:rsid w:val="77C55F12"/>
    <w:rsid w:val="77FE193C"/>
    <w:rsid w:val="780955AB"/>
    <w:rsid w:val="7812483A"/>
    <w:rsid w:val="7813309A"/>
    <w:rsid w:val="78206EB8"/>
    <w:rsid w:val="787F1801"/>
    <w:rsid w:val="78A27DF6"/>
    <w:rsid w:val="78AB4C5F"/>
    <w:rsid w:val="78BB4F9B"/>
    <w:rsid w:val="78C57DBA"/>
    <w:rsid w:val="78E33F6B"/>
    <w:rsid w:val="78FB135E"/>
    <w:rsid w:val="78FC150D"/>
    <w:rsid w:val="790472E8"/>
    <w:rsid w:val="79222B44"/>
    <w:rsid w:val="79251511"/>
    <w:rsid w:val="79445BD1"/>
    <w:rsid w:val="795E7133"/>
    <w:rsid w:val="796079BE"/>
    <w:rsid w:val="79AB41EE"/>
    <w:rsid w:val="7A147910"/>
    <w:rsid w:val="7A577F6E"/>
    <w:rsid w:val="7A7253C9"/>
    <w:rsid w:val="7A75249E"/>
    <w:rsid w:val="7A785DFA"/>
    <w:rsid w:val="7A9A52DD"/>
    <w:rsid w:val="7AA5774B"/>
    <w:rsid w:val="7AAA19D8"/>
    <w:rsid w:val="7ABA0445"/>
    <w:rsid w:val="7AC92062"/>
    <w:rsid w:val="7AE62BB3"/>
    <w:rsid w:val="7B166879"/>
    <w:rsid w:val="7B1B78A1"/>
    <w:rsid w:val="7B4D5BE4"/>
    <w:rsid w:val="7B9C7192"/>
    <w:rsid w:val="7BA1607D"/>
    <w:rsid w:val="7BA864C4"/>
    <w:rsid w:val="7C097263"/>
    <w:rsid w:val="7C0C1942"/>
    <w:rsid w:val="7C154AF9"/>
    <w:rsid w:val="7C931E40"/>
    <w:rsid w:val="7CC768D5"/>
    <w:rsid w:val="7D423956"/>
    <w:rsid w:val="7D436164"/>
    <w:rsid w:val="7D6E28D2"/>
    <w:rsid w:val="7DAE78D2"/>
    <w:rsid w:val="7DC5559C"/>
    <w:rsid w:val="7DC815C4"/>
    <w:rsid w:val="7DC974CD"/>
    <w:rsid w:val="7DD6351C"/>
    <w:rsid w:val="7DE37223"/>
    <w:rsid w:val="7DED57CE"/>
    <w:rsid w:val="7DF033B2"/>
    <w:rsid w:val="7E1A042F"/>
    <w:rsid w:val="7E3A1D07"/>
    <w:rsid w:val="7E6D11BE"/>
    <w:rsid w:val="7E7A5B1D"/>
    <w:rsid w:val="7E9930FE"/>
    <w:rsid w:val="7E9D49A9"/>
    <w:rsid w:val="7EFD1016"/>
    <w:rsid w:val="7F572FBC"/>
    <w:rsid w:val="7FD74225"/>
    <w:rsid w:val="7FE146CD"/>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qFormat="1"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5"/>
    <w:qFormat/>
    <w:uiPriority w:val="0"/>
    <w:pPr>
      <w:keepNext/>
      <w:keepLines/>
      <w:spacing w:before="280" w:after="290" w:line="372" w:lineRule="auto"/>
      <w:outlineLvl w:val="3"/>
    </w:pPr>
    <w:rPr>
      <w:rFonts w:ascii="Arial" w:hAnsi="Arial" w:eastAsia="黑体" w:cs="Arial"/>
      <w:b/>
      <w:kern w:val="0"/>
      <w:sz w:val="28"/>
      <w:szCs w:val="28"/>
    </w:rPr>
  </w:style>
  <w:style w:type="paragraph" w:styleId="5">
    <w:name w:val="heading 5"/>
    <w:basedOn w:val="1"/>
    <w:next w:val="1"/>
    <w:qFormat/>
    <w:uiPriority w:val="0"/>
    <w:pPr>
      <w:keepNext/>
      <w:keepLines/>
      <w:numPr>
        <w:ilvl w:val="4"/>
        <w:numId w:val="1"/>
      </w:numPr>
      <w:outlineLvl w:val="4"/>
    </w:pPr>
    <w:rPr>
      <w:rFonts w:hint="eastAsia" w:ascii="Book Antiqua" w:hAnsi="Book Antiqua" w:eastAsia="黑体" w:cs="宋体"/>
      <w:kern w:val="0"/>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List Bullet"/>
    <w:basedOn w:val="1"/>
    <w:qFormat/>
    <w:uiPriority w:val="0"/>
    <w:pPr>
      <w:numPr>
        <w:ilvl w:val="0"/>
        <w:numId w:val="2"/>
      </w:numPr>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
    <w:unhideWhenUsed/>
    <w:qFormat/>
    <w:uiPriority w:val="0"/>
    <w:pPr>
      <w:spacing w:after="120"/>
    </w:pPr>
    <w:rPr>
      <w:rFonts w:hint="eastAsia" w:ascii="宋体" w:hAnsi="宋体" w:eastAsia="仿宋" w:cs="宋体"/>
      <w:kern w:val="0"/>
      <w:sz w:val="24"/>
      <w:szCs w:val="21"/>
    </w:rPr>
  </w:style>
  <w:style w:type="paragraph" w:styleId="12">
    <w:name w:val="Body Text Indent"/>
    <w:basedOn w:val="1"/>
    <w:unhideWhenUsed/>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13">
    <w:name w:val="Block Text"/>
    <w:basedOn w:val="1"/>
    <w:unhideWhenUsed/>
    <w:qFormat/>
    <w:uiPriority w:val="99"/>
    <w:pPr>
      <w:ind w:left="1440" w:leftChars="700" w:right="700" w:rightChars="700"/>
    </w:pPr>
  </w:style>
  <w:style w:type="paragraph" w:styleId="14">
    <w:name w:val="toc 3"/>
    <w:basedOn w:val="1"/>
    <w:next w:val="1"/>
    <w:unhideWhenUsed/>
    <w:qFormat/>
    <w:uiPriority w:val="39"/>
    <w:pPr>
      <w:ind w:left="840" w:leftChars="400"/>
    </w:pPr>
  </w:style>
  <w:style w:type="paragraph" w:styleId="15">
    <w:name w:val="Body Text Indent 2"/>
    <w:basedOn w:val="1"/>
    <w:unhideWhenUsed/>
    <w:qFormat/>
    <w:uiPriority w:val="0"/>
    <w:pPr>
      <w:spacing w:after="120" w:afterLines="0" w:afterAutospacing="0" w:line="480" w:lineRule="auto"/>
      <w:ind w:left="420" w:leftChars="200"/>
    </w:pPr>
    <w:rPr>
      <w:rFonts w:hint="eastAsia" w:ascii="宋体" w:hAnsi="宋体" w:eastAsia="仿宋" w:cs="宋体"/>
      <w:kern w:val="0"/>
      <w:sz w:val="24"/>
      <w:szCs w:val="21"/>
    </w:rPr>
  </w:style>
  <w:style w:type="paragraph" w:styleId="16">
    <w:name w:val="footer"/>
    <w:basedOn w:val="1"/>
    <w:unhideWhenUsed/>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toc 4"/>
    <w:basedOn w:val="1"/>
    <w:next w:val="1"/>
    <w:qFormat/>
    <w:uiPriority w:val="0"/>
    <w:pPr>
      <w:ind w:left="1260" w:leftChars="600"/>
    </w:pPr>
  </w:style>
  <w:style w:type="paragraph" w:styleId="20">
    <w:name w:val="Body Text Indent 3"/>
    <w:basedOn w:val="1"/>
    <w:unhideWhenUsed/>
    <w:qFormat/>
    <w:uiPriority w:val="0"/>
    <w:pPr>
      <w:spacing w:after="120" w:afterLines="0" w:afterAutospacing="0"/>
      <w:ind w:left="420" w:leftChars="200"/>
    </w:pPr>
    <w:rPr>
      <w:rFonts w:hint="eastAsia" w:ascii="宋体" w:hAnsi="宋体" w:eastAsia="仿宋" w:cs="宋体"/>
      <w:kern w:val="0"/>
      <w:sz w:val="16"/>
      <w:szCs w:val="16"/>
    </w:rPr>
  </w:style>
  <w:style w:type="paragraph" w:styleId="21">
    <w:name w:val="toc 2"/>
    <w:basedOn w:val="1"/>
    <w:next w:val="1"/>
    <w:semiHidden/>
    <w:qFormat/>
    <w:uiPriority w:val="0"/>
    <w:pPr>
      <w:ind w:left="420" w:leftChars="200"/>
    </w:pPr>
  </w:style>
  <w:style w:type="paragraph" w:styleId="22">
    <w:name w:val="toc 9"/>
    <w:basedOn w:val="1"/>
    <w:next w:val="1"/>
    <w:qFormat/>
    <w:uiPriority w:val="0"/>
    <w:pPr>
      <w:tabs>
        <w:tab w:val="left" w:pos="0"/>
      </w:tabs>
      <w:ind w:left="3360" w:leftChars="1600"/>
    </w:pPr>
  </w:style>
  <w:style w:type="paragraph" w:styleId="23">
    <w:name w:val="Body Text 2"/>
    <w:basedOn w:val="1"/>
    <w:qFormat/>
    <w:uiPriority w:val="0"/>
    <w:pPr>
      <w:adjustRightInd w:val="0"/>
      <w:snapToGrid w:val="0"/>
      <w:spacing w:line="480" w:lineRule="atLeast"/>
    </w:pPr>
    <w:rPr>
      <w:rFonts w:ascii="宋体" w:hAnsi="宋体"/>
      <w:sz w:val="28"/>
    </w:rPr>
  </w:style>
  <w:style w:type="paragraph" w:styleId="24">
    <w:name w:val="Normal (Web)"/>
    <w:basedOn w:val="1"/>
    <w:unhideWhenUsed/>
    <w:qFormat/>
    <w:uiPriority w:val="99"/>
    <w:rPr>
      <w:sz w:val="24"/>
    </w:rPr>
  </w:style>
  <w:style w:type="paragraph" w:styleId="25">
    <w:name w:val="Body Text First Indent"/>
    <w:basedOn w:val="11"/>
    <w:next w:val="1"/>
    <w:qFormat/>
    <w:uiPriority w:val="0"/>
    <w:pPr>
      <w:ind w:firstLine="420" w:firstLineChars="100"/>
    </w:pPr>
    <w:rPr>
      <w:rFonts w:ascii="Times New Roman" w:hAnsi="Times New Roman"/>
      <w:sz w:val="18"/>
      <w:szCs w:val="18"/>
    </w:rPr>
  </w:style>
  <w:style w:type="paragraph" w:styleId="26">
    <w:name w:val="Body Text First Indent 2"/>
    <w:basedOn w:val="12"/>
    <w:next w:val="1"/>
    <w:qFormat/>
    <w:uiPriority w:val="0"/>
    <w:pPr>
      <w:ind w:left="0" w:leftChars="0" w:firstLine="420"/>
    </w:pPr>
    <w:rPr>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rFonts w:ascii="Times New Roman" w:hAnsi="Times New Roman" w:eastAsia="宋体" w:cs="Times New Roman"/>
      <w:b/>
    </w:rPr>
  </w:style>
  <w:style w:type="character" w:styleId="31">
    <w:name w:val="FollowedHyperlink"/>
    <w:basedOn w:val="29"/>
    <w:qFormat/>
    <w:uiPriority w:val="0"/>
    <w:rPr>
      <w:color w:val="333333"/>
      <w:u w:val="none"/>
    </w:rPr>
  </w:style>
  <w:style w:type="character" w:styleId="32">
    <w:name w:val="Emphasis"/>
    <w:basedOn w:val="29"/>
    <w:qFormat/>
    <w:uiPriority w:val="0"/>
  </w:style>
  <w:style w:type="character" w:styleId="33">
    <w:name w:val="HTML Definition"/>
    <w:basedOn w:val="29"/>
    <w:qFormat/>
    <w:uiPriority w:val="0"/>
    <w:rPr>
      <w:i/>
      <w:iCs/>
    </w:rPr>
  </w:style>
  <w:style w:type="character" w:styleId="34">
    <w:name w:val="Hyperlink"/>
    <w:unhideWhenUsed/>
    <w:qFormat/>
    <w:uiPriority w:val="99"/>
    <w:rPr>
      <w:rFonts w:hint="eastAsia" w:ascii="宋体" w:hAnsi="宋体" w:eastAsia="宋体" w:cs="宋体"/>
      <w:color w:val="000000"/>
      <w:sz w:val="14"/>
      <w:szCs w:val="14"/>
      <w:u w:val="none"/>
    </w:rPr>
  </w:style>
  <w:style w:type="character" w:styleId="35">
    <w:name w:val="HTML Code"/>
    <w:basedOn w:val="29"/>
    <w:qFormat/>
    <w:uiPriority w:val="0"/>
    <w:rPr>
      <w:rFonts w:hint="default" w:ascii="Consolas" w:hAnsi="Consolas" w:eastAsia="Consolas" w:cs="Consolas"/>
      <w:color w:val="C7254E"/>
      <w:sz w:val="21"/>
      <w:szCs w:val="21"/>
      <w:shd w:val="clear" w:color="auto" w:fill="F9F2F4"/>
    </w:rPr>
  </w:style>
  <w:style w:type="character" w:styleId="36">
    <w:name w:val="HTML Keyboard"/>
    <w:basedOn w:val="29"/>
    <w:qFormat/>
    <w:uiPriority w:val="0"/>
    <w:rPr>
      <w:rFonts w:ascii="Consolas" w:hAnsi="Consolas" w:eastAsia="Consolas" w:cs="Consolas"/>
      <w:color w:val="FFFFFF"/>
      <w:sz w:val="21"/>
      <w:szCs w:val="21"/>
      <w:shd w:val="clear" w:color="auto" w:fill="333333"/>
    </w:rPr>
  </w:style>
  <w:style w:type="character" w:styleId="37">
    <w:name w:val="HTML Sample"/>
    <w:basedOn w:val="29"/>
    <w:qFormat/>
    <w:uiPriority w:val="0"/>
    <w:rPr>
      <w:rFonts w:hint="default" w:ascii="Consolas" w:hAnsi="Consolas" w:eastAsia="Consolas" w:cs="Consolas"/>
      <w:sz w:val="21"/>
      <w:szCs w:val="21"/>
    </w:rPr>
  </w:style>
  <w:style w:type="paragraph" w:customStyle="1" w:styleId="38">
    <w:name w:val="标题 5（有编号）（绿盟科技）"/>
    <w:basedOn w:val="1"/>
    <w:next w:val="39"/>
    <w:autoRedefine/>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段"/>
    <w:next w:val="1"/>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42">
    <w:name w:val="正文缩进1"/>
    <w:basedOn w:val="1"/>
    <w:qFormat/>
    <w:uiPriority w:val="0"/>
    <w:pPr>
      <w:ind w:firstLine="420" w:firstLineChars="200"/>
    </w:pPr>
  </w:style>
  <w:style w:type="paragraph" w:customStyle="1" w:styleId="43">
    <w:name w:val="BodyText"/>
    <w:basedOn w:val="1"/>
    <w:next w:val="1"/>
    <w:qFormat/>
    <w:uiPriority w:val="0"/>
    <w:pPr>
      <w:spacing w:after="120"/>
      <w:textAlignment w:val="baseline"/>
    </w:pPr>
    <w:rPr>
      <w:rFonts w:ascii="宋体" w:hAnsi="宋体" w:eastAsia="仿宋"/>
      <w:kern w:val="0"/>
      <w:sz w:val="24"/>
      <w:szCs w:val="21"/>
    </w:rPr>
  </w:style>
  <w:style w:type="paragraph" w:customStyle="1" w:styleId="44">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45">
    <w:name w:val="title11"/>
    <w:basedOn w:val="1"/>
    <w:qFormat/>
    <w:uiPriority w:val="0"/>
    <w:pPr>
      <w:spacing w:before="150" w:line="450" w:lineRule="atLeast"/>
      <w:jc w:val="left"/>
    </w:pPr>
    <w:rPr>
      <w:b/>
      <w:kern w:val="0"/>
      <w:sz w:val="24"/>
      <w:szCs w:val="24"/>
    </w:rPr>
  </w:style>
  <w:style w:type="paragraph" w:customStyle="1" w:styleId="46">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47">
    <w:name w:val="目录"/>
    <w:basedOn w:val="1"/>
    <w:qFormat/>
    <w:uiPriority w:val="0"/>
    <w:pPr>
      <w:widowControl/>
      <w:jc w:val="center"/>
    </w:pPr>
    <w:rPr>
      <w:rFonts w:ascii="宋体"/>
      <w:b/>
      <w:kern w:val="0"/>
      <w:sz w:val="36"/>
    </w:rPr>
  </w:style>
  <w:style w:type="paragraph" w:customStyle="1" w:styleId="4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样式9 Char"/>
    <w:basedOn w:val="1"/>
    <w:qFormat/>
    <w:uiPriority w:val="0"/>
    <w:pPr>
      <w:widowControl/>
      <w:spacing w:line="440" w:lineRule="exact"/>
      <w:ind w:firstLine="200" w:firstLineChars="200"/>
      <w:jc w:val="left"/>
    </w:pPr>
    <w:rPr>
      <w:spacing w:val="6"/>
      <w:kern w:val="0"/>
      <w:sz w:val="24"/>
    </w:rPr>
  </w:style>
  <w:style w:type="character" w:customStyle="1" w:styleId="51">
    <w:name w:val="标题 1 字符"/>
    <w:link w:val="2"/>
    <w:qFormat/>
    <w:uiPriority w:val="99"/>
    <w:rPr>
      <w:rFonts w:hint="eastAsia" w:ascii="宋体" w:hAnsi="宋体" w:eastAsia="宋体" w:cs="宋体"/>
      <w:b/>
      <w:kern w:val="44"/>
      <w:sz w:val="48"/>
      <w:szCs w:val="48"/>
      <w:lang w:val="en-US" w:eastAsia="zh-CN" w:bidi="ar"/>
    </w:rPr>
  </w:style>
  <w:style w:type="character" w:customStyle="1" w:styleId="52">
    <w:name w:val="button"/>
    <w:basedOn w:val="29"/>
    <w:qFormat/>
    <w:uiPriority w:val="0"/>
  </w:style>
  <w:style w:type="character" w:customStyle="1" w:styleId="53">
    <w:name w:val="hover3"/>
    <w:basedOn w:val="29"/>
    <w:qFormat/>
    <w:uiPriority w:val="0"/>
    <w:rPr>
      <w:shd w:val="clear" w:color="auto" w:fill="EEEEEE"/>
    </w:rPr>
  </w:style>
  <w:style w:type="character" w:customStyle="1" w:styleId="54">
    <w:name w:val="old"/>
    <w:basedOn w:val="29"/>
    <w:qFormat/>
    <w:uiPriority w:val="0"/>
    <w:rPr>
      <w:color w:val="999999"/>
    </w:rPr>
  </w:style>
  <w:style w:type="character" w:customStyle="1" w:styleId="55">
    <w:name w:val="hour_am"/>
    <w:basedOn w:val="29"/>
    <w:qFormat/>
    <w:uiPriority w:val="0"/>
  </w:style>
  <w:style w:type="character" w:customStyle="1" w:styleId="56">
    <w:name w:val="hour_pm"/>
    <w:basedOn w:val="29"/>
    <w:qFormat/>
    <w:uiPriority w:val="0"/>
  </w:style>
  <w:style w:type="character" w:customStyle="1" w:styleId="57">
    <w:name w:val="glyphicon4"/>
    <w:basedOn w:val="29"/>
    <w:qFormat/>
    <w:uiPriority w:val="0"/>
  </w:style>
  <w:style w:type="character" w:customStyle="1" w:styleId="58">
    <w:name w:val="indent"/>
    <w:basedOn w:val="29"/>
    <w:qFormat/>
    <w:uiPriority w:val="0"/>
  </w:style>
  <w:style w:type="character" w:customStyle="1" w:styleId="59">
    <w:name w:val="tmpztreemove_arrow"/>
    <w:basedOn w:val="29"/>
    <w:qFormat/>
    <w:uiPriority w:val="0"/>
    <w:rPr>
      <w:shd w:val="clear" w:color="auto" w:fill="FFFFFF"/>
    </w:rPr>
  </w:style>
  <w:style w:type="character" w:customStyle="1" w:styleId="60">
    <w:name w:val="glyphicon"/>
    <w:basedOn w:val="29"/>
    <w:qFormat/>
    <w:uiPriority w:val="0"/>
  </w:style>
  <w:style w:type="character" w:customStyle="1" w:styleId="61">
    <w:name w:val="hover2"/>
    <w:basedOn w:val="29"/>
    <w:qFormat/>
    <w:uiPriority w:val="0"/>
    <w:rPr>
      <w:shd w:val="clear" w:color="auto" w:fill="EEEEEE"/>
    </w:rPr>
  </w:style>
  <w:style w:type="character" w:customStyle="1" w:styleId="62">
    <w:name w:val="hover"/>
    <w:basedOn w:val="29"/>
    <w:qFormat/>
    <w:uiPriority w:val="0"/>
    <w:rPr>
      <w:shd w:val="clear" w:color="auto" w:fill="EEEEEE"/>
    </w:rPr>
  </w:style>
  <w:style w:type="paragraph" w:customStyle="1" w:styleId="63">
    <w:name w:val="正文 1.1"/>
    <w:basedOn w:val="1"/>
    <w:next w:val="64"/>
    <w:qFormat/>
    <w:uiPriority w:val="0"/>
    <w:pPr>
      <w:numPr>
        <w:ilvl w:val="1"/>
        <w:numId w:val="4"/>
      </w:numPr>
      <w:adjustRightInd w:val="0"/>
      <w:spacing w:line="360" w:lineRule="auto"/>
      <w:outlineLvl w:val="1"/>
    </w:pPr>
    <w:rPr>
      <w:rFonts w:hint="eastAsia" w:ascii="仿宋" w:hAnsi="仿宋" w:eastAsia="仿宋"/>
      <w:b/>
      <w:kern w:val="0"/>
      <w:sz w:val="28"/>
      <w:szCs w:val="21"/>
    </w:rPr>
  </w:style>
  <w:style w:type="paragraph" w:customStyle="1" w:styleId="64">
    <w:name w:val="正文 1.1.1"/>
    <w:basedOn w:val="1"/>
    <w:next w:val="1"/>
    <w:qFormat/>
    <w:uiPriority w:val="0"/>
    <w:pPr>
      <w:numPr>
        <w:ilvl w:val="2"/>
        <w:numId w:val="4"/>
      </w:numPr>
      <w:adjustRightInd w:val="0"/>
      <w:spacing w:line="360" w:lineRule="auto"/>
      <w:outlineLvl w:val="2"/>
    </w:pPr>
    <w:rPr>
      <w:rFonts w:hint="eastAsia" w:ascii="宋体" w:hAnsi="宋体"/>
      <w:color w:val="FF0000"/>
      <w:kern w:val="0"/>
      <w:sz w:val="28"/>
      <w:szCs w:val="21"/>
    </w:rPr>
  </w:style>
  <w:style w:type="paragraph" w:styleId="65">
    <w:name w:val="List Paragraph"/>
    <w:basedOn w:val="1"/>
    <w:qFormat/>
    <w:uiPriority w:val="34"/>
    <w:pPr>
      <w:ind w:firstLine="420" w:firstLineChars="200"/>
    </w:pPr>
  </w:style>
  <w:style w:type="character" w:customStyle="1" w:styleId="66">
    <w:name w:val="font112"/>
    <w:basedOn w:val="29"/>
    <w:qFormat/>
    <w:uiPriority w:val="0"/>
    <w:rPr>
      <w:rFonts w:hint="eastAsia" w:ascii="宋体" w:hAnsi="宋体" w:eastAsia="宋体" w:cs="宋体"/>
      <w:color w:val="000000"/>
      <w:sz w:val="21"/>
      <w:szCs w:val="21"/>
      <w:u w:val="none"/>
    </w:rPr>
  </w:style>
  <w:style w:type="character" w:customStyle="1" w:styleId="67">
    <w:name w:val="标题 1 Char"/>
    <w:link w:val="2"/>
    <w:qFormat/>
    <w:uiPriority w:val="99"/>
    <w:rPr>
      <w:b/>
      <w:kern w:val="44"/>
      <w:sz w:val="44"/>
    </w:rPr>
  </w:style>
  <w:style w:type="paragraph" w:customStyle="1" w:styleId="68">
    <w:name w:val="列出段落1"/>
    <w:basedOn w:val="1"/>
    <w:qFormat/>
    <w:uiPriority w:val="0"/>
    <w:pPr>
      <w:adjustRightInd w:val="0"/>
      <w:snapToGrid w:val="0"/>
      <w:spacing w:before="20" w:after="20" w:line="320" w:lineRule="atLeast"/>
      <w:ind w:left="0"/>
    </w:pPr>
    <w:rPr>
      <w:rFonts w:ascii="宋体" w:hAnsi="宋体" w:cs="黑体"/>
    </w:rPr>
  </w:style>
  <w:style w:type="character" w:customStyle="1" w:styleId="69">
    <w:name w:val="font61"/>
    <w:basedOn w:val="29"/>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36529</Words>
  <Characters>40998</Characters>
  <Lines>394</Lines>
  <Paragraphs>110</Paragraphs>
  <TotalTime>9</TotalTime>
  <ScaleCrop>false</ScaleCrop>
  <LinksUpToDate>false</LinksUpToDate>
  <CharactersWithSpaces>46159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2022-03-02T08:42:00Z</dcterms:created>
  <dc:creator>念</dc:creator>
  <cp:lastModifiedBy>C.C</cp:lastModifiedBy>
  <cp:lastPrinted>2022-09-13T01:24:00Z</cp:lastPrinted>
  <dcterms:modified xsi:type="dcterms:W3CDTF">2024-08-07T00:54:38Z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C807EB73045640CBA759D8B0E7821F99_13</vt:lpwstr>
  </property>
</Properties>
</file>