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7640E">
      <w:pPr>
        <w:shd w:val="clear"/>
        <w:spacing w:line="360" w:lineRule="auto"/>
        <w:jc w:val="both"/>
        <w:outlineLvl w:val="9"/>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项目编号：HZ-J2024011C</w:t>
      </w:r>
    </w:p>
    <w:p w14:paraId="7F152FA7">
      <w:pPr>
        <w:keepNext w:val="0"/>
        <w:keepLines w:val="0"/>
        <w:pageBreakBefore w:val="0"/>
        <w:widowControl w:val="0"/>
        <w:shd w:val="clear"/>
        <w:kinsoku/>
        <w:wordWrap/>
        <w:overflowPunct/>
        <w:topLinePunct w:val="0"/>
        <w:autoSpaceDE/>
        <w:autoSpaceDN/>
        <w:bidi w:val="0"/>
        <w:adjustRightInd w:val="0"/>
        <w:snapToGrid w:val="0"/>
        <w:spacing w:line="360" w:lineRule="auto"/>
        <w:ind w:firstLine="542" w:firstLineChars="150"/>
        <w:jc w:val="both"/>
        <w:textAlignment w:val="auto"/>
        <w:outlineLvl w:val="9"/>
        <w:rPr>
          <w:rFonts w:hint="eastAsia" w:ascii="黑体" w:hAnsi="黑体" w:eastAsia="黑体" w:cs="黑体"/>
          <w:b/>
          <w:bCs/>
          <w:color w:val="auto"/>
          <w:sz w:val="36"/>
          <w:szCs w:val="36"/>
          <w:lang w:val="en-US" w:eastAsia="zh-CN"/>
        </w:rPr>
      </w:pPr>
    </w:p>
    <w:p w14:paraId="1CE61EA7">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9"/>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宁强县水利局分散供水工程消毒药剂</w:t>
      </w:r>
    </w:p>
    <w:p w14:paraId="3C5F4DA0">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9"/>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购置项目</w:t>
      </w:r>
    </w:p>
    <w:p w14:paraId="331F727B">
      <w:pPr>
        <w:pStyle w:val="57"/>
        <w:shd w:val="clear"/>
        <w:ind w:left="0" w:leftChars="0" w:firstLine="0" w:firstLineChars="0"/>
        <w:rPr>
          <w:rFonts w:hint="eastAsia"/>
          <w:color w:val="auto"/>
          <w:highlight w:val="none"/>
        </w:rPr>
      </w:pPr>
    </w:p>
    <w:p w14:paraId="0C0EE6EA">
      <w:pPr>
        <w:pStyle w:val="57"/>
        <w:shd w:val="clear"/>
        <w:ind w:left="0" w:leftChars="0" w:firstLine="0" w:firstLineChars="0"/>
        <w:rPr>
          <w:rFonts w:hint="eastAsia"/>
          <w:color w:val="auto"/>
          <w:highlight w:val="none"/>
        </w:rPr>
      </w:pPr>
    </w:p>
    <w:p w14:paraId="3A378EF2">
      <w:pPr>
        <w:pStyle w:val="57"/>
        <w:shd w:val="clear"/>
        <w:ind w:left="0" w:leftChars="0" w:firstLine="0" w:firstLineChars="0"/>
        <w:rPr>
          <w:rFonts w:hint="eastAsia"/>
          <w:color w:val="auto"/>
          <w:highlight w:val="none"/>
        </w:rPr>
      </w:pPr>
    </w:p>
    <w:p w14:paraId="74D8E28A">
      <w:pPr>
        <w:shd w:val="clear"/>
        <w:rPr>
          <w:rFonts w:hint="eastAsia"/>
          <w:color w:val="auto"/>
          <w:highlight w:val="none"/>
        </w:rPr>
      </w:pPr>
    </w:p>
    <w:p w14:paraId="323B1636">
      <w:pPr>
        <w:shd w:val="clear"/>
        <w:rPr>
          <w:rFonts w:hint="eastAsia"/>
          <w:color w:val="auto"/>
          <w:highlight w:val="none"/>
        </w:rPr>
      </w:pPr>
    </w:p>
    <w:p w14:paraId="0492FE20">
      <w:pPr>
        <w:shd w:val="clear"/>
        <w:spacing w:line="360" w:lineRule="auto"/>
        <w:jc w:val="center"/>
        <w:outlineLvl w:val="9"/>
        <w:rPr>
          <w:rFonts w:hint="eastAsia" w:ascii="黑体" w:hAnsi="黑体" w:eastAsia="黑体" w:cs="黑体"/>
          <w:b/>
          <w:bCs/>
          <w:color w:val="auto"/>
          <w:kern w:val="1"/>
          <w:sz w:val="40"/>
          <w:szCs w:val="40"/>
          <w:highlight w:val="none"/>
        </w:rPr>
      </w:pPr>
      <w:r>
        <w:rPr>
          <w:rFonts w:hint="eastAsia" w:ascii="黑体" w:hAnsi="黑体" w:eastAsia="黑体" w:cs="黑体"/>
          <w:b/>
          <w:bCs/>
          <w:color w:val="auto"/>
          <w:kern w:val="1"/>
          <w:sz w:val="40"/>
          <w:szCs w:val="40"/>
          <w:highlight w:val="none"/>
          <w:lang w:val="en-US" w:eastAsia="zh-CN"/>
        </w:rPr>
        <w:t>招标</w:t>
      </w:r>
      <w:r>
        <w:rPr>
          <w:rFonts w:hint="eastAsia" w:ascii="黑体" w:hAnsi="黑体" w:eastAsia="黑体" w:cs="黑体"/>
          <w:b/>
          <w:bCs/>
          <w:color w:val="auto"/>
          <w:kern w:val="1"/>
          <w:sz w:val="40"/>
          <w:szCs w:val="40"/>
          <w:highlight w:val="none"/>
        </w:rPr>
        <w:t>文件</w:t>
      </w:r>
    </w:p>
    <w:p w14:paraId="4AA36766">
      <w:pPr>
        <w:pStyle w:val="13"/>
        <w:ind w:left="0" w:leftChars="0" w:firstLine="0" w:firstLineChars="0"/>
        <w:jc w:val="center"/>
        <w:rPr>
          <w:rFonts w:hint="eastAsia"/>
        </w:rPr>
      </w:pPr>
      <w:r>
        <w:rPr>
          <w:rFonts w:hint="eastAsia" w:ascii="黑体" w:hAnsi="黑体" w:eastAsia="黑体" w:cs="黑体"/>
          <w:b/>
          <w:color w:val="auto"/>
          <w:sz w:val="36"/>
          <w:szCs w:val="36"/>
          <w:highlight w:val="none"/>
          <w:lang w:val="en-US" w:eastAsia="zh-CN"/>
        </w:rPr>
        <w:t>（政府采购）</w:t>
      </w:r>
    </w:p>
    <w:p w14:paraId="5E0F587D">
      <w:pPr>
        <w:pStyle w:val="24"/>
        <w:shd w:val="clear"/>
        <w:rPr>
          <w:rFonts w:hint="eastAsia"/>
          <w:color w:val="auto"/>
          <w:highlight w:val="none"/>
        </w:rPr>
      </w:pPr>
    </w:p>
    <w:p w14:paraId="4C2B46A3">
      <w:pPr>
        <w:shd w:val="clear"/>
        <w:spacing w:line="360" w:lineRule="atLeast"/>
        <w:jc w:val="both"/>
        <w:outlineLvl w:val="9"/>
        <w:rPr>
          <w:rFonts w:hint="eastAsia" w:ascii="黑体" w:hAnsi="黑体" w:eastAsia="黑体" w:cs="黑体"/>
          <w:color w:val="auto"/>
          <w:sz w:val="56"/>
          <w:szCs w:val="56"/>
          <w:highlight w:val="none"/>
          <w:lang w:eastAsia="zh-CN"/>
        </w:rPr>
      </w:pPr>
    </w:p>
    <w:p w14:paraId="6E24A72E">
      <w:pPr>
        <w:shd w:val="clear"/>
        <w:spacing w:line="360" w:lineRule="atLeast"/>
        <w:jc w:val="both"/>
        <w:outlineLvl w:val="9"/>
        <w:rPr>
          <w:rFonts w:hint="eastAsia" w:ascii="黑体" w:hAnsi="黑体" w:eastAsia="黑体" w:cs="黑体"/>
          <w:color w:val="auto"/>
          <w:sz w:val="36"/>
          <w:szCs w:val="36"/>
          <w:highlight w:val="none"/>
          <w:lang w:eastAsia="zh-CN"/>
        </w:rPr>
      </w:pPr>
    </w:p>
    <w:p w14:paraId="3887C893">
      <w:pPr>
        <w:pStyle w:val="251"/>
        <w:shd w:val="clear"/>
        <w:ind w:firstLine="0" w:firstLineChars="0"/>
        <w:outlineLvl w:val="9"/>
        <w:rPr>
          <w:rFonts w:hint="eastAsia" w:ascii="黑体" w:hAnsi="黑体" w:eastAsia="黑体" w:cs="黑体"/>
          <w:color w:val="auto"/>
          <w:highlight w:val="none"/>
        </w:rPr>
      </w:pPr>
    </w:p>
    <w:p w14:paraId="353BDD35">
      <w:pPr>
        <w:shd w:val="clear"/>
        <w:spacing w:line="720" w:lineRule="auto"/>
        <w:jc w:val="center"/>
        <w:outlineLvl w:val="9"/>
        <w:rPr>
          <w:rFonts w:hint="eastAsia" w:ascii="黑体" w:hAnsi="黑体" w:eastAsia="黑体" w:cs="黑体"/>
          <w:b/>
          <w:bCs/>
          <w:color w:val="auto"/>
          <w:kern w:val="1"/>
          <w:sz w:val="36"/>
          <w:szCs w:val="36"/>
          <w:highlight w:val="none"/>
          <w:u w:val="single"/>
          <w:lang w:eastAsia="zh-CN"/>
        </w:rPr>
      </w:pPr>
      <w:r>
        <w:rPr>
          <w:rFonts w:hint="eastAsia" w:ascii="黑体" w:hAnsi="黑体" w:eastAsia="黑体" w:cs="黑体"/>
          <w:b/>
          <w:bCs/>
          <w:color w:val="auto"/>
          <w:kern w:val="1"/>
          <w:sz w:val="36"/>
          <w:szCs w:val="36"/>
          <w:highlight w:val="none"/>
        </w:rPr>
        <w:t>采购人：</w:t>
      </w:r>
      <w:r>
        <w:rPr>
          <w:rFonts w:hint="eastAsia" w:ascii="黑体" w:hAnsi="黑体" w:eastAsia="黑体" w:cs="黑体"/>
          <w:b/>
          <w:bCs/>
          <w:color w:val="auto"/>
          <w:kern w:val="1"/>
          <w:sz w:val="36"/>
          <w:szCs w:val="36"/>
          <w:highlight w:val="none"/>
          <w:u w:val="single"/>
        </w:rPr>
        <w:t>宁强县水利局</w:t>
      </w:r>
    </w:p>
    <w:p w14:paraId="76571B51">
      <w:pPr>
        <w:shd w:val="clear"/>
        <w:spacing w:line="720" w:lineRule="auto"/>
        <w:jc w:val="center"/>
        <w:outlineLvl w:val="9"/>
        <w:rPr>
          <w:rFonts w:hint="eastAsia" w:ascii="黑体" w:hAnsi="黑体" w:eastAsia="黑体" w:cs="黑体"/>
          <w:b/>
          <w:bCs/>
          <w:color w:val="auto"/>
          <w:kern w:val="1"/>
          <w:sz w:val="36"/>
          <w:szCs w:val="36"/>
          <w:highlight w:val="none"/>
          <w:u w:val="single"/>
          <w:lang w:eastAsia="zh-CN"/>
        </w:rPr>
      </w:pPr>
    </w:p>
    <w:p w14:paraId="4D8305D3">
      <w:pPr>
        <w:shd w:val="clear"/>
        <w:spacing w:line="720" w:lineRule="auto"/>
        <w:jc w:val="center"/>
        <w:outlineLvl w:val="9"/>
        <w:rPr>
          <w:rFonts w:hint="eastAsia" w:ascii="黑体" w:hAnsi="黑体" w:eastAsia="黑体" w:cs="黑体"/>
          <w:b/>
          <w:bCs/>
          <w:color w:val="auto"/>
          <w:kern w:val="1"/>
          <w:sz w:val="36"/>
          <w:szCs w:val="36"/>
          <w:highlight w:val="none"/>
          <w:lang w:eastAsia="zh-CN"/>
        </w:rPr>
      </w:pPr>
      <w:r>
        <w:rPr>
          <w:rFonts w:hint="eastAsia" w:ascii="黑体" w:hAnsi="黑体" w:eastAsia="黑体" w:cs="黑体"/>
          <w:b/>
          <w:bCs/>
          <w:color w:val="auto"/>
          <w:kern w:val="1"/>
          <w:sz w:val="36"/>
          <w:szCs w:val="36"/>
          <w:highlight w:val="none"/>
        </w:rPr>
        <w:t>采购代理机构：</w:t>
      </w:r>
      <w:r>
        <w:rPr>
          <w:rFonts w:hint="eastAsia" w:ascii="黑体" w:hAnsi="黑体" w:eastAsia="黑体" w:cs="黑体"/>
          <w:b/>
          <w:bCs/>
          <w:color w:val="auto"/>
          <w:kern w:val="1"/>
          <w:sz w:val="36"/>
          <w:szCs w:val="36"/>
          <w:highlight w:val="none"/>
          <w:u w:val="single"/>
          <w:lang w:eastAsia="zh-CN"/>
        </w:rPr>
        <w:t>陕西汉正项目管理有限公司</w:t>
      </w:r>
    </w:p>
    <w:p w14:paraId="3A78A3AF">
      <w:pPr>
        <w:shd w:val="clear"/>
        <w:spacing w:line="720" w:lineRule="auto"/>
        <w:ind w:firstLine="2008" w:firstLineChars="500"/>
        <w:outlineLvl w:val="9"/>
        <w:rPr>
          <w:rFonts w:hint="default" w:ascii="黑体" w:hAnsi="黑体" w:eastAsia="黑体" w:cs="黑体"/>
          <w:b/>
          <w:bCs/>
          <w:color w:val="auto"/>
          <w:kern w:val="1"/>
          <w:sz w:val="40"/>
          <w:szCs w:val="40"/>
          <w:highlight w:val="none"/>
          <w:lang w:val="en-US"/>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黑体" w:hAnsi="黑体" w:eastAsia="黑体" w:cs="黑体"/>
          <w:b/>
          <w:bCs/>
          <w:color w:val="auto"/>
          <w:kern w:val="1"/>
          <w:sz w:val="40"/>
          <w:szCs w:val="40"/>
          <w:highlight w:val="none"/>
        </w:rPr>
        <w:t xml:space="preserve"> </w:t>
      </w:r>
      <w:r>
        <w:rPr>
          <w:rFonts w:hint="eastAsia" w:ascii="黑体" w:hAnsi="黑体" w:eastAsia="黑体" w:cs="黑体"/>
          <w:b/>
          <w:bCs/>
          <w:color w:val="auto"/>
          <w:kern w:val="1"/>
          <w:sz w:val="36"/>
          <w:szCs w:val="36"/>
          <w:highlight w:val="none"/>
        </w:rPr>
        <w:t xml:space="preserve">    二〇二</w:t>
      </w:r>
      <w:r>
        <w:rPr>
          <w:rFonts w:hint="eastAsia" w:ascii="黑体" w:hAnsi="黑体" w:eastAsia="黑体" w:cs="黑体"/>
          <w:b/>
          <w:bCs/>
          <w:color w:val="auto"/>
          <w:kern w:val="1"/>
          <w:sz w:val="36"/>
          <w:szCs w:val="36"/>
          <w:highlight w:val="none"/>
          <w:lang w:val="en-US" w:eastAsia="zh-CN"/>
        </w:rPr>
        <w:t>四</w:t>
      </w:r>
      <w:r>
        <w:rPr>
          <w:rFonts w:hint="eastAsia" w:ascii="黑体" w:hAnsi="黑体" w:eastAsia="黑体" w:cs="黑体"/>
          <w:b/>
          <w:bCs/>
          <w:color w:val="auto"/>
          <w:kern w:val="1"/>
          <w:sz w:val="36"/>
          <w:szCs w:val="36"/>
          <w:highlight w:val="none"/>
        </w:rPr>
        <w:t>年</w:t>
      </w:r>
      <w:r>
        <w:rPr>
          <w:rFonts w:hint="eastAsia" w:ascii="黑体" w:hAnsi="黑体" w:eastAsia="黑体" w:cs="黑体"/>
          <w:b/>
          <w:bCs/>
          <w:color w:val="auto"/>
          <w:kern w:val="1"/>
          <w:sz w:val="36"/>
          <w:szCs w:val="36"/>
          <w:highlight w:val="none"/>
          <w:lang w:val="en-US" w:eastAsia="zh-CN"/>
        </w:rPr>
        <w:t>十一月</w:t>
      </w:r>
    </w:p>
    <w:p w14:paraId="41AD4A62">
      <w:pPr>
        <w:shd w:val="clear"/>
        <w:jc w:val="center"/>
        <w:rPr>
          <w:rFonts w:hint="eastAsia" w:ascii="仿宋" w:hAnsi="仿宋" w:eastAsia="仿宋" w:cs="仿宋"/>
          <w:b/>
          <w:bCs/>
          <w:color w:val="auto"/>
          <w:sz w:val="40"/>
          <w:szCs w:val="40"/>
          <w:highlight w:val="none"/>
        </w:rPr>
      </w:pPr>
      <w:bookmarkStart w:id="0" w:name="_Toc175973395"/>
    </w:p>
    <w:p w14:paraId="44B71733">
      <w:pPr>
        <w:shd w:val="clear"/>
        <w:jc w:val="center"/>
        <w:rPr>
          <w:rFonts w:hint="eastAsia" w:ascii="仿宋" w:hAnsi="仿宋" w:eastAsia="仿宋" w:cs="仿宋"/>
          <w:b/>
          <w:bCs/>
          <w:color w:val="auto"/>
          <w:sz w:val="40"/>
          <w:szCs w:val="40"/>
          <w:highlight w:val="none"/>
        </w:rPr>
      </w:pPr>
      <w:r>
        <w:rPr>
          <w:rFonts w:hint="eastAsia" w:ascii="仿宋" w:hAnsi="仿宋" w:eastAsia="仿宋" w:cs="仿宋"/>
          <w:b/>
          <w:bCs/>
          <w:color w:val="auto"/>
          <w:sz w:val="40"/>
          <w:szCs w:val="40"/>
          <w:highlight w:val="none"/>
        </w:rPr>
        <w:t>目     录</w:t>
      </w:r>
    </w:p>
    <w:sdt>
      <w:sdtPr>
        <w:rPr>
          <w:rFonts w:hint="eastAsia" w:ascii="仿宋" w:hAnsi="仿宋" w:eastAsia="仿宋" w:cs="仿宋"/>
          <w:b/>
          <w:bCs/>
          <w:kern w:val="2"/>
          <w:sz w:val="22"/>
          <w:szCs w:val="21"/>
          <w:lang w:val="en-US" w:eastAsia="zh-CN" w:bidi="ar-SA"/>
        </w:rPr>
        <w:id w:val="147468565"/>
        <w15:color w:val="DBDBDB"/>
        <w:docPartObj>
          <w:docPartGallery w:val="Table of Contents"/>
          <w:docPartUnique/>
        </w:docPartObj>
      </w:sdtPr>
      <w:sdtEndPr>
        <w:rPr>
          <w:rFonts w:hint="eastAsia" w:ascii="楷体" w:hAnsi="楷体" w:eastAsia="楷体" w:cs="楷体"/>
          <w:b/>
          <w:bCs/>
          <w:color w:val="auto"/>
          <w:kern w:val="1"/>
          <w:sz w:val="24"/>
          <w:szCs w:val="24"/>
          <w:highlight w:val="none"/>
          <w:lang w:val="en-US" w:eastAsia="zh-CN" w:bidi="ar-SA"/>
        </w:rPr>
      </w:sdtEndPr>
      <w:sdtContent>
        <w:p w14:paraId="2ED5047E">
          <w:pPr>
            <w:pStyle w:val="74"/>
            <w:tabs>
              <w:tab w:val="right" w:leader="dot" w:pos="8306"/>
            </w:tabs>
            <w:rPr>
              <w:rFonts w:hint="eastAsia" w:ascii="仿宋" w:hAnsi="仿宋" w:eastAsia="仿宋" w:cs="仿宋"/>
              <w:b/>
              <w:bCs/>
              <w:sz w:val="21"/>
              <w:szCs w:val="21"/>
            </w:rPr>
          </w:pPr>
          <w:r>
            <w:rPr>
              <w:rFonts w:hint="eastAsia" w:ascii="仿宋" w:hAnsi="仿宋" w:eastAsia="仿宋" w:cs="仿宋"/>
              <w:b/>
              <w:bCs/>
              <w:color w:val="auto"/>
              <w:sz w:val="21"/>
              <w:szCs w:val="21"/>
              <w:highlight w:val="none"/>
            </w:rPr>
            <w:fldChar w:fldCharType="begin"/>
          </w:r>
          <w:r>
            <w:rPr>
              <w:rFonts w:hint="eastAsia" w:ascii="仿宋" w:hAnsi="仿宋" w:eastAsia="仿宋" w:cs="仿宋"/>
              <w:b/>
              <w:bCs/>
              <w:color w:val="auto"/>
              <w:sz w:val="21"/>
              <w:szCs w:val="21"/>
              <w:highlight w:val="none"/>
            </w:rPr>
            <w:instrText xml:space="preserve">TOC \o "1-2" \h \u </w:instrText>
          </w:r>
          <w:r>
            <w:rPr>
              <w:rFonts w:hint="eastAsia" w:ascii="仿宋" w:hAnsi="仿宋" w:eastAsia="仿宋" w:cs="仿宋"/>
              <w:b/>
              <w:bCs/>
              <w:color w:val="auto"/>
              <w:sz w:val="21"/>
              <w:szCs w:val="21"/>
              <w:highlight w:val="none"/>
            </w:rPr>
            <w:fldChar w:fldCharType="separate"/>
          </w:r>
        </w:p>
        <w:p w14:paraId="6EEE211F">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_Toc29902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52"/>
              <w:highlight w:val="none"/>
            </w:rPr>
            <w:t>第一章  招标公告</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1</w:t>
          </w:r>
          <w:r>
            <w:rPr>
              <w:rFonts w:hint="eastAsia" w:ascii="仿宋" w:hAnsi="仿宋" w:eastAsia="仿宋" w:cs="仿宋"/>
              <w:b/>
              <w:bCs/>
              <w:color w:val="auto"/>
              <w:sz w:val="28"/>
              <w:szCs w:val="28"/>
              <w:highlight w:val="none"/>
            </w:rPr>
            <w:fldChar w:fldCharType="end"/>
          </w:r>
        </w:p>
        <w:p w14:paraId="17439DAB">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_Toc19278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52"/>
              <w:highlight w:val="none"/>
            </w:rPr>
            <w:t>第二章  投标人须知</w:t>
          </w:r>
          <w:r>
            <w:rPr>
              <w:rFonts w:hint="eastAsia" w:ascii="仿宋" w:hAnsi="仿宋" w:eastAsia="仿宋" w:cs="仿宋"/>
              <w:b/>
              <w:bCs/>
              <w:sz w:val="28"/>
              <w:szCs w:val="28"/>
            </w:rPr>
            <w:tab/>
          </w:r>
          <w:r>
            <w:rPr>
              <w:rFonts w:hint="eastAsia" w:ascii="仿宋" w:hAnsi="仿宋" w:eastAsia="仿宋" w:cs="仿宋"/>
              <w:b/>
              <w:bCs/>
              <w:sz w:val="28"/>
              <w:szCs w:val="28"/>
              <w:lang w:val="en-US" w:eastAsia="zh-CN"/>
            </w:rPr>
            <w:t>5</w:t>
          </w:r>
          <w:r>
            <w:rPr>
              <w:rFonts w:hint="eastAsia" w:ascii="仿宋" w:hAnsi="仿宋" w:eastAsia="仿宋" w:cs="仿宋"/>
              <w:b/>
              <w:bCs/>
              <w:color w:val="auto"/>
              <w:sz w:val="28"/>
              <w:szCs w:val="28"/>
              <w:highlight w:val="none"/>
            </w:rPr>
            <w:fldChar w:fldCharType="end"/>
          </w:r>
        </w:p>
        <w:p w14:paraId="73F64249">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_Toc27885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52"/>
              <w:highlight w:val="none"/>
            </w:rPr>
            <w:t xml:space="preserve">第三章  </w:t>
          </w:r>
          <w:r>
            <w:rPr>
              <w:rFonts w:hint="eastAsia" w:ascii="仿宋" w:hAnsi="仿宋" w:eastAsia="仿宋" w:cs="仿宋"/>
              <w:b/>
              <w:bCs/>
              <w:sz w:val="28"/>
              <w:szCs w:val="52"/>
              <w:lang w:val="en-US" w:eastAsia="zh-CN"/>
            </w:rPr>
            <w:t>采购内容及具体要求</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_Toc27885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w:t>
          </w:r>
          <w:r>
            <w:rPr>
              <w:rFonts w:hint="eastAsia" w:ascii="仿宋" w:hAnsi="仿宋" w:eastAsia="仿宋" w:cs="仿宋"/>
              <w:b/>
              <w:bCs/>
              <w:sz w:val="28"/>
              <w:szCs w:val="28"/>
              <w:lang w:val="en-US" w:eastAsia="zh-CN"/>
            </w:rPr>
            <w:t>8</w:t>
          </w:r>
          <w:r>
            <w:rPr>
              <w:rFonts w:hint="eastAsia" w:ascii="仿宋" w:hAnsi="仿宋" w:eastAsia="仿宋" w:cs="仿宋"/>
              <w:b/>
              <w:bCs/>
              <w:sz w:val="28"/>
              <w:szCs w:val="28"/>
            </w:rPr>
            <w:fldChar w:fldCharType="end"/>
          </w:r>
          <w:r>
            <w:rPr>
              <w:rFonts w:hint="eastAsia" w:ascii="仿宋" w:hAnsi="仿宋" w:eastAsia="仿宋" w:cs="仿宋"/>
              <w:b/>
              <w:bCs/>
              <w:color w:val="auto"/>
              <w:sz w:val="28"/>
              <w:szCs w:val="28"/>
              <w:highlight w:val="none"/>
            </w:rPr>
            <w:fldChar w:fldCharType="end"/>
          </w:r>
        </w:p>
        <w:p w14:paraId="3D595CE5">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_Toc3510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52"/>
              <w:lang w:val="en-US" w:eastAsia="zh-CN"/>
            </w:rPr>
            <w:t xml:space="preserve">第四章  </w:t>
          </w:r>
          <w:r>
            <w:rPr>
              <w:rFonts w:hint="eastAsia" w:ascii="仿宋" w:hAnsi="仿宋" w:eastAsia="仿宋" w:cs="仿宋"/>
              <w:b/>
              <w:bCs/>
              <w:sz w:val="28"/>
              <w:szCs w:val="52"/>
              <w:highlight w:val="none"/>
            </w:rPr>
            <w:t>评</w:t>
          </w:r>
          <w:r>
            <w:rPr>
              <w:rFonts w:hint="eastAsia" w:ascii="仿宋" w:hAnsi="仿宋" w:eastAsia="仿宋" w:cs="仿宋"/>
              <w:b/>
              <w:bCs/>
              <w:sz w:val="28"/>
              <w:szCs w:val="52"/>
              <w:highlight w:val="none"/>
              <w:lang w:val="en-US" w:eastAsia="zh-CN"/>
            </w:rPr>
            <w:t>标</w:t>
          </w:r>
          <w:r>
            <w:rPr>
              <w:rFonts w:hint="eastAsia" w:ascii="仿宋" w:hAnsi="仿宋" w:eastAsia="仿宋" w:cs="仿宋"/>
              <w:b/>
              <w:bCs/>
              <w:sz w:val="28"/>
              <w:szCs w:val="52"/>
              <w:highlight w:val="none"/>
            </w:rPr>
            <w:t>办法</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_Toc3510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30</w:t>
          </w:r>
          <w:r>
            <w:rPr>
              <w:rFonts w:hint="eastAsia" w:ascii="仿宋" w:hAnsi="仿宋" w:eastAsia="仿宋" w:cs="仿宋"/>
              <w:b/>
              <w:bCs/>
              <w:sz w:val="28"/>
              <w:szCs w:val="28"/>
            </w:rPr>
            <w:fldChar w:fldCharType="end"/>
          </w:r>
          <w:r>
            <w:rPr>
              <w:rFonts w:hint="eastAsia" w:ascii="仿宋" w:hAnsi="仿宋" w:eastAsia="仿宋" w:cs="仿宋"/>
              <w:b/>
              <w:bCs/>
              <w:color w:val="auto"/>
              <w:sz w:val="28"/>
              <w:szCs w:val="28"/>
              <w:highlight w:val="none"/>
            </w:rPr>
            <w:fldChar w:fldCharType="end"/>
          </w:r>
        </w:p>
        <w:p w14:paraId="2E59640B">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_Toc13626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52"/>
              <w:highlight w:val="none"/>
            </w:rPr>
            <w:t>第五章</w:t>
          </w:r>
          <w:r>
            <w:rPr>
              <w:rFonts w:hint="eastAsia" w:ascii="仿宋" w:hAnsi="仿宋" w:eastAsia="仿宋" w:cs="仿宋"/>
              <w:b/>
              <w:bCs/>
              <w:sz w:val="28"/>
              <w:szCs w:val="52"/>
              <w:highlight w:val="none"/>
              <w:lang w:val="en-US" w:eastAsia="zh-CN"/>
            </w:rPr>
            <w:t xml:space="preserve">  </w:t>
          </w:r>
          <w:r>
            <w:rPr>
              <w:rFonts w:hint="eastAsia" w:ascii="仿宋" w:hAnsi="仿宋" w:eastAsia="仿宋" w:cs="仿宋"/>
              <w:b/>
              <w:bCs/>
              <w:sz w:val="28"/>
              <w:szCs w:val="28"/>
              <w:highlight w:val="none"/>
            </w:rPr>
            <w:t>投标文件格式及构成</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_Toc13626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fldChar w:fldCharType="end"/>
          </w:r>
          <w:r>
            <w:rPr>
              <w:rFonts w:hint="eastAsia" w:ascii="仿宋" w:hAnsi="仿宋" w:eastAsia="仿宋" w:cs="仿宋"/>
              <w:b/>
              <w:bCs/>
              <w:color w:val="auto"/>
              <w:sz w:val="28"/>
              <w:szCs w:val="28"/>
              <w:highlight w:val="none"/>
            </w:rPr>
            <w:fldChar w:fldCharType="end"/>
          </w:r>
        </w:p>
        <w:p w14:paraId="6B19CE45">
          <w:pPr>
            <w:pStyle w:val="74"/>
            <w:keepNext w:val="0"/>
            <w:keepLines w:val="0"/>
            <w:pageBreakBefore w:val="0"/>
            <w:widowControl/>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b/>
              <w:bCs/>
              <w:sz w:val="28"/>
              <w:szCs w:val="28"/>
            </w:rPr>
          </w:pPr>
          <w:r>
            <w:rPr>
              <w:rFonts w:hint="eastAsia" w:ascii="仿宋" w:hAnsi="仿宋" w:eastAsia="仿宋" w:cs="仿宋"/>
              <w:b/>
              <w:bCs/>
              <w:color w:val="auto"/>
              <w:sz w:val="28"/>
              <w:szCs w:val="28"/>
              <w:highlight w:val="none"/>
            </w:rPr>
            <w:fldChar w:fldCharType="begin"/>
          </w:r>
          <w:r>
            <w:rPr>
              <w:rFonts w:hint="eastAsia" w:ascii="仿宋" w:hAnsi="仿宋" w:eastAsia="仿宋" w:cs="仿宋"/>
              <w:b/>
              <w:bCs/>
              <w:sz w:val="28"/>
              <w:szCs w:val="28"/>
              <w:highlight w:val="none"/>
            </w:rPr>
            <w:instrText xml:space="preserve"> HYPERLINK \l _Toc12648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 xml:space="preserve">第六章  </w:t>
          </w:r>
          <w:r>
            <w:rPr>
              <w:rFonts w:hint="eastAsia" w:ascii="仿宋" w:hAnsi="仿宋" w:eastAsia="仿宋" w:cs="仿宋"/>
              <w:b/>
              <w:bCs/>
              <w:sz w:val="28"/>
              <w:szCs w:val="52"/>
              <w:highlight w:val="none"/>
            </w:rPr>
            <w:t>拟签订的合同文本</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_Toc12648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lang w:val="en-US" w:eastAsia="zh-CN"/>
            </w:rPr>
            <w:t>61</w:t>
          </w:r>
          <w:r>
            <w:rPr>
              <w:rFonts w:hint="eastAsia" w:ascii="仿宋" w:hAnsi="仿宋" w:eastAsia="仿宋" w:cs="仿宋"/>
              <w:b/>
              <w:bCs/>
              <w:sz w:val="28"/>
              <w:szCs w:val="28"/>
            </w:rPr>
            <w:fldChar w:fldCharType="end"/>
          </w:r>
          <w:r>
            <w:rPr>
              <w:rFonts w:hint="eastAsia" w:ascii="仿宋" w:hAnsi="仿宋" w:eastAsia="仿宋" w:cs="仿宋"/>
              <w:b/>
              <w:bCs/>
              <w:color w:val="auto"/>
              <w:sz w:val="28"/>
              <w:szCs w:val="28"/>
              <w:highlight w:val="none"/>
            </w:rPr>
            <w:fldChar w:fldCharType="end"/>
          </w:r>
        </w:p>
        <w:p w14:paraId="0DC6D8C5">
          <w:pPr>
            <w:pStyle w:val="57"/>
            <w:shd w:val="clear"/>
            <w:ind w:left="0" w:leftChars="0" w:firstLine="0" w:firstLineChars="0"/>
            <w:outlineLvl w:val="9"/>
          </w:pPr>
          <w:r>
            <w:rPr>
              <w:rFonts w:hint="eastAsia" w:ascii="仿宋" w:hAnsi="仿宋" w:eastAsia="仿宋" w:cs="仿宋"/>
              <w:b/>
              <w:bCs/>
              <w:color w:val="auto"/>
              <w:sz w:val="28"/>
              <w:szCs w:val="28"/>
              <w:highlight w:val="none"/>
            </w:rPr>
            <w:fldChar w:fldCharType="end"/>
          </w:r>
          <w:bookmarkStart w:id="1" w:name="_Toc13452"/>
          <w:bookmarkStart w:id="2" w:name="_Toc16422"/>
          <w:bookmarkStart w:id="3" w:name="_Toc22132_WPSOffice_Level1"/>
          <w:bookmarkStart w:id="4" w:name="_Toc2153_WPSOffice_Level1"/>
          <w:bookmarkStart w:id="5" w:name="_Toc9573"/>
          <w:bookmarkStart w:id="6" w:name="_Toc30925"/>
          <w:bookmarkStart w:id="7" w:name="_Toc27110"/>
          <w:bookmarkStart w:id="8" w:name="_Toc531189833"/>
          <w:bookmarkStart w:id="9" w:name="_Toc13604"/>
          <w:bookmarkStart w:id="10" w:name="_Toc22701"/>
          <w:bookmarkStart w:id="11" w:name="_Toc15714"/>
          <w:bookmarkStart w:id="12" w:name="_Toc16585"/>
          <w:bookmarkStart w:id="13" w:name="_Toc27661"/>
          <w:bookmarkStart w:id="14" w:name="_Toc16757"/>
          <w:bookmarkStart w:id="15" w:name="_Toc3934_WPSOffice_Level1"/>
          <w:bookmarkStart w:id="16" w:name="_Toc17661"/>
          <w:bookmarkStart w:id="17" w:name="_Toc29902"/>
          <w:bookmarkStart w:id="18" w:name="_Toc26281"/>
          <w:bookmarkStart w:id="19" w:name="_Toc5491"/>
        </w:p>
      </w:sdtContent>
    </w:sdt>
    <w:p w14:paraId="1358D314">
      <w:pPr>
        <w:pStyle w:val="57"/>
        <w:shd w:val="clear"/>
        <w:ind w:left="0" w:leftChars="0" w:firstLine="0" w:firstLineChars="0"/>
        <w:outlineLvl w:val="9"/>
        <w:rPr>
          <w:rFonts w:hint="eastAsia" w:ascii="黑体" w:hAnsi="黑体" w:eastAsia="黑体" w:cs="黑体"/>
          <w:color w:val="auto"/>
          <w:szCs w:val="36"/>
          <w:highlight w:val="none"/>
        </w:rPr>
      </w:pPr>
    </w:p>
    <w:p w14:paraId="4BBA4990">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2123473A">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46D48DA3">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60E70DAB">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098F8DC0">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539E4D88">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3B30B38F">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44753241">
      <w:pPr>
        <w:pStyle w:val="57"/>
        <w:shd w:val="clear"/>
        <w:tabs>
          <w:tab w:val="left" w:pos="6603"/>
        </w:tabs>
        <w:ind w:left="0" w:leftChars="0" w:firstLine="0" w:firstLineChars="0"/>
        <w:jc w:val="left"/>
        <w:outlineLvl w:val="9"/>
        <w:rPr>
          <w:rFonts w:hint="eastAsia" w:ascii="黑体" w:hAnsi="黑体" w:eastAsia="黑体" w:cs="黑体"/>
          <w:b/>
          <w:color w:val="auto"/>
          <w:kern w:val="2"/>
          <w:sz w:val="36"/>
          <w:szCs w:val="36"/>
          <w:highlight w:val="none"/>
          <w:lang w:val="en-US" w:eastAsia="zh-CN" w:bidi="ar-SA"/>
        </w:rPr>
      </w:pPr>
      <w:r>
        <w:rPr>
          <w:rFonts w:hint="eastAsia" w:ascii="黑体" w:hAnsi="黑体" w:eastAsia="黑体" w:cs="黑体"/>
          <w:b/>
          <w:color w:val="auto"/>
          <w:kern w:val="2"/>
          <w:sz w:val="36"/>
          <w:szCs w:val="36"/>
          <w:highlight w:val="none"/>
          <w:lang w:val="en-US" w:eastAsia="zh-CN" w:bidi="ar-SA"/>
        </w:rPr>
        <w:tab/>
      </w:r>
    </w:p>
    <w:p w14:paraId="7BE0ACE9">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4B26C6E2">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04C15763">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47D48153">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0C907B90">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6B061CD1">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4112B9DD">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482E2312">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1CBF9677">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6ECE91FF">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p>
    <w:p w14:paraId="1D7D7B9E">
      <w:pPr>
        <w:pStyle w:val="57"/>
        <w:shd w:val="clear"/>
        <w:ind w:left="0" w:leftChars="0" w:firstLine="0" w:firstLineChars="0"/>
        <w:jc w:val="both"/>
        <w:outlineLvl w:val="9"/>
        <w:rPr>
          <w:rFonts w:hint="eastAsia" w:ascii="黑体" w:hAnsi="黑体" w:eastAsia="黑体" w:cs="黑体"/>
          <w:b/>
          <w:color w:val="auto"/>
          <w:kern w:val="2"/>
          <w:sz w:val="36"/>
          <w:szCs w:val="36"/>
          <w:highlight w:val="none"/>
          <w:lang w:val="en-US" w:eastAsia="zh-CN" w:bidi="ar-SA"/>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14:paraId="2D7DA9A0">
      <w:pPr>
        <w:pStyle w:val="57"/>
        <w:shd w:val="clear"/>
        <w:ind w:left="0" w:leftChars="0" w:firstLine="0" w:firstLineChars="0"/>
        <w:jc w:val="center"/>
        <w:outlineLvl w:val="9"/>
        <w:rPr>
          <w:rFonts w:hint="eastAsia" w:ascii="黑体" w:hAnsi="黑体" w:eastAsia="黑体" w:cs="黑体"/>
          <w:b/>
          <w:color w:val="auto"/>
          <w:kern w:val="2"/>
          <w:sz w:val="36"/>
          <w:szCs w:val="36"/>
          <w:highlight w:val="none"/>
          <w:lang w:val="en-US" w:eastAsia="zh-CN" w:bidi="ar-SA"/>
        </w:rPr>
      </w:pPr>
      <w:r>
        <w:rPr>
          <w:rFonts w:hint="eastAsia" w:ascii="黑体" w:hAnsi="黑体" w:eastAsia="黑体" w:cs="黑体"/>
          <w:b/>
          <w:color w:val="auto"/>
          <w:kern w:val="2"/>
          <w:sz w:val="36"/>
          <w:szCs w:val="36"/>
          <w:highlight w:val="none"/>
          <w:lang w:val="en-US" w:eastAsia="zh-CN" w:bidi="ar-SA"/>
        </w:rPr>
        <w:t xml:space="preserve">第一章  </w:t>
      </w:r>
      <w:bookmarkEnd w:id="0"/>
      <w:r>
        <w:rPr>
          <w:rFonts w:hint="eastAsia" w:ascii="黑体" w:hAnsi="黑体" w:eastAsia="黑体" w:cs="黑体"/>
          <w:b/>
          <w:color w:val="auto"/>
          <w:kern w:val="2"/>
          <w:sz w:val="36"/>
          <w:szCs w:val="36"/>
          <w:highlight w:val="none"/>
          <w:lang w:val="en-US" w:eastAsia="zh-CN" w:bidi="ar-SA"/>
        </w:rPr>
        <w:t>招标公告</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6F4960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b w:val="0"/>
          <w:bCs w:val="0"/>
          <w:color w:val="auto"/>
          <w:sz w:val="21"/>
          <w:szCs w:val="21"/>
          <w:u w:val="single"/>
        </w:rPr>
      </w:pPr>
      <w:bookmarkStart w:id="20" w:name="_Toc28736_WPSOffice_Level1"/>
      <w:bookmarkStart w:id="21" w:name="_Toc175973396"/>
      <w:bookmarkStart w:id="22" w:name="_Toc531189834"/>
      <w:bookmarkStart w:id="23" w:name="_Toc17777"/>
      <w:bookmarkStart w:id="24" w:name="_Toc19278"/>
      <w:bookmarkStart w:id="25" w:name="_Toc29730"/>
      <w:bookmarkStart w:id="26" w:name="_Toc31326"/>
      <w:bookmarkStart w:id="27" w:name="_Toc21535"/>
      <w:bookmarkStart w:id="28" w:name="_Toc19596"/>
      <w:bookmarkStart w:id="29" w:name="_Toc347817552"/>
      <w:bookmarkStart w:id="30" w:name="_Toc9804_WPSOffice_Level1"/>
      <w:bookmarkStart w:id="31" w:name="_Toc4952"/>
      <w:bookmarkStart w:id="32" w:name="_Toc31804"/>
      <w:bookmarkStart w:id="33" w:name="_Toc15499"/>
      <w:bookmarkStart w:id="34" w:name="_Toc12255"/>
      <w:bookmarkStart w:id="35" w:name="_Toc21028"/>
      <w:bookmarkStart w:id="36" w:name="_Toc2094"/>
      <w:bookmarkStart w:id="37" w:name="_Toc30242"/>
      <w:bookmarkStart w:id="38" w:name="_Toc25920"/>
      <w:bookmarkStart w:id="39" w:name="_Toc7478"/>
      <w:bookmarkStart w:id="40" w:name="_Toc8088_WPSOffice_Level1"/>
      <w:r>
        <w:rPr>
          <w:rStyle w:val="45"/>
          <w:rFonts w:hint="eastAsia" w:ascii="仿宋" w:hAnsi="仿宋" w:eastAsia="仿宋" w:cs="仿宋"/>
          <w:b/>
          <w:bCs/>
          <w:i w:val="0"/>
          <w:iCs w:val="0"/>
          <w:caps w:val="0"/>
          <w:color w:val="auto"/>
          <w:spacing w:val="0"/>
          <w:sz w:val="21"/>
          <w:szCs w:val="21"/>
          <w:u w:val="single"/>
          <w:shd w:val="clear" w:fill="FFFFFF"/>
        </w:rPr>
        <w:t>项目概况</w:t>
      </w:r>
    </w:p>
    <w:p w14:paraId="0219B76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宁强县水利局分散供水工程消毒药剂购置项目的潜在投标人应在汉中市汉台区西一环路蓝天御苑小区商铺二层门面房北侧获取招标文件，并于 2024年11月26日 14时00分 （北京时间）前递交投标文件。</w:t>
      </w:r>
    </w:p>
    <w:p w14:paraId="7F7D94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rPr>
          <w:rFonts w:hint="eastAsia" w:ascii="仿宋" w:hAnsi="仿宋" w:eastAsia="仿宋" w:cs="仿宋"/>
          <w:b w:val="0"/>
          <w:bCs w:val="0"/>
          <w:color w:val="auto"/>
          <w:sz w:val="21"/>
          <w:szCs w:val="21"/>
        </w:rPr>
      </w:pPr>
      <w:r>
        <w:rPr>
          <w:rStyle w:val="45"/>
          <w:rFonts w:hint="eastAsia" w:ascii="仿宋" w:hAnsi="仿宋" w:eastAsia="仿宋" w:cs="仿宋"/>
          <w:b/>
          <w:bCs/>
          <w:i w:val="0"/>
          <w:iCs w:val="0"/>
          <w:caps w:val="0"/>
          <w:color w:val="auto"/>
          <w:spacing w:val="0"/>
          <w:sz w:val="21"/>
          <w:szCs w:val="21"/>
          <w:shd w:val="clear" w:fill="FFFFFF"/>
        </w:rPr>
        <w:t>一、项目基本情况</w:t>
      </w:r>
    </w:p>
    <w:p w14:paraId="5397CDB2">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项目编号：HZ-J2024011C</w:t>
      </w:r>
    </w:p>
    <w:p w14:paraId="61B85A9D">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项目名称：宁强县水利局分散供水工程消毒药剂购置项目</w:t>
      </w:r>
    </w:p>
    <w:p w14:paraId="1343706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采购方式：公开招标</w:t>
      </w:r>
    </w:p>
    <w:p w14:paraId="79E6B57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预算金额：500,000.00元</w:t>
      </w:r>
    </w:p>
    <w:p w14:paraId="6C236A4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采购需求：</w:t>
      </w:r>
    </w:p>
    <w:p w14:paraId="09A1140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合同包1(宁强县水利局分散供水工程消毒药剂购置项目):</w:t>
      </w:r>
    </w:p>
    <w:p w14:paraId="09F19CB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firstLineChars="3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合同包预算金额：500,000.00元</w:t>
      </w:r>
    </w:p>
    <w:p w14:paraId="5F49616D">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firstLineChars="3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合同包最高限价：500,000.00元</w:t>
      </w:r>
    </w:p>
    <w:tbl>
      <w:tblPr>
        <w:tblStyle w:val="42"/>
        <w:tblW w:w="963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7"/>
        <w:gridCol w:w="1320"/>
        <w:gridCol w:w="1049"/>
        <w:gridCol w:w="1380"/>
        <w:gridCol w:w="1632"/>
        <w:gridCol w:w="1632"/>
        <w:gridCol w:w="1771"/>
      </w:tblGrid>
      <w:tr w14:paraId="3202E9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84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9E9DBD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品目号</w:t>
            </w:r>
          </w:p>
        </w:tc>
        <w:tc>
          <w:tcPr>
            <w:tcW w:w="13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843A7D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品目名称</w:t>
            </w:r>
          </w:p>
        </w:tc>
        <w:tc>
          <w:tcPr>
            <w:tcW w:w="1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4B7779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采购标的</w:t>
            </w:r>
          </w:p>
        </w:tc>
        <w:tc>
          <w:tcPr>
            <w:tcW w:w="13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4B206D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数量（单位）</w:t>
            </w:r>
          </w:p>
        </w:tc>
        <w:tc>
          <w:tcPr>
            <w:tcW w:w="16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974F0C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技术规格、参数及要求</w:t>
            </w:r>
          </w:p>
        </w:tc>
        <w:tc>
          <w:tcPr>
            <w:tcW w:w="16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61857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品目预算(元)</w:t>
            </w:r>
          </w:p>
        </w:tc>
        <w:tc>
          <w:tcPr>
            <w:tcW w:w="177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745E2B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b/>
                <w:bCs/>
                <w:color w:val="auto"/>
                <w:sz w:val="21"/>
                <w:szCs w:val="21"/>
              </w:rPr>
            </w:pPr>
            <w:r>
              <w:rPr>
                <w:rFonts w:hint="eastAsia" w:ascii="仿宋" w:hAnsi="仿宋" w:eastAsia="仿宋" w:cs="仿宋"/>
                <w:b/>
                <w:bCs/>
                <w:color w:val="auto"/>
                <w:kern w:val="0"/>
                <w:sz w:val="21"/>
                <w:szCs w:val="21"/>
                <w:lang w:val="en-US" w:eastAsia="zh-CN" w:bidi="ar"/>
              </w:rPr>
              <w:t>最高限价(元)</w:t>
            </w:r>
          </w:p>
        </w:tc>
      </w:tr>
      <w:tr w14:paraId="59AF5D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84" w:hRule="atLeast"/>
          <w:jc w:val="center"/>
        </w:trPr>
        <w:tc>
          <w:tcPr>
            <w:tcW w:w="84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B0F460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1-1</w:t>
            </w:r>
          </w:p>
        </w:tc>
        <w:tc>
          <w:tcPr>
            <w:tcW w:w="13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D88A24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环境污染处理专用药剂材料</w:t>
            </w:r>
          </w:p>
        </w:tc>
        <w:tc>
          <w:tcPr>
            <w:tcW w:w="1049"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86643A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消毒药剂购置</w:t>
            </w:r>
          </w:p>
        </w:tc>
        <w:tc>
          <w:tcPr>
            <w:tcW w:w="138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E80434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
              </w:rPr>
              <w:t>1(批)</w:t>
            </w:r>
          </w:p>
        </w:tc>
        <w:tc>
          <w:tcPr>
            <w:tcW w:w="16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88AD3D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详见采购文件</w:t>
            </w:r>
          </w:p>
        </w:tc>
        <w:tc>
          <w:tcPr>
            <w:tcW w:w="1632"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6DDAC40">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500,000.00</w:t>
            </w:r>
          </w:p>
        </w:tc>
        <w:tc>
          <w:tcPr>
            <w:tcW w:w="177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2A32DE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500,000.00</w:t>
            </w:r>
          </w:p>
        </w:tc>
      </w:tr>
    </w:tbl>
    <w:p w14:paraId="0B0EE62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本合同包不接受联合体投标</w:t>
      </w:r>
    </w:p>
    <w:p w14:paraId="527801B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合同履行期限：详见招标文件</w:t>
      </w:r>
    </w:p>
    <w:p w14:paraId="1D0301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rPr>
          <w:rFonts w:hint="eastAsia" w:ascii="仿宋" w:hAnsi="仿宋" w:eastAsia="仿宋" w:cs="仿宋"/>
          <w:b w:val="0"/>
          <w:bCs w:val="0"/>
          <w:color w:val="auto"/>
          <w:sz w:val="21"/>
          <w:szCs w:val="21"/>
        </w:rPr>
      </w:pPr>
      <w:r>
        <w:rPr>
          <w:rStyle w:val="45"/>
          <w:rFonts w:hint="eastAsia" w:ascii="仿宋" w:hAnsi="仿宋" w:eastAsia="仿宋" w:cs="仿宋"/>
          <w:b/>
          <w:bCs/>
          <w:i w:val="0"/>
          <w:iCs w:val="0"/>
          <w:caps w:val="0"/>
          <w:color w:val="auto"/>
          <w:spacing w:val="0"/>
          <w:sz w:val="21"/>
          <w:szCs w:val="21"/>
          <w:shd w:val="clear" w:fill="FFFFFF"/>
        </w:rPr>
        <w:t>二、申请人的资格要求：</w:t>
      </w:r>
    </w:p>
    <w:p w14:paraId="2A3C4DB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1.满足《中华人民共和国政府采购法》第二十二条规定;</w:t>
      </w:r>
    </w:p>
    <w:p w14:paraId="10FCB852">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2.落实政府采购政策需满足的资格要求：</w:t>
      </w:r>
    </w:p>
    <w:p w14:paraId="53322C72">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合同包1(宁强县水利局分散供水工程消毒药剂购置项目)落实政府采购政策需满足的资格要求如下:</w:t>
      </w:r>
    </w:p>
    <w:p w14:paraId="2341924F">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本项目专门面向中小企业采购,投标人所提供的货物应由中小企业制造（即货物由中小企业生产且使用该中小企业商号或者注册商标）制造商为中型、小型、微型企业的提供《中小企业声明函》，监狱企业或残疾人福利性单位视同小型、微型企业，制造商为监狱企业的，应提供监狱企业的证明文件；制造商为残疾人福利性单位的，应提供《残疾人福利性单位声明函》。</w:t>
      </w:r>
    </w:p>
    <w:p w14:paraId="725CA5E6">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3.本项目的特定资格要求：</w:t>
      </w:r>
    </w:p>
    <w:p w14:paraId="194C5CB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合同包1(宁强县水利局分散供水工程消毒药剂购置项目)特定资格要求如下:</w:t>
      </w:r>
    </w:p>
    <w:p w14:paraId="09C51F6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3.1 满足《中华人民共和国政府采购法》第二十二条的规定,提供下列资格证明文件：</w:t>
      </w:r>
      <w:r>
        <w:rPr>
          <w:rFonts w:hint="eastAsia" w:ascii="仿宋" w:hAnsi="仿宋" w:eastAsia="仿宋" w:cs="仿宋"/>
          <w:i w:val="0"/>
          <w:iCs w:val="0"/>
          <w:caps w:val="0"/>
          <w:color w:val="auto"/>
          <w:spacing w:val="0"/>
          <w:sz w:val="21"/>
          <w:szCs w:val="21"/>
          <w:shd w:val="clear" w:fill="FFFFFF"/>
        </w:rPr>
        <w:br w:type="textWrapping"/>
      </w:r>
      <w:r>
        <w:rPr>
          <w:rFonts w:hint="eastAsia" w:ascii="仿宋" w:hAnsi="仿宋" w:eastAsia="仿宋" w:cs="仿宋"/>
          <w:i w:val="0"/>
          <w:iCs w:val="0"/>
          <w:caps w:val="0"/>
          <w:color w:val="auto"/>
          <w:spacing w:val="0"/>
          <w:sz w:val="21"/>
          <w:szCs w:val="21"/>
          <w:shd w:val="clear" w:fill="FFFFFF"/>
        </w:rPr>
        <w:t>（1）投标人须为具有独立承担民事责任能力的法人、其他组织或自然人，并出具合法有效的营业执照或事业单位法人证书等国家规定的相关证明，自然人参与的提供其身份证明；</w:t>
      </w:r>
      <w:r>
        <w:rPr>
          <w:rFonts w:hint="eastAsia" w:ascii="仿宋" w:hAnsi="仿宋" w:eastAsia="仿宋" w:cs="仿宋"/>
          <w:i w:val="0"/>
          <w:iCs w:val="0"/>
          <w:caps w:val="0"/>
          <w:color w:val="auto"/>
          <w:spacing w:val="0"/>
          <w:sz w:val="21"/>
          <w:szCs w:val="21"/>
          <w:shd w:val="clear" w:fill="FFFFFF"/>
        </w:rPr>
        <w:br w:type="textWrapping"/>
      </w:r>
      <w:r>
        <w:rPr>
          <w:rFonts w:hint="eastAsia" w:ascii="仿宋" w:hAnsi="仿宋" w:eastAsia="仿宋" w:cs="仿宋"/>
          <w:i w:val="0"/>
          <w:iCs w:val="0"/>
          <w:caps w:val="0"/>
          <w:color w:val="auto"/>
          <w:spacing w:val="0"/>
          <w:sz w:val="21"/>
          <w:szCs w:val="21"/>
          <w:shd w:val="clear" w:fill="FFFFFF"/>
        </w:rPr>
        <w:t>（2）财务状况报告: 提供2022或2023年度完整有效财务审计报告（成立时间至投标文件递交截止时间不足一年的可提供成立后任意时段的资产负债表），或投标文件递交截止时间前三个月内基本存款账户开户银行出具的资信证明，或财政部门认可的政府采购专业担保机构出具的担保函（以上三种任意一项即可）；</w:t>
      </w:r>
      <w:r>
        <w:rPr>
          <w:rFonts w:hint="eastAsia" w:ascii="仿宋" w:hAnsi="仿宋" w:eastAsia="仿宋" w:cs="仿宋"/>
          <w:i w:val="0"/>
          <w:iCs w:val="0"/>
          <w:caps w:val="0"/>
          <w:color w:val="auto"/>
          <w:spacing w:val="0"/>
          <w:sz w:val="21"/>
          <w:szCs w:val="21"/>
          <w:shd w:val="clear" w:fill="FFFFFF"/>
        </w:rPr>
        <w:br w:type="textWrapping"/>
      </w:r>
      <w:r>
        <w:rPr>
          <w:rFonts w:hint="eastAsia" w:ascii="仿宋" w:hAnsi="仿宋" w:eastAsia="仿宋" w:cs="仿宋"/>
          <w:i w:val="0"/>
          <w:iCs w:val="0"/>
          <w:caps w:val="0"/>
          <w:color w:val="auto"/>
          <w:spacing w:val="0"/>
          <w:sz w:val="21"/>
          <w:szCs w:val="21"/>
          <w:shd w:val="clear" w:fill="FFFFFF"/>
        </w:rPr>
        <w:t>（3）税收缴纳证明: 提供自2023年11月1日以来已缴纳的任意1个月的依法缴纳税收的相关凭据（时间以税收所属日期为准），凭据应有税务机关或代收机关的公章或业务专用章；</w:t>
      </w:r>
      <w:r>
        <w:rPr>
          <w:rFonts w:hint="eastAsia" w:ascii="仿宋" w:hAnsi="仿宋" w:eastAsia="仿宋" w:cs="仿宋"/>
          <w:i w:val="0"/>
          <w:iCs w:val="0"/>
          <w:caps w:val="0"/>
          <w:color w:val="auto"/>
          <w:spacing w:val="0"/>
          <w:sz w:val="21"/>
          <w:szCs w:val="21"/>
          <w:shd w:val="clear" w:fill="FFFFFF"/>
        </w:rPr>
        <w:br w:type="textWrapping"/>
      </w:r>
      <w:r>
        <w:rPr>
          <w:rFonts w:hint="eastAsia" w:ascii="仿宋" w:hAnsi="仿宋" w:eastAsia="仿宋" w:cs="仿宋"/>
          <w:i w:val="0"/>
          <w:iCs w:val="0"/>
          <w:caps w:val="0"/>
          <w:color w:val="auto"/>
          <w:spacing w:val="0"/>
          <w:sz w:val="21"/>
          <w:szCs w:val="21"/>
          <w:shd w:val="clear" w:fill="FFFFFF"/>
        </w:rPr>
        <w:t>（4）社会保障资金缴纳证明：提供自2023年11月1日以来已缴存的任意1个月的社会保障资金缴存单据或社保机构开具的社会保险参保缴费情况证明，依法不需要缴纳社会保障资金的单位应提供相关证明材料；</w:t>
      </w:r>
      <w:r>
        <w:rPr>
          <w:rFonts w:hint="eastAsia" w:ascii="仿宋" w:hAnsi="仿宋" w:eastAsia="仿宋" w:cs="仿宋"/>
          <w:i w:val="0"/>
          <w:iCs w:val="0"/>
          <w:caps w:val="0"/>
          <w:color w:val="auto"/>
          <w:spacing w:val="0"/>
          <w:sz w:val="21"/>
          <w:szCs w:val="21"/>
          <w:shd w:val="clear" w:fill="FFFFFF"/>
        </w:rPr>
        <w:br w:type="textWrapping"/>
      </w:r>
      <w:r>
        <w:rPr>
          <w:rFonts w:hint="eastAsia" w:ascii="仿宋" w:hAnsi="仿宋" w:eastAsia="仿宋" w:cs="仿宋"/>
          <w:i w:val="0"/>
          <w:iCs w:val="0"/>
          <w:caps w:val="0"/>
          <w:color w:val="auto"/>
          <w:spacing w:val="0"/>
          <w:sz w:val="21"/>
          <w:szCs w:val="21"/>
          <w:shd w:val="clear" w:fill="FFFFFF"/>
        </w:rPr>
        <w:t>（5）提供具有履行本合同所必需的设备和专业技术能力的书面承诺；</w:t>
      </w:r>
      <w:r>
        <w:rPr>
          <w:rFonts w:hint="eastAsia" w:ascii="仿宋" w:hAnsi="仿宋" w:eastAsia="仿宋" w:cs="仿宋"/>
          <w:i w:val="0"/>
          <w:iCs w:val="0"/>
          <w:caps w:val="0"/>
          <w:color w:val="auto"/>
          <w:spacing w:val="0"/>
          <w:sz w:val="21"/>
          <w:szCs w:val="21"/>
          <w:shd w:val="clear" w:fill="FFFFFF"/>
        </w:rPr>
        <w:br w:type="textWrapping"/>
      </w:r>
      <w:r>
        <w:rPr>
          <w:rFonts w:hint="eastAsia" w:ascii="仿宋" w:hAnsi="仿宋" w:eastAsia="仿宋" w:cs="仿宋"/>
          <w:i w:val="0"/>
          <w:iCs w:val="0"/>
          <w:caps w:val="0"/>
          <w:color w:val="auto"/>
          <w:spacing w:val="0"/>
          <w:sz w:val="21"/>
          <w:szCs w:val="21"/>
          <w:shd w:val="clear" w:fill="FFFFFF"/>
        </w:rPr>
        <w:t>（6）提供参加政府采购活动前三年内在经营活动中没有重大违法记录的书面声明。</w:t>
      </w:r>
      <w:r>
        <w:rPr>
          <w:rFonts w:hint="eastAsia" w:ascii="仿宋" w:hAnsi="仿宋" w:eastAsia="仿宋" w:cs="仿宋"/>
          <w:i w:val="0"/>
          <w:iCs w:val="0"/>
          <w:caps w:val="0"/>
          <w:color w:val="auto"/>
          <w:spacing w:val="0"/>
          <w:sz w:val="21"/>
          <w:szCs w:val="21"/>
          <w:shd w:val="clear" w:fill="FFFFFF"/>
        </w:rPr>
        <w:br w:type="textWrapping"/>
      </w:r>
      <w:r>
        <w:rPr>
          <w:rFonts w:hint="eastAsia" w:ascii="仿宋" w:hAnsi="仿宋" w:eastAsia="仿宋" w:cs="仿宋"/>
          <w:i w:val="0"/>
          <w:iCs w:val="0"/>
          <w:caps w:val="0"/>
          <w:color w:val="auto"/>
          <w:spacing w:val="0"/>
          <w:sz w:val="21"/>
          <w:szCs w:val="21"/>
          <w:shd w:val="clear" w:fill="FFFFFF"/>
          <w:lang w:val="en-US" w:eastAsia="zh-CN"/>
        </w:rPr>
        <w:t xml:space="preserve">  </w:t>
      </w:r>
      <w:r>
        <w:rPr>
          <w:rFonts w:hint="eastAsia" w:ascii="仿宋" w:hAnsi="仿宋" w:eastAsia="仿宋" w:cs="仿宋"/>
          <w:i w:val="0"/>
          <w:iCs w:val="0"/>
          <w:caps w:val="0"/>
          <w:color w:val="auto"/>
          <w:spacing w:val="0"/>
          <w:sz w:val="21"/>
          <w:szCs w:val="21"/>
          <w:shd w:val="clear" w:fill="FFFFFF"/>
        </w:rPr>
        <w:t>3.2 本项目特定资格要求：</w:t>
      </w:r>
      <w:r>
        <w:rPr>
          <w:rFonts w:hint="eastAsia" w:ascii="仿宋" w:hAnsi="仿宋" w:eastAsia="仿宋" w:cs="仿宋"/>
          <w:i w:val="0"/>
          <w:iCs w:val="0"/>
          <w:caps w:val="0"/>
          <w:color w:val="auto"/>
          <w:spacing w:val="0"/>
          <w:sz w:val="21"/>
          <w:szCs w:val="21"/>
          <w:shd w:val="clear" w:fill="FFFFFF"/>
        </w:rPr>
        <w:br w:type="textWrapping"/>
      </w:r>
      <w:r>
        <w:rPr>
          <w:rFonts w:hint="eastAsia" w:ascii="仿宋" w:hAnsi="仿宋" w:eastAsia="仿宋" w:cs="仿宋"/>
          <w:i w:val="0"/>
          <w:iCs w:val="0"/>
          <w:caps w:val="0"/>
          <w:color w:val="auto"/>
          <w:spacing w:val="0"/>
          <w:sz w:val="21"/>
          <w:szCs w:val="21"/>
          <w:shd w:val="clear" w:fill="FFFFFF"/>
        </w:rPr>
        <w:t>（1）法定代表人直接参加投标的，须出具法人身份证；法定代表人授权代表参加投标的，须出具法定代表人授权书及授权代表身份证；</w:t>
      </w:r>
      <w:r>
        <w:rPr>
          <w:rFonts w:hint="eastAsia" w:ascii="仿宋" w:hAnsi="仿宋" w:eastAsia="仿宋" w:cs="仿宋"/>
          <w:i w:val="0"/>
          <w:iCs w:val="0"/>
          <w:caps w:val="0"/>
          <w:color w:val="auto"/>
          <w:spacing w:val="0"/>
          <w:sz w:val="21"/>
          <w:szCs w:val="21"/>
          <w:shd w:val="clear" w:fill="FFFFFF"/>
        </w:rPr>
        <w:br w:type="textWrapping"/>
      </w:r>
      <w:r>
        <w:rPr>
          <w:rFonts w:hint="eastAsia" w:ascii="仿宋" w:hAnsi="仿宋" w:eastAsia="仿宋" w:cs="仿宋"/>
          <w:i w:val="0"/>
          <w:iCs w:val="0"/>
          <w:caps w:val="0"/>
          <w:color w:val="auto"/>
          <w:spacing w:val="0"/>
          <w:sz w:val="21"/>
          <w:szCs w:val="21"/>
          <w:shd w:val="clear" w:fill="FFFFFF"/>
        </w:rPr>
        <w:t> （2）投标人不得为“信用中国”网站（www.creditchina.gov.cn）中列入失信被执行人（中国执行信息公开网http://zxgk.court.gov.cn）和重大税收违法失信主体名单的</w:t>
      </w:r>
      <w:r>
        <w:rPr>
          <w:rFonts w:hint="eastAsia" w:ascii="仿宋" w:hAnsi="仿宋" w:eastAsia="仿宋" w:cs="仿宋"/>
          <w:i w:val="0"/>
          <w:iCs w:val="0"/>
          <w:caps w:val="0"/>
          <w:color w:val="auto"/>
          <w:spacing w:val="0"/>
          <w:sz w:val="21"/>
          <w:szCs w:val="21"/>
          <w:shd w:val="clear" w:fill="FFFFFF"/>
          <w:lang w:val="en-US" w:eastAsia="zh-CN"/>
        </w:rPr>
        <w:t>投标人</w:t>
      </w:r>
      <w:r>
        <w:rPr>
          <w:rFonts w:hint="eastAsia" w:ascii="仿宋" w:hAnsi="仿宋" w:eastAsia="仿宋" w:cs="仿宋"/>
          <w:i w:val="0"/>
          <w:iCs w:val="0"/>
          <w:caps w:val="0"/>
          <w:color w:val="auto"/>
          <w:spacing w:val="0"/>
          <w:sz w:val="21"/>
          <w:szCs w:val="21"/>
          <w:shd w:val="clear" w:fill="FFFFFF"/>
        </w:rPr>
        <w:t>，不得为中国政府采购网（www.ccgp.gov.cn）政府采购严重违法失信行为记录名单中被财政部门禁止参加政府采购活动的投标人。</w:t>
      </w:r>
    </w:p>
    <w:p w14:paraId="7D245C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rPr>
          <w:rFonts w:hint="eastAsia" w:ascii="仿宋" w:hAnsi="仿宋" w:eastAsia="仿宋" w:cs="仿宋"/>
          <w:b w:val="0"/>
          <w:bCs w:val="0"/>
          <w:color w:val="auto"/>
          <w:sz w:val="21"/>
          <w:szCs w:val="21"/>
        </w:rPr>
      </w:pPr>
      <w:r>
        <w:rPr>
          <w:rStyle w:val="45"/>
          <w:rFonts w:hint="eastAsia" w:ascii="仿宋" w:hAnsi="仿宋" w:eastAsia="仿宋" w:cs="仿宋"/>
          <w:b/>
          <w:bCs/>
          <w:i w:val="0"/>
          <w:iCs w:val="0"/>
          <w:caps w:val="0"/>
          <w:color w:val="auto"/>
          <w:spacing w:val="0"/>
          <w:sz w:val="21"/>
          <w:szCs w:val="21"/>
          <w:shd w:val="clear" w:fill="FFFFFF"/>
        </w:rPr>
        <w:t>三、获取招标文件</w:t>
      </w:r>
    </w:p>
    <w:p w14:paraId="6BB369D3">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时间： 2024年11月06日 至 2024年11月12日 ，每天上午 08:00:00 至 12:00:00 ，下午 14:00:00 至 18:00:00 （北京时间）</w:t>
      </w:r>
    </w:p>
    <w:p w14:paraId="1307091A">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途径：汉中市汉台区西一环路蓝天御苑小区商铺二层门面房北侧</w:t>
      </w:r>
    </w:p>
    <w:p w14:paraId="64781EE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方式：现场获取</w:t>
      </w:r>
    </w:p>
    <w:p w14:paraId="4CF0241F">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售价： 500元</w:t>
      </w:r>
    </w:p>
    <w:p w14:paraId="52510A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rPr>
          <w:rFonts w:hint="eastAsia" w:ascii="仿宋" w:hAnsi="仿宋" w:eastAsia="仿宋" w:cs="仿宋"/>
          <w:b w:val="0"/>
          <w:bCs w:val="0"/>
          <w:color w:val="auto"/>
          <w:sz w:val="21"/>
          <w:szCs w:val="21"/>
        </w:rPr>
      </w:pPr>
      <w:r>
        <w:rPr>
          <w:rStyle w:val="45"/>
          <w:rFonts w:hint="eastAsia" w:ascii="仿宋" w:hAnsi="仿宋" w:eastAsia="仿宋" w:cs="仿宋"/>
          <w:b/>
          <w:bCs/>
          <w:i w:val="0"/>
          <w:iCs w:val="0"/>
          <w:caps w:val="0"/>
          <w:color w:val="auto"/>
          <w:spacing w:val="0"/>
          <w:sz w:val="21"/>
          <w:szCs w:val="21"/>
          <w:shd w:val="clear" w:fill="FFFFFF"/>
        </w:rPr>
        <w:t>四、提交投标文件截止时间、开标时间和地点</w:t>
      </w:r>
    </w:p>
    <w:p w14:paraId="5BB107F8">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时间： 2024年11月26日 14时00分00秒 （北京时间）</w:t>
      </w:r>
    </w:p>
    <w:p w14:paraId="1381C3A5">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提交投标文件地点：汉中市汉台区西一环路蓝天御苑小区商铺二层门面房北侧会议室</w:t>
      </w:r>
    </w:p>
    <w:p w14:paraId="3812742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color w:val="auto"/>
          <w:sz w:val="21"/>
          <w:szCs w:val="21"/>
          <w:lang w:eastAsia="zh-CN"/>
        </w:rPr>
      </w:pPr>
      <w:r>
        <w:rPr>
          <w:rFonts w:hint="eastAsia" w:ascii="仿宋" w:hAnsi="仿宋" w:eastAsia="仿宋" w:cs="仿宋"/>
          <w:i w:val="0"/>
          <w:iCs w:val="0"/>
          <w:caps w:val="0"/>
          <w:color w:val="auto"/>
          <w:spacing w:val="0"/>
          <w:sz w:val="21"/>
          <w:szCs w:val="21"/>
          <w:shd w:val="clear" w:fill="FFFFFF"/>
        </w:rPr>
        <w:t>开标地点：汉中市汉台区西一环路蓝天御苑小区商铺二层门面房北侧会议室</w:t>
      </w:r>
    </w:p>
    <w:p w14:paraId="0A02C51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rPr>
          <w:rFonts w:hint="eastAsia" w:ascii="仿宋" w:hAnsi="仿宋" w:eastAsia="仿宋" w:cs="仿宋"/>
          <w:b w:val="0"/>
          <w:bCs w:val="0"/>
          <w:color w:val="auto"/>
          <w:sz w:val="21"/>
          <w:szCs w:val="21"/>
        </w:rPr>
      </w:pPr>
      <w:r>
        <w:rPr>
          <w:rStyle w:val="45"/>
          <w:rFonts w:hint="eastAsia" w:ascii="仿宋" w:hAnsi="仿宋" w:eastAsia="仿宋" w:cs="仿宋"/>
          <w:b/>
          <w:bCs/>
          <w:i w:val="0"/>
          <w:iCs w:val="0"/>
          <w:caps w:val="0"/>
          <w:color w:val="auto"/>
          <w:spacing w:val="0"/>
          <w:sz w:val="21"/>
          <w:szCs w:val="21"/>
          <w:shd w:val="clear" w:fill="FFFFFF"/>
        </w:rPr>
        <w:t>五、公告期限</w:t>
      </w:r>
    </w:p>
    <w:p w14:paraId="209DB0E8">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rPr>
        <w:t>自本公告发布之日起5个工作日。</w:t>
      </w:r>
    </w:p>
    <w:p w14:paraId="6E75F1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rPr>
          <w:rFonts w:hint="eastAsia" w:ascii="仿宋" w:hAnsi="仿宋" w:eastAsia="仿宋" w:cs="仿宋"/>
          <w:b w:val="0"/>
          <w:bCs w:val="0"/>
          <w:color w:val="auto"/>
          <w:sz w:val="21"/>
          <w:szCs w:val="21"/>
        </w:rPr>
      </w:pPr>
      <w:r>
        <w:rPr>
          <w:rStyle w:val="45"/>
          <w:rFonts w:hint="eastAsia" w:ascii="仿宋" w:hAnsi="仿宋" w:eastAsia="仿宋" w:cs="仿宋"/>
          <w:b/>
          <w:bCs/>
          <w:i w:val="0"/>
          <w:iCs w:val="0"/>
          <w:caps w:val="0"/>
          <w:color w:val="auto"/>
          <w:spacing w:val="0"/>
          <w:sz w:val="21"/>
          <w:szCs w:val="21"/>
          <w:shd w:val="clear" w:fill="FFFFFF"/>
        </w:rPr>
        <w:t>六、其他补充事宜</w:t>
      </w:r>
    </w:p>
    <w:p w14:paraId="26E8E356">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kern w:val="0"/>
          <w:sz w:val="21"/>
          <w:szCs w:val="21"/>
          <w:shd w:val="clear" w:fill="FFFFFF"/>
          <w:lang w:val="en-US" w:eastAsia="zh-CN" w:bidi="ar"/>
        </w:rPr>
      </w:pPr>
      <w:r>
        <w:rPr>
          <w:rFonts w:hint="eastAsia" w:ascii="仿宋" w:hAnsi="仿宋" w:eastAsia="仿宋" w:cs="仿宋"/>
          <w:i w:val="0"/>
          <w:iCs w:val="0"/>
          <w:caps w:val="0"/>
          <w:color w:val="auto"/>
          <w:spacing w:val="0"/>
          <w:kern w:val="0"/>
          <w:sz w:val="21"/>
          <w:szCs w:val="21"/>
          <w:shd w:val="clear" w:fill="FFFFFF"/>
          <w:lang w:val="en-US" w:eastAsia="zh-CN" w:bidi="ar"/>
        </w:rPr>
        <w:t>1、潜在投标人获取招标文件时需出示获取人身份证原件，并提交企业介绍信原件加盖公章（介绍信注明项目名称、项目编号、联系人、联系方式）及加盖公章的经办人身份证复印件一份，项目名称以“宁强县水利局分散供水工程消毒药剂购置项目”为准。本项目招标文件不提供邮寄，须现场现金购买，售后不退。  </w:t>
      </w:r>
    </w:p>
    <w:p w14:paraId="111106BE">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kern w:val="0"/>
          <w:sz w:val="21"/>
          <w:szCs w:val="21"/>
          <w:shd w:val="clear" w:fill="FFFFFF"/>
          <w:lang w:val="en-US" w:eastAsia="zh-CN" w:bidi="ar"/>
        </w:rPr>
      </w:pPr>
      <w:r>
        <w:rPr>
          <w:rFonts w:hint="eastAsia" w:ascii="仿宋" w:hAnsi="仿宋" w:eastAsia="仿宋" w:cs="仿宋"/>
          <w:i w:val="0"/>
          <w:iCs w:val="0"/>
          <w:caps w:val="0"/>
          <w:color w:val="auto"/>
          <w:spacing w:val="0"/>
          <w:kern w:val="0"/>
          <w:sz w:val="21"/>
          <w:szCs w:val="21"/>
          <w:shd w:val="clear" w:fill="FFFFFF"/>
          <w:lang w:val="en-US" w:eastAsia="zh-CN" w:bidi="ar"/>
        </w:rPr>
        <w:t> 2、注意事项：根据《陕西省财政厅关于政府采购供应商注册登记有关事项的通知》的规定，投标人在获取招标文件后，应及时注册登记加入陕西省政府采购供应商库。因投标人自身原因未及时登记入库而导致的一切后果由投标人自行承担。</w:t>
      </w:r>
    </w:p>
    <w:p w14:paraId="3B69E1E7">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仿宋" w:hAnsi="仿宋" w:eastAsia="仿宋" w:cs="仿宋"/>
          <w:i w:val="0"/>
          <w:iCs w:val="0"/>
          <w:caps w:val="0"/>
          <w:color w:val="auto"/>
          <w:spacing w:val="0"/>
          <w:kern w:val="0"/>
          <w:sz w:val="21"/>
          <w:szCs w:val="21"/>
          <w:shd w:val="clear" w:fill="FFFFFF"/>
          <w:lang w:val="en-US" w:eastAsia="zh-CN" w:bidi="ar"/>
        </w:rPr>
      </w:pPr>
      <w:r>
        <w:rPr>
          <w:rFonts w:hint="eastAsia" w:ascii="仿宋" w:hAnsi="仿宋" w:eastAsia="仿宋" w:cs="仿宋"/>
          <w:i w:val="0"/>
          <w:iCs w:val="0"/>
          <w:caps w:val="0"/>
          <w:color w:val="auto"/>
          <w:spacing w:val="0"/>
          <w:kern w:val="0"/>
          <w:sz w:val="21"/>
          <w:szCs w:val="21"/>
          <w:shd w:val="clear" w:fill="FFFFFF"/>
          <w:lang w:val="en-US" w:eastAsia="zh-CN" w:bidi="ar"/>
        </w:rPr>
        <w:t> 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按相关规定需要落实的其他政府采购政策。</w:t>
      </w:r>
    </w:p>
    <w:p w14:paraId="18C2D2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jc w:val="left"/>
        <w:textAlignment w:val="auto"/>
        <w:rPr>
          <w:rFonts w:hint="eastAsia" w:ascii="仿宋" w:hAnsi="仿宋" w:eastAsia="仿宋" w:cs="仿宋"/>
          <w:b w:val="0"/>
          <w:bCs w:val="0"/>
          <w:color w:val="auto"/>
          <w:sz w:val="21"/>
          <w:szCs w:val="21"/>
        </w:rPr>
      </w:pPr>
      <w:r>
        <w:rPr>
          <w:rStyle w:val="45"/>
          <w:rFonts w:hint="eastAsia" w:ascii="仿宋" w:hAnsi="仿宋" w:eastAsia="仿宋" w:cs="仿宋"/>
          <w:b/>
          <w:bCs/>
          <w:i w:val="0"/>
          <w:iCs w:val="0"/>
          <w:caps w:val="0"/>
          <w:color w:val="auto"/>
          <w:spacing w:val="0"/>
          <w:sz w:val="21"/>
          <w:szCs w:val="21"/>
          <w:shd w:val="clear" w:fill="FFFFFF"/>
        </w:rPr>
        <w:t>七、对本次招标提出询问，请按以下方式联系。</w:t>
      </w:r>
    </w:p>
    <w:p w14:paraId="379FD68A">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210" w:firstLineChars="100"/>
        <w:jc w:val="both"/>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1.采购人信息</w:t>
      </w:r>
    </w:p>
    <w:p w14:paraId="166B85B0">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名称：宁强县水利局</w:t>
      </w:r>
    </w:p>
    <w:p w14:paraId="44F8FC2D">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地址：宁强县羌州中路与羌州南路交汇处永惠广场西南</w:t>
      </w:r>
    </w:p>
    <w:p w14:paraId="0D94E00D">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联系方式：0916-4229337</w:t>
      </w:r>
    </w:p>
    <w:p w14:paraId="1ACBA0AD">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210" w:firstLineChars="100"/>
        <w:jc w:val="both"/>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2.采购代理机构信息</w:t>
      </w:r>
    </w:p>
    <w:p w14:paraId="405C2548">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名称：陕西汉正项目管理有限公司</w:t>
      </w:r>
    </w:p>
    <w:p w14:paraId="03761A5B">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地址：汉中市汉台区西一环路蓝天御苑小区商铺二层门面房北侧</w:t>
      </w:r>
    </w:p>
    <w:p w14:paraId="6614FB32">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联系方式：0916-8116996</w:t>
      </w:r>
    </w:p>
    <w:p w14:paraId="4312712C">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210" w:firstLineChars="100"/>
        <w:jc w:val="both"/>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3.项目联系方式</w:t>
      </w:r>
    </w:p>
    <w:p w14:paraId="7E5911F6">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项目联系人：郑艳、夏丽敏</w:t>
      </w:r>
    </w:p>
    <w:p w14:paraId="6207E1E8">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84"/>
        <w:jc w:val="both"/>
        <w:rPr>
          <w:rFonts w:hint="eastAsia" w:ascii="仿宋" w:hAnsi="仿宋" w:eastAsia="仿宋" w:cs="仿宋"/>
          <w:b w:val="0"/>
          <w:i w:val="0"/>
          <w:iCs w:val="0"/>
          <w:caps w:val="0"/>
          <w:color w:val="auto"/>
          <w:spacing w:val="0"/>
          <w:kern w:val="0"/>
          <w:sz w:val="21"/>
          <w:szCs w:val="21"/>
          <w:shd w:val="clear" w:fill="FFFFFF"/>
          <w:lang w:val="en-US" w:eastAsia="zh-CN" w:bidi="ar"/>
        </w:rPr>
      </w:pPr>
      <w:r>
        <w:rPr>
          <w:rFonts w:hint="eastAsia" w:ascii="仿宋" w:hAnsi="仿宋" w:eastAsia="仿宋" w:cs="仿宋"/>
          <w:b w:val="0"/>
          <w:i w:val="0"/>
          <w:iCs w:val="0"/>
          <w:caps w:val="0"/>
          <w:color w:val="auto"/>
          <w:spacing w:val="0"/>
          <w:kern w:val="0"/>
          <w:sz w:val="21"/>
          <w:szCs w:val="21"/>
          <w:shd w:val="clear" w:fill="FFFFFF"/>
          <w:lang w:val="en-US" w:eastAsia="zh-CN" w:bidi="ar"/>
        </w:rPr>
        <w:t>电话：0916-8116996</w:t>
      </w:r>
    </w:p>
    <w:p w14:paraId="4E88804C">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b w:val="0"/>
          <w:i w:val="0"/>
          <w:iCs w:val="0"/>
          <w:caps w:val="0"/>
          <w:color w:val="auto"/>
          <w:spacing w:val="0"/>
          <w:kern w:val="0"/>
          <w:sz w:val="21"/>
          <w:szCs w:val="21"/>
          <w:shd w:val="clear" w:fill="FFFFFF"/>
          <w:lang w:val="en-US" w:eastAsia="zh-CN" w:bidi="ar"/>
        </w:rPr>
        <w:t xml:space="preserve">                       </w:t>
      </w:r>
      <w:r>
        <w:rPr>
          <w:rFonts w:hint="eastAsia" w:ascii="仿宋" w:hAnsi="仿宋" w:eastAsia="仿宋" w:cs="仿宋"/>
          <w:i w:val="0"/>
          <w:iCs w:val="0"/>
          <w:caps w:val="0"/>
          <w:color w:val="auto"/>
          <w:spacing w:val="0"/>
          <w:sz w:val="21"/>
          <w:szCs w:val="21"/>
          <w:shd w:val="clear" w:fill="FFFFFF"/>
          <w:lang w:val="en-US" w:eastAsia="zh-CN"/>
        </w:rPr>
        <w:t xml:space="preserve">                    </w:t>
      </w:r>
    </w:p>
    <w:p w14:paraId="25B1D5A9">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shd w:val="clear" w:fill="FFFFFF"/>
          <w:lang w:val="en-US" w:eastAsia="zh-CN"/>
        </w:rPr>
      </w:pPr>
    </w:p>
    <w:p w14:paraId="297A18A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shd w:val="clear" w:fill="FFFFFF"/>
          <w:lang w:val="en-US" w:eastAsia="zh-CN"/>
        </w:rPr>
      </w:pPr>
    </w:p>
    <w:p w14:paraId="0D221AB6">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shd w:val="clear" w:fill="FFFFFF"/>
          <w:lang w:val="en-US" w:eastAsia="zh-CN"/>
        </w:rPr>
      </w:pPr>
    </w:p>
    <w:p w14:paraId="3350607F">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shd w:val="clear" w:fill="FFFFFF"/>
          <w:lang w:val="en-US" w:eastAsia="zh-CN"/>
        </w:rPr>
      </w:pPr>
    </w:p>
    <w:p w14:paraId="3950845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shd w:val="clear" w:fill="FFFFFF"/>
          <w:lang w:val="en-US" w:eastAsia="zh-CN"/>
        </w:rPr>
      </w:pPr>
    </w:p>
    <w:p w14:paraId="67E53561">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i w:val="0"/>
          <w:iCs w:val="0"/>
          <w:caps w:val="0"/>
          <w:color w:val="auto"/>
          <w:spacing w:val="0"/>
          <w:sz w:val="21"/>
          <w:szCs w:val="21"/>
          <w:shd w:val="clear" w:fill="FFFFFF"/>
          <w:lang w:val="en-US" w:eastAsia="zh-CN"/>
        </w:rPr>
      </w:pPr>
    </w:p>
    <w:p w14:paraId="1BE02746">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仿宋" w:hAnsi="仿宋" w:eastAsia="仿宋" w:cs="仿宋"/>
          <w:color w:val="auto"/>
          <w:sz w:val="21"/>
          <w:szCs w:val="21"/>
        </w:rPr>
      </w:pPr>
      <w:r>
        <w:rPr>
          <w:rFonts w:hint="eastAsia" w:ascii="仿宋" w:hAnsi="仿宋" w:eastAsia="仿宋" w:cs="仿宋"/>
          <w:i w:val="0"/>
          <w:iCs w:val="0"/>
          <w:caps w:val="0"/>
          <w:color w:val="auto"/>
          <w:spacing w:val="0"/>
          <w:sz w:val="21"/>
          <w:szCs w:val="21"/>
          <w:shd w:val="clear" w:fill="FFFFFF"/>
          <w:lang w:val="en-US" w:eastAsia="zh-CN"/>
        </w:rPr>
        <w:t xml:space="preserve">                                           陕西汉正</w:t>
      </w:r>
      <w:r>
        <w:rPr>
          <w:rFonts w:hint="eastAsia" w:ascii="仿宋" w:hAnsi="仿宋" w:eastAsia="仿宋" w:cs="仿宋"/>
          <w:i w:val="0"/>
          <w:iCs w:val="0"/>
          <w:caps w:val="0"/>
          <w:color w:val="auto"/>
          <w:spacing w:val="0"/>
          <w:sz w:val="21"/>
          <w:szCs w:val="21"/>
          <w:shd w:val="clear" w:fill="FFFFFF"/>
        </w:rPr>
        <w:t>项目管理有限公司</w:t>
      </w:r>
    </w:p>
    <w:p w14:paraId="2EAD0B32">
      <w:pPr>
        <w:pStyle w:val="247"/>
        <w:shd w:val="clear"/>
        <w:spacing w:line="360" w:lineRule="auto"/>
        <w:ind w:firstLine="5865" w:firstLineChars="2793"/>
        <w:rPr>
          <w:rFonts w:hint="default" w:ascii="仿宋" w:hAnsi="仿宋" w:eastAsia="仿宋" w:cs="仿宋"/>
          <w:i w:val="0"/>
          <w:iCs w:val="0"/>
          <w:caps w:val="0"/>
          <w:color w:val="auto"/>
          <w:spacing w:val="0"/>
          <w:kern w:val="0"/>
          <w:sz w:val="21"/>
          <w:szCs w:val="21"/>
          <w:shd w:val="clear" w:fill="FFFFFF"/>
          <w:lang w:val="en-US" w:eastAsia="zh-CN" w:bidi="ar-SA"/>
        </w:rPr>
      </w:pPr>
      <w:r>
        <w:rPr>
          <w:rFonts w:hint="eastAsia" w:ascii="仿宋" w:hAnsi="仿宋" w:eastAsia="仿宋" w:cs="仿宋"/>
          <w:i w:val="0"/>
          <w:iCs w:val="0"/>
          <w:caps w:val="0"/>
          <w:color w:val="auto"/>
          <w:spacing w:val="0"/>
          <w:kern w:val="0"/>
          <w:sz w:val="21"/>
          <w:szCs w:val="21"/>
          <w:shd w:val="clear" w:fill="FFFFFF"/>
          <w:lang w:val="en-US" w:eastAsia="zh-CN" w:bidi="ar-SA"/>
        </w:rPr>
        <w:t>2024年11月5日</w:t>
      </w:r>
    </w:p>
    <w:p w14:paraId="2883EBE5">
      <w:pPr>
        <w:pStyle w:val="13"/>
        <w:rPr>
          <w:rFonts w:hint="eastAsia" w:ascii="黑体" w:hAnsi="黑体" w:eastAsia="黑体" w:cs="黑体"/>
          <w:color w:val="auto"/>
          <w:szCs w:val="36"/>
          <w:highlight w:val="none"/>
        </w:rPr>
      </w:pPr>
    </w:p>
    <w:p w14:paraId="128A1536">
      <w:pPr>
        <w:pStyle w:val="14"/>
        <w:rPr>
          <w:rFonts w:hint="eastAsia" w:ascii="黑体" w:hAnsi="黑体" w:eastAsia="黑体" w:cs="黑体"/>
          <w:color w:val="auto"/>
          <w:szCs w:val="36"/>
          <w:highlight w:val="none"/>
        </w:rPr>
      </w:pPr>
    </w:p>
    <w:p w14:paraId="416A1A96">
      <w:pPr>
        <w:rPr>
          <w:rFonts w:hint="eastAsia" w:ascii="黑体" w:hAnsi="黑体" w:eastAsia="黑体" w:cs="黑体"/>
          <w:color w:val="auto"/>
          <w:szCs w:val="36"/>
          <w:highlight w:val="none"/>
        </w:rPr>
      </w:pPr>
    </w:p>
    <w:p w14:paraId="585CE4EE">
      <w:pPr>
        <w:pStyle w:val="13"/>
        <w:rPr>
          <w:rFonts w:hint="eastAsia" w:ascii="黑体" w:hAnsi="黑体" w:eastAsia="黑体" w:cs="黑体"/>
          <w:color w:val="auto"/>
          <w:szCs w:val="36"/>
          <w:highlight w:val="none"/>
        </w:rPr>
      </w:pPr>
    </w:p>
    <w:p w14:paraId="6BCF24AD">
      <w:pPr>
        <w:pStyle w:val="14"/>
        <w:rPr>
          <w:rFonts w:hint="eastAsia"/>
        </w:rPr>
      </w:pPr>
    </w:p>
    <w:p w14:paraId="00ABACFC">
      <w:pPr>
        <w:pStyle w:val="14"/>
        <w:ind w:left="0" w:leftChars="0" w:firstLine="0" w:firstLineChars="0"/>
        <w:rPr>
          <w:rFonts w:hint="eastAsia"/>
        </w:rPr>
      </w:pPr>
    </w:p>
    <w:p w14:paraId="32921289">
      <w:pPr>
        <w:pStyle w:val="3"/>
        <w:shd w:val="clear"/>
        <w:spacing w:line="336" w:lineRule="auto"/>
        <w:ind w:left="0" w:leftChars="0" w:firstLine="0" w:firstLineChars="0"/>
        <w:jc w:val="center"/>
        <w:rPr>
          <w:rFonts w:hint="eastAsia" w:ascii="黑体" w:hAnsi="黑体" w:eastAsia="黑体" w:cs="黑体"/>
          <w:color w:val="auto"/>
          <w:szCs w:val="36"/>
          <w:highlight w:val="none"/>
        </w:rPr>
      </w:pPr>
      <w:r>
        <w:rPr>
          <w:rFonts w:hint="eastAsia" w:ascii="黑体" w:hAnsi="黑体" w:eastAsia="黑体" w:cs="黑体"/>
          <w:color w:val="auto"/>
          <w:szCs w:val="36"/>
          <w:highlight w:val="none"/>
        </w:rPr>
        <w:t>第二章  投标人须知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4F888E8A">
      <w:pPr>
        <w:pStyle w:val="24"/>
        <w:shd w:val="clear"/>
        <w:adjustRightInd w:val="0"/>
        <w:snapToGrid w:val="0"/>
        <w:spacing w:line="360" w:lineRule="auto"/>
        <w:jc w:val="center"/>
        <w:outlineLvl w:val="1"/>
        <w:rPr>
          <w:rFonts w:hint="eastAsia" w:ascii="黑体" w:hAnsi="黑体" w:eastAsia="黑体" w:cs="黑体"/>
          <w:b/>
          <w:color w:val="auto"/>
          <w:sz w:val="28"/>
          <w:szCs w:val="28"/>
          <w:highlight w:val="none"/>
        </w:rPr>
      </w:pPr>
      <w:bookmarkStart w:id="41" w:name="_Toc15759"/>
      <w:r>
        <w:rPr>
          <w:rFonts w:hint="eastAsia" w:ascii="黑体" w:hAnsi="黑体" w:eastAsia="黑体" w:cs="黑体"/>
          <w:b/>
          <w:color w:val="auto"/>
          <w:sz w:val="28"/>
          <w:szCs w:val="28"/>
          <w:highlight w:val="none"/>
        </w:rPr>
        <w:t>投标人须知前附表</w:t>
      </w:r>
      <w:bookmarkEnd w:id="41"/>
      <w:bookmarkStart w:id="42" w:name="_Toc175973397"/>
      <w:bookmarkStart w:id="43" w:name="_Toc531189836"/>
    </w:p>
    <w:tbl>
      <w:tblPr>
        <w:tblStyle w:val="42"/>
        <w:tblpPr w:leftFromText="180" w:rightFromText="180" w:vertAnchor="text" w:horzAnchor="page" w:tblpX="1077" w:tblpY="377"/>
        <w:tblOverlap w:val="never"/>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017"/>
        <w:gridCol w:w="7464"/>
      </w:tblGrid>
      <w:tr w14:paraId="0C0C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18" w:type="dxa"/>
            <w:vAlign w:val="center"/>
          </w:tcPr>
          <w:p w14:paraId="301C3073">
            <w:pPr>
              <w:shd w:val="clear"/>
              <w:snapToGri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2017" w:type="dxa"/>
            <w:vAlign w:val="center"/>
          </w:tcPr>
          <w:p w14:paraId="59AFA9F9">
            <w:pPr>
              <w:shd w:val="clear"/>
              <w:snapToGri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名称</w:t>
            </w:r>
          </w:p>
        </w:tc>
        <w:tc>
          <w:tcPr>
            <w:tcW w:w="7464" w:type="dxa"/>
            <w:vAlign w:val="center"/>
          </w:tcPr>
          <w:p w14:paraId="5A1BC296">
            <w:pPr>
              <w:shd w:val="clear"/>
              <w:snapToGrid w:val="0"/>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具体内容和要求</w:t>
            </w:r>
          </w:p>
        </w:tc>
      </w:tr>
      <w:tr w14:paraId="59B3F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5B1D3412">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2017" w:type="dxa"/>
            <w:vAlign w:val="center"/>
          </w:tcPr>
          <w:p w14:paraId="5928F9BA">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项目名称</w:t>
            </w:r>
          </w:p>
        </w:tc>
        <w:tc>
          <w:tcPr>
            <w:tcW w:w="7464" w:type="dxa"/>
            <w:vAlign w:val="center"/>
          </w:tcPr>
          <w:p w14:paraId="4C3B27F3">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宁强县水利局分散供水工程消毒药剂购置项目</w:t>
            </w:r>
          </w:p>
        </w:tc>
      </w:tr>
      <w:tr w14:paraId="35D3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6347BBF8">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2017" w:type="dxa"/>
            <w:vAlign w:val="center"/>
          </w:tcPr>
          <w:p w14:paraId="67B88D1B">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项目编号</w:t>
            </w:r>
          </w:p>
        </w:tc>
        <w:tc>
          <w:tcPr>
            <w:tcW w:w="7464" w:type="dxa"/>
            <w:vAlign w:val="center"/>
          </w:tcPr>
          <w:p w14:paraId="6A5AC350">
            <w:pPr>
              <w:keepNext w:val="0"/>
              <w:keepLines w:val="0"/>
              <w:pageBreakBefore w:val="0"/>
              <w:shd w:val="clear"/>
              <w:kinsoku/>
              <w:wordWrap/>
              <w:overflowPunct/>
              <w:topLinePunct w:val="0"/>
              <w:autoSpaceDE/>
              <w:autoSpaceDN/>
              <w:bidi w:val="0"/>
              <w:snapToGrid w:val="0"/>
              <w:spacing w:line="288" w:lineRule="auto"/>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HZ-J2024011C</w:t>
            </w:r>
          </w:p>
        </w:tc>
      </w:tr>
      <w:tr w14:paraId="6140E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63EFFF86">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2017" w:type="dxa"/>
            <w:vAlign w:val="center"/>
          </w:tcPr>
          <w:p w14:paraId="1223319C">
            <w:pPr>
              <w:pStyle w:val="151"/>
              <w:ind w:left="38" w:leftChars="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lang w:val="zh-CN"/>
              </w:rPr>
              <w:t>预算金额</w:t>
            </w:r>
          </w:p>
        </w:tc>
        <w:tc>
          <w:tcPr>
            <w:tcW w:w="7464" w:type="dxa"/>
            <w:vAlign w:val="center"/>
          </w:tcPr>
          <w:p w14:paraId="2F408FDD">
            <w:pPr>
              <w:shd w:val="clear"/>
              <w:adjustRightInd w:val="0"/>
              <w:snapToGrid w:val="0"/>
              <w:rPr>
                <w:rFonts w:hint="eastAsia" w:ascii="仿宋" w:hAnsi="仿宋" w:eastAsia="仿宋" w:cs="仿宋"/>
                <w:color w:val="auto"/>
                <w:sz w:val="22"/>
                <w:szCs w:val="22"/>
              </w:rPr>
            </w:pPr>
            <w:r>
              <w:rPr>
                <w:rFonts w:hint="eastAsia" w:ascii="仿宋" w:hAnsi="仿宋" w:eastAsia="仿宋" w:cs="仿宋"/>
                <w:color w:val="auto"/>
                <w:sz w:val="22"/>
                <w:szCs w:val="22"/>
              </w:rPr>
              <w:t>本项目预算金额</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u w:val="single"/>
                <w:lang w:val="en-US" w:eastAsia="zh-CN"/>
              </w:rPr>
              <w:t>500,000.00</w:t>
            </w:r>
            <w:r>
              <w:rPr>
                <w:rFonts w:hint="eastAsia" w:ascii="仿宋" w:hAnsi="仿宋" w:eastAsia="仿宋" w:cs="仿宋"/>
                <w:color w:val="auto"/>
                <w:sz w:val="22"/>
                <w:szCs w:val="22"/>
                <w:u w:val="single"/>
              </w:rPr>
              <w:t>元</w:t>
            </w:r>
            <w:r>
              <w:rPr>
                <w:rFonts w:hint="eastAsia" w:ascii="仿宋" w:hAnsi="仿宋" w:eastAsia="仿宋" w:cs="仿宋"/>
                <w:color w:val="auto"/>
                <w:sz w:val="22"/>
                <w:szCs w:val="22"/>
              </w:rPr>
              <w:t>。</w:t>
            </w:r>
          </w:p>
          <w:p w14:paraId="02C4E4CA">
            <w:pPr>
              <w:shd w:val="clear"/>
              <w:adjustRightInd w:val="0"/>
              <w:snapToGrid w:val="0"/>
              <w:rPr>
                <w:rFonts w:hint="eastAsia" w:ascii="仿宋" w:hAnsi="仿宋" w:eastAsia="仿宋" w:cs="仿宋"/>
                <w:color w:val="auto"/>
                <w:sz w:val="22"/>
                <w:szCs w:val="22"/>
                <w:highlight w:val="none"/>
              </w:rPr>
            </w:pPr>
            <w:r>
              <w:rPr>
                <w:rFonts w:hint="eastAsia" w:ascii="仿宋" w:hAnsi="仿宋" w:eastAsia="仿宋" w:cs="仿宋"/>
                <w:color w:val="auto"/>
                <w:sz w:val="22"/>
                <w:szCs w:val="22"/>
                <w:lang w:val="en-US" w:eastAsia="zh-CN"/>
              </w:rPr>
              <w:t>投标人投标</w:t>
            </w:r>
            <w:r>
              <w:rPr>
                <w:rFonts w:hint="eastAsia" w:ascii="仿宋" w:hAnsi="仿宋" w:eastAsia="仿宋" w:cs="仿宋"/>
                <w:color w:val="auto"/>
                <w:sz w:val="22"/>
                <w:szCs w:val="22"/>
              </w:rPr>
              <w:t>报价超出预算金额的，作为不实质性响应</w:t>
            </w:r>
            <w:r>
              <w:rPr>
                <w:rFonts w:hint="eastAsia" w:ascii="仿宋" w:hAnsi="仿宋" w:eastAsia="仿宋" w:cs="仿宋"/>
                <w:color w:val="auto"/>
                <w:sz w:val="22"/>
                <w:szCs w:val="22"/>
                <w:lang w:val="en-US" w:eastAsia="zh-CN"/>
              </w:rPr>
              <w:t>招标</w:t>
            </w:r>
            <w:r>
              <w:rPr>
                <w:rFonts w:hint="eastAsia" w:ascii="仿宋" w:hAnsi="仿宋" w:eastAsia="仿宋" w:cs="仿宋"/>
                <w:color w:val="auto"/>
                <w:sz w:val="22"/>
                <w:szCs w:val="22"/>
              </w:rPr>
              <w:t>文件，按无效</w:t>
            </w:r>
            <w:r>
              <w:rPr>
                <w:rFonts w:hint="eastAsia" w:ascii="仿宋" w:hAnsi="仿宋" w:eastAsia="仿宋" w:cs="仿宋"/>
                <w:color w:val="auto"/>
                <w:sz w:val="22"/>
                <w:szCs w:val="22"/>
                <w:lang w:val="en-US" w:eastAsia="zh-CN"/>
              </w:rPr>
              <w:t>投标</w:t>
            </w:r>
            <w:r>
              <w:rPr>
                <w:rFonts w:hint="eastAsia" w:ascii="仿宋" w:hAnsi="仿宋" w:eastAsia="仿宋" w:cs="仿宋"/>
                <w:color w:val="auto"/>
                <w:sz w:val="22"/>
                <w:szCs w:val="22"/>
              </w:rPr>
              <w:t>文件处理</w:t>
            </w:r>
            <w:r>
              <w:rPr>
                <w:rFonts w:hint="eastAsia" w:ascii="仿宋" w:hAnsi="仿宋" w:eastAsia="仿宋" w:cs="仿宋"/>
                <w:color w:val="auto"/>
                <w:sz w:val="22"/>
                <w:szCs w:val="22"/>
                <w:lang w:eastAsia="zh-CN"/>
              </w:rPr>
              <w:t>。</w:t>
            </w:r>
          </w:p>
        </w:tc>
      </w:tr>
      <w:tr w14:paraId="589D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229A0E3A">
            <w:pPr>
              <w:shd w:val="clear"/>
              <w:snapToGrid w:val="0"/>
              <w:jc w:val="center"/>
              <w:rPr>
                <w:rFonts w:hint="eastAsia" w:ascii="仿宋" w:hAnsi="仿宋" w:eastAsia="仿宋" w:cs="仿宋"/>
                <w:color w:val="auto"/>
                <w:sz w:val="22"/>
                <w:szCs w:val="22"/>
                <w:highlight w:val="none"/>
              </w:rPr>
            </w:pPr>
          </w:p>
        </w:tc>
        <w:tc>
          <w:tcPr>
            <w:tcW w:w="2017" w:type="dxa"/>
            <w:vAlign w:val="center"/>
          </w:tcPr>
          <w:p w14:paraId="0E49D03D">
            <w:pPr>
              <w:pStyle w:val="151"/>
              <w:ind w:left="38" w:leftChars="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lang w:val="zh-CN"/>
              </w:rPr>
              <w:t>最高限价</w:t>
            </w:r>
          </w:p>
        </w:tc>
        <w:tc>
          <w:tcPr>
            <w:tcW w:w="7464" w:type="dxa"/>
            <w:vAlign w:val="center"/>
          </w:tcPr>
          <w:p w14:paraId="31431F29">
            <w:pPr>
              <w:pStyle w:val="151"/>
              <w:jc w:val="both"/>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无</w:t>
            </w:r>
          </w:p>
          <w:p w14:paraId="10DBE3DA">
            <w:pPr>
              <w:shd w:val="clear"/>
              <w:adjustRightInd w:val="0"/>
              <w:snapToGrid w:val="0"/>
              <w:rPr>
                <w:rFonts w:hint="eastAsia" w:ascii="仿宋" w:hAnsi="仿宋" w:eastAsia="仿宋" w:cs="仿宋"/>
                <w:color w:val="auto"/>
                <w:sz w:val="22"/>
                <w:szCs w:val="22"/>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有，本项目最高限价：</w:t>
            </w:r>
            <w:r>
              <w:rPr>
                <w:rFonts w:hint="eastAsia" w:ascii="仿宋" w:hAnsi="仿宋" w:eastAsia="仿宋" w:cs="仿宋"/>
                <w:color w:val="auto"/>
                <w:sz w:val="22"/>
                <w:szCs w:val="22"/>
                <w:u w:val="single"/>
                <w:lang w:val="en-US" w:eastAsia="zh-CN"/>
              </w:rPr>
              <w:t>500,000.00</w:t>
            </w:r>
            <w:r>
              <w:rPr>
                <w:rFonts w:hint="eastAsia" w:ascii="仿宋" w:hAnsi="仿宋" w:eastAsia="仿宋" w:cs="仿宋"/>
                <w:color w:val="auto"/>
                <w:sz w:val="22"/>
                <w:szCs w:val="22"/>
                <w:u w:val="single"/>
              </w:rPr>
              <w:t>元</w:t>
            </w:r>
            <w:r>
              <w:rPr>
                <w:rFonts w:hint="eastAsia" w:ascii="仿宋" w:hAnsi="仿宋" w:eastAsia="仿宋" w:cs="仿宋"/>
                <w:color w:val="auto"/>
                <w:sz w:val="22"/>
                <w:szCs w:val="22"/>
              </w:rPr>
              <w:t>。</w:t>
            </w:r>
          </w:p>
          <w:p w14:paraId="5DAE67EA">
            <w:pPr>
              <w:shd w:val="clear"/>
              <w:adjustRightInd w:val="0"/>
              <w:snapToGrid w:val="0"/>
              <w:rPr>
                <w:rFonts w:hint="eastAsia" w:ascii="仿宋" w:hAnsi="仿宋" w:eastAsia="仿宋" w:cs="仿宋"/>
                <w:color w:val="auto"/>
                <w:sz w:val="22"/>
                <w:szCs w:val="22"/>
                <w:highlight w:val="none"/>
              </w:rPr>
            </w:pPr>
            <w:r>
              <w:rPr>
                <w:rFonts w:hint="eastAsia" w:ascii="仿宋" w:hAnsi="仿宋" w:eastAsia="仿宋" w:cs="仿宋"/>
                <w:color w:val="auto"/>
                <w:sz w:val="22"/>
                <w:szCs w:val="22"/>
                <w:lang w:val="en-US" w:eastAsia="zh-CN"/>
              </w:rPr>
              <w:t>投标人投标</w:t>
            </w:r>
            <w:r>
              <w:rPr>
                <w:rFonts w:hint="eastAsia" w:ascii="仿宋" w:hAnsi="仿宋" w:eastAsia="仿宋" w:cs="仿宋"/>
                <w:color w:val="auto"/>
                <w:sz w:val="22"/>
                <w:szCs w:val="22"/>
              </w:rPr>
              <w:t>报价超出最高限价的，作为不实质性响应</w:t>
            </w:r>
            <w:r>
              <w:rPr>
                <w:rFonts w:hint="eastAsia" w:ascii="仿宋" w:hAnsi="仿宋" w:eastAsia="仿宋" w:cs="仿宋"/>
                <w:color w:val="auto"/>
                <w:sz w:val="22"/>
                <w:szCs w:val="22"/>
                <w:lang w:val="en-US" w:eastAsia="zh-CN"/>
              </w:rPr>
              <w:t>招标</w:t>
            </w:r>
            <w:r>
              <w:rPr>
                <w:rFonts w:hint="eastAsia" w:ascii="仿宋" w:hAnsi="仿宋" w:eastAsia="仿宋" w:cs="仿宋"/>
                <w:color w:val="auto"/>
                <w:sz w:val="22"/>
                <w:szCs w:val="22"/>
              </w:rPr>
              <w:t>文件，按无效</w:t>
            </w:r>
            <w:r>
              <w:rPr>
                <w:rFonts w:hint="eastAsia" w:ascii="仿宋" w:hAnsi="仿宋" w:eastAsia="仿宋" w:cs="仿宋"/>
                <w:color w:val="auto"/>
                <w:sz w:val="22"/>
                <w:szCs w:val="22"/>
                <w:lang w:val="en-US" w:eastAsia="zh-CN"/>
              </w:rPr>
              <w:t>投标</w:t>
            </w:r>
            <w:r>
              <w:rPr>
                <w:rFonts w:hint="eastAsia" w:ascii="仿宋" w:hAnsi="仿宋" w:eastAsia="仿宋" w:cs="仿宋"/>
                <w:color w:val="auto"/>
                <w:sz w:val="22"/>
                <w:szCs w:val="22"/>
              </w:rPr>
              <w:t>文件处理</w:t>
            </w:r>
            <w:r>
              <w:rPr>
                <w:rFonts w:hint="eastAsia" w:ascii="仿宋" w:hAnsi="仿宋" w:eastAsia="仿宋" w:cs="仿宋"/>
                <w:color w:val="auto"/>
                <w:sz w:val="22"/>
                <w:szCs w:val="22"/>
                <w:lang w:eastAsia="zh-CN"/>
              </w:rPr>
              <w:t>。</w:t>
            </w:r>
          </w:p>
        </w:tc>
      </w:tr>
      <w:tr w14:paraId="0B86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DAB8DB1">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2017" w:type="dxa"/>
            <w:vAlign w:val="center"/>
          </w:tcPr>
          <w:p w14:paraId="44164A95">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是否专门面向中小企业采购</w:t>
            </w:r>
          </w:p>
        </w:tc>
        <w:tc>
          <w:tcPr>
            <w:tcW w:w="7464" w:type="dxa"/>
            <w:vAlign w:val="center"/>
          </w:tcPr>
          <w:p w14:paraId="455FFFE3">
            <w:pPr>
              <w:keepNext w:val="0"/>
              <w:keepLines w:val="0"/>
              <w:pageBreakBefore w:val="0"/>
              <w:shd w:val="clear"/>
              <w:kinsoku/>
              <w:wordWrap/>
              <w:overflowPunct/>
              <w:topLinePunct w:val="0"/>
              <w:autoSpaceDE/>
              <w:autoSpaceDN/>
              <w:bidi w:val="0"/>
              <w:snapToGrid w:val="0"/>
              <w:spacing w:line="288" w:lineRule="auto"/>
              <w:jc w:val="left"/>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是</w:t>
            </w:r>
          </w:p>
        </w:tc>
      </w:tr>
      <w:tr w14:paraId="49CA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3A5AA1BC">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2017" w:type="dxa"/>
            <w:vAlign w:val="center"/>
          </w:tcPr>
          <w:p w14:paraId="5F663D68">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公告媒体</w:t>
            </w:r>
          </w:p>
        </w:tc>
        <w:tc>
          <w:tcPr>
            <w:tcW w:w="7464" w:type="dxa"/>
            <w:vAlign w:val="center"/>
          </w:tcPr>
          <w:p w14:paraId="14CAD1B0">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陕西省政府采购网</w:t>
            </w:r>
          </w:p>
        </w:tc>
      </w:tr>
      <w:tr w14:paraId="612A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18" w:type="dxa"/>
            <w:vAlign w:val="center"/>
          </w:tcPr>
          <w:p w14:paraId="4652F374">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2017" w:type="dxa"/>
            <w:vAlign w:val="center"/>
          </w:tcPr>
          <w:p w14:paraId="42804DDE">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采购人</w:t>
            </w:r>
          </w:p>
        </w:tc>
        <w:tc>
          <w:tcPr>
            <w:tcW w:w="7464" w:type="dxa"/>
            <w:vAlign w:val="center"/>
          </w:tcPr>
          <w:p w14:paraId="170437DD">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lang w:val="en-US"/>
              </w:rPr>
              <w:t>：宁强县水利局</w:t>
            </w:r>
          </w:p>
          <w:p w14:paraId="0CE1C560">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lang w:val="en-US"/>
              </w:rPr>
              <w:t>地址：宁强县羌州中路与羌州南路交汇处永惠广场西南</w:t>
            </w:r>
          </w:p>
          <w:p w14:paraId="08656BFE">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auto"/>
                <w:sz w:val="22"/>
                <w:szCs w:val="22"/>
                <w:highlight w:val="none"/>
                <w:lang w:val="en-US"/>
              </w:rPr>
            </w:pPr>
            <w:r>
              <w:rPr>
                <w:rFonts w:hint="eastAsia" w:ascii="仿宋" w:hAnsi="仿宋" w:eastAsia="仿宋" w:cs="仿宋"/>
                <w:color w:val="auto"/>
                <w:sz w:val="22"/>
                <w:szCs w:val="22"/>
                <w:highlight w:val="none"/>
                <w:lang w:val="en-US"/>
              </w:rPr>
              <w:t>联系方式：0916-4229337</w:t>
            </w:r>
          </w:p>
        </w:tc>
      </w:tr>
      <w:tr w14:paraId="324E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18" w:type="dxa"/>
            <w:vAlign w:val="center"/>
          </w:tcPr>
          <w:p w14:paraId="3C56BB9B">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2017" w:type="dxa"/>
            <w:vAlign w:val="center"/>
          </w:tcPr>
          <w:p w14:paraId="5FCD80E1">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采购代理机构</w:t>
            </w:r>
          </w:p>
        </w:tc>
        <w:tc>
          <w:tcPr>
            <w:tcW w:w="7464" w:type="dxa"/>
            <w:vAlign w:val="center"/>
          </w:tcPr>
          <w:p w14:paraId="3C83C24D">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采购代理机构名称：陕西汉正项目管理有限公司</w:t>
            </w:r>
          </w:p>
          <w:p w14:paraId="4664DD1E">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地址：汉中市汉台区西一环路蓝天御苑小区商铺二层门面房北侧</w:t>
            </w:r>
          </w:p>
          <w:p w14:paraId="40FAE2D5">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联系方式：0916-8116996</w:t>
            </w:r>
          </w:p>
        </w:tc>
      </w:tr>
      <w:tr w14:paraId="3FEB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18" w:type="dxa"/>
            <w:vAlign w:val="center"/>
          </w:tcPr>
          <w:p w14:paraId="0753CBA9">
            <w:pPr>
              <w:shd w:val="clea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2017" w:type="dxa"/>
            <w:vAlign w:val="center"/>
          </w:tcPr>
          <w:p w14:paraId="424212D4">
            <w:pPr>
              <w:shd w:val="clear"/>
              <w:snapToGrid w:val="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采购方式</w:t>
            </w:r>
          </w:p>
        </w:tc>
        <w:tc>
          <w:tcPr>
            <w:tcW w:w="7464" w:type="dxa"/>
            <w:vAlign w:val="center"/>
          </w:tcPr>
          <w:p w14:paraId="63747222">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公开招标</w:t>
            </w:r>
          </w:p>
        </w:tc>
      </w:tr>
      <w:tr w14:paraId="78E0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190FBA0B">
            <w:pPr>
              <w:pStyle w:val="38"/>
              <w:shd w:val="clear"/>
              <w:spacing w:before="0" w:beforeAutospacing="0" w:after="0" w:afterAutospacing="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2017" w:type="dxa"/>
            <w:vAlign w:val="center"/>
          </w:tcPr>
          <w:p w14:paraId="65F38639">
            <w:pPr>
              <w:pStyle w:val="151"/>
              <w:ind w:left="38" w:leftChars="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lang w:val="zh-CN"/>
              </w:rPr>
              <w:t>采购内容</w:t>
            </w:r>
          </w:p>
        </w:tc>
        <w:tc>
          <w:tcPr>
            <w:tcW w:w="7464" w:type="dxa"/>
            <w:vAlign w:val="center"/>
          </w:tcPr>
          <w:p w14:paraId="6121F003">
            <w:pPr>
              <w:pStyle w:val="151"/>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见</w:t>
            </w:r>
            <w:r>
              <w:rPr>
                <w:rFonts w:hint="eastAsia" w:ascii="仿宋" w:hAnsi="仿宋" w:eastAsia="仿宋" w:cs="仿宋"/>
                <w:color w:val="auto"/>
                <w:sz w:val="22"/>
                <w:szCs w:val="22"/>
                <w:highlight w:val="none"/>
                <w:lang w:val="en-US" w:eastAsia="zh-CN"/>
              </w:rPr>
              <w:t>招标</w:t>
            </w:r>
            <w:r>
              <w:rPr>
                <w:rFonts w:hint="eastAsia" w:ascii="仿宋" w:hAnsi="仿宋" w:eastAsia="仿宋" w:cs="仿宋"/>
                <w:color w:val="auto"/>
                <w:sz w:val="22"/>
                <w:szCs w:val="22"/>
                <w:highlight w:val="none"/>
                <w:lang w:val="zh-CN"/>
              </w:rPr>
              <w:t>文件第</w:t>
            </w:r>
            <w:r>
              <w:rPr>
                <w:rFonts w:hint="eastAsia" w:ascii="仿宋" w:hAnsi="仿宋" w:eastAsia="仿宋" w:cs="仿宋"/>
                <w:color w:val="auto"/>
                <w:sz w:val="22"/>
                <w:szCs w:val="22"/>
                <w:highlight w:val="none"/>
                <w:lang w:val="en-US" w:eastAsia="zh-CN"/>
              </w:rPr>
              <w:t>三</w:t>
            </w:r>
            <w:r>
              <w:rPr>
                <w:rFonts w:hint="eastAsia" w:ascii="仿宋" w:hAnsi="仿宋" w:eastAsia="仿宋" w:cs="仿宋"/>
                <w:color w:val="auto"/>
                <w:sz w:val="22"/>
                <w:szCs w:val="22"/>
                <w:highlight w:val="none"/>
                <w:lang w:val="zh-CN"/>
              </w:rPr>
              <w:t>章</w:t>
            </w:r>
          </w:p>
        </w:tc>
      </w:tr>
      <w:tr w14:paraId="2AFF9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06AC0B93">
            <w:pPr>
              <w:pStyle w:val="38"/>
              <w:shd w:val="clear"/>
              <w:spacing w:before="0" w:beforeAutospacing="0" w:after="0" w:afterAutospacing="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2017" w:type="dxa"/>
            <w:vAlign w:val="center"/>
          </w:tcPr>
          <w:p w14:paraId="6DDDC1DA">
            <w:pPr>
              <w:pStyle w:val="151"/>
              <w:ind w:left="38" w:leftChars="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lang w:val="zh-CN"/>
              </w:rPr>
              <w:t>是否采购进口产品</w:t>
            </w:r>
          </w:p>
        </w:tc>
        <w:tc>
          <w:tcPr>
            <w:tcW w:w="7464" w:type="dxa"/>
            <w:vAlign w:val="center"/>
          </w:tcPr>
          <w:p w14:paraId="48ADF954">
            <w:pPr>
              <w:pStyle w:val="151"/>
              <w:jc w:val="both"/>
              <w:rPr>
                <w:rFonts w:hint="eastAsia" w:ascii="仿宋" w:hAnsi="仿宋" w:eastAsia="仿宋" w:cs="仿宋"/>
                <w:color w:val="auto"/>
                <w:sz w:val="22"/>
                <w:szCs w:val="22"/>
              </w:rPr>
            </w:pPr>
            <w:r>
              <w:rPr>
                <w:rFonts w:hint="eastAsia" w:ascii="仿宋" w:hAnsi="仿宋" w:eastAsia="仿宋" w:cs="仿宋"/>
                <w:color w:val="auto"/>
                <w:sz w:val="22"/>
                <w:szCs w:val="22"/>
              </w:rPr>
              <w:t>☑否</w:t>
            </w:r>
          </w:p>
          <w:p w14:paraId="12064AF6">
            <w:pPr>
              <w:adjustRightInd w:val="0"/>
              <w:snapToGrid w:val="0"/>
              <w:rPr>
                <w:rFonts w:hint="eastAsia" w:ascii="仿宋" w:hAnsi="仿宋" w:eastAsia="仿宋" w:cs="仿宋"/>
                <w:color w:val="auto"/>
                <w:sz w:val="22"/>
                <w:szCs w:val="22"/>
                <w:highlight w:val="none"/>
              </w:rPr>
            </w:pPr>
            <w:r>
              <w:rPr>
                <w:rFonts w:hint="eastAsia" w:ascii="仿宋" w:hAnsi="仿宋" w:eastAsia="仿宋" w:cs="仿宋"/>
                <w:color w:val="auto"/>
                <w:sz w:val="22"/>
                <w:szCs w:val="22"/>
              </w:rPr>
              <w:t>□是，</w:t>
            </w:r>
            <w:r>
              <w:rPr>
                <w:rFonts w:hint="eastAsia" w:ascii="仿宋" w:hAnsi="仿宋" w:eastAsia="仿宋" w:cs="仿宋"/>
                <w:color w:val="auto"/>
                <w:kern w:val="0"/>
                <w:sz w:val="22"/>
                <w:szCs w:val="22"/>
              </w:rPr>
              <w:t>不限制满足</w:t>
            </w:r>
            <w:r>
              <w:rPr>
                <w:rFonts w:hint="eastAsia" w:ascii="仿宋" w:hAnsi="仿宋" w:eastAsia="仿宋" w:cs="仿宋"/>
                <w:color w:val="auto"/>
                <w:kern w:val="0"/>
                <w:sz w:val="22"/>
                <w:szCs w:val="22"/>
                <w:lang w:val="en-US" w:eastAsia="zh-CN"/>
              </w:rPr>
              <w:t>招标</w:t>
            </w:r>
            <w:r>
              <w:rPr>
                <w:rFonts w:hint="eastAsia" w:ascii="仿宋" w:hAnsi="仿宋" w:eastAsia="仿宋" w:cs="仿宋"/>
                <w:color w:val="auto"/>
                <w:kern w:val="0"/>
                <w:sz w:val="22"/>
                <w:szCs w:val="22"/>
              </w:rPr>
              <w:t>文件要求的国内产品参与</w:t>
            </w:r>
            <w:r>
              <w:rPr>
                <w:rFonts w:hint="eastAsia" w:ascii="仿宋" w:hAnsi="仿宋" w:eastAsia="仿宋" w:cs="仿宋"/>
                <w:color w:val="auto"/>
                <w:kern w:val="0"/>
                <w:sz w:val="22"/>
                <w:szCs w:val="22"/>
                <w:lang w:val="en-US" w:eastAsia="zh-CN"/>
              </w:rPr>
              <w:t>投标</w:t>
            </w:r>
            <w:r>
              <w:rPr>
                <w:rFonts w:hint="eastAsia" w:ascii="仿宋" w:hAnsi="仿宋" w:eastAsia="仿宋" w:cs="仿宋"/>
                <w:color w:val="auto"/>
                <w:kern w:val="0"/>
                <w:sz w:val="22"/>
                <w:szCs w:val="22"/>
              </w:rPr>
              <w:t>竞争</w:t>
            </w:r>
          </w:p>
        </w:tc>
      </w:tr>
      <w:tr w14:paraId="34AB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18" w:type="dxa"/>
            <w:vAlign w:val="center"/>
          </w:tcPr>
          <w:p w14:paraId="001481EC">
            <w:pPr>
              <w:pStyle w:val="38"/>
              <w:shd w:val="clear"/>
              <w:spacing w:before="0" w:beforeAutospacing="0" w:after="0" w:afterAutospacing="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2017" w:type="dxa"/>
            <w:vAlign w:val="center"/>
          </w:tcPr>
          <w:p w14:paraId="4D5AC8DD">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交货期</w:t>
            </w:r>
          </w:p>
        </w:tc>
        <w:tc>
          <w:tcPr>
            <w:tcW w:w="7464" w:type="dxa"/>
            <w:vAlign w:val="center"/>
          </w:tcPr>
          <w:p w14:paraId="1AA52342">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2024-2025年度（按采购人需求进行供货）</w:t>
            </w:r>
          </w:p>
        </w:tc>
      </w:tr>
      <w:tr w14:paraId="5D44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8" w:type="dxa"/>
            <w:vAlign w:val="center"/>
          </w:tcPr>
          <w:p w14:paraId="32001A25">
            <w:pPr>
              <w:pStyle w:val="38"/>
              <w:shd w:val="clear"/>
              <w:spacing w:before="0" w:beforeAutospacing="0" w:after="0" w:afterAutospacing="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2017" w:type="dxa"/>
            <w:vAlign w:val="center"/>
          </w:tcPr>
          <w:p w14:paraId="37E41438">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交付地点</w:t>
            </w:r>
          </w:p>
        </w:tc>
        <w:tc>
          <w:tcPr>
            <w:tcW w:w="7464" w:type="dxa"/>
            <w:vAlign w:val="center"/>
          </w:tcPr>
          <w:p w14:paraId="45EB6362">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采购人指定地点</w:t>
            </w:r>
          </w:p>
        </w:tc>
      </w:tr>
      <w:tr w14:paraId="64B57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6250096A">
            <w:pPr>
              <w:pStyle w:val="38"/>
              <w:shd w:val="clear"/>
              <w:spacing w:before="0" w:beforeAutospacing="0" w:after="0" w:afterAutospacing="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w:t>
            </w:r>
          </w:p>
        </w:tc>
        <w:tc>
          <w:tcPr>
            <w:tcW w:w="2017" w:type="dxa"/>
            <w:vAlign w:val="center"/>
          </w:tcPr>
          <w:p w14:paraId="02AAB04A">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质保期</w:t>
            </w:r>
          </w:p>
        </w:tc>
        <w:tc>
          <w:tcPr>
            <w:tcW w:w="7464" w:type="dxa"/>
            <w:vAlign w:val="center"/>
          </w:tcPr>
          <w:p w14:paraId="5276D408">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1年</w:t>
            </w:r>
          </w:p>
        </w:tc>
      </w:tr>
      <w:tr w14:paraId="2D83C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508BD0BE">
            <w:pPr>
              <w:pStyle w:val="38"/>
              <w:shd w:val="clear"/>
              <w:spacing w:before="0" w:beforeAutospacing="0" w:after="0" w:afterAutospacing="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w:t>
            </w:r>
          </w:p>
        </w:tc>
        <w:tc>
          <w:tcPr>
            <w:tcW w:w="2017" w:type="dxa"/>
            <w:vAlign w:val="center"/>
          </w:tcPr>
          <w:p w14:paraId="59D1A7C7">
            <w:pPr>
              <w:pStyle w:val="151"/>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lang w:val="zh-CN"/>
              </w:rPr>
              <w:t>其他</w:t>
            </w:r>
          </w:p>
        </w:tc>
        <w:tc>
          <w:tcPr>
            <w:tcW w:w="7464" w:type="dxa"/>
            <w:vAlign w:val="center"/>
          </w:tcPr>
          <w:p w14:paraId="6021339B">
            <w:pPr>
              <w:pStyle w:val="57"/>
              <w:shd w:val="clear"/>
              <w:spacing w:line="240" w:lineRule="auto"/>
              <w:jc w:val="left"/>
              <w:rPr>
                <w:rFonts w:hint="eastAsia" w:ascii="仿宋" w:hAnsi="仿宋" w:eastAsia="仿宋" w:cs="仿宋"/>
                <w:color w:val="auto"/>
                <w:kern w:val="2"/>
                <w:sz w:val="22"/>
                <w:szCs w:val="22"/>
                <w:u w:val="single"/>
                <w:lang w:val="en-US" w:eastAsia="zh-CN" w:bidi="ar-SA"/>
              </w:rPr>
            </w:pPr>
            <w:r>
              <w:rPr>
                <w:rFonts w:hint="eastAsia" w:ascii="仿宋" w:hAnsi="仿宋" w:eastAsia="仿宋" w:cs="仿宋"/>
                <w:color w:val="auto"/>
                <w:kern w:val="2"/>
                <w:sz w:val="22"/>
                <w:szCs w:val="22"/>
                <w:lang w:val="en-US" w:eastAsia="zh-CN" w:bidi="ar-SA"/>
              </w:rPr>
              <w:t>本项目采购标的所属行业为：</w:t>
            </w:r>
            <w:r>
              <w:rPr>
                <w:rFonts w:hint="eastAsia" w:ascii="仿宋" w:hAnsi="仿宋" w:eastAsia="仿宋" w:cs="仿宋"/>
                <w:color w:val="auto"/>
                <w:kern w:val="2"/>
                <w:sz w:val="22"/>
                <w:szCs w:val="22"/>
                <w:u w:val="single"/>
                <w:lang w:val="en-US" w:eastAsia="zh-CN" w:bidi="ar-SA"/>
              </w:rPr>
              <w:t>工业</w:t>
            </w:r>
          </w:p>
          <w:p w14:paraId="7F1CDAED">
            <w:pPr>
              <w:spacing w:line="340" w:lineRule="exact"/>
              <w:ind w:right="105" w:rightChars="50"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lang w:val="en-US" w:eastAsia="zh-CN" w:bidi="ar-SA"/>
              </w:rPr>
              <w:t>（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2AE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063A3F55">
            <w:pPr>
              <w:pStyle w:val="38"/>
              <w:shd w:val="clear"/>
              <w:spacing w:before="0" w:beforeAutospacing="0" w:after="0" w:afterAutospacing="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15</w:t>
            </w:r>
          </w:p>
        </w:tc>
        <w:tc>
          <w:tcPr>
            <w:tcW w:w="2017" w:type="dxa"/>
            <w:vAlign w:val="center"/>
          </w:tcPr>
          <w:p w14:paraId="0F8468F1">
            <w:pPr>
              <w:pStyle w:val="38"/>
              <w:shd w:val="clear"/>
              <w:spacing w:before="0" w:beforeAutospacing="0" w:after="0" w:afterAutospacing="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构成招标文件的其他材料</w:t>
            </w:r>
          </w:p>
        </w:tc>
        <w:tc>
          <w:tcPr>
            <w:tcW w:w="7464" w:type="dxa"/>
            <w:vAlign w:val="center"/>
          </w:tcPr>
          <w:p w14:paraId="1F0467D8">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招标变更、答疑文件等相关材料</w:t>
            </w:r>
          </w:p>
        </w:tc>
      </w:tr>
      <w:tr w14:paraId="189B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0F94782D">
            <w:pPr>
              <w:pStyle w:val="38"/>
              <w:shd w:val="clear"/>
              <w:spacing w:before="0" w:beforeAutospacing="0" w:after="0" w:afterAutospacing="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16</w:t>
            </w:r>
          </w:p>
        </w:tc>
        <w:tc>
          <w:tcPr>
            <w:tcW w:w="2017" w:type="dxa"/>
            <w:vAlign w:val="center"/>
          </w:tcPr>
          <w:p w14:paraId="3309150A">
            <w:pPr>
              <w:pStyle w:val="38"/>
              <w:shd w:val="clear"/>
              <w:spacing w:before="0" w:beforeAutospacing="0" w:after="0" w:afterAutospacing="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投标人要求澄清招标文件的截止时间</w:t>
            </w:r>
          </w:p>
        </w:tc>
        <w:tc>
          <w:tcPr>
            <w:tcW w:w="7464" w:type="dxa"/>
            <w:vAlign w:val="center"/>
          </w:tcPr>
          <w:p w14:paraId="0DD86962">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投标截止时间10天前</w:t>
            </w:r>
          </w:p>
        </w:tc>
      </w:tr>
      <w:tr w14:paraId="2F74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718" w:type="dxa"/>
            <w:vAlign w:val="center"/>
          </w:tcPr>
          <w:p w14:paraId="15C02C0E">
            <w:pPr>
              <w:pStyle w:val="38"/>
              <w:shd w:val="clear"/>
              <w:spacing w:before="0" w:beforeAutospacing="0" w:after="0" w:afterAutospacing="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17</w:t>
            </w:r>
          </w:p>
        </w:tc>
        <w:tc>
          <w:tcPr>
            <w:tcW w:w="2017" w:type="dxa"/>
            <w:vAlign w:val="center"/>
          </w:tcPr>
          <w:p w14:paraId="5A337B5C">
            <w:pPr>
              <w:pStyle w:val="38"/>
              <w:shd w:val="clear"/>
              <w:spacing w:before="0" w:beforeAutospacing="0" w:after="0" w:afterAutospacing="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投标人确认收到招标文件澄清的时间</w:t>
            </w:r>
          </w:p>
        </w:tc>
        <w:tc>
          <w:tcPr>
            <w:tcW w:w="7464" w:type="dxa"/>
            <w:vAlign w:val="center"/>
          </w:tcPr>
          <w:p w14:paraId="683ECFAA">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招标文件澄清发出后24小时以内</w:t>
            </w:r>
          </w:p>
        </w:tc>
      </w:tr>
      <w:tr w14:paraId="1C99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406DD811">
            <w:pPr>
              <w:pStyle w:val="38"/>
              <w:shd w:val="clear"/>
              <w:spacing w:before="0" w:beforeAutospacing="0" w:after="0" w:afterAutospacing="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18</w:t>
            </w:r>
          </w:p>
        </w:tc>
        <w:tc>
          <w:tcPr>
            <w:tcW w:w="2017" w:type="dxa"/>
            <w:vAlign w:val="center"/>
          </w:tcPr>
          <w:p w14:paraId="6B9DDDE4">
            <w:pPr>
              <w:pStyle w:val="38"/>
              <w:shd w:val="clear"/>
              <w:spacing w:before="0" w:beforeAutospacing="0" w:after="0" w:afterAutospacing="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投标人确认收到招标文件修改的时间</w:t>
            </w:r>
          </w:p>
        </w:tc>
        <w:tc>
          <w:tcPr>
            <w:tcW w:w="7464" w:type="dxa"/>
            <w:vAlign w:val="center"/>
          </w:tcPr>
          <w:p w14:paraId="23C0079F">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招标文件修改发出后24小时以内</w:t>
            </w:r>
          </w:p>
        </w:tc>
      </w:tr>
      <w:tr w14:paraId="47A6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6298ABEA">
            <w:pPr>
              <w:pStyle w:val="38"/>
              <w:shd w:val="clear"/>
              <w:spacing w:before="0" w:beforeAutospacing="0" w:after="0" w:afterAutospacing="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19</w:t>
            </w:r>
          </w:p>
        </w:tc>
        <w:tc>
          <w:tcPr>
            <w:tcW w:w="2017" w:type="dxa"/>
            <w:vAlign w:val="center"/>
          </w:tcPr>
          <w:p w14:paraId="74F00D8B">
            <w:pPr>
              <w:pStyle w:val="38"/>
              <w:shd w:val="clear"/>
              <w:spacing w:before="0" w:beforeAutospacing="0" w:after="0" w:afterAutospacing="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构成投标文件的其他材料</w:t>
            </w:r>
          </w:p>
        </w:tc>
        <w:tc>
          <w:tcPr>
            <w:tcW w:w="7464" w:type="dxa"/>
            <w:vAlign w:val="center"/>
          </w:tcPr>
          <w:p w14:paraId="4A9F5493">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投标人按照招标文件的要求认为有利于投标的材料</w:t>
            </w:r>
          </w:p>
        </w:tc>
      </w:tr>
      <w:tr w14:paraId="1E9A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5C5B4E77">
            <w:pPr>
              <w:pStyle w:val="38"/>
              <w:shd w:val="clear"/>
              <w:spacing w:before="0" w:beforeAutospacing="0" w:after="0" w:afterAutospacing="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c>
          <w:tcPr>
            <w:tcW w:w="2017" w:type="dxa"/>
            <w:vAlign w:val="center"/>
          </w:tcPr>
          <w:p w14:paraId="4EBDB448">
            <w:pPr>
              <w:pStyle w:val="38"/>
              <w:shd w:val="clear"/>
              <w:spacing w:before="0" w:beforeAutospacing="0" w:after="0" w:afterAutospacing="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投标文件有效期</w:t>
            </w:r>
          </w:p>
        </w:tc>
        <w:tc>
          <w:tcPr>
            <w:tcW w:w="7464" w:type="dxa"/>
            <w:vAlign w:val="center"/>
          </w:tcPr>
          <w:p w14:paraId="53AB33F6">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投标文件有效期为自开标之日起算90天</w:t>
            </w:r>
          </w:p>
        </w:tc>
      </w:tr>
      <w:tr w14:paraId="60A6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18" w:type="dxa"/>
            <w:vAlign w:val="center"/>
          </w:tcPr>
          <w:p w14:paraId="38645F7C">
            <w:pPr>
              <w:pStyle w:val="38"/>
              <w:shd w:val="clear"/>
              <w:spacing w:before="0" w:beforeAutospacing="0" w:after="0" w:afterAutospacing="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21</w:t>
            </w:r>
          </w:p>
        </w:tc>
        <w:tc>
          <w:tcPr>
            <w:tcW w:w="2017" w:type="dxa"/>
            <w:vAlign w:val="center"/>
          </w:tcPr>
          <w:p w14:paraId="72E02C18">
            <w:pPr>
              <w:pStyle w:val="38"/>
              <w:shd w:val="clear"/>
              <w:spacing w:before="0" w:beforeAutospacing="0" w:after="0" w:afterAutospacing="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现场踏勘</w:t>
            </w:r>
          </w:p>
        </w:tc>
        <w:tc>
          <w:tcPr>
            <w:tcW w:w="7464" w:type="dxa"/>
            <w:vAlign w:val="center"/>
          </w:tcPr>
          <w:p w14:paraId="772FCB89">
            <w:pPr>
              <w:pStyle w:val="38"/>
              <w:keepNext w:val="0"/>
              <w:keepLines w:val="0"/>
              <w:pageBreakBefore w:val="0"/>
              <w:shd w:val="clear"/>
              <w:kinsoku/>
              <w:wordWrap/>
              <w:overflowPunct/>
              <w:topLinePunct w:val="0"/>
              <w:autoSpaceDE/>
              <w:autoSpaceDN/>
              <w:bidi w:val="0"/>
              <w:spacing w:before="0" w:beforeAutospacing="0" w:after="0" w:afterAutospacing="0"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本项目投标人可自行踏勘（采购代理机构不统一组织），各</w:t>
            </w:r>
            <w:r>
              <w:rPr>
                <w:rFonts w:hint="eastAsia" w:ascii="仿宋" w:hAnsi="仿宋" w:eastAsia="仿宋" w:cs="仿宋"/>
                <w:color w:val="auto"/>
                <w:sz w:val="22"/>
                <w:szCs w:val="22"/>
                <w:highlight w:val="none"/>
                <w:lang w:eastAsia="zh-CN"/>
              </w:rPr>
              <w:t>投标人</w:t>
            </w:r>
            <w:r>
              <w:rPr>
                <w:rFonts w:hint="eastAsia" w:ascii="仿宋" w:hAnsi="仿宋" w:eastAsia="仿宋" w:cs="仿宋"/>
                <w:color w:val="auto"/>
                <w:sz w:val="22"/>
                <w:szCs w:val="22"/>
                <w:highlight w:val="none"/>
              </w:rPr>
              <w:t>根据采购内容及要求并结合自身情况选择是否进行踏勘活动，因现场勘查不准确造成的方案及报价偏差后果由投标人自行承担。</w:t>
            </w:r>
          </w:p>
        </w:tc>
      </w:tr>
      <w:tr w14:paraId="755A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18" w:type="dxa"/>
            <w:vAlign w:val="center"/>
          </w:tcPr>
          <w:p w14:paraId="5BC8D51E">
            <w:pPr>
              <w:shd w:val="clea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22</w:t>
            </w:r>
          </w:p>
        </w:tc>
        <w:tc>
          <w:tcPr>
            <w:tcW w:w="2017" w:type="dxa"/>
            <w:vAlign w:val="center"/>
          </w:tcPr>
          <w:p w14:paraId="20389F04">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投标保证金</w:t>
            </w:r>
          </w:p>
        </w:tc>
        <w:tc>
          <w:tcPr>
            <w:tcW w:w="7464" w:type="dxa"/>
            <w:vAlign w:val="center"/>
          </w:tcPr>
          <w:p w14:paraId="65F3282B">
            <w:pPr>
              <w:widowControl/>
              <w:wordWrap/>
              <w:spacing w:line="360" w:lineRule="atLeast"/>
              <w:ind w:left="38"/>
              <w:jc w:val="left"/>
              <w:rPr>
                <w:rFonts w:ascii="仿宋" w:hAnsi="仿宋" w:eastAsia="仿宋" w:cs="仿宋"/>
                <w:color w:val="auto"/>
                <w:sz w:val="22"/>
                <w:szCs w:val="22"/>
                <w:lang w:eastAsia="zh-CN"/>
              </w:rPr>
            </w:pPr>
            <w:r>
              <w:rPr>
                <w:rFonts w:hint="eastAsia" w:ascii="仿宋" w:hAnsi="仿宋" w:eastAsia="仿宋" w:cs="仿宋"/>
                <w:color w:val="auto"/>
                <w:sz w:val="22"/>
                <w:szCs w:val="22"/>
                <w:lang w:val="en-US" w:eastAsia="zh-CN"/>
              </w:rPr>
              <w:t>投标</w:t>
            </w:r>
            <w:r>
              <w:rPr>
                <w:rFonts w:hint="eastAsia" w:ascii="仿宋" w:hAnsi="仿宋" w:eastAsia="仿宋" w:cs="仿宋"/>
                <w:color w:val="auto"/>
                <w:sz w:val="22"/>
                <w:szCs w:val="22"/>
                <w:lang w:eastAsia="zh-CN"/>
              </w:rPr>
              <w:t>保证金金额：</w:t>
            </w:r>
            <w:r>
              <w:rPr>
                <w:rFonts w:hint="eastAsia" w:ascii="仿宋" w:hAnsi="仿宋" w:eastAsia="仿宋" w:cs="仿宋"/>
                <w:color w:val="auto"/>
                <w:sz w:val="22"/>
                <w:szCs w:val="22"/>
                <w:lang w:val="en-US" w:eastAsia="zh-CN"/>
              </w:rPr>
              <w:t>伍仟</w:t>
            </w:r>
            <w:r>
              <w:rPr>
                <w:rFonts w:hint="eastAsia" w:ascii="仿宋" w:hAnsi="仿宋" w:eastAsia="仿宋" w:cs="仿宋"/>
                <w:color w:val="auto"/>
                <w:sz w:val="22"/>
                <w:szCs w:val="22"/>
                <w:lang w:eastAsia="zh-CN"/>
              </w:rPr>
              <w:t>元整（</w:t>
            </w:r>
            <w:r>
              <w:rPr>
                <w:rFonts w:hint="default" w:ascii="Arial" w:hAnsi="Arial" w:eastAsia="仿宋" w:cs="Arial"/>
                <w:color w:val="auto"/>
                <w:sz w:val="22"/>
                <w:szCs w:val="22"/>
                <w:lang w:eastAsia="zh-CN"/>
              </w:rPr>
              <w:t>¥</w:t>
            </w:r>
            <w:r>
              <w:rPr>
                <w:rFonts w:hint="eastAsia" w:ascii="仿宋" w:hAnsi="仿宋" w:eastAsia="仿宋" w:cs="仿宋"/>
                <w:color w:val="auto"/>
                <w:sz w:val="22"/>
                <w:szCs w:val="22"/>
                <w:lang w:val="en-US" w:eastAsia="zh-CN"/>
              </w:rPr>
              <w:t>5000</w:t>
            </w:r>
            <w:r>
              <w:rPr>
                <w:rFonts w:hint="eastAsia" w:ascii="仿宋" w:hAnsi="仿宋" w:eastAsia="仿宋" w:cs="仿宋"/>
                <w:color w:val="auto"/>
                <w:sz w:val="22"/>
                <w:szCs w:val="22"/>
                <w:lang w:eastAsia="zh-CN"/>
              </w:rPr>
              <w:t>.00）</w:t>
            </w:r>
          </w:p>
          <w:p w14:paraId="4C44FCBF">
            <w:pPr>
              <w:widowControl/>
              <w:wordWrap/>
              <w:spacing w:line="360" w:lineRule="atLeast"/>
              <w:ind w:left="38"/>
              <w:jc w:val="left"/>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保证金收款单位：陕西汉正项目管理有限公司</w:t>
            </w:r>
          </w:p>
          <w:p w14:paraId="105810EE">
            <w:pPr>
              <w:widowControl/>
              <w:wordWrap/>
              <w:spacing w:line="360" w:lineRule="atLeast"/>
              <w:ind w:left="38"/>
              <w:jc w:val="left"/>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开户行：中国建设银行股份有限公司西安科技二路支行</w:t>
            </w:r>
          </w:p>
          <w:p w14:paraId="394C6DEA">
            <w:pPr>
              <w:widowControl/>
              <w:wordWrap/>
              <w:spacing w:line="360" w:lineRule="atLeast"/>
              <w:ind w:left="38"/>
              <w:jc w:val="left"/>
              <w:rPr>
                <w:rFonts w:ascii="仿宋" w:hAnsi="仿宋" w:eastAsia="仿宋" w:cs="仿宋"/>
                <w:color w:val="auto"/>
                <w:sz w:val="22"/>
                <w:szCs w:val="22"/>
                <w:lang w:eastAsia="zh-CN"/>
              </w:rPr>
            </w:pPr>
            <w:r>
              <w:rPr>
                <w:rFonts w:hint="eastAsia" w:ascii="仿宋" w:hAnsi="仿宋" w:eastAsia="仿宋" w:cs="仿宋"/>
                <w:color w:val="auto"/>
                <w:sz w:val="22"/>
                <w:szCs w:val="22"/>
                <w:lang w:eastAsia="zh-CN"/>
              </w:rPr>
              <w:t>账号：6105 0110 7710 0000 0926</w:t>
            </w:r>
          </w:p>
          <w:p w14:paraId="63C3CE6E">
            <w:pPr>
              <w:widowControl/>
              <w:wordWrap/>
              <w:spacing w:line="360" w:lineRule="atLeast"/>
              <w:ind w:left="38" w:firstLine="442" w:firstLineChars="200"/>
              <w:jc w:val="left"/>
              <w:rPr>
                <w:rFonts w:ascii="仿宋" w:hAnsi="仿宋" w:eastAsia="仿宋" w:cs="仿宋"/>
                <w:b/>
                <w:bCs/>
                <w:color w:val="auto"/>
                <w:sz w:val="22"/>
                <w:szCs w:val="22"/>
                <w:lang w:eastAsia="zh-CN"/>
              </w:rPr>
            </w:pPr>
            <w:r>
              <w:rPr>
                <w:rFonts w:hint="eastAsia" w:ascii="仿宋" w:hAnsi="仿宋" w:eastAsia="仿宋" w:cs="仿宋"/>
                <w:b/>
                <w:bCs/>
                <w:color w:val="auto"/>
                <w:sz w:val="22"/>
                <w:szCs w:val="22"/>
                <w:lang w:val="en-US" w:eastAsia="zh-CN"/>
              </w:rPr>
              <w:t>投标</w:t>
            </w:r>
            <w:r>
              <w:rPr>
                <w:rFonts w:hint="eastAsia" w:ascii="仿宋" w:hAnsi="仿宋" w:eastAsia="仿宋" w:cs="仿宋"/>
                <w:b/>
                <w:bCs/>
                <w:color w:val="auto"/>
                <w:sz w:val="22"/>
                <w:szCs w:val="22"/>
                <w:lang w:eastAsia="zh-CN"/>
              </w:rPr>
              <w:t>保证金应在</w:t>
            </w:r>
            <w:r>
              <w:rPr>
                <w:rFonts w:hint="eastAsia" w:ascii="仿宋" w:hAnsi="仿宋" w:eastAsia="仿宋" w:cs="仿宋"/>
                <w:b/>
                <w:bCs/>
                <w:color w:val="auto"/>
                <w:sz w:val="22"/>
                <w:szCs w:val="22"/>
                <w:lang w:val="en-US" w:eastAsia="zh-CN"/>
              </w:rPr>
              <w:t>投标</w:t>
            </w:r>
            <w:r>
              <w:rPr>
                <w:rFonts w:hint="eastAsia" w:ascii="仿宋" w:hAnsi="仿宋" w:eastAsia="仿宋" w:cs="仿宋"/>
                <w:b/>
                <w:bCs/>
                <w:color w:val="auto"/>
                <w:sz w:val="22"/>
                <w:szCs w:val="22"/>
                <w:lang w:eastAsia="zh-CN"/>
              </w:rPr>
              <w:t>截止时间前，由</w:t>
            </w:r>
            <w:r>
              <w:rPr>
                <w:rFonts w:hint="eastAsia" w:ascii="仿宋" w:hAnsi="仿宋" w:eastAsia="仿宋" w:cs="仿宋"/>
                <w:b/>
                <w:bCs/>
                <w:color w:val="auto"/>
                <w:sz w:val="22"/>
                <w:szCs w:val="22"/>
                <w:lang w:val="en-US" w:eastAsia="zh-CN"/>
              </w:rPr>
              <w:t>投标人</w:t>
            </w:r>
            <w:r>
              <w:rPr>
                <w:rFonts w:hint="eastAsia" w:ascii="仿宋" w:hAnsi="仿宋" w:eastAsia="仿宋" w:cs="仿宋"/>
                <w:b/>
                <w:bCs/>
                <w:color w:val="auto"/>
                <w:sz w:val="22"/>
                <w:szCs w:val="22"/>
                <w:lang w:eastAsia="zh-CN"/>
              </w:rPr>
              <w:t>以银行转账、电汇、保函的形式足额缴纳，</w:t>
            </w:r>
            <w:r>
              <w:rPr>
                <w:rFonts w:hint="eastAsia" w:ascii="仿宋" w:hAnsi="仿宋" w:eastAsia="仿宋" w:cs="仿宋"/>
                <w:b/>
                <w:bCs/>
                <w:color w:val="auto"/>
                <w:sz w:val="22"/>
                <w:szCs w:val="22"/>
                <w:lang w:val="en-US" w:eastAsia="zh-CN"/>
              </w:rPr>
              <w:t>投标</w:t>
            </w:r>
            <w:r>
              <w:rPr>
                <w:rFonts w:hint="eastAsia" w:ascii="仿宋" w:hAnsi="仿宋" w:eastAsia="仿宋" w:cs="仿宋"/>
                <w:b/>
                <w:bCs/>
                <w:color w:val="auto"/>
                <w:sz w:val="22"/>
                <w:szCs w:val="22"/>
                <w:lang w:eastAsia="zh-CN"/>
              </w:rPr>
              <w:t>保证金不接受现金形式，</w:t>
            </w:r>
            <w:r>
              <w:rPr>
                <w:rFonts w:hint="eastAsia" w:ascii="仿宋" w:hAnsi="仿宋" w:eastAsia="仿宋" w:cs="仿宋"/>
                <w:b/>
                <w:bCs/>
                <w:color w:val="auto"/>
                <w:sz w:val="22"/>
                <w:szCs w:val="22"/>
                <w:lang w:val="en-US" w:eastAsia="zh-CN"/>
              </w:rPr>
              <w:t>投标人</w:t>
            </w:r>
            <w:r>
              <w:rPr>
                <w:rFonts w:hint="eastAsia" w:ascii="仿宋" w:hAnsi="仿宋" w:eastAsia="仿宋" w:cs="仿宋"/>
                <w:b/>
                <w:bCs/>
                <w:color w:val="auto"/>
                <w:sz w:val="22"/>
                <w:szCs w:val="22"/>
                <w:lang w:eastAsia="zh-CN"/>
              </w:rPr>
              <w:t>不得以个人名义交纳保证金，否则按未交纳保证金处理，转账备注</w:t>
            </w:r>
            <w:r>
              <w:rPr>
                <w:rFonts w:hint="eastAsia" w:ascii="仿宋" w:hAnsi="仿宋" w:eastAsia="仿宋" w:cs="仿宋"/>
                <w:b/>
                <w:bCs/>
                <w:color w:val="auto"/>
                <w:sz w:val="22"/>
                <w:szCs w:val="22"/>
                <w:u w:val="single"/>
                <w:lang w:eastAsia="zh-CN"/>
              </w:rPr>
              <w:t xml:space="preserve">   </w:t>
            </w:r>
            <w:r>
              <w:rPr>
                <w:rFonts w:hint="eastAsia" w:ascii="仿宋" w:hAnsi="仿宋" w:eastAsia="仿宋" w:cs="仿宋"/>
                <w:b/>
                <w:bCs/>
                <w:color w:val="auto"/>
                <w:sz w:val="22"/>
                <w:szCs w:val="22"/>
                <w:u w:val="single"/>
                <w:lang w:val="en-US" w:eastAsia="zh-CN"/>
              </w:rPr>
              <w:t>项目名称</w:t>
            </w:r>
            <w:r>
              <w:rPr>
                <w:rFonts w:hint="eastAsia" w:ascii="仿宋" w:hAnsi="仿宋" w:eastAsia="仿宋" w:cs="仿宋"/>
                <w:b/>
                <w:bCs/>
                <w:color w:val="auto"/>
                <w:sz w:val="22"/>
                <w:szCs w:val="22"/>
                <w:u w:val="single"/>
                <w:lang w:eastAsia="zh-CN"/>
              </w:rPr>
              <w:t xml:space="preserve">    </w:t>
            </w:r>
            <w:r>
              <w:rPr>
                <w:rFonts w:hint="eastAsia" w:ascii="仿宋" w:hAnsi="仿宋" w:eastAsia="仿宋" w:cs="仿宋"/>
                <w:b/>
                <w:bCs/>
                <w:color w:val="auto"/>
                <w:sz w:val="22"/>
                <w:szCs w:val="22"/>
                <w:lang w:val="en-US" w:eastAsia="zh-CN"/>
              </w:rPr>
              <w:t>投标</w:t>
            </w:r>
            <w:r>
              <w:rPr>
                <w:rFonts w:hint="eastAsia" w:ascii="仿宋" w:hAnsi="仿宋" w:eastAsia="仿宋" w:cs="仿宋"/>
                <w:b/>
                <w:bCs/>
                <w:color w:val="auto"/>
                <w:sz w:val="22"/>
                <w:szCs w:val="22"/>
                <w:lang w:eastAsia="zh-CN"/>
              </w:rPr>
              <w:t>保证金字样；</w:t>
            </w:r>
          </w:p>
          <w:p w14:paraId="59B0EA52">
            <w:pPr>
              <w:widowControl/>
              <w:wordWrap/>
              <w:spacing w:line="360" w:lineRule="atLeast"/>
              <w:ind w:left="38" w:firstLine="442" w:firstLineChars="200"/>
              <w:jc w:val="left"/>
              <w:rPr>
                <w:rFonts w:ascii="仿宋" w:hAnsi="仿宋" w:eastAsia="仿宋" w:cs="仿宋"/>
                <w:b/>
                <w:bCs/>
                <w:color w:val="auto"/>
                <w:sz w:val="22"/>
                <w:szCs w:val="22"/>
                <w:lang w:eastAsia="zh-CN"/>
              </w:rPr>
            </w:pPr>
            <w:r>
              <w:rPr>
                <w:rFonts w:hint="eastAsia" w:ascii="仿宋" w:hAnsi="仿宋" w:eastAsia="仿宋" w:cs="仿宋"/>
                <w:b/>
                <w:bCs/>
                <w:color w:val="auto"/>
                <w:sz w:val="22"/>
                <w:szCs w:val="22"/>
                <w:lang w:eastAsia="zh-CN"/>
              </w:rPr>
              <w:t>投标人应合理安排保证金缴纳时间，因异地转账、跨行转账、非工作日转账等原因导致保证金未能在规定时间内到达指定账户，视为未在规定时间内缴纳，</w:t>
            </w:r>
            <w:r>
              <w:rPr>
                <w:rFonts w:hint="eastAsia" w:ascii="仿宋" w:hAnsi="仿宋" w:eastAsia="仿宋" w:cs="仿宋"/>
                <w:b/>
                <w:bCs/>
                <w:color w:val="auto"/>
                <w:sz w:val="22"/>
                <w:szCs w:val="22"/>
                <w:lang w:val="en-US" w:eastAsia="zh-CN"/>
              </w:rPr>
              <w:t>投标人</w:t>
            </w:r>
            <w:r>
              <w:rPr>
                <w:rFonts w:hint="eastAsia" w:ascii="仿宋" w:hAnsi="仿宋" w:eastAsia="仿宋" w:cs="仿宋"/>
                <w:b/>
                <w:bCs/>
                <w:color w:val="auto"/>
                <w:sz w:val="22"/>
                <w:szCs w:val="22"/>
                <w:lang w:eastAsia="zh-CN"/>
              </w:rPr>
              <w:t>逾期未提交或逾期到账视为放弃投标，以银行实际到账时间为准。</w:t>
            </w:r>
          </w:p>
          <w:p w14:paraId="001EE7D7">
            <w:pPr>
              <w:pStyle w:val="105"/>
              <w:keepNext w:val="0"/>
              <w:keepLines w:val="0"/>
              <w:pageBreakBefore w:val="0"/>
              <w:shd w:val="clear"/>
              <w:kinsoku/>
              <w:wordWrap/>
              <w:overflowPunct/>
              <w:topLinePunct w:val="0"/>
              <w:autoSpaceDE/>
              <w:autoSpaceDN/>
              <w:bidi w:val="0"/>
              <w:spacing w:line="288" w:lineRule="auto"/>
              <w:ind w:firstLine="442" w:firstLineChars="200"/>
              <w:textAlignment w:val="auto"/>
              <w:rPr>
                <w:rFonts w:hint="eastAsia" w:ascii="楷体" w:hAnsi="楷体" w:eastAsia="楷体" w:cs="楷体"/>
                <w:color w:val="auto"/>
                <w:sz w:val="22"/>
                <w:szCs w:val="22"/>
                <w:highlight w:val="none"/>
                <w:lang w:val="en-US" w:eastAsia="zh-CN"/>
              </w:rPr>
            </w:pPr>
            <w:r>
              <w:rPr>
                <w:rFonts w:hint="eastAsia" w:ascii="仿宋" w:hAnsi="仿宋" w:eastAsia="仿宋" w:cs="仿宋"/>
                <w:b/>
                <w:bCs/>
                <w:color w:val="auto"/>
                <w:sz w:val="22"/>
                <w:szCs w:val="22"/>
                <w:lang w:eastAsia="zh-CN"/>
              </w:rPr>
              <w:t>以保函形式提交的必须为陕西省财政厅认定的具有开具投标保函资格的单位开具的保函，保函原件须在投标截止时间前送至同正项目管理有限公司换取收据，否则视为未提交保证金。</w:t>
            </w:r>
          </w:p>
        </w:tc>
      </w:tr>
      <w:tr w14:paraId="37F2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2752C2D4">
            <w:pPr>
              <w:shd w:val="clear"/>
              <w:snapToGrid w:val="0"/>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3</w:t>
            </w:r>
          </w:p>
        </w:tc>
        <w:tc>
          <w:tcPr>
            <w:tcW w:w="2017" w:type="dxa"/>
            <w:vAlign w:val="center"/>
          </w:tcPr>
          <w:p w14:paraId="10C5D08D">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投标文件份数</w:t>
            </w:r>
          </w:p>
        </w:tc>
        <w:tc>
          <w:tcPr>
            <w:tcW w:w="7464" w:type="dxa"/>
            <w:vAlign w:val="center"/>
          </w:tcPr>
          <w:p w14:paraId="6DB3AA6E">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投标文件包含正本1份、副本2份、</w:t>
            </w:r>
            <w:r>
              <w:rPr>
                <w:rFonts w:hint="eastAsia" w:ascii="仿宋" w:hAnsi="仿宋" w:eastAsia="仿宋" w:cs="仿宋"/>
                <w:color w:val="auto"/>
                <w:sz w:val="22"/>
                <w:szCs w:val="22"/>
                <w:highlight w:val="none"/>
                <w:lang w:eastAsia="zh-CN"/>
              </w:rPr>
              <w:t>开标一览表</w:t>
            </w:r>
            <w:r>
              <w:rPr>
                <w:rFonts w:hint="eastAsia" w:ascii="仿宋" w:hAnsi="仿宋" w:eastAsia="仿宋" w:cs="仿宋"/>
                <w:color w:val="auto"/>
                <w:sz w:val="22"/>
                <w:szCs w:val="22"/>
                <w:highlight w:val="none"/>
                <w:lang w:val="en-US" w:eastAsia="zh-CN"/>
              </w:rPr>
              <w:t>1份、</w:t>
            </w:r>
            <w:r>
              <w:rPr>
                <w:rFonts w:hint="eastAsia" w:ascii="仿宋" w:hAnsi="仿宋" w:eastAsia="仿宋" w:cs="仿宋"/>
                <w:color w:val="auto"/>
                <w:sz w:val="22"/>
                <w:szCs w:val="22"/>
                <w:highlight w:val="none"/>
              </w:rPr>
              <w:t>投标文件电子版U盘</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rPr>
              <w:t>份</w:t>
            </w:r>
          </w:p>
        </w:tc>
      </w:tr>
      <w:tr w14:paraId="7C84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0B28C3B9">
            <w:pPr>
              <w:shd w:val="clear"/>
              <w:snapToGrid w:val="0"/>
              <w:jc w:val="center"/>
              <w:rPr>
                <w:rFonts w:hint="eastAsia" w:ascii="仿宋" w:hAnsi="仿宋" w:eastAsia="仿宋" w:cs="仿宋"/>
                <w:color w:val="auto"/>
                <w:sz w:val="22"/>
                <w:szCs w:val="22"/>
                <w:highlight w:val="none"/>
              </w:rPr>
            </w:pPr>
          </w:p>
        </w:tc>
        <w:tc>
          <w:tcPr>
            <w:tcW w:w="2017" w:type="dxa"/>
            <w:vAlign w:val="center"/>
          </w:tcPr>
          <w:p w14:paraId="455FB8EE">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投标文件是否退还</w:t>
            </w:r>
          </w:p>
        </w:tc>
        <w:tc>
          <w:tcPr>
            <w:tcW w:w="7464" w:type="dxa"/>
            <w:vAlign w:val="center"/>
          </w:tcPr>
          <w:p w14:paraId="2E72CA36">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否</w:t>
            </w:r>
          </w:p>
        </w:tc>
      </w:tr>
      <w:tr w14:paraId="27039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0309736C">
            <w:pPr>
              <w:shd w:val="clear"/>
              <w:snapToGrid w:val="0"/>
              <w:jc w:val="center"/>
              <w:rPr>
                <w:rFonts w:hint="eastAsia" w:ascii="仿宋" w:hAnsi="仿宋" w:eastAsia="仿宋" w:cs="仿宋"/>
                <w:color w:val="auto"/>
                <w:sz w:val="22"/>
                <w:szCs w:val="22"/>
                <w:highlight w:val="none"/>
              </w:rPr>
            </w:pPr>
          </w:p>
        </w:tc>
        <w:tc>
          <w:tcPr>
            <w:tcW w:w="2017" w:type="dxa"/>
            <w:vAlign w:val="center"/>
          </w:tcPr>
          <w:p w14:paraId="6E5CD974">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投标文件签字</w:t>
            </w:r>
          </w:p>
          <w:p w14:paraId="45B59B72">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或盖章要求</w:t>
            </w:r>
          </w:p>
        </w:tc>
        <w:tc>
          <w:tcPr>
            <w:tcW w:w="7464" w:type="dxa"/>
            <w:vAlign w:val="center"/>
          </w:tcPr>
          <w:p w14:paraId="5B86C47E">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投标人必须按照招标文件的规定和要求签字、盖章</w:t>
            </w:r>
          </w:p>
        </w:tc>
      </w:tr>
      <w:tr w14:paraId="0B4B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718" w:type="dxa"/>
            <w:vMerge w:val="continue"/>
            <w:vAlign w:val="center"/>
          </w:tcPr>
          <w:p w14:paraId="3D6DD9B9">
            <w:pPr>
              <w:shd w:val="clear"/>
              <w:snapToGrid w:val="0"/>
              <w:jc w:val="center"/>
              <w:rPr>
                <w:rFonts w:hint="eastAsia" w:ascii="仿宋" w:hAnsi="仿宋" w:eastAsia="仿宋" w:cs="仿宋"/>
                <w:color w:val="auto"/>
                <w:sz w:val="22"/>
                <w:szCs w:val="22"/>
                <w:highlight w:val="none"/>
              </w:rPr>
            </w:pPr>
          </w:p>
        </w:tc>
        <w:tc>
          <w:tcPr>
            <w:tcW w:w="2017" w:type="dxa"/>
            <w:vAlign w:val="center"/>
          </w:tcPr>
          <w:p w14:paraId="08EA268A">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封装及封套注释</w:t>
            </w:r>
          </w:p>
        </w:tc>
        <w:tc>
          <w:tcPr>
            <w:tcW w:w="7464" w:type="dxa"/>
            <w:vAlign w:val="center"/>
          </w:tcPr>
          <w:p w14:paraId="55ED1125">
            <w:pPr>
              <w:keepNext w:val="0"/>
              <w:keepLines w:val="0"/>
              <w:pageBreakBefore w:val="0"/>
              <w:widowControl w:val="0"/>
              <w:numPr>
                <w:ilvl w:val="0"/>
                <w:numId w:val="0"/>
              </w:numPr>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kern w:val="2"/>
                <w:sz w:val="22"/>
                <w:szCs w:val="22"/>
                <w:highlight w:val="none"/>
                <w:lang w:val="en-US" w:eastAsia="zh-CN" w:bidi="ar-SA"/>
              </w:rPr>
              <w:t>1、</w:t>
            </w:r>
            <w:r>
              <w:rPr>
                <w:rFonts w:hint="eastAsia" w:ascii="仿宋" w:hAnsi="仿宋" w:eastAsia="仿宋" w:cs="仿宋"/>
                <w:color w:val="auto"/>
                <w:sz w:val="22"/>
                <w:szCs w:val="22"/>
                <w:highlight w:val="none"/>
              </w:rPr>
              <w:t>投标文件的正本、副本要求各自分装密封（封袋不得有破损），同时在封口处加贴封条并在骑缝处加盖投标人公章</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封套上应载明的信息：</w:t>
            </w:r>
            <w:r>
              <w:rPr>
                <w:rFonts w:hint="eastAsia" w:ascii="仿宋" w:hAnsi="仿宋" w:eastAsia="仿宋" w:cs="仿宋"/>
                <w:color w:val="auto"/>
                <w:sz w:val="22"/>
                <w:szCs w:val="22"/>
                <w:highlight w:val="none"/>
                <w:lang w:eastAsia="zh-CN"/>
              </w:rPr>
              <w:t>项目</w:t>
            </w:r>
            <w:r>
              <w:rPr>
                <w:rFonts w:hint="eastAsia" w:ascii="仿宋" w:hAnsi="仿宋" w:eastAsia="仿宋" w:cs="仿宋"/>
                <w:color w:val="auto"/>
                <w:sz w:val="22"/>
                <w:szCs w:val="22"/>
                <w:highlight w:val="none"/>
              </w:rPr>
              <w:t>名称及编号、采购人名称、投标人名称，并注明“</w:t>
            </w:r>
            <w:r>
              <w:rPr>
                <w:rFonts w:hint="eastAsia" w:ascii="仿宋" w:hAnsi="仿宋" w:eastAsia="仿宋" w:cs="仿宋"/>
                <w:color w:val="auto"/>
                <w:sz w:val="22"/>
                <w:szCs w:val="22"/>
                <w:highlight w:val="none"/>
                <w:u w:val="single"/>
              </w:rPr>
              <w:t>正副本</w:t>
            </w:r>
            <w:r>
              <w:rPr>
                <w:rFonts w:hint="eastAsia" w:ascii="仿宋" w:hAnsi="仿宋" w:eastAsia="仿宋" w:cs="仿宋"/>
                <w:color w:val="auto"/>
                <w:sz w:val="22"/>
                <w:szCs w:val="22"/>
                <w:highlight w:val="none"/>
              </w:rPr>
              <w:t>”及“</w:t>
            </w:r>
            <w:r>
              <w:rPr>
                <w:rFonts w:hint="eastAsia" w:ascii="仿宋" w:hAnsi="仿宋" w:eastAsia="仿宋" w:cs="仿宋"/>
                <w:color w:val="auto"/>
                <w:sz w:val="22"/>
                <w:szCs w:val="22"/>
                <w:highlight w:val="none"/>
                <w:u w:val="single"/>
              </w:rPr>
              <w:t xml:space="preserve">在    年  月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日  时  分前不得开启</w:t>
            </w:r>
            <w:r>
              <w:rPr>
                <w:rFonts w:hint="eastAsia" w:ascii="仿宋" w:hAnsi="仿宋" w:eastAsia="仿宋" w:cs="仿宋"/>
                <w:color w:val="auto"/>
                <w:sz w:val="22"/>
                <w:szCs w:val="22"/>
                <w:highlight w:val="none"/>
              </w:rPr>
              <w:t>”字样</w:t>
            </w:r>
            <w:r>
              <w:rPr>
                <w:rFonts w:hint="eastAsia" w:ascii="仿宋" w:hAnsi="仿宋" w:eastAsia="仿宋" w:cs="仿宋"/>
                <w:color w:val="auto"/>
                <w:sz w:val="22"/>
                <w:szCs w:val="22"/>
                <w:highlight w:val="none"/>
                <w:lang w:eastAsia="zh-CN"/>
              </w:rPr>
              <w:t>。</w:t>
            </w:r>
          </w:p>
          <w:p w14:paraId="531AC1BC">
            <w:pPr>
              <w:keepNext w:val="0"/>
              <w:keepLines w:val="0"/>
              <w:pageBreakBefore w:val="0"/>
              <w:widowControl w:val="0"/>
              <w:shd w:val="clear"/>
              <w:kinsoku/>
              <w:wordWrap/>
              <w:overflowPunct/>
              <w:topLinePunct w:val="0"/>
              <w:autoSpaceDE/>
              <w:autoSpaceDN/>
              <w:bidi w:val="0"/>
              <w:adjustRightInd/>
              <w:snapToGrid w:val="0"/>
              <w:spacing w:line="288" w:lineRule="auto"/>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eastAsia="zh-CN"/>
              </w:rPr>
              <w:t>开标一览表</w:t>
            </w:r>
            <w:r>
              <w:rPr>
                <w:rFonts w:hint="eastAsia" w:ascii="仿宋" w:hAnsi="仿宋" w:eastAsia="仿宋" w:cs="仿宋"/>
                <w:color w:val="auto"/>
                <w:sz w:val="22"/>
                <w:szCs w:val="22"/>
                <w:highlight w:val="none"/>
              </w:rPr>
              <w:t>要求</w:t>
            </w:r>
            <w:r>
              <w:rPr>
                <w:rFonts w:hint="eastAsia" w:ascii="仿宋" w:hAnsi="仿宋" w:eastAsia="仿宋" w:cs="仿宋"/>
                <w:color w:val="auto"/>
                <w:sz w:val="22"/>
                <w:szCs w:val="22"/>
                <w:highlight w:val="none"/>
                <w:lang w:val="en-US" w:eastAsia="zh-CN"/>
              </w:rPr>
              <w:t>单独</w:t>
            </w:r>
            <w:r>
              <w:rPr>
                <w:rFonts w:hint="eastAsia" w:ascii="仿宋" w:hAnsi="仿宋" w:eastAsia="仿宋" w:cs="仿宋"/>
                <w:color w:val="auto"/>
                <w:sz w:val="22"/>
                <w:szCs w:val="22"/>
                <w:highlight w:val="none"/>
              </w:rPr>
              <w:t>密封（封袋不得有破损），同时在封口处加贴封条并在骑缝处加盖投标人公章；投标文件电子版U盘用信封包装后随</w:t>
            </w:r>
            <w:r>
              <w:rPr>
                <w:rFonts w:hint="eastAsia" w:ascii="仿宋" w:hAnsi="仿宋" w:eastAsia="仿宋" w:cs="仿宋"/>
                <w:color w:val="auto"/>
                <w:sz w:val="22"/>
                <w:szCs w:val="22"/>
                <w:highlight w:val="none"/>
                <w:lang w:eastAsia="zh-CN"/>
              </w:rPr>
              <w:t>开标一览表一起</w:t>
            </w:r>
            <w:r>
              <w:rPr>
                <w:rFonts w:hint="eastAsia" w:ascii="仿宋" w:hAnsi="仿宋" w:eastAsia="仿宋" w:cs="仿宋"/>
                <w:color w:val="auto"/>
                <w:sz w:val="22"/>
                <w:szCs w:val="22"/>
                <w:highlight w:val="none"/>
              </w:rPr>
              <w:t>封装</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封套上应载明的信息：</w:t>
            </w:r>
            <w:r>
              <w:rPr>
                <w:rFonts w:hint="eastAsia" w:ascii="仿宋" w:hAnsi="仿宋" w:eastAsia="仿宋" w:cs="仿宋"/>
                <w:color w:val="auto"/>
                <w:sz w:val="22"/>
                <w:szCs w:val="22"/>
                <w:highlight w:val="none"/>
                <w:lang w:eastAsia="zh-CN"/>
              </w:rPr>
              <w:t>项目</w:t>
            </w:r>
            <w:r>
              <w:rPr>
                <w:rFonts w:hint="eastAsia" w:ascii="仿宋" w:hAnsi="仿宋" w:eastAsia="仿宋" w:cs="仿宋"/>
                <w:color w:val="auto"/>
                <w:sz w:val="22"/>
                <w:szCs w:val="22"/>
                <w:highlight w:val="none"/>
              </w:rPr>
              <w:t>名称及编号、采购人名称、投标人名称，并注明“</w:t>
            </w:r>
            <w:r>
              <w:rPr>
                <w:rFonts w:hint="eastAsia" w:ascii="仿宋" w:hAnsi="仿宋" w:eastAsia="仿宋" w:cs="仿宋"/>
                <w:color w:val="auto"/>
                <w:sz w:val="22"/>
                <w:szCs w:val="22"/>
                <w:highlight w:val="none"/>
                <w:lang w:eastAsia="zh-CN"/>
              </w:rPr>
              <w:t>开标一览表及电子版</w:t>
            </w:r>
            <w:r>
              <w:rPr>
                <w:rFonts w:hint="eastAsia" w:ascii="仿宋" w:hAnsi="仿宋" w:eastAsia="仿宋" w:cs="仿宋"/>
                <w:color w:val="auto"/>
                <w:sz w:val="22"/>
                <w:szCs w:val="22"/>
                <w:highlight w:val="none"/>
                <w:lang w:val="en-US" w:eastAsia="zh-CN"/>
              </w:rPr>
              <w:t>U盘</w:t>
            </w:r>
            <w:r>
              <w:rPr>
                <w:rFonts w:hint="eastAsia" w:ascii="仿宋" w:hAnsi="仿宋" w:eastAsia="仿宋" w:cs="仿宋"/>
                <w:color w:val="auto"/>
                <w:sz w:val="22"/>
                <w:szCs w:val="22"/>
                <w:highlight w:val="none"/>
              </w:rPr>
              <w:t>”及“</w:t>
            </w:r>
            <w:r>
              <w:rPr>
                <w:rFonts w:hint="eastAsia" w:ascii="仿宋" w:hAnsi="仿宋" w:eastAsia="仿宋" w:cs="仿宋"/>
                <w:color w:val="auto"/>
                <w:sz w:val="22"/>
                <w:szCs w:val="22"/>
                <w:highlight w:val="none"/>
                <w:u w:val="single"/>
              </w:rPr>
              <w:t>在    年  月  日  时  分前不得开启</w:t>
            </w:r>
            <w:r>
              <w:rPr>
                <w:rFonts w:hint="eastAsia" w:ascii="仿宋" w:hAnsi="仿宋" w:eastAsia="仿宋" w:cs="仿宋"/>
                <w:color w:val="auto"/>
                <w:sz w:val="22"/>
                <w:szCs w:val="22"/>
                <w:highlight w:val="none"/>
              </w:rPr>
              <w:t>”字样</w:t>
            </w:r>
            <w:r>
              <w:rPr>
                <w:rFonts w:hint="eastAsia" w:ascii="仿宋" w:hAnsi="仿宋" w:eastAsia="仿宋" w:cs="仿宋"/>
                <w:color w:val="auto"/>
                <w:sz w:val="22"/>
                <w:szCs w:val="22"/>
                <w:highlight w:val="none"/>
                <w:lang w:eastAsia="zh-CN"/>
              </w:rPr>
              <w:t>。</w:t>
            </w:r>
          </w:p>
        </w:tc>
      </w:tr>
      <w:tr w14:paraId="79DE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Align w:val="center"/>
          </w:tcPr>
          <w:p w14:paraId="6B005E65">
            <w:pPr>
              <w:shd w:val="clea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24</w:t>
            </w:r>
          </w:p>
        </w:tc>
        <w:tc>
          <w:tcPr>
            <w:tcW w:w="2017" w:type="dxa"/>
            <w:vAlign w:val="center"/>
          </w:tcPr>
          <w:p w14:paraId="0F46D91E">
            <w:pPr>
              <w:pStyle w:val="151"/>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投标文件递交</w:t>
            </w:r>
          </w:p>
          <w:p w14:paraId="3EF4AEC3">
            <w:pPr>
              <w:pStyle w:val="151"/>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lang w:val="en-US" w:eastAsia="zh-CN"/>
              </w:rPr>
              <w:t>截止时间</w:t>
            </w:r>
          </w:p>
        </w:tc>
        <w:tc>
          <w:tcPr>
            <w:tcW w:w="7464" w:type="dxa"/>
            <w:vAlign w:val="center"/>
          </w:tcPr>
          <w:p w14:paraId="5F44D51B">
            <w:pPr>
              <w:pStyle w:val="249"/>
              <w:rPr>
                <w:rFonts w:hint="eastAsia" w:ascii="仿宋" w:hAnsi="仿宋" w:eastAsia="仿宋" w:cs="仿宋"/>
                <w:color w:val="auto"/>
                <w:sz w:val="22"/>
                <w:szCs w:val="22"/>
                <w:highlight w:val="none"/>
              </w:rPr>
            </w:pPr>
            <w:r>
              <w:rPr>
                <w:rFonts w:hint="eastAsia" w:ascii="仿宋" w:hAnsi="仿宋" w:eastAsia="仿宋" w:cs="仿宋"/>
                <w:color w:val="auto"/>
                <w:sz w:val="22"/>
                <w:szCs w:val="22"/>
                <w:lang w:val="zh-CN"/>
              </w:rPr>
              <w:t>同</w:t>
            </w:r>
            <w:r>
              <w:rPr>
                <w:rFonts w:hint="eastAsia" w:ascii="仿宋" w:hAnsi="仿宋" w:eastAsia="仿宋" w:cs="仿宋"/>
                <w:color w:val="auto"/>
                <w:sz w:val="22"/>
                <w:szCs w:val="22"/>
                <w:lang w:val="en-US" w:eastAsia="zh-CN"/>
              </w:rPr>
              <w:t>招标</w:t>
            </w:r>
            <w:r>
              <w:rPr>
                <w:rFonts w:hint="eastAsia" w:ascii="仿宋" w:hAnsi="仿宋" w:eastAsia="仿宋" w:cs="仿宋"/>
                <w:color w:val="auto"/>
                <w:sz w:val="22"/>
                <w:szCs w:val="22"/>
                <w:lang w:val="zh-CN"/>
              </w:rPr>
              <w:t>公告载明的时间</w:t>
            </w:r>
          </w:p>
        </w:tc>
      </w:tr>
      <w:tr w14:paraId="6CB4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18" w:type="dxa"/>
            <w:vAlign w:val="center"/>
          </w:tcPr>
          <w:p w14:paraId="31AEFA7C">
            <w:pPr>
              <w:shd w:val="clea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w:t>
            </w:r>
          </w:p>
        </w:tc>
        <w:tc>
          <w:tcPr>
            <w:tcW w:w="2017" w:type="dxa"/>
            <w:vAlign w:val="center"/>
          </w:tcPr>
          <w:p w14:paraId="2889C22F">
            <w:pPr>
              <w:pStyle w:val="151"/>
              <w:jc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投标文件递交</w:t>
            </w:r>
          </w:p>
          <w:p w14:paraId="540EAD66">
            <w:pPr>
              <w:pStyle w:val="151"/>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lang w:val="en-US" w:eastAsia="zh-CN"/>
              </w:rPr>
              <w:t>地点</w:t>
            </w:r>
          </w:p>
        </w:tc>
        <w:tc>
          <w:tcPr>
            <w:tcW w:w="7464" w:type="dxa"/>
            <w:vAlign w:val="center"/>
          </w:tcPr>
          <w:p w14:paraId="5C58F3A7">
            <w:pPr>
              <w:pStyle w:val="151"/>
              <w:spacing w:line="320" w:lineRule="exact"/>
              <w:jc w:val="both"/>
              <w:rPr>
                <w:rFonts w:hint="eastAsia" w:ascii="仿宋" w:hAnsi="仿宋" w:eastAsia="仿宋" w:cs="仿宋"/>
                <w:color w:val="auto"/>
                <w:sz w:val="22"/>
                <w:szCs w:val="22"/>
                <w:highlight w:val="none"/>
              </w:rPr>
            </w:pPr>
            <w:r>
              <w:rPr>
                <w:rFonts w:hint="eastAsia" w:ascii="仿宋" w:hAnsi="仿宋" w:eastAsia="仿宋" w:cs="仿宋"/>
                <w:color w:val="auto"/>
                <w:sz w:val="22"/>
                <w:szCs w:val="22"/>
                <w:lang w:val="zh-CN"/>
              </w:rPr>
              <w:t>同</w:t>
            </w:r>
            <w:r>
              <w:rPr>
                <w:rFonts w:hint="eastAsia" w:ascii="仿宋" w:hAnsi="仿宋" w:eastAsia="仿宋" w:cs="仿宋"/>
                <w:color w:val="auto"/>
                <w:sz w:val="22"/>
                <w:szCs w:val="22"/>
                <w:lang w:val="en-US" w:eastAsia="zh-CN"/>
              </w:rPr>
              <w:t>招标</w:t>
            </w:r>
            <w:r>
              <w:rPr>
                <w:rFonts w:hint="eastAsia" w:ascii="仿宋" w:hAnsi="仿宋" w:eastAsia="仿宋" w:cs="仿宋"/>
                <w:color w:val="auto"/>
                <w:sz w:val="22"/>
                <w:szCs w:val="22"/>
                <w:lang w:val="zh-CN"/>
              </w:rPr>
              <w:t>公告载明的</w:t>
            </w:r>
            <w:r>
              <w:rPr>
                <w:rFonts w:hint="eastAsia" w:ascii="仿宋" w:hAnsi="仿宋" w:eastAsia="仿宋" w:cs="仿宋"/>
                <w:color w:val="auto"/>
                <w:sz w:val="22"/>
                <w:szCs w:val="22"/>
                <w:lang w:val="en-US" w:eastAsia="zh-CN"/>
              </w:rPr>
              <w:t>地点</w:t>
            </w:r>
          </w:p>
        </w:tc>
      </w:tr>
      <w:tr w14:paraId="7867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18" w:type="dxa"/>
            <w:vAlign w:val="center"/>
          </w:tcPr>
          <w:p w14:paraId="39B99D24">
            <w:pPr>
              <w:shd w:val="clea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26</w:t>
            </w:r>
          </w:p>
        </w:tc>
        <w:tc>
          <w:tcPr>
            <w:tcW w:w="2017" w:type="dxa"/>
            <w:vAlign w:val="center"/>
          </w:tcPr>
          <w:p w14:paraId="6801EE3D">
            <w:pPr>
              <w:pStyle w:val="151"/>
              <w:jc w:val="center"/>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lang w:val="zh-CN"/>
              </w:rPr>
              <w:t>开启</w:t>
            </w:r>
            <w:r>
              <w:rPr>
                <w:rFonts w:hint="eastAsia" w:ascii="仿宋" w:hAnsi="仿宋" w:eastAsia="仿宋" w:cs="仿宋"/>
                <w:color w:val="auto"/>
                <w:sz w:val="22"/>
                <w:szCs w:val="22"/>
                <w:lang w:val="en-US" w:eastAsia="zh-CN"/>
              </w:rPr>
              <w:t>投标</w:t>
            </w:r>
            <w:r>
              <w:rPr>
                <w:rFonts w:hint="eastAsia" w:ascii="仿宋" w:hAnsi="仿宋" w:eastAsia="仿宋" w:cs="仿宋"/>
                <w:color w:val="auto"/>
                <w:sz w:val="22"/>
                <w:szCs w:val="22"/>
                <w:lang w:val="zh-CN"/>
              </w:rPr>
              <w:t>文件时间和地点</w:t>
            </w:r>
          </w:p>
        </w:tc>
        <w:tc>
          <w:tcPr>
            <w:tcW w:w="7464" w:type="dxa"/>
            <w:vAlign w:val="center"/>
          </w:tcPr>
          <w:p w14:paraId="421A875E">
            <w:pPr>
              <w:pStyle w:val="151"/>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开启</w:t>
            </w:r>
            <w:r>
              <w:rPr>
                <w:rFonts w:hint="eastAsia" w:ascii="仿宋" w:hAnsi="仿宋" w:eastAsia="仿宋" w:cs="仿宋"/>
                <w:color w:val="auto"/>
                <w:sz w:val="22"/>
                <w:szCs w:val="22"/>
                <w:lang w:val="en-US" w:eastAsia="zh-CN"/>
              </w:rPr>
              <w:t>投标</w:t>
            </w:r>
            <w:r>
              <w:rPr>
                <w:rFonts w:hint="eastAsia" w:ascii="仿宋" w:hAnsi="仿宋" w:eastAsia="仿宋" w:cs="仿宋"/>
                <w:color w:val="auto"/>
                <w:sz w:val="22"/>
                <w:szCs w:val="22"/>
                <w:lang w:val="zh-CN"/>
              </w:rPr>
              <w:t>文件时间：</w:t>
            </w:r>
            <w:r>
              <w:rPr>
                <w:rFonts w:hint="eastAsia" w:ascii="仿宋" w:hAnsi="仿宋" w:eastAsia="仿宋" w:cs="仿宋"/>
                <w:color w:val="auto"/>
                <w:sz w:val="22"/>
                <w:szCs w:val="22"/>
                <w:lang w:val="en-US" w:eastAsia="zh-CN"/>
              </w:rPr>
              <w:t>招标</w:t>
            </w:r>
            <w:r>
              <w:rPr>
                <w:rFonts w:hint="eastAsia" w:ascii="仿宋" w:hAnsi="仿宋" w:eastAsia="仿宋" w:cs="仿宋"/>
                <w:color w:val="auto"/>
                <w:sz w:val="22"/>
                <w:szCs w:val="22"/>
                <w:lang w:val="zh-CN"/>
              </w:rPr>
              <w:t>公告载明的时间</w:t>
            </w:r>
          </w:p>
          <w:p w14:paraId="232651BB">
            <w:pPr>
              <w:pStyle w:val="151"/>
              <w:rPr>
                <w:rFonts w:hint="eastAsia" w:ascii="仿宋" w:hAnsi="仿宋" w:eastAsia="仿宋" w:cs="仿宋"/>
                <w:color w:val="auto"/>
                <w:sz w:val="22"/>
                <w:szCs w:val="22"/>
                <w:highlight w:val="none"/>
              </w:rPr>
            </w:pPr>
            <w:r>
              <w:rPr>
                <w:rFonts w:hint="eastAsia" w:ascii="仿宋" w:hAnsi="仿宋" w:eastAsia="仿宋" w:cs="仿宋"/>
                <w:color w:val="auto"/>
                <w:sz w:val="22"/>
                <w:szCs w:val="22"/>
                <w:lang w:val="zh-CN"/>
              </w:rPr>
              <w:t>开启</w:t>
            </w:r>
            <w:r>
              <w:rPr>
                <w:rFonts w:hint="eastAsia" w:ascii="仿宋" w:hAnsi="仿宋" w:eastAsia="仿宋" w:cs="仿宋"/>
                <w:color w:val="auto"/>
                <w:sz w:val="22"/>
                <w:szCs w:val="22"/>
                <w:lang w:val="en-US" w:eastAsia="zh-CN"/>
              </w:rPr>
              <w:t>投标</w:t>
            </w:r>
            <w:r>
              <w:rPr>
                <w:rFonts w:hint="eastAsia" w:ascii="仿宋" w:hAnsi="仿宋" w:eastAsia="仿宋" w:cs="仿宋"/>
                <w:color w:val="auto"/>
                <w:sz w:val="22"/>
                <w:szCs w:val="22"/>
                <w:lang w:val="zh-CN"/>
              </w:rPr>
              <w:t>文件地点：</w:t>
            </w:r>
            <w:r>
              <w:rPr>
                <w:rFonts w:hint="eastAsia" w:ascii="仿宋" w:hAnsi="仿宋" w:eastAsia="仿宋" w:cs="仿宋"/>
                <w:color w:val="auto"/>
                <w:sz w:val="22"/>
                <w:szCs w:val="22"/>
                <w:lang w:val="en-US" w:eastAsia="zh-CN"/>
              </w:rPr>
              <w:t>招标</w:t>
            </w:r>
            <w:r>
              <w:rPr>
                <w:rFonts w:hint="eastAsia" w:ascii="仿宋" w:hAnsi="仿宋" w:eastAsia="仿宋" w:cs="仿宋"/>
                <w:color w:val="auto"/>
                <w:sz w:val="22"/>
                <w:szCs w:val="22"/>
                <w:lang w:val="zh-CN"/>
              </w:rPr>
              <w:t>公告载明的</w:t>
            </w:r>
            <w:r>
              <w:rPr>
                <w:rFonts w:hint="eastAsia" w:ascii="仿宋" w:hAnsi="仿宋" w:eastAsia="仿宋" w:cs="仿宋"/>
                <w:color w:val="auto"/>
                <w:sz w:val="22"/>
                <w:szCs w:val="22"/>
                <w:lang w:val="en-US" w:eastAsia="zh-CN"/>
              </w:rPr>
              <w:t>地点</w:t>
            </w:r>
          </w:p>
        </w:tc>
      </w:tr>
      <w:tr w14:paraId="1468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restart"/>
            <w:vAlign w:val="center"/>
          </w:tcPr>
          <w:p w14:paraId="5C588A3F">
            <w:pPr>
              <w:shd w:val="clea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27</w:t>
            </w:r>
          </w:p>
        </w:tc>
        <w:tc>
          <w:tcPr>
            <w:tcW w:w="2017" w:type="dxa"/>
            <w:vAlign w:val="center"/>
          </w:tcPr>
          <w:p w14:paraId="48A794B1">
            <w:pPr>
              <w:shd w:val="clear"/>
              <w:snapToGrid w:val="0"/>
              <w:ind w:firstLine="440" w:firstLineChars="20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评标</w:t>
            </w:r>
            <w:r>
              <w:rPr>
                <w:rFonts w:hint="eastAsia" w:ascii="仿宋" w:hAnsi="仿宋" w:eastAsia="仿宋" w:cs="仿宋"/>
                <w:color w:val="auto"/>
                <w:sz w:val="22"/>
                <w:szCs w:val="22"/>
                <w:highlight w:val="none"/>
              </w:rPr>
              <w:t>办法</w:t>
            </w:r>
          </w:p>
        </w:tc>
        <w:tc>
          <w:tcPr>
            <w:tcW w:w="7464" w:type="dxa"/>
            <w:vAlign w:val="center"/>
          </w:tcPr>
          <w:p w14:paraId="579E0F37">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详见招标文件第</w:t>
            </w:r>
            <w:r>
              <w:rPr>
                <w:rFonts w:hint="eastAsia" w:ascii="仿宋" w:hAnsi="仿宋" w:eastAsia="仿宋" w:cs="仿宋"/>
                <w:color w:val="auto"/>
                <w:sz w:val="22"/>
                <w:szCs w:val="22"/>
                <w:highlight w:val="none"/>
                <w:lang w:val="en-US" w:eastAsia="zh-CN"/>
              </w:rPr>
              <w:t>四</w:t>
            </w:r>
            <w:r>
              <w:rPr>
                <w:rFonts w:hint="eastAsia" w:ascii="仿宋" w:hAnsi="仿宋" w:eastAsia="仿宋" w:cs="仿宋"/>
                <w:color w:val="auto"/>
                <w:sz w:val="22"/>
                <w:szCs w:val="22"/>
                <w:highlight w:val="none"/>
              </w:rPr>
              <w:t>章</w:t>
            </w:r>
          </w:p>
        </w:tc>
      </w:tr>
      <w:tr w14:paraId="08F6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065783AB">
            <w:pPr>
              <w:shd w:val="clear"/>
              <w:snapToGrid w:val="0"/>
              <w:jc w:val="center"/>
              <w:rPr>
                <w:rFonts w:hint="eastAsia" w:ascii="仿宋" w:hAnsi="仿宋" w:eastAsia="仿宋" w:cs="仿宋"/>
                <w:color w:val="auto"/>
                <w:sz w:val="22"/>
                <w:szCs w:val="22"/>
                <w:highlight w:val="none"/>
              </w:rPr>
            </w:pPr>
          </w:p>
        </w:tc>
        <w:tc>
          <w:tcPr>
            <w:tcW w:w="2017" w:type="dxa"/>
            <w:vAlign w:val="center"/>
          </w:tcPr>
          <w:p w14:paraId="5A33CFBB">
            <w:pPr>
              <w:pStyle w:val="151"/>
              <w:shd w:val="clear"/>
              <w:jc w:val="both"/>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lang w:val="zh-CN"/>
              </w:rPr>
              <w:t>评标委员会推荐中标候选人的人数</w:t>
            </w:r>
          </w:p>
        </w:tc>
        <w:tc>
          <w:tcPr>
            <w:tcW w:w="7464" w:type="dxa"/>
            <w:vAlign w:val="center"/>
          </w:tcPr>
          <w:p w14:paraId="60A79451">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kern w:val="2"/>
                <w:sz w:val="22"/>
                <w:szCs w:val="22"/>
                <w:highlight w:val="none"/>
                <w:lang w:val="zh-CN"/>
              </w:rPr>
              <w:t>推荐中标候选</w:t>
            </w:r>
            <w:r>
              <w:rPr>
                <w:rFonts w:hint="eastAsia" w:ascii="仿宋" w:hAnsi="仿宋" w:eastAsia="仿宋" w:cs="仿宋"/>
                <w:color w:val="auto"/>
                <w:kern w:val="2"/>
                <w:sz w:val="22"/>
                <w:szCs w:val="22"/>
                <w:highlight w:val="none"/>
                <w:lang w:val="en-US" w:eastAsia="zh-CN"/>
              </w:rPr>
              <w:t>人的</w:t>
            </w:r>
            <w:r>
              <w:rPr>
                <w:rFonts w:hint="eastAsia" w:ascii="仿宋" w:hAnsi="仿宋" w:eastAsia="仿宋" w:cs="仿宋"/>
                <w:color w:val="auto"/>
                <w:kern w:val="2"/>
                <w:sz w:val="22"/>
                <w:szCs w:val="22"/>
                <w:highlight w:val="none"/>
                <w:lang w:val="zh-CN"/>
              </w:rPr>
              <w:t>人数</w:t>
            </w:r>
            <w:r>
              <w:rPr>
                <w:rFonts w:hint="eastAsia" w:ascii="仿宋" w:hAnsi="仿宋" w:eastAsia="仿宋" w:cs="仿宋"/>
                <w:color w:val="auto"/>
                <w:kern w:val="2"/>
                <w:sz w:val="22"/>
                <w:szCs w:val="22"/>
                <w:highlight w:val="none"/>
                <w:lang w:val="en-US" w:eastAsia="zh-CN"/>
              </w:rPr>
              <w:t>为</w:t>
            </w:r>
            <w:r>
              <w:rPr>
                <w:rFonts w:hint="eastAsia" w:ascii="仿宋" w:hAnsi="仿宋" w:eastAsia="仿宋" w:cs="仿宋"/>
                <w:color w:val="auto"/>
                <w:kern w:val="2"/>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3</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none"/>
                <w:lang w:val="en-US" w:eastAsia="zh-CN"/>
              </w:rPr>
              <w:t>人</w:t>
            </w:r>
          </w:p>
        </w:tc>
      </w:tr>
      <w:tr w14:paraId="13EA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vMerge w:val="continue"/>
            <w:vAlign w:val="center"/>
          </w:tcPr>
          <w:p w14:paraId="2F3312A0">
            <w:pPr>
              <w:shd w:val="clear"/>
              <w:snapToGrid w:val="0"/>
              <w:jc w:val="center"/>
              <w:rPr>
                <w:rFonts w:hint="eastAsia" w:ascii="仿宋" w:hAnsi="仿宋" w:eastAsia="仿宋" w:cs="仿宋"/>
                <w:color w:val="auto"/>
                <w:sz w:val="22"/>
                <w:szCs w:val="22"/>
                <w:highlight w:val="none"/>
              </w:rPr>
            </w:pPr>
          </w:p>
        </w:tc>
        <w:tc>
          <w:tcPr>
            <w:tcW w:w="2017" w:type="dxa"/>
            <w:vAlign w:val="center"/>
          </w:tcPr>
          <w:p w14:paraId="640970BF">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是否授权评标委员会确定中标人</w:t>
            </w:r>
          </w:p>
        </w:tc>
        <w:tc>
          <w:tcPr>
            <w:tcW w:w="7464" w:type="dxa"/>
            <w:vAlign w:val="center"/>
          </w:tcPr>
          <w:p w14:paraId="353E3F96">
            <w:pPr>
              <w:keepNext w:val="0"/>
              <w:keepLines w:val="0"/>
              <w:pageBreakBefore w:val="0"/>
              <w:shd w:val="clear"/>
              <w:kinsoku/>
              <w:wordWrap/>
              <w:overflowPunct/>
              <w:topLinePunct w:val="0"/>
              <w:autoSpaceDE/>
              <w:autoSpaceDN/>
              <w:bidi w:val="0"/>
              <w:snapToGrid w:val="0"/>
              <w:spacing w:line="288" w:lineRule="auto"/>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否</w:t>
            </w:r>
          </w:p>
        </w:tc>
      </w:tr>
      <w:tr w14:paraId="7764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vAlign w:val="center"/>
          </w:tcPr>
          <w:p w14:paraId="75DF5A28">
            <w:pPr>
              <w:shd w:val="clea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28</w:t>
            </w:r>
          </w:p>
        </w:tc>
        <w:tc>
          <w:tcPr>
            <w:tcW w:w="2017" w:type="dxa"/>
            <w:vAlign w:val="center"/>
          </w:tcPr>
          <w:p w14:paraId="68880AA8">
            <w:pPr>
              <w:pStyle w:val="151"/>
              <w:shd w:val="clear"/>
              <w:ind w:left="96"/>
              <w:jc w:val="center"/>
              <w:rPr>
                <w:rFonts w:hint="eastAsia" w:ascii="仿宋" w:hAnsi="仿宋" w:eastAsia="仿宋" w:cs="仿宋"/>
                <w:color w:val="auto"/>
                <w:kern w:val="2"/>
                <w:sz w:val="22"/>
                <w:szCs w:val="22"/>
                <w:highlight w:val="none"/>
                <w:lang w:val="zh-CN"/>
              </w:rPr>
            </w:pPr>
            <w:r>
              <w:rPr>
                <w:rFonts w:hint="eastAsia" w:ascii="仿宋" w:hAnsi="仿宋" w:eastAsia="仿宋" w:cs="仿宋"/>
                <w:color w:val="auto"/>
                <w:kern w:val="2"/>
                <w:sz w:val="22"/>
                <w:szCs w:val="22"/>
                <w:highlight w:val="none"/>
                <w:lang w:val="zh-CN"/>
              </w:rPr>
              <w:t>中标公告的时间、</w:t>
            </w:r>
          </w:p>
          <w:p w14:paraId="4992F4D2">
            <w:pPr>
              <w:pStyle w:val="151"/>
              <w:shd w:val="clear"/>
              <w:ind w:left="96"/>
              <w:jc w:val="center"/>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lang w:val="zh-CN"/>
              </w:rPr>
              <w:t>媒介和期限</w:t>
            </w:r>
          </w:p>
        </w:tc>
        <w:tc>
          <w:tcPr>
            <w:tcW w:w="7464" w:type="dxa"/>
            <w:vAlign w:val="center"/>
          </w:tcPr>
          <w:p w14:paraId="6A577F0B">
            <w:pPr>
              <w:pStyle w:val="13"/>
              <w:keepNext w:val="0"/>
              <w:keepLines w:val="0"/>
              <w:pageBreakBefore w:val="0"/>
              <w:shd w:val="clear"/>
              <w:kinsoku/>
              <w:wordWrap/>
              <w:overflowPunct/>
              <w:topLinePunct w:val="0"/>
              <w:autoSpaceDE/>
              <w:autoSpaceDN/>
              <w:bidi w:val="0"/>
              <w:spacing w:beforeLines="50" w:line="288" w:lineRule="auto"/>
              <w:ind w:firstLine="0"/>
              <w:textAlignment w:val="auto"/>
              <w:rPr>
                <w:rFonts w:hint="eastAsia" w:ascii="仿宋" w:hAnsi="仿宋" w:eastAsia="仿宋" w:cs="仿宋"/>
                <w:color w:val="auto"/>
                <w:kern w:val="2"/>
                <w:sz w:val="22"/>
                <w:szCs w:val="22"/>
                <w:highlight w:val="none"/>
                <w:lang w:val="zh-CN"/>
              </w:rPr>
            </w:pPr>
            <w:r>
              <w:rPr>
                <w:rFonts w:hint="eastAsia" w:ascii="仿宋" w:hAnsi="仿宋" w:eastAsia="仿宋" w:cs="仿宋"/>
                <w:color w:val="auto"/>
                <w:kern w:val="2"/>
                <w:sz w:val="22"/>
                <w:szCs w:val="22"/>
                <w:highlight w:val="none"/>
                <w:lang w:val="zh-CN"/>
              </w:rPr>
              <w:t>公告时间：</w:t>
            </w:r>
            <w:r>
              <w:rPr>
                <w:rFonts w:hint="eastAsia" w:ascii="仿宋" w:hAnsi="仿宋" w:eastAsia="仿宋" w:cs="仿宋"/>
                <w:color w:val="auto"/>
                <w:kern w:val="2"/>
                <w:sz w:val="22"/>
                <w:szCs w:val="22"/>
                <w:highlight w:val="none"/>
              </w:rPr>
              <w:t>在确定中标人之日起2个工作日内</w:t>
            </w:r>
          </w:p>
          <w:p w14:paraId="1B930777">
            <w:pPr>
              <w:pStyle w:val="151"/>
              <w:keepNext w:val="0"/>
              <w:keepLines w:val="0"/>
              <w:pageBreakBefore w:val="0"/>
              <w:shd w:val="clear"/>
              <w:kinsoku/>
              <w:wordWrap/>
              <w:overflowPunct/>
              <w:topLinePunct w:val="0"/>
              <w:autoSpaceDE/>
              <w:autoSpaceDN/>
              <w:bidi w:val="0"/>
              <w:spacing w:line="288" w:lineRule="auto"/>
              <w:jc w:val="both"/>
              <w:textAlignment w:val="auto"/>
              <w:rPr>
                <w:rFonts w:hint="eastAsia" w:ascii="仿宋" w:hAnsi="仿宋" w:eastAsia="仿宋" w:cs="仿宋"/>
                <w:color w:val="auto"/>
                <w:kern w:val="2"/>
                <w:sz w:val="22"/>
                <w:szCs w:val="22"/>
                <w:highlight w:val="none"/>
                <w:lang w:val="zh-CN"/>
              </w:rPr>
            </w:pPr>
            <w:r>
              <w:rPr>
                <w:rFonts w:hint="eastAsia" w:ascii="仿宋" w:hAnsi="仿宋" w:eastAsia="仿宋" w:cs="仿宋"/>
                <w:color w:val="auto"/>
                <w:kern w:val="2"/>
                <w:sz w:val="22"/>
                <w:szCs w:val="22"/>
                <w:highlight w:val="none"/>
                <w:lang w:val="zh-CN"/>
              </w:rPr>
              <w:t>公告媒介：陕西省政府采购网</w:t>
            </w:r>
          </w:p>
          <w:p w14:paraId="0A2BC58C">
            <w:pPr>
              <w:pStyle w:val="151"/>
              <w:keepNext w:val="0"/>
              <w:keepLines w:val="0"/>
              <w:pageBreakBefore w:val="0"/>
              <w:shd w:val="clear"/>
              <w:kinsoku/>
              <w:wordWrap/>
              <w:overflowPunct/>
              <w:topLinePunct w:val="0"/>
              <w:autoSpaceDE/>
              <w:autoSpaceDN/>
              <w:bidi w:val="0"/>
              <w:spacing w:line="288" w:lineRule="auto"/>
              <w:jc w:val="both"/>
              <w:textAlignment w:val="auto"/>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lang w:val="zh-CN"/>
              </w:rPr>
              <w:t>公告期限：1个工作日</w:t>
            </w:r>
          </w:p>
        </w:tc>
      </w:tr>
      <w:tr w14:paraId="4F1C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18" w:type="dxa"/>
            <w:vAlign w:val="center"/>
          </w:tcPr>
          <w:p w14:paraId="7FBD47C1">
            <w:pPr>
              <w:shd w:val="clea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29</w:t>
            </w:r>
          </w:p>
        </w:tc>
        <w:tc>
          <w:tcPr>
            <w:tcW w:w="2017" w:type="dxa"/>
            <w:vAlign w:val="center"/>
          </w:tcPr>
          <w:p w14:paraId="6C2DF431">
            <w:pPr>
              <w:pStyle w:val="151"/>
              <w:jc w:val="center"/>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投标人信用信息</w:t>
            </w:r>
          </w:p>
          <w:p w14:paraId="3C3BF143">
            <w:pPr>
              <w:pStyle w:val="151"/>
              <w:jc w:val="center"/>
              <w:rPr>
                <w:rFonts w:hint="eastAsia" w:ascii="仿宋" w:hAnsi="仿宋" w:eastAsia="仿宋" w:cs="仿宋"/>
                <w:color w:val="auto"/>
                <w:kern w:val="2"/>
                <w:sz w:val="22"/>
                <w:szCs w:val="22"/>
                <w:highlight w:val="none"/>
                <w:lang w:val="zh-CN"/>
              </w:rPr>
            </w:pPr>
            <w:r>
              <w:rPr>
                <w:rFonts w:hint="eastAsia" w:ascii="仿宋" w:hAnsi="仿宋" w:eastAsia="仿宋" w:cs="仿宋"/>
                <w:color w:val="auto"/>
                <w:sz w:val="22"/>
                <w:szCs w:val="22"/>
                <w:lang w:val="zh-CN"/>
              </w:rPr>
              <w:t>查询</w:t>
            </w:r>
          </w:p>
        </w:tc>
        <w:tc>
          <w:tcPr>
            <w:tcW w:w="7464" w:type="dxa"/>
            <w:vAlign w:val="center"/>
          </w:tcPr>
          <w:p w14:paraId="4D8B8E94">
            <w:pPr>
              <w:spacing w:line="340" w:lineRule="exact"/>
              <w:ind w:right="105" w:rightChars="50"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信用中国”网站（www.creditchina.gov.cn）和“中国政府采购网”（ccgp.gov.cn）为投标人信用信息查询渠道，如果投标人被查实在投标截止时间列入失信被执行人、重大税收违法失信主体、政府采购严重违法失信行为记录名单，其响应为无效。</w:t>
            </w:r>
          </w:p>
          <w:p w14:paraId="4263DA4E">
            <w:pPr>
              <w:spacing w:line="340" w:lineRule="exact"/>
              <w:ind w:right="105" w:rightChars="50" w:firstLine="440" w:firstLineChars="200"/>
              <w:rPr>
                <w:rFonts w:hint="eastAsia" w:ascii="仿宋" w:hAnsi="仿宋" w:eastAsia="仿宋" w:cs="仿宋"/>
                <w:color w:val="auto"/>
                <w:kern w:val="2"/>
                <w:sz w:val="22"/>
                <w:szCs w:val="22"/>
                <w:highlight w:val="none"/>
                <w:lang w:val="zh-CN"/>
              </w:rPr>
            </w:pPr>
            <w:r>
              <w:rPr>
                <w:rFonts w:hint="eastAsia" w:ascii="仿宋" w:hAnsi="仿宋" w:eastAsia="仿宋" w:cs="仿宋"/>
                <w:color w:val="auto"/>
                <w:sz w:val="22"/>
                <w:szCs w:val="22"/>
                <w:highlight w:val="none"/>
                <w:lang w:val="en-US" w:eastAsia="zh-CN"/>
              </w:rPr>
              <w:t>注：采购代理机构将在投标文件递交截止时间前3日内在通过【信用中国（www.creditchina.gov.cn）】和【中国政府采购网（www.ccgp.gov.cn）】网站对投标人的信用情况进行查询，并将网页截图附在评审资料中。（如相关失信记录已失效，投标人需提供相关证明资料，若没有则此项不需要提供）</w:t>
            </w:r>
          </w:p>
        </w:tc>
      </w:tr>
      <w:tr w14:paraId="4C4A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18" w:type="dxa"/>
            <w:vAlign w:val="center"/>
          </w:tcPr>
          <w:p w14:paraId="3571D5A0">
            <w:pPr>
              <w:shd w:val="clea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30</w:t>
            </w:r>
          </w:p>
        </w:tc>
        <w:tc>
          <w:tcPr>
            <w:tcW w:w="2017" w:type="dxa"/>
            <w:vAlign w:val="center"/>
          </w:tcPr>
          <w:p w14:paraId="34647659">
            <w:pPr>
              <w:pStyle w:val="151"/>
              <w:jc w:val="center"/>
              <w:rPr>
                <w:rFonts w:hint="eastAsia" w:ascii="仿宋" w:hAnsi="仿宋" w:eastAsia="仿宋" w:cs="仿宋"/>
                <w:color w:val="auto"/>
                <w:sz w:val="22"/>
                <w:szCs w:val="22"/>
                <w:lang w:val="zh-CN"/>
              </w:rPr>
            </w:pPr>
            <w:r>
              <w:rPr>
                <w:rFonts w:hint="eastAsia" w:ascii="仿宋" w:hAnsi="仿宋" w:eastAsia="仿宋" w:cs="仿宋"/>
                <w:color w:val="auto"/>
                <w:sz w:val="22"/>
                <w:szCs w:val="22"/>
                <w:lang w:val="zh-CN"/>
              </w:rPr>
              <w:t>资格审查时是否</w:t>
            </w:r>
          </w:p>
          <w:p w14:paraId="19B4D745">
            <w:pPr>
              <w:pStyle w:val="151"/>
              <w:jc w:val="center"/>
              <w:rPr>
                <w:rFonts w:hint="eastAsia" w:ascii="仿宋" w:hAnsi="仿宋" w:eastAsia="仿宋" w:cs="仿宋"/>
                <w:color w:val="auto"/>
                <w:kern w:val="2"/>
                <w:sz w:val="22"/>
                <w:szCs w:val="22"/>
                <w:highlight w:val="none"/>
                <w:lang w:val="zh-CN"/>
              </w:rPr>
            </w:pPr>
            <w:r>
              <w:rPr>
                <w:rFonts w:hint="eastAsia" w:ascii="仿宋" w:hAnsi="仿宋" w:eastAsia="仿宋" w:cs="仿宋"/>
                <w:color w:val="auto"/>
                <w:sz w:val="22"/>
                <w:szCs w:val="22"/>
                <w:lang w:val="zh-CN"/>
              </w:rPr>
              <w:t>核验证件</w:t>
            </w:r>
          </w:p>
        </w:tc>
        <w:tc>
          <w:tcPr>
            <w:tcW w:w="7464" w:type="dxa"/>
            <w:vAlign w:val="center"/>
          </w:tcPr>
          <w:p w14:paraId="384305DE">
            <w:pPr>
              <w:numPr>
                <w:ilvl w:val="0"/>
                <w:numId w:val="0"/>
              </w:numPr>
              <w:spacing w:line="340" w:lineRule="exact"/>
              <w:ind w:right="105" w:rightChars="50"/>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需要，核验要求：</w:t>
            </w:r>
            <w:r>
              <w:rPr>
                <w:rFonts w:hint="eastAsia" w:ascii="仿宋" w:hAnsi="仿宋" w:eastAsia="仿宋" w:cs="仿宋"/>
                <w:color w:val="auto"/>
                <w:sz w:val="22"/>
                <w:szCs w:val="22"/>
                <w:lang w:val="en-US" w:eastAsia="zh-CN"/>
              </w:rPr>
              <w:t>投标人法定代表人或被授权人的有效身份证件原件</w:t>
            </w:r>
          </w:p>
          <w:p w14:paraId="25DFC1D6">
            <w:pPr>
              <w:pStyle w:val="151"/>
              <w:spacing w:line="320" w:lineRule="exact"/>
              <w:ind w:right="105" w:rightChars="50"/>
              <w:rPr>
                <w:rFonts w:hint="eastAsia" w:ascii="仿宋" w:hAnsi="仿宋" w:eastAsia="仿宋" w:cs="仿宋"/>
                <w:color w:val="auto"/>
                <w:kern w:val="2"/>
                <w:sz w:val="22"/>
                <w:szCs w:val="22"/>
                <w:highlight w:val="none"/>
                <w:lang w:val="zh-CN"/>
              </w:rPr>
            </w:pPr>
            <w:r>
              <w:rPr>
                <w:rFonts w:hint="eastAsia" w:ascii="仿宋" w:hAnsi="仿宋" w:eastAsia="仿宋" w:cs="仿宋"/>
                <w:color w:val="auto"/>
                <w:sz w:val="22"/>
                <w:szCs w:val="22"/>
              </w:rPr>
              <w:t>□</w:t>
            </w:r>
            <w:r>
              <w:rPr>
                <w:rFonts w:hint="eastAsia" w:ascii="仿宋" w:hAnsi="仿宋" w:eastAsia="仿宋" w:cs="仿宋"/>
                <w:color w:val="auto"/>
                <w:kern w:val="2"/>
                <w:sz w:val="22"/>
                <w:szCs w:val="22"/>
              </w:rPr>
              <w:t>不需要</w:t>
            </w:r>
          </w:p>
        </w:tc>
      </w:tr>
      <w:tr w14:paraId="72AE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trPr>
        <w:tc>
          <w:tcPr>
            <w:tcW w:w="718" w:type="dxa"/>
            <w:vAlign w:val="center"/>
          </w:tcPr>
          <w:p w14:paraId="365CC839">
            <w:pPr>
              <w:shd w:val="clea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31</w:t>
            </w:r>
          </w:p>
        </w:tc>
        <w:tc>
          <w:tcPr>
            <w:tcW w:w="2017" w:type="dxa"/>
            <w:vAlign w:val="center"/>
          </w:tcPr>
          <w:p w14:paraId="737976B1">
            <w:pPr>
              <w:shd w:val="clear"/>
              <w:snapToGrid w:val="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采购代理服务费</w:t>
            </w:r>
          </w:p>
        </w:tc>
        <w:tc>
          <w:tcPr>
            <w:tcW w:w="7464" w:type="dxa"/>
            <w:vAlign w:val="center"/>
          </w:tcPr>
          <w:p w14:paraId="7A3C5D09">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auto"/>
                <w:kern w:val="2"/>
                <w:sz w:val="22"/>
                <w:szCs w:val="22"/>
                <w:highlight w:val="none"/>
                <w:lang w:val="zh-CN" w:eastAsia="zh-CN" w:bidi="ar-SA"/>
              </w:rPr>
            </w:pPr>
            <w:r>
              <w:rPr>
                <w:rFonts w:hint="eastAsia" w:ascii="仿宋" w:hAnsi="仿宋" w:eastAsia="仿宋" w:cs="仿宋"/>
                <w:color w:val="auto"/>
                <w:kern w:val="0"/>
                <w:sz w:val="22"/>
                <w:szCs w:val="22"/>
                <w:highlight w:val="none"/>
                <w:lang w:val="en-US" w:eastAsia="zh-CN" w:bidi="ar-SA"/>
              </w:rPr>
              <w:t>1</w:t>
            </w:r>
            <w:r>
              <w:rPr>
                <w:rFonts w:hint="eastAsia" w:ascii="仿宋" w:hAnsi="仿宋" w:eastAsia="仿宋" w:cs="仿宋"/>
                <w:color w:val="auto"/>
                <w:kern w:val="2"/>
                <w:sz w:val="22"/>
                <w:szCs w:val="22"/>
                <w:highlight w:val="none"/>
                <w:lang w:val="zh-CN" w:eastAsia="zh-CN" w:bidi="ar-SA"/>
              </w:rPr>
              <w:t>、本项目由中标人向采购代理机构交纳招标代理服务费，招标代理服务费的收取依据原国家计委《招标代理服务收费管理暂行办法》（计价格[2002]1980号）、国家发展和改革委员会《国家发展改革委办公厅关于招标代理服务收费有关问题的通知》（发改办价格[2003]857号）和《国家发展改革委关于降低部分建设项目收费标准规范收费行为等有关问题的通知》（发改价格[2011]534号）文件的相关规定收取，代理服务费具体金额后续见本项目采购结果公告。相关服务费投标人可考虑在投标总报价中，采购人不再另行支付。</w:t>
            </w:r>
          </w:p>
          <w:p w14:paraId="51E97F21">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auto"/>
                <w:kern w:val="2"/>
                <w:sz w:val="22"/>
                <w:szCs w:val="22"/>
                <w:highlight w:val="none"/>
                <w:lang w:val="zh-CN" w:eastAsia="zh-CN" w:bidi="ar-SA"/>
              </w:rPr>
            </w:pPr>
            <w:r>
              <w:rPr>
                <w:rFonts w:hint="eastAsia" w:ascii="仿宋" w:hAnsi="仿宋" w:eastAsia="仿宋" w:cs="仿宋"/>
                <w:color w:val="auto"/>
                <w:kern w:val="2"/>
                <w:sz w:val="22"/>
                <w:szCs w:val="22"/>
                <w:highlight w:val="none"/>
                <w:lang w:val="zh-CN" w:eastAsia="zh-CN" w:bidi="ar-SA"/>
              </w:rPr>
              <w:t>2、招标代理服务费的交纳方式：在领取《中标通知书》时向采购代理机构一次性全额交纳招标代理服务费。</w:t>
            </w:r>
          </w:p>
          <w:p w14:paraId="159C430C">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auto"/>
                <w:kern w:val="2"/>
                <w:sz w:val="22"/>
                <w:szCs w:val="22"/>
                <w:highlight w:val="none"/>
                <w:lang w:val="zh-CN" w:eastAsia="zh-CN" w:bidi="ar-SA"/>
              </w:rPr>
            </w:pPr>
            <w:r>
              <w:rPr>
                <w:rFonts w:hint="eastAsia" w:ascii="仿宋" w:hAnsi="仿宋" w:eastAsia="仿宋" w:cs="仿宋"/>
                <w:color w:val="auto"/>
                <w:kern w:val="2"/>
                <w:sz w:val="22"/>
                <w:szCs w:val="22"/>
                <w:highlight w:val="none"/>
                <w:lang w:val="zh-CN" w:eastAsia="zh-CN" w:bidi="ar-SA"/>
              </w:rPr>
              <w:t>3、招标代理服务费以转账形式缴纳至以下账户：</w:t>
            </w:r>
          </w:p>
          <w:p w14:paraId="6536EFE5">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auto"/>
                <w:kern w:val="2"/>
                <w:sz w:val="22"/>
                <w:szCs w:val="22"/>
                <w:highlight w:val="none"/>
                <w:lang w:val="zh-CN" w:eastAsia="zh-CN" w:bidi="ar-SA"/>
              </w:rPr>
            </w:pPr>
            <w:r>
              <w:rPr>
                <w:rFonts w:hint="eastAsia" w:ascii="仿宋" w:hAnsi="仿宋" w:eastAsia="仿宋" w:cs="仿宋"/>
                <w:color w:val="auto"/>
                <w:kern w:val="2"/>
                <w:sz w:val="22"/>
                <w:szCs w:val="22"/>
                <w:highlight w:val="none"/>
                <w:lang w:val="zh-CN" w:eastAsia="zh-CN" w:bidi="ar-SA"/>
              </w:rPr>
              <w:t>交纳账户名称：陕西汉正项目管理有限公司</w:t>
            </w:r>
          </w:p>
          <w:p w14:paraId="78785C92">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auto"/>
                <w:kern w:val="2"/>
                <w:sz w:val="22"/>
                <w:szCs w:val="22"/>
                <w:highlight w:val="none"/>
                <w:lang w:val="zh-CN" w:eastAsia="zh-CN" w:bidi="ar-SA"/>
              </w:rPr>
            </w:pPr>
            <w:r>
              <w:rPr>
                <w:rFonts w:hint="eastAsia" w:ascii="仿宋" w:hAnsi="仿宋" w:eastAsia="仿宋" w:cs="仿宋"/>
                <w:color w:val="auto"/>
                <w:kern w:val="2"/>
                <w:sz w:val="22"/>
                <w:szCs w:val="22"/>
                <w:highlight w:val="none"/>
                <w:lang w:val="zh-CN" w:eastAsia="zh-CN" w:bidi="ar-SA"/>
              </w:rPr>
              <w:t>开户行：中国建设银行股份有限公司西安科技二路支行</w:t>
            </w:r>
          </w:p>
          <w:p w14:paraId="766EC438">
            <w:pPr>
              <w:keepNext w:val="0"/>
              <w:keepLines w:val="0"/>
              <w:pageBreakBefore w:val="0"/>
              <w:widowControl w:val="0"/>
              <w:shd w:val="clear"/>
              <w:kinsoku/>
              <w:wordWrap/>
              <w:overflowPunct/>
              <w:topLinePunct w:val="0"/>
              <w:autoSpaceDE/>
              <w:autoSpaceDN/>
              <w:bidi w:val="0"/>
              <w:adjustRightInd/>
              <w:snapToGrid w:val="0"/>
              <w:spacing w:line="312" w:lineRule="auto"/>
              <w:textAlignment w:val="auto"/>
              <w:rPr>
                <w:rFonts w:hint="eastAsia" w:ascii="仿宋" w:hAnsi="仿宋" w:eastAsia="仿宋" w:cs="仿宋"/>
                <w:color w:val="auto"/>
                <w:sz w:val="22"/>
                <w:szCs w:val="22"/>
                <w:highlight w:val="none"/>
                <w:lang w:val="zh-CN"/>
              </w:rPr>
            </w:pPr>
            <w:r>
              <w:rPr>
                <w:rFonts w:hint="eastAsia" w:ascii="仿宋" w:hAnsi="仿宋" w:eastAsia="仿宋" w:cs="仿宋"/>
                <w:color w:val="auto"/>
                <w:kern w:val="2"/>
                <w:sz w:val="22"/>
                <w:szCs w:val="22"/>
                <w:highlight w:val="none"/>
                <w:lang w:val="zh-CN" w:eastAsia="zh-CN" w:bidi="ar-SA"/>
              </w:rPr>
              <w:t>账号：6105 0110 7710 0000 0926</w:t>
            </w:r>
          </w:p>
        </w:tc>
      </w:tr>
      <w:tr w14:paraId="337A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left w:val="single" w:color="auto" w:sz="4" w:space="0"/>
              <w:bottom w:val="single" w:color="auto" w:sz="4" w:space="0"/>
            </w:tcBorders>
            <w:vAlign w:val="center"/>
          </w:tcPr>
          <w:p w14:paraId="0CC46C5E">
            <w:pPr>
              <w:shd w:val="clea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32</w:t>
            </w:r>
          </w:p>
        </w:tc>
        <w:tc>
          <w:tcPr>
            <w:tcW w:w="2017" w:type="dxa"/>
            <w:tcBorders>
              <w:bottom w:val="single" w:color="auto" w:sz="4" w:space="0"/>
            </w:tcBorders>
            <w:vAlign w:val="center"/>
          </w:tcPr>
          <w:p w14:paraId="3D6B56A4">
            <w:pPr>
              <w:pStyle w:val="151"/>
              <w:shd w:val="clear"/>
              <w:jc w:val="center"/>
              <w:rPr>
                <w:rFonts w:hint="eastAsia" w:ascii="仿宋" w:hAnsi="仿宋" w:eastAsia="仿宋" w:cs="仿宋"/>
                <w:color w:val="auto"/>
                <w:kern w:val="2"/>
                <w:sz w:val="22"/>
                <w:szCs w:val="22"/>
                <w:highlight w:val="none"/>
                <w:lang w:val="zh-CN"/>
              </w:rPr>
            </w:pPr>
            <w:r>
              <w:rPr>
                <w:rFonts w:hint="eastAsia" w:ascii="仿宋" w:hAnsi="仿宋" w:eastAsia="仿宋" w:cs="仿宋"/>
                <w:color w:val="auto"/>
                <w:kern w:val="2"/>
                <w:sz w:val="22"/>
                <w:szCs w:val="22"/>
                <w:highlight w:val="none"/>
                <w:lang w:val="zh-CN"/>
              </w:rPr>
              <w:t>开标现场是否</w:t>
            </w:r>
          </w:p>
          <w:p w14:paraId="14F5FBB1">
            <w:pPr>
              <w:pStyle w:val="151"/>
              <w:shd w:val="clear"/>
              <w:jc w:val="center"/>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lang w:val="zh-CN"/>
              </w:rPr>
              <w:t>演示与述标</w:t>
            </w:r>
          </w:p>
        </w:tc>
        <w:tc>
          <w:tcPr>
            <w:tcW w:w="7464" w:type="dxa"/>
            <w:tcBorders>
              <w:bottom w:val="single" w:color="auto" w:sz="4" w:space="0"/>
              <w:right w:val="single" w:color="auto" w:sz="4" w:space="0"/>
            </w:tcBorders>
            <w:vAlign w:val="center"/>
          </w:tcPr>
          <w:p w14:paraId="245DDCB3">
            <w:pPr>
              <w:keepNext w:val="0"/>
              <w:keepLines w:val="0"/>
              <w:pageBreakBefore w:val="0"/>
              <w:shd w:val="clear"/>
              <w:kinsoku/>
              <w:wordWrap/>
              <w:overflowPunct/>
              <w:topLinePunct w:val="0"/>
              <w:autoSpaceDE/>
              <w:autoSpaceDN/>
              <w:bidi w:val="0"/>
              <w:spacing w:line="288" w:lineRule="auto"/>
              <w:ind w:left="210" w:right="105" w:rightChars="5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否</w:t>
            </w:r>
          </w:p>
        </w:tc>
      </w:tr>
      <w:tr w14:paraId="04D5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3D32C7BD">
            <w:pPr>
              <w:shd w:val="clea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33</w:t>
            </w:r>
          </w:p>
        </w:tc>
        <w:tc>
          <w:tcPr>
            <w:tcW w:w="2017" w:type="dxa"/>
            <w:tcBorders>
              <w:top w:val="single" w:color="auto" w:sz="4" w:space="0"/>
              <w:bottom w:val="single" w:color="auto" w:sz="4" w:space="0"/>
            </w:tcBorders>
            <w:vAlign w:val="center"/>
          </w:tcPr>
          <w:p w14:paraId="2F8BCDD3">
            <w:pPr>
              <w:pStyle w:val="151"/>
              <w:shd w:val="clear"/>
              <w:jc w:val="center"/>
              <w:rPr>
                <w:rFonts w:hint="eastAsia" w:ascii="仿宋" w:hAnsi="仿宋" w:eastAsia="仿宋" w:cs="仿宋"/>
                <w:color w:val="auto"/>
                <w:kern w:val="2"/>
                <w:sz w:val="22"/>
                <w:szCs w:val="22"/>
                <w:highlight w:val="none"/>
                <w:lang w:val="zh-CN"/>
              </w:rPr>
            </w:pPr>
            <w:r>
              <w:rPr>
                <w:rFonts w:hint="eastAsia" w:ascii="仿宋" w:hAnsi="仿宋" w:eastAsia="仿宋" w:cs="仿宋"/>
                <w:color w:val="auto"/>
                <w:kern w:val="2"/>
                <w:sz w:val="22"/>
                <w:szCs w:val="22"/>
                <w:highlight w:val="none"/>
                <w:lang w:val="zh-CN"/>
              </w:rPr>
              <w:t>开标现场是否</w:t>
            </w:r>
          </w:p>
          <w:p w14:paraId="41899012">
            <w:pPr>
              <w:pStyle w:val="151"/>
              <w:shd w:val="clear"/>
              <w:jc w:val="center"/>
              <w:rPr>
                <w:rFonts w:hint="eastAsia" w:ascii="仿宋" w:hAnsi="仿宋" w:eastAsia="仿宋" w:cs="仿宋"/>
                <w:color w:val="auto"/>
                <w:kern w:val="2"/>
                <w:sz w:val="22"/>
                <w:szCs w:val="22"/>
                <w:highlight w:val="none"/>
              </w:rPr>
            </w:pPr>
            <w:r>
              <w:rPr>
                <w:rFonts w:hint="eastAsia" w:ascii="仿宋" w:hAnsi="仿宋" w:eastAsia="仿宋" w:cs="仿宋"/>
                <w:color w:val="auto"/>
                <w:kern w:val="2"/>
                <w:sz w:val="22"/>
                <w:szCs w:val="22"/>
                <w:highlight w:val="none"/>
                <w:lang w:val="zh-CN"/>
              </w:rPr>
              <w:t>提供样品</w:t>
            </w:r>
          </w:p>
        </w:tc>
        <w:tc>
          <w:tcPr>
            <w:tcW w:w="7464" w:type="dxa"/>
            <w:tcBorders>
              <w:top w:val="single" w:color="auto" w:sz="4" w:space="0"/>
              <w:bottom w:val="single" w:color="auto" w:sz="4" w:space="0"/>
              <w:right w:val="single" w:color="auto" w:sz="4" w:space="0"/>
            </w:tcBorders>
            <w:vAlign w:val="center"/>
          </w:tcPr>
          <w:p w14:paraId="32725693">
            <w:pPr>
              <w:keepNext w:val="0"/>
              <w:keepLines w:val="0"/>
              <w:pageBreakBefore w:val="0"/>
              <w:shd w:val="clear"/>
              <w:kinsoku/>
              <w:wordWrap/>
              <w:overflowPunct/>
              <w:topLinePunct w:val="0"/>
              <w:autoSpaceDE/>
              <w:autoSpaceDN/>
              <w:bidi w:val="0"/>
              <w:spacing w:line="288" w:lineRule="auto"/>
              <w:ind w:right="105" w:rightChars="50" w:firstLine="220" w:firstLineChars="1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否</w:t>
            </w:r>
          </w:p>
        </w:tc>
      </w:tr>
      <w:tr w14:paraId="6861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8" w:type="dxa"/>
            <w:tcBorders>
              <w:top w:val="single" w:color="auto" w:sz="4" w:space="0"/>
              <w:left w:val="single" w:color="auto" w:sz="4" w:space="0"/>
              <w:bottom w:val="single" w:color="auto" w:sz="4" w:space="0"/>
            </w:tcBorders>
            <w:vAlign w:val="center"/>
          </w:tcPr>
          <w:p w14:paraId="1BC4C991">
            <w:pPr>
              <w:shd w:val="clear"/>
              <w:snapToGrid w:val="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34</w:t>
            </w:r>
          </w:p>
        </w:tc>
        <w:tc>
          <w:tcPr>
            <w:tcW w:w="2017" w:type="dxa"/>
            <w:tcBorders>
              <w:top w:val="single" w:color="auto" w:sz="4" w:space="0"/>
              <w:bottom w:val="single" w:color="auto" w:sz="4" w:space="0"/>
            </w:tcBorders>
            <w:vAlign w:val="center"/>
          </w:tcPr>
          <w:p w14:paraId="1FA34117">
            <w:pPr>
              <w:pStyle w:val="151"/>
              <w:shd w:val="clear"/>
              <w:jc w:val="center"/>
              <w:rPr>
                <w:rFonts w:hint="eastAsia" w:ascii="仿宋" w:hAnsi="仿宋" w:eastAsia="仿宋" w:cs="仿宋"/>
                <w:color w:val="auto"/>
                <w:kern w:val="2"/>
                <w:sz w:val="22"/>
                <w:szCs w:val="22"/>
                <w:highlight w:val="none"/>
                <w:lang w:val="zh-CN"/>
              </w:rPr>
            </w:pPr>
            <w:r>
              <w:rPr>
                <w:rFonts w:hint="eastAsia" w:ascii="仿宋" w:hAnsi="仿宋" w:eastAsia="仿宋" w:cs="仿宋"/>
                <w:color w:val="auto"/>
                <w:kern w:val="2"/>
                <w:sz w:val="22"/>
                <w:szCs w:val="22"/>
                <w:highlight w:val="none"/>
                <w:lang w:val="en-US" w:eastAsia="zh-CN"/>
              </w:rPr>
              <w:t>评标委员会成员</w:t>
            </w:r>
          </w:p>
        </w:tc>
        <w:tc>
          <w:tcPr>
            <w:tcW w:w="7464" w:type="dxa"/>
            <w:tcBorders>
              <w:top w:val="single" w:color="auto" w:sz="4" w:space="0"/>
              <w:bottom w:val="single" w:color="auto" w:sz="4" w:space="0"/>
              <w:right w:val="single" w:color="auto" w:sz="4" w:space="0"/>
            </w:tcBorders>
            <w:vAlign w:val="center"/>
          </w:tcPr>
          <w:p w14:paraId="62C595A5">
            <w:pPr>
              <w:keepNext w:val="0"/>
              <w:keepLines w:val="0"/>
              <w:pageBreakBefore w:val="0"/>
              <w:shd w:val="clear"/>
              <w:kinsoku/>
              <w:wordWrap/>
              <w:overflowPunct/>
              <w:topLinePunct w:val="0"/>
              <w:autoSpaceDE/>
              <w:autoSpaceDN/>
              <w:bidi w:val="0"/>
              <w:spacing w:line="288" w:lineRule="auto"/>
              <w:ind w:right="105" w:rightChars="5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采购人代表1人及陕西省政府采购专家库4人</w:t>
            </w:r>
          </w:p>
        </w:tc>
      </w:tr>
    </w:tbl>
    <w:p w14:paraId="677EF8AB">
      <w:pPr>
        <w:pStyle w:val="73"/>
        <w:shd w:val="clear"/>
        <w:rPr>
          <w:rFonts w:hint="eastAsia" w:ascii="仿宋" w:hAnsi="仿宋" w:eastAsia="仿宋" w:cs="仿宋"/>
          <w:color w:val="auto"/>
          <w:sz w:val="36"/>
          <w:szCs w:val="36"/>
          <w:highlight w:val="none"/>
        </w:rPr>
      </w:pPr>
      <w:r>
        <w:rPr>
          <w:rFonts w:hint="eastAsia" w:ascii="仿宋" w:hAnsi="仿宋" w:eastAsia="仿宋" w:cs="仿宋"/>
          <w:b/>
          <w:bCs/>
          <w:snapToGrid/>
          <w:color w:val="auto"/>
          <w:spacing w:val="0"/>
          <w:sz w:val="22"/>
          <w:szCs w:val="24"/>
          <w:highlight w:val="none"/>
        </w:rPr>
        <w:t>注：投标人须知前附表与招标文件正文不一致的以投标人须知前附表为准。</w:t>
      </w:r>
      <w:bookmarkEnd w:id="42"/>
      <w:bookmarkEnd w:id="43"/>
      <w:bookmarkStart w:id="44" w:name="_Toc24682"/>
      <w:bookmarkStart w:id="45" w:name="_Toc4337"/>
      <w:bookmarkStart w:id="46" w:name="_Toc25053"/>
      <w:bookmarkStart w:id="47" w:name="_Toc13154"/>
      <w:bookmarkStart w:id="48" w:name="_Toc3248"/>
      <w:bookmarkStart w:id="49" w:name="_Toc30960"/>
      <w:bookmarkStart w:id="50" w:name="_Toc27190"/>
      <w:bookmarkStart w:id="51" w:name="_Toc32725"/>
      <w:bookmarkStart w:id="52" w:name="_Toc7365"/>
      <w:bookmarkStart w:id="53" w:name="_Toc24712"/>
      <w:bookmarkStart w:id="54" w:name="_Toc26974"/>
      <w:bookmarkStart w:id="55" w:name="_Toc23249"/>
      <w:bookmarkStart w:id="56" w:name="_Toc2796"/>
      <w:bookmarkStart w:id="57" w:name="_Toc25941_WPSOffice_Level1"/>
      <w:bookmarkStart w:id="58" w:name="_Toc27632"/>
      <w:bookmarkStart w:id="59" w:name="_Toc531189843"/>
      <w:bookmarkStart w:id="60" w:name="_Toc175973404"/>
    </w:p>
    <w:p w14:paraId="15A26AFA">
      <w:pPr>
        <w:pStyle w:val="4"/>
        <w:shd w:val="clear"/>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rPr>
        <w:t>投标须知正文</w:t>
      </w:r>
      <w:bookmarkEnd w:id="44"/>
    </w:p>
    <w:p w14:paraId="5F468C81">
      <w:pPr>
        <w:shd w:val="clear"/>
        <w:tabs>
          <w:tab w:val="left" w:pos="7665"/>
        </w:tabs>
        <w:spacing w:beforeLines="50" w:afterLines="50" w:line="360" w:lineRule="auto"/>
        <w:ind w:firstLine="1"/>
        <w:outlineLvl w:val="1"/>
        <w:rPr>
          <w:rFonts w:hint="eastAsia" w:ascii="仿宋" w:hAnsi="仿宋" w:eastAsia="仿宋" w:cs="仿宋"/>
          <w:b/>
          <w:color w:val="auto"/>
          <w:sz w:val="24"/>
          <w:szCs w:val="24"/>
          <w:highlight w:val="none"/>
        </w:rPr>
      </w:pPr>
      <w:bookmarkStart w:id="61" w:name="_Toc32544"/>
      <w:bookmarkStart w:id="62" w:name="_Toc201"/>
      <w:bookmarkStart w:id="63" w:name="_Toc18021"/>
      <w:bookmarkStart w:id="64" w:name="_Toc24753"/>
      <w:bookmarkStart w:id="65" w:name="_Toc531189839"/>
      <w:bookmarkStart w:id="66" w:name="_Toc175973400"/>
      <w:r>
        <w:rPr>
          <w:rFonts w:hint="eastAsia" w:ascii="仿宋" w:hAnsi="仿宋" w:eastAsia="仿宋" w:cs="仿宋"/>
          <w:b/>
          <w:color w:val="auto"/>
          <w:sz w:val="24"/>
          <w:szCs w:val="24"/>
          <w:highlight w:val="none"/>
        </w:rPr>
        <w:t>一、名词解释</w:t>
      </w:r>
      <w:bookmarkEnd w:id="61"/>
      <w:bookmarkEnd w:id="62"/>
    </w:p>
    <w:p w14:paraId="52323981">
      <w:pPr>
        <w:shd w:val="clear"/>
        <w:adjustRightInd w:val="0"/>
        <w:snapToGrid w:val="0"/>
        <w:spacing w:beforeLines="50"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r>
        <w:rPr>
          <w:rFonts w:hint="eastAsia" w:ascii="仿宋" w:hAnsi="仿宋" w:eastAsia="仿宋" w:cs="仿宋"/>
          <w:b/>
          <w:bCs/>
          <w:color w:val="auto"/>
          <w:kern w:val="0"/>
          <w:szCs w:val="21"/>
          <w:highlight w:val="none"/>
        </w:rPr>
        <w:t>采购人</w:t>
      </w:r>
      <w:r>
        <w:rPr>
          <w:rFonts w:hint="eastAsia" w:ascii="仿宋" w:hAnsi="仿宋" w:eastAsia="仿宋" w:cs="仿宋"/>
          <w:color w:val="auto"/>
          <w:kern w:val="0"/>
          <w:szCs w:val="21"/>
          <w:highlight w:val="none"/>
        </w:rPr>
        <w:t>系指依法进行政府采购的国家机关、事业单位、团体组织。本次采购的采购人名称、地址、电话、联系人见投标人须知前附表。</w:t>
      </w:r>
    </w:p>
    <w:p w14:paraId="521C00B1">
      <w:pPr>
        <w:shd w:val="clear"/>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r>
        <w:rPr>
          <w:rFonts w:hint="eastAsia" w:ascii="仿宋" w:hAnsi="仿宋" w:eastAsia="仿宋" w:cs="仿宋"/>
          <w:b/>
          <w:bCs/>
          <w:color w:val="auto"/>
          <w:kern w:val="0"/>
          <w:szCs w:val="21"/>
          <w:highlight w:val="none"/>
        </w:rPr>
        <w:t>监督机构</w:t>
      </w:r>
      <w:r>
        <w:rPr>
          <w:rFonts w:hint="eastAsia" w:ascii="仿宋" w:hAnsi="仿宋" w:eastAsia="仿宋" w:cs="仿宋"/>
          <w:color w:val="auto"/>
          <w:kern w:val="0"/>
          <w:szCs w:val="21"/>
          <w:highlight w:val="none"/>
        </w:rPr>
        <w:t>系指政府采购行政监督管理部门。本次采购的监督机构</w:t>
      </w:r>
      <w:r>
        <w:rPr>
          <w:rFonts w:hint="eastAsia" w:ascii="仿宋" w:hAnsi="仿宋" w:eastAsia="仿宋" w:cs="仿宋"/>
          <w:color w:val="auto"/>
          <w:kern w:val="0"/>
          <w:szCs w:val="21"/>
          <w:highlight w:val="none"/>
          <w:lang w:val="en-US" w:eastAsia="zh-CN"/>
        </w:rPr>
        <w:t>为</w:t>
      </w:r>
      <w:r>
        <w:rPr>
          <w:rFonts w:hint="eastAsia" w:ascii="仿宋" w:hAnsi="仿宋" w:eastAsia="仿宋" w:cs="仿宋"/>
          <w:color w:val="auto"/>
          <w:kern w:val="0"/>
          <w:szCs w:val="21"/>
          <w:highlight w:val="none"/>
        </w:rPr>
        <w:t>同级人民政府财政部门及有关部门。</w:t>
      </w:r>
    </w:p>
    <w:p w14:paraId="2C29DA92">
      <w:pPr>
        <w:shd w:val="clear"/>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r>
        <w:rPr>
          <w:rFonts w:hint="eastAsia" w:ascii="仿宋" w:hAnsi="仿宋" w:eastAsia="仿宋" w:cs="仿宋"/>
          <w:b/>
          <w:bCs/>
          <w:color w:val="auto"/>
          <w:kern w:val="0"/>
          <w:szCs w:val="21"/>
          <w:highlight w:val="none"/>
        </w:rPr>
        <w:t>采购代理机构</w:t>
      </w:r>
      <w:r>
        <w:rPr>
          <w:rFonts w:hint="eastAsia" w:ascii="仿宋" w:hAnsi="仿宋" w:eastAsia="仿宋" w:cs="仿宋"/>
          <w:color w:val="auto"/>
          <w:kern w:val="0"/>
          <w:szCs w:val="21"/>
          <w:highlight w:val="none"/>
        </w:rPr>
        <w:t>系指接受采购人委托，代理采购项目的依法经财政部门认定资格的采购代理机构。本次采购的采购代理机构名称、地址、电话、联系人见投标人须知前附表。</w:t>
      </w:r>
    </w:p>
    <w:p w14:paraId="23609A18">
      <w:pPr>
        <w:shd w:val="clear"/>
        <w:tabs>
          <w:tab w:val="left" w:pos="7665"/>
        </w:tabs>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1.4. </w:t>
      </w:r>
      <w:r>
        <w:rPr>
          <w:rFonts w:hint="eastAsia" w:ascii="仿宋" w:hAnsi="仿宋" w:eastAsia="仿宋" w:cs="仿宋"/>
          <w:b/>
          <w:bCs/>
          <w:color w:val="auto"/>
          <w:kern w:val="0"/>
          <w:szCs w:val="21"/>
          <w:highlight w:val="none"/>
        </w:rPr>
        <w:t>投标人</w:t>
      </w:r>
      <w:r>
        <w:rPr>
          <w:rFonts w:hint="eastAsia" w:ascii="仿宋" w:hAnsi="仿宋" w:eastAsia="仿宋" w:cs="仿宋"/>
          <w:color w:val="auto"/>
          <w:kern w:val="0"/>
          <w:szCs w:val="21"/>
          <w:highlight w:val="none"/>
        </w:rPr>
        <w:t>是指响应招标，参加投标竞争的法人或其他组织或个人。</w:t>
      </w:r>
    </w:p>
    <w:p w14:paraId="2BB8ACDA">
      <w:pPr>
        <w:shd w:val="clear"/>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1.5. </w:t>
      </w:r>
      <w:r>
        <w:rPr>
          <w:rFonts w:hint="eastAsia" w:ascii="仿宋" w:hAnsi="仿宋" w:eastAsia="仿宋" w:cs="仿宋"/>
          <w:b/>
          <w:bCs/>
          <w:color w:val="auto"/>
          <w:kern w:val="0"/>
          <w:szCs w:val="21"/>
          <w:highlight w:val="none"/>
        </w:rPr>
        <w:t>货物</w:t>
      </w:r>
      <w:r>
        <w:rPr>
          <w:rFonts w:hint="eastAsia" w:ascii="仿宋" w:hAnsi="仿宋" w:eastAsia="仿宋" w:cs="仿宋"/>
          <w:color w:val="auto"/>
          <w:kern w:val="0"/>
          <w:szCs w:val="21"/>
          <w:highlight w:val="none"/>
        </w:rPr>
        <w:t>是指本招标文件中第</w:t>
      </w:r>
      <w:r>
        <w:rPr>
          <w:rFonts w:hint="eastAsia" w:ascii="仿宋" w:hAnsi="仿宋" w:eastAsia="仿宋" w:cs="仿宋"/>
          <w:color w:val="auto"/>
          <w:kern w:val="0"/>
          <w:szCs w:val="21"/>
          <w:highlight w:val="none"/>
          <w:lang w:val="en-US" w:eastAsia="zh-CN"/>
        </w:rPr>
        <w:t>三</w:t>
      </w:r>
      <w:r>
        <w:rPr>
          <w:rFonts w:hint="eastAsia" w:ascii="仿宋" w:hAnsi="仿宋" w:eastAsia="仿宋" w:cs="仿宋"/>
          <w:color w:val="auto"/>
          <w:kern w:val="0"/>
          <w:szCs w:val="21"/>
          <w:highlight w:val="none"/>
        </w:rPr>
        <w:t>章所述所有货物。</w:t>
      </w:r>
    </w:p>
    <w:p w14:paraId="05095D7D">
      <w:pPr>
        <w:shd w:val="clear"/>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1.6. </w:t>
      </w:r>
      <w:r>
        <w:rPr>
          <w:rFonts w:hint="eastAsia" w:ascii="仿宋" w:hAnsi="仿宋" w:eastAsia="仿宋" w:cs="仿宋"/>
          <w:b/>
          <w:bCs/>
          <w:color w:val="auto"/>
          <w:kern w:val="0"/>
          <w:szCs w:val="21"/>
          <w:highlight w:val="none"/>
        </w:rPr>
        <w:t>服务</w:t>
      </w:r>
      <w:r>
        <w:rPr>
          <w:rFonts w:hint="eastAsia" w:ascii="仿宋" w:hAnsi="仿宋" w:eastAsia="仿宋" w:cs="仿宋"/>
          <w:color w:val="auto"/>
          <w:kern w:val="0"/>
          <w:szCs w:val="21"/>
          <w:highlight w:val="none"/>
        </w:rPr>
        <w:t>是指</w:t>
      </w:r>
      <w:r>
        <w:rPr>
          <w:rFonts w:hint="eastAsia" w:ascii="仿宋" w:hAnsi="仿宋" w:eastAsia="仿宋" w:cs="仿宋"/>
          <w:color w:val="auto"/>
          <w:kern w:val="0"/>
          <w:szCs w:val="21"/>
          <w:highlight w:val="none"/>
          <w:lang w:val="en-US" w:eastAsia="zh-CN"/>
        </w:rPr>
        <w:t>投标人</w:t>
      </w:r>
      <w:r>
        <w:rPr>
          <w:rFonts w:hint="eastAsia" w:ascii="仿宋" w:hAnsi="仿宋" w:eastAsia="仿宋" w:cs="仿宋"/>
          <w:color w:val="auto"/>
          <w:kern w:val="0"/>
          <w:szCs w:val="21"/>
          <w:highlight w:val="none"/>
        </w:rPr>
        <w:t>为满足招标文件要求而提供的服务。</w:t>
      </w:r>
    </w:p>
    <w:p w14:paraId="5BED613C">
      <w:pPr>
        <w:shd w:val="clear"/>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1.7. </w:t>
      </w:r>
      <w:r>
        <w:rPr>
          <w:rFonts w:hint="eastAsia" w:ascii="仿宋" w:hAnsi="仿宋" w:eastAsia="仿宋" w:cs="仿宋"/>
          <w:b/>
          <w:bCs/>
          <w:color w:val="auto"/>
          <w:kern w:val="0"/>
          <w:szCs w:val="21"/>
          <w:highlight w:val="none"/>
        </w:rPr>
        <w:t>节能产品</w:t>
      </w:r>
      <w:r>
        <w:rPr>
          <w:rFonts w:hint="eastAsia" w:ascii="仿宋" w:hAnsi="仿宋" w:eastAsia="仿宋" w:cs="仿宋"/>
          <w:color w:val="auto"/>
          <w:kern w:val="0"/>
          <w:szCs w:val="21"/>
          <w:highlight w:val="none"/>
        </w:rPr>
        <w:t>指财政部、发展改革委、生态环境部等部门发布的《节能产品品目清单》中的产品。</w:t>
      </w:r>
    </w:p>
    <w:p w14:paraId="4D48913A">
      <w:pPr>
        <w:shd w:val="clear"/>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1.8. </w:t>
      </w:r>
      <w:r>
        <w:rPr>
          <w:rFonts w:hint="eastAsia" w:ascii="仿宋" w:hAnsi="仿宋" w:eastAsia="仿宋" w:cs="仿宋"/>
          <w:b/>
          <w:bCs/>
          <w:color w:val="auto"/>
          <w:kern w:val="0"/>
          <w:szCs w:val="21"/>
          <w:highlight w:val="none"/>
        </w:rPr>
        <w:t>环境标志产品</w:t>
      </w:r>
      <w:r>
        <w:rPr>
          <w:rFonts w:hint="eastAsia" w:ascii="仿宋" w:hAnsi="仿宋" w:eastAsia="仿宋" w:cs="仿宋"/>
          <w:color w:val="auto"/>
          <w:kern w:val="0"/>
          <w:szCs w:val="21"/>
          <w:highlight w:val="none"/>
        </w:rPr>
        <w:t>是指财政部、发展改革委、生态环境部等部门发布的《环境标志产品品目清单》中的产品。</w:t>
      </w:r>
    </w:p>
    <w:p w14:paraId="25D887DF">
      <w:pPr>
        <w:shd w:val="clear"/>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1.9. </w:t>
      </w:r>
      <w:r>
        <w:rPr>
          <w:rFonts w:hint="eastAsia" w:ascii="仿宋" w:hAnsi="仿宋" w:eastAsia="仿宋" w:cs="仿宋"/>
          <w:b/>
          <w:bCs/>
          <w:color w:val="auto"/>
          <w:kern w:val="0"/>
          <w:szCs w:val="21"/>
          <w:highlight w:val="none"/>
        </w:rPr>
        <w:t>进口产品</w:t>
      </w:r>
      <w:r>
        <w:rPr>
          <w:rFonts w:hint="eastAsia" w:ascii="仿宋" w:hAnsi="仿宋" w:eastAsia="仿宋" w:cs="仿宋"/>
          <w:color w:val="auto"/>
          <w:kern w:val="0"/>
          <w:szCs w:val="21"/>
          <w:highlight w:val="none"/>
        </w:rPr>
        <w:t>是指通过中国海关报关验放进入中国境内且产自关境外的产品，详见《关于政府采购进口产品管理有关问题的通知》(财库[2007]119号)。</w:t>
      </w:r>
    </w:p>
    <w:p w14:paraId="7895027D">
      <w:pPr>
        <w:shd w:val="clear"/>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1.10.</w:t>
      </w:r>
      <w:r>
        <w:rPr>
          <w:rFonts w:hint="eastAsia" w:ascii="仿宋" w:hAnsi="仿宋" w:eastAsia="仿宋" w:cs="仿宋"/>
          <w:b/>
          <w:bCs/>
          <w:color w:val="auto"/>
          <w:kern w:val="0"/>
          <w:szCs w:val="21"/>
          <w:highlight w:val="none"/>
        </w:rPr>
        <w:t>中小企业</w:t>
      </w:r>
      <w:r>
        <w:rPr>
          <w:rFonts w:hint="eastAsia" w:ascii="仿宋" w:hAnsi="仿宋" w:eastAsia="仿宋" w:cs="仿宋"/>
          <w:color w:val="auto"/>
          <w:kern w:val="0"/>
          <w:szCs w:val="21"/>
          <w:highlight w:val="none"/>
        </w:rPr>
        <w:t>是指符合《工业和信息化部、国家统计局、国家发展和改革委员会、财政部关于印发中小企业划型标准规定的通知》（工信部联企业[2011]300号）规定的对中小企业的划分标准的企业。</w:t>
      </w:r>
    </w:p>
    <w:p w14:paraId="5E4648B3">
      <w:pPr>
        <w:shd w:val="clear"/>
        <w:adjustRightInd w:val="0"/>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1.11.</w:t>
      </w:r>
      <w:r>
        <w:rPr>
          <w:rFonts w:hint="eastAsia" w:ascii="仿宋" w:hAnsi="仿宋" w:eastAsia="仿宋" w:cs="仿宋"/>
          <w:b/>
          <w:bCs/>
          <w:color w:val="auto"/>
          <w:kern w:val="0"/>
          <w:szCs w:val="21"/>
          <w:highlight w:val="none"/>
        </w:rPr>
        <w:t xml:space="preserve"> 监狱企业</w:t>
      </w:r>
      <w:r>
        <w:rPr>
          <w:rFonts w:hint="eastAsia" w:ascii="仿宋" w:hAnsi="仿宋" w:eastAsia="仿宋" w:cs="仿宋"/>
          <w:color w:val="auto"/>
          <w:kern w:val="0"/>
          <w:szCs w:val="21"/>
          <w:highlight w:val="none"/>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7CE09C5">
      <w:pPr>
        <w:pStyle w:val="4"/>
        <w:shd w:val="clear"/>
        <w:snapToGrid w:val="0"/>
        <w:ind w:firstLine="420" w:firstLineChars="200"/>
        <w:jc w:val="both"/>
        <w:rPr>
          <w:rFonts w:hint="eastAsia" w:ascii="仿宋" w:hAnsi="仿宋" w:eastAsia="仿宋" w:cs="仿宋"/>
          <w:b w:val="0"/>
          <w:bCs w:val="0"/>
          <w:color w:val="auto"/>
          <w:sz w:val="21"/>
          <w:szCs w:val="21"/>
          <w:highlight w:val="none"/>
        </w:rPr>
      </w:pPr>
      <w:bookmarkStart w:id="67" w:name="_Toc2638"/>
      <w:bookmarkStart w:id="68" w:name="_Toc28755"/>
      <w:r>
        <w:rPr>
          <w:rFonts w:hint="eastAsia" w:ascii="仿宋" w:hAnsi="仿宋" w:eastAsia="仿宋" w:cs="仿宋"/>
          <w:b w:val="0"/>
          <w:bCs w:val="0"/>
          <w:color w:val="auto"/>
          <w:kern w:val="0"/>
          <w:sz w:val="21"/>
          <w:szCs w:val="21"/>
          <w:highlight w:val="none"/>
          <w:lang w:val="en-US" w:eastAsia="zh-CN" w:bidi="ar-SA"/>
        </w:rPr>
        <w:t>1.12.</w:t>
      </w:r>
      <w:r>
        <w:rPr>
          <w:rFonts w:hint="eastAsia" w:ascii="仿宋" w:hAnsi="仿宋" w:eastAsia="仿宋" w:cs="仿宋"/>
          <w:b w:val="0"/>
          <w:bCs w:val="0"/>
          <w:color w:val="auto"/>
          <w:sz w:val="21"/>
          <w:szCs w:val="21"/>
          <w:highlight w:val="none"/>
        </w:rPr>
        <w:t xml:space="preserve"> </w:t>
      </w:r>
      <w:r>
        <w:rPr>
          <w:rFonts w:hint="eastAsia" w:ascii="仿宋" w:hAnsi="仿宋" w:eastAsia="仿宋" w:cs="仿宋"/>
          <w:color w:val="auto"/>
          <w:sz w:val="21"/>
          <w:szCs w:val="21"/>
          <w:highlight w:val="none"/>
        </w:rPr>
        <w:t>残疾人福利性单位</w:t>
      </w:r>
      <w:r>
        <w:rPr>
          <w:rFonts w:hint="eastAsia" w:ascii="仿宋" w:hAnsi="仿宋" w:eastAsia="仿宋" w:cs="仿宋"/>
          <w:b w:val="0"/>
          <w:bCs w:val="0"/>
          <w:color w:val="auto"/>
          <w:sz w:val="21"/>
          <w:szCs w:val="21"/>
          <w:highlight w:val="none"/>
        </w:rPr>
        <w:t>是指符合《财政部、民政部、中国残疾人联合会关于促进残疾人就业政府采购政策的通知》（财库〔2017〕141号）规定条件的单位。</w:t>
      </w:r>
      <w:bookmarkEnd w:id="67"/>
      <w:bookmarkEnd w:id="68"/>
    </w:p>
    <w:p w14:paraId="25B88FF0">
      <w:pPr>
        <w:keepNext w:val="0"/>
        <w:keepLines w:val="0"/>
        <w:pageBreakBefore w:val="0"/>
        <w:shd w:val="clear"/>
        <w:wordWrap/>
        <w:overflowPunct/>
        <w:topLinePunct w:val="0"/>
        <w:autoSpaceDE/>
        <w:autoSpaceDN/>
        <w:bidi w:val="0"/>
        <w:adjustRightInd w:val="0"/>
        <w:snapToGrid w:val="0"/>
        <w:spacing w:line="308" w:lineRule="auto"/>
        <w:ind w:right="0" w:rightChars="0" w:firstLine="420" w:firstLineChars="200"/>
        <w:textAlignment w:val="auto"/>
        <w:rPr>
          <w:rFonts w:hint="eastAsia"/>
          <w:color w:val="auto"/>
          <w:highlight w:val="none"/>
        </w:rPr>
      </w:pPr>
      <w:r>
        <w:rPr>
          <w:rFonts w:hint="eastAsia" w:ascii="仿宋" w:hAnsi="仿宋" w:eastAsia="仿宋" w:cs="仿宋"/>
          <w:color w:val="auto"/>
          <w:sz w:val="21"/>
          <w:szCs w:val="21"/>
          <w:highlight w:val="none"/>
          <w:lang w:val="en-US" w:eastAsia="zh-CN"/>
        </w:rPr>
        <w:t>1.13.</w:t>
      </w:r>
      <w:r>
        <w:rPr>
          <w:rFonts w:hint="eastAsia" w:ascii="仿宋" w:hAnsi="仿宋" w:eastAsia="仿宋" w:cs="仿宋"/>
          <w:b/>
          <w:bCs/>
          <w:color w:val="auto"/>
          <w:sz w:val="21"/>
          <w:szCs w:val="21"/>
          <w:highlight w:val="none"/>
          <w:lang w:val="en-US" w:eastAsia="zh-CN"/>
        </w:rPr>
        <w:t>政府采购信用融资：</w:t>
      </w:r>
      <w:r>
        <w:rPr>
          <w:rFonts w:hint="eastAsia" w:ascii="仿宋" w:hAnsi="仿宋" w:eastAsia="仿宋" w:cs="仿宋"/>
          <w:color w:val="auto"/>
          <w:sz w:val="21"/>
          <w:szCs w:val="21"/>
          <w:highlight w:val="none"/>
        </w:rPr>
        <w:t>本着</w:t>
      </w:r>
      <w:r>
        <w:rPr>
          <w:rFonts w:hint="eastAsia" w:ascii="仿宋" w:hAnsi="仿宋" w:eastAsia="仿宋" w:cs="仿宋"/>
          <w:color w:val="auto"/>
          <w:sz w:val="21"/>
          <w:szCs w:val="21"/>
          <w:highlight w:val="none"/>
          <w:lang w:val="en"/>
        </w:rPr>
        <w:t>“银企自愿，风险自担”的原则，</w:t>
      </w:r>
      <w:r>
        <w:rPr>
          <w:rFonts w:hint="eastAsia" w:ascii="仿宋" w:hAnsi="仿宋" w:eastAsia="仿宋" w:cs="仿宋"/>
          <w:color w:val="auto"/>
          <w:sz w:val="21"/>
          <w:szCs w:val="21"/>
          <w:highlight w:val="none"/>
          <w:lang w:val="en-US" w:eastAsia="zh-CN"/>
        </w:rPr>
        <w:t>中标人</w:t>
      </w:r>
      <w:r>
        <w:rPr>
          <w:rFonts w:hint="eastAsia" w:ascii="仿宋" w:hAnsi="仿宋" w:eastAsia="仿宋" w:cs="仿宋"/>
          <w:color w:val="auto"/>
          <w:sz w:val="21"/>
          <w:szCs w:val="21"/>
          <w:highlight w:val="none"/>
        </w:rPr>
        <w:t>为中小企业的可以自愿选择</w:t>
      </w:r>
      <w:r>
        <w:rPr>
          <w:rFonts w:hint="eastAsia" w:ascii="仿宋" w:hAnsi="仿宋" w:eastAsia="仿宋" w:cs="仿宋"/>
          <w:color w:val="auto"/>
          <w:sz w:val="21"/>
          <w:szCs w:val="21"/>
          <w:highlight w:val="none"/>
          <w:lang w:val="en"/>
        </w:rPr>
        <w:t>政府采购贷款进行融资，通过“陕西省政府采购合同融资平台”（http://www.ccgp-shaanxi.gov.cn/zcdservice/zcd/shanxi/）实施。</w:t>
      </w:r>
    </w:p>
    <w:p w14:paraId="272F9CF4">
      <w:pPr>
        <w:pStyle w:val="4"/>
        <w:shd w:val="clear"/>
        <w:snapToGrid w:val="0"/>
        <w:jc w:val="both"/>
        <w:rPr>
          <w:rFonts w:hint="eastAsia" w:ascii="仿宋" w:hAnsi="仿宋" w:eastAsia="仿宋" w:cs="仿宋"/>
          <w:color w:val="auto"/>
          <w:sz w:val="24"/>
          <w:szCs w:val="24"/>
          <w:highlight w:val="none"/>
        </w:rPr>
      </w:pPr>
      <w:bookmarkStart w:id="69" w:name="_Toc13040"/>
      <w:bookmarkStart w:id="70" w:name="_Toc21063"/>
      <w:r>
        <w:rPr>
          <w:rFonts w:hint="eastAsia" w:ascii="仿宋" w:hAnsi="仿宋" w:eastAsia="仿宋" w:cs="仿宋"/>
          <w:color w:val="auto"/>
          <w:sz w:val="24"/>
          <w:szCs w:val="24"/>
          <w:highlight w:val="none"/>
        </w:rPr>
        <w:t>二、投标人</w:t>
      </w:r>
      <w:bookmarkEnd w:id="69"/>
      <w:bookmarkEnd w:id="70"/>
    </w:p>
    <w:p w14:paraId="3BFEFB5E">
      <w:pPr>
        <w:shd w:val="clear"/>
        <w:snapToGrid w:val="0"/>
        <w:spacing w:line="360" w:lineRule="auto"/>
        <w:ind w:firstLine="211" w:firstLineChars="100"/>
        <w:rPr>
          <w:rFonts w:hint="eastAsia" w:ascii="仿宋" w:hAnsi="仿宋" w:eastAsia="仿宋" w:cs="仿宋"/>
          <w:b/>
          <w:color w:val="auto"/>
          <w:szCs w:val="21"/>
          <w:highlight w:val="none"/>
        </w:rPr>
      </w:pPr>
      <w:bookmarkStart w:id="71" w:name="_Toc175973398"/>
      <w:bookmarkStart w:id="72" w:name="_Toc531189837"/>
      <w:r>
        <w:rPr>
          <w:rFonts w:hint="eastAsia" w:ascii="仿宋" w:hAnsi="仿宋" w:eastAsia="仿宋" w:cs="仿宋"/>
          <w:b/>
          <w:color w:val="auto"/>
          <w:szCs w:val="21"/>
          <w:highlight w:val="none"/>
        </w:rPr>
        <w:t>2.1.投标委托</w:t>
      </w:r>
    </w:p>
    <w:p w14:paraId="3D369B8A">
      <w:pPr>
        <w:pStyle w:val="13"/>
        <w:shd w:val="clear"/>
        <w:overflowPunct w:val="0"/>
        <w:snapToGrid w:val="0"/>
        <w:spacing w:line="360" w:lineRule="auto"/>
        <w:ind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如投标人代表不是法定代表人，须持有《法定代表人授权委托书》，格式见本招标文件。</w:t>
      </w:r>
    </w:p>
    <w:p w14:paraId="2C4E2568">
      <w:pPr>
        <w:shd w:val="clear"/>
        <w:snapToGrid w:val="0"/>
        <w:spacing w:line="360" w:lineRule="auto"/>
        <w:ind w:firstLine="211" w:firstLineChars="1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2.2.投标费用 </w:t>
      </w:r>
    </w:p>
    <w:p w14:paraId="0E5EA35A">
      <w:pPr>
        <w:pStyle w:val="13"/>
        <w:shd w:val="clear"/>
        <w:overflowPunct w:val="0"/>
        <w:snapToGrid w:val="0"/>
        <w:spacing w:line="360" w:lineRule="auto"/>
        <w:ind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无论投标过程中的做法和结果如何，投标人自行承担所有与参加投标有关的全部费用。</w:t>
      </w:r>
    </w:p>
    <w:p w14:paraId="0FD4D5C0">
      <w:pPr>
        <w:pStyle w:val="13"/>
        <w:shd w:val="clear"/>
        <w:overflowPunct w:val="0"/>
        <w:snapToGrid w:val="0"/>
        <w:spacing w:line="360" w:lineRule="auto"/>
        <w:ind w:firstLine="211" w:firstLineChars="100"/>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rPr>
        <w:t>2.</w:t>
      </w:r>
      <w:r>
        <w:rPr>
          <w:rFonts w:hint="eastAsia" w:ascii="仿宋" w:hAnsi="仿宋" w:eastAsia="仿宋" w:cs="仿宋"/>
          <w:b/>
          <w:bCs/>
          <w:color w:val="auto"/>
          <w:szCs w:val="21"/>
          <w:highlight w:val="none"/>
        </w:rPr>
        <w:t>3.合格的投标人应具备以下条件：</w:t>
      </w:r>
    </w:p>
    <w:p w14:paraId="0D61841C">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（1）具备且满足本招标文件规定的投标人资格条件；</w:t>
      </w:r>
    </w:p>
    <w:p w14:paraId="1F3BF4E2">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（2）从采购代理机构购获取了招标文件；</w:t>
      </w:r>
    </w:p>
    <w:p w14:paraId="4A27BD7F">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（3）遵守国家和地方有关的法律法规、规章和规范性文件要求。</w:t>
      </w:r>
    </w:p>
    <w:p w14:paraId="509208D9">
      <w:pPr>
        <w:pStyle w:val="13"/>
        <w:shd w:val="clear"/>
        <w:overflowPunct w:val="0"/>
        <w:snapToGrid w:val="0"/>
        <w:spacing w:line="360" w:lineRule="auto"/>
        <w:ind w:firstLine="211" w:firstLineChars="100"/>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rPr>
        <w:t>2.</w:t>
      </w:r>
      <w:r>
        <w:rPr>
          <w:rFonts w:hint="eastAsia" w:ascii="仿宋" w:hAnsi="仿宋" w:eastAsia="仿宋" w:cs="仿宋"/>
          <w:b/>
          <w:bCs/>
          <w:color w:val="auto"/>
          <w:szCs w:val="21"/>
          <w:highlight w:val="none"/>
        </w:rPr>
        <w:t>4. 投标人不得存在下列情形之一：</w:t>
      </w:r>
    </w:p>
    <w:p w14:paraId="13AEB933">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（1）与采购人、采购代理机构存在隶属关系或者其他利害关系，且可能影响招标公正性；</w:t>
      </w:r>
    </w:p>
    <w:p w14:paraId="30ADBEEF">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（2）与本采购项目其他投标人的法定代表人（或者负责人）为同一人；</w:t>
      </w:r>
    </w:p>
    <w:p w14:paraId="5F6BBAA6">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（3）与本采购项目其他投标人存在控股、管理关系；</w:t>
      </w:r>
    </w:p>
    <w:p w14:paraId="78DEB47B">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（4）为本项目采购代理机构；</w:t>
      </w:r>
    </w:p>
    <w:p w14:paraId="1E4FDA7C">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（5）为本项目代理投标的为其采购代理机构；</w:t>
      </w:r>
    </w:p>
    <w:p w14:paraId="4B32078E">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（6）为本项目提供整体设计、规范编制或者项目管理、监理、检测、咨询服务；</w:t>
      </w:r>
    </w:p>
    <w:p w14:paraId="0846DD39">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（7）受到刑事处罚；</w:t>
      </w:r>
    </w:p>
    <w:p w14:paraId="6A9163EE">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（8）投标人因违法经营受到刑事处罚或者责令停产停业、吊销许可证或者执照、较大数额罚款等行政处罚</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w:t>
      </w:r>
    </w:p>
    <w:p w14:paraId="7A3A1E74">
      <w:pPr>
        <w:pStyle w:val="13"/>
        <w:shd w:val="clear"/>
        <w:overflowPunct w:val="0"/>
        <w:snapToGrid w:val="0"/>
        <w:spacing w:line="360" w:lineRule="auto"/>
        <w:ind w:firstLine="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（9）被责令停产停业、暂扣或者吊销许可证、暂扣或者吊销执照的行政处罚；</w:t>
      </w:r>
    </w:p>
    <w:p w14:paraId="0BD76688">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（10）被列入失信被执行人名单；</w:t>
      </w:r>
    </w:p>
    <w:p w14:paraId="35C3F8E7">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（11）被列入重大税收违法案件当事人名单；</w:t>
      </w:r>
    </w:p>
    <w:p w14:paraId="54928D67">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（12）被禁止在一至三年内参加政府采购活动或存在财政部门认定的其他重大违法记录；</w:t>
      </w:r>
    </w:p>
    <w:p w14:paraId="301BFEEE">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（13）法律法规规定的其他情形。</w:t>
      </w:r>
    </w:p>
    <w:p w14:paraId="703A855C">
      <w:pPr>
        <w:pStyle w:val="13"/>
        <w:shd w:val="clear"/>
        <w:overflowPunct w:val="0"/>
        <w:snapToGrid w:val="0"/>
        <w:spacing w:line="360" w:lineRule="auto"/>
        <w:ind w:firstLine="211" w:firstLineChars="100"/>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rPr>
        <w:t>2.</w:t>
      </w:r>
      <w:r>
        <w:rPr>
          <w:rFonts w:hint="eastAsia" w:ascii="仿宋" w:hAnsi="仿宋" w:eastAsia="仿宋" w:cs="仿宋"/>
          <w:b/>
          <w:bCs/>
          <w:color w:val="auto"/>
          <w:szCs w:val="21"/>
          <w:highlight w:val="none"/>
        </w:rPr>
        <w:t>5.享受的政府采购政策</w:t>
      </w:r>
    </w:p>
    <w:p w14:paraId="176034EB">
      <w:pPr>
        <w:pStyle w:val="13"/>
        <w:shd w:val="clear"/>
        <w:overflowPunct w:val="0"/>
        <w:snapToGrid w:val="0"/>
        <w:spacing w:line="360" w:lineRule="auto"/>
        <w:ind w:firstLine="422" w:firstLineChars="200"/>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rPr>
        <w:t>2.</w:t>
      </w:r>
      <w:r>
        <w:rPr>
          <w:rFonts w:hint="eastAsia" w:ascii="仿宋" w:hAnsi="仿宋" w:eastAsia="仿宋" w:cs="仿宋"/>
          <w:b/>
          <w:bCs/>
          <w:color w:val="auto"/>
          <w:szCs w:val="21"/>
          <w:highlight w:val="none"/>
        </w:rPr>
        <w:t>5.1 节能产品、环境标志产品</w:t>
      </w:r>
    </w:p>
    <w:p w14:paraId="4EC6F2B9">
      <w:pPr>
        <w:pStyle w:val="13"/>
        <w:shd w:val="clear"/>
        <w:overflowPunct w:val="0"/>
        <w:snapToGrid w:val="0"/>
        <w:spacing w:line="360" w:lineRule="auto"/>
        <w:ind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2.5.1.1. 投标人所投产品，将依据《节能产品、环境标志产品品目清单》和认证证书实施政府优先采购和强制采购。</w:t>
      </w:r>
    </w:p>
    <w:p w14:paraId="1BD0871C">
      <w:pPr>
        <w:pStyle w:val="13"/>
        <w:shd w:val="clear"/>
        <w:overflowPunct w:val="0"/>
        <w:snapToGrid w:val="0"/>
        <w:spacing w:line="360" w:lineRule="auto"/>
        <w:ind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2.5.1.2.投标人可以提供所投产品经国家确定的认证机构出具的、处于有效期之内的节能产品、环境标志产品认证证书复印件。采购代理机构通过中国政府采购网（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"http://www.ccgp.gov.cn/" </w:instrText>
      </w:r>
      <w:r>
        <w:rPr>
          <w:rFonts w:hint="eastAsia" w:ascii="仿宋" w:hAnsi="仿宋" w:eastAsia="仿宋" w:cs="仿宋"/>
          <w:color w:val="auto"/>
          <w:highlight w:val="none"/>
        </w:rPr>
        <w:fldChar w:fldCharType="separate"/>
      </w:r>
      <w:r>
        <w:rPr>
          <w:rFonts w:hint="eastAsia" w:ascii="仿宋" w:hAnsi="仿宋" w:eastAsia="仿宋" w:cs="仿宋"/>
          <w:bCs/>
          <w:color w:val="auto"/>
          <w:szCs w:val="21"/>
          <w:highlight w:val="none"/>
        </w:rPr>
        <w:t>http://www.ccgp.gov.cn/</w:t>
      </w:r>
      <w:r>
        <w:rPr>
          <w:rFonts w:hint="eastAsia" w:ascii="仿宋" w:hAnsi="仿宋" w:eastAsia="仿宋" w:cs="仿宋"/>
          <w:bCs/>
          <w:color w:val="auto"/>
          <w:szCs w:val="21"/>
          <w:highlight w:val="none"/>
        </w:rPr>
        <w:fldChar w:fldCharType="end"/>
      </w:r>
      <w:r>
        <w:rPr>
          <w:rFonts w:hint="eastAsia" w:ascii="仿宋" w:hAnsi="仿宋" w:eastAsia="仿宋" w:cs="仿宋"/>
          <w:bCs/>
          <w:color w:val="auto"/>
          <w:szCs w:val="21"/>
          <w:highlight w:val="none"/>
        </w:rPr>
        <w:t>）对获证产品信息进行核对。</w:t>
      </w:r>
    </w:p>
    <w:p w14:paraId="5D2AAC5C">
      <w:pPr>
        <w:pStyle w:val="13"/>
        <w:shd w:val="clear"/>
        <w:overflowPunct w:val="0"/>
        <w:snapToGrid w:val="0"/>
        <w:spacing w:line="360" w:lineRule="auto"/>
        <w:ind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 xml:space="preserve">2.5.1.3. </w:t>
      </w:r>
      <w:r>
        <w:rPr>
          <w:rFonts w:hint="eastAsia" w:ascii="仿宋" w:hAnsi="仿宋" w:eastAsia="仿宋" w:cs="仿宋"/>
          <w:color w:val="auto"/>
          <w:szCs w:val="21"/>
          <w:highlight w:val="none"/>
        </w:rPr>
        <w:t>投标人所投产品属于下列情形之一的，属于优先采购的不再享受优先采购政策，或者属于强制采购的按无效投标文件处理：</w:t>
      </w:r>
    </w:p>
    <w:p w14:paraId="303B8F2C">
      <w:pPr>
        <w:pStyle w:val="13"/>
        <w:shd w:val="clear"/>
        <w:overflowPunct w:val="0"/>
        <w:snapToGrid w:val="0"/>
        <w:spacing w:line="360" w:lineRule="auto"/>
        <w:ind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（1）不属于《节能产品、环境标志产品品目清单》中的产品；</w:t>
      </w:r>
    </w:p>
    <w:p w14:paraId="43EA536B">
      <w:pPr>
        <w:pStyle w:val="13"/>
        <w:shd w:val="clear"/>
        <w:overflowPunct w:val="0"/>
        <w:snapToGrid w:val="0"/>
        <w:spacing w:line="360" w:lineRule="auto"/>
        <w:ind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（2）未提供认证证书复印件或经核对认证证书存在信息有误的。</w:t>
      </w:r>
    </w:p>
    <w:p w14:paraId="32ABEDF8">
      <w:pPr>
        <w:pStyle w:val="13"/>
        <w:shd w:val="clear"/>
        <w:overflowPunct w:val="0"/>
        <w:snapToGrid w:val="0"/>
        <w:spacing w:line="360" w:lineRule="auto"/>
        <w:ind w:firstLine="211" w:firstLineChars="100"/>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rPr>
        <w:t>2.</w:t>
      </w:r>
      <w:r>
        <w:rPr>
          <w:rFonts w:hint="eastAsia" w:ascii="仿宋" w:hAnsi="仿宋" w:eastAsia="仿宋" w:cs="仿宋"/>
          <w:b/>
          <w:bCs/>
          <w:color w:val="auto"/>
          <w:szCs w:val="21"/>
          <w:highlight w:val="none"/>
        </w:rPr>
        <w:t>5.2 中小企业</w:t>
      </w:r>
    </w:p>
    <w:p w14:paraId="3CC16A5F">
      <w:pPr>
        <w:pStyle w:val="13"/>
        <w:shd w:val="clear"/>
        <w:overflowPunct w:val="0"/>
        <w:snapToGrid w:val="0"/>
        <w:spacing w:line="360" w:lineRule="auto"/>
        <w:ind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5.2.1. 投标人按《工业和信息化部、国家统计局、国家发展和改革委员会、财政部关于印发中小企业划型标准规定的通知》规定划分标准，属于中小企业的可享受支持中小型企业发展优惠政策。</w:t>
      </w:r>
    </w:p>
    <w:p w14:paraId="53827CE5">
      <w:pPr>
        <w:pStyle w:val="13"/>
        <w:shd w:val="clear"/>
        <w:overflowPunct w:val="0"/>
        <w:snapToGrid w:val="0"/>
        <w:spacing w:line="360" w:lineRule="auto"/>
        <w:ind w:firstLineChars="2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5.2.2.投标人作为中小企业参加政府采购活动时，应当提供《中小企业声明函》（见第</w:t>
      </w:r>
      <w:r>
        <w:rPr>
          <w:rFonts w:hint="eastAsia" w:ascii="仿宋" w:hAnsi="仿宋" w:eastAsia="仿宋" w:cs="仿宋"/>
          <w:color w:val="auto"/>
          <w:szCs w:val="21"/>
          <w:highlight w:val="none"/>
          <w:lang w:val="en-US" w:eastAsia="zh-CN"/>
        </w:rPr>
        <w:t>五</w:t>
      </w:r>
      <w:r>
        <w:rPr>
          <w:rFonts w:hint="eastAsia" w:ascii="仿宋" w:hAnsi="仿宋" w:eastAsia="仿宋" w:cs="仿宋"/>
          <w:color w:val="auto"/>
          <w:szCs w:val="21"/>
          <w:highlight w:val="none"/>
        </w:rPr>
        <w:t>章投标文件格式及构成），不提供或提供有瑕疵的：</w:t>
      </w:r>
    </w:p>
    <w:p w14:paraId="5DAAE40C">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（1）在评标时，不享受政府采购价格折扣的优惠政策；</w:t>
      </w:r>
    </w:p>
    <w:p w14:paraId="428CD693">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（2）在资格审查时，不予通过资格审查（仅限专门面向中小企业采购的项目）。</w:t>
      </w:r>
    </w:p>
    <w:p w14:paraId="63873EE3">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5.2.3.监狱企业参加政府采购活动时，视同小型微型企业。依照&lt;财政部、司法部关于政府采购支持监狱企业发展有关问题的通知&gt;（财库〔2014〕68号）之规定，应当提供由省级以上监狱管理局、戒毒管理局出具的属于监狱企业的证明文件，不提供或提供有瑕疵的，不视为小型微型企业。</w:t>
      </w:r>
    </w:p>
    <w:p w14:paraId="12E4E85D">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5.2.4.残疾人福利性单位参加政府采购活动时，视同小型微型企业。依据《财政部、民政部、中国残疾人联合会关于促进残疾人就业政府采购政策的通知》（财库〔2017〕141号）的规定，应当提供《残疾人福利性单位声明函》（见</w:t>
      </w:r>
      <w:r>
        <w:rPr>
          <w:rFonts w:hint="eastAsia" w:ascii="仿宋" w:hAnsi="仿宋" w:eastAsia="仿宋" w:cs="仿宋"/>
          <w:color w:val="auto"/>
          <w:szCs w:val="21"/>
          <w:highlight w:val="none"/>
          <w:lang w:eastAsia="zh-CN"/>
        </w:rPr>
        <w:t>第五章投标文件格式及构成</w:t>
      </w:r>
      <w:r>
        <w:rPr>
          <w:rFonts w:hint="eastAsia" w:ascii="仿宋" w:hAnsi="仿宋" w:eastAsia="仿宋" w:cs="仿宋"/>
          <w:color w:val="auto"/>
          <w:szCs w:val="21"/>
          <w:highlight w:val="none"/>
        </w:rPr>
        <w:t>），不提供或提供有瑕疵的，不视为小型微型企业。</w:t>
      </w:r>
    </w:p>
    <w:p w14:paraId="2DC3869E">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5.2.5. 联合体各方均中小企业的，参加政府采购活动时，视同中小企业。联合体各方均需提供《中小企业声明函》，有一方未提供或提供有瑕疵的，不视为中小企业。（仅限</w:t>
      </w:r>
      <w:r>
        <w:rPr>
          <w:rFonts w:hint="eastAsia" w:ascii="仿宋" w:hAnsi="仿宋" w:eastAsia="仿宋" w:cs="仿宋"/>
          <w:color w:val="auto"/>
          <w:szCs w:val="21"/>
          <w:highlight w:val="none"/>
          <w:lang w:val="en-US" w:eastAsia="zh-CN"/>
        </w:rPr>
        <w:t>专门</w:t>
      </w:r>
      <w:r>
        <w:rPr>
          <w:rFonts w:hint="eastAsia" w:ascii="仿宋" w:hAnsi="仿宋" w:eastAsia="仿宋" w:cs="仿宋"/>
          <w:i w:val="0"/>
          <w:caps w:val="0"/>
          <w:color w:val="auto"/>
          <w:spacing w:val="0"/>
          <w:sz w:val="21"/>
          <w:szCs w:val="21"/>
          <w:highlight w:val="none"/>
          <w:shd w:val="clear" w:fill="FFFFFF"/>
        </w:rPr>
        <w:t>接受联合体投标</w:t>
      </w:r>
      <w:r>
        <w:rPr>
          <w:rFonts w:hint="eastAsia" w:ascii="仿宋" w:hAnsi="仿宋" w:eastAsia="仿宋" w:cs="仿宋"/>
          <w:color w:val="auto"/>
          <w:szCs w:val="21"/>
          <w:highlight w:val="none"/>
        </w:rPr>
        <w:t>的项目）。</w:t>
      </w:r>
    </w:p>
    <w:p w14:paraId="4ABEE019">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5.2.6. 中小企业可以同时享受节能产品、环境标志产品优先采购政策。同一项目中部分产品属于优先采购政策的，评审时只对该部分产品实行优先采购。</w:t>
      </w:r>
    </w:p>
    <w:p w14:paraId="4EA6F052">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2.</w:t>
      </w:r>
      <w:r>
        <w:rPr>
          <w:rFonts w:hint="eastAsia" w:ascii="仿宋" w:hAnsi="仿宋" w:eastAsia="仿宋" w:cs="仿宋"/>
          <w:color w:val="auto"/>
          <w:szCs w:val="21"/>
          <w:highlight w:val="none"/>
        </w:rPr>
        <w:t>5.2.7. 政府采购监督检查和投诉处理中对中小企业的认定，由企业所在地的县级以上中小企业主管部门负责。</w:t>
      </w:r>
    </w:p>
    <w:p w14:paraId="7AFE0B50">
      <w:pPr>
        <w:pStyle w:val="13"/>
        <w:shd w:val="clear"/>
        <w:overflowPunct w:val="0"/>
        <w:snapToGrid w:val="0"/>
        <w:spacing w:line="360" w:lineRule="auto"/>
        <w:ind w:firstLine="0"/>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rPr>
        <w:t>2.</w:t>
      </w:r>
      <w:r>
        <w:rPr>
          <w:rFonts w:hint="eastAsia" w:ascii="仿宋" w:hAnsi="仿宋" w:eastAsia="仿宋" w:cs="仿宋"/>
          <w:b/>
          <w:bCs/>
          <w:color w:val="auto"/>
          <w:szCs w:val="21"/>
          <w:highlight w:val="none"/>
        </w:rPr>
        <w:t>5.3 进口产品</w:t>
      </w:r>
    </w:p>
    <w:p w14:paraId="4AB7AC52">
      <w:pPr>
        <w:pStyle w:val="13"/>
        <w:shd w:val="clear"/>
        <w:overflowPunct w:val="0"/>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投标人须知前附表规定采购进口产品的，可以由进口产品参加投标，但不得拒绝国内产品投标。本条款适合经财政部门批准采购进口产品的项目。</w:t>
      </w:r>
    </w:p>
    <w:p w14:paraId="31CA06D5">
      <w:pPr>
        <w:pStyle w:val="4"/>
        <w:shd w:val="clear"/>
        <w:snapToGrid w:val="0"/>
        <w:jc w:val="both"/>
        <w:rPr>
          <w:rFonts w:hint="eastAsia" w:ascii="仿宋" w:hAnsi="仿宋" w:eastAsia="仿宋" w:cs="仿宋"/>
          <w:color w:val="auto"/>
          <w:sz w:val="21"/>
          <w:szCs w:val="21"/>
          <w:highlight w:val="none"/>
        </w:rPr>
      </w:pPr>
      <w:bookmarkStart w:id="73" w:name="_Toc17220"/>
      <w:bookmarkStart w:id="74" w:name="_Toc28121"/>
      <w:r>
        <w:rPr>
          <w:rFonts w:hint="eastAsia" w:ascii="仿宋" w:hAnsi="仿宋" w:eastAsia="仿宋" w:cs="仿宋"/>
          <w:color w:val="auto"/>
          <w:sz w:val="21"/>
          <w:szCs w:val="21"/>
          <w:highlight w:val="none"/>
        </w:rPr>
        <w:t>2.6.投标人的风险</w:t>
      </w:r>
      <w:bookmarkEnd w:id="73"/>
      <w:bookmarkEnd w:id="74"/>
    </w:p>
    <w:p w14:paraId="354E1659">
      <w:pPr>
        <w:pStyle w:val="4"/>
        <w:shd w:val="clear"/>
        <w:snapToGrid w:val="0"/>
        <w:ind w:firstLine="420" w:firstLineChars="200"/>
        <w:jc w:val="both"/>
        <w:rPr>
          <w:rFonts w:hint="eastAsia" w:ascii="仿宋" w:hAnsi="仿宋" w:eastAsia="仿宋" w:cs="仿宋"/>
          <w:b w:val="0"/>
          <w:bCs w:val="0"/>
          <w:color w:val="auto"/>
          <w:sz w:val="21"/>
          <w:szCs w:val="21"/>
          <w:highlight w:val="none"/>
        </w:rPr>
      </w:pPr>
      <w:bookmarkStart w:id="75" w:name="_Toc20881"/>
      <w:bookmarkStart w:id="76" w:name="_Toc17731"/>
      <w:r>
        <w:rPr>
          <w:rFonts w:hint="eastAsia" w:ascii="仿宋" w:hAnsi="仿宋" w:eastAsia="仿宋" w:cs="仿宋"/>
          <w:b w:val="0"/>
          <w:bCs w:val="0"/>
          <w:color w:val="auto"/>
          <w:sz w:val="21"/>
          <w:szCs w:val="21"/>
          <w:highlight w:val="none"/>
        </w:rPr>
        <w:t>投标人应认真阅读和充分理解招标文件中所有的事项、格式条款和规范要求，任何对招标文件的忽略或误解不能作为投标文件存在缺陷或瑕疵的理由；投标人没有按照招标文件要求提供全部资料，或对招标文件全面做出实质性响应是投标人的风险，并可能导致其投标文件被拒绝。</w:t>
      </w:r>
      <w:bookmarkEnd w:id="75"/>
      <w:bookmarkEnd w:id="76"/>
    </w:p>
    <w:p w14:paraId="7E1976C9">
      <w:pPr>
        <w:pStyle w:val="4"/>
        <w:shd w:val="clear"/>
        <w:snapToGrid w:val="0"/>
        <w:jc w:val="both"/>
        <w:rPr>
          <w:rFonts w:hint="eastAsia" w:ascii="仿宋" w:hAnsi="仿宋" w:eastAsia="仿宋" w:cs="仿宋"/>
          <w:color w:val="auto"/>
          <w:sz w:val="24"/>
          <w:szCs w:val="24"/>
          <w:highlight w:val="none"/>
        </w:rPr>
      </w:pPr>
      <w:bookmarkStart w:id="77" w:name="_Toc29008"/>
      <w:bookmarkStart w:id="78" w:name="_Toc21252"/>
      <w:r>
        <w:rPr>
          <w:rFonts w:hint="eastAsia" w:ascii="仿宋" w:hAnsi="仿宋" w:eastAsia="仿宋" w:cs="仿宋"/>
          <w:color w:val="auto"/>
          <w:sz w:val="24"/>
          <w:szCs w:val="24"/>
          <w:highlight w:val="none"/>
        </w:rPr>
        <w:t>三、招标文件</w:t>
      </w:r>
      <w:bookmarkEnd w:id="71"/>
      <w:bookmarkEnd w:id="72"/>
      <w:bookmarkEnd w:id="77"/>
      <w:bookmarkEnd w:id="78"/>
    </w:p>
    <w:p w14:paraId="64270ED5">
      <w:pPr>
        <w:shd w:val="clear"/>
        <w:snapToGrid w:val="0"/>
        <w:spacing w:line="360" w:lineRule="auto"/>
        <w:ind w:firstLine="211" w:firstLineChars="100"/>
        <w:outlineLvl w:val="0"/>
        <w:rPr>
          <w:rFonts w:hint="eastAsia" w:ascii="仿宋" w:hAnsi="仿宋" w:eastAsia="仿宋" w:cs="仿宋"/>
          <w:b/>
          <w:color w:val="auto"/>
          <w:szCs w:val="21"/>
          <w:highlight w:val="none"/>
        </w:rPr>
      </w:pPr>
      <w:bookmarkStart w:id="79" w:name="_Toc21552"/>
      <w:bookmarkStart w:id="80" w:name="_Toc14956"/>
      <w:bookmarkStart w:id="81" w:name="_Toc19210"/>
      <w:bookmarkStart w:id="82" w:name="_Toc27443"/>
      <w:bookmarkStart w:id="83" w:name="_Toc12727"/>
      <w:bookmarkStart w:id="84" w:name="_Toc932"/>
      <w:bookmarkStart w:id="85" w:name="_Toc11463"/>
      <w:bookmarkStart w:id="86" w:name="_Toc10221"/>
      <w:bookmarkStart w:id="87" w:name="_Toc13228"/>
      <w:bookmarkStart w:id="88" w:name="_Toc2191"/>
      <w:bookmarkStart w:id="89" w:name="_Toc4800"/>
      <w:bookmarkStart w:id="90" w:name="_Toc1085"/>
      <w:bookmarkStart w:id="91" w:name="_Toc31061"/>
      <w:bookmarkStart w:id="92" w:name="_Toc20533"/>
      <w:bookmarkStart w:id="93" w:name="_Toc1800"/>
      <w:r>
        <w:rPr>
          <w:rFonts w:hint="eastAsia" w:ascii="仿宋" w:hAnsi="仿宋" w:eastAsia="仿宋" w:cs="仿宋"/>
          <w:b/>
          <w:color w:val="auto"/>
          <w:szCs w:val="21"/>
          <w:highlight w:val="none"/>
        </w:rPr>
        <w:t>3.1.招标文件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B727EEC">
      <w:pPr>
        <w:shd w:val="clea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3. 1.1.招标文件由招标文件总目录所列内容及招标文件所作的澄清、修改，构成招标文件组成部分及组成。</w:t>
      </w:r>
    </w:p>
    <w:p w14:paraId="613B8E14">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3.1.2.投标人应详细阅读招标文件的全部内容。不按招标文件要求提供的投标文件和资料可能导致投标被拒绝。</w:t>
      </w:r>
    </w:p>
    <w:p w14:paraId="46D40989">
      <w:pPr>
        <w:shd w:val="clear"/>
        <w:snapToGrid w:val="0"/>
        <w:spacing w:line="360" w:lineRule="auto"/>
        <w:ind w:firstLine="44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3.1.3.适用范围：本次招标依据采购人的采购计划，本招标文件仅适用于本次公开招标所叙述的货物（产品）项目采购活动。</w:t>
      </w:r>
    </w:p>
    <w:p w14:paraId="7C1CBED2">
      <w:pPr>
        <w:shd w:val="clear"/>
        <w:snapToGrid w:val="0"/>
        <w:spacing w:line="360" w:lineRule="auto"/>
        <w:ind w:firstLine="44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3.1.4.招标文件的获取：招标公告发布后，投标人应从采购代理机构获取招标文件并填报信息，投标人自行转让或复制的招标文件视为无效招标文件。</w:t>
      </w:r>
    </w:p>
    <w:p w14:paraId="42BB0F15">
      <w:pPr>
        <w:shd w:val="clear"/>
        <w:snapToGrid w:val="0"/>
        <w:spacing w:line="360" w:lineRule="auto"/>
        <w:ind w:firstLine="42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3.1.5.解释权归属：本招标文件的解释权归采购代理机构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招标文件与现行法律法规不一致时，按现行法律法规执行</w:t>
      </w:r>
      <w:r>
        <w:rPr>
          <w:rFonts w:hint="eastAsia" w:ascii="仿宋" w:hAnsi="仿宋" w:eastAsia="仿宋" w:cs="仿宋"/>
          <w:color w:val="auto"/>
          <w:szCs w:val="21"/>
          <w:highlight w:val="none"/>
        </w:rPr>
        <w:t>。</w:t>
      </w:r>
    </w:p>
    <w:p w14:paraId="37116489">
      <w:pPr>
        <w:shd w:val="clear"/>
        <w:snapToGrid w:val="0"/>
        <w:spacing w:line="360" w:lineRule="auto"/>
        <w:ind w:firstLine="211" w:firstLineChars="100"/>
        <w:outlineLvl w:val="0"/>
        <w:rPr>
          <w:rFonts w:hint="eastAsia" w:ascii="仿宋" w:hAnsi="仿宋" w:eastAsia="仿宋" w:cs="仿宋"/>
          <w:b/>
          <w:color w:val="auto"/>
          <w:szCs w:val="21"/>
          <w:highlight w:val="none"/>
        </w:rPr>
      </w:pPr>
      <w:bookmarkStart w:id="94" w:name="_Toc15987"/>
      <w:bookmarkStart w:id="95" w:name="_Toc917"/>
      <w:bookmarkStart w:id="96" w:name="_Toc14366"/>
      <w:bookmarkStart w:id="97" w:name="_Toc29982"/>
      <w:bookmarkStart w:id="98" w:name="_Toc12920"/>
      <w:bookmarkStart w:id="99" w:name="_Toc23311"/>
      <w:bookmarkStart w:id="100" w:name="_Toc6601"/>
      <w:bookmarkStart w:id="101" w:name="_Toc6878"/>
      <w:bookmarkStart w:id="102" w:name="_Toc25015"/>
      <w:bookmarkStart w:id="103" w:name="_Toc25814"/>
      <w:bookmarkStart w:id="104" w:name="_Toc18391"/>
      <w:bookmarkStart w:id="105" w:name="_Toc8203"/>
      <w:bookmarkStart w:id="106" w:name="_Toc16042"/>
      <w:bookmarkStart w:id="107" w:name="_Toc10056"/>
      <w:bookmarkStart w:id="108" w:name="_Toc14390"/>
      <w:r>
        <w:rPr>
          <w:rFonts w:hint="eastAsia" w:ascii="仿宋" w:hAnsi="仿宋" w:eastAsia="仿宋" w:cs="仿宋"/>
          <w:b/>
          <w:color w:val="auto"/>
          <w:szCs w:val="21"/>
          <w:highlight w:val="none"/>
        </w:rPr>
        <w:t>3.2.</w:t>
      </w:r>
      <w:bookmarkEnd w:id="94"/>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b/>
          <w:color w:val="auto"/>
          <w:szCs w:val="21"/>
          <w:highlight w:val="none"/>
        </w:rPr>
        <w:t>招标文件的澄清或修改</w:t>
      </w:r>
      <w:bookmarkEnd w:id="106"/>
      <w:bookmarkEnd w:id="107"/>
      <w:bookmarkEnd w:id="108"/>
    </w:p>
    <w:p w14:paraId="279F03CD">
      <w:pPr>
        <w:pStyle w:val="73"/>
        <w:shd w:val="clear"/>
        <w:spacing w:before="0" w:beforeAutospacing="0" w:after="0" w:afterAutospacing="0" w:line="360" w:lineRule="auto"/>
        <w:ind w:firstLine="420" w:firstLineChars="200"/>
        <w:rPr>
          <w:rFonts w:hint="eastAsia" w:ascii="仿宋" w:hAnsi="仿宋" w:eastAsia="仿宋" w:cs="仿宋"/>
          <w:color w:val="auto"/>
          <w:spacing w:val="0"/>
          <w:szCs w:val="21"/>
          <w:highlight w:val="none"/>
        </w:rPr>
      </w:pPr>
      <w:r>
        <w:rPr>
          <w:rFonts w:hint="eastAsia" w:ascii="仿宋" w:hAnsi="仿宋" w:eastAsia="仿宋" w:cs="仿宋"/>
          <w:color w:val="auto"/>
          <w:spacing w:val="0"/>
          <w:szCs w:val="21"/>
          <w:highlight w:val="none"/>
        </w:rPr>
        <w:t>3.2.1.在投标截止时间前，采购代理机构无论出于何种原因，可以对已发出的招标文件进行必要的澄清或者修改，但不得修改采购标的和资格条件。</w:t>
      </w:r>
    </w:p>
    <w:p w14:paraId="629E348E">
      <w:pPr>
        <w:pStyle w:val="73"/>
        <w:shd w:val="clear"/>
        <w:spacing w:before="0" w:beforeAutospacing="0" w:after="0" w:afterAutospacing="0" w:line="360" w:lineRule="auto"/>
        <w:ind w:firstLine="420" w:firstLineChars="200"/>
        <w:rPr>
          <w:rFonts w:hint="eastAsia" w:ascii="仿宋" w:hAnsi="仿宋" w:eastAsia="仿宋" w:cs="仿宋"/>
          <w:color w:val="auto"/>
          <w:spacing w:val="0"/>
          <w:szCs w:val="21"/>
          <w:highlight w:val="none"/>
        </w:rPr>
      </w:pPr>
      <w:r>
        <w:rPr>
          <w:rFonts w:hint="eastAsia" w:ascii="仿宋" w:hAnsi="仿宋" w:eastAsia="仿宋" w:cs="仿宋"/>
          <w:color w:val="auto"/>
          <w:spacing w:val="0"/>
          <w:szCs w:val="21"/>
          <w:highlight w:val="none"/>
        </w:rPr>
        <w:t>3.2.2.采购人或采购代理机构对已发出的招标文件进行必要的澄清或者修改，澄清或修改的内容可能影响投标文件编制的，应当在投标文件截止时间15日前，以书面形式将澄清或者修改的内容通知所有获取招标文件的投标人，同时在原信息发布媒体上发布更正（澄清）公告。投标人在收到上述通知后，应立即以书面形式向采购代理机构确认。如果澄清或者修改发出的时间距规定的投标截止时间不足15日，将相应顺延投标截止时间。</w:t>
      </w:r>
    </w:p>
    <w:p w14:paraId="3C7B499A">
      <w:pPr>
        <w:pStyle w:val="73"/>
        <w:shd w:val="clear"/>
        <w:spacing w:before="0" w:beforeAutospacing="0" w:after="0" w:afterAutospacing="0" w:line="360" w:lineRule="auto"/>
        <w:ind w:firstLine="420" w:firstLineChars="200"/>
        <w:rPr>
          <w:rFonts w:hint="eastAsia" w:ascii="仿宋" w:hAnsi="仿宋" w:eastAsia="仿宋" w:cs="仿宋"/>
          <w:color w:val="auto"/>
          <w:spacing w:val="0"/>
          <w:szCs w:val="21"/>
          <w:highlight w:val="none"/>
        </w:rPr>
      </w:pPr>
      <w:r>
        <w:rPr>
          <w:rFonts w:hint="eastAsia" w:ascii="仿宋" w:hAnsi="仿宋" w:eastAsia="仿宋" w:cs="仿宋"/>
          <w:color w:val="auto"/>
          <w:spacing w:val="0"/>
          <w:szCs w:val="21"/>
          <w:highlight w:val="none"/>
        </w:rPr>
        <w:t>3.2.3.投标人应仔细阅读和检查招标文件的全部内容。如发现缺页或附件不全，应及时向采购代理机构提出，以便补齐。如需要询问或澄清的（除质疑外），或认为有必要与采购代理机构进行技术交流的，均应在投标截止时间10日前按招标文件中的联系方式，以书面形式向采购代理机构提出，采购代理机构应当在3个工作日内，以书面形式予以答复，或认为有必要召开答疑会。超过该时间收到的需要询问或澄清的内容，采购代理机构有权不予答复。</w:t>
      </w:r>
    </w:p>
    <w:p w14:paraId="51E970FC">
      <w:pPr>
        <w:pStyle w:val="73"/>
        <w:shd w:val="clear"/>
        <w:spacing w:before="0" w:beforeAutospacing="0" w:after="0" w:afterAutospacing="0" w:line="360" w:lineRule="auto"/>
        <w:ind w:firstLine="420" w:firstLineChars="200"/>
        <w:rPr>
          <w:rFonts w:hint="eastAsia" w:ascii="仿宋" w:hAnsi="仿宋" w:eastAsia="仿宋" w:cs="仿宋"/>
          <w:color w:val="auto"/>
          <w:spacing w:val="0"/>
          <w:szCs w:val="21"/>
          <w:highlight w:val="none"/>
        </w:rPr>
      </w:pPr>
      <w:r>
        <w:rPr>
          <w:rFonts w:hint="eastAsia" w:ascii="仿宋" w:hAnsi="仿宋" w:eastAsia="仿宋" w:cs="仿宋"/>
          <w:color w:val="auto"/>
          <w:spacing w:val="0"/>
          <w:szCs w:val="21"/>
          <w:highlight w:val="none"/>
        </w:rPr>
        <w:t>3.2.4.在投标截止时间前，采购代理机构可以视采购具体情况，延长投标截止时间和开标时间，并在招标文件要求提交投标文件的截止时间前，将变更时间以书面文件通知所有获取招标文件的投标人，同时在原信息发布媒体上发布更正公告。</w:t>
      </w:r>
    </w:p>
    <w:p w14:paraId="52853BF2">
      <w:pPr>
        <w:pStyle w:val="73"/>
        <w:shd w:val="clear"/>
        <w:spacing w:before="0" w:beforeAutospacing="0" w:after="0" w:afterAutospacing="0" w:line="360" w:lineRule="auto"/>
        <w:ind w:firstLine="420" w:firstLineChars="200"/>
        <w:rPr>
          <w:rFonts w:hint="eastAsia" w:ascii="仿宋" w:hAnsi="仿宋" w:eastAsia="仿宋" w:cs="仿宋"/>
          <w:color w:val="auto"/>
          <w:spacing w:val="0"/>
          <w:szCs w:val="21"/>
          <w:highlight w:val="none"/>
        </w:rPr>
      </w:pPr>
      <w:r>
        <w:rPr>
          <w:rFonts w:hint="eastAsia" w:ascii="仿宋" w:hAnsi="仿宋" w:eastAsia="仿宋" w:cs="仿宋"/>
          <w:color w:val="auto"/>
          <w:spacing w:val="0"/>
          <w:szCs w:val="21"/>
          <w:highlight w:val="none"/>
        </w:rPr>
        <w:t>3.2.5. 当招标文件澄清、答复、修改或补充通知与招标文件就同一内容表述不一致时，以最后发出的书面文件内容为准。</w:t>
      </w:r>
    </w:p>
    <w:p w14:paraId="35C24009">
      <w:pPr>
        <w:pStyle w:val="4"/>
        <w:shd w:val="clear"/>
        <w:snapToGrid w:val="0"/>
        <w:jc w:val="both"/>
        <w:rPr>
          <w:rFonts w:hint="eastAsia" w:ascii="仿宋" w:hAnsi="仿宋" w:eastAsia="仿宋" w:cs="仿宋"/>
          <w:color w:val="auto"/>
          <w:sz w:val="24"/>
          <w:szCs w:val="24"/>
          <w:highlight w:val="none"/>
        </w:rPr>
      </w:pPr>
      <w:bookmarkStart w:id="109" w:name="_Toc175973399"/>
      <w:bookmarkStart w:id="110" w:name="_Toc531189838"/>
      <w:bookmarkStart w:id="111" w:name="_Toc19569"/>
      <w:bookmarkStart w:id="112" w:name="_Toc22861"/>
      <w:r>
        <w:rPr>
          <w:rFonts w:hint="eastAsia" w:ascii="仿宋" w:hAnsi="仿宋" w:eastAsia="仿宋" w:cs="仿宋"/>
          <w:color w:val="auto"/>
          <w:sz w:val="24"/>
          <w:szCs w:val="24"/>
          <w:highlight w:val="none"/>
        </w:rPr>
        <w:t>四、投标文件</w:t>
      </w:r>
      <w:bookmarkEnd w:id="109"/>
      <w:bookmarkEnd w:id="110"/>
      <w:bookmarkEnd w:id="111"/>
      <w:bookmarkEnd w:id="112"/>
    </w:p>
    <w:p w14:paraId="39F71D0B">
      <w:pPr>
        <w:shd w:val="clear"/>
        <w:snapToGrid w:val="0"/>
        <w:spacing w:line="360" w:lineRule="auto"/>
        <w:ind w:firstLine="211" w:firstLineChars="100"/>
        <w:outlineLvl w:val="0"/>
        <w:rPr>
          <w:rFonts w:hint="eastAsia" w:ascii="仿宋" w:hAnsi="仿宋" w:eastAsia="仿宋" w:cs="仿宋"/>
          <w:b/>
          <w:color w:val="auto"/>
          <w:szCs w:val="21"/>
          <w:highlight w:val="none"/>
        </w:rPr>
      </w:pPr>
      <w:bookmarkStart w:id="113" w:name="_Toc29688"/>
      <w:bookmarkStart w:id="114" w:name="_Toc31296"/>
      <w:bookmarkStart w:id="115" w:name="_Toc8539"/>
      <w:bookmarkStart w:id="116" w:name="_Toc6474"/>
      <w:bookmarkStart w:id="117" w:name="_Toc26751"/>
      <w:bookmarkStart w:id="118" w:name="_Toc12629"/>
      <w:bookmarkStart w:id="119" w:name="_Toc26594"/>
      <w:bookmarkStart w:id="120" w:name="_Toc15209"/>
      <w:bookmarkStart w:id="121" w:name="_Toc7093"/>
      <w:bookmarkStart w:id="122" w:name="_Toc1158"/>
      <w:bookmarkStart w:id="123" w:name="_Toc16867"/>
      <w:bookmarkStart w:id="124" w:name="_Toc10790"/>
      <w:bookmarkStart w:id="125" w:name="_Toc12665"/>
      <w:bookmarkStart w:id="126" w:name="_Toc32220"/>
      <w:bookmarkStart w:id="127" w:name="_Toc11474"/>
      <w:r>
        <w:rPr>
          <w:rFonts w:hint="eastAsia" w:ascii="仿宋" w:hAnsi="仿宋" w:eastAsia="仿宋" w:cs="仿宋"/>
          <w:b/>
          <w:color w:val="auto"/>
          <w:szCs w:val="21"/>
          <w:highlight w:val="none"/>
        </w:rPr>
        <w:t>4.1.投标文件计量单位</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39E8FEE">
      <w:pPr>
        <w:shd w:val="clea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投标文件中所使用的计量单位，除有特殊要求外，均采用国家法定计量单位。</w:t>
      </w:r>
    </w:p>
    <w:p w14:paraId="28A8AB70">
      <w:pPr>
        <w:shd w:val="clear"/>
        <w:snapToGrid w:val="0"/>
        <w:spacing w:line="360" w:lineRule="auto"/>
        <w:ind w:firstLine="211" w:firstLineChars="100"/>
        <w:outlineLvl w:val="0"/>
        <w:rPr>
          <w:rFonts w:hint="eastAsia" w:ascii="仿宋" w:hAnsi="仿宋" w:eastAsia="仿宋" w:cs="仿宋"/>
          <w:b/>
          <w:color w:val="auto"/>
          <w:szCs w:val="21"/>
          <w:highlight w:val="none"/>
        </w:rPr>
      </w:pPr>
      <w:bookmarkStart w:id="128" w:name="_Toc31575"/>
      <w:bookmarkStart w:id="129" w:name="_Toc32437"/>
      <w:bookmarkStart w:id="130" w:name="_Toc17142"/>
      <w:bookmarkStart w:id="131" w:name="_Toc18709"/>
      <w:bookmarkStart w:id="132" w:name="_Toc23774"/>
      <w:bookmarkStart w:id="133" w:name="_Toc4977"/>
      <w:bookmarkStart w:id="134" w:name="_Toc6883"/>
      <w:bookmarkStart w:id="135" w:name="_Toc7527"/>
      <w:bookmarkStart w:id="136" w:name="_Toc10279"/>
      <w:bookmarkStart w:id="137" w:name="_Toc1336"/>
      <w:bookmarkStart w:id="138" w:name="_Toc21383"/>
      <w:bookmarkStart w:id="139" w:name="_Toc31096"/>
      <w:bookmarkStart w:id="140" w:name="_Toc8520"/>
      <w:bookmarkStart w:id="141" w:name="_Toc8592"/>
      <w:bookmarkStart w:id="142" w:name="_Toc3816"/>
      <w:r>
        <w:rPr>
          <w:rFonts w:hint="eastAsia" w:ascii="仿宋" w:hAnsi="仿宋" w:eastAsia="仿宋" w:cs="仿宋"/>
          <w:b/>
          <w:color w:val="auto"/>
          <w:szCs w:val="21"/>
          <w:highlight w:val="none"/>
        </w:rPr>
        <w:t>4.2.投标文件的组成</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73CD8A3A">
      <w:pPr>
        <w:shd w:val="clear"/>
        <w:snapToGrid w:val="0"/>
        <w:spacing w:line="360" w:lineRule="auto"/>
        <w:ind w:firstLine="210" w:firstLineChars="100"/>
        <w:outlineLvl w:val="1"/>
        <w:rPr>
          <w:rFonts w:hint="eastAsia" w:ascii="仿宋" w:hAnsi="仿宋" w:eastAsia="仿宋" w:cs="仿宋"/>
          <w:bCs/>
          <w:color w:val="auto"/>
          <w:szCs w:val="21"/>
          <w:highlight w:val="none"/>
        </w:rPr>
      </w:pPr>
      <w:bookmarkStart w:id="143" w:name="_Toc17590"/>
      <w:bookmarkStart w:id="144" w:name="_Toc29331"/>
      <w:bookmarkStart w:id="145" w:name="_Toc9580"/>
      <w:r>
        <w:rPr>
          <w:rFonts w:hint="eastAsia" w:ascii="仿宋" w:hAnsi="仿宋" w:eastAsia="仿宋" w:cs="仿宋"/>
          <w:bCs/>
          <w:color w:val="auto"/>
          <w:szCs w:val="21"/>
          <w:highlight w:val="none"/>
        </w:rPr>
        <w:t> 投标文件应包括下列内容：</w:t>
      </w:r>
      <w:bookmarkEnd w:id="143"/>
      <w:bookmarkEnd w:id="144"/>
      <w:bookmarkEnd w:id="145"/>
    </w:p>
    <w:p w14:paraId="7275B584">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auto"/>
          <w:kern w:val="2"/>
          <w:sz w:val="21"/>
          <w:szCs w:val="21"/>
          <w:highlight w:val="none"/>
          <w:lang w:val="en-US" w:eastAsia="zh-CN" w:bidi="ar-SA"/>
        </w:rPr>
      </w:pPr>
      <w:bookmarkStart w:id="146" w:name="_Toc23916"/>
      <w:bookmarkStart w:id="147" w:name="_Toc13931"/>
      <w:bookmarkStart w:id="148" w:name="_Toc28241"/>
      <w:bookmarkStart w:id="149" w:name="_Toc30905"/>
      <w:bookmarkStart w:id="150" w:name="_Toc4919"/>
      <w:bookmarkStart w:id="151" w:name="_Toc6108"/>
      <w:bookmarkStart w:id="152" w:name="_Toc20030"/>
      <w:bookmarkStart w:id="153" w:name="_Toc29990"/>
      <w:bookmarkStart w:id="154" w:name="_Toc19212"/>
      <w:bookmarkStart w:id="155" w:name="_Toc13883"/>
      <w:bookmarkStart w:id="156" w:name="_Toc28374"/>
      <w:bookmarkStart w:id="157" w:name="_Toc10147"/>
      <w:bookmarkStart w:id="158" w:name="_Toc25254"/>
      <w:bookmarkStart w:id="159" w:name="_Toc11541"/>
      <w:bookmarkStart w:id="160" w:name="_Toc5350"/>
      <w:r>
        <w:rPr>
          <w:rFonts w:hint="eastAsia" w:ascii="仿宋" w:hAnsi="仿宋" w:eastAsia="仿宋" w:cs="仿宋"/>
          <w:bCs/>
          <w:color w:val="auto"/>
          <w:kern w:val="2"/>
          <w:sz w:val="21"/>
          <w:szCs w:val="21"/>
          <w:highlight w:val="none"/>
          <w:lang w:val="en-US" w:eastAsia="zh-CN" w:bidi="ar-SA"/>
        </w:rPr>
        <w:t>第1部分  投标函</w:t>
      </w:r>
      <w:bookmarkEnd w:id="146"/>
    </w:p>
    <w:p w14:paraId="08AD8D79">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auto"/>
          <w:kern w:val="2"/>
          <w:sz w:val="21"/>
          <w:szCs w:val="21"/>
          <w:highlight w:val="none"/>
          <w:lang w:val="en-US" w:eastAsia="zh-CN" w:bidi="ar-SA"/>
        </w:rPr>
      </w:pPr>
      <w:bookmarkStart w:id="161" w:name="_Toc15119"/>
      <w:r>
        <w:rPr>
          <w:rFonts w:hint="eastAsia" w:ascii="仿宋" w:hAnsi="仿宋" w:eastAsia="仿宋" w:cs="仿宋"/>
          <w:bCs/>
          <w:color w:val="auto"/>
          <w:kern w:val="2"/>
          <w:sz w:val="21"/>
          <w:szCs w:val="21"/>
          <w:highlight w:val="none"/>
          <w:lang w:val="en-US" w:eastAsia="zh-CN" w:bidi="ar-SA"/>
        </w:rPr>
        <w:t>第2部分  开标一览表</w:t>
      </w:r>
      <w:bookmarkEnd w:id="161"/>
    </w:p>
    <w:p w14:paraId="79B86518">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auto"/>
          <w:kern w:val="2"/>
          <w:sz w:val="21"/>
          <w:szCs w:val="21"/>
          <w:highlight w:val="none"/>
          <w:lang w:val="en-US" w:eastAsia="zh-CN" w:bidi="ar-SA"/>
        </w:rPr>
      </w:pPr>
      <w:bookmarkStart w:id="162" w:name="_Toc6149"/>
      <w:r>
        <w:rPr>
          <w:rFonts w:hint="eastAsia" w:ascii="仿宋" w:hAnsi="仿宋" w:eastAsia="仿宋" w:cs="仿宋"/>
          <w:bCs/>
          <w:color w:val="auto"/>
          <w:kern w:val="2"/>
          <w:sz w:val="21"/>
          <w:szCs w:val="21"/>
          <w:highlight w:val="none"/>
          <w:lang w:val="en-US" w:eastAsia="zh-CN" w:bidi="ar-SA"/>
        </w:rPr>
        <w:t>第3部分  技术文件</w:t>
      </w:r>
      <w:bookmarkEnd w:id="162"/>
    </w:p>
    <w:p w14:paraId="7F09CE66">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auto"/>
          <w:kern w:val="2"/>
          <w:sz w:val="21"/>
          <w:szCs w:val="21"/>
          <w:highlight w:val="none"/>
          <w:lang w:val="en-US" w:eastAsia="zh-CN" w:bidi="ar-SA"/>
        </w:rPr>
      </w:pPr>
      <w:bookmarkStart w:id="163" w:name="_Toc26547"/>
      <w:r>
        <w:rPr>
          <w:rFonts w:hint="eastAsia" w:ascii="仿宋" w:hAnsi="仿宋" w:eastAsia="仿宋" w:cs="仿宋"/>
          <w:bCs/>
          <w:color w:val="auto"/>
          <w:kern w:val="2"/>
          <w:sz w:val="21"/>
          <w:szCs w:val="21"/>
          <w:highlight w:val="none"/>
          <w:lang w:val="en-US" w:eastAsia="zh-CN" w:bidi="ar-SA"/>
        </w:rPr>
        <w:t>第4部分  商务文件</w:t>
      </w:r>
      <w:bookmarkEnd w:id="163"/>
    </w:p>
    <w:p w14:paraId="2A28DF08">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auto"/>
          <w:kern w:val="2"/>
          <w:sz w:val="21"/>
          <w:szCs w:val="21"/>
          <w:highlight w:val="none"/>
          <w:lang w:val="en-US" w:eastAsia="zh-CN" w:bidi="ar-SA"/>
        </w:rPr>
      </w:pPr>
      <w:bookmarkStart w:id="164" w:name="_Toc1267"/>
      <w:r>
        <w:rPr>
          <w:rFonts w:hint="eastAsia" w:ascii="仿宋" w:hAnsi="仿宋" w:eastAsia="仿宋" w:cs="仿宋"/>
          <w:bCs/>
          <w:color w:val="auto"/>
          <w:kern w:val="2"/>
          <w:sz w:val="21"/>
          <w:szCs w:val="21"/>
          <w:highlight w:val="none"/>
          <w:lang w:val="en-US" w:eastAsia="zh-CN" w:bidi="ar-SA"/>
        </w:rPr>
        <w:t>第5部分  投标人认为有必要补充说明的事项</w:t>
      </w:r>
      <w:bookmarkEnd w:id="164"/>
    </w:p>
    <w:p w14:paraId="440072E0">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auto"/>
          <w:kern w:val="2"/>
          <w:sz w:val="21"/>
          <w:szCs w:val="21"/>
          <w:highlight w:val="none"/>
          <w:lang w:val="en-US" w:eastAsia="zh-CN" w:bidi="ar-SA"/>
        </w:rPr>
      </w:pPr>
      <w:bookmarkStart w:id="165" w:name="_Toc20729"/>
      <w:r>
        <w:rPr>
          <w:rFonts w:hint="eastAsia" w:ascii="仿宋" w:hAnsi="仿宋" w:eastAsia="仿宋" w:cs="仿宋"/>
          <w:bCs/>
          <w:color w:val="auto"/>
          <w:kern w:val="2"/>
          <w:sz w:val="21"/>
          <w:szCs w:val="21"/>
          <w:highlight w:val="none"/>
          <w:lang w:val="en-US" w:eastAsia="zh-CN" w:bidi="ar-SA"/>
        </w:rPr>
        <w:t>第6部分  投标人资格证明文件</w:t>
      </w:r>
      <w:bookmarkEnd w:id="165"/>
    </w:p>
    <w:p w14:paraId="1473325B">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outlineLvl w:val="0"/>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第7部分  落实政府采购政策需满足的资格要求</w:t>
      </w:r>
    </w:p>
    <w:p w14:paraId="08E1F2D6">
      <w:pPr>
        <w:pStyle w:val="2"/>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jc w:val="both"/>
        <w:textAlignment w:val="auto"/>
        <w:rPr>
          <w:rFonts w:hint="default" w:ascii="仿宋" w:hAnsi="仿宋" w:eastAsia="仿宋" w:cs="仿宋"/>
          <w:bCs/>
          <w:color w:val="auto"/>
          <w:kern w:val="2"/>
          <w:sz w:val="21"/>
          <w:szCs w:val="21"/>
          <w:highlight w:val="none"/>
          <w:lang w:val="en-US" w:eastAsia="zh-CN" w:bidi="ar-SA"/>
        </w:rPr>
      </w:pPr>
      <w:r>
        <w:rPr>
          <w:rFonts w:hint="eastAsia" w:ascii="仿宋" w:hAnsi="仿宋" w:eastAsia="仿宋" w:cs="仿宋"/>
          <w:bCs/>
          <w:color w:val="auto"/>
          <w:kern w:val="2"/>
          <w:sz w:val="21"/>
          <w:szCs w:val="21"/>
          <w:highlight w:val="none"/>
          <w:lang w:val="en-US" w:eastAsia="zh-CN" w:bidi="ar-SA"/>
        </w:rPr>
        <w:t>第8部分  投标保证金退还声明</w:t>
      </w:r>
    </w:p>
    <w:p w14:paraId="1576C96B">
      <w:pPr>
        <w:shd w:val="clear"/>
        <w:snapToGrid w:val="0"/>
        <w:spacing w:line="360" w:lineRule="auto"/>
        <w:outlineLvl w:val="0"/>
        <w:rPr>
          <w:rFonts w:hint="eastAsia" w:ascii="仿宋" w:hAnsi="仿宋" w:eastAsia="仿宋" w:cs="仿宋"/>
          <w:color w:val="auto"/>
          <w:szCs w:val="21"/>
          <w:highlight w:val="none"/>
        </w:rPr>
      </w:pPr>
      <w:bookmarkStart w:id="166" w:name="_Toc13543"/>
      <w:r>
        <w:rPr>
          <w:rFonts w:hint="eastAsia" w:ascii="仿宋" w:hAnsi="仿宋" w:eastAsia="仿宋" w:cs="仿宋"/>
          <w:b/>
          <w:color w:val="auto"/>
          <w:szCs w:val="21"/>
          <w:highlight w:val="none"/>
        </w:rPr>
        <w:t>4.3.</w:t>
      </w:r>
      <w:bookmarkEnd w:id="147"/>
      <w:bookmarkEnd w:id="148"/>
      <w:bookmarkEnd w:id="149"/>
      <w:bookmarkEnd w:id="150"/>
      <w:bookmarkEnd w:id="151"/>
      <w:bookmarkEnd w:id="152"/>
      <w:bookmarkEnd w:id="153"/>
      <w:bookmarkEnd w:id="154"/>
      <w:bookmarkEnd w:id="155"/>
      <w:bookmarkEnd w:id="156"/>
      <w:bookmarkEnd w:id="157"/>
      <w:bookmarkEnd w:id="158"/>
      <w:r>
        <w:rPr>
          <w:rFonts w:hint="eastAsia" w:ascii="仿宋" w:hAnsi="仿宋" w:eastAsia="仿宋" w:cs="仿宋"/>
          <w:b/>
          <w:color w:val="auto"/>
          <w:szCs w:val="21"/>
          <w:highlight w:val="none"/>
        </w:rPr>
        <w:t>投标文件的编写原则</w:t>
      </w:r>
      <w:bookmarkEnd w:id="159"/>
      <w:bookmarkEnd w:id="160"/>
      <w:bookmarkEnd w:id="166"/>
    </w:p>
    <w:p w14:paraId="28DE6D38">
      <w:pPr>
        <w:shd w:val="clear"/>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4.3.1.投标人应仔细阅读招标文件的所有内容，按招标文件规定及要求编写，应当对招标文件提出的实质性要求做出响应，并提交完整的投标文件。投标人应对投标货物和服务提供完整详细的技术说明，若投标人对指定的技术要求不能完全响应，应在投标文件中清楚地注明。投标人拟在中标后将中标段目的非主体、非关键性工作交由他人完成的，应当在投标文件中载明。投标人对本招标文件的每一项要求所给予的响应必须是唯一的，否则将视为无效投标文件。</w:t>
      </w:r>
    </w:p>
    <w:p w14:paraId="75DA3C17">
      <w:pPr>
        <w:pStyle w:val="2"/>
        <w:shd w:val="clear"/>
        <w:spacing w:line="360" w:lineRule="auto"/>
        <w:ind w:firstLine="210" w:firstLineChars="1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4.3.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.投标文件形式</w:t>
      </w:r>
    </w:p>
    <w:p w14:paraId="3555A8F2">
      <w:pPr>
        <w:pStyle w:val="2"/>
        <w:shd w:val="clear"/>
        <w:spacing w:line="360" w:lineRule="auto"/>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本项目投标文件应采用书面文件形式，电报、传真、电子邮件形式的投标文件不予接受。</w:t>
      </w:r>
    </w:p>
    <w:p w14:paraId="7E36E18F">
      <w:pPr>
        <w:shd w:val="clear"/>
        <w:snapToGrid w:val="0"/>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4.4.投标报价</w:t>
      </w:r>
    </w:p>
    <w:p w14:paraId="7FFCC43E">
      <w:pPr>
        <w:shd w:val="clear"/>
        <w:snapToGrid w:val="0"/>
        <w:spacing w:line="360" w:lineRule="auto"/>
        <w:ind w:firstLine="210" w:firstLineChars="100"/>
        <w:outlineLvl w:val="0"/>
        <w:rPr>
          <w:rFonts w:hint="eastAsia" w:ascii="仿宋" w:hAnsi="仿宋" w:eastAsia="仿宋" w:cs="仿宋"/>
          <w:bCs/>
          <w:color w:val="auto"/>
          <w:szCs w:val="21"/>
          <w:highlight w:val="none"/>
        </w:rPr>
      </w:pPr>
      <w:bookmarkStart w:id="167" w:name="_Toc15552"/>
      <w:bookmarkStart w:id="168" w:name="_Toc4453"/>
      <w:bookmarkStart w:id="169" w:name="_Toc7490"/>
      <w:bookmarkStart w:id="170" w:name="_Toc26696"/>
      <w:bookmarkStart w:id="171" w:name="_Toc31307"/>
      <w:bookmarkStart w:id="172" w:name="_Toc16405"/>
      <w:bookmarkStart w:id="173" w:name="_Toc19144"/>
      <w:bookmarkStart w:id="174" w:name="_Toc26542"/>
      <w:bookmarkStart w:id="175" w:name="_Toc21354"/>
      <w:bookmarkStart w:id="176" w:name="_Toc30478"/>
      <w:bookmarkStart w:id="177" w:name="_Toc32557"/>
      <w:bookmarkStart w:id="178" w:name="_Toc26477"/>
      <w:bookmarkStart w:id="179" w:name="_Toc15478"/>
      <w:bookmarkStart w:id="180" w:name="_Toc14199"/>
      <w:bookmarkStart w:id="181" w:name="_Toc24530"/>
      <w:r>
        <w:rPr>
          <w:rFonts w:hint="eastAsia" w:ascii="仿宋" w:hAnsi="仿宋" w:eastAsia="仿宋" w:cs="仿宋"/>
          <w:bCs/>
          <w:color w:val="auto"/>
          <w:szCs w:val="21"/>
          <w:highlight w:val="none"/>
        </w:rPr>
        <w:t>（1）投标报价是指完成本项目的所有费用，以招标文件的内容和要求作为投标依据；</w:t>
      </w:r>
      <w:bookmarkEnd w:id="167"/>
      <w:bookmarkEnd w:id="168"/>
      <w:bookmarkEnd w:id="169"/>
      <w:r>
        <w:rPr>
          <w:rFonts w:hint="eastAsia" w:ascii="仿宋" w:hAnsi="仿宋" w:eastAsia="仿宋" w:cs="仿宋"/>
          <w:bCs/>
          <w:color w:val="auto"/>
          <w:szCs w:val="21"/>
          <w:highlight w:val="none"/>
        </w:rPr>
        <w:t>投标人应当按照招标文件要求填报投标报价，并充分了解该采购项目的总体情况以及影响投标报价的其他要素，凡因投标人对招标文件阅读不深、理解不透、误解、疏漏、或因市场行情了解不清造成的后果和风险均由投标人自负。</w:t>
      </w:r>
      <w:bookmarkEnd w:id="170"/>
      <w:bookmarkEnd w:id="171"/>
      <w:bookmarkEnd w:id="172"/>
    </w:p>
    <w:p w14:paraId="2E76A99C">
      <w:pPr>
        <w:shd w:val="clear"/>
        <w:snapToGrid w:val="0"/>
        <w:spacing w:line="360" w:lineRule="auto"/>
        <w:ind w:firstLine="210" w:firstLineChars="100"/>
        <w:outlineLvl w:val="0"/>
        <w:rPr>
          <w:rFonts w:hint="eastAsia" w:ascii="仿宋" w:hAnsi="仿宋" w:eastAsia="仿宋" w:cs="仿宋"/>
          <w:bCs/>
          <w:color w:val="auto"/>
          <w:szCs w:val="21"/>
          <w:highlight w:val="none"/>
        </w:rPr>
      </w:pPr>
      <w:bookmarkStart w:id="182" w:name="_Toc20508"/>
      <w:bookmarkStart w:id="183" w:name="_Toc81"/>
      <w:bookmarkStart w:id="184" w:name="_Toc8496"/>
      <w:bookmarkStart w:id="185" w:name="_Toc22069"/>
      <w:bookmarkStart w:id="186" w:name="_Toc15250"/>
      <w:bookmarkStart w:id="187" w:name="_Toc15110"/>
      <w:r>
        <w:rPr>
          <w:rFonts w:hint="eastAsia" w:ascii="仿宋" w:hAnsi="仿宋" w:eastAsia="仿宋" w:cs="仿宋"/>
          <w:bCs/>
          <w:color w:val="auto"/>
          <w:szCs w:val="21"/>
          <w:highlight w:val="none"/>
        </w:rPr>
        <w:t>（2）</w:t>
      </w:r>
      <w:bookmarkEnd w:id="182"/>
      <w:bookmarkEnd w:id="183"/>
      <w:bookmarkEnd w:id="184"/>
      <w:r>
        <w:rPr>
          <w:rFonts w:hint="eastAsia" w:ascii="仿宋" w:hAnsi="仿宋" w:eastAsia="仿宋" w:cs="仿宋"/>
          <w:bCs/>
          <w:color w:val="auto"/>
          <w:szCs w:val="21"/>
          <w:highlight w:val="none"/>
        </w:rPr>
        <w:t>投标人每种产品只允许有一个报价，并且在合同履行过程中是固定不变的，任何有选择或可调整的报价将不予接受并按无效投标处理。</w:t>
      </w:r>
      <w:bookmarkEnd w:id="185"/>
      <w:bookmarkEnd w:id="186"/>
      <w:bookmarkEnd w:id="187"/>
    </w:p>
    <w:p w14:paraId="5E6845FC">
      <w:pPr>
        <w:shd w:val="clear"/>
        <w:snapToGrid w:val="0"/>
        <w:spacing w:line="360" w:lineRule="auto"/>
        <w:ind w:firstLine="210" w:firstLineChars="100"/>
        <w:outlineLvl w:val="0"/>
        <w:rPr>
          <w:rFonts w:hint="eastAsia" w:ascii="仿宋" w:hAnsi="仿宋" w:eastAsia="仿宋" w:cs="仿宋"/>
          <w:bCs/>
          <w:color w:val="auto"/>
          <w:szCs w:val="21"/>
          <w:highlight w:val="none"/>
        </w:rPr>
      </w:pPr>
      <w:bookmarkStart w:id="188" w:name="_Toc27300"/>
      <w:bookmarkStart w:id="189" w:name="_Toc22741"/>
      <w:bookmarkStart w:id="190" w:name="_Toc19151"/>
      <w:r>
        <w:rPr>
          <w:rFonts w:hint="eastAsia" w:ascii="仿宋" w:hAnsi="仿宋" w:eastAsia="仿宋" w:cs="仿宋"/>
          <w:bCs/>
          <w:color w:val="auto"/>
          <w:szCs w:val="21"/>
          <w:highlight w:val="none"/>
        </w:rPr>
        <w:t>（3）投标人的报价是投标人响应招标段目要求的全部工作内容的价格体现，包括投标人完成本项目所需的一切费用，即：产品费、运输费、保险费、服务费（含售后）、招标代理费、税金及不可预见费等全部费用。投标总价中不得包含招标文件要求以外的内容，否则，在评标时不予核减。在供货、</w:t>
      </w:r>
      <w:r>
        <w:rPr>
          <w:rFonts w:hint="eastAsia" w:ascii="仿宋" w:hAnsi="仿宋" w:eastAsia="仿宋" w:cs="仿宋"/>
          <w:bCs/>
          <w:color w:val="auto"/>
          <w:szCs w:val="21"/>
          <w:highlight w:val="none"/>
          <w:lang w:val="en-US" w:eastAsia="zh-CN"/>
        </w:rPr>
        <w:t>运输</w:t>
      </w:r>
      <w:r>
        <w:rPr>
          <w:rFonts w:hint="eastAsia" w:ascii="仿宋" w:hAnsi="仿宋" w:eastAsia="仿宋" w:cs="仿宋"/>
          <w:bCs/>
          <w:color w:val="auto"/>
          <w:szCs w:val="21"/>
          <w:highlight w:val="none"/>
        </w:rPr>
        <w:t>等工作中出现任何遗漏，均由中标人免费提供，采购人将不再支付任何费用。</w:t>
      </w:r>
      <w:bookmarkEnd w:id="188"/>
      <w:bookmarkEnd w:id="189"/>
      <w:bookmarkEnd w:id="190"/>
    </w:p>
    <w:p w14:paraId="1E2F6DEB">
      <w:pPr>
        <w:shd w:val="clear"/>
        <w:snapToGrid w:val="0"/>
        <w:spacing w:line="360" w:lineRule="auto"/>
        <w:ind w:firstLine="210" w:firstLineChars="100"/>
        <w:outlineLvl w:val="0"/>
        <w:rPr>
          <w:rFonts w:hint="eastAsia" w:ascii="仿宋" w:hAnsi="仿宋" w:eastAsia="仿宋" w:cs="仿宋"/>
          <w:bCs/>
          <w:color w:val="auto"/>
          <w:szCs w:val="21"/>
          <w:highlight w:val="none"/>
        </w:rPr>
      </w:pPr>
      <w:bookmarkStart w:id="191" w:name="_Toc26451"/>
      <w:bookmarkStart w:id="192" w:name="_Toc20847"/>
      <w:bookmarkStart w:id="193" w:name="_Toc3937"/>
      <w:bookmarkStart w:id="194" w:name="_Toc11845"/>
      <w:bookmarkStart w:id="195" w:name="_Toc27373"/>
      <w:bookmarkStart w:id="196" w:name="_Toc31336"/>
      <w:r>
        <w:rPr>
          <w:rFonts w:hint="eastAsia" w:ascii="仿宋" w:hAnsi="仿宋" w:eastAsia="仿宋" w:cs="仿宋"/>
          <w:bCs/>
          <w:color w:val="auto"/>
          <w:szCs w:val="21"/>
          <w:highlight w:val="none"/>
        </w:rPr>
        <w:t>（4）投标货币：人民币；单位：元（最多保留到小数点后两位）；</w:t>
      </w:r>
      <w:bookmarkEnd w:id="191"/>
      <w:bookmarkEnd w:id="192"/>
      <w:bookmarkEnd w:id="193"/>
      <w:bookmarkEnd w:id="194"/>
      <w:bookmarkEnd w:id="195"/>
      <w:bookmarkEnd w:id="196"/>
    </w:p>
    <w:p w14:paraId="3690F16B">
      <w:pPr>
        <w:shd w:val="clear"/>
        <w:snapToGrid w:val="0"/>
        <w:spacing w:line="360" w:lineRule="auto"/>
        <w:ind w:firstLine="210" w:firstLineChars="100"/>
        <w:outlineLvl w:val="0"/>
        <w:rPr>
          <w:rFonts w:hint="eastAsia" w:ascii="仿宋" w:hAnsi="仿宋" w:eastAsia="仿宋" w:cs="仿宋"/>
          <w:bCs/>
          <w:color w:val="auto"/>
          <w:szCs w:val="21"/>
          <w:highlight w:val="none"/>
        </w:rPr>
      </w:pPr>
      <w:bookmarkStart w:id="197" w:name="_Toc30343"/>
      <w:bookmarkStart w:id="198" w:name="_Toc14272"/>
      <w:bookmarkStart w:id="199" w:name="_Toc21233"/>
      <w:bookmarkStart w:id="200" w:name="_Toc17662"/>
      <w:bookmarkStart w:id="201" w:name="_Toc27744"/>
      <w:bookmarkStart w:id="202" w:name="_Toc11333"/>
      <w:r>
        <w:rPr>
          <w:rFonts w:hint="eastAsia" w:ascii="仿宋" w:hAnsi="仿宋" w:eastAsia="仿宋" w:cs="仿宋"/>
          <w:bCs/>
          <w:color w:val="auto"/>
          <w:szCs w:val="21"/>
          <w:highlight w:val="none"/>
        </w:rPr>
        <w:t>（</w:t>
      </w:r>
      <w:bookmarkEnd w:id="197"/>
      <w:bookmarkEnd w:id="198"/>
      <w:bookmarkEnd w:id="199"/>
      <w:bookmarkStart w:id="203" w:name="_Toc24503"/>
      <w:bookmarkStart w:id="204" w:name="_Toc7876"/>
      <w:bookmarkStart w:id="205" w:name="_Toc6396"/>
      <w:r>
        <w:rPr>
          <w:rFonts w:hint="eastAsia" w:ascii="仿宋" w:hAnsi="仿宋" w:eastAsia="仿宋" w:cs="仿宋"/>
          <w:bCs/>
          <w:color w:val="auto"/>
          <w:szCs w:val="21"/>
          <w:highlight w:val="none"/>
        </w:rPr>
        <w:t>5）最低报价不是中标的唯一依据；</w:t>
      </w:r>
      <w:bookmarkEnd w:id="200"/>
      <w:bookmarkEnd w:id="201"/>
      <w:bookmarkEnd w:id="202"/>
      <w:bookmarkEnd w:id="203"/>
      <w:bookmarkEnd w:id="204"/>
      <w:bookmarkEnd w:id="205"/>
    </w:p>
    <w:p w14:paraId="507EC1C0">
      <w:pPr>
        <w:shd w:val="clear"/>
        <w:snapToGrid w:val="0"/>
        <w:spacing w:line="360" w:lineRule="auto"/>
        <w:ind w:firstLine="210" w:firstLineChars="100"/>
        <w:outlineLvl w:val="0"/>
        <w:rPr>
          <w:rFonts w:hint="eastAsia" w:ascii="仿宋" w:hAnsi="仿宋" w:eastAsia="仿宋" w:cs="仿宋"/>
          <w:bCs/>
          <w:color w:val="auto"/>
          <w:szCs w:val="21"/>
          <w:highlight w:val="none"/>
        </w:rPr>
      </w:pPr>
      <w:bookmarkStart w:id="206" w:name="_Toc19028"/>
      <w:bookmarkStart w:id="207" w:name="_Toc6877"/>
      <w:bookmarkStart w:id="208" w:name="_Toc2586"/>
      <w:bookmarkStart w:id="209" w:name="_Toc28858"/>
      <w:bookmarkStart w:id="210" w:name="_Toc21405"/>
      <w:bookmarkStart w:id="211" w:name="_Toc30448"/>
      <w:r>
        <w:rPr>
          <w:rFonts w:hint="eastAsia" w:ascii="仿宋" w:hAnsi="仿宋" w:eastAsia="仿宋" w:cs="仿宋"/>
          <w:bCs/>
          <w:color w:val="auto"/>
          <w:szCs w:val="21"/>
          <w:highlight w:val="none"/>
        </w:rPr>
        <w:t>（6）投标人不得以低于成本的报价参加投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bookmarkEnd w:id="206"/>
      <w:bookmarkEnd w:id="207"/>
      <w:bookmarkEnd w:id="208"/>
      <w:bookmarkEnd w:id="209"/>
      <w:bookmarkEnd w:id="210"/>
      <w:bookmarkEnd w:id="211"/>
      <w:bookmarkStart w:id="212" w:name="_Toc13368"/>
      <w:bookmarkStart w:id="213" w:name="_Toc25787"/>
      <w:bookmarkStart w:id="214" w:name="_Toc20106"/>
      <w:bookmarkStart w:id="215" w:name="_Toc4036"/>
      <w:bookmarkStart w:id="216" w:name="_Toc12707"/>
      <w:bookmarkStart w:id="217" w:name="_Toc21775"/>
    </w:p>
    <w:p w14:paraId="50C9913D">
      <w:pPr>
        <w:shd w:val="clear"/>
        <w:snapToGrid w:val="0"/>
        <w:spacing w:line="360" w:lineRule="auto"/>
        <w:ind w:firstLine="210" w:firstLineChars="100"/>
        <w:outlineLvl w:val="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投标人的投标报价不得超过投标人须知前附表规定的预算金额，否则，作为不实质性响应招标文件，按无效投标处理；投标人须知前附表设定了最高限价的，投标人的投标报价也不得超过最高限价，否则，作为不实质性响应招标文件，按无效投标处理。</w:t>
      </w:r>
      <w:bookmarkEnd w:id="212"/>
      <w:bookmarkEnd w:id="213"/>
      <w:bookmarkEnd w:id="214"/>
    </w:p>
    <w:p w14:paraId="30F6AF9A">
      <w:pPr>
        <w:shd w:val="clear"/>
        <w:snapToGrid w:val="0"/>
        <w:spacing w:line="360" w:lineRule="auto"/>
        <w:ind w:firstLine="210" w:firstLineChars="100"/>
        <w:outlineLvl w:val="0"/>
        <w:rPr>
          <w:rFonts w:hint="eastAsia" w:ascii="仿宋" w:hAnsi="仿宋" w:eastAsia="仿宋" w:cs="仿宋"/>
          <w:bCs/>
          <w:color w:val="auto"/>
          <w:szCs w:val="21"/>
          <w:highlight w:val="none"/>
        </w:rPr>
      </w:pPr>
      <w:bookmarkStart w:id="218" w:name="_Toc30407"/>
      <w:bookmarkStart w:id="219" w:name="_Toc1878"/>
      <w:bookmarkStart w:id="220" w:name="_Toc7907"/>
      <w:r>
        <w:rPr>
          <w:rFonts w:hint="eastAsia" w:ascii="仿宋" w:hAnsi="仿宋" w:eastAsia="仿宋" w:cs="仿宋"/>
          <w:bCs/>
          <w:color w:val="auto"/>
          <w:szCs w:val="21"/>
          <w:highlight w:val="none"/>
        </w:rPr>
        <w:t>（8）采购人不接受投标人给予的赠品、回扣或者与采购无关的其他商品、服务。如有赠与行为，其投标无效。</w:t>
      </w:r>
      <w:bookmarkEnd w:id="218"/>
      <w:bookmarkEnd w:id="219"/>
      <w:bookmarkEnd w:id="220"/>
    </w:p>
    <w:bookmarkEnd w:id="173"/>
    <w:bookmarkEnd w:id="174"/>
    <w:bookmarkEnd w:id="175"/>
    <w:bookmarkEnd w:id="176"/>
    <w:bookmarkEnd w:id="177"/>
    <w:bookmarkEnd w:id="178"/>
    <w:bookmarkEnd w:id="179"/>
    <w:bookmarkEnd w:id="180"/>
    <w:bookmarkEnd w:id="181"/>
    <w:bookmarkEnd w:id="215"/>
    <w:bookmarkEnd w:id="216"/>
    <w:bookmarkEnd w:id="217"/>
    <w:p w14:paraId="1FC6C48A">
      <w:pPr>
        <w:shd w:val="clear"/>
        <w:snapToGrid w:val="0"/>
        <w:spacing w:line="360" w:lineRule="auto"/>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4.5.投标文件的编制</w:t>
      </w:r>
    </w:p>
    <w:p w14:paraId="38D2D53E">
      <w:pPr>
        <w:shd w:val="clear"/>
        <w:tabs>
          <w:tab w:val="left" w:pos="72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4.5.1.投标人应仔细阅读招标文件的所有内容，按招标文件规定及要求编制投标文件，并对招标文件提出的实质性要求做出响应，提交完整的投标文件。投标内容应完整，如有遗漏，将被视为无效。</w:t>
      </w:r>
    </w:p>
    <w:p w14:paraId="1E488703">
      <w:pPr>
        <w:shd w:val="clear"/>
        <w:tabs>
          <w:tab w:val="left" w:pos="72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bCs/>
          <w:color w:val="auto"/>
          <w:szCs w:val="21"/>
          <w:highlight w:val="none"/>
        </w:rPr>
        <w:t>5.2.投标文件的语言：投标人</w:t>
      </w:r>
      <w:r>
        <w:rPr>
          <w:rFonts w:hint="eastAsia" w:ascii="仿宋" w:hAnsi="仿宋" w:eastAsia="仿宋" w:cs="仿宋"/>
          <w:color w:val="auto"/>
          <w:szCs w:val="21"/>
          <w:highlight w:val="none"/>
        </w:rPr>
        <w:t>提交的投标文件以及投标人与采购代理机构就有关本项目所有文件、资料、函电文字均应使用中文（通用缩写、代号、名称除外）。</w:t>
      </w:r>
    </w:p>
    <w:p w14:paraId="5B61CBA1">
      <w:pPr>
        <w:shd w:val="clear"/>
        <w:tabs>
          <w:tab w:val="left" w:pos="720"/>
        </w:tabs>
        <w:snapToGrid w:val="0"/>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4.5.3.投标文件的计量单位：</w:t>
      </w:r>
      <w:r>
        <w:rPr>
          <w:rFonts w:hint="eastAsia" w:ascii="仿宋" w:hAnsi="仿宋" w:eastAsia="仿宋" w:cs="仿宋"/>
          <w:color w:val="auto"/>
          <w:kern w:val="0"/>
          <w:szCs w:val="21"/>
          <w:highlight w:val="none"/>
        </w:rPr>
        <w:t>投标文件已有明确规定的，使用投标文件规定的计量单位；投标文件没有规定的，应采用中华人民共和国法定计量单位</w:t>
      </w:r>
      <w:r>
        <w:rPr>
          <w:rFonts w:hint="eastAsia" w:ascii="仿宋" w:hAnsi="仿宋" w:eastAsia="仿宋" w:cs="仿宋"/>
          <w:color w:val="auto"/>
          <w:szCs w:val="21"/>
          <w:highlight w:val="none"/>
        </w:rPr>
        <w:t>(国际单位制和国家选定的其他计量单位)</w:t>
      </w:r>
      <w:r>
        <w:rPr>
          <w:rFonts w:hint="eastAsia" w:ascii="仿宋" w:hAnsi="仿宋" w:eastAsia="仿宋" w:cs="仿宋"/>
          <w:color w:val="auto"/>
          <w:kern w:val="0"/>
          <w:szCs w:val="21"/>
          <w:highlight w:val="none"/>
        </w:rPr>
        <w:t>。</w:t>
      </w:r>
    </w:p>
    <w:p w14:paraId="0FBBE7C1">
      <w:pPr>
        <w:shd w:val="clear"/>
        <w:tabs>
          <w:tab w:val="left" w:pos="0"/>
          <w:tab w:val="left" w:pos="420"/>
        </w:tabs>
        <w:snapToGrid w:val="0"/>
        <w:spacing w:line="360" w:lineRule="auto"/>
        <w:ind w:firstLine="420" w:firstLineChars="20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kern w:val="1"/>
          <w:szCs w:val="21"/>
          <w:highlight w:val="none"/>
        </w:rPr>
        <w:t>5.4.备选方案：本项目不接受备选投标方案，投标文件的报价只允许有一个报价，不接受有任何选择或具有附加条件的报价，否则，在评审时将其视为无效报价。</w:t>
      </w:r>
    </w:p>
    <w:p w14:paraId="744BAEF7">
      <w:pPr>
        <w:shd w:val="clear"/>
        <w:tabs>
          <w:tab w:val="left" w:pos="0"/>
          <w:tab w:val="left" w:pos="420"/>
        </w:tabs>
        <w:snapToGrid w:val="0"/>
        <w:spacing w:line="360" w:lineRule="auto"/>
        <w:ind w:firstLine="420" w:firstLineChars="20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kern w:val="1"/>
          <w:szCs w:val="21"/>
          <w:highlight w:val="none"/>
        </w:rPr>
        <w:t>5.5.投标文件有效期：投标文件有效期自投标截止之日起计算不得少于90天。</w:t>
      </w:r>
    </w:p>
    <w:p w14:paraId="6BAECCE9">
      <w:pPr>
        <w:shd w:val="clear"/>
        <w:tabs>
          <w:tab w:val="left" w:pos="0"/>
        </w:tabs>
        <w:snapToGrid w:val="0"/>
        <w:spacing w:line="360" w:lineRule="auto"/>
        <w:ind w:firstLine="420" w:firstLineChars="20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kern w:val="1"/>
          <w:szCs w:val="21"/>
          <w:highlight w:val="none"/>
        </w:rPr>
        <w:t>5.6.投标文件格式：投标人应严格按照招标文件《</w:t>
      </w:r>
      <w:r>
        <w:rPr>
          <w:rFonts w:hint="eastAsia" w:ascii="仿宋" w:hAnsi="仿宋" w:eastAsia="仿宋" w:cs="仿宋"/>
          <w:color w:val="auto"/>
          <w:kern w:val="1"/>
          <w:szCs w:val="21"/>
          <w:highlight w:val="none"/>
          <w:lang w:eastAsia="zh-CN"/>
        </w:rPr>
        <w:t>第五章</w:t>
      </w:r>
      <w:r>
        <w:rPr>
          <w:rFonts w:hint="eastAsia" w:ascii="仿宋" w:hAnsi="仿宋" w:eastAsia="仿宋" w:cs="仿宋"/>
          <w:color w:val="auto"/>
          <w:kern w:val="1"/>
          <w:szCs w:val="21"/>
          <w:highlight w:val="none"/>
        </w:rPr>
        <w:t xml:space="preserve"> 投标文件格式及构成》填写相关内容。除明确允许投标人可以自行编写的外，投标人不得以规定之外的方式填写相关内容。</w:t>
      </w:r>
    </w:p>
    <w:p w14:paraId="636B4471">
      <w:pPr>
        <w:shd w:val="clear"/>
        <w:tabs>
          <w:tab w:val="left" w:pos="0"/>
        </w:tabs>
        <w:snapToGrid w:val="0"/>
        <w:spacing w:line="360" w:lineRule="auto"/>
        <w:ind w:firstLine="420" w:firstLineChars="20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kern w:val="1"/>
          <w:szCs w:val="21"/>
          <w:highlight w:val="none"/>
        </w:rPr>
        <w:t>5.7.投标文件的签署、盖章</w:t>
      </w:r>
    </w:p>
    <w:p w14:paraId="380AC316">
      <w:pPr>
        <w:shd w:val="clear"/>
        <w:tabs>
          <w:tab w:val="left" w:pos="0"/>
        </w:tabs>
        <w:snapToGrid w:val="0"/>
        <w:spacing w:line="360" w:lineRule="auto"/>
        <w:ind w:firstLine="420" w:firstLineChars="20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kern w:val="1"/>
          <w:szCs w:val="21"/>
          <w:highlight w:val="none"/>
        </w:rPr>
        <w:t>5.7.1.投标文件须由投标人的法定代表人或经法定代表人正式授权的代表签字（招标文件要求投标文件中法定代表人签字处由法定代表人签署，要求授权代表签字处由授权代表签署），若由授权代表签署，须按招标文件规定的格式出具“法定代表人授权书”附在投标文件中，所有要求签字（名）处，均须由签字（名）者本人用不褪色的蓝(黑)色墨水(汁)书写，不得用任何形式的图章代替）；投标文件的任何行间插字、涂改和增删，改动处须由法定代表人或授权代表签字并加盖公章方为有效；因字迹潦草或表达不清所引起的后果由投标人自行负责。</w:t>
      </w:r>
    </w:p>
    <w:p w14:paraId="65B2F3DC">
      <w:pPr>
        <w:shd w:val="clear"/>
        <w:tabs>
          <w:tab w:val="left" w:pos="0"/>
        </w:tabs>
        <w:snapToGrid w:val="0"/>
        <w:spacing w:line="360" w:lineRule="auto"/>
        <w:ind w:firstLine="210" w:firstLineChars="10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kern w:val="1"/>
          <w:szCs w:val="21"/>
          <w:highlight w:val="none"/>
        </w:rPr>
        <w:t>5.7.2.投标人必须按照招标文件的规定和要求在投标文件中指定的页面处加盖公章。</w:t>
      </w:r>
    </w:p>
    <w:p w14:paraId="362D3C53">
      <w:pPr>
        <w:shd w:val="clear"/>
        <w:tabs>
          <w:tab w:val="left" w:pos="0"/>
          <w:tab w:val="left" w:pos="420"/>
        </w:tabs>
        <w:snapToGrid w:val="0"/>
        <w:spacing w:line="360" w:lineRule="auto"/>
        <w:ind w:firstLine="210" w:firstLineChars="10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kern w:val="1"/>
          <w:szCs w:val="21"/>
          <w:highlight w:val="none"/>
        </w:rPr>
        <w:t>5.8.封装及封套注释</w:t>
      </w:r>
      <w:r>
        <w:rPr>
          <w:rFonts w:hint="eastAsia" w:ascii="仿宋" w:hAnsi="仿宋" w:eastAsia="仿宋" w:cs="仿宋"/>
          <w:color w:val="auto"/>
          <w:kern w:val="1"/>
          <w:szCs w:val="21"/>
          <w:highlight w:val="none"/>
        </w:rPr>
        <w:tab/>
      </w:r>
    </w:p>
    <w:p w14:paraId="223079F6">
      <w:pPr>
        <w:keepNext w:val="0"/>
        <w:keepLines w:val="0"/>
        <w:pageBreakBefore w:val="0"/>
        <w:widowControl w:val="0"/>
        <w:shd w:val="clear"/>
        <w:tabs>
          <w:tab w:val="left" w:pos="0"/>
          <w:tab w:val="left" w:pos="420"/>
        </w:tabs>
        <w:kinsoku/>
        <w:wordWrap/>
        <w:overflowPunct/>
        <w:topLinePunct w:val="0"/>
        <w:autoSpaceDE/>
        <w:autoSpaceDN/>
        <w:bidi w:val="0"/>
        <w:adjustRightInd/>
        <w:snapToGrid w:val="0"/>
        <w:spacing w:line="360" w:lineRule="auto"/>
        <w:ind w:firstLine="210" w:firstLineChars="100"/>
        <w:textAlignment w:val="auto"/>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kern w:val="1"/>
          <w:szCs w:val="21"/>
          <w:highlight w:val="none"/>
        </w:rPr>
        <w:t>5.8.1.</w:t>
      </w:r>
      <w:r>
        <w:rPr>
          <w:rFonts w:hint="eastAsia" w:ascii="仿宋" w:hAnsi="仿宋" w:eastAsia="仿宋" w:cs="仿宋"/>
          <w:b/>
          <w:bCs/>
          <w:color w:val="auto"/>
          <w:kern w:val="1"/>
          <w:szCs w:val="21"/>
          <w:highlight w:val="none"/>
        </w:rPr>
        <w:t>投标文件的正本、副本</w:t>
      </w:r>
      <w:r>
        <w:rPr>
          <w:rFonts w:hint="eastAsia" w:ascii="仿宋" w:hAnsi="仿宋" w:eastAsia="仿宋" w:cs="仿宋"/>
          <w:b/>
          <w:bCs/>
          <w:color w:val="auto"/>
          <w:kern w:val="1"/>
          <w:szCs w:val="21"/>
          <w:highlight w:val="none"/>
          <w:lang w:eastAsia="zh-CN"/>
        </w:rPr>
        <w:t>、开标一览表</w:t>
      </w:r>
      <w:r>
        <w:rPr>
          <w:rFonts w:hint="eastAsia" w:ascii="仿宋" w:hAnsi="仿宋" w:eastAsia="仿宋" w:cs="仿宋"/>
          <w:b/>
          <w:bCs/>
          <w:color w:val="auto"/>
          <w:kern w:val="1"/>
          <w:szCs w:val="21"/>
          <w:highlight w:val="none"/>
        </w:rPr>
        <w:t>要求各自分装密封（封袋不得有破损），同时在封口处加贴封条并在骑缝处加盖投标人公章；投标文件电子版U盘须用抠取纸或其他方式标明投标人名称，并用小信封包装后随</w:t>
      </w:r>
      <w:r>
        <w:rPr>
          <w:rFonts w:hint="eastAsia" w:ascii="仿宋" w:hAnsi="仿宋" w:eastAsia="仿宋" w:cs="仿宋"/>
          <w:b/>
          <w:bCs/>
          <w:color w:val="auto"/>
          <w:kern w:val="1"/>
          <w:szCs w:val="21"/>
          <w:highlight w:val="none"/>
          <w:lang w:eastAsia="zh-CN"/>
        </w:rPr>
        <w:t>开标一览表一起</w:t>
      </w:r>
      <w:r>
        <w:rPr>
          <w:rFonts w:hint="eastAsia" w:ascii="仿宋" w:hAnsi="仿宋" w:eastAsia="仿宋" w:cs="仿宋"/>
          <w:b/>
          <w:bCs/>
          <w:color w:val="auto"/>
          <w:kern w:val="1"/>
          <w:szCs w:val="21"/>
          <w:highlight w:val="none"/>
        </w:rPr>
        <w:t>封装，U盘须安全无病毒。电子文件与纸质正本投标文件的内容应保持一致，具有同等法律效力。电子文件采用PDF格式，需要签字和盖章的，可采用电子印章，或将有盖章和签字的纸质页面、证件等扫描文件一起编辑到PDF格式文件中，盖章和签字页不能遗漏。未按规定制作电子文件或开标现场电子U盘因自身原因导致无法读取的</w:t>
      </w:r>
      <w:r>
        <w:rPr>
          <w:rFonts w:hint="eastAsia" w:ascii="仿宋" w:hAnsi="仿宋" w:eastAsia="仿宋" w:cs="仿宋"/>
          <w:b/>
          <w:bCs/>
          <w:color w:val="auto"/>
          <w:kern w:val="1"/>
          <w:szCs w:val="21"/>
          <w:highlight w:val="none"/>
          <w:lang w:eastAsia="zh-CN"/>
        </w:rPr>
        <w:t>、投标人</w:t>
      </w:r>
      <w:r>
        <w:rPr>
          <w:rFonts w:hint="eastAsia" w:ascii="仿宋" w:hAnsi="仿宋" w:eastAsia="仿宋" w:cs="仿宋"/>
          <w:b/>
          <w:bCs/>
          <w:color w:val="auto"/>
          <w:kern w:val="1"/>
          <w:sz w:val="21"/>
          <w:szCs w:val="21"/>
          <w:highlight w:val="none"/>
        </w:rPr>
        <w:t>电子文件属性相同的</w:t>
      </w:r>
      <w:r>
        <w:rPr>
          <w:rFonts w:hint="eastAsia" w:ascii="仿宋" w:hAnsi="仿宋" w:eastAsia="仿宋" w:cs="仿宋"/>
          <w:b/>
          <w:bCs/>
          <w:color w:val="auto"/>
          <w:kern w:val="1"/>
          <w:szCs w:val="21"/>
          <w:highlight w:val="none"/>
        </w:rPr>
        <w:t>，按无效投标文件处理。</w:t>
      </w:r>
    </w:p>
    <w:p w14:paraId="0A01A2D8">
      <w:pPr>
        <w:shd w:val="clear"/>
        <w:tabs>
          <w:tab w:val="left" w:pos="0"/>
          <w:tab w:val="left" w:pos="420"/>
        </w:tabs>
        <w:snapToGrid w:val="0"/>
        <w:spacing w:line="360" w:lineRule="auto"/>
        <w:ind w:firstLine="210" w:firstLineChars="10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kern w:val="1"/>
          <w:szCs w:val="21"/>
          <w:highlight w:val="none"/>
        </w:rPr>
        <w:t>5.8.2.封套上应载明的信息：</w:t>
      </w:r>
    </w:p>
    <w:p w14:paraId="424D2145">
      <w:pPr>
        <w:shd w:val="clear"/>
        <w:tabs>
          <w:tab w:val="left" w:pos="0"/>
          <w:tab w:val="left" w:pos="420"/>
        </w:tabs>
        <w:snapToGrid w:val="0"/>
        <w:spacing w:line="360" w:lineRule="auto"/>
        <w:ind w:firstLine="420" w:firstLineChars="20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lang w:val="en-US" w:eastAsia="zh-CN"/>
        </w:rPr>
        <w:t>项目</w:t>
      </w:r>
      <w:r>
        <w:rPr>
          <w:rFonts w:hint="eastAsia" w:ascii="仿宋" w:hAnsi="仿宋" w:eastAsia="仿宋" w:cs="仿宋"/>
          <w:color w:val="auto"/>
          <w:kern w:val="1"/>
          <w:szCs w:val="21"/>
          <w:highlight w:val="none"/>
        </w:rPr>
        <w:t>名称及编号、采购人名称、投标人名称，并注明“正副本”及“在    年  月  日  时  分前不得开启”字样</w:t>
      </w:r>
    </w:p>
    <w:p w14:paraId="1BD92420">
      <w:pPr>
        <w:shd w:val="clear"/>
        <w:tabs>
          <w:tab w:val="left" w:pos="0"/>
          <w:tab w:val="left" w:pos="420"/>
        </w:tabs>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kern w:val="1"/>
          <w:szCs w:val="21"/>
          <w:highlight w:val="none"/>
        </w:rPr>
        <w:t>5.8.3.</w:t>
      </w:r>
      <w:r>
        <w:rPr>
          <w:rFonts w:hint="eastAsia" w:ascii="仿宋" w:hAnsi="仿宋" w:eastAsia="仿宋" w:cs="仿宋"/>
          <w:color w:val="auto"/>
          <w:szCs w:val="21"/>
          <w:highlight w:val="none"/>
        </w:rPr>
        <w:t>投标文件正本和副本</w:t>
      </w:r>
      <w:r>
        <w:rPr>
          <w:rFonts w:hint="eastAsia" w:ascii="仿宋" w:hAnsi="仿宋" w:eastAsia="仿宋" w:cs="仿宋"/>
          <w:color w:val="auto"/>
          <w:szCs w:val="21"/>
          <w:highlight w:val="none"/>
          <w:lang w:val="zh-CN"/>
        </w:rPr>
        <w:t>一律采用A4纸幅面加胶装分别装订成册，</w:t>
      </w:r>
      <w:r>
        <w:rPr>
          <w:rFonts w:hint="eastAsia" w:ascii="仿宋" w:hAnsi="仿宋" w:eastAsia="仿宋" w:cs="仿宋"/>
          <w:bCs/>
          <w:color w:val="auto"/>
          <w:kern w:val="1"/>
          <w:szCs w:val="21"/>
          <w:highlight w:val="none"/>
        </w:rPr>
        <w:t>按序从目录开始编制页码“第  页,共  页”。</w:t>
      </w:r>
      <w:r>
        <w:rPr>
          <w:rFonts w:hint="eastAsia" w:ascii="仿宋" w:hAnsi="仿宋" w:eastAsia="仿宋" w:cs="仿宋"/>
          <w:color w:val="auto"/>
          <w:szCs w:val="21"/>
          <w:highlight w:val="none"/>
        </w:rPr>
        <w:t>文件胶装装订后，页面不可抽取，不得有活动页，无破损、不可拆分。</w:t>
      </w:r>
    </w:p>
    <w:p w14:paraId="2A492FD0">
      <w:pPr>
        <w:shd w:val="clear"/>
        <w:tabs>
          <w:tab w:val="left" w:pos="0"/>
          <w:tab w:val="left" w:pos="420"/>
        </w:tabs>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kern w:val="1"/>
          <w:szCs w:val="21"/>
          <w:highlight w:val="none"/>
        </w:rPr>
        <w:t>5.8.4</w:t>
      </w:r>
      <w:r>
        <w:rPr>
          <w:rFonts w:hint="eastAsia" w:ascii="仿宋" w:hAnsi="仿宋" w:eastAsia="仿宋" w:cs="仿宋"/>
          <w:color w:val="auto"/>
          <w:szCs w:val="21"/>
          <w:highlight w:val="none"/>
        </w:rPr>
        <w:t>.如果投标人未按上述要求密封标识，采购人及采购代理机构将拒绝接收投标文件。</w:t>
      </w:r>
    </w:p>
    <w:p w14:paraId="3DEBE598">
      <w:pPr>
        <w:shd w:val="clear"/>
        <w:snapToGrid w:val="0"/>
        <w:spacing w:line="360" w:lineRule="auto"/>
        <w:outlineLvl w:val="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4.6、投标保证金</w:t>
      </w:r>
      <w:r>
        <w:rPr>
          <w:rFonts w:hint="eastAsia" w:ascii="仿宋" w:hAnsi="仿宋" w:eastAsia="仿宋" w:cs="仿宋"/>
          <w:b/>
          <w:color w:val="auto"/>
          <w:szCs w:val="21"/>
          <w:highlight w:val="none"/>
          <w:lang w:eastAsia="zh-CN"/>
        </w:rPr>
        <w:t>：</w:t>
      </w:r>
      <w:bookmarkEnd w:id="63"/>
      <w:bookmarkEnd w:id="64"/>
    </w:p>
    <w:p w14:paraId="11445B19">
      <w:pPr>
        <w:tabs>
          <w:tab w:val="left" w:pos="7665"/>
        </w:tabs>
        <w:spacing w:line="360" w:lineRule="auto"/>
        <w:ind w:left="13" w:leftChars="6"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rPr>
        <w:t>.1、</w:t>
      </w:r>
      <w:r>
        <w:rPr>
          <w:rFonts w:hint="eastAsia" w:ascii="仿宋" w:hAnsi="仿宋" w:eastAsia="仿宋" w:cs="仿宋"/>
          <w:color w:val="auto"/>
          <w:sz w:val="21"/>
          <w:szCs w:val="21"/>
          <w:lang w:val="en-US" w:eastAsia="zh-CN"/>
        </w:rPr>
        <w:t>投标保证金</w:t>
      </w:r>
      <w:r>
        <w:rPr>
          <w:rFonts w:hint="eastAsia" w:ascii="仿宋" w:hAnsi="仿宋" w:eastAsia="仿宋" w:cs="仿宋"/>
          <w:color w:val="auto"/>
          <w:sz w:val="21"/>
          <w:szCs w:val="21"/>
        </w:rPr>
        <w:t>数额见供应商须知前附表。</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参加</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时，应当以人民币提交足额的</w:t>
      </w:r>
      <w:r>
        <w:rPr>
          <w:rFonts w:hint="eastAsia" w:ascii="仿宋" w:hAnsi="仿宋" w:eastAsia="仿宋" w:cs="仿宋"/>
          <w:color w:val="auto"/>
          <w:sz w:val="21"/>
          <w:szCs w:val="21"/>
          <w:lang w:eastAsia="zh-CN"/>
        </w:rPr>
        <w:t>投标保证金</w:t>
      </w:r>
      <w:r>
        <w:rPr>
          <w:rFonts w:hint="eastAsia" w:ascii="仿宋" w:hAnsi="仿宋" w:eastAsia="仿宋" w:cs="仿宋"/>
          <w:color w:val="auto"/>
          <w:sz w:val="21"/>
          <w:szCs w:val="21"/>
        </w:rPr>
        <w:t>，并作为其</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文件的一部分。</w:t>
      </w:r>
    </w:p>
    <w:p w14:paraId="043BCC79">
      <w:pPr>
        <w:tabs>
          <w:tab w:val="left" w:pos="7665"/>
        </w:tabs>
        <w:spacing w:line="360" w:lineRule="auto"/>
        <w:ind w:left="13" w:leftChars="6" w:firstLine="420" w:firstLineChars="200"/>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rPr>
        <w:t>.2、</w:t>
      </w:r>
      <w:r>
        <w:rPr>
          <w:rFonts w:hint="eastAsia" w:ascii="仿宋" w:hAnsi="仿宋" w:eastAsia="仿宋" w:cs="仿宋"/>
          <w:color w:val="auto"/>
          <w:sz w:val="21"/>
          <w:szCs w:val="21"/>
          <w:lang w:eastAsia="zh-CN"/>
        </w:rPr>
        <w:t>投标保证金</w:t>
      </w:r>
      <w:r>
        <w:rPr>
          <w:rFonts w:hint="eastAsia" w:ascii="仿宋" w:hAnsi="仿宋" w:eastAsia="仿宋" w:cs="仿宋"/>
          <w:color w:val="auto"/>
          <w:sz w:val="21"/>
          <w:szCs w:val="21"/>
        </w:rPr>
        <w:t>是为了保护采购人和采购代理机构免遭</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的不良行为而蒙受损失。采购人和采购代理机构在因</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的不良行为受到损害时，可根据</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文件的规定不予退还其</w:t>
      </w:r>
      <w:r>
        <w:rPr>
          <w:rFonts w:hint="eastAsia" w:ascii="仿宋" w:hAnsi="仿宋" w:eastAsia="仿宋" w:cs="仿宋"/>
          <w:color w:val="auto"/>
          <w:sz w:val="21"/>
          <w:szCs w:val="21"/>
          <w:lang w:eastAsia="zh-CN"/>
        </w:rPr>
        <w:t>投标保证金</w:t>
      </w:r>
      <w:r>
        <w:rPr>
          <w:rFonts w:hint="eastAsia" w:ascii="仿宋" w:hAnsi="仿宋" w:eastAsia="仿宋" w:cs="仿宋"/>
          <w:color w:val="auto"/>
          <w:sz w:val="21"/>
          <w:szCs w:val="21"/>
        </w:rPr>
        <w:t>。</w:t>
      </w:r>
    </w:p>
    <w:p w14:paraId="1EA7605C">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.3、投标保证金的提交</w:t>
      </w:r>
    </w:p>
    <w:p w14:paraId="44E2C045">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.3.1、投标保证金逾期交纳的投标人</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lang w:eastAsia="zh-CN"/>
        </w:rPr>
        <w:t>文件将被拒绝。</w:t>
      </w:r>
    </w:p>
    <w:p w14:paraId="3C8F278A">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.3.2、投标保证金应以银行转账或者金融机构、担保机构出具的保函等非现金形式提交。</w:t>
      </w:r>
    </w:p>
    <w:p w14:paraId="0EDC7AEE">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.3.2.1、以银行转账交纳投标保证金的，可以采取支票、电汇、网银、汇票、本票等方式，应从其基本账户转出。</w:t>
      </w:r>
    </w:p>
    <w:p w14:paraId="72B0C62E">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.3.2.2、以信用担保函形式交纳投标保证金的，应按照</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lang w:eastAsia="zh-CN"/>
        </w:rPr>
        <w:t>文件规定的格式提交，且是陕西省有关部门认定的具有开具保函资格的单位开具的保函。投标人违约，开具保函单位承担连带责任。</w:t>
      </w:r>
    </w:p>
    <w:p w14:paraId="2BD73DF0">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.4、投标保证金的退还：</w:t>
      </w:r>
    </w:p>
    <w:p w14:paraId="1A3C56A5">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.4.1、未</w:t>
      </w:r>
      <w:r>
        <w:rPr>
          <w:rFonts w:hint="eastAsia" w:ascii="仿宋" w:hAnsi="仿宋" w:eastAsia="仿宋" w:cs="仿宋"/>
          <w:color w:val="auto"/>
          <w:sz w:val="21"/>
          <w:szCs w:val="21"/>
          <w:lang w:val="en-US" w:eastAsia="zh-CN"/>
        </w:rPr>
        <w:t>中标</w:t>
      </w:r>
      <w:r>
        <w:rPr>
          <w:rFonts w:hint="eastAsia" w:ascii="仿宋" w:hAnsi="仿宋" w:eastAsia="仿宋" w:cs="仿宋"/>
          <w:color w:val="auto"/>
          <w:sz w:val="21"/>
          <w:szCs w:val="21"/>
          <w:lang w:eastAsia="zh-CN"/>
        </w:rPr>
        <w:t>人的投标保证金，将在</w:t>
      </w:r>
      <w:r>
        <w:rPr>
          <w:rFonts w:hint="eastAsia" w:ascii="仿宋" w:hAnsi="仿宋" w:eastAsia="仿宋" w:cs="仿宋"/>
          <w:color w:val="auto"/>
          <w:sz w:val="21"/>
          <w:szCs w:val="21"/>
          <w:lang w:val="en-US" w:eastAsia="zh-CN"/>
        </w:rPr>
        <w:t>中标</w:t>
      </w:r>
      <w:r>
        <w:rPr>
          <w:rFonts w:hint="eastAsia" w:ascii="仿宋" w:hAnsi="仿宋" w:eastAsia="仿宋" w:cs="仿宋"/>
          <w:color w:val="auto"/>
          <w:sz w:val="21"/>
          <w:szCs w:val="21"/>
          <w:lang w:eastAsia="zh-CN"/>
        </w:rPr>
        <w:t>通知书发出之日起5个工作日内不计利息全额退还。</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lang w:eastAsia="zh-CN"/>
        </w:rPr>
        <w:t>的投标保证金，将在采购合同签订生效后5个工作日内不计利息全额退还。未及时办理退还者，由投标人自行负责。</w:t>
      </w:r>
    </w:p>
    <w:p w14:paraId="45FAF815">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.4.2、下列任何情况发生时，采购代理机构将不予退还投标人缴纳的投标保证金：</w:t>
      </w:r>
    </w:p>
    <w:p w14:paraId="43AF0706">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.4.2.1、投标人在</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lang w:eastAsia="zh-CN"/>
        </w:rPr>
        <w:t>文件规定的</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lang w:eastAsia="zh-CN"/>
        </w:rPr>
        <w:t>有效期内撤回</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lang w:eastAsia="zh-CN"/>
        </w:rPr>
        <w:t>文件的；</w:t>
      </w:r>
    </w:p>
    <w:p w14:paraId="389C42C1">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.4.2.2、由于</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lang w:eastAsia="zh-CN"/>
        </w:rPr>
        <w:t>的原因未能按照</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lang w:eastAsia="zh-CN"/>
        </w:rPr>
        <w:t>文件的规定与采购人签订合同的；</w:t>
      </w:r>
    </w:p>
    <w:p w14:paraId="5A2F3F56">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.4.2.3、由于</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lang w:eastAsia="zh-CN"/>
        </w:rPr>
        <w:t>的原因未能在规定时间内领取《</w:t>
      </w:r>
      <w:r>
        <w:rPr>
          <w:rFonts w:hint="eastAsia" w:ascii="仿宋" w:hAnsi="仿宋" w:eastAsia="仿宋" w:cs="仿宋"/>
          <w:color w:val="auto"/>
          <w:sz w:val="21"/>
          <w:szCs w:val="21"/>
          <w:lang w:val="en-US" w:eastAsia="zh-CN"/>
        </w:rPr>
        <w:t>中标</w:t>
      </w:r>
      <w:r>
        <w:rPr>
          <w:rFonts w:hint="eastAsia" w:ascii="仿宋" w:hAnsi="仿宋" w:eastAsia="仿宋" w:cs="仿宋"/>
          <w:color w:val="auto"/>
          <w:sz w:val="21"/>
          <w:szCs w:val="21"/>
          <w:lang w:eastAsia="zh-CN"/>
        </w:rPr>
        <w:t>通知书》的；</w:t>
      </w:r>
    </w:p>
    <w:p w14:paraId="293DA76B">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.4.2.4、由于</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lang w:eastAsia="zh-CN"/>
        </w:rPr>
        <w:t>的原因未能按</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lang w:eastAsia="zh-CN"/>
        </w:rPr>
        <w:t>文件规定支付采购代理服务费的；</w:t>
      </w:r>
    </w:p>
    <w:p w14:paraId="0D4241DB">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.4.2.5、由于</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lang w:eastAsia="zh-CN"/>
        </w:rPr>
        <w:t>的原因未能按</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lang w:eastAsia="zh-CN"/>
        </w:rPr>
        <w:t>文件规定缴纳履约保证金的；</w:t>
      </w:r>
    </w:p>
    <w:p w14:paraId="69D1EA2A">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.4.2.6、</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lang w:eastAsia="zh-CN"/>
        </w:rPr>
        <w:t>违反</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lang w:eastAsia="zh-CN"/>
        </w:rPr>
        <w:t>文件中承诺函相关内容和条款的；</w:t>
      </w:r>
    </w:p>
    <w:p w14:paraId="4B9D0280">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.4.2.7、</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lang w:eastAsia="zh-CN"/>
        </w:rPr>
        <w:t>有效期内，投标人在政府采购活动中有违规、违纪和违法行为的；</w:t>
      </w:r>
    </w:p>
    <w:p w14:paraId="15BD6F9B">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.4.2.8、法律法规规定的其他情况。</w:t>
      </w:r>
    </w:p>
    <w:p w14:paraId="71DF10DC">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.4.3、投标保证金退还方式：代理机构通过银行转账将投标保证金退还至投标人基本账户。</w:t>
      </w:r>
    </w:p>
    <w:p w14:paraId="789AE88E">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.4.4、投标保证金退还程序：</w:t>
      </w:r>
    </w:p>
    <w:p w14:paraId="68157A2A">
      <w:pPr>
        <w:tabs>
          <w:tab w:val="left" w:pos="7665"/>
        </w:tabs>
        <w:spacing w:line="360" w:lineRule="auto"/>
        <w:ind w:left="13" w:leftChars="6" w:firstLine="420" w:firstLineChars="20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退还投标保证金手续。未</w:t>
      </w:r>
      <w:r>
        <w:rPr>
          <w:rFonts w:hint="eastAsia" w:ascii="仿宋" w:hAnsi="仿宋" w:eastAsia="仿宋" w:cs="仿宋"/>
          <w:color w:val="auto"/>
          <w:sz w:val="21"/>
          <w:szCs w:val="21"/>
          <w:lang w:val="en-US" w:eastAsia="zh-CN"/>
        </w:rPr>
        <w:t>中标</w:t>
      </w:r>
      <w:r>
        <w:rPr>
          <w:rFonts w:hint="eastAsia" w:ascii="仿宋" w:hAnsi="仿宋" w:eastAsia="仿宋" w:cs="仿宋"/>
          <w:color w:val="auto"/>
          <w:sz w:val="21"/>
          <w:szCs w:val="21"/>
          <w:lang w:eastAsia="zh-CN"/>
        </w:rPr>
        <w:t>人凭投标保证金基本账户信息复印件、收款收据原件办理；</w:t>
      </w:r>
      <w:r>
        <w:rPr>
          <w:rFonts w:hint="eastAsia" w:ascii="仿宋" w:hAnsi="仿宋" w:eastAsia="仿宋" w:cs="仿宋"/>
          <w:color w:val="auto"/>
          <w:sz w:val="21"/>
          <w:szCs w:val="21"/>
          <w:lang w:val="en-US" w:eastAsia="zh-CN"/>
        </w:rPr>
        <w:t>中标人</w:t>
      </w:r>
      <w:r>
        <w:rPr>
          <w:rFonts w:hint="eastAsia" w:ascii="仿宋" w:hAnsi="仿宋" w:eastAsia="仿宋" w:cs="仿宋"/>
          <w:color w:val="auto"/>
          <w:sz w:val="21"/>
          <w:szCs w:val="21"/>
          <w:lang w:eastAsia="zh-CN"/>
        </w:rPr>
        <w:t>须持投标保证金基本账户信息复印件、收款收据原件、采购合同</w:t>
      </w:r>
      <w:r>
        <w:rPr>
          <w:rFonts w:hint="eastAsia" w:ascii="仿宋" w:hAnsi="仿宋" w:eastAsia="仿宋" w:cs="仿宋"/>
          <w:color w:val="auto"/>
          <w:sz w:val="21"/>
          <w:szCs w:val="21"/>
          <w:lang w:val="en-US" w:eastAsia="zh-CN"/>
        </w:rPr>
        <w:t>原件或复印件</w:t>
      </w:r>
      <w:r>
        <w:rPr>
          <w:rFonts w:hint="eastAsia" w:ascii="仿宋" w:hAnsi="仿宋" w:eastAsia="仿宋" w:cs="仿宋"/>
          <w:color w:val="auto"/>
          <w:sz w:val="21"/>
          <w:szCs w:val="21"/>
          <w:lang w:eastAsia="zh-CN"/>
        </w:rPr>
        <w:t>办理。</w:t>
      </w:r>
    </w:p>
    <w:p w14:paraId="6586C9C0">
      <w:pPr>
        <w:tabs>
          <w:tab w:val="left" w:pos="7665"/>
        </w:tabs>
        <w:spacing w:line="360" w:lineRule="auto"/>
        <w:ind w:left="13" w:leftChars="6" w:firstLine="420" w:firstLineChars="200"/>
        <w:rPr>
          <w:rFonts w:hint="default" w:ascii="仿宋" w:hAnsi="仿宋" w:eastAsia="仿宋" w:cs="仿宋"/>
          <w:b/>
          <w:color w:val="auto"/>
          <w:szCs w:val="21"/>
          <w:highlight w:val="none"/>
          <w:lang w:val="en-US" w:eastAsia="zh-CN"/>
        </w:rPr>
      </w:pP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.4.5、投标保证金收据丢失处理办法。投标人收款收据丢失的，须提供单位证明、加盖投标人公章及法定代表人印章的丢失情况说明，以及</w:t>
      </w:r>
      <w:r>
        <w:rPr>
          <w:rFonts w:hint="eastAsia" w:ascii="仿宋" w:hAnsi="仿宋" w:eastAsia="仿宋" w:cs="仿宋"/>
          <w:color w:val="auto"/>
          <w:sz w:val="21"/>
          <w:szCs w:val="21"/>
          <w:lang w:val="en-US" w:eastAsia="zh-CN"/>
        </w:rPr>
        <w:t>4.6</w:t>
      </w:r>
      <w:r>
        <w:rPr>
          <w:rFonts w:hint="eastAsia" w:ascii="仿宋" w:hAnsi="仿宋" w:eastAsia="仿宋" w:cs="仿宋"/>
          <w:color w:val="auto"/>
          <w:sz w:val="21"/>
          <w:szCs w:val="21"/>
          <w:lang w:eastAsia="zh-CN"/>
        </w:rPr>
        <w:t>.4.4条所需资料，代理机构将投标保证金退还至投标人基本账户。</w:t>
      </w:r>
    </w:p>
    <w:p w14:paraId="0BA9EB94">
      <w:pPr>
        <w:pStyle w:val="4"/>
        <w:shd w:val="clear"/>
        <w:snapToGrid w:val="0"/>
        <w:jc w:val="both"/>
        <w:rPr>
          <w:rFonts w:hint="eastAsia" w:ascii="仿宋" w:hAnsi="仿宋" w:eastAsia="仿宋" w:cs="仿宋"/>
          <w:color w:val="auto"/>
          <w:sz w:val="24"/>
          <w:szCs w:val="24"/>
          <w:highlight w:val="none"/>
        </w:rPr>
      </w:pPr>
      <w:bookmarkStart w:id="221" w:name="_Toc25167"/>
      <w:r>
        <w:rPr>
          <w:rFonts w:hint="eastAsia" w:ascii="仿宋" w:hAnsi="仿宋" w:eastAsia="仿宋" w:cs="仿宋"/>
          <w:color w:val="auto"/>
          <w:sz w:val="24"/>
          <w:szCs w:val="24"/>
          <w:highlight w:val="none"/>
        </w:rPr>
        <w:t>五、投标文件的递交</w:t>
      </w:r>
      <w:bookmarkEnd w:id="65"/>
      <w:bookmarkEnd w:id="66"/>
      <w:bookmarkEnd w:id="221"/>
    </w:p>
    <w:p w14:paraId="6313CD58">
      <w:pPr>
        <w:shd w:val="clear"/>
        <w:snapToGrid w:val="0"/>
        <w:spacing w:line="360" w:lineRule="auto"/>
        <w:ind w:firstLine="211" w:firstLineChars="1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5.1.投标文件的递交</w:t>
      </w:r>
    </w:p>
    <w:p w14:paraId="722CAA13">
      <w:pPr>
        <w:shd w:val="clear"/>
        <w:snapToGrid w:val="0"/>
        <w:spacing w:line="360" w:lineRule="auto"/>
        <w:ind w:firstLine="420" w:firstLineChars="20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5.1.1.投标人应当在招标文件要求提交投标文件的截止时间前，将投标文件密封送达投标地点。采购人或者采购代理机构收到投标文件后，如实记载投标文件的送达时间和密封情况，签收保存，向投标人出具签收回执。任何单位和个人不得在开标前开启投标文件。</w:t>
      </w:r>
    </w:p>
    <w:p w14:paraId="620D2910">
      <w:pPr>
        <w:shd w:val="clear"/>
        <w:snapToGrid w:val="0"/>
        <w:spacing w:line="360" w:lineRule="auto"/>
        <w:ind w:firstLine="420" w:firstLineChars="20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5.1.2.逾期送达或者未按照招标文件要求密封的投标文件，采购人、采购代理机构将拒收。</w:t>
      </w:r>
    </w:p>
    <w:p w14:paraId="721CBA3C">
      <w:pPr>
        <w:shd w:val="clear"/>
        <w:snapToGrid w:val="0"/>
        <w:spacing w:line="360" w:lineRule="auto"/>
        <w:ind w:firstLine="211" w:firstLineChars="1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5.2.投标截止时间</w:t>
      </w:r>
    </w:p>
    <w:p w14:paraId="3A326B89">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5.2.1.采购人推迟投标截止时间时，应以书面或传真的形式通知所有投标人。采购人和投标人的权利和义务将受到新的截止期的约束。</w:t>
      </w:r>
    </w:p>
    <w:p w14:paraId="15B84F89">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5.2.2.投标截止时间以后送达的投标文件，采购人及采购代理机构拒绝接收。</w:t>
      </w:r>
    </w:p>
    <w:p w14:paraId="1C626D06">
      <w:pPr>
        <w:shd w:val="clear"/>
        <w:snapToGrid w:val="0"/>
        <w:spacing w:line="360" w:lineRule="auto"/>
        <w:ind w:firstLine="211" w:firstLineChars="1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5.3.投标文件的修改和撤回</w:t>
      </w:r>
    </w:p>
    <w:p w14:paraId="15E9D513">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5.3.1.投标以后，如果投标人提出书面修改，须在投标截止时间前密封送达</w:t>
      </w:r>
      <w:r>
        <w:rPr>
          <w:rFonts w:hint="eastAsia" w:ascii="仿宋" w:hAnsi="仿宋" w:eastAsia="仿宋" w:cs="仿宋"/>
          <w:color w:val="auto"/>
          <w:szCs w:val="21"/>
          <w:highlight w:val="none"/>
          <w:lang w:eastAsia="zh-CN"/>
        </w:rPr>
        <w:t>陕西汉正项目管理有限公司</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陕西汉正项目管理有限公司</w:t>
      </w:r>
      <w:r>
        <w:rPr>
          <w:rFonts w:hint="eastAsia" w:ascii="仿宋" w:hAnsi="仿宋" w:eastAsia="仿宋" w:cs="仿宋"/>
          <w:color w:val="auto"/>
          <w:szCs w:val="21"/>
          <w:highlight w:val="none"/>
        </w:rPr>
        <w:t>可以予以接受，但不退还原投标文件。</w:t>
      </w:r>
    </w:p>
    <w:p w14:paraId="2BA8A63F">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5.3.2.撤回投标应以书面或传真的形式在投标截止时间前送达</w:t>
      </w:r>
      <w:r>
        <w:rPr>
          <w:rFonts w:hint="eastAsia" w:ascii="仿宋" w:hAnsi="仿宋" w:eastAsia="仿宋" w:cs="仿宋"/>
          <w:color w:val="auto"/>
          <w:szCs w:val="21"/>
          <w:highlight w:val="none"/>
          <w:lang w:eastAsia="zh-CN"/>
        </w:rPr>
        <w:t>陕西汉正项目管理有限公司</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eastAsia="zh-CN"/>
        </w:rPr>
        <w:t>陕西汉正项目管理有限公司</w:t>
      </w:r>
      <w:r>
        <w:rPr>
          <w:rFonts w:hint="eastAsia" w:ascii="仿宋" w:hAnsi="仿宋" w:eastAsia="仿宋" w:cs="仿宋"/>
          <w:color w:val="auto"/>
          <w:szCs w:val="21"/>
          <w:highlight w:val="none"/>
        </w:rPr>
        <w:t>可以予以接受，但不退还原投标文件。</w:t>
      </w:r>
    </w:p>
    <w:p w14:paraId="606F09B3">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5.3.3.如采取传真形式撤回投标，随后必须补充有法人代表或授权代表签署的要求撤回投标的正式文件。撤回投标的时间以送达</w:t>
      </w:r>
      <w:r>
        <w:rPr>
          <w:rFonts w:hint="eastAsia" w:ascii="仿宋" w:hAnsi="仿宋" w:eastAsia="仿宋" w:cs="仿宋"/>
          <w:color w:val="auto"/>
          <w:szCs w:val="21"/>
          <w:highlight w:val="none"/>
          <w:lang w:eastAsia="zh-CN"/>
        </w:rPr>
        <w:t>陕西汉正项目管理有限公司</w:t>
      </w:r>
      <w:r>
        <w:rPr>
          <w:rFonts w:hint="eastAsia" w:ascii="仿宋" w:hAnsi="仿宋" w:eastAsia="仿宋" w:cs="仿宋"/>
          <w:color w:val="auto"/>
          <w:szCs w:val="21"/>
          <w:highlight w:val="none"/>
        </w:rPr>
        <w:t>的时间为准。</w:t>
      </w:r>
      <w:bookmarkStart w:id="222" w:name="_Toc519941192"/>
      <w:bookmarkStart w:id="223" w:name="_Toc531189840"/>
    </w:p>
    <w:p w14:paraId="0C0285AF">
      <w:pPr>
        <w:pStyle w:val="4"/>
        <w:shd w:val="clear"/>
        <w:tabs>
          <w:tab w:val="left" w:pos="3930"/>
          <w:tab w:val="center" w:pos="4819"/>
        </w:tabs>
        <w:snapToGrid w:val="0"/>
        <w:jc w:val="both"/>
        <w:rPr>
          <w:rFonts w:hint="eastAsia" w:ascii="仿宋" w:hAnsi="仿宋" w:eastAsia="仿宋" w:cs="仿宋"/>
          <w:color w:val="auto"/>
          <w:sz w:val="24"/>
          <w:szCs w:val="24"/>
          <w:highlight w:val="none"/>
        </w:rPr>
      </w:pPr>
      <w:bookmarkStart w:id="224" w:name="_Toc27922"/>
      <w:bookmarkStart w:id="225" w:name="_Toc30677"/>
      <w:r>
        <w:rPr>
          <w:rFonts w:hint="eastAsia" w:ascii="仿宋" w:hAnsi="仿宋" w:eastAsia="仿宋" w:cs="仿宋"/>
          <w:color w:val="auto"/>
          <w:sz w:val="24"/>
          <w:szCs w:val="24"/>
          <w:highlight w:val="none"/>
        </w:rPr>
        <w:t>六、开标、资格审查及评标</w:t>
      </w:r>
      <w:bookmarkEnd w:id="222"/>
      <w:bookmarkEnd w:id="223"/>
      <w:bookmarkEnd w:id="224"/>
      <w:bookmarkEnd w:id="225"/>
    </w:p>
    <w:p w14:paraId="16BB395D">
      <w:pPr>
        <w:shd w:val="clear"/>
        <w:snapToGrid w:val="0"/>
        <w:spacing w:line="360" w:lineRule="auto"/>
        <w:ind w:firstLine="211" w:firstLineChars="1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6.1.开标</w:t>
      </w:r>
    </w:p>
    <w:p w14:paraId="0EB6C098">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开标由采购代理机构主持。主持人按照招标文件规定的开标时间宣布开标，并按下列程序进行（但不限于）：</w:t>
      </w:r>
    </w:p>
    <w:p w14:paraId="4AB1A29A">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（1）宣布</w:t>
      </w:r>
      <w:r>
        <w:rPr>
          <w:rFonts w:hint="eastAsia" w:ascii="仿宋" w:hAnsi="仿宋" w:eastAsia="仿宋" w:cs="仿宋"/>
          <w:color w:val="auto"/>
          <w:szCs w:val="21"/>
          <w:highlight w:val="none"/>
          <w:lang w:val="en-US" w:eastAsia="zh-CN"/>
        </w:rPr>
        <w:t>开标会议</w:t>
      </w:r>
      <w:r>
        <w:rPr>
          <w:rFonts w:hint="eastAsia" w:ascii="仿宋" w:hAnsi="仿宋" w:eastAsia="仿宋" w:cs="仿宋"/>
          <w:color w:val="auto"/>
          <w:szCs w:val="21"/>
          <w:highlight w:val="none"/>
        </w:rPr>
        <w:t>开始和开启录音录像设备并致辞；</w:t>
      </w:r>
    </w:p>
    <w:p w14:paraId="314687FD">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（2）宣布开标纪律和有关注意事项；</w:t>
      </w:r>
    </w:p>
    <w:p w14:paraId="056E4823">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（3）公布在投标截止时间前递交投标文件的投标人名称；</w:t>
      </w:r>
    </w:p>
    <w:p w14:paraId="14EB378B">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（4）宣布</w:t>
      </w:r>
      <w:r>
        <w:rPr>
          <w:rFonts w:hint="eastAsia" w:ascii="仿宋" w:hAnsi="仿宋" w:eastAsia="仿宋" w:cs="仿宋"/>
          <w:color w:val="auto"/>
          <w:szCs w:val="21"/>
          <w:highlight w:val="none"/>
          <w:lang w:val="en-US" w:eastAsia="zh-CN"/>
        </w:rPr>
        <w:t>参加</w:t>
      </w:r>
      <w:r>
        <w:rPr>
          <w:rFonts w:hint="eastAsia" w:ascii="仿宋" w:hAnsi="仿宋" w:eastAsia="仿宋" w:cs="仿宋"/>
          <w:color w:val="auto"/>
          <w:szCs w:val="21"/>
          <w:highlight w:val="none"/>
        </w:rPr>
        <w:t>开标</w:t>
      </w:r>
      <w:r>
        <w:rPr>
          <w:rFonts w:hint="eastAsia" w:ascii="仿宋" w:hAnsi="仿宋" w:eastAsia="仿宋" w:cs="仿宋"/>
          <w:color w:val="auto"/>
          <w:szCs w:val="21"/>
          <w:highlight w:val="none"/>
          <w:lang w:val="en-US" w:eastAsia="zh-CN"/>
        </w:rPr>
        <w:t>会议的现场</w:t>
      </w:r>
      <w:r>
        <w:rPr>
          <w:rFonts w:hint="eastAsia" w:ascii="仿宋" w:hAnsi="仿宋" w:eastAsia="仿宋" w:cs="仿宋"/>
          <w:color w:val="auto"/>
          <w:szCs w:val="21"/>
          <w:highlight w:val="none"/>
        </w:rPr>
        <w:t>监标</w:t>
      </w:r>
      <w:r>
        <w:rPr>
          <w:rFonts w:hint="eastAsia" w:ascii="仿宋" w:hAnsi="仿宋" w:eastAsia="仿宋" w:cs="仿宋"/>
          <w:color w:val="auto"/>
          <w:szCs w:val="21"/>
          <w:highlight w:val="none"/>
          <w:lang w:val="en-US" w:eastAsia="zh-CN"/>
        </w:rPr>
        <w:t>人员和主持人、会议记录等有关工作人员</w:t>
      </w:r>
      <w:r>
        <w:rPr>
          <w:rFonts w:hint="eastAsia" w:ascii="仿宋" w:hAnsi="仿宋" w:eastAsia="仿宋" w:cs="仿宋"/>
          <w:color w:val="auto"/>
          <w:szCs w:val="21"/>
          <w:highlight w:val="none"/>
        </w:rPr>
        <w:t>；</w:t>
      </w:r>
    </w:p>
    <w:p w14:paraId="0C457651">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（5）检查并宣布投标文件的密封情况；</w:t>
      </w:r>
    </w:p>
    <w:p w14:paraId="1C356635">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（6）开标唱标：主持人宣布开标后，由现场工作人员按照投标人须知前附表规定的顺序对投标人的“投标文件（正本）”当众进行拆封，由唱标人对其中“开标一览表”的投标人名称、投标总价、</w:t>
      </w:r>
      <w:r>
        <w:rPr>
          <w:rFonts w:hint="eastAsia" w:ascii="仿宋" w:hAnsi="仿宋" w:eastAsia="仿宋" w:cs="仿宋"/>
          <w:color w:val="auto"/>
          <w:szCs w:val="21"/>
          <w:highlight w:val="none"/>
          <w:lang w:eastAsia="zh-CN"/>
        </w:rPr>
        <w:t>交货期</w:t>
      </w:r>
      <w:r>
        <w:rPr>
          <w:rFonts w:hint="eastAsia" w:ascii="仿宋" w:hAnsi="仿宋" w:eastAsia="仿宋" w:cs="仿宋"/>
          <w:color w:val="auto"/>
          <w:szCs w:val="21"/>
          <w:highlight w:val="none"/>
        </w:rPr>
        <w:t>等内容进行宣读并做开标记录；所有投标唱标完毕，如投标人对宣读的“开标一览表”上的内容有异议的，应当举手示意，在获得主持人同意后当场提出；如确实属于唱标人宣读错误的，经现场监标</w:t>
      </w:r>
      <w:r>
        <w:rPr>
          <w:rFonts w:hint="eastAsia" w:ascii="仿宋" w:hAnsi="仿宋" w:eastAsia="仿宋" w:cs="仿宋"/>
          <w:color w:val="auto"/>
          <w:szCs w:val="21"/>
          <w:highlight w:val="none"/>
          <w:lang w:val="en-US" w:eastAsia="zh-CN"/>
        </w:rPr>
        <w:t>人员</w:t>
      </w:r>
      <w:r>
        <w:rPr>
          <w:rFonts w:hint="eastAsia" w:ascii="仿宋" w:hAnsi="仿宋" w:eastAsia="仿宋" w:cs="仿宋"/>
          <w:color w:val="auto"/>
          <w:szCs w:val="21"/>
          <w:highlight w:val="none"/>
        </w:rPr>
        <w:t>核实后，当场予以更正；无异议后，由投标人</w:t>
      </w:r>
      <w:r>
        <w:rPr>
          <w:rFonts w:hint="eastAsia" w:ascii="仿宋" w:hAnsi="仿宋" w:eastAsia="仿宋" w:cs="仿宋"/>
          <w:color w:val="auto"/>
          <w:szCs w:val="21"/>
          <w:highlight w:val="none"/>
          <w:lang w:eastAsia="zh-CN"/>
        </w:rPr>
        <w:t>法定代表人或授权代表</w:t>
      </w:r>
      <w:r>
        <w:rPr>
          <w:rFonts w:hint="eastAsia" w:ascii="仿宋" w:hAnsi="仿宋" w:eastAsia="仿宋" w:cs="仿宋"/>
          <w:color w:val="auto"/>
          <w:szCs w:val="21"/>
          <w:highlight w:val="none"/>
        </w:rPr>
        <w:t>及监标</w:t>
      </w:r>
      <w:r>
        <w:rPr>
          <w:rFonts w:hint="eastAsia" w:ascii="仿宋" w:hAnsi="仿宋" w:eastAsia="仿宋" w:cs="仿宋"/>
          <w:color w:val="auto"/>
          <w:szCs w:val="21"/>
          <w:highlight w:val="none"/>
          <w:lang w:val="en-US" w:eastAsia="zh-CN"/>
        </w:rPr>
        <w:t>人员</w:t>
      </w:r>
      <w:r>
        <w:rPr>
          <w:rFonts w:hint="eastAsia" w:ascii="仿宋" w:hAnsi="仿宋" w:eastAsia="仿宋" w:cs="仿宋"/>
          <w:color w:val="auto"/>
          <w:szCs w:val="21"/>
          <w:highlight w:val="none"/>
        </w:rPr>
        <w:t>代表签字确认唱标内容；</w:t>
      </w:r>
    </w:p>
    <w:p w14:paraId="272C9932">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宣布开标结束：主持人宣布开标结束后，所有投标人应立即退场（招标文件要求演示、述标的除外）；同时所有投标人应保持通讯设备的畅通，以方便在评标过程中评标委员会要求投标人对投标文件的必要澄清、说明和纠正。</w:t>
      </w:r>
    </w:p>
    <w:p w14:paraId="5DF1442F">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注：检查投标文件密封情况是指，由投标人法定代表人或授权代表检查其自己递交的投标文件的密封情况，经检查无误后，签字确认。</w:t>
      </w:r>
    </w:p>
    <w:p w14:paraId="56422626">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确认投标文件情况，仅限于确认其自己递交的投标文件的密封情况，不代表对其他投标人的投标文件的密封情况确认。法定代表人或授权代表对其他投标人的投标文件密封情况有异议的，可以当场反映开标主持人或者现场监标</w:t>
      </w:r>
      <w:r>
        <w:rPr>
          <w:rFonts w:hint="eastAsia" w:ascii="仿宋" w:hAnsi="仿宋" w:eastAsia="仿宋" w:cs="仿宋"/>
          <w:color w:val="auto"/>
          <w:szCs w:val="21"/>
          <w:highlight w:val="none"/>
          <w:lang w:val="en-US" w:eastAsia="zh-CN"/>
        </w:rPr>
        <w:t>人员</w:t>
      </w:r>
      <w:r>
        <w:rPr>
          <w:rFonts w:hint="eastAsia" w:ascii="仿宋" w:hAnsi="仿宋" w:eastAsia="仿宋" w:cs="仿宋"/>
          <w:color w:val="auto"/>
          <w:szCs w:val="21"/>
          <w:highlight w:val="none"/>
        </w:rPr>
        <w:t>，要求开标现场记录人员予以记录，但不得干扰、阻挠开标工作的正常进行。</w:t>
      </w:r>
    </w:p>
    <w:p w14:paraId="04DE4F20">
      <w:pPr>
        <w:numPr>
          <w:ilvl w:val="0"/>
          <w:numId w:val="0"/>
        </w:num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kern w:val="2"/>
          <w:sz w:val="21"/>
          <w:szCs w:val="21"/>
          <w:lang w:val="en-US" w:eastAsia="zh-CN" w:bidi="ar-SA"/>
        </w:rPr>
        <w:t>（8）</w:t>
      </w:r>
      <w:r>
        <w:rPr>
          <w:rFonts w:hint="eastAsia" w:ascii="仿宋" w:hAnsi="仿宋" w:eastAsia="仿宋" w:cs="仿宋"/>
          <w:color w:val="auto"/>
          <w:szCs w:val="21"/>
          <w:highlight w:val="none"/>
        </w:rPr>
        <w:t>投标人对开标过程和开标记录有疑义，以及认为采购人、采购代理机构相关工作人员有需要回避情形的，应当场提出询问或者回避申请。采购人、采购代理机构对投标人代表提出的询问或者回避申请应当及时处理，并制作记录。</w:t>
      </w:r>
    </w:p>
    <w:p w14:paraId="2E24403E">
      <w:pPr>
        <w:pStyle w:val="2"/>
        <w:shd w:val="clear"/>
        <w:spacing w:line="360" w:lineRule="auto"/>
        <w:jc w:val="both"/>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6.2、投标人资格审查</w:t>
      </w:r>
    </w:p>
    <w:p w14:paraId="488621ED">
      <w:pPr>
        <w:numPr>
          <w:ilvl w:val="0"/>
          <w:numId w:val="0"/>
        </w:numPr>
        <w:shd w:val="clear"/>
        <w:snapToGrid w:val="0"/>
        <w:spacing w:line="360" w:lineRule="auto"/>
        <w:ind w:firstLine="442" w:firstLineChars="200"/>
        <w:rPr>
          <w:rFonts w:hint="eastAsia" w:ascii="仿宋" w:hAnsi="仿宋" w:eastAsia="仿宋" w:cs="仿宋"/>
          <w:color w:val="auto"/>
          <w:szCs w:val="21"/>
          <w:highlight w:val="none"/>
          <w:lang w:val="zh-CN"/>
        </w:rPr>
      </w:pPr>
      <w:r>
        <w:rPr>
          <w:rFonts w:hint="eastAsia" w:ascii="仿宋" w:hAnsi="仿宋" w:eastAsia="仿宋" w:cs="仿宋"/>
          <w:b/>
          <w:color w:val="auto"/>
          <w:sz w:val="22"/>
          <w:szCs w:val="22"/>
          <w:lang w:val="en-US" w:eastAsia="zh-CN"/>
        </w:rPr>
        <w:t>6.2</w:t>
      </w:r>
      <w:r>
        <w:rPr>
          <w:rFonts w:hint="eastAsia" w:ascii="仿宋" w:hAnsi="仿宋" w:eastAsia="仿宋" w:cs="仿宋"/>
          <w:b/>
          <w:color w:val="auto"/>
          <w:sz w:val="22"/>
          <w:szCs w:val="22"/>
        </w:rPr>
        <w:t>.1</w:t>
      </w:r>
      <w:r>
        <w:rPr>
          <w:rFonts w:hint="eastAsia" w:ascii="仿宋" w:hAnsi="仿宋" w:eastAsia="仿宋" w:cs="仿宋"/>
          <w:color w:val="auto"/>
          <w:sz w:val="22"/>
          <w:szCs w:val="22"/>
        </w:rPr>
        <w:t xml:space="preserve"> </w:t>
      </w:r>
      <w:r>
        <w:rPr>
          <w:rFonts w:hint="eastAsia" w:ascii="仿宋" w:hAnsi="仿宋" w:eastAsia="仿宋" w:cs="仿宋"/>
          <w:b/>
          <w:color w:val="auto"/>
          <w:sz w:val="22"/>
          <w:szCs w:val="22"/>
        </w:rPr>
        <w:t>基本资格条件</w:t>
      </w:r>
      <w:r>
        <w:rPr>
          <w:rFonts w:hint="eastAsia" w:ascii="仿宋" w:hAnsi="仿宋" w:eastAsia="仿宋" w:cs="仿宋"/>
          <w:color w:val="auto"/>
          <w:sz w:val="22"/>
          <w:szCs w:val="22"/>
        </w:rPr>
        <w:t xml:space="preserve">。 </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应符合《中华人民共和国政府采购法》第二十二条第一款规定，</w:t>
      </w:r>
      <w:r>
        <w:rPr>
          <w:rFonts w:hint="eastAsia" w:ascii="仿宋" w:hAnsi="仿宋" w:eastAsia="仿宋" w:cs="仿宋"/>
          <w:color w:val="auto"/>
          <w:szCs w:val="21"/>
          <w:highlight w:val="none"/>
          <w:lang w:val="zh-CN"/>
        </w:rPr>
        <w:t>并按照《政府采购法实施条例》第十七条规定提供下列材料：</w:t>
      </w:r>
    </w:p>
    <w:p w14:paraId="7A9C240D">
      <w:pPr>
        <w:numPr>
          <w:ilvl w:val="0"/>
          <w:numId w:val="0"/>
        </w:num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投标人须为具有独立承担民事责任能力的法人、其他组织或自然人，并出具合法有效的营业执照或事业单位法人证书等国家规定的相关证明，自然人参与的提供其身份证明。</w:t>
      </w:r>
    </w:p>
    <w:p w14:paraId="2C6E6D24">
      <w:pPr>
        <w:numPr>
          <w:ilvl w:val="0"/>
          <w:numId w:val="0"/>
        </w:num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000000" w:themeColor="text1"/>
          <w:sz w:val="22"/>
          <w:szCs w:val="22"/>
          <w14:textFill>
            <w14:solidFill>
              <w14:schemeClr w14:val="tx1"/>
            </w14:solidFill>
          </w14:textFill>
        </w:rPr>
        <w:t>财务状况报告:</w:t>
      </w:r>
      <w:r>
        <w:rPr>
          <w:rFonts w:hint="eastAsia" w:ascii="仿宋" w:hAnsi="仿宋" w:eastAsia="仿宋" w:cs="仿宋"/>
          <w:color w:val="auto"/>
          <w:szCs w:val="21"/>
          <w:highlight w:val="none"/>
          <w:lang w:eastAsia="zh-CN"/>
        </w:rPr>
        <w:t>提供2022</w:t>
      </w:r>
      <w:r>
        <w:rPr>
          <w:rFonts w:hint="eastAsia" w:ascii="仿宋" w:hAnsi="仿宋" w:eastAsia="仿宋" w:cs="仿宋"/>
          <w:color w:val="auto"/>
          <w:szCs w:val="21"/>
          <w:highlight w:val="none"/>
          <w:lang w:val="en-US" w:eastAsia="zh-CN"/>
        </w:rPr>
        <w:t>或2023</w:t>
      </w:r>
      <w:r>
        <w:rPr>
          <w:rFonts w:hint="eastAsia" w:ascii="仿宋" w:hAnsi="仿宋" w:eastAsia="仿宋" w:cs="仿宋"/>
          <w:color w:val="auto"/>
          <w:szCs w:val="21"/>
          <w:highlight w:val="none"/>
          <w:lang w:eastAsia="zh-CN"/>
        </w:rPr>
        <w:t>年度完整有效财务审计报告（成立时间至投标文件递交截止时间不足一年的可提供成立后任意时段的资产负债表），或投标文件递交截止时间前三个月内基本存款账户开户银行出具的资信证明，或财政部门认可的政府采购专业担保机构出具的担保函（以上</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lang w:eastAsia="zh-CN"/>
        </w:rPr>
        <w:t>种任意一项即可）。</w:t>
      </w:r>
    </w:p>
    <w:p w14:paraId="1E56DF25">
      <w:pPr>
        <w:numPr>
          <w:ilvl w:val="0"/>
          <w:numId w:val="0"/>
        </w:num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税收缴纳证明：提供自2023年11月1日以来已缴纳的任意1个月的依法缴纳税收的相关凭据（时间以税收所属日期为准），凭据应有税务机关或代收机关的公章或业务专用章；（依法免税或无须缴纳税收的投标人，应提供相关文件证明）。</w:t>
      </w:r>
    </w:p>
    <w:p w14:paraId="3C84EDBD">
      <w:pPr>
        <w:numPr>
          <w:ilvl w:val="0"/>
          <w:numId w:val="0"/>
        </w:num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社会保障资金缴纳证明：提供自2023年11月1日以来已缴存的任意1个月的社会保障资金缴存单据或社保机构开具的社会保险参保缴费情况证明，依法不需要缴纳社会保障资金的单位应提供相关证明材料。</w:t>
      </w:r>
    </w:p>
    <w:p w14:paraId="15EBFAC9">
      <w:pPr>
        <w:numPr>
          <w:ilvl w:val="0"/>
          <w:numId w:val="0"/>
        </w:numPr>
        <w:shd w:val="clear"/>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）提供具有履行本合同所必需的设备和专业技术能力的书面承诺。</w:t>
      </w:r>
    </w:p>
    <w:p w14:paraId="6F559DC1">
      <w:pPr>
        <w:numPr>
          <w:ilvl w:val="0"/>
          <w:numId w:val="0"/>
        </w:numPr>
        <w:shd w:val="clear"/>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）提供参加政府采购活动前三年内在经营活动中没有重大违法记录的书面声明。</w:t>
      </w:r>
    </w:p>
    <w:p w14:paraId="257C8B03">
      <w:pPr>
        <w:pStyle w:val="38"/>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1" w:firstLineChars="100"/>
        <w:jc w:val="both"/>
        <w:textAlignment w:val="auto"/>
        <w:rPr>
          <w:rFonts w:hint="eastAsia" w:ascii="仿宋" w:hAnsi="仿宋" w:eastAsia="仿宋" w:cs="仿宋"/>
          <w:color w:val="auto"/>
          <w:sz w:val="22"/>
          <w:szCs w:val="22"/>
          <w:highlight w:val="yellow"/>
        </w:rPr>
      </w:pPr>
      <w:r>
        <w:rPr>
          <w:rFonts w:hint="eastAsia" w:ascii="仿宋" w:hAnsi="仿宋" w:eastAsia="仿宋" w:cs="仿宋"/>
          <w:b/>
          <w:color w:val="auto"/>
          <w:sz w:val="22"/>
          <w:szCs w:val="22"/>
          <w:lang w:val="en-US" w:eastAsia="zh-CN"/>
        </w:rPr>
        <w:t>6.2</w:t>
      </w:r>
      <w:r>
        <w:rPr>
          <w:rFonts w:hint="eastAsia" w:ascii="仿宋" w:hAnsi="仿宋" w:eastAsia="仿宋" w:cs="仿宋"/>
          <w:b/>
          <w:color w:val="auto"/>
          <w:sz w:val="22"/>
          <w:szCs w:val="22"/>
        </w:rPr>
        <w:t>.2 落实政府采购政策资格条件</w:t>
      </w:r>
      <w:r>
        <w:rPr>
          <w:rFonts w:hint="eastAsia" w:ascii="仿宋" w:hAnsi="仿宋" w:eastAsia="仿宋" w:cs="仿宋"/>
          <w:color w:val="auto"/>
          <w:kern w:val="2"/>
          <w:sz w:val="21"/>
          <w:szCs w:val="21"/>
          <w:highlight w:val="none"/>
          <w:lang w:val="en-US" w:eastAsia="zh-CN" w:bidi="ar-SA"/>
        </w:rPr>
        <w:t>：本项目专门面向中小企业采购,投标人所提供的货物应由中小企业制造（即货物由中小企业生产且使用该中小企业商号或者注册商标）制造商为中型、小型、微型企业的提供《中小企业声明函》，监狱企业或残疾人福利性单位视同小型、微型企业，制造商为监狱企业的，应提供监狱企业的证明文件；制造商为残疾人福利性单位的，应提供《残疾人福利性单位声明函》。</w:t>
      </w:r>
    </w:p>
    <w:p w14:paraId="39282A65">
      <w:pPr>
        <w:pStyle w:val="38"/>
        <w:keepNext w:val="0"/>
        <w:pageBreakBefore w:val="0"/>
        <w:shd w:val="clear"/>
        <w:kinsoku/>
        <w:wordWrap w:val="0"/>
        <w:overflowPunct/>
        <w:topLinePunct w:val="0"/>
        <w:autoSpaceDE/>
        <w:autoSpaceDN/>
        <w:bidi w:val="0"/>
        <w:adjustRightInd w:val="0"/>
        <w:snapToGrid w:val="0"/>
        <w:spacing w:beforeAutospacing="0" w:afterAutospacing="0" w:line="360" w:lineRule="auto"/>
        <w:ind w:left="0" w:leftChars="0" w:right="0" w:rightChars="0" w:firstLine="221" w:firstLineChars="100"/>
        <w:jc w:val="both"/>
        <w:textAlignment w:val="auto"/>
        <w:rPr>
          <w:rFonts w:hint="eastAsia" w:ascii="仿宋" w:hAnsi="仿宋" w:eastAsia="仿宋" w:cs="仿宋"/>
          <w:b/>
          <w:color w:val="auto"/>
          <w:kern w:val="0"/>
          <w:sz w:val="22"/>
          <w:szCs w:val="22"/>
        </w:rPr>
      </w:pPr>
      <w:r>
        <w:rPr>
          <w:rFonts w:hint="eastAsia" w:ascii="仿宋" w:hAnsi="仿宋" w:eastAsia="仿宋" w:cs="仿宋"/>
          <w:b/>
          <w:color w:val="auto"/>
          <w:kern w:val="0"/>
          <w:sz w:val="22"/>
          <w:szCs w:val="22"/>
          <w:lang w:val="en-US" w:eastAsia="zh-CN"/>
        </w:rPr>
        <w:t>6.2</w:t>
      </w:r>
      <w:r>
        <w:rPr>
          <w:rFonts w:hint="eastAsia" w:ascii="仿宋" w:hAnsi="仿宋" w:eastAsia="仿宋" w:cs="仿宋"/>
          <w:b/>
          <w:color w:val="auto"/>
          <w:kern w:val="0"/>
          <w:sz w:val="22"/>
          <w:szCs w:val="22"/>
        </w:rPr>
        <w:t>.3 特定资格条件。</w:t>
      </w:r>
    </w:p>
    <w:p w14:paraId="6447C614">
      <w:pPr>
        <w:numPr>
          <w:ilvl w:val="0"/>
          <w:numId w:val="0"/>
        </w:numPr>
        <w:shd w:val="clear"/>
        <w:snapToGrid w:val="0"/>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法定代表人直接参加投标的，须出具法人身份证；法定代表人授权代表参加投标的，须出具法定代表人授权书及授权代表身份证。</w:t>
      </w:r>
    </w:p>
    <w:p w14:paraId="50DD6B9C">
      <w:pPr>
        <w:keepNext w:val="0"/>
        <w:keepLines w:val="0"/>
        <w:pageBreakBefore w:val="0"/>
        <w:kinsoku/>
        <w:wordWrap/>
        <w:overflowPunct/>
        <w:topLinePunct w:val="0"/>
        <w:autoSpaceDE w:val="0"/>
        <w:autoSpaceDN w:val="0"/>
        <w:bidi w:val="0"/>
        <w:spacing w:line="360" w:lineRule="auto"/>
        <w:ind w:firstLine="440" w:firstLineChars="200"/>
        <w:textAlignment w:val="auto"/>
        <w:outlineLvl w:val="9"/>
        <w:rPr>
          <w:rFonts w:hint="eastAsia" w:ascii="仿宋" w:hAnsi="仿宋" w:eastAsia="仿宋" w:cs="仿宋"/>
          <w:color w:val="auto"/>
          <w:kern w:val="0"/>
          <w:sz w:val="22"/>
          <w:szCs w:val="22"/>
        </w:rPr>
      </w:pPr>
      <w:r>
        <w:rPr>
          <w:rFonts w:hint="eastAsia" w:ascii="仿宋" w:hAnsi="仿宋" w:eastAsia="仿宋" w:cs="仿宋"/>
          <w:color w:val="auto"/>
          <w:kern w:val="0"/>
          <w:sz w:val="22"/>
          <w:szCs w:val="22"/>
          <w:lang w:val="en-US" w:eastAsia="zh-CN"/>
        </w:rPr>
        <w:t>6.2</w:t>
      </w:r>
      <w:r>
        <w:rPr>
          <w:rFonts w:hint="eastAsia" w:ascii="仿宋" w:hAnsi="仿宋" w:eastAsia="仿宋" w:cs="仿宋"/>
          <w:color w:val="auto"/>
          <w:kern w:val="0"/>
          <w:sz w:val="22"/>
          <w:szCs w:val="22"/>
          <w:lang w:val="zh-CN"/>
        </w:rPr>
        <w:t xml:space="preserve">.3.1 </w:t>
      </w:r>
      <w:r>
        <w:rPr>
          <w:rFonts w:hint="eastAsia" w:ascii="仿宋" w:hAnsi="仿宋" w:eastAsia="仿宋" w:cs="仿宋"/>
          <w:color w:val="auto"/>
          <w:kern w:val="0"/>
          <w:sz w:val="22"/>
          <w:szCs w:val="22"/>
          <w:lang w:val="en-US" w:eastAsia="zh-CN"/>
        </w:rPr>
        <w:t>投标人</w:t>
      </w:r>
      <w:r>
        <w:rPr>
          <w:rFonts w:hint="eastAsia" w:ascii="仿宋" w:hAnsi="仿宋" w:eastAsia="仿宋" w:cs="仿宋"/>
          <w:color w:val="auto"/>
          <w:kern w:val="0"/>
          <w:sz w:val="22"/>
          <w:szCs w:val="22"/>
          <w:lang w:val="zh-CN"/>
        </w:rPr>
        <w:t>提供产品属于特定行业有法定准入要求的，提供下列材料：</w:t>
      </w:r>
      <w:r>
        <w:rPr>
          <w:rFonts w:hint="eastAsia" w:ascii="仿宋" w:hAnsi="仿宋" w:eastAsia="仿宋" w:cs="仿宋"/>
          <w:color w:val="auto"/>
          <w:kern w:val="0"/>
          <w:sz w:val="22"/>
          <w:szCs w:val="22"/>
        </w:rPr>
        <w:t>无</w:t>
      </w:r>
    </w:p>
    <w:p w14:paraId="37DD4AC6">
      <w:pPr>
        <w:keepNext w:val="0"/>
        <w:keepLines w:val="0"/>
        <w:pageBreakBefore w:val="0"/>
        <w:kinsoku/>
        <w:wordWrap/>
        <w:overflowPunct/>
        <w:topLinePunct w:val="0"/>
        <w:autoSpaceDE w:val="0"/>
        <w:autoSpaceDN w:val="0"/>
        <w:bidi w:val="0"/>
        <w:spacing w:line="360" w:lineRule="auto"/>
        <w:ind w:firstLine="442" w:firstLineChars="200"/>
        <w:textAlignment w:val="auto"/>
        <w:outlineLvl w:val="9"/>
        <w:rPr>
          <w:rFonts w:hint="eastAsia" w:ascii="仿宋" w:hAnsi="仿宋" w:eastAsia="仿宋" w:cs="仿宋"/>
          <w:color w:val="auto"/>
          <w:kern w:val="0"/>
          <w:sz w:val="22"/>
          <w:szCs w:val="22"/>
        </w:rPr>
      </w:pPr>
      <w:r>
        <w:rPr>
          <w:rFonts w:hint="eastAsia" w:ascii="仿宋" w:hAnsi="仿宋" w:eastAsia="仿宋" w:cs="仿宋"/>
          <w:b/>
          <w:color w:val="auto"/>
          <w:kern w:val="0"/>
          <w:sz w:val="22"/>
          <w:szCs w:val="22"/>
          <w:lang w:val="en-US" w:eastAsia="zh-CN"/>
        </w:rPr>
        <w:t>6.2.</w:t>
      </w:r>
      <w:r>
        <w:rPr>
          <w:rFonts w:hint="eastAsia" w:ascii="仿宋" w:hAnsi="仿宋" w:eastAsia="仿宋" w:cs="仿宋"/>
          <w:b/>
          <w:color w:val="auto"/>
          <w:kern w:val="0"/>
          <w:sz w:val="22"/>
          <w:szCs w:val="22"/>
        </w:rPr>
        <w:t>4 限定资格条件。</w:t>
      </w:r>
      <w:r>
        <w:rPr>
          <w:rFonts w:hint="eastAsia" w:ascii="仿宋" w:hAnsi="仿宋" w:eastAsia="仿宋" w:cs="仿宋"/>
          <w:color w:val="auto"/>
          <w:kern w:val="0"/>
          <w:sz w:val="22"/>
          <w:szCs w:val="22"/>
        </w:rPr>
        <w:t>根据政府采购的法律法规、规章和规范性文件的规定，</w:t>
      </w:r>
      <w:r>
        <w:rPr>
          <w:rFonts w:hint="eastAsia" w:ascii="仿宋" w:hAnsi="仿宋" w:eastAsia="仿宋" w:cs="仿宋"/>
          <w:color w:val="auto"/>
          <w:kern w:val="0"/>
          <w:sz w:val="22"/>
          <w:szCs w:val="22"/>
          <w:lang w:eastAsia="zh-CN"/>
        </w:rPr>
        <w:t>投标人</w:t>
      </w:r>
      <w:r>
        <w:rPr>
          <w:rFonts w:hint="eastAsia" w:ascii="仿宋" w:hAnsi="仿宋" w:eastAsia="仿宋" w:cs="仿宋"/>
          <w:color w:val="auto"/>
          <w:kern w:val="0"/>
          <w:sz w:val="22"/>
          <w:szCs w:val="22"/>
        </w:rPr>
        <w:t>不得存在本章第</w:t>
      </w:r>
      <w:r>
        <w:rPr>
          <w:rFonts w:hint="eastAsia" w:ascii="仿宋" w:hAnsi="仿宋" w:eastAsia="仿宋" w:cs="仿宋"/>
          <w:color w:val="auto"/>
          <w:kern w:val="0"/>
          <w:sz w:val="22"/>
          <w:szCs w:val="22"/>
          <w:lang w:val="en-US" w:eastAsia="zh-CN"/>
        </w:rPr>
        <w:t>2.4</w:t>
      </w:r>
      <w:r>
        <w:rPr>
          <w:rFonts w:hint="eastAsia" w:ascii="仿宋" w:hAnsi="仿宋" w:eastAsia="仿宋" w:cs="仿宋"/>
          <w:color w:val="auto"/>
          <w:kern w:val="0"/>
          <w:sz w:val="22"/>
          <w:szCs w:val="22"/>
        </w:rPr>
        <w:t>规定的情形。</w:t>
      </w:r>
    </w:p>
    <w:p w14:paraId="5105E7A9">
      <w:pPr>
        <w:keepNext w:val="0"/>
        <w:keepLines w:val="0"/>
        <w:pageBreakBefore w:val="0"/>
        <w:kinsoku/>
        <w:wordWrap/>
        <w:overflowPunct/>
        <w:topLinePunct w:val="0"/>
        <w:autoSpaceDE w:val="0"/>
        <w:autoSpaceDN w:val="0"/>
        <w:bidi w:val="0"/>
        <w:spacing w:line="360" w:lineRule="auto"/>
        <w:ind w:firstLine="420" w:firstLineChars="200"/>
        <w:textAlignment w:val="auto"/>
        <w:outlineLvl w:val="9"/>
        <w:rPr>
          <w:rFonts w:hint="eastAsia"/>
          <w:color w:val="auto"/>
          <w:sz w:val="21"/>
          <w:szCs w:val="21"/>
        </w:rPr>
      </w:pPr>
      <w:r>
        <w:rPr>
          <w:rFonts w:hint="eastAsia" w:ascii="仿宋" w:hAnsi="仿宋" w:eastAsia="仿宋" w:cs="仿宋"/>
          <w:color w:val="auto"/>
          <w:sz w:val="21"/>
          <w:szCs w:val="21"/>
          <w:lang w:val="en-US" w:eastAsia="zh-CN"/>
        </w:rPr>
        <w:t>代理机构</w:t>
      </w:r>
      <w:r>
        <w:rPr>
          <w:rFonts w:hint="eastAsia" w:ascii="仿宋" w:hAnsi="仿宋" w:eastAsia="仿宋" w:cs="仿宋"/>
          <w:color w:val="auto"/>
          <w:sz w:val="21"/>
          <w:szCs w:val="21"/>
        </w:rPr>
        <w:t>将通过“信用中国”网站（www.creditchina.gov.cn）和中国政府采购网站（www.ccgp.gov.cn）查询</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信用记录，被列入失信被执行人、</w:t>
      </w:r>
      <w:r>
        <w:rPr>
          <w:rFonts w:hint="eastAsia" w:ascii="仿宋" w:hAnsi="仿宋" w:eastAsia="仿宋" w:cs="仿宋"/>
          <w:i w:val="0"/>
          <w:iCs w:val="0"/>
          <w:caps w:val="0"/>
          <w:color w:val="auto"/>
          <w:spacing w:val="0"/>
          <w:sz w:val="21"/>
          <w:szCs w:val="21"/>
          <w:shd w:val="clear" w:color="auto" w:fill="FFFFFF"/>
          <w:vertAlign w:val="baseline"/>
        </w:rPr>
        <w:t>重大税收违法失信主体名单</w:t>
      </w:r>
      <w:r>
        <w:rPr>
          <w:rFonts w:hint="eastAsia" w:ascii="仿宋" w:hAnsi="仿宋" w:eastAsia="仿宋" w:cs="仿宋"/>
          <w:color w:val="auto"/>
          <w:sz w:val="21"/>
          <w:szCs w:val="21"/>
        </w:rPr>
        <w:t>、</w:t>
      </w:r>
      <w:r>
        <w:rPr>
          <w:rFonts w:hint="eastAsia" w:ascii="仿宋" w:hAnsi="仿宋" w:eastAsia="仿宋" w:cs="仿宋"/>
          <w:i w:val="0"/>
          <w:iCs w:val="0"/>
          <w:caps w:val="0"/>
          <w:color w:val="auto"/>
          <w:spacing w:val="0"/>
          <w:sz w:val="21"/>
          <w:szCs w:val="21"/>
          <w:shd w:val="clear" w:color="auto" w:fill="FFFFFF"/>
          <w:vertAlign w:val="baseline"/>
        </w:rPr>
        <w:t>政府采购严重违法失信行为记录名单</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将被拒绝参与本项目</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w:t>
      </w:r>
    </w:p>
    <w:p w14:paraId="258D2008">
      <w:pPr>
        <w:keepNext w:val="0"/>
        <w:keepLines w:val="0"/>
        <w:pageBreakBefore w:val="0"/>
        <w:kinsoku/>
        <w:wordWrap/>
        <w:overflowPunct/>
        <w:topLinePunct w:val="0"/>
        <w:bidi w:val="0"/>
        <w:spacing w:line="360" w:lineRule="auto"/>
        <w:ind w:firstLine="442" w:firstLineChars="200"/>
        <w:textAlignment w:val="auto"/>
        <w:outlineLvl w:val="9"/>
        <w:rPr>
          <w:rFonts w:hint="eastAsia" w:ascii="仿宋" w:hAnsi="仿宋" w:eastAsia="仿宋" w:cs="仿宋"/>
          <w:b/>
          <w:color w:val="auto"/>
          <w:sz w:val="22"/>
          <w:szCs w:val="22"/>
          <w:lang w:eastAsia="zh-CN"/>
        </w:rPr>
      </w:pPr>
      <w:r>
        <w:rPr>
          <w:rFonts w:hint="eastAsia" w:ascii="仿宋" w:hAnsi="仿宋" w:eastAsia="仿宋" w:cs="仿宋"/>
          <w:b/>
          <w:color w:val="auto"/>
          <w:sz w:val="22"/>
          <w:szCs w:val="22"/>
          <w:lang w:val="en-US" w:eastAsia="zh-CN"/>
        </w:rPr>
        <w:t>6.2.</w:t>
      </w:r>
      <w:r>
        <w:rPr>
          <w:rFonts w:hint="eastAsia" w:ascii="仿宋" w:hAnsi="仿宋" w:eastAsia="仿宋" w:cs="仿宋"/>
          <w:b/>
          <w:color w:val="auto"/>
          <w:sz w:val="22"/>
          <w:szCs w:val="22"/>
        </w:rPr>
        <w:t xml:space="preserve">5 </w:t>
      </w:r>
      <w:r>
        <w:rPr>
          <w:rFonts w:hint="eastAsia" w:ascii="仿宋" w:hAnsi="仿宋" w:eastAsia="仿宋" w:cs="仿宋"/>
          <w:b/>
          <w:color w:val="auto"/>
          <w:sz w:val="22"/>
          <w:szCs w:val="22"/>
          <w:lang w:val="en-US" w:eastAsia="zh-CN"/>
        </w:rPr>
        <w:t>投标人</w:t>
      </w:r>
      <w:r>
        <w:rPr>
          <w:rFonts w:hint="eastAsia" w:ascii="仿宋" w:hAnsi="仿宋" w:eastAsia="仿宋" w:cs="仿宋"/>
          <w:b/>
          <w:color w:val="auto"/>
          <w:sz w:val="22"/>
          <w:szCs w:val="22"/>
        </w:rPr>
        <w:t>根据采购项目的具体情况，在</w:t>
      </w:r>
      <w:r>
        <w:rPr>
          <w:rFonts w:hint="eastAsia" w:ascii="仿宋" w:hAnsi="仿宋" w:eastAsia="仿宋" w:cs="仿宋"/>
          <w:b/>
          <w:color w:val="auto"/>
          <w:sz w:val="22"/>
          <w:szCs w:val="22"/>
          <w:lang w:eastAsia="zh-CN"/>
        </w:rPr>
        <w:t>投标文件</w:t>
      </w:r>
      <w:r>
        <w:rPr>
          <w:rFonts w:hint="eastAsia" w:ascii="仿宋" w:hAnsi="仿宋" w:eastAsia="仿宋" w:cs="仿宋"/>
          <w:b/>
          <w:color w:val="auto"/>
          <w:sz w:val="22"/>
          <w:szCs w:val="22"/>
        </w:rPr>
        <w:t>正本中应附一套完整的资格证明材料，缺少一项或某项达不到</w:t>
      </w:r>
      <w:r>
        <w:rPr>
          <w:rFonts w:hint="eastAsia" w:ascii="仿宋" w:hAnsi="仿宋" w:eastAsia="仿宋" w:cs="仿宋"/>
          <w:b/>
          <w:color w:val="auto"/>
          <w:sz w:val="22"/>
          <w:szCs w:val="22"/>
          <w:lang w:eastAsia="zh-CN"/>
        </w:rPr>
        <w:t>投标</w:t>
      </w:r>
      <w:r>
        <w:rPr>
          <w:rFonts w:hint="eastAsia" w:ascii="仿宋" w:hAnsi="仿宋" w:eastAsia="仿宋" w:cs="仿宋"/>
          <w:b/>
          <w:color w:val="auto"/>
          <w:sz w:val="22"/>
          <w:szCs w:val="22"/>
        </w:rPr>
        <w:t>文件要求的按无效</w:t>
      </w:r>
      <w:r>
        <w:rPr>
          <w:rFonts w:hint="eastAsia" w:ascii="仿宋" w:hAnsi="仿宋" w:eastAsia="仿宋" w:cs="仿宋"/>
          <w:b/>
          <w:color w:val="auto"/>
          <w:sz w:val="22"/>
          <w:szCs w:val="22"/>
          <w:lang w:eastAsia="zh-CN"/>
        </w:rPr>
        <w:t>投标文件</w:t>
      </w:r>
      <w:r>
        <w:rPr>
          <w:rFonts w:hint="eastAsia" w:ascii="仿宋" w:hAnsi="仿宋" w:eastAsia="仿宋" w:cs="仿宋"/>
          <w:b/>
          <w:color w:val="auto"/>
          <w:sz w:val="22"/>
          <w:szCs w:val="22"/>
        </w:rPr>
        <w:t>处理，复印件加盖</w:t>
      </w:r>
      <w:r>
        <w:rPr>
          <w:rFonts w:hint="eastAsia" w:ascii="仿宋" w:hAnsi="仿宋" w:eastAsia="仿宋" w:cs="仿宋"/>
          <w:b/>
          <w:color w:val="auto"/>
          <w:sz w:val="22"/>
          <w:szCs w:val="22"/>
          <w:lang w:eastAsia="zh-CN"/>
        </w:rPr>
        <w:t>投标人</w:t>
      </w:r>
      <w:r>
        <w:rPr>
          <w:rFonts w:hint="eastAsia" w:ascii="仿宋" w:hAnsi="仿宋" w:eastAsia="仿宋" w:cs="仿宋"/>
          <w:b/>
          <w:color w:val="auto"/>
          <w:sz w:val="22"/>
          <w:szCs w:val="22"/>
        </w:rPr>
        <w:t>单位公章</w:t>
      </w:r>
      <w:r>
        <w:rPr>
          <w:rFonts w:hint="eastAsia" w:ascii="仿宋" w:hAnsi="仿宋" w:eastAsia="仿宋" w:cs="仿宋"/>
          <w:b/>
          <w:color w:val="auto"/>
          <w:sz w:val="22"/>
          <w:szCs w:val="22"/>
          <w:lang w:eastAsia="zh-CN"/>
        </w:rPr>
        <w:t>。</w:t>
      </w:r>
    </w:p>
    <w:p w14:paraId="3D660622">
      <w:pPr>
        <w:keepNext w:val="0"/>
        <w:keepLines w:val="0"/>
        <w:pageBreakBefore w:val="0"/>
        <w:kinsoku/>
        <w:wordWrap/>
        <w:overflowPunct/>
        <w:topLinePunct w:val="0"/>
        <w:bidi w:val="0"/>
        <w:spacing w:line="360" w:lineRule="auto"/>
        <w:ind w:firstLine="442" w:firstLineChars="200"/>
        <w:textAlignment w:val="auto"/>
        <w:outlineLvl w:val="9"/>
        <w:rPr>
          <w:rFonts w:hint="eastAsia" w:ascii="仿宋" w:hAnsi="仿宋" w:eastAsia="仿宋" w:cs="仿宋"/>
          <w:color w:val="auto"/>
          <w:sz w:val="22"/>
          <w:szCs w:val="22"/>
        </w:rPr>
      </w:pPr>
      <w:r>
        <w:rPr>
          <w:rFonts w:hint="eastAsia" w:ascii="仿宋" w:hAnsi="仿宋" w:eastAsia="仿宋" w:cs="仿宋"/>
          <w:b/>
          <w:bCs/>
          <w:color w:val="auto"/>
          <w:sz w:val="22"/>
          <w:szCs w:val="22"/>
          <w:lang w:val="en-US" w:eastAsia="zh-CN"/>
        </w:rPr>
        <w:t>6.2.</w:t>
      </w:r>
      <w:r>
        <w:rPr>
          <w:rFonts w:hint="eastAsia" w:ascii="仿宋" w:hAnsi="仿宋" w:eastAsia="仿宋" w:cs="仿宋"/>
          <w:b/>
          <w:bCs/>
          <w:color w:val="auto"/>
          <w:sz w:val="22"/>
          <w:szCs w:val="22"/>
        </w:rPr>
        <w:t>6分公司独立参与</w:t>
      </w:r>
      <w:r>
        <w:rPr>
          <w:rFonts w:hint="eastAsia" w:ascii="仿宋" w:hAnsi="仿宋" w:eastAsia="仿宋" w:cs="仿宋"/>
          <w:b/>
          <w:bCs/>
          <w:color w:val="auto"/>
          <w:sz w:val="22"/>
          <w:szCs w:val="22"/>
          <w:lang w:val="en-US" w:eastAsia="zh-CN"/>
        </w:rPr>
        <w:t>投标</w:t>
      </w:r>
      <w:r>
        <w:rPr>
          <w:rFonts w:hint="eastAsia" w:ascii="仿宋" w:hAnsi="仿宋" w:eastAsia="仿宋" w:cs="仿宋"/>
          <w:b/>
          <w:bCs/>
          <w:color w:val="auto"/>
          <w:sz w:val="22"/>
          <w:szCs w:val="22"/>
        </w:rPr>
        <w:t>时，不能使用总公司的资质或业绩；总公司单独参与</w:t>
      </w:r>
      <w:r>
        <w:rPr>
          <w:rFonts w:hint="eastAsia" w:ascii="仿宋" w:hAnsi="仿宋" w:eastAsia="仿宋" w:cs="仿宋"/>
          <w:b/>
          <w:bCs/>
          <w:color w:val="auto"/>
          <w:sz w:val="22"/>
          <w:szCs w:val="22"/>
          <w:lang w:val="en-US" w:eastAsia="zh-CN"/>
        </w:rPr>
        <w:t>投标</w:t>
      </w:r>
      <w:r>
        <w:rPr>
          <w:rFonts w:hint="eastAsia" w:ascii="仿宋" w:hAnsi="仿宋" w:eastAsia="仿宋" w:cs="仿宋"/>
          <w:b/>
          <w:bCs/>
          <w:color w:val="auto"/>
          <w:sz w:val="22"/>
          <w:szCs w:val="22"/>
        </w:rPr>
        <w:t>时，除总公司所投产品为分公司生产的产品外，不能使用分公司的资质或业绩。总公司授权分公司或分支机构参与</w:t>
      </w:r>
      <w:r>
        <w:rPr>
          <w:rFonts w:hint="eastAsia" w:ascii="仿宋" w:hAnsi="仿宋" w:eastAsia="仿宋" w:cs="仿宋"/>
          <w:b/>
          <w:bCs/>
          <w:color w:val="auto"/>
          <w:sz w:val="22"/>
          <w:szCs w:val="22"/>
          <w:lang w:val="en-US" w:eastAsia="zh-CN"/>
        </w:rPr>
        <w:t>投标</w:t>
      </w:r>
      <w:r>
        <w:rPr>
          <w:rFonts w:hint="eastAsia" w:ascii="仿宋" w:hAnsi="仿宋" w:eastAsia="仿宋" w:cs="仿宋"/>
          <w:b/>
          <w:bCs/>
          <w:color w:val="auto"/>
          <w:sz w:val="22"/>
          <w:szCs w:val="22"/>
        </w:rPr>
        <w:t>，可以使用总公司的资质或业绩。</w:t>
      </w:r>
    </w:p>
    <w:p w14:paraId="322AA2B6">
      <w:pPr>
        <w:shd w:val="clear"/>
        <w:snapToGrid w:val="0"/>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lang w:val="en-US" w:eastAsia="zh-CN"/>
        </w:rPr>
        <w:t>6.2.7</w:t>
      </w:r>
      <w:r>
        <w:rPr>
          <w:rFonts w:hint="eastAsia" w:ascii="仿宋" w:hAnsi="仿宋" w:eastAsia="仿宋" w:cs="仿宋"/>
          <w:color w:val="auto"/>
          <w:szCs w:val="21"/>
          <w:highlight w:val="none"/>
        </w:rPr>
        <w:t>开标结束后，由采购人及代理机构按照《政府采购货物和服务招标投标管理办法》（财政部第87号令）有关规定，对投标人进行资格审查，不符合要求的投标人将不再进入下面程序（在评标结束前发现投标人资格不符合要求的，经评标委员会同意后可作无效投标处理）</w:t>
      </w:r>
    </w:p>
    <w:p w14:paraId="2235D19A">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资格审查出现下列情形的，投标文件将被视为无效：</w:t>
      </w:r>
    </w:p>
    <w:p w14:paraId="6F39529D">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A.不具备招标文件中规定的资格要求或缺项的；</w:t>
      </w:r>
    </w:p>
    <w:p w14:paraId="2AF98F74">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B.未按招标文件要求提供资格证明</w:t>
      </w:r>
      <w:r>
        <w:rPr>
          <w:rFonts w:hint="eastAsia" w:ascii="仿宋" w:hAnsi="仿宋" w:eastAsia="仿宋" w:cs="仿宋"/>
          <w:color w:val="auto"/>
          <w:szCs w:val="21"/>
          <w:highlight w:val="none"/>
          <w:lang w:val="en-US" w:eastAsia="zh-CN"/>
        </w:rPr>
        <w:t>材料</w:t>
      </w:r>
      <w:r>
        <w:rPr>
          <w:rFonts w:hint="eastAsia" w:ascii="仿宋" w:hAnsi="仿宋" w:eastAsia="仿宋" w:cs="仿宋"/>
          <w:color w:val="auto"/>
          <w:szCs w:val="21"/>
          <w:highlight w:val="none"/>
        </w:rPr>
        <w:t>，或未按招标文件要求加盖公章的；</w:t>
      </w:r>
    </w:p>
    <w:p w14:paraId="155A3556">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C.采购人认为</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的资格证明文件存在疑点，要求投标人现场提供原件，投标人不能在规定时限内提供原件或其所提供的原件无法证实投标文件所附证明文件有效性的。</w:t>
      </w:r>
    </w:p>
    <w:p w14:paraId="342A41E1">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(2)资格审查结束后，采购人及代理机构应当对审查结果进行签字确认，并告知无效投标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资格审查未通过的原因。</w:t>
      </w:r>
    </w:p>
    <w:p w14:paraId="5916021F">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(3)合格投标人不足3家的，不得评标。</w:t>
      </w:r>
    </w:p>
    <w:bookmarkEnd w:id="45"/>
    <w:bookmarkEnd w:id="46"/>
    <w:bookmarkEnd w:id="47"/>
    <w:bookmarkEnd w:id="48"/>
    <w:bookmarkEnd w:id="49"/>
    <w:bookmarkEnd w:id="50"/>
    <w:bookmarkEnd w:id="51"/>
    <w:bookmarkEnd w:id="52"/>
    <w:bookmarkEnd w:id="53"/>
    <w:bookmarkEnd w:id="54"/>
    <w:bookmarkEnd w:id="55"/>
    <w:bookmarkEnd w:id="56"/>
    <w:p w14:paraId="63281E89">
      <w:pPr>
        <w:shd w:val="clear"/>
        <w:snapToGrid w:val="0"/>
        <w:spacing w:line="360" w:lineRule="auto"/>
        <w:rPr>
          <w:rFonts w:hint="eastAsia" w:ascii="仿宋" w:hAnsi="仿宋" w:eastAsia="仿宋" w:cs="仿宋"/>
          <w:b/>
          <w:color w:val="auto"/>
          <w:szCs w:val="21"/>
          <w:highlight w:val="none"/>
        </w:rPr>
      </w:pPr>
      <w:bookmarkStart w:id="226" w:name="_Toc17517"/>
      <w:bookmarkStart w:id="227" w:name="_Toc11152"/>
      <w:bookmarkStart w:id="228" w:name="_Toc4277"/>
      <w:bookmarkStart w:id="229" w:name="_Toc16168_WPSOffice_Level1"/>
      <w:bookmarkStart w:id="230" w:name="_Toc17139"/>
      <w:bookmarkStart w:id="231" w:name="_Toc28762"/>
      <w:bookmarkStart w:id="232" w:name="_Toc10133"/>
      <w:bookmarkStart w:id="233" w:name="_Toc16587"/>
      <w:bookmarkStart w:id="234" w:name="_Toc32693"/>
      <w:bookmarkStart w:id="235" w:name="_Toc17928_WPSOffice_Level1"/>
      <w:bookmarkStart w:id="236" w:name="_Toc27805"/>
      <w:bookmarkStart w:id="237" w:name="_Toc8932"/>
      <w:r>
        <w:rPr>
          <w:rFonts w:hint="eastAsia" w:ascii="仿宋" w:hAnsi="仿宋" w:eastAsia="仿宋" w:cs="仿宋"/>
          <w:b/>
          <w:color w:val="auto"/>
          <w:szCs w:val="21"/>
          <w:highlight w:val="none"/>
        </w:rPr>
        <w:t>6.3.评标</w:t>
      </w:r>
    </w:p>
    <w:p w14:paraId="224F9A31">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6.3.1.</w:t>
      </w:r>
      <w:r>
        <w:rPr>
          <w:rFonts w:hint="eastAsia" w:ascii="仿宋" w:hAnsi="仿宋" w:eastAsia="仿宋" w:cs="仿宋"/>
          <w:color w:val="auto"/>
          <w:sz w:val="22"/>
          <w:szCs w:val="22"/>
          <w:lang w:val="en-US" w:eastAsia="zh-CN"/>
        </w:rPr>
        <w:t>评标委员会</w:t>
      </w:r>
      <w:r>
        <w:rPr>
          <w:rFonts w:hint="eastAsia" w:ascii="仿宋" w:hAnsi="仿宋" w:eastAsia="仿宋" w:cs="仿宋"/>
          <w:color w:val="auto"/>
          <w:sz w:val="22"/>
          <w:szCs w:val="22"/>
        </w:rPr>
        <w:t>根据</w:t>
      </w:r>
      <w:r>
        <w:rPr>
          <w:rFonts w:hint="eastAsia" w:ascii="仿宋" w:hAnsi="仿宋" w:eastAsia="仿宋" w:cs="仿宋"/>
          <w:color w:val="auto"/>
          <w:sz w:val="22"/>
          <w:szCs w:val="22"/>
          <w:lang w:val="en-US" w:eastAsia="zh-CN"/>
        </w:rPr>
        <w:t>招标</w:t>
      </w:r>
      <w:r>
        <w:rPr>
          <w:rFonts w:hint="eastAsia" w:ascii="仿宋" w:hAnsi="仿宋" w:eastAsia="仿宋" w:cs="仿宋"/>
          <w:color w:val="auto"/>
          <w:sz w:val="22"/>
          <w:szCs w:val="22"/>
        </w:rPr>
        <w:t>文件第三章“</w:t>
      </w:r>
      <w:r>
        <w:rPr>
          <w:rFonts w:hint="eastAsia" w:ascii="仿宋" w:hAnsi="仿宋" w:eastAsia="仿宋" w:cs="仿宋"/>
          <w:color w:val="auto"/>
          <w:sz w:val="22"/>
          <w:szCs w:val="22"/>
          <w:lang w:val="en-US" w:eastAsia="zh-CN"/>
        </w:rPr>
        <w:t>评标</w:t>
      </w:r>
      <w:r>
        <w:rPr>
          <w:rFonts w:hint="eastAsia" w:ascii="仿宋" w:hAnsi="仿宋" w:eastAsia="仿宋" w:cs="仿宋"/>
          <w:color w:val="auto"/>
          <w:sz w:val="22"/>
          <w:szCs w:val="22"/>
        </w:rPr>
        <w:t>办法”规定的方法、评</w:t>
      </w:r>
      <w:r>
        <w:rPr>
          <w:rFonts w:hint="eastAsia" w:ascii="仿宋" w:hAnsi="仿宋" w:eastAsia="仿宋" w:cs="仿宋"/>
          <w:color w:val="auto"/>
          <w:sz w:val="22"/>
          <w:szCs w:val="22"/>
          <w:lang w:val="en-US" w:eastAsia="zh-CN"/>
        </w:rPr>
        <w:t>标</w:t>
      </w:r>
      <w:r>
        <w:rPr>
          <w:rFonts w:hint="eastAsia" w:ascii="仿宋" w:hAnsi="仿宋" w:eastAsia="仿宋" w:cs="仿宋"/>
          <w:color w:val="auto"/>
          <w:sz w:val="22"/>
          <w:szCs w:val="22"/>
        </w:rPr>
        <w:t>因素、标准和程序，对其</w:t>
      </w:r>
      <w:r>
        <w:rPr>
          <w:rFonts w:hint="eastAsia" w:ascii="仿宋" w:hAnsi="仿宋" w:eastAsia="仿宋" w:cs="仿宋"/>
          <w:color w:val="auto"/>
          <w:sz w:val="22"/>
          <w:szCs w:val="22"/>
          <w:lang w:val="en-US" w:eastAsia="zh-CN"/>
        </w:rPr>
        <w:t>投标</w:t>
      </w:r>
      <w:r>
        <w:rPr>
          <w:rFonts w:hint="eastAsia" w:ascii="仿宋" w:hAnsi="仿宋" w:eastAsia="仿宋" w:cs="仿宋"/>
          <w:color w:val="auto"/>
          <w:sz w:val="22"/>
          <w:szCs w:val="22"/>
        </w:rPr>
        <w:t>文件进行</w:t>
      </w:r>
      <w:r>
        <w:rPr>
          <w:rFonts w:hint="eastAsia" w:ascii="仿宋" w:hAnsi="仿宋" w:eastAsia="仿宋" w:cs="仿宋"/>
          <w:color w:val="auto"/>
          <w:sz w:val="22"/>
          <w:szCs w:val="22"/>
          <w:lang w:val="en-US" w:eastAsia="zh-CN"/>
        </w:rPr>
        <w:t>评标</w:t>
      </w:r>
      <w:r>
        <w:rPr>
          <w:rFonts w:hint="eastAsia" w:ascii="仿宋" w:hAnsi="仿宋" w:eastAsia="仿宋" w:cs="仿宋"/>
          <w:color w:val="auto"/>
          <w:sz w:val="22"/>
          <w:szCs w:val="22"/>
        </w:rPr>
        <w:t>。第三章“</w:t>
      </w:r>
      <w:r>
        <w:rPr>
          <w:rFonts w:hint="eastAsia" w:ascii="仿宋" w:hAnsi="仿宋" w:eastAsia="仿宋" w:cs="仿宋"/>
          <w:color w:val="auto"/>
          <w:sz w:val="22"/>
          <w:szCs w:val="22"/>
          <w:lang w:val="en-US" w:eastAsia="zh-CN"/>
        </w:rPr>
        <w:t>评标</w:t>
      </w:r>
      <w:r>
        <w:rPr>
          <w:rFonts w:hint="eastAsia" w:ascii="仿宋" w:hAnsi="仿宋" w:eastAsia="仿宋" w:cs="仿宋"/>
          <w:color w:val="auto"/>
          <w:sz w:val="22"/>
          <w:szCs w:val="22"/>
        </w:rPr>
        <w:t>办法”没有规定的方法、评</w:t>
      </w:r>
      <w:r>
        <w:rPr>
          <w:rFonts w:hint="eastAsia" w:ascii="仿宋" w:hAnsi="仿宋" w:eastAsia="仿宋" w:cs="仿宋"/>
          <w:color w:val="auto"/>
          <w:sz w:val="22"/>
          <w:szCs w:val="22"/>
          <w:lang w:val="en-US" w:eastAsia="zh-CN"/>
        </w:rPr>
        <w:t>标</w:t>
      </w:r>
      <w:r>
        <w:rPr>
          <w:rFonts w:hint="eastAsia" w:ascii="仿宋" w:hAnsi="仿宋" w:eastAsia="仿宋" w:cs="仿宋"/>
          <w:color w:val="auto"/>
          <w:sz w:val="22"/>
          <w:szCs w:val="22"/>
        </w:rPr>
        <w:t>因素和标准，不作为评</w:t>
      </w:r>
      <w:r>
        <w:rPr>
          <w:rFonts w:hint="eastAsia" w:ascii="仿宋" w:hAnsi="仿宋" w:eastAsia="仿宋" w:cs="仿宋"/>
          <w:color w:val="auto"/>
          <w:sz w:val="22"/>
          <w:szCs w:val="22"/>
          <w:lang w:val="en-US" w:eastAsia="zh-CN"/>
        </w:rPr>
        <w:t>标</w:t>
      </w:r>
      <w:r>
        <w:rPr>
          <w:rFonts w:hint="eastAsia" w:ascii="仿宋" w:hAnsi="仿宋" w:eastAsia="仿宋" w:cs="仿宋"/>
          <w:color w:val="auto"/>
          <w:sz w:val="22"/>
          <w:szCs w:val="22"/>
        </w:rPr>
        <w:t>依据。</w:t>
      </w:r>
      <w:r>
        <w:rPr>
          <w:rFonts w:hint="eastAsia" w:ascii="仿宋" w:hAnsi="仿宋" w:eastAsia="仿宋" w:cs="仿宋"/>
          <w:color w:val="auto"/>
          <w:szCs w:val="21"/>
          <w:highlight w:val="none"/>
        </w:rPr>
        <w:t>投标文件有下列情况之一者将被认定为投标无效：</w:t>
      </w:r>
    </w:p>
    <w:p w14:paraId="23118D39">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6.3.1.1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未按照招标文件规定和要求对投标文件进行签署、盖章的；</w:t>
      </w:r>
    </w:p>
    <w:p w14:paraId="1F1DC53A">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6.3.1.2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不具备招标文件中规定的资格条件和资格审查要求的；</w:t>
      </w:r>
    </w:p>
    <w:p w14:paraId="6224178B">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与招标文件有重大偏离；</w:t>
      </w:r>
    </w:p>
    <w:p w14:paraId="142BD773">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投标人拒绝修正错误；</w:t>
      </w:r>
    </w:p>
    <w:p w14:paraId="5545E177">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投标人的报价是选择性的；</w:t>
      </w:r>
    </w:p>
    <w:p w14:paraId="6A3EE815">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投标人的报价只投了同一项目中部分内容；</w:t>
      </w:r>
    </w:p>
    <w:p w14:paraId="48126E74">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 xml:space="preserve">投标人的投标文件中出现评标委员会认为不应雷同的； </w:t>
      </w:r>
    </w:p>
    <w:p w14:paraId="5E5AA9EB">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投标人名称与登记获取招标文件单位的名称不一致的；</w:t>
      </w:r>
    </w:p>
    <w:p w14:paraId="45943593">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6.3.1.</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其他被</w:t>
      </w:r>
      <w:r>
        <w:rPr>
          <w:rFonts w:hint="eastAsia" w:ascii="仿宋" w:hAnsi="仿宋" w:eastAsia="仿宋" w:cs="仿宋"/>
          <w:color w:val="auto"/>
          <w:szCs w:val="21"/>
          <w:highlight w:val="none"/>
          <w:lang w:eastAsia="zh-CN"/>
        </w:rPr>
        <w:t>评标委员会</w:t>
      </w:r>
      <w:r>
        <w:rPr>
          <w:rFonts w:hint="eastAsia" w:ascii="仿宋" w:hAnsi="仿宋" w:eastAsia="仿宋" w:cs="仿宋"/>
          <w:color w:val="auto"/>
          <w:szCs w:val="21"/>
          <w:highlight w:val="none"/>
        </w:rPr>
        <w:t>认定无效的情况。</w:t>
      </w:r>
    </w:p>
    <w:p w14:paraId="16745443">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6.3.2.在详细评标之前，评标委员会将首先审查每份投标书是否实质响应了招标文件的要求。实质上响应的投标应该是与招标文件的全部条款、条件和规格相符，没有重大偏离或保留。所谓重大偏离或保留是指影响合同的供货范围、质量等；或者在实质上与招标文件不一致〔如货物和服务的质量（包括品牌）、数量及</w:t>
      </w:r>
      <w:r>
        <w:rPr>
          <w:rFonts w:hint="eastAsia" w:ascii="仿宋" w:hAnsi="仿宋" w:eastAsia="仿宋" w:cs="仿宋"/>
          <w:color w:val="auto"/>
          <w:szCs w:val="21"/>
          <w:highlight w:val="none"/>
          <w:lang w:eastAsia="zh-CN"/>
        </w:rPr>
        <w:t>交货期</w:t>
      </w:r>
      <w:r>
        <w:rPr>
          <w:rFonts w:hint="eastAsia" w:ascii="仿宋" w:hAnsi="仿宋" w:eastAsia="仿宋" w:cs="仿宋"/>
          <w:color w:val="auto"/>
          <w:szCs w:val="21"/>
          <w:highlight w:val="none"/>
        </w:rPr>
        <w:t>等明显不能满足招标文件的要求〕，而且限制了合同中买方的权利或投标人的义务。这些偏离或保留将会对其他实质上响应要求的投标人的竞争地位产生不公正的影响。</w:t>
      </w:r>
    </w:p>
    <w:p w14:paraId="7DAE1F09">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6.3.3.招标文件提供的设备、参考的商标或样本目录号码等仅作为说明并没有限制性，投标人在投标中可以选用替代标准，但这些替代标准要优于或相当于技术规格中要求的标准，以满足采购人的需要。</w:t>
      </w:r>
    </w:p>
    <w:p w14:paraId="04CFEB96">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6.3.4.评标委员会将允许修改投标中不构成重大偏离的微小的、非正规、不一致或不规则的地方，但这些修改不能影响任何投标人的名次相应排列。投标人不得对投标文件进行实质性修改。</w:t>
      </w:r>
    </w:p>
    <w:p w14:paraId="6F45D7B0">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6.3.5.</w:t>
      </w:r>
      <w:r>
        <w:rPr>
          <w:rFonts w:hint="eastAsia" w:ascii="仿宋" w:hAnsi="仿宋" w:eastAsia="仿宋" w:cs="仿宋"/>
          <w:color w:val="auto"/>
          <w:szCs w:val="21"/>
          <w:highlight w:val="none"/>
          <w:lang w:eastAsia="zh-CN"/>
        </w:rPr>
        <w:t>评标委员会</w:t>
      </w:r>
      <w:r>
        <w:rPr>
          <w:rFonts w:hint="eastAsia" w:ascii="仿宋" w:hAnsi="仿宋" w:eastAsia="仿宋" w:cs="仿宋"/>
          <w:color w:val="auto"/>
          <w:szCs w:val="21"/>
          <w:highlight w:val="none"/>
        </w:rPr>
        <w:t>将对确定为实质上响应的投标进行审核，看其是否有计算上或累加上的算术错误，修正错误的原则如下：</w:t>
      </w:r>
    </w:p>
    <w:p w14:paraId="7C5ED31A">
      <w:pPr>
        <w:shd w:val="clear"/>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（1）文字与图表不符以文字为准；</w:t>
      </w:r>
    </w:p>
    <w:p w14:paraId="569E9F3A">
      <w:pPr>
        <w:shd w:val="clear"/>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（2）投标文件中开标一览表（报价表）内容与投标文件中相应内容不一致的，以开标一览表（报价表）为准；</w:t>
      </w:r>
    </w:p>
    <w:p w14:paraId="591FC3B3">
      <w:pPr>
        <w:shd w:val="clear"/>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（3）大写金额和小写金额不一致的，以大写金额为准；</w:t>
      </w:r>
    </w:p>
    <w:p w14:paraId="66E07357">
      <w:pPr>
        <w:shd w:val="clear"/>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（4）单价金额小数点或者百分比有明显错位的，以开标一览表的总价为准，并修改单价；</w:t>
      </w:r>
    </w:p>
    <w:p w14:paraId="1BDD7B8B">
      <w:pPr>
        <w:shd w:val="clear"/>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（5）总价金额与按单价汇总金额不一致的，以单价金额计算结果为准。</w:t>
      </w:r>
    </w:p>
    <w:p w14:paraId="1A41D512">
      <w:pPr>
        <w:shd w:val="clear"/>
        <w:snapToGrid w:val="0"/>
        <w:spacing w:line="360"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前款规定的顺序修正。修正后的报价按照《政府采购货物和服务招标投标管理办法》财政部第87号令第五十一条第二款的规定经投标人确认后产生约束力，投标人不确认的，其投标无效。</w:t>
      </w:r>
    </w:p>
    <w:p w14:paraId="03E1CC8F">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6.3.6.评标委员会对投标文件的判定，只依据投标内容本身，不依靠开标后的任何外来证明。</w:t>
      </w:r>
    </w:p>
    <w:p w14:paraId="4B70B80D">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6.3.7.评标委员会将拒绝被确定为非实质性响应的投标，投标人不能通过修正或撤销不符之处而使其投标成为实质性响应的投标。</w:t>
      </w:r>
    </w:p>
    <w:p w14:paraId="3FA5CFF0">
      <w:pPr>
        <w:shd w:val="clea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6.4.投标的澄清</w:t>
      </w:r>
    </w:p>
    <w:p w14:paraId="08D2C48D">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6.4.1.为了有助于对投标文件进行审查、评估和比较，招标代理机构有权就投标文件中含混之处向投标人提出询问或澄清要求。投标人必须按照招标代理机构通知的时间、地点派技术和商务人员进行答疑和澄清。</w:t>
      </w:r>
    </w:p>
    <w:p w14:paraId="03304FFA">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6.4.2.有关澄清的答复应采用书面形式，该书面答复应有投标人全权代表签署确认，并将作为投标内容的一部分。</w:t>
      </w:r>
    </w:p>
    <w:p w14:paraId="07B7ED60">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6.4.3.投标人对投标文件的澄清不得改变投标的价格（校核时发现的算术错误除外）及实质内容。</w:t>
      </w:r>
    </w:p>
    <w:p w14:paraId="234A00AB">
      <w:pPr>
        <w:shd w:val="clear"/>
        <w:snapToGrid w:val="0"/>
        <w:spacing w:line="360"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6.5、公开招标数额标准以上的采购项目，投标截止后投标人不足3家或者通过资格审查或符合性审查的投标人不足3家的，除采购任务取消情形外，按照以下方式处理：</w:t>
      </w:r>
    </w:p>
    <w:p w14:paraId="076F36F5">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6.5.1.招标文件存在不合理条款或者招标程序不符合规定的，采购人、采购代理机构改正后依法重新招标；</w:t>
      </w:r>
    </w:p>
    <w:p w14:paraId="1CE48190">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6.5.2.招标文件没有不合理条款、招标程序符合规定，需要采用其他采购方式采购的，采购人应当依法报财政部门批准。</w:t>
      </w:r>
    </w:p>
    <w:p w14:paraId="7271C6F9">
      <w:pPr>
        <w:shd w:val="clea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6.6、投标文件的评价和比较</w:t>
      </w:r>
    </w:p>
    <w:p w14:paraId="4F9D025A">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6.6.1.评标委员会将仅对按照本须知有关规定确定为实质上响应招标文件要求的投标文件进行评价和比较。</w:t>
      </w:r>
    </w:p>
    <w:p w14:paraId="34B55441">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6.6.2.评价和比较采用综合评分法，</w:t>
      </w:r>
      <w:r>
        <w:rPr>
          <w:rFonts w:hint="eastAsia" w:ascii="仿宋" w:hAnsi="仿宋" w:eastAsia="仿宋" w:cs="仿宋"/>
          <w:color w:val="auto"/>
          <w:szCs w:val="21"/>
          <w:highlight w:val="none"/>
          <w:lang w:eastAsia="zh-CN"/>
        </w:rPr>
        <w:t>评标委员会</w:t>
      </w:r>
      <w:r>
        <w:rPr>
          <w:rFonts w:hint="eastAsia" w:ascii="仿宋" w:hAnsi="仿宋" w:eastAsia="仿宋" w:cs="仿宋"/>
          <w:color w:val="auto"/>
          <w:szCs w:val="21"/>
          <w:highlight w:val="none"/>
        </w:rPr>
        <w:t>严格按照招标文件的规定要求、条件、评分标准，对投标人所提供货物或服务的先进性、可靠性、售后服务承诺、质量保证承诺等实质性响应内容进行比较评价。</w:t>
      </w:r>
    </w:p>
    <w:p w14:paraId="3740BF8A">
      <w:pPr>
        <w:shd w:val="clear"/>
        <w:snapToGrid w:val="0"/>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6.6.3.最低的投标报价或最高的折扣比例是中标条件之一，但不是唯一条件。</w:t>
      </w:r>
    </w:p>
    <w:p w14:paraId="30430452">
      <w:pPr>
        <w:shd w:val="clear"/>
        <w:snapToGrid w:val="0"/>
        <w:spacing w:line="360" w:lineRule="auto"/>
        <w:outlineLvl w:val="0"/>
        <w:rPr>
          <w:rFonts w:hint="eastAsia" w:ascii="仿宋" w:hAnsi="仿宋" w:eastAsia="仿宋" w:cs="仿宋"/>
          <w:b/>
          <w:color w:val="auto"/>
          <w:szCs w:val="21"/>
          <w:highlight w:val="none"/>
        </w:rPr>
      </w:pPr>
      <w:bookmarkStart w:id="238" w:name="_Toc7897"/>
      <w:bookmarkStart w:id="239" w:name="_Toc10418"/>
      <w:bookmarkStart w:id="240" w:name="_Toc19460"/>
      <w:bookmarkStart w:id="241" w:name="_Toc18475"/>
      <w:bookmarkStart w:id="242" w:name="_Toc5292"/>
      <w:bookmarkStart w:id="243" w:name="_Toc30370"/>
      <w:bookmarkStart w:id="244" w:name="_Toc15027"/>
      <w:bookmarkStart w:id="245" w:name="_Toc2757"/>
      <w:bookmarkStart w:id="246" w:name="_Toc8045"/>
      <w:bookmarkStart w:id="247" w:name="_Toc21769"/>
      <w:bookmarkStart w:id="248" w:name="_Toc20387"/>
      <w:bookmarkStart w:id="249" w:name="_Toc24080"/>
      <w:bookmarkStart w:id="250" w:name="_Toc14132"/>
      <w:bookmarkStart w:id="251" w:name="_Toc7400"/>
      <w:bookmarkStart w:id="252" w:name="_Toc26618"/>
      <w:r>
        <w:rPr>
          <w:rFonts w:hint="eastAsia" w:ascii="仿宋" w:hAnsi="仿宋" w:eastAsia="仿宋" w:cs="仿宋"/>
          <w:b/>
          <w:color w:val="auto"/>
          <w:szCs w:val="21"/>
          <w:highlight w:val="none"/>
        </w:rPr>
        <w:t>6.7.评标过程保密</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EF49456">
      <w:pPr>
        <w:shd w:val="clea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6.7.1.从开标之日到确定中标人止，评标人员不得向投标人或其他无关人员透露有关审查、澄清、评价和比较投标资料的情况或授标意向。</w:t>
      </w:r>
    </w:p>
    <w:p w14:paraId="6C31114C">
      <w:pPr>
        <w:shd w:val="clea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6.7.2.任何人员如发生泄密现象，将承担相应的法律责任。</w:t>
      </w:r>
    </w:p>
    <w:p w14:paraId="2FF35359">
      <w:pPr>
        <w:shd w:val="clea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6.7.3.投标人企图影响招标方的任何行为，将导致该投标人被拒绝，并承担相应的法律责任。</w:t>
      </w:r>
    </w:p>
    <w:p w14:paraId="02A82854">
      <w:pPr>
        <w:shd w:val="clear"/>
        <w:snapToGrid w:val="0"/>
        <w:spacing w:line="360" w:lineRule="auto"/>
        <w:outlineLvl w:val="0"/>
        <w:rPr>
          <w:rFonts w:hint="eastAsia" w:ascii="仿宋" w:hAnsi="仿宋" w:eastAsia="仿宋" w:cs="仿宋"/>
          <w:b/>
          <w:color w:val="auto"/>
          <w:szCs w:val="21"/>
          <w:highlight w:val="none"/>
        </w:rPr>
      </w:pPr>
      <w:bookmarkStart w:id="253" w:name="_Toc453862260"/>
      <w:bookmarkStart w:id="254" w:name="_Toc23467"/>
      <w:bookmarkStart w:id="255" w:name="_Toc19635"/>
      <w:bookmarkStart w:id="256" w:name="_Toc28525"/>
      <w:bookmarkStart w:id="257" w:name="_Toc15131"/>
      <w:bookmarkStart w:id="258" w:name="_Toc536"/>
      <w:bookmarkStart w:id="259" w:name="_Toc9463"/>
      <w:bookmarkStart w:id="260" w:name="_Toc18474"/>
      <w:bookmarkStart w:id="261" w:name="_Toc2790"/>
      <w:bookmarkStart w:id="262" w:name="_Toc2269"/>
      <w:bookmarkStart w:id="263" w:name="_Toc3834"/>
      <w:bookmarkStart w:id="264" w:name="_Toc26856"/>
      <w:bookmarkStart w:id="265" w:name="_Toc20614"/>
      <w:bookmarkStart w:id="266" w:name="_Toc22630"/>
      <w:bookmarkStart w:id="267" w:name="_Toc32173"/>
      <w:bookmarkStart w:id="268" w:name="_Toc5478"/>
      <w:r>
        <w:rPr>
          <w:rFonts w:hint="eastAsia" w:ascii="仿宋" w:hAnsi="仿宋" w:eastAsia="仿宋" w:cs="仿宋"/>
          <w:b/>
          <w:color w:val="auto"/>
          <w:szCs w:val="21"/>
          <w:highlight w:val="none"/>
        </w:rPr>
        <w:t>6.8.</w:t>
      </w:r>
      <w:bookmarkEnd w:id="253"/>
      <w:r>
        <w:rPr>
          <w:rFonts w:hint="eastAsia" w:ascii="仿宋" w:hAnsi="仿宋" w:eastAsia="仿宋" w:cs="仿宋"/>
          <w:b/>
          <w:color w:val="auto"/>
          <w:szCs w:val="21"/>
          <w:highlight w:val="none"/>
        </w:rPr>
        <w:t>推荐中标候选人</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470913CF">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评标委员会按照招标文件确定的内容和评标方法对投标文件进行评审，按照得分由高到低的顺序，按排序推荐中标候选人。</w:t>
      </w:r>
    </w:p>
    <w:p w14:paraId="5DA3A887">
      <w:pPr>
        <w:pStyle w:val="4"/>
        <w:shd w:val="clear"/>
        <w:tabs>
          <w:tab w:val="left" w:pos="3930"/>
          <w:tab w:val="center" w:pos="4819"/>
        </w:tabs>
        <w:snapToGrid w:val="0"/>
        <w:jc w:val="left"/>
        <w:rPr>
          <w:rFonts w:hint="eastAsia" w:ascii="仿宋" w:hAnsi="仿宋" w:eastAsia="仿宋" w:cs="仿宋"/>
          <w:color w:val="auto"/>
          <w:sz w:val="24"/>
          <w:szCs w:val="24"/>
          <w:highlight w:val="none"/>
        </w:rPr>
      </w:pPr>
      <w:bookmarkStart w:id="269" w:name="_Toc531189841"/>
      <w:bookmarkStart w:id="270" w:name="_Toc2125"/>
      <w:bookmarkStart w:id="271" w:name="_Toc31550"/>
      <w:bookmarkStart w:id="272" w:name="_Toc519941193"/>
      <w:r>
        <w:rPr>
          <w:rFonts w:hint="eastAsia" w:ascii="仿宋" w:hAnsi="仿宋" w:eastAsia="仿宋" w:cs="仿宋"/>
          <w:color w:val="auto"/>
          <w:sz w:val="24"/>
          <w:szCs w:val="24"/>
          <w:highlight w:val="none"/>
        </w:rPr>
        <w:t>七、确定中标及中标公示</w:t>
      </w:r>
      <w:bookmarkEnd w:id="269"/>
      <w:bookmarkEnd w:id="270"/>
      <w:bookmarkEnd w:id="271"/>
      <w:bookmarkEnd w:id="272"/>
    </w:p>
    <w:p w14:paraId="2AE3DEA0">
      <w:pPr>
        <w:shd w:val="clear"/>
        <w:snapToGrid w:val="0"/>
        <w:spacing w:line="360" w:lineRule="auto"/>
        <w:ind w:firstLine="211" w:firstLineChars="100"/>
        <w:outlineLvl w:val="0"/>
        <w:rPr>
          <w:rFonts w:hint="eastAsia" w:ascii="仿宋" w:hAnsi="仿宋" w:eastAsia="仿宋" w:cs="仿宋"/>
          <w:b/>
          <w:color w:val="auto"/>
          <w:szCs w:val="21"/>
          <w:highlight w:val="none"/>
        </w:rPr>
      </w:pPr>
      <w:bookmarkStart w:id="273" w:name="_Toc2216"/>
      <w:bookmarkStart w:id="274" w:name="_Toc19446"/>
      <w:bookmarkStart w:id="275" w:name="_Toc22568"/>
      <w:bookmarkStart w:id="276" w:name="_Toc1114"/>
      <w:bookmarkStart w:id="277" w:name="_Toc32063"/>
      <w:bookmarkStart w:id="278" w:name="_Toc25981"/>
      <w:bookmarkStart w:id="279" w:name="_Toc17914"/>
      <w:bookmarkStart w:id="280" w:name="_Toc24051"/>
      <w:bookmarkStart w:id="281" w:name="_Toc6506"/>
      <w:bookmarkStart w:id="282" w:name="_Toc2700"/>
      <w:bookmarkStart w:id="283" w:name="_Toc31722"/>
      <w:bookmarkStart w:id="284" w:name="_Toc16701"/>
      <w:bookmarkStart w:id="285" w:name="_Toc8706"/>
      <w:bookmarkStart w:id="286" w:name="_Toc24681"/>
      <w:bookmarkStart w:id="287" w:name="_Toc2805"/>
      <w:r>
        <w:rPr>
          <w:rFonts w:hint="eastAsia" w:ascii="仿宋" w:hAnsi="仿宋" w:eastAsia="仿宋" w:cs="仿宋"/>
          <w:b/>
          <w:color w:val="auto"/>
          <w:szCs w:val="21"/>
          <w:highlight w:val="none"/>
        </w:rPr>
        <w:t>7.1.中标公示</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3D65A561">
      <w:pPr>
        <w:shd w:val="clear"/>
        <w:snapToGrid w:val="0"/>
        <w:spacing w:line="360" w:lineRule="auto"/>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7.1.1. 采购人根据评标报告中推荐的中标候选人排列顺序确定中标人。</w:t>
      </w:r>
    </w:p>
    <w:p w14:paraId="2B303FA4">
      <w:pPr>
        <w:shd w:val="clear"/>
        <w:snapToGrid w:val="0"/>
        <w:spacing w:line="360" w:lineRule="auto"/>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7.1.2. 中标结果在</w:t>
      </w:r>
      <w:r>
        <w:rPr>
          <w:rFonts w:hint="eastAsia" w:ascii="仿宋" w:hAnsi="仿宋" w:eastAsia="仿宋" w:cs="仿宋"/>
          <w:color w:val="auto"/>
          <w:kern w:val="0"/>
          <w:szCs w:val="21"/>
          <w:highlight w:val="none"/>
        </w:rPr>
        <w:t>《陕西省政府采购网》</w:t>
      </w:r>
      <w:r>
        <w:rPr>
          <w:rFonts w:hint="eastAsia" w:ascii="仿宋" w:hAnsi="仿宋" w:eastAsia="仿宋" w:cs="仿宋"/>
          <w:color w:val="auto"/>
          <w:szCs w:val="21"/>
          <w:highlight w:val="none"/>
        </w:rPr>
        <w:t>发布采购结果公告，结果公告期限为1个工作日。投标人对评标结果有异议的，可以以书面形式提出质疑。提出质疑的投标人应保证提出的质疑内容及相应证明材料的真实性及来源的合法性，并承担相应的法律责任。</w:t>
      </w:r>
    </w:p>
    <w:p w14:paraId="131FDB71">
      <w:pPr>
        <w:shd w:val="clear"/>
        <w:snapToGrid w:val="0"/>
        <w:spacing w:line="360" w:lineRule="auto"/>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7.1.3.</w:t>
      </w:r>
      <w:r>
        <w:rPr>
          <w:rFonts w:hint="eastAsia" w:ascii="仿宋" w:hAnsi="仿宋" w:eastAsia="仿宋" w:cs="仿宋"/>
          <w:color w:val="auto"/>
          <w:szCs w:val="21"/>
          <w:highlight w:val="none"/>
          <w:lang w:eastAsia="zh-CN"/>
        </w:rPr>
        <w:t>评标委员会</w:t>
      </w:r>
      <w:r>
        <w:rPr>
          <w:rFonts w:hint="eastAsia" w:ascii="仿宋" w:hAnsi="仿宋" w:eastAsia="仿宋" w:cs="仿宋"/>
          <w:color w:val="auto"/>
          <w:szCs w:val="21"/>
          <w:highlight w:val="none"/>
        </w:rPr>
        <w:t>可以对已推荐的中标候选人进行履约能力的进一步审核，以确认其是否具备完全履约能力。中标候选人不得拒绝提供进一步的证明其有能力履约的资料，并应该接受实地考察，如果发现中标候选人在履约能力方面有缺陷，或中标候选人不接受对其履约能力的进一步审核，</w:t>
      </w:r>
      <w:r>
        <w:rPr>
          <w:rFonts w:hint="eastAsia" w:ascii="仿宋" w:hAnsi="仿宋" w:eastAsia="仿宋" w:cs="仿宋"/>
          <w:color w:val="auto"/>
          <w:szCs w:val="21"/>
          <w:highlight w:val="none"/>
          <w:lang w:eastAsia="zh-CN"/>
        </w:rPr>
        <w:t>评标委员会</w:t>
      </w:r>
      <w:r>
        <w:rPr>
          <w:rFonts w:hint="eastAsia" w:ascii="仿宋" w:hAnsi="仿宋" w:eastAsia="仿宋" w:cs="仿宋"/>
          <w:color w:val="auto"/>
          <w:szCs w:val="21"/>
          <w:highlight w:val="none"/>
        </w:rPr>
        <w:t>可以对原评标结果进行复议。</w:t>
      </w:r>
    </w:p>
    <w:p w14:paraId="6FC8CCFB">
      <w:pPr>
        <w:shd w:val="clear"/>
        <w:snapToGrid w:val="0"/>
        <w:spacing w:line="360" w:lineRule="auto"/>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7.1.4. 排名第一的中标候选人放弃中标、因不可抗力不能履行合同或者被查实存在影响中标结果的违法行为等情形，不符合中标条件的，采购人可以按照评标委员会提出的中标候选人名单排序依次确定其他中标候选人为中标人，也可以重新招标。</w:t>
      </w:r>
    </w:p>
    <w:p w14:paraId="6A7DF681">
      <w:pPr>
        <w:shd w:val="clear"/>
        <w:snapToGrid w:val="0"/>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7.2.中标通知</w:t>
      </w:r>
    </w:p>
    <w:p w14:paraId="3102715E">
      <w:pPr>
        <w:shd w:val="clear"/>
        <w:snapToGrid w:val="0"/>
        <w:spacing w:line="360" w:lineRule="auto"/>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7.2.1. 中标人确定之后，采购人根据评标报告，向采购代理机构提供定标函。采购代理机构发布结果公告的同时向中标人发放中标通知书。</w:t>
      </w:r>
    </w:p>
    <w:p w14:paraId="150DA327">
      <w:pPr>
        <w:shd w:val="clear"/>
        <w:snapToGrid w:val="0"/>
        <w:spacing w:line="360" w:lineRule="auto"/>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7.2.2.中标通知书对采购人和中标人具有同等法律效力。中标通知书发出之后，采购人改变中标结果，或者中标人放弃中标，均应当承担相应的法律责任。</w:t>
      </w:r>
    </w:p>
    <w:p w14:paraId="7D1196BE">
      <w:pPr>
        <w:shd w:val="clear"/>
        <w:snapToGrid w:val="0"/>
        <w:spacing w:line="360" w:lineRule="auto"/>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7.2.3.采购代理机构不做未中标原因的解释。</w:t>
      </w:r>
    </w:p>
    <w:p w14:paraId="6E0CA102">
      <w:pPr>
        <w:shd w:val="clear"/>
        <w:snapToGrid w:val="0"/>
        <w:spacing w:line="360" w:lineRule="auto"/>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7.2.4.中标通知书将是合同的一个组成部分。</w:t>
      </w:r>
    </w:p>
    <w:p w14:paraId="191EF2D1">
      <w:pPr>
        <w:shd w:val="clear"/>
        <w:snapToGrid w:val="0"/>
        <w:spacing w:line="360" w:lineRule="auto"/>
        <w:ind w:firstLine="211" w:firstLineChars="1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7.3.签订合同</w:t>
      </w:r>
    </w:p>
    <w:p w14:paraId="60BDE50A">
      <w:pPr>
        <w:shd w:val="clear"/>
        <w:snapToGrid w:val="0"/>
        <w:spacing w:line="360" w:lineRule="auto"/>
        <w:ind w:firstLine="411" w:firstLineChars="196"/>
        <w:rPr>
          <w:rFonts w:hint="eastAsia" w:ascii="仿宋" w:hAnsi="仿宋" w:eastAsia="仿宋" w:cs="仿宋"/>
          <w:color w:val="auto"/>
          <w:szCs w:val="21"/>
          <w:highlight w:val="none"/>
        </w:rPr>
      </w:pPr>
      <w:r>
        <w:rPr>
          <w:rFonts w:hint="eastAsia" w:ascii="仿宋" w:hAnsi="仿宋" w:eastAsia="仿宋" w:cs="仿宋"/>
          <w:color w:val="auto"/>
          <w:szCs w:val="21"/>
          <w:highlight w:val="none"/>
        </w:rPr>
        <w:t>7.3.1.中标人应依据中标通知书与采购人在法定期限内签订采购合同；如未能按时签订合同，采购人有权选择其它单位。</w:t>
      </w:r>
    </w:p>
    <w:p w14:paraId="08947AF7">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7.3.2.招标文件、中标人的投标文件及评标过程中有关的澄清文件均作为合同附件。</w:t>
      </w:r>
    </w:p>
    <w:p w14:paraId="79838087">
      <w:pPr>
        <w:shd w:val="clear"/>
        <w:snapToGrid w:val="0"/>
        <w:spacing w:line="360" w:lineRule="auto"/>
        <w:ind w:firstLine="211" w:firstLineChars="1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7.4.</w:t>
      </w:r>
      <w:bookmarkStart w:id="288" w:name="_Toc322606648"/>
      <w:r>
        <w:rPr>
          <w:rFonts w:hint="eastAsia" w:ascii="仿宋" w:hAnsi="仿宋" w:eastAsia="仿宋" w:cs="仿宋"/>
          <w:b/>
          <w:bCs/>
          <w:color w:val="auto"/>
          <w:szCs w:val="21"/>
          <w:highlight w:val="none"/>
        </w:rPr>
        <w:t>合同履行</w:t>
      </w:r>
      <w:bookmarkEnd w:id="288"/>
    </w:p>
    <w:p w14:paraId="20E7CB63">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7.4.1.政府采购合同的履行、违约责任和解决争议的方法等适用《中华人民共和国民法典》。</w:t>
      </w:r>
    </w:p>
    <w:p w14:paraId="1A8E4314">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7.4.2.</w:t>
      </w:r>
      <w:r>
        <w:rPr>
          <w:rFonts w:hint="eastAsia" w:ascii="仿宋" w:hAnsi="仿宋" w:eastAsia="仿宋" w:cs="仿宋"/>
          <w:color w:val="auto"/>
          <w:szCs w:val="21"/>
          <w:highlight w:val="none"/>
          <w:lang w:eastAsia="zh-TW"/>
        </w:rPr>
        <w:t>政府采购合同订立后，合同各方不得擅自变更</w:t>
      </w:r>
      <w:r>
        <w:rPr>
          <w:rFonts w:hint="eastAsia" w:ascii="仿宋" w:hAnsi="仿宋" w:eastAsia="仿宋" w:cs="仿宋"/>
          <w:color w:val="auto"/>
          <w:szCs w:val="21"/>
          <w:highlight w:val="none"/>
        </w:rPr>
        <w:t>或者</w:t>
      </w:r>
      <w:r>
        <w:rPr>
          <w:rFonts w:hint="eastAsia" w:ascii="仿宋" w:hAnsi="仿宋" w:eastAsia="仿宋" w:cs="仿宋"/>
          <w:color w:val="auto"/>
          <w:szCs w:val="21"/>
          <w:highlight w:val="none"/>
          <w:lang w:eastAsia="zh-TW"/>
        </w:rPr>
        <w:t>中止或者终止合同。政府采购合同需要变更的，采购人应将有关合同变更内容，以书面形式报政府采购监督管理</w:t>
      </w:r>
      <w:r>
        <w:rPr>
          <w:rFonts w:hint="eastAsia" w:ascii="仿宋" w:hAnsi="仿宋" w:eastAsia="仿宋" w:cs="仿宋"/>
          <w:color w:val="auto"/>
          <w:szCs w:val="21"/>
          <w:highlight w:val="none"/>
        </w:rPr>
        <w:t>部门</w:t>
      </w:r>
      <w:r>
        <w:rPr>
          <w:rFonts w:hint="eastAsia" w:ascii="仿宋" w:hAnsi="仿宋" w:eastAsia="仿宋" w:cs="仿宋"/>
          <w:color w:val="auto"/>
          <w:szCs w:val="21"/>
          <w:highlight w:val="none"/>
          <w:lang w:eastAsia="zh-TW"/>
        </w:rPr>
        <w:t>备案；因特殊情况需要中止或终止合同的，采购人应将中止或终止合同的理由以及相应措施，以书面形式报政府采购监督管理</w:t>
      </w:r>
      <w:r>
        <w:rPr>
          <w:rFonts w:hint="eastAsia" w:ascii="仿宋" w:hAnsi="仿宋" w:eastAsia="仿宋" w:cs="仿宋"/>
          <w:color w:val="auto"/>
          <w:szCs w:val="21"/>
          <w:highlight w:val="none"/>
        </w:rPr>
        <w:t>部门</w:t>
      </w:r>
      <w:r>
        <w:rPr>
          <w:rFonts w:hint="eastAsia" w:ascii="仿宋" w:hAnsi="仿宋" w:eastAsia="仿宋" w:cs="仿宋"/>
          <w:color w:val="auto"/>
          <w:szCs w:val="21"/>
          <w:highlight w:val="none"/>
          <w:lang w:eastAsia="zh-TW"/>
        </w:rPr>
        <w:t>备案。</w:t>
      </w:r>
    </w:p>
    <w:p w14:paraId="72BDD5DF">
      <w:pPr>
        <w:shd w:val="clea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7.4.3.</w:t>
      </w:r>
      <w:r>
        <w:rPr>
          <w:rFonts w:hint="eastAsia" w:ascii="仿宋" w:hAnsi="仿宋" w:eastAsia="仿宋" w:cs="仿宋"/>
          <w:color w:val="auto"/>
          <w:szCs w:val="21"/>
          <w:highlight w:val="none"/>
          <w:lang w:eastAsia="zh-TW"/>
        </w:rPr>
        <w:t>政府采购合同履行中，采购人需追加与合同标的相同的货物的，在不改变合同其他条款的前提下，可以与</w:t>
      </w:r>
      <w:r>
        <w:rPr>
          <w:rFonts w:hint="eastAsia" w:ascii="仿宋" w:hAnsi="仿宋" w:eastAsia="仿宋" w:cs="仿宋"/>
          <w:color w:val="auto"/>
          <w:szCs w:val="21"/>
          <w:highlight w:val="none"/>
        </w:rPr>
        <w:t>中标人</w:t>
      </w:r>
      <w:r>
        <w:rPr>
          <w:rFonts w:hint="eastAsia" w:ascii="仿宋" w:hAnsi="仿宋" w:eastAsia="仿宋" w:cs="仿宋"/>
          <w:color w:val="auto"/>
          <w:szCs w:val="21"/>
          <w:highlight w:val="none"/>
          <w:lang w:eastAsia="zh-TW"/>
        </w:rPr>
        <w:t>签订补充合同，但所补充合同的采购金额不得超过原</w:t>
      </w:r>
      <w:r>
        <w:rPr>
          <w:rFonts w:hint="eastAsia" w:ascii="仿宋" w:hAnsi="仿宋" w:eastAsia="仿宋" w:cs="仿宋"/>
          <w:color w:val="auto"/>
          <w:szCs w:val="21"/>
          <w:highlight w:val="none"/>
        </w:rPr>
        <w:t>合同</w:t>
      </w:r>
      <w:r>
        <w:rPr>
          <w:rFonts w:hint="eastAsia" w:ascii="仿宋" w:hAnsi="仿宋" w:eastAsia="仿宋" w:cs="仿宋"/>
          <w:color w:val="auto"/>
          <w:szCs w:val="21"/>
          <w:highlight w:val="none"/>
          <w:lang w:eastAsia="zh-TW"/>
        </w:rPr>
        <w:t>采购金额的百分之十。签订补充合同的</w:t>
      </w:r>
      <w:r>
        <w:rPr>
          <w:rFonts w:hint="eastAsia" w:ascii="仿宋" w:hAnsi="仿宋" w:eastAsia="仿宋" w:cs="仿宋"/>
          <w:color w:val="auto"/>
          <w:szCs w:val="21"/>
          <w:highlight w:val="none"/>
        </w:rPr>
        <w:t>应</w:t>
      </w:r>
      <w:r>
        <w:rPr>
          <w:rFonts w:hint="eastAsia" w:ascii="仿宋" w:hAnsi="仿宋" w:eastAsia="仿宋" w:cs="仿宋"/>
          <w:color w:val="auto"/>
          <w:szCs w:val="21"/>
          <w:highlight w:val="none"/>
          <w:lang w:eastAsia="zh-TW"/>
        </w:rPr>
        <w:t>按规定备案。</w:t>
      </w:r>
    </w:p>
    <w:p w14:paraId="15A17AC6">
      <w:pPr>
        <w:pStyle w:val="2"/>
        <w:shd w:val="clear"/>
        <w:spacing w:line="360" w:lineRule="auto"/>
        <w:jc w:val="both"/>
        <w:outlineLvl w:val="1"/>
        <w:rPr>
          <w:rFonts w:hint="eastAsia" w:ascii="仿宋" w:hAnsi="仿宋" w:eastAsia="仿宋" w:cs="仿宋"/>
          <w:b/>
          <w:bCs/>
          <w:color w:val="auto"/>
          <w:kern w:val="0"/>
          <w:sz w:val="24"/>
          <w:szCs w:val="24"/>
          <w:highlight w:val="none"/>
        </w:rPr>
      </w:pPr>
      <w:bookmarkStart w:id="289" w:name="_Toc30510"/>
      <w:bookmarkStart w:id="290" w:name="_Toc23848"/>
      <w:r>
        <w:rPr>
          <w:rFonts w:hint="eastAsia" w:ascii="仿宋" w:hAnsi="仿宋" w:eastAsia="仿宋" w:cs="仿宋"/>
          <w:b/>
          <w:bCs/>
          <w:color w:val="auto"/>
          <w:kern w:val="0"/>
          <w:sz w:val="24"/>
          <w:szCs w:val="24"/>
          <w:highlight w:val="none"/>
        </w:rPr>
        <w:t>八、转包与分包</w:t>
      </w:r>
      <w:bookmarkEnd w:id="289"/>
      <w:bookmarkEnd w:id="290"/>
    </w:p>
    <w:p w14:paraId="3FBAE02B">
      <w:pPr>
        <w:pStyle w:val="2"/>
        <w:shd w:val="clear"/>
        <w:spacing w:line="360" w:lineRule="auto"/>
        <w:ind w:firstLine="210" w:firstLineChars="1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8.1. 本项目严禁采取转包方式履行合同。本项项目所称转包，是指中标人将政府采购合同业务转让给第三人，并退出现有政府采购合同当事人双方权利业务关系，受让人（即第三人）成为政府采购合同的另一方当事人的行为。</w:t>
      </w:r>
    </w:p>
    <w:p w14:paraId="2F06C3AF">
      <w:pPr>
        <w:pStyle w:val="2"/>
        <w:shd w:val="clear"/>
        <w:spacing w:line="360" w:lineRule="auto"/>
        <w:ind w:firstLine="420" w:firstLineChars="2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中标人转包的，视同拒绝履行政府采购合同业务，将依法追究法律责任。</w:t>
      </w:r>
    </w:p>
    <w:p w14:paraId="60FFBD5A">
      <w:pPr>
        <w:pStyle w:val="2"/>
        <w:shd w:val="clear"/>
        <w:spacing w:line="360" w:lineRule="auto"/>
        <w:ind w:firstLine="210" w:firstLineChars="100"/>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8.2.本项目经采购人同意，可以将中标段目的部分非主体、非关键性工作分包给他人完成，本项目“主体和关键性工作”是指：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（根据项目具体情况确定）。</w:t>
      </w:r>
    </w:p>
    <w:p w14:paraId="13BD8273">
      <w:pPr>
        <w:pStyle w:val="2"/>
        <w:shd w:val="clear"/>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rPr>
        <w:t>接受分包的</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应当具备相应的资格条件，并不得再次分包。采购合同实行分包履行的，中标人就采购项目和分包项目向采购人负责，分包</w:t>
      </w:r>
      <w:r>
        <w:rPr>
          <w:rFonts w:hint="eastAsia" w:ascii="仿宋" w:hAnsi="仿宋" w:eastAsia="仿宋" w:cs="仿宋"/>
          <w:color w:val="auto"/>
          <w:szCs w:val="21"/>
          <w:highlight w:val="none"/>
          <w:lang w:eastAsia="zh-CN"/>
        </w:rPr>
        <w:t>投标人</w:t>
      </w:r>
      <w:r>
        <w:rPr>
          <w:rFonts w:hint="eastAsia" w:ascii="仿宋" w:hAnsi="仿宋" w:eastAsia="仿宋" w:cs="仿宋"/>
          <w:color w:val="auto"/>
          <w:szCs w:val="21"/>
          <w:highlight w:val="none"/>
        </w:rPr>
        <w:t>就分包项目承担责任。</w:t>
      </w:r>
    </w:p>
    <w:p w14:paraId="0BE52216">
      <w:pPr>
        <w:pStyle w:val="2"/>
        <w:shd w:val="clear"/>
        <w:spacing w:line="360" w:lineRule="auto"/>
        <w:jc w:val="both"/>
        <w:outlineLvl w:val="1"/>
        <w:rPr>
          <w:rFonts w:hint="eastAsia" w:ascii="仿宋" w:hAnsi="仿宋" w:eastAsia="仿宋" w:cs="仿宋"/>
          <w:b/>
          <w:bCs/>
          <w:color w:val="auto"/>
          <w:kern w:val="0"/>
          <w:sz w:val="24"/>
          <w:szCs w:val="24"/>
          <w:highlight w:val="none"/>
        </w:rPr>
      </w:pPr>
      <w:bookmarkStart w:id="291" w:name="_Toc25720"/>
      <w:bookmarkStart w:id="292" w:name="_Toc18978"/>
      <w:r>
        <w:rPr>
          <w:rFonts w:hint="eastAsia" w:ascii="仿宋" w:hAnsi="仿宋" w:eastAsia="仿宋" w:cs="仿宋"/>
          <w:b/>
          <w:bCs/>
          <w:color w:val="auto"/>
          <w:kern w:val="0"/>
          <w:sz w:val="24"/>
          <w:szCs w:val="24"/>
          <w:highlight w:val="none"/>
        </w:rPr>
        <w:t>九、质疑与投诉</w:t>
      </w:r>
      <w:bookmarkEnd w:id="291"/>
      <w:bookmarkEnd w:id="292"/>
    </w:p>
    <w:p w14:paraId="33531D15">
      <w:pPr>
        <w:shd w:val="clear"/>
        <w:tabs>
          <w:tab w:val="left" w:pos="1155"/>
        </w:tabs>
        <w:snapToGrid w:val="0"/>
        <w:spacing w:line="360" w:lineRule="auto"/>
        <w:ind w:firstLine="211" w:firstLineChars="1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9.1.关于质疑的提出与答复：</w:t>
      </w:r>
    </w:p>
    <w:p w14:paraId="062BD39D">
      <w:pPr>
        <w:shd w:val="clear"/>
        <w:tabs>
          <w:tab w:val="left" w:pos="1155"/>
        </w:tabs>
        <w:snapToGrid w:val="0"/>
        <w:spacing w:line="360" w:lineRule="auto"/>
        <w:ind w:firstLine="630" w:firstLineChars="3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9.1.1.投标人质疑与投诉应当实名署名，其质疑与投诉应当有明确的请求和必要的证明材料。投标人可以委托代理人进行质疑与投诉。代理人应当提交授权委托书，授权委托书应当载明委托代理的具体权限、期限和相关事项。本项目接收质疑函法定信息：</w:t>
      </w:r>
    </w:p>
    <w:p w14:paraId="333F3C5C">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right="0" w:firstLine="502" w:firstLineChars="238"/>
        <w:jc w:val="both"/>
        <w:textAlignment w:val="auto"/>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kern w:val="2"/>
          <w:sz w:val="21"/>
          <w:szCs w:val="21"/>
          <w:highlight w:val="none"/>
          <w:lang w:val="en-US" w:eastAsia="zh-CN" w:bidi="ar-SA"/>
        </w:rPr>
        <w:t xml:space="preserve">联系人：郑艳、夏丽敏               联系电话：0916-8116996 </w:t>
      </w:r>
    </w:p>
    <w:p w14:paraId="1563324C">
      <w:pPr>
        <w:shd w:val="clear"/>
        <w:tabs>
          <w:tab w:val="left" w:pos="1155"/>
        </w:tabs>
        <w:snapToGrid w:val="0"/>
        <w:spacing w:line="360" w:lineRule="auto"/>
        <w:ind w:firstLine="422" w:firstLineChars="200"/>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rPr>
        <w:t>通讯地址：</w:t>
      </w:r>
      <w:r>
        <w:rPr>
          <w:rFonts w:hint="eastAsia" w:ascii="仿宋" w:hAnsi="仿宋" w:eastAsia="仿宋" w:cs="仿宋"/>
          <w:b/>
          <w:color w:val="auto"/>
          <w:szCs w:val="21"/>
          <w:highlight w:val="none"/>
          <w:lang w:eastAsia="zh-CN"/>
        </w:rPr>
        <w:t>汉中市汉台区西一环路蓝天御苑小区商铺二层门面房北侧</w:t>
      </w:r>
    </w:p>
    <w:p w14:paraId="096237FE">
      <w:pPr>
        <w:shd w:val="clear"/>
        <w:tabs>
          <w:tab w:val="left" w:pos="1155"/>
        </w:tabs>
        <w:snapToGrid w:val="0"/>
        <w:spacing w:line="360" w:lineRule="auto"/>
        <w:ind w:left="0" w:leftChars="0"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9.1.2.投标人提出质疑应当提交质疑函(质疑函格式详见本章附件一)。质疑函应当包括但不限于下列内容：投标人的名称、地址、邮编、联系人及联系电话，质疑项目的名称、编号，质疑事项，事实依据和证明材料，法律依据，提出质疑的日期。质疑函应当署名。投标人为自然人的，应当由本人签字；投标人为法人或者其他组织的，应当由法定代表人或者主要负责人签字盖章并加盖公章。</w:t>
      </w:r>
    </w:p>
    <w:p w14:paraId="691A0AF3">
      <w:pPr>
        <w:shd w:val="clear"/>
        <w:tabs>
          <w:tab w:val="left" w:pos="1155"/>
        </w:tabs>
        <w:snapToGrid w:val="0"/>
        <w:spacing w:line="360" w:lineRule="auto"/>
        <w:ind w:left="0" w:leftChars="0"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9.1.3.出现投标人认为采购文件、采购过程和中标、成交结果使自己的权益受到损害的，可以在知道或者应知其权益受到损害之日起七个工作日内，以书面形式向采购人提出质疑。投标人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针对同一采购程序环节的质疑原则上应当一次性提出）。本项目投标人通过至代理机构现场获取招标文件，以投标人收到招标文件之日为起点计算法定质疑期。</w:t>
      </w:r>
    </w:p>
    <w:p w14:paraId="56137C97">
      <w:pPr>
        <w:shd w:val="clear"/>
        <w:tabs>
          <w:tab w:val="left" w:pos="1155"/>
        </w:tabs>
        <w:snapToGrid w:val="0"/>
        <w:spacing w:line="360" w:lineRule="auto"/>
        <w:ind w:left="0" w:leftChars="0"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9.1.4.采购人、采购代理机构认为投标人质疑不成立的，继续开展采购活动；认为质疑成立的，按照以下情况处理：对采购文件提出的质疑未对采购结果构成影响的，继续开展采购活动；对采购结果构成影响但依法通过澄清或者修改可以继续开展采购活动的，澄清或者修改采购文件后继续开展采购活动，否则应当修改采购文件后重新开展采购活动；对采购过程、采购结果提出的质疑未对采购结果构成影响的，继续开展采购活动；对采购结果构成影响但合格投标人仍不少于3家时，可以从合格的中标或者成交候选人中另行确定中标、成交投标人的，应当依法另行确定中标、成交投标人，否则应当重新开展采购活动。质疑答复导致中标、成交结果改变的，采购人或者采购代理机构应当将有关情况书面报告本级财政部门。</w:t>
      </w:r>
    </w:p>
    <w:p w14:paraId="41B9DD9A">
      <w:pPr>
        <w:shd w:val="clear"/>
        <w:tabs>
          <w:tab w:val="left" w:pos="1155"/>
        </w:tabs>
        <w:snapToGrid w:val="0"/>
        <w:spacing w:line="360" w:lineRule="auto"/>
        <w:ind w:left="0" w:leftChars="0"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9.1.5.出现投标人认为采购文件、采购过程、中标和成交结果使自己的合法权益受到损害的，应当首先依法向采购人、采购代理机构提出质疑。对采购人、采购代理机构的质疑答复不满意，或者采购人、采购代理机构未在规定期限内作出答复的，投标人可以在答复期满后15个工作日内向同级财政部门提起投诉。</w:t>
      </w:r>
    </w:p>
    <w:p w14:paraId="4C08484C">
      <w:pPr>
        <w:shd w:val="clear"/>
        <w:tabs>
          <w:tab w:val="left" w:pos="1155"/>
        </w:tabs>
        <w:snapToGrid w:val="0"/>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9.2.投诉提出</w:t>
      </w:r>
    </w:p>
    <w:p w14:paraId="59914A4B">
      <w:pPr>
        <w:shd w:val="clear"/>
        <w:tabs>
          <w:tab w:val="left" w:pos="1155"/>
        </w:tabs>
        <w:snapToGrid w:val="0"/>
        <w:spacing w:line="360" w:lineRule="auto"/>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9.2.1.质疑投标人对采购人、采购代理机构的答复不满意，或者采购人、采购代理机构未在规定时间内作出答复的，可以在答复期满后15个工作日内向同级财政部门提起投诉。</w:t>
      </w:r>
    </w:p>
    <w:p w14:paraId="7A9EDC64">
      <w:pPr>
        <w:shd w:val="clear"/>
        <w:tabs>
          <w:tab w:val="left" w:pos="1155"/>
        </w:tabs>
        <w:snapToGrid w:val="0"/>
        <w:spacing w:line="360" w:lineRule="auto"/>
        <w:ind w:firstLine="420" w:firstLineChars="200"/>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9.2.2.投诉人投诉时,应当提交投诉书(投诉书格式详见本章附件二)，并按照被投诉采购人、采购代理机构（以下简称被投诉人）和与投诉事项有关的投标人数量提供投诉书的副本。投诉书应当包括但不限于下列内容：投诉人和被投诉人的名称、地址、联系人和联系电话；质疑和质疑答复情况及相关证明材料；具体、明确的投诉事项和投诉请求；必要的事实依据和法律依据；提起投诉的日期。投诉书应当署名。投诉人为自然人的，应当由本人签字；投诉人为法人或者其他组织的，应当由法定代表人或者主要负责人签字盖章并加盖公章。</w:t>
      </w:r>
    </w:p>
    <w:p w14:paraId="303141A2">
      <w:pPr>
        <w:shd w:val="clear"/>
        <w:tabs>
          <w:tab w:val="left" w:pos="1155"/>
        </w:tabs>
        <w:snapToGrid w:val="0"/>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9.3、法律责任</w:t>
      </w:r>
    </w:p>
    <w:p w14:paraId="6109578E">
      <w:pPr>
        <w:shd w:val="clear"/>
        <w:tabs>
          <w:tab w:val="left" w:pos="1155"/>
        </w:tabs>
        <w:snapToGrid w:val="0"/>
        <w:spacing w:line="360" w:lineRule="auto"/>
        <w:ind w:firstLine="48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9.3.1.投诉人有下列行为之一的，属于虚假、恶意投诉，由财政部门列入不良行为记录名单，禁止其1至3年内参加政府采购活动：捏造事实；提供虚假材料；以非法手段取得证明材料或者无法提供证据的合法来源；法律法规规定的其他违法情形。</w:t>
      </w:r>
    </w:p>
    <w:p w14:paraId="1C92F52A">
      <w:pPr>
        <w:shd w:val="clear"/>
        <w:tabs>
          <w:tab w:val="left" w:pos="1155"/>
        </w:tabs>
        <w:snapToGrid w:val="0"/>
        <w:spacing w:line="36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9.4、其他说明</w:t>
      </w:r>
    </w:p>
    <w:p w14:paraId="195DBF5C">
      <w:pPr>
        <w:shd w:val="clear"/>
        <w:tabs>
          <w:tab w:val="left" w:pos="1155"/>
        </w:tabs>
        <w:snapToGrid w:val="0"/>
        <w:spacing w:line="360" w:lineRule="auto"/>
        <w:ind w:firstLine="48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9.4.1.财政部门处理投诉不得向投诉人和被投诉人收取任何费用。但因处理投诉发生的第三方检验、检测、鉴定等费用，由提出申请的投标人先行垫付。在投诉处理决定明确双方责任后，按照“谁过错谁负担”的原则由承担责任的一方负担；双方都有责任的，各负担百分之五十。</w:t>
      </w:r>
    </w:p>
    <w:p w14:paraId="6239ACBA">
      <w:pPr>
        <w:shd w:val="clear"/>
        <w:tabs>
          <w:tab w:val="left" w:pos="1155"/>
        </w:tabs>
        <w:snapToGrid w:val="0"/>
        <w:spacing w:line="360" w:lineRule="auto"/>
        <w:ind w:firstLine="48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9.4.2.本办法规定的期间以时、日、月、年计算。期间开始的时和日，不计算在期间内。期间届满的最后一日是节假日的，以节假日后的第一日为期间届满的日期。期间不包括在途时间，质疑与投诉文书在期满前交邮的，不算超期。</w:t>
      </w:r>
    </w:p>
    <w:p w14:paraId="67781D80">
      <w:pPr>
        <w:pStyle w:val="3"/>
        <w:widowControl/>
        <w:shd w:val="clear"/>
        <w:snapToGrid w:val="0"/>
        <w:spacing w:line="360" w:lineRule="auto"/>
        <w:ind w:left="0" w:leftChars="0" w:firstLine="420" w:firstLineChars="200"/>
        <w:jc w:val="left"/>
        <w:rPr>
          <w:rFonts w:hint="eastAsia" w:ascii="仿宋" w:hAnsi="仿宋" w:eastAsia="仿宋" w:cs="仿宋"/>
          <w:b w:val="0"/>
          <w:color w:val="auto"/>
          <w:sz w:val="21"/>
          <w:szCs w:val="21"/>
          <w:highlight w:val="none"/>
        </w:rPr>
      </w:pPr>
      <w:bookmarkStart w:id="293" w:name="_Toc13717"/>
      <w:bookmarkStart w:id="294" w:name="_Toc14209"/>
      <w:bookmarkStart w:id="295" w:name="_Toc21158"/>
      <w:bookmarkStart w:id="296" w:name="_Toc10965"/>
      <w:bookmarkStart w:id="297" w:name="_Toc16957"/>
      <w:bookmarkStart w:id="298" w:name="_Toc28473"/>
      <w:bookmarkStart w:id="299" w:name="_Toc2410"/>
      <w:bookmarkStart w:id="300" w:name="_Toc3897"/>
      <w:bookmarkStart w:id="301" w:name="_Toc5287"/>
      <w:bookmarkStart w:id="302" w:name="_Toc16148"/>
      <w:bookmarkStart w:id="303" w:name="_Toc7240"/>
      <w:bookmarkStart w:id="304" w:name="_Toc15977"/>
      <w:bookmarkStart w:id="305" w:name="_Toc14987"/>
      <w:bookmarkStart w:id="306" w:name="_Toc21260"/>
      <w:bookmarkStart w:id="307" w:name="_Toc29096"/>
      <w:r>
        <w:rPr>
          <w:rFonts w:hint="eastAsia" w:ascii="仿宋" w:hAnsi="仿宋" w:eastAsia="仿宋" w:cs="仿宋"/>
          <w:b w:val="0"/>
          <w:color w:val="auto"/>
          <w:sz w:val="21"/>
          <w:szCs w:val="21"/>
          <w:highlight w:val="none"/>
        </w:rPr>
        <w:t>9.4.3.质疑与投诉事宜依据《中华人民共和国政府采购法》、《政府采购法实施条例（国务院第658号令）》、《中华人民共和国财政部令第94号--政府采购质疑和投诉办法》及《陕财办采资（2016）53号》规定执行。</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256C1180">
      <w:pPr>
        <w:outlineLvl w:val="1"/>
        <w:rPr>
          <w:rFonts w:hint="eastAsia" w:ascii="仿宋" w:hAnsi="仿宋" w:eastAsia="仿宋" w:cs="仿宋"/>
          <w:b/>
          <w:bCs/>
          <w:color w:val="auto"/>
          <w:kern w:val="0"/>
          <w:sz w:val="24"/>
          <w:szCs w:val="24"/>
          <w:highlight w:val="none"/>
          <w:lang w:val="en-US" w:eastAsia="zh-CN" w:bidi="ar-SA"/>
        </w:rPr>
      </w:pPr>
      <w:bookmarkStart w:id="308" w:name="_Toc11584"/>
    </w:p>
    <w:p w14:paraId="22D4558E">
      <w:pPr>
        <w:outlineLvl w:val="1"/>
        <w:rPr>
          <w:rFonts w:hint="default"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十、其他</w:t>
      </w:r>
      <w:bookmarkEnd w:id="308"/>
    </w:p>
    <w:p w14:paraId="0CB0FFF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color w:val="auto"/>
          <w:sz w:val="30"/>
          <w:szCs w:val="30"/>
        </w:rPr>
      </w:pPr>
      <w:r>
        <w:rPr>
          <w:rFonts w:hint="eastAsia" w:ascii="仿宋" w:hAnsi="仿宋" w:eastAsia="仿宋" w:cs="仿宋"/>
          <w:b/>
          <w:bCs/>
          <w:color w:val="auto"/>
          <w:kern w:val="0"/>
          <w:sz w:val="24"/>
          <w:szCs w:val="24"/>
          <w:highlight w:val="none"/>
          <w:lang w:val="en-US" w:eastAsia="zh-CN" w:bidi="ar-SA"/>
        </w:rPr>
        <w:t>10.1录音录像</w:t>
      </w:r>
    </w:p>
    <w:p w14:paraId="74704D2C">
      <w:pPr>
        <w:spacing w:line="360" w:lineRule="auto"/>
        <w:ind w:firstLine="420" w:firstLineChars="200"/>
        <w:outlineLvl w:val="9"/>
        <w:rPr>
          <w:rFonts w:hint="eastAsia" w:ascii="仿宋" w:hAnsi="仿宋" w:eastAsia="仿宋" w:cs="仿宋"/>
          <w:color w:val="auto"/>
          <w:szCs w:val="21"/>
        </w:rPr>
      </w:pPr>
      <w:r>
        <w:rPr>
          <w:rFonts w:hint="eastAsia" w:ascii="仿宋" w:hAnsi="仿宋" w:eastAsia="仿宋" w:cs="仿宋"/>
          <w:color w:val="auto"/>
          <w:szCs w:val="21"/>
        </w:rPr>
        <w:t>采购代理机构对开启</w:t>
      </w:r>
      <w:r>
        <w:rPr>
          <w:rFonts w:hint="eastAsia" w:ascii="仿宋" w:hAnsi="仿宋" w:eastAsia="仿宋" w:cs="仿宋"/>
          <w:color w:val="auto"/>
          <w:szCs w:val="21"/>
          <w:lang w:val="en-US" w:eastAsia="zh-CN"/>
        </w:rPr>
        <w:t>投标</w:t>
      </w:r>
      <w:r>
        <w:rPr>
          <w:rFonts w:hint="eastAsia" w:ascii="仿宋" w:hAnsi="仿宋" w:eastAsia="仿宋" w:cs="仿宋"/>
          <w:color w:val="auto"/>
          <w:szCs w:val="21"/>
        </w:rPr>
        <w:t>文件、</w:t>
      </w:r>
      <w:r>
        <w:rPr>
          <w:rFonts w:hint="eastAsia" w:ascii="仿宋" w:hAnsi="仿宋" w:eastAsia="仿宋" w:cs="仿宋"/>
          <w:color w:val="auto"/>
          <w:szCs w:val="21"/>
          <w:lang w:val="en-US" w:eastAsia="zh-CN"/>
        </w:rPr>
        <w:t>评标</w:t>
      </w:r>
      <w:r>
        <w:rPr>
          <w:rFonts w:hint="eastAsia" w:ascii="仿宋" w:hAnsi="仿宋" w:eastAsia="仿宋" w:cs="仿宋"/>
          <w:color w:val="auto"/>
          <w:szCs w:val="21"/>
        </w:rPr>
        <w:t>过程进行全程录音录像、文字记录，并存档备查。</w:t>
      </w:r>
    </w:p>
    <w:p w14:paraId="67ABAA48">
      <w:pPr>
        <w:pStyle w:val="41"/>
        <w:rPr>
          <w:rFonts w:hint="eastAsia" w:ascii="仿宋" w:hAnsi="仿宋" w:eastAsia="仿宋" w:cs="仿宋"/>
          <w:color w:val="auto"/>
          <w:szCs w:val="21"/>
        </w:rPr>
      </w:pPr>
    </w:p>
    <w:p w14:paraId="435A5B34">
      <w:pPr>
        <w:pStyle w:val="14"/>
        <w:rPr>
          <w:rFonts w:hint="eastAsia" w:ascii="仿宋" w:hAnsi="仿宋" w:eastAsia="仿宋" w:cs="仿宋"/>
          <w:color w:val="auto"/>
          <w:szCs w:val="21"/>
        </w:rPr>
      </w:pPr>
    </w:p>
    <w:p w14:paraId="2C11D4FC">
      <w:pPr>
        <w:rPr>
          <w:rFonts w:hint="eastAsia" w:ascii="仿宋" w:hAnsi="仿宋" w:eastAsia="仿宋" w:cs="仿宋"/>
          <w:color w:val="auto"/>
          <w:szCs w:val="21"/>
        </w:rPr>
      </w:pPr>
    </w:p>
    <w:p w14:paraId="27E3BD41">
      <w:pPr>
        <w:pStyle w:val="41"/>
        <w:rPr>
          <w:rFonts w:hint="eastAsia" w:ascii="仿宋" w:hAnsi="仿宋" w:eastAsia="仿宋" w:cs="仿宋"/>
          <w:color w:val="auto"/>
          <w:szCs w:val="21"/>
        </w:rPr>
      </w:pPr>
    </w:p>
    <w:p w14:paraId="34BFAD8F">
      <w:pPr>
        <w:pStyle w:val="41"/>
        <w:ind w:left="0" w:leftChars="0" w:firstLine="0" w:firstLineChars="0"/>
        <w:jc w:val="both"/>
        <w:rPr>
          <w:rFonts w:hint="eastAsia" w:ascii="仿宋" w:hAnsi="仿宋" w:eastAsia="仿宋" w:cs="仿宋"/>
          <w:color w:val="auto"/>
          <w:szCs w:val="21"/>
        </w:rPr>
      </w:pPr>
    </w:p>
    <w:p w14:paraId="52272800">
      <w:pPr>
        <w:pStyle w:val="14"/>
        <w:rPr>
          <w:rFonts w:hint="eastAsia" w:ascii="仿宋" w:hAnsi="仿宋" w:eastAsia="仿宋" w:cs="仿宋"/>
          <w:color w:val="auto"/>
          <w:szCs w:val="21"/>
        </w:rPr>
      </w:pPr>
    </w:p>
    <w:p w14:paraId="2777845B">
      <w:pPr>
        <w:rPr>
          <w:rFonts w:hint="eastAsia" w:ascii="仿宋" w:hAnsi="仿宋" w:eastAsia="仿宋" w:cs="仿宋"/>
          <w:color w:val="auto"/>
          <w:szCs w:val="21"/>
        </w:rPr>
      </w:pPr>
    </w:p>
    <w:p w14:paraId="60B3297D">
      <w:pPr>
        <w:rPr>
          <w:rFonts w:hint="eastAsia" w:ascii="仿宋" w:hAnsi="仿宋" w:eastAsia="仿宋" w:cs="仿宋"/>
          <w:color w:val="auto"/>
          <w:szCs w:val="21"/>
        </w:rPr>
      </w:pPr>
    </w:p>
    <w:p w14:paraId="6C43501A">
      <w:pPr>
        <w:rPr>
          <w:rFonts w:hint="eastAsia" w:ascii="仿宋" w:hAnsi="仿宋" w:eastAsia="仿宋" w:cs="仿宋"/>
          <w:color w:val="auto"/>
          <w:szCs w:val="21"/>
        </w:rPr>
      </w:pPr>
    </w:p>
    <w:p w14:paraId="725D1473">
      <w:pPr>
        <w:rPr>
          <w:rFonts w:hint="eastAsia" w:ascii="仿宋" w:hAnsi="仿宋" w:eastAsia="仿宋" w:cs="仿宋"/>
          <w:color w:val="auto"/>
          <w:szCs w:val="21"/>
        </w:rPr>
      </w:pPr>
    </w:p>
    <w:p w14:paraId="3111CDF7">
      <w:pPr>
        <w:rPr>
          <w:rFonts w:hint="eastAsia" w:ascii="仿宋" w:hAnsi="仿宋" w:eastAsia="仿宋" w:cs="仿宋"/>
          <w:color w:val="auto"/>
          <w:szCs w:val="21"/>
        </w:rPr>
      </w:pPr>
    </w:p>
    <w:p w14:paraId="4E5CA63E">
      <w:pPr>
        <w:rPr>
          <w:rFonts w:hint="eastAsia" w:ascii="仿宋" w:hAnsi="仿宋" w:eastAsia="仿宋" w:cs="仿宋"/>
          <w:color w:val="auto"/>
          <w:szCs w:val="21"/>
        </w:rPr>
      </w:pPr>
      <w:bookmarkStart w:id="592" w:name="_GoBack"/>
      <w:bookmarkEnd w:id="592"/>
    </w:p>
    <w:p w14:paraId="7DEAE4B5">
      <w:pPr>
        <w:rPr>
          <w:rFonts w:hint="eastAsia" w:ascii="仿宋" w:hAnsi="仿宋" w:eastAsia="仿宋" w:cs="仿宋"/>
          <w:color w:val="auto"/>
          <w:szCs w:val="21"/>
        </w:rPr>
      </w:pPr>
    </w:p>
    <w:p w14:paraId="35356E5B">
      <w:pPr>
        <w:rPr>
          <w:rFonts w:hint="eastAsia" w:ascii="仿宋" w:hAnsi="仿宋" w:eastAsia="仿宋" w:cs="仿宋"/>
          <w:color w:val="auto"/>
          <w:szCs w:val="21"/>
        </w:rPr>
      </w:pPr>
    </w:p>
    <w:p w14:paraId="7BD58A0F">
      <w:pPr>
        <w:rPr>
          <w:rFonts w:hint="eastAsia" w:ascii="仿宋" w:hAnsi="仿宋" w:eastAsia="仿宋" w:cs="仿宋"/>
          <w:color w:val="auto"/>
          <w:szCs w:val="21"/>
        </w:rPr>
      </w:pPr>
    </w:p>
    <w:p w14:paraId="64353A3F">
      <w:pPr>
        <w:rPr>
          <w:rFonts w:hint="eastAsia" w:ascii="仿宋" w:hAnsi="仿宋" w:eastAsia="仿宋" w:cs="仿宋"/>
          <w:color w:val="auto"/>
          <w:szCs w:val="21"/>
        </w:rPr>
      </w:pPr>
    </w:p>
    <w:p w14:paraId="2A87BCB1">
      <w:pPr>
        <w:rPr>
          <w:rFonts w:hint="eastAsia" w:ascii="仿宋" w:hAnsi="仿宋" w:eastAsia="仿宋" w:cs="仿宋"/>
          <w:color w:val="auto"/>
          <w:szCs w:val="21"/>
        </w:rPr>
      </w:pPr>
    </w:p>
    <w:p w14:paraId="7EB365E1">
      <w:pPr>
        <w:rPr>
          <w:rFonts w:hint="eastAsia" w:ascii="仿宋" w:hAnsi="仿宋" w:eastAsia="仿宋" w:cs="仿宋"/>
          <w:color w:val="auto"/>
          <w:szCs w:val="21"/>
        </w:rPr>
      </w:pPr>
    </w:p>
    <w:p w14:paraId="5AF8880B">
      <w:pPr>
        <w:rPr>
          <w:rFonts w:hint="eastAsia" w:ascii="仿宋" w:hAnsi="仿宋" w:eastAsia="仿宋" w:cs="仿宋"/>
          <w:color w:val="auto"/>
          <w:szCs w:val="21"/>
        </w:rPr>
      </w:pPr>
    </w:p>
    <w:p w14:paraId="5F5996D9">
      <w:pPr>
        <w:rPr>
          <w:rFonts w:hint="eastAsia" w:ascii="仿宋" w:hAnsi="仿宋" w:eastAsia="仿宋" w:cs="仿宋"/>
          <w:color w:val="auto"/>
          <w:szCs w:val="21"/>
        </w:rPr>
      </w:pPr>
    </w:p>
    <w:p w14:paraId="2308AB8C">
      <w:pPr>
        <w:rPr>
          <w:rFonts w:hint="eastAsia" w:ascii="仿宋" w:hAnsi="仿宋" w:eastAsia="仿宋" w:cs="仿宋"/>
          <w:color w:val="auto"/>
          <w:szCs w:val="21"/>
        </w:rPr>
      </w:pPr>
    </w:p>
    <w:p w14:paraId="74568370">
      <w:pPr>
        <w:rPr>
          <w:rFonts w:hint="eastAsia" w:ascii="仿宋" w:hAnsi="仿宋" w:eastAsia="仿宋" w:cs="仿宋"/>
          <w:color w:val="auto"/>
          <w:szCs w:val="21"/>
        </w:rPr>
      </w:pPr>
    </w:p>
    <w:p w14:paraId="2EB96E5D">
      <w:pPr>
        <w:rPr>
          <w:rFonts w:hint="eastAsia" w:ascii="仿宋" w:hAnsi="仿宋" w:eastAsia="仿宋" w:cs="仿宋"/>
          <w:color w:val="auto"/>
          <w:szCs w:val="21"/>
        </w:rPr>
      </w:pPr>
    </w:p>
    <w:p w14:paraId="0C3629C4">
      <w:pPr>
        <w:rPr>
          <w:rFonts w:hint="eastAsia" w:ascii="仿宋" w:hAnsi="仿宋" w:eastAsia="仿宋" w:cs="仿宋"/>
          <w:color w:val="auto"/>
          <w:szCs w:val="21"/>
        </w:rPr>
      </w:pPr>
    </w:p>
    <w:p w14:paraId="38144E4F">
      <w:pPr>
        <w:rPr>
          <w:rFonts w:hint="eastAsia" w:ascii="仿宋" w:hAnsi="仿宋" w:eastAsia="仿宋" w:cs="仿宋"/>
          <w:color w:val="auto"/>
          <w:szCs w:val="21"/>
        </w:rPr>
      </w:pPr>
    </w:p>
    <w:p w14:paraId="250CBB37">
      <w:pPr>
        <w:rPr>
          <w:rFonts w:hint="eastAsia" w:ascii="仿宋" w:hAnsi="仿宋" w:eastAsia="仿宋" w:cs="仿宋"/>
          <w:color w:val="auto"/>
          <w:szCs w:val="21"/>
        </w:rPr>
      </w:pPr>
    </w:p>
    <w:p w14:paraId="2EED8504">
      <w:pPr>
        <w:rPr>
          <w:rFonts w:hint="eastAsia" w:ascii="仿宋" w:hAnsi="仿宋" w:eastAsia="仿宋" w:cs="仿宋"/>
          <w:color w:val="auto"/>
          <w:szCs w:val="21"/>
        </w:rPr>
      </w:pPr>
    </w:p>
    <w:p w14:paraId="3F695383">
      <w:pPr>
        <w:rPr>
          <w:rFonts w:hint="eastAsia" w:ascii="仿宋" w:hAnsi="仿宋" w:eastAsia="仿宋" w:cs="仿宋"/>
          <w:color w:val="auto"/>
          <w:szCs w:val="21"/>
        </w:rPr>
      </w:pPr>
    </w:p>
    <w:p w14:paraId="1D9EAA56">
      <w:pPr>
        <w:rPr>
          <w:rFonts w:hint="eastAsia" w:ascii="仿宋" w:hAnsi="仿宋" w:eastAsia="仿宋" w:cs="仿宋"/>
          <w:color w:val="auto"/>
          <w:szCs w:val="21"/>
        </w:rPr>
      </w:pPr>
    </w:p>
    <w:p w14:paraId="5778D88C">
      <w:pPr>
        <w:rPr>
          <w:rFonts w:hint="eastAsia" w:ascii="仿宋" w:hAnsi="仿宋" w:eastAsia="仿宋" w:cs="仿宋"/>
          <w:color w:val="auto"/>
          <w:szCs w:val="21"/>
        </w:rPr>
      </w:pPr>
    </w:p>
    <w:p w14:paraId="7E99CECA">
      <w:pPr>
        <w:rPr>
          <w:rFonts w:hint="eastAsia" w:ascii="仿宋" w:hAnsi="仿宋" w:eastAsia="仿宋" w:cs="仿宋"/>
          <w:color w:val="auto"/>
          <w:szCs w:val="21"/>
        </w:rPr>
      </w:pPr>
    </w:p>
    <w:p w14:paraId="7469A1CD">
      <w:pPr>
        <w:rPr>
          <w:rFonts w:hint="eastAsia" w:ascii="仿宋" w:hAnsi="仿宋" w:eastAsia="仿宋" w:cs="仿宋"/>
          <w:color w:val="auto"/>
          <w:szCs w:val="21"/>
        </w:rPr>
      </w:pPr>
    </w:p>
    <w:p w14:paraId="5E669D72">
      <w:pPr>
        <w:rPr>
          <w:rFonts w:hint="eastAsia" w:ascii="仿宋" w:hAnsi="仿宋" w:eastAsia="仿宋" w:cs="仿宋"/>
          <w:color w:val="auto"/>
          <w:szCs w:val="21"/>
        </w:rPr>
      </w:pPr>
    </w:p>
    <w:p w14:paraId="5AC13814">
      <w:pPr>
        <w:rPr>
          <w:rFonts w:hint="eastAsia" w:ascii="仿宋" w:hAnsi="仿宋" w:eastAsia="仿宋" w:cs="仿宋"/>
          <w:color w:val="auto"/>
          <w:szCs w:val="21"/>
        </w:rPr>
      </w:pPr>
    </w:p>
    <w:p w14:paraId="2E0937A8">
      <w:pPr>
        <w:rPr>
          <w:rFonts w:hint="eastAsia" w:ascii="仿宋" w:hAnsi="仿宋" w:eastAsia="仿宋" w:cs="仿宋"/>
          <w:color w:val="auto"/>
          <w:szCs w:val="21"/>
        </w:rPr>
      </w:pPr>
    </w:p>
    <w:p w14:paraId="68B9E153">
      <w:pPr>
        <w:rPr>
          <w:rFonts w:hint="eastAsia" w:ascii="仿宋" w:hAnsi="仿宋" w:eastAsia="仿宋" w:cs="仿宋"/>
          <w:color w:val="auto"/>
          <w:szCs w:val="21"/>
        </w:rPr>
      </w:pPr>
    </w:p>
    <w:p w14:paraId="459DCC1E">
      <w:pPr>
        <w:rPr>
          <w:rFonts w:hint="eastAsia" w:ascii="仿宋" w:hAnsi="仿宋" w:eastAsia="仿宋" w:cs="仿宋"/>
          <w:color w:val="auto"/>
          <w:szCs w:val="21"/>
        </w:rPr>
      </w:pPr>
    </w:p>
    <w:p w14:paraId="6CB8A827">
      <w:pPr>
        <w:rPr>
          <w:rFonts w:hint="eastAsia" w:ascii="仿宋" w:hAnsi="仿宋" w:eastAsia="仿宋" w:cs="仿宋"/>
          <w:color w:val="auto"/>
          <w:szCs w:val="21"/>
        </w:rPr>
      </w:pPr>
    </w:p>
    <w:p w14:paraId="092F3D11">
      <w:pPr>
        <w:widowControl w:val="0"/>
        <w:tabs>
          <w:tab w:val="left" w:pos="3310"/>
          <w:tab w:val="center" w:pos="4213"/>
        </w:tabs>
        <w:jc w:val="center"/>
        <w:outlineLvl w:val="9"/>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附件一、质疑函范本</w:t>
      </w:r>
    </w:p>
    <w:p w14:paraId="7CB9DA10">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kern w:val="2"/>
          <w:sz w:val="28"/>
          <w:szCs w:val="28"/>
        </w:rPr>
      </w:pPr>
    </w:p>
    <w:p w14:paraId="53DFCB1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kern w:val="2"/>
          <w:sz w:val="24"/>
          <w:szCs w:val="24"/>
        </w:rPr>
      </w:pPr>
      <w:bookmarkStart w:id="309" w:name="_Toc31378"/>
      <w:r>
        <w:rPr>
          <w:rFonts w:hint="eastAsia" w:ascii="仿宋" w:hAnsi="仿宋" w:eastAsia="仿宋" w:cs="仿宋"/>
          <w:bCs/>
          <w:kern w:val="2"/>
          <w:sz w:val="24"/>
          <w:szCs w:val="24"/>
        </w:rPr>
        <w:t>一、质疑</w:t>
      </w:r>
      <w:r>
        <w:rPr>
          <w:rFonts w:hint="eastAsia" w:ascii="仿宋" w:hAnsi="仿宋" w:eastAsia="仿宋" w:cs="仿宋"/>
          <w:bCs/>
          <w:kern w:val="2"/>
          <w:sz w:val="24"/>
          <w:szCs w:val="24"/>
          <w:lang w:val="en-US" w:eastAsia="zh-CN"/>
        </w:rPr>
        <w:t>投标人</w:t>
      </w:r>
      <w:r>
        <w:rPr>
          <w:rFonts w:hint="eastAsia" w:ascii="仿宋" w:hAnsi="仿宋" w:eastAsia="仿宋" w:cs="仿宋"/>
          <w:bCs/>
          <w:kern w:val="2"/>
          <w:sz w:val="24"/>
          <w:szCs w:val="24"/>
        </w:rPr>
        <w:t>基本信息</w:t>
      </w:r>
      <w:bookmarkEnd w:id="309"/>
    </w:p>
    <w:p w14:paraId="39FCE329">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u w:val="dotted"/>
          <w:lang w:val="en-US" w:eastAsia="zh-CN"/>
        </w:rPr>
      </w:pPr>
      <w:r>
        <w:rPr>
          <w:rFonts w:hint="eastAsia" w:ascii="仿宋" w:hAnsi="仿宋" w:eastAsia="仿宋" w:cs="仿宋"/>
          <w:kern w:val="2"/>
          <w:sz w:val="24"/>
          <w:szCs w:val="24"/>
        </w:rPr>
        <w:t>质疑</w:t>
      </w:r>
      <w:r>
        <w:rPr>
          <w:rFonts w:hint="eastAsia" w:ascii="仿宋" w:hAnsi="仿宋" w:eastAsia="仿宋" w:cs="仿宋"/>
          <w:kern w:val="2"/>
          <w:sz w:val="24"/>
          <w:szCs w:val="24"/>
          <w:lang w:val="en-US" w:eastAsia="zh-CN"/>
        </w:rPr>
        <w:t>投标人</w:t>
      </w:r>
      <w:r>
        <w:rPr>
          <w:rFonts w:hint="eastAsia" w:ascii="仿宋" w:hAnsi="仿宋" w:eastAsia="仿宋" w:cs="仿宋"/>
          <w:kern w:val="2"/>
          <w:sz w:val="24"/>
          <w:szCs w:val="24"/>
        </w:rPr>
        <w:t>：</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dotted"/>
          <w:lang w:val="en-US" w:eastAsia="zh-CN"/>
        </w:rPr>
        <w:t xml:space="preserve"> </w:t>
      </w:r>
    </w:p>
    <w:p w14:paraId="65589CA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rPr>
        <w:t>地址：</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邮编：</w:t>
      </w:r>
      <w:r>
        <w:rPr>
          <w:rFonts w:hint="eastAsia" w:ascii="仿宋" w:hAnsi="仿宋" w:eastAsia="仿宋" w:cs="仿宋"/>
          <w:kern w:val="2"/>
          <w:sz w:val="24"/>
          <w:szCs w:val="24"/>
          <w:u w:val="dotted"/>
        </w:rPr>
        <w:t xml:space="preserve">                    </w:t>
      </w:r>
    </w:p>
    <w:p w14:paraId="697EDA28">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联系人：</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联系电话：</w:t>
      </w:r>
      <w:r>
        <w:rPr>
          <w:rFonts w:hint="eastAsia" w:ascii="仿宋" w:hAnsi="仿宋" w:eastAsia="仿宋" w:cs="仿宋"/>
          <w:kern w:val="2"/>
          <w:sz w:val="24"/>
          <w:szCs w:val="24"/>
          <w:u w:val="dotted"/>
        </w:rPr>
        <w:t xml:space="preserve">                 </w:t>
      </w:r>
    </w:p>
    <w:p w14:paraId="3A2D3CA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rPr>
        <w:t>授权代表：</w:t>
      </w:r>
      <w:r>
        <w:rPr>
          <w:rFonts w:hint="eastAsia" w:ascii="仿宋" w:hAnsi="仿宋" w:eastAsia="仿宋" w:cs="仿宋"/>
          <w:kern w:val="2"/>
          <w:sz w:val="24"/>
          <w:szCs w:val="24"/>
          <w:u w:val="dotted"/>
        </w:rPr>
        <w:t xml:space="preserve">                                          </w:t>
      </w:r>
    </w:p>
    <w:p w14:paraId="7154AE3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联系电话：</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 xml:space="preserve"> </w:t>
      </w:r>
    </w:p>
    <w:p w14:paraId="460C74F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rPr>
        <w:t xml:space="preserve">地址： </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邮编：</w:t>
      </w:r>
      <w:r>
        <w:rPr>
          <w:rFonts w:hint="eastAsia" w:ascii="仿宋" w:hAnsi="仿宋" w:eastAsia="仿宋" w:cs="仿宋"/>
          <w:kern w:val="2"/>
          <w:sz w:val="24"/>
          <w:szCs w:val="24"/>
          <w:u w:val="dotted"/>
        </w:rPr>
        <w:t xml:space="preserve">                </w:t>
      </w:r>
      <w:bookmarkStart w:id="310" w:name="_Toc23620"/>
    </w:p>
    <w:p w14:paraId="5F0B491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kern w:val="2"/>
          <w:sz w:val="24"/>
          <w:szCs w:val="24"/>
        </w:rPr>
      </w:pPr>
      <w:r>
        <w:rPr>
          <w:rFonts w:hint="eastAsia" w:ascii="仿宋" w:hAnsi="仿宋" w:eastAsia="仿宋" w:cs="仿宋"/>
          <w:bCs/>
          <w:kern w:val="2"/>
          <w:sz w:val="24"/>
          <w:szCs w:val="24"/>
        </w:rPr>
        <w:t>二、质疑项目基本情况</w:t>
      </w:r>
      <w:bookmarkEnd w:id="310"/>
    </w:p>
    <w:p w14:paraId="7D41C39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质疑项目的名称：</w:t>
      </w:r>
      <w:r>
        <w:rPr>
          <w:rFonts w:hint="eastAsia" w:ascii="仿宋" w:hAnsi="仿宋" w:eastAsia="仿宋" w:cs="仿宋"/>
          <w:kern w:val="2"/>
          <w:sz w:val="24"/>
          <w:szCs w:val="24"/>
          <w:u w:val="dotted"/>
        </w:rPr>
        <w:t xml:space="preserve">                                      </w:t>
      </w:r>
    </w:p>
    <w:p w14:paraId="3B77DB4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质疑项目的编号：</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包号：</w:t>
      </w:r>
      <w:r>
        <w:rPr>
          <w:rFonts w:hint="eastAsia" w:ascii="仿宋" w:hAnsi="仿宋" w:eastAsia="仿宋" w:cs="仿宋"/>
          <w:kern w:val="2"/>
          <w:sz w:val="24"/>
          <w:szCs w:val="24"/>
          <w:u w:val="dotted"/>
        </w:rPr>
        <w:t xml:space="preserve">                 </w:t>
      </w:r>
    </w:p>
    <w:p w14:paraId="15553AA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u w:val="dotted"/>
          <w:lang w:val="en-US" w:eastAsia="zh-CN"/>
        </w:rPr>
      </w:pPr>
      <w:r>
        <w:rPr>
          <w:rFonts w:hint="eastAsia" w:ascii="仿宋" w:hAnsi="仿宋" w:eastAsia="仿宋" w:cs="仿宋"/>
          <w:kern w:val="2"/>
          <w:sz w:val="24"/>
          <w:szCs w:val="24"/>
        </w:rPr>
        <w:t>采购人名称：</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dotted"/>
          <w:lang w:val="en-US" w:eastAsia="zh-CN"/>
        </w:rPr>
        <w:t xml:space="preserve"> </w:t>
      </w:r>
    </w:p>
    <w:p w14:paraId="24F87D43">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采购文件获取日期：</w:t>
      </w:r>
      <w:r>
        <w:rPr>
          <w:rFonts w:hint="eastAsia" w:ascii="仿宋" w:hAnsi="仿宋" w:eastAsia="仿宋" w:cs="仿宋"/>
          <w:kern w:val="2"/>
          <w:sz w:val="24"/>
          <w:szCs w:val="24"/>
          <w:u w:val="dotted"/>
        </w:rPr>
        <w:t xml:space="preserve">                                    </w:t>
      </w:r>
    </w:p>
    <w:p w14:paraId="153E60BD">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kern w:val="2"/>
          <w:sz w:val="24"/>
          <w:szCs w:val="24"/>
        </w:rPr>
      </w:pPr>
      <w:bookmarkStart w:id="311" w:name="_Toc4224"/>
      <w:r>
        <w:rPr>
          <w:rFonts w:hint="eastAsia" w:ascii="仿宋" w:hAnsi="仿宋" w:eastAsia="仿宋" w:cs="仿宋"/>
          <w:bCs/>
          <w:kern w:val="2"/>
          <w:sz w:val="24"/>
          <w:szCs w:val="24"/>
        </w:rPr>
        <w:t>三、质疑事项具体内容</w:t>
      </w:r>
      <w:bookmarkEnd w:id="311"/>
    </w:p>
    <w:p w14:paraId="325580D5">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u w:val="dotted"/>
          <w:lang w:val="en-US" w:eastAsia="zh-CN"/>
        </w:rPr>
      </w:pPr>
      <w:r>
        <w:rPr>
          <w:rFonts w:hint="eastAsia" w:ascii="仿宋" w:hAnsi="仿宋" w:eastAsia="仿宋" w:cs="仿宋"/>
          <w:kern w:val="2"/>
          <w:sz w:val="24"/>
          <w:szCs w:val="24"/>
        </w:rPr>
        <w:t>质疑事项1：</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dotted"/>
          <w:lang w:val="en-US" w:eastAsia="zh-CN"/>
        </w:rPr>
        <w:t xml:space="preserve"> </w:t>
      </w:r>
    </w:p>
    <w:p w14:paraId="3E94EF1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u w:val="dotted"/>
          <w:lang w:val="en-US" w:eastAsia="zh-CN"/>
        </w:rPr>
      </w:pPr>
      <w:r>
        <w:rPr>
          <w:rFonts w:hint="eastAsia" w:ascii="仿宋" w:hAnsi="仿宋" w:eastAsia="仿宋" w:cs="仿宋"/>
          <w:kern w:val="2"/>
          <w:sz w:val="24"/>
          <w:szCs w:val="24"/>
        </w:rPr>
        <w:t>事实依据：</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dotted"/>
          <w:lang w:val="en-US" w:eastAsia="zh-CN"/>
        </w:rPr>
        <w:t xml:space="preserve"> </w:t>
      </w:r>
    </w:p>
    <w:p w14:paraId="3F27C86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u w:val="dotted"/>
          <w:lang w:val="en-US" w:eastAsia="zh-CN"/>
        </w:rPr>
      </w:pPr>
      <w:r>
        <w:rPr>
          <w:rFonts w:hint="eastAsia" w:ascii="仿宋" w:hAnsi="仿宋" w:eastAsia="仿宋" w:cs="仿宋"/>
          <w:kern w:val="2"/>
          <w:sz w:val="24"/>
          <w:szCs w:val="24"/>
        </w:rPr>
        <w:t>法律依据：</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dotted"/>
          <w:lang w:val="en-US" w:eastAsia="zh-CN"/>
        </w:rPr>
        <w:t xml:space="preserve"> </w:t>
      </w:r>
    </w:p>
    <w:p w14:paraId="5D4FD8B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rPr>
        <w:t>质疑事项2</w:t>
      </w:r>
    </w:p>
    <w:p w14:paraId="7481ECD1">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w:t>
      </w:r>
    </w:p>
    <w:p w14:paraId="66400C57">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bCs/>
          <w:kern w:val="2"/>
          <w:sz w:val="24"/>
          <w:szCs w:val="24"/>
        </w:rPr>
      </w:pPr>
      <w:bookmarkStart w:id="312" w:name="_Toc26949"/>
      <w:r>
        <w:rPr>
          <w:rFonts w:hint="eastAsia" w:ascii="仿宋" w:hAnsi="仿宋" w:eastAsia="仿宋" w:cs="仿宋"/>
          <w:bCs/>
          <w:kern w:val="2"/>
          <w:sz w:val="24"/>
          <w:szCs w:val="24"/>
        </w:rPr>
        <w:t>四、与质疑事项相关的质疑请求</w:t>
      </w:r>
      <w:bookmarkEnd w:id="312"/>
    </w:p>
    <w:p w14:paraId="2E7C9CAE">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rPr>
        <w:t>请求：</w:t>
      </w:r>
      <w:r>
        <w:rPr>
          <w:rFonts w:hint="eastAsia" w:ascii="仿宋" w:hAnsi="仿宋" w:eastAsia="仿宋" w:cs="仿宋"/>
          <w:kern w:val="2"/>
          <w:sz w:val="24"/>
          <w:szCs w:val="24"/>
          <w:u w:val="dotted"/>
        </w:rPr>
        <w:t xml:space="preserve">                                               </w:t>
      </w:r>
    </w:p>
    <w:p w14:paraId="0A84239C">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kern w:val="2"/>
          <w:sz w:val="24"/>
          <w:szCs w:val="24"/>
        </w:rPr>
      </w:pPr>
    </w:p>
    <w:p w14:paraId="5AD9D26A">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 xml:space="preserve">签字(签章)：                   公章：                      </w:t>
      </w:r>
    </w:p>
    <w:p w14:paraId="33E79349">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 xml:space="preserve">日期：    </w:t>
      </w:r>
    </w:p>
    <w:p w14:paraId="3D33D286">
      <w:pPr>
        <w:outlineLvl w:val="9"/>
        <w:rPr>
          <w:rFonts w:hint="eastAsia" w:ascii="仿宋" w:hAnsi="仿宋" w:eastAsia="仿宋" w:cs="仿宋"/>
          <w:b/>
          <w:color w:val="auto"/>
          <w:sz w:val="21"/>
          <w:szCs w:val="21"/>
        </w:rPr>
      </w:pPr>
      <w:r>
        <w:rPr>
          <w:rFonts w:hint="eastAsia" w:ascii="仿宋" w:hAnsi="仿宋" w:eastAsia="仿宋" w:cs="仿宋"/>
          <w:b/>
          <w:color w:val="auto"/>
          <w:sz w:val="21"/>
          <w:szCs w:val="21"/>
        </w:rPr>
        <w:br w:type="page"/>
      </w:r>
    </w:p>
    <w:p w14:paraId="185B8522">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b/>
          <w:kern w:val="2"/>
          <w:sz w:val="24"/>
          <w:szCs w:val="24"/>
        </w:rPr>
      </w:pPr>
      <w:r>
        <w:rPr>
          <w:rFonts w:hint="eastAsia" w:ascii="仿宋" w:hAnsi="仿宋" w:eastAsia="仿宋" w:cs="仿宋"/>
          <w:b/>
          <w:kern w:val="2"/>
          <w:sz w:val="24"/>
          <w:szCs w:val="24"/>
        </w:rPr>
        <w:t>质疑函制作说明：</w:t>
      </w:r>
    </w:p>
    <w:p w14:paraId="1929AB72">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1.</w:t>
      </w:r>
      <w:r>
        <w:rPr>
          <w:rFonts w:hint="eastAsia" w:ascii="仿宋" w:hAnsi="仿宋" w:eastAsia="仿宋" w:cs="仿宋"/>
          <w:kern w:val="2"/>
          <w:sz w:val="24"/>
          <w:szCs w:val="24"/>
          <w:lang w:val="en-US" w:eastAsia="zh-CN"/>
        </w:rPr>
        <w:t>投标人</w:t>
      </w:r>
      <w:r>
        <w:rPr>
          <w:rFonts w:hint="eastAsia" w:ascii="仿宋" w:hAnsi="仿宋" w:eastAsia="仿宋" w:cs="仿宋"/>
          <w:kern w:val="2"/>
          <w:sz w:val="24"/>
          <w:szCs w:val="24"/>
        </w:rPr>
        <w:t>提出质疑时，应提交质疑函和必要的证明材料。</w:t>
      </w:r>
    </w:p>
    <w:p w14:paraId="2FFEA69E">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2.质疑</w:t>
      </w:r>
      <w:r>
        <w:rPr>
          <w:rFonts w:hint="eastAsia" w:ascii="仿宋" w:hAnsi="仿宋" w:eastAsia="仿宋" w:cs="仿宋"/>
          <w:kern w:val="2"/>
          <w:sz w:val="24"/>
          <w:szCs w:val="24"/>
          <w:lang w:val="en-US" w:eastAsia="zh-CN"/>
        </w:rPr>
        <w:t>投标人</w:t>
      </w:r>
      <w:r>
        <w:rPr>
          <w:rFonts w:hint="eastAsia" w:ascii="仿宋" w:hAnsi="仿宋" w:eastAsia="仿宋" w:cs="仿宋"/>
          <w:kern w:val="2"/>
          <w:sz w:val="24"/>
          <w:szCs w:val="24"/>
        </w:rPr>
        <w:t>若委托代理人进行质疑的，质疑函应按要求列明“授权代表”的有关内容，并在附件中提交由质疑</w:t>
      </w:r>
      <w:r>
        <w:rPr>
          <w:rFonts w:hint="eastAsia" w:ascii="仿宋" w:hAnsi="仿宋" w:eastAsia="仿宋" w:cs="仿宋"/>
          <w:sz w:val="24"/>
          <w:szCs w:val="24"/>
          <w:lang w:val="en-US" w:eastAsia="zh-CN"/>
        </w:rPr>
        <w:t>投标人</w:t>
      </w:r>
      <w:r>
        <w:rPr>
          <w:rFonts w:hint="eastAsia" w:ascii="仿宋" w:hAnsi="仿宋" w:eastAsia="仿宋" w:cs="仿宋"/>
          <w:sz w:val="24"/>
          <w:szCs w:val="24"/>
        </w:rPr>
        <w:t>签署的授权委托书。授权委托书应载明代理人的姓名或者名称、代理事项、具体权限、期限和相关事项。</w:t>
      </w:r>
    </w:p>
    <w:p w14:paraId="5A5A8C84">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3.质疑</w:t>
      </w:r>
      <w:r>
        <w:rPr>
          <w:rFonts w:hint="eastAsia" w:ascii="仿宋" w:hAnsi="仿宋" w:eastAsia="仿宋" w:cs="仿宋"/>
          <w:kern w:val="2"/>
          <w:sz w:val="24"/>
          <w:szCs w:val="24"/>
          <w:lang w:val="en-US" w:eastAsia="zh-CN"/>
        </w:rPr>
        <w:t>投标人</w:t>
      </w:r>
      <w:r>
        <w:rPr>
          <w:rFonts w:hint="eastAsia" w:ascii="仿宋" w:hAnsi="仿宋" w:eastAsia="仿宋" w:cs="仿宋"/>
          <w:kern w:val="2"/>
          <w:sz w:val="24"/>
          <w:szCs w:val="24"/>
        </w:rPr>
        <w:t>若对项目的某一分包进行质疑，质疑函中应列明具体分包号。</w:t>
      </w:r>
    </w:p>
    <w:p w14:paraId="63A4B93F">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4.质疑函的质疑事项应具体、明确，并有必要的事实依据和法律依据。</w:t>
      </w:r>
    </w:p>
    <w:p w14:paraId="75932530">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5.质疑函的质疑请求应与质疑事项相关。</w:t>
      </w:r>
    </w:p>
    <w:p w14:paraId="1CA0E4FF">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6.质疑</w:t>
      </w:r>
      <w:r>
        <w:rPr>
          <w:rFonts w:hint="eastAsia" w:ascii="仿宋" w:hAnsi="仿宋" w:eastAsia="仿宋" w:cs="仿宋"/>
          <w:kern w:val="2"/>
          <w:sz w:val="24"/>
          <w:szCs w:val="24"/>
          <w:lang w:val="en-US" w:eastAsia="zh-CN"/>
        </w:rPr>
        <w:t>投标人</w:t>
      </w:r>
      <w:r>
        <w:rPr>
          <w:rFonts w:hint="eastAsia" w:ascii="仿宋" w:hAnsi="仿宋" w:eastAsia="仿宋" w:cs="仿宋"/>
          <w:kern w:val="2"/>
          <w:sz w:val="24"/>
          <w:szCs w:val="24"/>
        </w:rPr>
        <w:t>为自然人的，质疑函应由本人签字；质疑</w:t>
      </w:r>
      <w:r>
        <w:rPr>
          <w:rFonts w:hint="eastAsia" w:ascii="仿宋" w:hAnsi="仿宋" w:eastAsia="仿宋" w:cs="仿宋"/>
          <w:kern w:val="2"/>
          <w:sz w:val="24"/>
          <w:szCs w:val="24"/>
          <w:lang w:val="en-US" w:eastAsia="zh-CN"/>
        </w:rPr>
        <w:t>投标人</w:t>
      </w:r>
      <w:r>
        <w:rPr>
          <w:rFonts w:hint="eastAsia" w:ascii="仿宋" w:hAnsi="仿宋" w:eastAsia="仿宋" w:cs="仿宋"/>
          <w:kern w:val="2"/>
          <w:sz w:val="24"/>
          <w:szCs w:val="24"/>
        </w:rPr>
        <w:t>为法人或者其他组织的，质疑函应由法定代表人、主要负责人，或者其授权代表签字或者盖章，并加盖公章。</w:t>
      </w:r>
    </w:p>
    <w:p w14:paraId="384AB46C">
      <w:pPr>
        <w:shd w:val="clear"/>
        <w:spacing w:afterLines="50" w:line="360" w:lineRule="auto"/>
        <w:jc w:val="center"/>
        <w:outlineLvl w:val="9"/>
        <w:rPr>
          <w:rFonts w:hint="eastAsia" w:ascii="仿宋" w:hAnsi="仿宋" w:eastAsia="仿宋" w:cs="仿宋"/>
          <w:b/>
          <w:color w:val="auto"/>
          <w:sz w:val="21"/>
          <w:szCs w:val="21"/>
          <w:highlight w:val="none"/>
        </w:rPr>
      </w:pPr>
    </w:p>
    <w:p w14:paraId="089758EB">
      <w:pPr>
        <w:shd w:val="clear"/>
        <w:spacing w:afterLines="50" w:line="360" w:lineRule="auto"/>
        <w:jc w:val="center"/>
        <w:outlineLvl w:val="9"/>
        <w:rPr>
          <w:rFonts w:hint="eastAsia" w:ascii="仿宋" w:hAnsi="仿宋" w:eastAsia="仿宋" w:cs="仿宋"/>
          <w:b/>
          <w:color w:val="auto"/>
          <w:sz w:val="21"/>
          <w:szCs w:val="21"/>
          <w:highlight w:val="none"/>
        </w:rPr>
      </w:pPr>
    </w:p>
    <w:p w14:paraId="6981EBD4">
      <w:pPr>
        <w:shd w:val="clear"/>
        <w:spacing w:afterLines="50" w:line="360" w:lineRule="auto"/>
        <w:jc w:val="center"/>
        <w:outlineLvl w:val="9"/>
        <w:rPr>
          <w:rFonts w:hint="eastAsia" w:asciiTheme="minorEastAsia" w:hAnsiTheme="minorEastAsia" w:eastAsiaTheme="minorEastAsia" w:cstheme="minorEastAsia"/>
          <w:b/>
          <w:color w:val="auto"/>
          <w:sz w:val="36"/>
          <w:szCs w:val="36"/>
          <w:highlight w:val="none"/>
        </w:rPr>
      </w:pPr>
    </w:p>
    <w:p w14:paraId="26106141">
      <w:pPr>
        <w:shd w:val="clear"/>
        <w:spacing w:afterLines="50" w:line="360" w:lineRule="auto"/>
        <w:jc w:val="center"/>
        <w:outlineLvl w:val="9"/>
        <w:rPr>
          <w:rFonts w:hint="eastAsia" w:asciiTheme="minorEastAsia" w:hAnsiTheme="minorEastAsia" w:eastAsiaTheme="minorEastAsia" w:cstheme="minorEastAsia"/>
          <w:b/>
          <w:color w:val="auto"/>
          <w:sz w:val="36"/>
          <w:szCs w:val="36"/>
          <w:highlight w:val="none"/>
        </w:rPr>
      </w:pPr>
    </w:p>
    <w:p w14:paraId="25CEB5A5">
      <w:pPr>
        <w:shd w:val="clear"/>
        <w:spacing w:afterLines="50" w:line="360" w:lineRule="auto"/>
        <w:jc w:val="center"/>
        <w:outlineLvl w:val="9"/>
        <w:rPr>
          <w:rFonts w:hint="eastAsia" w:asciiTheme="minorEastAsia" w:hAnsiTheme="minorEastAsia" w:eastAsiaTheme="minorEastAsia" w:cstheme="minorEastAsia"/>
          <w:b/>
          <w:color w:val="auto"/>
          <w:sz w:val="36"/>
          <w:szCs w:val="36"/>
          <w:highlight w:val="none"/>
        </w:rPr>
      </w:pPr>
    </w:p>
    <w:p w14:paraId="60DFDE61">
      <w:pPr>
        <w:shd w:val="clear"/>
        <w:spacing w:afterLines="50" w:line="360" w:lineRule="auto"/>
        <w:jc w:val="center"/>
        <w:outlineLvl w:val="9"/>
        <w:rPr>
          <w:rFonts w:hint="eastAsia" w:asciiTheme="minorEastAsia" w:hAnsiTheme="minorEastAsia" w:eastAsiaTheme="minorEastAsia" w:cstheme="minorEastAsia"/>
          <w:b/>
          <w:color w:val="auto"/>
          <w:sz w:val="36"/>
          <w:szCs w:val="36"/>
          <w:highlight w:val="none"/>
        </w:rPr>
      </w:pPr>
    </w:p>
    <w:p w14:paraId="13B45F3A">
      <w:pPr>
        <w:shd w:val="clear"/>
        <w:spacing w:afterLines="50" w:line="360" w:lineRule="auto"/>
        <w:jc w:val="center"/>
        <w:outlineLvl w:val="9"/>
        <w:rPr>
          <w:rFonts w:hint="eastAsia" w:asciiTheme="minorEastAsia" w:hAnsiTheme="minorEastAsia" w:eastAsiaTheme="minorEastAsia" w:cstheme="minorEastAsia"/>
          <w:b/>
          <w:color w:val="auto"/>
          <w:sz w:val="36"/>
          <w:szCs w:val="36"/>
          <w:highlight w:val="none"/>
        </w:rPr>
      </w:pPr>
    </w:p>
    <w:p w14:paraId="186C0022">
      <w:pPr>
        <w:shd w:val="clear"/>
        <w:spacing w:afterLines="50" w:line="360" w:lineRule="auto"/>
        <w:jc w:val="center"/>
        <w:outlineLvl w:val="9"/>
        <w:rPr>
          <w:rFonts w:hint="eastAsia" w:asciiTheme="minorEastAsia" w:hAnsiTheme="minorEastAsia" w:eastAsiaTheme="minorEastAsia" w:cstheme="minorEastAsia"/>
          <w:b/>
          <w:color w:val="auto"/>
          <w:sz w:val="36"/>
          <w:szCs w:val="36"/>
          <w:highlight w:val="none"/>
        </w:rPr>
      </w:pPr>
    </w:p>
    <w:p w14:paraId="40ED976E">
      <w:pPr>
        <w:shd w:val="clear"/>
        <w:spacing w:afterLines="50" w:line="360" w:lineRule="auto"/>
        <w:jc w:val="center"/>
        <w:outlineLvl w:val="9"/>
        <w:rPr>
          <w:rFonts w:hint="eastAsia" w:asciiTheme="minorEastAsia" w:hAnsiTheme="minorEastAsia" w:eastAsiaTheme="minorEastAsia" w:cstheme="minorEastAsia"/>
          <w:b/>
          <w:color w:val="auto"/>
          <w:sz w:val="36"/>
          <w:szCs w:val="36"/>
          <w:highlight w:val="none"/>
        </w:rPr>
      </w:pPr>
    </w:p>
    <w:p w14:paraId="1B7D557B">
      <w:pPr>
        <w:shd w:val="clear"/>
        <w:spacing w:afterLines="50" w:line="360" w:lineRule="auto"/>
        <w:jc w:val="center"/>
        <w:outlineLvl w:val="9"/>
        <w:rPr>
          <w:rFonts w:hint="eastAsia" w:asciiTheme="minorEastAsia" w:hAnsiTheme="minorEastAsia" w:eastAsiaTheme="minorEastAsia" w:cstheme="minorEastAsia"/>
          <w:b/>
          <w:color w:val="auto"/>
          <w:sz w:val="36"/>
          <w:szCs w:val="36"/>
          <w:highlight w:val="none"/>
        </w:rPr>
      </w:pPr>
    </w:p>
    <w:p w14:paraId="7444D480">
      <w:pPr>
        <w:shd w:val="clear"/>
        <w:spacing w:afterLines="50" w:line="360" w:lineRule="auto"/>
        <w:jc w:val="center"/>
        <w:outlineLvl w:val="9"/>
        <w:rPr>
          <w:rFonts w:hint="eastAsia" w:asciiTheme="minorEastAsia" w:hAnsiTheme="minorEastAsia" w:eastAsiaTheme="minorEastAsia" w:cstheme="minorEastAsia"/>
          <w:b/>
          <w:color w:val="auto"/>
          <w:sz w:val="36"/>
          <w:szCs w:val="36"/>
          <w:highlight w:val="none"/>
        </w:rPr>
      </w:pPr>
    </w:p>
    <w:p w14:paraId="595270C1">
      <w:pPr>
        <w:outlineLvl w:val="9"/>
        <w:rPr>
          <w:rFonts w:hint="eastAsia" w:asciiTheme="minorEastAsia" w:hAnsiTheme="minorEastAsia" w:eastAsiaTheme="minorEastAsia" w:cstheme="minorEastAsia"/>
          <w:b/>
          <w:bCs w:val="0"/>
          <w:kern w:val="2"/>
          <w:sz w:val="32"/>
          <w:szCs w:val="32"/>
          <w:lang w:val="en-US" w:eastAsia="zh-CN" w:bidi="ar-SA"/>
        </w:rPr>
      </w:pPr>
      <w:bookmarkStart w:id="313" w:name="_Toc3319"/>
      <w:r>
        <w:rPr>
          <w:rFonts w:hint="eastAsia" w:asciiTheme="minorEastAsia" w:hAnsiTheme="minorEastAsia" w:eastAsiaTheme="minorEastAsia" w:cstheme="minorEastAsia"/>
          <w:b/>
          <w:bCs w:val="0"/>
          <w:kern w:val="2"/>
          <w:sz w:val="32"/>
          <w:szCs w:val="32"/>
          <w:lang w:val="en-US" w:eastAsia="zh-CN" w:bidi="ar-SA"/>
        </w:rPr>
        <w:br w:type="page"/>
      </w:r>
    </w:p>
    <w:p w14:paraId="7AE3D4FF">
      <w:pPr>
        <w:widowControl w:val="0"/>
        <w:tabs>
          <w:tab w:val="left" w:pos="3310"/>
          <w:tab w:val="center" w:pos="4213"/>
        </w:tabs>
        <w:jc w:val="center"/>
        <w:outlineLvl w:val="9"/>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附件二、投诉书范本</w:t>
      </w:r>
      <w:bookmarkEnd w:id="313"/>
    </w:p>
    <w:p w14:paraId="39415B12">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rPr>
      </w:pPr>
      <w:bookmarkStart w:id="314" w:name="_Toc17047"/>
      <w:r>
        <w:rPr>
          <w:rFonts w:hint="eastAsia" w:ascii="仿宋" w:hAnsi="仿宋" w:eastAsia="仿宋" w:cs="仿宋"/>
          <w:kern w:val="2"/>
          <w:sz w:val="24"/>
          <w:szCs w:val="24"/>
        </w:rPr>
        <w:t>一、投诉相关主体基本情况</w:t>
      </w:r>
      <w:bookmarkEnd w:id="314"/>
    </w:p>
    <w:p w14:paraId="16725F2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rPr>
        <w:t>投诉人：</w:t>
      </w:r>
      <w:r>
        <w:rPr>
          <w:rFonts w:hint="eastAsia" w:ascii="仿宋" w:hAnsi="仿宋" w:eastAsia="仿宋" w:cs="仿宋"/>
          <w:kern w:val="2"/>
          <w:sz w:val="24"/>
          <w:szCs w:val="24"/>
          <w:u w:val="dotted"/>
        </w:rPr>
        <w:t xml:space="preserve">                                               </w:t>
      </w:r>
    </w:p>
    <w:p w14:paraId="0568B872">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single"/>
        </w:rPr>
      </w:pPr>
      <w:r>
        <w:rPr>
          <w:rFonts w:hint="eastAsia" w:ascii="仿宋" w:hAnsi="仿宋" w:eastAsia="仿宋" w:cs="仿宋"/>
          <w:kern w:val="2"/>
          <w:sz w:val="24"/>
          <w:szCs w:val="24"/>
        </w:rPr>
        <w:t>地     址：</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邮编：</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single"/>
        </w:rPr>
        <w:t xml:space="preserve">   </w:t>
      </w:r>
    </w:p>
    <w:p w14:paraId="27D3813D">
      <w:pPr>
        <w:keepNext w:val="0"/>
        <w:keepLines w:val="0"/>
        <w:pageBreakBefore w:val="0"/>
        <w:widowControl w:val="0"/>
        <w:tabs>
          <w:tab w:val="left" w:pos="6510"/>
        </w:tabs>
        <w:kinsoku/>
        <w:wordWrap/>
        <w:overflowPunct/>
        <w:topLinePunct w:val="0"/>
        <w:autoSpaceDE/>
        <w:autoSpaceDN/>
        <w:bidi w:val="0"/>
        <w:adjustRightInd/>
        <w:snapToGrid/>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法定代表人/主要负责人：</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 xml:space="preserve">  </w:t>
      </w:r>
    </w:p>
    <w:p w14:paraId="13061359">
      <w:pPr>
        <w:keepNext w:val="0"/>
        <w:keepLines w:val="0"/>
        <w:pageBreakBefore w:val="0"/>
        <w:widowControl w:val="0"/>
        <w:tabs>
          <w:tab w:val="left" w:pos="6510"/>
        </w:tabs>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rPr>
        <w:t>联系电话：</w:t>
      </w:r>
      <w:r>
        <w:rPr>
          <w:rFonts w:hint="eastAsia" w:ascii="仿宋" w:hAnsi="仿宋" w:eastAsia="仿宋" w:cs="仿宋"/>
          <w:kern w:val="2"/>
          <w:sz w:val="24"/>
          <w:szCs w:val="24"/>
          <w:u w:val="dotted"/>
        </w:rPr>
        <w:t xml:space="preserve">                                             </w:t>
      </w:r>
    </w:p>
    <w:p w14:paraId="2D6084E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rPr>
        <w:t>授权代表：</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联系电话</w:t>
      </w:r>
      <w:r>
        <w:rPr>
          <w:rFonts w:hint="eastAsia" w:ascii="仿宋" w:hAnsi="仿宋" w:eastAsia="仿宋" w:cs="仿宋"/>
          <w:kern w:val="2"/>
          <w:sz w:val="24"/>
          <w:szCs w:val="24"/>
          <w:u w:val="dotted"/>
        </w:rPr>
        <w:t xml:space="preserve">：                  </w:t>
      </w:r>
    </w:p>
    <w:p w14:paraId="2AC95C75">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rPr>
        <w:t>地     址：</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邮编：</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single"/>
        </w:rPr>
        <w:t xml:space="preserve"> </w:t>
      </w:r>
      <w:r>
        <w:rPr>
          <w:rFonts w:hint="eastAsia" w:ascii="仿宋" w:hAnsi="仿宋" w:eastAsia="仿宋" w:cs="仿宋"/>
          <w:kern w:val="2"/>
          <w:sz w:val="24"/>
          <w:szCs w:val="24"/>
          <w:u w:val="dotted"/>
        </w:rPr>
        <w:t xml:space="preserve">              </w:t>
      </w:r>
    </w:p>
    <w:p w14:paraId="2CA445E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single"/>
        </w:rPr>
      </w:pPr>
      <w:r>
        <w:rPr>
          <w:rFonts w:hint="eastAsia" w:ascii="仿宋" w:hAnsi="仿宋" w:eastAsia="仿宋" w:cs="仿宋"/>
          <w:kern w:val="2"/>
          <w:sz w:val="24"/>
          <w:szCs w:val="24"/>
        </w:rPr>
        <w:t>被投诉人1：</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single"/>
        </w:rPr>
        <w:t xml:space="preserve">  </w:t>
      </w:r>
    </w:p>
    <w:p w14:paraId="5EF94A4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single"/>
        </w:rPr>
      </w:pPr>
      <w:r>
        <w:rPr>
          <w:rFonts w:hint="eastAsia" w:ascii="仿宋" w:hAnsi="仿宋" w:eastAsia="仿宋" w:cs="仿宋"/>
          <w:kern w:val="2"/>
          <w:sz w:val="24"/>
          <w:szCs w:val="24"/>
        </w:rPr>
        <w:t>地     址：</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邮编：</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single"/>
        </w:rPr>
        <w:t xml:space="preserve"> </w:t>
      </w:r>
    </w:p>
    <w:p w14:paraId="786BB711">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single"/>
        </w:rPr>
      </w:pPr>
      <w:r>
        <w:rPr>
          <w:rFonts w:hint="eastAsia" w:ascii="仿宋" w:hAnsi="仿宋" w:eastAsia="仿宋" w:cs="仿宋"/>
          <w:kern w:val="2"/>
          <w:sz w:val="24"/>
          <w:szCs w:val="24"/>
        </w:rPr>
        <w:t>联系人：</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联系电话：</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single"/>
        </w:rPr>
        <w:t xml:space="preserve"> </w:t>
      </w:r>
    </w:p>
    <w:p w14:paraId="1A91AF5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被投诉人2</w:t>
      </w:r>
    </w:p>
    <w:p w14:paraId="7E72B8F6">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rPr>
        <w:t>……</w:t>
      </w:r>
    </w:p>
    <w:p w14:paraId="6CF8174A">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single"/>
        </w:rPr>
      </w:pPr>
      <w:r>
        <w:rPr>
          <w:rFonts w:hint="eastAsia" w:ascii="仿宋" w:hAnsi="仿宋" w:eastAsia="仿宋" w:cs="仿宋"/>
          <w:kern w:val="2"/>
          <w:sz w:val="24"/>
          <w:szCs w:val="24"/>
        </w:rPr>
        <w:t>相关</w:t>
      </w:r>
      <w:r>
        <w:rPr>
          <w:rFonts w:hint="eastAsia" w:ascii="仿宋" w:hAnsi="仿宋" w:eastAsia="仿宋" w:cs="仿宋"/>
          <w:kern w:val="2"/>
          <w:sz w:val="24"/>
          <w:szCs w:val="24"/>
          <w:lang w:val="en-US" w:eastAsia="zh-CN"/>
        </w:rPr>
        <w:t>投标人</w:t>
      </w:r>
      <w:r>
        <w:rPr>
          <w:rFonts w:hint="eastAsia" w:ascii="仿宋" w:hAnsi="仿宋" w:eastAsia="仿宋" w:cs="仿宋"/>
          <w:kern w:val="2"/>
          <w:sz w:val="24"/>
          <w:szCs w:val="24"/>
        </w:rPr>
        <w:t>：</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single"/>
        </w:rPr>
        <w:t xml:space="preserve">    </w:t>
      </w:r>
    </w:p>
    <w:p w14:paraId="643C7E21">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single"/>
        </w:rPr>
      </w:pPr>
      <w:r>
        <w:rPr>
          <w:rFonts w:hint="eastAsia" w:ascii="仿宋" w:hAnsi="仿宋" w:eastAsia="仿宋" w:cs="仿宋"/>
          <w:kern w:val="2"/>
          <w:sz w:val="24"/>
          <w:szCs w:val="24"/>
        </w:rPr>
        <w:t>地     址：</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邮编：</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single"/>
        </w:rPr>
        <w:t xml:space="preserve"> </w:t>
      </w:r>
    </w:p>
    <w:p w14:paraId="511B0641">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single"/>
        </w:rPr>
      </w:pPr>
      <w:r>
        <w:rPr>
          <w:rFonts w:hint="eastAsia" w:ascii="仿宋" w:hAnsi="仿宋" w:eastAsia="仿宋" w:cs="仿宋"/>
          <w:kern w:val="2"/>
          <w:sz w:val="24"/>
          <w:szCs w:val="24"/>
        </w:rPr>
        <w:t>联系人：</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联系电话：</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single"/>
        </w:rPr>
        <w:t xml:space="preserve">      </w:t>
      </w:r>
    </w:p>
    <w:p w14:paraId="661189A6">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rPr>
      </w:pPr>
      <w:bookmarkStart w:id="315" w:name="_Toc20743"/>
      <w:r>
        <w:rPr>
          <w:rFonts w:hint="eastAsia" w:ascii="仿宋" w:hAnsi="仿宋" w:eastAsia="仿宋" w:cs="仿宋"/>
          <w:kern w:val="2"/>
          <w:sz w:val="24"/>
          <w:szCs w:val="24"/>
        </w:rPr>
        <w:t>二、投诉项目基本情况</w:t>
      </w:r>
      <w:bookmarkEnd w:id="315"/>
    </w:p>
    <w:p w14:paraId="12FB2694">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lang w:val="en-US" w:eastAsia="zh-CN"/>
        </w:rPr>
        <w:t>投诉</w:t>
      </w:r>
      <w:r>
        <w:rPr>
          <w:rFonts w:hint="eastAsia" w:ascii="仿宋" w:hAnsi="仿宋" w:eastAsia="仿宋" w:cs="仿宋"/>
          <w:kern w:val="2"/>
          <w:sz w:val="24"/>
          <w:szCs w:val="24"/>
        </w:rPr>
        <w:t>项目名称：</w:t>
      </w:r>
      <w:r>
        <w:rPr>
          <w:rFonts w:hint="eastAsia" w:ascii="仿宋" w:hAnsi="仿宋" w:eastAsia="仿宋" w:cs="仿宋"/>
          <w:kern w:val="2"/>
          <w:sz w:val="24"/>
          <w:szCs w:val="24"/>
          <w:u w:val="dotted"/>
        </w:rPr>
        <w:t xml:space="preserve">                                        </w:t>
      </w:r>
    </w:p>
    <w:p w14:paraId="0711956C">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single"/>
        </w:rPr>
      </w:pPr>
      <w:r>
        <w:rPr>
          <w:rFonts w:hint="eastAsia" w:ascii="仿宋" w:hAnsi="仿宋" w:eastAsia="仿宋" w:cs="仿宋"/>
          <w:kern w:val="2"/>
          <w:sz w:val="24"/>
          <w:szCs w:val="24"/>
          <w:lang w:val="en-US" w:eastAsia="zh-CN"/>
        </w:rPr>
        <w:t>投诉</w:t>
      </w:r>
      <w:r>
        <w:rPr>
          <w:rFonts w:hint="eastAsia" w:ascii="仿宋" w:hAnsi="仿宋" w:eastAsia="仿宋" w:cs="仿宋"/>
          <w:kern w:val="2"/>
          <w:sz w:val="24"/>
          <w:szCs w:val="24"/>
        </w:rPr>
        <w:t>项目编号：</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包号：</w:t>
      </w:r>
      <w:r>
        <w:rPr>
          <w:rFonts w:hint="eastAsia" w:ascii="仿宋" w:hAnsi="仿宋" w:eastAsia="仿宋" w:cs="仿宋"/>
          <w:kern w:val="2"/>
          <w:sz w:val="24"/>
          <w:szCs w:val="24"/>
          <w:u w:val="dotted"/>
        </w:rPr>
        <w:t xml:space="preserve">              </w:t>
      </w:r>
    </w:p>
    <w:p w14:paraId="420B88AF">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采购人</w:t>
      </w:r>
      <w:r>
        <w:rPr>
          <w:rFonts w:hint="eastAsia" w:ascii="仿宋" w:hAnsi="仿宋" w:eastAsia="仿宋" w:cs="仿宋"/>
          <w:kern w:val="2"/>
          <w:sz w:val="24"/>
          <w:szCs w:val="24"/>
        </w:rPr>
        <w:t>名称：</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single"/>
        </w:rPr>
        <w:t xml:space="preserve">  </w:t>
      </w:r>
    </w:p>
    <w:p w14:paraId="73AB593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single"/>
        </w:rPr>
      </w:pPr>
      <w:r>
        <w:rPr>
          <w:rFonts w:hint="eastAsia" w:ascii="仿宋" w:hAnsi="仿宋" w:eastAsia="仿宋" w:cs="仿宋"/>
          <w:kern w:val="2"/>
          <w:sz w:val="24"/>
          <w:szCs w:val="24"/>
        </w:rPr>
        <w:t>代理机构名称：</w:t>
      </w:r>
      <w:r>
        <w:rPr>
          <w:rFonts w:hint="eastAsia" w:ascii="仿宋" w:hAnsi="仿宋" w:eastAsia="仿宋" w:cs="仿宋"/>
          <w:kern w:val="2"/>
          <w:sz w:val="24"/>
          <w:szCs w:val="24"/>
          <w:u w:val="dotted"/>
        </w:rPr>
        <w:t xml:space="preserve">                                         </w:t>
      </w:r>
    </w:p>
    <w:p w14:paraId="2EBDC141">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lang w:val="en-US" w:eastAsia="zh-CN"/>
        </w:rPr>
        <w:t>招标</w:t>
      </w:r>
      <w:r>
        <w:rPr>
          <w:rFonts w:hint="eastAsia" w:ascii="仿宋" w:hAnsi="仿宋" w:eastAsia="仿宋" w:cs="仿宋"/>
          <w:kern w:val="2"/>
          <w:sz w:val="24"/>
          <w:szCs w:val="24"/>
        </w:rPr>
        <w:t>文件公告:</w:t>
      </w:r>
      <w:r>
        <w:rPr>
          <w:rFonts w:hint="eastAsia" w:ascii="仿宋" w:hAnsi="仿宋" w:eastAsia="仿宋" w:cs="仿宋"/>
          <w:kern w:val="2"/>
          <w:sz w:val="24"/>
          <w:szCs w:val="24"/>
          <w:u w:val="dotted"/>
        </w:rPr>
        <w:t xml:space="preserve">是/否 </w:t>
      </w:r>
      <w:r>
        <w:rPr>
          <w:rFonts w:hint="eastAsia" w:ascii="仿宋" w:hAnsi="仿宋" w:eastAsia="仿宋" w:cs="仿宋"/>
          <w:kern w:val="2"/>
          <w:sz w:val="24"/>
          <w:szCs w:val="24"/>
        </w:rPr>
        <w:t>公告期限：</w:t>
      </w:r>
      <w:r>
        <w:rPr>
          <w:rFonts w:hint="eastAsia" w:ascii="仿宋" w:hAnsi="仿宋" w:eastAsia="仿宋" w:cs="仿宋"/>
          <w:kern w:val="2"/>
          <w:sz w:val="24"/>
          <w:szCs w:val="24"/>
          <w:u w:val="dotted"/>
        </w:rPr>
        <w:t xml:space="preserve">                                 </w:t>
      </w:r>
    </w:p>
    <w:p w14:paraId="2C8834E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single"/>
        </w:rPr>
      </w:pPr>
      <w:r>
        <w:rPr>
          <w:rFonts w:hint="eastAsia" w:ascii="仿宋" w:hAnsi="仿宋" w:eastAsia="仿宋" w:cs="仿宋"/>
          <w:kern w:val="2"/>
          <w:sz w:val="24"/>
          <w:szCs w:val="24"/>
          <w:lang w:val="en-US" w:eastAsia="zh-CN"/>
        </w:rPr>
        <w:t>中标</w:t>
      </w:r>
      <w:r>
        <w:rPr>
          <w:rFonts w:hint="eastAsia" w:ascii="仿宋" w:hAnsi="仿宋" w:eastAsia="仿宋" w:cs="仿宋"/>
          <w:kern w:val="2"/>
          <w:sz w:val="24"/>
          <w:szCs w:val="24"/>
        </w:rPr>
        <w:t>结果公告:</w:t>
      </w:r>
      <w:r>
        <w:rPr>
          <w:rFonts w:hint="eastAsia" w:ascii="仿宋" w:hAnsi="仿宋" w:eastAsia="仿宋" w:cs="仿宋"/>
          <w:kern w:val="2"/>
          <w:sz w:val="24"/>
          <w:szCs w:val="24"/>
          <w:u w:val="dotted"/>
        </w:rPr>
        <w:t xml:space="preserve">是/否 </w:t>
      </w:r>
      <w:r>
        <w:rPr>
          <w:rFonts w:hint="eastAsia" w:ascii="仿宋" w:hAnsi="仿宋" w:eastAsia="仿宋" w:cs="仿宋"/>
          <w:kern w:val="2"/>
          <w:sz w:val="24"/>
          <w:szCs w:val="24"/>
        </w:rPr>
        <w:t>公告期限：</w:t>
      </w:r>
      <w:r>
        <w:rPr>
          <w:rFonts w:hint="eastAsia" w:ascii="仿宋" w:hAnsi="仿宋" w:eastAsia="仿宋" w:cs="仿宋"/>
          <w:kern w:val="2"/>
          <w:sz w:val="24"/>
          <w:szCs w:val="24"/>
          <w:u w:val="dotted"/>
        </w:rPr>
        <w:t xml:space="preserve">                        </w:t>
      </w:r>
    </w:p>
    <w:p w14:paraId="3A6316AC">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rPr>
      </w:pPr>
      <w:bookmarkStart w:id="316" w:name="_Toc9071"/>
      <w:r>
        <w:rPr>
          <w:rFonts w:hint="eastAsia" w:ascii="仿宋" w:hAnsi="仿宋" w:eastAsia="仿宋" w:cs="仿宋"/>
          <w:kern w:val="2"/>
          <w:sz w:val="24"/>
          <w:szCs w:val="24"/>
        </w:rPr>
        <w:t>三、质疑基本情况</w:t>
      </w:r>
      <w:bookmarkEnd w:id="316"/>
    </w:p>
    <w:p w14:paraId="3931CDC0">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rPr>
        <w:t>投诉人于</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年</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月</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日,向</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u w:val="dotted"/>
          <w:lang w:eastAsia="zh-CN"/>
        </w:rPr>
        <w:t>质疑</w:t>
      </w:r>
      <w:r>
        <w:rPr>
          <w:rFonts w:hint="eastAsia" w:ascii="仿宋" w:hAnsi="仿宋" w:eastAsia="仿宋" w:cs="仿宋"/>
          <w:kern w:val="2"/>
          <w:sz w:val="24"/>
          <w:szCs w:val="24"/>
        </w:rPr>
        <w:t>，质疑事项为：</w:t>
      </w:r>
      <w:r>
        <w:rPr>
          <w:rFonts w:hint="eastAsia" w:ascii="仿宋" w:hAnsi="仿宋" w:eastAsia="仿宋" w:cs="仿宋"/>
          <w:kern w:val="2"/>
          <w:sz w:val="24"/>
          <w:szCs w:val="24"/>
          <w:u w:val="dotted"/>
        </w:rPr>
        <w:t xml:space="preserve">                                </w:t>
      </w:r>
    </w:p>
    <w:p w14:paraId="5B514FC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 xml:space="preserve">  </w:t>
      </w:r>
    </w:p>
    <w:p w14:paraId="426DDCD1">
      <w:pPr>
        <w:keepNext w:val="0"/>
        <w:keepLines w:val="0"/>
        <w:pageBreakBefore w:val="0"/>
        <w:widowControl w:val="0"/>
        <w:kinsoku/>
        <w:wordWrap/>
        <w:overflowPunct/>
        <w:topLinePunct w:val="0"/>
        <w:autoSpaceDE/>
        <w:autoSpaceDN/>
        <w:bidi w:val="0"/>
        <w:adjustRightInd/>
        <w:snapToGrid/>
        <w:ind w:firstLine="360" w:firstLineChars="150"/>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u w:val="dotted"/>
          <w:lang w:val="en-US" w:eastAsia="zh-CN"/>
        </w:rPr>
        <w:t>中标人</w:t>
      </w:r>
      <w:r>
        <w:rPr>
          <w:rFonts w:hint="eastAsia" w:ascii="仿宋" w:hAnsi="仿宋" w:eastAsia="仿宋" w:cs="仿宋"/>
          <w:kern w:val="2"/>
          <w:sz w:val="24"/>
          <w:szCs w:val="24"/>
          <w:u w:val="dotted"/>
        </w:rPr>
        <w:t>/代理机构</w:t>
      </w:r>
      <w:r>
        <w:rPr>
          <w:rFonts w:hint="eastAsia" w:ascii="仿宋" w:hAnsi="仿宋" w:eastAsia="仿宋" w:cs="仿宋"/>
          <w:kern w:val="2"/>
          <w:sz w:val="24"/>
          <w:szCs w:val="24"/>
        </w:rPr>
        <w:t>于</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年</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月</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日,就质疑事项作出了答复/没有在法定期限内作出答复。</w:t>
      </w:r>
    </w:p>
    <w:p w14:paraId="6FC04F4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rPr>
      </w:pPr>
      <w:bookmarkStart w:id="317" w:name="_Toc5565"/>
      <w:r>
        <w:rPr>
          <w:rFonts w:hint="eastAsia" w:ascii="仿宋" w:hAnsi="仿宋" w:eastAsia="仿宋" w:cs="仿宋"/>
          <w:kern w:val="2"/>
          <w:sz w:val="24"/>
          <w:szCs w:val="24"/>
        </w:rPr>
        <w:t>四、投诉事项具体内容</w:t>
      </w:r>
      <w:bookmarkEnd w:id="317"/>
    </w:p>
    <w:p w14:paraId="6145AAF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single"/>
        </w:rPr>
      </w:pPr>
      <w:r>
        <w:rPr>
          <w:rFonts w:hint="eastAsia" w:ascii="仿宋" w:hAnsi="仿宋" w:eastAsia="仿宋" w:cs="仿宋"/>
          <w:kern w:val="2"/>
          <w:sz w:val="24"/>
          <w:szCs w:val="24"/>
        </w:rPr>
        <w:t>投诉事项 1：</w:t>
      </w:r>
      <w:r>
        <w:rPr>
          <w:rFonts w:hint="eastAsia" w:ascii="仿宋" w:hAnsi="仿宋" w:eastAsia="仿宋" w:cs="仿宋"/>
          <w:kern w:val="2"/>
          <w:sz w:val="24"/>
          <w:szCs w:val="24"/>
          <w:u w:val="dotted"/>
        </w:rPr>
        <w:t xml:space="preserve">                                       </w:t>
      </w:r>
    </w:p>
    <w:p w14:paraId="227AC86B">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事实依据：</w:t>
      </w:r>
      <w:r>
        <w:rPr>
          <w:rFonts w:hint="eastAsia" w:ascii="仿宋" w:hAnsi="仿宋" w:eastAsia="仿宋" w:cs="仿宋"/>
          <w:kern w:val="2"/>
          <w:sz w:val="24"/>
          <w:szCs w:val="24"/>
          <w:u w:val="dotted"/>
        </w:rPr>
        <w:t xml:space="preserve">                                         </w:t>
      </w:r>
    </w:p>
    <w:p w14:paraId="06162F0F">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u w:val="dotted"/>
        </w:rPr>
        <w:t xml:space="preserve">                                                      </w:t>
      </w:r>
    </w:p>
    <w:p w14:paraId="130604A9">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single"/>
        </w:rPr>
      </w:pPr>
      <w:r>
        <w:rPr>
          <w:rFonts w:hint="eastAsia" w:ascii="仿宋" w:hAnsi="仿宋" w:eastAsia="仿宋" w:cs="仿宋"/>
          <w:kern w:val="2"/>
          <w:sz w:val="24"/>
          <w:szCs w:val="24"/>
        </w:rPr>
        <w:t>法律依据：</w:t>
      </w:r>
      <w:r>
        <w:rPr>
          <w:rFonts w:hint="eastAsia" w:ascii="仿宋" w:hAnsi="仿宋" w:eastAsia="仿宋" w:cs="仿宋"/>
          <w:kern w:val="2"/>
          <w:sz w:val="24"/>
          <w:szCs w:val="24"/>
          <w:u w:val="dotted"/>
        </w:rPr>
        <w:t xml:space="preserve">                                          </w:t>
      </w:r>
    </w:p>
    <w:p w14:paraId="31DF1866">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u w:val="dotted"/>
        </w:rPr>
        <w:t xml:space="preserve">                                                      </w:t>
      </w:r>
    </w:p>
    <w:p w14:paraId="4EA5A93D">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投诉事项2</w:t>
      </w:r>
    </w:p>
    <w:p w14:paraId="75ADDA6A">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dotted"/>
        </w:rPr>
      </w:pPr>
      <w:r>
        <w:rPr>
          <w:rFonts w:hint="eastAsia" w:ascii="仿宋" w:hAnsi="仿宋" w:eastAsia="仿宋" w:cs="仿宋"/>
          <w:kern w:val="2"/>
          <w:sz w:val="24"/>
          <w:szCs w:val="24"/>
        </w:rPr>
        <w:t>……</w:t>
      </w:r>
    </w:p>
    <w:p w14:paraId="548C4E5E">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rPr>
      </w:pPr>
      <w:bookmarkStart w:id="318" w:name="_Toc6707"/>
      <w:r>
        <w:rPr>
          <w:rFonts w:hint="eastAsia" w:ascii="仿宋" w:hAnsi="仿宋" w:eastAsia="仿宋" w:cs="仿宋"/>
          <w:kern w:val="2"/>
          <w:sz w:val="24"/>
          <w:szCs w:val="24"/>
        </w:rPr>
        <w:t>五、与投诉事项相关的投诉请求</w:t>
      </w:r>
      <w:bookmarkEnd w:id="318"/>
    </w:p>
    <w:p w14:paraId="5BFA94C7">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请求：</w:t>
      </w:r>
      <w:r>
        <w:rPr>
          <w:rFonts w:hint="eastAsia" w:ascii="仿宋" w:hAnsi="仿宋" w:eastAsia="仿宋" w:cs="仿宋"/>
          <w:kern w:val="2"/>
          <w:sz w:val="24"/>
          <w:szCs w:val="24"/>
          <w:u w:val="dotted"/>
        </w:rPr>
        <w:t xml:space="preserve">                                              </w:t>
      </w:r>
      <w:r>
        <w:rPr>
          <w:rFonts w:hint="eastAsia" w:ascii="仿宋" w:hAnsi="仿宋" w:eastAsia="仿宋" w:cs="仿宋"/>
          <w:kern w:val="2"/>
          <w:sz w:val="24"/>
          <w:szCs w:val="24"/>
        </w:rPr>
        <w:t xml:space="preserve"> </w:t>
      </w:r>
    </w:p>
    <w:p w14:paraId="4E18C1CA">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u w:val="single"/>
        </w:rPr>
      </w:pPr>
      <w:r>
        <w:rPr>
          <w:rFonts w:hint="eastAsia" w:ascii="仿宋" w:hAnsi="仿宋" w:eastAsia="仿宋" w:cs="仿宋"/>
          <w:kern w:val="2"/>
          <w:sz w:val="24"/>
          <w:szCs w:val="24"/>
        </w:rPr>
        <w:t xml:space="preserve">                                                                                                    </w:t>
      </w:r>
    </w:p>
    <w:p w14:paraId="652E2438">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rPr>
      </w:pPr>
      <w:r>
        <w:rPr>
          <w:rFonts w:hint="eastAsia" w:ascii="仿宋" w:hAnsi="仿宋" w:eastAsia="仿宋" w:cs="仿宋"/>
          <w:kern w:val="2"/>
          <w:sz w:val="24"/>
          <w:szCs w:val="24"/>
        </w:rPr>
        <w:t xml:space="preserve">签字(签章)：                   公章：                      </w:t>
      </w:r>
    </w:p>
    <w:p w14:paraId="259B7C62">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kern w:val="2"/>
          <w:sz w:val="24"/>
          <w:szCs w:val="24"/>
        </w:rPr>
      </w:pPr>
    </w:p>
    <w:p w14:paraId="13581FB6">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b/>
          <w:color w:val="auto"/>
          <w:sz w:val="24"/>
          <w:szCs w:val="24"/>
          <w:highlight w:val="none"/>
        </w:rPr>
      </w:pPr>
      <w:r>
        <w:rPr>
          <w:rFonts w:hint="eastAsia" w:ascii="仿宋" w:hAnsi="仿宋" w:eastAsia="仿宋" w:cs="仿宋"/>
          <w:kern w:val="2"/>
          <w:sz w:val="24"/>
          <w:szCs w:val="24"/>
        </w:rPr>
        <w:t xml:space="preserve">日期：    </w:t>
      </w:r>
    </w:p>
    <w:p w14:paraId="7ABED7A2">
      <w:pPr>
        <w:pStyle w:val="13"/>
        <w:ind w:left="0" w:leftChars="0" w:firstLine="0" w:firstLineChars="0"/>
        <w:rPr>
          <w:rFonts w:hint="eastAsia"/>
          <w:lang w:val="en-US" w:eastAsia="zh-CN"/>
        </w:rPr>
      </w:pPr>
      <w:bookmarkStart w:id="319" w:name="_Toc4176"/>
      <w:bookmarkStart w:id="320" w:name="_Toc23061"/>
      <w:bookmarkStart w:id="321" w:name="_Toc18968"/>
      <w:bookmarkStart w:id="322" w:name="_Toc27885"/>
    </w:p>
    <w:bookmarkEnd w:id="319"/>
    <w:bookmarkEnd w:id="320"/>
    <w:p w14:paraId="2D82DD6D">
      <w:pPr>
        <w:pStyle w:val="3"/>
        <w:keepNext/>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Chars="50" w:right="0" w:rightChars="0"/>
        <w:textAlignment w:val="auto"/>
        <w:rPr>
          <w:rFonts w:hint="eastAsia" w:ascii="黑体" w:hAnsi="黑体" w:eastAsia="黑体" w:cs="黑体"/>
          <w:color w:val="auto"/>
          <w:sz w:val="36"/>
          <w:szCs w:val="36"/>
          <w:lang w:val="en-US" w:eastAsia="zh-CN"/>
        </w:rPr>
      </w:pPr>
      <w:bookmarkStart w:id="323" w:name="_Toc11232"/>
      <w:bookmarkStart w:id="324" w:name="_Toc3510"/>
      <w:bookmarkStart w:id="325" w:name="_Toc4796"/>
      <w:bookmarkStart w:id="326" w:name="_Toc244931129"/>
      <w:bookmarkStart w:id="327" w:name="_Toc4553_WPSOffice_Level1"/>
      <w:bookmarkStart w:id="328" w:name="_Toc30115"/>
      <w:bookmarkStart w:id="329" w:name="_Toc21609"/>
      <w:bookmarkStart w:id="330" w:name="_Toc27066"/>
      <w:bookmarkStart w:id="331" w:name="_Toc31891"/>
      <w:bookmarkStart w:id="332" w:name="_Toc25000"/>
      <w:bookmarkStart w:id="333" w:name="_Toc14220"/>
      <w:bookmarkStart w:id="334" w:name="_Toc8778"/>
      <w:bookmarkStart w:id="335" w:name="_Toc8012_WPSOffice_Level1"/>
      <w:bookmarkStart w:id="336" w:name="_Toc25746"/>
      <w:bookmarkStart w:id="337" w:name="_Toc14038"/>
      <w:bookmarkStart w:id="338" w:name="_Toc5561"/>
      <w:bookmarkStart w:id="339" w:name="_Toc16567_WPSOffice_Level1"/>
      <w:bookmarkStart w:id="340" w:name="_Toc2462"/>
      <w:bookmarkStart w:id="341" w:name="_Toc12748"/>
      <w:r>
        <w:rPr>
          <w:rFonts w:hint="eastAsia" w:ascii="黑体" w:hAnsi="黑体" w:eastAsia="黑体" w:cs="黑体"/>
          <w:color w:val="auto"/>
          <w:sz w:val="36"/>
          <w:szCs w:val="36"/>
          <w:lang w:val="en-US" w:eastAsia="zh-CN"/>
        </w:rPr>
        <w:t>第三章 采购内容及具体要求</w:t>
      </w:r>
      <w:bookmarkEnd w:id="323"/>
      <w:bookmarkEnd w:id="324"/>
    </w:p>
    <w:p w14:paraId="0F0954A2">
      <w:pPr>
        <w:pStyle w:val="72"/>
        <w:keepNext w:val="0"/>
        <w:keepLines w:val="0"/>
        <w:pageBreakBefore w:val="0"/>
        <w:numPr>
          <w:ilvl w:val="0"/>
          <w:numId w:val="0"/>
        </w:numPr>
        <w:kinsoku/>
        <w:wordWrap/>
        <w:overflowPunct/>
        <w:topLinePunct w:val="0"/>
        <w:autoSpaceDE/>
        <w:autoSpaceDN/>
        <w:bidi w:val="0"/>
        <w:adjustRightInd w:val="0"/>
        <w:snapToGrid w:val="0"/>
        <w:spacing w:line="440" w:lineRule="exact"/>
        <w:textAlignment w:val="auto"/>
        <w:rPr>
          <w:rFonts w:hint="eastAsia" w:ascii="仿宋" w:hAnsi="仿宋" w:eastAsia="仿宋" w:cs="仿宋"/>
          <w:b/>
          <w:color w:val="auto"/>
          <w:kern w:val="2"/>
          <w:sz w:val="28"/>
          <w:szCs w:val="16"/>
          <w:highlight w:val="none"/>
          <w:lang w:val="en-US" w:eastAsia="zh-CN" w:bidi="ar-SA"/>
        </w:rPr>
      </w:pPr>
      <w:bookmarkStart w:id="342" w:name="_Toc23321"/>
      <w:r>
        <w:rPr>
          <w:rFonts w:hint="eastAsia" w:ascii="仿宋" w:hAnsi="仿宋" w:eastAsia="仿宋" w:cs="仿宋"/>
          <w:b/>
          <w:color w:val="auto"/>
          <w:kern w:val="2"/>
          <w:sz w:val="28"/>
          <w:szCs w:val="16"/>
          <w:highlight w:val="none"/>
          <w:lang w:val="en-US" w:eastAsia="zh-CN" w:bidi="ar-SA"/>
        </w:rPr>
        <w:t>一、采购内容</w:t>
      </w:r>
    </w:p>
    <w:tbl>
      <w:tblPr>
        <w:tblStyle w:val="43"/>
        <w:tblW w:w="9920" w:type="dxa"/>
        <w:tblInd w:w="-8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856"/>
        <w:gridCol w:w="3055"/>
        <w:gridCol w:w="1290"/>
        <w:gridCol w:w="877"/>
        <w:gridCol w:w="1133"/>
        <w:gridCol w:w="1027"/>
      </w:tblGrid>
      <w:tr w14:paraId="632C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vAlign w:val="center"/>
          </w:tcPr>
          <w:p w14:paraId="6A9520BF">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b/>
                <w:bCs/>
                <w:i w:val="0"/>
                <w:color w:val="auto"/>
                <w:kern w:val="0"/>
                <w:sz w:val="22"/>
                <w:szCs w:val="22"/>
                <w:u w:val="none"/>
                <w:lang w:val="en-US" w:eastAsia="zh-CN" w:bidi="ar"/>
              </w:rPr>
              <w:t>序号</w:t>
            </w:r>
          </w:p>
        </w:tc>
        <w:tc>
          <w:tcPr>
            <w:tcW w:w="1856" w:type="dxa"/>
            <w:vAlign w:val="center"/>
          </w:tcPr>
          <w:p w14:paraId="0E2761E6">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b/>
                <w:bCs/>
                <w:i w:val="0"/>
                <w:color w:val="auto"/>
                <w:kern w:val="0"/>
                <w:sz w:val="22"/>
                <w:szCs w:val="22"/>
                <w:u w:val="none"/>
                <w:lang w:val="en-US" w:eastAsia="zh-CN" w:bidi="ar"/>
              </w:rPr>
              <w:t>名称</w:t>
            </w:r>
          </w:p>
        </w:tc>
        <w:tc>
          <w:tcPr>
            <w:tcW w:w="3055" w:type="dxa"/>
            <w:vAlign w:val="center"/>
          </w:tcPr>
          <w:p w14:paraId="5493395A">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b/>
                <w:bCs/>
                <w:i w:val="0"/>
                <w:color w:val="auto"/>
                <w:kern w:val="0"/>
                <w:sz w:val="22"/>
                <w:szCs w:val="22"/>
                <w:u w:val="none"/>
                <w:lang w:val="en-US" w:eastAsia="zh-CN" w:bidi="ar"/>
              </w:rPr>
              <w:t>型号规格</w:t>
            </w:r>
          </w:p>
        </w:tc>
        <w:tc>
          <w:tcPr>
            <w:tcW w:w="1290" w:type="dxa"/>
            <w:vAlign w:val="center"/>
          </w:tcPr>
          <w:p w14:paraId="011D0A16">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b/>
                <w:bCs/>
                <w:i w:val="0"/>
                <w:color w:val="auto"/>
                <w:kern w:val="0"/>
                <w:sz w:val="22"/>
                <w:szCs w:val="22"/>
                <w:u w:val="none"/>
                <w:lang w:val="en-US" w:eastAsia="zh-CN" w:bidi="ar"/>
              </w:rPr>
              <w:t>适用范围</w:t>
            </w:r>
          </w:p>
        </w:tc>
        <w:tc>
          <w:tcPr>
            <w:tcW w:w="877" w:type="dxa"/>
            <w:vAlign w:val="center"/>
          </w:tcPr>
          <w:p w14:paraId="2A3AD4C5">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b/>
                <w:bCs/>
                <w:i w:val="0"/>
                <w:color w:val="auto"/>
                <w:kern w:val="0"/>
                <w:sz w:val="22"/>
                <w:szCs w:val="22"/>
                <w:u w:val="none"/>
                <w:lang w:val="en-US" w:eastAsia="zh-CN" w:bidi="ar"/>
              </w:rPr>
              <w:t>单位</w:t>
            </w:r>
          </w:p>
        </w:tc>
        <w:tc>
          <w:tcPr>
            <w:tcW w:w="1133" w:type="dxa"/>
            <w:vAlign w:val="center"/>
          </w:tcPr>
          <w:p w14:paraId="2D9834E4">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b/>
                <w:bCs/>
                <w:i w:val="0"/>
                <w:color w:val="auto"/>
                <w:kern w:val="0"/>
                <w:sz w:val="22"/>
                <w:szCs w:val="22"/>
                <w:u w:val="none"/>
                <w:lang w:val="en-US" w:eastAsia="zh-CN" w:bidi="ar"/>
              </w:rPr>
              <w:t>采购数量</w:t>
            </w:r>
          </w:p>
        </w:tc>
        <w:tc>
          <w:tcPr>
            <w:tcW w:w="1027" w:type="dxa"/>
            <w:vMerge w:val="restart"/>
            <w:vAlign w:val="center"/>
          </w:tcPr>
          <w:p w14:paraId="6F19E418">
            <w:pPr>
              <w:keepNext w:val="0"/>
              <w:keepLines w:val="0"/>
              <w:widowControl/>
              <w:suppressLineNumbers w:val="0"/>
              <w:jc w:val="center"/>
              <w:textAlignment w:val="center"/>
              <w:rPr>
                <w:rFonts w:hint="default" w:ascii="仿宋" w:hAnsi="仿宋" w:eastAsia="仿宋" w:cs="仿宋"/>
                <w:b/>
                <w:bCs/>
                <w:i w:val="0"/>
                <w:color w:val="FF0000"/>
                <w:kern w:val="0"/>
                <w:sz w:val="22"/>
                <w:szCs w:val="22"/>
                <w:u w:val="none"/>
                <w:lang w:val="en-US" w:eastAsia="zh-CN" w:bidi="ar"/>
              </w:rPr>
            </w:pPr>
            <w:r>
              <w:rPr>
                <w:rFonts w:hint="eastAsia" w:ascii="仿宋" w:hAnsi="仿宋" w:eastAsia="仿宋" w:cs="仿宋"/>
                <w:b/>
                <w:bCs/>
                <w:i w:val="0"/>
                <w:color w:val="auto"/>
                <w:kern w:val="0"/>
                <w:sz w:val="22"/>
                <w:szCs w:val="22"/>
                <w:u w:val="none"/>
                <w:lang w:val="en-US" w:eastAsia="zh-CN" w:bidi="ar"/>
              </w:rPr>
              <w:t>最终采购数量以实际用量结算</w:t>
            </w:r>
          </w:p>
        </w:tc>
      </w:tr>
      <w:tr w14:paraId="1B5E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682" w:type="dxa"/>
            <w:vAlign w:val="center"/>
          </w:tcPr>
          <w:p w14:paraId="3D57D5C4">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1</w:t>
            </w:r>
          </w:p>
        </w:tc>
        <w:tc>
          <w:tcPr>
            <w:tcW w:w="1856" w:type="dxa"/>
            <w:vAlign w:val="center"/>
          </w:tcPr>
          <w:p w14:paraId="02DA2370">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二氧化氯消毒粉</w:t>
            </w:r>
          </w:p>
        </w:tc>
        <w:tc>
          <w:tcPr>
            <w:tcW w:w="3055" w:type="dxa"/>
            <w:vAlign w:val="center"/>
          </w:tcPr>
          <w:p w14:paraId="0BBCA15C">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1000g/袋</w:t>
            </w:r>
          </w:p>
          <w:p w14:paraId="1AA15C63">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有效成分：二氧化氯</w:t>
            </w:r>
          </w:p>
          <w:p w14:paraId="72BDC875">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含量：6%±0.6%（五步碘量法）</w:t>
            </w:r>
          </w:p>
          <w:p w14:paraId="36D56AEC">
            <w:pPr>
              <w:keepNext w:val="0"/>
              <w:keepLines w:val="0"/>
              <w:widowControl/>
              <w:suppressLineNumbers w:val="0"/>
              <w:jc w:val="left"/>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10%±1%（丙二酸碘量法）</w:t>
            </w:r>
          </w:p>
        </w:tc>
        <w:tc>
          <w:tcPr>
            <w:tcW w:w="1290" w:type="dxa"/>
            <w:vAlign w:val="center"/>
          </w:tcPr>
          <w:p w14:paraId="09AFFB81">
            <w:pPr>
              <w:keepNext w:val="0"/>
              <w:keepLines w:val="0"/>
              <w:widowControl/>
              <w:suppressLineNumbers w:val="0"/>
              <w:jc w:val="center"/>
              <w:textAlignment w:val="center"/>
              <w:rPr>
                <w:rFonts w:hint="default"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生活饮用水消毒</w:t>
            </w:r>
          </w:p>
        </w:tc>
        <w:tc>
          <w:tcPr>
            <w:tcW w:w="877" w:type="dxa"/>
            <w:vAlign w:val="center"/>
          </w:tcPr>
          <w:p w14:paraId="1AE69D09">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袋</w:t>
            </w:r>
          </w:p>
        </w:tc>
        <w:tc>
          <w:tcPr>
            <w:tcW w:w="1133" w:type="dxa"/>
            <w:vAlign w:val="center"/>
          </w:tcPr>
          <w:p w14:paraId="61517D47">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2000</w:t>
            </w:r>
          </w:p>
        </w:tc>
        <w:tc>
          <w:tcPr>
            <w:tcW w:w="1027" w:type="dxa"/>
            <w:vMerge w:val="continue"/>
            <w:vAlign w:val="center"/>
          </w:tcPr>
          <w:p w14:paraId="2B667BB5">
            <w:pPr>
              <w:keepNext w:val="0"/>
              <w:keepLines w:val="0"/>
              <w:widowControl/>
              <w:suppressLineNumbers w:val="0"/>
              <w:jc w:val="center"/>
              <w:textAlignment w:val="center"/>
              <w:rPr>
                <w:rFonts w:hint="eastAsia" w:ascii="仿宋" w:hAnsi="仿宋" w:eastAsia="仿宋" w:cs="仿宋"/>
                <w:i w:val="0"/>
                <w:color w:val="FF0000"/>
                <w:sz w:val="22"/>
                <w:szCs w:val="22"/>
                <w:u w:val="none"/>
                <w:lang w:val="en-US" w:eastAsia="zh-CN"/>
              </w:rPr>
            </w:pPr>
          </w:p>
        </w:tc>
      </w:tr>
      <w:tr w14:paraId="232D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vAlign w:val="center"/>
          </w:tcPr>
          <w:p w14:paraId="62EEFC44">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2</w:t>
            </w:r>
          </w:p>
        </w:tc>
        <w:tc>
          <w:tcPr>
            <w:tcW w:w="1856" w:type="dxa"/>
            <w:vAlign w:val="center"/>
          </w:tcPr>
          <w:p w14:paraId="2A080A60">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b/>
                <w:bCs/>
                <w:i w:val="0"/>
                <w:iCs w:val="0"/>
                <w:color w:val="auto"/>
                <w:kern w:val="0"/>
                <w:sz w:val="28"/>
                <w:szCs w:val="28"/>
                <w:highlight w:val="none"/>
                <w:u w:val="none"/>
                <w:lang w:val="en-US" w:eastAsia="zh-CN" w:bidi="ar"/>
              </w:rPr>
              <w:t>#</w:t>
            </w:r>
            <w:r>
              <w:rPr>
                <w:rFonts w:hint="eastAsia" w:ascii="仿宋" w:hAnsi="仿宋" w:eastAsia="仿宋" w:cs="仿宋"/>
                <w:i w:val="0"/>
                <w:color w:val="auto"/>
                <w:kern w:val="0"/>
                <w:sz w:val="22"/>
                <w:szCs w:val="22"/>
                <w:u w:val="none"/>
                <w:lang w:val="en-US" w:eastAsia="zh-CN" w:bidi="ar"/>
              </w:rPr>
              <w:t>二氧化氯消毒片</w:t>
            </w:r>
          </w:p>
        </w:tc>
        <w:tc>
          <w:tcPr>
            <w:tcW w:w="3055" w:type="dxa"/>
            <w:vAlign w:val="center"/>
          </w:tcPr>
          <w:p w14:paraId="1F3D1BD1">
            <w:pPr>
              <w:keepNext w:val="0"/>
              <w:keepLines w:val="0"/>
              <w:widowControl/>
              <w:suppressLineNumbers w:val="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500g/瓶</w:t>
            </w:r>
          </w:p>
          <w:p w14:paraId="1691521C">
            <w:pPr>
              <w:keepNext w:val="0"/>
              <w:keepLines w:val="0"/>
              <w:widowControl/>
              <w:suppressLineNumbers w:val="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有效成分：二氧化氯</w:t>
            </w:r>
          </w:p>
          <w:p w14:paraId="0757A433">
            <w:pPr>
              <w:keepNext w:val="0"/>
              <w:keepLines w:val="0"/>
              <w:widowControl/>
              <w:suppressLineNumbers w:val="0"/>
              <w:jc w:val="both"/>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含量：二氧化氯10%±1%</w:t>
            </w:r>
          </w:p>
        </w:tc>
        <w:tc>
          <w:tcPr>
            <w:tcW w:w="1290" w:type="dxa"/>
            <w:vAlign w:val="center"/>
          </w:tcPr>
          <w:p w14:paraId="4AC587A0">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生活饮用水消毒</w:t>
            </w:r>
          </w:p>
        </w:tc>
        <w:tc>
          <w:tcPr>
            <w:tcW w:w="877" w:type="dxa"/>
            <w:vAlign w:val="center"/>
          </w:tcPr>
          <w:p w14:paraId="14C13E20">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瓶</w:t>
            </w:r>
          </w:p>
        </w:tc>
        <w:tc>
          <w:tcPr>
            <w:tcW w:w="1133" w:type="dxa"/>
            <w:vAlign w:val="center"/>
          </w:tcPr>
          <w:p w14:paraId="4DD72CAB">
            <w:pPr>
              <w:keepNext w:val="0"/>
              <w:keepLines w:val="0"/>
              <w:widowControl/>
              <w:suppressLineNumbers w:val="0"/>
              <w:jc w:val="center"/>
              <w:textAlignment w:val="center"/>
              <w:rPr>
                <w:rFonts w:hint="default"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bidi="ar-SA"/>
              </w:rPr>
              <w:t>7000</w:t>
            </w:r>
          </w:p>
        </w:tc>
        <w:tc>
          <w:tcPr>
            <w:tcW w:w="1027" w:type="dxa"/>
            <w:vMerge w:val="continue"/>
            <w:vAlign w:val="center"/>
          </w:tcPr>
          <w:p w14:paraId="6A90AEA6">
            <w:pPr>
              <w:keepNext w:val="0"/>
              <w:keepLines w:val="0"/>
              <w:widowControl/>
              <w:suppressLineNumbers w:val="0"/>
              <w:jc w:val="center"/>
              <w:textAlignment w:val="center"/>
              <w:rPr>
                <w:rFonts w:hint="eastAsia" w:ascii="仿宋" w:hAnsi="仿宋" w:eastAsia="仿宋" w:cs="仿宋"/>
                <w:i w:val="0"/>
                <w:color w:val="FF0000"/>
                <w:sz w:val="22"/>
                <w:szCs w:val="22"/>
                <w:u w:val="none"/>
                <w:lang w:val="en-US" w:eastAsia="zh-CN" w:bidi="ar-SA"/>
              </w:rPr>
            </w:pPr>
          </w:p>
        </w:tc>
      </w:tr>
      <w:tr w14:paraId="1CCB7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vAlign w:val="center"/>
          </w:tcPr>
          <w:p w14:paraId="7C0D4BFB">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3</w:t>
            </w:r>
          </w:p>
        </w:tc>
        <w:tc>
          <w:tcPr>
            <w:tcW w:w="1856" w:type="dxa"/>
            <w:vAlign w:val="center"/>
          </w:tcPr>
          <w:p w14:paraId="027385C9">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二氧化氯消毒片</w:t>
            </w:r>
          </w:p>
        </w:tc>
        <w:tc>
          <w:tcPr>
            <w:tcW w:w="3055" w:type="dxa"/>
            <w:vAlign w:val="center"/>
          </w:tcPr>
          <w:p w14:paraId="09BE874C">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100g/瓶</w:t>
            </w:r>
          </w:p>
          <w:p w14:paraId="5652B238">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有效成分：二氧化氯</w:t>
            </w:r>
          </w:p>
          <w:p w14:paraId="7E676BEE">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含量：二氧化氯10%±1%</w:t>
            </w:r>
          </w:p>
        </w:tc>
        <w:tc>
          <w:tcPr>
            <w:tcW w:w="1290" w:type="dxa"/>
            <w:vAlign w:val="center"/>
          </w:tcPr>
          <w:p w14:paraId="1E4A2ADC">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生活饮用水消毒</w:t>
            </w:r>
          </w:p>
        </w:tc>
        <w:tc>
          <w:tcPr>
            <w:tcW w:w="877" w:type="dxa"/>
            <w:vAlign w:val="center"/>
          </w:tcPr>
          <w:p w14:paraId="7E27EBED">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瓶</w:t>
            </w:r>
          </w:p>
        </w:tc>
        <w:tc>
          <w:tcPr>
            <w:tcW w:w="1133" w:type="dxa"/>
            <w:vAlign w:val="center"/>
          </w:tcPr>
          <w:p w14:paraId="3A2F6F66">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bidi="ar-SA"/>
              </w:rPr>
              <w:t>15000</w:t>
            </w:r>
          </w:p>
        </w:tc>
        <w:tc>
          <w:tcPr>
            <w:tcW w:w="1027" w:type="dxa"/>
            <w:vMerge w:val="continue"/>
            <w:vAlign w:val="center"/>
          </w:tcPr>
          <w:p w14:paraId="3468AB59">
            <w:pPr>
              <w:keepNext w:val="0"/>
              <w:keepLines w:val="0"/>
              <w:widowControl/>
              <w:suppressLineNumbers w:val="0"/>
              <w:jc w:val="center"/>
              <w:textAlignment w:val="center"/>
              <w:rPr>
                <w:rFonts w:hint="eastAsia" w:ascii="仿宋" w:hAnsi="仿宋" w:eastAsia="仿宋" w:cs="仿宋"/>
                <w:i w:val="0"/>
                <w:color w:val="FF0000"/>
                <w:sz w:val="22"/>
                <w:szCs w:val="22"/>
                <w:u w:val="none"/>
                <w:lang w:val="en-US" w:eastAsia="zh-CN" w:bidi="ar-SA"/>
              </w:rPr>
            </w:pPr>
          </w:p>
        </w:tc>
      </w:tr>
      <w:tr w14:paraId="19A95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vAlign w:val="center"/>
          </w:tcPr>
          <w:p w14:paraId="1F83E2CE">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4</w:t>
            </w:r>
          </w:p>
        </w:tc>
        <w:tc>
          <w:tcPr>
            <w:tcW w:w="1856" w:type="dxa"/>
            <w:vAlign w:val="center"/>
          </w:tcPr>
          <w:p w14:paraId="78207903">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二氧化氯消毒片</w:t>
            </w:r>
          </w:p>
        </w:tc>
        <w:tc>
          <w:tcPr>
            <w:tcW w:w="3055" w:type="dxa"/>
            <w:vAlign w:val="center"/>
          </w:tcPr>
          <w:p w14:paraId="0D36A2FA">
            <w:pPr>
              <w:keepNext w:val="0"/>
              <w:keepLines w:val="0"/>
              <w:widowControl/>
              <w:suppressLineNumbers w:val="0"/>
              <w:jc w:val="left"/>
              <w:textAlignment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sz w:val="22"/>
                <w:szCs w:val="22"/>
                <w:u w:val="none"/>
                <w:lang w:val="en-US" w:eastAsia="zh-CN"/>
              </w:rPr>
              <w:t>1000g/袋</w:t>
            </w:r>
          </w:p>
          <w:p w14:paraId="58D28C69">
            <w:pPr>
              <w:keepNext w:val="0"/>
              <w:keepLines w:val="0"/>
              <w:widowControl/>
              <w:suppressLineNumbers w:val="0"/>
              <w:jc w:val="left"/>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有效成分：二氧化氯</w:t>
            </w:r>
          </w:p>
          <w:p w14:paraId="176E9AA1">
            <w:pPr>
              <w:keepNext w:val="0"/>
              <w:keepLines w:val="0"/>
              <w:widowControl/>
              <w:suppressLineNumbers w:val="0"/>
              <w:jc w:val="left"/>
              <w:textAlignment w:val="center"/>
              <w:rPr>
                <w:rFonts w:hint="eastAsia" w:ascii="仿宋" w:hAnsi="仿宋" w:eastAsia="仿宋" w:cs="仿宋"/>
                <w:i w:val="0"/>
                <w:color w:val="auto"/>
                <w:sz w:val="22"/>
                <w:szCs w:val="22"/>
                <w:u w:val="none"/>
                <w:lang w:val="en-US" w:eastAsia="zh-CN"/>
              </w:rPr>
            </w:pPr>
            <w:r>
              <w:rPr>
                <w:rFonts w:hint="eastAsia" w:ascii="仿宋" w:hAnsi="仿宋" w:eastAsia="仿宋" w:cs="仿宋"/>
                <w:i w:val="0"/>
                <w:color w:val="auto"/>
                <w:kern w:val="0"/>
                <w:sz w:val="22"/>
                <w:szCs w:val="22"/>
                <w:u w:val="none"/>
                <w:lang w:val="en-US" w:eastAsia="zh-CN" w:bidi="ar"/>
              </w:rPr>
              <w:t>含量：二氧化氯10%±1%</w:t>
            </w:r>
          </w:p>
        </w:tc>
        <w:tc>
          <w:tcPr>
            <w:tcW w:w="1290" w:type="dxa"/>
            <w:vAlign w:val="center"/>
          </w:tcPr>
          <w:p w14:paraId="72CFDF5D">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生活饮用水消毒</w:t>
            </w:r>
          </w:p>
        </w:tc>
        <w:tc>
          <w:tcPr>
            <w:tcW w:w="877" w:type="dxa"/>
            <w:vAlign w:val="center"/>
          </w:tcPr>
          <w:p w14:paraId="0CE6A7D8">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袋</w:t>
            </w:r>
          </w:p>
        </w:tc>
        <w:tc>
          <w:tcPr>
            <w:tcW w:w="1133" w:type="dxa"/>
            <w:vAlign w:val="center"/>
          </w:tcPr>
          <w:p w14:paraId="10721561">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3000</w:t>
            </w:r>
          </w:p>
        </w:tc>
        <w:tc>
          <w:tcPr>
            <w:tcW w:w="1027" w:type="dxa"/>
            <w:vMerge w:val="continue"/>
            <w:vAlign w:val="center"/>
          </w:tcPr>
          <w:p w14:paraId="5EABF45B">
            <w:pPr>
              <w:keepNext w:val="0"/>
              <w:keepLines w:val="0"/>
              <w:widowControl/>
              <w:suppressLineNumbers w:val="0"/>
              <w:jc w:val="center"/>
              <w:textAlignment w:val="center"/>
              <w:rPr>
                <w:rFonts w:hint="eastAsia" w:ascii="仿宋" w:hAnsi="仿宋" w:eastAsia="仿宋" w:cs="仿宋"/>
                <w:i w:val="0"/>
                <w:color w:val="FF0000"/>
                <w:sz w:val="22"/>
                <w:szCs w:val="22"/>
                <w:u w:val="none"/>
                <w:lang w:val="en-US" w:eastAsia="zh-CN"/>
              </w:rPr>
            </w:pPr>
          </w:p>
        </w:tc>
      </w:tr>
      <w:tr w14:paraId="67C97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vAlign w:val="center"/>
          </w:tcPr>
          <w:p w14:paraId="727289E3">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5</w:t>
            </w:r>
          </w:p>
        </w:tc>
        <w:tc>
          <w:tcPr>
            <w:tcW w:w="1856" w:type="dxa"/>
            <w:vAlign w:val="center"/>
          </w:tcPr>
          <w:p w14:paraId="4D4B6A3B">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漂粉精片</w:t>
            </w:r>
          </w:p>
        </w:tc>
        <w:tc>
          <w:tcPr>
            <w:tcW w:w="3055" w:type="dxa"/>
            <w:vAlign w:val="center"/>
          </w:tcPr>
          <w:p w14:paraId="2D4898E0">
            <w:pPr>
              <w:keepNext w:val="0"/>
              <w:keepLines w:val="0"/>
              <w:widowControl/>
              <w:suppressLineNumbers w:val="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500g/瓶</w:t>
            </w:r>
          </w:p>
          <w:p w14:paraId="207A6D3F">
            <w:pPr>
              <w:keepNext w:val="0"/>
              <w:keepLines w:val="0"/>
              <w:widowControl/>
              <w:suppressLineNumbers w:val="0"/>
              <w:jc w:val="both"/>
              <w:textAlignment w:val="center"/>
              <w:rPr>
                <w:rFonts w:hint="eastAsia"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有效成分：次氯酸钙</w:t>
            </w:r>
          </w:p>
          <w:p w14:paraId="3195D99C">
            <w:pPr>
              <w:keepNext w:val="0"/>
              <w:keepLines w:val="0"/>
              <w:widowControl/>
              <w:suppressLineNumbers w:val="0"/>
              <w:jc w:val="both"/>
              <w:textAlignment w:val="center"/>
              <w:rPr>
                <w:rFonts w:hint="default" w:ascii="仿宋" w:hAnsi="仿宋" w:eastAsia="仿宋" w:cs="仿宋"/>
                <w:i w:val="0"/>
                <w:color w:val="auto"/>
                <w:kern w:val="0"/>
                <w:sz w:val="22"/>
                <w:szCs w:val="22"/>
                <w:u w:val="none"/>
                <w:lang w:val="en-US" w:eastAsia="zh-CN" w:bidi="ar"/>
              </w:rPr>
            </w:pPr>
            <w:r>
              <w:rPr>
                <w:rFonts w:hint="eastAsia" w:ascii="仿宋" w:hAnsi="仿宋" w:eastAsia="仿宋" w:cs="仿宋"/>
                <w:i w:val="0"/>
                <w:color w:val="auto"/>
                <w:kern w:val="0"/>
                <w:sz w:val="22"/>
                <w:szCs w:val="22"/>
                <w:u w:val="none"/>
                <w:lang w:val="en-US" w:eastAsia="zh-CN" w:bidi="ar"/>
              </w:rPr>
              <w:t>含量：有效氯含量45%-55%</w:t>
            </w:r>
          </w:p>
        </w:tc>
        <w:tc>
          <w:tcPr>
            <w:tcW w:w="1290" w:type="dxa"/>
            <w:vAlign w:val="center"/>
          </w:tcPr>
          <w:p w14:paraId="19319C82">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生活饮用水消毒</w:t>
            </w:r>
          </w:p>
        </w:tc>
        <w:tc>
          <w:tcPr>
            <w:tcW w:w="877" w:type="dxa"/>
            <w:vAlign w:val="center"/>
          </w:tcPr>
          <w:p w14:paraId="0A751950">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eastAsia="zh-CN"/>
              </w:rPr>
              <w:t>瓶</w:t>
            </w:r>
          </w:p>
        </w:tc>
        <w:tc>
          <w:tcPr>
            <w:tcW w:w="1133" w:type="dxa"/>
            <w:vAlign w:val="center"/>
          </w:tcPr>
          <w:p w14:paraId="4962490C">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6000</w:t>
            </w:r>
          </w:p>
        </w:tc>
        <w:tc>
          <w:tcPr>
            <w:tcW w:w="1027" w:type="dxa"/>
            <w:vMerge w:val="continue"/>
            <w:vAlign w:val="center"/>
          </w:tcPr>
          <w:p w14:paraId="3ABD6870">
            <w:pPr>
              <w:keepNext w:val="0"/>
              <w:keepLines w:val="0"/>
              <w:widowControl/>
              <w:suppressLineNumbers w:val="0"/>
              <w:jc w:val="center"/>
              <w:textAlignment w:val="center"/>
              <w:rPr>
                <w:rFonts w:hint="eastAsia" w:ascii="仿宋" w:hAnsi="仿宋" w:eastAsia="仿宋" w:cs="仿宋"/>
                <w:i w:val="0"/>
                <w:color w:val="FF0000"/>
                <w:sz w:val="22"/>
                <w:szCs w:val="22"/>
                <w:u w:val="none"/>
                <w:lang w:val="en-US" w:eastAsia="zh-CN"/>
              </w:rPr>
            </w:pPr>
          </w:p>
        </w:tc>
      </w:tr>
      <w:tr w14:paraId="3E875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vAlign w:val="center"/>
          </w:tcPr>
          <w:p w14:paraId="711BB294">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6</w:t>
            </w:r>
          </w:p>
        </w:tc>
        <w:tc>
          <w:tcPr>
            <w:tcW w:w="1856" w:type="dxa"/>
            <w:vAlign w:val="center"/>
          </w:tcPr>
          <w:p w14:paraId="47AEC661">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余氯检测试纸</w:t>
            </w:r>
          </w:p>
        </w:tc>
        <w:tc>
          <w:tcPr>
            <w:tcW w:w="3055" w:type="dxa"/>
            <w:vAlign w:val="center"/>
          </w:tcPr>
          <w:p w14:paraId="59FF55FF">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0-10mg/L （50片）</w:t>
            </w:r>
          </w:p>
        </w:tc>
        <w:tc>
          <w:tcPr>
            <w:tcW w:w="1290" w:type="dxa"/>
            <w:vAlign w:val="center"/>
          </w:tcPr>
          <w:p w14:paraId="521527A1">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生活饮用水</w:t>
            </w:r>
          </w:p>
        </w:tc>
        <w:tc>
          <w:tcPr>
            <w:tcW w:w="877" w:type="dxa"/>
            <w:vAlign w:val="center"/>
          </w:tcPr>
          <w:p w14:paraId="7C1DB2B5">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盒</w:t>
            </w:r>
          </w:p>
        </w:tc>
        <w:tc>
          <w:tcPr>
            <w:tcW w:w="1133" w:type="dxa"/>
            <w:vAlign w:val="center"/>
          </w:tcPr>
          <w:p w14:paraId="7AF66B0F">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500</w:t>
            </w:r>
          </w:p>
        </w:tc>
        <w:tc>
          <w:tcPr>
            <w:tcW w:w="1027" w:type="dxa"/>
            <w:vMerge w:val="continue"/>
            <w:vAlign w:val="center"/>
          </w:tcPr>
          <w:p w14:paraId="5CFD7AB2">
            <w:pPr>
              <w:keepNext w:val="0"/>
              <w:keepLines w:val="0"/>
              <w:widowControl/>
              <w:suppressLineNumbers w:val="0"/>
              <w:jc w:val="center"/>
              <w:textAlignment w:val="center"/>
              <w:rPr>
                <w:rFonts w:hint="eastAsia" w:ascii="仿宋" w:hAnsi="仿宋" w:eastAsia="仿宋" w:cs="仿宋"/>
                <w:i w:val="0"/>
                <w:color w:val="FF0000"/>
                <w:sz w:val="22"/>
                <w:szCs w:val="22"/>
                <w:u w:val="none"/>
                <w:lang w:val="en-US" w:eastAsia="zh-CN"/>
              </w:rPr>
            </w:pPr>
          </w:p>
        </w:tc>
      </w:tr>
      <w:tr w14:paraId="1D8F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2" w:type="dxa"/>
            <w:vAlign w:val="center"/>
          </w:tcPr>
          <w:p w14:paraId="40EF35BD">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7</w:t>
            </w:r>
          </w:p>
        </w:tc>
        <w:tc>
          <w:tcPr>
            <w:tcW w:w="1856" w:type="dxa"/>
            <w:vAlign w:val="center"/>
          </w:tcPr>
          <w:p w14:paraId="1A4F6E28">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消毒药品投放器</w:t>
            </w:r>
          </w:p>
        </w:tc>
        <w:tc>
          <w:tcPr>
            <w:tcW w:w="3055" w:type="dxa"/>
            <w:vAlign w:val="center"/>
          </w:tcPr>
          <w:p w14:paraId="17D03604">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≥5寸</w:t>
            </w:r>
          </w:p>
        </w:tc>
        <w:tc>
          <w:tcPr>
            <w:tcW w:w="1290" w:type="dxa"/>
            <w:vAlign w:val="center"/>
          </w:tcPr>
          <w:p w14:paraId="16D713D7">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生活饮用水</w:t>
            </w:r>
          </w:p>
        </w:tc>
        <w:tc>
          <w:tcPr>
            <w:tcW w:w="877" w:type="dxa"/>
            <w:vAlign w:val="center"/>
          </w:tcPr>
          <w:p w14:paraId="6D5CC5C8">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kern w:val="0"/>
                <w:sz w:val="22"/>
                <w:szCs w:val="22"/>
                <w:u w:val="none"/>
                <w:lang w:val="en-US" w:eastAsia="zh-CN" w:bidi="ar"/>
              </w:rPr>
              <w:t>个</w:t>
            </w:r>
          </w:p>
        </w:tc>
        <w:tc>
          <w:tcPr>
            <w:tcW w:w="1133" w:type="dxa"/>
            <w:vAlign w:val="center"/>
          </w:tcPr>
          <w:p w14:paraId="52023DA4">
            <w:pPr>
              <w:keepNext w:val="0"/>
              <w:keepLines w:val="0"/>
              <w:widowControl/>
              <w:suppressLineNumbers w:val="0"/>
              <w:jc w:val="center"/>
              <w:textAlignment w:val="center"/>
              <w:rPr>
                <w:rFonts w:hint="eastAsia" w:ascii="仿宋" w:hAnsi="仿宋" w:eastAsia="仿宋" w:cs="仿宋"/>
                <w:b w:val="0"/>
                <w:bCs w:val="0"/>
                <w:color w:val="auto"/>
                <w:kern w:val="32"/>
                <w:sz w:val="21"/>
                <w:szCs w:val="21"/>
                <w:u w:val="none"/>
                <w:vertAlign w:val="baseline"/>
                <w:lang w:val="en-US" w:eastAsia="zh-CN" w:bidi="ar-SA"/>
              </w:rPr>
            </w:pPr>
            <w:r>
              <w:rPr>
                <w:rFonts w:hint="eastAsia" w:ascii="仿宋" w:hAnsi="仿宋" w:eastAsia="仿宋" w:cs="仿宋"/>
                <w:i w:val="0"/>
                <w:color w:val="auto"/>
                <w:sz w:val="22"/>
                <w:szCs w:val="22"/>
                <w:u w:val="none"/>
                <w:lang w:val="en-US" w:eastAsia="zh-CN"/>
              </w:rPr>
              <w:t>500</w:t>
            </w:r>
          </w:p>
        </w:tc>
        <w:tc>
          <w:tcPr>
            <w:tcW w:w="1027" w:type="dxa"/>
            <w:vMerge w:val="continue"/>
            <w:vAlign w:val="center"/>
          </w:tcPr>
          <w:p w14:paraId="73AA03E8">
            <w:pPr>
              <w:keepNext w:val="0"/>
              <w:keepLines w:val="0"/>
              <w:widowControl/>
              <w:suppressLineNumbers w:val="0"/>
              <w:jc w:val="center"/>
              <w:textAlignment w:val="center"/>
              <w:rPr>
                <w:rFonts w:hint="eastAsia" w:ascii="仿宋" w:hAnsi="仿宋" w:eastAsia="仿宋" w:cs="仿宋"/>
                <w:i w:val="0"/>
                <w:color w:val="FF0000"/>
                <w:sz w:val="22"/>
                <w:szCs w:val="22"/>
                <w:u w:val="none"/>
                <w:lang w:val="en-US" w:eastAsia="zh-CN"/>
              </w:rPr>
            </w:pPr>
          </w:p>
        </w:tc>
      </w:tr>
    </w:tbl>
    <w:p w14:paraId="209241D8">
      <w:pPr>
        <w:numPr>
          <w:ilvl w:val="0"/>
          <w:numId w:val="0"/>
        </w:numPr>
        <w:shd w:val="clear"/>
        <w:spacing w:line="240" w:lineRule="auto"/>
        <w:ind w:firstLine="482" w:firstLineChars="200"/>
        <w:rPr>
          <w:rFonts w:hint="eastAsia" w:ascii="仿宋" w:hAnsi="仿宋" w:eastAsia="仿宋" w:cs="仿宋"/>
          <w:b/>
          <w:color w:val="auto"/>
          <w:sz w:val="28"/>
          <w:szCs w:val="16"/>
          <w:highlight w:val="none"/>
        </w:rPr>
      </w:pPr>
      <w:r>
        <w:rPr>
          <w:rFonts w:hint="eastAsia" w:ascii="仿宋" w:hAnsi="仿宋" w:eastAsia="仿宋" w:cs="仿宋"/>
          <w:b/>
          <w:bCs/>
          <w:color w:val="auto"/>
          <w:sz w:val="24"/>
          <w:szCs w:val="24"/>
          <w:highlight w:val="none"/>
          <w:lang w:val="en-US" w:eastAsia="zh-CN"/>
        </w:rPr>
        <w:t>注：</w:t>
      </w:r>
      <w:r>
        <w:rPr>
          <w:rFonts w:hint="eastAsia" w:ascii="仿宋" w:hAnsi="仿宋" w:eastAsia="仿宋" w:cs="仿宋"/>
          <w:b/>
          <w:bCs/>
          <w:i w:val="0"/>
          <w:iCs w:val="0"/>
          <w:color w:val="auto"/>
          <w:kern w:val="0"/>
          <w:sz w:val="24"/>
          <w:szCs w:val="24"/>
          <w:highlight w:val="none"/>
          <w:u w:val="none"/>
          <w:lang w:val="en-US" w:eastAsia="zh-CN" w:bidi="ar"/>
        </w:rPr>
        <w:t>标“#”为本项目核心产品。</w:t>
      </w:r>
    </w:p>
    <w:p w14:paraId="08F38E6F">
      <w:pPr>
        <w:keepNext w:val="0"/>
        <w:keepLines w:val="0"/>
        <w:pageBreakBefore w:val="0"/>
        <w:shd w:val="clear"/>
        <w:kinsoku/>
        <w:wordWrap/>
        <w:overflowPunct/>
        <w:topLinePunct w:val="0"/>
        <w:bidi w:val="0"/>
        <w:adjustRightInd/>
        <w:snapToGrid w:val="0"/>
        <w:spacing w:line="356" w:lineRule="auto"/>
        <w:outlineLvl w:val="1"/>
        <w:rPr>
          <w:rFonts w:hint="eastAsia" w:ascii="仿宋" w:hAnsi="仿宋" w:eastAsia="仿宋" w:cs="仿宋"/>
          <w:b/>
          <w:color w:val="auto"/>
          <w:sz w:val="28"/>
          <w:szCs w:val="16"/>
          <w:highlight w:val="none"/>
        </w:rPr>
      </w:pPr>
      <w:r>
        <w:rPr>
          <w:rFonts w:hint="eastAsia" w:ascii="仿宋" w:hAnsi="仿宋" w:eastAsia="仿宋" w:cs="仿宋"/>
          <w:b/>
          <w:color w:val="auto"/>
          <w:sz w:val="28"/>
          <w:szCs w:val="16"/>
          <w:highlight w:val="none"/>
        </w:rPr>
        <w:t>二、商务要求</w:t>
      </w:r>
      <w:bookmarkEnd w:id="342"/>
    </w:p>
    <w:p w14:paraId="27384CA0">
      <w:pPr>
        <w:keepNext w:val="0"/>
        <w:keepLines w:val="0"/>
        <w:pageBreakBefore w:val="0"/>
        <w:shd w:val="clear"/>
        <w:kinsoku/>
        <w:wordWrap/>
        <w:overflowPunct/>
        <w:topLinePunct w:val="0"/>
        <w:bidi w:val="0"/>
        <w:adjustRightInd/>
        <w:snapToGrid w:val="0"/>
        <w:spacing w:line="356" w:lineRule="auto"/>
        <w:rPr>
          <w:rFonts w:hint="eastAsia" w:ascii="仿宋" w:hAnsi="仿宋" w:eastAsia="仿宋" w:cs="仿宋"/>
          <w:color w:val="auto"/>
          <w:kern w:val="2"/>
          <w:sz w:val="21"/>
          <w:szCs w:val="21"/>
          <w:highlight w:val="none"/>
          <w:lang w:val="en-US" w:eastAsia="zh-CN"/>
        </w:rPr>
      </w:pPr>
      <w:r>
        <w:rPr>
          <w:rFonts w:hint="eastAsia" w:ascii="仿宋" w:hAnsi="仿宋" w:eastAsia="仿宋" w:cs="仿宋"/>
          <w:b/>
          <w:color w:val="auto"/>
          <w:szCs w:val="21"/>
          <w:highlight w:val="none"/>
        </w:rPr>
        <w:t>1、</w:t>
      </w:r>
      <w:r>
        <w:rPr>
          <w:rFonts w:hint="eastAsia" w:ascii="仿宋" w:hAnsi="仿宋" w:eastAsia="仿宋" w:cs="仿宋"/>
          <w:b/>
          <w:color w:val="auto"/>
          <w:szCs w:val="21"/>
          <w:highlight w:val="none"/>
          <w:lang w:eastAsia="zh-CN"/>
        </w:rPr>
        <w:t>交货期、</w:t>
      </w:r>
      <w:r>
        <w:rPr>
          <w:rFonts w:hint="eastAsia" w:ascii="仿宋" w:hAnsi="仿宋" w:eastAsia="仿宋" w:cs="仿宋"/>
          <w:b/>
          <w:color w:val="auto"/>
          <w:szCs w:val="21"/>
          <w:highlight w:val="none"/>
        </w:rPr>
        <w:t>质保期及</w:t>
      </w:r>
      <w:r>
        <w:rPr>
          <w:rFonts w:hint="eastAsia" w:ascii="仿宋" w:hAnsi="仿宋" w:eastAsia="仿宋" w:cs="仿宋"/>
          <w:b/>
          <w:color w:val="auto"/>
          <w:szCs w:val="21"/>
          <w:highlight w:val="none"/>
          <w:lang w:val="en-US" w:eastAsia="zh-CN"/>
        </w:rPr>
        <w:t>交付地点</w:t>
      </w:r>
    </w:p>
    <w:p w14:paraId="29E21659">
      <w:pPr>
        <w:keepNext w:val="0"/>
        <w:keepLines w:val="0"/>
        <w:pageBreakBefore w:val="0"/>
        <w:shd w:val="clear"/>
        <w:kinsoku/>
        <w:wordWrap/>
        <w:overflowPunct/>
        <w:topLinePunct w:val="0"/>
        <w:bidi w:val="0"/>
        <w:adjustRightInd/>
        <w:snapToGrid w:val="0"/>
        <w:spacing w:line="356" w:lineRule="auto"/>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w:t>
      </w:r>
      <w:r>
        <w:rPr>
          <w:rFonts w:hint="eastAsia" w:ascii="仿宋" w:hAnsi="仿宋" w:eastAsia="仿宋" w:cs="仿宋"/>
          <w:color w:val="auto"/>
          <w:szCs w:val="21"/>
          <w:highlight w:val="none"/>
          <w:lang w:eastAsia="zh-CN"/>
        </w:rPr>
        <w:t>交货期</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2024-2025年度（按采购人需求进行供货）</w:t>
      </w:r>
      <w:r>
        <w:rPr>
          <w:rFonts w:hint="eastAsia" w:ascii="仿宋" w:hAnsi="仿宋" w:eastAsia="仿宋" w:cs="仿宋"/>
          <w:color w:val="auto"/>
          <w:szCs w:val="21"/>
          <w:highlight w:val="none"/>
        </w:rPr>
        <w:t>；</w:t>
      </w:r>
    </w:p>
    <w:p w14:paraId="5647A4A6">
      <w:pPr>
        <w:pStyle w:val="57"/>
        <w:keepNext w:val="0"/>
        <w:keepLines w:val="0"/>
        <w:pageBreakBefore w:val="0"/>
        <w:shd w:val="clear"/>
        <w:kinsoku/>
        <w:wordWrap/>
        <w:overflowPunct/>
        <w:topLinePunct w:val="0"/>
        <w:bidi w:val="0"/>
        <w:adjustRightInd/>
        <w:snapToGrid w:val="0"/>
        <w:spacing w:line="356" w:lineRule="auto"/>
        <w:ind w:firstLine="619" w:firstLineChars="295"/>
        <w:rPr>
          <w:rFonts w:hint="eastAsia" w:ascii="仿宋" w:hAnsi="仿宋" w:eastAsia="仿宋" w:cs="仿宋"/>
          <w:color w:val="auto"/>
          <w:kern w:val="2"/>
          <w:sz w:val="21"/>
          <w:szCs w:val="21"/>
          <w:highlight w:val="none"/>
          <w:lang w:eastAsia="zh-CN"/>
        </w:rPr>
      </w:pPr>
      <w:r>
        <w:rPr>
          <w:rFonts w:hint="eastAsia" w:ascii="仿宋" w:hAnsi="仿宋" w:eastAsia="仿宋" w:cs="仿宋"/>
          <w:color w:val="auto"/>
          <w:sz w:val="21"/>
          <w:szCs w:val="21"/>
          <w:highlight w:val="none"/>
        </w:rPr>
        <w:t>1.2</w:t>
      </w:r>
      <w:r>
        <w:rPr>
          <w:rFonts w:hint="eastAsia" w:ascii="仿宋" w:hAnsi="仿宋" w:eastAsia="仿宋" w:cs="仿宋"/>
          <w:color w:val="auto"/>
          <w:kern w:val="2"/>
          <w:sz w:val="21"/>
          <w:szCs w:val="21"/>
          <w:highlight w:val="none"/>
        </w:rPr>
        <w:t>、质保期：</w:t>
      </w:r>
      <w:r>
        <w:rPr>
          <w:rFonts w:hint="eastAsia" w:ascii="仿宋" w:hAnsi="仿宋" w:eastAsia="仿宋" w:cs="仿宋"/>
          <w:color w:val="auto"/>
          <w:kern w:val="2"/>
          <w:sz w:val="21"/>
          <w:szCs w:val="21"/>
          <w:highlight w:val="none"/>
          <w:lang w:val="en-US" w:eastAsia="zh-CN"/>
        </w:rPr>
        <w:t>1年</w:t>
      </w:r>
      <w:r>
        <w:rPr>
          <w:rFonts w:hint="eastAsia" w:ascii="仿宋" w:hAnsi="仿宋" w:eastAsia="仿宋" w:cs="仿宋"/>
          <w:color w:val="auto"/>
          <w:kern w:val="2"/>
          <w:sz w:val="21"/>
          <w:szCs w:val="21"/>
          <w:highlight w:val="none"/>
          <w:lang w:eastAsia="zh-CN"/>
        </w:rPr>
        <w:t>。</w:t>
      </w:r>
    </w:p>
    <w:p w14:paraId="7F6305F7">
      <w:pPr>
        <w:pStyle w:val="57"/>
        <w:keepNext w:val="0"/>
        <w:keepLines w:val="0"/>
        <w:pageBreakBefore w:val="0"/>
        <w:shd w:val="clear"/>
        <w:kinsoku/>
        <w:wordWrap/>
        <w:overflowPunct/>
        <w:topLinePunct w:val="0"/>
        <w:bidi w:val="0"/>
        <w:adjustRightInd/>
        <w:snapToGrid w:val="0"/>
        <w:spacing w:line="356" w:lineRule="auto"/>
        <w:ind w:firstLine="619" w:firstLineChars="295"/>
        <w:rPr>
          <w:rFonts w:hint="eastAsia" w:ascii="仿宋" w:hAnsi="仿宋" w:eastAsia="仿宋" w:cs="仿宋"/>
          <w:color w:val="auto"/>
          <w:kern w:val="2"/>
          <w:sz w:val="21"/>
          <w:szCs w:val="21"/>
          <w:highlight w:val="none"/>
          <w:lang w:val="en-US" w:eastAsia="zh-CN"/>
        </w:rPr>
      </w:pPr>
      <w:r>
        <w:rPr>
          <w:rFonts w:hint="eastAsia" w:ascii="仿宋" w:hAnsi="仿宋" w:eastAsia="仿宋" w:cs="仿宋"/>
          <w:color w:val="auto"/>
          <w:kern w:val="2"/>
          <w:sz w:val="21"/>
          <w:szCs w:val="21"/>
          <w:highlight w:val="none"/>
          <w:lang w:val="en-US" w:eastAsia="zh-CN"/>
        </w:rPr>
        <w:t>1.3、交付地点：采购人指定地点。</w:t>
      </w:r>
    </w:p>
    <w:p w14:paraId="4101AFFF">
      <w:pPr>
        <w:pStyle w:val="38"/>
        <w:keepNext w:val="0"/>
        <w:keepLines w:val="0"/>
        <w:pageBreakBefore w:val="0"/>
        <w:shd w:val="clear"/>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b/>
          <w:color w:val="auto"/>
          <w:kern w:val="2"/>
          <w:sz w:val="21"/>
          <w:szCs w:val="21"/>
          <w:highlight w:val="none"/>
          <w:lang w:val="en-US" w:eastAsia="zh-CN" w:bidi="ar-SA"/>
        </w:rPr>
      </w:pPr>
      <w:r>
        <w:rPr>
          <w:rFonts w:hint="eastAsia" w:ascii="仿宋" w:hAnsi="仿宋" w:eastAsia="仿宋" w:cs="仿宋"/>
          <w:b/>
          <w:color w:val="auto"/>
          <w:kern w:val="2"/>
          <w:sz w:val="21"/>
          <w:szCs w:val="21"/>
          <w:highlight w:val="none"/>
          <w:lang w:val="en-US" w:eastAsia="zh-CN" w:bidi="ar-SA"/>
        </w:rPr>
        <w:t>2、款项结算</w:t>
      </w:r>
    </w:p>
    <w:p w14:paraId="4A2A2528">
      <w:pPr>
        <w:pStyle w:val="38"/>
        <w:keepNext w:val="0"/>
        <w:keepLines w:val="0"/>
        <w:pageBreakBefore w:val="0"/>
        <w:shd w:val="clear"/>
        <w:kinsoku/>
        <w:wordWrap/>
        <w:overflowPunct/>
        <w:topLinePunct w:val="0"/>
        <w:autoSpaceDE/>
        <w:autoSpaceDN/>
        <w:bidi w:val="0"/>
        <w:adjustRightInd w:val="0"/>
        <w:snapToGrid w:val="0"/>
        <w:spacing w:before="0" w:beforeAutospacing="0" w:after="0" w:afterAutospacing="0" w:line="336" w:lineRule="auto"/>
        <w:ind w:firstLine="523" w:firstLineChars="238"/>
        <w:textAlignment w:val="auto"/>
        <w:rPr>
          <w:rFonts w:hint="eastAsia" w:ascii="仿宋" w:hAnsi="仿宋" w:eastAsia="仿宋" w:cs="仿宋"/>
          <w:color w:val="auto"/>
          <w:sz w:val="22"/>
          <w:szCs w:val="22"/>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.1、结算方式：银行转账</w:t>
      </w:r>
    </w:p>
    <w:p w14:paraId="2A02A99B">
      <w:pPr>
        <w:pStyle w:val="38"/>
        <w:keepNext w:val="0"/>
        <w:keepLines w:val="0"/>
        <w:pageBreakBefore w:val="0"/>
        <w:shd w:val="clear"/>
        <w:kinsoku/>
        <w:wordWrap/>
        <w:overflowPunct/>
        <w:topLinePunct w:val="0"/>
        <w:autoSpaceDE/>
        <w:autoSpaceDN/>
        <w:bidi w:val="0"/>
        <w:adjustRightInd w:val="0"/>
        <w:snapToGrid w:val="0"/>
        <w:spacing w:before="0" w:beforeAutospacing="0" w:after="0" w:afterAutospacing="0" w:line="336" w:lineRule="auto"/>
        <w:ind w:firstLine="523" w:firstLineChars="238"/>
        <w:textAlignment w:val="auto"/>
        <w:rPr>
          <w:rFonts w:hint="default" w:ascii="仿宋" w:hAnsi="仿宋" w:eastAsia="仿宋" w:cs="仿宋"/>
          <w:b w:val="0"/>
          <w:bCs/>
          <w:color w:val="auto"/>
          <w:kern w:val="2"/>
          <w:szCs w:val="21"/>
          <w:highlight w:val="none"/>
          <w:lang w:val="en-US" w:eastAsia="zh-CN"/>
        </w:rPr>
      </w:pPr>
      <w:r>
        <w:rPr>
          <w:rFonts w:hint="eastAsia" w:ascii="仿宋" w:hAnsi="仿宋" w:eastAsia="仿宋" w:cs="仿宋"/>
          <w:color w:val="auto"/>
          <w:sz w:val="22"/>
          <w:szCs w:val="22"/>
          <w:lang w:val="en-US" w:eastAsia="zh-CN"/>
        </w:rPr>
        <w:t>3</w:t>
      </w:r>
      <w:r>
        <w:rPr>
          <w:rFonts w:hint="eastAsia" w:ascii="仿宋" w:hAnsi="仿宋" w:eastAsia="仿宋" w:cs="仿宋"/>
          <w:color w:val="auto"/>
          <w:sz w:val="22"/>
          <w:szCs w:val="22"/>
        </w:rPr>
        <w:t>.2、付款计划：根据项目进度进行支付。</w:t>
      </w:r>
    </w:p>
    <w:p w14:paraId="7262AC30">
      <w:pPr>
        <w:pStyle w:val="14"/>
        <w:keepNext w:val="0"/>
        <w:keepLines w:val="0"/>
        <w:pageBreakBefore w:val="0"/>
        <w:shd w:val="clear"/>
        <w:kinsoku/>
        <w:wordWrap/>
        <w:overflowPunct/>
        <w:topLinePunct w:val="0"/>
        <w:bidi w:val="0"/>
        <w:adjustRightInd/>
        <w:snapToGrid w:val="0"/>
        <w:spacing w:after="0" w:line="356" w:lineRule="auto"/>
        <w:ind w:left="0" w:leftChars="0" w:firstLine="0" w:firstLineChars="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3</w:t>
      </w:r>
      <w:r>
        <w:rPr>
          <w:rFonts w:hint="eastAsia" w:ascii="仿宋" w:hAnsi="仿宋" w:eastAsia="仿宋" w:cs="仿宋"/>
          <w:bCs/>
          <w:color w:val="auto"/>
          <w:szCs w:val="21"/>
          <w:highlight w:val="none"/>
        </w:rPr>
        <w:t>、质量保证</w:t>
      </w:r>
    </w:p>
    <w:p w14:paraId="12D18B9F">
      <w:pPr>
        <w:pStyle w:val="41"/>
        <w:keepNext w:val="0"/>
        <w:keepLines w:val="0"/>
        <w:pageBreakBefore w:val="0"/>
        <w:shd w:val="clear"/>
        <w:kinsoku/>
        <w:wordWrap/>
        <w:overflowPunct/>
        <w:topLinePunct w:val="0"/>
        <w:bidi w:val="0"/>
        <w:adjustRightInd/>
        <w:snapToGrid w:val="0"/>
        <w:spacing w:after="0" w:line="356" w:lineRule="auto"/>
        <w:ind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4.1、本项目所有货物质量必须符合国家有关规范和相关政策。所有货物必须是未使用过的新货物，质量优良、渠道正当，配置合理。</w:t>
      </w:r>
    </w:p>
    <w:p w14:paraId="12F8A458">
      <w:pPr>
        <w:pStyle w:val="41"/>
        <w:keepNext w:val="0"/>
        <w:keepLines w:val="0"/>
        <w:pageBreakBefore w:val="0"/>
        <w:shd w:val="clear"/>
        <w:kinsoku/>
        <w:wordWrap/>
        <w:overflowPunct/>
        <w:topLinePunct w:val="0"/>
        <w:bidi w:val="0"/>
        <w:adjustRightInd/>
        <w:snapToGrid w:val="0"/>
        <w:spacing w:after="0" w:line="356" w:lineRule="auto"/>
        <w:ind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4.2、质保期出现的质量问题由中标人负责解决并承担所有费用。</w:t>
      </w:r>
    </w:p>
    <w:p w14:paraId="3BC59EAE">
      <w:pPr>
        <w:pStyle w:val="41"/>
        <w:keepNext w:val="0"/>
        <w:keepLines w:val="0"/>
        <w:pageBreakBefore w:val="0"/>
        <w:shd w:val="clear"/>
        <w:kinsoku/>
        <w:wordWrap/>
        <w:overflowPunct/>
        <w:topLinePunct w:val="0"/>
        <w:bidi w:val="0"/>
        <w:adjustRightInd/>
        <w:snapToGrid w:val="0"/>
        <w:spacing w:after="0" w:line="356" w:lineRule="auto"/>
        <w:ind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4.3</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中标人应提供所投的产品的合格证、检测报告、产品说明及使用手册等资料，所投产品中有害物质限量必须符合国家相关环保标准。</w:t>
      </w:r>
    </w:p>
    <w:p w14:paraId="5C77018F">
      <w:pPr>
        <w:pStyle w:val="41"/>
        <w:keepNext w:val="0"/>
        <w:keepLines w:val="0"/>
        <w:pageBreakBefore w:val="0"/>
        <w:shd w:val="clear"/>
        <w:kinsoku/>
        <w:wordWrap/>
        <w:overflowPunct/>
        <w:topLinePunct w:val="0"/>
        <w:bidi w:val="0"/>
        <w:adjustRightInd/>
        <w:snapToGrid w:val="0"/>
        <w:spacing w:after="0" w:line="356" w:lineRule="auto"/>
        <w:ind w:firstLine="0" w:firstLineChars="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4</w:t>
      </w:r>
      <w:r>
        <w:rPr>
          <w:rFonts w:hint="eastAsia" w:ascii="仿宋" w:hAnsi="仿宋" w:eastAsia="仿宋" w:cs="仿宋"/>
          <w:b/>
          <w:bCs/>
          <w:color w:val="auto"/>
          <w:kern w:val="0"/>
          <w:sz w:val="21"/>
          <w:szCs w:val="21"/>
          <w:highlight w:val="none"/>
        </w:rPr>
        <w:t>、合同的变更、中止、终止</w:t>
      </w:r>
    </w:p>
    <w:p w14:paraId="14BADD98">
      <w:pPr>
        <w:pStyle w:val="41"/>
        <w:keepNext w:val="0"/>
        <w:keepLines w:val="0"/>
        <w:pageBreakBefore w:val="0"/>
        <w:shd w:val="clear"/>
        <w:kinsoku/>
        <w:wordWrap/>
        <w:overflowPunct/>
        <w:topLinePunct w:val="0"/>
        <w:bidi w:val="0"/>
        <w:adjustRightInd/>
        <w:snapToGrid w:val="0"/>
        <w:spacing w:after="0" w:line="356"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合同一经签订，不得擅自变更、中止或者终止合同。对确需变更、调整或者中止、终止合同的，由双方协商解决。</w:t>
      </w:r>
    </w:p>
    <w:p w14:paraId="74D6F47D">
      <w:pPr>
        <w:pStyle w:val="41"/>
        <w:keepNext w:val="0"/>
        <w:keepLines w:val="0"/>
        <w:pageBreakBefore w:val="0"/>
        <w:shd w:val="clear"/>
        <w:kinsoku/>
        <w:wordWrap/>
        <w:overflowPunct/>
        <w:topLinePunct w:val="0"/>
        <w:bidi w:val="0"/>
        <w:adjustRightInd/>
        <w:snapToGrid w:val="0"/>
        <w:spacing w:after="0" w:line="356" w:lineRule="auto"/>
        <w:ind w:firstLine="0" w:firstLineChars="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5</w:t>
      </w:r>
      <w:r>
        <w:rPr>
          <w:rFonts w:hint="eastAsia" w:ascii="仿宋" w:hAnsi="仿宋" w:eastAsia="仿宋" w:cs="仿宋"/>
          <w:b/>
          <w:bCs/>
          <w:color w:val="auto"/>
          <w:kern w:val="0"/>
          <w:sz w:val="21"/>
          <w:szCs w:val="21"/>
          <w:highlight w:val="none"/>
        </w:rPr>
        <w:t>、合同争议的解决</w:t>
      </w:r>
    </w:p>
    <w:p w14:paraId="390DB729">
      <w:pPr>
        <w:pStyle w:val="41"/>
        <w:keepNext w:val="0"/>
        <w:keepLines w:val="0"/>
        <w:pageBreakBefore w:val="0"/>
        <w:shd w:val="clear"/>
        <w:kinsoku/>
        <w:wordWrap/>
        <w:overflowPunct/>
        <w:topLinePunct w:val="0"/>
        <w:bidi w:val="0"/>
        <w:adjustRightInd/>
        <w:snapToGrid w:val="0"/>
        <w:spacing w:after="0" w:line="356" w:lineRule="auto"/>
        <w:ind w:left="0" w:leftChars="0"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合同在履行过程中发生的争议，当事人双方应协商解决，协商达不成一致时，可向采购方所在地仲裁委员会申请仲裁或者向人民法院提请诉讼。</w:t>
      </w:r>
    </w:p>
    <w:p w14:paraId="0CA506E6">
      <w:pPr>
        <w:pStyle w:val="41"/>
        <w:keepNext w:val="0"/>
        <w:keepLines w:val="0"/>
        <w:pageBreakBefore w:val="0"/>
        <w:shd w:val="clear"/>
        <w:kinsoku/>
        <w:wordWrap/>
        <w:overflowPunct/>
        <w:topLinePunct w:val="0"/>
        <w:bidi w:val="0"/>
        <w:adjustRightInd/>
        <w:snapToGrid w:val="0"/>
        <w:spacing w:after="0" w:line="356" w:lineRule="auto"/>
        <w:ind w:firstLine="0" w:firstLineChars="0"/>
        <w:jc w:val="left"/>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lang w:val="en-US" w:eastAsia="zh-CN"/>
        </w:rPr>
        <w:t>6</w:t>
      </w:r>
      <w:r>
        <w:rPr>
          <w:rFonts w:hint="eastAsia" w:ascii="仿宋" w:hAnsi="仿宋" w:eastAsia="仿宋" w:cs="仿宋"/>
          <w:b/>
          <w:bCs/>
          <w:color w:val="auto"/>
          <w:kern w:val="0"/>
          <w:sz w:val="21"/>
          <w:szCs w:val="21"/>
          <w:highlight w:val="none"/>
        </w:rPr>
        <w:t>、违约责任</w:t>
      </w:r>
    </w:p>
    <w:p w14:paraId="00059AFD">
      <w:pPr>
        <w:pStyle w:val="41"/>
        <w:keepNext w:val="0"/>
        <w:keepLines w:val="0"/>
        <w:pageBreakBefore w:val="0"/>
        <w:shd w:val="clear"/>
        <w:kinsoku/>
        <w:wordWrap/>
        <w:overflowPunct/>
        <w:topLinePunct w:val="0"/>
        <w:bidi w:val="0"/>
        <w:adjustRightInd/>
        <w:snapToGrid w:val="0"/>
        <w:spacing w:after="0" w:line="356" w:lineRule="auto"/>
        <w:ind w:firstLineChars="200"/>
        <w:jc w:val="left"/>
        <w:rPr>
          <w:rFonts w:hint="eastAsia" w:ascii="仿宋" w:hAnsi="仿宋" w:eastAsia="仿宋" w:cs="仿宋"/>
          <w:b w:val="0"/>
          <w:bCs w:val="0"/>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.1、依据《中华人民共和国民法典》《中华人民共和国政府采购法》的相关条款和</w:t>
      </w:r>
      <w:r>
        <w:rPr>
          <w:rFonts w:hint="eastAsia" w:ascii="仿宋" w:hAnsi="仿宋" w:eastAsia="仿宋" w:cs="仿宋"/>
          <w:b w:val="0"/>
          <w:bCs w:val="0"/>
          <w:color w:val="auto"/>
          <w:kern w:val="0"/>
          <w:sz w:val="21"/>
          <w:szCs w:val="21"/>
          <w:highlight w:val="none"/>
        </w:rPr>
        <w:t>本合同约定的相关条款执行。</w:t>
      </w:r>
    </w:p>
    <w:p w14:paraId="21F94860">
      <w:pPr>
        <w:pStyle w:val="14"/>
        <w:keepNext w:val="0"/>
        <w:keepLines w:val="0"/>
        <w:pageBreakBefore w:val="0"/>
        <w:shd w:val="clear"/>
        <w:kinsoku/>
        <w:wordWrap/>
        <w:overflowPunct/>
        <w:topLinePunct w:val="0"/>
        <w:bidi w:val="0"/>
        <w:adjustRightInd/>
        <w:snapToGrid w:val="0"/>
        <w:spacing w:line="356" w:lineRule="auto"/>
        <w:ind w:left="0" w:leftChars="0" w:firstLine="420" w:firstLineChars="200"/>
        <w:rPr>
          <w:rFonts w:hint="eastAsia" w:ascii="仿宋" w:hAnsi="仿宋" w:eastAsia="仿宋" w:cs="仿宋"/>
          <w:b w:val="0"/>
          <w:bCs w:val="0"/>
          <w:color w:val="auto"/>
          <w:kern w:val="0"/>
          <w:sz w:val="21"/>
          <w:szCs w:val="21"/>
          <w:highlight w:val="none"/>
          <w:lang w:val="en-US" w:eastAsia="zh-CN" w:bidi="ar-SA"/>
        </w:rPr>
      </w:pPr>
      <w:r>
        <w:rPr>
          <w:rFonts w:hint="eastAsia" w:ascii="仿宋" w:hAnsi="仿宋" w:eastAsia="仿宋" w:cs="仿宋"/>
          <w:b w:val="0"/>
          <w:bCs w:val="0"/>
          <w:color w:val="auto"/>
          <w:kern w:val="0"/>
          <w:sz w:val="21"/>
          <w:szCs w:val="21"/>
          <w:highlight w:val="none"/>
          <w:lang w:val="en-US" w:eastAsia="zh-CN" w:bidi="ar-SA"/>
        </w:rPr>
        <w:t>6.2、中标人未按合同要求履行，不符合采购技术要求，中标人必须无条件更换人员或产品，提高技术，完善质量，否则，采购人有权终止合同，并对中标人的违约行为进行追究并依法向中标人进行经济索赔。</w:t>
      </w:r>
    </w:p>
    <w:p w14:paraId="26C26D2E">
      <w:pPr>
        <w:pStyle w:val="14"/>
        <w:keepNext w:val="0"/>
        <w:keepLines w:val="0"/>
        <w:pageBreakBefore w:val="0"/>
        <w:shd w:val="clear"/>
        <w:kinsoku/>
        <w:wordWrap/>
        <w:overflowPunct/>
        <w:topLinePunct w:val="0"/>
        <w:bidi w:val="0"/>
        <w:adjustRightInd/>
        <w:snapToGrid w:val="0"/>
        <w:spacing w:line="356" w:lineRule="auto"/>
        <w:ind w:left="0" w:leftChars="0" w:firstLine="0" w:firstLineChars="0"/>
        <w:rPr>
          <w:rFonts w:hint="eastAsia" w:ascii="黑体" w:hAnsi="黑体" w:eastAsia="黑体" w:cs="黑体"/>
          <w:bCs/>
          <w:color w:val="auto"/>
          <w:szCs w:val="36"/>
          <w:highlight w:val="none"/>
        </w:rPr>
      </w:pPr>
      <w:r>
        <w:rPr>
          <w:rFonts w:hint="eastAsia" w:ascii="仿宋" w:hAnsi="仿宋" w:eastAsia="仿宋" w:cs="仿宋"/>
          <w:color w:val="auto"/>
          <w:kern w:val="0"/>
          <w:sz w:val="28"/>
          <w:szCs w:val="28"/>
          <w:highlight w:val="none"/>
          <w:lang w:val="en-US" w:eastAsia="zh-CN" w:bidi="ar-SA"/>
        </w:rPr>
        <w:t>注：以上商务要求不得负偏离</w:t>
      </w:r>
      <w:bookmarkStart w:id="343" w:name="_Toc13626"/>
      <w:bookmarkStart w:id="344" w:name="_Toc3269"/>
    </w:p>
    <w:p w14:paraId="75C9CFFC">
      <w:pPr>
        <w:pStyle w:val="3"/>
        <w:shd w:val="clear"/>
        <w:ind w:left="0" w:leftChars="0" w:firstLine="0" w:firstLineChars="0"/>
        <w:jc w:val="center"/>
        <w:rPr>
          <w:rFonts w:hint="eastAsia" w:ascii="黑体" w:hAnsi="黑体" w:eastAsia="黑体" w:cs="黑体"/>
          <w:bCs/>
          <w:color w:val="auto"/>
          <w:szCs w:val="36"/>
          <w:highlight w:val="none"/>
        </w:rPr>
      </w:pPr>
    </w:p>
    <w:p w14:paraId="14D9C6DB">
      <w:pPr>
        <w:pStyle w:val="3"/>
        <w:shd w:val="clear"/>
        <w:ind w:left="0" w:leftChars="0" w:firstLine="0" w:firstLineChars="0"/>
        <w:jc w:val="center"/>
        <w:rPr>
          <w:rFonts w:hint="eastAsia" w:ascii="黑体" w:hAnsi="黑体" w:eastAsia="黑体" w:cs="黑体"/>
          <w:bCs/>
          <w:color w:val="auto"/>
          <w:szCs w:val="36"/>
          <w:highlight w:val="none"/>
        </w:rPr>
      </w:pPr>
    </w:p>
    <w:p w14:paraId="18184B44">
      <w:pPr>
        <w:rPr>
          <w:rFonts w:hint="eastAsia"/>
        </w:rPr>
      </w:pPr>
    </w:p>
    <w:p w14:paraId="39A8FCA6">
      <w:pPr>
        <w:pStyle w:val="3"/>
        <w:shd w:val="clear"/>
        <w:ind w:left="0" w:leftChars="0" w:firstLine="0" w:firstLineChars="0"/>
        <w:jc w:val="center"/>
        <w:rPr>
          <w:rFonts w:hint="eastAsia" w:ascii="黑体" w:hAnsi="黑体" w:eastAsia="黑体" w:cs="黑体"/>
          <w:bCs/>
          <w:color w:val="auto"/>
          <w:szCs w:val="36"/>
          <w:highlight w:val="none"/>
        </w:rPr>
      </w:pPr>
    </w:p>
    <w:p w14:paraId="76381A7F">
      <w:pPr>
        <w:pStyle w:val="3"/>
        <w:shd w:val="clear"/>
        <w:ind w:left="0" w:leftChars="0" w:firstLine="0" w:firstLineChars="0"/>
        <w:jc w:val="both"/>
        <w:rPr>
          <w:rFonts w:hint="eastAsia" w:ascii="黑体" w:hAnsi="黑体" w:eastAsia="黑体" w:cs="黑体"/>
          <w:bCs/>
          <w:color w:val="auto"/>
          <w:szCs w:val="36"/>
          <w:highlight w:val="none"/>
        </w:rPr>
      </w:pPr>
    </w:p>
    <w:p w14:paraId="41274844">
      <w:pPr>
        <w:rPr>
          <w:rFonts w:hint="eastAsia" w:ascii="黑体" w:hAnsi="黑体" w:eastAsia="黑体" w:cs="黑体"/>
          <w:bCs/>
          <w:color w:val="auto"/>
          <w:szCs w:val="36"/>
          <w:highlight w:val="none"/>
        </w:rPr>
      </w:pPr>
    </w:p>
    <w:p w14:paraId="29177947">
      <w:pPr>
        <w:rPr>
          <w:rFonts w:hint="eastAsia" w:ascii="黑体" w:hAnsi="黑体" w:eastAsia="黑体" w:cs="黑体"/>
          <w:bCs/>
          <w:color w:val="auto"/>
          <w:szCs w:val="36"/>
          <w:highlight w:val="none"/>
        </w:rPr>
      </w:pPr>
    </w:p>
    <w:p w14:paraId="1B1CB0D0">
      <w:pPr>
        <w:rPr>
          <w:rFonts w:hint="eastAsia" w:ascii="黑体" w:hAnsi="黑体" w:eastAsia="黑体" w:cs="黑体"/>
          <w:bCs/>
          <w:color w:val="auto"/>
          <w:szCs w:val="36"/>
          <w:highlight w:val="none"/>
        </w:rPr>
      </w:pPr>
    </w:p>
    <w:p w14:paraId="6DDF564C">
      <w:pPr>
        <w:rPr>
          <w:rFonts w:hint="eastAsia" w:ascii="黑体" w:hAnsi="黑体" w:eastAsia="黑体" w:cs="黑体"/>
          <w:bCs/>
          <w:color w:val="auto"/>
          <w:szCs w:val="36"/>
          <w:highlight w:val="none"/>
        </w:rPr>
      </w:pPr>
    </w:p>
    <w:p w14:paraId="459A3BC8">
      <w:pPr>
        <w:rPr>
          <w:rFonts w:hint="eastAsia" w:ascii="黑体" w:hAnsi="黑体" w:eastAsia="黑体" w:cs="黑体"/>
          <w:bCs/>
          <w:color w:val="auto"/>
          <w:szCs w:val="36"/>
          <w:highlight w:val="none"/>
        </w:rPr>
      </w:pPr>
    </w:p>
    <w:p w14:paraId="43041870">
      <w:pPr>
        <w:rPr>
          <w:rFonts w:hint="eastAsia" w:ascii="黑体" w:hAnsi="黑体" w:eastAsia="黑体" w:cs="黑体"/>
          <w:bCs/>
          <w:color w:val="auto"/>
          <w:szCs w:val="36"/>
          <w:highlight w:val="none"/>
        </w:rPr>
      </w:pPr>
    </w:p>
    <w:p w14:paraId="4BDB6C90">
      <w:pPr>
        <w:rPr>
          <w:rFonts w:hint="eastAsia" w:ascii="黑体" w:hAnsi="黑体" w:eastAsia="黑体" w:cs="黑体"/>
          <w:bCs/>
          <w:color w:val="auto"/>
          <w:szCs w:val="36"/>
          <w:highlight w:val="none"/>
        </w:rPr>
      </w:pPr>
    </w:p>
    <w:p w14:paraId="2F567B95">
      <w:pPr>
        <w:rPr>
          <w:rFonts w:hint="eastAsia" w:ascii="黑体" w:hAnsi="黑体" w:eastAsia="黑体" w:cs="黑体"/>
          <w:bCs/>
          <w:color w:val="auto"/>
          <w:szCs w:val="36"/>
          <w:highlight w:val="none"/>
        </w:rPr>
      </w:pPr>
    </w:p>
    <w:p w14:paraId="6A0831A5">
      <w:pPr>
        <w:rPr>
          <w:rFonts w:hint="eastAsia" w:ascii="黑体" w:hAnsi="黑体" w:eastAsia="黑体" w:cs="黑体"/>
          <w:bCs/>
          <w:color w:val="auto"/>
          <w:szCs w:val="36"/>
          <w:highlight w:val="none"/>
        </w:rPr>
      </w:pPr>
    </w:p>
    <w:p w14:paraId="714847D5">
      <w:pPr>
        <w:rPr>
          <w:rFonts w:hint="eastAsia" w:ascii="黑体" w:hAnsi="黑体" w:eastAsia="黑体" w:cs="黑体"/>
          <w:bCs/>
          <w:color w:val="auto"/>
          <w:szCs w:val="36"/>
          <w:highlight w:val="none"/>
        </w:rPr>
      </w:pPr>
    </w:p>
    <w:p w14:paraId="72DEF7B6">
      <w:pPr>
        <w:rPr>
          <w:rFonts w:hint="eastAsia" w:ascii="黑体" w:hAnsi="黑体" w:eastAsia="黑体" w:cs="黑体"/>
          <w:bCs/>
          <w:color w:val="auto"/>
          <w:szCs w:val="36"/>
          <w:highlight w:val="none"/>
        </w:rPr>
      </w:pPr>
    </w:p>
    <w:p w14:paraId="329B0BBE">
      <w:pPr>
        <w:rPr>
          <w:rFonts w:hint="eastAsia" w:ascii="黑体" w:hAnsi="黑体" w:eastAsia="黑体" w:cs="黑体"/>
          <w:bCs/>
          <w:color w:val="auto"/>
          <w:szCs w:val="36"/>
          <w:highlight w:val="none"/>
        </w:rPr>
      </w:pPr>
    </w:p>
    <w:p w14:paraId="21053145">
      <w:pPr>
        <w:rPr>
          <w:rFonts w:hint="eastAsia" w:ascii="黑体" w:hAnsi="黑体" w:eastAsia="黑体" w:cs="黑体"/>
          <w:bCs/>
          <w:color w:val="auto"/>
          <w:szCs w:val="36"/>
          <w:highlight w:val="none"/>
        </w:rPr>
      </w:pPr>
    </w:p>
    <w:p w14:paraId="55992F18">
      <w:pPr>
        <w:rPr>
          <w:rFonts w:hint="eastAsia" w:ascii="黑体" w:hAnsi="黑体" w:eastAsia="黑体" w:cs="黑体"/>
          <w:bCs/>
          <w:color w:val="auto"/>
          <w:szCs w:val="36"/>
          <w:highlight w:val="none"/>
        </w:rPr>
      </w:pPr>
    </w:p>
    <w:p w14:paraId="3EF0DB6C">
      <w:pPr>
        <w:rPr>
          <w:rFonts w:hint="eastAsia" w:ascii="黑体" w:hAnsi="黑体" w:eastAsia="黑体" w:cs="黑体"/>
          <w:bCs/>
          <w:color w:val="auto"/>
          <w:szCs w:val="36"/>
          <w:highlight w:val="none"/>
        </w:rPr>
      </w:pPr>
    </w:p>
    <w:p w14:paraId="355A7675">
      <w:pPr>
        <w:rPr>
          <w:rFonts w:hint="eastAsia" w:ascii="黑体" w:hAnsi="黑体" w:eastAsia="黑体" w:cs="黑体"/>
          <w:bCs/>
          <w:color w:val="auto"/>
          <w:szCs w:val="36"/>
          <w:highlight w:val="none"/>
        </w:rPr>
      </w:pPr>
    </w:p>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3"/>
    <w:bookmarkEnd w:id="344"/>
    <w:p w14:paraId="4570797F">
      <w:pPr>
        <w:shd w:val="clear"/>
        <w:spacing w:afterLines="50" w:line="360" w:lineRule="auto"/>
        <w:jc w:val="center"/>
        <w:outlineLvl w:val="0"/>
        <w:rPr>
          <w:rFonts w:hint="eastAsia" w:ascii="黑体" w:hAnsi="黑体" w:eastAsia="黑体" w:cs="黑体"/>
          <w:b/>
          <w:color w:val="auto"/>
          <w:sz w:val="36"/>
          <w:szCs w:val="36"/>
          <w:highlight w:val="none"/>
        </w:rPr>
      </w:pPr>
      <w:r>
        <w:rPr>
          <w:rFonts w:hint="eastAsia" w:ascii="黑体" w:hAnsi="黑体" w:eastAsia="黑体" w:cs="黑体"/>
          <w:b/>
          <w:color w:val="auto"/>
          <w:sz w:val="36"/>
          <w:szCs w:val="36"/>
          <w:highlight w:val="none"/>
        </w:rPr>
        <w:t>第</w:t>
      </w:r>
      <w:r>
        <w:rPr>
          <w:rFonts w:hint="eastAsia" w:ascii="黑体" w:hAnsi="黑体" w:eastAsia="黑体" w:cs="黑体"/>
          <w:b/>
          <w:color w:val="auto"/>
          <w:sz w:val="36"/>
          <w:szCs w:val="36"/>
          <w:highlight w:val="none"/>
          <w:lang w:val="en-US" w:eastAsia="zh-CN"/>
        </w:rPr>
        <w:t>四</w:t>
      </w:r>
      <w:r>
        <w:rPr>
          <w:rFonts w:hint="eastAsia" w:ascii="黑体" w:hAnsi="黑体" w:eastAsia="黑体" w:cs="黑体"/>
          <w:b/>
          <w:color w:val="auto"/>
          <w:sz w:val="36"/>
          <w:szCs w:val="36"/>
          <w:highlight w:val="none"/>
        </w:rPr>
        <w:t>章   评</w:t>
      </w:r>
      <w:r>
        <w:rPr>
          <w:rFonts w:hint="eastAsia" w:ascii="黑体" w:hAnsi="黑体" w:eastAsia="黑体" w:cs="黑体"/>
          <w:b/>
          <w:color w:val="auto"/>
          <w:sz w:val="36"/>
          <w:szCs w:val="36"/>
          <w:highlight w:val="none"/>
          <w:lang w:val="en-US" w:eastAsia="zh-CN"/>
        </w:rPr>
        <w:t>标</w:t>
      </w:r>
      <w:r>
        <w:rPr>
          <w:rFonts w:hint="eastAsia" w:ascii="黑体" w:hAnsi="黑体" w:eastAsia="黑体" w:cs="黑体"/>
          <w:b/>
          <w:color w:val="auto"/>
          <w:sz w:val="36"/>
          <w:szCs w:val="36"/>
          <w:highlight w:val="none"/>
        </w:rPr>
        <w:t>办法</w:t>
      </w:r>
      <w:bookmarkEnd w:id="321"/>
      <w:bookmarkEnd w:id="322"/>
    </w:p>
    <w:p w14:paraId="253A7EBD">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本项目是根据《中华人民共和国政府采购法》及《中华人民共和国政府采购法实施条例》（第658号）等法律法规的规定，结合采购项目特点制定的评</w:t>
      </w:r>
      <w:r>
        <w:rPr>
          <w:rFonts w:hint="eastAsia" w:ascii="仿宋" w:hAnsi="仿宋" w:eastAsia="仿宋" w:cs="仿宋"/>
          <w:color w:val="auto"/>
          <w:szCs w:val="21"/>
          <w:highlight w:val="none"/>
          <w:lang w:val="en-US" w:eastAsia="zh-CN"/>
        </w:rPr>
        <w:t>标</w:t>
      </w:r>
      <w:r>
        <w:rPr>
          <w:rFonts w:hint="eastAsia" w:ascii="仿宋" w:hAnsi="仿宋" w:eastAsia="仿宋" w:cs="仿宋"/>
          <w:color w:val="auto"/>
          <w:szCs w:val="21"/>
          <w:highlight w:val="none"/>
        </w:rPr>
        <w:t>办法。</w:t>
      </w:r>
    </w:p>
    <w:p w14:paraId="6E1BD772">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auto"/>
          <w:szCs w:val="21"/>
          <w:highlight w:val="none"/>
        </w:rPr>
      </w:pPr>
      <w:bookmarkStart w:id="345" w:name="_Toc19615"/>
      <w:bookmarkStart w:id="346" w:name="_Toc23484"/>
      <w:r>
        <w:rPr>
          <w:rFonts w:hint="eastAsia" w:ascii="仿宋" w:hAnsi="仿宋" w:eastAsia="仿宋" w:cs="仿宋"/>
          <w:color w:val="auto"/>
          <w:sz w:val="24"/>
          <w:szCs w:val="24"/>
          <w:highlight w:val="none"/>
        </w:rPr>
        <w:t>一、</w:t>
      </w:r>
      <w:r>
        <w:rPr>
          <w:rFonts w:hint="eastAsia" w:ascii="仿宋" w:hAnsi="仿宋" w:eastAsia="仿宋" w:cs="仿宋"/>
          <w:b/>
          <w:color w:val="auto"/>
          <w:sz w:val="24"/>
          <w:szCs w:val="24"/>
          <w:highlight w:val="none"/>
        </w:rPr>
        <w:t>总则</w:t>
      </w:r>
      <w:bookmarkEnd w:id="345"/>
      <w:bookmarkEnd w:id="346"/>
    </w:p>
    <w:p w14:paraId="2F56DD3F">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1.1、原则</w:t>
      </w:r>
    </w:p>
    <w:p w14:paraId="50A1E1E4">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1.1.1、“公平、公正、择优、效益”为本次评审的基本原则，评标委员会按照这一原则的要求，公正、平等地对待各投标人。同时，在评审中恪守以下原则：</w:t>
      </w:r>
    </w:p>
    <w:p w14:paraId="475FF62D">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1.1.1.1、统一性原则：评标委员会将按照统一的原则和方法，用统一标准进行评审。</w:t>
      </w:r>
    </w:p>
    <w:p w14:paraId="2AD8D092">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1.1.1.2、独立性原则:评审工作在评标委员会内部独立进行，不受外界任何因素的干扰和影响。评标委员会成员对其出具的意见承担个人责任。</w:t>
      </w:r>
      <w:r>
        <w:rPr>
          <w:rFonts w:hint="eastAsia" w:ascii="仿宋" w:hAnsi="仿宋" w:eastAsia="仿宋" w:cs="仿宋"/>
          <w:color w:val="auto"/>
          <w:kern w:val="0"/>
          <w:szCs w:val="21"/>
          <w:highlight w:val="none"/>
        </w:rPr>
        <w:t>投标人试图影响或干预评审的任何行为，将导致其丧失投标的资格，并承担相应的法律责任。</w:t>
      </w:r>
    </w:p>
    <w:p w14:paraId="576910E9">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1.1.1.3、客观性原则：评标委员会将严格按照招标文件要求，对投标人的投标文件进行认真评审；评标委员会对投标文件的评审仅依据投标文件本身，而不依据招标文件以外的任何因素。</w:t>
      </w:r>
    </w:p>
    <w:p w14:paraId="6E862583">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1.1.1.4、保密性原则：采购人、采购代理机构应当采取必要措施，保证评审在严格保密的情况下进行。除采购人代表、评审现场组织人员外，采购人的其他工作人员以及与评审工作无关的人员不得进入评审现场。有关人员对评审情况以及在评审过程中获悉的国家秘密、商业秘密负有保密责任。</w:t>
      </w:r>
    </w:p>
    <w:p w14:paraId="26A53225">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1.1.1.5、综合性原则:评标委员会将综合分析投标人的各项指标，而不以单项指标的优劣评定出中标</w:t>
      </w:r>
      <w:r>
        <w:rPr>
          <w:rFonts w:hint="eastAsia" w:ascii="仿宋" w:hAnsi="仿宋" w:eastAsia="仿宋" w:cs="仿宋"/>
          <w:color w:val="auto"/>
          <w:szCs w:val="21"/>
          <w:highlight w:val="none"/>
          <w:lang w:val="en-US" w:eastAsia="zh-CN"/>
        </w:rPr>
        <w:t>人</w:t>
      </w:r>
      <w:r>
        <w:rPr>
          <w:rFonts w:hint="eastAsia" w:ascii="仿宋" w:hAnsi="仿宋" w:eastAsia="仿宋" w:cs="仿宋"/>
          <w:color w:val="auto"/>
          <w:szCs w:val="21"/>
          <w:highlight w:val="none"/>
        </w:rPr>
        <w:t>。</w:t>
      </w:r>
    </w:p>
    <w:p w14:paraId="527BC223">
      <w:pPr>
        <w:keepNext w:val="0"/>
        <w:keepLines w:val="0"/>
        <w:pageBreakBefore w:val="0"/>
        <w:shd w:val="clear"/>
        <w:tabs>
          <w:tab w:val="left" w:pos="0"/>
        </w:tabs>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1.1.2、评标委员会有权对整个投标和评审过程中出现的所有问题，根据《中华人民共和国政府采购法》《中华人民共和国政府采购法实施条例》（第658号）等相关规定进行处理。</w:t>
      </w:r>
    </w:p>
    <w:p w14:paraId="22B3A245">
      <w:pPr>
        <w:keepNext w:val="0"/>
        <w:keepLines w:val="0"/>
        <w:pageBreakBefore w:val="0"/>
        <w:shd w:val="clear"/>
        <w:kinsoku/>
        <w:wordWrap/>
        <w:overflowPunct/>
        <w:topLinePunct w:val="0"/>
        <w:bidi w:val="0"/>
        <w:adjustRightInd w:val="0"/>
        <w:snapToGrid w:val="0"/>
        <w:spacing w:line="360" w:lineRule="auto"/>
        <w:ind w:right="0" w:rightChars="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1.2、评标委员会职责</w:t>
      </w:r>
    </w:p>
    <w:p w14:paraId="24B898D0">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1.2.1、评标委员会独立履行下列职责：</w:t>
      </w:r>
    </w:p>
    <w:p w14:paraId="26C29AD2">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1.2.1.1、审查、评价投标文件是否符合招标文件的商务、技术、服务等实质性要求；</w:t>
      </w:r>
    </w:p>
    <w:p w14:paraId="3F19C9B3">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1.2.1.2、要求投标人对投标文件有关事项作出解释或者澄清；</w:t>
      </w:r>
    </w:p>
    <w:p w14:paraId="40D125C1">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1.2.1.3、对通过资格审查和符合性审查的投标人进行技术和商务评审；</w:t>
      </w:r>
    </w:p>
    <w:p w14:paraId="2AEBB42C">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1.2.1.4、对投标文件进行比较和评价；</w:t>
      </w:r>
    </w:p>
    <w:p w14:paraId="3DEBFAAC">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1.2.1.5、推荐中标候选人名单；</w:t>
      </w:r>
    </w:p>
    <w:p w14:paraId="591F4E2A">
      <w:pPr>
        <w:keepNext w:val="0"/>
        <w:keepLines w:val="0"/>
        <w:pageBreakBefore w:val="0"/>
        <w:shd w:val="clear"/>
        <w:kinsoku/>
        <w:wordWrap/>
        <w:overflowPunct/>
        <w:topLinePunct w:val="0"/>
        <w:bidi w:val="0"/>
        <w:adjustRightInd w:val="0"/>
        <w:snapToGrid w:val="0"/>
        <w:spacing w:line="360" w:lineRule="auto"/>
        <w:ind w:left="0" w:leftChars="0" w:right="0" w:rightChars="0"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1.2.1.6、向采购人、采购代理机构或者有关部门报告非法干预评审工作的行为。</w:t>
      </w:r>
    </w:p>
    <w:p w14:paraId="76FBF0EF">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1.2.2、采购代理机构负责组织评审工作并履行下列职责：</w:t>
      </w:r>
    </w:p>
    <w:p w14:paraId="2C147D84">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1.2.2.1、核对评标委员会成员身份和采购人代表授权函；</w:t>
      </w:r>
    </w:p>
    <w:p w14:paraId="21856E6E">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1.2.2.2、宣布评审纪律；</w:t>
      </w:r>
    </w:p>
    <w:p w14:paraId="71663A76">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1.2.2.3、公布响应投标人名单，告知评标委员会成员应当回避的情形；</w:t>
      </w:r>
    </w:p>
    <w:p w14:paraId="4B9AB546">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1.2.2.4、组织评标委员会成员推选</w:t>
      </w:r>
      <w:r>
        <w:rPr>
          <w:rFonts w:hint="eastAsia" w:ascii="仿宋" w:hAnsi="仿宋" w:eastAsia="仿宋" w:cs="仿宋"/>
          <w:color w:val="auto"/>
          <w:sz w:val="21"/>
          <w:szCs w:val="21"/>
          <w:highlight w:val="none"/>
          <w:lang w:val="en-US" w:eastAsia="zh-CN"/>
        </w:rPr>
        <w:t>评标委员会</w:t>
      </w:r>
      <w:r>
        <w:rPr>
          <w:rFonts w:hint="eastAsia" w:ascii="仿宋" w:hAnsi="仿宋" w:eastAsia="仿宋" w:cs="仿宋"/>
          <w:color w:val="auto"/>
          <w:sz w:val="21"/>
          <w:szCs w:val="21"/>
          <w:highlight w:val="none"/>
        </w:rPr>
        <w:t>组长，采购人代表不得担任组长；</w:t>
      </w:r>
    </w:p>
    <w:p w14:paraId="0C151534">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1.2.2.5、集中保管评标委员会成员及现场工作人员的通讯工具；</w:t>
      </w:r>
    </w:p>
    <w:p w14:paraId="0ADE0F33">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1.2.2.6、根据评标委员会的要求介绍政府采购相关政策法规、招标文件；</w:t>
      </w:r>
    </w:p>
    <w:p w14:paraId="374D12E0">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1.2.2.7、维护评审秩序，监督评标委员会依照招标文件规定的采购程序、评审方法和标准进行独立评审，对采购人代表、评标委员会成员的倾向性言论或违法违规行为及时制止和纠正；</w:t>
      </w:r>
    </w:p>
    <w:p w14:paraId="7EC9612C">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1.2.2.8、核对评审结果，采购过程中提交投标文件或者经评审实质性响应投标文件要求的投标</w:t>
      </w:r>
      <w:r>
        <w:rPr>
          <w:rFonts w:hint="eastAsia" w:ascii="仿宋" w:hAnsi="仿宋" w:eastAsia="仿宋" w:cs="仿宋"/>
          <w:color w:val="auto"/>
          <w:sz w:val="21"/>
          <w:szCs w:val="21"/>
          <w:highlight w:val="none"/>
          <w:lang w:val="en-US" w:eastAsia="zh-CN"/>
        </w:rPr>
        <w:t>人</w:t>
      </w:r>
      <w:r>
        <w:rPr>
          <w:rFonts w:hint="eastAsia" w:ascii="仿宋" w:hAnsi="仿宋" w:eastAsia="仿宋" w:cs="仿宋"/>
          <w:color w:val="auto"/>
          <w:sz w:val="21"/>
          <w:szCs w:val="21"/>
          <w:highlight w:val="none"/>
        </w:rPr>
        <w:t>只有2家时，经采购人书面请示政府采购管理机构同意后，可以现场转变采购方式。否则，按废标处理，重新开展采购活动；采购过程中，提交投标文件或者经评审实质性响应投标文件要求的投标</w:t>
      </w:r>
      <w:r>
        <w:rPr>
          <w:rFonts w:hint="eastAsia" w:ascii="仿宋" w:hAnsi="仿宋" w:eastAsia="仿宋" w:cs="仿宋"/>
          <w:color w:val="auto"/>
          <w:sz w:val="21"/>
          <w:szCs w:val="21"/>
          <w:highlight w:val="none"/>
          <w:lang w:eastAsia="zh-CN"/>
        </w:rPr>
        <w:t>人</w:t>
      </w:r>
      <w:r>
        <w:rPr>
          <w:rFonts w:hint="eastAsia" w:ascii="仿宋" w:hAnsi="仿宋" w:eastAsia="仿宋" w:cs="仿宋"/>
          <w:color w:val="auto"/>
          <w:sz w:val="21"/>
          <w:szCs w:val="21"/>
          <w:highlight w:val="none"/>
        </w:rPr>
        <w:t>只有1家时，按废标处理，重新开展采购活动。采购人如需申请转为单一来源采购方式的，按单一来源采购程序进行。要求评标委员会复核或书面说明理由，评标委员会拒绝的，应予记录并向采购人本级财政部门报告；</w:t>
      </w:r>
    </w:p>
    <w:p w14:paraId="0AF4637E">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1.2.2.9、处理与评审有关的其他事项。</w:t>
      </w:r>
    </w:p>
    <w:p w14:paraId="68DE46CF">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1.2.3、采购人可以在评审前介绍项目背景和采购需求，介绍内容不得含有歧视性、倾向性意见，不得超出招标文件所述范围。介绍应当提交书面介绍材料，并随采购文件一并存档。</w:t>
      </w:r>
    </w:p>
    <w:p w14:paraId="3A827DCA">
      <w:pPr>
        <w:keepNext w:val="0"/>
        <w:keepLines w:val="0"/>
        <w:pageBreakBefore w:val="0"/>
        <w:widowControl/>
        <w:shd w:val="clear"/>
        <w:kinsoku/>
        <w:wordWrap/>
        <w:overflowPunct/>
        <w:topLinePunct w:val="0"/>
        <w:autoSpaceDE w:val="0"/>
        <w:autoSpaceDN w:val="0"/>
        <w:bidi w:val="0"/>
        <w:adjustRightInd w:val="0"/>
        <w:snapToGrid w:val="0"/>
        <w:spacing w:line="360" w:lineRule="auto"/>
        <w:ind w:left="0" w:leftChars="0" w:right="0" w:rightChars="0" w:firstLine="420" w:firstLineChars="200"/>
        <w:textAlignment w:val="bottom"/>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1.2.4、评标委员会及其成员，在评审中不得有下列行为：</w:t>
      </w:r>
    </w:p>
    <w:p w14:paraId="3CEF538A">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1.2.4.1、确定参与评审至评审结束前私自接触投标人；</w:t>
      </w:r>
    </w:p>
    <w:p w14:paraId="75742083">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1.2.4.2、接受投标人提出的与投标文件不一致的澄清或者说明，本章第2.2.1条规定的情形除外；</w:t>
      </w:r>
    </w:p>
    <w:p w14:paraId="0BBE244A">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1.2.4.3、违反评审纪律发表倾向性意见或者征询采购人的倾向性意见；</w:t>
      </w:r>
    </w:p>
    <w:p w14:paraId="3A738343">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1.2.4.4、对需要专业判断的主观评审因素协商评分；</w:t>
      </w:r>
    </w:p>
    <w:p w14:paraId="762420E8">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1.2.4.5、在评审过程中擅离职守，影响评审程序正常进行的；</w:t>
      </w:r>
    </w:p>
    <w:p w14:paraId="49330099">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1.2.4.6、记录、复制或者带走任何评审资料；</w:t>
      </w:r>
    </w:p>
    <w:p w14:paraId="775DE0A8">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1.2.4.7、其他不遵守评审纪律的行为；</w:t>
      </w:r>
    </w:p>
    <w:p w14:paraId="399A2634">
      <w:pPr>
        <w:pStyle w:val="38"/>
        <w:keepNext w:val="0"/>
        <w:keepLines w:val="0"/>
        <w:pageBreakBefore w:val="0"/>
        <w:shd w:val="clear" w:color="auto"/>
        <w:kinsoku/>
        <w:wordWrap/>
        <w:overflowPunct/>
        <w:topLinePunct w:val="0"/>
        <w:bidi w:val="0"/>
        <w:adjustRightInd w:val="0"/>
        <w:snapToGrid w:val="0"/>
        <w:spacing w:before="0" w:beforeAutospacing="0" w:after="0" w:afterAutospacing="0" w:line="360" w:lineRule="auto"/>
        <w:ind w:left="0" w:leftChars="0" w:right="0" w:rightChars="0" w:firstLine="420" w:firstLineChars="20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1.2.4.8、评标委员会成员有前款第一至五项行为之一的，其评审意见无效</w:t>
      </w:r>
      <w:r>
        <w:rPr>
          <w:rFonts w:hint="eastAsia" w:ascii="仿宋" w:hAnsi="仿宋" w:eastAsia="仿宋" w:cs="仿宋"/>
          <w:color w:val="auto"/>
          <w:sz w:val="21"/>
          <w:szCs w:val="21"/>
          <w:highlight w:val="none"/>
          <w:lang w:eastAsia="zh-CN"/>
        </w:rPr>
        <w:t>。</w:t>
      </w:r>
    </w:p>
    <w:p w14:paraId="41F1DD8E">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auto"/>
          <w:sz w:val="24"/>
          <w:szCs w:val="24"/>
          <w:highlight w:val="none"/>
        </w:rPr>
      </w:pPr>
      <w:bookmarkStart w:id="347" w:name="_Toc19187"/>
      <w:bookmarkStart w:id="348" w:name="_Toc19971"/>
      <w:r>
        <w:rPr>
          <w:rFonts w:hint="eastAsia" w:ascii="仿宋" w:hAnsi="仿宋" w:eastAsia="仿宋" w:cs="仿宋"/>
          <w:b/>
          <w:color w:val="auto"/>
          <w:sz w:val="24"/>
          <w:szCs w:val="24"/>
          <w:highlight w:val="none"/>
        </w:rPr>
        <w:t>二、评审步骤与评审方法</w:t>
      </w:r>
      <w:bookmarkEnd w:id="347"/>
      <w:bookmarkEnd w:id="348"/>
    </w:p>
    <w:p w14:paraId="0D572F0D">
      <w:pPr>
        <w:keepNext w:val="0"/>
        <w:keepLines w:val="0"/>
        <w:pageBreakBefore w:val="0"/>
        <w:shd w:val="clear"/>
        <w:kinsoku/>
        <w:wordWrap/>
        <w:overflowPunct/>
        <w:topLinePunct w:val="0"/>
        <w:bidi w:val="0"/>
        <w:adjustRightInd w:val="0"/>
        <w:snapToGrid w:val="0"/>
        <w:spacing w:line="360" w:lineRule="auto"/>
        <w:ind w:right="0" w:rightChars="0"/>
        <w:outlineLvl w:val="1"/>
        <w:rPr>
          <w:rFonts w:hint="eastAsia" w:ascii="仿宋" w:hAnsi="仿宋" w:eastAsia="仿宋" w:cs="仿宋"/>
          <w:b/>
          <w:color w:val="auto"/>
          <w:szCs w:val="21"/>
          <w:highlight w:val="none"/>
        </w:rPr>
      </w:pPr>
      <w:bookmarkStart w:id="349" w:name="_Toc8827"/>
      <w:r>
        <w:rPr>
          <w:rFonts w:hint="eastAsia" w:ascii="仿宋" w:hAnsi="仿宋" w:eastAsia="仿宋" w:cs="仿宋"/>
          <w:b/>
          <w:color w:val="auto"/>
          <w:sz w:val="24"/>
          <w:szCs w:val="24"/>
          <w:highlight w:val="none"/>
          <w:lang w:val="en-US" w:eastAsia="zh-CN"/>
        </w:rPr>
        <w:t>2.1、</w:t>
      </w:r>
      <w:r>
        <w:rPr>
          <w:rFonts w:hint="eastAsia" w:ascii="仿宋" w:hAnsi="仿宋" w:eastAsia="仿宋" w:cs="仿宋"/>
          <w:b/>
          <w:color w:val="auto"/>
          <w:szCs w:val="21"/>
          <w:highlight w:val="none"/>
        </w:rPr>
        <w:t>投标文件</w:t>
      </w:r>
      <w:r>
        <w:rPr>
          <w:rFonts w:hint="eastAsia" w:ascii="仿宋" w:hAnsi="仿宋" w:eastAsia="仿宋" w:cs="仿宋"/>
          <w:b/>
          <w:color w:val="auto"/>
          <w:szCs w:val="21"/>
          <w:highlight w:val="none"/>
          <w:lang w:val="en-US" w:eastAsia="zh-CN"/>
        </w:rPr>
        <w:t>资格</w:t>
      </w:r>
      <w:r>
        <w:rPr>
          <w:rFonts w:hint="eastAsia" w:ascii="仿宋" w:hAnsi="仿宋" w:eastAsia="仿宋" w:cs="仿宋"/>
          <w:b/>
          <w:color w:val="auto"/>
          <w:szCs w:val="21"/>
          <w:highlight w:val="none"/>
        </w:rPr>
        <w:t>审查</w:t>
      </w:r>
      <w:bookmarkEnd w:id="349"/>
    </w:p>
    <w:p w14:paraId="3C3F4DF4">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审查标准如下：</w:t>
      </w:r>
    </w:p>
    <w:p w14:paraId="0705E0C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right="0" w:rightChars="0" w:firstLine="420" w:firstLineChars="200"/>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资格审查小组将按下表所列举的审查标准对</w:t>
      </w:r>
      <w:r>
        <w:rPr>
          <w:rFonts w:hint="eastAsia" w:ascii="仿宋" w:hAnsi="仿宋" w:eastAsia="仿宋" w:cs="仿宋"/>
          <w:color w:val="auto"/>
          <w:kern w:val="0"/>
          <w:sz w:val="21"/>
          <w:szCs w:val="21"/>
          <w:lang w:val="en-US" w:eastAsia="zh-CN"/>
        </w:rPr>
        <w:t>投标人</w:t>
      </w:r>
      <w:r>
        <w:rPr>
          <w:rFonts w:hint="eastAsia" w:ascii="仿宋" w:hAnsi="仿宋" w:eastAsia="仿宋" w:cs="仿宋"/>
          <w:color w:val="auto"/>
          <w:kern w:val="0"/>
          <w:sz w:val="21"/>
          <w:szCs w:val="21"/>
        </w:rPr>
        <w:t>的基本资格条件进行</w:t>
      </w:r>
      <w:r>
        <w:rPr>
          <w:rFonts w:hint="eastAsia" w:ascii="仿宋" w:hAnsi="仿宋" w:eastAsia="仿宋" w:cs="仿宋"/>
          <w:bCs/>
          <w:color w:val="auto"/>
          <w:sz w:val="21"/>
          <w:szCs w:val="21"/>
        </w:rPr>
        <w:t>审查，</w:t>
      </w:r>
      <w:r>
        <w:rPr>
          <w:rFonts w:hint="eastAsia" w:ascii="仿宋" w:hAnsi="仿宋" w:eastAsia="仿宋" w:cs="仿宋"/>
          <w:bCs/>
          <w:color w:val="auto"/>
          <w:sz w:val="21"/>
          <w:szCs w:val="21"/>
          <w:lang w:val="en-US" w:eastAsia="zh-CN"/>
        </w:rPr>
        <w:t>投标人</w:t>
      </w:r>
      <w:r>
        <w:rPr>
          <w:rFonts w:hint="eastAsia" w:ascii="仿宋" w:hAnsi="仿宋" w:eastAsia="仿宋" w:cs="仿宋"/>
          <w:bCs/>
          <w:color w:val="auto"/>
          <w:sz w:val="21"/>
          <w:szCs w:val="21"/>
        </w:rPr>
        <w:t>若</w:t>
      </w:r>
      <w:r>
        <w:rPr>
          <w:rFonts w:hint="eastAsia" w:ascii="仿宋" w:hAnsi="仿宋" w:eastAsia="仿宋" w:cs="仿宋"/>
          <w:color w:val="auto"/>
          <w:kern w:val="0"/>
          <w:sz w:val="21"/>
          <w:szCs w:val="21"/>
        </w:rPr>
        <w:t>有一项不合格，即判定其基本资格条件审查结果为不合格，将不具备</w:t>
      </w:r>
      <w:r>
        <w:rPr>
          <w:rFonts w:hint="eastAsia" w:ascii="仿宋" w:hAnsi="仿宋" w:eastAsia="仿宋" w:cs="仿宋"/>
          <w:color w:val="auto"/>
          <w:kern w:val="0"/>
          <w:sz w:val="21"/>
          <w:szCs w:val="21"/>
          <w:lang w:val="en-US" w:eastAsia="zh-CN"/>
        </w:rPr>
        <w:t>投标</w:t>
      </w:r>
      <w:r>
        <w:rPr>
          <w:rFonts w:hint="eastAsia" w:ascii="仿宋" w:hAnsi="仿宋" w:eastAsia="仿宋" w:cs="仿宋"/>
          <w:color w:val="auto"/>
          <w:kern w:val="0"/>
          <w:sz w:val="21"/>
          <w:szCs w:val="21"/>
        </w:rPr>
        <w:t>资格，其</w:t>
      </w:r>
      <w:r>
        <w:rPr>
          <w:rFonts w:hint="eastAsia" w:ascii="仿宋" w:hAnsi="仿宋" w:eastAsia="仿宋" w:cs="仿宋"/>
          <w:color w:val="auto"/>
          <w:kern w:val="0"/>
          <w:sz w:val="21"/>
          <w:szCs w:val="21"/>
          <w:lang w:eastAsia="zh-CN"/>
        </w:rPr>
        <w:t>投标文件</w:t>
      </w:r>
      <w:r>
        <w:rPr>
          <w:rFonts w:hint="eastAsia" w:ascii="仿宋" w:hAnsi="仿宋" w:eastAsia="仿宋" w:cs="仿宋"/>
          <w:color w:val="auto"/>
          <w:kern w:val="0"/>
          <w:sz w:val="21"/>
          <w:szCs w:val="21"/>
        </w:rPr>
        <w:t>无效。</w:t>
      </w:r>
    </w:p>
    <w:tbl>
      <w:tblPr>
        <w:tblStyle w:val="43"/>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8"/>
        <w:gridCol w:w="6665"/>
      </w:tblGrid>
      <w:tr w14:paraId="479C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65" w:type="dxa"/>
            <w:vAlign w:val="center"/>
          </w:tcPr>
          <w:p w14:paraId="6040D997">
            <w:pPr>
              <w:shd w:val="clear"/>
              <w:tabs>
                <w:tab w:val="left" w:pos="0"/>
              </w:tabs>
              <w:adjustRightInd w:val="0"/>
              <w:snapToGrid w:val="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序号</w:t>
            </w:r>
          </w:p>
        </w:tc>
        <w:tc>
          <w:tcPr>
            <w:tcW w:w="2148" w:type="dxa"/>
            <w:vAlign w:val="center"/>
          </w:tcPr>
          <w:p w14:paraId="433E81F4">
            <w:pPr>
              <w:shd w:val="clear"/>
              <w:tabs>
                <w:tab w:val="left" w:pos="0"/>
              </w:tabs>
              <w:adjustRightInd w:val="0"/>
              <w:snapToGrid w:val="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审查因素</w:t>
            </w:r>
          </w:p>
        </w:tc>
        <w:tc>
          <w:tcPr>
            <w:tcW w:w="6665" w:type="dxa"/>
            <w:vAlign w:val="center"/>
          </w:tcPr>
          <w:p w14:paraId="402262FF">
            <w:pPr>
              <w:shd w:val="clear"/>
              <w:tabs>
                <w:tab w:val="left" w:pos="0"/>
              </w:tabs>
              <w:adjustRightInd w:val="0"/>
              <w:snapToGrid w:val="0"/>
              <w:jc w:val="center"/>
              <w:rPr>
                <w:rFonts w:hint="eastAsia" w:ascii="仿宋" w:hAnsi="仿宋" w:eastAsia="仿宋" w:cs="仿宋"/>
                <w:b/>
                <w:bCs/>
                <w:color w:val="000000" w:themeColor="text1"/>
                <w:sz w:val="21"/>
                <w:szCs w:val="21"/>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审查标准</w:t>
            </w:r>
          </w:p>
        </w:tc>
      </w:tr>
      <w:tr w14:paraId="415D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765" w:type="dxa"/>
            <w:vAlign w:val="center"/>
          </w:tcPr>
          <w:p w14:paraId="410B93B3">
            <w:pPr>
              <w:shd w:val="clear"/>
              <w:tabs>
                <w:tab w:val="left" w:pos="0"/>
              </w:tabs>
              <w:adjustRightInd w:val="0"/>
              <w:snapToGrid w:val="0"/>
              <w:spacing w:line="20" w:lineRule="atLeast"/>
              <w:ind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w:t>
            </w:r>
          </w:p>
        </w:tc>
        <w:tc>
          <w:tcPr>
            <w:tcW w:w="2148" w:type="dxa"/>
            <w:vMerge w:val="restart"/>
            <w:vAlign w:val="center"/>
          </w:tcPr>
          <w:p w14:paraId="72A4A1D7">
            <w:pPr>
              <w:shd w:val="clear"/>
              <w:tabs>
                <w:tab w:val="left" w:pos="0"/>
              </w:tabs>
              <w:adjustRightInd w:val="0"/>
              <w:snapToGrid w:val="0"/>
              <w:spacing w:line="20" w:lineRule="atLeas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满足《中华人民共和国政府采购法》第二十二条规定</w:t>
            </w:r>
          </w:p>
        </w:tc>
        <w:tc>
          <w:tcPr>
            <w:tcW w:w="6665" w:type="dxa"/>
            <w:vAlign w:val="center"/>
          </w:tcPr>
          <w:p w14:paraId="457F2508">
            <w:pPr>
              <w:shd w:val="clear"/>
              <w:adjustRightInd w:val="0"/>
              <w:snapToGrid w:val="0"/>
              <w:spacing w:line="20" w:lineRule="atLeas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sz w:val="21"/>
                <w:szCs w:val="21"/>
                <w:highlight w:val="none"/>
                <w:lang w:eastAsia="zh-CN"/>
              </w:rPr>
              <w:t>投标人须为具有独立承担民事责任能力的法人、其他组织或自然人，并出具合法有效的营业执照或事业单位法人证书等国家规定的相关证明，自然人参与的提供其身份证明。</w:t>
            </w:r>
            <w:r>
              <w:rPr>
                <w:rFonts w:hint="eastAsia" w:ascii="仿宋" w:hAnsi="仿宋" w:eastAsia="仿宋" w:cs="仿宋"/>
                <w:b/>
                <w:color w:val="000000" w:themeColor="text1"/>
                <w:sz w:val="21"/>
                <w:szCs w:val="21"/>
                <w:u w:val="double"/>
                <w14:textFill>
                  <w14:solidFill>
                    <w14:schemeClr w14:val="tx1"/>
                  </w14:solidFill>
                </w14:textFill>
              </w:rPr>
              <w:t>（材料应清晰可辨</w:t>
            </w:r>
            <w:r>
              <w:rPr>
                <w:rFonts w:hint="eastAsia" w:ascii="仿宋" w:hAnsi="仿宋" w:eastAsia="仿宋" w:cs="仿宋"/>
                <w:b/>
                <w:color w:val="000000" w:themeColor="text1"/>
                <w:sz w:val="21"/>
                <w:szCs w:val="21"/>
                <w:u w:val="double"/>
                <w:lang w:val="en-US" w:eastAsia="zh-CN"/>
                <w14:textFill>
                  <w14:solidFill>
                    <w14:schemeClr w14:val="tx1"/>
                  </w14:solidFill>
                </w14:textFill>
              </w:rPr>
              <w:t>并</w:t>
            </w:r>
            <w:r>
              <w:rPr>
                <w:rFonts w:hint="eastAsia" w:ascii="仿宋" w:hAnsi="仿宋" w:eastAsia="仿宋" w:cs="仿宋"/>
                <w:b/>
                <w:color w:val="000000" w:themeColor="text1"/>
                <w:sz w:val="21"/>
                <w:szCs w:val="21"/>
                <w:u w:val="double"/>
                <w14:textFill>
                  <w14:solidFill>
                    <w14:schemeClr w14:val="tx1"/>
                  </w14:solidFill>
                </w14:textFill>
              </w:rPr>
              <w:t>加盖公章）</w:t>
            </w:r>
          </w:p>
        </w:tc>
      </w:tr>
      <w:tr w14:paraId="0A48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65" w:type="dxa"/>
            <w:vAlign w:val="center"/>
          </w:tcPr>
          <w:p w14:paraId="494842B8">
            <w:pPr>
              <w:shd w:val="clear"/>
              <w:tabs>
                <w:tab w:val="left" w:pos="0"/>
              </w:tabs>
              <w:adjustRightInd w:val="0"/>
              <w:snapToGrid w:val="0"/>
              <w:spacing w:line="20" w:lineRule="atLeast"/>
              <w:ind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w:t>
            </w:r>
          </w:p>
        </w:tc>
        <w:tc>
          <w:tcPr>
            <w:tcW w:w="2148" w:type="dxa"/>
            <w:vMerge w:val="continue"/>
            <w:vAlign w:val="center"/>
          </w:tcPr>
          <w:p w14:paraId="01F897C1">
            <w:pPr>
              <w:shd w:val="clear"/>
              <w:tabs>
                <w:tab w:val="left" w:pos="0"/>
              </w:tabs>
              <w:adjustRightInd w:val="0"/>
              <w:snapToGrid w:val="0"/>
              <w:spacing w:line="20" w:lineRule="atLeast"/>
              <w:ind w:firstLine="420" w:firstLineChars="200"/>
              <w:rPr>
                <w:rFonts w:hint="eastAsia" w:ascii="仿宋" w:hAnsi="仿宋" w:eastAsia="仿宋" w:cs="仿宋"/>
                <w:color w:val="000000" w:themeColor="text1"/>
                <w:sz w:val="21"/>
                <w:szCs w:val="21"/>
                <w14:textFill>
                  <w14:solidFill>
                    <w14:schemeClr w14:val="tx1"/>
                  </w14:solidFill>
                </w14:textFill>
              </w:rPr>
            </w:pPr>
          </w:p>
        </w:tc>
        <w:tc>
          <w:tcPr>
            <w:tcW w:w="6665" w:type="dxa"/>
            <w:vAlign w:val="center"/>
          </w:tcPr>
          <w:p w14:paraId="7B957783">
            <w:pPr>
              <w:shd w:val="clear"/>
              <w:adjustRightInd w:val="0"/>
              <w:snapToGrid w:val="0"/>
              <w:spacing w:line="20" w:lineRule="atLeas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财务状况报告: </w:t>
            </w:r>
            <w:r>
              <w:rPr>
                <w:rFonts w:hint="eastAsia" w:ascii="仿宋" w:hAnsi="仿宋" w:eastAsia="仿宋" w:cs="仿宋"/>
                <w:color w:val="auto"/>
                <w:sz w:val="21"/>
                <w:szCs w:val="21"/>
                <w:highlight w:val="none"/>
                <w:lang w:eastAsia="zh-CN"/>
              </w:rPr>
              <w:t>提供2022</w:t>
            </w:r>
            <w:r>
              <w:rPr>
                <w:rFonts w:hint="eastAsia" w:ascii="仿宋" w:hAnsi="仿宋" w:eastAsia="仿宋" w:cs="仿宋"/>
                <w:color w:val="auto"/>
                <w:sz w:val="21"/>
                <w:szCs w:val="21"/>
                <w:highlight w:val="none"/>
                <w:lang w:val="en-US" w:eastAsia="zh-CN"/>
              </w:rPr>
              <w:t>或2023</w:t>
            </w:r>
            <w:r>
              <w:rPr>
                <w:rFonts w:hint="eastAsia" w:ascii="仿宋" w:hAnsi="仿宋" w:eastAsia="仿宋" w:cs="仿宋"/>
                <w:color w:val="auto"/>
                <w:sz w:val="21"/>
                <w:szCs w:val="21"/>
                <w:highlight w:val="none"/>
                <w:lang w:eastAsia="zh-CN"/>
              </w:rPr>
              <w:t>年度完整有效财务审计报告（成立时间至投标文件递交截止时间不足一年的可提供成立后任意时段的资产负债表），或投标文件递交截止时间前三个月内基本存款账户开户银行出具的资信证明，或财政部门认可的政府采购专业担保机构出具的担保函（以上</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lang w:eastAsia="zh-CN"/>
              </w:rPr>
              <w:t>种任意一项即可）</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b/>
                <w:color w:val="000000" w:themeColor="text1"/>
                <w:sz w:val="21"/>
                <w:szCs w:val="21"/>
                <w:u w:val="double"/>
                <w14:textFill>
                  <w14:solidFill>
                    <w14:schemeClr w14:val="tx1"/>
                  </w14:solidFill>
                </w14:textFill>
              </w:rPr>
              <w:t>（材料应清晰可辨</w:t>
            </w:r>
            <w:r>
              <w:rPr>
                <w:rFonts w:hint="eastAsia" w:ascii="仿宋" w:hAnsi="仿宋" w:eastAsia="仿宋" w:cs="仿宋"/>
                <w:b/>
                <w:color w:val="000000" w:themeColor="text1"/>
                <w:sz w:val="21"/>
                <w:szCs w:val="21"/>
                <w:u w:val="double"/>
                <w:lang w:val="en-US" w:eastAsia="zh-CN"/>
                <w14:textFill>
                  <w14:solidFill>
                    <w14:schemeClr w14:val="tx1"/>
                  </w14:solidFill>
                </w14:textFill>
              </w:rPr>
              <w:t>并</w:t>
            </w:r>
            <w:r>
              <w:rPr>
                <w:rFonts w:hint="eastAsia" w:ascii="仿宋" w:hAnsi="仿宋" w:eastAsia="仿宋" w:cs="仿宋"/>
                <w:b/>
                <w:color w:val="000000" w:themeColor="text1"/>
                <w:sz w:val="21"/>
                <w:szCs w:val="21"/>
                <w:u w:val="double"/>
                <w14:textFill>
                  <w14:solidFill>
                    <w14:schemeClr w14:val="tx1"/>
                  </w14:solidFill>
                </w14:textFill>
              </w:rPr>
              <w:t>加盖公章）</w:t>
            </w:r>
          </w:p>
        </w:tc>
      </w:tr>
      <w:tr w14:paraId="004B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5" w:type="dxa"/>
            <w:vAlign w:val="center"/>
          </w:tcPr>
          <w:p w14:paraId="128D291D">
            <w:pPr>
              <w:shd w:val="clear"/>
              <w:tabs>
                <w:tab w:val="left" w:pos="0"/>
              </w:tabs>
              <w:adjustRightInd w:val="0"/>
              <w:snapToGrid w:val="0"/>
              <w:spacing w:line="20" w:lineRule="atLeast"/>
              <w:ind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w:t>
            </w:r>
          </w:p>
        </w:tc>
        <w:tc>
          <w:tcPr>
            <w:tcW w:w="2148" w:type="dxa"/>
            <w:vMerge w:val="continue"/>
            <w:vAlign w:val="center"/>
          </w:tcPr>
          <w:p w14:paraId="17DB59F8">
            <w:pPr>
              <w:shd w:val="clear"/>
              <w:tabs>
                <w:tab w:val="left" w:pos="0"/>
              </w:tabs>
              <w:adjustRightInd w:val="0"/>
              <w:snapToGrid w:val="0"/>
              <w:spacing w:line="20" w:lineRule="atLeast"/>
              <w:ind w:firstLine="420" w:firstLineChars="200"/>
              <w:rPr>
                <w:rFonts w:hint="eastAsia" w:ascii="仿宋" w:hAnsi="仿宋" w:eastAsia="仿宋" w:cs="仿宋"/>
                <w:color w:val="000000" w:themeColor="text1"/>
                <w:sz w:val="21"/>
                <w:szCs w:val="21"/>
                <w14:textFill>
                  <w14:solidFill>
                    <w14:schemeClr w14:val="tx1"/>
                  </w14:solidFill>
                </w14:textFill>
              </w:rPr>
            </w:pPr>
          </w:p>
        </w:tc>
        <w:tc>
          <w:tcPr>
            <w:tcW w:w="6665" w:type="dxa"/>
            <w:vAlign w:val="center"/>
          </w:tcPr>
          <w:p w14:paraId="32B19ECF">
            <w:pPr>
              <w:pStyle w:val="38"/>
              <w:keepNext w:val="0"/>
              <w:keepLines w:val="0"/>
              <w:pageBreakBefore w:val="0"/>
              <w:numPr>
                <w:ilvl w:val="0"/>
                <w:numId w:val="0"/>
              </w:numPr>
              <w:shd w:val="clear"/>
              <w:kinsoku/>
              <w:wordWrap/>
              <w:overflowPunct/>
              <w:topLinePunct w:val="0"/>
              <w:autoSpaceDE/>
              <w:autoSpaceDN/>
              <w:bidi w:val="0"/>
              <w:spacing w:before="0" w:beforeAutospacing="0" w:after="0" w:afterAutospacing="0" w:line="24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税收缴纳证明: </w:t>
            </w:r>
            <w:r>
              <w:rPr>
                <w:rFonts w:hint="eastAsia" w:ascii="仿宋" w:hAnsi="仿宋" w:eastAsia="仿宋" w:cs="仿宋"/>
                <w:color w:val="auto"/>
                <w:sz w:val="21"/>
                <w:szCs w:val="21"/>
                <w:highlight w:val="none"/>
                <w:lang w:eastAsia="zh-CN"/>
              </w:rPr>
              <w:t>提供自2023年11月1日以来已缴纳的任意1个月的依法缴纳税收的相关凭据（时间以税收所属日期为准），凭据应有税务机关或代收机关的公章或业务专用章；（依法免税或无须缴纳税收的投标人，应提供相关文件证明）。</w:t>
            </w:r>
            <w:r>
              <w:rPr>
                <w:rFonts w:hint="eastAsia" w:ascii="仿宋" w:hAnsi="仿宋" w:eastAsia="仿宋" w:cs="仿宋"/>
                <w:b/>
                <w:color w:val="000000" w:themeColor="text1"/>
                <w:sz w:val="21"/>
                <w:szCs w:val="21"/>
                <w:u w:val="double"/>
                <w14:textFill>
                  <w14:solidFill>
                    <w14:schemeClr w14:val="tx1"/>
                  </w14:solidFill>
                </w14:textFill>
              </w:rPr>
              <w:t>（材料应清晰可辨</w:t>
            </w:r>
            <w:r>
              <w:rPr>
                <w:rFonts w:hint="eastAsia" w:ascii="仿宋" w:hAnsi="仿宋" w:eastAsia="仿宋" w:cs="仿宋"/>
                <w:b/>
                <w:color w:val="000000" w:themeColor="text1"/>
                <w:sz w:val="21"/>
                <w:szCs w:val="21"/>
                <w:u w:val="double"/>
                <w:lang w:val="en-US" w:eastAsia="zh-CN"/>
                <w14:textFill>
                  <w14:solidFill>
                    <w14:schemeClr w14:val="tx1"/>
                  </w14:solidFill>
                </w14:textFill>
              </w:rPr>
              <w:t>并</w:t>
            </w:r>
            <w:r>
              <w:rPr>
                <w:rFonts w:hint="eastAsia" w:ascii="仿宋" w:hAnsi="仿宋" w:eastAsia="仿宋" w:cs="仿宋"/>
                <w:b/>
                <w:color w:val="000000" w:themeColor="text1"/>
                <w:sz w:val="21"/>
                <w:szCs w:val="21"/>
                <w:u w:val="double"/>
                <w14:textFill>
                  <w14:solidFill>
                    <w14:schemeClr w14:val="tx1"/>
                  </w14:solidFill>
                </w14:textFill>
              </w:rPr>
              <w:t>加盖公章）</w:t>
            </w:r>
          </w:p>
        </w:tc>
      </w:tr>
      <w:tr w14:paraId="27464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65" w:type="dxa"/>
            <w:vAlign w:val="center"/>
          </w:tcPr>
          <w:p w14:paraId="3FEA88FC">
            <w:pPr>
              <w:shd w:val="clear"/>
              <w:tabs>
                <w:tab w:val="left" w:pos="0"/>
              </w:tabs>
              <w:adjustRightInd w:val="0"/>
              <w:snapToGrid w:val="0"/>
              <w:spacing w:line="20" w:lineRule="atLeast"/>
              <w:ind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w:t>
            </w:r>
          </w:p>
        </w:tc>
        <w:tc>
          <w:tcPr>
            <w:tcW w:w="2148" w:type="dxa"/>
            <w:vMerge w:val="continue"/>
            <w:vAlign w:val="center"/>
          </w:tcPr>
          <w:p w14:paraId="7BC94AC6">
            <w:pPr>
              <w:shd w:val="clear"/>
              <w:tabs>
                <w:tab w:val="left" w:pos="0"/>
              </w:tabs>
              <w:adjustRightInd w:val="0"/>
              <w:snapToGrid w:val="0"/>
              <w:spacing w:line="20" w:lineRule="atLeast"/>
              <w:ind w:firstLine="420" w:firstLineChars="200"/>
              <w:rPr>
                <w:rFonts w:hint="eastAsia" w:ascii="仿宋" w:hAnsi="仿宋" w:eastAsia="仿宋" w:cs="仿宋"/>
                <w:color w:val="000000" w:themeColor="text1"/>
                <w:sz w:val="21"/>
                <w:szCs w:val="21"/>
                <w14:textFill>
                  <w14:solidFill>
                    <w14:schemeClr w14:val="tx1"/>
                  </w14:solidFill>
                </w14:textFill>
              </w:rPr>
            </w:pPr>
          </w:p>
        </w:tc>
        <w:tc>
          <w:tcPr>
            <w:tcW w:w="6665" w:type="dxa"/>
            <w:vAlign w:val="center"/>
          </w:tcPr>
          <w:p w14:paraId="5C0087AA">
            <w:pPr>
              <w:shd w:val="clear"/>
              <w:adjustRightInd w:val="0"/>
              <w:snapToGrid w:val="0"/>
              <w:spacing w:line="20" w:lineRule="atLeas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sz w:val="21"/>
                <w:szCs w:val="21"/>
                <w:highlight w:val="none"/>
                <w:lang w:eastAsia="zh-CN"/>
              </w:rPr>
              <w:t>社会保障资金缴纳证明：提供自2023年11月1日以来已缴存的任意1个月的社会保障资金缴存单据或社保机构开具的社会保险参保缴费情况证明，依法不需要缴纳社会保障资金的单位应提供相关证明材料。</w:t>
            </w:r>
            <w:r>
              <w:rPr>
                <w:rFonts w:hint="eastAsia" w:ascii="仿宋" w:hAnsi="仿宋" w:eastAsia="仿宋" w:cs="仿宋"/>
                <w:b/>
                <w:color w:val="000000" w:themeColor="text1"/>
                <w:sz w:val="21"/>
                <w:szCs w:val="21"/>
                <w:u w:val="double"/>
                <w14:textFill>
                  <w14:solidFill>
                    <w14:schemeClr w14:val="tx1"/>
                  </w14:solidFill>
                </w14:textFill>
              </w:rPr>
              <w:t>（材料应清晰可辨</w:t>
            </w:r>
            <w:r>
              <w:rPr>
                <w:rFonts w:hint="eastAsia" w:ascii="仿宋" w:hAnsi="仿宋" w:eastAsia="仿宋" w:cs="仿宋"/>
                <w:b/>
                <w:color w:val="000000" w:themeColor="text1"/>
                <w:sz w:val="21"/>
                <w:szCs w:val="21"/>
                <w:u w:val="double"/>
                <w:lang w:val="en-US" w:eastAsia="zh-CN"/>
                <w14:textFill>
                  <w14:solidFill>
                    <w14:schemeClr w14:val="tx1"/>
                  </w14:solidFill>
                </w14:textFill>
              </w:rPr>
              <w:t>并</w:t>
            </w:r>
            <w:r>
              <w:rPr>
                <w:rFonts w:hint="eastAsia" w:ascii="仿宋" w:hAnsi="仿宋" w:eastAsia="仿宋" w:cs="仿宋"/>
                <w:b/>
                <w:color w:val="000000" w:themeColor="text1"/>
                <w:sz w:val="21"/>
                <w:szCs w:val="21"/>
                <w:u w:val="double"/>
                <w14:textFill>
                  <w14:solidFill>
                    <w14:schemeClr w14:val="tx1"/>
                  </w14:solidFill>
                </w14:textFill>
              </w:rPr>
              <w:t>加盖公章）</w:t>
            </w:r>
          </w:p>
        </w:tc>
      </w:tr>
      <w:tr w14:paraId="04477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65" w:type="dxa"/>
            <w:vAlign w:val="center"/>
          </w:tcPr>
          <w:p w14:paraId="7787C116">
            <w:pPr>
              <w:shd w:val="clear"/>
              <w:tabs>
                <w:tab w:val="left" w:pos="0"/>
              </w:tabs>
              <w:adjustRightInd w:val="0"/>
              <w:snapToGrid w:val="0"/>
              <w:spacing w:line="20" w:lineRule="atLeast"/>
              <w:ind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w:t>
            </w:r>
          </w:p>
        </w:tc>
        <w:tc>
          <w:tcPr>
            <w:tcW w:w="2148" w:type="dxa"/>
            <w:vMerge w:val="continue"/>
            <w:vAlign w:val="center"/>
          </w:tcPr>
          <w:p w14:paraId="174B2451">
            <w:pPr>
              <w:shd w:val="clear"/>
              <w:tabs>
                <w:tab w:val="left" w:pos="0"/>
              </w:tabs>
              <w:adjustRightInd w:val="0"/>
              <w:snapToGrid w:val="0"/>
              <w:spacing w:line="20" w:lineRule="atLeast"/>
              <w:ind w:firstLine="420" w:firstLineChars="200"/>
              <w:rPr>
                <w:rFonts w:hint="eastAsia" w:ascii="仿宋" w:hAnsi="仿宋" w:eastAsia="仿宋" w:cs="仿宋"/>
                <w:color w:val="000000" w:themeColor="text1"/>
                <w:sz w:val="21"/>
                <w:szCs w:val="21"/>
                <w14:textFill>
                  <w14:solidFill>
                    <w14:schemeClr w14:val="tx1"/>
                  </w14:solidFill>
                </w14:textFill>
              </w:rPr>
            </w:pPr>
          </w:p>
        </w:tc>
        <w:tc>
          <w:tcPr>
            <w:tcW w:w="6665" w:type="dxa"/>
            <w:vAlign w:val="center"/>
          </w:tcPr>
          <w:p w14:paraId="57C3914E">
            <w:pPr>
              <w:shd w:val="clear"/>
              <w:adjustRightInd w:val="0"/>
              <w:snapToGrid w:val="0"/>
              <w:spacing w:line="20" w:lineRule="atLeas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sz w:val="21"/>
                <w:szCs w:val="21"/>
                <w:highlight w:val="none"/>
                <w:lang w:eastAsia="zh-CN"/>
              </w:rPr>
              <w:t>提供具有履行本合同所必需的设备和专业技术能力的书面承诺。</w:t>
            </w:r>
            <w:r>
              <w:rPr>
                <w:rFonts w:hint="eastAsia" w:ascii="仿宋" w:hAnsi="仿宋" w:eastAsia="仿宋" w:cs="仿宋"/>
                <w:b/>
                <w:color w:val="000000" w:themeColor="text1"/>
                <w:sz w:val="21"/>
                <w:szCs w:val="21"/>
                <w:u w:val="double"/>
                <w14:textFill>
                  <w14:solidFill>
                    <w14:schemeClr w14:val="tx1"/>
                  </w14:solidFill>
                </w14:textFill>
              </w:rPr>
              <w:t>（</w:t>
            </w:r>
            <w:r>
              <w:rPr>
                <w:rFonts w:hint="eastAsia" w:ascii="仿宋" w:hAnsi="仿宋" w:eastAsia="仿宋" w:cs="仿宋"/>
                <w:b/>
                <w:color w:val="000000" w:themeColor="text1"/>
                <w:sz w:val="21"/>
                <w:szCs w:val="21"/>
                <w:u w:val="double"/>
                <w:lang w:val="en-US" w:eastAsia="zh-CN"/>
                <w14:textFill>
                  <w14:solidFill>
                    <w14:schemeClr w14:val="tx1"/>
                  </w14:solidFill>
                </w14:textFill>
              </w:rPr>
              <w:t>投标</w:t>
            </w:r>
            <w:r>
              <w:rPr>
                <w:rFonts w:hint="eastAsia" w:ascii="仿宋" w:hAnsi="仿宋" w:eastAsia="仿宋" w:cs="仿宋"/>
                <w:b/>
                <w:color w:val="000000" w:themeColor="text1"/>
                <w:sz w:val="21"/>
                <w:szCs w:val="21"/>
                <w:u w:val="double"/>
                <w14:textFill>
                  <w14:solidFill>
                    <w14:schemeClr w14:val="tx1"/>
                  </w14:solidFill>
                </w14:textFill>
              </w:rPr>
              <w:t>文件内附原件，格式内容自拟，</w:t>
            </w:r>
            <w:r>
              <w:rPr>
                <w:rFonts w:hint="eastAsia" w:ascii="仿宋" w:hAnsi="仿宋" w:eastAsia="仿宋" w:cs="仿宋"/>
                <w:b/>
                <w:color w:val="000000" w:themeColor="text1"/>
                <w:sz w:val="21"/>
                <w:szCs w:val="21"/>
                <w:u w:val="double"/>
                <w:lang w:val="en-US" w:eastAsia="zh-CN"/>
                <w14:textFill>
                  <w14:solidFill>
                    <w14:schemeClr w14:val="tx1"/>
                  </w14:solidFill>
                </w14:textFill>
              </w:rPr>
              <w:t>并</w:t>
            </w:r>
            <w:r>
              <w:rPr>
                <w:rFonts w:hint="eastAsia" w:ascii="仿宋" w:hAnsi="仿宋" w:eastAsia="仿宋" w:cs="仿宋"/>
                <w:b/>
                <w:color w:val="000000" w:themeColor="text1"/>
                <w:sz w:val="21"/>
                <w:szCs w:val="21"/>
                <w:u w:val="double"/>
                <w14:textFill>
                  <w14:solidFill>
                    <w14:schemeClr w14:val="tx1"/>
                  </w14:solidFill>
                </w14:textFill>
              </w:rPr>
              <w:t>加盖公章）</w:t>
            </w:r>
          </w:p>
        </w:tc>
      </w:tr>
      <w:tr w14:paraId="1A33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65" w:type="dxa"/>
            <w:vAlign w:val="center"/>
          </w:tcPr>
          <w:p w14:paraId="0611CF44">
            <w:pPr>
              <w:shd w:val="clear"/>
              <w:tabs>
                <w:tab w:val="left" w:pos="0"/>
              </w:tabs>
              <w:adjustRightInd w:val="0"/>
              <w:snapToGrid w:val="0"/>
              <w:spacing w:line="20" w:lineRule="atLeast"/>
              <w:ind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w:t>
            </w:r>
          </w:p>
        </w:tc>
        <w:tc>
          <w:tcPr>
            <w:tcW w:w="2148" w:type="dxa"/>
            <w:vMerge w:val="continue"/>
            <w:vAlign w:val="center"/>
          </w:tcPr>
          <w:p w14:paraId="555C0AE9">
            <w:pPr>
              <w:shd w:val="clear"/>
              <w:tabs>
                <w:tab w:val="left" w:pos="0"/>
              </w:tabs>
              <w:adjustRightInd w:val="0"/>
              <w:snapToGrid w:val="0"/>
              <w:spacing w:line="20" w:lineRule="atLeast"/>
              <w:ind w:firstLine="420" w:firstLineChars="200"/>
              <w:rPr>
                <w:rFonts w:hint="eastAsia" w:ascii="仿宋" w:hAnsi="仿宋" w:eastAsia="仿宋" w:cs="仿宋"/>
                <w:color w:val="000000" w:themeColor="text1"/>
                <w:sz w:val="21"/>
                <w:szCs w:val="21"/>
                <w14:textFill>
                  <w14:solidFill>
                    <w14:schemeClr w14:val="tx1"/>
                  </w14:solidFill>
                </w14:textFill>
              </w:rPr>
            </w:pPr>
          </w:p>
        </w:tc>
        <w:tc>
          <w:tcPr>
            <w:tcW w:w="6665" w:type="dxa"/>
            <w:vAlign w:val="center"/>
          </w:tcPr>
          <w:p w14:paraId="04FD4C30">
            <w:pPr>
              <w:keepNext w:val="0"/>
              <w:keepLines w:val="0"/>
              <w:pageBreakBefore w:val="0"/>
              <w:widowControl w:val="0"/>
              <w:shd w:val="clear"/>
              <w:kinsoku/>
              <w:wordWrap/>
              <w:overflowPunct/>
              <w:topLinePunct w:val="0"/>
              <w:autoSpaceDE/>
              <w:autoSpaceDN/>
              <w:bidi w:val="0"/>
              <w:adjustRightInd/>
              <w:spacing w:line="240" w:lineRule="auto"/>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sz w:val="21"/>
                <w:szCs w:val="21"/>
                <w:highlight w:val="none"/>
                <w:lang w:eastAsia="zh-CN"/>
              </w:rPr>
              <w:t>提供参加政府采购活动前三年内在经营活动中没有重大违法记录的书面声明。</w:t>
            </w:r>
            <w:r>
              <w:rPr>
                <w:rFonts w:hint="eastAsia" w:ascii="仿宋" w:hAnsi="仿宋" w:eastAsia="仿宋" w:cs="仿宋"/>
                <w:b/>
                <w:color w:val="000000" w:themeColor="text1"/>
                <w:sz w:val="21"/>
                <w:szCs w:val="21"/>
                <w:u w:val="double"/>
                <w14:textFill>
                  <w14:solidFill>
                    <w14:schemeClr w14:val="tx1"/>
                  </w14:solidFill>
                </w14:textFill>
              </w:rPr>
              <w:t>（</w:t>
            </w:r>
            <w:r>
              <w:rPr>
                <w:rFonts w:hint="eastAsia" w:ascii="仿宋" w:hAnsi="仿宋" w:eastAsia="仿宋" w:cs="仿宋"/>
                <w:b/>
                <w:color w:val="000000" w:themeColor="text1"/>
                <w:sz w:val="21"/>
                <w:szCs w:val="21"/>
                <w:u w:val="double"/>
                <w:lang w:val="en-US" w:eastAsia="zh-CN"/>
                <w14:textFill>
                  <w14:solidFill>
                    <w14:schemeClr w14:val="tx1"/>
                  </w14:solidFill>
                </w14:textFill>
              </w:rPr>
              <w:t>投标</w:t>
            </w:r>
            <w:r>
              <w:rPr>
                <w:rFonts w:hint="eastAsia" w:ascii="仿宋" w:hAnsi="仿宋" w:eastAsia="仿宋" w:cs="仿宋"/>
                <w:b/>
                <w:color w:val="000000" w:themeColor="text1"/>
                <w:sz w:val="21"/>
                <w:szCs w:val="21"/>
                <w:u w:val="double"/>
                <w14:textFill>
                  <w14:solidFill>
                    <w14:schemeClr w14:val="tx1"/>
                  </w14:solidFill>
                </w14:textFill>
              </w:rPr>
              <w:t>文件内附原件，格式内容自拟，</w:t>
            </w:r>
            <w:r>
              <w:rPr>
                <w:rFonts w:hint="eastAsia" w:ascii="仿宋" w:hAnsi="仿宋" w:eastAsia="仿宋" w:cs="仿宋"/>
                <w:b/>
                <w:color w:val="000000" w:themeColor="text1"/>
                <w:sz w:val="21"/>
                <w:szCs w:val="21"/>
                <w:u w:val="double"/>
                <w:lang w:val="en-US" w:eastAsia="zh-CN"/>
                <w14:textFill>
                  <w14:solidFill>
                    <w14:schemeClr w14:val="tx1"/>
                  </w14:solidFill>
                </w14:textFill>
              </w:rPr>
              <w:t>并</w:t>
            </w:r>
            <w:r>
              <w:rPr>
                <w:rFonts w:hint="eastAsia" w:ascii="仿宋" w:hAnsi="仿宋" w:eastAsia="仿宋" w:cs="仿宋"/>
                <w:b/>
                <w:color w:val="000000" w:themeColor="text1"/>
                <w:sz w:val="21"/>
                <w:szCs w:val="21"/>
                <w:u w:val="double"/>
                <w14:textFill>
                  <w14:solidFill>
                    <w14:schemeClr w14:val="tx1"/>
                  </w14:solidFill>
                </w14:textFill>
              </w:rPr>
              <w:t>加盖公章）</w:t>
            </w:r>
          </w:p>
        </w:tc>
      </w:tr>
      <w:tr w14:paraId="7589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vAlign w:val="center"/>
          </w:tcPr>
          <w:p w14:paraId="2F0C23BD">
            <w:pPr>
              <w:shd w:val="clear"/>
              <w:tabs>
                <w:tab w:val="left" w:pos="0"/>
              </w:tabs>
              <w:adjustRightInd w:val="0"/>
              <w:snapToGrid w:val="0"/>
              <w:spacing w:line="20" w:lineRule="atLeast"/>
              <w:ind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w:t>
            </w:r>
          </w:p>
        </w:tc>
        <w:tc>
          <w:tcPr>
            <w:tcW w:w="2148" w:type="dxa"/>
            <w:vMerge w:val="restart"/>
            <w:vAlign w:val="center"/>
          </w:tcPr>
          <w:p w14:paraId="3188D101">
            <w:pPr>
              <w:shd w:val="clear"/>
              <w:tabs>
                <w:tab w:val="left" w:pos="0"/>
              </w:tabs>
              <w:adjustRightInd w:val="0"/>
              <w:snapToGrid w:val="0"/>
              <w:spacing w:line="20" w:lineRule="atLeas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本项目特定资格</w:t>
            </w:r>
          </w:p>
          <w:p w14:paraId="1BB6EC61">
            <w:pPr>
              <w:shd w:val="clear"/>
              <w:tabs>
                <w:tab w:val="left" w:pos="0"/>
              </w:tabs>
              <w:adjustRightInd w:val="0"/>
              <w:snapToGrid w:val="0"/>
              <w:spacing w:line="20" w:lineRule="atLeast"/>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要求</w:t>
            </w:r>
          </w:p>
          <w:p w14:paraId="41A7EE7D">
            <w:pPr>
              <w:shd w:val="clear"/>
              <w:tabs>
                <w:tab w:val="left" w:pos="0"/>
              </w:tabs>
              <w:adjustRightInd w:val="0"/>
              <w:snapToGrid w:val="0"/>
              <w:spacing w:line="20" w:lineRule="atLeast"/>
              <w:jc w:val="center"/>
              <w:rPr>
                <w:rFonts w:hint="eastAsia" w:ascii="仿宋" w:hAnsi="仿宋" w:eastAsia="仿宋" w:cs="仿宋"/>
                <w:color w:val="000000" w:themeColor="text1"/>
                <w:sz w:val="21"/>
                <w:szCs w:val="21"/>
                <w14:textFill>
                  <w14:solidFill>
                    <w14:schemeClr w14:val="tx1"/>
                  </w14:solidFill>
                </w14:textFill>
              </w:rPr>
            </w:pPr>
          </w:p>
        </w:tc>
        <w:tc>
          <w:tcPr>
            <w:tcW w:w="6665" w:type="dxa"/>
            <w:vAlign w:val="center"/>
          </w:tcPr>
          <w:p w14:paraId="248BF483">
            <w:pPr>
              <w:shd w:val="clear"/>
              <w:adjustRightInd w:val="0"/>
              <w:snapToGrid w:val="0"/>
              <w:spacing w:line="20" w:lineRule="atLeas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sz w:val="21"/>
                <w:szCs w:val="21"/>
                <w:highlight w:val="none"/>
              </w:rPr>
              <w:t>法定代表人直接参加投标的，须出具法人身份证；法定代表人授权代表参加投标的，须出具法定代表人授权书及授权代表身份证</w:t>
            </w:r>
            <w:r>
              <w:rPr>
                <w:rFonts w:hint="eastAsia" w:ascii="仿宋" w:hAnsi="仿宋" w:eastAsia="仿宋" w:cs="仿宋"/>
                <w:color w:val="auto"/>
                <w:sz w:val="21"/>
                <w:szCs w:val="21"/>
                <w:highlight w:val="none"/>
                <w:lang w:eastAsia="zh-CN"/>
              </w:rPr>
              <w:t>。</w:t>
            </w:r>
            <w:r>
              <w:rPr>
                <w:rFonts w:hint="eastAsia" w:ascii="仿宋" w:hAnsi="仿宋" w:eastAsia="仿宋" w:cs="仿宋"/>
                <w:b/>
                <w:color w:val="auto"/>
                <w:sz w:val="21"/>
                <w:szCs w:val="21"/>
                <w:u w:val="double"/>
              </w:rPr>
              <w:t>（格式按文件</w:t>
            </w:r>
            <w:r>
              <w:rPr>
                <w:rFonts w:hint="eastAsia" w:ascii="仿宋" w:hAnsi="仿宋" w:eastAsia="仿宋" w:cs="仿宋"/>
                <w:b/>
                <w:color w:val="auto"/>
                <w:sz w:val="21"/>
                <w:szCs w:val="21"/>
                <w:u w:val="double"/>
                <w:lang w:eastAsia="zh-CN"/>
              </w:rPr>
              <w:t>第五章</w:t>
            </w:r>
            <w:r>
              <w:rPr>
                <w:rFonts w:hint="eastAsia" w:ascii="仿宋" w:hAnsi="仿宋" w:eastAsia="仿宋" w:cs="仿宋"/>
                <w:b/>
                <w:color w:val="auto"/>
                <w:sz w:val="21"/>
                <w:szCs w:val="21"/>
                <w:u w:val="double"/>
              </w:rPr>
              <w:t>第</w:t>
            </w:r>
            <w:r>
              <w:rPr>
                <w:rFonts w:hint="eastAsia" w:ascii="仿宋" w:hAnsi="仿宋" w:eastAsia="仿宋" w:cs="仿宋"/>
                <w:b/>
                <w:color w:val="auto"/>
                <w:sz w:val="21"/>
                <w:szCs w:val="21"/>
                <w:u w:val="double"/>
                <w:lang w:val="en-US" w:eastAsia="zh-CN"/>
              </w:rPr>
              <w:t>6</w:t>
            </w:r>
            <w:r>
              <w:rPr>
                <w:rFonts w:hint="eastAsia" w:ascii="仿宋" w:hAnsi="仿宋" w:eastAsia="仿宋" w:cs="仿宋"/>
                <w:b/>
                <w:color w:val="auto"/>
                <w:sz w:val="21"/>
                <w:szCs w:val="21"/>
                <w:u w:val="double"/>
              </w:rPr>
              <w:t>部分填写，</w:t>
            </w:r>
            <w:r>
              <w:rPr>
                <w:rFonts w:hint="eastAsia" w:ascii="仿宋" w:hAnsi="仿宋" w:eastAsia="仿宋" w:cs="仿宋"/>
                <w:b/>
                <w:color w:val="auto"/>
                <w:sz w:val="21"/>
                <w:szCs w:val="21"/>
                <w:u w:val="double"/>
                <w:lang w:val="en-US" w:eastAsia="zh-CN"/>
              </w:rPr>
              <w:t>并</w:t>
            </w:r>
            <w:r>
              <w:rPr>
                <w:rFonts w:hint="eastAsia" w:ascii="仿宋" w:hAnsi="仿宋" w:eastAsia="仿宋" w:cs="仿宋"/>
                <w:b/>
                <w:color w:val="auto"/>
                <w:sz w:val="21"/>
                <w:szCs w:val="21"/>
                <w:u w:val="double"/>
              </w:rPr>
              <w:t>加盖公章）</w:t>
            </w:r>
          </w:p>
        </w:tc>
      </w:tr>
      <w:tr w14:paraId="4DF1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765" w:type="dxa"/>
            <w:vAlign w:val="center"/>
          </w:tcPr>
          <w:p w14:paraId="0ACFA0D7">
            <w:pPr>
              <w:shd w:val="clear"/>
              <w:tabs>
                <w:tab w:val="left" w:pos="0"/>
              </w:tabs>
              <w:adjustRightInd w:val="0"/>
              <w:snapToGrid w:val="0"/>
              <w:spacing w:line="20" w:lineRule="atLeast"/>
              <w:ind w:firstLine="210" w:firstLineChars="100"/>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8</w:t>
            </w:r>
          </w:p>
        </w:tc>
        <w:tc>
          <w:tcPr>
            <w:tcW w:w="2148" w:type="dxa"/>
            <w:vMerge w:val="continue"/>
            <w:vAlign w:val="center"/>
          </w:tcPr>
          <w:p w14:paraId="4910A372">
            <w:pPr>
              <w:shd w:val="clear"/>
              <w:tabs>
                <w:tab w:val="left" w:pos="0"/>
              </w:tabs>
              <w:adjustRightInd w:val="0"/>
              <w:snapToGrid w:val="0"/>
              <w:spacing w:line="20" w:lineRule="atLeast"/>
              <w:jc w:val="center"/>
              <w:rPr>
                <w:rFonts w:hint="eastAsia" w:ascii="仿宋" w:hAnsi="仿宋" w:eastAsia="仿宋" w:cs="仿宋"/>
                <w:color w:val="000000" w:themeColor="text1"/>
                <w:sz w:val="21"/>
                <w:szCs w:val="21"/>
                <w14:textFill>
                  <w14:solidFill>
                    <w14:schemeClr w14:val="tx1"/>
                  </w14:solidFill>
                </w14:textFill>
              </w:rPr>
            </w:pPr>
          </w:p>
        </w:tc>
        <w:tc>
          <w:tcPr>
            <w:tcW w:w="6665" w:type="dxa"/>
            <w:vAlign w:val="center"/>
          </w:tcPr>
          <w:p w14:paraId="2C19EC0A">
            <w:pPr>
              <w:shd w:val="clear"/>
              <w:adjustRightInd w:val="0"/>
              <w:snapToGrid w:val="0"/>
              <w:spacing w:line="20" w:lineRule="atLeast"/>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auto"/>
                <w:sz w:val="21"/>
                <w:szCs w:val="21"/>
                <w:highlight w:val="none"/>
              </w:rPr>
              <w:t>投标人</w:t>
            </w:r>
            <w:r>
              <w:rPr>
                <w:rFonts w:hint="eastAsia" w:ascii="仿宋" w:hAnsi="仿宋" w:eastAsia="仿宋" w:cs="仿宋"/>
                <w:bCs/>
                <w:color w:val="000000" w:themeColor="text1"/>
                <w:sz w:val="21"/>
                <w:szCs w:val="21"/>
                <w14:textFill>
                  <w14:solidFill>
                    <w14:schemeClr w14:val="tx1"/>
                  </w14:solidFill>
                </w14:textFill>
              </w:rPr>
              <w:t>不得为“信用中国”网站（www.creditchina.gov.cn）中列入失信被执行人（中国执行信息公开网http://zxgk.court.gov.cn）和重大税收违法失信主体名单的</w:t>
            </w:r>
            <w:r>
              <w:rPr>
                <w:rFonts w:hint="eastAsia" w:ascii="仿宋" w:hAnsi="仿宋" w:eastAsia="仿宋" w:cs="仿宋"/>
                <w:bCs/>
                <w:color w:val="000000" w:themeColor="text1"/>
                <w:sz w:val="21"/>
                <w:szCs w:val="21"/>
                <w:lang w:eastAsia="zh-CN"/>
                <w14:textFill>
                  <w14:solidFill>
                    <w14:schemeClr w14:val="tx1"/>
                  </w14:solidFill>
                </w14:textFill>
              </w:rPr>
              <w:t>投标人</w:t>
            </w:r>
            <w:r>
              <w:rPr>
                <w:rFonts w:hint="eastAsia" w:ascii="仿宋" w:hAnsi="仿宋" w:eastAsia="仿宋" w:cs="仿宋"/>
                <w:bCs/>
                <w:color w:val="000000" w:themeColor="text1"/>
                <w:sz w:val="21"/>
                <w:szCs w:val="21"/>
                <w14:textFill>
                  <w14:solidFill>
                    <w14:schemeClr w14:val="tx1"/>
                  </w14:solidFill>
                </w14:textFill>
              </w:rPr>
              <w:t>，不得为中国政府采购网（www.ccgp.gov.cn）政府采购严重违法失信行为记录名单中被财政部门禁止参加政府采购活动的</w:t>
            </w:r>
            <w:r>
              <w:rPr>
                <w:rFonts w:hint="eastAsia" w:ascii="仿宋" w:hAnsi="仿宋" w:eastAsia="仿宋" w:cs="仿宋"/>
                <w:color w:val="auto"/>
                <w:sz w:val="21"/>
                <w:szCs w:val="21"/>
                <w:highlight w:val="none"/>
              </w:rPr>
              <w:t>投标人</w:t>
            </w:r>
            <w:r>
              <w:rPr>
                <w:rFonts w:hint="eastAsia" w:ascii="仿宋" w:hAnsi="仿宋" w:eastAsia="仿宋" w:cs="仿宋"/>
                <w:i w:val="0"/>
                <w:iCs w:val="0"/>
                <w:caps w:val="0"/>
                <w:color w:val="auto"/>
                <w:spacing w:val="0"/>
                <w:sz w:val="21"/>
                <w:szCs w:val="21"/>
                <w:highlight w:val="none"/>
                <w:shd w:val="clear" w:fill="FFFFFF"/>
                <w:lang w:eastAsia="zh-CN"/>
              </w:rPr>
              <w:t>。</w:t>
            </w:r>
            <w:r>
              <w:rPr>
                <w:rFonts w:hint="eastAsia" w:ascii="仿宋" w:hAnsi="仿宋" w:eastAsia="仿宋" w:cs="仿宋"/>
                <w:b/>
                <w:color w:val="auto"/>
                <w:sz w:val="21"/>
                <w:szCs w:val="21"/>
                <w:u w:val="double"/>
                <w:lang w:val="en-US" w:eastAsia="zh-CN"/>
              </w:rPr>
              <w:t>采购代理机构将在投标文件递交截止时间前3日内对投标人的信用情况进行查询，并将网页截图附在评审资料中并作为资格审查资料的一部分。（如相关失信记录已失效，投标人需提供相关证明资料，若没有则此项不需要提供）</w:t>
            </w:r>
          </w:p>
        </w:tc>
      </w:tr>
    </w:tbl>
    <w:p w14:paraId="2A90F793">
      <w:pPr>
        <w:keepNext w:val="0"/>
        <w:keepLines w:val="0"/>
        <w:pageBreakBefore w:val="0"/>
        <w:widowControl w:val="0"/>
        <w:tabs>
          <w:tab w:val="left" w:pos="0"/>
        </w:tabs>
        <w:kinsoku/>
        <w:wordWrap/>
        <w:overflowPunct/>
        <w:topLinePunct w:val="0"/>
        <w:autoSpaceDE/>
        <w:autoSpaceDN/>
        <w:bidi w:val="0"/>
        <w:adjustRightInd w:val="0"/>
        <w:snapToGrid w:val="0"/>
        <w:spacing w:before="0" w:line="360" w:lineRule="auto"/>
        <w:textAlignment w:val="auto"/>
        <w:rPr>
          <w:rFonts w:hint="eastAsia" w:ascii="仿宋" w:hAnsi="仿宋" w:eastAsia="仿宋" w:cs="仿宋"/>
          <w:b/>
          <w:color w:val="auto"/>
          <w:kern w:val="0"/>
          <w:sz w:val="21"/>
          <w:szCs w:val="21"/>
          <w:lang w:eastAsia="zh-CN"/>
        </w:rPr>
      </w:pPr>
      <w:r>
        <w:rPr>
          <w:rFonts w:hint="eastAsia" w:ascii="仿宋" w:hAnsi="仿宋" w:eastAsia="仿宋" w:cs="仿宋"/>
          <w:b/>
          <w:color w:val="auto"/>
          <w:kern w:val="0"/>
          <w:sz w:val="21"/>
          <w:szCs w:val="21"/>
          <w:lang w:val="en-US" w:eastAsia="zh-CN"/>
        </w:rPr>
        <w:t>2.1.1、</w:t>
      </w:r>
      <w:r>
        <w:rPr>
          <w:rFonts w:hint="eastAsia" w:ascii="仿宋" w:hAnsi="仿宋" w:eastAsia="仿宋" w:cs="仿宋"/>
          <w:b/>
          <w:color w:val="auto"/>
          <w:kern w:val="0"/>
          <w:sz w:val="21"/>
          <w:szCs w:val="21"/>
        </w:rPr>
        <w:t>落实政府采购政策资格审查</w:t>
      </w:r>
      <w:r>
        <w:rPr>
          <w:rFonts w:hint="eastAsia" w:ascii="仿宋" w:hAnsi="仿宋" w:eastAsia="仿宋" w:cs="仿宋"/>
          <w:b/>
          <w:color w:val="auto"/>
          <w:kern w:val="0"/>
          <w:sz w:val="21"/>
          <w:szCs w:val="21"/>
          <w:lang w:eastAsia="zh-CN"/>
        </w:rPr>
        <w:t>：</w:t>
      </w:r>
    </w:p>
    <w:p w14:paraId="45BA5013">
      <w:pPr>
        <w:keepNext w:val="0"/>
        <w:keepLines w:val="0"/>
        <w:pageBreakBefore w:val="0"/>
        <w:widowControl w:val="0"/>
        <w:tabs>
          <w:tab w:val="left" w:pos="0"/>
        </w:tabs>
        <w:kinsoku/>
        <w:wordWrap/>
        <w:overflowPunct/>
        <w:topLinePunct w:val="0"/>
        <w:autoSpaceDE/>
        <w:autoSpaceDN/>
        <w:bidi w:val="0"/>
        <w:adjustRightInd w:val="0"/>
        <w:snapToGrid w:val="0"/>
        <w:spacing w:before="0" w:line="360" w:lineRule="auto"/>
        <w:ind w:firstLine="210" w:firstLineChars="100"/>
        <w:textAlignment w:val="auto"/>
        <w:rPr>
          <w:rFonts w:hint="eastAsia" w:ascii="仿宋" w:hAnsi="仿宋" w:eastAsia="仿宋" w:cs="仿宋"/>
          <w:i w:val="0"/>
          <w:iCs w:val="0"/>
          <w:caps w:val="0"/>
          <w:color w:val="auto"/>
          <w:spacing w:val="0"/>
          <w:sz w:val="21"/>
          <w:szCs w:val="21"/>
          <w:shd w:val="clear" w:fill="FFFFFF"/>
        </w:rPr>
      </w:pPr>
      <w:r>
        <w:rPr>
          <w:rFonts w:hint="eastAsia" w:ascii="仿宋" w:hAnsi="仿宋" w:eastAsia="仿宋" w:cs="仿宋"/>
          <w:i w:val="0"/>
          <w:iCs w:val="0"/>
          <w:caps w:val="0"/>
          <w:color w:val="auto"/>
          <w:spacing w:val="0"/>
          <w:sz w:val="21"/>
          <w:szCs w:val="21"/>
          <w:shd w:val="clear" w:fill="FFFFFF"/>
        </w:rPr>
        <w:t>本项目专门面向中小企业采购,投标人所提供的货物应由中小企业制造（即货物由中小企业生产且使用该中小企业商号或者注册商标）制造商为中型、小型、微型企业的提供《中小企业声明函》，监狱企业或残疾人福利性单位视同小型、微型企业，制造商为监狱企业的，应提供监狱企业的证明文件；制造商为残疾人福利性单位的，应提供《残疾人福利性单位声明函》。</w:t>
      </w:r>
    </w:p>
    <w:p w14:paraId="1BA290AC">
      <w:pPr>
        <w:tabs>
          <w:tab w:val="left" w:pos="1080"/>
          <w:tab w:val="left" w:pos="1155"/>
        </w:tabs>
        <w:adjustRightInd w:val="0"/>
        <w:snapToGrid w:val="0"/>
        <w:spacing w:line="360" w:lineRule="auto"/>
        <w:ind w:firstLine="440" w:firstLineChars="200"/>
        <w:outlineLvl w:val="9"/>
        <w:rPr>
          <w:rFonts w:hint="eastAsia" w:ascii="仿宋" w:hAnsi="仿宋" w:eastAsia="仿宋" w:cs="仿宋"/>
          <w:i w:val="0"/>
          <w:iCs w:val="0"/>
          <w:caps w:val="0"/>
          <w:color w:val="auto"/>
          <w:spacing w:val="0"/>
          <w:sz w:val="21"/>
          <w:szCs w:val="21"/>
          <w:shd w:val="clear" w:fill="FFFFFF"/>
          <w:lang w:val="en-US" w:eastAsia="zh-CN"/>
        </w:rPr>
      </w:pPr>
      <w:r>
        <w:rPr>
          <w:rFonts w:hint="eastAsia" w:ascii="仿宋" w:hAnsi="仿宋" w:eastAsia="仿宋" w:cs="仿宋"/>
          <w:color w:val="auto"/>
          <w:sz w:val="22"/>
          <w:szCs w:val="22"/>
          <w:lang w:val="en-US" w:eastAsia="zh-CN"/>
        </w:rPr>
        <w:t>备注：</w:t>
      </w:r>
      <w:r>
        <w:rPr>
          <w:rFonts w:hint="eastAsia" w:ascii="仿宋" w:hAnsi="仿宋" w:eastAsia="仿宋" w:cs="仿宋"/>
          <w:color w:val="auto"/>
          <w:sz w:val="22"/>
          <w:szCs w:val="22"/>
        </w:rPr>
        <w:t>（1）参加政府采购活动的中小企业提交的声明函应当按</w:t>
      </w:r>
      <w:r>
        <w:rPr>
          <w:rFonts w:hint="eastAsia" w:ascii="仿宋" w:hAnsi="仿宋" w:eastAsia="仿宋" w:cs="仿宋"/>
          <w:color w:val="auto"/>
          <w:sz w:val="22"/>
          <w:szCs w:val="22"/>
          <w:lang w:val="en-US" w:eastAsia="zh-CN"/>
        </w:rPr>
        <w:t>招标</w:t>
      </w:r>
      <w:r>
        <w:rPr>
          <w:rFonts w:hint="eastAsia" w:ascii="仿宋" w:hAnsi="仿宋" w:eastAsia="仿宋" w:cs="仿宋"/>
          <w:color w:val="auto"/>
          <w:sz w:val="22"/>
          <w:szCs w:val="22"/>
        </w:rPr>
        <w:t>文件中（第</w:t>
      </w:r>
      <w:r>
        <w:rPr>
          <w:rFonts w:hint="eastAsia" w:ascii="仿宋" w:hAnsi="仿宋" w:eastAsia="仿宋" w:cs="仿宋"/>
          <w:color w:val="auto"/>
          <w:sz w:val="22"/>
          <w:szCs w:val="22"/>
          <w:lang w:val="en-US" w:eastAsia="zh-CN"/>
        </w:rPr>
        <w:t>五</w:t>
      </w:r>
      <w:r>
        <w:rPr>
          <w:rFonts w:hint="eastAsia" w:ascii="仿宋" w:hAnsi="仿宋" w:eastAsia="仿宋" w:cs="仿宋"/>
          <w:color w:val="auto"/>
          <w:sz w:val="22"/>
          <w:szCs w:val="22"/>
        </w:rPr>
        <w:t xml:space="preserve">章 </w:t>
      </w:r>
      <w:r>
        <w:rPr>
          <w:rFonts w:hint="eastAsia" w:ascii="仿宋" w:hAnsi="仿宋" w:eastAsia="仿宋" w:cs="仿宋"/>
          <w:color w:val="auto"/>
          <w:sz w:val="22"/>
          <w:szCs w:val="22"/>
          <w:lang w:val="en-US" w:eastAsia="zh-CN"/>
        </w:rPr>
        <w:t>投标</w:t>
      </w:r>
      <w:r>
        <w:rPr>
          <w:rFonts w:hint="eastAsia" w:ascii="仿宋" w:hAnsi="仿宋" w:eastAsia="仿宋" w:cs="仿宋"/>
          <w:color w:val="auto"/>
          <w:sz w:val="22"/>
          <w:szCs w:val="22"/>
        </w:rPr>
        <w:t>文件格式及构成）规定的统一格式填写，信息完整，不得随意增删或修改其内容。未按规定格式填写、信息不完整的声明函将其</w:t>
      </w:r>
      <w:r>
        <w:rPr>
          <w:rFonts w:hint="eastAsia" w:ascii="仿宋" w:hAnsi="仿宋" w:eastAsia="仿宋" w:cs="仿宋"/>
          <w:color w:val="auto"/>
          <w:sz w:val="22"/>
          <w:szCs w:val="22"/>
          <w:lang w:val="en-US" w:eastAsia="zh-CN"/>
        </w:rPr>
        <w:t>投标</w:t>
      </w:r>
      <w:r>
        <w:rPr>
          <w:rFonts w:hint="eastAsia" w:ascii="仿宋" w:hAnsi="仿宋" w:eastAsia="仿宋" w:cs="仿宋"/>
          <w:color w:val="auto"/>
          <w:sz w:val="22"/>
          <w:szCs w:val="22"/>
        </w:rPr>
        <w:t>文件作为无效</w:t>
      </w:r>
      <w:r>
        <w:rPr>
          <w:rFonts w:hint="eastAsia" w:ascii="仿宋" w:hAnsi="仿宋" w:eastAsia="仿宋" w:cs="仿宋"/>
          <w:color w:val="auto"/>
          <w:sz w:val="22"/>
          <w:szCs w:val="22"/>
          <w:lang w:val="en-US" w:eastAsia="zh-CN"/>
        </w:rPr>
        <w:t>投标</w:t>
      </w:r>
      <w:r>
        <w:rPr>
          <w:rFonts w:hint="eastAsia" w:ascii="仿宋" w:hAnsi="仿宋" w:eastAsia="仿宋" w:cs="仿宋"/>
          <w:color w:val="auto"/>
          <w:sz w:val="22"/>
          <w:szCs w:val="22"/>
        </w:rPr>
        <w:t>文件处理。（2）《中小企业声明函》落款、盖章的主体应当是参加政府采购活动的</w:t>
      </w:r>
      <w:r>
        <w:rPr>
          <w:rFonts w:hint="eastAsia" w:ascii="仿宋" w:hAnsi="仿宋" w:eastAsia="仿宋" w:cs="仿宋"/>
          <w:color w:val="auto"/>
          <w:sz w:val="22"/>
          <w:szCs w:val="22"/>
          <w:lang w:val="en-US" w:eastAsia="zh-CN"/>
        </w:rPr>
        <w:t>投标人</w:t>
      </w:r>
      <w:r>
        <w:rPr>
          <w:rFonts w:hint="eastAsia" w:ascii="仿宋" w:hAnsi="仿宋" w:eastAsia="仿宋" w:cs="仿宋"/>
          <w:color w:val="auto"/>
          <w:sz w:val="22"/>
          <w:szCs w:val="22"/>
        </w:rPr>
        <w:t>，且由其承担保证信息真实性的法律责任。落款、盖章的主体与获取</w:t>
      </w:r>
      <w:r>
        <w:rPr>
          <w:rFonts w:hint="eastAsia" w:ascii="仿宋" w:hAnsi="仿宋" w:eastAsia="仿宋" w:cs="仿宋"/>
          <w:color w:val="auto"/>
          <w:sz w:val="22"/>
          <w:szCs w:val="22"/>
          <w:lang w:val="en-US" w:eastAsia="zh-CN"/>
        </w:rPr>
        <w:t>招标</w:t>
      </w:r>
      <w:r>
        <w:rPr>
          <w:rFonts w:hint="eastAsia" w:ascii="仿宋" w:hAnsi="仿宋" w:eastAsia="仿宋" w:cs="仿宋"/>
          <w:color w:val="auto"/>
          <w:sz w:val="22"/>
          <w:szCs w:val="22"/>
        </w:rPr>
        <w:t>文件的</w:t>
      </w:r>
      <w:r>
        <w:rPr>
          <w:rFonts w:hint="eastAsia" w:ascii="仿宋" w:hAnsi="仿宋" w:eastAsia="仿宋" w:cs="仿宋"/>
          <w:color w:val="auto"/>
          <w:sz w:val="22"/>
          <w:szCs w:val="22"/>
          <w:lang w:val="en-US" w:eastAsia="zh-CN"/>
        </w:rPr>
        <w:t>投标人</w:t>
      </w:r>
      <w:r>
        <w:rPr>
          <w:rFonts w:hint="eastAsia" w:ascii="仿宋" w:hAnsi="仿宋" w:eastAsia="仿宋" w:cs="仿宋"/>
          <w:color w:val="auto"/>
          <w:sz w:val="22"/>
          <w:szCs w:val="22"/>
        </w:rPr>
        <w:t>不一致时，将其</w:t>
      </w:r>
      <w:r>
        <w:rPr>
          <w:rFonts w:hint="eastAsia" w:ascii="仿宋" w:hAnsi="仿宋" w:eastAsia="仿宋" w:cs="仿宋"/>
          <w:color w:val="auto"/>
          <w:sz w:val="22"/>
          <w:szCs w:val="22"/>
          <w:lang w:val="en-US" w:eastAsia="zh-CN"/>
        </w:rPr>
        <w:t>投标</w:t>
      </w:r>
      <w:r>
        <w:rPr>
          <w:rFonts w:hint="eastAsia" w:ascii="仿宋" w:hAnsi="仿宋" w:eastAsia="仿宋" w:cs="仿宋"/>
          <w:color w:val="auto"/>
          <w:sz w:val="22"/>
          <w:szCs w:val="22"/>
        </w:rPr>
        <w:t>文件作为无效</w:t>
      </w:r>
      <w:r>
        <w:rPr>
          <w:rFonts w:hint="eastAsia" w:ascii="仿宋" w:hAnsi="仿宋" w:eastAsia="仿宋" w:cs="仿宋"/>
          <w:color w:val="auto"/>
          <w:sz w:val="22"/>
          <w:szCs w:val="22"/>
          <w:lang w:val="en-US" w:eastAsia="zh-CN"/>
        </w:rPr>
        <w:t>投标</w:t>
      </w:r>
      <w:r>
        <w:rPr>
          <w:rFonts w:hint="eastAsia" w:ascii="仿宋" w:hAnsi="仿宋" w:eastAsia="仿宋" w:cs="仿宋"/>
          <w:color w:val="auto"/>
          <w:sz w:val="22"/>
          <w:szCs w:val="22"/>
        </w:rPr>
        <w:t>文件处理。</w:t>
      </w:r>
    </w:p>
    <w:p w14:paraId="4AFBE5B9">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kern w:val="0"/>
          <w:sz w:val="21"/>
          <w:szCs w:val="21"/>
          <w:lang w:val="en-US" w:eastAsia="zh-CN"/>
        </w:rPr>
        <w:t>2.1.2、投标人必须提供有效的《中小企业声明函》，才可以通过资格审查。</w:t>
      </w:r>
      <w:r>
        <w:rPr>
          <w:rFonts w:hint="eastAsia" w:ascii="仿宋" w:hAnsi="仿宋" w:eastAsia="仿宋" w:cs="仿宋"/>
          <w:b/>
          <w:color w:val="auto"/>
          <w:sz w:val="21"/>
          <w:szCs w:val="21"/>
        </w:rPr>
        <w:t>未通过资格审查的</w:t>
      </w:r>
      <w:r>
        <w:rPr>
          <w:rFonts w:hint="eastAsia" w:ascii="仿宋" w:hAnsi="仿宋" w:eastAsia="仿宋" w:cs="仿宋"/>
          <w:b/>
          <w:color w:val="auto"/>
          <w:sz w:val="21"/>
          <w:szCs w:val="21"/>
          <w:lang w:eastAsia="zh-CN"/>
        </w:rPr>
        <w:t>投标人</w:t>
      </w:r>
      <w:r>
        <w:rPr>
          <w:rFonts w:hint="eastAsia" w:ascii="仿宋" w:hAnsi="仿宋" w:eastAsia="仿宋" w:cs="仿宋"/>
          <w:b/>
          <w:color w:val="auto"/>
          <w:sz w:val="21"/>
          <w:szCs w:val="21"/>
        </w:rPr>
        <w:t>，不得进入后续</w:t>
      </w:r>
      <w:r>
        <w:rPr>
          <w:rFonts w:hint="eastAsia" w:ascii="仿宋" w:hAnsi="仿宋" w:eastAsia="仿宋" w:cs="仿宋"/>
          <w:b/>
          <w:color w:val="auto"/>
          <w:sz w:val="21"/>
          <w:szCs w:val="21"/>
          <w:lang w:val="en-US" w:eastAsia="zh-CN"/>
        </w:rPr>
        <w:t>评标</w:t>
      </w:r>
      <w:r>
        <w:rPr>
          <w:rFonts w:hint="eastAsia" w:ascii="仿宋" w:hAnsi="仿宋" w:eastAsia="仿宋" w:cs="仿宋"/>
          <w:b/>
          <w:color w:val="auto"/>
          <w:sz w:val="21"/>
          <w:szCs w:val="21"/>
        </w:rPr>
        <w:t>环节</w:t>
      </w:r>
      <w:r>
        <w:rPr>
          <w:rFonts w:hint="eastAsia" w:ascii="仿宋" w:hAnsi="仿宋" w:eastAsia="仿宋" w:cs="仿宋"/>
          <w:b/>
          <w:color w:val="auto"/>
          <w:sz w:val="21"/>
          <w:szCs w:val="21"/>
          <w:lang w:eastAsia="zh-CN"/>
        </w:rPr>
        <w:t>。</w:t>
      </w:r>
    </w:p>
    <w:p w14:paraId="4C0AE6B2">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2</w:t>
      </w:r>
      <w:r>
        <w:rPr>
          <w:rFonts w:hint="eastAsia" w:ascii="仿宋" w:hAnsi="仿宋" w:eastAsia="仿宋" w:cs="仿宋"/>
          <w:b/>
          <w:color w:val="auto"/>
          <w:sz w:val="21"/>
          <w:szCs w:val="21"/>
          <w:highlight w:val="none"/>
        </w:rPr>
        <w:t>、投标文件符合性审查</w:t>
      </w:r>
    </w:p>
    <w:p w14:paraId="1B3C7EC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2.2.1</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eastAsia="zh-CN"/>
        </w:rPr>
        <w:t>评标委员会</w:t>
      </w:r>
      <w:r>
        <w:rPr>
          <w:rFonts w:hint="eastAsia" w:ascii="仿宋" w:hAnsi="仿宋" w:eastAsia="仿宋" w:cs="仿宋"/>
          <w:color w:val="auto"/>
          <w:sz w:val="21"/>
          <w:szCs w:val="21"/>
        </w:rPr>
        <w:t>依法对符合资格条件的</w:t>
      </w:r>
      <w:r>
        <w:rPr>
          <w:rFonts w:hint="eastAsia" w:ascii="仿宋" w:hAnsi="仿宋" w:eastAsia="仿宋" w:cs="仿宋"/>
          <w:color w:val="auto"/>
          <w:sz w:val="21"/>
          <w:szCs w:val="21"/>
          <w:lang w:val="en-US" w:eastAsia="zh-CN"/>
        </w:rPr>
        <w:t>投标人投标</w:t>
      </w:r>
      <w:r>
        <w:rPr>
          <w:rFonts w:hint="eastAsia" w:ascii="仿宋" w:hAnsi="仿宋" w:eastAsia="仿宋" w:cs="仿宋"/>
          <w:color w:val="auto"/>
          <w:sz w:val="21"/>
          <w:szCs w:val="21"/>
        </w:rPr>
        <w:t>文件进行符合性审查。</w:t>
      </w:r>
      <w:r>
        <w:rPr>
          <w:rFonts w:hint="eastAsia" w:ascii="仿宋" w:hAnsi="仿宋" w:eastAsia="仿宋" w:cs="仿宋"/>
          <w:color w:val="auto"/>
          <w:sz w:val="21"/>
          <w:szCs w:val="21"/>
          <w:lang w:eastAsia="zh-CN"/>
        </w:rPr>
        <w:t>评标委员会</w:t>
      </w:r>
      <w:r>
        <w:rPr>
          <w:rFonts w:hint="eastAsia" w:ascii="仿宋" w:hAnsi="仿宋" w:eastAsia="仿宋" w:cs="仿宋"/>
          <w:color w:val="auto"/>
          <w:sz w:val="21"/>
          <w:szCs w:val="21"/>
        </w:rPr>
        <w:t>从</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文件的有效性、完整性和对</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文件的响应程度进行审查，以确定其是否对</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文件实质性内容作出响应，有无恶意串通行为。</w:t>
      </w:r>
    </w:p>
    <w:p w14:paraId="61F8CAF3">
      <w:pPr>
        <w:keepNext w:val="0"/>
        <w:keepLines w:val="0"/>
        <w:pageBreakBefore w:val="0"/>
        <w:tabs>
          <w:tab w:val="left" w:pos="0"/>
        </w:tabs>
        <w:kinsoku/>
        <w:wordWrap/>
        <w:overflowPunct/>
        <w:topLinePunct w:val="0"/>
        <w:autoSpaceDE/>
        <w:autoSpaceDN/>
        <w:bidi w:val="0"/>
        <w:adjustRightInd w:val="0"/>
        <w:snapToGrid w:val="0"/>
        <w:spacing w:line="360" w:lineRule="auto"/>
        <w:ind w:firstLine="420" w:firstLineChars="200"/>
        <w:textAlignment w:val="auto"/>
        <w:rPr>
          <w:rFonts w:hint="eastAsia"/>
          <w:sz w:val="21"/>
          <w:szCs w:val="21"/>
        </w:rPr>
      </w:pPr>
      <w:r>
        <w:rPr>
          <w:rFonts w:hint="eastAsia" w:ascii="仿宋" w:hAnsi="仿宋" w:eastAsia="仿宋" w:cs="仿宋"/>
          <w:color w:val="auto"/>
          <w:sz w:val="21"/>
          <w:szCs w:val="21"/>
        </w:rPr>
        <w:t>2.2.2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eastAsia="zh-CN"/>
        </w:rPr>
        <w:t>评标委员会</w:t>
      </w:r>
      <w:r>
        <w:rPr>
          <w:rFonts w:hint="eastAsia" w:ascii="仿宋" w:hAnsi="仿宋" w:eastAsia="仿宋" w:cs="仿宋"/>
          <w:color w:val="auto"/>
          <w:sz w:val="21"/>
          <w:szCs w:val="21"/>
        </w:rPr>
        <w:t>将按下列评审标准对</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文件进行符合性审查，</w:t>
      </w:r>
      <w:r>
        <w:rPr>
          <w:rFonts w:hint="eastAsia" w:ascii="仿宋" w:hAnsi="仿宋" w:eastAsia="仿宋" w:cs="仿宋"/>
          <w:bCs/>
          <w:color w:val="auto"/>
          <w:sz w:val="21"/>
          <w:szCs w:val="21"/>
          <w:lang w:val="en-US" w:eastAsia="zh-CN"/>
        </w:rPr>
        <w:t>投标人</w:t>
      </w:r>
      <w:r>
        <w:rPr>
          <w:rFonts w:hint="eastAsia" w:ascii="仿宋" w:hAnsi="仿宋" w:eastAsia="仿宋" w:cs="仿宋"/>
          <w:bCs/>
          <w:color w:val="auto"/>
          <w:sz w:val="21"/>
          <w:szCs w:val="21"/>
        </w:rPr>
        <w:t>若</w:t>
      </w:r>
      <w:r>
        <w:rPr>
          <w:rFonts w:hint="eastAsia" w:ascii="仿宋" w:hAnsi="仿宋" w:eastAsia="仿宋" w:cs="仿宋"/>
          <w:color w:val="auto"/>
          <w:kern w:val="0"/>
          <w:sz w:val="21"/>
          <w:szCs w:val="21"/>
        </w:rPr>
        <w:t>有一项不合格，即判定其符合性审查结果为不合格，将不具备</w:t>
      </w:r>
      <w:r>
        <w:rPr>
          <w:rFonts w:hint="eastAsia" w:ascii="仿宋" w:hAnsi="仿宋" w:eastAsia="仿宋" w:cs="仿宋"/>
          <w:color w:val="auto"/>
          <w:kern w:val="0"/>
          <w:sz w:val="21"/>
          <w:szCs w:val="21"/>
          <w:lang w:val="en-US" w:eastAsia="zh-CN"/>
        </w:rPr>
        <w:t>投标</w:t>
      </w:r>
      <w:r>
        <w:rPr>
          <w:rFonts w:hint="eastAsia" w:ascii="仿宋" w:hAnsi="仿宋" w:eastAsia="仿宋" w:cs="仿宋"/>
          <w:color w:val="auto"/>
          <w:kern w:val="0"/>
          <w:sz w:val="21"/>
          <w:szCs w:val="21"/>
        </w:rPr>
        <w:t>资格，其</w:t>
      </w:r>
      <w:r>
        <w:rPr>
          <w:rFonts w:hint="eastAsia" w:ascii="仿宋" w:hAnsi="仿宋" w:eastAsia="仿宋" w:cs="仿宋"/>
          <w:color w:val="auto"/>
          <w:kern w:val="0"/>
          <w:sz w:val="21"/>
          <w:szCs w:val="21"/>
          <w:lang w:val="en-US" w:eastAsia="zh-CN"/>
        </w:rPr>
        <w:t>投标</w:t>
      </w:r>
      <w:r>
        <w:rPr>
          <w:rFonts w:hint="eastAsia" w:ascii="仿宋" w:hAnsi="仿宋" w:eastAsia="仿宋" w:cs="仿宋"/>
          <w:color w:val="auto"/>
          <w:kern w:val="0"/>
          <w:sz w:val="21"/>
          <w:szCs w:val="21"/>
        </w:rPr>
        <w:t>文件无效。</w:t>
      </w:r>
    </w:p>
    <w:p w14:paraId="0E27EDA1">
      <w:pPr>
        <w:keepNext w:val="0"/>
        <w:keepLines w:val="0"/>
        <w:pageBreakBefore w:val="0"/>
        <w:widowControl w:val="0"/>
        <w:shd w:val="clear"/>
        <w:tabs>
          <w:tab w:val="left" w:pos="0"/>
        </w:tabs>
        <w:kinsoku/>
        <w:wordWrap/>
        <w:overflowPunct/>
        <w:topLinePunct w:val="0"/>
        <w:autoSpaceDE/>
        <w:autoSpaceDN/>
        <w:bidi w:val="0"/>
        <w:adjustRightInd w:val="0"/>
        <w:snapToGrid w:val="0"/>
        <w:spacing w:line="360" w:lineRule="auto"/>
        <w:ind w:firstLine="630" w:firstLineChars="3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符合性审查标准如下：</w:t>
      </w:r>
    </w:p>
    <w:tbl>
      <w:tblPr>
        <w:tblStyle w:val="42"/>
        <w:tblW w:w="9715"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8"/>
        <w:gridCol w:w="3695"/>
        <w:gridCol w:w="4338"/>
      </w:tblGrid>
      <w:tr w14:paraId="53AF8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24" w:type="dxa"/>
            <w:vAlign w:val="center"/>
          </w:tcPr>
          <w:p w14:paraId="0BF24A14">
            <w:pPr>
              <w:shd w:val="clear"/>
              <w:tabs>
                <w:tab w:val="left" w:pos="0"/>
              </w:tabs>
              <w:adjustRightInd w:val="0"/>
              <w:snapToGrid w:val="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序号</w:t>
            </w:r>
          </w:p>
        </w:tc>
        <w:tc>
          <w:tcPr>
            <w:tcW w:w="4553" w:type="dxa"/>
            <w:gridSpan w:val="2"/>
            <w:vAlign w:val="center"/>
          </w:tcPr>
          <w:p w14:paraId="6B25AF84">
            <w:pPr>
              <w:shd w:val="clear"/>
              <w:tabs>
                <w:tab w:val="left" w:pos="0"/>
              </w:tabs>
              <w:adjustRightInd w:val="0"/>
              <w:snapToGrid w:val="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评审因素</w:t>
            </w:r>
          </w:p>
        </w:tc>
        <w:tc>
          <w:tcPr>
            <w:tcW w:w="4338" w:type="dxa"/>
            <w:vAlign w:val="center"/>
          </w:tcPr>
          <w:p w14:paraId="3A73EAD0">
            <w:pPr>
              <w:shd w:val="clear"/>
              <w:tabs>
                <w:tab w:val="left" w:pos="0"/>
              </w:tabs>
              <w:adjustRightInd w:val="0"/>
              <w:snapToGrid w:val="0"/>
              <w:jc w:val="center"/>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评审标准</w:t>
            </w:r>
          </w:p>
        </w:tc>
      </w:tr>
      <w:tr w14:paraId="50F3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24" w:type="dxa"/>
            <w:vMerge w:val="restart"/>
            <w:vAlign w:val="center"/>
          </w:tcPr>
          <w:p w14:paraId="3812EDD8">
            <w:pPr>
              <w:shd w:val="clear"/>
              <w:tabs>
                <w:tab w:val="left" w:pos="0"/>
              </w:tabs>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858" w:type="dxa"/>
            <w:vMerge w:val="restart"/>
            <w:vAlign w:val="center"/>
          </w:tcPr>
          <w:p w14:paraId="1931E808">
            <w:pPr>
              <w:shd w:val="clear"/>
              <w:tabs>
                <w:tab w:val="left" w:pos="0"/>
              </w:tabs>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有效性审查</w:t>
            </w:r>
          </w:p>
        </w:tc>
        <w:tc>
          <w:tcPr>
            <w:tcW w:w="3695" w:type="dxa"/>
            <w:vAlign w:val="center"/>
          </w:tcPr>
          <w:p w14:paraId="104E68CA">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（1）投标文件的签署盖章</w:t>
            </w:r>
          </w:p>
        </w:tc>
        <w:tc>
          <w:tcPr>
            <w:tcW w:w="4338" w:type="dxa"/>
            <w:vAlign w:val="center"/>
          </w:tcPr>
          <w:p w14:paraId="5B355110">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应符合招标文件要求</w:t>
            </w:r>
          </w:p>
        </w:tc>
      </w:tr>
      <w:tr w14:paraId="6D2E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4" w:type="dxa"/>
            <w:vMerge w:val="continue"/>
          </w:tcPr>
          <w:p w14:paraId="50274BC2">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858" w:type="dxa"/>
            <w:vMerge w:val="continue"/>
          </w:tcPr>
          <w:p w14:paraId="7E90B6DC">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3695" w:type="dxa"/>
            <w:vAlign w:val="center"/>
          </w:tcPr>
          <w:p w14:paraId="2B66A569">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（2）投标文件格式、语言、计量单位、报价货币</w:t>
            </w:r>
          </w:p>
        </w:tc>
        <w:tc>
          <w:tcPr>
            <w:tcW w:w="4338" w:type="dxa"/>
            <w:vAlign w:val="center"/>
          </w:tcPr>
          <w:p w14:paraId="089BD438">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应符合“投标文件格式”和招标文件要求</w:t>
            </w:r>
          </w:p>
        </w:tc>
      </w:tr>
      <w:tr w14:paraId="004D2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4" w:type="dxa"/>
            <w:vMerge w:val="continue"/>
          </w:tcPr>
          <w:p w14:paraId="42845108">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858" w:type="dxa"/>
            <w:vMerge w:val="continue"/>
          </w:tcPr>
          <w:p w14:paraId="5F6891A8">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3695" w:type="dxa"/>
            <w:vAlign w:val="center"/>
          </w:tcPr>
          <w:p w14:paraId="7461078A">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（3）报价唯一</w:t>
            </w:r>
          </w:p>
        </w:tc>
        <w:tc>
          <w:tcPr>
            <w:tcW w:w="4338" w:type="dxa"/>
            <w:vAlign w:val="center"/>
          </w:tcPr>
          <w:p w14:paraId="51E528AE">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只能有一个有效报价，不得提交选择性报价，且报价不超过采购预算金额或最高限价</w:t>
            </w:r>
          </w:p>
        </w:tc>
      </w:tr>
      <w:tr w14:paraId="06A9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54342907">
            <w:pPr>
              <w:shd w:val="clear"/>
              <w:tabs>
                <w:tab w:val="left" w:pos="0"/>
              </w:tabs>
              <w:adjustRightInd w:val="0"/>
              <w:snapToGrid w:val="0"/>
              <w:spacing w:line="360" w:lineRule="auto"/>
              <w:jc w:val="center"/>
              <w:rPr>
                <w:rFonts w:hint="eastAsia" w:ascii="仿宋" w:hAnsi="仿宋" w:eastAsia="仿宋" w:cs="仿宋"/>
                <w:color w:val="auto"/>
                <w:sz w:val="21"/>
                <w:szCs w:val="21"/>
                <w:highlight w:val="none"/>
              </w:rPr>
            </w:pPr>
          </w:p>
        </w:tc>
        <w:tc>
          <w:tcPr>
            <w:tcW w:w="858" w:type="dxa"/>
            <w:vMerge w:val="continue"/>
            <w:vAlign w:val="center"/>
          </w:tcPr>
          <w:p w14:paraId="5FFFE7FE">
            <w:pPr>
              <w:shd w:val="clear"/>
              <w:tabs>
                <w:tab w:val="left" w:pos="0"/>
              </w:tabs>
              <w:adjustRightInd w:val="0"/>
              <w:snapToGrid w:val="0"/>
              <w:jc w:val="center"/>
              <w:rPr>
                <w:rFonts w:hint="eastAsia" w:ascii="仿宋" w:hAnsi="仿宋" w:eastAsia="仿宋" w:cs="仿宋"/>
                <w:color w:val="auto"/>
                <w:sz w:val="21"/>
                <w:szCs w:val="21"/>
                <w:highlight w:val="none"/>
              </w:rPr>
            </w:pPr>
          </w:p>
        </w:tc>
        <w:tc>
          <w:tcPr>
            <w:tcW w:w="3695" w:type="dxa"/>
            <w:vAlign w:val="center"/>
          </w:tcPr>
          <w:p w14:paraId="67780BC8">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（4）电子文件</w:t>
            </w:r>
          </w:p>
        </w:tc>
        <w:tc>
          <w:tcPr>
            <w:tcW w:w="4338" w:type="dxa"/>
            <w:vAlign w:val="center"/>
          </w:tcPr>
          <w:p w14:paraId="0AAD8FCF">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应符合招标文件中的规定</w:t>
            </w:r>
          </w:p>
        </w:tc>
      </w:tr>
      <w:tr w14:paraId="74AA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4" w:type="dxa"/>
            <w:vMerge w:val="continue"/>
            <w:vAlign w:val="center"/>
          </w:tcPr>
          <w:p w14:paraId="431C9E5C">
            <w:pPr>
              <w:shd w:val="clear"/>
              <w:tabs>
                <w:tab w:val="left" w:pos="0"/>
              </w:tabs>
              <w:adjustRightInd w:val="0"/>
              <w:snapToGrid w:val="0"/>
              <w:spacing w:line="360" w:lineRule="auto"/>
              <w:jc w:val="center"/>
              <w:rPr>
                <w:rFonts w:hint="eastAsia" w:ascii="仿宋" w:hAnsi="仿宋" w:eastAsia="仿宋" w:cs="仿宋"/>
                <w:color w:val="auto"/>
                <w:sz w:val="21"/>
                <w:szCs w:val="21"/>
                <w:highlight w:val="none"/>
              </w:rPr>
            </w:pPr>
          </w:p>
        </w:tc>
        <w:tc>
          <w:tcPr>
            <w:tcW w:w="858" w:type="dxa"/>
            <w:vMerge w:val="continue"/>
            <w:vAlign w:val="center"/>
          </w:tcPr>
          <w:p w14:paraId="3D367C5F">
            <w:pPr>
              <w:shd w:val="clear"/>
              <w:tabs>
                <w:tab w:val="left" w:pos="0"/>
              </w:tabs>
              <w:adjustRightInd w:val="0"/>
              <w:snapToGrid w:val="0"/>
              <w:jc w:val="center"/>
              <w:rPr>
                <w:rFonts w:hint="eastAsia" w:ascii="仿宋" w:hAnsi="仿宋" w:eastAsia="仿宋" w:cs="仿宋"/>
                <w:color w:val="auto"/>
                <w:sz w:val="21"/>
                <w:szCs w:val="21"/>
                <w:highlight w:val="none"/>
              </w:rPr>
            </w:pPr>
          </w:p>
        </w:tc>
        <w:tc>
          <w:tcPr>
            <w:tcW w:w="3695" w:type="dxa"/>
            <w:vAlign w:val="center"/>
          </w:tcPr>
          <w:p w14:paraId="0E1C7A88">
            <w:pPr>
              <w:tabs>
                <w:tab w:val="left" w:pos="0"/>
              </w:tabs>
              <w:adjustRightInd w:val="0"/>
              <w:snapToGrid w:val="0"/>
              <w:spacing w:line="24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rPr>
              <w:t>（5）不存在恶意串通的情形</w:t>
            </w:r>
          </w:p>
        </w:tc>
        <w:tc>
          <w:tcPr>
            <w:tcW w:w="4338" w:type="dxa"/>
            <w:vAlign w:val="center"/>
          </w:tcPr>
          <w:p w14:paraId="0A6BE544">
            <w:pPr>
              <w:keepNext w:val="0"/>
              <w:keepLines w:val="0"/>
              <w:pageBreakBefore w:val="0"/>
              <w:widowControl w:val="0"/>
              <w:tabs>
                <w:tab w:val="left" w:pos="0"/>
              </w:tabs>
              <w:kinsoku/>
              <w:wordWrap/>
              <w:overflowPunct/>
              <w:topLinePunct w:val="0"/>
              <w:autoSpaceDE/>
              <w:autoSpaceDN/>
              <w:bidi w:val="0"/>
              <w:adjustRightInd w:val="0"/>
              <w:snapToGrid w:val="0"/>
              <w:spacing w:before="0" w:beforeLines="30"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rPr>
              <w:t>不存在本章第2.2.3条款规定的任何一种情形</w:t>
            </w:r>
          </w:p>
        </w:tc>
      </w:tr>
      <w:tr w14:paraId="7DF5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4" w:type="dxa"/>
            <w:vMerge w:val="restart"/>
            <w:vAlign w:val="center"/>
          </w:tcPr>
          <w:p w14:paraId="24DF9A43">
            <w:pPr>
              <w:shd w:val="clear"/>
              <w:tabs>
                <w:tab w:val="left" w:pos="0"/>
              </w:tabs>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858" w:type="dxa"/>
            <w:vMerge w:val="restart"/>
            <w:vAlign w:val="center"/>
          </w:tcPr>
          <w:p w14:paraId="1D298B71">
            <w:pPr>
              <w:shd w:val="clear"/>
              <w:tabs>
                <w:tab w:val="left" w:pos="0"/>
              </w:tabs>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完整性审查</w:t>
            </w:r>
          </w:p>
        </w:tc>
        <w:tc>
          <w:tcPr>
            <w:tcW w:w="3695" w:type="dxa"/>
            <w:vAlign w:val="center"/>
          </w:tcPr>
          <w:p w14:paraId="5EC3CBF7">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）投标文件份数</w:t>
            </w:r>
          </w:p>
        </w:tc>
        <w:tc>
          <w:tcPr>
            <w:tcW w:w="4338" w:type="dxa"/>
            <w:vAlign w:val="center"/>
          </w:tcPr>
          <w:p w14:paraId="17D98A7D">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应符合“投标人须知前附表”规定的正本、副本、</w:t>
            </w:r>
            <w:r>
              <w:rPr>
                <w:rFonts w:hint="eastAsia" w:ascii="仿宋" w:hAnsi="仿宋" w:eastAsia="仿宋" w:cs="仿宋"/>
                <w:color w:val="auto"/>
                <w:sz w:val="21"/>
                <w:szCs w:val="21"/>
                <w:highlight w:val="none"/>
                <w:lang w:val="en-US" w:eastAsia="zh-CN"/>
              </w:rPr>
              <w:t>开标一览表、</w:t>
            </w:r>
            <w:r>
              <w:rPr>
                <w:rFonts w:hint="eastAsia" w:ascii="仿宋" w:hAnsi="仿宋" w:eastAsia="仿宋" w:cs="仿宋"/>
                <w:color w:val="auto"/>
                <w:sz w:val="21"/>
                <w:szCs w:val="21"/>
                <w:highlight w:val="none"/>
              </w:rPr>
              <w:t>电子文件数量</w:t>
            </w:r>
          </w:p>
        </w:tc>
      </w:tr>
      <w:tr w14:paraId="1749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24" w:type="dxa"/>
            <w:vMerge w:val="continue"/>
          </w:tcPr>
          <w:p w14:paraId="1658549A">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858" w:type="dxa"/>
            <w:vMerge w:val="continue"/>
          </w:tcPr>
          <w:p w14:paraId="1554DF74">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3695" w:type="dxa"/>
            <w:vAlign w:val="center"/>
          </w:tcPr>
          <w:p w14:paraId="48AFE878">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）投标文件内容</w:t>
            </w:r>
          </w:p>
        </w:tc>
        <w:tc>
          <w:tcPr>
            <w:tcW w:w="4338" w:type="dxa"/>
            <w:vAlign w:val="center"/>
          </w:tcPr>
          <w:p w14:paraId="08B9003F">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投标文件内容齐全、无遗漏</w:t>
            </w:r>
          </w:p>
        </w:tc>
      </w:tr>
      <w:tr w14:paraId="4F4C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24" w:type="dxa"/>
            <w:vMerge w:val="restart"/>
            <w:vAlign w:val="center"/>
          </w:tcPr>
          <w:p w14:paraId="6914DC52">
            <w:pPr>
              <w:shd w:val="clear"/>
              <w:tabs>
                <w:tab w:val="left" w:pos="0"/>
              </w:tabs>
              <w:adjustRightInd w:val="0"/>
              <w:snapToGrid w:val="0"/>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858" w:type="dxa"/>
            <w:vMerge w:val="restart"/>
            <w:vAlign w:val="center"/>
          </w:tcPr>
          <w:p w14:paraId="6C871506">
            <w:pPr>
              <w:shd w:val="clear"/>
              <w:tabs>
                <w:tab w:val="left" w:pos="0"/>
              </w:tabs>
              <w:adjustRightInd w:val="0"/>
              <w:snapToGrid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响应性审查</w:t>
            </w:r>
          </w:p>
        </w:tc>
        <w:tc>
          <w:tcPr>
            <w:tcW w:w="3695" w:type="dxa"/>
            <w:vAlign w:val="center"/>
          </w:tcPr>
          <w:p w14:paraId="27E46E62">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）对招标文件响应程度</w:t>
            </w:r>
          </w:p>
        </w:tc>
        <w:tc>
          <w:tcPr>
            <w:tcW w:w="4338" w:type="dxa"/>
            <w:vAlign w:val="center"/>
          </w:tcPr>
          <w:p w14:paraId="40322B00">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要求全面响应，不能有任何采购人不能接受的附加条件</w:t>
            </w:r>
          </w:p>
        </w:tc>
      </w:tr>
      <w:tr w14:paraId="26BB0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42E0F22D">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858" w:type="dxa"/>
            <w:vMerge w:val="continue"/>
          </w:tcPr>
          <w:p w14:paraId="5D98A312">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3695" w:type="dxa"/>
            <w:vAlign w:val="center"/>
          </w:tcPr>
          <w:p w14:paraId="3FC3BC07">
            <w:pPr>
              <w:shd w:val="clear"/>
              <w:tabs>
                <w:tab w:val="left" w:pos="0"/>
              </w:tabs>
              <w:adjustRightInd w:val="0"/>
              <w:snapToGrid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交货期</w:t>
            </w:r>
          </w:p>
        </w:tc>
        <w:tc>
          <w:tcPr>
            <w:tcW w:w="4338" w:type="dxa"/>
            <w:vAlign w:val="center"/>
          </w:tcPr>
          <w:p w14:paraId="2C5FA956">
            <w:pPr>
              <w:shd w:val="clear"/>
              <w:tabs>
                <w:tab w:val="left" w:pos="0"/>
              </w:tabs>
              <w:adjustRightInd w:val="0"/>
              <w:snapToGrid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应满足招标文件中</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要求</w:t>
            </w:r>
          </w:p>
        </w:tc>
      </w:tr>
      <w:tr w14:paraId="0A08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722C1E59">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858" w:type="dxa"/>
            <w:vMerge w:val="continue"/>
          </w:tcPr>
          <w:p w14:paraId="121C5375">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3695" w:type="dxa"/>
            <w:vAlign w:val="center"/>
          </w:tcPr>
          <w:p w14:paraId="329FCC0B">
            <w:pPr>
              <w:shd w:val="clear"/>
              <w:tabs>
                <w:tab w:val="left" w:pos="0"/>
              </w:tabs>
              <w:adjustRightInd w:val="0"/>
              <w:snapToGrid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eastAsia="zh-CN"/>
              </w:rPr>
              <w:t>交付地点</w:t>
            </w:r>
          </w:p>
        </w:tc>
        <w:tc>
          <w:tcPr>
            <w:tcW w:w="4338" w:type="dxa"/>
            <w:vAlign w:val="center"/>
          </w:tcPr>
          <w:p w14:paraId="06676B1C">
            <w:pPr>
              <w:shd w:val="clear"/>
              <w:tabs>
                <w:tab w:val="left" w:pos="0"/>
              </w:tabs>
              <w:adjustRightInd w:val="0"/>
              <w:snapToGrid w:val="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应满足招标文件中</w:t>
            </w:r>
            <w:r>
              <w:rPr>
                <w:rFonts w:hint="eastAsia" w:ascii="仿宋" w:hAnsi="仿宋" w:eastAsia="仿宋" w:cs="仿宋"/>
                <w:color w:val="auto"/>
                <w:sz w:val="21"/>
                <w:szCs w:val="21"/>
                <w:highlight w:val="none"/>
                <w:lang w:val="en-US" w:eastAsia="zh-CN"/>
              </w:rPr>
              <w:t>的</w:t>
            </w:r>
            <w:r>
              <w:rPr>
                <w:rFonts w:hint="eastAsia" w:ascii="仿宋" w:hAnsi="仿宋" w:eastAsia="仿宋" w:cs="仿宋"/>
                <w:color w:val="auto"/>
                <w:sz w:val="21"/>
                <w:szCs w:val="21"/>
                <w:highlight w:val="none"/>
              </w:rPr>
              <w:t>要求</w:t>
            </w:r>
          </w:p>
        </w:tc>
      </w:tr>
      <w:tr w14:paraId="3672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7A322A0C">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858" w:type="dxa"/>
            <w:vMerge w:val="continue"/>
          </w:tcPr>
          <w:p w14:paraId="145F85FA">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3695" w:type="dxa"/>
            <w:vAlign w:val="center"/>
          </w:tcPr>
          <w:p w14:paraId="1FD55F01">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）质保期</w:t>
            </w:r>
          </w:p>
        </w:tc>
        <w:tc>
          <w:tcPr>
            <w:tcW w:w="4338" w:type="dxa"/>
            <w:vAlign w:val="center"/>
          </w:tcPr>
          <w:p w14:paraId="15E98BA0">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应满足招标文件中的规定</w:t>
            </w:r>
          </w:p>
        </w:tc>
      </w:tr>
      <w:tr w14:paraId="42F01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4" w:type="dxa"/>
            <w:vMerge w:val="continue"/>
          </w:tcPr>
          <w:p w14:paraId="00CBCE72">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858" w:type="dxa"/>
            <w:vMerge w:val="continue"/>
          </w:tcPr>
          <w:p w14:paraId="229B0FDF">
            <w:pPr>
              <w:shd w:val="clear"/>
              <w:tabs>
                <w:tab w:val="left" w:pos="0"/>
              </w:tabs>
              <w:adjustRightInd w:val="0"/>
              <w:snapToGrid w:val="0"/>
              <w:spacing w:line="360" w:lineRule="auto"/>
              <w:rPr>
                <w:rFonts w:hint="eastAsia" w:ascii="仿宋" w:hAnsi="仿宋" w:eastAsia="仿宋" w:cs="仿宋"/>
                <w:color w:val="auto"/>
                <w:sz w:val="21"/>
                <w:szCs w:val="21"/>
                <w:highlight w:val="none"/>
              </w:rPr>
            </w:pPr>
          </w:p>
        </w:tc>
        <w:tc>
          <w:tcPr>
            <w:tcW w:w="3695" w:type="dxa"/>
            <w:vAlign w:val="center"/>
          </w:tcPr>
          <w:p w14:paraId="08CD2EAF">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）投标有效期</w:t>
            </w:r>
          </w:p>
        </w:tc>
        <w:tc>
          <w:tcPr>
            <w:tcW w:w="4338" w:type="dxa"/>
            <w:vAlign w:val="center"/>
          </w:tcPr>
          <w:p w14:paraId="282BF7A3">
            <w:pPr>
              <w:shd w:val="clear"/>
              <w:tabs>
                <w:tab w:val="left" w:pos="0"/>
              </w:tabs>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应满足招标文件中的规定</w:t>
            </w:r>
          </w:p>
        </w:tc>
      </w:tr>
    </w:tbl>
    <w:p w14:paraId="50258B28">
      <w:pPr>
        <w:keepNext w:val="0"/>
        <w:keepLines w:val="0"/>
        <w:pageBreakBefore w:val="0"/>
        <w:widowControl w:val="0"/>
        <w:kinsoku/>
        <w:wordWrap/>
        <w:overflowPunct/>
        <w:topLinePunct w:val="0"/>
        <w:autoSpaceDE/>
        <w:autoSpaceDN/>
        <w:bidi w:val="0"/>
        <w:adjustRightInd w:val="0"/>
        <w:snapToGrid w:val="0"/>
        <w:spacing w:before="0" w:line="348" w:lineRule="auto"/>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2.2.3</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rPr>
        <w:t>有下列情形之一的，视为</w:t>
      </w:r>
      <w:r>
        <w:rPr>
          <w:rFonts w:hint="eastAsia" w:ascii="仿宋" w:hAnsi="仿宋" w:eastAsia="仿宋" w:cs="仿宋"/>
          <w:b/>
          <w:color w:val="auto"/>
          <w:sz w:val="21"/>
          <w:szCs w:val="21"/>
          <w:lang w:val="en-US" w:eastAsia="zh-CN"/>
        </w:rPr>
        <w:t>投标人</w:t>
      </w:r>
      <w:r>
        <w:rPr>
          <w:rFonts w:hint="eastAsia" w:ascii="仿宋" w:hAnsi="仿宋" w:eastAsia="仿宋" w:cs="仿宋"/>
          <w:b/>
          <w:color w:val="auto"/>
          <w:sz w:val="21"/>
          <w:szCs w:val="21"/>
        </w:rPr>
        <w:t>相互恶意串通，</w:t>
      </w:r>
      <w:r>
        <w:rPr>
          <w:rFonts w:hint="eastAsia" w:ascii="仿宋" w:hAnsi="仿宋" w:eastAsia="仿宋" w:cs="仿宋"/>
          <w:b/>
          <w:color w:val="auto"/>
          <w:sz w:val="21"/>
          <w:szCs w:val="21"/>
          <w:lang w:val="en-US" w:eastAsia="zh-CN"/>
        </w:rPr>
        <w:t>投标</w:t>
      </w:r>
      <w:r>
        <w:rPr>
          <w:rFonts w:hint="eastAsia" w:ascii="仿宋" w:hAnsi="仿宋" w:eastAsia="仿宋" w:cs="仿宋"/>
          <w:b/>
          <w:color w:val="auto"/>
          <w:sz w:val="21"/>
          <w:szCs w:val="21"/>
        </w:rPr>
        <w:t>文件无效：</w:t>
      </w:r>
    </w:p>
    <w:p w14:paraId="593D12A3">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（1）不同</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文件由同一单位或者个人编制；</w:t>
      </w:r>
    </w:p>
    <w:p w14:paraId="12EFE51C">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（2）不同</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委托同一单位或者个人办理</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事宜；</w:t>
      </w:r>
    </w:p>
    <w:p w14:paraId="089A464B">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（3）不同</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文件载明的项目管理成员为同一人；</w:t>
      </w:r>
    </w:p>
    <w:p w14:paraId="55F02E39">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（4）不同</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文件异常一致或者报价呈规律性差异；</w:t>
      </w:r>
    </w:p>
    <w:p w14:paraId="285FDEA7">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（5）不同</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文件相互混装；</w:t>
      </w:r>
    </w:p>
    <w:p w14:paraId="4067CB00">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（6）不同</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保证金从同一单位或者个人的账户转出（仅限</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须知前附表要求</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提交</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保证金的）。</w:t>
      </w:r>
    </w:p>
    <w:p w14:paraId="188AAE6D">
      <w:pPr>
        <w:keepNext w:val="0"/>
        <w:keepLines w:val="0"/>
        <w:pageBreakBefore w:val="0"/>
        <w:widowControl w:val="0"/>
        <w:kinsoku/>
        <w:wordWrap/>
        <w:overflowPunct/>
        <w:topLinePunct w:val="0"/>
        <w:autoSpaceDE/>
        <w:autoSpaceDN/>
        <w:bidi w:val="0"/>
        <w:adjustRightInd w:val="0"/>
        <w:snapToGrid w:val="0"/>
        <w:spacing w:line="348" w:lineRule="auto"/>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2.2.</w:t>
      </w:r>
      <w:r>
        <w:rPr>
          <w:rFonts w:hint="eastAsia" w:ascii="仿宋" w:hAnsi="仿宋" w:eastAsia="仿宋" w:cs="仿宋"/>
          <w:b/>
          <w:color w:val="auto"/>
          <w:sz w:val="21"/>
          <w:szCs w:val="21"/>
          <w:lang w:val="en-US" w:eastAsia="zh-CN"/>
        </w:rPr>
        <w:t>4</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rPr>
        <w:t xml:space="preserve"> 非实质性偏离</w:t>
      </w:r>
    </w:p>
    <w:p w14:paraId="5D66EE64">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非实质性偏离是指</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文件在实质上响应</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文件的要求，但在个别地方存在一些不规则、不一致、不完整的内容，并且澄清、说明或者补正这些内容不会改变</w:t>
      </w:r>
      <w:r>
        <w:rPr>
          <w:rFonts w:hint="eastAsia" w:ascii="仿宋" w:hAnsi="仿宋" w:eastAsia="仿宋" w:cs="仿宋"/>
          <w:color w:val="auto"/>
          <w:sz w:val="21"/>
          <w:szCs w:val="21"/>
          <w:lang w:eastAsia="zh-CN"/>
        </w:rPr>
        <w:t>投标文件</w:t>
      </w:r>
      <w:r>
        <w:rPr>
          <w:rFonts w:hint="eastAsia" w:ascii="仿宋" w:hAnsi="仿宋" w:eastAsia="仿宋" w:cs="仿宋"/>
          <w:color w:val="auto"/>
          <w:sz w:val="21"/>
          <w:szCs w:val="21"/>
        </w:rPr>
        <w:t>的实质性内容。以下情况属于非实质性偏离：</w:t>
      </w:r>
    </w:p>
    <w:p w14:paraId="781E68E6">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（1）文字表述的内容含义不明确；</w:t>
      </w:r>
    </w:p>
    <w:p w14:paraId="14D41B38">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（2）同类问题表述不一致；</w:t>
      </w:r>
    </w:p>
    <w:p w14:paraId="120062D8">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（3）有明显文字和计算错误；</w:t>
      </w:r>
    </w:p>
    <w:p w14:paraId="305D19E2">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）正副本数量齐全、密封完好，只是未按照</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文件要求进行分装或者统装；</w:t>
      </w:r>
    </w:p>
    <w:p w14:paraId="34187D5E">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投标文件</w:t>
      </w:r>
      <w:r>
        <w:rPr>
          <w:rFonts w:hint="eastAsia" w:ascii="仿宋" w:hAnsi="仿宋" w:eastAsia="仿宋" w:cs="仿宋"/>
          <w:color w:val="auto"/>
          <w:sz w:val="21"/>
          <w:szCs w:val="21"/>
        </w:rPr>
        <w:t>未按</w:t>
      </w:r>
      <w:r>
        <w:rPr>
          <w:rFonts w:hint="eastAsia" w:ascii="仿宋" w:hAnsi="仿宋" w:eastAsia="仿宋" w:cs="仿宋"/>
          <w:color w:val="auto"/>
          <w:sz w:val="21"/>
          <w:szCs w:val="21"/>
          <w:lang w:val="en-US" w:eastAsia="zh-CN"/>
        </w:rPr>
        <w:t>招标</w:t>
      </w:r>
      <w:r>
        <w:rPr>
          <w:rFonts w:hint="eastAsia" w:ascii="仿宋" w:hAnsi="仿宋" w:eastAsia="仿宋" w:cs="仿宋"/>
          <w:color w:val="auto"/>
          <w:sz w:val="21"/>
          <w:szCs w:val="21"/>
        </w:rPr>
        <w:t>文件要求进行编制目录、页码或者页码混乱；</w:t>
      </w:r>
    </w:p>
    <w:p w14:paraId="74D0CD8C">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评标委员会</w:t>
      </w:r>
      <w:r>
        <w:rPr>
          <w:rFonts w:hint="eastAsia" w:ascii="仿宋" w:hAnsi="仿宋" w:eastAsia="仿宋" w:cs="仿宋"/>
          <w:color w:val="auto"/>
          <w:sz w:val="21"/>
          <w:szCs w:val="21"/>
        </w:rPr>
        <w:t>认定的其他非实质性偏离。</w:t>
      </w:r>
    </w:p>
    <w:p w14:paraId="502BDCD9">
      <w:pPr>
        <w:keepNext w:val="0"/>
        <w:keepLines w:val="0"/>
        <w:pageBreakBefore w:val="0"/>
        <w:widowControl w:val="0"/>
        <w:tabs>
          <w:tab w:val="left" w:pos="7665"/>
        </w:tabs>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b w:val="0"/>
          <w:bCs w:val="0"/>
          <w:color w:val="auto"/>
          <w:sz w:val="21"/>
          <w:szCs w:val="21"/>
        </w:rPr>
      </w:pP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文件有上述（1）至（</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）情形之一的，</w:t>
      </w:r>
      <w:r>
        <w:rPr>
          <w:rFonts w:hint="eastAsia" w:ascii="仿宋" w:hAnsi="仿宋" w:eastAsia="仿宋" w:cs="仿宋"/>
          <w:color w:val="auto"/>
          <w:sz w:val="21"/>
          <w:szCs w:val="21"/>
          <w:lang w:val="en-US" w:eastAsia="zh-CN"/>
        </w:rPr>
        <w:t>评标委员会</w:t>
      </w:r>
      <w:r>
        <w:rPr>
          <w:rFonts w:hint="eastAsia" w:ascii="仿宋" w:hAnsi="仿宋" w:eastAsia="仿宋" w:cs="仿宋"/>
          <w:color w:val="auto"/>
          <w:sz w:val="21"/>
          <w:szCs w:val="21"/>
        </w:rPr>
        <w:t>应当书面要求</w:t>
      </w:r>
      <w:r>
        <w:rPr>
          <w:rFonts w:hint="eastAsia" w:ascii="仿宋" w:hAnsi="仿宋" w:eastAsia="仿宋" w:cs="仿宋"/>
          <w:color w:val="auto"/>
          <w:sz w:val="21"/>
          <w:szCs w:val="21"/>
          <w:lang w:eastAsia="zh-CN"/>
        </w:rPr>
        <w:t>投标人</w:t>
      </w:r>
      <w:r>
        <w:rPr>
          <w:rFonts w:hint="eastAsia" w:ascii="仿宋" w:hAnsi="仿宋" w:eastAsia="仿宋" w:cs="仿宋"/>
          <w:color w:val="auto"/>
          <w:sz w:val="21"/>
          <w:szCs w:val="21"/>
        </w:rPr>
        <w:t>在规定的时间内予以</w:t>
      </w:r>
      <w:r>
        <w:rPr>
          <w:rFonts w:hint="eastAsia" w:ascii="仿宋" w:hAnsi="仿宋" w:eastAsia="仿宋" w:cs="仿宋"/>
          <w:b w:val="0"/>
          <w:bCs w:val="0"/>
          <w:color w:val="auto"/>
          <w:sz w:val="21"/>
          <w:szCs w:val="21"/>
        </w:rPr>
        <w:t xml:space="preserve">澄清、说明或补正。 </w:t>
      </w:r>
    </w:p>
    <w:p w14:paraId="51D6A4E9">
      <w:pPr>
        <w:keepNext w:val="0"/>
        <w:keepLines w:val="0"/>
        <w:pageBreakBefore w:val="0"/>
        <w:widowControl w:val="0"/>
        <w:tabs>
          <w:tab w:val="left" w:pos="0"/>
        </w:tabs>
        <w:kinsoku/>
        <w:wordWrap/>
        <w:overflowPunct/>
        <w:topLinePunct w:val="0"/>
        <w:autoSpaceDE/>
        <w:autoSpaceDN/>
        <w:bidi w:val="0"/>
        <w:adjustRightInd w:val="0"/>
        <w:snapToGrid w:val="0"/>
        <w:spacing w:line="348" w:lineRule="auto"/>
        <w:textAlignment w:val="auto"/>
        <w:rPr>
          <w:rFonts w:hint="eastAsia" w:ascii="仿宋" w:hAnsi="仿宋" w:eastAsia="仿宋" w:cs="仿宋"/>
          <w:b w:val="0"/>
          <w:bCs w:val="0"/>
          <w:color w:val="auto"/>
          <w:sz w:val="21"/>
          <w:szCs w:val="21"/>
        </w:rPr>
      </w:pPr>
      <w:r>
        <w:rPr>
          <w:rFonts w:hint="eastAsia" w:ascii="仿宋" w:hAnsi="仿宋" w:eastAsia="仿宋" w:cs="仿宋"/>
          <w:b/>
          <w:color w:val="auto"/>
          <w:sz w:val="21"/>
          <w:szCs w:val="21"/>
        </w:rPr>
        <w:t>2.2.</w:t>
      </w:r>
      <w:r>
        <w:rPr>
          <w:rFonts w:hint="eastAsia" w:ascii="仿宋" w:hAnsi="仿宋" w:eastAsia="仿宋" w:cs="仿宋"/>
          <w:b/>
          <w:color w:val="auto"/>
          <w:sz w:val="21"/>
          <w:szCs w:val="21"/>
          <w:lang w:val="en-US" w:eastAsia="zh-CN"/>
        </w:rPr>
        <w:t>5</w:t>
      </w:r>
      <w:r>
        <w:rPr>
          <w:rFonts w:hint="eastAsia" w:ascii="仿宋" w:hAnsi="仿宋" w:eastAsia="仿宋" w:cs="仿宋"/>
          <w:b/>
          <w:color w:val="auto"/>
          <w:sz w:val="21"/>
          <w:szCs w:val="21"/>
          <w:lang w:eastAsia="zh-CN"/>
        </w:rPr>
        <w:t>、</w:t>
      </w:r>
      <w:r>
        <w:rPr>
          <w:rFonts w:hint="eastAsia" w:ascii="仿宋" w:hAnsi="仿宋" w:eastAsia="仿宋" w:cs="仿宋"/>
          <w:b/>
          <w:color w:val="auto"/>
          <w:sz w:val="21"/>
          <w:szCs w:val="21"/>
        </w:rPr>
        <w:t>未通过符合性检查的</w:t>
      </w:r>
      <w:r>
        <w:rPr>
          <w:rFonts w:hint="eastAsia" w:ascii="仿宋" w:hAnsi="仿宋" w:eastAsia="仿宋" w:cs="仿宋"/>
          <w:b/>
          <w:color w:val="auto"/>
          <w:sz w:val="21"/>
          <w:szCs w:val="21"/>
          <w:lang w:val="en-US" w:eastAsia="zh-CN"/>
        </w:rPr>
        <w:t>投标人</w:t>
      </w:r>
      <w:r>
        <w:rPr>
          <w:rFonts w:hint="eastAsia" w:ascii="仿宋" w:hAnsi="仿宋" w:eastAsia="仿宋" w:cs="仿宋"/>
          <w:b/>
          <w:color w:val="auto"/>
          <w:sz w:val="21"/>
          <w:szCs w:val="21"/>
        </w:rPr>
        <w:t>，不得进入后续</w:t>
      </w:r>
      <w:r>
        <w:rPr>
          <w:rFonts w:hint="eastAsia" w:ascii="仿宋" w:hAnsi="仿宋" w:eastAsia="仿宋" w:cs="仿宋"/>
          <w:b/>
          <w:color w:val="auto"/>
          <w:sz w:val="21"/>
          <w:szCs w:val="21"/>
          <w:lang w:val="en-US" w:eastAsia="zh-CN"/>
        </w:rPr>
        <w:t>评标</w:t>
      </w:r>
      <w:r>
        <w:rPr>
          <w:rFonts w:hint="eastAsia" w:ascii="仿宋" w:hAnsi="仿宋" w:eastAsia="仿宋" w:cs="仿宋"/>
          <w:b/>
          <w:color w:val="auto"/>
          <w:sz w:val="21"/>
          <w:szCs w:val="21"/>
        </w:rPr>
        <w:t>环节。</w:t>
      </w:r>
    </w:p>
    <w:p w14:paraId="76AC550E">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w:t>
      </w:r>
      <w:r>
        <w:rPr>
          <w:rFonts w:hint="eastAsia" w:ascii="仿宋" w:hAnsi="仿宋" w:eastAsia="仿宋" w:cs="仿宋"/>
          <w:b/>
          <w:color w:val="auto"/>
          <w:sz w:val="21"/>
          <w:szCs w:val="21"/>
          <w:highlight w:val="none"/>
          <w:lang w:val="en-US" w:eastAsia="zh-CN"/>
        </w:rPr>
        <w:t>3</w:t>
      </w:r>
      <w:r>
        <w:rPr>
          <w:rFonts w:hint="eastAsia" w:ascii="仿宋" w:hAnsi="仿宋" w:eastAsia="仿宋" w:cs="仿宋"/>
          <w:b/>
          <w:color w:val="auto"/>
          <w:sz w:val="21"/>
          <w:szCs w:val="21"/>
          <w:highlight w:val="none"/>
        </w:rPr>
        <w:t>、投标文件的澄清</w:t>
      </w:r>
    </w:p>
    <w:p w14:paraId="295C20EF">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rPr>
        <w:t>对于</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文件中含义不明确、同类问题表述不一致或者有明显文字和计算错误的内容，可以以书面形式要求</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作出必要的澄清、说明或者补正。涉及</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文件资格部分的，由资格审查小组负责组织，涉及</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文件其他部分的，由</w:t>
      </w:r>
      <w:r>
        <w:rPr>
          <w:rFonts w:hint="eastAsia" w:ascii="仿宋" w:hAnsi="仿宋" w:eastAsia="仿宋" w:cs="仿宋"/>
          <w:color w:val="auto"/>
          <w:sz w:val="21"/>
          <w:szCs w:val="21"/>
          <w:lang w:val="en-US" w:eastAsia="zh-CN"/>
        </w:rPr>
        <w:t>评标委员会</w:t>
      </w:r>
      <w:r>
        <w:rPr>
          <w:rFonts w:hint="eastAsia" w:ascii="仿宋" w:hAnsi="仿宋" w:eastAsia="仿宋" w:cs="仿宋"/>
          <w:color w:val="auto"/>
          <w:sz w:val="21"/>
          <w:szCs w:val="21"/>
        </w:rPr>
        <w:t>负责组织。</w:t>
      </w:r>
    </w:p>
    <w:p w14:paraId="269066F7">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2.3.2、投标人</w:t>
      </w:r>
      <w:r>
        <w:rPr>
          <w:rFonts w:hint="eastAsia" w:ascii="仿宋" w:hAnsi="仿宋" w:eastAsia="仿宋" w:cs="仿宋"/>
          <w:color w:val="auto"/>
          <w:sz w:val="21"/>
          <w:szCs w:val="21"/>
        </w:rPr>
        <w:t>的澄清、说明或者补正应当采用书面形式，并加盖单位章，或者由其法定代表人或其委托代理人签名。</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的澄清、说明或者补正不得超出</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文件的范围或者改变</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文件的实质性内容，并构成为</w:t>
      </w:r>
      <w:r>
        <w:rPr>
          <w:rFonts w:hint="eastAsia" w:ascii="仿宋" w:hAnsi="仿宋" w:eastAsia="仿宋" w:cs="仿宋"/>
          <w:color w:val="auto"/>
          <w:sz w:val="21"/>
          <w:szCs w:val="21"/>
          <w:lang w:val="en-US" w:eastAsia="zh-CN"/>
        </w:rPr>
        <w:t>投标</w:t>
      </w:r>
      <w:r>
        <w:rPr>
          <w:rFonts w:hint="eastAsia" w:ascii="仿宋" w:hAnsi="仿宋" w:eastAsia="仿宋" w:cs="仿宋"/>
          <w:color w:val="auto"/>
          <w:sz w:val="21"/>
          <w:szCs w:val="21"/>
        </w:rPr>
        <w:t>文件的组成部分。</w:t>
      </w:r>
    </w:p>
    <w:p w14:paraId="631149E0">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.3.3</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对</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提交的澄清、说明或者补正有疑问的，可以要求</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进一步澄清、说明或者补正，直至满足</w:t>
      </w:r>
      <w:r>
        <w:rPr>
          <w:rFonts w:hint="eastAsia" w:ascii="仿宋" w:hAnsi="仿宋" w:eastAsia="仿宋" w:cs="仿宋"/>
          <w:color w:val="auto"/>
          <w:sz w:val="21"/>
          <w:szCs w:val="21"/>
          <w:lang w:val="en-US" w:eastAsia="zh-CN"/>
        </w:rPr>
        <w:t>评标委员会</w:t>
      </w:r>
      <w:r>
        <w:rPr>
          <w:rFonts w:hint="eastAsia" w:ascii="仿宋" w:hAnsi="仿宋" w:eastAsia="仿宋" w:cs="仿宋"/>
          <w:color w:val="auto"/>
          <w:sz w:val="21"/>
          <w:szCs w:val="21"/>
        </w:rPr>
        <w:t>的要求。</w:t>
      </w:r>
    </w:p>
    <w:p w14:paraId="4FEF8C1A">
      <w:pPr>
        <w:keepNext w:val="0"/>
        <w:keepLines w:val="0"/>
        <w:pageBreakBefore w:val="0"/>
        <w:widowControl w:val="0"/>
        <w:kinsoku/>
        <w:wordWrap/>
        <w:overflowPunct/>
        <w:topLinePunct w:val="0"/>
        <w:autoSpaceDE/>
        <w:autoSpaceDN/>
        <w:bidi w:val="0"/>
        <w:adjustRightInd w:val="0"/>
        <w:snapToGrid w:val="0"/>
        <w:spacing w:line="348" w:lineRule="auto"/>
        <w:ind w:firstLine="304" w:firstLineChars="145"/>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.3.4</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 xml:space="preserve"> </w:t>
      </w:r>
      <w:r>
        <w:rPr>
          <w:rFonts w:hint="eastAsia" w:ascii="仿宋" w:hAnsi="仿宋" w:eastAsia="仿宋" w:cs="仿宋"/>
          <w:color w:val="auto"/>
          <w:sz w:val="21"/>
          <w:szCs w:val="21"/>
          <w:lang w:val="en-US" w:eastAsia="zh-CN"/>
        </w:rPr>
        <w:t>评标委员会</w:t>
      </w:r>
      <w:r>
        <w:rPr>
          <w:rFonts w:hint="eastAsia" w:ascii="仿宋" w:hAnsi="仿宋" w:eastAsia="仿宋" w:cs="仿宋"/>
          <w:color w:val="auto"/>
          <w:sz w:val="21"/>
          <w:szCs w:val="21"/>
        </w:rPr>
        <w:t>不得暗示或诱导</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作出澄清、说明或者更正，不得接受</w:t>
      </w:r>
      <w:r>
        <w:rPr>
          <w:rFonts w:hint="eastAsia" w:ascii="仿宋" w:hAnsi="仿宋" w:eastAsia="仿宋" w:cs="仿宋"/>
          <w:color w:val="auto"/>
          <w:sz w:val="21"/>
          <w:szCs w:val="21"/>
          <w:lang w:val="en-US" w:eastAsia="zh-CN"/>
        </w:rPr>
        <w:t>投标人</w:t>
      </w:r>
      <w:r>
        <w:rPr>
          <w:rFonts w:hint="eastAsia" w:ascii="仿宋" w:hAnsi="仿宋" w:eastAsia="仿宋" w:cs="仿宋"/>
          <w:color w:val="auto"/>
          <w:sz w:val="21"/>
          <w:szCs w:val="21"/>
        </w:rPr>
        <w:t>主动提出的澄清、说明或者补正。</w:t>
      </w:r>
    </w:p>
    <w:p w14:paraId="57CF44F7">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w:t>
      </w:r>
      <w:r>
        <w:rPr>
          <w:rFonts w:hint="eastAsia" w:ascii="仿宋" w:hAnsi="仿宋" w:eastAsia="仿宋" w:cs="仿宋"/>
          <w:b/>
          <w:color w:val="auto"/>
          <w:szCs w:val="21"/>
          <w:highlight w:val="none"/>
          <w:lang w:val="en-US" w:eastAsia="zh-CN"/>
        </w:rPr>
        <w:t>4</w:t>
      </w:r>
      <w:r>
        <w:rPr>
          <w:rFonts w:hint="eastAsia" w:ascii="仿宋" w:hAnsi="仿宋" w:eastAsia="仿宋" w:cs="仿宋"/>
          <w:b/>
          <w:color w:val="auto"/>
          <w:szCs w:val="21"/>
          <w:highlight w:val="none"/>
        </w:rPr>
        <w:t>、投标文件详细评审</w:t>
      </w:r>
    </w:p>
    <w:p w14:paraId="2BCE786D">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eastAsia="zh-CN"/>
        </w:rPr>
        <w:t>、</w:t>
      </w:r>
      <w:r>
        <w:rPr>
          <w:rFonts w:hint="eastAsia" w:ascii="仿宋" w:hAnsi="仿宋" w:eastAsia="仿宋" w:cs="仿宋"/>
          <w:color w:val="auto"/>
          <w:kern w:val="1"/>
          <w:szCs w:val="21"/>
          <w:highlight w:val="none"/>
        </w:rPr>
        <w:t>比较与评价。评标委员会应当按照投标文件中规定的评审方法和标准，只对资格审查和符合性审查合格的投标文件进行商务和技术评估，综合比较与评价，不合格的投标人不再参与评审。</w:t>
      </w:r>
    </w:p>
    <w:p w14:paraId="77047ADD">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kern w:val="1"/>
          <w:szCs w:val="21"/>
          <w:highlight w:val="none"/>
          <w:lang w:val="en-US" w:eastAsia="zh-CN"/>
        </w:rPr>
        <w:t>4</w:t>
      </w:r>
      <w:r>
        <w:rPr>
          <w:rFonts w:hint="eastAsia" w:ascii="仿宋" w:hAnsi="仿宋" w:eastAsia="仿宋" w:cs="仿宋"/>
          <w:color w:val="auto"/>
          <w:kern w:val="1"/>
          <w:szCs w:val="21"/>
          <w:highlight w:val="none"/>
        </w:rPr>
        <w:t>.2、评审因素的设定与</w:t>
      </w:r>
      <w:r>
        <w:rPr>
          <w:rFonts w:hint="eastAsia" w:ascii="仿宋" w:hAnsi="仿宋" w:eastAsia="仿宋" w:cs="仿宋"/>
          <w:color w:val="auto"/>
          <w:szCs w:val="21"/>
          <w:highlight w:val="none"/>
        </w:rPr>
        <w:t>投标人</w:t>
      </w:r>
      <w:r>
        <w:rPr>
          <w:rFonts w:hint="eastAsia" w:ascii="仿宋" w:hAnsi="仿宋" w:eastAsia="仿宋" w:cs="仿宋"/>
          <w:color w:val="auto"/>
          <w:kern w:val="1"/>
          <w:szCs w:val="21"/>
          <w:highlight w:val="none"/>
        </w:rPr>
        <w:t>所提供</w:t>
      </w:r>
      <w:r>
        <w:rPr>
          <w:rFonts w:hint="eastAsia" w:ascii="仿宋" w:hAnsi="仿宋" w:eastAsia="仿宋" w:cs="仿宋"/>
          <w:color w:val="auto"/>
          <w:kern w:val="1"/>
          <w:szCs w:val="21"/>
          <w:highlight w:val="none"/>
          <w:lang w:val="en-US" w:eastAsia="zh-CN"/>
        </w:rPr>
        <w:t>货物</w:t>
      </w:r>
      <w:r>
        <w:rPr>
          <w:rFonts w:hint="eastAsia" w:ascii="仿宋" w:hAnsi="仿宋" w:eastAsia="仿宋" w:cs="仿宋"/>
          <w:color w:val="auto"/>
          <w:kern w:val="1"/>
          <w:szCs w:val="21"/>
          <w:highlight w:val="none"/>
        </w:rPr>
        <w:t>的质量相关，包括报价、技术或者服务水平、履约能力、售后服务等。资格条件不作为评审因素。综合评分法评审标准中的分值设置与评审因素的量化指标相对应。招标文件中没有规定的评审标准不得作为评审依据。</w:t>
      </w:r>
    </w:p>
    <w:p w14:paraId="23B0569E">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210" w:firstLineChars="10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kern w:val="1"/>
          <w:szCs w:val="21"/>
          <w:highlight w:val="none"/>
          <w:lang w:val="en-US" w:eastAsia="zh-CN"/>
        </w:rPr>
        <w:t>2.4.3、</w:t>
      </w:r>
      <w:r>
        <w:rPr>
          <w:rFonts w:hint="eastAsia" w:ascii="仿宋" w:hAnsi="仿宋" w:eastAsia="仿宋" w:cs="仿宋"/>
          <w:color w:val="auto"/>
          <w:szCs w:val="21"/>
          <w:highlight w:val="none"/>
          <w:lang w:val="zh-CN"/>
        </w:rPr>
        <w:t>相同品牌的处理</w:t>
      </w:r>
    </w:p>
    <w:p w14:paraId="16B8465F">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firstLine="210" w:firstLineChars="100"/>
        <w:textAlignment w:val="bottom"/>
        <w:rPr>
          <w:rFonts w:hint="default" w:eastAsia="仿宋"/>
          <w:color w:val="auto"/>
          <w:highlight w:val="none"/>
          <w:lang w:val="en-US" w:eastAsia="zh-CN"/>
        </w:rPr>
      </w:pPr>
      <w:r>
        <w:rPr>
          <w:rFonts w:hint="eastAsia" w:ascii="仿宋" w:hAnsi="仿宋" w:eastAsia="仿宋" w:cs="仿宋"/>
          <w:color w:val="auto"/>
          <w:szCs w:val="21"/>
          <w:highlight w:val="none"/>
          <w:lang w:val="en-US" w:eastAsia="zh-CN"/>
        </w:rPr>
        <w:t>2.4.3.1</w:t>
      </w:r>
      <w:r>
        <w:rPr>
          <w:rFonts w:hint="eastAsia" w:ascii="仿宋" w:hAnsi="仿宋" w:eastAsia="仿宋" w:cs="仿宋"/>
          <w:color w:val="auto"/>
          <w:szCs w:val="21"/>
          <w:highlight w:val="none"/>
          <w:lang w:val="zh-CN"/>
        </w:rPr>
        <w:t>、</w:t>
      </w:r>
      <w:r>
        <w:rPr>
          <w:rFonts w:hint="eastAsia" w:ascii="仿宋" w:hAnsi="仿宋" w:eastAsia="仿宋" w:cs="仿宋"/>
          <w:color w:val="auto"/>
          <w:sz w:val="22"/>
          <w:szCs w:val="22"/>
          <w:highlight w:val="none"/>
          <w:lang w:val="en-US" w:eastAsia="zh-CN"/>
        </w:rPr>
        <w:t>不同投标人提供了任意一个相同品牌的核心产品，即视为提供相同品牌的投标人。</w:t>
      </w:r>
      <w:r>
        <w:rPr>
          <w:rFonts w:hint="eastAsia" w:ascii="仿宋" w:hAnsi="仿宋" w:eastAsia="仿宋" w:cs="仿宋"/>
          <w:color w:val="auto"/>
          <w:szCs w:val="21"/>
          <w:highlight w:val="none"/>
          <w:lang w:val="zh-CN"/>
        </w:rPr>
        <w:t>提供相同品牌</w:t>
      </w:r>
      <w:r>
        <w:rPr>
          <w:rFonts w:hint="eastAsia" w:ascii="仿宋" w:hAnsi="仿宋" w:eastAsia="仿宋" w:cs="仿宋"/>
          <w:color w:val="auto"/>
          <w:szCs w:val="21"/>
          <w:highlight w:val="none"/>
          <w:lang w:val="en-US" w:eastAsia="zh-CN"/>
        </w:rPr>
        <w:t>产品</w:t>
      </w:r>
      <w:r>
        <w:rPr>
          <w:rFonts w:hint="eastAsia" w:ascii="仿宋" w:hAnsi="仿宋" w:eastAsia="仿宋" w:cs="仿宋"/>
          <w:color w:val="auto"/>
          <w:szCs w:val="21"/>
          <w:highlight w:val="none"/>
          <w:lang w:val="zh-CN"/>
        </w:rPr>
        <w:t>且通过资格审查、符合性审查的不同投标人参加同一合同项下</w:t>
      </w:r>
      <w:r>
        <w:rPr>
          <w:rFonts w:hint="eastAsia" w:ascii="仿宋" w:hAnsi="仿宋" w:eastAsia="仿宋" w:cs="仿宋"/>
          <w:color w:val="auto"/>
          <w:szCs w:val="21"/>
          <w:highlight w:val="none"/>
          <w:lang w:val="en-US" w:eastAsia="zh-CN"/>
        </w:rPr>
        <w:t>投标</w:t>
      </w:r>
      <w:r>
        <w:rPr>
          <w:rFonts w:hint="eastAsia" w:ascii="仿宋" w:hAnsi="仿宋" w:eastAsia="仿宋" w:cs="仿宋"/>
          <w:color w:val="auto"/>
          <w:szCs w:val="21"/>
          <w:highlight w:val="none"/>
          <w:lang w:val="zh-CN"/>
        </w:rPr>
        <w:t>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color w:val="auto"/>
          <w:szCs w:val="21"/>
          <w:highlight w:val="none"/>
          <w:lang w:val="en-US" w:eastAsia="zh-CN"/>
        </w:rPr>
        <w:t>在符合性审查、详细评审环节提供核心产品品牌不足3个的，视为有效投标人不足</w:t>
      </w:r>
      <w:r>
        <w:rPr>
          <w:rFonts w:hint="default"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en-US" w:eastAsia="zh-CN"/>
        </w:rPr>
        <w:t>家。</w:t>
      </w:r>
    </w:p>
    <w:p w14:paraId="530FEC0A">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kern w:val="1"/>
          <w:szCs w:val="21"/>
          <w:highlight w:val="none"/>
          <w:lang w:val="en-US" w:eastAsia="zh-CN"/>
        </w:rPr>
        <w:t>4</w:t>
      </w:r>
      <w:r>
        <w:rPr>
          <w:rFonts w:hint="eastAsia" w:ascii="仿宋" w:hAnsi="仿宋" w:eastAsia="仿宋" w:cs="仿宋"/>
          <w:color w:val="auto"/>
          <w:kern w:val="1"/>
          <w:szCs w:val="21"/>
          <w:highlight w:val="none"/>
        </w:rPr>
        <w:t>.</w:t>
      </w:r>
      <w:r>
        <w:rPr>
          <w:rFonts w:hint="eastAsia" w:ascii="仿宋" w:hAnsi="仿宋" w:eastAsia="仿宋" w:cs="仿宋"/>
          <w:color w:val="auto"/>
          <w:kern w:val="1"/>
          <w:szCs w:val="21"/>
          <w:highlight w:val="none"/>
          <w:lang w:val="en-US" w:eastAsia="zh-CN"/>
        </w:rPr>
        <w:t>4</w:t>
      </w:r>
      <w:r>
        <w:rPr>
          <w:rFonts w:hint="eastAsia" w:ascii="仿宋" w:hAnsi="仿宋" w:eastAsia="仿宋" w:cs="仿宋"/>
          <w:color w:val="auto"/>
          <w:kern w:val="1"/>
          <w:szCs w:val="21"/>
          <w:highlight w:val="none"/>
        </w:rPr>
        <w:t>、由评标委员会成员独立地根据各项因素的评分标准，结合各投标人的实际情况，分别就报价以外的各项评审因素对各投标人独立评审赋分。</w:t>
      </w:r>
    </w:p>
    <w:p w14:paraId="7ED2AF74">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kern w:val="1"/>
          <w:szCs w:val="21"/>
          <w:highlight w:val="none"/>
          <w:lang w:val="en-US" w:eastAsia="zh-CN"/>
        </w:rPr>
        <w:t>4</w:t>
      </w:r>
      <w:r>
        <w:rPr>
          <w:rFonts w:hint="eastAsia" w:ascii="仿宋" w:hAnsi="仿宋" w:eastAsia="仿宋" w:cs="仿宋"/>
          <w:color w:val="auto"/>
          <w:kern w:val="1"/>
          <w:szCs w:val="21"/>
          <w:highlight w:val="none"/>
        </w:rPr>
        <w:t>.</w:t>
      </w:r>
      <w:r>
        <w:rPr>
          <w:rFonts w:hint="eastAsia" w:ascii="仿宋" w:hAnsi="仿宋" w:eastAsia="仿宋" w:cs="仿宋"/>
          <w:color w:val="auto"/>
          <w:kern w:val="1"/>
          <w:szCs w:val="21"/>
          <w:highlight w:val="none"/>
          <w:lang w:val="en-US" w:eastAsia="zh-CN"/>
        </w:rPr>
        <w:t>5</w:t>
      </w:r>
      <w:r>
        <w:rPr>
          <w:rFonts w:hint="eastAsia" w:ascii="仿宋" w:hAnsi="仿宋" w:eastAsia="仿宋" w:cs="仿宋"/>
          <w:color w:val="auto"/>
          <w:kern w:val="1"/>
          <w:szCs w:val="21"/>
          <w:highlight w:val="none"/>
        </w:rPr>
        <w:t>、当排序推荐候选中标</w:t>
      </w:r>
      <w:r>
        <w:rPr>
          <w:rFonts w:hint="eastAsia" w:ascii="仿宋" w:hAnsi="仿宋" w:eastAsia="仿宋" w:cs="仿宋"/>
          <w:color w:val="auto"/>
          <w:kern w:val="1"/>
          <w:szCs w:val="21"/>
          <w:highlight w:val="none"/>
          <w:lang w:eastAsia="zh-CN"/>
        </w:rPr>
        <w:t>人</w:t>
      </w:r>
      <w:r>
        <w:rPr>
          <w:rFonts w:hint="eastAsia" w:ascii="仿宋" w:hAnsi="仿宋" w:eastAsia="仿宋" w:cs="仿宋"/>
          <w:color w:val="auto"/>
          <w:kern w:val="1"/>
          <w:szCs w:val="21"/>
          <w:highlight w:val="none"/>
        </w:rPr>
        <w:t>名单出现多数评委成员的评审意见比较一致，某一个别评委的赋分畸高畸低，导致排序结果改变的，采购代理机构应当发回该评委重新进行评价，并说明其赋分的合理理由，对拒绝说明、拒绝重新评价的，其个人评审意见与赋分作为无效处理。</w:t>
      </w:r>
    </w:p>
    <w:p w14:paraId="669B4317">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auto"/>
          <w:kern w:val="1"/>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kern w:val="1"/>
          <w:szCs w:val="21"/>
          <w:highlight w:val="none"/>
          <w:lang w:val="en-US" w:eastAsia="zh-CN"/>
        </w:rPr>
        <w:t>4</w:t>
      </w:r>
      <w:r>
        <w:rPr>
          <w:rFonts w:hint="eastAsia" w:ascii="仿宋" w:hAnsi="仿宋" w:eastAsia="仿宋" w:cs="仿宋"/>
          <w:color w:val="auto"/>
          <w:kern w:val="1"/>
          <w:szCs w:val="21"/>
          <w:highlight w:val="none"/>
        </w:rPr>
        <w:t>.</w:t>
      </w:r>
      <w:r>
        <w:rPr>
          <w:rFonts w:hint="eastAsia" w:ascii="仿宋" w:hAnsi="仿宋" w:eastAsia="仿宋" w:cs="仿宋"/>
          <w:color w:val="auto"/>
          <w:kern w:val="1"/>
          <w:szCs w:val="21"/>
          <w:highlight w:val="none"/>
          <w:lang w:val="en-US" w:eastAsia="zh-CN"/>
        </w:rPr>
        <w:t>6</w:t>
      </w:r>
      <w:r>
        <w:rPr>
          <w:rFonts w:hint="eastAsia" w:ascii="仿宋" w:hAnsi="仿宋" w:eastAsia="仿宋" w:cs="仿宋"/>
          <w:color w:val="auto"/>
          <w:kern w:val="1"/>
          <w:szCs w:val="21"/>
          <w:highlight w:val="none"/>
        </w:rPr>
        <w:t>、评标委员会成员对需要共同认定的事项存在争议的，应当按照少数服从多数的原则作出结论。持不同意见的评标委员会成员应当在评审报告上签署不同意见及理由，否则视为同意评审报告。</w:t>
      </w:r>
    </w:p>
    <w:p w14:paraId="41DBDA10">
      <w:pPr>
        <w:keepNext w:val="0"/>
        <w:keepLines w:val="0"/>
        <w:pageBreakBefore w:val="0"/>
        <w:shd w:val="clear"/>
        <w:kinsoku/>
        <w:wordWrap/>
        <w:overflowPunct/>
        <w:topLinePunct w:val="0"/>
        <w:bidi w:val="0"/>
        <w:adjustRightInd w:val="0"/>
        <w:snapToGrid w:val="0"/>
        <w:spacing w:line="360" w:lineRule="auto"/>
        <w:ind w:right="0"/>
        <w:outlineLvl w:val="1"/>
        <w:rPr>
          <w:rFonts w:hint="eastAsia" w:ascii="仿宋" w:hAnsi="仿宋" w:eastAsia="仿宋" w:cs="仿宋"/>
          <w:b/>
          <w:color w:val="auto"/>
          <w:sz w:val="24"/>
          <w:szCs w:val="24"/>
          <w:highlight w:val="none"/>
        </w:rPr>
      </w:pPr>
      <w:bookmarkStart w:id="350" w:name="_Toc12782"/>
      <w:bookmarkStart w:id="351" w:name="_Toc18650"/>
      <w:r>
        <w:rPr>
          <w:rFonts w:hint="eastAsia" w:ascii="仿宋" w:hAnsi="仿宋" w:eastAsia="仿宋" w:cs="仿宋"/>
          <w:b/>
          <w:color w:val="auto"/>
          <w:sz w:val="24"/>
          <w:szCs w:val="24"/>
          <w:highlight w:val="none"/>
        </w:rPr>
        <w:t>三、评审细则及标准</w:t>
      </w:r>
      <w:bookmarkEnd w:id="350"/>
      <w:bookmarkEnd w:id="351"/>
    </w:p>
    <w:p w14:paraId="466D9B30">
      <w:pPr>
        <w:keepNext w:val="0"/>
        <w:keepLines w:val="0"/>
        <w:pageBreakBefore w:val="0"/>
        <w:shd w:val="clear"/>
        <w:kinsoku/>
        <w:wordWrap/>
        <w:overflowPunct/>
        <w:topLinePunct w:val="0"/>
        <w:bidi w:val="0"/>
        <w:adjustRightInd w:val="0"/>
        <w:snapToGrid w:val="0"/>
        <w:spacing w:line="360" w:lineRule="auto"/>
        <w:ind w:right="0"/>
        <w:rPr>
          <w:rFonts w:hint="eastAsia" w:ascii="仿宋" w:hAnsi="仿宋" w:eastAsia="仿宋" w:cs="仿宋"/>
          <w:b/>
          <w:color w:val="auto"/>
          <w:kern w:val="1"/>
          <w:szCs w:val="21"/>
          <w:highlight w:val="none"/>
        </w:rPr>
      </w:pPr>
      <w:r>
        <w:rPr>
          <w:rFonts w:hint="eastAsia" w:ascii="仿宋" w:hAnsi="仿宋" w:eastAsia="仿宋" w:cs="仿宋"/>
          <w:b/>
          <w:color w:val="auto"/>
          <w:kern w:val="1"/>
          <w:szCs w:val="21"/>
          <w:highlight w:val="none"/>
        </w:rPr>
        <w:t>3.1、综合评分法</w:t>
      </w:r>
    </w:p>
    <w:p w14:paraId="594DF9A9">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3.1.1、本采购项目评审方法采用综合评分法。即投标文件能够最大限度的满足招标文件规定的各项综合评分标准，且经评审得分最高的投标人为中标候选人。</w:t>
      </w:r>
    </w:p>
    <w:p w14:paraId="7FA67575">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3.2.2、综合评分法评审标准中的分值设置应当与评审因素的量化指标相对应。招标文件中没有规定的评审标准不得作为评审依据。</w:t>
      </w:r>
    </w:p>
    <w:p w14:paraId="7576DA7D">
      <w:pPr>
        <w:keepNext w:val="0"/>
        <w:keepLines w:val="0"/>
        <w:pageBreakBefore w:val="0"/>
        <w:widowControl/>
        <w:shd w:val="clear"/>
        <w:kinsoku/>
        <w:wordWrap/>
        <w:overflowPunct/>
        <w:topLinePunct w:val="0"/>
        <w:autoSpaceDE w:val="0"/>
        <w:autoSpaceDN w:val="0"/>
        <w:bidi w:val="0"/>
        <w:adjustRightInd w:val="0"/>
        <w:snapToGrid w:val="0"/>
        <w:spacing w:line="360" w:lineRule="auto"/>
        <w:ind w:right="0"/>
        <w:textAlignment w:val="bottom"/>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3.2.评审细则及标准</w:t>
      </w:r>
    </w:p>
    <w:p w14:paraId="52399F4A">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3.2.1、评标委员会将综合分析投标人的各项评审因素，而不以单项评审因素的优劣评选出中标</w:t>
      </w:r>
      <w:r>
        <w:rPr>
          <w:rFonts w:hint="eastAsia" w:ascii="仿宋" w:hAnsi="仿宋" w:eastAsia="仿宋" w:cs="仿宋"/>
          <w:color w:val="auto"/>
          <w:kern w:val="1"/>
          <w:szCs w:val="21"/>
          <w:highlight w:val="none"/>
          <w:lang w:eastAsia="zh-CN"/>
        </w:rPr>
        <w:t>人</w:t>
      </w:r>
      <w:r>
        <w:rPr>
          <w:rFonts w:hint="eastAsia" w:ascii="仿宋" w:hAnsi="仿宋" w:eastAsia="仿宋" w:cs="仿宋"/>
          <w:color w:val="auto"/>
          <w:kern w:val="1"/>
          <w:szCs w:val="21"/>
          <w:highlight w:val="none"/>
        </w:rPr>
        <w:t xml:space="preserve"> 。对所有投标人的响应评估，都采用相同的程序和标准，严格按照招标文件的要求和条件进行。</w:t>
      </w:r>
    </w:p>
    <w:p w14:paraId="5B7EC953">
      <w:pPr>
        <w:keepNext w:val="0"/>
        <w:keepLines w:val="0"/>
        <w:pageBreakBefore w:val="0"/>
        <w:shd w:val="clear"/>
        <w:kinsoku/>
        <w:wordWrap/>
        <w:overflowPunct/>
        <w:topLinePunct w:val="0"/>
        <w:bidi w:val="0"/>
        <w:adjustRightInd w:val="0"/>
        <w:snapToGrid w:val="0"/>
        <w:spacing w:line="360" w:lineRule="auto"/>
        <w:ind w:right="0" w:firstLine="210" w:firstLineChars="10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3.2.2、评审因素包括：报价、技术、商务及对招标文件的响应程度。</w:t>
      </w:r>
    </w:p>
    <w:p w14:paraId="6BCB730C">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3.2.</w:t>
      </w:r>
      <w:r>
        <w:rPr>
          <w:rFonts w:hint="eastAsia" w:ascii="仿宋" w:hAnsi="仿宋" w:eastAsia="仿宋" w:cs="仿宋"/>
          <w:color w:val="auto"/>
          <w:kern w:val="1"/>
          <w:szCs w:val="21"/>
          <w:highlight w:val="none"/>
          <w:lang w:val="en-US" w:eastAsia="zh-CN"/>
        </w:rPr>
        <w:t>3</w:t>
      </w:r>
      <w:r>
        <w:rPr>
          <w:rFonts w:hint="eastAsia" w:ascii="仿宋" w:hAnsi="仿宋" w:eastAsia="仿宋" w:cs="仿宋"/>
          <w:color w:val="auto"/>
          <w:kern w:val="1"/>
          <w:szCs w:val="21"/>
          <w:highlight w:val="none"/>
        </w:rPr>
        <w:t>、评审要素一览表如下：</w:t>
      </w:r>
    </w:p>
    <w:p w14:paraId="0EA45A11">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auto"/>
          <w:kern w:val="1"/>
          <w:szCs w:val="21"/>
          <w:highlight w:val="none"/>
        </w:rPr>
      </w:pPr>
      <w:r>
        <w:rPr>
          <w:rFonts w:hint="eastAsia" w:ascii="仿宋" w:hAnsi="仿宋" w:eastAsia="仿宋" w:cs="仿宋"/>
          <w:color w:val="auto"/>
          <w:kern w:val="1"/>
          <w:szCs w:val="21"/>
          <w:highlight w:val="none"/>
        </w:rPr>
        <w:t>评审指标分值构成（总计100分）</w:t>
      </w:r>
    </w:p>
    <w:p w14:paraId="07ED6DEE">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auto"/>
          <w:kern w:val="1"/>
          <w:szCs w:val="21"/>
          <w:highlight w:val="none"/>
        </w:rPr>
      </w:pPr>
    </w:p>
    <w:p w14:paraId="6C7EC5AE">
      <w:pPr>
        <w:pStyle w:val="13"/>
        <w:rPr>
          <w:rFonts w:hint="eastAsia" w:ascii="仿宋" w:hAnsi="仿宋" w:eastAsia="仿宋" w:cs="仿宋"/>
          <w:color w:val="auto"/>
          <w:kern w:val="1"/>
          <w:szCs w:val="21"/>
          <w:highlight w:val="none"/>
        </w:rPr>
      </w:pPr>
    </w:p>
    <w:p w14:paraId="3DBE668C">
      <w:pPr>
        <w:pStyle w:val="14"/>
        <w:rPr>
          <w:rFonts w:hint="eastAsia" w:ascii="仿宋" w:hAnsi="仿宋" w:eastAsia="仿宋" w:cs="仿宋"/>
          <w:color w:val="auto"/>
          <w:kern w:val="1"/>
          <w:szCs w:val="21"/>
          <w:highlight w:val="none"/>
        </w:rPr>
      </w:pPr>
    </w:p>
    <w:p w14:paraId="50B477A4">
      <w:pPr>
        <w:rPr>
          <w:rFonts w:hint="eastAsia" w:ascii="仿宋" w:hAnsi="仿宋" w:eastAsia="仿宋" w:cs="仿宋"/>
          <w:color w:val="auto"/>
          <w:kern w:val="1"/>
          <w:szCs w:val="21"/>
          <w:highlight w:val="none"/>
        </w:rPr>
      </w:pPr>
    </w:p>
    <w:p w14:paraId="776C1DC0">
      <w:pPr>
        <w:pStyle w:val="2"/>
        <w:rPr>
          <w:rFonts w:hint="eastAsia"/>
        </w:rPr>
      </w:pPr>
    </w:p>
    <w:p w14:paraId="58E1E126">
      <w:pPr>
        <w:rPr>
          <w:rFonts w:hint="eastAsia"/>
        </w:rPr>
      </w:pPr>
    </w:p>
    <w:p w14:paraId="74AF79F0">
      <w:pPr>
        <w:keepNext w:val="0"/>
        <w:keepLines w:val="0"/>
        <w:pageBreakBefore w:val="0"/>
        <w:shd w:val="clear"/>
        <w:tabs>
          <w:tab w:val="left" w:pos="1575"/>
        </w:tabs>
        <w:kinsoku/>
        <w:wordWrap/>
        <w:overflowPunct/>
        <w:topLinePunct w:val="0"/>
        <w:bidi w:val="0"/>
        <w:adjustRightInd w:val="0"/>
        <w:snapToGrid w:val="0"/>
        <w:spacing w:line="360" w:lineRule="auto"/>
        <w:ind w:right="0" w:firstLine="210" w:firstLineChars="100"/>
        <w:rPr>
          <w:rFonts w:hint="eastAsia" w:ascii="仿宋" w:hAnsi="仿宋" w:eastAsia="仿宋" w:cs="仿宋"/>
          <w:color w:val="auto"/>
          <w:kern w:val="1"/>
          <w:szCs w:val="21"/>
          <w:highlight w:val="none"/>
        </w:rPr>
      </w:pPr>
    </w:p>
    <w:tbl>
      <w:tblPr>
        <w:tblStyle w:val="42"/>
        <w:tblpPr w:leftFromText="180" w:rightFromText="180" w:vertAnchor="text" w:horzAnchor="page" w:tblpX="962" w:tblpY="223"/>
        <w:tblOverlap w:val="never"/>
        <w:tblW w:w="9982" w:type="dxa"/>
        <w:tblInd w:w="0" w:type="dxa"/>
        <w:tblLayout w:type="fixed"/>
        <w:tblCellMar>
          <w:top w:w="0" w:type="dxa"/>
          <w:left w:w="0" w:type="dxa"/>
          <w:bottom w:w="0" w:type="dxa"/>
          <w:right w:w="0" w:type="dxa"/>
        </w:tblCellMar>
      </w:tblPr>
      <w:tblGrid>
        <w:gridCol w:w="983"/>
        <w:gridCol w:w="1279"/>
        <w:gridCol w:w="7720"/>
      </w:tblGrid>
      <w:tr w14:paraId="41263C5F">
        <w:tblPrEx>
          <w:tblCellMar>
            <w:top w:w="0" w:type="dxa"/>
            <w:left w:w="0" w:type="dxa"/>
            <w:bottom w:w="0" w:type="dxa"/>
            <w:right w:w="0" w:type="dxa"/>
          </w:tblCellMar>
        </w:tblPrEx>
        <w:trPr>
          <w:trHeight w:val="363" w:hRule="atLeast"/>
        </w:trPr>
        <w:tc>
          <w:tcPr>
            <w:tcW w:w="983"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14:paraId="341EAA0B">
            <w:pPr>
              <w:shd w:val="clear"/>
              <w:spacing w:line="240" w:lineRule="auto"/>
              <w:jc w:val="center"/>
              <w:rPr>
                <w:rFonts w:hint="eastAsia" w:ascii="仿宋" w:hAnsi="仿宋" w:eastAsia="仿宋" w:cs="仿宋"/>
                <w:color w:val="auto"/>
                <w:sz w:val="21"/>
                <w:szCs w:val="21"/>
              </w:rPr>
            </w:pPr>
            <w:r>
              <w:rPr>
                <w:rFonts w:hint="eastAsia" w:ascii="仿宋" w:hAnsi="仿宋" w:eastAsia="仿宋" w:cs="仿宋"/>
                <w:b/>
                <w:bCs w:val="0"/>
                <w:color w:val="auto"/>
                <w:sz w:val="21"/>
                <w:szCs w:val="21"/>
                <w:highlight w:val="none"/>
              </w:rPr>
              <w:t>评审因素</w:t>
            </w:r>
          </w:p>
        </w:tc>
        <w:tc>
          <w:tcPr>
            <w:tcW w:w="1279" w:type="dxa"/>
            <w:tcBorders>
              <w:top w:val="single" w:color="000000" w:sz="8" w:space="0"/>
              <w:left w:val="nil"/>
              <w:bottom w:val="single" w:color="000000" w:sz="8" w:space="0"/>
              <w:right w:val="single" w:color="auto" w:sz="4" w:space="0"/>
            </w:tcBorders>
            <w:tcMar>
              <w:top w:w="15" w:type="dxa"/>
              <w:left w:w="15" w:type="dxa"/>
              <w:right w:w="15" w:type="dxa"/>
            </w:tcMar>
            <w:vAlign w:val="center"/>
          </w:tcPr>
          <w:p w14:paraId="2D2CEBD9">
            <w:pPr>
              <w:shd w:val="clear"/>
              <w:spacing w:line="240" w:lineRule="auto"/>
              <w:jc w:val="center"/>
              <w:rPr>
                <w:rFonts w:hint="eastAsia" w:ascii="仿宋" w:hAnsi="仿宋" w:eastAsia="仿宋" w:cs="仿宋"/>
                <w:color w:val="auto"/>
                <w:sz w:val="21"/>
                <w:szCs w:val="21"/>
              </w:rPr>
            </w:pPr>
            <w:r>
              <w:rPr>
                <w:rFonts w:hint="eastAsia" w:ascii="仿宋" w:hAnsi="仿宋" w:eastAsia="仿宋" w:cs="仿宋"/>
                <w:b/>
                <w:bCs w:val="0"/>
                <w:color w:val="auto"/>
                <w:sz w:val="21"/>
                <w:szCs w:val="21"/>
                <w:highlight w:val="none"/>
                <w:lang w:val="en-US" w:eastAsia="zh-CN"/>
              </w:rPr>
              <w:t>分值</w:t>
            </w:r>
          </w:p>
        </w:tc>
        <w:tc>
          <w:tcPr>
            <w:tcW w:w="7720" w:type="dxa"/>
            <w:tcBorders>
              <w:top w:val="single" w:color="000000" w:sz="8" w:space="0"/>
              <w:left w:val="single" w:color="auto" w:sz="4" w:space="0"/>
              <w:bottom w:val="single" w:color="000000" w:sz="8" w:space="0"/>
              <w:right w:val="single" w:color="000000" w:sz="8" w:space="0"/>
            </w:tcBorders>
            <w:tcMar>
              <w:top w:w="15" w:type="dxa"/>
              <w:left w:w="15" w:type="dxa"/>
              <w:right w:w="15" w:type="dxa"/>
            </w:tcMar>
            <w:vAlign w:val="center"/>
          </w:tcPr>
          <w:p w14:paraId="732FF14F">
            <w:pPr>
              <w:shd w:val="clear"/>
              <w:spacing w:line="240" w:lineRule="auto"/>
              <w:jc w:val="center"/>
              <w:rPr>
                <w:rFonts w:hint="eastAsia" w:ascii="仿宋" w:hAnsi="仿宋" w:eastAsia="仿宋" w:cs="仿宋"/>
                <w:color w:val="auto"/>
                <w:sz w:val="21"/>
                <w:szCs w:val="21"/>
              </w:rPr>
            </w:pPr>
            <w:r>
              <w:rPr>
                <w:rFonts w:hint="eastAsia" w:ascii="仿宋" w:hAnsi="仿宋" w:eastAsia="仿宋" w:cs="仿宋"/>
                <w:b/>
                <w:bCs w:val="0"/>
                <w:color w:val="auto"/>
                <w:sz w:val="21"/>
                <w:szCs w:val="21"/>
                <w:highlight w:val="none"/>
              </w:rPr>
              <w:t>评审标准</w:t>
            </w:r>
          </w:p>
        </w:tc>
      </w:tr>
      <w:tr w14:paraId="00659F7A">
        <w:tblPrEx>
          <w:tblCellMar>
            <w:top w:w="0" w:type="dxa"/>
            <w:left w:w="0" w:type="dxa"/>
            <w:bottom w:w="0" w:type="dxa"/>
            <w:right w:w="0" w:type="dxa"/>
          </w:tblCellMar>
        </w:tblPrEx>
        <w:trPr>
          <w:trHeight w:val="135" w:hRule="atLeast"/>
        </w:trPr>
        <w:tc>
          <w:tcPr>
            <w:tcW w:w="983" w:type="dxa"/>
            <w:tcBorders>
              <w:top w:val="nil"/>
              <w:left w:val="single" w:color="000000" w:sz="8" w:space="0"/>
              <w:bottom w:val="single" w:color="000000" w:sz="8" w:space="0"/>
              <w:right w:val="single" w:color="auto" w:sz="4" w:space="0"/>
            </w:tcBorders>
            <w:tcMar>
              <w:top w:w="15" w:type="dxa"/>
              <w:left w:w="15" w:type="dxa"/>
              <w:right w:w="15" w:type="dxa"/>
            </w:tcMar>
            <w:vAlign w:val="center"/>
          </w:tcPr>
          <w:p w14:paraId="624EB040">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报价</w:t>
            </w:r>
          </w:p>
        </w:tc>
        <w:tc>
          <w:tcPr>
            <w:tcW w:w="1279" w:type="dxa"/>
            <w:tcBorders>
              <w:top w:val="nil"/>
              <w:left w:val="single" w:color="auto" w:sz="4" w:space="0"/>
              <w:bottom w:val="single" w:color="000000" w:sz="8" w:space="0"/>
              <w:right w:val="single" w:color="auto" w:sz="4" w:space="0"/>
            </w:tcBorders>
            <w:tcMar>
              <w:top w:w="15" w:type="dxa"/>
              <w:left w:w="15" w:type="dxa"/>
              <w:right w:w="15" w:type="dxa"/>
            </w:tcMar>
            <w:vAlign w:val="center"/>
          </w:tcPr>
          <w:p w14:paraId="442F46A1">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30分</w:t>
            </w:r>
          </w:p>
        </w:tc>
        <w:tc>
          <w:tcPr>
            <w:tcW w:w="7720" w:type="dxa"/>
            <w:tcBorders>
              <w:top w:val="nil"/>
              <w:left w:val="single" w:color="auto" w:sz="4" w:space="0"/>
              <w:bottom w:val="single" w:color="000000" w:sz="8" w:space="0"/>
              <w:right w:val="single" w:color="000000" w:sz="8" w:space="0"/>
            </w:tcBorders>
            <w:tcMar>
              <w:top w:w="15" w:type="dxa"/>
              <w:left w:w="15" w:type="dxa"/>
              <w:right w:w="15" w:type="dxa"/>
            </w:tcMar>
            <w:vAlign w:val="center"/>
          </w:tcPr>
          <w:p w14:paraId="44EFEE15">
            <w:pPr>
              <w:shd w:val="clear"/>
              <w:spacing w:line="24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价格分统一采用低价优先法</w:t>
            </w:r>
            <w:r>
              <w:rPr>
                <w:rFonts w:hint="eastAsia" w:ascii="仿宋" w:hAnsi="仿宋" w:eastAsia="仿宋" w:cs="仿宋"/>
                <w:bCs/>
                <w:color w:val="auto"/>
                <w:sz w:val="21"/>
                <w:szCs w:val="21"/>
                <w:highlight w:val="none"/>
                <w:lang w:eastAsia="zh-CN"/>
              </w:rPr>
              <w:t>得</w:t>
            </w:r>
            <w:r>
              <w:rPr>
                <w:rFonts w:hint="eastAsia" w:ascii="仿宋" w:hAnsi="仿宋" w:eastAsia="仿宋" w:cs="仿宋"/>
                <w:bCs/>
                <w:color w:val="auto"/>
                <w:sz w:val="21"/>
                <w:szCs w:val="21"/>
                <w:highlight w:val="none"/>
              </w:rPr>
              <w:t>算，即满足</w:t>
            </w:r>
            <w:r>
              <w:rPr>
                <w:rFonts w:hint="eastAsia" w:ascii="仿宋" w:hAnsi="仿宋" w:eastAsia="仿宋" w:cs="仿宋"/>
                <w:bCs/>
                <w:color w:val="auto"/>
                <w:sz w:val="21"/>
                <w:szCs w:val="21"/>
                <w:highlight w:val="none"/>
                <w:lang w:val="en-US" w:eastAsia="zh-CN"/>
              </w:rPr>
              <w:t>招标</w:t>
            </w:r>
            <w:r>
              <w:rPr>
                <w:rFonts w:hint="eastAsia" w:ascii="仿宋" w:hAnsi="仿宋" w:eastAsia="仿宋" w:cs="仿宋"/>
                <w:bCs/>
                <w:color w:val="auto"/>
                <w:sz w:val="21"/>
                <w:szCs w:val="21"/>
                <w:highlight w:val="none"/>
              </w:rPr>
              <w:t>文件要求且最终报价最低的报价为评标基准价，其价格分为满分。其他</w:t>
            </w:r>
            <w:r>
              <w:rPr>
                <w:rFonts w:hint="eastAsia" w:ascii="仿宋" w:hAnsi="仿宋" w:eastAsia="仿宋" w:cs="仿宋"/>
                <w:bCs/>
                <w:color w:val="auto"/>
                <w:sz w:val="21"/>
                <w:szCs w:val="21"/>
                <w:highlight w:val="none"/>
                <w:lang w:eastAsia="zh-CN"/>
              </w:rPr>
              <w:t>投标人</w:t>
            </w:r>
            <w:r>
              <w:rPr>
                <w:rFonts w:hint="eastAsia" w:ascii="仿宋" w:hAnsi="仿宋" w:eastAsia="仿宋" w:cs="仿宋"/>
                <w:bCs/>
                <w:color w:val="auto"/>
                <w:sz w:val="21"/>
                <w:szCs w:val="21"/>
                <w:highlight w:val="none"/>
              </w:rPr>
              <w:t>的价格分统一按照下列公式</w:t>
            </w:r>
            <w:r>
              <w:rPr>
                <w:rFonts w:hint="eastAsia" w:ascii="仿宋" w:hAnsi="仿宋" w:eastAsia="仿宋" w:cs="仿宋"/>
                <w:bCs/>
                <w:color w:val="auto"/>
                <w:sz w:val="21"/>
                <w:szCs w:val="21"/>
                <w:highlight w:val="none"/>
                <w:lang w:eastAsia="zh-CN"/>
              </w:rPr>
              <w:t>得</w:t>
            </w:r>
            <w:r>
              <w:rPr>
                <w:rFonts w:hint="eastAsia" w:ascii="仿宋" w:hAnsi="仿宋" w:eastAsia="仿宋" w:cs="仿宋"/>
                <w:bCs/>
                <w:color w:val="auto"/>
                <w:sz w:val="21"/>
                <w:szCs w:val="21"/>
                <w:highlight w:val="none"/>
              </w:rPr>
              <w:t>算：</w:t>
            </w:r>
          </w:p>
          <w:p w14:paraId="57CE8DD5">
            <w:pPr>
              <w:shd w:val="clear"/>
              <w:spacing w:line="240" w:lineRule="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报价得分=(评标基准价／投标报价)×30</w:t>
            </w:r>
          </w:p>
          <w:p w14:paraId="56131CEA">
            <w:pPr>
              <w:shd w:val="clear"/>
              <w:spacing w:line="240" w:lineRule="auto"/>
              <w:rPr>
                <w:rFonts w:hint="eastAsia" w:ascii="仿宋" w:hAnsi="仿宋" w:eastAsia="仿宋" w:cs="仿宋"/>
                <w:color w:val="auto"/>
                <w:kern w:val="0"/>
                <w:sz w:val="21"/>
                <w:szCs w:val="21"/>
                <w:lang w:val="en-US" w:eastAsia="zh-CN" w:bidi="ar"/>
              </w:rPr>
            </w:pPr>
            <w:r>
              <w:rPr>
                <w:rFonts w:hint="eastAsia" w:ascii="仿宋" w:hAnsi="仿宋" w:eastAsia="仿宋" w:cs="仿宋"/>
                <w:bCs/>
                <w:color w:val="auto"/>
                <w:sz w:val="21"/>
                <w:szCs w:val="21"/>
                <w:highlight w:val="none"/>
                <w:lang w:eastAsia="zh-CN"/>
              </w:rPr>
              <w:t>得</w:t>
            </w:r>
            <w:r>
              <w:rPr>
                <w:rFonts w:hint="eastAsia" w:ascii="仿宋" w:hAnsi="仿宋" w:eastAsia="仿宋" w:cs="仿宋"/>
                <w:bCs/>
                <w:color w:val="auto"/>
                <w:sz w:val="21"/>
                <w:szCs w:val="21"/>
                <w:highlight w:val="none"/>
              </w:rPr>
              <w:t>算分数时四舍五入取小数点后两位。</w:t>
            </w:r>
          </w:p>
        </w:tc>
      </w:tr>
      <w:tr w14:paraId="41DA0BEE">
        <w:tblPrEx>
          <w:tblCellMar>
            <w:top w:w="0" w:type="dxa"/>
            <w:left w:w="0" w:type="dxa"/>
            <w:bottom w:w="0" w:type="dxa"/>
            <w:right w:w="0" w:type="dxa"/>
          </w:tblCellMar>
        </w:tblPrEx>
        <w:trPr>
          <w:trHeight w:val="1298" w:hRule="atLeast"/>
        </w:trPr>
        <w:tc>
          <w:tcPr>
            <w:tcW w:w="983" w:type="dxa"/>
            <w:vMerge w:val="restart"/>
            <w:tcBorders>
              <w:top w:val="single" w:color="auto" w:sz="4" w:space="0"/>
              <w:left w:val="single" w:color="auto" w:sz="4" w:space="0"/>
              <w:right w:val="single" w:color="000000" w:sz="8" w:space="0"/>
            </w:tcBorders>
            <w:tcMar>
              <w:top w:w="15" w:type="dxa"/>
              <w:left w:w="15" w:type="dxa"/>
              <w:right w:w="15" w:type="dxa"/>
            </w:tcMar>
            <w:vAlign w:val="center"/>
          </w:tcPr>
          <w:p w14:paraId="0925C18F">
            <w:pPr>
              <w:keepNext w:val="0"/>
              <w:keepLines w:val="0"/>
              <w:pageBreakBefore w:val="0"/>
              <w:kinsoku/>
              <w:wordWrap/>
              <w:overflowPunct/>
              <w:topLinePunct w:val="0"/>
              <w:autoSpaceDE/>
              <w:autoSpaceDN/>
              <w:bidi w:val="0"/>
              <w:spacing w:line="240" w:lineRule="auto"/>
              <w:jc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eastAsia="zh-CN" w:bidi="ar"/>
              </w:rPr>
              <w:t>技术</w:t>
            </w:r>
            <w:r>
              <w:rPr>
                <w:rFonts w:hint="eastAsia" w:ascii="仿宋" w:hAnsi="仿宋" w:eastAsia="仿宋" w:cs="仿宋"/>
                <w:color w:val="auto"/>
                <w:kern w:val="0"/>
                <w:sz w:val="21"/>
                <w:szCs w:val="21"/>
                <w:lang w:val="en-US" w:eastAsia="zh-CN" w:bidi="ar"/>
              </w:rPr>
              <w:t>部分</w:t>
            </w:r>
          </w:p>
          <w:p w14:paraId="634DB16D">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54分</w:t>
            </w:r>
          </w:p>
        </w:tc>
        <w:tc>
          <w:tcPr>
            <w:tcW w:w="1279"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1184012E">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技术指标</w:t>
            </w:r>
          </w:p>
          <w:p w14:paraId="46DBCF1E">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响应</w:t>
            </w:r>
          </w:p>
          <w:p w14:paraId="0FBF64CA">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1"/>
                <w:szCs w:val="21"/>
                <w:lang w:eastAsia="zh-CN" w:bidi="ar"/>
              </w:rPr>
            </w:pPr>
            <w:r>
              <w:rPr>
                <w:rFonts w:hint="eastAsia" w:ascii="仿宋" w:hAnsi="仿宋" w:eastAsia="仿宋" w:cs="仿宋"/>
                <w:color w:val="auto"/>
                <w:sz w:val="22"/>
                <w:szCs w:val="22"/>
                <w:highlight w:val="none"/>
                <w:lang w:val="en-US" w:eastAsia="zh-CN"/>
              </w:rPr>
              <w:t>14分</w:t>
            </w:r>
          </w:p>
        </w:tc>
        <w:tc>
          <w:tcPr>
            <w:tcW w:w="7720"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7BDBC79D">
            <w:pPr>
              <w:keepNext w:val="0"/>
              <w:keepLines w:val="0"/>
              <w:pageBreakBefore w:val="0"/>
              <w:widowControl w:val="0"/>
              <w:shd w:val="clear"/>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kern w:val="0"/>
                <w:sz w:val="21"/>
                <w:szCs w:val="21"/>
                <w:lang w:bidi="ar"/>
              </w:rPr>
            </w:pPr>
            <w:r>
              <w:rPr>
                <w:rFonts w:hint="eastAsia" w:ascii="仿宋" w:hAnsi="仿宋" w:eastAsia="仿宋" w:cs="仿宋"/>
                <w:color w:val="auto"/>
                <w:sz w:val="22"/>
                <w:szCs w:val="22"/>
                <w:highlight w:val="none"/>
                <w:lang w:val="en-US" w:eastAsia="zh-CN"/>
              </w:rPr>
              <w:t xml:space="preserve">产品选型科学、合理、先进、配置齐全，满足招标文件要求，对每个产品逐条进行明确响应，没有负偏离且佐证材料齐全有效，得14分；每负偏离一项扣2分。（投标人根据型号规格要求提供相关有效证明材料与之对应，未提供的视为负偏离。） </w:t>
            </w:r>
          </w:p>
        </w:tc>
      </w:tr>
      <w:tr w14:paraId="6129B5C4">
        <w:tblPrEx>
          <w:tblCellMar>
            <w:top w:w="0" w:type="dxa"/>
            <w:left w:w="0" w:type="dxa"/>
            <w:bottom w:w="0" w:type="dxa"/>
            <w:right w:w="0" w:type="dxa"/>
          </w:tblCellMar>
        </w:tblPrEx>
        <w:trPr>
          <w:trHeight w:val="90" w:hRule="atLeast"/>
        </w:trPr>
        <w:tc>
          <w:tcPr>
            <w:tcW w:w="983" w:type="dxa"/>
            <w:vMerge w:val="continue"/>
            <w:tcBorders>
              <w:left w:val="single" w:color="auto" w:sz="4" w:space="0"/>
              <w:right w:val="single" w:color="000000" w:sz="8" w:space="0"/>
            </w:tcBorders>
            <w:tcMar>
              <w:top w:w="15" w:type="dxa"/>
              <w:left w:w="15" w:type="dxa"/>
              <w:right w:w="15" w:type="dxa"/>
            </w:tcMar>
            <w:vAlign w:val="center"/>
          </w:tcPr>
          <w:p w14:paraId="4184A639">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color w:val="auto"/>
                <w:kern w:val="0"/>
                <w:sz w:val="21"/>
                <w:szCs w:val="21"/>
                <w:lang w:val="en-US" w:eastAsia="zh-CN" w:bidi="ar"/>
              </w:rPr>
            </w:pPr>
          </w:p>
        </w:tc>
        <w:tc>
          <w:tcPr>
            <w:tcW w:w="127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A66214">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技术服务</w:t>
            </w:r>
            <w:r>
              <w:rPr>
                <w:rFonts w:hint="eastAsia" w:ascii="仿宋" w:hAnsi="仿宋" w:eastAsia="仿宋" w:cs="仿宋"/>
                <w:color w:val="auto"/>
                <w:sz w:val="22"/>
                <w:szCs w:val="22"/>
                <w:highlight w:val="none"/>
              </w:rPr>
              <w:t>方案</w:t>
            </w:r>
          </w:p>
          <w:p w14:paraId="42333CFC">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1"/>
                <w:szCs w:val="21"/>
                <w:lang w:val="en-US" w:eastAsia="zh-CN" w:bidi="ar"/>
              </w:rPr>
            </w:pPr>
            <w:r>
              <w:rPr>
                <w:rFonts w:hint="eastAsia" w:ascii="仿宋" w:hAnsi="仿宋" w:eastAsia="仿宋" w:cs="仿宋"/>
                <w:color w:val="auto"/>
                <w:sz w:val="22"/>
                <w:szCs w:val="22"/>
                <w:highlight w:val="none"/>
                <w:lang w:val="en-US" w:eastAsia="zh-CN"/>
              </w:rPr>
              <w:t>40</w:t>
            </w:r>
            <w:r>
              <w:rPr>
                <w:rFonts w:hint="eastAsia" w:ascii="仿宋" w:hAnsi="仿宋" w:eastAsia="仿宋" w:cs="仿宋"/>
                <w:color w:val="auto"/>
                <w:sz w:val="22"/>
                <w:szCs w:val="22"/>
                <w:highlight w:val="none"/>
              </w:rPr>
              <w:t>分</w:t>
            </w:r>
          </w:p>
        </w:tc>
        <w:tc>
          <w:tcPr>
            <w:tcW w:w="7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11FFCD">
            <w:pPr>
              <w:keepNext w:val="0"/>
              <w:keepLines w:val="0"/>
              <w:pageBreakBefore w:val="0"/>
              <w:widowControl w:val="0"/>
              <w:shd w:val="clear"/>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2"/>
                <w:szCs w:val="22"/>
                <w:highlight w:val="none"/>
                <w:lang w:val="en-US" w:eastAsia="zh-CN"/>
              </w:rPr>
              <w:t>1.针对本项目提供详细的质量保证，进行评审。须提供产品渠道来源合法的证明文件（销售协议或代理协议或原厂授权等）每提供1项得2分，最高得10分。无此项内容不得分。</w:t>
            </w:r>
          </w:p>
        </w:tc>
      </w:tr>
      <w:tr w14:paraId="40505408">
        <w:tblPrEx>
          <w:tblCellMar>
            <w:top w:w="0" w:type="dxa"/>
            <w:left w:w="0" w:type="dxa"/>
            <w:bottom w:w="0" w:type="dxa"/>
            <w:right w:w="0" w:type="dxa"/>
          </w:tblCellMar>
        </w:tblPrEx>
        <w:trPr>
          <w:trHeight w:val="459" w:hRule="atLeast"/>
        </w:trPr>
        <w:tc>
          <w:tcPr>
            <w:tcW w:w="983" w:type="dxa"/>
            <w:vMerge w:val="continue"/>
            <w:tcBorders>
              <w:left w:val="single" w:color="auto" w:sz="4" w:space="0"/>
              <w:right w:val="single" w:color="000000" w:sz="8" w:space="0"/>
            </w:tcBorders>
            <w:tcMar>
              <w:top w:w="15" w:type="dxa"/>
              <w:left w:w="15" w:type="dxa"/>
              <w:right w:w="15" w:type="dxa"/>
            </w:tcMar>
            <w:vAlign w:val="center"/>
          </w:tcPr>
          <w:p w14:paraId="60BFABE4">
            <w:pPr>
              <w:pStyle w:val="2"/>
              <w:spacing w:line="240" w:lineRule="auto"/>
              <w:jc w:val="center"/>
              <w:rPr>
                <w:rFonts w:hint="eastAsia" w:ascii="仿宋" w:hAnsi="仿宋" w:eastAsia="仿宋" w:cs="仿宋"/>
                <w:color w:val="auto"/>
                <w:kern w:val="0"/>
                <w:sz w:val="21"/>
                <w:szCs w:val="21"/>
                <w:lang w:val="en-US" w:eastAsia="zh-CN" w:bidi="ar"/>
              </w:rPr>
            </w:pPr>
          </w:p>
        </w:tc>
        <w:tc>
          <w:tcPr>
            <w:tcW w:w="12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E5DA49">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kern w:val="2"/>
                <w:sz w:val="21"/>
                <w:szCs w:val="21"/>
                <w:lang w:val="en-US" w:eastAsia="zh-CN" w:bidi="ar-SA"/>
              </w:rPr>
            </w:pPr>
          </w:p>
        </w:tc>
        <w:tc>
          <w:tcPr>
            <w:tcW w:w="7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F6F3DE">
            <w:pPr>
              <w:keepNext w:val="0"/>
              <w:keepLines w:val="0"/>
              <w:pageBreakBefore w:val="0"/>
              <w:widowControl w:val="0"/>
              <w:shd w:val="clear"/>
              <w:kinsoku/>
              <w:wordWrap/>
              <w:overflowPunct/>
              <w:topLinePunct w:val="0"/>
              <w:autoSpaceDE/>
              <w:autoSpaceDN/>
              <w:bidi w:val="0"/>
              <w:adjustRightInd w:val="0"/>
              <w:snapToGrid w:val="0"/>
              <w:spacing w:line="288" w:lineRule="auto"/>
              <w:textAlignment w:val="auto"/>
              <w:rPr>
                <w:rFonts w:hint="default" w:ascii="仿宋" w:hAnsi="仿宋" w:eastAsia="仿宋" w:cs="仿宋"/>
                <w:color w:val="auto"/>
                <w:sz w:val="21"/>
                <w:szCs w:val="21"/>
                <w:lang w:val="en-US"/>
              </w:rPr>
            </w:pPr>
            <w:r>
              <w:rPr>
                <w:rFonts w:hint="eastAsia" w:ascii="仿宋" w:hAnsi="仿宋" w:eastAsia="仿宋" w:cs="仿宋"/>
                <w:color w:val="auto"/>
                <w:sz w:val="22"/>
                <w:szCs w:val="22"/>
                <w:highlight w:val="none"/>
                <w:lang w:val="en-US" w:eastAsia="zh-CN"/>
              </w:rPr>
              <w:t>2.针对本项目有备货、供货进度及保证措施，进行评审。 措施全面、合理、规范，可操作性强得10-7.1分；措施基本合理，可操作性一般得7-3.1分；措施简略，可操作性差得3-1分；无此内容不得分。</w:t>
            </w:r>
          </w:p>
        </w:tc>
      </w:tr>
      <w:tr w14:paraId="5896EF52">
        <w:tblPrEx>
          <w:tblCellMar>
            <w:top w:w="0" w:type="dxa"/>
            <w:left w:w="0" w:type="dxa"/>
            <w:bottom w:w="0" w:type="dxa"/>
            <w:right w:w="0" w:type="dxa"/>
          </w:tblCellMar>
        </w:tblPrEx>
        <w:trPr>
          <w:trHeight w:val="114" w:hRule="atLeast"/>
        </w:trPr>
        <w:tc>
          <w:tcPr>
            <w:tcW w:w="983" w:type="dxa"/>
            <w:vMerge w:val="continue"/>
            <w:tcBorders>
              <w:left w:val="single" w:color="auto" w:sz="4" w:space="0"/>
              <w:right w:val="single" w:color="000000" w:sz="8" w:space="0"/>
            </w:tcBorders>
            <w:tcMar>
              <w:top w:w="15" w:type="dxa"/>
              <w:left w:w="15" w:type="dxa"/>
              <w:right w:w="15" w:type="dxa"/>
            </w:tcMar>
            <w:vAlign w:val="center"/>
          </w:tcPr>
          <w:p w14:paraId="29D10904">
            <w:pPr>
              <w:pStyle w:val="2"/>
              <w:spacing w:line="240" w:lineRule="auto"/>
              <w:jc w:val="center"/>
              <w:rPr>
                <w:rFonts w:hint="eastAsia" w:ascii="仿宋" w:hAnsi="仿宋" w:eastAsia="仿宋" w:cs="仿宋"/>
                <w:color w:val="auto"/>
                <w:kern w:val="0"/>
                <w:sz w:val="21"/>
                <w:szCs w:val="21"/>
                <w:lang w:val="en-US" w:eastAsia="zh-CN" w:bidi="ar"/>
              </w:rPr>
            </w:pPr>
          </w:p>
        </w:tc>
        <w:tc>
          <w:tcPr>
            <w:tcW w:w="12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0BC2CD">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default" w:ascii="仿宋" w:hAnsi="仿宋" w:eastAsia="仿宋" w:cs="仿宋"/>
                <w:color w:val="auto"/>
                <w:kern w:val="2"/>
                <w:sz w:val="21"/>
                <w:szCs w:val="21"/>
                <w:lang w:val="en-US" w:eastAsia="zh-CN" w:bidi="ar-SA"/>
              </w:rPr>
            </w:pPr>
          </w:p>
        </w:tc>
        <w:tc>
          <w:tcPr>
            <w:tcW w:w="7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6ED86F">
            <w:pPr>
              <w:keepNext w:val="0"/>
              <w:keepLines w:val="0"/>
              <w:pageBreakBefore w:val="0"/>
              <w:widowControl w:val="0"/>
              <w:numPr>
                <w:ilvl w:val="0"/>
                <w:numId w:val="2"/>
              </w:numPr>
              <w:shd w:val="clear"/>
              <w:kinsoku/>
              <w:wordWrap/>
              <w:overflowPunct/>
              <w:topLinePunct w:val="0"/>
              <w:autoSpaceDE/>
              <w:autoSpaceDN/>
              <w:bidi w:val="0"/>
              <w:adjustRightInd w:val="0"/>
              <w:snapToGrid w:val="0"/>
              <w:spacing w:line="288" w:lineRule="auto"/>
              <w:textAlignment w:val="auto"/>
              <w:rPr>
                <w:rFonts w:hint="default" w:ascii="仿宋" w:hAnsi="仿宋" w:eastAsia="仿宋" w:cs="仿宋"/>
                <w:color w:val="auto"/>
                <w:sz w:val="21"/>
                <w:szCs w:val="21"/>
                <w:lang w:val="en-US"/>
              </w:rPr>
            </w:pPr>
            <w:r>
              <w:rPr>
                <w:rFonts w:hint="eastAsia" w:ascii="仿宋" w:hAnsi="仿宋" w:eastAsia="仿宋" w:cs="仿宋"/>
                <w:color w:val="auto"/>
                <w:sz w:val="22"/>
                <w:szCs w:val="22"/>
                <w:highlight w:val="none"/>
                <w:lang w:val="en-US" w:eastAsia="zh-CN"/>
              </w:rPr>
              <w:t>针对本项目提供履约能力承诺（包括仓储设施、运输工具、检测水平、管理水平等方面），进行评审。 承诺详细全面、合理、规范得10-7.1分；方案基本合理，可操作性一般得7-3.1分；方案简略，可操作性差得3-1分；无此内容不得分。</w:t>
            </w:r>
          </w:p>
        </w:tc>
      </w:tr>
      <w:tr w14:paraId="54730416">
        <w:tblPrEx>
          <w:tblCellMar>
            <w:top w:w="0" w:type="dxa"/>
            <w:left w:w="0" w:type="dxa"/>
            <w:bottom w:w="0" w:type="dxa"/>
            <w:right w:w="0" w:type="dxa"/>
          </w:tblCellMar>
        </w:tblPrEx>
        <w:trPr>
          <w:trHeight w:val="114" w:hRule="atLeast"/>
        </w:trPr>
        <w:tc>
          <w:tcPr>
            <w:tcW w:w="983" w:type="dxa"/>
            <w:vMerge w:val="continue"/>
            <w:tcBorders>
              <w:left w:val="single" w:color="auto" w:sz="4" w:space="0"/>
              <w:right w:val="single" w:color="000000" w:sz="8" w:space="0"/>
            </w:tcBorders>
            <w:tcMar>
              <w:top w:w="15" w:type="dxa"/>
              <w:left w:w="15" w:type="dxa"/>
              <w:right w:w="15" w:type="dxa"/>
            </w:tcMar>
            <w:vAlign w:val="center"/>
          </w:tcPr>
          <w:p w14:paraId="505500BF">
            <w:pPr>
              <w:pStyle w:val="2"/>
              <w:spacing w:line="240" w:lineRule="auto"/>
              <w:jc w:val="center"/>
              <w:rPr>
                <w:rFonts w:hint="eastAsia" w:ascii="仿宋" w:hAnsi="仿宋" w:eastAsia="仿宋" w:cs="仿宋"/>
                <w:color w:val="auto"/>
                <w:kern w:val="0"/>
                <w:sz w:val="21"/>
                <w:szCs w:val="21"/>
                <w:lang w:val="en-US" w:eastAsia="zh-CN" w:bidi="ar"/>
              </w:rPr>
            </w:pPr>
          </w:p>
        </w:tc>
        <w:tc>
          <w:tcPr>
            <w:tcW w:w="127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5A27F9">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lang w:val="en-US" w:eastAsia="zh-CN" w:bidi="ar-SA"/>
              </w:rPr>
            </w:pPr>
          </w:p>
        </w:tc>
        <w:tc>
          <w:tcPr>
            <w:tcW w:w="7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39D750F">
            <w:pPr>
              <w:keepNext w:val="0"/>
              <w:keepLines w:val="0"/>
              <w:pageBreakBefore w:val="0"/>
              <w:widowControl w:val="0"/>
              <w:shd w:val="clear"/>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2"/>
                <w:szCs w:val="22"/>
                <w:highlight w:val="none"/>
                <w:lang w:val="en-US" w:eastAsia="zh-CN"/>
              </w:rPr>
              <w:t>4.针对本项目拟投入人员配备，进行评审。分工合理、责任明确得10-7.1分； 分工较合理、责任较明确得7-3.1分；分工不明确、责任不清晰，存在项目不能顺利实施的风险得3-1分；无此内容不得分。</w:t>
            </w:r>
          </w:p>
        </w:tc>
      </w:tr>
      <w:tr w14:paraId="61D3D358">
        <w:tblPrEx>
          <w:tblCellMar>
            <w:top w:w="0" w:type="dxa"/>
            <w:left w:w="0" w:type="dxa"/>
            <w:bottom w:w="0" w:type="dxa"/>
            <w:right w:w="0" w:type="dxa"/>
          </w:tblCellMar>
        </w:tblPrEx>
        <w:trPr>
          <w:trHeight w:val="579" w:hRule="atLeast"/>
        </w:trPr>
        <w:tc>
          <w:tcPr>
            <w:tcW w:w="983"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F24A21">
            <w:pPr>
              <w:keepNext w:val="0"/>
              <w:keepLines w:val="0"/>
              <w:pageBreakBefore w:val="0"/>
              <w:kinsoku/>
              <w:wordWrap/>
              <w:overflowPunct/>
              <w:topLinePunct w:val="0"/>
              <w:autoSpaceDE/>
              <w:autoSpaceDN/>
              <w:bidi w:val="0"/>
              <w:spacing w:line="240" w:lineRule="auto"/>
              <w:jc w:val="center"/>
              <w:rPr>
                <w:rFonts w:hint="default"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eastAsia="zh-CN" w:bidi="ar"/>
              </w:rPr>
              <w:t>商务</w:t>
            </w:r>
            <w:r>
              <w:rPr>
                <w:rFonts w:hint="eastAsia" w:ascii="仿宋" w:hAnsi="仿宋" w:eastAsia="仿宋" w:cs="仿宋"/>
                <w:color w:val="auto"/>
                <w:kern w:val="0"/>
                <w:sz w:val="21"/>
                <w:szCs w:val="21"/>
                <w:lang w:val="en-US" w:eastAsia="zh-CN" w:bidi="ar"/>
              </w:rPr>
              <w:t>部分</w:t>
            </w:r>
          </w:p>
          <w:p w14:paraId="558888BE">
            <w:pPr>
              <w:pStyle w:val="2"/>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kern w:val="0"/>
                <w:sz w:val="21"/>
                <w:szCs w:val="21"/>
                <w:lang w:val="en-US" w:eastAsia="zh-CN" w:bidi="ar"/>
              </w:rPr>
              <w:t>16分</w:t>
            </w:r>
          </w:p>
        </w:tc>
        <w:tc>
          <w:tcPr>
            <w:tcW w:w="12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FFD2CC3">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业绩</w:t>
            </w:r>
          </w:p>
          <w:p w14:paraId="1D9F4B64">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2"/>
                <w:szCs w:val="22"/>
                <w:highlight w:val="none"/>
                <w:lang w:val="en-US" w:eastAsia="zh-CN"/>
              </w:rPr>
              <w:t>5分</w:t>
            </w:r>
          </w:p>
        </w:tc>
        <w:tc>
          <w:tcPr>
            <w:tcW w:w="7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55078C">
            <w:pPr>
              <w:keepNext w:val="0"/>
              <w:keepLines w:val="0"/>
              <w:pageBreakBefore w:val="0"/>
              <w:widowControl w:val="0"/>
              <w:shd w:val="clear"/>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2"/>
                <w:szCs w:val="22"/>
                <w:highlight w:val="none"/>
                <w:lang w:val="en-US" w:eastAsia="zh-CN"/>
              </w:rPr>
              <w:t>投标人须提供2021年11月1日至今类似项目业绩（投标文件内需提供合同或中标（成交）通知书复印件并加盖公章），提供一份业绩得2.5分，最高得5分，无此内容不得分。</w:t>
            </w:r>
          </w:p>
        </w:tc>
      </w:tr>
      <w:tr w14:paraId="1612D4AF">
        <w:tblPrEx>
          <w:tblCellMar>
            <w:top w:w="0" w:type="dxa"/>
            <w:left w:w="0" w:type="dxa"/>
            <w:bottom w:w="0" w:type="dxa"/>
            <w:right w:w="0" w:type="dxa"/>
          </w:tblCellMar>
        </w:tblPrEx>
        <w:trPr>
          <w:trHeight w:val="501" w:hRule="atLeast"/>
        </w:trPr>
        <w:tc>
          <w:tcPr>
            <w:tcW w:w="9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A887B9">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color w:val="auto"/>
                <w:kern w:val="0"/>
                <w:sz w:val="21"/>
                <w:szCs w:val="21"/>
                <w:lang w:bidi="ar"/>
              </w:rPr>
            </w:pPr>
          </w:p>
        </w:tc>
        <w:tc>
          <w:tcPr>
            <w:tcW w:w="12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1CB94AF">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应急预案</w:t>
            </w:r>
          </w:p>
          <w:p w14:paraId="4A218631">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2"/>
                <w:szCs w:val="22"/>
                <w:highlight w:val="none"/>
                <w:lang w:val="en-US" w:eastAsia="zh-CN"/>
              </w:rPr>
              <w:t>5分</w:t>
            </w:r>
          </w:p>
        </w:tc>
        <w:tc>
          <w:tcPr>
            <w:tcW w:w="7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150BDB">
            <w:pPr>
              <w:keepNext w:val="0"/>
              <w:keepLines w:val="0"/>
              <w:pageBreakBefore w:val="0"/>
              <w:widowControl w:val="0"/>
              <w:shd w:val="clear"/>
              <w:kinsoku/>
              <w:wordWrap/>
              <w:overflowPunct/>
              <w:topLinePunct w:val="0"/>
              <w:autoSpaceDE/>
              <w:autoSpaceDN/>
              <w:bidi w:val="0"/>
              <w:adjustRightInd w:val="0"/>
              <w:snapToGrid w:val="0"/>
              <w:spacing w:line="288" w:lineRule="auto"/>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2"/>
                <w:szCs w:val="22"/>
                <w:highlight w:val="none"/>
                <w:lang w:val="en-US" w:eastAsia="zh-CN"/>
              </w:rPr>
              <w:t>针对本项目采购人实际需求提供详细具体可行的应急预案。方案内容具体、完整、详细、全面的得5-3.1分；方案内容欠缺、薄弱得3-1分；无此内容不得分。</w:t>
            </w:r>
          </w:p>
        </w:tc>
      </w:tr>
      <w:tr w14:paraId="631C24F5">
        <w:tblPrEx>
          <w:tblCellMar>
            <w:top w:w="0" w:type="dxa"/>
            <w:left w:w="0" w:type="dxa"/>
            <w:bottom w:w="0" w:type="dxa"/>
            <w:right w:w="0" w:type="dxa"/>
          </w:tblCellMar>
        </w:tblPrEx>
        <w:trPr>
          <w:trHeight w:val="421" w:hRule="atLeast"/>
        </w:trPr>
        <w:tc>
          <w:tcPr>
            <w:tcW w:w="983"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FDA7904">
            <w:pPr>
              <w:keepNext w:val="0"/>
              <w:keepLines w:val="0"/>
              <w:pageBreakBefore w:val="0"/>
              <w:kinsoku/>
              <w:wordWrap/>
              <w:overflowPunct/>
              <w:topLinePunct w:val="0"/>
              <w:autoSpaceDE/>
              <w:autoSpaceDN/>
              <w:bidi w:val="0"/>
              <w:spacing w:line="240" w:lineRule="auto"/>
              <w:jc w:val="center"/>
              <w:rPr>
                <w:rFonts w:hint="eastAsia" w:ascii="仿宋" w:hAnsi="仿宋" w:eastAsia="仿宋" w:cs="仿宋"/>
                <w:color w:val="auto"/>
                <w:kern w:val="0"/>
                <w:sz w:val="21"/>
                <w:szCs w:val="21"/>
                <w:lang w:bidi="ar"/>
              </w:rPr>
            </w:pPr>
          </w:p>
        </w:tc>
        <w:tc>
          <w:tcPr>
            <w:tcW w:w="127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B609B8">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售后服务</w:t>
            </w:r>
          </w:p>
          <w:p w14:paraId="70D1D66F">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方案</w:t>
            </w:r>
          </w:p>
          <w:p w14:paraId="031014BA">
            <w:pPr>
              <w:keepNext w:val="0"/>
              <w:keepLines w:val="0"/>
              <w:pageBreakBefore w:val="0"/>
              <w:widowControl w:val="0"/>
              <w:shd w:val="clear"/>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2"/>
                <w:szCs w:val="22"/>
                <w:highlight w:val="none"/>
                <w:lang w:val="en-US" w:eastAsia="zh-CN"/>
              </w:rPr>
              <w:t>6分</w:t>
            </w:r>
          </w:p>
        </w:tc>
        <w:tc>
          <w:tcPr>
            <w:tcW w:w="772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E8C503">
            <w:pPr>
              <w:keepNext w:val="0"/>
              <w:keepLines w:val="0"/>
              <w:pageBreakBefore w:val="0"/>
              <w:widowControl w:val="0"/>
              <w:shd w:val="clear"/>
              <w:kinsoku/>
              <w:wordWrap/>
              <w:overflowPunct/>
              <w:topLinePunct w:val="0"/>
              <w:autoSpaceDE/>
              <w:autoSpaceDN/>
              <w:bidi w:val="0"/>
              <w:adjustRightInd w:val="0"/>
              <w:snapToGrid w:val="0"/>
              <w:spacing w:line="288" w:lineRule="auto"/>
              <w:jc w:val="left"/>
              <w:textAlignment w:val="auto"/>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 w:val="22"/>
                <w:szCs w:val="22"/>
                <w:highlight w:val="none"/>
                <w:lang w:val="en-US" w:eastAsia="zh-CN"/>
              </w:rPr>
              <w:t>售后服务方案详细、具体、可行（包括投标人售后服务网点的设定、拟投入售后服务人员配置情况等），方案详细、具体、可行得6-3.1分；售后服务方案内容欠缺、薄弱得3-1分；无此内容不得分。</w:t>
            </w:r>
          </w:p>
        </w:tc>
      </w:tr>
    </w:tbl>
    <w:p w14:paraId="6B12AE95">
      <w:pPr>
        <w:shd w:val="clea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备注：</w:t>
      </w:r>
    </w:p>
    <w:p w14:paraId="50BC164D">
      <w:pPr>
        <w:shd w:val="clear"/>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若出现综合得分并列时，比较技术得分，此分项得分高者排序在前；若技术得分仍相同，比较价格得分，此分项得分高者排序在前；若投标报价得分仍相同，则由评标委员会无记名投票，得票高者排序在前；</w:t>
      </w:r>
    </w:p>
    <w:p w14:paraId="29CC7994">
      <w:pPr>
        <w:shd w:val="clear"/>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 评委打分超过得分界限或未按本方法赋分时，该评委的打分按废票处理；</w:t>
      </w:r>
    </w:p>
    <w:p w14:paraId="6DBFCD5D">
      <w:pPr>
        <w:shd w:val="clear"/>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 各种计算采用插入法，数字均保留两位小数，第三位“四舍五入”；</w:t>
      </w:r>
    </w:p>
    <w:p w14:paraId="7CE3E7F6">
      <w:pPr>
        <w:shd w:val="clear"/>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4）投标文件对评标内容无响应的，该项评分按照0分计算；</w:t>
      </w:r>
    </w:p>
    <w:p w14:paraId="3D52EBF1">
      <w:pPr>
        <w:shd w:val="clear"/>
        <w:snapToGrid w:val="0"/>
        <w:spacing w:line="360" w:lineRule="auto"/>
        <w:ind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5）本项目以人民币为计量币种进行评标。</w:t>
      </w:r>
    </w:p>
    <w:p w14:paraId="0B5C1CB4">
      <w:pPr>
        <w:shd w:val="clea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kern w:val="1"/>
          <w:szCs w:val="21"/>
          <w:highlight w:val="none"/>
        </w:rPr>
        <w:t>3.</w:t>
      </w:r>
      <w:r>
        <w:rPr>
          <w:rFonts w:hint="eastAsia" w:ascii="仿宋" w:hAnsi="仿宋" w:eastAsia="仿宋" w:cs="仿宋"/>
          <w:b/>
          <w:bCs/>
          <w:color w:val="auto"/>
          <w:szCs w:val="21"/>
          <w:highlight w:val="none"/>
        </w:rPr>
        <w:t>3、无效投标文件的认定</w:t>
      </w:r>
    </w:p>
    <w:p w14:paraId="24927239">
      <w:pPr>
        <w:pStyle w:val="15"/>
        <w:shd w:val="clear"/>
        <w:tabs>
          <w:tab w:val="left" w:pos="600"/>
        </w:tabs>
        <w:snapToGrid w:val="0"/>
        <w:spacing w:after="0" w:line="360" w:lineRule="auto"/>
        <w:ind w:left="0" w:leftChars="0"/>
        <w:jc w:val="left"/>
        <w:rPr>
          <w:rFonts w:hint="eastAsia" w:ascii="仿宋" w:hAnsi="仿宋" w:eastAsia="仿宋" w:cs="仿宋"/>
          <w:color w:val="auto"/>
          <w:kern w:val="2"/>
          <w:sz w:val="21"/>
          <w:szCs w:val="21"/>
          <w:highlight w:val="none"/>
          <w:lang w:val="zh-CN"/>
        </w:rPr>
      </w:pPr>
      <w:r>
        <w:rPr>
          <w:rFonts w:hint="eastAsia" w:ascii="仿宋" w:hAnsi="仿宋" w:eastAsia="仿宋" w:cs="仿宋"/>
          <w:color w:val="auto"/>
          <w:kern w:val="1"/>
          <w:sz w:val="21"/>
          <w:szCs w:val="21"/>
          <w:highlight w:val="none"/>
        </w:rPr>
        <w:t>3.</w:t>
      </w:r>
      <w:r>
        <w:rPr>
          <w:rFonts w:hint="eastAsia" w:ascii="仿宋" w:hAnsi="仿宋" w:eastAsia="仿宋" w:cs="仿宋"/>
          <w:color w:val="auto"/>
          <w:kern w:val="2"/>
          <w:sz w:val="21"/>
          <w:szCs w:val="21"/>
          <w:highlight w:val="none"/>
        </w:rPr>
        <w:t>3</w:t>
      </w:r>
      <w:r>
        <w:rPr>
          <w:rFonts w:hint="eastAsia" w:ascii="仿宋" w:hAnsi="仿宋" w:eastAsia="仿宋" w:cs="仿宋"/>
          <w:color w:val="auto"/>
          <w:kern w:val="2"/>
          <w:sz w:val="21"/>
          <w:szCs w:val="21"/>
          <w:highlight w:val="none"/>
          <w:lang w:val="zh-CN"/>
        </w:rPr>
        <w:t>.1、在评审过程中，出现下列情形之一的，应作为无效投标文件：</w:t>
      </w:r>
    </w:p>
    <w:p w14:paraId="7A367AD7">
      <w:pPr>
        <w:shd w:val="clear"/>
        <w:snapToGrid w:val="0"/>
        <w:spacing w:line="360" w:lineRule="auto"/>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kern w:val="1"/>
          <w:szCs w:val="21"/>
          <w:highlight w:val="none"/>
        </w:rPr>
        <w:t>3.</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.1.1、投标人未经过正常渠道获取招标文件的；</w:t>
      </w:r>
    </w:p>
    <w:p w14:paraId="39B65CAE">
      <w:pPr>
        <w:pStyle w:val="35"/>
        <w:shd w:val="clear"/>
        <w:snapToGrid w:val="0"/>
        <w:spacing w:after="0" w:line="360" w:lineRule="auto"/>
        <w:rPr>
          <w:rFonts w:hint="eastAsia" w:ascii="仿宋" w:hAnsi="仿宋" w:eastAsia="仿宋" w:cs="仿宋"/>
          <w:color w:val="auto"/>
          <w:sz w:val="21"/>
          <w:szCs w:val="21"/>
          <w:highlight w:val="none"/>
          <w:lang w:val="zh-CN"/>
        </w:rPr>
      </w:pPr>
      <w:r>
        <w:rPr>
          <w:rFonts w:hint="eastAsia" w:ascii="仿宋" w:hAnsi="仿宋" w:eastAsia="仿宋" w:cs="仿宋"/>
          <w:color w:val="auto"/>
          <w:kern w:val="1"/>
          <w:sz w:val="21"/>
          <w:szCs w:val="21"/>
          <w:highlight w:val="none"/>
        </w:rPr>
        <w:t>3.</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zh-CN"/>
        </w:rPr>
        <w:t>.1.2、投标人名称与登记获取招标文件单位的名称不一致的；</w:t>
      </w:r>
    </w:p>
    <w:p w14:paraId="041EE89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lang w:val="zh-CN"/>
        </w:rPr>
      </w:pPr>
      <w:bookmarkStart w:id="352" w:name="_Toc455956649"/>
      <w:r>
        <w:rPr>
          <w:rFonts w:hint="eastAsia" w:ascii="仿宋" w:hAnsi="仿宋" w:eastAsia="仿宋" w:cs="仿宋"/>
          <w:color w:val="auto"/>
          <w:kern w:val="1"/>
          <w:sz w:val="21"/>
          <w:szCs w:val="21"/>
          <w:highlight w:val="none"/>
        </w:rPr>
        <w:t>3.</w:t>
      </w: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zh-CN"/>
        </w:rPr>
        <w:t>.1.3、</w:t>
      </w:r>
      <w:r>
        <w:rPr>
          <w:rFonts w:hint="eastAsia" w:ascii="仿宋" w:hAnsi="仿宋" w:eastAsia="仿宋" w:cs="仿宋"/>
          <w:color w:val="auto"/>
          <w:szCs w:val="21"/>
          <w:highlight w:val="none"/>
          <w:lang w:val="zh-CN"/>
        </w:rPr>
        <w:t>未按照招标文件规定和要求签署、盖章的;</w:t>
      </w:r>
    </w:p>
    <w:p w14:paraId="3472FA59">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kern w:val="1"/>
          <w:szCs w:val="21"/>
          <w:highlight w:val="none"/>
        </w:rPr>
        <w:t>3.</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lang w:val="zh-CN"/>
        </w:rPr>
        <w:t>、不具备招标文件中规定的资格条件和资格审查要求的;</w:t>
      </w:r>
    </w:p>
    <w:p w14:paraId="02E37531">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kern w:val="1"/>
          <w:szCs w:val="21"/>
          <w:highlight w:val="none"/>
        </w:rPr>
        <w:t>3.</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.1.</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、未按照招标文件规定的格式要求编制的；</w:t>
      </w:r>
    </w:p>
    <w:p w14:paraId="2E3FA51E">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kern w:val="1"/>
          <w:szCs w:val="21"/>
          <w:highlight w:val="none"/>
        </w:rPr>
        <w:t>3.</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val="zh-CN"/>
        </w:rPr>
        <w:t>、未按</w:t>
      </w:r>
      <w:r>
        <w:rPr>
          <w:rFonts w:hint="eastAsia" w:ascii="仿宋" w:hAnsi="仿宋" w:eastAsia="仿宋" w:cs="仿宋"/>
          <w:color w:val="auto"/>
          <w:szCs w:val="21"/>
          <w:highlight w:val="none"/>
          <w:lang w:val="en-US" w:eastAsia="zh-CN"/>
        </w:rPr>
        <w:t>招标文件</w:t>
      </w:r>
      <w:r>
        <w:rPr>
          <w:rFonts w:hint="eastAsia" w:ascii="仿宋" w:hAnsi="仿宋" w:eastAsia="仿宋" w:cs="仿宋"/>
          <w:color w:val="auto"/>
          <w:szCs w:val="21"/>
          <w:highlight w:val="none"/>
          <w:lang w:val="zh-CN"/>
        </w:rPr>
        <w:t>要求提交投标文件的；</w:t>
      </w:r>
    </w:p>
    <w:p w14:paraId="03582C04">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kern w:val="1"/>
          <w:szCs w:val="21"/>
          <w:highlight w:val="none"/>
        </w:rPr>
        <w:t>3.</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.1.</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val="zh-CN"/>
        </w:rPr>
        <w:t>、进口货物（产品）未办理正常进口手续的（如有）；</w:t>
      </w:r>
    </w:p>
    <w:p w14:paraId="5E57035B">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kern w:val="1"/>
          <w:szCs w:val="21"/>
          <w:highlight w:val="none"/>
        </w:rPr>
        <w:t>3.</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.1.</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val="zh-CN"/>
        </w:rPr>
        <w:t>、提供响应内容出现漏项或数量与要求不符的；</w:t>
      </w:r>
    </w:p>
    <w:p w14:paraId="71EF7092">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kern w:val="1"/>
          <w:szCs w:val="21"/>
          <w:highlight w:val="none"/>
        </w:rPr>
        <w:t>3.</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.1.</w:t>
      </w:r>
      <w:r>
        <w:rPr>
          <w:rFonts w:hint="eastAsia" w:ascii="仿宋" w:hAnsi="仿宋" w:eastAsia="仿宋" w:cs="仿宋"/>
          <w:color w:val="auto"/>
          <w:szCs w:val="21"/>
          <w:highlight w:val="none"/>
          <w:lang w:val="en-US" w:eastAsia="zh-CN"/>
        </w:rPr>
        <w:t>9</w:t>
      </w:r>
      <w:r>
        <w:rPr>
          <w:rFonts w:hint="eastAsia" w:ascii="仿宋" w:hAnsi="仿宋" w:eastAsia="仿宋" w:cs="仿宋"/>
          <w:color w:val="auto"/>
          <w:szCs w:val="21"/>
          <w:highlight w:val="none"/>
          <w:lang w:val="zh-CN"/>
        </w:rPr>
        <w:t>、响应的</w:t>
      </w:r>
      <w:r>
        <w:rPr>
          <w:rFonts w:hint="eastAsia" w:ascii="仿宋" w:hAnsi="仿宋" w:eastAsia="仿宋" w:cs="仿宋"/>
          <w:color w:val="auto"/>
          <w:szCs w:val="21"/>
          <w:highlight w:val="none"/>
          <w:lang w:val="en-US" w:eastAsia="zh-CN"/>
        </w:rPr>
        <w:t>交货期</w:t>
      </w:r>
      <w:r>
        <w:rPr>
          <w:rFonts w:hint="eastAsia" w:ascii="仿宋" w:hAnsi="仿宋" w:eastAsia="仿宋" w:cs="仿宋"/>
          <w:color w:val="auto"/>
          <w:szCs w:val="21"/>
          <w:highlight w:val="none"/>
          <w:lang w:val="zh-CN"/>
        </w:rPr>
        <w:t>等商务条款不能满足招标要求的；</w:t>
      </w:r>
    </w:p>
    <w:p w14:paraId="0DC600BB">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kern w:val="1"/>
          <w:szCs w:val="21"/>
          <w:highlight w:val="none"/>
        </w:rPr>
        <w:t>3.</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.1.1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lang w:val="zh-CN"/>
        </w:rPr>
        <w:t>、投标人的报价超过了采购人的预算价</w:t>
      </w:r>
      <w:r>
        <w:rPr>
          <w:rFonts w:hint="eastAsia" w:ascii="仿宋" w:hAnsi="仿宋" w:eastAsia="仿宋" w:cs="仿宋"/>
          <w:color w:val="auto"/>
          <w:szCs w:val="21"/>
          <w:highlight w:val="none"/>
        </w:rPr>
        <w:t>及最高限价</w:t>
      </w:r>
      <w:r>
        <w:rPr>
          <w:rFonts w:hint="eastAsia" w:ascii="仿宋" w:hAnsi="仿宋" w:eastAsia="仿宋" w:cs="仿宋"/>
          <w:color w:val="auto"/>
          <w:szCs w:val="21"/>
          <w:highlight w:val="none"/>
          <w:lang w:val="zh-CN"/>
        </w:rPr>
        <w:t>；</w:t>
      </w:r>
    </w:p>
    <w:p w14:paraId="0066371D">
      <w:pPr>
        <w:keepNext w:val="0"/>
        <w:keepLines w:val="0"/>
        <w:pageBreakBefore w:val="0"/>
        <w:widowControl w:val="0"/>
        <w:shd w:val="clear"/>
        <w:kinsoku/>
        <w:wordWrap/>
        <w:overflowPunct/>
        <w:topLinePunct w:val="0"/>
        <w:autoSpaceDE/>
        <w:autoSpaceDN/>
        <w:bidi w:val="0"/>
        <w:adjustRightInd/>
        <w:snapToGrid w:val="0"/>
        <w:spacing w:line="360" w:lineRule="auto"/>
        <w:ind w:firstLine="420" w:firstLineChars="200"/>
        <w:textAlignment w:val="auto"/>
        <w:rPr>
          <w:rFonts w:hint="eastAsia" w:ascii="仿宋" w:hAnsi="仿宋" w:eastAsia="仿宋" w:cs="仿宋"/>
          <w:color w:val="auto"/>
          <w:szCs w:val="21"/>
          <w:highlight w:val="none"/>
          <w:lang w:val="zh-CN"/>
        </w:rPr>
      </w:pPr>
      <w:r>
        <w:rPr>
          <w:rFonts w:hint="eastAsia" w:ascii="仿宋" w:hAnsi="仿宋" w:eastAsia="仿宋" w:cs="仿宋"/>
          <w:color w:val="auto"/>
          <w:kern w:val="1"/>
          <w:szCs w:val="21"/>
          <w:highlight w:val="none"/>
        </w:rPr>
        <w:t>3.</w:t>
      </w:r>
      <w:r>
        <w:rPr>
          <w:rFonts w:hint="eastAsia" w:ascii="仿宋" w:hAnsi="仿宋" w:eastAsia="仿宋" w:cs="仿宋"/>
          <w:color w:val="auto"/>
          <w:szCs w:val="21"/>
          <w:highlight w:val="none"/>
        </w:rPr>
        <w:t>3</w:t>
      </w:r>
      <w:r>
        <w:rPr>
          <w:rFonts w:hint="eastAsia" w:ascii="仿宋" w:hAnsi="仿宋" w:eastAsia="仿宋" w:cs="仿宋"/>
          <w:color w:val="auto"/>
          <w:szCs w:val="21"/>
          <w:highlight w:val="none"/>
          <w:lang w:val="zh-CN"/>
        </w:rPr>
        <w:t>.1.1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zh-CN"/>
        </w:rPr>
        <w:t>、投标文件中附有采购人不能接受的条件；</w:t>
      </w:r>
    </w:p>
    <w:p w14:paraId="465D0876">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auto"/>
          <w:kern w:val="2"/>
          <w:sz w:val="21"/>
          <w:szCs w:val="21"/>
          <w:highlight w:val="none"/>
          <w:lang w:val="zh-CN"/>
        </w:rPr>
      </w:pPr>
      <w:r>
        <w:rPr>
          <w:rFonts w:hint="eastAsia" w:ascii="仿宋" w:hAnsi="仿宋" w:eastAsia="仿宋" w:cs="仿宋"/>
          <w:b w:val="0"/>
          <w:color w:val="auto"/>
          <w:kern w:val="1"/>
          <w:sz w:val="21"/>
          <w:szCs w:val="21"/>
          <w:highlight w:val="none"/>
        </w:rPr>
        <w:t>3.</w:t>
      </w:r>
      <w:r>
        <w:rPr>
          <w:rFonts w:hint="eastAsia" w:ascii="仿宋" w:hAnsi="仿宋" w:eastAsia="仿宋" w:cs="仿宋"/>
          <w:b w:val="0"/>
          <w:color w:val="auto"/>
          <w:kern w:val="2"/>
          <w:sz w:val="21"/>
          <w:szCs w:val="21"/>
          <w:highlight w:val="none"/>
        </w:rPr>
        <w:t>3</w:t>
      </w:r>
      <w:r>
        <w:rPr>
          <w:rFonts w:hint="eastAsia" w:ascii="仿宋" w:hAnsi="仿宋" w:eastAsia="仿宋" w:cs="仿宋"/>
          <w:b w:val="0"/>
          <w:color w:val="auto"/>
          <w:kern w:val="2"/>
          <w:sz w:val="21"/>
          <w:szCs w:val="21"/>
          <w:highlight w:val="none"/>
          <w:lang w:val="zh-CN"/>
        </w:rPr>
        <w:t>.1.1</w:t>
      </w:r>
      <w:r>
        <w:rPr>
          <w:rFonts w:hint="eastAsia" w:ascii="仿宋" w:hAnsi="仿宋" w:eastAsia="仿宋" w:cs="仿宋"/>
          <w:b w:val="0"/>
          <w:color w:val="auto"/>
          <w:kern w:val="2"/>
          <w:sz w:val="21"/>
          <w:szCs w:val="21"/>
          <w:highlight w:val="none"/>
          <w:lang w:val="en-US" w:eastAsia="zh-CN"/>
        </w:rPr>
        <w:t>2</w:t>
      </w:r>
      <w:r>
        <w:rPr>
          <w:rFonts w:hint="eastAsia" w:ascii="仿宋" w:hAnsi="仿宋" w:eastAsia="仿宋" w:cs="仿宋"/>
          <w:b w:val="0"/>
          <w:color w:val="auto"/>
          <w:kern w:val="2"/>
          <w:sz w:val="21"/>
          <w:szCs w:val="21"/>
          <w:highlight w:val="none"/>
          <w:lang w:val="zh-CN"/>
        </w:rPr>
        <w:t>、未载明或者载明的采购项目履约时间、方式、数量、技术参数、质量标准明及其他政府采购合同实质性内容与招标文件要求不一致；</w:t>
      </w:r>
    </w:p>
    <w:p w14:paraId="7BE081F4">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auto"/>
          <w:kern w:val="2"/>
          <w:sz w:val="21"/>
          <w:szCs w:val="21"/>
          <w:highlight w:val="none"/>
          <w:lang w:val="zh-CN"/>
        </w:rPr>
      </w:pPr>
      <w:r>
        <w:rPr>
          <w:rFonts w:hint="eastAsia" w:ascii="仿宋" w:hAnsi="仿宋" w:eastAsia="仿宋" w:cs="仿宋"/>
          <w:b w:val="0"/>
          <w:color w:val="auto"/>
          <w:kern w:val="1"/>
          <w:sz w:val="21"/>
          <w:szCs w:val="21"/>
          <w:highlight w:val="none"/>
        </w:rPr>
        <w:t>3.</w:t>
      </w:r>
      <w:r>
        <w:rPr>
          <w:rFonts w:hint="eastAsia" w:ascii="仿宋" w:hAnsi="仿宋" w:eastAsia="仿宋" w:cs="仿宋"/>
          <w:b w:val="0"/>
          <w:color w:val="auto"/>
          <w:kern w:val="2"/>
          <w:sz w:val="21"/>
          <w:szCs w:val="21"/>
          <w:highlight w:val="none"/>
        </w:rPr>
        <w:t>3</w:t>
      </w:r>
      <w:r>
        <w:rPr>
          <w:rFonts w:hint="eastAsia" w:ascii="仿宋" w:hAnsi="仿宋" w:eastAsia="仿宋" w:cs="仿宋"/>
          <w:b w:val="0"/>
          <w:color w:val="auto"/>
          <w:kern w:val="2"/>
          <w:sz w:val="21"/>
          <w:szCs w:val="21"/>
          <w:highlight w:val="none"/>
          <w:lang w:val="zh-CN"/>
        </w:rPr>
        <w:t>.1.1</w:t>
      </w:r>
      <w:r>
        <w:rPr>
          <w:rFonts w:hint="eastAsia" w:ascii="仿宋" w:hAnsi="仿宋" w:eastAsia="仿宋" w:cs="仿宋"/>
          <w:b w:val="0"/>
          <w:color w:val="auto"/>
          <w:kern w:val="2"/>
          <w:sz w:val="21"/>
          <w:szCs w:val="21"/>
          <w:highlight w:val="none"/>
          <w:lang w:val="en-US" w:eastAsia="zh-CN"/>
        </w:rPr>
        <w:t>3</w:t>
      </w:r>
      <w:r>
        <w:rPr>
          <w:rFonts w:hint="eastAsia" w:ascii="仿宋" w:hAnsi="仿宋" w:eastAsia="仿宋" w:cs="仿宋"/>
          <w:b w:val="0"/>
          <w:color w:val="auto"/>
          <w:kern w:val="2"/>
          <w:sz w:val="21"/>
          <w:szCs w:val="21"/>
          <w:highlight w:val="none"/>
          <w:lang w:val="zh-CN"/>
        </w:rPr>
        <w:t>、提供货物（产品）不符合强制执行的国家标准；</w:t>
      </w:r>
    </w:p>
    <w:p w14:paraId="117807B2">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auto"/>
          <w:kern w:val="2"/>
          <w:sz w:val="21"/>
          <w:szCs w:val="21"/>
          <w:highlight w:val="none"/>
          <w:lang w:val="zh-CN"/>
        </w:rPr>
      </w:pPr>
      <w:r>
        <w:rPr>
          <w:rFonts w:hint="eastAsia" w:ascii="仿宋" w:hAnsi="仿宋" w:eastAsia="仿宋" w:cs="仿宋"/>
          <w:b w:val="0"/>
          <w:color w:val="auto"/>
          <w:kern w:val="1"/>
          <w:sz w:val="21"/>
          <w:szCs w:val="21"/>
          <w:highlight w:val="none"/>
        </w:rPr>
        <w:t>3.</w:t>
      </w:r>
      <w:r>
        <w:rPr>
          <w:rFonts w:hint="eastAsia" w:ascii="仿宋" w:hAnsi="仿宋" w:eastAsia="仿宋" w:cs="仿宋"/>
          <w:b w:val="0"/>
          <w:color w:val="auto"/>
          <w:kern w:val="2"/>
          <w:sz w:val="21"/>
          <w:szCs w:val="21"/>
          <w:highlight w:val="none"/>
        </w:rPr>
        <w:t>3</w:t>
      </w:r>
      <w:r>
        <w:rPr>
          <w:rFonts w:hint="eastAsia" w:ascii="仿宋" w:hAnsi="仿宋" w:eastAsia="仿宋" w:cs="仿宋"/>
          <w:b w:val="0"/>
          <w:color w:val="auto"/>
          <w:kern w:val="2"/>
          <w:sz w:val="21"/>
          <w:szCs w:val="21"/>
          <w:highlight w:val="none"/>
          <w:lang w:val="zh-CN"/>
        </w:rPr>
        <w:t>.1.1</w:t>
      </w:r>
      <w:r>
        <w:rPr>
          <w:rFonts w:hint="eastAsia" w:ascii="仿宋" w:hAnsi="仿宋" w:eastAsia="仿宋" w:cs="仿宋"/>
          <w:b w:val="0"/>
          <w:color w:val="auto"/>
          <w:kern w:val="2"/>
          <w:sz w:val="21"/>
          <w:szCs w:val="21"/>
          <w:highlight w:val="none"/>
          <w:lang w:val="en-US" w:eastAsia="zh-CN"/>
        </w:rPr>
        <w:t>4</w:t>
      </w:r>
      <w:r>
        <w:rPr>
          <w:rFonts w:hint="eastAsia" w:ascii="仿宋" w:hAnsi="仿宋" w:eastAsia="仿宋" w:cs="仿宋"/>
          <w:b w:val="0"/>
          <w:color w:val="auto"/>
          <w:kern w:val="2"/>
          <w:sz w:val="21"/>
          <w:szCs w:val="21"/>
          <w:highlight w:val="none"/>
          <w:lang w:val="zh-CN"/>
        </w:rPr>
        <w:t>、投标文件的关键内容字迹模糊和无法辨认的；</w:t>
      </w:r>
    </w:p>
    <w:p w14:paraId="5E9CCA95">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auto"/>
          <w:kern w:val="2"/>
          <w:sz w:val="21"/>
          <w:szCs w:val="21"/>
          <w:highlight w:val="none"/>
          <w:lang w:val="zh-CN"/>
        </w:rPr>
      </w:pPr>
      <w:r>
        <w:rPr>
          <w:rFonts w:hint="eastAsia" w:ascii="仿宋" w:hAnsi="仿宋" w:eastAsia="仿宋" w:cs="仿宋"/>
          <w:b w:val="0"/>
          <w:color w:val="auto"/>
          <w:kern w:val="1"/>
          <w:sz w:val="21"/>
          <w:szCs w:val="21"/>
          <w:highlight w:val="none"/>
        </w:rPr>
        <w:t>3.</w:t>
      </w:r>
      <w:r>
        <w:rPr>
          <w:rFonts w:hint="eastAsia" w:ascii="仿宋" w:hAnsi="仿宋" w:eastAsia="仿宋" w:cs="仿宋"/>
          <w:b w:val="0"/>
          <w:color w:val="auto"/>
          <w:kern w:val="2"/>
          <w:sz w:val="21"/>
          <w:szCs w:val="21"/>
          <w:highlight w:val="none"/>
        </w:rPr>
        <w:t>3</w:t>
      </w:r>
      <w:r>
        <w:rPr>
          <w:rFonts w:hint="eastAsia" w:ascii="仿宋" w:hAnsi="仿宋" w:eastAsia="仿宋" w:cs="仿宋"/>
          <w:b w:val="0"/>
          <w:color w:val="auto"/>
          <w:kern w:val="2"/>
          <w:sz w:val="21"/>
          <w:szCs w:val="21"/>
          <w:highlight w:val="none"/>
          <w:lang w:val="zh-CN"/>
        </w:rPr>
        <w:t>.1.1</w:t>
      </w:r>
      <w:r>
        <w:rPr>
          <w:rFonts w:hint="eastAsia" w:ascii="仿宋" w:hAnsi="仿宋" w:eastAsia="仿宋" w:cs="仿宋"/>
          <w:b w:val="0"/>
          <w:color w:val="auto"/>
          <w:kern w:val="2"/>
          <w:sz w:val="21"/>
          <w:szCs w:val="21"/>
          <w:highlight w:val="none"/>
          <w:lang w:val="en-US" w:eastAsia="zh-CN"/>
        </w:rPr>
        <w:t>5</w:t>
      </w:r>
      <w:r>
        <w:rPr>
          <w:rFonts w:hint="eastAsia" w:ascii="仿宋" w:hAnsi="仿宋" w:eastAsia="仿宋" w:cs="仿宋"/>
          <w:b w:val="0"/>
          <w:color w:val="auto"/>
          <w:kern w:val="2"/>
          <w:sz w:val="21"/>
          <w:szCs w:val="21"/>
          <w:highlight w:val="none"/>
          <w:lang w:val="zh-CN"/>
        </w:rPr>
        <w:t>、投标文件不符合招标文件规定的其他情形的；</w:t>
      </w:r>
    </w:p>
    <w:p w14:paraId="65DFC00B">
      <w:pPr>
        <w:pStyle w:val="15"/>
        <w:keepNext w:val="0"/>
        <w:keepLines w:val="0"/>
        <w:pageBreakBefore w:val="0"/>
        <w:widowControl w:val="0"/>
        <w:shd w:val="clear"/>
        <w:tabs>
          <w:tab w:val="left" w:pos="600"/>
        </w:tabs>
        <w:kinsoku/>
        <w:wordWrap/>
        <w:overflowPunct/>
        <w:topLinePunct w:val="0"/>
        <w:autoSpaceDE/>
        <w:autoSpaceDN/>
        <w:bidi w:val="0"/>
        <w:adjustRightInd/>
        <w:snapToGrid w:val="0"/>
        <w:spacing w:after="0" w:line="360" w:lineRule="auto"/>
        <w:ind w:left="0" w:leftChars="0" w:firstLine="420" w:firstLineChars="200"/>
        <w:textAlignment w:val="auto"/>
        <w:rPr>
          <w:rFonts w:hint="eastAsia" w:ascii="仿宋" w:hAnsi="仿宋" w:eastAsia="仿宋" w:cs="仿宋"/>
          <w:b w:val="0"/>
          <w:color w:val="auto"/>
          <w:kern w:val="2"/>
          <w:sz w:val="21"/>
          <w:szCs w:val="21"/>
          <w:highlight w:val="none"/>
          <w:lang w:val="zh-CN"/>
        </w:rPr>
      </w:pPr>
      <w:r>
        <w:rPr>
          <w:rFonts w:hint="eastAsia" w:ascii="仿宋" w:hAnsi="仿宋" w:eastAsia="仿宋" w:cs="仿宋"/>
          <w:b w:val="0"/>
          <w:color w:val="auto"/>
          <w:kern w:val="1"/>
          <w:sz w:val="21"/>
          <w:szCs w:val="21"/>
          <w:highlight w:val="none"/>
        </w:rPr>
        <w:t>3.</w:t>
      </w:r>
      <w:r>
        <w:rPr>
          <w:rFonts w:hint="eastAsia" w:ascii="仿宋" w:hAnsi="仿宋" w:eastAsia="仿宋" w:cs="仿宋"/>
          <w:b w:val="0"/>
          <w:color w:val="auto"/>
          <w:kern w:val="2"/>
          <w:sz w:val="21"/>
          <w:szCs w:val="21"/>
          <w:highlight w:val="none"/>
        </w:rPr>
        <w:t>3</w:t>
      </w:r>
      <w:r>
        <w:rPr>
          <w:rFonts w:hint="eastAsia" w:ascii="仿宋" w:hAnsi="仿宋" w:eastAsia="仿宋" w:cs="仿宋"/>
          <w:b w:val="0"/>
          <w:color w:val="auto"/>
          <w:kern w:val="2"/>
          <w:sz w:val="21"/>
          <w:szCs w:val="21"/>
          <w:highlight w:val="none"/>
          <w:lang w:val="zh-CN"/>
        </w:rPr>
        <w:t>.1.1</w:t>
      </w:r>
      <w:r>
        <w:rPr>
          <w:rFonts w:hint="eastAsia" w:ascii="仿宋" w:hAnsi="仿宋" w:eastAsia="仿宋" w:cs="仿宋"/>
          <w:b w:val="0"/>
          <w:color w:val="auto"/>
          <w:kern w:val="2"/>
          <w:sz w:val="21"/>
          <w:szCs w:val="21"/>
          <w:highlight w:val="none"/>
          <w:lang w:val="en-US" w:eastAsia="zh-CN"/>
        </w:rPr>
        <w:t>6</w:t>
      </w:r>
      <w:r>
        <w:rPr>
          <w:rFonts w:hint="eastAsia" w:ascii="仿宋" w:hAnsi="仿宋" w:eastAsia="仿宋" w:cs="仿宋"/>
          <w:b w:val="0"/>
          <w:color w:val="auto"/>
          <w:kern w:val="2"/>
          <w:sz w:val="21"/>
          <w:szCs w:val="21"/>
          <w:highlight w:val="none"/>
          <w:lang w:val="zh-CN"/>
        </w:rPr>
        <w:t>、投标文件不符合法律法规要求的。</w:t>
      </w:r>
    </w:p>
    <w:p w14:paraId="5753FAA2">
      <w:pPr>
        <w:keepNext w:val="0"/>
        <w:keepLines w:val="0"/>
        <w:pageBreakBefore w:val="0"/>
        <w:widowControl/>
        <w:shd w:val="clear"/>
        <w:kinsoku/>
        <w:wordWrap/>
        <w:overflowPunct/>
        <w:topLinePunct w:val="0"/>
        <w:autoSpaceDE w:val="0"/>
        <w:autoSpaceDN w:val="0"/>
        <w:bidi w:val="0"/>
        <w:adjustRightInd/>
        <w:snapToGrid w:val="0"/>
        <w:spacing w:line="360" w:lineRule="auto"/>
        <w:ind w:right="0"/>
        <w:textAlignment w:val="bottom"/>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3.4、特殊情况的处理</w:t>
      </w:r>
    </w:p>
    <w:p w14:paraId="3B5020E4">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.1、投标文件中如果出现前后不一致的，按照下列规定修正：</w:t>
      </w:r>
    </w:p>
    <w:p w14:paraId="37CA38ED">
      <w:pPr>
        <w:shd w:val="clear"/>
        <w:snapToGrid w:val="0"/>
        <w:spacing w:line="360" w:lineRule="auto"/>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.1.1、投标文件中的大写金额与小写金额不一致的，以大写金额为准；</w:t>
      </w:r>
    </w:p>
    <w:p w14:paraId="20FEA802">
      <w:pPr>
        <w:shd w:val="clear"/>
        <w:snapToGrid w:val="0"/>
        <w:spacing w:line="360" w:lineRule="auto"/>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.1.2、投标文件中的总报价与按单价计算的汇总报价不一致的，以单价计算的汇总报价为准；</w:t>
      </w:r>
    </w:p>
    <w:p w14:paraId="64CA7A79">
      <w:pPr>
        <w:shd w:val="clear"/>
        <w:snapToGrid w:val="0"/>
        <w:spacing w:line="360" w:lineRule="auto"/>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.1.3、投标文件中的报价有明显小数点错误的，以总报价为准，并修改报价；</w:t>
      </w:r>
    </w:p>
    <w:p w14:paraId="26521E26">
      <w:pPr>
        <w:shd w:val="clear"/>
        <w:snapToGrid w:val="0"/>
        <w:spacing w:line="360" w:lineRule="auto"/>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.1.4、投标文件中图表与文字表述不一致的，以文字表述为准；</w:t>
      </w:r>
    </w:p>
    <w:p w14:paraId="1E1C2F66">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.1.5、投标文件正本与副本不一致的，以正本为准；</w:t>
      </w:r>
    </w:p>
    <w:p w14:paraId="19C3A638">
      <w:pPr>
        <w:pStyle w:val="13"/>
        <w:shd w:val="clear"/>
        <w:snapToGrid w:val="0"/>
        <w:spacing w:line="360" w:lineRule="auto"/>
        <w:ind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.1.6、对不同文字文本投标文件的解释发生异议的，以中文文本为准。</w:t>
      </w:r>
    </w:p>
    <w:p w14:paraId="6BD69D8F">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.1.7、按上述修正错误的方法调整的报价应对投标人具有约束力。如果投标人不接受修正后的价格，投标文件按无效</w:t>
      </w:r>
      <w:r>
        <w:rPr>
          <w:rFonts w:hint="eastAsia" w:ascii="仿宋" w:hAnsi="仿宋" w:eastAsia="仿宋" w:cs="仿宋"/>
          <w:color w:val="auto"/>
          <w:szCs w:val="21"/>
          <w:highlight w:val="none"/>
          <w:lang w:val="en-US" w:eastAsia="zh-CN"/>
        </w:rPr>
        <w:t>文件</w:t>
      </w:r>
      <w:r>
        <w:rPr>
          <w:rFonts w:hint="eastAsia" w:ascii="仿宋" w:hAnsi="仿宋" w:eastAsia="仿宋" w:cs="仿宋"/>
          <w:color w:val="auto"/>
          <w:szCs w:val="21"/>
          <w:highlight w:val="none"/>
          <w:lang w:val="zh-CN"/>
        </w:rPr>
        <w:t>处理。</w:t>
      </w:r>
    </w:p>
    <w:p w14:paraId="4220E14D">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.2、 投标文件中，若某项内容为零报价、无报价，经评标委员会评审后，报价得分为零，不参与投标报价分值的计算。</w:t>
      </w:r>
    </w:p>
    <w:p w14:paraId="0E93D4FC">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.3、评标过程中，若出现本评审办法以外的特殊情况时，将暂停评标，待评标委员会商榷后，再进行评定。</w:t>
      </w:r>
    </w:p>
    <w:p w14:paraId="581DC73B">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.4、评标结果汇总完成后，除下列情形外，任何人不得修改评标结果：</w:t>
      </w:r>
    </w:p>
    <w:p w14:paraId="0E283D3F">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.4.1、分值汇总计算错误的；</w:t>
      </w:r>
    </w:p>
    <w:p w14:paraId="0D35D255">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.4.2、分项评分超出评分标准范围的；</w:t>
      </w:r>
    </w:p>
    <w:p w14:paraId="391B8C35">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.4.3、评标委员会对客观评标因素评分不一致的；</w:t>
      </w:r>
    </w:p>
    <w:p w14:paraId="59BA94B6">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.4.4、经评标委员会认定评分畸高、畸低的。</w:t>
      </w:r>
    </w:p>
    <w:p w14:paraId="4E85DB24">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5、评标报告签署前，经复核发现存在以上情形之一的，评标委员会应当当场修改评标结果，并在评标报告中记载；评标报告签署后，采购人或者采购代理机构发现存在以上情形之一的，应当组织原评标委员会进行重新评标，重新评标改变中标结果的，书面报采购人</w:t>
      </w:r>
      <w:r>
        <w:rPr>
          <w:rFonts w:hint="eastAsia" w:ascii="仿宋" w:hAnsi="仿宋" w:eastAsia="仿宋" w:cs="仿宋"/>
          <w:color w:val="auto"/>
          <w:szCs w:val="21"/>
          <w:highlight w:val="none"/>
          <w:lang w:val="en-US" w:eastAsia="zh-CN"/>
        </w:rPr>
        <w:t>同</w:t>
      </w:r>
      <w:r>
        <w:rPr>
          <w:rFonts w:hint="eastAsia" w:ascii="仿宋" w:hAnsi="仿宋" w:eastAsia="仿宋" w:cs="仿宋"/>
          <w:color w:val="auto"/>
          <w:szCs w:val="21"/>
          <w:highlight w:val="none"/>
          <w:lang w:val="zh-CN"/>
        </w:rPr>
        <w:t>级财政部门认定。</w:t>
      </w:r>
    </w:p>
    <w:p w14:paraId="7FE9E6A0">
      <w:pPr>
        <w:widowControl/>
        <w:shd w:val="clear"/>
        <w:autoSpaceDE w:val="0"/>
        <w:autoSpaceDN w:val="0"/>
        <w:snapToGrid w:val="0"/>
        <w:spacing w:line="360" w:lineRule="auto"/>
        <w:ind w:right="53" w:firstLine="420" w:firstLineChars="20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3.4</w:t>
      </w:r>
      <w:r>
        <w:rPr>
          <w:rFonts w:hint="eastAsia" w:ascii="仿宋" w:hAnsi="仿宋" w:eastAsia="仿宋" w:cs="仿宋"/>
          <w:color w:val="auto"/>
          <w:szCs w:val="21"/>
          <w:highlight w:val="none"/>
          <w:lang w:val="zh-CN"/>
        </w:rPr>
        <w:t>.6、排名第一的中标候选人，主动放弃中标或因不可抗力不能履行合同、或被查实存在影响中标结果的违法行为等情形，已不再符合中标条件的，采购人可以按照评标委员会提出的中标候选人名单排序依次确定第二中标候选人为中标人 ，也可以根据实际情况需要，依法重新组织采购活动。</w:t>
      </w:r>
    </w:p>
    <w:p w14:paraId="120A5F34">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61" w:firstLineChars="150"/>
        <w:textAlignment w:val="bottom"/>
        <w:outlineLvl w:val="1"/>
        <w:rPr>
          <w:rFonts w:hint="eastAsia" w:ascii="仿宋" w:hAnsi="仿宋" w:eastAsia="仿宋" w:cs="仿宋"/>
          <w:b/>
          <w:color w:val="auto"/>
          <w:sz w:val="24"/>
          <w:szCs w:val="24"/>
          <w:highlight w:val="none"/>
        </w:rPr>
      </w:pPr>
      <w:bookmarkStart w:id="353" w:name="_Toc14680"/>
      <w:bookmarkStart w:id="354" w:name="_Toc26763"/>
      <w:r>
        <w:rPr>
          <w:rFonts w:hint="eastAsia" w:ascii="仿宋" w:hAnsi="仿宋" w:eastAsia="仿宋" w:cs="仿宋"/>
          <w:b/>
          <w:color w:val="auto"/>
          <w:sz w:val="24"/>
          <w:szCs w:val="24"/>
          <w:highlight w:val="none"/>
        </w:rPr>
        <w:t>四、中标结果</w:t>
      </w:r>
      <w:bookmarkEnd w:id="352"/>
      <w:bookmarkEnd w:id="353"/>
      <w:bookmarkEnd w:id="354"/>
    </w:p>
    <w:p w14:paraId="7F5B86B4">
      <w:pPr>
        <w:keepNext w:val="0"/>
        <w:keepLines w:val="0"/>
        <w:pageBreakBefore w:val="0"/>
        <w:widowControl/>
        <w:shd w:val="clear" w:color="auto"/>
        <w:kinsoku/>
        <w:wordWrap/>
        <w:overflowPunct/>
        <w:topLinePunct w:val="0"/>
        <w:bidi w:val="0"/>
        <w:adjustRightInd/>
        <w:snapToGrid w:val="0"/>
        <w:spacing w:line="360" w:lineRule="auto"/>
        <w:ind w:right="0" w:firstLine="316" w:firstLineChars="150"/>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4.1、中标原则</w:t>
      </w:r>
    </w:p>
    <w:p w14:paraId="768B2973">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采购人从</w:t>
      </w:r>
      <w:r>
        <w:rPr>
          <w:rFonts w:hint="eastAsia" w:ascii="仿宋" w:hAnsi="仿宋" w:eastAsia="仿宋" w:cs="仿宋"/>
          <w:color w:val="auto"/>
          <w:szCs w:val="21"/>
          <w:highlight w:val="none"/>
          <w:lang w:val="en-US" w:eastAsia="zh-CN"/>
        </w:rPr>
        <w:t>评标</w:t>
      </w:r>
      <w:r>
        <w:rPr>
          <w:rFonts w:hint="eastAsia" w:ascii="仿宋" w:hAnsi="仿宋" w:eastAsia="仿宋" w:cs="仿宋"/>
          <w:color w:val="auto"/>
          <w:szCs w:val="21"/>
          <w:highlight w:val="none"/>
          <w:lang w:val="zh-CN"/>
        </w:rPr>
        <w:t>报告中推荐的中标候选人中，按照排序由高到低的原则确定中标人。</w:t>
      </w:r>
    </w:p>
    <w:p w14:paraId="4C19FEEB">
      <w:pPr>
        <w:keepNext w:val="0"/>
        <w:keepLines w:val="0"/>
        <w:pageBreakBefore w:val="0"/>
        <w:widowControl/>
        <w:shd w:val="clear" w:color="auto"/>
        <w:kinsoku/>
        <w:wordWrap/>
        <w:overflowPunct/>
        <w:topLinePunct w:val="0"/>
        <w:bidi w:val="0"/>
        <w:adjustRightInd/>
        <w:snapToGrid w:val="0"/>
        <w:spacing w:line="360" w:lineRule="auto"/>
        <w:ind w:right="0" w:firstLine="316" w:firstLineChars="150"/>
        <w:jc w:val="left"/>
        <w:rPr>
          <w:rFonts w:hint="eastAsia" w:ascii="仿宋" w:hAnsi="仿宋" w:eastAsia="仿宋" w:cs="仿宋"/>
          <w:b/>
          <w:color w:val="auto"/>
          <w:szCs w:val="21"/>
          <w:highlight w:val="none"/>
        </w:rPr>
      </w:pPr>
      <w:bookmarkStart w:id="355" w:name="_Toc217446063"/>
      <w:bookmarkStart w:id="356" w:name="_Toc183582238"/>
      <w:bookmarkStart w:id="357" w:name="_Toc183682375"/>
      <w:r>
        <w:rPr>
          <w:rFonts w:hint="eastAsia" w:ascii="仿宋" w:hAnsi="仿宋" w:eastAsia="仿宋" w:cs="仿宋"/>
          <w:b/>
          <w:color w:val="auto"/>
          <w:szCs w:val="21"/>
          <w:highlight w:val="none"/>
        </w:rPr>
        <w:t>4.2、确定中标候选人</w:t>
      </w:r>
    </w:p>
    <w:p w14:paraId="32D42624">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4.2</w:t>
      </w:r>
      <w:r>
        <w:rPr>
          <w:rFonts w:hint="eastAsia" w:ascii="仿宋" w:hAnsi="仿宋" w:eastAsia="仿宋" w:cs="仿宋"/>
          <w:color w:val="auto"/>
          <w:szCs w:val="21"/>
          <w:highlight w:val="none"/>
          <w:lang w:val="zh-CN"/>
        </w:rPr>
        <w:t>.1、评标委员会将</w:t>
      </w:r>
      <w:r>
        <w:rPr>
          <w:rFonts w:hint="eastAsia" w:ascii="仿宋" w:hAnsi="仿宋" w:eastAsia="仿宋" w:cs="仿宋"/>
          <w:color w:val="auto"/>
          <w:szCs w:val="21"/>
          <w:highlight w:val="none"/>
          <w:lang w:val="en-US" w:eastAsia="zh-CN"/>
        </w:rPr>
        <w:t>评标</w:t>
      </w:r>
      <w:r>
        <w:rPr>
          <w:rFonts w:hint="eastAsia" w:ascii="仿宋" w:hAnsi="仿宋" w:eastAsia="仿宋" w:cs="仿宋"/>
          <w:color w:val="auto"/>
          <w:szCs w:val="21"/>
          <w:highlight w:val="none"/>
          <w:lang w:val="zh-CN"/>
        </w:rPr>
        <w:t>情况写出书面报告，至少推荐3名以上中标候选人，并按照综合得分高低标明排列顺序，综合得分相同的，按投标报价由低到高顺序排列；得分且投标报价相同的，按技术指标优劣顺序排列，以上全部相同的，由评标委员会投票决定。</w:t>
      </w:r>
    </w:p>
    <w:p w14:paraId="505A5C3D">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4.2</w:t>
      </w:r>
      <w:r>
        <w:rPr>
          <w:rFonts w:hint="eastAsia" w:ascii="仿宋" w:hAnsi="仿宋" w:eastAsia="仿宋" w:cs="仿宋"/>
          <w:color w:val="auto"/>
          <w:szCs w:val="21"/>
          <w:highlight w:val="none"/>
          <w:lang w:val="zh-CN"/>
        </w:rPr>
        <w:t>.2、采购代理机构应当在</w:t>
      </w:r>
      <w:r>
        <w:rPr>
          <w:rFonts w:hint="eastAsia" w:ascii="仿宋" w:hAnsi="仿宋" w:eastAsia="仿宋" w:cs="仿宋"/>
          <w:color w:val="auto"/>
          <w:szCs w:val="21"/>
          <w:highlight w:val="none"/>
          <w:lang w:val="en-US" w:eastAsia="zh-CN"/>
        </w:rPr>
        <w:t>评标</w:t>
      </w:r>
      <w:r>
        <w:rPr>
          <w:rFonts w:hint="eastAsia" w:ascii="仿宋" w:hAnsi="仿宋" w:eastAsia="仿宋" w:cs="仿宋"/>
          <w:color w:val="auto"/>
          <w:szCs w:val="21"/>
          <w:highlight w:val="none"/>
          <w:lang w:val="zh-CN"/>
        </w:rPr>
        <w:t>结束后2个工作日内将</w:t>
      </w:r>
      <w:r>
        <w:rPr>
          <w:rFonts w:hint="eastAsia" w:ascii="仿宋" w:hAnsi="仿宋" w:eastAsia="仿宋" w:cs="仿宋"/>
          <w:color w:val="auto"/>
          <w:szCs w:val="21"/>
          <w:highlight w:val="none"/>
          <w:lang w:val="en-US" w:eastAsia="zh-CN"/>
        </w:rPr>
        <w:t>评标</w:t>
      </w:r>
      <w:r>
        <w:rPr>
          <w:rFonts w:hint="eastAsia" w:ascii="仿宋" w:hAnsi="仿宋" w:eastAsia="仿宋" w:cs="仿宋"/>
          <w:color w:val="auto"/>
          <w:szCs w:val="21"/>
          <w:highlight w:val="none"/>
          <w:lang w:val="zh-CN"/>
        </w:rPr>
        <w:t>报告送采购人确认。</w:t>
      </w:r>
    </w:p>
    <w:p w14:paraId="0337894A">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4.2</w:t>
      </w:r>
      <w:r>
        <w:rPr>
          <w:rFonts w:hint="eastAsia" w:ascii="仿宋" w:hAnsi="仿宋" w:eastAsia="仿宋" w:cs="仿宋"/>
          <w:color w:val="auto"/>
          <w:szCs w:val="21"/>
          <w:highlight w:val="none"/>
          <w:lang w:val="zh-CN"/>
        </w:rPr>
        <w:t>.3、采购人在收到</w:t>
      </w:r>
      <w:r>
        <w:rPr>
          <w:rFonts w:hint="eastAsia" w:ascii="仿宋" w:hAnsi="仿宋" w:eastAsia="仿宋" w:cs="仿宋"/>
          <w:color w:val="auto"/>
          <w:szCs w:val="21"/>
          <w:highlight w:val="none"/>
          <w:lang w:val="en-US" w:eastAsia="zh-CN"/>
        </w:rPr>
        <w:t>评标</w:t>
      </w:r>
      <w:r>
        <w:rPr>
          <w:rFonts w:hint="eastAsia" w:ascii="仿宋" w:hAnsi="仿宋" w:eastAsia="仿宋" w:cs="仿宋"/>
          <w:color w:val="auto"/>
          <w:szCs w:val="21"/>
          <w:highlight w:val="none"/>
          <w:lang w:val="zh-CN"/>
        </w:rPr>
        <w:t>报告后5个工作日内，按照</w:t>
      </w:r>
      <w:r>
        <w:rPr>
          <w:rFonts w:hint="eastAsia" w:ascii="仿宋" w:hAnsi="仿宋" w:eastAsia="仿宋" w:cs="仿宋"/>
          <w:color w:val="auto"/>
          <w:szCs w:val="21"/>
          <w:highlight w:val="none"/>
          <w:lang w:val="en-US" w:eastAsia="zh-CN"/>
        </w:rPr>
        <w:t>评标</w:t>
      </w:r>
      <w:r>
        <w:rPr>
          <w:rFonts w:hint="eastAsia" w:ascii="仿宋" w:hAnsi="仿宋" w:eastAsia="仿宋" w:cs="仿宋"/>
          <w:color w:val="auto"/>
          <w:szCs w:val="21"/>
          <w:highlight w:val="none"/>
          <w:lang w:val="zh-CN"/>
        </w:rPr>
        <w:t>报告推荐的中标候选人顺序和有关规定确定中标人。</w:t>
      </w:r>
    </w:p>
    <w:p w14:paraId="78B11B43">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4.2</w:t>
      </w:r>
      <w:r>
        <w:rPr>
          <w:rFonts w:hint="eastAsia" w:ascii="仿宋" w:hAnsi="仿宋" w:eastAsia="仿宋" w:cs="仿宋"/>
          <w:color w:val="auto"/>
          <w:szCs w:val="21"/>
          <w:highlight w:val="none"/>
          <w:lang w:val="zh-CN"/>
        </w:rPr>
        <w:t>.4、</w:t>
      </w:r>
      <w:r>
        <w:rPr>
          <w:rFonts w:hint="eastAsia" w:ascii="仿宋" w:hAnsi="仿宋" w:eastAsia="仿宋" w:cs="仿宋"/>
          <w:color w:val="auto"/>
          <w:szCs w:val="21"/>
          <w:highlight w:val="none"/>
          <w:lang w:val="en-US" w:eastAsia="zh-CN"/>
        </w:rPr>
        <w:t>采购人或者</w:t>
      </w:r>
      <w:r>
        <w:rPr>
          <w:rFonts w:hint="eastAsia" w:ascii="仿宋" w:hAnsi="仿宋" w:eastAsia="仿宋" w:cs="仿宋"/>
          <w:color w:val="auto"/>
          <w:szCs w:val="21"/>
          <w:highlight w:val="none"/>
          <w:lang w:val="zh-CN"/>
        </w:rPr>
        <w:t>采购代理机构</w:t>
      </w:r>
      <w:r>
        <w:rPr>
          <w:rFonts w:hint="eastAsia" w:ascii="仿宋" w:hAnsi="仿宋" w:eastAsia="仿宋" w:cs="仿宋"/>
          <w:color w:val="auto"/>
          <w:szCs w:val="21"/>
          <w:highlight w:val="none"/>
          <w:lang w:val="en-US" w:eastAsia="zh-CN"/>
        </w:rPr>
        <w:t>应当自</w:t>
      </w:r>
      <w:r>
        <w:rPr>
          <w:rFonts w:hint="eastAsia" w:ascii="仿宋" w:hAnsi="仿宋" w:eastAsia="仿宋" w:cs="仿宋"/>
          <w:color w:val="auto"/>
          <w:szCs w:val="21"/>
          <w:highlight w:val="none"/>
          <w:lang w:val="zh-CN"/>
        </w:rPr>
        <w:t>中标人</w:t>
      </w:r>
      <w:r>
        <w:rPr>
          <w:rFonts w:hint="eastAsia" w:ascii="仿宋" w:hAnsi="仿宋" w:eastAsia="仿宋" w:cs="仿宋"/>
          <w:color w:val="auto"/>
          <w:szCs w:val="21"/>
          <w:highlight w:val="none"/>
          <w:lang w:val="en-US" w:eastAsia="zh-CN"/>
        </w:rPr>
        <w:t>确定</w:t>
      </w:r>
      <w:r>
        <w:rPr>
          <w:rFonts w:hint="eastAsia" w:ascii="仿宋" w:hAnsi="仿宋" w:eastAsia="仿宋" w:cs="仿宋"/>
          <w:color w:val="auto"/>
          <w:szCs w:val="21"/>
          <w:highlight w:val="none"/>
          <w:lang w:val="zh-CN"/>
        </w:rPr>
        <w:t>之日起2个工作日内，在财政部门指定的媒体《陕西省政府采购网》发布采购结果公告，同时向中标人发出《中标通知书》。</w:t>
      </w:r>
    </w:p>
    <w:p w14:paraId="3003F09C">
      <w:pPr>
        <w:keepNext w:val="0"/>
        <w:keepLines w:val="0"/>
        <w:pageBreakBefore w:val="0"/>
        <w:shd w:val="clear"/>
        <w:kinsoku/>
        <w:wordWrap/>
        <w:overflowPunct/>
        <w:topLinePunct w:val="0"/>
        <w:bidi w:val="0"/>
        <w:adjustRightInd/>
        <w:snapToGrid w:val="0"/>
        <w:spacing w:line="360" w:lineRule="auto"/>
        <w:ind w:right="0"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w:t>
      </w:r>
      <w:r>
        <w:rPr>
          <w:rFonts w:hint="eastAsia" w:ascii="仿宋" w:hAnsi="仿宋" w:eastAsia="仿宋" w:cs="仿宋"/>
          <w:color w:val="auto"/>
          <w:szCs w:val="21"/>
          <w:highlight w:val="none"/>
          <w:lang w:val="zh-CN"/>
        </w:rPr>
        <w:t>.5、采购代理机构将</w:t>
      </w:r>
      <w:r>
        <w:rPr>
          <w:rFonts w:hint="eastAsia" w:ascii="仿宋" w:hAnsi="仿宋" w:eastAsia="仿宋" w:cs="仿宋"/>
          <w:color w:val="auto"/>
          <w:szCs w:val="21"/>
          <w:highlight w:val="none"/>
          <w:lang w:val="en-US" w:eastAsia="zh-CN"/>
        </w:rPr>
        <w:t>评标</w:t>
      </w:r>
      <w:r>
        <w:rPr>
          <w:rFonts w:hint="eastAsia" w:ascii="仿宋" w:hAnsi="仿宋" w:eastAsia="仿宋" w:cs="仿宋"/>
          <w:color w:val="auto"/>
          <w:szCs w:val="21"/>
          <w:highlight w:val="none"/>
          <w:lang w:val="zh-CN"/>
        </w:rPr>
        <w:t>过程与采购人情况书面报送有关监督机构备案</w:t>
      </w:r>
      <w:r>
        <w:rPr>
          <w:rFonts w:hint="eastAsia" w:ascii="仿宋" w:hAnsi="仿宋" w:eastAsia="仿宋" w:cs="仿宋"/>
          <w:color w:val="auto"/>
          <w:szCs w:val="21"/>
          <w:highlight w:val="none"/>
        </w:rPr>
        <w:t>。</w:t>
      </w:r>
    </w:p>
    <w:bookmarkEnd w:id="355"/>
    <w:bookmarkEnd w:id="356"/>
    <w:bookmarkEnd w:id="357"/>
    <w:p w14:paraId="0FD278EB">
      <w:pPr>
        <w:keepNext w:val="0"/>
        <w:keepLines w:val="0"/>
        <w:pageBreakBefore w:val="0"/>
        <w:widowControl/>
        <w:shd w:val="clear" w:color="auto"/>
        <w:kinsoku/>
        <w:wordWrap/>
        <w:overflowPunct/>
        <w:topLinePunct w:val="0"/>
        <w:autoSpaceDE/>
        <w:autoSpaceDN/>
        <w:bidi w:val="0"/>
        <w:adjustRightInd/>
        <w:snapToGrid w:val="0"/>
        <w:spacing w:line="360" w:lineRule="auto"/>
        <w:ind w:right="0" w:firstLine="316" w:firstLineChars="150"/>
        <w:jc w:val="left"/>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4.3、中标通知书</w:t>
      </w:r>
    </w:p>
    <w:p w14:paraId="308C73B3">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4.3</w:t>
      </w:r>
      <w:r>
        <w:rPr>
          <w:rFonts w:hint="eastAsia" w:ascii="仿宋" w:hAnsi="仿宋" w:eastAsia="仿宋" w:cs="仿宋"/>
          <w:color w:val="auto"/>
          <w:szCs w:val="21"/>
          <w:highlight w:val="none"/>
          <w:lang w:val="zh-CN"/>
        </w:rPr>
        <w:t>.1、中标通知书是合同文件的组成部分，对采购人和中标人具有同等法律效力。中标通知书发出后，采购人改变中标结果或者中标人放弃</w:t>
      </w:r>
      <w:r>
        <w:rPr>
          <w:rFonts w:hint="eastAsia" w:ascii="仿宋" w:hAnsi="仿宋" w:eastAsia="仿宋" w:cs="仿宋"/>
          <w:color w:val="auto"/>
          <w:szCs w:val="21"/>
          <w:highlight w:val="none"/>
          <w:lang w:val="en-US" w:eastAsia="zh-CN"/>
        </w:rPr>
        <w:t>中标</w:t>
      </w:r>
      <w:r>
        <w:rPr>
          <w:rFonts w:hint="eastAsia" w:ascii="仿宋" w:hAnsi="仿宋" w:eastAsia="仿宋" w:cs="仿宋"/>
          <w:color w:val="auto"/>
          <w:szCs w:val="21"/>
          <w:highlight w:val="none"/>
          <w:lang w:val="zh-CN"/>
        </w:rPr>
        <w:t>，应按相关法律、规章、规范性文件的要求承担相应的法律责任。</w:t>
      </w:r>
    </w:p>
    <w:p w14:paraId="0AB928FB">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4.3</w:t>
      </w:r>
      <w:r>
        <w:rPr>
          <w:rFonts w:hint="eastAsia" w:ascii="仿宋" w:hAnsi="仿宋" w:eastAsia="仿宋" w:cs="仿宋"/>
          <w:color w:val="auto"/>
          <w:szCs w:val="21"/>
          <w:highlight w:val="none"/>
          <w:lang w:val="zh-CN"/>
        </w:rPr>
        <w:t>.2、中标人应当在接到采购代理机构通知之日起5个工作日内，领取《中标通知书》。</w:t>
      </w:r>
    </w:p>
    <w:p w14:paraId="64E22380">
      <w:pPr>
        <w:keepNext w:val="0"/>
        <w:keepLines w:val="0"/>
        <w:pageBreakBefore w:val="0"/>
        <w:widowControl/>
        <w:shd w:val="clear"/>
        <w:kinsoku/>
        <w:wordWrap/>
        <w:overflowPunct/>
        <w:topLinePunct w:val="0"/>
        <w:autoSpaceDE w:val="0"/>
        <w:autoSpaceDN w:val="0"/>
        <w:bidi w:val="0"/>
        <w:adjustRightInd/>
        <w:snapToGrid w:val="0"/>
        <w:spacing w:line="360" w:lineRule="auto"/>
        <w:ind w:right="0" w:firstLine="315" w:firstLineChars="150"/>
        <w:textAlignment w:val="bottom"/>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4.3</w:t>
      </w:r>
      <w:r>
        <w:rPr>
          <w:rFonts w:hint="eastAsia" w:ascii="仿宋" w:hAnsi="仿宋" w:eastAsia="仿宋" w:cs="仿宋"/>
          <w:color w:val="auto"/>
          <w:szCs w:val="21"/>
          <w:highlight w:val="none"/>
          <w:lang w:val="zh-CN"/>
        </w:rPr>
        <w:t>.3、在《中标通知书》发出后，发现中标人有政府采购法律法规规章制度规定的中标无效情形的，采购代理机构在取得有权主体认定后，应当宣布发出的中标通知书无效，并收回发出的中标通知书（中标人也应当缴回），依法重新确定中标人或者重新开展采购活动。</w:t>
      </w:r>
    </w:p>
    <w:bookmarkEnd w:id="57"/>
    <w:bookmarkEnd w:id="58"/>
    <w:bookmarkEnd w:id="59"/>
    <w:bookmarkEnd w:id="60"/>
    <w:bookmarkEnd w:id="226"/>
    <w:bookmarkEnd w:id="227"/>
    <w:bookmarkEnd w:id="228"/>
    <w:bookmarkEnd w:id="229"/>
    <w:bookmarkEnd w:id="230"/>
    <w:bookmarkEnd w:id="231"/>
    <w:bookmarkEnd w:id="232"/>
    <w:bookmarkEnd w:id="233"/>
    <w:bookmarkEnd w:id="234"/>
    <w:bookmarkEnd w:id="235"/>
    <w:bookmarkEnd w:id="236"/>
    <w:bookmarkEnd w:id="237"/>
    <w:p w14:paraId="07423618">
      <w:pPr>
        <w:pStyle w:val="3"/>
        <w:shd w:val="clear"/>
        <w:jc w:val="center"/>
        <w:rPr>
          <w:rFonts w:hint="eastAsia" w:ascii="黑体" w:hAnsi="黑体" w:eastAsia="黑体" w:cs="黑体"/>
          <w:color w:val="auto"/>
          <w:highlight w:val="none"/>
        </w:rPr>
      </w:pPr>
      <w:bookmarkStart w:id="358" w:name="_Toc531189845"/>
      <w:bookmarkStart w:id="359" w:name="_Toc24958"/>
      <w:bookmarkStart w:id="360" w:name="_Toc7100_WPSOffice_Level1"/>
      <w:bookmarkStart w:id="361" w:name="_Toc15866"/>
      <w:bookmarkStart w:id="362" w:name="_Toc5237"/>
      <w:bookmarkStart w:id="363" w:name="_Toc12023"/>
      <w:bookmarkStart w:id="364" w:name="_Toc84"/>
      <w:bookmarkStart w:id="365" w:name="_Toc12648"/>
      <w:bookmarkStart w:id="366" w:name="_Toc16970"/>
      <w:bookmarkStart w:id="367" w:name="_Toc8008"/>
      <w:bookmarkStart w:id="368" w:name="_Toc3774"/>
      <w:bookmarkStart w:id="369" w:name="_Toc5366"/>
      <w:bookmarkStart w:id="370" w:name="_Toc12252"/>
      <w:bookmarkStart w:id="371" w:name="_Toc6969"/>
      <w:bookmarkStart w:id="372" w:name="_Toc19784_WPSOffice_Level1"/>
      <w:bookmarkStart w:id="373" w:name="_Toc8771"/>
      <w:bookmarkStart w:id="374" w:name="_Toc10376"/>
      <w:bookmarkStart w:id="375" w:name="_Toc24517_WPSOffice_Level1"/>
      <w:bookmarkStart w:id="376" w:name="_Toc20503"/>
      <w:bookmarkStart w:id="377" w:name="_Toc105649645"/>
      <w:bookmarkStart w:id="378" w:name="_Toc105649520"/>
      <w:bookmarkStart w:id="379" w:name="_Toc175973405"/>
      <w:r>
        <w:rPr>
          <w:rFonts w:hint="eastAsia" w:ascii="黑体" w:hAnsi="黑体" w:eastAsia="黑体" w:cs="黑体"/>
          <w:color w:val="auto"/>
          <w:highlight w:val="none"/>
        </w:rPr>
        <w:t>第</w:t>
      </w:r>
      <w:r>
        <w:rPr>
          <w:rFonts w:hint="eastAsia" w:ascii="黑体" w:hAnsi="黑体" w:eastAsia="黑体" w:cs="黑体"/>
          <w:color w:val="auto"/>
          <w:highlight w:val="none"/>
          <w:lang w:val="en-US" w:eastAsia="zh-CN"/>
        </w:rPr>
        <w:t>五</w:t>
      </w:r>
      <w:r>
        <w:rPr>
          <w:rFonts w:hint="eastAsia" w:ascii="黑体" w:hAnsi="黑体" w:eastAsia="黑体" w:cs="黑体"/>
          <w:color w:val="auto"/>
          <w:highlight w:val="none"/>
        </w:rPr>
        <w:t>章   投标文件格式</w:t>
      </w:r>
      <w:bookmarkEnd w:id="358"/>
      <w:r>
        <w:rPr>
          <w:rFonts w:hint="eastAsia" w:ascii="黑体" w:hAnsi="黑体" w:eastAsia="黑体" w:cs="黑体"/>
          <w:color w:val="auto"/>
          <w:highlight w:val="none"/>
        </w:rPr>
        <w:t>及构成</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7836E3C4">
      <w:pPr>
        <w:shd w:val="clear"/>
        <w:spacing w:line="360" w:lineRule="auto"/>
        <w:ind w:firstLine="3092" w:firstLineChars="1100"/>
        <w:outlineLvl w:val="1"/>
        <w:rPr>
          <w:rFonts w:hint="eastAsia" w:ascii="仿宋" w:hAnsi="仿宋" w:eastAsia="仿宋" w:cs="仿宋"/>
          <w:b/>
          <w:color w:val="auto"/>
          <w:szCs w:val="21"/>
          <w:highlight w:val="none"/>
        </w:rPr>
      </w:pPr>
      <w:bookmarkStart w:id="380" w:name="_Toc6217"/>
      <w:bookmarkStart w:id="381" w:name="_Toc6778"/>
      <w:r>
        <w:rPr>
          <w:rFonts w:hint="eastAsia" w:ascii="仿宋" w:hAnsi="仿宋" w:eastAsia="仿宋" w:cs="仿宋"/>
          <w:b/>
          <w:color w:val="auto"/>
          <w:sz w:val="28"/>
          <w:szCs w:val="28"/>
          <w:highlight w:val="none"/>
        </w:rPr>
        <w:t>投标文件编制说明</w:t>
      </w:r>
      <w:bookmarkEnd w:id="380"/>
      <w:bookmarkEnd w:id="381"/>
    </w:p>
    <w:p w14:paraId="673DB5C5">
      <w:pPr>
        <w:numPr>
          <w:ilvl w:val="0"/>
          <w:numId w:val="3"/>
        </w:numPr>
        <w:shd w:val="clear"/>
        <w:autoSpaceDE w:val="0"/>
        <w:autoSpaceDN w:val="0"/>
        <w:adjustRightInd w:val="0"/>
        <w:spacing w:line="360" w:lineRule="auto"/>
        <w:ind w:firstLine="48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投标文件格式是投标人的部分投标文件格式，投标人应当严格按照这些格式编制投标文件。编制投标文件前，请详细阅读招标文件，理解文件中的每一项要求，做出逐一实质性响应，认为有必要，可做补充说明。</w:t>
      </w:r>
    </w:p>
    <w:p w14:paraId="26F0285D">
      <w:pPr>
        <w:shd w:val="clear"/>
        <w:autoSpaceDE w:val="0"/>
        <w:autoSpaceDN w:val="0"/>
        <w:adjustRightIn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2、纸质投标文件均须A4纸打印（提倡双面打印），分别各自装订成册并编制目录和页码。</w:t>
      </w:r>
    </w:p>
    <w:p w14:paraId="7F11D3BA">
      <w:pPr>
        <w:shd w:val="clear"/>
        <w:autoSpaceDE w:val="0"/>
        <w:autoSpaceDN w:val="0"/>
        <w:adjustRightInd w:val="0"/>
        <w:spacing w:line="360" w:lineRule="auto"/>
        <w:ind w:firstLine="480"/>
        <w:outlineLvl w:val="1"/>
        <w:rPr>
          <w:rFonts w:hint="eastAsia" w:ascii="仿宋" w:hAnsi="仿宋" w:eastAsia="仿宋" w:cs="仿宋"/>
          <w:b/>
          <w:bCs/>
          <w:color w:val="auto"/>
          <w:szCs w:val="21"/>
          <w:highlight w:val="none"/>
          <w:lang w:val="zh-CN"/>
        </w:rPr>
      </w:pPr>
      <w:bookmarkStart w:id="382" w:name="_Toc10884"/>
      <w:r>
        <w:rPr>
          <w:rFonts w:hint="eastAsia" w:ascii="仿宋" w:hAnsi="仿宋" w:eastAsia="仿宋" w:cs="仿宋"/>
          <w:color w:val="auto"/>
          <w:szCs w:val="21"/>
          <w:highlight w:val="none"/>
        </w:rPr>
        <w:t>3、投标文件中的法人授权书及相关声明承诺须为原件。</w:t>
      </w:r>
      <w:bookmarkEnd w:id="382"/>
    </w:p>
    <w:p w14:paraId="090D1D73">
      <w:pPr>
        <w:pStyle w:val="150"/>
        <w:shd w:val="clear"/>
        <w:ind w:firstLine="643"/>
        <w:rPr>
          <w:rFonts w:hint="eastAsia" w:ascii="楷体" w:hAnsi="楷体" w:eastAsia="楷体" w:cs="楷体"/>
          <w:b/>
          <w:color w:val="auto"/>
          <w:sz w:val="32"/>
          <w:highlight w:val="none"/>
        </w:rPr>
      </w:pPr>
    </w:p>
    <w:p w14:paraId="53F9ECE5">
      <w:pPr>
        <w:pStyle w:val="150"/>
        <w:shd w:val="clear"/>
        <w:ind w:firstLine="643"/>
        <w:rPr>
          <w:rFonts w:hint="eastAsia" w:ascii="楷体" w:hAnsi="楷体" w:eastAsia="楷体" w:cs="楷体"/>
          <w:b/>
          <w:color w:val="auto"/>
          <w:sz w:val="32"/>
          <w:highlight w:val="none"/>
        </w:rPr>
      </w:pPr>
    </w:p>
    <w:p w14:paraId="60CDE2BA">
      <w:pPr>
        <w:pStyle w:val="150"/>
        <w:shd w:val="clear"/>
        <w:ind w:firstLine="643"/>
        <w:rPr>
          <w:rFonts w:hint="eastAsia" w:ascii="楷体" w:hAnsi="楷体" w:eastAsia="楷体" w:cs="楷体"/>
          <w:b/>
          <w:color w:val="auto"/>
          <w:sz w:val="32"/>
          <w:highlight w:val="none"/>
        </w:rPr>
      </w:pPr>
    </w:p>
    <w:p w14:paraId="0BE337A4">
      <w:pPr>
        <w:pStyle w:val="150"/>
        <w:shd w:val="clear"/>
        <w:ind w:firstLine="643"/>
        <w:rPr>
          <w:rFonts w:hint="eastAsia" w:ascii="楷体" w:hAnsi="楷体" w:eastAsia="楷体" w:cs="楷体"/>
          <w:b/>
          <w:color w:val="auto"/>
          <w:sz w:val="32"/>
          <w:highlight w:val="none"/>
        </w:rPr>
      </w:pPr>
    </w:p>
    <w:p w14:paraId="39A66D02">
      <w:pPr>
        <w:shd w:val="clear"/>
        <w:ind w:firstLine="281" w:firstLineChars="100"/>
        <w:jc w:val="left"/>
        <w:outlineLvl w:val="9"/>
        <w:rPr>
          <w:rFonts w:hint="eastAsia" w:ascii="楷体" w:hAnsi="楷体" w:eastAsia="楷体" w:cs="楷体"/>
          <w:b/>
          <w:color w:val="auto"/>
          <w:sz w:val="28"/>
          <w:szCs w:val="28"/>
          <w:highlight w:val="none"/>
        </w:rPr>
      </w:pPr>
      <w:bookmarkStart w:id="383" w:name="_Toc568"/>
      <w:bookmarkStart w:id="384" w:name="_Toc30817_WPSOffice_Level1"/>
      <w:bookmarkStart w:id="385" w:name="_Toc28277"/>
      <w:bookmarkStart w:id="386" w:name="_Toc24237_WPSOffice_Level1"/>
      <w:bookmarkStart w:id="387" w:name="_Toc30921"/>
      <w:bookmarkStart w:id="388" w:name="_Toc24126_WPSOffice_Level1"/>
      <w:bookmarkStart w:id="389" w:name="_Toc5230"/>
      <w:bookmarkStart w:id="390" w:name="_Toc15316"/>
      <w:bookmarkStart w:id="391" w:name="_Toc17925"/>
      <w:bookmarkStart w:id="392" w:name="_Toc5957"/>
      <w:bookmarkStart w:id="393" w:name="_Toc27567"/>
      <w:bookmarkStart w:id="394" w:name="_Toc2465"/>
      <w:bookmarkStart w:id="395" w:name="_Toc13880"/>
      <w:bookmarkStart w:id="396" w:name="_Toc28156"/>
      <w:bookmarkStart w:id="397" w:name="_Toc29912"/>
      <w:bookmarkStart w:id="398" w:name="_Toc27208"/>
    </w:p>
    <w:p w14:paraId="78252DE0">
      <w:pPr>
        <w:pStyle w:val="2"/>
        <w:shd w:val="clear"/>
        <w:rPr>
          <w:rFonts w:hint="eastAsia" w:ascii="楷体" w:hAnsi="楷体" w:eastAsia="楷体" w:cs="楷体"/>
          <w:color w:val="auto"/>
          <w:highlight w:val="none"/>
        </w:rPr>
      </w:pPr>
    </w:p>
    <w:p w14:paraId="32C21ADE">
      <w:pPr>
        <w:shd w:val="clear"/>
        <w:ind w:firstLine="281" w:firstLineChars="100"/>
        <w:jc w:val="left"/>
        <w:outlineLvl w:val="9"/>
        <w:rPr>
          <w:rFonts w:hint="eastAsia" w:ascii="楷体" w:hAnsi="楷体" w:eastAsia="楷体" w:cs="楷体"/>
          <w:b/>
          <w:color w:val="auto"/>
          <w:sz w:val="28"/>
          <w:szCs w:val="28"/>
          <w:highlight w:val="none"/>
        </w:rPr>
      </w:pPr>
    </w:p>
    <w:p w14:paraId="3A9419D9">
      <w:pPr>
        <w:shd w:val="clear"/>
        <w:ind w:firstLine="281" w:firstLineChars="100"/>
        <w:jc w:val="left"/>
        <w:outlineLvl w:val="9"/>
        <w:rPr>
          <w:rFonts w:hint="eastAsia" w:ascii="楷体" w:hAnsi="楷体" w:eastAsia="楷体" w:cs="楷体"/>
          <w:b/>
          <w:color w:val="auto"/>
          <w:sz w:val="28"/>
          <w:szCs w:val="28"/>
          <w:highlight w:val="none"/>
        </w:rPr>
      </w:pPr>
    </w:p>
    <w:p w14:paraId="3807BD0E">
      <w:pPr>
        <w:shd w:val="clear"/>
        <w:ind w:firstLine="281" w:firstLineChars="100"/>
        <w:jc w:val="left"/>
        <w:outlineLvl w:val="9"/>
        <w:rPr>
          <w:rFonts w:hint="eastAsia" w:ascii="楷体" w:hAnsi="楷体" w:eastAsia="楷体" w:cs="楷体"/>
          <w:b/>
          <w:color w:val="auto"/>
          <w:sz w:val="28"/>
          <w:szCs w:val="28"/>
          <w:highlight w:val="none"/>
        </w:rPr>
      </w:pPr>
    </w:p>
    <w:p w14:paraId="118AF0D3">
      <w:pPr>
        <w:shd w:val="clear"/>
        <w:ind w:firstLine="281" w:firstLineChars="100"/>
        <w:jc w:val="left"/>
        <w:outlineLvl w:val="9"/>
        <w:rPr>
          <w:rFonts w:hint="eastAsia" w:ascii="楷体" w:hAnsi="楷体" w:eastAsia="楷体" w:cs="楷体"/>
          <w:b/>
          <w:color w:val="auto"/>
          <w:sz w:val="28"/>
          <w:szCs w:val="28"/>
          <w:highlight w:val="none"/>
        </w:rPr>
      </w:pPr>
    </w:p>
    <w:p w14:paraId="631F2168">
      <w:pPr>
        <w:shd w:val="clear"/>
        <w:ind w:firstLine="281" w:firstLineChars="100"/>
        <w:jc w:val="left"/>
        <w:outlineLvl w:val="9"/>
        <w:rPr>
          <w:rFonts w:hint="eastAsia" w:ascii="楷体" w:hAnsi="楷体" w:eastAsia="楷体" w:cs="楷体"/>
          <w:b/>
          <w:color w:val="auto"/>
          <w:sz w:val="28"/>
          <w:szCs w:val="28"/>
          <w:highlight w:val="none"/>
        </w:rPr>
      </w:pPr>
    </w:p>
    <w:p w14:paraId="38CC3E11">
      <w:pPr>
        <w:shd w:val="clear"/>
        <w:ind w:firstLine="281" w:firstLineChars="100"/>
        <w:jc w:val="left"/>
        <w:outlineLvl w:val="9"/>
        <w:rPr>
          <w:rFonts w:hint="eastAsia" w:ascii="楷体" w:hAnsi="楷体" w:eastAsia="楷体" w:cs="楷体"/>
          <w:b/>
          <w:color w:val="auto"/>
          <w:sz w:val="28"/>
          <w:szCs w:val="28"/>
          <w:highlight w:val="none"/>
        </w:rPr>
      </w:pPr>
    </w:p>
    <w:p w14:paraId="39207E59">
      <w:pPr>
        <w:shd w:val="clear"/>
        <w:ind w:firstLine="281" w:firstLineChars="100"/>
        <w:jc w:val="left"/>
        <w:outlineLvl w:val="9"/>
        <w:rPr>
          <w:rFonts w:hint="eastAsia" w:ascii="楷体" w:hAnsi="楷体" w:eastAsia="楷体" w:cs="楷体"/>
          <w:b/>
          <w:color w:val="auto"/>
          <w:sz w:val="28"/>
          <w:szCs w:val="28"/>
          <w:highlight w:val="none"/>
        </w:rPr>
      </w:pPr>
    </w:p>
    <w:p w14:paraId="7D4508BF">
      <w:pPr>
        <w:pStyle w:val="23"/>
        <w:shd w:val="clear"/>
        <w:ind w:left="1470" w:right="1470"/>
        <w:rPr>
          <w:rFonts w:hint="eastAsia" w:ascii="楷体" w:hAnsi="楷体" w:eastAsia="楷体" w:cs="楷体"/>
          <w:color w:val="auto"/>
          <w:highlight w:val="none"/>
        </w:rPr>
      </w:pPr>
    </w:p>
    <w:p w14:paraId="3458BA5C">
      <w:pPr>
        <w:shd w:val="clear"/>
        <w:ind w:firstLine="281" w:firstLineChars="100"/>
        <w:jc w:val="left"/>
        <w:outlineLvl w:val="9"/>
        <w:rPr>
          <w:rFonts w:hint="eastAsia" w:ascii="楷体" w:hAnsi="楷体" w:eastAsia="楷体" w:cs="楷体"/>
          <w:b/>
          <w:color w:val="auto"/>
          <w:sz w:val="28"/>
          <w:szCs w:val="28"/>
          <w:highlight w:val="none"/>
        </w:rPr>
      </w:pPr>
    </w:p>
    <w:p w14:paraId="6BD0DACD">
      <w:pPr>
        <w:shd w:val="clear"/>
        <w:jc w:val="left"/>
        <w:outlineLvl w:val="9"/>
        <w:rPr>
          <w:rFonts w:hint="eastAsia" w:ascii="楷体" w:hAnsi="楷体" w:eastAsia="楷体" w:cs="楷体"/>
          <w:b/>
          <w:color w:val="auto"/>
          <w:sz w:val="28"/>
          <w:szCs w:val="28"/>
          <w:highlight w:val="none"/>
        </w:rPr>
      </w:pPr>
    </w:p>
    <w:p w14:paraId="23BAF61D">
      <w:pPr>
        <w:shd w:val="clear"/>
        <w:jc w:val="left"/>
        <w:outlineLvl w:val="0"/>
        <w:rPr>
          <w:rFonts w:hint="eastAsia" w:ascii="黑体" w:hAnsi="黑体" w:eastAsia="黑体" w:cs="黑体"/>
          <w:color w:val="auto"/>
          <w:sz w:val="24"/>
          <w:highlight w:val="none"/>
        </w:rPr>
      </w:pPr>
      <w:bookmarkStart w:id="399" w:name="_Toc29972"/>
      <w:bookmarkStart w:id="400" w:name="_Toc26332"/>
      <w:r>
        <w:rPr>
          <w:rFonts w:hint="eastAsia" w:ascii="黑体" w:hAnsi="黑体" w:eastAsia="黑体" w:cs="黑体"/>
          <w:b/>
          <w:color w:val="auto"/>
          <w:sz w:val="28"/>
          <w:szCs w:val="28"/>
          <w:highlight w:val="none"/>
          <w:lang w:eastAsia="zh-CN"/>
        </w:rPr>
        <w:t>项目编号</w:t>
      </w:r>
      <w:r>
        <w:rPr>
          <w:rFonts w:hint="eastAsia" w:ascii="黑体" w:hAnsi="黑体" w:eastAsia="黑体" w:cs="黑体"/>
          <w:b/>
          <w:color w:val="auto"/>
          <w:sz w:val="28"/>
          <w:szCs w:val="28"/>
          <w:highlight w:val="none"/>
        </w:rPr>
        <w:t>：</w:t>
      </w:r>
      <w:r>
        <w:rPr>
          <w:rFonts w:hint="eastAsia" w:ascii="黑体" w:hAnsi="黑体" w:eastAsia="黑体" w:cs="黑体"/>
          <w:b/>
          <w:color w:val="auto"/>
          <w:sz w:val="28"/>
          <w:szCs w:val="28"/>
          <w:highlight w:val="none"/>
          <w:lang w:eastAsia="zh-CN"/>
        </w:rPr>
        <w:t>HZ-J2024011C</w:t>
      </w:r>
      <w:r>
        <w:rPr>
          <w:rFonts w:hint="eastAsia" w:ascii="黑体" w:hAnsi="黑体" w:eastAsia="黑体" w:cs="黑体"/>
          <w:b/>
          <w:color w:val="auto"/>
          <w:sz w:val="28"/>
          <w:szCs w:val="28"/>
          <w:highlight w:val="none"/>
        </w:rPr>
        <w:t>（正本或副本）</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22EC874D">
      <w:pPr>
        <w:shd w:val="clear"/>
        <w:rPr>
          <w:rFonts w:hint="eastAsia" w:ascii="黑体" w:hAnsi="黑体" w:eastAsia="黑体" w:cs="黑体"/>
          <w:b/>
          <w:color w:val="auto"/>
          <w:sz w:val="36"/>
          <w:szCs w:val="10"/>
          <w:highlight w:val="none"/>
        </w:rPr>
      </w:pPr>
    </w:p>
    <w:p w14:paraId="2784B130">
      <w:pPr>
        <w:keepNext w:val="0"/>
        <w:keepLines w:val="0"/>
        <w:pageBreakBefore w:val="0"/>
        <w:widowControl w:val="0"/>
        <w:shd w:val="clear"/>
        <w:kinsoku/>
        <w:wordWrap/>
        <w:overflowPunct/>
        <w:topLinePunct w:val="0"/>
        <w:autoSpaceDE/>
        <w:autoSpaceDN/>
        <w:bidi w:val="0"/>
        <w:adjustRightInd w:val="0"/>
        <w:snapToGrid w:val="0"/>
        <w:spacing w:line="360" w:lineRule="auto"/>
        <w:jc w:val="center"/>
        <w:textAlignment w:val="auto"/>
        <w:outlineLvl w:val="0"/>
        <w:rPr>
          <w:rFonts w:hint="eastAsia" w:ascii="黑体" w:hAnsi="黑体" w:eastAsia="黑体" w:cs="黑体"/>
          <w:b/>
          <w:color w:val="auto"/>
          <w:sz w:val="48"/>
          <w:szCs w:val="15"/>
          <w:highlight w:val="none"/>
          <w:lang w:eastAsia="zh-CN"/>
        </w:rPr>
      </w:pPr>
      <w:bookmarkStart w:id="401" w:name="_Toc18819"/>
      <w:bookmarkStart w:id="402" w:name="_Toc7836"/>
      <w:bookmarkStart w:id="403" w:name="_Toc8889"/>
      <w:bookmarkStart w:id="404" w:name="_Toc23447"/>
      <w:bookmarkStart w:id="405" w:name="_Toc8883"/>
      <w:bookmarkStart w:id="406" w:name="_Toc21875"/>
      <w:bookmarkStart w:id="407" w:name="_Toc25183"/>
      <w:bookmarkStart w:id="408" w:name="_Toc31903"/>
      <w:bookmarkStart w:id="409" w:name="_Toc18750"/>
      <w:bookmarkStart w:id="410" w:name="_Toc23631"/>
      <w:bookmarkStart w:id="411" w:name="_Toc3120"/>
      <w:bookmarkStart w:id="412" w:name="_Toc27564"/>
      <w:r>
        <w:rPr>
          <w:rFonts w:hint="eastAsia" w:ascii="黑体" w:hAnsi="黑体" w:eastAsia="黑体" w:cs="黑体"/>
          <w:b/>
          <w:color w:val="auto"/>
          <w:sz w:val="48"/>
          <w:szCs w:val="15"/>
          <w:highlight w:val="none"/>
          <w:lang w:eastAsia="zh-CN"/>
        </w:rPr>
        <w:t xml:space="preserve"> 宁强县水利局分散供水工程消毒药剂购置项目</w:t>
      </w:r>
    </w:p>
    <w:p w14:paraId="63F2CA45">
      <w:pPr>
        <w:pStyle w:val="57"/>
        <w:shd w:val="clear"/>
        <w:rPr>
          <w:rFonts w:hint="eastAsia" w:ascii="黑体" w:hAnsi="黑体" w:eastAsia="黑体" w:cs="黑体"/>
          <w:b/>
          <w:color w:val="auto"/>
          <w:sz w:val="36"/>
          <w:szCs w:val="10"/>
          <w:highlight w:val="none"/>
        </w:rPr>
      </w:pPr>
    </w:p>
    <w:p w14:paraId="1B98322B">
      <w:pPr>
        <w:pStyle w:val="57"/>
        <w:shd w:val="clear"/>
        <w:rPr>
          <w:rFonts w:hint="eastAsia" w:ascii="黑体" w:hAnsi="黑体" w:eastAsia="黑体" w:cs="黑体"/>
          <w:b/>
          <w:color w:val="auto"/>
          <w:sz w:val="36"/>
          <w:szCs w:val="10"/>
          <w:highlight w:val="none"/>
        </w:rPr>
      </w:pPr>
    </w:p>
    <w:p w14:paraId="1327BDB3">
      <w:pPr>
        <w:pStyle w:val="57"/>
        <w:shd w:val="clear"/>
        <w:rPr>
          <w:rFonts w:hint="eastAsia" w:ascii="黑体" w:hAnsi="黑体" w:eastAsia="黑体" w:cs="黑体"/>
          <w:b/>
          <w:color w:val="auto"/>
          <w:sz w:val="36"/>
          <w:szCs w:val="10"/>
          <w:highlight w:val="none"/>
        </w:rPr>
      </w:pPr>
    </w:p>
    <w:p w14:paraId="7F3E5119">
      <w:pPr>
        <w:pStyle w:val="57"/>
        <w:shd w:val="clear"/>
        <w:rPr>
          <w:rFonts w:hint="eastAsia" w:ascii="黑体" w:hAnsi="黑体" w:eastAsia="黑体" w:cs="黑体"/>
          <w:b/>
          <w:color w:val="auto"/>
          <w:sz w:val="36"/>
          <w:szCs w:val="10"/>
          <w:highlight w:val="none"/>
        </w:rPr>
      </w:pPr>
    </w:p>
    <w:p w14:paraId="37E91A02">
      <w:pPr>
        <w:pStyle w:val="57"/>
        <w:shd w:val="clear"/>
        <w:rPr>
          <w:rFonts w:hint="eastAsia" w:ascii="黑体" w:hAnsi="黑体" w:eastAsia="黑体" w:cs="黑体"/>
          <w:b/>
          <w:color w:val="auto"/>
          <w:sz w:val="36"/>
          <w:szCs w:val="10"/>
          <w:highlight w:val="none"/>
        </w:rPr>
      </w:pPr>
    </w:p>
    <w:p w14:paraId="4750B320">
      <w:pPr>
        <w:pStyle w:val="57"/>
        <w:shd w:val="clear"/>
        <w:rPr>
          <w:rFonts w:hint="eastAsia" w:ascii="黑体" w:hAnsi="黑体" w:eastAsia="黑体" w:cs="黑体"/>
          <w:b/>
          <w:color w:val="auto"/>
          <w:sz w:val="36"/>
          <w:szCs w:val="10"/>
          <w:highlight w:val="none"/>
        </w:rPr>
      </w:pPr>
    </w:p>
    <w:p w14:paraId="0FC797F2">
      <w:pPr>
        <w:pStyle w:val="57"/>
        <w:shd w:val="clear"/>
        <w:rPr>
          <w:rFonts w:hint="eastAsia" w:ascii="黑体" w:hAnsi="黑体" w:eastAsia="黑体" w:cs="黑体"/>
          <w:b/>
          <w:color w:val="auto"/>
          <w:sz w:val="36"/>
          <w:szCs w:val="10"/>
          <w:highlight w:val="none"/>
        </w:rPr>
      </w:pPr>
    </w:p>
    <w:p w14:paraId="21F34CA7">
      <w:pPr>
        <w:pStyle w:val="57"/>
        <w:shd w:val="clear"/>
        <w:rPr>
          <w:rFonts w:hint="eastAsia" w:ascii="黑体" w:hAnsi="黑体" w:eastAsia="黑体" w:cs="黑体"/>
          <w:b/>
          <w:color w:val="auto"/>
          <w:sz w:val="36"/>
          <w:szCs w:val="10"/>
          <w:highlight w:val="none"/>
        </w:rPr>
      </w:pPr>
    </w:p>
    <w:p w14:paraId="41CF0863">
      <w:pPr>
        <w:shd w:val="clear"/>
        <w:jc w:val="center"/>
        <w:outlineLvl w:val="0"/>
        <w:rPr>
          <w:rFonts w:hint="eastAsia" w:ascii="黑体" w:hAnsi="黑体" w:eastAsia="黑体" w:cs="黑体"/>
          <w:b/>
          <w:color w:val="auto"/>
          <w:sz w:val="48"/>
          <w:szCs w:val="15"/>
          <w:highlight w:val="none"/>
        </w:rPr>
      </w:pPr>
      <w:bookmarkStart w:id="413" w:name="_Toc16481"/>
      <w:bookmarkStart w:id="414" w:name="_Toc10746"/>
      <w:r>
        <w:rPr>
          <w:rFonts w:hint="eastAsia" w:ascii="黑体" w:hAnsi="黑体" w:eastAsia="黑体" w:cs="黑体"/>
          <w:b/>
          <w:color w:val="auto"/>
          <w:sz w:val="48"/>
          <w:szCs w:val="15"/>
          <w:highlight w:val="none"/>
        </w:rPr>
        <w:t>投 标 文 件</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47BB43B9">
      <w:pPr>
        <w:shd w:val="clear"/>
        <w:tabs>
          <w:tab w:val="left" w:pos="2520"/>
        </w:tabs>
        <w:ind w:firstLine="211"/>
        <w:rPr>
          <w:rFonts w:hint="eastAsia" w:ascii="黑体" w:hAnsi="黑体" w:eastAsia="黑体" w:cs="黑体"/>
          <w:color w:val="auto"/>
          <w:sz w:val="40"/>
          <w:szCs w:val="40"/>
          <w:highlight w:val="none"/>
        </w:rPr>
      </w:pPr>
    </w:p>
    <w:p w14:paraId="4D9863E3">
      <w:pPr>
        <w:shd w:val="clear"/>
        <w:ind w:firstLine="211"/>
        <w:jc w:val="center"/>
        <w:rPr>
          <w:rFonts w:hint="eastAsia" w:ascii="黑体" w:hAnsi="黑体" w:eastAsia="黑体" w:cs="黑体"/>
          <w:color w:val="auto"/>
          <w:sz w:val="24"/>
          <w:highlight w:val="none"/>
        </w:rPr>
      </w:pPr>
    </w:p>
    <w:p w14:paraId="3B5E1F9C">
      <w:pPr>
        <w:shd w:val="clear"/>
        <w:ind w:firstLine="211"/>
        <w:jc w:val="center"/>
        <w:rPr>
          <w:rFonts w:hint="eastAsia" w:ascii="黑体" w:hAnsi="黑体" w:eastAsia="黑体" w:cs="黑体"/>
          <w:color w:val="auto"/>
          <w:sz w:val="24"/>
          <w:highlight w:val="none"/>
        </w:rPr>
      </w:pPr>
    </w:p>
    <w:p w14:paraId="4E74393E">
      <w:pPr>
        <w:shd w:val="clear"/>
        <w:ind w:firstLine="211"/>
        <w:jc w:val="center"/>
        <w:rPr>
          <w:rFonts w:hint="eastAsia" w:ascii="黑体" w:hAnsi="黑体" w:eastAsia="黑体" w:cs="黑体"/>
          <w:color w:val="auto"/>
          <w:sz w:val="24"/>
          <w:highlight w:val="none"/>
        </w:rPr>
      </w:pPr>
    </w:p>
    <w:p w14:paraId="1659D0D0">
      <w:pPr>
        <w:pStyle w:val="57"/>
        <w:shd w:val="clear"/>
        <w:rPr>
          <w:rFonts w:hint="eastAsia" w:ascii="黑体" w:hAnsi="黑体" w:eastAsia="黑体" w:cs="黑体"/>
          <w:color w:val="auto"/>
          <w:highlight w:val="none"/>
        </w:rPr>
      </w:pPr>
    </w:p>
    <w:p w14:paraId="4DC4CA94">
      <w:pPr>
        <w:pStyle w:val="57"/>
        <w:shd w:val="clear"/>
        <w:rPr>
          <w:rFonts w:hint="eastAsia" w:ascii="黑体" w:hAnsi="黑体" w:eastAsia="黑体" w:cs="黑体"/>
          <w:color w:val="auto"/>
          <w:highlight w:val="none"/>
        </w:rPr>
      </w:pPr>
    </w:p>
    <w:p w14:paraId="5533FDCF">
      <w:pPr>
        <w:pStyle w:val="57"/>
        <w:shd w:val="clear"/>
        <w:ind w:left="0" w:leftChars="0" w:firstLine="0" w:firstLineChars="0"/>
        <w:rPr>
          <w:rFonts w:hint="eastAsia" w:ascii="黑体" w:hAnsi="黑体" w:eastAsia="黑体" w:cs="黑体"/>
          <w:color w:val="auto"/>
          <w:highlight w:val="none"/>
        </w:rPr>
      </w:pPr>
    </w:p>
    <w:p w14:paraId="6F3FFCAD">
      <w:pPr>
        <w:pStyle w:val="57"/>
        <w:shd w:val="clear"/>
        <w:rPr>
          <w:rFonts w:hint="eastAsia" w:ascii="黑体" w:hAnsi="黑体" w:eastAsia="黑体" w:cs="黑体"/>
          <w:color w:val="auto"/>
          <w:highlight w:val="none"/>
        </w:rPr>
      </w:pPr>
    </w:p>
    <w:p w14:paraId="4AAD7311">
      <w:pPr>
        <w:shd w:val="clear"/>
        <w:spacing w:line="480" w:lineRule="auto"/>
        <w:ind w:firstLine="281" w:firstLineChars="100"/>
        <w:outlineLvl w:val="0"/>
        <w:rPr>
          <w:rFonts w:hint="eastAsia" w:ascii="黑体" w:hAnsi="黑体" w:eastAsia="黑体" w:cs="黑体"/>
          <w:b/>
          <w:color w:val="auto"/>
          <w:sz w:val="28"/>
          <w:szCs w:val="18"/>
          <w:highlight w:val="none"/>
        </w:rPr>
      </w:pPr>
      <w:bookmarkStart w:id="415" w:name="_Toc20665"/>
      <w:bookmarkStart w:id="416" w:name="_Toc20098"/>
      <w:bookmarkStart w:id="417" w:name="_Toc8379"/>
      <w:bookmarkStart w:id="418" w:name="_Toc8896"/>
      <w:bookmarkStart w:id="419" w:name="_Toc20301"/>
      <w:bookmarkStart w:id="420" w:name="_Toc22745"/>
      <w:bookmarkStart w:id="421" w:name="_Toc8670"/>
      <w:bookmarkStart w:id="422" w:name="_Toc5217"/>
      <w:bookmarkStart w:id="423" w:name="_Toc22634"/>
      <w:bookmarkStart w:id="424" w:name="_Toc28749"/>
      <w:bookmarkStart w:id="425" w:name="_Toc9137"/>
      <w:bookmarkStart w:id="426" w:name="_Toc6562"/>
      <w:bookmarkStart w:id="427" w:name="_Toc345"/>
      <w:bookmarkStart w:id="428" w:name="_Toc5928"/>
      <w:r>
        <w:rPr>
          <w:rFonts w:hint="eastAsia" w:ascii="黑体" w:hAnsi="黑体" w:eastAsia="黑体" w:cs="黑体"/>
          <w:b/>
          <w:color w:val="auto"/>
          <w:sz w:val="28"/>
          <w:szCs w:val="18"/>
          <w:highlight w:val="none"/>
        </w:rPr>
        <w:t>投</w:t>
      </w:r>
      <w:r>
        <w:rPr>
          <w:rFonts w:hint="eastAsia" w:ascii="黑体" w:hAnsi="黑体" w:eastAsia="黑体" w:cs="黑体"/>
          <w:b/>
          <w:color w:val="auto"/>
          <w:sz w:val="28"/>
          <w:szCs w:val="18"/>
          <w:highlight w:val="none"/>
          <w:lang w:val="en-US" w:eastAsia="zh-CN"/>
        </w:rPr>
        <w:t xml:space="preserve">   </w:t>
      </w:r>
      <w:r>
        <w:rPr>
          <w:rFonts w:hint="eastAsia" w:ascii="黑体" w:hAnsi="黑体" w:eastAsia="黑体" w:cs="黑体"/>
          <w:b/>
          <w:color w:val="auto"/>
          <w:sz w:val="28"/>
          <w:szCs w:val="18"/>
          <w:highlight w:val="none"/>
        </w:rPr>
        <w:t xml:space="preserve"> 标 </w:t>
      </w:r>
      <w:r>
        <w:rPr>
          <w:rFonts w:hint="eastAsia" w:ascii="黑体" w:hAnsi="黑体" w:eastAsia="黑体" w:cs="黑体"/>
          <w:b/>
          <w:color w:val="auto"/>
          <w:sz w:val="28"/>
          <w:szCs w:val="18"/>
          <w:highlight w:val="none"/>
          <w:lang w:val="en-US" w:eastAsia="zh-CN"/>
        </w:rPr>
        <w:t xml:space="preserve">   </w:t>
      </w:r>
      <w:r>
        <w:rPr>
          <w:rFonts w:hint="eastAsia" w:ascii="黑体" w:hAnsi="黑体" w:eastAsia="黑体" w:cs="黑体"/>
          <w:b/>
          <w:color w:val="auto"/>
          <w:sz w:val="28"/>
          <w:szCs w:val="18"/>
          <w:highlight w:val="none"/>
        </w:rPr>
        <w:t>人：</w:t>
      </w:r>
      <w:r>
        <w:rPr>
          <w:rFonts w:hint="eastAsia" w:ascii="黑体" w:hAnsi="黑体" w:eastAsia="黑体" w:cs="黑体"/>
          <w:b/>
          <w:color w:val="auto"/>
          <w:sz w:val="28"/>
          <w:szCs w:val="18"/>
          <w:highlight w:val="none"/>
          <w:u w:val="single"/>
        </w:rPr>
        <w:t xml:space="preserve">          </w:t>
      </w:r>
      <w:r>
        <w:rPr>
          <w:rFonts w:hint="eastAsia" w:ascii="黑体" w:hAnsi="黑体" w:eastAsia="黑体" w:cs="黑体"/>
          <w:b/>
          <w:color w:val="auto"/>
          <w:sz w:val="28"/>
          <w:szCs w:val="21"/>
          <w:highlight w:val="none"/>
          <w:u w:val="single"/>
        </w:rPr>
        <w:t xml:space="preserve">            （公章）</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3C66ADB6">
      <w:pPr>
        <w:pStyle w:val="57"/>
        <w:shd w:val="clear"/>
        <w:spacing w:line="480" w:lineRule="auto"/>
        <w:ind w:firstLine="281" w:firstLineChars="100"/>
        <w:outlineLvl w:val="9"/>
        <w:rPr>
          <w:rFonts w:hint="eastAsia" w:ascii="黑体" w:hAnsi="黑体" w:eastAsia="黑体" w:cs="黑体"/>
          <w:b/>
          <w:color w:val="auto"/>
          <w:kern w:val="2"/>
          <w:sz w:val="28"/>
          <w:szCs w:val="21"/>
          <w:highlight w:val="none"/>
        </w:rPr>
      </w:pPr>
      <w:bookmarkStart w:id="429" w:name="_Toc16444"/>
      <w:bookmarkStart w:id="430" w:name="_Toc14125"/>
      <w:bookmarkStart w:id="431" w:name="_Toc9466"/>
      <w:bookmarkStart w:id="432" w:name="_Toc6819"/>
      <w:bookmarkStart w:id="433" w:name="_Toc20062"/>
      <w:bookmarkStart w:id="434" w:name="_Toc11921"/>
      <w:bookmarkStart w:id="435" w:name="_Toc23371"/>
      <w:bookmarkStart w:id="436" w:name="_Toc14313"/>
      <w:bookmarkStart w:id="437" w:name="_Toc21282"/>
      <w:bookmarkStart w:id="438" w:name="_Toc1223"/>
      <w:bookmarkStart w:id="439" w:name="_Toc27648"/>
      <w:bookmarkStart w:id="440" w:name="_Toc16111"/>
    </w:p>
    <w:p w14:paraId="523F601C">
      <w:pPr>
        <w:pStyle w:val="57"/>
        <w:shd w:val="clear"/>
        <w:spacing w:line="480" w:lineRule="auto"/>
        <w:ind w:firstLine="281" w:firstLineChars="100"/>
        <w:outlineLvl w:val="0"/>
        <w:rPr>
          <w:rFonts w:hint="eastAsia" w:ascii="黑体" w:hAnsi="黑体" w:eastAsia="黑体" w:cs="黑体"/>
          <w:b/>
          <w:color w:val="auto"/>
          <w:kern w:val="2"/>
          <w:sz w:val="28"/>
          <w:szCs w:val="21"/>
          <w:highlight w:val="none"/>
          <w:u w:val="single"/>
        </w:rPr>
      </w:pPr>
      <w:bookmarkStart w:id="441" w:name="_Toc24261"/>
      <w:bookmarkStart w:id="442" w:name="_Toc22811"/>
      <w:r>
        <w:rPr>
          <w:rFonts w:hint="eastAsia" w:ascii="黑体" w:hAnsi="黑体" w:eastAsia="黑体" w:cs="黑体"/>
          <w:b/>
          <w:color w:val="auto"/>
          <w:kern w:val="2"/>
          <w:sz w:val="28"/>
          <w:szCs w:val="21"/>
          <w:highlight w:val="none"/>
          <w:lang w:eastAsia="zh-CN"/>
        </w:rPr>
        <w:t>法定代表人或授权代表</w:t>
      </w:r>
      <w:r>
        <w:rPr>
          <w:rFonts w:hint="eastAsia" w:ascii="黑体" w:hAnsi="黑体" w:eastAsia="黑体" w:cs="黑体"/>
          <w:b/>
          <w:color w:val="auto"/>
          <w:kern w:val="2"/>
          <w:sz w:val="28"/>
          <w:szCs w:val="21"/>
          <w:highlight w:val="none"/>
        </w:rPr>
        <w:t>：</w:t>
      </w:r>
      <w:r>
        <w:rPr>
          <w:rFonts w:hint="eastAsia" w:ascii="黑体" w:hAnsi="黑体" w:eastAsia="黑体" w:cs="黑体"/>
          <w:b/>
          <w:color w:val="auto"/>
          <w:kern w:val="2"/>
          <w:sz w:val="28"/>
          <w:szCs w:val="21"/>
          <w:highlight w:val="none"/>
          <w:u w:val="single"/>
        </w:rPr>
        <w:t xml:space="preserve">    </w:t>
      </w:r>
      <w:r>
        <w:rPr>
          <w:rFonts w:hint="eastAsia" w:ascii="黑体" w:hAnsi="黑体" w:eastAsia="黑体" w:cs="黑体"/>
          <w:b/>
          <w:color w:val="auto"/>
          <w:kern w:val="2"/>
          <w:sz w:val="28"/>
          <w:szCs w:val="21"/>
          <w:highlight w:val="none"/>
          <w:u w:val="single"/>
          <w:lang w:val="en-US" w:eastAsia="zh-CN"/>
        </w:rPr>
        <w:t xml:space="preserve">           </w:t>
      </w:r>
      <w:r>
        <w:rPr>
          <w:rFonts w:hint="eastAsia" w:ascii="黑体" w:hAnsi="黑体" w:eastAsia="黑体" w:cs="黑体"/>
          <w:b/>
          <w:color w:val="auto"/>
          <w:kern w:val="2"/>
          <w:sz w:val="28"/>
          <w:szCs w:val="21"/>
          <w:highlight w:val="none"/>
          <w:u w:val="single"/>
        </w:rPr>
        <w:t xml:space="preserve"> （签字）</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021FD6BC">
      <w:pPr>
        <w:shd w:val="clear"/>
        <w:spacing w:line="480" w:lineRule="auto"/>
        <w:ind w:firstLine="1968" w:firstLineChars="700"/>
        <w:outlineLvl w:val="9"/>
        <w:rPr>
          <w:rFonts w:hint="eastAsia" w:ascii="黑体" w:hAnsi="黑体" w:eastAsia="黑体" w:cs="黑体"/>
          <w:b/>
          <w:color w:val="auto"/>
          <w:sz w:val="28"/>
          <w:szCs w:val="18"/>
          <w:highlight w:val="none"/>
        </w:rPr>
      </w:pPr>
      <w:bookmarkStart w:id="443" w:name="_Toc17633"/>
      <w:bookmarkStart w:id="444" w:name="_Toc4051"/>
      <w:bookmarkStart w:id="445" w:name="_Toc15860"/>
      <w:bookmarkStart w:id="446" w:name="_Toc4493"/>
      <w:bookmarkStart w:id="447" w:name="_Toc12642"/>
      <w:bookmarkStart w:id="448" w:name="_Toc6135"/>
      <w:bookmarkStart w:id="449" w:name="_Toc805"/>
      <w:bookmarkStart w:id="450" w:name="_Toc31173"/>
      <w:bookmarkStart w:id="451" w:name="_Toc26886"/>
      <w:bookmarkStart w:id="452" w:name="_Toc32195"/>
      <w:bookmarkStart w:id="453" w:name="_Toc542"/>
      <w:bookmarkStart w:id="454" w:name="_Toc27525"/>
    </w:p>
    <w:p w14:paraId="111CDF82">
      <w:pPr>
        <w:shd w:val="clear"/>
        <w:spacing w:line="480" w:lineRule="auto"/>
        <w:ind w:firstLine="1687" w:firstLineChars="600"/>
        <w:outlineLvl w:val="0"/>
        <w:rPr>
          <w:rFonts w:hint="eastAsia" w:ascii="黑体" w:hAnsi="黑体" w:eastAsia="黑体" w:cs="黑体"/>
          <w:b/>
          <w:color w:val="auto"/>
          <w:sz w:val="28"/>
          <w:szCs w:val="18"/>
          <w:highlight w:val="none"/>
        </w:rPr>
      </w:pPr>
      <w:bookmarkStart w:id="455" w:name="_Toc17689"/>
      <w:bookmarkStart w:id="456" w:name="_Toc18652"/>
      <w:r>
        <w:rPr>
          <w:rFonts w:hint="eastAsia" w:ascii="黑体" w:hAnsi="黑体" w:eastAsia="黑体" w:cs="黑体"/>
          <w:b/>
          <w:color w:val="auto"/>
          <w:sz w:val="28"/>
          <w:szCs w:val="18"/>
          <w:highlight w:val="none"/>
        </w:rPr>
        <w:t>日    期：     年  月  日</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23A0F4EA">
      <w:pPr>
        <w:shd w:val="clear"/>
        <w:spacing w:line="360" w:lineRule="auto"/>
        <w:ind w:firstLine="1968" w:firstLineChars="700"/>
        <w:outlineLvl w:val="9"/>
        <w:rPr>
          <w:rFonts w:hint="eastAsia" w:ascii="黑体" w:hAnsi="黑体" w:eastAsia="黑体" w:cs="黑体"/>
          <w:b/>
          <w:color w:val="auto"/>
          <w:sz w:val="28"/>
          <w:szCs w:val="28"/>
          <w:highlight w:val="none"/>
        </w:rPr>
      </w:pPr>
      <w:bookmarkStart w:id="457" w:name="_Toc24422"/>
      <w:bookmarkStart w:id="458" w:name="_Toc24840"/>
      <w:bookmarkStart w:id="459" w:name="_Toc5232_WPSOffice_Level1"/>
      <w:bookmarkStart w:id="460" w:name="_Toc15258"/>
      <w:bookmarkStart w:id="461" w:name="_Toc18210"/>
      <w:bookmarkStart w:id="462" w:name="_Toc30338"/>
      <w:bookmarkStart w:id="463" w:name="_Toc14374"/>
      <w:bookmarkStart w:id="464" w:name="_Toc26731"/>
      <w:bookmarkStart w:id="465" w:name="_Toc30891"/>
      <w:bookmarkStart w:id="466" w:name="_Toc20723"/>
      <w:bookmarkStart w:id="467" w:name="_Toc9368"/>
      <w:bookmarkStart w:id="468" w:name="_Toc25291_WPSOffice_Level1"/>
      <w:bookmarkStart w:id="469" w:name="_Toc1074"/>
      <w:bookmarkStart w:id="470" w:name="_Toc9357_WPSOffice_Level1"/>
    </w:p>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14:paraId="43064BD1">
      <w:pPr>
        <w:pStyle w:val="41"/>
        <w:shd w:val="clear"/>
        <w:spacing w:after="0" w:line="480" w:lineRule="auto"/>
        <w:ind w:firstLine="321"/>
        <w:jc w:val="both"/>
        <w:outlineLvl w:val="9"/>
        <w:rPr>
          <w:rFonts w:hint="eastAsia" w:ascii="楷体" w:hAnsi="楷体" w:eastAsia="楷体" w:cs="楷体"/>
          <w:b/>
          <w:color w:val="auto"/>
          <w:sz w:val="32"/>
          <w:szCs w:val="32"/>
          <w:highlight w:val="none"/>
        </w:rPr>
      </w:pPr>
      <w:bookmarkStart w:id="471" w:name="_Toc2275"/>
      <w:bookmarkEnd w:id="471"/>
      <w:bookmarkStart w:id="472" w:name="_Toc32417"/>
      <w:bookmarkEnd w:id="472"/>
      <w:bookmarkStart w:id="473" w:name="_Toc13984_WPSOffice_Level1"/>
      <w:bookmarkEnd w:id="473"/>
      <w:bookmarkStart w:id="474" w:name="_Toc4824"/>
      <w:bookmarkEnd w:id="474"/>
      <w:bookmarkStart w:id="475" w:name="_Toc18085"/>
      <w:bookmarkEnd w:id="475"/>
      <w:bookmarkStart w:id="476" w:name="_Toc10461_WPSOffice_Level1"/>
      <w:bookmarkEnd w:id="476"/>
      <w:bookmarkStart w:id="477" w:name="_Toc8980"/>
      <w:bookmarkEnd w:id="477"/>
      <w:bookmarkStart w:id="478" w:name="_Toc13104"/>
      <w:bookmarkEnd w:id="478"/>
      <w:bookmarkStart w:id="479" w:name="_Toc9386"/>
      <w:bookmarkEnd w:id="479"/>
      <w:bookmarkStart w:id="480" w:name="_Toc23210"/>
      <w:bookmarkEnd w:id="480"/>
      <w:bookmarkStart w:id="481" w:name="_Toc5604"/>
      <w:bookmarkEnd w:id="481"/>
      <w:bookmarkStart w:id="482" w:name="_Toc5206_WPSOffice_Level1"/>
      <w:bookmarkEnd w:id="482"/>
      <w:bookmarkStart w:id="483" w:name="_Toc11228"/>
      <w:bookmarkEnd w:id="483"/>
      <w:bookmarkStart w:id="484" w:name="_Toc28704"/>
      <w:bookmarkEnd w:id="484"/>
    </w:p>
    <w:p w14:paraId="1DD2B96A">
      <w:pPr>
        <w:pStyle w:val="41"/>
        <w:shd w:val="clear"/>
        <w:spacing w:after="0" w:line="480" w:lineRule="auto"/>
        <w:ind w:left="0" w:leftChars="0" w:firstLine="0" w:firstLineChars="0"/>
        <w:jc w:val="center"/>
        <w:outlineLvl w:val="0"/>
        <w:rPr>
          <w:rFonts w:hint="eastAsia" w:ascii="仿宋" w:hAnsi="仿宋" w:eastAsia="仿宋" w:cs="仿宋"/>
          <w:b/>
          <w:color w:val="auto"/>
          <w:sz w:val="36"/>
          <w:szCs w:val="36"/>
          <w:highlight w:val="none"/>
        </w:rPr>
      </w:pPr>
      <w:bookmarkStart w:id="485" w:name="_Toc23238"/>
      <w:bookmarkStart w:id="486" w:name="_Toc32635"/>
      <w:r>
        <w:rPr>
          <w:rFonts w:hint="eastAsia" w:ascii="仿宋" w:hAnsi="仿宋" w:eastAsia="仿宋" w:cs="仿宋"/>
          <w:b/>
          <w:color w:val="auto"/>
          <w:sz w:val="36"/>
          <w:szCs w:val="36"/>
          <w:highlight w:val="none"/>
        </w:rPr>
        <w:t>目  录</w:t>
      </w:r>
      <w:bookmarkEnd w:id="485"/>
      <w:bookmarkEnd w:id="486"/>
    </w:p>
    <w:p w14:paraId="3CB8A704">
      <w:pPr>
        <w:pStyle w:val="41"/>
        <w:shd w:val="clear"/>
        <w:spacing w:after="0" w:line="360" w:lineRule="auto"/>
        <w:ind w:firstLine="210"/>
        <w:jc w:val="both"/>
        <w:outlineLvl w:val="9"/>
        <w:rPr>
          <w:rFonts w:hint="eastAsia" w:ascii="仿宋" w:hAnsi="仿宋" w:eastAsia="仿宋" w:cs="仿宋"/>
          <w:bCs/>
          <w:color w:val="auto"/>
          <w:sz w:val="21"/>
          <w:szCs w:val="21"/>
          <w:highlight w:val="none"/>
        </w:rPr>
      </w:pPr>
    </w:p>
    <w:p w14:paraId="2CB2DF08">
      <w:pPr>
        <w:pStyle w:val="41"/>
        <w:keepNext w:val="0"/>
        <w:keepLines w:val="0"/>
        <w:pageBreakBefore w:val="0"/>
        <w:widowControl w:val="0"/>
        <w:shd w:val="clear"/>
        <w:kinsoku/>
        <w:wordWrap/>
        <w:overflowPunct/>
        <w:topLinePunct w:val="0"/>
        <w:autoSpaceDE/>
        <w:autoSpaceDN/>
        <w:bidi w:val="0"/>
        <w:adjustRightInd w:val="0"/>
        <w:snapToGrid w:val="0"/>
        <w:spacing w:after="0" w:line="480" w:lineRule="auto"/>
        <w:ind w:firstLine="241" w:firstLineChars="100"/>
        <w:jc w:val="both"/>
        <w:textAlignment w:val="auto"/>
        <w:outlineLvl w:val="0"/>
        <w:rPr>
          <w:rFonts w:hint="eastAsia" w:ascii="仿宋" w:hAnsi="仿宋" w:eastAsia="仿宋" w:cs="仿宋"/>
          <w:bCs/>
          <w:color w:val="auto"/>
          <w:sz w:val="21"/>
          <w:szCs w:val="21"/>
          <w:highlight w:val="none"/>
        </w:rPr>
      </w:pPr>
      <w:bookmarkStart w:id="487" w:name="_Toc27890"/>
      <w:bookmarkStart w:id="488" w:name="_Toc5608"/>
      <w:r>
        <w:rPr>
          <w:rFonts w:hint="eastAsia" w:ascii="仿宋" w:hAnsi="仿宋" w:eastAsia="仿宋" w:cs="仿宋"/>
          <w:b/>
          <w:bCs w:val="0"/>
          <w:color w:val="auto"/>
          <w:sz w:val="24"/>
          <w:szCs w:val="24"/>
          <w:highlight w:val="none"/>
          <w:lang w:val="en-US" w:eastAsia="zh-CN"/>
        </w:rPr>
        <w:t xml:space="preserve">第1部分 </w:t>
      </w:r>
      <w:r>
        <w:rPr>
          <w:rFonts w:hint="eastAsia" w:ascii="仿宋" w:hAnsi="仿宋" w:eastAsia="仿宋" w:cs="仿宋"/>
          <w:b/>
          <w:bCs w:val="0"/>
          <w:color w:val="auto"/>
          <w:sz w:val="24"/>
          <w:szCs w:val="24"/>
          <w:highlight w:val="none"/>
        </w:rPr>
        <w:t xml:space="preserve">投标函 </w:t>
      </w:r>
      <w:r>
        <w:rPr>
          <w:rFonts w:hint="eastAsia" w:ascii="仿宋" w:hAnsi="仿宋" w:eastAsia="仿宋" w:cs="仿宋"/>
          <w:b/>
          <w:bCs w:val="0"/>
          <w:color w:val="auto"/>
          <w:sz w:val="21"/>
          <w:szCs w:val="21"/>
          <w:highlight w:val="none"/>
        </w:rPr>
        <w:t>……………………………………………………………………</w:t>
      </w:r>
      <w:r>
        <w:rPr>
          <w:rFonts w:hint="eastAsia" w:ascii="仿宋" w:hAnsi="仿宋" w:eastAsia="仿宋" w:cs="仿宋"/>
          <w:b/>
          <w:bCs w:val="0"/>
          <w:color w:val="auto"/>
          <w:sz w:val="22"/>
          <w:szCs w:val="22"/>
          <w:highlight w:val="none"/>
        </w:rPr>
        <w:t>页码</w:t>
      </w:r>
      <w:bookmarkEnd w:id="487"/>
      <w:bookmarkEnd w:id="488"/>
    </w:p>
    <w:p w14:paraId="1485C0EE">
      <w:pPr>
        <w:pStyle w:val="41"/>
        <w:keepNext w:val="0"/>
        <w:keepLines w:val="0"/>
        <w:pageBreakBefore w:val="0"/>
        <w:widowControl w:val="0"/>
        <w:shd w:val="clear"/>
        <w:kinsoku/>
        <w:wordWrap/>
        <w:overflowPunct/>
        <w:topLinePunct w:val="0"/>
        <w:autoSpaceDE/>
        <w:autoSpaceDN/>
        <w:bidi w:val="0"/>
        <w:adjustRightInd w:val="0"/>
        <w:snapToGrid w:val="0"/>
        <w:spacing w:after="0" w:line="480" w:lineRule="auto"/>
        <w:ind w:firstLine="241" w:firstLineChars="100"/>
        <w:jc w:val="both"/>
        <w:textAlignment w:val="auto"/>
        <w:outlineLvl w:val="0"/>
        <w:rPr>
          <w:rFonts w:hint="eastAsia" w:ascii="仿宋" w:hAnsi="仿宋" w:eastAsia="仿宋" w:cs="仿宋"/>
          <w:b/>
          <w:bCs w:val="0"/>
          <w:color w:val="auto"/>
          <w:sz w:val="21"/>
          <w:szCs w:val="21"/>
          <w:highlight w:val="none"/>
        </w:rPr>
      </w:pPr>
      <w:bookmarkStart w:id="489" w:name="_Toc32756"/>
      <w:bookmarkStart w:id="490" w:name="_Toc30020"/>
      <w:r>
        <w:rPr>
          <w:rFonts w:hint="eastAsia" w:ascii="仿宋" w:hAnsi="仿宋" w:eastAsia="仿宋" w:cs="仿宋"/>
          <w:b/>
          <w:bCs w:val="0"/>
          <w:color w:val="auto"/>
          <w:sz w:val="24"/>
          <w:szCs w:val="24"/>
          <w:highlight w:val="none"/>
          <w:lang w:val="en-US" w:eastAsia="zh-CN"/>
        </w:rPr>
        <w:t xml:space="preserve">第2部分 </w:t>
      </w:r>
      <w:r>
        <w:rPr>
          <w:rFonts w:hint="eastAsia" w:ascii="仿宋" w:hAnsi="仿宋" w:eastAsia="仿宋" w:cs="仿宋"/>
          <w:b/>
          <w:bCs w:val="0"/>
          <w:color w:val="auto"/>
          <w:sz w:val="24"/>
          <w:szCs w:val="24"/>
          <w:highlight w:val="none"/>
        </w:rPr>
        <w:t>开标一览表</w:t>
      </w:r>
      <w:r>
        <w:rPr>
          <w:rFonts w:hint="eastAsia" w:ascii="仿宋" w:hAnsi="仿宋" w:eastAsia="仿宋" w:cs="仿宋"/>
          <w:b/>
          <w:bCs w:val="0"/>
          <w:color w:val="auto"/>
          <w:sz w:val="21"/>
          <w:szCs w:val="21"/>
          <w:highlight w:val="none"/>
        </w:rPr>
        <w:t xml:space="preserve"> ………………………………………………………………</w:t>
      </w:r>
      <w:bookmarkEnd w:id="489"/>
      <w:bookmarkEnd w:id="490"/>
      <w:bookmarkStart w:id="491" w:name="_Toc25926"/>
      <w:bookmarkStart w:id="492" w:name="_Toc13949"/>
    </w:p>
    <w:bookmarkEnd w:id="491"/>
    <w:bookmarkEnd w:id="492"/>
    <w:p w14:paraId="25282BCE">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auto"/>
          <w:szCs w:val="21"/>
          <w:highlight w:val="none"/>
        </w:rPr>
      </w:pPr>
      <w:r>
        <w:rPr>
          <w:rFonts w:hint="eastAsia" w:ascii="仿宋" w:hAnsi="仿宋" w:eastAsia="仿宋" w:cs="仿宋"/>
          <w:b/>
          <w:bCs w:val="0"/>
          <w:color w:val="auto"/>
          <w:kern w:val="2"/>
          <w:sz w:val="24"/>
          <w:szCs w:val="24"/>
          <w:highlight w:val="none"/>
          <w:lang w:val="en-US" w:eastAsia="zh-CN" w:bidi="ar-SA"/>
        </w:rPr>
        <w:t>第3部分 技术文件</w:t>
      </w:r>
      <w:r>
        <w:rPr>
          <w:rFonts w:hint="eastAsia" w:ascii="仿宋" w:hAnsi="仿宋" w:eastAsia="仿宋" w:cs="仿宋"/>
          <w:bCs/>
          <w:color w:val="auto"/>
          <w:szCs w:val="21"/>
          <w:highlight w:val="none"/>
        </w:rPr>
        <w:t xml:space="preserve">…………………………………………………………………… </w:t>
      </w:r>
    </w:p>
    <w:p w14:paraId="5BC04723">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auto"/>
          <w:szCs w:val="21"/>
          <w:highlight w:val="none"/>
        </w:rPr>
      </w:pPr>
      <w:r>
        <w:rPr>
          <w:rFonts w:hint="eastAsia" w:ascii="仿宋" w:hAnsi="仿宋" w:eastAsia="仿宋" w:cs="仿宋"/>
          <w:b/>
          <w:bCs w:val="0"/>
          <w:color w:val="auto"/>
          <w:kern w:val="2"/>
          <w:sz w:val="24"/>
          <w:szCs w:val="24"/>
          <w:highlight w:val="none"/>
          <w:lang w:val="en-US" w:eastAsia="zh-CN" w:bidi="ar-SA"/>
        </w:rPr>
        <w:t>第4部分 商务文件</w:t>
      </w:r>
      <w:r>
        <w:rPr>
          <w:rFonts w:hint="eastAsia" w:ascii="仿宋" w:hAnsi="仿宋" w:eastAsia="仿宋" w:cs="仿宋"/>
          <w:bCs/>
          <w:color w:val="auto"/>
          <w:szCs w:val="21"/>
          <w:highlight w:val="none"/>
        </w:rPr>
        <w:t xml:space="preserve">……………………………………………………………………      </w:t>
      </w:r>
    </w:p>
    <w:p w14:paraId="4E0AEE29">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auto"/>
          <w:szCs w:val="21"/>
          <w:highlight w:val="none"/>
        </w:rPr>
      </w:pPr>
      <w:r>
        <w:rPr>
          <w:rFonts w:hint="eastAsia" w:ascii="仿宋" w:hAnsi="仿宋" w:eastAsia="仿宋" w:cs="仿宋"/>
          <w:b/>
          <w:bCs w:val="0"/>
          <w:color w:val="auto"/>
          <w:kern w:val="2"/>
          <w:sz w:val="24"/>
          <w:szCs w:val="24"/>
          <w:highlight w:val="none"/>
          <w:lang w:val="en-US" w:eastAsia="zh-CN" w:bidi="ar-SA"/>
        </w:rPr>
        <w:t xml:space="preserve">第5部分 投标人认为有必要补充说明的事项 </w:t>
      </w:r>
      <w:r>
        <w:rPr>
          <w:rFonts w:hint="eastAsia" w:ascii="仿宋" w:hAnsi="仿宋" w:eastAsia="仿宋" w:cs="仿宋"/>
          <w:bCs/>
          <w:color w:val="auto"/>
          <w:szCs w:val="21"/>
          <w:highlight w:val="none"/>
        </w:rPr>
        <w:t xml:space="preserve">…………………………………    </w:t>
      </w:r>
    </w:p>
    <w:p w14:paraId="37D96A49">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auto"/>
          <w:szCs w:val="21"/>
          <w:highlight w:val="none"/>
        </w:rPr>
      </w:pPr>
      <w:r>
        <w:rPr>
          <w:rFonts w:hint="eastAsia" w:ascii="仿宋" w:hAnsi="仿宋" w:eastAsia="仿宋" w:cs="仿宋"/>
          <w:b/>
          <w:bCs w:val="0"/>
          <w:color w:val="auto"/>
          <w:kern w:val="2"/>
          <w:sz w:val="24"/>
          <w:szCs w:val="24"/>
          <w:highlight w:val="none"/>
          <w:lang w:val="en-US" w:eastAsia="zh-CN" w:bidi="ar-SA"/>
        </w:rPr>
        <w:t>第6部分 投标人资格证明文件</w:t>
      </w:r>
      <w:r>
        <w:rPr>
          <w:rFonts w:hint="eastAsia" w:ascii="仿宋" w:hAnsi="仿宋" w:eastAsia="仿宋" w:cs="仿宋"/>
          <w:bCs/>
          <w:color w:val="auto"/>
          <w:szCs w:val="21"/>
          <w:highlight w:val="none"/>
        </w:rPr>
        <w:t xml:space="preserve">…………………………………………………… </w:t>
      </w:r>
    </w:p>
    <w:p w14:paraId="0F000A73">
      <w:pPr>
        <w:keepNext w:val="0"/>
        <w:keepLines w:val="0"/>
        <w:pageBreakBefore w:val="0"/>
        <w:widowControl w:val="0"/>
        <w:shd w:val="clear"/>
        <w:kinsoku/>
        <w:wordWrap/>
        <w:overflowPunct/>
        <w:topLinePunct w:val="0"/>
        <w:autoSpaceDE/>
        <w:autoSpaceDN/>
        <w:bidi w:val="0"/>
        <w:adjustRightInd w:val="0"/>
        <w:snapToGrid w:val="0"/>
        <w:spacing w:line="480" w:lineRule="auto"/>
        <w:ind w:firstLine="241" w:firstLineChars="100"/>
        <w:textAlignment w:val="auto"/>
        <w:rPr>
          <w:rFonts w:hint="eastAsia" w:ascii="仿宋" w:hAnsi="仿宋" w:eastAsia="仿宋" w:cs="仿宋"/>
          <w:bCs/>
          <w:color w:val="auto"/>
          <w:szCs w:val="21"/>
          <w:highlight w:val="none"/>
        </w:rPr>
      </w:pPr>
      <w:r>
        <w:rPr>
          <w:rFonts w:hint="eastAsia" w:ascii="仿宋" w:hAnsi="仿宋" w:eastAsia="仿宋" w:cs="仿宋"/>
          <w:b/>
          <w:bCs w:val="0"/>
          <w:color w:val="auto"/>
          <w:kern w:val="2"/>
          <w:sz w:val="24"/>
          <w:szCs w:val="24"/>
          <w:highlight w:val="none"/>
          <w:lang w:val="en-US" w:eastAsia="zh-CN" w:bidi="ar-SA"/>
        </w:rPr>
        <w:t>第7部分 落实政府采购政策需满足的资格要求</w:t>
      </w:r>
      <w:r>
        <w:rPr>
          <w:rFonts w:hint="eastAsia" w:ascii="仿宋" w:hAnsi="仿宋" w:eastAsia="仿宋" w:cs="仿宋"/>
          <w:bCs/>
          <w:color w:val="auto"/>
          <w:szCs w:val="21"/>
          <w:highlight w:val="none"/>
        </w:rPr>
        <w:t xml:space="preserve">………………………………  </w:t>
      </w:r>
    </w:p>
    <w:p w14:paraId="20593DB5">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firstLine="241" w:firstLineChars="100"/>
        <w:jc w:val="both"/>
        <w:textAlignment w:val="auto"/>
        <w:rPr>
          <w:rFonts w:hint="default"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kern w:val="2"/>
          <w:sz w:val="24"/>
          <w:szCs w:val="24"/>
          <w:highlight w:val="none"/>
          <w:lang w:val="en-US" w:eastAsia="zh-CN" w:bidi="ar-SA"/>
        </w:rPr>
        <w:t>第8部分 投标保证金退还声明</w:t>
      </w:r>
      <w:r>
        <w:rPr>
          <w:rFonts w:hint="eastAsia" w:ascii="仿宋" w:hAnsi="仿宋" w:eastAsia="仿宋" w:cs="仿宋"/>
          <w:bCs/>
          <w:color w:val="auto"/>
          <w:kern w:val="2"/>
          <w:sz w:val="21"/>
          <w:szCs w:val="21"/>
          <w:highlight w:val="none"/>
          <w:lang w:val="en-US" w:eastAsia="zh-CN" w:bidi="ar-SA"/>
        </w:rPr>
        <w:t>……………………………………………………</w:t>
      </w:r>
      <w:r>
        <w:rPr>
          <w:rFonts w:hint="eastAsia" w:ascii="仿宋" w:hAnsi="仿宋" w:eastAsia="仿宋" w:cs="仿宋"/>
          <w:bCs/>
          <w:color w:val="auto"/>
          <w:szCs w:val="21"/>
          <w:highlight w:val="none"/>
        </w:rPr>
        <w:t xml:space="preserve"> </w:t>
      </w:r>
    </w:p>
    <w:p w14:paraId="0D874D74">
      <w:pPr>
        <w:keepNext w:val="0"/>
        <w:keepLines w:val="0"/>
        <w:pageBreakBefore w:val="0"/>
        <w:widowControl w:val="0"/>
        <w:shd w:val="clear"/>
        <w:kinsoku/>
        <w:wordWrap/>
        <w:overflowPunct/>
        <w:topLinePunct w:val="0"/>
        <w:autoSpaceDE/>
        <w:autoSpaceDN/>
        <w:bidi w:val="0"/>
        <w:adjustRightInd w:val="0"/>
        <w:snapToGrid w:val="0"/>
        <w:spacing w:line="480" w:lineRule="auto"/>
        <w:ind w:firstLine="210" w:firstLineChars="100"/>
        <w:textAlignment w:val="auto"/>
        <w:rPr>
          <w:rFonts w:hint="eastAsia" w:ascii="仿宋" w:hAnsi="仿宋" w:eastAsia="仿宋" w:cs="仿宋"/>
          <w:bCs/>
          <w:color w:val="auto"/>
          <w:szCs w:val="21"/>
          <w:highlight w:val="none"/>
        </w:rPr>
      </w:pPr>
    </w:p>
    <w:p w14:paraId="04347257">
      <w:pPr>
        <w:keepNext w:val="0"/>
        <w:keepLines w:val="0"/>
        <w:pageBreakBefore w:val="0"/>
        <w:widowControl w:val="0"/>
        <w:shd w:val="clear"/>
        <w:kinsoku/>
        <w:wordWrap/>
        <w:overflowPunct/>
        <w:topLinePunct w:val="0"/>
        <w:autoSpaceDE/>
        <w:autoSpaceDN/>
        <w:bidi w:val="0"/>
        <w:adjustRightInd w:val="0"/>
        <w:snapToGrid w:val="0"/>
        <w:spacing w:line="480" w:lineRule="auto"/>
        <w:ind w:left="210" w:leftChars="100" w:firstLine="0" w:firstLineChars="0"/>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w:t>
      </w:r>
    </w:p>
    <w:p w14:paraId="3FAA1CAD">
      <w:pPr>
        <w:keepNext w:val="0"/>
        <w:keepLines w:val="0"/>
        <w:pageBreakBefore w:val="0"/>
        <w:widowControl w:val="0"/>
        <w:shd w:val="clear"/>
        <w:kinsoku/>
        <w:wordWrap/>
        <w:overflowPunct/>
        <w:topLinePunct w:val="0"/>
        <w:autoSpaceDE/>
        <w:autoSpaceDN/>
        <w:bidi w:val="0"/>
        <w:adjustRightInd w:val="0"/>
        <w:snapToGrid w:val="0"/>
        <w:spacing w:line="360" w:lineRule="auto"/>
        <w:ind w:left="210" w:leftChars="100" w:firstLine="0" w:firstLineChars="0"/>
        <w:textAlignment w:val="auto"/>
        <w:rPr>
          <w:rFonts w:hint="eastAsia" w:ascii="楷体" w:hAnsi="楷体" w:eastAsia="楷体" w:cs="楷体"/>
          <w:color w:val="auto"/>
          <w:highlight w:val="none"/>
        </w:rPr>
      </w:pPr>
      <w:r>
        <w:rPr>
          <w:rFonts w:hint="eastAsia" w:ascii="仿宋" w:hAnsi="仿宋" w:eastAsia="仿宋" w:cs="仿宋"/>
          <w:bCs/>
          <w:color w:val="auto"/>
          <w:szCs w:val="21"/>
          <w:highlight w:val="none"/>
        </w:rPr>
        <w:t xml:space="preserve"> </w:t>
      </w:r>
      <w:r>
        <w:rPr>
          <w:rFonts w:hint="eastAsia" w:ascii="楷体" w:hAnsi="楷体" w:eastAsia="楷体" w:cs="楷体"/>
          <w:bCs/>
          <w:color w:val="auto"/>
          <w:szCs w:val="21"/>
          <w:highlight w:val="none"/>
        </w:rPr>
        <w:t xml:space="preserve">   </w:t>
      </w:r>
    </w:p>
    <w:p w14:paraId="0193E6F6">
      <w:pPr>
        <w:shd w:val="clear"/>
        <w:snapToGrid w:val="0"/>
        <w:spacing w:line="360" w:lineRule="auto"/>
        <w:ind w:firstLine="420" w:firstLineChars="200"/>
        <w:outlineLvl w:val="9"/>
        <w:rPr>
          <w:rFonts w:hint="eastAsia" w:ascii="楷体" w:hAnsi="楷体" w:eastAsia="楷体" w:cs="楷体"/>
          <w:bCs/>
          <w:color w:val="auto"/>
          <w:szCs w:val="21"/>
          <w:highlight w:val="none"/>
        </w:rPr>
      </w:pPr>
      <w:r>
        <w:rPr>
          <w:rFonts w:hint="eastAsia" w:ascii="楷体" w:hAnsi="楷体" w:eastAsia="楷体" w:cs="楷体"/>
          <w:bCs/>
          <w:color w:val="auto"/>
          <w:szCs w:val="21"/>
          <w:highlight w:val="none"/>
        </w:rPr>
        <w:t xml:space="preserve"> </w:t>
      </w:r>
    </w:p>
    <w:p w14:paraId="55A9BA41">
      <w:pPr>
        <w:shd w:val="clear"/>
        <w:rPr>
          <w:rFonts w:hint="eastAsia" w:ascii="楷体" w:hAnsi="楷体" w:eastAsia="楷体" w:cs="楷体"/>
          <w:b/>
          <w:color w:val="auto"/>
          <w:sz w:val="24"/>
          <w:szCs w:val="24"/>
          <w:highlight w:val="none"/>
        </w:rPr>
      </w:pPr>
    </w:p>
    <w:p w14:paraId="6FC26FA5">
      <w:pPr>
        <w:shd w:val="clear"/>
        <w:rPr>
          <w:rFonts w:hint="eastAsia" w:ascii="楷体" w:hAnsi="楷体" w:eastAsia="楷体" w:cs="楷体"/>
          <w:b/>
          <w:color w:val="auto"/>
          <w:sz w:val="24"/>
          <w:szCs w:val="24"/>
          <w:highlight w:val="none"/>
        </w:rPr>
      </w:pPr>
    </w:p>
    <w:p w14:paraId="57A8C964">
      <w:pPr>
        <w:shd w:val="clear"/>
        <w:jc w:val="center"/>
        <w:outlineLvl w:val="0"/>
        <w:rPr>
          <w:rFonts w:hint="eastAsia" w:ascii="仿宋" w:hAnsi="仿宋" w:eastAsia="仿宋" w:cs="仿宋"/>
          <w:b/>
          <w:color w:val="auto"/>
          <w:sz w:val="32"/>
          <w:highlight w:val="none"/>
        </w:rPr>
      </w:pPr>
      <w:r>
        <w:rPr>
          <w:rFonts w:hint="eastAsia" w:ascii="楷体" w:hAnsi="楷体" w:eastAsia="楷体" w:cs="楷体"/>
          <w:b/>
          <w:color w:val="auto"/>
          <w:sz w:val="32"/>
          <w:highlight w:val="none"/>
        </w:rPr>
        <w:br w:type="page"/>
      </w:r>
      <w:bookmarkStart w:id="493" w:name="_Toc13717_WPSOffice_Level1"/>
      <w:bookmarkStart w:id="494" w:name="_Toc9795"/>
      <w:bookmarkStart w:id="495" w:name="_Toc2877_WPSOffice_Level1"/>
      <w:bookmarkStart w:id="496" w:name="_Toc2212"/>
      <w:bookmarkStart w:id="497" w:name="_Toc19976"/>
      <w:bookmarkStart w:id="498" w:name="_Toc15443"/>
      <w:bookmarkStart w:id="499" w:name="_Toc32681"/>
      <w:bookmarkStart w:id="500" w:name="_Toc2582"/>
      <w:bookmarkStart w:id="501" w:name="_Toc22149"/>
      <w:bookmarkStart w:id="502" w:name="_Toc12818"/>
      <w:bookmarkStart w:id="503" w:name="_Toc13659"/>
      <w:bookmarkStart w:id="504" w:name="_Toc24632"/>
      <w:bookmarkStart w:id="505" w:name="_Toc17963"/>
      <w:bookmarkStart w:id="506" w:name="_Toc23361"/>
      <w:bookmarkStart w:id="507" w:name="_Toc10929"/>
      <w:bookmarkStart w:id="508" w:name="_Toc11323"/>
      <w:bookmarkStart w:id="509" w:name="_Toc7595_WPSOffice_Level1"/>
      <w:bookmarkStart w:id="510" w:name="_Toc24872"/>
      <w:r>
        <w:rPr>
          <w:rFonts w:hint="eastAsia" w:ascii="仿宋" w:hAnsi="仿宋" w:eastAsia="仿宋" w:cs="仿宋"/>
          <w:b/>
          <w:color w:val="auto"/>
          <w:sz w:val="32"/>
          <w:highlight w:val="none"/>
          <w:lang w:val="en-US" w:eastAsia="zh-CN"/>
        </w:rPr>
        <w:t xml:space="preserve">第1部分  </w:t>
      </w:r>
      <w:r>
        <w:rPr>
          <w:rFonts w:hint="eastAsia" w:ascii="仿宋" w:hAnsi="仿宋" w:eastAsia="仿宋" w:cs="仿宋"/>
          <w:b/>
          <w:color w:val="auto"/>
          <w:sz w:val="32"/>
          <w:highlight w:val="none"/>
        </w:rPr>
        <w:t>投标函</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12592AA7">
      <w:pPr>
        <w:shd w:val="clear"/>
        <w:jc w:val="left"/>
        <w:rPr>
          <w:rFonts w:hint="eastAsia" w:ascii="仿宋" w:hAnsi="仿宋" w:eastAsia="仿宋" w:cs="仿宋"/>
          <w:color w:val="auto"/>
          <w:spacing w:val="4"/>
          <w:szCs w:val="21"/>
          <w:highlight w:val="none"/>
        </w:rPr>
      </w:pPr>
      <w:bookmarkStart w:id="511" w:name="_Toc3600"/>
      <w:bookmarkStart w:id="512" w:name="_Toc24827"/>
      <w:bookmarkStart w:id="513" w:name="_Toc26428"/>
      <w:bookmarkStart w:id="514" w:name="_Toc1469"/>
      <w:bookmarkStart w:id="515" w:name="_Toc15529"/>
      <w:bookmarkStart w:id="516" w:name="_Toc31162_WPSOffice_Level1"/>
      <w:bookmarkStart w:id="517" w:name="_Toc2867_WPSOffice_Level1"/>
      <w:bookmarkStart w:id="518" w:name="_Toc565"/>
      <w:bookmarkStart w:id="519" w:name="_Toc19462"/>
      <w:bookmarkStart w:id="520" w:name="_Toc17648_WPSOffice_Level1"/>
      <w:bookmarkStart w:id="521" w:name="_Toc23969"/>
      <w:bookmarkStart w:id="522" w:name="_Toc23412"/>
      <w:bookmarkStart w:id="523" w:name="_Toc12932"/>
    </w:p>
    <w:p w14:paraId="21829C78">
      <w:pPr>
        <w:shd w:val="clear"/>
        <w:spacing w:line="400" w:lineRule="exact"/>
        <w:jc w:val="left"/>
        <w:rPr>
          <w:rFonts w:hint="eastAsia"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致：</w:t>
      </w:r>
      <w:r>
        <w:rPr>
          <w:rFonts w:hint="eastAsia" w:ascii="仿宋" w:hAnsi="仿宋" w:eastAsia="仿宋" w:cs="仿宋"/>
          <w:color w:val="auto"/>
          <w:spacing w:val="4"/>
          <w:szCs w:val="21"/>
          <w:highlight w:val="none"/>
          <w:u w:val="single"/>
          <w:lang w:eastAsia="zh-CN"/>
        </w:rPr>
        <w:t xml:space="preserve"> 宁强县水利局</w:t>
      </w:r>
      <w:r>
        <w:rPr>
          <w:rFonts w:hint="eastAsia" w:ascii="仿宋" w:hAnsi="仿宋" w:eastAsia="仿宋" w:cs="仿宋"/>
          <w:color w:val="auto"/>
          <w:spacing w:val="4"/>
          <w:szCs w:val="21"/>
          <w:highlight w:val="none"/>
          <w:u w:val="single"/>
        </w:rPr>
        <w:t>/</w:t>
      </w:r>
      <w:r>
        <w:rPr>
          <w:rFonts w:hint="eastAsia" w:ascii="仿宋" w:hAnsi="仿宋" w:eastAsia="仿宋" w:cs="仿宋"/>
          <w:color w:val="auto"/>
          <w:spacing w:val="4"/>
          <w:szCs w:val="21"/>
          <w:highlight w:val="none"/>
          <w:u w:val="single"/>
          <w:lang w:eastAsia="zh-CN"/>
        </w:rPr>
        <w:t>陕西汉正项目管理有限公司</w:t>
      </w:r>
      <w:r>
        <w:rPr>
          <w:rFonts w:hint="eastAsia" w:ascii="仿宋" w:hAnsi="仿宋" w:eastAsia="仿宋" w:cs="仿宋"/>
          <w:color w:val="auto"/>
          <w:spacing w:val="4"/>
          <w:szCs w:val="21"/>
          <w:highlight w:val="none"/>
          <w:u w:val="single"/>
        </w:rPr>
        <w:t xml:space="preserve"> </w:t>
      </w:r>
    </w:p>
    <w:p w14:paraId="70755154">
      <w:pPr>
        <w:shd w:val="clear"/>
        <w:spacing w:line="400" w:lineRule="exact"/>
        <w:ind w:left="6" w:leftChars="0" w:firstLine="518" w:firstLineChars="238"/>
        <w:jc w:val="left"/>
        <w:rPr>
          <w:rFonts w:hint="eastAsia"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根据贵方“</w:t>
      </w:r>
      <w:r>
        <w:rPr>
          <w:rFonts w:hint="eastAsia" w:ascii="仿宋" w:hAnsi="仿宋" w:eastAsia="仿宋" w:cs="仿宋"/>
          <w:color w:val="auto"/>
          <w:spacing w:val="4"/>
          <w:szCs w:val="21"/>
          <w:highlight w:val="none"/>
          <w:u w:val="single"/>
        </w:rPr>
        <w:t>宁强县水利局分散供水工程消毒药剂购置项目(</w:t>
      </w:r>
      <w:r>
        <w:rPr>
          <w:rFonts w:hint="eastAsia" w:ascii="仿宋" w:hAnsi="仿宋" w:eastAsia="仿宋" w:cs="仿宋"/>
          <w:color w:val="auto"/>
          <w:spacing w:val="4"/>
          <w:szCs w:val="21"/>
          <w:highlight w:val="none"/>
          <w:u w:val="single"/>
          <w:lang w:val="en-US" w:eastAsia="zh-CN"/>
        </w:rPr>
        <w:t>项目</w:t>
      </w:r>
      <w:r>
        <w:rPr>
          <w:rFonts w:hint="eastAsia" w:ascii="仿宋" w:hAnsi="仿宋" w:eastAsia="仿宋" w:cs="仿宋"/>
          <w:color w:val="auto"/>
          <w:spacing w:val="4"/>
          <w:szCs w:val="21"/>
          <w:highlight w:val="none"/>
          <w:u w:val="single"/>
        </w:rPr>
        <w:t>编号：HZ-J2024011C)</w:t>
      </w:r>
      <w:r>
        <w:rPr>
          <w:rFonts w:hint="eastAsia" w:ascii="仿宋" w:hAnsi="仿宋" w:eastAsia="仿宋" w:cs="仿宋"/>
          <w:color w:val="auto"/>
          <w:spacing w:val="4"/>
          <w:szCs w:val="21"/>
          <w:highlight w:val="none"/>
        </w:rPr>
        <w:t xml:space="preserve"> ”，签字代表</w:t>
      </w:r>
      <w:r>
        <w:rPr>
          <w:rFonts w:hint="eastAsia" w:ascii="仿宋" w:hAnsi="仿宋" w:eastAsia="仿宋" w:cs="仿宋"/>
          <w:color w:val="auto"/>
          <w:spacing w:val="4"/>
          <w:szCs w:val="21"/>
          <w:highlight w:val="none"/>
          <w:u w:val="single"/>
        </w:rPr>
        <w:t>（全名、职务）</w:t>
      </w:r>
      <w:r>
        <w:rPr>
          <w:rFonts w:hint="eastAsia" w:ascii="仿宋" w:hAnsi="仿宋" w:eastAsia="仿宋" w:cs="仿宋"/>
          <w:color w:val="auto"/>
          <w:spacing w:val="4"/>
          <w:szCs w:val="21"/>
          <w:highlight w:val="none"/>
        </w:rPr>
        <w:t>经正式授权并代表我方</w:t>
      </w:r>
      <w:r>
        <w:rPr>
          <w:rFonts w:hint="eastAsia" w:ascii="仿宋" w:hAnsi="仿宋" w:eastAsia="仿宋" w:cs="仿宋"/>
          <w:color w:val="auto"/>
          <w:spacing w:val="4"/>
          <w:szCs w:val="21"/>
          <w:highlight w:val="none"/>
          <w:u w:val="single"/>
        </w:rPr>
        <w:t xml:space="preserve">    (投标人名称)</w:t>
      </w:r>
      <w:r>
        <w:rPr>
          <w:rFonts w:hint="eastAsia" w:ascii="仿宋" w:hAnsi="仿宋" w:eastAsia="仿宋" w:cs="仿宋"/>
          <w:color w:val="auto"/>
          <w:spacing w:val="4"/>
          <w:szCs w:val="21"/>
          <w:highlight w:val="none"/>
        </w:rPr>
        <w:t xml:space="preserve"> 提交投标文件正本</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rPr>
        <w:t>份、副本</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rPr>
        <w:t>份、开标一览表</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rPr>
        <w:t>份、</w:t>
      </w:r>
      <w:r>
        <w:rPr>
          <w:rFonts w:hint="eastAsia" w:ascii="仿宋" w:hAnsi="仿宋" w:eastAsia="仿宋" w:cs="仿宋"/>
          <w:color w:val="auto"/>
          <w:szCs w:val="21"/>
          <w:highlight w:val="none"/>
        </w:rPr>
        <w:t>投标文件电子版U盘</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rPr>
        <w:t>份。</w:t>
      </w:r>
    </w:p>
    <w:p w14:paraId="05B902A1">
      <w:pPr>
        <w:shd w:val="clear"/>
        <w:spacing w:line="400" w:lineRule="exact"/>
        <w:ind w:left="546" w:leftChars="251" w:hanging="19" w:hangingChars="9"/>
        <w:jc w:val="left"/>
        <w:rPr>
          <w:rFonts w:hint="eastAsia"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我方承诺如下：</w:t>
      </w:r>
    </w:p>
    <w:p w14:paraId="068F40D5">
      <w:pPr>
        <w:shd w:val="clear"/>
        <w:tabs>
          <w:tab w:val="left" w:pos="2160"/>
        </w:tabs>
        <w:spacing w:line="400" w:lineRule="exact"/>
        <w:ind w:firstLine="436" w:firstLineChars="200"/>
        <w:jc w:val="left"/>
        <w:rPr>
          <w:rFonts w:hint="eastAsia"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1）投标报价为人民币（¥</w:t>
      </w:r>
      <w:r>
        <w:rPr>
          <w:rFonts w:hint="eastAsia" w:ascii="仿宋" w:hAnsi="仿宋" w:eastAsia="仿宋" w:cs="仿宋"/>
          <w:color w:val="auto"/>
          <w:spacing w:val="4"/>
          <w:szCs w:val="21"/>
          <w:highlight w:val="none"/>
          <w:u w:val="single"/>
          <w:lang w:val="en-US" w:eastAsia="zh-CN"/>
        </w:rPr>
        <w:t xml:space="preserve">      </w:t>
      </w:r>
      <w:r>
        <w:rPr>
          <w:rFonts w:hint="eastAsia" w:ascii="仿宋" w:hAnsi="仿宋" w:eastAsia="仿宋" w:cs="仿宋"/>
          <w:color w:val="auto"/>
          <w:spacing w:val="4"/>
          <w:szCs w:val="21"/>
          <w:highlight w:val="none"/>
          <w:u w:val="single"/>
        </w:rPr>
        <w:t xml:space="preserve"> </w:t>
      </w:r>
      <w:r>
        <w:rPr>
          <w:rFonts w:hint="eastAsia" w:ascii="仿宋" w:hAnsi="仿宋" w:eastAsia="仿宋" w:cs="仿宋"/>
          <w:color w:val="auto"/>
          <w:spacing w:val="4"/>
          <w:szCs w:val="21"/>
          <w:highlight w:val="none"/>
        </w:rPr>
        <w:t>）（用文字和数字表示的投标总价）。</w:t>
      </w:r>
    </w:p>
    <w:p w14:paraId="710FFDE9">
      <w:pPr>
        <w:shd w:val="clear"/>
        <w:tabs>
          <w:tab w:val="left" w:pos="2160"/>
        </w:tabs>
        <w:spacing w:line="400" w:lineRule="exact"/>
        <w:ind w:firstLine="436" w:firstLineChars="200"/>
        <w:jc w:val="left"/>
        <w:rPr>
          <w:rFonts w:hint="eastAsia"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2）如果中标，我们根据招标文件的规定，履行合同的责任和义务。</w:t>
      </w:r>
    </w:p>
    <w:p w14:paraId="49E336D9">
      <w:pPr>
        <w:shd w:val="clear"/>
        <w:tabs>
          <w:tab w:val="left" w:pos="2160"/>
        </w:tabs>
        <w:spacing w:line="400" w:lineRule="exact"/>
        <w:ind w:firstLine="436" w:firstLineChars="200"/>
        <w:jc w:val="left"/>
        <w:rPr>
          <w:rFonts w:hint="eastAsia"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3）我方已仔细阅读了招标文件的全部内容，并同意和放弃对招标文件不明或误解而询问、质疑和投诉的权利。</w:t>
      </w:r>
    </w:p>
    <w:p w14:paraId="37A4E2A3">
      <w:pPr>
        <w:shd w:val="clear"/>
        <w:tabs>
          <w:tab w:val="left" w:pos="2160"/>
        </w:tabs>
        <w:spacing w:line="400" w:lineRule="exact"/>
        <w:ind w:firstLine="436" w:firstLineChars="200"/>
        <w:jc w:val="left"/>
        <w:rPr>
          <w:rFonts w:hint="eastAsia" w:ascii="仿宋" w:hAnsi="仿宋" w:eastAsia="仿宋" w:cs="仿宋"/>
          <w:color w:val="auto"/>
          <w:spacing w:val="4"/>
          <w:szCs w:val="21"/>
          <w:highlight w:val="none"/>
        </w:rPr>
      </w:pPr>
      <w:r>
        <w:rPr>
          <w:rFonts w:hint="eastAsia" w:ascii="仿宋" w:hAnsi="仿宋" w:eastAsia="仿宋" w:cs="仿宋"/>
          <w:color w:val="auto"/>
          <w:spacing w:val="4"/>
          <w:szCs w:val="21"/>
          <w:highlight w:val="none"/>
        </w:rPr>
        <w:t>4）我们同意在投标有效期内（</w:t>
      </w:r>
      <w:r>
        <w:rPr>
          <w:rFonts w:hint="eastAsia" w:ascii="仿宋" w:hAnsi="仿宋" w:eastAsia="仿宋" w:cs="仿宋"/>
          <w:color w:val="auto"/>
          <w:spacing w:val="4"/>
          <w:szCs w:val="21"/>
          <w:highlight w:val="none"/>
          <w:u w:val="single"/>
        </w:rPr>
        <w:t>自投标之日起   天</w:t>
      </w:r>
      <w:r>
        <w:rPr>
          <w:rFonts w:hint="eastAsia" w:ascii="仿宋" w:hAnsi="仿宋" w:eastAsia="仿宋" w:cs="仿宋"/>
          <w:color w:val="auto"/>
          <w:spacing w:val="4"/>
          <w:szCs w:val="21"/>
          <w:highlight w:val="none"/>
        </w:rPr>
        <w:t>），本投标函对我方具有约束力。</w:t>
      </w:r>
    </w:p>
    <w:p w14:paraId="41723FC9">
      <w:pPr>
        <w:shd w:val="clear"/>
        <w:tabs>
          <w:tab w:val="left" w:pos="2160"/>
        </w:tabs>
        <w:spacing w:line="400" w:lineRule="exact"/>
        <w:ind w:firstLine="436" w:firstLineChars="200"/>
        <w:jc w:val="left"/>
        <w:rPr>
          <w:rFonts w:hint="eastAsia" w:ascii="仿宋" w:hAnsi="仿宋" w:eastAsia="仿宋" w:cs="仿宋"/>
          <w:color w:val="auto"/>
          <w:spacing w:val="4"/>
          <w:szCs w:val="21"/>
          <w:highlight w:val="none"/>
        </w:rPr>
      </w:pPr>
      <w:r>
        <w:rPr>
          <w:rFonts w:hint="eastAsia" w:ascii="仿宋" w:hAnsi="仿宋" w:eastAsia="仿宋" w:cs="仿宋"/>
          <w:color w:val="auto"/>
          <w:spacing w:val="4"/>
          <w:szCs w:val="21"/>
          <w:highlight w:val="none"/>
          <w:lang w:val="en-US" w:eastAsia="zh-CN"/>
        </w:rPr>
        <w:t>5</w:t>
      </w:r>
      <w:r>
        <w:rPr>
          <w:rFonts w:hint="eastAsia" w:ascii="仿宋" w:hAnsi="仿宋" w:eastAsia="仿宋" w:cs="仿宋"/>
          <w:color w:val="auto"/>
          <w:spacing w:val="4"/>
          <w:szCs w:val="21"/>
          <w:highlight w:val="none"/>
        </w:rPr>
        <w:t xml:space="preserve">）同意提供贵方可能另外要求的与本投标有关的任何证据和资料。 </w:t>
      </w:r>
    </w:p>
    <w:p w14:paraId="31A62DC8">
      <w:pPr>
        <w:shd w:val="clear"/>
        <w:tabs>
          <w:tab w:val="left" w:pos="2160"/>
        </w:tabs>
        <w:spacing w:line="400" w:lineRule="exact"/>
        <w:ind w:firstLine="436" w:firstLineChars="200"/>
        <w:jc w:val="left"/>
        <w:rPr>
          <w:rFonts w:hint="eastAsia" w:ascii="仿宋" w:hAnsi="仿宋" w:eastAsia="仿宋" w:cs="仿宋"/>
          <w:color w:val="auto"/>
          <w:spacing w:val="4"/>
          <w:szCs w:val="21"/>
          <w:highlight w:val="none"/>
        </w:rPr>
      </w:pPr>
      <w:r>
        <w:rPr>
          <w:rFonts w:hint="eastAsia" w:ascii="仿宋" w:hAnsi="仿宋" w:eastAsia="仿宋" w:cs="仿宋"/>
          <w:color w:val="auto"/>
          <w:spacing w:val="4"/>
          <w:szCs w:val="21"/>
          <w:highlight w:val="none"/>
          <w:lang w:val="en-US" w:eastAsia="zh-CN"/>
        </w:rPr>
        <w:t>6</w:t>
      </w:r>
      <w:r>
        <w:rPr>
          <w:rFonts w:hint="eastAsia" w:ascii="仿宋" w:hAnsi="仿宋" w:eastAsia="仿宋" w:cs="仿宋"/>
          <w:color w:val="auto"/>
          <w:spacing w:val="4"/>
          <w:szCs w:val="21"/>
          <w:highlight w:val="none"/>
        </w:rPr>
        <w:t>）我</w:t>
      </w:r>
      <w:r>
        <w:rPr>
          <w:rFonts w:hint="eastAsia" w:ascii="仿宋" w:hAnsi="仿宋" w:eastAsia="仿宋" w:cs="仿宋"/>
          <w:color w:val="auto"/>
          <w:spacing w:val="4"/>
          <w:szCs w:val="21"/>
          <w:highlight w:val="none"/>
          <w:lang w:val="en-US" w:eastAsia="zh-CN"/>
        </w:rPr>
        <w:t>方</w:t>
      </w:r>
      <w:r>
        <w:rPr>
          <w:rFonts w:hint="eastAsia" w:ascii="仿宋" w:hAnsi="仿宋" w:eastAsia="仿宋" w:cs="仿宋"/>
          <w:color w:val="auto"/>
          <w:spacing w:val="4"/>
          <w:szCs w:val="21"/>
          <w:highlight w:val="none"/>
        </w:rPr>
        <w:t>保证，如果中标，按规定和标准向贵方交纳招标代理服务费。</w:t>
      </w:r>
    </w:p>
    <w:p w14:paraId="2D393B98">
      <w:pPr>
        <w:shd w:val="clear"/>
        <w:tabs>
          <w:tab w:val="left" w:pos="2160"/>
        </w:tabs>
        <w:spacing w:line="400" w:lineRule="exact"/>
        <w:ind w:firstLine="436" w:firstLineChars="200"/>
        <w:jc w:val="left"/>
        <w:rPr>
          <w:rFonts w:hint="eastAsia" w:ascii="仿宋" w:hAnsi="仿宋" w:eastAsia="仿宋" w:cs="仿宋"/>
          <w:color w:val="auto"/>
          <w:spacing w:val="4"/>
          <w:szCs w:val="21"/>
          <w:highlight w:val="none"/>
        </w:rPr>
      </w:pPr>
      <w:r>
        <w:rPr>
          <w:rFonts w:hint="eastAsia" w:ascii="仿宋" w:hAnsi="仿宋" w:eastAsia="仿宋" w:cs="仿宋"/>
          <w:color w:val="auto"/>
          <w:spacing w:val="4"/>
          <w:szCs w:val="21"/>
          <w:highlight w:val="none"/>
          <w:lang w:val="en-US" w:eastAsia="zh-CN"/>
        </w:rPr>
        <w:t>7</w:t>
      </w:r>
      <w:r>
        <w:rPr>
          <w:rFonts w:hint="eastAsia" w:ascii="仿宋" w:hAnsi="仿宋" w:eastAsia="仿宋" w:cs="仿宋"/>
          <w:color w:val="auto"/>
          <w:spacing w:val="4"/>
          <w:szCs w:val="21"/>
          <w:highlight w:val="none"/>
        </w:rPr>
        <w:t>）与本投标有关的一切正式往来通讯为：</w:t>
      </w:r>
    </w:p>
    <w:p w14:paraId="7CDC0DCD">
      <w:pPr>
        <w:shd w:val="clear"/>
        <w:kinsoku w:val="0"/>
        <w:spacing w:line="360" w:lineRule="auto"/>
        <w:ind w:firstLine="84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地    址：</w:t>
      </w:r>
    </w:p>
    <w:p w14:paraId="4EEB6A5D">
      <w:pPr>
        <w:pStyle w:val="27"/>
        <w:shd w:val="clear"/>
        <w:spacing w:after="0"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  系 人：</w:t>
      </w:r>
    </w:p>
    <w:p w14:paraId="41654702">
      <w:pPr>
        <w:shd w:val="clear"/>
        <w:kinsoku w:val="0"/>
        <w:spacing w:line="360" w:lineRule="auto"/>
        <w:ind w:firstLine="84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电    话：</w:t>
      </w:r>
    </w:p>
    <w:p w14:paraId="2F442E8E">
      <w:pPr>
        <w:shd w:val="clear"/>
        <w:kinsoku w:val="0"/>
        <w:spacing w:line="360" w:lineRule="auto"/>
        <w:ind w:firstLine="84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传    真：</w:t>
      </w:r>
    </w:p>
    <w:p w14:paraId="33FA73C7">
      <w:pPr>
        <w:shd w:val="clear"/>
        <w:kinsoku w:val="0"/>
        <w:spacing w:line="360" w:lineRule="auto"/>
        <w:ind w:firstLine="840"/>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    编：</w:t>
      </w:r>
    </w:p>
    <w:p w14:paraId="309C3F4D">
      <w:pPr>
        <w:shd w:val="clear"/>
        <w:kinsoku w:val="0"/>
        <w:spacing w:line="360" w:lineRule="auto"/>
        <w:ind w:firstLine="840" w:firstLineChars="400"/>
        <w:rPr>
          <w:rFonts w:hint="eastAsia" w:ascii="仿宋" w:hAnsi="仿宋" w:eastAsia="仿宋" w:cs="仿宋"/>
          <w:color w:val="auto"/>
          <w:szCs w:val="21"/>
          <w:highlight w:val="none"/>
        </w:rPr>
      </w:pPr>
    </w:p>
    <w:p w14:paraId="68CCBD1E">
      <w:pPr>
        <w:shd w:val="clear"/>
        <w:kinsoku w:val="0"/>
        <w:spacing w:line="360" w:lineRule="auto"/>
        <w:ind w:firstLine="840" w:firstLineChars="400"/>
        <w:rPr>
          <w:rFonts w:hint="eastAsia" w:ascii="仿宋" w:hAnsi="仿宋" w:eastAsia="仿宋" w:cs="仿宋"/>
          <w:color w:val="auto"/>
          <w:szCs w:val="21"/>
          <w:highlight w:val="none"/>
        </w:rPr>
      </w:pPr>
    </w:p>
    <w:p w14:paraId="01612BAC">
      <w:pPr>
        <w:shd w:val="clear"/>
        <w:kinsoku w:val="0"/>
        <w:spacing w:line="360" w:lineRule="auto"/>
        <w:ind w:firstLine="840" w:firstLineChars="400"/>
        <w:rPr>
          <w:rFonts w:hint="eastAsia" w:ascii="仿宋" w:hAnsi="仿宋" w:eastAsia="仿宋" w:cs="仿宋"/>
          <w:color w:val="auto"/>
          <w:szCs w:val="21"/>
          <w:highlight w:val="none"/>
        </w:rPr>
      </w:pPr>
    </w:p>
    <w:p w14:paraId="56E4E18D">
      <w:pPr>
        <w:shd w:val="clear"/>
        <w:kinsoku w:val="0"/>
        <w:spacing w:line="360" w:lineRule="auto"/>
        <w:ind w:firstLine="4410" w:firstLineChars="2100"/>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rPr>
        <w:t>投 标 人：</w:t>
      </w:r>
      <w:r>
        <w:rPr>
          <w:rFonts w:hint="eastAsia" w:ascii="仿宋" w:hAnsi="仿宋" w:eastAsia="仿宋" w:cs="仿宋"/>
          <w:color w:val="auto"/>
          <w:szCs w:val="21"/>
          <w:highlight w:val="none"/>
          <w:u w:val="none"/>
        </w:rPr>
        <w:t xml:space="preserve">（公章）  </w:t>
      </w:r>
    </w:p>
    <w:p w14:paraId="6F8B8A41">
      <w:pPr>
        <w:pStyle w:val="2"/>
        <w:shd w:val="clear"/>
        <w:rPr>
          <w:rFonts w:hint="eastAsia"/>
          <w:color w:val="auto"/>
          <w:highlight w:val="none"/>
        </w:rPr>
      </w:pPr>
    </w:p>
    <w:p w14:paraId="64954AC3">
      <w:pPr>
        <w:shd w:val="clear"/>
        <w:kinsoku w:val="0"/>
        <w:spacing w:line="360" w:lineRule="auto"/>
        <w:ind w:firstLine="4410" w:firstLine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法定代表人或授权代表：（签字）</w:t>
      </w:r>
    </w:p>
    <w:p w14:paraId="35B88185">
      <w:pPr>
        <w:shd w:val="clear"/>
        <w:kinsoku w:val="0"/>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p>
    <w:p w14:paraId="3698369F">
      <w:pPr>
        <w:shd w:val="clear"/>
        <w:kinsoku w:val="0"/>
        <w:spacing w:line="360" w:lineRule="auto"/>
        <w:ind w:firstLine="4410" w:firstLineChars="21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日期：     </w:t>
      </w:r>
      <w:r>
        <w:rPr>
          <w:rFonts w:hint="eastAsia" w:ascii="仿宋" w:hAnsi="仿宋" w:eastAsia="仿宋" w:cs="仿宋"/>
          <w:color w:val="auto"/>
          <w:szCs w:val="21"/>
          <w:highlight w:val="none"/>
        </w:rPr>
        <w:t>年   月   日</w:t>
      </w:r>
    </w:p>
    <w:p w14:paraId="032025A5">
      <w:pPr>
        <w:shd w:val="clear"/>
        <w:spacing w:line="360" w:lineRule="auto"/>
        <w:ind w:firstLine="1606" w:firstLineChars="500"/>
        <w:rPr>
          <w:rFonts w:hint="eastAsia" w:ascii="仿宋" w:hAnsi="仿宋" w:eastAsia="仿宋" w:cs="仿宋"/>
          <w:b/>
          <w:color w:val="auto"/>
          <w:sz w:val="32"/>
          <w:highlight w:val="none"/>
        </w:rPr>
      </w:pPr>
      <w:bookmarkStart w:id="524" w:name="_Toc28204"/>
    </w:p>
    <w:p w14:paraId="10C3A900">
      <w:pPr>
        <w:shd w:val="clear"/>
        <w:spacing w:line="360" w:lineRule="auto"/>
        <w:ind w:firstLine="1606" w:firstLineChars="500"/>
        <w:outlineLvl w:val="9"/>
        <w:rPr>
          <w:rFonts w:hint="eastAsia" w:ascii="仿宋" w:hAnsi="仿宋" w:eastAsia="仿宋" w:cs="仿宋"/>
          <w:b/>
          <w:color w:val="auto"/>
          <w:sz w:val="32"/>
          <w:highlight w:val="none"/>
        </w:rPr>
      </w:pPr>
      <w:bookmarkStart w:id="525" w:name="_Toc21004"/>
      <w:bookmarkStart w:id="526" w:name="_Toc1200"/>
    </w:p>
    <w:p w14:paraId="2F573083">
      <w:pPr>
        <w:shd w:val="clear"/>
        <w:spacing w:line="360" w:lineRule="auto"/>
        <w:outlineLvl w:val="9"/>
        <w:rPr>
          <w:rFonts w:hint="eastAsia" w:ascii="仿宋" w:hAnsi="仿宋" w:eastAsia="仿宋" w:cs="仿宋"/>
          <w:b/>
          <w:color w:val="auto"/>
          <w:sz w:val="32"/>
          <w:highlight w:val="none"/>
        </w:rPr>
      </w:pPr>
    </w:p>
    <w:p w14:paraId="06F5378D">
      <w:pPr>
        <w:numPr>
          <w:ilvl w:val="0"/>
          <w:numId w:val="0"/>
        </w:numPr>
        <w:shd w:val="clear"/>
        <w:spacing w:line="360" w:lineRule="auto"/>
        <w:ind w:firstLine="2891" w:firstLineChars="900"/>
        <w:outlineLvl w:val="0"/>
        <w:rPr>
          <w:rFonts w:hint="eastAsia" w:ascii="仿宋" w:hAnsi="仿宋" w:eastAsia="仿宋" w:cs="仿宋"/>
          <w:b/>
          <w:color w:val="auto"/>
          <w:sz w:val="32"/>
          <w:highlight w:val="none"/>
        </w:rPr>
      </w:pPr>
      <w:bookmarkStart w:id="527" w:name="_Toc26374"/>
      <w:bookmarkStart w:id="528" w:name="_Toc11132"/>
      <w:r>
        <w:rPr>
          <w:rFonts w:hint="eastAsia" w:ascii="仿宋" w:hAnsi="仿宋" w:eastAsia="仿宋" w:cs="仿宋"/>
          <w:b/>
          <w:color w:val="auto"/>
          <w:kern w:val="2"/>
          <w:sz w:val="32"/>
          <w:lang w:val="en-US" w:eastAsia="zh-CN" w:bidi="ar-SA"/>
        </w:rPr>
        <w:t>第2部分</w:t>
      </w:r>
      <w:r>
        <w:rPr>
          <w:rFonts w:hint="eastAsia" w:ascii="仿宋" w:hAnsi="仿宋" w:eastAsia="仿宋" w:cs="仿宋"/>
          <w:b/>
          <w:color w:val="auto"/>
          <w:sz w:val="32"/>
          <w:highlight w:val="none"/>
          <w:lang w:val="en-US" w:eastAsia="zh-CN"/>
        </w:rPr>
        <w:t xml:space="preserve"> </w:t>
      </w:r>
      <w:r>
        <w:rPr>
          <w:rFonts w:hint="eastAsia" w:ascii="仿宋" w:hAnsi="仿宋" w:eastAsia="仿宋" w:cs="仿宋"/>
          <w:b/>
          <w:color w:val="auto"/>
          <w:sz w:val="32"/>
          <w:highlight w:val="none"/>
        </w:rPr>
        <w:t>开标一览表</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327FF16E">
      <w:pPr>
        <w:numPr>
          <w:ilvl w:val="0"/>
          <w:numId w:val="0"/>
        </w:numPr>
        <w:shd w:val="clear"/>
        <w:spacing w:line="360" w:lineRule="auto"/>
        <w:jc w:val="center"/>
        <w:outlineLvl w:val="0"/>
        <w:rPr>
          <w:rFonts w:hint="default" w:ascii="仿宋" w:hAnsi="仿宋" w:eastAsia="仿宋" w:cs="仿宋"/>
          <w:b/>
          <w:color w:val="auto"/>
          <w:sz w:val="28"/>
          <w:szCs w:val="18"/>
          <w:highlight w:val="none"/>
          <w:lang w:val="en-US" w:eastAsia="zh-CN"/>
        </w:rPr>
      </w:pPr>
      <w:r>
        <w:rPr>
          <w:rFonts w:hint="eastAsia" w:ascii="仿宋" w:hAnsi="仿宋" w:eastAsia="仿宋" w:cs="仿宋"/>
          <w:b/>
          <w:color w:val="auto"/>
          <w:sz w:val="28"/>
          <w:szCs w:val="18"/>
          <w:highlight w:val="none"/>
          <w:lang w:val="en-US" w:eastAsia="zh-CN"/>
        </w:rPr>
        <w:t>2.1、开标一览表</w:t>
      </w:r>
    </w:p>
    <w:p w14:paraId="19BC7AA2">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项目</w:t>
      </w:r>
      <w:r>
        <w:rPr>
          <w:rFonts w:hint="eastAsia" w:ascii="仿宋" w:hAnsi="仿宋" w:eastAsia="仿宋" w:cs="仿宋"/>
          <w:color w:val="auto"/>
          <w:szCs w:val="21"/>
          <w:highlight w:val="none"/>
        </w:rPr>
        <w:t xml:space="preserve">名称：宁强县水利局分散供水工程消毒药剂购置项目     </w:t>
      </w:r>
    </w:p>
    <w:tbl>
      <w:tblPr>
        <w:tblStyle w:val="42"/>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1968"/>
        <w:gridCol w:w="1493"/>
        <w:gridCol w:w="1440"/>
        <w:gridCol w:w="1320"/>
        <w:gridCol w:w="812"/>
      </w:tblGrid>
      <w:tr w14:paraId="7B7E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2154" w:type="dxa"/>
            <w:tcBorders>
              <w:tl2br w:val="single" w:color="auto" w:sz="4" w:space="0"/>
            </w:tcBorders>
          </w:tcPr>
          <w:p w14:paraId="75DD777C">
            <w:pPr>
              <w:shd w:val="clear"/>
              <w:spacing w:line="52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投标内容</w:t>
            </w:r>
          </w:p>
          <w:p w14:paraId="37786B9F">
            <w:pPr>
              <w:shd w:val="clear"/>
              <w:spacing w:line="520" w:lineRule="exact"/>
              <w:ind w:left="435" w:leftChars="207" w:firstLine="315" w:firstLineChars="150"/>
              <w:rPr>
                <w:rFonts w:hint="eastAsia" w:ascii="仿宋" w:hAnsi="仿宋" w:eastAsia="仿宋" w:cs="仿宋"/>
                <w:color w:val="auto"/>
                <w:szCs w:val="21"/>
                <w:highlight w:val="none"/>
              </w:rPr>
            </w:pPr>
          </w:p>
          <w:p w14:paraId="22855D34">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1968" w:type="dxa"/>
            <w:vAlign w:val="center"/>
          </w:tcPr>
          <w:p w14:paraId="43784DA7">
            <w:pPr>
              <w:shd w:val="clea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投标总报价</w:t>
            </w:r>
          </w:p>
          <w:p w14:paraId="304BB848">
            <w:pPr>
              <w:shd w:val="clea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1493" w:type="dxa"/>
            <w:vAlign w:val="center"/>
          </w:tcPr>
          <w:p w14:paraId="1E88A316">
            <w:pPr>
              <w:shd w:val="clear"/>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交货期</w:t>
            </w:r>
          </w:p>
        </w:tc>
        <w:tc>
          <w:tcPr>
            <w:tcW w:w="1440" w:type="dxa"/>
            <w:vAlign w:val="center"/>
          </w:tcPr>
          <w:p w14:paraId="00869E74">
            <w:pPr>
              <w:shd w:val="clea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质保期</w:t>
            </w:r>
          </w:p>
        </w:tc>
        <w:tc>
          <w:tcPr>
            <w:tcW w:w="1320" w:type="dxa"/>
            <w:vAlign w:val="center"/>
          </w:tcPr>
          <w:p w14:paraId="021B03B8">
            <w:pPr>
              <w:shd w:val="clea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投标保证金</w:t>
            </w:r>
          </w:p>
        </w:tc>
        <w:tc>
          <w:tcPr>
            <w:tcW w:w="812" w:type="dxa"/>
            <w:vAlign w:val="center"/>
          </w:tcPr>
          <w:p w14:paraId="73947ECA">
            <w:pPr>
              <w:shd w:val="clea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r>
      <w:tr w14:paraId="543E6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2154" w:type="dxa"/>
          </w:tcPr>
          <w:p w14:paraId="19E9BA86">
            <w:pPr>
              <w:shd w:val="clear"/>
              <w:spacing w:line="360" w:lineRule="auto"/>
              <w:rPr>
                <w:rFonts w:hint="eastAsia" w:ascii="仿宋" w:hAnsi="仿宋" w:eastAsia="仿宋" w:cs="仿宋"/>
                <w:color w:val="auto"/>
                <w:szCs w:val="21"/>
                <w:highlight w:val="none"/>
              </w:rPr>
            </w:pPr>
          </w:p>
        </w:tc>
        <w:tc>
          <w:tcPr>
            <w:tcW w:w="1968" w:type="dxa"/>
            <w:vAlign w:val="center"/>
          </w:tcPr>
          <w:p w14:paraId="2AC796FE">
            <w:pPr>
              <w:shd w:val="clea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大写：</w:t>
            </w:r>
          </w:p>
          <w:p w14:paraId="650F2031">
            <w:pPr>
              <w:shd w:val="clear"/>
              <w:spacing w:line="360" w:lineRule="auto"/>
              <w:jc w:val="left"/>
              <w:rPr>
                <w:rFonts w:hint="eastAsia" w:ascii="仿宋" w:hAnsi="仿宋" w:eastAsia="仿宋" w:cs="仿宋"/>
                <w:color w:val="auto"/>
                <w:szCs w:val="21"/>
                <w:highlight w:val="none"/>
              </w:rPr>
            </w:pPr>
          </w:p>
          <w:p w14:paraId="088F3DDE">
            <w:pPr>
              <w:shd w:val="clear"/>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1493" w:type="dxa"/>
            <w:vAlign w:val="center"/>
          </w:tcPr>
          <w:p w14:paraId="779A4EFB">
            <w:pPr>
              <w:shd w:val="clear"/>
              <w:spacing w:line="360" w:lineRule="auto"/>
              <w:rPr>
                <w:rFonts w:hint="eastAsia" w:ascii="仿宋" w:hAnsi="仿宋" w:eastAsia="仿宋" w:cs="仿宋"/>
                <w:color w:val="auto"/>
                <w:szCs w:val="21"/>
                <w:highlight w:val="none"/>
              </w:rPr>
            </w:pPr>
          </w:p>
        </w:tc>
        <w:tc>
          <w:tcPr>
            <w:tcW w:w="1440" w:type="dxa"/>
          </w:tcPr>
          <w:p w14:paraId="3986F1DD">
            <w:pPr>
              <w:shd w:val="clear"/>
              <w:spacing w:line="360" w:lineRule="auto"/>
              <w:jc w:val="center"/>
              <w:rPr>
                <w:rFonts w:hint="eastAsia" w:ascii="仿宋" w:hAnsi="仿宋" w:eastAsia="仿宋" w:cs="仿宋"/>
                <w:color w:val="auto"/>
                <w:szCs w:val="21"/>
                <w:highlight w:val="none"/>
              </w:rPr>
            </w:pPr>
          </w:p>
        </w:tc>
        <w:tc>
          <w:tcPr>
            <w:tcW w:w="1320" w:type="dxa"/>
            <w:vAlign w:val="center"/>
          </w:tcPr>
          <w:p w14:paraId="63B7D0C6">
            <w:pPr>
              <w:shd w:val="clear"/>
              <w:spacing w:line="360" w:lineRule="auto"/>
              <w:jc w:val="center"/>
              <w:rPr>
                <w:rFonts w:hint="eastAsia" w:ascii="仿宋" w:hAnsi="仿宋" w:eastAsia="仿宋" w:cs="仿宋"/>
                <w:color w:val="auto"/>
                <w:szCs w:val="21"/>
                <w:highlight w:val="none"/>
              </w:rPr>
            </w:pPr>
          </w:p>
        </w:tc>
        <w:tc>
          <w:tcPr>
            <w:tcW w:w="812" w:type="dxa"/>
            <w:vAlign w:val="center"/>
          </w:tcPr>
          <w:p w14:paraId="4A2EF432">
            <w:pPr>
              <w:shd w:val="clear"/>
              <w:spacing w:line="360" w:lineRule="auto"/>
              <w:jc w:val="center"/>
              <w:rPr>
                <w:rFonts w:hint="eastAsia" w:ascii="仿宋" w:hAnsi="仿宋" w:eastAsia="仿宋" w:cs="仿宋"/>
                <w:color w:val="auto"/>
                <w:szCs w:val="21"/>
                <w:highlight w:val="none"/>
              </w:rPr>
            </w:pPr>
          </w:p>
        </w:tc>
      </w:tr>
    </w:tbl>
    <w:p w14:paraId="75C293F2">
      <w:pPr>
        <w:pStyle w:val="27"/>
        <w:shd w:val="clear"/>
        <w:spacing w:after="0" w:line="360" w:lineRule="auto"/>
        <w:ind w:left="0" w:leftChars="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说明：1.报价应按总报价填写，精确到小数点后两位，大小写不一致时，以大写为准；</w:t>
      </w:r>
    </w:p>
    <w:p w14:paraId="7B8FEE39">
      <w:pPr>
        <w:shd w:val="clear"/>
        <w:spacing w:line="360" w:lineRule="auto"/>
        <w:ind w:firstLine="630" w:firstLineChars="3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.本表所列各项数据与投标文件其他地方表述不一致时，以本表为准； </w:t>
      </w:r>
    </w:p>
    <w:p w14:paraId="21BD0FB6">
      <w:pPr>
        <w:shd w:val="clear"/>
        <w:spacing w:line="360" w:lineRule="auto"/>
        <w:ind w:firstLine="630" w:firstLineChars="3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本次报价需包含完成本项目所必须的全部费用。（产品如涉及专利等方面问题，应按 国家相关规定取得授权并确保不发生纠纷，投标（中标）企业须承担相关费用，如产生纠纷 由投标（中标）企业承担全部责任。）</w:t>
      </w:r>
    </w:p>
    <w:p w14:paraId="2A46C561">
      <w:pPr>
        <w:shd w:val="clear"/>
        <w:spacing w:line="360" w:lineRule="auto"/>
        <w:ind w:firstLine="2730" w:firstLineChars="1300"/>
        <w:rPr>
          <w:rFonts w:hint="eastAsia" w:ascii="仿宋" w:hAnsi="仿宋" w:eastAsia="仿宋" w:cs="仿宋"/>
          <w:color w:val="auto"/>
          <w:szCs w:val="21"/>
          <w:highlight w:val="none"/>
          <w:lang w:val="zh-CN"/>
        </w:rPr>
      </w:pPr>
    </w:p>
    <w:p w14:paraId="2F86BED3">
      <w:pPr>
        <w:shd w:val="clear"/>
        <w:spacing w:line="360" w:lineRule="auto"/>
        <w:ind w:firstLine="2730" w:firstLineChars="1300"/>
        <w:rPr>
          <w:rFonts w:hint="eastAsia" w:ascii="仿宋" w:hAnsi="仿宋" w:eastAsia="仿宋" w:cs="仿宋"/>
          <w:color w:val="auto"/>
          <w:szCs w:val="21"/>
          <w:highlight w:val="none"/>
          <w:lang w:val="zh-CN"/>
        </w:rPr>
      </w:pPr>
    </w:p>
    <w:p w14:paraId="1359AE7D">
      <w:pPr>
        <w:shd w:val="clear"/>
        <w:spacing w:line="360" w:lineRule="auto"/>
        <w:ind w:firstLine="2730" w:firstLineChars="1300"/>
        <w:rPr>
          <w:rFonts w:hint="eastAsia" w:ascii="仿宋" w:hAnsi="仿宋" w:eastAsia="仿宋" w:cs="仿宋"/>
          <w:color w:val="auto"/>
          <w:szCs w:val="21"/>
          <w:highlight w:val="none"/>
          <w:lang w:val="zh-CN"/>
        </w:rPr>
      </w:pPr>
    </w:p>
    <w:p w14:paraId="432374CE">
      <w:pPr>
        <w:shd w:val="clear"/>
        <w:spacing w:line="360" w:lineRule="auto"/>
        <w:ind w:firstLine="2730" w:firstLineChars="1300"/>
        <w:rPr>
          <w:rFonts w:hint="eastAsia" w:ascii="仿宋" w:hAnsi="仿宋" w:eastAsia="仿宋" w:cs="仿宋"/>
          <w:color w:val="auto"/>
          <w:szCs w:val="21"/>
          <w:highlight w:val="none"/>
          <w:lang w:val="zh-CN"/>
        </w:rPr>
      </w:pPr>
    </w:p>
    <w:p w14:paraId="04BDD168">
      <w:pPr>
        <w:shd w:val="clear"/>
        <w:spacing w:line="360" w:lineRule="auto"/>
        <w:ind w:firstLine="2730" w:firstLineChars="1300"/>
        <w:rPr>
          <w:rFonts w:hint="eastAsia" w:ascii="仿宋" w:hAnsi="仿宋" w:eastAsia="仿宋" w:cs="仿宋"/>
          <w:color w:val="auto"/>
          <w:szCs w:val="21"/>
          <w:highlight w:val="none"/>
          <w:lang w:val="zh-CN"/>
        </w:rPr>
      </w:pPr>
    </w:p>
    <w:p w14:paraId="2C47D601">
      <w:pPr>
        <w:shd w:val="clear"/>
        <w:spacing w:line="360" w:lineRule="auto"/>
        <w:ind w:firstLine="2730" w:firstLineChars="1300"/>
        <w:rPr>
          <w:rFonts w:hint="eastAsia" w:ascii="仿宋" w:hAnsi="仿宋" w:eastAsia="仿宋" w:cs="仿宋"/>
          <w:color w:val="auto"/>
          <w:szCs w:val="21"/>
          <w:highlight w:val="none"/>
          <w:lang w:val="zh-CN"/>
        </w:rPr>
      </w:pPr>
    </w:p>
    <w:p w14:paraId="2856EA4D">
      <w:pPr>
        <w:shd w:val="clear"/>
        <w:spacing w:line="360" w:lineRule="auto"/>
        <w:ind w:firstLine="2940" w:firstLineChars="14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投标人：（公章）</w:t>
      </w:r>
    </w:p>
    <w:p w14:paraId="0C0F4EDC">
      <w:pPr>
        <w:shd w:val="clear"/>
        <w:spacing w:line="360" w:lineRule="auto"/>
        <w:ind w:firstLine="2940" w:firstLineChars="1400"/>
        <w:rPr>
          <w:rFonts w:hint="eastAsia" w:ascii="仿宋" w:hAnsi="仿宋" w:eastAsia="仿宋" w:cs="仿宋"/>
          <w:color w:val="auto"/>
          <w:szCs w:val="21"/>
          <w:highlight w:val="none"/>
          <w:lang w:val="zh-CN"/>
        </w:rPr>
      </w:pPr>
    </w:p>
    <w:p w14:paraId="6586F4E0">
      <w:pPr>
        <w:shd w:val="clear"/>
        <w:spacing w:line="360" w:lineRule="auto"/>
        <w:ind w:firstLine="2940" w:firstLineChars="14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法定代表人或授权代表：（签字）</w:t>
      </w:r>
    </w:p>
    <w:p w14:paraId="16D54105">
      <w:pPr>
        <w:shd w:val="clear"/>
        <w:spacing w:line="360" w:lineRule="auto"/>
        <w:rPr>
          <w:rFonts w:hint="eastAsia" w:ascii="仿宋" w:hAnsi="仿宋" w:eastAsia="仿宋" w:cs="仿宋"/>
          <w:color w:val="auto"/>
          <w:szCs w:val="21"/>
          <w:highlight w:val="none"/>
          <w:lang w:val="zh-CN"/>
        </w:rPr>
      </w:pPr>
    </w:p>
    <w:p w14:paraId="55E3C087">
      <w:pPr>
        <w:shd w:val="clear"/>
        <w:spacing w:line="420" w:lineRule="exact"/>
        <w:ind w:firstLine="3360" w:firstLineChars="16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日期：</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年</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月</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日</w:t>
      </w:r>
    </w:p>
    <w:p w14:paraId="4C3BBB27">
      <w:pPr>
        <w:pStyle w:val="27"/>
        <w:shd w:val="clear"/>
        <w:spacing w:after="0" w:line="360" w:lineRule="auto"/>
        <w:rPr>
          <w:rFonts w:hint="eastAsia" w:ascii="仿宋" w:hAnsi="仿宋" w:eastAsia="仿宋" w:cs="仿宋"/>
          <w:color w:val="auto"/>
          <w:szCs w:val="21"/>
          <w:highlight w:val="none"/>
        </w:rPr>
      </w:pPr>
    </w:p>
    <w:p w14:paraId="7931807D">
      <w:pPr>
        <w:shd w:val="clear"/>
        <w:spacing w:afterLines="100"/>
        <w:rPr>
          <w:rFonts w:hint="eastAsia" w:ascii="仿宋" w:hAnsi="仿宋" w:eastAsia="仿宋" w:cs="仿宋"/>
          <w:b/>
          <w:color w:val="auto"/>
          <w:sz w:val="28"/>
          <w:szCs w:val="28"/>
          <w:highlight w:val="none"/>
        </w:rPr>
      </w:pPr>
      <w:bookmarkStart w:id="529" w:name="_Toc9652"/>
      <w:bookmarkStart w:id="530" w:name="_Toc24922"/>
      <w:bookmarkStart w:id="531" w:name="_Toc30668"/>
      <w:bookmarkStart w:id="532" w:name="_Toc12929"/>
      <w:bookmarkStart w:id="533" w:name="_Toc1640"/>
      <w:bookmarkStart w:id="534" w:name="_Toc14392"/>
      <w:bookmarkStart w:id="535" w:name="_Toc23970"/>
    </w:p>
    <w:p w14:paraId="092725F0">
      <w:pPr>
        <w:numPr>
          <w:ilvl w:val="0"/>
          <w:numId w:val="0"/>
        </w:numPr>
        <w:shd w:val="clear"/>
        <w:spacing w:line="360" w:lineRule="auto"/>
        <w:jc w:val="center"/>
        <w:outlineLvl w:val="0"/>
        <w:rPr>
          <w:rFonts w:hint="eastAsia" w:ascii="仿宋" w:hAnsi="仿宋" w:eastAsia="仿宋" w:cs="仿宋"/>
          <w:b/>
          <w:color w:val="auto"/>
          <w:sz w:val="28"/>
          <w:szCs w:val="18"/>
          <w:highlight w:val="none"/>
          <w:lang w:val="en-US" w:eastAsia="zh-CN"/>
        </w:rPr>
      </w:pPr>
      <w:r>
        <w:rPr>
          <w:rFonts w:hint="eastAsia" w:ascii="仿宋" w:hAnsi="仿宋" w:eastAsia="仿宋" w:cs="仿宋"/>
          <w:b/>
          <w:color w:val="auto"/>
          <w:sz w:val="28"/>
          <w:szCs w:val="18"/>
          <w:highlight w:val="none"/>
          <w:lang w:val="en-US" w:eastAsia="zh-CN"/>
        </w:rPr>
        <w:t>2.2、货物（产品）分项报价表</w:t>
      </w:r>
    </w:p>
    <w:p w14:paraId="1DB71F85">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项目</w:t>
      </w:r>
      <w:r>
        <w:rPr>
          <w:rFonts w:hint="eastAsia" w:ascii="仿宋" w:hAnsi="仿宋" w:eastAsia="仿宋" w:cs="仿宋"/>
          <w:color w:val="auto"/>
          <w:szCs w:val="21"/>
          <w:highlight w:val="none"/>
        </w:rPr>
        <w:t xml:space="preserve">名称：宁强县水利局分散供水工程消毒药剂购置项目                                          </w:t>
      </w:r>
    </w:p>
    <w:p w14:paraId="414D67C9">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项目</w:t>
      </w:r>
      <w:r>
        <w:rPr>
          <w:rFonts w:hint="eastAsia" w:ascii="仿宋" w:hAnsi="仿宋" w:eastAsia="仿宋" w:cs="仿宋"/>
          <w:color w:val="auto"/>
          <w:szCs w:val="21"/>
          <w:highlight w:val="none"/>
        </w:rPr>
        <w:t>编号：HZ-J2024011C</w:t>
      </w:r>
    </w:p>
    <w:tbl>
      <w:tblPr>
        <w:tblStyle w:val="42"/>
        <w:tblpPr w:leftFromText="180" w:rightFromText="180" w:vertAnchor="text" w:horzAnchor="page" w:tblpX="1313" w:tblpY="118"/>
        <w:tblOverlap w:val="never"/>
        <w:tblW w:w="880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208"/>
        <w:gridCol w:w="945"/>
        <w:gridCol w:w="810"/>
        <w:gridCol w:w="1245"/>
        <w:gridCol w:w="1292"/>
        <w:gridCol w:w="1284"/>
        <w:gridCol w:w="1344"/>
      </w:tblGrid>
      <w:tr w14:paraId="1283FA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73" w:type="dxa"/>
            <w:vAlign w:val="center"/>
          </w:tcPr>
          <w:p w14:paraId="69D1F7D8">
            <w:pPr>
              <w:shd w:val="clear"/>
              <w:adjustRightInd w:val="0"/>
              <w:snapToGrid w:val="0"/>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1208" w:type="dxa"/>
            <w:vAlign w:val="center"/>
          </w:tcPr>
          <w:p w14:paraId="1AF34B05">
            <w:pPr>
              <w:shd w:val="clear"/>
              <w:adjustRightInd w:val="0"/>
              <w:snapToGrid w:val="0"/>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货物</w:t>
            </w:r>
          </w:p>
          <w:p w14:paraId="72FBA1EB">
            <w:pPr>
              <w:shd w:val="clear"/>
              <w:adjustRightInd w:val="0"/>
              <w:snapToGrid w:val="0"/>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名称</w:t>
            </w:r>
          </w:p>
        </w:tc>
        <w:tc>
          <w:tcPr>
            <w:tcW w:w="945" w:type="dxa"/>
            <w:vAlign w:val="center"/>
          </w:tcPr>
          <w:p w14:paraId="4F0A4FDC">
            <w:pPr>
              <w:shd w:val="clear"/>
              <w:adjustRightInd w:val="0"/>
              <w:snapToGrid w:val="0"/>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品牌</w:t>
            </w:r>
          </w:p>
        </w:tc>
        <w:tc>
          <w:tcPr>
            <w:tcW w:w="810" w:type="dxa"/>
            <w:vAlign w:val="center"/>
          </w:tcPr>
          <w:p w14:paraId="6254A606">
            <w:pPr>
              <w:shd w:val="clear"/>
              <w:adjustRightInd w:val="0"/>
              <w:snapToGrid w:val="0"/>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型号规格</w:t>
            </w:r>
          </w:p>
        </w:tc>
        <w:tc>
          <w:tcPr>
            <w:tcW w:w="1245" w:type="dxa"/>
            <w:vAlign w:val="center"/>
          </w:tcPr>
          <w:p w14:paraId="1D715C6E">
            <w:pPr>
              <w:shd w:val="clear"/>
              <w:adjustRightInd w:val="0"/>
              <w:snapToGrid w:val="0"/>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制造商</w:t>
            </w:r>
          </w:p>
        </w:tc>
        <w:tc>
          <w:tcPr>
            <w:tcW w:w="1292" w:type="dxa"/>
            <w:vAlign w:val="center"/>
          </w:tcPr>
          <w:p w14:paraId="4E563112">
            <w:pPr>
              <w:shd w:val="clear"/>
              <w:adjustRightInd w:val="0"/>
              <w:snapToGrid w:val="0"/>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数量/单位</w:t>
            </w:r>
          </w:p>
        </w:tc>
        <w:tc>
          <w:tcPr>
            <w:tcW w:w="1284" w:type="dxa"/>
            <w:vAlign w:val="center"/>
          </w:tcPr>
          <w:p w14:paraId="059EB3A1">
            <w:pPr>
              <w:shd w:val="clear"/>
              <w:adjustRightInd w:val="0"/>
              <w:snapToGrid w:val="0"/>
              <w:spacing w:line="240" w:lineRule="auto"/>
              <w:jc w:val="center"/>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单价（元）</w:t>
            </w:r>
          </w:p>
        </w:tc>
        <w:tc>
          <w:tcPr>
            <w:tcW w:w="1344" w:type="dxa"/>
            <w:vAlign w:val="center"/>
          </w:tcPr>
          <w:p w14:paraId="6DF4EB7E">
            <w:pPr>
              <w:shd w:val="clear"/>
              <w:adjustRightInd w:val="0"/>
              <w:snapToGrid w:val="0"/>
              <w:spacing w:line="240" w:lineRule="auto"/>
              <w:jc w:val="center"/>
              <w:rPr>
                <w:rFonts w:hint="eastAsia" w:ascii="仿宋" w:hAnsi="仿宋" w:eastAsia="仿宋" w:cs="仿宋"/>
                <w:b/>
                <w:bCs/>
                <w:color w:val="auto"/>
                <w:szCs w:val="21"/>
                <w:highlight w:val="none"/>
              </w:rPr>
            </w:pPr>
            <w:r>
              <w:rPr>
                <w:rFonts w:hint="eastAsia" w:ascii="仿宋" w:hAnsi="仿宋" w:eastAsia="仿宋" w:cs="仿宋"/>
                <w:b/>
                <w:color w:val="auto"/>
                <w:szCs w:val="21"/>
                <w:highlight w:val="none"/>
              </w:rPr>
              <w:t>小计（元）</w:t>
            </w:r>
          </w:p>
        </w:tc>
      </w:tr>
      <w:tr w14:paraId="3DC1F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7DB8AF8C">
            <w:pPr>
              <w:shd w:val="clea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208" w:type="dxa"/>
            <w:vAlign w:val="bottom"/>
          </w:tcPr>
          <w:p w14:paraId="1341152C">
            <w:pPr>
              <w:shd w:val="clear"/>
              <w:adjustRightInd w:val="0"/>
              <w:snapToGrid w:val="0"/>
              <w:spacing w:line="360" w:lineRule="auto"/>
              <w:jc w:val="center"/>
              <w:rPr>
                <w:rFonts w:hint="eastAsia" w:ascii="仿宋" w:hAnsi="仿宋" w:eastAsia="仿宋" w:cs="仿宋"/>
                <w:color w:val="auto"/>
                <w:szCs w:val="21"/>
                <w:highlight w:val="none"/>
              </w:rPr>
            </w:pPr>
          </w:p>
        </w:tc>
        <w:tc>
          <w:tcPr>
            <w:tcW w:w="945" w:type="dxa"/>
            <w:vAlign w:val="bottom"/>
          </w:tcPr>
          <w:p w14:paraId="115AE365">
            <w:pPr>
              <w:shd w:val="clear"/>
              <w:adjustRightInd w:val="0"/>
              <w:snapToGrid w:val="0"/>
              <w:spacing w:line="360" w:lineRule="auto"/>
              <w:jc w:val="center"/>
              <w:rPr>
                <w:rFonts w:hint="eastAsia" w:ascii="仿宋" w:hAnsi="仿宋" w:eastAsia="仿宋" w:cs="仿宋"/>
                <w:color w:val="auto"/>
                <w:szCs w:val="21"/>
                <w:highlight w:val="none"/>
              </w:rPr>
            </w:pPr>
          </w:p>
        </w:tc>
        <w:tc>
          <w:tcPr>
            <w:tcW w:w="810" w:type="dxa"/>
            <w:vAlign w:val="bottom"/>
          </w:tcPr>
          <w:p w14:paraId="01DAABDA">
            <w:pPr>
              <w:shd w:val="clear"/>
              <w:adjustRightInd w:val="0"/>
              <w:snapToGrid w:val="0"/>
              <w:spacing w:line="360" w:lineRule="auto"/>
              <w:jc w:val="center"/>
              <w:rPr>
                <w:rFonts w:hint="eastAsia" w:ascii="仿宋" w:hAnsi="仿宋" w:eastAsia="仿宋" w:cs="仿宋"/>
                <w:color w:val="auto"/>
                <w:szCs w:val="21"/>
                <w:highlight w:val="none"/>
              </w:rPr>
            </w:pPr>
          </w:p>
        </w:tc>
        <w:tc>
          <w:tcPr>
            <w:tcW w:w="1245" w:type="dxa"/>
            <w:vAlign w:val="bottom"/>
          </w:tcPr>
          <w:p w14:paraId="0F246E30">
            <w:pPr>
              <w:shd w:val="clear"/>
              <w:adjustRightInd w:val="0"/>
              <w:snapToGrid w:val="0"/>
              <w:spacing w:line="360" w:lineRule="auto"/>
              <w:jc w:val="center"/>
              <w:rPr>
                <w:rFonts w:hint="eastAsia" w:ascii="仿宋" w:hAnsi="仿宋" w:eastAsia="仿宋" w:cs="仿宋"/>
                <w:color w:val="auto"/>
                <w:szCs w:val="21"/>
                <w:highlight w:val="none"/>
              </w:rPr>
            </w:pPr>
          </w:p>
        </w:tc>
        <w:tc>
          <w:tcPr>
            <w:tcW w:w="1292" w:type="dxa"/>
            <w:vAlign w:val="bottom"/>
          </w:tcPr>
          <w:p w14:paraId="7BA271B2">
            <w:pPr>
              <w:shd w:val="clear"/>
              <w:adjustRightInd w:val="0"/>
              <w:snapToGrid w:val="0"/>
              <w:spacing w:line="360" w:lineRule="auto"/>
              <w:jc w:val="center"/>
              <w:rPr>
                <w:rFonts w:hint="eastAsia" w:ascii="仿宋" w:hAnsi="仿宋" w:eastAsia="仿宋" w:cs="仿宋"/>
                <w:color w:val="auto"/>
                <w:szCs w:val="21"/>
                <w:highlight w:val="none"/>
              </w:rPr>
            </w:pPr>
          </w:p>
        </w:tc>
        <w:tc>
          <w:tcPr>
            <w:tcW w:w="1284" w:type="dxa"/>
            <w:vAlign w:val="bottom"/>
          </w:tcPr>
          <w:p w14:paraId="33B691C0">
            <w:pPr>
              <w:shd w:val="clear"/>
              <w:adjustRightInd w:val="0"/>
              <w:snapToGrid w:val="0"/>
              <w:spacing w:line="360" w:lineRule="auto"/>
              <w:jc w:val="center"/>
              <w:rPr>
                <w:rFonts w:hint="eastAsia" w:ascii="仿宋" w:hAnsi="仿宋" w:eastAsia="仿宋" w:cs="仿宋"/>
                <w:color w:val="auto"/>
                <w:szCs w:val="21"/>
                <w:highlight w:val="none"/>
              </w:rPr>
            </w:pPr>
          </w:p>
        </w:tc>
        <w:tc>
          <w:tcPr>
            <w:tcW w:w="1344" w:type="dxa"/>
            <w:vAlign w:val="bottom"/>
          </w:tcPr>
          <w:p w14:paraId="3FFF0CD5">
            <w:pPr>
              <w:shd w:val="clear"/>
              <w:adjustRightInd w:val="0"/>
              <w:snapToGrid w:val="0"/>
              <w:spacing w:line="360" w:lineRule="auto"/>
              <w:jc w:val="center"/>
              <w:rPr>
                <w:rFonts w:hint="eastAsia" w:ascii="仿宋" w:hAnsi="仿宋" w:eastAsia="仿宋" w:cs="仿宋"/>
                <w:color w:val="auto"/>
                <w:szCs w:val="21"/>
                <w:highlight w:val="none"/>
              </w:rPr>
            </w:pPr>
          </w:p>
        </w:tc>
      </w:tr>
      <w:tr w14:paraId="053B52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7F441E87">
            <w:pPr>
              <w:shd w:val="clea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208" w:type="dxa"/>
            <w:vAlign w:val="bottom"/>
          </w:tcPr>
          <w:p w14:paraId="0F925DE9">
            <w:pPr>
              <w:shd w:val="clear"/>
              <w:adjustRightInd w:val="0"/>
              <w:snapToGrid w:val="0"/>
              <w:spacing w:line="360" w:lineRule="auto"/>
              <w:jc w:val="center"/>
              <w:rPr>
                <w:rFonts w:hint="eastAsia" w:ascii="仿宋" w:hAnsi="仿宋" w:eastAsia="仿宋" w:cs="仿宋"/>
                <w:color w:val="auto"/>
                <w:szCs w:val="21"/>
                <w:highlight w:val="none"/>
              </w:rPr>
            </w:pPr>
          </w:p>
        </w:tc>
        <w:tc>
          <w:tcPr>
            <w:tcW w:w="945" w:type="dxa"/>
            <w:vAlign w:val="bottom"/>
          </w:tcPr>
          <w:p w14:paraId="1278B182">
            <w:pPr>
              <w:shd w:val="clear"/>
              <w:adjustRightInd w:val="0"/>
              <w:snapToGrid w:val="0"/>
              <w:spacing w:line="360" w:lineRule="auto"/>
              <w:jc w:val="center"/>
              <w:rPr>
                <w:rFonts w:hint="eastAsia" w:ascii="仿宋" w:hAnsi="仿宋" w:eastAsia="仿宋" w:cs="仿宋"/>
                <w:color w:val="auto"/>
                <w:szCs w:val="21"/>
                <w:highlight w:val="none"/>
              </w:rPr>
            </w:pPr>
          </w:p>
        </w:tc>
        <w:tc>
          <w:tcPr>
            <w:tcW w:w="810" w:type="dxa"/>
            <w:vAlign w:val="bottom"/>
          </w:tcPr>
          <w:p w14:paraId="7FF1BB26">
            <w:pPr>
              <w:shd w:val="clear"/>
              <w:adjustRightInd w:val="0"/>
              <w:snapToGrid w:val="0"/>
              <w:spacing w:line="360" w:lineRule="auto"/>
              <w:jc w:val="center"/>
              <w:rPr>
                <w:rFonts w:hint="eastAsia" w:ascii="仿宋" w:hAnsi="仿宋" w:eastAsia="仿宋" w:cs="仿宋"/>
                <w:color w:val="auto"/>
                <w:szCs w:val="21"/>
                <w:highlight w:val="none"/>
              </w:rPr>
            </w:pPr>
          </w:p>
        </w:tc>
        <w:tc>
          <w:tcPr>
            <w:tcW w:w="1245" w:type="dxa"/>
            <w:vAlign w:val="bottom"/>
          </w:tcPr>
          <w:p w14:paraId="751FD70E">
            <w:pPr>
              <w:shd w:val="clear"/>
              <w:adjustRightInd w:val="0"/>
              <w:snapToGrid w:val="0"/>
              <w:spacing w:line="360" w:lineRule="auto"/>
              <w:jc w:val="center"/>
              <w:rPr>
                <w:rFonts w:hint="eastAsia" w:ascii="仿宋" w:hAnsi="仿宋" w:eastAsia="仿宋" w:cs="仿宋"/>
                <w:color w:val="auto"/>
                <w:szCs w:val="21"/>
                <w:highlight w:val="none"/>
              </w:rPr>
            </w:pPr>
          </w:p>
        </w:tc>
        <w:tc>
          <w:tcPr>
            <w:tcW w:w="1292" w:type="dxa"/>
            <w:vAlign w:val="bottom"/>
          </w:tcPr>
          <w:p w14:paraId="2C5B162C">
            <w:pPr>
              <w:shd w:val="clear"/>
              <w:adjustRightInd w:val="0"/>
              <w:snapToGrid w:val="0"/>
              <w:spacing w:line="360" w:lineRule="auto"/>
              <w:jc w:val="center"/>
              <w:rPr>
                <w:rFonts w:hint="eastAsia" w:ascii="仿宋" w:hAnsi="仿宋" w:eastAsia="仿宋" w:cs="仿宋"/>
                <w:color w:val="auto"/>
                <w:szCs w:val="21"/>
                <w:highlight w:val="none"/>
              </w:rPr>
            </w:pPr>
          </w:p>
        </w:tc>
        <w:tc>
          <w:tcPr>
            <w:tcW w:w="1284" w:type="dxa"/>
            <w:vAlign w:val="bottom"/>
          </w:tcPr>
          <w:p w14:paraId="7DFD9444">
            <w:pPr>
              <w:shd w:val="clear"/>
              <w:adjustRightInd w:val="0"/>
              <w:snapToGrid w:val="0"/>
              <w:spacing w:line="360" w:lineRule="auto"/>
              <w:jc w:val="center"/>
              <w:rPr>
                <w:rFonts w:hint="eastAsia" w:ascii="仿宋" w:hAnsi="仿宋" w:eastAsia="仿宋" w:cs="仿宋"/>
                <w:color w:val="auto"/>
                <w:szCs w:val="21"/>
                <w:highlight w:val="none"/>
              </w:rPr>
            </w:pPr>
          </w:p>
        </w:tc>
        <w:tc>
          <w:tcPr>
            <w:tcW w:w="1344" w:type="dxa"/>
            <w:vAlign w:val="bottom"/>
          </w:tcPr>
          <w:p w14:paraId="3A3BDAC0">
            <w:pPr>
              <w:shd w:val="clear"/>
              <w:adjustRightInd w:val="0"/>
              <w:snapToGrid w:val="0"/>
              <w:spacing w:line="360" w:lineRule="auto"/>
              <w:jc w:val="center"/>
              <w:rPr>
                <w:rFonts w:hint="eastAsia" w:ascii="仿宋" w:hAnsi="仿宋" w:eastAsia="仿宋" w:cs="仿宋"/>
                <w:color w:val="auto"/>
                <w:szCs w:val="21"/>
                <w:highlight w:val="none"/>
              </w:rPr>
            </w:pPr>
          </w:p>
        </w:tc>
      </w:tr>
      <w:tr w14:paraId="37735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42914D86">
            <w:pPr>
              <w:shd w:val="clea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208" w:type="dxa"/>
            <w:vAlign w:val="bottom"/>
          </w:tcPr>
          <w:p w14:paraId="7199A7F6">
            <w:pPr>
              <w:shd w:val="clear"/>
              <w:adjustRightInd w:val="0"/>
              <w:snapToGrid w:val="0"/>
              <w:spacing w:line="360" w:lineRule="auto"/>
              <w:jc w:val="center"/>
              <w:rPr>
                <w:rFonts w:hint="eastAsia" w:ascii="仿宋" w:hAnsi="仿宋" w:eastAsia="仿宋" w:cs="仿宋"/>
                <w:color w:val="auto"/>
                <w:szCs w:val="21"/>
                <w:highlight w:val="none"/>
              </w:rPr>
            </w:pPr>
          </w:p>
        </w:tc>
        <w:tc>
          <w:tcPr>
            <w:tcW w:w="945" w:type="dxa"/>
            <w:vAlign w:val="bottom"/>
          </w:tcPr>
          <w:p w14:paraId="2D6E335B">
            <w:pPr>
              <w:shd w:val="clear"/>
              <w:adjustRightInd w:val="0"/>
              <w:snapToGrid w:val="0"/>
              <w:spacing w:line="360" w:lineRule="auto"/>
              <w:jc w:val="center"/>
              <w:rPr>
                <w:rFonts w:hint="eastAsia" w:ascii="仿宋" w:hAnsi="仿宋" w:eastAsia="仿宋" w:cs="仿宋"/>
                <w:color w:val="auto"/>
                <w:szCs w:val="21"/>
                <w:highlight w:val="none"/>
              </w:rPr>
            </w:pPr>
          </w:p>
        </w:tc>
        <w:tc>
          <w:tcPr>
            <w:tcW w:w="810" w:type="dxa"/>
            <w:vAlign w:val="bottom"/>
          </w:tcPr>
          <w:p w14:paraId="59432525">
            <w:pPr>
              <w:shd w:val="clear"/>
              <w:adjustRightInd w:val="0"/>
              <w:snapToGrid w:val="0"/>
              <w:spacing w:line="360" w:lineRule="auto"/>
              <w:jc w:val="center"/>
              <w:rPr>
                <w:rFonts w:hint="eastAsia" w:ascii="仿宋" w:hAnsi="仿宋" w:eastAsia="仿宋" w:cs="仿宋"/>
                <w:color w:val="auto"/>
                <w:szCs w:val="21"/>
                <w:highlight w:val="none"/>
              </w:rPr>
            </w:pPr>
          </w:p>
        </w:tc>
        <w:tc>
          <w:tcPr>
            <w:tcW w:w="1245" w:type="dxa"/>
            <w:vAlign w:val="bottom"/>
          </w:tcPr>
          <w:p w14:paraId="4F251F97">
            <w:pPr>
              <w:shd w:val="clear"/>
              <w:adjustRightInd w:val="0"/>
              <w:snapToGrid w:val="0"/>
              <w:spacing w:line="360" w:lineRule="auto"/>
              <w:jc w:val="center"/>
              <w:rPr>
                <w:rFonts w:hint="eastAsia" w:ascii="仿宋" w:hAnsi="仿宋" w:eastAsia="仿宋" w:cs="仿宋"/>
                <w:color w:val="auto"/>
                <w:szCs w:val="21"/>
                <w:highlight w:val="none"/>
              </w:rPr>
            </w:pPr>
          </w:p>
        </w:tc>
        <w:tc>
          <w:tcPr>
            <w:tcW w:w="1292" w:type="dxa"/>
            <w:vAlign w:val="bottom"/>
          </w:tcPr>
          <w:p w14:paraId="1FC1BBD3">
            <w:pPr>
              <w:shd w:val="clear"/>
              <w:adjustRightInd w:val="0"/>
              <w:snapToGrid w:val="0"/>
              <w:spacing w:line="360" w:lineRule="auto"/>
              <w:jc w:val="center"/>
              <w:rPr>
                <w:rFonts w:hint="eastAsia" w:ascii="仿宋" w:hAnsi="仿宋" w:eastAsia="仿宋" w:cs="仿宋"/>
                <w:color w:val="auto"/>
                <w:szCs w:val="21"/>
                <w:highlight w:val="none"/>
              </w:rPr>
            </w:pPr>
          </w:p>
        </w:tc>
        <w:tc>
          <w:tcPr>
            <w:tcW w:w="1284" w:type="dxa"/>
            <w:vAlign w:val="bottom"/>
          </w:tcPr>
          <w:p w14:paraId="335A204F">
            <w:pPr>
              <w:shd w:val="clear"/>
              <w:adjustRightInd w:val="0"/>
              <w:snapToGrid w:val="0"/>
              <w:spacing w:line="360" w:lineRule="auto"/>
              <w:jc w:val="center"/>
              <w:rPr>
                <w:rFonts w:hint="eastAsia" w:ascii="仿宋" w:hAnsi="仿宋" w:eastAsia="仿宋" w:cs="仿宋"/>
                <w:color w:val="auto"/>
                <w:szCs w:val="21"/>
                <w:highlight w:val="none"/>
              </w:rPr>
            </w:pPr>
          </w:p>
        </w:tc>
        <w:tc>
          <w:tcPr>
            <w:tcW w:w="1344" w:type="dxa"/>
            <w:vAlign w:val="bottom"/>
          </w:tcPr>
          <w:p w14:paraId="13605509">
            <w:pPr>
              <w:shd w:val="clear"/>
              <w:adjustRightInd w:val="0"/>
              <w:snapToGrid w:val="0"/>
              <w:spacing w:line="360" w:lineRule="auto"/>
              <w:jc w:val="center"/>
              <w:rPr>
                <w:rFonts w:hint="eastAsia" w:ascii="仿宋" w:hAnsi="仿宋" w:eastAsia="仿宋" w:cs="仿宋"/>
                <w:color w:val="auto"/>
                <w:szCs w:val="21"/>
                <w:highlight w:val="none"/>
              </w:rPr>
            </w:pPr>
          </w:p>
        </w:tc>
      </w:tr>
      <w:tr w14:paraId="03F8C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21E94A45">
            <w:pPr>
              <w:shd w:val="clea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1208" w:type="dxa"/>
            <w:vAlign w:val="bottom"/>
          </w:tcPr>
          <w:p w14:paraId="744F4964">
            <w:pPr>
              <w:shd w:val="clear"/>
              <w:adjustRightInd w:val="0"/>
              <w:snapToGrid w:val="0"/>
              <w:spacing w:line="360" w:lineRule="auto"/>
              <w:jc w:val="center"/>
              <w:rPr>
                <w:rFonts w:hint="eastAsia" w:ascii="仿宋" w:hAnsi="仿宋" w:eastAsia="仿宋" w:cs="仿宋"/>
                <w:color w:val="auto"/>
                <w:szCs w:val="21"/>
                <w:highlight w:val="none"/>
              </w:rPr>
            </w:pPr>
          </w:p>
        </w:tc>
        <w:tc>
          <w:tcPr>
            <w:tcW w:w="945" w:type="dxa"/>
            <w:vAlign w:val="bottom"/>
          </w:tcPr>
          <w:p w14:paraId="3CC11100">
            <w:pPr>
              <w:shd w:val="clear"/>
              <w:adjustRightInd w:val="0"/>
              <w:snapToGrid w:val="0"/>
              <w:spacing w:line="360" w:lineRule="auto"/>
              <w:jc w:val="center"/>
              <w:rPr>
                <w:rFonts w:hint="eastAsia" w:ascii="仿宋" w:hAnsi="仿宋" w:eastAsia="仿宋" w:cs="仿宋"/>
                <w:color w:val="auto"/>
                <w:szCs w:val="21"/>
                <w:highlight w:val="none"/>
              </w:rPr>
            </w:pPr>
          </w:p>
        </w:tc>
        <w:tc>
          <w:tcPr>
            <w:tcW w:w="810" w:type="dxa"/>
            <w:vAlign w:val="bottom"/>
          </w:tcPr>
          <w:p w14:paraId="6E21B5F6">
            <w:pPr>
              <w:shd w:val="clear"/>
              <w:adjustRightInd w:val="0"/>
              <w:snapToGrid w:val="0"/>
              <w:spacing w:line="360" w:lineRule="auto"/>
              <w:jc w:val="center"/>
              <w:rPr>
                <w:rFonts w:hint="eastAsia" w:ascii="仿宋" w:hAnsi="仿宋" w:eastAsia="仿宋" w:cs="仿宋"/>
                <w:color w:val="auto"/>
                <w:szCs w:val="21"/>
                <w:highlight w:val="none"/>
              </w:rPr>
            </w:pPr>
          </w:p>
        </w:tc>
        <w:tc>
          <w:tcPr>
            <w:tcW w:w="1245" w:type="dxa"/>
            <w:vAlign w:val="bottom"/>
          </w:tcPr>
          <w:p w14:paraId="3DD1EA87">
            <w:pPr>
              <w:shd w:val="clear"/>
              <w:adjustRightInd w:val="0"/>
              <w:snapToGrid w:val="0"/>
              <w:spacing w:line="360" w:lineRule="auto"/>
              <w:jc w:val="center"/>
              <w:rPr>
                <w:rFonts w:hint="eastAsia" w:ascii="仿宋" w:hAnsi="仿宋" w:eastAsia="仿宋" w:cs="仿宋"/>
                <w:color w:val="auto"/>
                <w:szCs w:val="21"/>
                <w:highlight w:val="none"/>
              </w:rPr>
            </w:pPr>
          </w:p>
        </w:tc>
        <w:tc>
          <w:tcPr>
            <w:tcW w:w="1292" w:type="dxa"/>
            <w:vAlign w:val="bottom"/>
          </w:tcPr>
          <w:p w14:paraId="3C93CF30">
            <w:pPr>
              <w:shd w:val="clear"/>
              <w:adjustRightInd w:val="0"/>
              <w:snapToGrid w:val="0"/>
              <w:spacing w:line="360" w:lineRule="auto"/>
              <w:jc w:val="center"/>
              <w:rPr>
                <w:rFonts w:hint="eastAsia" w:ascii="仿宋" w:hAnsi="仿宋" w:eastAsia="仿宋" w:cs="仿宋"/>
                <w:color w:val="auto"/>
                <w:szCs w:val="21"/>
                <w:highlight w:val="none"/>
              </w:rPr>
            </w:pPr>
          </w:p>
        </w:tc>
        <w:tc>
          <w:tcPr>
            <w:tcW w:w="1284" w:type="dxa"/>
            <w:vAlign w:val="bottom"/>
          </w:tcPr>
          <w:p w14:paraId="6C0C7E25">
            <w:pPr>
              <w:shd w:val="clear"/>
              <w:adjustRightInd w:val="0"/>
              <w:snapToGrid w:val="0"/>
              <w:spacing w:line="360" w:lineRule="auto"/>
              <w:jc w:val="center"/>
              <w:rPr>
                <w:rFonts w:hint="eastAsia" w:ascii="仿宋" w:hAnsi="仿宋" w:eastAsia="仿宋" w:cs="仿宋"/>
                <w:color w:val="auto"/>
                <w:szCs w:val="21"/>
                <w:highlight w:val="none"/>
              </w:rPr>
            </w:pPr>
          </w:p>
        </w:tc>
        <w:tc>
          <w:tcPr>
            <w:tcW w:w="1344" w:type="dxa"/>
            <w:vAlign w:val="bottom"/>
          </w:tcPr>
          <w:p w14:paraId="50C32B56">
            <w:pPr>
              <w:shd w:val="clear"/>
              <w:adjustRightInd w:val="0"/>
              <w:snapToGrid w:val="0"/>
              <w:spacing w:line="360" w:lineRule="auto"/>
              <w:jc w:val="center"/>
              <w:rPr>
                <w:rFonts w:hint="eastAsia" w:ascii="仿宋" w:hAnsi="仿宋" w:eastAsia="仿宋" w:cs="仿宋"/>
                <w:color w:val="auto"/>
                <w:szCs w:val="21"/>
                <w:highlight w:val="none"/>
              </w:rPr>
            </w:pPr>
          </w:p>
        </w:tc>
      </w:tr>
      <w:tr w14:paraId="152099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5248E3FF">
            <w:pPr>
              <w:shd w:val="clea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1208" w:type="dxa"/>
            <w:vAlign w:val="bottom"/>
          </w:tcPr>
          <w:p w14:paraId="1B0B55A3">
            <w:pPr>
              <w:shd w:val="clear"/>
              <w:adjustRightInd w:val="0"/>
              <w:snapToGrid w:val="0"/>
              <w:spacing w:line="360" w:lineRule="auto"/>
              <w:jc w:val="center"/>
              <w:rPr>
                <w:rFonts w:hint="eastAsia" w:ascii="仿宋" w:hAnsi="仿宋" w:eastAsia="仿宋" w:cs="仿宋"/>
                <w:color w:val="auto"/>
                <w:szCs w:val="21"/>
                <w:highlight w:val="none"/>
              </w:rPr>
            </w:pPr>
          </w:p>
        </w:tc>
        <w:tc>
          <w:tcPr>
            <w:tcW w:w="945" w:type="dxa"/>
            <w:vAlign w:val="bottom"/>
          </w:tcPr>
          <w:p w14:paraId="332B204D">
            <w:pPr>
              <w:shd w:val="clear"/>
              <w:adjustRightInd w:val="0"/>
              <w:snapToGrid w:val="0"/>
              <w:spacing w:line="360" w:lineRule="auto"/>
              <w:jc w:val="center"/>
              <w:rPr>
                <w:rFonts w:hint="eastAsia" w:ascii="仿宋" w:hAnsi="仿宋" w:eastAsia="仿宋" w:cs="仿宋"/>
                <w:color w:val="auto"/>
                <w:szCs w:val="21"/>
                <w:highlight w:val="none"/>
              </w:rPr>
            </w:pPr>
          </w:p>
        </w:tc>
        <w:tc>
          <w:tcPr>
            <w:tcW w:w="810" w:type="dxa"/>
            <w:vAlign w:val="bottom"/>
          </w:tcPr>
          <w:p w14:paraId="0C2F0A52">
            <w:pPr>
              <w:shd w:val="clear"/>
              <w:adjustRightInd w:val="0"/>
              <w:snapToGrid w:val="0"/>
              <w:spacing w:line="360" w:lineRule="auto"/>
              <w:jc w:val="center"/>
              <w:rPr>
                <w:rFonts w:hint="eastAsia" w:ascii="仿宋" w:hAnsi="仿宋" w:eastAsia="仿宋" w:cs="仿宋"/>
                <w:color w:val="auto"/>
                <w:szCs w:val="21"/>
                <w:highlight w:val="none"/>
              </w:rPr>
            </w:pPr>
          </w:p>
        </w:tc>
        <w:tc>
          <w:tcPr>
            <w:tcW w:w="1245" w:type="dxa"/>
            <w:vAlign w:val="bottom"/>
          </w:tcPr>
          <w:p w14:paraId="3B874605">
            <w:pPr>
              <w:shd w:val="clear"/>
              <w:adjustRightInd w:val="0"/>
              <w:snapToGrid w:val="0"/>
              <w:spacing w:line="360" w:lineRule="auto"/>
              <w:jc w:val="center"/>
              <w:rPr>
                <w:rFonts w:hint="eastAsia" w:ascii="仿宋" w:hAnsi="仿宋" w:eastAsia="仿宋" w:cs="仿宋"/>
                <w:color w:val="auto"/>
                <w:szCs w:val="21"/>
                <w:highlight w:val="none"/>
              </w:rPr>
            </w:pPr>
          </w:p>
        </w:tc>
        <w:tc>
          <w:tcPr>
            <w:tcW w:w="1292" w:type="dxa"/>
            <w:vAlign w:val="bottom"/>
          </w:tcPr>
          <w:p w14:paraId="0DF613AB">
            <w:pPr>
              <w:shd w:val="clear"/>
              <w:adjustRightInd w:val="0"/>
              <w:snapToGrid w:val="0"/>
              <w:spacing w:line="360" w:lineRule="auto"/>
              <w:jc w:val="center"/>
              <w:rPr>
                <w:rFonts w:hint="eastAsia" w:ascii="仿宋" w:hAnsi="仿宋" w:eastAsia="仿宋" w:cs="仿宋"/>
                <w:color w:val="auto"/>
                <w:szCs w:val="21"/>
                <w:highlight w:val="none"/>
              </w:rPr>
            </w:pPr>
          </w:p>
        </w:tc>
        <w:tc>
          <w:tcPr>
            <w:tcW w:w="1284" w:type="dxa"/>
            <w:vAlign w:val="bottom"/>
          </w:tcPr>
          <w:p w14:paraId="21A50747">
            <w:pPr>
              <w:shd w:val="clear"/>
              <w:adjustRightInd w:val="0"/>
              <w:snapToGrid w:val="0"/>
              <w:spacing w:line="360" w:lineRule="auto"/>
              <w:jc w:val="center"/>
              <w:rPr>
                <w:rFonts w:hint="eastAsia" w:ascii="仿宋" w:hAnsi="仿宋" w:eastAsia="仿宋" w:cs="仿宋"/>
                <w:color w:val="auto"/>
                <w:szCs w:val="21"/>
                <w:highlight w:val="none"/>
              </w:rPr>
            </w:pPr>
          </w:p>
        </w:tc>
        <w:tc>
          <w:tcPr>
            <w:tcW w:w="1344" w:type="dxa"/>
            <w:vAlign w:val="bottom"/>
          </w:tcPr>
          <w:p w14:paraId="58565F39">
            <w:pPr>
              <w:shd w:val="clear"/>
              <w:adjustRightInd w:val="0"/>
              <w:snapToGrid w:val="0"/>
              <w:spacing w:line="360" w:lineRule="auto"/>
              <w:jc w:val="center"/>
              <w:rPr>
                <w:rFonts w:hint="eastAsia" w:ascii="仿宋" w:hAnsi="仿宋" w:eastAsia="仿宋" w:cs="仿宋"/>
                <w:color w:val="auto"/>
                <w:szCs w:val="21"/>
                <w:highlight w:val="none"/>
              </w:rPr>
            </w:pPr>
          </w:p>
        </w:tc>
      </w:tr>
      <w:tr w14:paraId="57295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3FA54856">
            <w:pPr>
              <w:shd w:val="clea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1208" w:type="dxa"/>
            <w:vAlign w:val="bottom"/>
          </w:tcPr>
          <w:p w14:paraId="314CBB7B">
            <w:pPr>
              <w:shd w:val="clear"/>
              <w:adjustRightInd w:val="0"/>
              <w:snapToGrid w:val="0"/>
              <w:spacing w:line="360" w:lineRule="auto"/>
              <w:jc w:val="center"/>
              <w:rPr>
                <w:rFonts w:hint="eastAsia" w:ascii="仿宋" w:hAnsi="仿宋" w:eastAsia="仿宋" w:cs="仿宋"/>
                <w:color w:val="auto"/>
                <w:szCs w:val="21"/>
                <w:highlight w:val="none"/>
              </w:rPr>
            </w:pPr>
          </w:p>
        </w:tc>
        <w:tc>
          <w:tcPr>
            <w:tcW w:w="945" w:type="dxa"/>
            <w:vAlign w:val="bottom"/>
          </w:tcPr>
          <w:p w14:paraId="0C500F2A">
            <w:pPr>
              <w:shd w:val="clear"/>
              <w:adjustRightInd w:val="0"/>
              <w:snapToGrid w:val="0"/>
              <w:spacing w:line="360" w:lineRule="auto"/>
              <w:jc w:val="center"/>
              <w:rPr>
                <w:rFonts w:hint="eastAsia" w:ascii="仿宋" w:hAnsi="仿宋" w:eastAsia="仿宋" w:cs="仿宋"/>
                <w:color w:val="auto"/>
                <w:szCs w:val="21"/>
                <w:highlight w:val="none"/>
              </w:rPr>
            </w:pPr>
          </w:p>
        </w:tc>
        <w:tc>
          <w:tcPr>
            <w:tcW w:w="810" w:type="dxa"/>
            <w:vAlign w:val="bottom"/>
          </w:tcPr>
          <w:p w14:paraId="49FDC960">
            <w:pPr>
              <w:shd w:val="clear"/>
              <w:adjustRightInd w:val="0"/>
              <w:snapToGrid w:val="0"/>
              <w:spacing w:line="360" w:lineRule="auto"/>
              <w:jc w:val="center"/>
              <w:rPr>
                <w:rFonts w:hint="eastAsia" w:ascii="仿宋" w:hAnsi="仿宋" w:eastAsia="仿宋" w:cs="仿宋"/>
                <w:color w:val="auto"/>
                <w:szCs w:val="21"/>
                <w:highlight w:val="none"/>
              </w:rPr>
            </w:pPr>
          </w:p>
        </w:tc>
        <w:tc>
          <w:tcPr>
            <w:tcW w:w="1245" w:type="dxa"/>
            <w:vAlign w:val="bottom"/>
          </w:tcPr>
          <w:p w14:paraId="0E0917BC">
            <w:pPr>
              <w:shd w:val="clear"/>
              <w:adjustRightInd w:val="0"/>
              <w:snapToGrid w:val="0"/>
              <w:spacing w:line="360" w:lineRule="auto"/>
              <w:jc w:val="center"/>
              <w:rPr>
                <w:rFonts w:hint="eastAsia" w:ascii="仿宋" w:hAnsi="仿宋" w:eastAsia="仿宋" w:cs="仿宋"/>
                <w:color w:val="auto"/>
                <w:szCs w:val="21"/>
                <w:highlight w:val="none"/>
              </w:rPr>
            </w:pPr>
          </w:p>
        </w:tc>
        <w:tc>
          <w:tcPr>
            <w:tcW w:w="1292" w:type="dxa"/>
            <w:vAlign w:val="bottom"/>
          </w:tcPr>
          <w:p w14:paraId="04D665A8">
            <w:pPr>
              <w:shd w:val="clear"/>
              <w:adjustRightInd w:val="0"/>
              <w:snapToGrid w:val="0"/>
              <w:spacing w:line="360" w:lineRule="auto"/>
              <w:jc w:val="center"/>
              <w:rPr>
                <w:rFonts w:hint="eastAsia" w:ascii="仿宋" w:hAnsi="仿宋" w:eastAsia="仿宋" w:cs="仿宋"/>
                <w:color w:val="auto"/>
                <w:szCs w:val="21"/>
                <w:highlight w:val="none"/>
              </w:rPr>
            </w:pPr>
          </w:p>
        </w:tc>
        <w:tc>
          <w:tcPr>
            <w:tcW w:w="1284" w:type="dxa"/>
            <w:vAlign w:val="bottom"/>
          </w:tcPr>
          <w:p w14:paraId="21D53E72">
            <w:pPr>
              <w:shd w:val="clear"/>
              <w:adjustRightInd w:val="0"/>
              <w:snapToGrid w:val="0"/>
              <w:spacing w:line="360" w:lineRule="auto"/>
              <w:jc w:val="center"/>
              <w:rPr>
                <w:rFonts w:hint="eastAsia" w:ascii="仿宋" w:hAnsi="仿宋" w:eastAsia="仿宋" w:cs="仿宋"/>
                <w:color w:val="auto"/>
                <w:szCs w:val="21"/>
                <w:highlight w:val="none"/>
              </w:rPr>
            </w:pPr>
          </w:p>
        </w:tc>
        <w:tc>
          <w:tcPr>
            <w:tcW w:w="1344" w:type="dxa"/>
            <w:vAlign w:val="bottom"/>
          </w:tcPr>
          <w:p w14:paraId="45BBA484">
            <w:pPr>
              <w:shd w:val="clear"/>
              <w:adjustRightInd w:val="0"/>
              <w:snapToGrid w:val="0"/>
              <w:spacing w:line="360" w:lineRule="auto"/>
              <w:jc w:val="center"/>
              <w:rPr>
                <w:rFonts w:hint="eastAsia" w:ascii="仿宋" w:hAnsi="仿宋" w:eastAsia="仿宋" w:cs="仿宋"/>
                <w:color w:val="auto"/>
                <w:szCs w:val="21"/>
                <w:highlight w:val="none"/>
              </w:rPr>
            </w:pPr>
          </w:p>
        </w:tc>
      </w:tr>
      <w:tr w14:paraId="25A85B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3" w:type="dxa"/>
            <w:vAlign w:val="bottom"/>
          </w:tcPr>
          <w:p w14:paraId="4C08C5F7">
            <w:pPr>
              <w:shd w:val="clear"/>
              <w:adjustRightInd w:val="0"/>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1208" w:type="dxa"/>
            <w:vAlign w:val="bottom"/>
          </w:tcPr>
          <w:p w14:paraId="5DA9E4EB">
            <w:pPr>
              <w:shd w:val="clear"/>
              <w:adjustRightInd w:val="0"/>
              <w:snapToGrid w:val="0"/>
              <w:spacing w:line="360" w:lineRule="auto"/>
              <w:jc w:val="center"/>
              <w:rPr>
                <w:rFonts w:hint="eastAsia" w:ascii="仿宋" w:hAnsi="仿宋" w:eastAsia="仿宋" w:cs="仿宋"/>
                <w:color w:val="auto"/>
                <w:szCs w:val="21"/>
                <w:highlight w:val="none"/>
              </w:rPr>
            </w:pPr>
          </w:p>
        </w:tc>
        <w:tc>
          <w:tcPr>
            <w:tcW w:w="945" w:type="dxa"/>
            <w:vAlign w:val="bottom"/>
          </w:tcPr>
          <w:p w14:paraId="6E9CF30D">
            <w:pPr>
              <w:shd w:val="clear"/>
              <w:adjustRightInd w:val="0"/>
              <w:snapToGrid w:val="0"/>
              <w:spacing w:line="360" w:lineRule="auto"/>
              <w:jc w:val="center"/>
              <w:rPr>
                <w:rFonts w:hint="eastAsia" w:ascii="仿宋" w:hAnsi="仿宋" w:eastAsia="仿宋" w:cs="仿宋"/>
                <w:color w:val="auto"/>
                <w:szCs w:val="21"/>
                <w:highlight w:val="none"/>
              </w:rPr>
            </w:pPr>
          </w:p>
        </w:tc>
        <w:tc>
          <w:tcPr>
            <w:tcW w:w="810" w:type="dxa"/>
            <w:vAlign w:val="bottom"/>
          </w:tcPr>
          <w:p w14:paraId="062BD6D9">
            <w:pPr>
              <w:shd w:val="clear"/>
              <w:adjustRightInd w:val="0"/>
              <w:snapToGrid w:val="0"/>
              <w:spacing w:line="360" w:lineRule="auto"/>
              <w:jc w:val="center"/>
              <w:rPr>
                <w:rFonts w:hint="eastAsia" w:ascii="仿宋" w:hAnsi="仿宋" w:eastAsia="仿宋" w:cs="仿宋"/>
                <w:color w:val="auto"/>
                <w:szCs w:val="21"/>
                <w:highlight w:val="none"/>
              </w:rPr>
            </w:pPr>
          </w:p>
        </w:tc>
        <w:tc>
          <w:tcPr>
            <w:tcW w:w="1245" w:type="dxa"/>
            <w:vAlign w:val="bottom"/>
          </w:tcPr>
          <w:p w14:paraId="27CA5479">
            <w:pPr>
              <w:shd w:val="clear"/>
              <w:adjustRightInd w:val="0"/>
              <w:snapToGrid w:val="0"/>
              <w:spacing w:line="360" w:lineRule="auto"/>
              <w:jc w:val="center"/>
              <w:rPr>
                <w:rFonts w:hint="eastAsia" w:ascii="仿宋" w:hAnsi="仿宋" w:eastAsia="仿宋" w:cs="仿宋"/>
                <w:color w:val="auto"/>
                <w:szCs w:val="21"/>
                <w:highlight w:val="none"/>
              </w:rPr>
            </w:pPr>
          </w:p>
        </w:tc>
        <w:tc>
          <w:tcPr>
            <w:tcW w:w="1292" w:type="dxa"/>
            <w:vAlign w:val="bottom"/>
          </w:tcPr>
          <w:p w14:paraId="1C7C5AFD">
            <w:pPr>
              <w:shd w:val="clear"/>
              <w:adjustRightInd w:val="0"/>
              <w:snapToGrid w:val="0"/>
              <w:spacing w:line="360" w:lineRule="auto"/>
              <w:jc w:val="center"/>
              <w:rPr>
                <w:rFonts w:hint="eastAsia" w:ascii="仿宋" w:hAnsi="仿宋" w:eastAsia="仿宋" w:cs="仿宋"/>
                <w:color w:val="auto"/>
                <w:szCs w:val="21"/>
                <w:highlight w:val="none"/>
              </w:rPr>
            </w:pPr>
          </w:p>
        </w:tc>
        <w:tc>
          <w:tcPr>
            <w:tcW w:w="1284" w:type="dxa"/>
            <w:vAlign w:val="bottom"/>
          </w:tcPr>
          <w:p w14:paraId="46E3B57A">
            <w:pPr>
              <w:shd w:val="clear"/>
              <w:adjustRightInd w:val="0"/>
              <w:snapToGrid w:val="0"/>
              <w:spacing w:line="360" w:lineRule="auto"/>
              <w:jc w:val="center"/>
              <w:rPr>
                <w:rFonts w:hint="eastAsia" w:ascii="仿宋" w:hAnsi="仿宋" w:eastAsia="仿宋" w:cs="仿宋"/>
                <w:color w:val="auto"/>
                <w:szCs w:val="21"/>
                <w:highlight w:val="none"/>
              </w:rPr>
            </w:pPr>
          </w:p>
        </w:tc>
        <w:tc>
          <w:tcPr>
            <w:tcW w:w="1344" w:type="dxa"/>
            <w:vAlign w:val="bottom"/>
          </w:tcPr>
          <w:p w14:paraId="6C9FD3D2">
            <w:pPr>
              <w:shd w:val="clear"/>
              <w:adjustRightInd w:val="0"/>
              <w:snapToGrid w:val="0"/>
              <w:spacing w:line="360" w:lineRule="auto"/>
              <w:jc w:val="center"/>
              <w:rPr>
                <w:rFonts w:hint="eastAsia" w:ascii="仿宋" w:hAnsi="仿宋" w:eastAsia="仿宋" w:cs="仿宋"/>
                <w:color w:val="auto"/>
                <w:szCs w:val="21"/>
                <w:highlight w:val="none"/>
              </w:rPr>
            </w:pPr>
          </w:p>
        </w:tc>
      </w:tr>
      <w:tr w14:paraId="34E08F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457" w:type="dxa"/>
            <w:gridSpan w:val="7"/>
            <w:vAlign w:val="bottom"/>
          </w:tcPr>
          <w:p w14:paraId="6B2D2693">
            <w:pPr>
              <w:shd w:val="clear"/>
              <w:adjustRightInd w:val="0"/>
              <w:snapToGrid w:val="0"/>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合计</w:t>
            </w:r>
          </w:p>
        </w:tc>
        <w:tc>
          <w:tcPr>
            <w:tcW w:w="1344" w:type="dxa"/>
            <w:vAlign w:val="bottom"/>
          </w:tcPr>
          <w:p w14:paraId="334EFC98">
            <w:pPr>
              <w:shd w:val="clear"/>
              <w:adjustRightInd w:val="0"/>
              <w:snapToGrid w:val="0"/>
              <w:spacing w:line="360" w:lineRule="auto"/>
              <w:jc w:val="center"/>
              <w:rPr>
                <w:rFonts w:hint="eastAsia" w:ascii="仿宋" w:hAnsi="仿宋" w:eastAsia="仿宋" w:cs="仿宋"/>
                <w:color w:val="auto"/>
                <w:szCs w:val="21"/>
                <w:highlight w:val="none"/>
              </w:rPr>
            </w:pPr>
          </w:p>
        </w:tc>
      </w:tr>
    </w:tbl>
    <w:p w14:paraId="097E4DD4">
      <w:pPr>
        <w:shd w:val="clear"/>
        <w:adjustRightInd w:val="0"/>
        <w:snapToGrid w:val="0"/>
        <w:spacing w:beforeLines="5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8C6FB60">
      <w:pPr>
        <w:shd w:val="clear"/>
        <w:adjustRightInd w:val="0"/>
        <w:snapToGrid w:val="0"/>
        <w:spacing w:beforeLines="50"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1.品牌和制造商指产品的品牌和生产厂商；</w:t>
      </w:r>
    </w:p>
    <w:p w14:paraId="0C533B9A">
      <w:pPr>
        <w:shd w:val="clea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2.投标人须按“货物（产品）</w:t>
      </w:r>
      <w:r>
        <w:rPr>
          <w:rFonts w:hint="eastAsia" w:ascii="仿宋" w:hAnsi="仿宋" w:eastAsia="仿宋" w:cs="仿宋"/>
          <w:bCs/>
          <w:color w:val="auto"/>
          <w:szCs w:val="21"/>
          <w:highlight w:val="none"/>
        </w:rPr>
        <w:t>分项报价表”的格式</w:t>
      </w:r>
      <w:r>
        <w:rPr>
          <w:rFonts w:hint="eastAsia" w:ascii="仿宋" w:hAnsi="仿宋" w:eastAsia="仿宋" w:cs="仿宋"/>
          <w:color w:val="auto"/>
          <w:szCs w:val="21"/>
          <w:highlight w:val="none"/>
        </w:rPr>
        <w:t>详细报出投标总价的各个组成部分的报价；报价精确到小数点后两位；</w:t>
      </w:r>
    </w:p>
    <w:p w14:paraId="05B1E7AD">
      <w:pPr>
        <w:shd w:val="clea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.本</w:t>
      </w:r>
      <w:r>
        <w:rPr>
          <w:rFonts w:hint="eastAsia" w:ascii="仿宋" w:hAnsi="仿宋" w:eastAsia="仿宋" w:cs="仿宋"/>
          <w:bCs/>
          <w:color w:val="auto"/>
          <w:szCs w:val="21"/>
          <w:highlight w:val="none"/>
        </w:rPr>
        <w:t>表各分项报价合计应当与“开标一览表”总报价相等；</w:t>
      </w:r>
      <w:r>
        <w:rPr>
          <w:rFonts w:hint="eastAsia" w:ascii="仿宋" w:hAnsi="仿宋" w:eastAsia="仿宋" w:cs="仿宋"/>
          <w:color w:val="auto"/>
          <w:szCs w:val="21"/>
          <w:highlight w:val="none"/>
        </w:rPr>
        <w:t>如果按单价计算的结果与报价不一致时，以单价为准修正报价与合计报价；</w:t>
      </w:r>
    </w:p>
    <w:p w14:paraId="59258B96">
      <w:pPr>
        <w:shd w:val="clear"/>
        <w:adjustRightInd w:val="0"/>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.本表为多页的，每页均需由</w:t>
      </w:r>
      <w:r>
        <w:rPr>
          <w:rFonts w:hint="eastAsia" w:ascii="仿宋" w:hAnsi="仿宋" w:eastAsia="仿宋" w:cs="仿宋"/>
          <w:color w:val="auto"/>
          <w:szCs w:val="21"/>
          <w:highlight w:val="none"/>
          <w:lang w:eastAsia="zh-CN"/>
        </w:rPr>
        <w:t>法定代表人或授权代表</w:t>
      </w:r>
      <w:r>
        <w:rPr>
          <w:rFonts w:hint="eastAsia" w:ascii="仿宋" w:hAnsi="仿宋" w:eastAsia="仿宋" w:cs="仿宋"/>
          <w:color w:val="auto"/>
          <w:szCs w:val="21"/>
          <w:highlight w:val="none"/>
        </w:rPr>
        <w:t>签字并盖投标人单位章；</w:t>
      </w:r>
    </w:p>
    <w:p w14:paraId="542446C5">
      <w:pPr>
        <w:pStyle w:val="57"/>
        <w:shd w:val="clear"/>
        <w:rPr>
          <w:rFonts w:hint="eastAsia" w:ascii="仿宋" w:hAnsi="仿宋" w:eastAsia="仿宋" w:cs="仿宋"/>
          <w:color w:val="auto"/>
          <w:highlight w:val="none"/>
          <w:lang w:eastAsia="zh-CN"/>
        </w:rPr>
      </w:pPr>
    </w:p>
    <w:p w14:paraId="6D57CA33">
      <w:pPr>
        <w:pStyle w:val="57"/>
        <w:shd w:val="clear"/>
        <w:rPr>
          <w:rFonts w:hint="eastAsia" w:ascii="仿宋" w:hAnsi="仿宋" w:eastAsia="仿宋" w:cs="仿宋"/>
          <w:color w:val="auto"/>
          <w:highlight w:val="none"/>
          <w:lang w:eastAsia="zh-CN"/>
        </w:rPr>
      </w:pPr>
    </w:p>
    <w:p w14:paraId="03636F9B">
      <w:pPr>
        <w:pStyle w:val="57"/>
        <w:shd w:val="clear"/>
        <w:rPr>
          <w:rFonts w:hint="eastAsia" w:ascii="仿宋" w:hAnsi="仿宋" w:eastAsia="仿宋" w:cs="仿宋"/>
          <w:color w:val="auto"/>
          <w:highlight w:val="none"/>
          <w:lang w:eastAsia="zh-CN"/>
        </w:rPr>
      </w:pPr>
    </w:p>
    <w:p w14:paraId="1E7D8895">
      <w:pPr>
        <w:shd w:val="clear"/>
        <w:spacing w:line="360" w:lineRule="auto"/>
        <w:ind w:firstLine="5040" w:firstLineChars="24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投标人：（公章）</w:t>
      </w:r>
    </w:p>
    <w:p w14:paraId="15F5E17B">
      <w:pPr>
        <w:shd w:val="clear"/>
        <w:spacing w:line="360" w:lineRule="auto"/>
        <w:ind w:firstLine="5040" w:firstLineChars="24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法定代表人或授权代表：（签字）</w:t>
      </w:r>
    </w:p>
    <w:p w14:paraId="6F194019">
      <w:pPr>
        <w:shd w:val="clear"/>
        <w:spacing w:line="360" w:lineRule="auto"/>
        <w:ind w:firstLine="5040" w:firstLineChars="2400"/>
        <w:rPr>
          <w:rFonts w:hint="eastAsia" w:ascii="仿宋" w:hAnsi="仿宋" w:eastAsia="仿宋" w:cs="仿宋"/>
          <w:color w:val="auto"/>
          <w:highlight w:val="none"/>
        </w:rPr>
      </w:pPr>
      <w:r>
        <w:rPr>
          <w:rFonts w:hint="eastAsia" w:ascii="仿宋" w:hAnsi="仿宋" w:eastAsia="仿宋" w:cs="仿宋"/>
          <w:color w:val="auto"/>
          <w:szCs w:val="21"/>
          <w:highlight w:val="none"/>
          <w:lang w:val="zh-CN"/>
        </w:rPr>
        <w:t>日期：年月日</w:t>
      </w:r>
    </w:p>
    <w:bookmarkEnd w:id="529"/>
    <w:bookmarkEnd w:id="530"/>
    <w:bookmarkEnd w:id="531"/>
    <w:bookmarkEnd w:id="532"/>
    <w:bookmarkEnd w:id="533"/>
    <w:bookmarkEnd w:id="534"/>
    <w:bookmarkEnd w:id="535"/>
    <w:p w14:paraId="21187EF3">
      <w:pPr>
        <w:shd w:val="clear"/>
        <w:spacing w:afterLines="100"/>
        <w:jc w:val="both"/>
        <w:rPr>
          <w:rFonts w:hint="eastAsia" w:ascii="仿宋" w:hAnsi="仿宋" w:eastAsia="仿宋" w:cs="仿宋"/>
          <w:b/>
          <w:color w:val="auto"/>
          <w:sz w:val="32"/>
          <w:szCs w:val="32"/>
          <w:highlight w:val="none"/>
          <w:lang w:val="en-US" w:eastAsia="zh-CN"/>
        </w:rPr>
      </w:pPr>
      <w:bookmarkStart w:id="536" w:name="_Toc9966"/>
      <w:bookmarkStart w:id="537" w:name="_Toc30531"/>
      <w:bookmarkStart w:id="538" w:name="_Toc777"/>
      <w:bookmarkStart w:id="539" w:name="_Toc21590"/>
      <w:bookmarkStart w:id="540" w:name="_Toc19156"/>
      <w:bookmarkStart w:id="541" w:name="_Toc6138"/>
      <w:bookmarkStart w:id="542" w:name="_Toc7687"/>
    </w:p>
    <w:p w14:paraId="7654188F">
      <w:pPr>
        <w:pStyle w:val="2"/>
        <w:rPr>
          <w:rFonts w:hint="eastAsia" w:ascii="仿宋" w:hAnsi="仿宋" w:eastAsia="仿宋" w:cs="仿宋"/>
          <w:b/>
          <w:color w:val="auto"/>
          <w:sz w:val="32"/>
          <w:szCs w:val="32"/>
          <w:highlight w:val="none"/>
          <w:lang w:val="en-US" w:eastAsia="zh-CN"/>
        </w:rPr>
      </w:pPr>
    </w:p>
    <w:p w14:paraId="36C9846E">
      <w:pPr>
        <w:shd w:val="clear"/>
        <w:rPr>
          <w:rFonts w:hint="eastAsia" w:ascii="楷体" w:hAnsi="楷体" w:eastAsia="楷体" w:cs="楷体"/>
          <w:b/>
          <w:bCs/>
          <w:color w:val="auto"/>
          <w:sz w:val="30"/>
          <w:szCs w:val="30"/>
          <w:highlight w:val="none"/>
          <w:lang w:val="en-US" w:eastAsia="zh-CN"/>
        </w:rPr>
      </w:pPr>
    </w:p>
    <w:p w14:paraId="4366D08B">
      <w:pPr>
        <w:shd w:val="clear"/>
        <w:jc w:val="center"/>
        <w:outlineLvl w:val="0"/>
        <w:rPr>
          <w:rFonts w:hint="default" w:ascii="仿宋" w:hAnsi="仿宋" w:eastAsia="仿宋" w:cs="仿宋"/>
          <w:b/>
          <w:color w:val="auto"/>
          <w:sz w:val="32"/>
          <w:highlight w:val="none"/>
          <w:lang w:val="en-US" w:eastAsia="zh-CN"/>
        </w:rPr>
      </w:pPr>
      <w:bookmarkStart w:id="543" w:name="_Toc20618"/>
      <w:bookmarkStart w:id="544" w:name="_Toc8716"/>
      <w:r>
        <w:rPr>
          <w:rFonts w:hint="eastAsia" w:ascii="仿宋" w:hAnsi="仿宋" w:eastAsia="仿宋" w:cs="仿宋"/>
          <w:b/>
          <w:color w:val="auto"/>
          <w:sz w:val="32"/>
          <w:highlight w:val="none"/>
          <w:lang w:val="en-US" w:eastAsia="zh-CN"/>
        </w:rPr>
        <w:t>第3部分 技术文件</w:t>
      </w:r>
    </w:p>
    <w:bookmarkEnd w:id="543"/>
    <w:bookmarkEnd w:id="544"/>
    <w:p w14:paraId="6D8FCA56">
      <w:pPr>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说明：</w:t>
      </w:r>
    </w:p>
    <w:p w14:paraId="1FF81F39">
      <w:pPr>
        <w:shd w:val="clear"/>
        <w:spacing w:line="360" w:lineRule="auto"/>
        <w:ind w:firstLine="440" w:firstLineChars="200"/>
        <w:rPr>
          <w:rFonts w:hint="eastAsia" w:ascii="仿宋" w:hAnsi="仿宋" w:eastAsia="仿宋" w:cs="仿宋"/>
          <w:color w:val="auto"/>
          <w:szCs w:val="21"/>
          <w:highlight w:val="none"/>
        </w:rPr>
      </w:pPr>
      <w:r>
        <w:rPr>
          <w:rFonts w:hint="eastAsia" w:ascii="仿宋" w:hAnsi="仿宋" w:eastAsia="仿宋" w:cs="仿宋"/>
          <w:color w:val="auto"/>
          <w:sz w:val="22"/>
          <w:szCs w:val="22"/>
        </w:rPr>
        <w:t>格式自定。</w:t>
      </w:r>
      <w:r>
        <w:rPr>
          <w:rFonts w:hint="eastAsia" w:ascii="仿宋" w:hAnsi="仿宋" w:eastAsia="仿宋" w:cs="仿宋"/>
          <w:color w:val="auto"/>
          <w:szCs w:val="21"/>
          <w:highlight w:val="none"/>
        </w:rPr>
        <w:t>由投标人根据第</w:t>
      </w:r>
      <w:r>
        <w:rPr>
          <w:rFonts w:hint="eastAsia" w:ascii="仿宋" w:hAnsi="仿宋" w:eastAsia="仿宋" w:cs="仿宋"/>
          <w:color w:val="auto"/>
          <w:szCs w:val="21"/>
          <w:highlight w:val="none"/>
          <w:lang w:val="en-US" w:eastAsia="zh-CN"/>
        </w:rPr>
        <w:t>四</w:t>
      </w:r>
      <w:r>
        <w:rPr>
          <w:rFonts w:hint="eastAsia" w:ascii="仿宋" w:hAnsi="仿宋" w:eastAsia="仿宋" w:cs="仿宋"/>
          <w:color w:val="auto"/>
          <w:szCs w:val="21"/>
          <w:highlight w:val="none"/>
        </w:rPr>
        <w:t>章 《评</w:t>
      </w:r>
      <w:r>
        <w:rPr>
          <w:rFonts w:hint="eastAsia" w:ascii="仿宋" w:hAnsi="仿宋" w:eastAsia="仿宋" w:cs="仿宋"/>
          <w:color w:val="auto"/>
          <w:szCs w:val="21"/>
          <w:highlight w:val="none"/>
          <w:lang w:val="en-US" w:eastAsia="zh-CN"/>
        </w:rPr>
        <w:t>标</w:t>
      </w:r>
      <w:r>
        <w:rPr>
          <w:rFonts w:hint="eastAsia" w:ascii="仿宋" w:hAnsi="仿宋" w:eastAsia="仿宋" w:cs="仿宋"/>
          <w:color w:val="auto"/>
          <w:szCs w:val="21"/>
          <w:highlight w:val="none"/>
        </w:rPr>
        <w:t>办法》内</w:t>
      </w:r>
      <w:r>
        <w:rPr>
          <w:rFonts w:hint="eastAsia" w:ascii="仿宋" w:hAnsi="仿宋" w:eastAsia="仿宋" w:cs="仿宋"/>
          <w:color w:val="auto"/>
          <w:kern w:val="1"/>
          <w:szCs w:val="21"/>
          <w:highlight w:val="none"/>
        </w:rPr>
        <w:t>3.2.</w:t>
      </w:r>
      <w:r>
        <w:rPr>
          <w:rFonts w:hint="eastAsia" w:ascii="仿宋" w:hAnsi="仿宋" w:eastAsia="仿宋" w:cs="仿宋"/>
          <w:color w:val="auto"/>
          <w:kern w:val="1"/>
          <w:szCs w:val="21"/>
          <w:highlight w:val="none"/>
          <w:lang w:val="en-US" w:eastAsia="zh-CN"/>
        </w:rPr>
        <w:t>3</w:t>
      </w:r>
      <w:r>
        <w:rPr>
          <w:rFonts w:hint="eastAsia" w:ascii="仿宋" w:hAnsi="仿宋" w:eastAsia="仿宋" w:cs="仿宋"/>
          <w:color w:val="auto"/>
          <w:kern w:val="1"/>
          <w:szCs w:val="21"/>
          <w:highlight w:val="none"/>
        </w:rPr>
        <w:t>、评审要素一览表</w:t>
      </w:r>
      <w:r>
        <w:rPr>
          <w:rFonts w:hint="eastAsia" w:ascii="仿宋" w:hAnsi="仿宋" w:eastAsia="仿宋" w:cs="仿宋"/>
          <w:color w:val="auto"/>
          <w:szCs w:val="21"/>
          <w:highlight w:val="none"/>
        </w:rPr>
        <w:t>技术部分的评审标准，结合第</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章《采购内容及具体要求》进行编制。</w:t>
      </w:r>
    </w:p>
    <w:p w14:paraId="53F59680">
      <w:pPr>
        <w:spacing w:line="360" w:lineRule="auto"/>
        <w:ind w:firstLine="420" w:firstLineChars="200"/>
        <w:rPr>
          <w:rFonts w:hint="eastAsia" w:ascii="仿宋" w:hAnsi="仿宋" w:eastAsia="仿宋" w:cs="仿宋"/>
          <w:color w:val="auto"/>
          <w:szCs w:val="21"/>
        </w:rPr>
      </w:pPr>
    </w:p>
    <w:p w14:paraId="20E150FC">
      <w:pPr>
        <w:spacing w:line="360" w:lineRule="auto"/>
        <w:ind w:firstLine="420" w:firstLineChars="200"/>
        <w:rPr>
          <w:rFonts w:hint="eastAsia" w:ascii="仿宋" w:hAnsi="仿宋" w:eastAsia="仿宋" w:cs="仿宋"/>
          <w:color w:val="auto"/>
          <w:szCs w:val="21"/>
        </w:rPr>
      </w:pPr>
    </w:p>
    <w:p w14:paraId="236B1E12">
      <w:pPr>
        <w:spacing w:line="360" w:lineRule="auto"/>
        <w:ind w:firstLine="420" w:firstLineChars="200"/>
        <w:rPr>
          <w:rFonts w:hint="eastAsia" w:ascii="仿宋" w:hAnsi="仿宋" w:eastAsia="仿宋" w:cs="仿宋"/>
          <w:color w:val="auto"/>
          <w:szCs w:val="21"/>
        </w:rPr>
      </w:pPr>
    </w:p>
    <w:p w14:paraId="63856769">
      <w:pPr>
        <w:spacing w:line="360" w:lineRule="auto"/>
        <w:ind w:firstLine="420" w:firstLineChars="200"/>
        <w:rPr>
          <w:rFonts w:hint="eastAsia" w:ascii="仿宋" w:hAnsi="仿宋" w:eastAsia="仿宋" w:cs="仿宋"/>
          <w:color w:val="auto"/>
          <w:szCs w:val="21"/>
        </w:rPr>
      </w:pPr>
    </w:p>
    <w:p w14:paraId="69B22A00">
      <w:pPr>
        <w:spacing w:line="360" w:lineRule="auto"/>
        <w:ind w:firstLine="420" w:firstLineChars="200"/>
        <w:rPr>
          <w:rFonts w:hint="eastAsia" w:ascii="仿宋" w:hAnsi="仿宋" w:eastAsia="仿宋" w:cs="仿宋"/>
          <w:color w:val="auto"/>
          <w:szCs w:val="21"/>
        </w:rPr>
      </w:pPr>
    </w:p>
    <w:p w14:paraId="6075B67F">
      <w:pPr>
        <w:spacing w:line="360" w:lineRule="auto"/>
        <w:ind w:firstLine="420" w:firstLineChars="200"/>
        <w:rPr>
          <w:rFonts w:hint="eastAsia" w:ascii="仿宋" w:hAnsi="仿宋" w:eastAsia="仿宋" w:cs="仿宋"/>
          <w:color w:val="auto"/>
          <w:szCs w:val="21"/>
        </w:rPr>
      </w:pPr>
    </w:p>
    <w:p w14:paraId="32EE859E">
      <w:pPr>
        <w:spacing w:line="360" w:lineRule="auto"/>
        <w:ind w:firstLine="420" w:firstLineChars="200"/>
        <w:rPr>
          <w:rFonts w:hint="eastAsia" w:ascii="仿宋" w:hAnsi="仿宋" w:eastAsia="仿宋" w:cs="仿宋"/>
          <w:color w:val="auto"/>
          <w:szCs w:val="21"/>
        </w:rPr>
      </w:pPr>
    </w:p>
    <w:p w14:paraId="60E90226">
      <w:pPr>
        <w:spacing w:line="360" w:lineRule="auto"/>
        <w:ind w:firstLine="420" w:firstLineChars="200"/>
        <w:rPr>
          <w:rFonts w:hint="eastAsia" w:ascii="仿宋" w:hAnsi="仿宋" w:eastAsia="仿宋" w:cs="仿宋"/>
          <w:color w:val="auto"/>
          <w:szCs w:val="21"/>
        </w:rPr>
      </w:pPr>
    </w:p>
    <w:p w14:paraId="29B996FC">
      <w:pPr>
        <w:spacing w:line="360" w:lineRule="auto"/>
        <w:ind w:firstLine="420" w:firstLineChars="200"/>
        <w:rPr>
          <w:rFonts w:hint="eastAsia" w:ascii="仿宋" w:hAnsi="仿宋" w:eastAsia="仿宋" w:cs="仿宋"/>
          <w:color w:val="auto"/>
          <w:szCs w:val="21"/>
        </w:rPr>
      </w:pPr>
    </w:p>
    <w:p w14:paraId="4348DEB7">
      <w:pPr>
        <w:spacing w:line="360" w:lineRule="auto"/>
        <w:ind w:firstLine="420" w:firstLineChars="200"/>
        <w:rPr>
          <w:rFonts w:hint="eastAsia" w:ascii="仿宋" w:hAnsi="仿宋" w:eastAsia="仿宋" w:cs="仿宋"/>
          <w:color w:val="auto"/>
          <w:szCs w:val="21"/>
        </w:rPr>
      </w:pPr>
    </w:p>
    <w:p w14:paraId="37F72A05">
      <w:pPr>
        <w:spacing w:line="360" w:lineRule="auto"/>
        <w:ind w:firstLine="420" w:firstLineChars="200"/>
        <w:rPr>
          <w:rFonts w:hint="eastAsia" w:ascii="仿宋" w:hAnsi="仿宋" w:eastAsia="仿宋" w:cs="仿宋"/>
          <w:color w:val="auto"/>
          <w:szCs w:val="21"/>
        </w:rPr>
      </w:pPr>
    </w:p>
    <w:p w14:paraId="0F3179F9">
      <w:pPr>
        <w:spacing w:line="360" w:lineRule="auto"/>
        <w:ind w:firstLine="420" w:firstLineChars="200"/>
        <w:rPr>
          <w:rFonts w:hint="eastAsia" w:ascii="仿宋" w:hAnsi="仿宋" w:eastAsia="仿宋" w:cs="仿宋"/>
          <w:color w:val="auto"/>
          <w:szCs w:val="21"/>
        </w:rPr>
      </w:pPr>
    </w:p>
    <w:p w14:paraId="0D48E9BD">
      <w:pPr>
        <w:spacing w:line="360" w:lineRule="auto"/>
        <w:ind w:firstLine="420" w:firstLineChars="200"/>
        <w:rPr>
          <w:rFonts w:hint="eastAsia" w:ascii="仿宋" w:hAnsi="仿宋" w:eastAsia="仿宋" w:cs="仿宋"/>
          <w:color w:val="auto"/>
          <w:szCs w:val="21"/>
        </w:rPr>
      </w:pPr>
    </w:p>
    <w:p w14:paraId="560011D2">
      <w:pPr>
        <w:spacing w:line="360" w:lineRule="auto"/>
        <w:ind w:firstLine="420" w:firstLineChars="200"/>
        <w:rPr>
          <w:rFonts w:hint="eastAsia" w:ascii="仿宋" w:hAnsi="仿宋" w:eastAsia="仿宋" w:cs="仿宋"/>
          <w:color w:val="auto"/>
          <w:szCs w:val="21"/>
        </w:rPr>
      </w:pPr>
    </w:p>
    <w:p w14:paraId="3793D5C9">
      <w:pPr>
        <w:spacing w:line="360" w:lineRule="auto"/>
        <w:ind w:firstLine="420" w:firstLineChars="200"/>
        <w:rPr>
          <w:rFonts w:hint="eastAsia" w:ascii="仿宋" w:hAnsi="仿宋" w:eastAsia="仿宋" w:cs="仿宋"/>
          <w:color w:val="auto"/>
          <w:szCs w:val="21"/>
        </w:rPr>
      </w:pPr>
    </w:p>
    <w:p w14:paraId="4EDFE43C">
      <w:pPr>
        <w:spacing w:line="360" w:lineRule="auto"/>
        <w:ind w:firstLine="420" w:firstLineChars="200"/>
        <w:rPr>
          <w:rFonts w:hint="eastAsia" w:ascii="仿宋" w:hAnsi="仿宋" w:eastAsia="仿宋" w:cs="仿宋"/>
          <w:color w:val="auto"/>
          <w:szCs w:val="21"/>
        </w:rPr>
      </w:pPr>
    </w:p>
    <w:p w14:paraId="0E73AC52">
      <w:pPr>
        <w:spacing w:line="360" w:lineRule="auto"/>
        <w:ind w:firstLine="420" w:firstLineChars="200"/>
        <w:rPr>
          <w:rFonts w:hint="eastAsia" w:ascii="仿宋" w:hAnsi="仿宋" w:eastAsia="仿宋" w:cs="仿宋"/>
          <w:color w:val="auto"/>
          <w:szCs w:val="21"/>
        </w:rPr>
      </w:pPr>
    </w:p>
    <w:p w14:paraId="6C362B7E">
      <w:pPr>
        <w:spacing w:line="360" w:lineRule="auto"/>
        <w:ind w:firstLine="420" w:firstLineChars="200"/>
        <w:rPr>
          <w:rFonts w:hint="eastAsia" w:ascii="仿宋" w:hAnsi="仿宋" w:eastAsia="仿宋" w:cs="仿宋"/>
          <w:color w:val="auto"/>
          <w:szCs w:val="21"/>
        </w:rPr>
      </w:pPr>
    </w:p>
    <w:p w14:paraId="293F3D2F">
      <w:pPr>
        <w:spacing w:line="360" w:lineRule="auto"/>
        <w:ind w:firstLine="420" w:firstLineChars="200"/>
        <w:rPr>
          <w:rFonts w:hint="eastAsia" w:ascii="仿宋" w:hAnsi="仿宋" w:eastAsia="仿宋" w:cs="仿宋"/>
          <w:color w:val="auto"/>
          <w:szCs w:val="21"/>
        </w:rPr>
      </w:pPr>
    </w:p>
    <w:p w14:paraId="323F2000">
      <w:pPr>
        <w:spacing w:line="360" w:lineRule="auto"/>
        <w:ind w:firstLine="420" w:firstLineChars="200"/>
        <w:rPr>
          <w:rFonts w:hint="eastAsia" w:ascii="仿宋" w:hAnsi="仿宋" w:eastAsia="仿宋" w:cs="仿宋"/>
          <w:color w:val="auto"/>
          <w:szCs w:val="21"/>
        </w:rPr>
      </w:pPr>
    </w:p>
    <w:p w14:paraId="605A0614">
      <w:pPr>
        <w:spacing w:line="360" w:lineRule="auto"/>
        <w:ind w:firstLine="420" w:firstLineChars="200"/>
        <w:rPr>
          <w:rFonts w:hint="eastAsia" w:ascii="仿宋" w:hAnsi="仿宋" w:eastAsia="仿宋" w:cs="仿宋"/>
          <w:color w:val="auto"/>
          <w:szCs w:val="21"/>
        </w:rPr>
      </w:pPr>
    </w:p>
    <w:p w14:paraId="1D1952CA">
      <w:pPr>
        <w:spacing w:line="360" w:lineRule="auto"/>
        <w:ind w:firstLine="420" w:firstLineChars="200"/>
        <w:rPr>
          <w:rFonts w:hint="eastAsia" w:ascii="仿宋" w:hAnsi="仿宋" w:eastAsia="仿宋" w:cs="仿宋"/>
          <w:color w:val="auto"/>
          <w:szCs w:val="21"/>
        </w:rPr>
      </w:pPr>
    </w:p>
    <w:p w14:paraId="1FC13D3A">
      <w:pPr>
        <w:spacing w:line="360" w:lineRule="auto"/>
        <w:ind w:firstLine="420" w:firstLineChars="200"/>
        <w:rPr>
          <w:rFonts w:hint="eastAsia" w:ascii="仿宋" w:hAnsi="仿宋" w:eastAsia="仿宋" w:cs="仿宋"/>
          <w:color w:val="auto"/>
          <w:szCs w:val="21"/>
        </w:rPr>
      </w:pPr>
    </w:p>
    <w:p w14:paraId="60CA2E9B">
      <w:pPr>
        <w:spacing w:line="360" w:lineRule="auto"/>
        <w:ind w:firstLine="420" w:firstLineChars="200"/>
        <w:rPr>
          <w:rFonts w:hint="eastAsia" w:ascii="仿宋" w:hAnsi="仿宋" w:eastAsia="仿宋" w:cs="仿宋"/>
          <w:color w:val="auto"/>
          <w:szCs w:val="21"/>
        </w:rPr>
      </w:pPr>
    </w:p>
    <w:p w14:paraId="23036D12">
      <w:pPr>
        <w:shd w:val="clear"/>
        <w:rPr>
          <w:rFonts w:hint="eastAsia" w:ascii="仿宋" w:hAnsi="仿宋" w:eastAsia="仿宋" w:cs="仿宋"/>
          <w:b/>
          <w:color w:val="000000" w:themeColor="text1"/>
          <w:sz w:val="28"/>
          <w:szCs w:val="28"/>
          <w14:textFill>
            <w14:solidFill>
              <w14:schemeClr w14:val="tx1"/>
            </w14:solidFill>
          </w14:textFill>
        </w:rPr>
      </w:pPr>
    </w:p>
    <w:p w14:paraId="75576247">
      <w:pPr>
        <w:shd w:val="clear"/>
        <w:rPr>
          <w:rFonts w:hint="eastAsia" w:ascii="仿宋" w:hAnsi="仿宋" w:eastAsia="仿宋" w:cs="仿宋"/>
          <w:b/>
          <w:bCs/>
          <w:color w:val="auto"/>
          <w:kern w:val="0"/>
          <w:sz w:val="36"/>
          <w:szCs w:val="36"/>
        </w:rPr>
      </w:pPr>
      <w:r>
        <w:rPr>
          <w:rFonts w:hint="eastAsia" w:ascii="仿宋" w:hAnsi="仿宋" w:eastAsia="仿宋" w:cs="仿宋"/>
          <w:b/>
          <w:color w:val="000000" w:themeColor="text1"/>
          <w:sz w:val="28"/>
          <w:szCs w:val="28"/>
          <w14:textFill>
            <w14:solidFill>
              <w14:schemeClr w14:val="tx1"/>
            </w14:solidFill>
          </w14:textFill>
        </w:rPr>
        <w:t>附表1：</w:t>
      </w:r>
    </w:p>
    <w:p w14:paraId="00F68B92">
      <w:pPr>
        <w:shd w:val="clear"/>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auto"/>
          <w:kern w:val="0"/>
          <w:sz w:val="36"/>
          <w:szCs w:val="36"/>
        </w:rPr>
        <w:t>技术参数偏离表</w:t>
      </w:r>
    </w:p>
    <w:p w14:paraId="57699D97">
      <w:pPr>
        <w:shd w:val="clear"/>
        <w:spacing w:line="360" w:lineRule="auto"/>
        <w:rPr>
          <w:rFonts w:hint="eastAsia" w:ascii="仿宋" w:hAnsi="仿宋" w:eastAsia="仿宋" w:cs="仿宋"/>
          <w:color w:val="auto"/>
          <w:szCs w:val="21"/>
          <w:highlight w:val="none"/>
          <w:lang w:eastAsia="zh-CN"/>
        </w:rPr>
      </w:pPr>
    </w:p>
    <w:p w14:paraId="7396FF13">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项目名称</w:t>
      </w:r>
      <w:r>
        <w:rPr>
          <w:rFonts w:hint="eastAsia" w:ascii="仿宋" w:hAnsi="仿宋" w:eastAsia="仿宋" w:cs="仿宋"/>
          <w:color w:val="auto"/>
          <w:szCs w:val="21"/>
          <w:highlight w:val="none"/>
        </w:rPr>
        <w:t xml:space="preserve">：宁强县水利局分散供水工程消毒药剂购置项目                                          </w:t>
      </w:r>
    </w:p>
    <w:p w14:paraId="4E8B7C0B">
      <w:pPr>
        <w:shd w:val="clea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项目编号</w:t>
      </w:r>
      <w:r>
        <w:rPr>
          <w:rFonts w:hint="eastAsia" w:ascii="仿宋" w:hAnsi="仿宋" w:eastAsia="仿宋" w:cs="仿宋"/>
          <w:color w:val="auto"/>
          <w:szCs w:val="21"/>
          <w:highlight w:val="none"/>
        </w:rPr>
        <w:t>：HZ-J2024011C</w:t>
      </w:r>
    </w:p>
    <w:tbl>
      <w:tblPr>
        <w:tblStyle w:val="42"/>
        <w:tblpPr w:leftFromText="180" w:rightFromText="180" w:vertAnchor="text" w:horzAnchor="margin" w:tblpXSpec="center" w:tblpY="74"/>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064"/>
        <w:gridCol w:w="1997"/>
        <w:gridCol w:w="1152"/>
        <w:gridCol w:w="1341"/>
        <w:gridCol w:w="2067"/>
      </w:tblGrid>
      <w:tr w14:paraId="2224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exact"/>
        </w:trPr>
        <w:tc>
          <w:tcPr>
            <w:tcW w:w="683" w:type="dxa"/>
            <w:tcBorders>
              <w:top w:val="single" w:color="auto" w:sz="12" w:space="0"/>
              <w:left w:val="single" w:color="auto" w:sz="12" w:space="0"/>
              <w:bottom w:val="single" w:color="auto" w:sz="4" w:space="0"/>
              <w:right w:val="single" w:color="auto" w:sz="4" w:space="0"/>
            </w:tcBorders>
            <w:vAlign w:val="center"/>
          </w:tcPr>
          <w:p w14:paraId="3E92A17D">
            <w:pPr>
              <w:shd w:val="clear"/>
              <w:snapToGrid w:val="0"/>
              <w:spacing w:line="240" w:lineRule="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序号</w:t>
            </w:r>
          </w:p>
        </w:tc>
        <w:tc>
          <w:tcPr>
            <w:tcW w:w="2064" w:type="dxa"/>
            <w:tcBorders>
              <w:top w:val="single" w:color="auto" w:sz="12" w:space="0"/>
              <w:left w:val="single" w:color="auto" w:sz="4" w:space="0"/>
              <w:bottom w:val="single" w:color="auto" w:sz="4" w:space="0"/>
              <w:right w:val="single" w:color="auto" w:sz="4" w:space="0"/>
            </w:tcBorders>
            <w:vAlign w:val="center"/>
          </w:tcPr>
          <w:p w14:paraId="344C2E64">
            <w:pPr>
              <w:shd w:val="clear"/>
              <w:snapToGrid w:val="0"/>
              <w:spacing w:line="240" w:lineRule="auto"/>
              <w:jc w:val="center"/>
              <w:rPr>
                <w:rFonts w:hint="eastAsia" w:ascii="仿宋" w:hAnsi="仿宋" w:eastAsia="仿宋" w:cs="仿宋"/>
                <w:b/>
                <w:color w:val="auto"/>
                <w:szCs w:val="21"/>
                <w:highlight w:val="none"/>
                <w:lang w:eastAsia="zh-CN"/>
              </w:rPr>
            </w:pPr>
            <w:r>
              <w:rPr>
                <w:rFonts w:hint="eastAsia" w:ascii="仿宋" w:hAnsi="仿宋" w:eastAsia="仿宋" w:cs="仿宋"/>
                <w:b/>
                <w:color w:val="auto"/>
                <w:szCs w:val="21"/>
                <w:highlight w:val="none"/>
                <w:lang w:val="en-US" w:eastAsia="zh-CN"/>
              </w:rPr>
              <w:t>招标文件</w:t>
            </w:r>
            <w:r>
              <w:rPr>
                <w:rFonts w:hint="eastAsia" w:ascii="仿宋" w:hAnsi="仿宋" w:eastAsia="仿宋" w:cs="仿宋"/>
                <w:b/>
                <w:color w:val="auto"/>
                <w:szCs w:val="21"/>
                <w:highlight w:val="none"/>
              </w:rPr>
              <w:t>技术参数</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型号规格</w:t>
            </w:r>
            <w:r>
              <w:rPr>
                <w:rFonts w:hint="eastAsia" w:ascii="仿宋" w:hAnsi="仿宋" w:eastAsia="仿宋" w:cs="仿宋"/>
                <w:b/>
                <w:color w:val="auto"/>
                <w:szCs w:val="21"/>
                <w:highlight w:val="none"/>
                <w:lang w:eastAsia="zh-CN"/>
              </w:rPr>
              <w:t>）</w:t>
            </w:r>
          </w:p>
        </w:tc>
        <w:tc>
          <w:tcPr>
            <w:tcW w:w="1997" w:type="dxa"/>
            <w:tcBorders>
              <w:top w:val="single" w:color="auto" w:sz="12" w:space="0"/>
              <w:left w:val="single" w:color="auto" w:sz="4" w:space="0"/>
              <w:bottom w:val="single" w:color="auto" w:sz="4" w:space="0"/>
              <w:right w:val="single" w:color="auto" w:sz="4" w:space="0"/>
            </w:tcBorders>
            <w:vAlign w:val="center"/>
          </w:tcPr>
          <w:p w14:paraId="2CC781F1">
            <w:pPr>
              <w:shd w:val="clear"/>
              <w:snapToGrid w:val="0"/>
              <w:spacing w:line="240" w:lineRule="auto"/>
              <w:jc w:val="center"/>
              <w:rPr>
                <w:rFonts w:hint="default"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投标文件技术参数</w:t>
            </w:r>
            <w:r>
              <w:rPr>
                <w:rFonts w:hint="eastAsia" w:ascii="仿宋" w:hAnsi="仿宋" w:eastAsia="仿宋" w:cs="仿宋"/>
                <w:b/>
                <w:color w:val="auto"/>
                <w:szCs w:val="21"/>
                <w:highlight w:val="none"/>
                <w:lang w:eastAsia="zh-CN"/>
              </w:rPr>
              <w:t>（</w:t>
            </w:r>
            <w:r>
              <w:rPr>
                <w:rFonts w:hint="eastAsia" w:ascii="仿宋" w:hAnsi="仿宋" w:eastAsia="仿宋" w:cs="仿宋"/>
                <w:b/>
                <w:color w:val="auto"/>
                <w:szCs w:val="21"/>
                <w:highlight w:val="none"/>
                <w:lang w:val="en-US" w:eastAsia="zh-CN"/>
              </w:rPr>
              <w:t>型号规格</w:t>
            </w:r>
            <w:r>
              <w:rPr>
                <w:rFonts w:hint="eastAsia" w:ascii="仿宋" w:hAnsi="仿宋" w:eastAsia="仿宋" w:cs="仿宋"/>
                <w:b/>
                <w:color w:val="auto"/>
                <w:szCs w:val="21"/>
                <w:highlight w:val="none"/>
                <w:lang w:eastAsia="zh-CN"/>
              </w:rPr>
              <w:t>）</w:t>
            </w:r>
          </w:p>
        </w:tc>
        <w:tc>
          <w:tcPr>
            <w:tcW w:w="1152" w:type="dxa"/>
            <w:tcBorders>
              <w:top w:val="single" w:color="auto" w:sz="12" w:space="0"/>
              <w:left w:val="single" w:color="auto" w:sz="4" w:space="0"/>
              <w:bottom w:val="single" w:color="auto" w:sz="4" w:space="0"/>
              <w:right w:val="single" w:color="auto" w:sz="4" w:space="0"/>
            </w:tcBorders>
            <w:vAlign w:val="center"/>
          </w:tcPr>
          <w:p w14:paraId="7292F78C">
            <w:pPr>
              <w:shd w:val="clear" w:color="auto" w:fill="auto"/>
              <w:adjustRightInd w:val="0"/>
              <w:snapToGrid w:val="0"/>
              <w:ind w:right="23" w:rightChars="0"/>
              <w:jc w:val="center"/>
              <w:rPr>
                <w:rFonts w:hint="eastAsia" w:ascii="仿宋" w:hAnsi="仿宋" w:eastAsia="仿宋" w:cs="仿宋"/>
                <w:b/>
                <w:color w:val="auto"/>
                <w:szCs w:val="21"/>
                <w:highlight w:val="none"/>
              </w:rPr>
            </w:pPr>
            <w:r>
              <w:rPr>
                <w:rFonts w:hint="eastAsia" w:ascii="仿宋" w:hAnsi="仿宋" w:eastAsia="仿宋" w:cs="仿宋"/>
                <w:b/>
                <w:bCs/>
                <w:color w:val="auto"/>
                <w:sz w:val="21"/>
                <w:szCs w:val="21"/>
                <w:highlight w:val="none"/>
                <w:lang w:val="en-US" w:eastAsia="zh-CN"/>
              </w:rPr>
              <w:t>正/负</w:t>
            </w:r>
            <w:r>
              <w:rPr>
                <w:rFonts w:hint="eastAsia" w:ascii="仿宋" w:hAnsi="仿宋" w:eastAsia="仿宋" w:cs="仿宋"/>
                <w:b/>
                <w:bCs/>
                <w:color w:val="auto"/>
                <w:sz w:val="21"/>
                <w:szCs w:val="21"/>
                <w:highlight w:val="none"/>
              </w:rPr>
              <w:t>偏离</w:t>
            </w:r>
            <w:r>
              <w:rPr>
                <w:rFonts w:hint="eastAsia" w:ascii="仿宋" w:hAnsi="仿宋" w:eastAsia="仿宋" w:cs="仿宋"/>
                <w:b/>
                <w:bCs/>
                <w:color w:val="auto"/>
                <w:sz w:val="21"/>
                <w:szCs w:val="21"/>
                <w:highlight w:val="none"/>
                <w:lang w:val="en-US" w:eastAsia="zh-CN"/>
              </w:rPr>
              <w:t>或相同</w:t>
            </w:r>
          </w:p>
        </w:tc>
        <w:tc>
          <w:tcPr>
            <w:tcW w:w="1341" w:type="dxa"/>
            <w:tcBorders>
              <w:top w:val="single" w:color="auto" w:sz="12" w:space="0"/>
              <w:left w:val="single" w:color="auto" w:sz="4" w:space="0"/>
              <w:bottom w:val="single" w:color="auto" w:sz="4" w:space="0"/>
              <w:right w:val="single" w:color="auto" w:sz="12" w:space="0"/>
            </w:tcBorders>
            <w:vAlign w:val="center"/>
          </w:tcPr>
          <w:p w14:paraId="7198F97B">
            <w:pPr>
              <w:shd w:val="clear" w:color="auto" w:fill="auto"/>
              <w:adjustRightInd w:val="0"/>
              <w:snapToGrid w:val="0"/>
              <w:ind w:right="23"/>
              <w:jc w:val="center"/>
              <w:rPr>
                <w:rFonts w:hint="eastAsia" w:ascii="仿宋" w:hAnsi="仿宋" w:eastAsia="仿宋" w:cs="仿宋"/>
                <w:b/>
                <w:color w:val="auto"/>
                <w:szCs w:val="21"/>
                <w:highlight w:val="none"/>
                <w:lang w:eastAsia="zh-CN"/>
              </w:rPr>
            </w:pPr>
            <w:r>
              <w:rPr>
                <w:rFonts w:hint="eastAsia" w:ascii="仿宋" w:hAnsi="仿宋" w:eastAsia="仿宋" w:cs="仿宋"/>
                <w:b/>
                <w:bCs/>
                <w:color w:val="auto"/>
                <w:sz w:val="21"/>
                <w:szCs w:val="21"/>
                <w:highlight w:val="none"/>
              </w:rPr>
              <w:t>偏离</w:t>
            </w:r>
            <w:r>
              <w:rPr>
                <w:rFonts w:hint="eastAsia" w:ascii="仿宋" w:hAnsi="仿宋" w:eastAsia="仿宋" w:cs="仿宋"/>
                <w:b/>
                <w:bCs/>
                <w:color w:val="auto"/>
                <w:sz w:val="21"/>
                <w:szCs w:val="21"/>
                <w:highlight w:val="none"/>
                <w:lang w:val="en-US" w:eastAsia="zh-CN"/>
              </w:rPr>
              <w:t>内容及影响</w:t>
            </w:r>
          </w:p>
        </w:tc>
        <w:tc>
          <w:tcPr>
            <w:tcW w:w="2067" w:type="dxa"/>
            <w:tcBorders>
              <w:top w:val="single" w:color="auto" w:sz="12" w:space="0"/>
              <w:left w:val="single" w:color="auto" w:sz="4" w:space="0"/>
              <w:bottom w:val="single" w:color="auto" w:sz="4" w:space="0"/>
              <w:right w:val="single" w:color="auto" w:sz="12" w:space="0"/>
            </w:tcBorders>
            <w:vAlign w:val="center"/>
          </w:tcPr>
          <w:p w14:paraId="21265FB3">
            <w:pPr>
              <w:shd w:val="clear" w:color="auto" w:fill="auto"/>
              <w:adjustRightInd w:val="0"/>
              <w:snapToGrid w:val="0"/>
              <w:ind w:right="23" w:rightChars="0"/>
              <w:jc w:val="center"/>
              <w:rPr>
                <w:rFonts w:hint="eastAsia" w:ascii="仿宋" w:hAnsi="仿宋" w:eastAsia="仿宋" w:cs="仿宋"/>
                <w:b/>
                <w:color w:val="auto"/>
                <w:szCs w:val="21"/>
                <w:highlight w:val="none"/>
              </w:rPr>
            </w:pPr>
            <w:r>
              <w:rPr>
                <w:rFonts w:hint="eastAsia" w:ascii="仿宋" w:hAnsi="仿宋" w:eastAsia="仿宋" w:cs="仿宋"/>
                <w:b/>
                <w:bCs/>
                <w:color w:val="auto"/>
                <w:sz w:val="21"/>
                <w:szCs w:val="21"/>
                <w:highlight w:val="none"/>
                <w:lang w:val="en-US" w:eastAsia="zh-CN"/>
              </w:rPr>
              <w:t>技术参数功能佐证材料的对应页码</w:t>
            </w:r>
          </w:p>
        </w:tc>
      </w:tr>
      <w:tr w14:paraId="3970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4F34E6CD">
            <w:pPr>
              <w:shd w:val="clear"/>
              <w:snapToGrid w:val="0"/>
              <w:spacing w:line="400" w:lineRule="exact"/>
              <w:jc w:val="center"/>
              <w:rPr>
                <w:rFonts w:hint="eastAsia" w:ascii="仿宋" w:hAnsi="仿宋" w:eastAsia="仿宋" w:cs="仿宋"/>
                <w:color w:val="auto"/>
                <w:sz w:val="24"/>
                <w:highlight w:val="none"/>
              </w:rPr>
            </w:pPr>
          </w:p>
        </w:tc>
        <w:tc>
          <w:tcPr>
            <w:tcW w:w="2064" w:type="dxa"/>
            <w:tcBorders>
              <w:top w:val="single" w:color="auto" w:sz="4" w:space="0"/>
              <w:left w:val="single" w:color="auto" w:sz="4" w:space="0"/>
              <w:bottom w:val="single" w:color="auto" w:sz="4" w:space="0"/>
              <w:right w:val="single" w:color="auto" w:sz="4" w:space="0"/>
            </w:tcBorders>
          </w:tcPr>
          <w:p w14:paraId="31E844B5">
            <w:pPr>
              <w:shd w:val="clear"/>
              <w:snapToGrid w:val="0"/>
              <w:spacing w:line="400" w:lineRule="exact"/>
              <w:jc w:val="center"/>
              <w:rPr>
                <w:rFonts w:hint="eastAsia" w:ascii="仿宋" w:hAnsi="仿宋" w:eastAsia="仿宋" w:cs="仿宋"/>
                <w:color w:val="auto"/>
                <w:sz w:val="24"/>
                <w:highlight w:val="none"/>
              </w:rPr>
            </w:pPr>
          </w:p>
        </w:tc>
        <w:tc>
          <w:tcPr>
            <w:tcW w:w="1997" w:type="dxa"/>
            <w:tcBorders>
              <w:top w:val="single" w:color="auto" w:sz="4" w:space="0"/>
              <w:left w:val="single" w:color="auto" w:sz="4" w:space="0"/>
              <w:bottom w:val="single" w:color="auto" w:sz="4" w:space="0"/>
              <w:right w:val="single" w:color="auto" w:sz="4" w:space="0"/>
            </w:tcBorders>
          </w:tcPr>
          <w:p w14:paraId="766BA2CB">
            <w:pPr>
              <w:shd w:val="clear"/>
              <w:snapToGrid w:val="0"/>
              <w:spacing w:line="400" w:lineRule="exact"/>
              <w:jc w:val="center"/>
              <w:rPr>
                <w:rFonts w:hint="eastAsia" w:ascii="仿宋" w:hAnsi="仿宋" w:eastAsia="仿宋" w:cs="仿宋"/>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F3CA71A">
            <w:pPr>
              <w:shd w:val="clear"/>
              <w:snapToGrid w:val="0"/>
              <w:spacing w:line="400" w:lineRule="exact"/>
              <w:jc w:val="center"/>
              <w:rPr>
                <w:rFonts w:hint="eastAsia" w:ascii="仿宋" w:hAnsi="仿宋" w:eastAsia="仿宋" w:cs="仿宋"/>
                <w:color w:val="auto"/>
                <w:sz w:val="24"/>
                <w:highlight w:val="none"/>
              </w:rPr>
            </w:pPr>
          </w:p>
        </w:tc>
        <w:tc>
          <w:tcPr>
            <w:tcW w:w="1341" w:type="dxa"/>
            <w:tcBorders>
              <w:top w:val="single" w:color="auto" w:sz="4" w:space="0"/>
              <w:left w:val="single" w:color="auto" w:sz="4" w:space="0"/>
              <w:bottom w:val="single" w:color="auto" w:sz="4" w:space="0"/>
              <w:right w:val="single" w:color="auto" w:sz="12" w:space="0"/>
            </w:tcBorders>
            <w:vAlign w:val="center"/>
          </w:tcPr>
          <w:p w14:paraId="47994919">
            <w:pPr>
              <w:shd w:val="clear"/>
              <w:snapToGrid w:val="0"/>
              <w:spacing w:line="400" w:lineRule="exact"/>
              <w:jc w:val="center"/>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12" w:space="0"/>
            </w:tcBorders>
            <w:vAlign w:val="center"/>
          </w:tcPr>
          <w:p w14:paraId="4C7667C1">
            <w:pPr>
              <w:shd w:val="clear"/>
              <w:snapToGrid w:val="0"/>
              <w:spacing w:line="400" w:lineRule="exact"/>
              <w:jc w:val="center"/>
              <w:rPr>
                <w:rFonts w:hint="eastAsia" w:ascii="仿宋" w:hAnsi="仿宋" w:eastAsia="仿宋" w:cs="仿宋"/>
                <w:color w:val="auto"/>
                <w:sz w:val="24"/>
                <w:highlight w:val="none"/>
              </w:rPr>
            </w:pPr>
          </w:p>
        </w:tc>
      </w:tr>
      <w:tr w14:paraId="401E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683" w:type="dxa"/>
            <w:tcBorders>
              <w:top w:val="single" w:color="auto" w:sz="4" w:space="0"/>
              <w:left w:val="single" w:color="auto" w:sz="12" w:space="0"/>
              <w:bottom w:val="single" w:color="auto" w:sz="4" w:space="0"/>
              <w:right w:val="single" w:color="auto" w:sz="4" w:space="0"/>
            </w:tcBorders>
            <w:vAlign w:val="center"/>
          </w:tcPr>
          <w:p w14:paraId="29CE1E65">
            <w:pPr>
              <w:shd w:val="clear"/>
              <w:snapToGrid w:val="0"/>
              <w:spacing w:line="400" w:lineRule="exact"/>
              <w:jc w:val="center"/>
              <w:rPr>
                <w:rFonts w:hint="eastAsia" w:ascii="仿宋" w:hAnsi="仿宋" w:eastAsia="仿宋" w:cs="仿宋"/>
                <w:color w:val="auto"/>
                <w:sz w:val="24"/>
                <w:highlight w:val="none"/>
              </w:rPr>
            </w:pPr>
          </w:p>
        </w:tc>
        <w:tc>
          <w:tcPr>
            <w:tcW w:w="2064" w:type="dxa"/>
            <w:tcBorders>
              <w:top w:val="single" w:color="auto" w:sz="4" w:space="0"/>
              <w:left w:val="single" w:color="auto" w:sz="4" w:space="0"/>
              <w:bottom w:val="single" w:color="auto" w:sz="4" w:space="0"/>
              <w:right w:val="single" w:color="auto" w:sz="4" w:space="0"/>
            </w:tcBorders>
          </w:tcPr>
          <w:p w14:paraId="5A13E07F">
            <w:pPr>
              <w:shd w:val="clear"/>
              <w:snapToGrid w:val="0"/>
              <w:spacing w:line="400" w:lineRule="exact"/>
              <w:jc w:val="center"/>
              <w:rPr>
                <w:rFonts w:hint="eastAsia" w:ascii="仿宋" w:hAnsi="仿宋" w:eastAsia="仿宋" w:cs="仿宋"/>
                <w:color w:val="auto"/>
                <w:sz w:val="24"/>
                <w:highlight w:val="none"/>
              </w:rPr>
            </w:pPr>
          </w:p>
        </w:tc>
        <w:tc>
          <w:tcPr>
            <w:tcW w:w="1997" w:type="dxa"/>
            <w:tcBorders>
              <w:top w:val="single" w:color="auto" w:sz="4" w:space="0"/>
              <w:left w:val="single" w:color="auto" w:sz="4" w:space="0"/>
              <w:bottom w:val="single" w:color="auto" w:sz="4" w:space="0"/>
              <w:right w:val="single" w:color="auto" w:sz="4" w:space="0"/>
            </w:tcBorders>
          </w:tcPr>
          <w:p w14:paraId="3725510E">
            <w:pPr>
              <w:shd w:val="clear"/>
              <w:snapToGrid w:val="0"/>
              <w:spacing w:line="400" w:lineRule="exact"/>
              <w:jc w:val="center"/>
              <w:rPr>
                <w:rFonts w:hint="eastAsia" w:ascii="仿宋" w:hAnsi="仿宋" w:eastAsia="仿宋" w:cs="仿宋"/>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5252CFE">
            <w:pPr>
              <w:shd w:val="clear"/>
              <w:snapToGrid w:val="0"/>
              <w:spacing w:line="400" w:lineRule="exact"/>
              <w:jc w:val="center"/>
              <w:rPr>
                <w:rFonts w:hint="eastAsia" w:ascii="仿宋" w:hAnsi="仿宋" w:eastAsia="仿宋" w:cs="仿宋"/>
                <w:color w:val="auto"/>
                <w:sz w:val="24"/>
                <w:highlight w:val="none"/>
              </w:rPr>
            </w:pPr>
          </w:p>
        </w:tc>
        <w:tc>
          <w:tcPr>
            <w:tcW w:w="1341" w:type="dxa"/>
            <w:tcBorders>
              <w:top w:val="single" w:color="auto" w:sz="4" w:space="0"/>
              <w:left w:val="single" w:color="auto" w:sz="4" w:space="0"/>
              <w:bottom w:val="single" w:color="auto" w:sz="4" w:space="0"/>
              <w:right w:val="single" w:color="auto" w:sz="12" w:space="0"/>
            </w:tcBorders>
            <w:vAlign w:val="center"/>
          </w:tcPr>
          <w:p w14:paraId="1A98B5A3">
            <w:pPr>
              <w:shd w:val="clear"/>
              <w:snapToGrid w:val="0"/>
              <w:spacing w:line="400" w:lineRule="exact"/>
              <w:jc w:val="center"/>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12" w:space="0"/>
            </w:tcBorders>
            <w:vAlign w:val="center"/>
          </w:tcPr>
          <w:p w14:paraId="46AFD077">
            <w:pPr>
              <w:shd w:val="clear"/>
              <w:snapToGrid w:val="0"/>
              <w:spacing w:line="400" w:lineRule="exact"/>
              <w:jc w:val="center"/>
              <w:rPr>
                <w:rFonts w:hint="eastAsia" w:ascii="仿宋" w:hAnsi="仿宋" w:eastAsia="仿宋" w:cs="仿宋"/>
                <w:color w:val="auto"/>
                <w:sz w:val="24"/>
                <w:highlight w:val="none"/>
              </w:rPr>
            </w:pPr>
          </w:p>
        </w:tc>
      </w:tr>
      <w:tr w14:paraId="4404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566EB3FA">
            <w:pPr>
              <w:shd w:val="clear"/>
              <w:snapToGrid w:val="0"/>
              <w:spacing w:line="400" w:lineRule="exact"/>
              <w:jc w:val="center"/>
              <w:rPr>
                <w:rFonts w:hint="eastAsia" w:ascii="仿宋" w:hAnsi="仿宋" w:eastAsia="仿宋" w:cs="仿宋"/>
                <w:color w:val="auto"/>
                <w:sz w:val="24"/>
                <w:highlight w:val="none"/>
              </w:rPr>
            </w:pPr>
          </w:p>
        </w:tc>
        <w:tc>
          <w:tcPr>
            <w:tcW w:w="2064" w:type="dxa"/>
            <w:tcBorders>
              <w:top w:val="single" w:color="auto" w:sz="4" w:space="0"/>
              <w:left w:val="single" w:color="auto" w:sz="4" w:space="0"/>
              <w:bottom w:val="single" w:color="auto" w:sz="4" w:space="0"/>
              <w:right w:val="single" w:color="auto" w:sz="4" w:space="0"/>
            </w:tcBorders>
          </w:tcPr>
          <w:p w14:paraId="73658DE7">
            <w:pPr>
              <w:shd w:val="clear"/>
              <w:snapToGrid w:val="0"/>
              <w:spacing w:line="400" w:lineRule="exact"/>
              <w:jc w:val="center"/>
              <w:rPr>
                <w:rFonts w:hint="eastAsia" w:ascii="仿宋" w:hAnsi="仿宋" w:eastAsia="仿宋" w:cs="仿宋"/>
                <w:color w:val="auto"/>
                <w:sz w:val="24"/>
                <w:highlight w:val="none"/>
              </w:rPr>
            </w:pPr>
          </w:p>
        </w:tc>
        <w:tc>
          <w:tcPr>
            <w:tcW w:w="1997" w:type="dxa"/>
            <w:tcBorders>
              <w:top w:val="single" w:color="auto" w:sz="4" w:space="0"/>
              <w:left w:val="single" w:color="auto" w:sz="4" w:space="0"/>
              <w:bottom w:val="single" w:color="auto" w:sz="4" w:space="0"/>
              <w:right w:val="single" w:color="auto" w:sz="4" w:space="0"/>
            </w:tcBorders>
          </w:tcPr>
          <w:p w14:paraId="23AE6812">
            <w:pPr>
              <w:shd w:val="clear"/>
              <w:snapToGrid w:val="0"/>
              <w:spacing w:line="400" w:lineRule="exact"/>
              <w:jc w:val="center"/>
              <w:rPr>
                <w:rFonts w:hint="eastAsia" w:ascii="仿宋" w:hAnsi="仿宋" w:eastAsia="仿宋" w:cs="仿宋"/>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E2AA073">
            <w:pPr>
              <w:shd w:val="clear"/>
              <w:snapToGrid w:val="0"/>
              <w:spacing w:line="400" w:lineRule="exact"/>
              <w:jc w:val="center"/>
              <w:rPr>
                <w:rFonts w:hint="eastAsia" w:ascii="仿宋" w:hAnsi="仿宋" w:eastAsia="仿宋" w:cs="仿宋"/>
                <w:color w:val="auto"/>
                <w:sz w:val="24"/>
                <w:highlight w:val="none"/>
              </w:rPr>
            </w:pPr>
          </w:p>
        </w:tc>
        <w:tc>
          <w:tcPr>
            <w:tcW w:w="1341" w:type="dxa"/>
            <w:tcBorders>
              <w:top w:val="single" w:color="auto" w:sz="4" w:space="0"/>
              <w:left w:val="single" w:color="auto" w:sz="4" w:space="0"/>
              <w:bottom w:val="single" w:color="auto" w:sz="4" w:space="0"/>
              <w:right w:val="single" w:color="auto" w:sz="12" w:space="0"/>
            </w:tcBorders>
            <w:vAlign w:val="center"/>
          </w:tcPr>
          <w:p w14:paraId="6B29C0FA">
            <w:pPr>
              <w:shd w:val="clear"/>
              <w:snapToGrid w:val="0"/>
              <w:spacing w:line="400" w:lineRule="exact"/>
              <w:jc w:val="center"/>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12" w:space="0"/>
            </w:tcBorders>
            <w:vAlign w:val="center"/>
          </w:tcPr>
          <w:p w14:paraId="624EF6A8">
            <w:pPr>
              <w:shd w:val="clear"/>
              <w:snapToGrid w:val="0"/>
              <w:spacing w:line="400" w:lineRule="exact"/>
              <w:jc w:val="center"/>
              <w:rPr>
                <w:rFonts w:hint="eastAsia" w:ascii="仿宋" w:hAnsi="仿宋" w:eastAsia="仿宋" w:cs="仿宋"/>
                <w:color w:val="auto"/>
                <w:sz w:val="24"/>
                <w:highlight w:val="none"/>
              </w:rPr>
            </w:pPr>
          </w:p>
        </w:tc>
      </w:tr>
      <w:tr w14:paraId="3B46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83" w:type="dxa"/>
            <w:tcBorders>
              <w:top w:val="single" w:color="auto" w:sz="4" w:space="0"/>
              <w:left w:val="single" w:color="auto" w:sz="12" w:space="0"/>
              <w:bottom w:val="single" w:color="auto" w:sz="4" w:space="0"/>
              <w:right w:val="single" w:color="auto" w:sz="4" w:space="0"/>
            </w:tcBorders>
            <w:vAlign w:val="center"/>
          </w:tcPr>
          <w:p w14:paraId="750D0D13">
            <w:pPr>
              <w:shd w:val="clear"/>
              <w:snapToGrid w:val="0"/>
              <w:spacing w:line="400" w:lineRule="exact"/>
              <w:jc w:val="center"/>
              <w:rPr>
                <w:rFonts w:hint="eastAsia" w:ascii="仿宋" w:hAnsi="仿宋" w:eastAsia="仿宋" w:cs="仿宋"/>
                <w:color w:val="auto"/>
                <w:sz w:val="24"/>
                <w:highlight w:val="none"/>
              </w:rPr>
            </w:pPr>
          </w:p>
        </w:tc>
        <w:tc>
          <w:tcPr>
            <w:tcW w:w="2064" w:type="dxa"/>
            <w:tcBorders>
              <w:top w:val="single" w:color="auto" w:sz="4" w:space="0"/>
              <w:left w:val="single" w:color="auto" w:sz="4" w:space="0"/>
              <w:bottom w:val="single" w:color="auto" w:sz="4" w:space="0"/>
              <w:right w:val="single" w:color="auto" w:sz="4" w:space="0"/>
            </w:tcBorders>
          </w:tcPr>
          <w:p w14:paraId="7B93F226">
            <w:pPr>
              <w:shd w:val="clear"/>
              <w:snapToGrid w:val="0"/>
              <w:spacing w:line="400" w:lineRule="exact"/>
              <w:jc w:val="center"/>
              <w:rPr>
                <w:rFonts w:hint="eastAsia" w:ascii="仿宋" w:hAnsi="仿宋" w:eastAsia="仿宋" w:cs="仿宋"/>
                <w:color w:val="auto"/>
                <w:sz w:val="24"/>
                <w:highlight w:val="none"/>
              </w:rPr>
            </w:pPr>
          </w:p>
        </w:tc>
        <w:tc>
          <w:tcPr>
            <w:tcW w:w="1997" w:type="dxa"/>
            <w:tcBorders>
              <w:top w:val="single" w:color="auto" w:sz="4" w:space="0"/>
              <w:left w:val="single" w:color="auto" w:sz="4" w:space="0"/>
              <w:bottom w:val="single" w:color="auto" w:sz="4" w:space="0"/>
              <w:right w:val="single" w:color="auto" w:sz="4" w:space="0"/>
            </w:tcBorders>
          </w:tcPr>
          <w:p w14:paraId="004B89EA">
            <w:pPr>
              <w:shd w:val="clear"/>
              <w:snapToGrid w:val="0"/>
              <w:spacing w:line="400" w:lineRule="exact"/>
              <w:jc w:val="center"/>
              <w:rPr>
                <w:rFonts w:hint="eastAsia" w:ascii="仿宋" w:hAnsi="仿宋" w:eastAsia="仿宋" w:cs="仿宋"/>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22572BF">
            <w:pPr>
              <w:shd w:val="clear"/>
              <w:snapToGrid w:val="0"/>
              <w:spacing w:line="400" w:lineRule="exact"/>
              <w:jc w:val="center"/>
              <w:rPr>
                <w:rFonts w:hint="eastAsia" w:ascii="仿宋" w:hAnsi="仿宋" w:eastAsia="仿宋" w:cs="仿宋"/>
                <w:color w:val="auto"/>
                <w:sz w:val="24"/>
                <w:highlight w:val="none"/>
              </w:rPr>
            </w:pPr>
          </w:p>
        </w:tc>
        <w:tc>
          <w:tcPr>
            <w:tcW w:w="1341" w:type="dxa"/>
            <w:tcBorders>
              <w:top w:val="single" w:color="auto" w:sz="4" w:space="0"/>
              <w:left w:val="single" w:color="auto" w:sz="4" w:space="0"/>
              <w:bottom w:val="single" w:color="auto" w:sz="4" w:space="0"/>
              <w:right w:val="single" w:color="auto" w:sz="12" w:space="0"/>
            </w:tcBorders>
            <w:vAlign w:val="center"/>
          </w:tcPr>
          <w:p w14:paraId="0EA10E28">
            <w:pPr>
              <w:shd w:val="clear"/>
              <w:snapToGrid w:val="0"/>
              <w:spacing w:line="400" w:lineRule="exact"/>
              <w:jc w:val="center"/>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12" w:space="0"/>
            </w:tcBorders>
            <w:vAlign w:val="center"/>
          </w:tcPr>
          <w:p w14:paraId="4030954B">
            <w:pPr>
              <w:shd w:val="clear"/>
              <w:snapToGrid w:val="0"/>
              <w:spacing w:line="400" w:lineRule="exact"/>
              <w:jc w:val="center"/>
              <w:rPr>
                <w:rFonts w:hint="eastAsia" w:ascii="仿宋" w:hAnsi="仿宋" w:eastAsia="仿宋" w:cs="仿宋"/>
                <w:color w:val="auto"/>
                <w:sz w:val="24"/>
                <w:highlight w:val="none"/>
              </w:rPr>
            </w:pPr>
          </w:p>
        </w:tc>
      </w:tr>
      <w:tr w14:paraId="0401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710653FA">
            <w:pPr>
              <w:shd w:val="clear"/>
              <w:snapToGrid w:val="0"/>
              <w:spacing w:line="400" w:lineRule="exact"/>
              <w:jc w:val="center"/>
              <w:rPr>
                <w:rFonts w:hint="eastAsia" w:ascii="仿宋" w:hAnsi="仿宋" w:eastAsia="仿宋" w:cs="仿宋"/>
                <w:color w:val="auto"/>
                <w:sz w:val="24"/>
                <w:highlight w:val="none"/>
              </w:rPr>
            </w:pPr>
          </w:p>
        </w:tc>
        <w:tc>
          <w:tcPr>
            <w:tcW w:w="2064" w:type="dxa"/>
            <w:tcBorders>
              <w:top w:val="single" w:color="auto" w:sz="4" w:space="0"/>
              <w:left w:val="single" w:color="auto" w:sz="4" w:space="0"/>
              <w:bottom w:val="single" w:color="auto" w:sz="4" w:space="0"/>
              <w:right w:val="single" w:color="auto" w:sz="4" w:space="0"/>
            </w:tcBorders>
          </w:tcPr>
          <w:p w14:paraId="7BC79322">
            <w:pPr>
              <w:shd w:val="clear"/>
              <w:snapToGrid w:val="0"/>
              <w:spacing w:line="400" w:lineRule="exact"/>
              <w:jc w:val="center"/>
              <w:rPr>
                <w:rFonts w:hint="eastAsia" w:ascii="仿宋" w:hAnsi="仿宋" w:eastAsia="仿宋" w:cs="仿宋"/>
                <w:color w:val="auto"/>
                <w:sz w:val="24"/>
                <w:highlight w:val="none"/>
              </w:rPr>
            </w:pPr>
          </w:p>
        </w:tc>
        <w:tc>
          <w:tcPr>
            <w:tcW w:w="1997" w:type="dxa"/>
            <w:tcBorders>
              <w:top w:val="single" w:color="auto" w:sz="4" w:space="0"/>
              <w:left w:val="single" w:color="auto" w:sz="4" w:space="0"/>
              <w:bottom w:val="single" w:color="auto" w:sz="4" w:space="0"/>
              <w:right w:val="single" w:color="auto" w:sz="4" w:space="0"/>
            </w:tcBorders>
          </w:tcPr>
          <w:p w14:paraId="5E78619A">
            <w:pPr>
              <w:shd w:val="clear"/>
              <w:snapToGrid w:val="0"/>
              <w:spacing w:line="400" w:lineRule="exact"/>
              <w:jc w:val="center"/>
              <w:rPr>
                <w:rFonts w:hint="eastAsia" w:ascii="仿宋" w:hAnsi="仿宋" w:eastAsia="仿宋" w:cs="仿宋"/>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AED75A4">
            <w:pPr>
              <w:shd w:val="clear"/>
              <w:snapToGrid w:val="0"/>
              <w:spacing w:line="400" w:lineRule="exact"/>
              <w:jc w:val="center"/>
              <w:rPr>
                <w:rFonts w:hint="eastAsia" w:ascii="仿宋" w:hAnsi="仿宋" w:eastAsia="仿宋" w:cs="仿宋"/>
                <w:color w:val="auto"/>
                <w:sz w:val="24"/>
                <w:highlight w:val="none"/>
              </w:rPr>
            </w:pPr>
          </w:p>
        </w:tc>
        <w:tc>
          <w:tcPr>
            <w:tcW w:w="1341" w:type="dxa"/>
            <w:tcBorders>
              <w:top w:val="single" w:color="auto" w:sz="4" w:space="0"/>
              <w:left w:val="single" w:color="auto" w:sz="4" w:space="0"/>
              <w:bottom w:val="single" w:color="auto" w:sz="4" w:space="0"/>
              <w:right w:val="single" w:color="auto" w:sz="12" w:space="0"/>
            </w:tcBorders>
            <w:vAlign w:val="center"/>
          </w:tcPr>
          <w:p w14:paraId="39BF57D4">
            <w:pPr>
              <w:shd w:val="clear"/>
              <w:snapToGrid w:val="0"/>
              <w:spacing w:line="400" w:lineRule="exact"/>
              <w:jc w:val="center"/>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12" w:space="0"/>
            </w:tcBorders>
            <w:vAlign w:val="center"/>
          </w:tcPr>
          <w:p w14:paraId="57082B7B">
            <w:pPr>
              <w:shd w:val="clear"/>
              <w:snapToGrid w:val="0"/>
              <w:spacing w:line="400" w:lineRule="exact"/>
              <w:jc w:val="center"/>
              <w:rPr>
                <w:rFonts w:hint="eastAsia" w:ascii="仿宋" w:hAnsi="仿宋" w:eastAsia="仿宋" w:cs="仿宋"/>
                <w:color w:val="auto"/>
                <w:sz w:val="24"/>
                <w:highlight w:val="none"/>
              </w:rPr>
            </w:pPr>
          </w:p>
        </w:tc>
      </w:tr>
      <w:tr w14:paraId="4762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83" w:type="dxa"/>
            <w:tcBorders>
              <w:top w:val="single" w:color="auto" w:sz="4" w:space="0"/>
              <w:left w:val="single" w:color="auto" w:sz="12" w:space="0"/>
              <w:bottom w:val="single" w:color="auto" w:sz="4" w:space="0"/>
              <w:right w:val="single" w:color="auto" w:sz="4" w:space="0"/>
            </w:tcBorders>
            <w:vAlign w:val="center"/>
          </w:tcPr>
          <w:p w14:paraId="3177A508">
            <w:pPr>
              <w:shd w:val="clear"/>
              <w:snapToGrid w:val="0"/>
              <w:spacing w:line="400" w:lineRule="exact"/>
              <w:jc w:val="center"/>
              <w:rPr>
                <w:rFonts w:hint="eastAsia" w:ascii="仿宋" w:hAnsi="仿宋" w:eastAsia="仿宋" w:cs="仿宋"/>
                <w:color w:val="auto"/>
                <w:sz w:val="24"/>
                <w:highlight w:val="none"/>
              </w:rPr>
            </w:pPr>
          </w:p>
        </w:tc>
        <w:tc>
          <w:tcPr>
            <w:tcW w:w="2064" w:type="dxa"/>
            <w:tcBorders>
              <w:top w:val="single" w:color="auto" w:sz="4" w:space="0"/>
              <w:left w:val="single" w:color="auto" w:sz="4" w:space="0"/>
              <w:bottom w:val="single" w:color="auto" w:sz="4" w:space="0"/>
              <w:right w:val="single" w:color="auto" w:sz="4" w:space="0"/>
            </w:tcBorders>
          </w:tcPr>
          <w:p w14:paraId="456FB5DD">
            <w:pPr>
              <w:shd w:val="clear"/>
              <w:snapToGrid w:val="0"/>
              <w:spacing w:line="400" w:lineRule="exact"/>
              <w:jc w:val="center"/>
              <w:rPr>
                <w:rFonts w:hint="eastAsia" w:ascii="仿宋" w:hAnsi="仿宋" w:eastAsia="仿宋" w:cs="仿宋"/>
                <w:color w:val="auto"/>
                <w:sz w:val="24"/>
                <w:highlight w:val="none"/>
              </w:rPr>
            </w:pPr>
          </w:p>
        </w:tc>
        <w:tc>
          <w:tcPr>
            <w:tcW w:w="1997" w:type="dxa"/>
            <w:tcBorders>
              <w:top w:val="single" w:color="auto" w:sz="4" w:space="0"/>
              <w:left w:val="single" w:color="auto" w:sz="4" w:space="0"/>
              <w:bottom w:val="single" w:color="auto" w:sz="4" w:space="0"/>
              <w:right w:val="single" w:color="auto" w:sz="4" w:space="0"/>
            </w:tcBorders>
          </w:tcPr>
          <w:p w14:paraId="3D66714C">
            <w:pPr>
              <w:shd w:val="clear"/>
              <w:snapToGrid w:val="0"/>
              <w:spacing w:line="400" w:lineRule="exact"/>
              <w:jc w:val="center"/>
              <w:rPr>
                <w:rFonts w:hint="eastAsia" w:ascii="仿宋" w:hAnsi="仿宋" w:eastAsia="仿宋" w:cs="仿宋"/>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5FDDA8F7">
            <w:pPr>
              <w:shd w:val="clear"/>
              <w:snapToGrid w:val="0"/>
              <w:spacing w:line="400" w:lineRule="exact"/>
              <w:jc w:val="center"/>
              <w:rPr>
                <w:rFonts w:hint="eastAsia" w:ascii="仿宋" w:hAnsi="仿宋" w:eastAsia="仿宋" w:cs="仿宋"/>
                <w:color w:val="auto"/>
                <w:sz w:val="24"/>
                <w:highlight w:val="none"/>
              </w:rPr>
            </w:pPr>
          </w:p>
        </w:tc>
        <w:tc>
          <w:tcPr>
            <w:tcW w:w="1341" w:type="dxa"/>
            <w:tcBorders>
              <w:top w:val="single" w:color="auto" w:sz="4" w:space="0"/>
              <w:left w:val="single" w:color="auto" w:sz="4" w:space="0"/>
              <w:bottom w:val="single" w:color="auto" w:sz="4" w:space="0"/>
              <w:right w:val="single" w:color="auto" w:sz="12" w:space="0"/>
            </w:tcBorders>
            <w:vAlign w:val="center"/>
          </w:tcPr>
          <w:p w14:paraId="7DAD1F0E">
            <w:pPr>
              <w:shd w:val="clear"/>
              <w:snapToGrid w:val="0"/>
              <w:spacing w:line="400" w:lineRule="exact"/>
              <w:jc w:val="center"/>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12" w:space="0"/>
            </w:tcBorders>
            <w:vAlign w:val="center"/>
          </w:tcPr>
          <w:p w14:paraId="5EA83D7E">
            <w:pPr>
              <w:shd w:val="clear"/>
              <w:snapToGrid w:val="0"/>
              <w:spacing w:line="400" w:lineRule="exact"/>
              <w:jc w:val="center"/>
              <w:rPr>
                <w:rFonts w:hint="eastAsia" w:ascii="仿宋" w:hAnsi="仿宋" w:eastAsia="仿宋" w:cs="仿宋"/>
                <w:color w:val="auto"/>
                <w:sz w:val="24"/>
                <w:highlight w:val="none"/>
              </w:rPr>
            </w:pPr>
          </w:p>
        </w:tc>
      </w:tr>
      <w:tr w14:paraId="4BE9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683" w:type="dxa"/>
            <w:tcBorders>
              <w:top w:val="single" w:color="auto" w:sz="4" w:space="0"/>
              <w:left w:val="single" w:color="auto" w:sz="12" w:space="0"/>
              <w:bottom w:val="single" w:color="auto" w:sz="4" w:space="0"/>
              <w:right w:val="single" w:color="auto" w:sz="4" w:space="0"/>
            </w:tcBorders>
            <w:vAlign w:val="center"/>
          </w:tcPr>
          <w:p w14:paraId="64A2A62A">
            <w:pPr>
              <w:shd w:val="clear"/>
              <w:snapToGrid w:val="0"/>
              <w:spacing w:line="400" w:lineRule="exact"/>
              <w:jc w:val="center"/>
              <w:rPr>
                <w:rFonts w:hint="eastAsia" w:ascii="仿宋" w:hAnsi="仿宋" w:eastAsia="仿宋" w:cs="仿宋"/>
                <w:color w:val="auto"/>
                <w:sz w:val="24"/>
                <w:highlight w:val="none"/>
              </w:rPr>
            </w:pPr>
          </w:p>
        </w:tc>
        <w:tc>
          <w:tcPr>
            <w:tcW w:w="2064" w:type="dxa"/>
            <w:tcBorders>
              <w:top w:val="single" w:color="auto" w:sz="4" w:space="0"/>
              <w:left w:val="single" w:color="auto" w:sz="4" w:space="0"/>
              <w:bottom w:val="single" w:color="auto" w:sz="4" w:space="0"/>
              <w:right w:val="single" w:color="auto" w:sz="4" w:space="0"/>
            </w:tcBorders>
          </w:tcPr>
          <w:p w14:paraId="7ADBA99F">
            <w:pPr>
              <w:shd w:val="clear"/>
              <w:snapToGrid w:val="0"/>
              <w:spacing w:line="400" w:lineRule="exact"/>
              <w:jc w:val="center"/>
              <w:rPr>
                <w:rFonts w:hint="eastAsia" w:ascii="仿宋" w:hAnsi="仿宋" w:eastAsia="仿宋" w:cs="仿宋"/>
                <w:color w:val="auto"/>
                <w:sz w:val="24"/>
                <w:highlight w:val="none"/>
              </w:rPr>
            </w:pPr>
          </w:p>
        </w:tc>
        <w:tc>
          <w:tcPr>
            <w:tcW w:w="1997" w:type="dxa"/>
            <w:tcBorders>
              <w:top w:val="single" w:color="auto" w:sz="4" w:space="0"/>
              <w:left w:val="single" w:color="auto" w:sz="4" w:space="0"/>
              <w:bottom w:val="single" w:color="auto" w:sz="4" w:space="0"/>
              <w:right w:val="single" w:color="auto" w:sz="4" w:space="0"/>
            </w:tcBorders>
          </w:tcPr>
          <w:p w14:paraId="4E508B24">
            <w:pPr>
              <w:shd w:val="clear"/>
              <w:snapToGrid w:val="0"/>
              <w:spacing w:line="400" w:lineRule="exact"/>
              <w:jc w:val="center"/>
              <w:rPr>
                <w:rFonts w:hint="eastAsia" w:ascii="仿宋" w:hAnsi="仿宋" w:eastAsia="仿宋" w:cs="仿宋"/>
                <w:color w:val="auto"/>
                <w:sz w:val="24"/>
                <w:highlight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0708A465">
            <w:pPr>
              <w:shd w:val="clear"/>
              <w:snapToGrid w:val="0"/>
              <w:spacing w:line="400" w:lineRule="exact"/>
              <w:jc w:val="center"/>
              <w:rPr>
                <w:rFonts w:hint="eastAsia" w:ascii="仿宋" w:hAnsi="仿宋" w:eastAsia="仿宋" w:cs="仿宋"/>
                <w:color w:val="auto"/>
                <w:sz w:val="24"/>
                <w:highlight w:val="none"/>
              </w:rPr>
            </w:pPr>
          </w:p>
        </w:tc>
        <w:tc>
          <w:tcPr>
            <w:tcW w:w="1341" w:type="dxa"/>
            <w:tcBorders>
              <w:top w:val="single" w:color="auto" w:sz="4" w:space="0"/>
              <w:left w:val="single" w:color="auto" w:sz="4" w:space="0"/>
              <w:bottom w:val="single" w:color="auto" w:sz="4" w:space="0"/>
              <w:right w:val="single" w:color="auto" w:sz="12" w:space="0"/>
            </w:tcBorders>
            <w:vAlign w:val="center"/>
          </w:tcPr>
          <w:p w14:paraId="4B772F0A">
            <w:pPr>
              <w:shd w:val="clear"/>
              <w:snapToGrid w:val="0"/>
              <w:spacing w:line="400" w:lineRule="exact"/>
              <w:jc w:val="center"/>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4" w:space="0"/>
              <w:right w:val="single" w:color="auto" w:sz="12" w:space="0"/>
            </w:tcBorders>
            <w:vAlign w:val="center"/>
          </w:tcPr>
          <w:p w14:paraId="7E778276">
            <w:pPr>
              <w:shd w:val="clear"/>
              <w:snapToGrid w:val="0"/>
              <w:spacing w:line="400" w:lineRule="exact"/>
              <w:jc w:val="center"/>
              <w:rPr>
                <w:rFonts w:hint="eastAsia" w:ascii="仿宋" w:hAnsi="仿宋" w:eastAsia="仿宋" w:cs="仿宋"/>
                <w:color w:val="auto"/>
                <w:sz w:val="24"/>
                <w:highlight w:val="none"/>
              </w:rPr>
            </w:pPr>
          </w:p>
        </w:tc>
      </w:tr>
      <w:tr w14:paraId="0662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683" w:type="dxa"/>
            <w:tcBorders>
              <w:top w:val="single" w:color="auto" w:sz="4" w:space="0"/>
              <w:left w:val="single" w:color="auto" w:sz="12" w:space="0"/>
              <w:bottom w:val="single" w:color="auto" w:sz="12" w:space="0"/>
              <w:right w:val="single" w:color="auto" w:sz="4" w:space="0"/>
            </w:tcBorders>
            <w:vAlign w:val="center"/>
          </w:tcPr>
          <w:p w14:paraId="01B57D89">
            <w:pPr>
              <w:shd w:val="clear"/>
              <w:snapToGrid w:val="0"/>
              <w:spacing w:line="400" w:lineRule="exact"/>
              <w:jc w:val="center"/>
              <w:rPr>
                <w:rFonts w:hint="eastAsia" w:ascii="仿宋" w:hAnsi="仿宋" w:eastAsia="仿宋" w:cs="仿宋"/>
                <w:color w:val="auto"/>
                <w:sz w:val="24"/>
                <w:highlight w:val="none"/>
              </w:rPr>
            </w:pPr>
          </w:p>
        </w:tc>
        <w:tc>
          <w:tcPr>
            <w:tcW w:w="2064" w:type="dxa"/>
            <w:tcBorders>
              <w:top w:val="single" w:color="auto" w:sz="4" w:space="0"/>
              <w:left w:val="single" w:color="auto" w:sz="4" w:space="0"/>
              <w:bottom w:val="single" w:color="auto" w:sz="12" w:space="0"/>
              <w:right w:val="single" w:color="auto" w:sz="4" w:space="0"/>
            </w:tcBorders>
          </w:tcPr>
          <w:p w14:paraId="21CA4B93">
            <w:pPr>
              <w:shd w:val="clear"/>
              <w:snapToGrid w:val="0"/>
              <w:spacing w:line="400" w:lineRule="exact"/>
              <w:jc w:val="center"/>
              <w:rPr>
                <w:rFonts w:hint="eastAsia" w:ascii="仿宋" w:hAnsi="仿宋" w:eastAsia="仿宋" w:cs="仿宋"/>
                <w:color w:val="auto"/>
                <w:sz w:val="24"/>
                <w:highlight w:val="none"/>
              </w:rPr>
            </w:pPr>
          </w:p>
        </w:tc>
        <w:tc>
          <w:tcPr>
            <w:tcW w:w="1997" w:type="dxa"/>
            <w:tcBorders>
              <w:top w:val="single" w:color="auto" w:sz="4" w:space="0"/>
              <w:left w:val="single" w:color="auto" w:sz="4" w:space="0"/>
              <w:bottom w:val="single" w:color="auto" w:sz="12" w:space="0"/>
              <w:right w:val="single" w:color="auto" w:sz="4" w:space="0"/>
            </w:tcBorders>
          </w:tcPr>
          <w:p w14:paraId="24AF68E5">
            <w:pPr>
              <w:shd w:val="clear"/>
              <w:snapToGrid w:val="0"/>
              <w:spacing w:line="400" w:lineRule="exact"/>
              <w:jc w:val="center"/>
              <w:rPr>
                <w:rFonts w:hint="eastAsia" w:ascii="仿宋" w:hAnsi="仿宋" w:eastAsia="仿宋" w:cs="仿宋"/>
                <w:color w:val="auto"/>
                <w:sz w:val="24"/>
                <w:highlight w:val="none"/>
              </w:rPr>
            </w:pPr>
          </w:p>
        </w:tc>
        <w:tc>
          <w:tcPr>
            <w:tcW w:w="1152" w:type="dxa"/>
            <w:tcBorders>
              <w:top w:val="single" w:color="auto" w:sz="4" w:space="0"/>
              <w:left w:val="single" w:color="auto" w:sz="4" w:space="0"/>
              <w:bottom w:val="single" w:color="auto" w:sz="12" w:space="0"/>
              <w:right w:val="single" w:color="auto" w:sz="4" w:space="0"/>
            </w:tcBorders>
            <w:vAlign w:val="center"/>
          </w:tcPr>
          <w:p w14:paraId="3B8103BD">
            <w:pPr>
              <w:shd w:val="clear"/>
              <w:snapToGrid w:val="0"/>
              <w:spacing w:line="400" w:lineRule="exact"/>
              <w:jc w:val="center"/>
              <w:rPr>
                <w:rFonts w:hint="eastAsia" w:ascii="仿宋" w:hAnsi="仿宋" w:eastAsia="仿宋" w:cs="仿宋"/>
                <w:color w:val="auto"/>
                <w:sz w:val="24"/>
                <w:highlight w:val="none"/>
              </w:rPr>
            </w:pPr>
          </w:p>
        </w:tc>
        <w:tc>
          <w:tcPr>
            <w:tcW w:w="1341" w:type="dxa"/>
            <w:tcBorders>
              <w:top w:val="single" w:color="auto" w:sz="4" w:space="0"/>
              <w:left w:val="single" w:color="auto" w:sz="4" w:space="0"/>
              <w:bottom w:val="single" w:color="auto" w:sz="12" w:space="0"/>
              <w:right w:val="single" w:color="auto" w:sz="12" w:space="0"/>
            </w:tcBorders>
            <w:vAlign w:val="center"/>
          </w:tcPr>
          <w:p w14:paraId="2712E013">
            <w:pPr>
              <w:shd w:val="clear"/>
              <w:snapToGrid w:val="0"/>
              <w:spacing w:line="400" w:lineRule="exact"/>
              <w:jc w:val="center"/>
              <w:rPr>
                <w:rFonts w:hint="eastAsia" w:ascii="仿宋" w:hAnsi="仿宋" w:eastAsia="仿宋" w:cs="仿宋"/>
                <w:color w:val="auto"/>
                <w:sz w:val="24"/>
                <w:highlight w:val="none"/>
              </w:rPr>
            </w:pPr>
          </w:p>
        </w:tc>
        <w:tc>
          <w:tcPr>
            <w:tcW w:w="2067" w:type="dxa"/>
            <w:tcBorders>
              <w:top w:val="single" w:color="auto" w:sz="4" w:space="0"/>
              <w:left w:val="single" w:color="auto" w:sz="4" w:space="0"/>
              <w:bottom w:val="single" w:color="auto" w:sz="12" w:space="0"/>
              <w:right w:val="single" w:color="auto" w:sz="12" w:space="0"/>
            </w:tcBorders>
            <w:vAlign w:val="center"/>
          </w:tcPr>
          <w:p w14:paraId="4570BA62">
            <w:pPr>
              <w:shd w:val="clear"/>
              <w:snapToGrid w:val="0"/>
              <w:spacing w:line="400" w:lineRule="exact"/>
              <w:jc w:val="center"/>
              <w:rPr>
                <w:rFonts w:hint="eastAsia" w:ascii="仿宋" w:hAnsi="仿宋" w:eastAsia="仿宋" w:cs="仿宋"/>
                <w:color w:val="auto"/>
                <w:sz w:val="24"/>
                <w:highlight w:val="none"/>
              </w:rPr>
            </w:pPr>
          </w:p>
        </w:tc>
      </w:tr>
    </w:tbl>
    <w:p w14:paraId="445DD1C2">
      <w:pPr>
        <w:pStyle w:val="2"/>
        <w:shd w:val="clear"/>
        <w:jc w:val="both"/>
        <w:rPr>
          <w:rFonts w:hint="eastAsia" w:ascii="仿宋" w:hAnsi="仿宋" w:eastAsia="仿宋" w:cs="仿宋"/>
          <w:color w:val="auto"/>
          <w:highlight w:val="none"/>
        </w:rPr>
      </w:pPr>
    </w:p>
    <w:p w14:paraId="50B26377">
      <w:pPr>
        <w:shd w:val="clear"/>
        <w:tabs>
          <w:tab w:val="left" w:pos="2040"/>
        </w:tabs>
        <w:spacing w:line="360" w:lineRule="auto"/>
        <w:outlineLvl w:val="1"/>
        <w:rPr>
          <w:rFonts w:hint="eastAsia" w:ascii="仿宋" w:hAnsi="仿宋" w:eastAsia="仿宋" w:cs="仿宋"/>
          <w:bCs/>
          <w:color w:val="auto"/>
          <w:szCs w:val="21"/>
          <w:highlight w:val="none"/>
        </w:rPr>
      </w:pPr>
      <w:bookmarkStart w:id="545" w:name="_Toc12379"/>
      <w:bookmarkStart w:id="546" w:name="_Toc1876"/>
      <w:r>
        <w:rPr>
          <w:rFonts w:hint="eastAsia" w:ascii="仿宋" w:hAnsi="仿宋" w:eastAsia="仿宋" w:cs="仿宋"/>
          <w:bCs/>
          <w:color w:val="auto"/>
          <w:szCs w:val="21"/>
          <w:highlight w:val="none"/>
        </w:rPr>
        <w:t>说明：</w:t>
      </w:r>
      <w:bookmarkEnd w:id="545"/>
      <w:bookmarkEnd w:id="546"/>
    </w:p>
    <w:p w14:paraId="70EA432E">
      <w:pPr>
        <w:shd w:val="clear"/>
        <w:tabs>
          <w:tab w:val="left" w:pos="2040"/>
        </w:tabs>
        <w:spacing w:line="360" w:lineRule="auto"/>
        <w:outlineLvl w:val="1"/>
        <w:rPr>
          <w:rFonts w:hint="eastAsia" w:ascii="仿宋" w:hAnsi="仿宋" w:eastAsia="仿宋" w:cs="仿宋"/>
          <w:bCs/>
          <w:color w:val="auto"/>
          <w:szCs w:val="21"/>
          <w:highlight w:val="none"/>
        </w:rPr>
      </w:pPr>
      <w:bookmarkStart w:id="547" w:name="_Toc32315"/>
      <w:bookmarkStart w:id="548" w:name="_Toc30085"/>
      <w:r>
        <w:rPr>
          <w:rFonts w:hint="eastAsia" w:ascii="仿宋" w:hAnsi="仿宋" w:eastAsia="仿宋" w:cs="仿宋"/>
          <w:bCs/>
          <w:color w:val="auto"/>
          <w:szCs w:val="21"/>
          <w:highlight w:val="none"/>
        </w:rPr>
        <w:t>1.本表须逐项填写，不得空缺；</w:t>
      </w:r>
      <w:bookmarkEnd w:id="547"/>
      <w:bookmarkEnd w:id="548"/>
    </w:p>
    <w:p w14:paraId="1C409CD1">
      <w:pPr>
        <w:shd w:val="clear"/>
        <w:tabs>
          <w:tab w:val="left" w:pos="2040"/>
        </w:tabs>
        <w:spacing w:line="360" w:lineRule="auto"/>
        <w:outlineLvl w:val="1"/>
        <w:rPr>
          <w:rFonts w:hint="eastAsia" w:ascii="仿宋" w:hAnsi="仿宋" w:eastAsia="仿宋" w:cs="仿宋"/>
          <w:bCs/>
          <w:color w:val="auto"/>
          <w:szCs w:val="21"/>
          <w:highlight w:val="none"/>
        </w:rPr>
      </w:pPr>
      <w:bookmarkStart w:id="549" w:name="_Toc16439"/>
      <w:bookmarkStart w:id="550" w:name="_Toc17763"/>
      <w:r>
        <w:rPr>
          <w:rFonts w:hint="eastAsia" w:ascii="仿宋" w:hAnsi="仿宋" w:eastAsia="仿宋" w:cs="仿宋"/>
          <w:bCs/>
          <w:color w:val="auto"/>
          <w:szCs w:val="21"/>
          <w:highlight w:val="none"/>
        </w:rPr>
        <w:t>2.货物各项详细技术性能可另页描述；若货物没有注册商标和具体型号须注明。</w:t>
      </w:r>
      <w:bookmarkEnd w:id="549"/>
      <w:bookmarkEnd w:id="550"/>
    </w:p>
    <w:p w14:paraId="2B0D2FD7">
      <w:pPr>
        <w:rPr>
          <w:rFonts w:hint="eastAsia" w:ascii="仿宋" w:hAnsi="仿宋" w:eastAsia="仿宋" w:cs="仿宋"/>
          <w:bCs/>
          <w:color w:val="auto"/>
          <w:sz w:val="22"/>
          <w:szCs w:val="22"/>
        </w:rPr>
      </w:pPr>
      <w:r>
        <w:rPr>
          <w:rFonts w:hint="eastAsia" w:ascii="仿宋" w:hAnsi="仿宋" w:eastAsia="仿宋" w:cs="仿宋"/>
          <w:color w:val="auto"/>
          <w:szCs w:val="21"/>
          <w:highlight w:val="none"/>
        </w:rPr>
        <w:t>3.</w:t>
      </w:r>
      <w:r>
        <w:rPr>
          <w:rFonts w:hint="eastAsia" w:ascii="仿宋" w:hAnsi="仿宋" w:eastAsia="仿宋" w:cs="仿宋"/>
          <w:color w:val="auto"/>
          <w:sz w:val="22"/>
          <w:szCs w:val="22"/>
          <w:lang w:eastAsia="zh-CN"/>
        </w:rPr>
        <w:t>投标人</w:t>
      </w:r>
      <w:r>
        <w:rPr>
          <w:rFonts w:hint="eastAsia" w:ascii="仿宋" w:hAnsi="仿宋" w:eastAsia="仿宋" w:cs="仿宋"/>
          <w:color w:val="auto"/>
          <w:sz w:val="22"/>
          <w:szCs w:val="22"/>
        </w:rPr>
        <w:t>必须据实填写，不得虚假响应，否则将取消其</w:t>
      </w:r>
      <w:r>
        <w:rPr>
          <w:rFonts w:hint="eastAsia" w:ascii="仿宋" w:hAnsi="仿宋" w:eastAsia="仿宋" w:cs="仿宋"/>
          <w:color w:val="auto"/>
          <w:sz w:val="22"/>
          <w:szCs w:val="22"/>
          <w:lang w:val="en-US" w:eastAsia="zh-CN"/>
        </w:rPr>
        <w:t>投标</w:t>
      </w:r>
      <w:r>
        <w:rPr>
          <w:rFonts w:hint="eastAsia" w:ascii="仿宋" w:hAnsi="仿宋" w:eastAsia="仿宋" w:cs="仿宋"/>
          <w:color w:val="auto"/>
          <w:sz w:val="22"/>
          <w:szCs w:val="22"/>
        </w:rPr>
        <w:t>或</w:t>
      </w:r>
      <w:r>
        <w:rPr>
          <w:rFonts w:hint="eastAsia" w:ascii="仿宋" w:hAnsi="仿宋" w:eastAsia="仿宋" w:cs="仿宋"/>
          <w:color w:val="auto"/>
          <w:sz w:val="22"/>
          <w:szCs w:val="22"/>
          <w:lang w:val="en-US" w:eastAsia="zh-CN"/>
        </w:rPr>
        <w:t>中标</w:t>
      </w:r>
      <w:r>
        <w:rPr>
          <w:rFonts w:hint="eastAsia" w:ascii="仿宋" w:hAnsi="仿宋" w:eastAsia="仿宋" w:cs="仿宋"/>
          <w:color w:val="auto"/>
          <w:sz w:val="22"/>
          <w:szCs w:val="22"/>
        </w:rPr>
        <w:t>资格。</w:t>
      </w:r>
    </w:p>
    <w:p w14:paraId="05D0DC4F">
      <w:pPr>
        <w:shd w:val="clear"/>
        <w:tabs>
          <w:tab w:val="left" w:pos="2040"/>
        </w:tabs>
        <w:spacing w:line="360" w:lineRule="auto"/>
        <w:outlineLvl w:val="9"/>
        <w:rPr>
          <w:rFonts w:hint="eastAsia" w:ascii="仿宋" w:hAnsi="仿宋" w:eastAsia="仿宋" w:cs="仿宋"/>
          <w:b/>
          <w:color w:val="auto"/>
          <w:szCs w:val="21"/>
          <w:highlight w:val="none"/>
        </w:rPr>
      </w:pPr>
    </w:p>
    <w:p w14:paraId="29C00DB4">
      <w:pPr>
        <w:shd w:val="clear"/>
        <w:spacing w:line="360" w:lineRule="auto"/>
        <w:ind w:firstLine="3150" w:firstLineChars="15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投标人：（公章）</w:t>
      </w:r>
    </w:p>
    <w:p w14:paraId="4FC134C9">
      <w:pPr>
        <w:shd w:val="clear"/>
        <w:spacing w:line="360" w:lineRule="auto"/>
        <w:ind w:firstLine="2940" w:firstLineChars="1400"/>
        <w:rPr>
          <w:rFonts w:hint="eastAsia" w:ascii="仿宋" w:hAnsi="仿宋" w:eastAsia="仿宋" w:cs="仿宋"/>
          <w:color w:val="auto"/>
          <w:szCs w:val="21"/>
          <w:highlight w:val="none"/>
          <w:lang w:val="zh-CN"/>
        </w:rPr>
      </w:pPr>
    </w:p>
    <w:p w14:paraId="5DD4CF2A">
      <w:pPr>
        <w:shd w:val="clear"/>
        <w:spacing w:line="360" w:lineRule="auto"/>
        <w:ind w:firstLine="3150" w:firstLineChars="15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法定代表人或授权代表：（签字）</w:t>
      </w:r>
    </w:p>
    <w:p w14:paraId="679CE939">
      <w:pPr>
        <w:shd w:val="clear"/>
        <w:spacing w:line="360" w:lineRule="auto"/>
        <w:rPr>
          <w:rFonts w:hint="eastAsia" w:ascii="仿宋" w:hAnsi="仿宋" w:eastAsia="仿宋" w:cs="仿宋"/>
          <w:color w:val="auto"/>
          <w:szCs w:val="21"/>
          <w:highlight w:val="none"/>
          <w:lang w:val="zh-CN"/>
        </w:rPr>
      </w:pPr>
    </w:p>
    <w:p w14:paraId="7144C78B">
      <w:pPr>
        <w:shd w:val="clear"/>
        <w:spacing w:line="420" w:lineRule="exact"/>
        <w:ind w:firstLine="3360" w:firstLineChars="16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日期：</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年</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月</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日</w:t>
      </w:r>
    </w:p>
    <w:p w14:paraId="29B94E27">
      <w:pPr>
        <w:shd w:val="clear"/>
        <w:spacing w:line="360" w:lineRule="auto"/>
        <w:ind w:firstLine="275" w:firstLineChars="98"/>
        <w:outlineLvl w:val="9"/>
        <w:rPr>
          <w:rFonts w:hint="eastAsia" w:ascii="仿宋" w:hAnsi="仿宋" w:eastAsia="仿宋" w:cs="仿宋"/>
          <w:b/>
          <w:color w:val="auto"/>
          <w:sz w:val="28"/>
          <w:szCs w:val="40"/>
          <w:highlight w:val="none"/>
        </w:rPr>
      </w:pPr>
    </w:p>
    <w:p w14:paraId="1E66742D">
      <w:pPr>
        <w:shd w:val="clear"/>
        <w:spacing w:line="360" w:lineRule="auto"/>
        <w:ind w:firstLine="275" w:firstLineChars="98"/>
        <w:outlineLvl w:val="9"/>
        <w:rPr>
          <w:rFonts w:hint="eastAsia" w:ascii="仿宋" w:hAnsi="仿宋" w:eastAsia="仿宋" w:cs="仿宋"/>
          <w:b/>
          <w:color w:val="auto"/>
          <w:sz w:val="28"/>
          <w:szCs w:val="40"/>
          <w:highlight w:val="none"/>
        </w:rPr>
      </w:pPr>
    </w:p>
    <w:p w14:paraId="4C3D2333">
      <w:pPr>
        <w:shd w:val="clear"/>
        <w:rPr>
          <w:rFonts w:hint="eastAsia" w:ascii="仿宋" w:hAnsi="仿宋" w:eastAsia="仿宋" w:cs="仿宋"/>
          <w:b/>
          <w:bCs/>
          <w:color w:val="auto"/>
          <w:kern w:val="0"/>
          <w:sz w:val="36"/>
          <w:szCs w:val="36"/>
        </w:rPr>
      </w:pPr>
      <w:r>
        <w:rPr>
          <w:rFonts w:hint="eastAsia" w:ascii="仿宋" w:hAnsi="仿宋" w:eastAsia="仿宋" w:cs="仿宋"/>
          <w:b/>
          <w:color w:val="000000" w:themeColor="text1"/>
          <w:sz w:val="28"/>
          <w:szCs w:val="28"/>
          <w14:textFill>
            <w14:solidFill>
              <w14:schemeClr w14:val="tx1"/>
            </w14:solidFill>
          </w14:textFill>
        </w:rPr>
        <w:t>附表</w:t>
      </w:r>
      <w:r>
        <w:rPr>
          <w:rFonts w:hint="eastAsia" w:ascii="仿宋" w:hAnsi="仿宋" w:eastAsia="仿宋" w:cs="仿宋"/>
          <w:b/>
          <w:color w:val="000000" w:themeColor="text1"/>
          <w:sz w:val="28"/>
          <w:szCs w:val="28"/>
          <w:lang w:val="en-US" w:eastAsia="zh-CN"/>
          <w14:textFill>
            <w14:solidFill>
              <w14:schemeClr w14:val="tx1"/>
            </w14:solidFill>
          </w14:textFill>
        </w:rPr>
        <w:t>2</w:t>
      </w:r>
      <w:r>
        <w:rPr>
          <w:rFonts w:hint="eastAsia" w:ascii="仿宋" w:hAnsi="仿宋" w:eastAsia="仿宋" w:cs="仿宋"/>
          <w:b/>
          <w:color w:val="000000" w:themeColor="text1"/>
          <w:sz w:val="28"/>
          <w:szCs w:val="28"/>
          <w14:textFill>
            <w14:solidFill>
              <w14:schemeClr w14:val="tx1"/>
            </w14:solidFill>
          </w14:textFill>
        </w:rPr>
        <w:t>：</w:t>
      </w:r>
    </w:p>
    <w:p w14:paraId="2FB99FA0">
      <w:pPr>
        <w:pStyle w:val="57"/>
        <w:shd w:val="clear"/>
        <w:jc w:val="center"/>
        <w:rPr>
          <w:rFonts w:ascii="仿宋" w:hAnsi="仿宋" w:eastAsia="仿宋" w:cs="仿宋"/>
          <w:b/>
          <w:kern w:val="2"/>
          <w:sz w:val="32"/>
          <w:szCs w:val="32"/>
        </w:rPr>
      </w:pPr>
      <w:r>
        <w:rPr>
          <w:rFonts w:hint="eastAsia" w:ascii="仿宋" w:hAnsi="仿宋" w:eastAsia="仿宋" w:cs="仿宋"/>
          <w:b/>
          <w:kern w:val="2"/>
          <w:sz w:val="32"/>
          <w:szCs w:val="32"/>
        </w:rPr>
        <w:t>人员组织机构配备一览表</w:t>
      </w:r>
    </w:p>
    <w:p w14:paraId="42DB45BE">
      <w:pPr>
        <w:pStyle w:val="57"/>
        <w:shd w:val="clear"/>
        <w:jc w:val="center"/>
        <w:rPr>
          <w:rFonts w:ascii="仿宋" w:hAnsi="仿宋" w:eastAsia="仿宋" w:cs="仿宋"/>
          <w:b/>
          <w:kern w:val="2"/>
          <w:sz w:val="28"/>
          <w:szCs w:val="28"/>
        </w:rPr>
      </w:pPr>
    </w:p>
    <w:tbl>
      <w:tblPr>
        <w:tblStyle w:val="42"/>
        <w:tblW w:w="906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975"/>
        <w:gridCol w:w="795"/>
        <w:gridCol w:w="810"/>
        <w:gridCol w:w="1140"/>
        <w:gridCol w:w="1005"/>
        <w:gridCol w:w="1800"/>
        <w:gridCol w:w="1770"/>
      </w:tblGrid>
      <w:tr w14:paraId="5BBD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65" w:type="dxa"/>
            <w:vAlign w:val="center"/>
          </w:tcPr>
          <w:p w14:paraId="1186908F">
            <w:pPr>
              <w:shd w:val="clear"/>
              <w:jc w:val="center"/>
              <w:rPr>
                <w:rFonts w:ascii="仿宋" w:hAnsi="仿宋" w:eastAsia="仿宋" w:cs="仿宋"/>
                <w:sz w:val="22"/>
                <w:szCs w:val="22"/>
              </w:rPr>
            </w:pPr>
            <w:r>
              <w:rPr>
                <w:rFonts w:hint="eastAsia" w:ascii="仿宋" w:hAnsi="仿宋" w:eastAsia="仿宋" w:cs="仿宋"/>
                <w:sz w:val="22"/>
                <w:szCs w:val="22"/>
              </w:rPr>
              <w:t>序号</w:t>
            </w:r>
          </w:p>
        </w:tc>
        <w:tc>
          <w:tcPr>
            <w:tcW w:w="975" w:type="dxa"/>
            <w:vAlign w:val="center"/>
          </w:tcPr>
          <w:p w14:paraId="48384595">
            <w:pPr>
              <w:shd w:val="clear"/>
              <w:jc w:val="center"/>
              <w:rPr>
                <w:rFonts w:ascii="仿宋" w:hAnsi="仿宋" w:eastAsia="仿宋" w:cs="仿宋"/>
                <w:sz w:val="22"/>
                <w:szCs w:val="22"/>
              </w:rPr>
            </w:pPr>
            <w:r>
              <w:rPr>
                <w:rFonts w:hint="eastAsia" w:ascii="仿宋" w:hAnsi="仿宋" w:eastAsia="仿宋" w:cs="仿宋"/>
                <w:sz w:val="22"/>
                <w:szCs w:val="22"/>
              </w:rPr>
              <w:t>姓名</w:t>
            </w:r>
          </w:p>
        </w:tc>
        <w:tc>
          <w:tcPr>
            <w:tcW w:w="795" w:type="dxa"/>
            <w:vAlign w:val="center"/>
          </w:tcPr>
          <w:p w14:paraId="17B3425C">
            <w:pPr>
              <w:shd w:val="clear"/>
              <w:jc w:val="center"/>
              <w:rPr>
                <w:rFonts w:ascii="仿宋" w:hAnsi="仿宋" w:eastAsia="仿宋" w:cs="仿宋"/>
                <w:sz w:val="22"/>
                <w:szCs w:val="22"/>
              </w:rPr>
            </w:pPr>
            <w:r>
              <w:rPr>
                <w:rFonts w:hint="eastAsia" w:ascii="仿宋" w:hAnsi="仿宋" w:eastAsia="仿宋" w:cs="仿宋"/>
                <w:sz w:val="22"/>
                <w:szCs w:val="22"/>
              </w:rPr>
              <w:t>性别</w:t>
            </w:r>
          </w:p>
        </w:tc>
        <w:tc>
          <w:tcPr>
            <w:tcW w:w="810" w:type="dxa"/>
            <w:vAlign w:val="center"/>
          </w:tcPr>
          <w:p w14:paraId="1F476F2D">
            <w:pPr>
              <w:shd w:val="clear"/>
              <w:jc w:val="center"/>
              <w:rPr>
                <w:rFonts w:ascii="仿宋" w:hAnsi="仿宋" w:eastAsia="仿宋" w:cs="仿宋"/>
                <w:sz w:val="22"/>
                <w:szCs w:val="22"/>
              </w:rPr>
            </w:pPr>
            <w:r>
              <w:rPr>
                <w:rFonts w:hint="eastAsia" w:ascii="仿宋" w:hAnsi="仿宋" w:eastAsia="仿宋" w:cs="仿宋"/>
                <w:sz w:val="22"/>
                <w:szCs w:val="22"/>
              </w:rPr>
              <w:t>年龄</w:t>
            </w:r>
          </w:p>
        </w:tc>
        <w:tc>
          <w:tcPr>
            <w:tcW w:w="1140" w:type="dxa"/>
            <w:vAlign w:val="center"/>
          </w:tcPr>
          <w:p w14:paraId="4E1F9685">
            <w:pPr>
              <w:shd w:val="clear"/>
              <w:jc w:val="center"/>
              <w:rPr>
                <w:rFonts w:ascii="仿宋" w:hAnsi="仿宋" w:eastAsia="仿宋" w:cs="仿宋"/>
                <w:sz w:val="22"/>
                <w:szCs w:val="22"/>
              </w:rPr>
            </w:pPr>
            <w:r>
              <w:rPr>
                <w:rFonts w:hint="eastAsia" w:ascii="仿宋" w:hAnsi="仿宋" w:eastAsia="仿宋" w:cs="仿宋"/>
                <w:sz w:val="22"/>
                <w:szCs w:val="22"/>
              </w:rPr>
              <w:t>工作</w:t>
            </w:r>
          </w:p>
          <w:p w14:paraId="034C4CE2">
            <w:pPr>
              <w:shd w:val="clear"/>
              <w:jc w:val="center"/>
              <w:rPr>
                <w:rFonts w:ascii="仿宋" w:hAnsi="仿宋" w:eastAsia="仿宋" w:cs="仿宋"/>
                <w:sz w:val="22"/>
                <w:szCs w:val="22"/>
              </w:rPr>
            </w:pPr>
            <w:r>
              <w:rPr>
                <w:rFonts w:hint="eastAsia" w:ascii="仿宋" w:hAnsi="仿宋" w:eastAsia="仿宋" w:cs="仿宋"/>
                <w:sz w:val="22"/>
                <w:szCs w:val="22"/>
              </w:rPr>
              <w:t>年限</w:t>
            </w:r>
          </w:p>
        </w:tc>
        <w:tc>
          <w:tcPr>
            <w:tcW w:w="1005" w:type="dxa"/>
            <w:vAlign w:val="center"/>
          </w:tcPr>
          <w:p w14:paraId="654752D7">
            <w:pPr>
              <w:shd w:val="clear"/>
              <w:jc w:val="center"/>
              <w:rPr>
                <w:rFonts w:ascii="仿宋" w:hAnsi="仿宋" w:eastAsia="仿宋" w:cs="仿宋"/>
                <w:sz w:val="22"/>
                <w:szCs w:val="22"/>
              </w:rPr>
            </w:pPr>
            <w:r>
              <w:rPr>
                <w:rFonts w:hint="eastAsia" w:ascii="仿宋" w:hAnsi="仿宋" w:eastAsia="仿宋" w:cs="仿宋"/>
                <w:sz w:val="22"/>
                <w:szCs w:val="22"/>
              </w:rPr>
              <w:t>学历</w:t>
            </w:r>
          </w:p>
        </w:tc>
        <w:tc>
          <w:tcPr>
            <w:tcW w:w="1800" w:type="dxa"/>
            <w:vAlign w:val="center"/>
          </w:tcPr>
          <w:p w14:paraId="4D0617D5">
            <w:pPr>
              <w:shd w:val="clear"/>
              <w:jc w:val="center"/>
              <w:rPr>
                <w:rFonts w:ascii="仿宋" w:hAnsi="仿宋" w:eastAsia="仿宋" w:cs="仿宋"/>
                <w:sz w:val="22"/>
                <w:szCs w:val="22"/>
              </w:rPr>
            </w:pPr>
            <w:r>
              <w:rPr>
                <w:rFonts w:hint="eastAsia" w:ascii="仿宋" w:hAnsi="仿宋" w:eastAsia="仿宋" w:cs="仿宋"/>
                <w:sz w:val="22"/>
                <w:szCs w:val="22"/>
              </w:rPr>
              <w:t>拟在本项目中担任的职务</w:t>
            </w:r>
          </w:p>
        </w:tc>
        <w:tc>
          <w:tcPr>
            <w:tcW w:w="1770" w:type="dxa"/>
            <w:vAlign w:val="center"/>
          </w:tcPr>
          <w:p w14:paraId="1159F53E">
            <w:pPr>
              <w:shd w:val="clear"/>
              <w:jc w:val="center"/>
              <w:rPr>
                <w:rFonts w:ascii="仿宋" w:hAnsi="仿宋" w:eastAsia="仿宋" w:cs="仿宋"/>
                <w:sz w:val="22"/>
                <w:szCs w:val="22"/>
              </w:rPr>
            </w:pPr>
            <w:r>
              <w:rPr>
                <w:rFonts w:hint="eastAsia" w:ascii="仿宋" w:hAnsi="仿宋" w:eastAsia="仿宋" w:cs="仿宋"/>
                <w:sz w:val="22"/>
                <w:szCs w:val="22"/>
              </w:rPr>
              <w:t>取得的相关</w:t>
            </w:r>
          </w:p>
          <w:p w14:paraId="24E2E6E8">
            <w:pPr>
              <w:shd w:val="clear"/>
              <w:jc w:val="center"/>
              <w:rPr>
                <w:rFonts w:ascii="仿宋" w:hAnsi="仿宋" w:eastAsia="仿宋" w:cs="仿宋"/>
                <w:sz w:val="22"/>
                <w:szCs w:val="22"/>
              </w:rPr>
            </w:pPr>
            <w:r>
              <w:rPr>
                <w:rFonts w:hint="eastAsia" w:ascii="仿宋" w:hAnsi="仿宋" w:eastAsia="仿宋" w:cs="仿宋"/>
                <w:sz w:val="22"/>
                <w:szCs w:val="22"/>
              </w:rPr>
              <w:t>证书</w:t>
            </w:r>
          </w:p>
        </w:tc>
      </w:tr>
      <w:tr w14:paraId="40D30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74B6F0F7">
            <w:pPr>
              <w:shd w:val="clear"/>
              <w:spacing w:line="360" w:lineRule="auto"/>
              <w:rPr>
                <w:rFonts w:ascii="仿宋" w:hAnsi="仿宋" w:eastAsia="仿宋" w:cs="仿宋"/>
                <w:sz w:val="22"/>
                <w:szCs w:val="22"/>
              </w:rPr>
            </w:pPr>
          </w:p>
        </w:tc>
        <w:tc>
          <w:tcPr>
            <w:tcW w:w="975" w:type="dxa"/>
          </w:tcPr>
          <w:p w14:paraId="41036F6E">
            <w:pPr>
              <w:shd w:val="clear"/>
              <w:spacing w:line="360" w:lineRule="auto"/>
              <w:rPr>
                <w:rFonts w:ascii="仿宋" w:hAnsi="仿宋" w:eastAsia="仿宋" w:cs="仿宋"/>
                <w:sz w:val="22"/>
                <w:szCs w:val="22"/>
              </w:rPr>
            </w:pPr>
          </w:p>
        </w:tc>
        <w:tc>
          <w:tcPr>
            <w:tcW w:w="795" w:type="dxa"/>
          </w:tcPr>
          <w:p w14:paraId="308ADD0E">
            <w:pPr>
              <w:shd w:val="clear"/>
              <w:spacing w:line="360" w:lineRule="auto"/>
              <w:rPr>
                <w:rFonts w:ascii="仿宋" w:hAnsi="仿宋" w:eastAsia="仿宋" w:cs="仿宋"/>
                <w:sz w:val="22"/>
                <w:szCs w:val="22"/>
              </w:rPr>
            </w:pPr>
          </w:p>
        </w:tc>
        <w:tc>
          <w:tcPr>
            <w:tcW w:w="810" w:type="dxa"/>
          </w:tcPr>
          <w:p w14:paraId="7AA6FAD8">
            <w:pPr>
              <w:shd w:val="clear"/>
              <w:spacing w:line="360" w:lineRule="auto"/>
              <w:rPr>
                <w:rFonts w:ascii="仿宋" w:hAnsi="仿宋" w:eastAsia="仿宋" w:cs="仿宋"/>
                <w:sz w:val="22"/>
                <w:szCs w:val="22"/>
              </w:rPr>
            </w:pPr>
          </w:p>
        </w:tc>
        <w:tc>
          <w:tcPr>
            <w:tcW w:w="1140" w:type="dxa"/>
          </w:tcPr>
          <w:p w14:paraId="1FA1853B">
            <w:pPr>
              <w:shd w:val="clear"/>
              <w:spacing w:line="360" w:lineRule="auto"/>
              <w:rPr>
                <w:rFonts w:ascii="仿宋" w:hAnsi="仿宋" w:eastAsia="仿宋" w:cs="仿宋"/>
                <w:sz w:val="22"/>
                <w:szCs w:val="22"/>
              </w:rPr>
            </w:pPr>
          </w:p>
        </w:tc>
        <w:tc>
          <w:tcPr>
            <w:tcW w:w="1005" w:type="dxa"/>
          </w:tcPr>
          <w:p w14:paraId="70200CA5">
            <w:pPr>
              <w:shd w:val="clear"/>
              <w:spacing w:line="360" w:lineRule="auto"/>
              <w:rPr>
                <w:rFonts w:ascii="仿宋" w:hAnsi="仿宋" w:eastAsia="仿宋" w:cs="仿宋"/>
                <w:sz w:val="22"/>
                <w:szCs w:val="22"/>
              </w:rPr>
            </w:pPr>
          </w:p>
        </w:tc>
        <w:tc>
          <w:tcPr>
            <w:tcW w:w="1800" w:type="dxa"/>
          </w:tcPr>
          <w:p w14:paraId="38842E05">
            <w:pPr>
              <w:shd w:val="clear"/>
              <w:spacing w:line="360" w:lineRule="auto"/>
              <w:rPr>
                <w:rFonts w:ascii="仿宋" w:hAnsi="仿宋" w:eastAsia="仿宋" w:cs="仿宋"/>
                <w:sz w:val="22"/>
                <w:szCs w:val="22"/>
              </w:rPr>
            </w:pPr>
          </w:p>
        </w:tc>
        <w:tc>
          <w:tcPr>
            <w:tcW w:w="1770" w:type="dxa"/>
          </w:tcPr>
          <w:p w14:paraId="4931B954">
            <w:pPr>
              <w:shd w:val="clear"/>
              <w:spacing w:line="360" w:lineRule="auto"/>
              <w:rPr>
                <w:rFonts w:ascii="仿宋" w:hAnsi="仿宋" w:eastAsia="仿宋" w:cs="仿宋"/>
                <w:sz w:val="22"/>
                <w:szCs w:val="22"/>
              </w:rPr>
            </w:pPr>
          </w:p>
        </w:tc>
      </w:tr>
      <w:tr w14:paraId="7333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05ACB2E1">
            <w:pPr>
              <w:shd w:val="clear"/>
              <w:spacing w:line="360" w:lineRule="auto"/>
              <w:rPr>
                <w:rFonts w:ascii="仿宋" w:hAnsi="仿宋" w:eastAsia="仿宋" w:cs="仿宋"/>
                <w:sz w:val="22"/>
                <w:szCs w:val="22"/>
              </w:rPr>
            </w:pPr>
          </w:p>
        </w:tc>
        <w:tc>
          <w:tcPr>
            <w:tcW w:w="975" w:type="dxa"/>
          </w:tcPr>
          <w:p w14:paraId="63809D21">
            <w:pPr>
              <w:shd w:val="clear"/>
              <w:spacing w:line="360" w:lineRule="auto"/>
              <w:rPr>
                <w:rFonts w:ascii="仿宋" w:hAnsi="仿宋" w:eastAsia="仿宋" w:cs="仿宋"/>
                <w:sz w:val="22"/>
                <w:szCs w:val="22"/>
              </w:rPr>
            </w:pPr>
          </w:p>
        </w:tc>
        <w:tc>
          <w:tcPr>
            <w:tcW w:w="795" w:type="dxa"/>
          </w:tcPr>
          <w:p w14:paraId="5BCE1CBC">
            <w:pPr>
              <w:shd w:val="clear"/>
              <w:spacing w:line="360" w:lineRule="auto"/>
              <w:rPr>
                <w:rFonts w:ascii="仿宋" w:hAnsi="仿宋" w:eastAsia="仿宋" w:cs="仿宋"/>
                <w:sz w:val="22"/>
                <w:szCs w:val="22"/>
              </w:rPr>
            </w:pPr>
          </w:p>
        </w:tc>
        <w:tc>
          <w:tcPr>
            <w:tcW w:w="810" w:type="dxa"/>
          </w:tcPr>
          <w:p w14:paraId="20F7E2F0">
            <w:pPr>
              <w:shd w:val="clear"/>
              <w:spacing w:line="360" w:lineRule="auto"/>
              <w:rPr>
                <w:rFonts w:ascii="仿宋" w:hAnsi="仿宋" w:eastAsia="仿宋" w:cs="仿宋"/>
                <w:sz w:val="22"/>
                <w:szCs w:val="22"/>
              </w:rPr>
            </w:pPr>
          </w:p>
        </w:tc>
        <w:tc>
          <w:tcPr>
            <w:tcW w:w="1140" w:type="dxa"/>
          </w:tcPr>
          <w:p w14:paraId="33DE8A28">
            <w:pPr>
              <w:shd w:val="clear"/>
              <w:spacing w:line="360" w:lineRule="auto"/>
              <w:rPr>
                <w:rFonts w:ascii="仿宋" w:hAnsi="仿宋" w:eastAsia="仿宋" w:cs="仿宋"/>
                <w:sz w:val="22"/>
                <w:szCs w:val="22"/>
              </w:rPr>
            </w:pPr>
          </w:p>
        </w:tc>
        <w:tc>
          <w:tcPr>
            <w:tcW w:w="1005" w:type="dxa"/>
          </w:tcPr>
          <w:p w14:paraId="1E308045">
            <w:pPr>
              <w:shd w:val="clear"/>
              <w:spacing w:line="360" w:lineRule="auto"/>
              <w:rPr>
                <w:rFonts w:ascii="仿宋" w:hAnsi="仿宋" w:eastAsia="仿宋" w:cs="仿宋"/>
                <w:sz w:val="22"/>
                <w:szCs w:val="22"/>
              </w:rPr>
            </w:pPr>
          </w:p>
        </w:tc>
        <w:tc>
          <w:tcPr>
            <w:tcW w:w="1800" w:type="dxa"/>
          </w:tcPr>
          <w:p w14:paraId="0CDE1B6D">
            <w:pPr>
              <w:shd w:val="clear"/>
              <w:spacing w:line="360" w:lineRule="auto"/>
              <w:rPr>
                <w:rFonts w:ascii="仿宋" w:hAnsi="仿宋" w:eastAsia="仿宋" w:cs="仿宋"/>
                <w:sz w:val="22"/>
                <w:szCs w:val="22"/>
              </w:rPr>
            </w:pPr>
          </w:p>
        </w:tc>
        <w:tc>
          <w:tcPr>
            <w:tcW w:w="1770" w:type="dxa"/>
          </w:tcPr>
          <w:p w14:paraId="3776422F">
            <w:pPr>
              <w:shd w:val="clear"/>
              <w:spacing w:line="360" w:lineRule="auto"/>
              <w:rPr>
                <w:rFonts w:ascii="仿宋" w:hAnsi="仿宋" w:eastAsia="仿宋" w:cs="仿宋"/>
                <w:sz w:val="22"/>
                <w:szCs w:val="22"/>
              </w:rPr>
            </w:pPr>
          </w:p>
        </w:tc>
      </w:tr>
      <w:tr w14:paraId="3593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1C1316E7">
            <w:pPr>
              <w:shd w:val="clear"/>
              <w:spacing w:line="360" w:lineRule="auto"/>
              <w:rPr>
                <w:rFonts w:ascii="仿宋" w:hAnsi="仿宋" w:eastAsia="仿宋" w:cs="仿宋"/>
                <w:sz w:val="22"/>
                <w:szCs w:val="22"/>
              </w:rPr>
            </w:pPr>
          </w:p>
        </w:tc>
        <w:tc>
          <w:tcPr>
            <w:tcW w:w="975" w:type="dxa"/>
          </w:tcPr>
          <w:p w14:paraId="40F8203A">
            <w:pPr>
              <w:shd w:val="clear"/>
              <w:spacing w:line="360" w:lineRule="auto"/>
              <w:rPr>
                <w:rFonts w:ascii="仿宋" w:hAnsi="仿宋" w:eastAsia="仿宋" w:cs="仿宋"/>
                <w:sz w:val="22"/>
                <w:szCs w:val="22"/>
              </w:rPr>
            </w:pPr>
          </w:p>
        </w:tc>
        <w:tc>
          <w:tcPr>
            <w:tcW w:w="795" w:type="dxa"/>
          </w:tcPr>
          <w:p w14:paraId="5C701206">
            <w:pPr>
              <w:shd w:val="clear"/>
              <w:spacing w:line="360" w:lineRule="auto"/>
              <w:rPr>
                <w:rFonts w:ascii="仿宋" w:hAnsi="仿宋" w:eastAsia="仿宋" w:cs="仿宋"/>
                <w:sz w:val="22"/>
                <w:szCs w:val="22"/>
              </w:rPr>
            </w:pPr>
          </w:p>
        </w:tc>
        <w:tc>
          <w:tcPr>
            <w:tcW w:w="810" w:type="dxa"/>
          </w:tcPr>
          <w:p w14:paraId="77112446">
            <w:pPr>
              <w:shd w:val="clear"/>
              <w:spacing w:line="360" w:lineRule="auto"/>
              <w:rPr>
                <w:rFonts w:ascii="仿宋" w:hAnsi="仿宋" w:eastAsia="仿宋" w:cs="仿宋"/>
                <w:sz w:val="22"/>
                <w:szCs w:val="22"/>
              </w:rPr>
            </w:pPr>
          </w:p>
        </w:tc>
        <w:tc>
          <w:tcPr>
            <w:tcW w:w="1140" w:type="dxa"/>
          </w:tcPr>
          <w:p w14:paraId="29344BBE">
            <w:pPr>
              <w:shd w:val="clear"/>
              <w:spacing w:line="360" w:lineRule="auto"/>
              <w:rPr>
                <w:rFonts w:ascii="仿宋" w:hAnsi="仿宋" w:eastAsia="仿宋" w:cs="仿宋"/>
                <w:sz w:val="22"/>
                <w:szCs w:val="22"/>
              </w:rPr>
            </w:pPr>
          </w:p>
        </w:tc>
        <w:tc>
          <w:tcPr>
            <w:tcW w:w="1005" w:type="dxa"/>
          </w:tcPr>
          <w:p w14:paraId="0E4FFD40">
            <w:pPr>
              <w:shd w:val="clear"/>
              <w:spacing w:line="360" w:lineRule="auto"/>
              <w:rPr>
                <w:rFonts w:ascii="仿宋" w:hAnsi="仿宋" w:eastAsia="仿宋" w:cs="仿宋"/>
                <w:sz w:val="22"/>
                <w:szCs w:val="22"/>
              </w:rPr>
            </w:pPr>
          </w:p>
        </w:tc>
        <w:tc>
          <w:tcPr>
            <w:tcW w:w="1800" w:type="dxa"/>
          </w:tcPr>
          <w:p w14:paraId="0CEF5B7E">
            <w:pPr>
              <w:shd w:val="clear"/>
              <w:spacing w:line="360" w:lineRule="auto"/>
              <w:rPr>
                <w:rFonts w:ascii="仿宋" w:hAnsi="仿宋" w:eastAsia="仿宋" w:cs="仿宋"/>
                <w:sz w:val="22"/>
                <w:szCs w:val="22"/>
              </w:rPr>
            </w:pPr>
          </w:p>
        </w:tc>
        <w:tc>
          <w:tcPr>
            <w:tcW w:w="1770" w:type="dxa"/>
          </w:tcPr>
          <w:p w14:paraId="004C77FA">
            <w:pPr>
              <w:shd w:val="clear"/>
              <w:spacing w:line="360" w:lineRule="auto"/>
              <w:rPr>
                <w:rFonts w:ascii="仿宋" w:hAnsi="仿宋" w:eastAsia="仿宋" w:cs="仿宋"/>
                <w:sz w:val="22"/>
                <w:szCs w:val="22"/>
              </w:rPr>
            </w:pPr>
          </w:p>
        </w:tc>
      </w:tr>
      <w:tr w14:paraId="1215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08B70564">
            <w:pPr>
              <w:shd w:val="clear"/>
              <w:spacing w:line="360" w:lineRule="auto"/>
              <w:rPr>
                <w:rFonts w:ascii="仿宋" w:hAnsi="仿宋" w:eastAsia="仿宋" w:cs="仿宋"/>
                <w:sz w:val="22"/>
                <w:szCs w:val="22"/>
              </w:rPr>
            </w:pPr>
          </w:p>
        </w:tc>
        <w:tc>
          <w:tcPr>
            <w:tcW w:w="975" w:type="dxa"/>
          </w:tcPr>
          <w:p w14:paraId="7B4A96D4">
            <w:pPr>
              <w:shd w:val="clear"/>
              <w:spacing w:line="360" w:lineRule="auto"/>
              <w:rPr>
                <w:rFonts w:ascii="仿宋" w:hAnsi="仿宋" w:eastAsia="仿宋" w:cs="仿宋"/>
                <w:sz w:val="22"/>
                <w:szCs w:val="22"/>
              </w:rPr>
            </w:pPr>
          </w:p>
        </w:tc>
        <w:tc>
          <w:tcPr>
            <w:tcW w:w="795" w:type="dxa"/>
          </w:tcPr>
          <w:p w14:paraId="545D9146">
            <w:pPr>
              <w:shd w:val="clear"/>
              <w:spacing w:line="360" w:lineRule="auto"/>
              <w:rPr>
                <w:rFonts w:ascii="仿宋" w:hAnsi="仿宋" w:eastAsia="仿宋" w:cs="仿宋"/>
                <w:sz w:val="22"/>
                <w:szCs w:val="22"/>
              </w:rPr>
            </w:pPr>
          </w:p>
        </w:tc>
        <w:tc>
          <w:tcPr>
            <w:tcW w:w="810" w:type="dxa"/>
          </w:tcPr>
          <w:p w14:paraId="47A0AF9F">
            <w:pPr>
              <w:shd w:val="clear"/>
              <w:spacing w:line="360" w:lineRule="auto"/>
              <w:rPr>
                <w:rFonts w:ascii="仿宋" w:hAnsi="仿宋" w:eastAsia="仿宋" w:cs="仿宋"/>
                <w:sz w:val="22"/>
                <w:szCs w:val="22"/>
              </w:rPr>
            </w:pPr>
          </w:p>
        </w:tc>
        <w:tc>
          <w:tcPr>
            <w:tcW w:w="1140" w:type="dxa"/>
          </w:tcPr>
          <w:p w14:paraId="1D4D646D">
            <w:pPr>
              <w:shd w:val="clear"/>
              <w:spacing w:line="360" w:lineRule="auto"/>
              <w:rPr>
                <w:rFonts w:ascii="仿宋" w:hAnsi="仿宋" w:eastAsia="仿宋" w:cs="仿宋"/>
                <w:sz w:val="22"/>
                <w:szCs w:val="22"/>
              </w:rPr>
            </w:pPr>
          </w:p>
        </w:tc>
        <w:tc>
          <w:tcPr>
            <w:tcW w:w="1005" w:type="dxa"/>
          </w:tcPr>
          <w:p w14:paraId="4B30882D">
            <w:pPr>
              <w:shd w:val="clear"/>
              <w:spacing w:line="360" w:lineRule="auto"/>
              <w:rPr>
                <w:rFonts w:ascii="仿宋" w:hAnsi="仿宋" w:eastAsia="仿宋" w:cs="仿宋"/>
                <w:sz w:val="22"/>
                <w:szCs w:val="22"/>
              </w:rPr>
            </w:pPr>
          </w:p>
        </w:tc>
        <w:tc>
          <w:tcPr>
            <w:tcW w:w="1800" w:type="dxa"/>
          </w:tcPr>
          <w:p w14:paraId="5E7F9CAC">
            <w:pPr>
              <w:shd w:val="clear"/>
              <w:spacing w:line="360" w:lineRule="auto"/>
              <w:rPr>
                <w:rFonts w:ascii="仿宋" w:hAnsi="仿宋" w:eastAsia="仿宋" w:cs="仿宋"/>
                <w:sz w:val="22"/>
                <w:szCs w:val="22"/>
              </w:rPr>
            </w:pPr>
          </w:p>
        </w:tc>
        <w:tc>
          <w:tcPr>
            <w:tcW w:w="1770" w:type="dxa"/>
          </w:tcPr>
          <w:p w14:paraId="33BEFFDA">
            <w:pPr>
              <w:shd w:val="clear"/>
              <w:spacing w:line="360" w:lineRule="auto"/>
              <w:rPr>
                <w:rFonts w:ascii="仿宋" w:hAnsi="仿宋" w:eastAsia="仿宋" w:cs="仿宋"/>
                <w:sz w:val="22"/>
                <w:szCs w:val="22"/>
              </w:rPr>
            </w:pPr>
          </w:p>
        </w:tc>
      </w:tr>
      <w:tr w14:paraId="1DE5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4AA058C1">
            <w:pPr>
              <w:shd w:val="clear"/>
              <w:spacing w:line="360" w:lineRule="auto"/>
              <w:rPr>
                <w:rFonts w:ascii="仿宋" w:hAnsi="仿宋" w:eastAsia="仿宋" w:cs="仿宋"/>
                <w:sz w:val="22"/>
                <w:szCs w:val="22"/>
              </w:rPr>
            </w:pPr>
          </w:p>
        </w:tc>
        <w:tc>
          <w:tcPr>
            <w:tcW w:w="975" w:type="dxa"/>
          </w:tcPr>
          <w:p w14:paraId="041B38BD">
            <w:pPr>
              <w:shd w:val="clear"/>
              <w:spacing w:line="360" w:lineRule="auto"/>
              <w:rPr>
                <w:rFonts w:ascii="仿宋" w:hAnsi="仿宋" w:eastAsia="仿宋" w:cs="仿宋"/>
                <w:sz w:val="22"/>
                <w:szCs w:val="22"/>
              </w:rPr>
            </w:pPr>
          </w:p>
        </w:tc>
        <w:tc>
          <w:tcPr>
            <w:tcW w:w="795" w:type="dxa"/>
          </w:tcPr>
          <w:p w14:paraId="37F66104">
            <w:pPr>
              <w:shd w:val="clear"/>
              <w:spacing w:line="360" w:lineRule="auto"/>
              <w:rPr>
                <w:rFonts w:ascii="仿宋" w:hAnsi="仿宋" w:eastAsia="仿宋" w:cs="仿宋"/>
                <w:sz w:val="22"/>
                <w:szCs w:val="22"/>
              </w:rPr>
            </w:pPr>
          </w:p>
        </w:tc>
        <w:tc>
          <w:tcPr>
            <w:tcW w:w="810" w:type="dxa"/>
          </w:tcPr>
          <w:p w14:paraId="22A57F42">
            <w:pPr>
              <w:shd w:val="clear"/>
              <w:spacing w:line="360" w:lineRule="auto"/>
              <w:rPr>
                <w:rFonts w:ascii="仿宋" w:hAnsi="仿宋" w:eastAsia="仿宋" w:cs="仿宋"/>
                <w:sz w:val="22"/>
                <w:szCs w:val="22"/>
              </w:rPr>
            </w:pPr>
          </w:p>
        </w:tc>
        <w:tc>
          <w:tcPr>
            <w:tcW w:w="1140" w:type="dxa"/>
          </w:tcPr>
          <w:p w14:paraId="1914112B">
            <w:pPr>
              <w:shd w:val="clear"/>
              <w:spacing w:line="360" w:lineRule="auto"/>
              <w:rPr>
                <w:rFonts w:ascii="仿宋" w:hAnsi="仿宋" w:eastAsia="仿宋" w:cs="仿宋"/>
                <w:sz w:val="22"/>
                <w:szCs w:val="22"/>
              </w:rPr>
            </w:pPr>
          </w:p>
        </w:tc>
        <w:tc>
          <w:tcPr>
            <w:tcW w:w="1005" w:type="dxa"/>
          </w:tcPr>
          <w:p w14:paraId="21888588">
            <w:pPr>
              <w:shd w:val="clear"/>
              <w:spacing w:line="360" w:lineRule="auto"/>
              <w:rPr>
                <w:rFonts w:ascii="仿宋" w:hAnsi="仿宋" w:eastAsia="仿宋" w:cs="仿宋"/>
                <w:sz w:val="22"/>
                <w:szCs w:val="22"/>
              </w:rPr>
            </w:pPr>
          </w:p>
        </w:tc>
        <w:tc>
          <w:tcPr>
            <w:tcW w:w="1800" w:type="dxa"/>
          </w:tcPr>
          <w:p w14:paraId="32E127E9">
            <w:pPr>
              <w:shd w:val="clear"/>
              <w:spacing w:line="360" w:lineRule="auto"/>
              <w:rPr>
                <w:rFonts w:ascii="仿宋" w:hAnsi="仿宋" w:eastAsia="仿宋" w:cs="仿宋"/>
                <w:sz w:val="22"/>
                <w:szCs w:val="22"/>
              </w:rPr>
            </w:pPr>
          </w:p>
        </w:tc>
        <w:tc>
          <w:tcPr>
            <w:tcW w:w="1770" w:type="dxa"/>
          </w:tcPr>
          <w:p w14:paraId="1411467E">
            <w:pPr>
              <w:shd w:val="clear"/>
              <w:spacing w:line="360" w:lineRule="auto"/>
              <w:rPr>
                <w:rFonts w:ascii="仿宋" w:hAnsi="仿宋" w:eastAsia="仿宋" w:cs="仿宋"/>
                <w:sz w:val="22"/>
                <w:szCs w:val="22"/>
              </w:rPr>
            </w:pPr>
          </w:p>
        </w:tc>
      </w:tr>
      <w:tr w14:paraId="1D6F2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28677DC0">
            <w:pPr>
              <w:shd w:val="clear"/>
              <w:spacing w:line="360" w:lineRule="auto"/>
              <w:rPr>
                <w:rFonts w:ascii="仿宋" w:hAnsi="仿宋" w:eastAsia="仿宋" w:cs="仿宋"/>
                <w:sz w:val="22"/>
                <w:szCs w:val="22"/>
              </w:rPr>
            </w:pPr>
          </w:p>
        </w:tc>
        <w:tc>
          <w:tcPr>
            <w:tcW w:w="975" w:type="dxa"/>
          </w:tcPr>
          <w:p w14:paraId="4387FB78">
            <w:pPr>
              <w:shd w:val="clear"/>
              <w:spacing w:line="360" w:lineRule="auto"/>
              <w:rPr>
                <w:rFonts w:ascii="仿宋" w:hAnsi="仿宋" w:eastAsia="仿宋" w:cs="仿宋"/>
                <w:sz w:val="22"/>
                <w:szCs w:val="22"/>
              </w:rPr>
            </w:pPr>
          </w:p>
        </w:tc>
        <w:tc>
          <w:tcPr>
            <w:tcW w:w="795" w:type="dxa"/>
          </w:tcPr>
          <w:p w14:paraId="53856ABC">
            <w:pPr>
              <w:shd w:val="clear"/>
              <w:spacing w:line="360" w:lineRule="auto"/>
              <w:rPr>
                <w:rFonts w:ascii="仿宋" w:hAnsi="仿宋" w:eastAsia="仿宋" w:cs="仿宋"/>
                <w:sz w:val="22"/>
                <w:szCs w:val="22"/>
              </w:rPr>
            </w:pPr>
          </w:p>
        </w:tc>
        <w:tc>
          <w:tcPr>
            <w:tcW w:w="810" w:type="dxa"/>
          </w:tcPr>
          <w:p w14:paraId="18335EE8">
            <w:pPr>
              <w:shd w:val="clear"/>
              <w:spacing w:line="360" w:lineRule="auto"/>
              <w:rPr>
                <w:rFonts w:ascii="仿宋" w:hAnsi="仿宋" w:eastAsia="仿宋" w:cs="仿宋"/>
                <w:sz w:val="22"/>
                <w:szCs w:val="22"/>
              </w:rPr>
            </w:pPr>
          </w:p>
        </w:tc>
        <w:tc>
          <w:tcPr>
            <w:tcW w:w="1140" w:type="dxa"/>
          </w:tcPr>
          <w:p w14:paraId="4141F094">
            <w:pPr>
              <w:shd w:val="clear"/>
              <w:spacing w:line="360" w:lineRule="auto"/>
              <w:rPr>
                <w:rFonts w:ascii="仿宋" w:hAnsi="仿宋" w:eastAsia="仿宋" w:cs="仿宋"/>
                <w:sz w:val="22"/>
                <w:szCs w:val="22"/>
              </w:rPr>
            </w:pPr>
          </w:p>
        </w:tc>
        <w:tc>
          <w:tcPr>
            <w:tcW w:w="1005" w:type="dxa"/>
          </w:tcPr>
          <w:p w14:paraId="0589243D">
            <w:pPr>
              <w:shd w:val="clear"/>
              <w:spacing w:line="360" w:lineRule="auto"/>
              <w:rPr>
                <w:rFonts w:ascii="仿宋" w:hAnsi="仿宋" w:eastAsia="仿宋" w:cs="仿宋"/>
                <w:sz w:val="22"/>
                <w:szCs w:val="22"/>
              </w:rPr>
            </w:pPr>
          </w:p>
        </w:tc>
        <w:tc>
          <w:tcPr>
            <w:tcW w:w="1800" w:type="dxa"/>
          </w:tcPr>
          <w:p w14:paraId="05FB003D">
            <w:pPr>
              <w:shd w:val="clear"/>
              <w:spacing w:line="360" w:lineRule="auto"/>
              <w:rPr>
                <w:rFonts w:ascii="仿宋" w:hAnsi="仿宋" w:eastAsia="仿宋" w:cs="仿宋"/>
                <w:sz w:val="22"/>
                <w:szCs w:val="22"/>
              </w:rPr>
            </w:pPr>
          </w:p>
        </w:tc>
        <w:tc>
          <w:tcPr>
            <w:tcW w:w="1770" w:type="dxa"/>
          </w:tcPr>
          <w:p w14:paraId="4A4A9F1E">
            <w:pPr>
              <w:shd w:val="clear"/>
              <w:spacing w:line="360" w:lineRule="auto"/>
              <w:rPr>
                <w:rFonts w:ascii="仿宋" w:hAnsi="仿宋" w:eastAsia="仿宋" w:cs="仿宋"/>
                <w:sz w:val="22"/>
                <w:szCs w:val="22"/>
              </w:rPr>
            </w:pPr>
          </w:p>
        </w:tc>
      </w:tr>
      <w:tr w14:paraId="7C09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2B193D7E">
            <w:pPr>
              <w:shd w:val="clear"/>
              <w:spacing w:line="360" w:lineRule="auto"/>
              <w:rPr>
                <w:rFonts w:ascii="仿宋" w:hAnsi="仿宋" w:eastAsia="仿宋" w:cs="仿宋"/>
                <w:sz w:val="22"/>
                <w:szCs w:val="22"/>
              </w:rPr>
            </w:pPr>
          </w:p>
        </w:tc>
        <w:tc>
          <w:tcPr>
            <w:tcW w:w="975" w:type="dxa"/>
          </w:tcPr>
          <w:p w14:paraId="3631D347">
            <w:pPr>
              <w:shd w:val="clear"/>
              <w:spacing w:line="360" w:lineRule="auto"/>
              <w:rPr>
                <w:rFonts w:ascii="仿宋" w:hAnsi="仿宋" w:eastAsia="仿宋" w:cs="仿宋"/>
                <w:sz w:val="22"/>
                <w:szCs w:val="22"/>
              </w:rPr>
            </w:pPr>
          </w:p>
        </w:tc>
        <w:tc>
          <w:tcPr>
            <w:tcW w:w="795" w:type="dxa"/>
          </w:tcPr>
          <w:p w14:paraId="73DBF971">
            <w:pPr>
              <w:shd w:val="clear"/>
              <w:spacing w:line="360" w:lineRule="auto"/>
              <w:rPr>
                <w:rFonts w:ascii="仿宋" w:hAnsi="仿宋" w:eastAsia="仿宋" w:cs="仿宋"/>
                <w:sz w:val="22"/>
                <w:szCs w:val="22"/>
              </w:rPr>
            </w:pPr>
          </w:p>
        </w:tc>
        <w:tc>
          <w:tcPr>
            <w:tcW w:w="810" w:type="dxa"/>
          </w:tcPr>
          <w:p w14:paraId="4F1CE08A">
            <w:pPr>
              <w:shd w:val="clear"/>
              <w:spacing w:line="360" w:lineRule="auto"/>
              <w:rPr>
                <w:rFonts w:ascii="仿宋" w:hAnsi="仿宋" w:eastAsia="仿宋" w:cs="仿宋"/>
                <w:sz w:val="22"/>
                <w:szCs w:val="22"/>
              </w:rPr>
            </w:pPr>
          </w:p>
        </w:tc>
        <w:tc>
          <w:tcPr>
            <w:tcW w:w="1140" w:type="dxa"/>
          </w:tcPr>
          <w:p w14:paraId="4F5E9FCB">
            <w:pPr>
              <w:shd w:val="clear"/>
              <w:spacing w:line="360" w:lineRule="auto"/>
              <w:rPr>
                <w:rFonts w:ascii="仿宋" w:hAnsi="仿宋" w:eastAsia="仿宋" w:cs="仿宋"/>
                <w:sz w:val="22"/>
                <w:szCs w:val="22"/>
              </w:rPr>
            </w:pPr>
          </w:p>
        </w:tc>
        <w:tc>
          <w:tcPr>
            <w:tcW w:w="1005" w:type="dxa"/>
          </w:tcPr>
          <w:p w14:paraId="6F72A7E5">
            <w:pPr>
              <w:shd w:val="clear"/>
              <w:spacing w:line="360" w:lineRule="auto"/>
              <w:rPr>
                <w:rFonts w:ascii="仿宋" w:hAnsi="仿宋" w:eastAsia="仿宋" w:cs="仿宋"/>
                <w:sz w:val="22"/>
                <w:szCs w:val="22"/>
              </w:rPr>
            </w:pPr>
          </w:p>
        </w:tc>
        <w:tc>
          <w:tcPr>
            <w:tcW w:w="1800" w:type="dxa"/>
          </w:tcPr>
          <w:p w14:paraId="24C896D1">
            <w:pPr>
              <w:shd w:val="clear"/>
              <w:spacing w:line="360" w:lineRule="auto"/>
              <w:rPr>
                <w:rFonts w:ascii="仿宋" w:hAnsi="仿宋" w:eastAsia="仿宋" w:cs="仿宋"/>
                <w:sz w:val="22"/>
                <w:szCs w:val="22"/>
              </w:rPr>
            </w:pPr>
          </w:p>
        </w:tc>
        <w:tc>
          <w:tcPr>
            <w:tcW w:w="1770" w:type="dxa"/>
          </w:tcPr>
          <w:p w14:paraId="53A9F71D">
            <w:pPr>
              <w:shd w:val="clear"/>
              <w:spacing w:line="360" w:lineRule="auto"/>
              <w:rPr>
                <w:rFonts w:ascii="仿宋" w:hAnsi="仿宋" w:eastAsia="仿宋" w:cs="仿宋"/>
                <w:sz w:val="22"/>
                <w:szCs w:val="22"/>
              </w:rPr>
            </w:pPr>
          </w:p>
        </w:tc>
      </w:tr>
      <w:tr w14:paraId="0287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58599C54">
            <w:pPr>
              <w:shd w:val="clear"/>
              <w:spacing w:line="360" w:lineRule="auto"/>
              <w:rPr>
                <w:rFonts w:ascii="仿宋" w:hAnsi="仿宋" w:eastAsia="仿宋" w:cs="仿宋"/>
                <w:sz w:val="22"/>
                <w:szCs w:val="22"/>
              </w:rPr>
            </w:pPr>
          </w:p>
        </w:tc>
        <w:tc>
          <w:tcPr>
            <w:tcW w:w="975" w:type="dxa"/>
          </w:tcPr>
          <w:p w14:paraId="6306273E">
            <w:pPr>
              <w:shd w:val="clear"/>
              <w:spacing w:line="360" w:lineRule="auto"/>
              <w:rPr>
                <w:rFonts w:ascii="仿宋" w:hAnsi="仿宋" w:eastAsia="仿宋" w:cs="仿宋"/>
                <w:sz w:val="22"/>
                <w:szCs w:val="22"/>
              </w:rPr>
            </w:pPr>
          </w:p>
        </w:tc>
        <w:tc>
          <w:tcPr>
            <w:tcW w:w="795" w:type="dxa"/>
          </w:tcPr>
          <w:p w14:paraId="2643E519">
            <w:pPr>
              <w:shd w:val="clear"/>
              <w:spacing w:line="360" w:lineRule="auto"/>
              <w:rPr>
                <w:rFonts w:ascii="仿宋" w:hAnsi="仿宋" w:eastAsia="仿宋" w:cs="仿宋"/>
                <w:sz w:val="22"/>
                <w:szCs w:val="22"/>
              </w:rPr>
            </w:pPr>
          </w:p>
        </w:tc>
        <w:tc>
          <w:tcPr>
            <w:tcW w:w="810" w:type="dxa"/>
          </w:tcPr>
          <w:p w14:paraId="1FC19618">
            <w:pPr>
              <w:shd w:val="clear"/>
              <w:spacing w:line="360" w:lineRule="auto"/>
              <w:rPr>
                <w:rFonts w:ascii="仿宋" w:hAnsi="仿宋" w:eastAsia="仿宋" w:cs="仿宋"/>
                <w:sz w:val="22"/>
                <w:szCs w:val="22"/>
              </w:rPr>
            </w:pPr>
          </w:p>
        </w:tc>
        <w:tc>
          <w:tcPr>
            <w:tcW w:w="1140" w:type="dxa"/>
          </w:tcPr>
          <w:p w14:paraId="3FA86E42">
            <w:pPr>
              <w:shd w:val="clear"/>
              <w:spacing w:line="360" w:lineRule="auto"/>
              <w:rPr>
                <w:rFonts w:ascii="仿宋" w:hAnsi="仿宋" w:eastAsia="仿宋" w:cs="仿宋"/>
                <w:sz w:val="22"/>
                <w:szCs w:val="22"/>
              </w:rPr>
            </w:pPr>
          </w:p>
        </w:tc>
        <w:tc>
          <w:tcPr>
            <w:tcW w:w="1005" w:type="dxa"/>
          </w:tcPr>
          <w:p w14:paraId="44A0A020">
            <w:pPr>
              <w:shd w:val="clear"/>
              <w:spacing w:line="360" w:lineRule="auto"/>
              <w:rPr>
                <w:rFonts w:ascii="仿宋" w:hAnsi="仿宋" w:eastAsia="仿宋" w:cs="仿宋"/>
                <w:sz w:val="22"/>
                <w:szCs w:val="22"/>
              </w:rPr>
            </w:pPr>
          </w:p>
        </w:tc>
        <w:tc>
          <w:tcPr>
            <w:tcW w:w="1800" w:type="dxa"/>
          </w:tcPr>
          <w:p w14:paraId="1B8A6F6B">
            <w:pPr>
              <w:shd w:val="clear"/>
              <w:spacing w:line="360" w:lineRule="auto"/>
              <w:rPr>
                <w:rFonts w:ascii="仿宋" w:hAnsi="仿宋" w:eastAsia="仿宋" w:cs="仿宋"/>
                <w:sz w:val="22"/>
                <w:szCs w:val="22"/>
              </w:rPr>
            </w:pPr>
          </w:p>
        </w:tc>
        <w:tc>
          <w:tcPr>
            <w:tcW w:w="1770" w:type="dxa"/>
          </w:tcPr>
          <w:p w14:paraId="30462E15">
            <w:pPr>
              <w:shd w:val="clear"/>
              <w:spacing w:line="360" w:lineRule="auto"/>
              <w:rPr>
                <w:rFonts w:ascii="仿宋" w:hAnsi="仿宋" w:eastAsia="仿宋" w:cs="仿宋"/>
                <w:sz w:val="22"/>
                <w:szCs w:val="22"/>
              </w:rPr>
            </w:pPr>
          </w:p>
        </w:tc>
      </w:tr>
      <w:tr w14:paraId="218CF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47E318A1">
            <w:pPr>
              <w:shd w:val="clear"/>
              <w:spacing w:line="360" w:lineRule="auto"/>
              <w:rPr>
                <w:rFonts w:ascii="仿宋" w:hAnsi="仿宋" w:eastAsia="仿宋" w:cs="仿宋"/>
                <w:sz w:val="22"/>
                <w:szCs w:val="22"/>
              </w:rPr>
            </w:pPr>
          </w:p>
        </w:tc>
        <w:tc>
          <w:tcPr>
            <w:tcW w:w="975" w:type="dxa"/>
          </w:tcPr>
          <w:p w14:paraId="77C3BF80">
            <w:pPr>
              <w:shd w:val="clear"/>
              <w:spacing w:line="360" w:lineRule="auto"/>
              <w:rPr>
                <w:rFonts w:ascii="仿宋" w:hAnsi="仿宋" w:eastAsia="仿宋" w:cs="仿宋"/>
                <w:sz w:val="22"/>
                <w:szCs w:val="22"/>
              </w:rPr>
            </w:pPr>
          </w:p>
        </w:tc>
        <w:tc>
          <w:tcPr>
            <w:tcW w:w="795" w:type="dxa"/>
          </w:tcPr>
          <w:p w14:paraId="2C31C849">
            <w:pPr>
              <w:shd w:val="clear"/>
              <w:spacing w:line="360" w:lineRule="auto"/>
              <w:rPr>
                <w:rFonts w:ascii="仿宋" w:hAnsi="仿宋" w:eastAsia="仿宋" w:cs="仿宋"/>
                <w:sz w:val="22"/>
                <w:szCs w:val="22"/>
              </w:rPr>
            </w:pPr>
          </w:p>
        </w:tc>
        <w:tc>
          <w:tcPr>
            <w:tcW w:w="810" w:type="dxa"/>
          </w:tcPr>
          <w:p w14:paraId="0735639B">
            <w:pPr>
              <w:shd w:val="clear"/>
              <w:spacing w:line="360" w:lineRule="auto"/>
              <w:rPr>
                <w:rFonts w:ascii="仿宋" w:hAnsi="仿宋" w:eastAsia="仿宋" w:cs="仿宋"/>
                <w:sz w:val="22"/>
                <w:szCs w:val="22"/>
              </w:rPr>
            </w:pPr>
          </w:p>
        </w:tc>
        <w:tc>
          <w:tcPr>
            <w:tcW w:w="1140" w:type="dxa"/>
          </w:tcPr>
          <w:p w14:paraId="5E597D50">
            <w:pPr>
              <w:shd w:val="clear"/>
              <w:spacing w:line="360" w:lineRule="auto"/>
              <w:rPr>
                <w:rFonts w:ascii="仿宋" w:hAnsi="仿宋" w:eastAsia="仿宋" w:cs="仿宋"/>
                <w:sz w:val="22"/>
                <w:szCs w:val="22"/>
              </w:rPr>
            </w:pPr>
          </w:p>
        </w:tc>
        <w:tc>
          <w:tcPr>
            <w:tcW w:w="1005" w:type="dxa"/>
          </w:tcPr>
          <w:p w14:paraId="16FBE33E">
            <w:pPr>
              <w:shd w:val="clear"/>
              <w:spacing w:line="360" w:lineRule="auto"/>
              <w:rPr>
                <w:rFonts w:ascii="仿宋" w:hAnsi="仿宋" w:eastAsia="仿宋" w:cs="仿宋"/>
                <w:sz w:val="22"/>
                <w:szCs w:val="22"/>
              </w:rPr>
            </w:pPr>
          </w:p>
        </w:tc>
        <w:tc>
          <w:tcPr>
            <w:tcW w:w="1800" w:type="dxa"/>
          </w:tcPr>
          <w:p w14:paraId="77B59096">
            <w:pPr>
              <w:shd w:val="clear"/>
              <w:spacing w:line="360" w:lineRule="auto"/>
              <w:rPr>
                <w:rFonts w:ascii="仿宋" w:hAnsi="仿宋" w:eastAsia="仿宋" w:cs="仿宋"/>
                <w:sz w:val="22"/>
                <w:szCs w:val="22"/>
              </w:rPr>
            </w:pPr>
          </w:p>
        </w:tc>
        <w:tc>
          <w:tcPr>
            <w:tcW w:w="1770" w:type="dxa"/>
          </w:tcPr>
          <w:p w14:paraId="150E1D17">
            <w:pPr>
              <w:shd w:val="clear"/>
              <w:spacing w:line="360" w:lineRule="auto"/>
              <w:rPr>
                <w:rFonts w:ascii="仿宋" w:hAnsi="仿宋" w:eastAsia="仿宋" w:cs="仿宋"/>
                <w:sz w:val="22"/>
                <w:szCs w:val="22"/>
              </w:rPr>
            </w:pPr>
          </w:p>
        </w:tc>
      </w:tr>
      <w:tr w14:paraId="3D23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0D080F97">
            <w:pPr>
              <w:shd w:val="clear"/>
              <w:spacing w:line="360" w:lineRule="auto"/>
              <w:rPr>
                <w:rFonts w:ascii="仿宋" w:hAnsi="仿宋" w:eastAsia="仿宋" w:cs="仿宋"/>
                <w:sz w:val="22"/>
                <w:szCs w:val="22"/>
              </w:rPr>
            </w:pPr>
          </w:p>
        </w:tc>
        <w:tc>
          <w:tcPr>
            <w:tcW w:w="975" w:type="dxa"/>
          </w:tcPr>
          <w:p w14:paraId="1F611DE6">
            <w:pPr>
              <w:shd w:val="clear"/>
              <w:spacing w:line="360" w:lineRule="auto"/>
              <w:rPr>
                <w:rFonts w:ascii="仿宋" w:hAnsi="仿宋" w:eastAsia="仿宋" w:cs="仿宋"/>
                <w:sz w:val="22"/>
                <w:szCs w:val="22"/>
              </w:rPr>
            </w:pPr>
          </w:p>
        </w:tc>
        <w:tc>
          <w:tcPr>
            <w:tcW w:w="795" w:type="dxa"/>
          </w:tcPr>
          <w:p w14:paraId="6D189D74">
            <w:pPr>
              <w:shd w:val="clear"/>
              <w:spacing w:line="360" w:lineRule="auto"/>
              <w:rPr>
                <w:rFonts w:ascii="仿宋" w:hAnsi="仿宋" w:eastAsia="仿宋" w:cs="仿宋"/>
                <w:sz w:val="22"/>
                <w:szCs w:val="22"/>
              </w:rPr>
            </w:pPr>
          </w:p>
        </w:tc>
        <w:tc>
          <w:tcPr>
            <w:tcW w:w="810" w:type="dxa"/>
          </w:tcPr>
          <w:p w14:paraId="5E714C4E">
            <w:pPr>
              <w:shd w:val="clear"/>
              <w:spacing w:line="360" w:lineRule="auto"/>
              <w:rPr>
                <w:rFonts w:ascii="仿宋" w:hAnsi="仿宋" w:eastAsia="仿宋" w:cs="仿宋"/>
                <w:sz w:val="22"/>
                <w:szCs w:val="22"/>
              </w:rPr>
            </w:pPr>
          </w:p>
        </w:tc>
        <w:tc>
          <w:tcPr>
            <w:tcW w:w="1140" w:type="dxa"/>
          </w:tcPr>
          <w:p w14:paraId="7786830E">
            <w:pPr>
              <w:shd w:val="clear"/>
              <w:spacing w:line="360" w:lineRule="auto"/>
              <w:rPr>
                <w:rFonts w:ascii="仿宋" w:hAnsi="仿宋" w:eastAsia="仿宋" w:cs="仿宋"/>
                <w:sz w:val="22"/>
                <w:szCs w:val="22"/>
              </w:rPr>
            </w:pPr>
          </w:p>
        </w:tc>
        <w:tc>
          <w:tcPr>
            <w:tcW w:w="1005" w:type="dxa"/>
          </w:tcPr>
          <w:p w14:paraId="1AE82E95">
            <w:pPr>
              <w:shd w:val="clear"/>
              <w:spacing w:line="360" w:lineRule="auto"/>
              <w:rPr>
                <w:rFonts w:ascii="仿宋" w:hAnsi="仿宋" w:eastAsia="仿宋" w:cs="仿宋"/>
                <w:sz w:val="22"/>
                <w:szCs w:val="22"/>
              </w:rPr>
            </w:pPr>
          </w:p>
        </w:tc>
        <w:tc>
          <w:tcPr>
            <w:tcW w:w="1800" w:type="dxa"/>
          </w:tcPr>
          <w:p w14:paraId="5E08A6C1">
            <w:pPr>
              <w:shd w:val="clear"/>
              <w:spacing w:line="360" w:lineRule="auto"/>
              <w:rPr>
                <w:rFonts w:ascii="仿宋" w:hAnsi="仿宋" w:eastAsia="仿宋" w:cs="仿宋"/>
                <w:sz w:val="22"/>
                <w:szCs w:val="22"/>
              </w:rPr>
            </w:pPr>
          </w:p>
        </w:tc>
        <w:tc>
          <w:tcPr>
            <w:tcW w:w="1770" w:type="dxa"/>
          </w:tcPr>
          <w:p w14:paraId="2E8140E0">
            <w:pPr>
              <w:shd w:val="clear"/>
              <w:spacing w:line="360" w:lineRule="auto"/>
              <w:rPr>
                <w:rFonts w:ascii="仿宋" w:hAnsi="仿宋" w:eastAsia="仿宋" w:cs="仿宋"/>
                <w:sz w:val="22"/>
                <w:szCs w:val="22"/>
              </w:rPr>
            </w:pPr>
          </w:p>
        </w:tc>
      </w:tr>
      <w:tr w14:paraId="163A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4119ED32">
            <w:pPr>
              <w:shd w:val="clear"/>
              <w:spacing w:line="360" w:lineRule="auto"/>
              <w:rPr>
                <w:rFonts w:ascii="仿宋" w:hAnsi="仿宋" w:eastAsia="仿宋" w:cs="仿宋"/>
                <w:sz w:val="22"/>
                <w:szCs w:val="22"/>
              </w:rPr>
            </w:pPr>
          </w:p>
        </w:tc>
        <w:tc>
          <w:tcPr>
            <w:tcW w:w="975" w:type="dxa"/>
          </w:tcPr>
          <w:p w14:paraId="36D0B05C">
            <w:pPr>
              <w:shd w:val="clear"/>
              <w:spacing w:line="360" w:lineRule="auto"/>
              <w:rPr>
                <w:rFonts w:ascii="仿宋" w:hAnsi="仿宋" w:eastAsia="仿宋" w:cs="仿宋"/>
                <w:sz w:val="22"/>
                <w:szCs w:val="22"/>
              </w:rPr>
            </w:pPr>
          </w:p>
        </w:tc>
        <w:tc>
          <w:tcPr>
            <w:tcW w:w="795" w:type="dxa"/>
          </w:tcPr>
          <w:p w14:paraId="4534151C">
            <w:pPr>
              <w:shd w:val="clear"/>
              <w:spacing w:line="360" w:lineRule="auto"/>
              <w:rPr>
                <w:rFonts w:ascii="仿宋" w:hAnsi="仿宋" w:eastAsia="仿宋" w:cs="仿宋"/>
                <w:sz w:val="22"/>
                <w:szCs w:val="22"/>
              </w:rPr>
            </w:pPr>
          </w:p>
        </w:tc>
        <w:tc>
          <w:tcPr>
            <w:tcW w:w="810" w:type="dxa"/>
          </w:tcPr>
          <w:p w14:paraId="252C490D">
            <w:pPr>
              <w:shd w:val="clear"/>
              <w:spacing w:line="360" w:lineRule="auto"/>
              <w:rPr>
                <w:rFonts w:ascii="仿宋" w:hAnsi="仿宋" w:eastAsia="仿宋" w:cs="仿宋"/>
                <w:sz w:val="22"/>
                <w:szCs w:val="22"/>
              </w:rPr>
            </w:pPr>
          </w:p>
        </w:tc>
        <w:tc>
          <w:tcPr>
            <w:tcW w:w="1140" w:type="dxa"/>
          </w:tcPr>
          <w:p w14:paraId="1BDEAEFA">
            <w:pPr>
              <w:shd w:val="clear"/>
              <w:spacing w:line="360" w:lineRule="auto"/>
              <w:rPr>
                <w:rFonts w:ascii="仿宋" w:hAnsi="仿宋" w:eastAsia="仿宋" w:cs="仿宋"/>
                <w:sz w:val="22"/>
                <w:szCs w:val="22"/>
              </w:rPr>
            </w:pPr>
          </w:p>
        </w:tc>
        <w:tc>
          <w:tcPr>
            <w:tcW w:w="1005" w:type="dxa"/>
          </w:tcPr>
          <w:p w14:paraId="5EFAB041">
            <w:pPr>
              <w:shd w:val="clear"/>
              <w:spacing w:line="360" w:lineRule="auto"/>
              <w:rPr>
                <w:rFonts w:ascii="仿宋" w:hAnsi="仿宋" w:eastAsia="仿宋" w:cs="仿宋"/>
                <w:sz w:val="22"/>
                <w:szCs w:val="22"/>
              </w:rPr>
            </w:pPr>
          </w:p>
        </w:tc>
        <w:tc>
          <w:tcPr>
            <w:tcW w:w="1800" w:type="dxa"/>
          </w:tcPr>
          <w:p w14:paraId="22C6B798">
            <w:pPr>
              <w:shd w:val="clear"/>
              <w:spacing w:line="360" w:lineRule="auto"/>
              <w:rPr>
                <w:rFonts w:ascii="仿宋" w:hAnsi="仿宋" w:eastAsia="仿宋" w:cs="仿宋"/>
                <w:sz w:val="22"/>
                <w:szCs w:val="22"/>
              </w:rPr>
            </w:pPr>
          </w:p>
        </w:tc>
        <w:tc>
          <w:tcPr>
            <w:tcW w:w="1770" w:type="dxa"/>
          </w:tcPr>
          <w:p w14:paraId="3325A11F">
            <w:pPr>
              <w:shd w:val="clear"/>
              <w:spacing w:line="360" w:lineRule="auto"/>
              <w:rPr>
                <w:rFonts w:ascii="仿宋" w:hAnsi="仿宋" w:eastAsia="仿宋" w:cs="仿宋"/>
                <w:sz w:val="22"/>
                <w:szCs w:val="22"/>
              </w:rPr>
            </w:pPr>
          </w:p>
        </w:tc>
      </w:tr>
      <w:tr w14:paraId="5228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07977CF6">
            <w:pPr>
              <w:shd w:val="clear"/>
              <w:spacing w:line="360" w:lineRule="auto"/>
              <w:rPr>
                <w:rFonts w:ascii="仿宋" w:hAnsi="仿宋" w:eastAsia="仿宋" w:cs="仿宋"/>
                <w:sz w:val="22"/>
                <w:szCs w:val="22"/>
              </w:rPr>
            </w:pPr>
          </w:p>
        </w:tc>
        <w:tc>
          <w:tcPr>
            <w:tcW w:w="975" w:type="dxa"/>
          </w:tcPr>
          <w:p w14:paraId="2F7F2B1B">
            <w:pPr>
              <w:shd w:val="clear"/>
              <w:spacing w:line="360" w:lineRule="auto"/>
              <w:rPr>
                <w:rFonts w:ascii="仿宋" w:hAnsi="仿宋" w:eastAsia="仿宋" w:cs="仿宋"/>
                <w:sz w:val="22"/>
                <w:szCs w:val="22"/>
              </w:rPr>
            </w:pPr>
          </w:p>
        </w:tc>
        <w:tc>
          <w:tcPr>
            <w:tcW w:w="795" w:type="dxa"/>
          </w:tcPr>
          <w:p w14:paraId="22B44CC8">
            <w:pPr>
              <w:shd w:val="clear"/>
              <w:spacing w:line="360" w:lineRule="auto"/>
              <w:rPr>
                <w:rFonts w:ascii="仿宋" w:hAnsi="仿宋" w:eastAsia="仿宋" w:cs="仿宋"/>
                <w:sz w:val="22"/>
                <w:szCs w:val="22"/>
              </w:rPr>
            </w:pPr>
          </w:p>
        </w:tc>
        <w:tc>
          <w:tcPr>
            <w:tcW w:w="810" w:type="dxa"/>
          </w:tcPr>
          <w:p w14:paraId="0384CE66">
            <w:pPr>
              <w:shd w:val="clear"/>
              <w:spacing w:line="360" w:lineRule="auto"/>
              <w:rPr>
                <w:rFonts w:ascii="仿宋" w:hAnsi="仿宋" w:eastAsia="仿宋" w:cs="仿宋"/>
                <w:sz w:val="22"/>
                <w:szCs w:val="22"/>
              </w:rPr>
            </w:pPr>
          </w:p>
        </w:tc>
        <w:tc>
          <w:tcPr>
            <w:tcW w:w="1140" w:type="dxa"/>
          </w:tcPr>
          <w:p w14:paraId="46467B8A">
            <w:pPr>
              <w:shd w:val="clear"/>
              <w:spacing w:line="360" w:lineRule="auto"/>
              <w:rPr>
                <w:rFonts w:ascii="仿宋" w:hAnsi="仿宋" w:eastAsia="仿宋" w:cs="仿宋"/>
                <w:sz w:val="22"/>
                <w:szCs w:val="22"/>
              </w:rPr>
            </w:pPr>
          </w:p>
        </w:tc>
        <w:tc>
          <w:tcPr>
            <w:tcW w:w="1005" w:type="dxa"/>
          </w:tcPr>
          <w:p w14:paraId="45BBB7B9">
            <w:pPr>
              <w:shd w:val="clear"/>
              <w:spacing w:line="360" w:lineRule="auto"/>
              <w:rPr>
                <w:rFonts w:ascii="仿宋" w:hAnsi="仿宋" w:eastAsia="仿宋" w:cs="仿宋"/>
                <w:sz w:val="22"/>
                <w:szCs w:val="22"/>
              </w:rPr>
            </w:pPr>
          </w:p>
        </w:tc>
        <w:tc>
          <w:tcPr>
            <w:tcW w:w="1800" w:type="dxa"/>
          </w:tcPr>
          <w:p w14:paraId="5B920084">
            <w:pPr>
              <w:shd w:val="clear"/>
              <w:spacing w:line="360" w:lineRule="auto"/>
              <w:rPr>
                <w:rFonts w:ascii="仿宋" w:hAnsi="仿宋" w:eastAsia="仿宋" w:cs="仿宋"/>
                <w:sz w:val="22"/>
                <w:szCs w:val="22"/>
              </w:rPr>
            </w:pPr>
          </w:p>
        </w:tc>
        <w:tc>
          <w:tcPr>
            <w:tcW w:w="1770" w:type="dxa"/>
          </w:tcPr>
          <w:p w14:paraId="31859C2A">
            <w:pPr>
              <w:shd w:val="clear"/>
              <w:spacing w:line="360" w:lineRule="auto"/>
              <w:rPr>
                <w:rFonts w:ascii="仿宋" w:hAnsi="仿宋" w:eastAsia="仿宋" w:cs="仿宋"/>
                <w:sz w:val="22"/>
                <w:szCs w:val="22"/>
              </w:rPr>
            </w:pPr>
          </w:p>
        </w:tc>
      </w:tr>
      <w:tr w14:paraId="195BB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47AFCB47">
            <w:pPr>
              <w:shd w:val="clear"/>
              <w:spacing w:line="360" w:lineRule="auto"/>
              <w:rPr>
                <w:rFonts w:ascii="仿宋" w:hAnsi="仿宋" w:eastAsia="仿宋" w:cs="仿宋"/>
                <w:sz w:val="22"/>
                <w:szCs w:val="22"/>
              </w:rPr>
            </w:pPr>
          </w:p>
        </w:tc>
        <w:tc>
          <w:tcPr>
            <w:tcW w:w="975" w:type="dxa"/>
          </w:tcPr>
          <w:p w14:paraId="422C4541">
            <w:pPr>
              <w:shd w:val="clear"/>
              <w:spacing w:line="360" w:lineRule="auto"/>
              <w:rPr>
                <w:rFonts w:ascii="仿宋" w:hAnsi="仿宋" w:eastAsia="仿宋" w:cs="仿宋"/>
                <w:sz w:val="22"/>
                <w:szCs w:val="22"/>
              </w:rPr>
            </w:pPr>
          </w:p>
        </w:tc>
        <w:tc>
          <w:tcPr>
            <w:tcW w:w="795" w:type="dxa"/>
          </w:tcPr>
          <w:p w14:paraId="2D975BDF">
            <w:pPr>
              <w:shd w:val="clear"/>
              <w:spacing w:line="360" w:lineRule="auto"/>
              <w:rPr>
                <w:rFonts w:ascii="仿宋" w:hAnsi="仿宋" w:eastAsia="仿宋" w:cs="仿宋"/>
                <w:sz w:val="22"/>
                <w:szCs w:val="22"/>
              </w:rPr>
            </w:pPr>
          </w:p>
        </w:tc>
        <w:tc>
          <w:tcPr>
            <w:tcW w:w="810" w:type="dxa"/>
          </w:tcPr>
          <w:p w14:paraId="1033E7BB">
            <w:pPr>
              <w:shd w:val="clear"/>
              <w:spacing w:line="360" w:lineRule="auto"/>
              <w:rPr>
                <w:rFonts w:ascii="仿宋" w:hAnsi="仿宋" w:eastAsia="仿宋" w:cs="仿宋"/>
                <w:sz w:val="22"/>
                <w:szCs w:val="22"/>
              </w:rPr>
            </w:pPr>
          </w:p>
        </w:tc>
        <w:tc>
          <w:tcPr>
            <w:tcW w:w="1140" w:type="dxa"/>
          </w:tcPr>
          <w:p w14:paraId="7C504C19">
            <w:pPr>
              <w:shd w:val="clear"/>
              <w:spacing w:line="360" w:lineRule="auto"/>
              <w:rPr>
                <w:rFonts w:ascii="仿宋" w:hAnsi="仿宋" w:eastAsia="仿宋" w:cs="仿宋"/>
                <w:sz w:val="22"/>
                <w:szCs w:val="22"/>
              </w:rPr>
            </w:pPr>
          </w:p>
        </w:tc>
        <w:tc>
          <w:tcPr>
            <w:tcW w:w="1005" w:type="dxa"/>
          </w:tcPr>
          <w:p w14:paraId="71B0E4D3">
            <w:pPr>
              <w:shd w:val="clear"/>
              <w:spacing w:line="360" w:lineRule="auto"/>
              <w:rPr>
                <w:rFonts w:ascii="仿宋" w:hAnsi="仿宋" w:eastAsia="仿宋" w:cs="仿宋"/>
                <w:sz w:val="22"/>
                <w:szCs w:val="22"/>
              </w:rPr>
            </w:pPr>
          </w:p>
        </w:tc>
        <w:tc>
          <w:tcPr>
            <w:tcW w:w="1800" w:type="dxa"/>
          </w:tcPr>
          <w:p w14:paraId="46544431">
            <w:pPr>
              <w:shd w:val="clear"/>
              <w:spacing w:line="360" w:lineRule="auto"/>
              <w:rPr>
                <w:rFonts w:ascii="仿宋" w:hAnsi="仿宋" w:eastAsia="仿宋" w:cs="仿宋"/>
                <w:sz w:val="22"/>
                <w:szCs w:val="22"/>
              </w:rPr>
            </w:pPr>
          </w:p>
        </w:tc>
        <w:tc>
          <w:tcPr>
            <w:tcW w:w="1770" w:type="dxa"/>
          </w:tcPr>
          <w:p w14:paraId="3A6C53B2">
            <w:pPr>
              <w:shd w:val="clear"/>
              <w:spacing w:line="360" w:lineRule="auto"/>
              <w:rPr>
                <w:rFonts w:ascii="仿宋" w:hAnsi="仿宋" w:eastAsia="仿宋" w:cs="仿宋"/>
                <w:sz w:val="22"/>
                <w:szCs w:val="22"/>
              </w:rPr>
            </w:pPr>
          </w:p>
        </w:tc>
      </w:tr>
      <w:tr w14:paraId="1925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5" w:type="dxa"/>
          </w:tcPr>
          <w:p w14:paraId="5564EC6C">
            <w:pPr>
              <w:shd w:val="clear"/>
              <w:spacing w:line="360" w:lineRule="auto"/>
              <w:rPr>
                <w:rFonts w:ascii="仿宋" w:hAnsi="仿宋" w:eastAsia="仿宋" w:cs="仿宋"/>
                <w:sz w:val="22"/>
                <w:szCs w:val="22"/>
              </w:rPr>
            </w:pPr>
          </w:p>
        </w:tc>
        <w:tc>
          <w:tcPr>
            <w:tcW w:w="975" w:type="dxa"/>
          </w:tcPr>
          <w:p w14:paraId="60C4E839">
            <w:pPr>
              <w:shd w:val="clear"/>
              <w:spacing w:line="360" w:lineRule="auto"/>
              <w:rPr>
                <w:rFonts w:ascii="仿宋" w:hAnsi="仿宋" w:eastAsia="仿宋" w:cs="仿宋"/>
                <w:sz w:val="22"/>
                <w:szCs w:val="22"/>
              </w:rPr>
            </w:pPr>
          </w:p>
        </w:tc>
        <w:tc>
          <w:tcPr>
            <w:tcW w:w="795" w:type="dxa"/>
          </w:tcPr>
          <w:p w14:paraId="3D5D217B">
            <w:pPr>
              <w:shd w:val="clear"/>
              <w:spacing w:line="360" w:lineRule="auto"/>
              <w:rPr>
                <w:rFonts w:ascii="仿宋" w:hAnsi="仿宋" w:eastAsia="仿宋" w:cs="仿宋"/>
                <w:sz w:val="22"/>
                <w:szCs w:val="22"/>
              </w:rPr>
            </w:pPr>
          </w:p>
        </w:tc>
        <w:tc>
          <w:tcPr>
            <w:tcW w:w="810" w:type="dxa"/>
          </w:tcPr>
          <w:p w14:paraId="55096111">
            <w:pPr>
              <w:shd w:val="clear"/>
              <w:spacing w:line="360" w:lineRule="auto"/>
              <w:rPr>
                <w:rFonts w:ascii="仿宋" w:hAnsi="仿宋" w:eastAsia="仿宋" w:cs="仿宋"/>
                <w:sz w:val="22"/>
                <w:szCs w:val="22"/>
              </w:rPr>
            </w:pPr>
          </w:p>
        </w:tc>
        <w:tc>
          <w:tcPr>
            <w:tcW w:w="1140" w:type="dxa"/>
          </w:tcPr>
          <w:p w14:paraId="520C1F00">
            <w:pPr>
              <w:shd w:val="clear"/>
              <w:spacing w:line="360" w:lineRule="auto"/>
              <w:rPr>
                <w:rFonts w:ascii="仿宋" w:hAnsi="仿宋" w:eastAsia="仿宋" w:cs="仿宋"/>
                <w:sz w:val="22"/>
                <w:szCs w:val="22"/>
              </w:rPr>
            </w:pPr>
          </w:p>
        </w:tc>
        <w:tc>
          <w:tcPr>
            <w:tcW w:w="1005" w:type="dxa"/>
          </w:tcPr>
          <w:p w14:paraId="21BC54DA">
            <w:pPr>
              <w:shd w:val="clear"/>
              <w:spacing w:line="360" w:lineRule="auto"/>
              <w:rPr>
                <w:rFonts w:ascii="仿宋" w:hAnsi="仿宋" w:eastAsia="仿宋" w:cs="仿宋"/>
                <w:sz w:val="22"/>
                <w:szCs w:val="22"/>
              </w:rPr>
            </w:pPr>
          </w:p>
        </w:tc>
        <w:tc>
          <w:tcPr>
            <w:tcW w:w="1800" w:type="dxa"/>
          </w:tcPr>
          <w:p w14:paraId="0794BD85">
            <w:pPr>
              <w:shd w:val="clear"/>
              <w:spacing w:line="360" w:lineRule="auto"/>
              <w:rPr>
                <w:rFonts w:ascii="仿宋" w:hAnsi="仿宋" w:eastAsia="仿宋" w:cs="仿宋"/>
                <w:sz w:val="22"/>
                <w:szCs w:val="22"/>
              </w:rPr>
            </w:pPr>
          </w:p>
        </w:tc>
        <w:tc>
          <w:tcPr>
            <w:tcW w:w="1770" w:type="dxa"/>
          </w:tcPr>
          <w:p w14:paraId="758A51AA">
            <w:pPr>
              <w:shd w:val="clear"/>
              <w:spacing w:line="360" w:lineRule="auto"/>
              <w:rPr>
                <w:rFonts w:ascii="仿宋" w:hAnsi="仿宋" w:eastAsia="仿宋" w:cs="仿宋"/>
                <w:sz w:val="22"/>
                <w:szCs w:val="22"/>
              </w:rPr>
            </w:pPr>
          </w:p>
        </w:tc>
      </w:tr>
    </w:tbl>
    <w:p w14:paraId="51ECA525">
      <w:pPr>
        <w:pStyle w:val="2"/>
        <w:rPr>
          <w:rFonts w:hint="eastAsia"/>
        </w:rPr>
      </w:pPr>
    </w:p>
    <w:p w14:paraId="1C1D7B3D">
      <w:pPr>
        <w:shd w:val="clear"/>
        <w:jc w:val="center"/>
        <w:outlineLvl w:val="0"/>
        <w:rPr>
          <w:rFonts w:hint="eastAsia" w:ascii="仿宋" w:hAnsi="仿宋" w:eastAsia="仿宋" w:cs="仿宋"/>
          <w:b/>
          <w:color w:val="auto"/>
          <w:sz w:val="32"/>
          <w:highlight w:val="none"/>
          <w:lang w:val="en-US" w:eastAsia="zh-CN"/>
        </w:rPr>
      </w:pPr>
    </w:p>
    <w:p w14:paraId="7914D4D0">
      <w:pPr>
        <w:shd w:val="clear"/>
        <w:jc w:val="center"/>
        <w:outlineLvl w:val="0"/>
        <w:rPr>
          <w:rFonts w:hint="eastAsia" w:ascii="仿宋" w:hAnsi="仿宋" w:eastAsia="仿宋" w:cs="仿宋"/>
          <w:b/>
          <w:color w:val="auto"/>
          <w:sz w:val="32"/>
          <w:highlight w:val="none"/>
          <w:lang w:val="en-US" w:eastAsia="zh-CN"/>
        </w:rPr>
      </w:pPr>
    </w:p>
    <w:p w14:paraId="421AD7B4">
      <w:pPr>
        <w:shd w:val="clear"/>
        <w:jc w:val="center"/>
        <w:outlineLvl w:val="0"/>
        <w:rPr>
          <w:rFonts w:hint="eastAsia" w:ascii="仿宋" w:hAnsi="仿宋" w:eastAsia="仿宋" w:cs="仿宋"/>
          <w:b/>
          <w:color w:val="auto"/>
          <w:sz w:val="32"/>
          <w:highlight w:val="none"/>
          <w:lang w:val="en-US" w:eastAsia="zh-CN"/>
        </w:rPr>
      </w:pPr>
    </w:p>
    <w:p w14:paraId="65BBB70D">
      <w:pPr>
        <w:shd w:val="clear"/>
        <w:jc w:val="center"/>
        <w:outlineLvl w:val="0"/>
        <w:rPr>
          <w:rFonts w:hint="eastAsia" w:ascii="仿宋" w:hAnsi="仿宋" w:eastAsia="仿宋" w:cs="仿宋"/>
          <w:b/>
          <w:color w:val="auto"/>
          <w:sz w:val="32"/>
          <w:highlight w:val="none"/>
          <w:lang w:val="en-US" w:eastAsia="zh-CN"/>
        </w:rPr>
      </w:pPr>
    </w:p>
    <w:p w14:paraId="4AD485A0">
      <w:pPr>
        <w:shd w:val="clear"/>
        <w:jc w:val="center"/>
        <w:outlineLvl w:val="0"/>
        <w:rPr>
          <w:rFonts w:hint="eastAsia" w:ascii="仿宋" w:hAnsi="仿宋" w:eastAsia="仿宋" w:cs="仿宋"/>
          <w:b/>
          <w:color w:val="auto"/>
          <w:sz w:val="32"/>
          <w:highlight w:val="none"/>
          <w:lang w:val="en-US" w:eastAsia="zh-CN"/>
        </w:rPr>
      </w:pPr>
    </w:p>
    <w:p w14:paraId="4133185D">
      <w:pPr>
        <w:shd w:val="clear"/>
        <w:jc w:val="center"/>
        <w:outlineLvl w:val="0"/>
        <w:rPr>
          <w:rFonts w:hint="eastAsia" w:ascii="仿宋" w:hAnsi="仿宋" w:eastAsia="仿宋" w:cs="仿宋"/>
          <w:b/>
          <w:color w:val="auto"/>
          <w:sz w:val="32"/>
          <w:highlight w:val="none"/>
          <w:lang w:val="en-US" w:eastAsia="zh-CN"/>
        </w:rPr>
      </w:pPr>
    </w:p>
    <w:p w14:paraId="3C303AE1">
      <w:pPr>
        <w:shd w:val="clear"/>
        <w:jc w:val="center"/>
        <w:outlineLvl w:val="0"/>
        <w:rPr>
          <w:rFonts w:hint="default" w:ascii="仿宋" w:hAnsi="仿宋" w:eastAsia="仿宋" w:cs="仿宋"/>
          <w:b/>
          <w:color w:val="auto"/>
          <w:sz w:val="32"/>
          <w:highlight w:val="none"/>
          <w:lang w:val="en-US" w:eastAsia="zh-CN"/>
        </w:rPr>
      </w:pPr>
      <w:r>
        <w:rPr>
          <w:rFonts w:hint="eastAsia" w:ascii="仿宋" w:hAnsi="仿宋" w:eastAsia="仿宋" w:cs="仿宋"/>
          <w:b/>
          <w:color w:val="auto"/>
          <w:sz w:val="32"/>
          <w:highlight w:val="none"/>
          <w:lang w:val="en-US" w:eastAsia="zh-CN"/>
        </w:rPr>
        <w:t>第4部分 商务文件</w:t>
      </w:r>
    </w:p>
    <w:p w14:paraId="27B2F8E0">
      <w:pPr>
        <w:spacing w:line="360" w:lineRule="auto"/>
        <w:rPr>
          <w:rFonts w:hint="eastAsia" w:ascii="仿宋" w:hAnsi="仿宋" w:eastAsia="仿宋" w:cs="仿宋"/>
          <w:color w:val="auto"/>
          <w:sz w:val="22"/>
          <w:szCs w:val="22"/>
        </w:rPr>
      </w:pPr>
      <w:r>
        <w:rPr>
          <w:rFonts w:hint="eastAsia" w:ascii="仿宋" w:hAnsi="仿宋" w:eastAsia="仿宋" w:cs="仿宋"/>
          <w:color w:val="auto"/>
          <w:sz w:val="22"/>
          <w:szCs w:val="22"/>
        </w:rPr>
        <w:t>说明：</w:t>
      </w:r>
    </w:p>
    <w:p w14:paraId="58E79253">
      <w:pPr>
        <w:shd w:val="clear"/>
        <w:spacing w:line="360" w:lineRule="auto"/>
        <w:ind w:firstLine="440" w:firstLineChars="200"/>
        <w:rPr>
          <w:rFonts w:hint="eastAsia" w:ascii="仿宋" w:hAnsi="仿宋" w:eastAsia="仿宋" w:cs="仿宋"/>
          <w:color w:val="auto"/>
          <w:szCs w:val="21"/>
          <w:highlight w:val="none"/>
        </w:rPr>
      </w:pPr>
      <w:r>
        <w:rPr>
          <w:rFonts w:hint="eastAsia" w:ascii="仿宋" w:hAnsi="仿宋" w:eastAsia="仿宋" w:cs="仿宋"/>
          <w:color w:val="auto"/>
          <w:sz w:val="22"/>
          <w:szCs w:val="22"/>
        </w:rPr>
        <w:t>格式自定。</w:t>
      </w:r>
      <w:r>
        <w:rPr>
          <w:rFonts w:hint="eastAsia" w:ascii="仿宋" w:hAnsi="仿宋" w:eastAsia="仿宋" w:cs="仿宋"/>
          <w:color w:val="auto"/>
          <w:szCs w:val="21"/>
          <w:highlight w:val="none"/>
        </w:rPr>
        <w:t>由投标人根据第</w:t>
      </w:r>
      <w:r>
        <w:rPr>
          <w:rFonts w:hint="eastAsia" w:ascii="仿宋" w:hAnsi="仿宋" w:eastAsia="仿宋" w:cs="仿宋"/>
          <w:color w:val="auto"/>
          <w:szCs w:val="21"/>
          <w:highlight w:val="none"/>
          <w:lang w:val="en-US" w:eastAsia="zh-CN"/>
        </w:rPr>
        <w:t>四</w:t>
      </w:r>
      <w:r>
        <w:rPr>
          <w:rFonts w:hint="eastAsia" w:ascii="仿宋" w:hAnsi="仿宋" w:eastAsia="仿宋" w:cs="仿宋"/>
          <w:color w:val="auto"/>
          <w:szCs w:val="21"/>
          <w:highlight w:val="none"/>
        </w:rPr>
        <w:t>章《评</w:t>
      </w:r>
      <w:r>
        <w:rPr>
          <w:rFonts w:hint="eastAsia" w:ascii="仿宋" w:hAnsi="仿宋" w:eastAsia="仿宋" w:cs="仿宋"/>
          <w:color w:val="auto"/>
          <w:szCs w:val="21"/>
          <w:highlight w:val="none"/>
          <w:lang w:val="en-US" w:eastAsia="zh-CN"/>
        </w:rPr>
        <w:t>标</w:t>
      </w:r>
      <w:r>
        <w:rPr>
          <w:rFonts w:hint="eastAsia" w:ascii="仿宋" w:hAnsi="仿宋" w:eastAsia="仿宋" w:cs="仿宋"/>
          <w:color w:val="auto"/>
          <w:szCs w:val="21"/>
          <w:highlight w:val="none"/>
        </w:rPr>
        <w:t>办法》内</w:t>
      </w:r>
      <w:r>
        <w:rPr>
          <w:rFonts w:hint="eastAsia" w:ascii="仿宋" w:hAnsi="仿宋" w:eastAsia="仿宋" w:cs="仿宋"/>
          <w:color w:val="auto"/>
          <w:kern w:val="1"/>
          <w:szCs w:val="21"/>
          <w:highlight w:val="none"/>
        </w:rPr>
        <w:t>3.2.</w:t>
      </w:r>
      <w:r>
        <w:rPr>
          <w:rFonts w:hint="eastAsia" w:ascii="仿宋" w:hAnsi="仿宋" w:eastAsia="仿宋" w:cs="仿宋"/>
          <w:color w:val="auto"/>
          <w:kern w:val="1"/>
          <w:szCs w:val="21"/>
          <w:highlight w:val="none"/>
          <w:lang w:val="en-US" w:eastAsia="zh-CN"/>
        </w:rPr>
        <w:t>3</w:t>
      </w:r>
      <w:r>
        <w:rPr>
          <w:rFonts w:hint="eastAsia" w:ascii="仿宋" w:hAnsi="仿宋" w:eastAsia="仿宋" w:cs="仿宋"/>
          <w:color w:val="auto"/>
          <w:kern w:val="1"/>
          <w:szCs w:val="21"/>
          <w:highlight w:val="none"/>
        </w:rPr>
        <w:t>、评审要素一览表</w:t>
      </w:r>
      <w:r>
        <w:rPr>
          <w:rFonts w:hint="eastAsia" w:ascii="仿宋" w:hAnsi="仿宋" w:eastAsia="仿宋" w:cs="仿宋"/>
          <w:color w:val="auto"/>
          <w:szCs w:val="21"/>
          <w:highlight w:val="none"/>
        </w:rPr>
        <w:t>技术部分的评审标准，结合第</w:t>
      </w:r>
      <w:r>
        <w:rPr>
          <w:rFonts w:hint="eastAsia" w:ascii="仿宋" w:hAnsi="仿宋" w:eastAsia="仿宋" w:cs="仿宋"/>
          <w:color w:val="auto"/>
          <w:szCs w:val="21"/>
          <w:highlight w:val="none"/>
          <w:lang w:val="en-US" w:eastAsia="zh-CN"/>
        </w:rPr>
        <w:t>三</w:t>
      </w:r>
      <w:r>
        <w:rPr>
          <w:rFonts w:hint="eastAsia" w:ascii="仿宋" w:hAnsi="仿宋" w:eastAsia="仿宋" w:cs="仿宋"/>
          <w:color w:val="auto"/>
          <w:szCs w:val="21"/>
          <w:highlight w:val="none"/>
        </w:rPr>
        <w:t>章《采购内容及具体要求》进行编制。</w:t>
      </w:r>
    </w:p>
    <w:p w14:paraId="7F5C23D8">
      <w:pPr>
        <w:spacing w:line="360" w:lineRule="auto"/>
        <w:ind w:firstLine="420" w:firstLineChars="200"/>
        <w:rPr>
          <w:rFonts w:hint="eastAsia" w:ascii="仿宋" w:hAnsi="仿宋" w:eastAsia="仿宋" w:cs="仿宋"/>
          <w:color w:val="auto"/>
          <w:szCs w:val="21"/>
        </w:rPr>
      </w:pPr>
    </w:p>
    <w:p w14:paraId="52C5E7DD">
      <w:pPr>
        <w:shd w:val="clear"/>
        <w:spacing w:line="360" w:lineRule="auto"/>
        <w:ind w:firstLine="275" w:firstLineChars="98"/>
        <w:outlineLvl w:val="9"/>
        <w:rPr>
          <w:rFonts w:hint="eastAsia" w:ascii="楷体" w:hAnsi="楷体" w:eastAsia="楷体" w:cs="楷体"/>
          <w:b/>
          <w:color w:val="auto"/>
          <w:sz w:val="28"/>
          <w:szCs w:val="40"/>
          <w:highlight w:val="none"/>
        </w:rPr>
      </w:pPr>
    </w:p>
    <w:p w14:paraId="08B29647">
      <w:pPr>
        <w:shd w:val="clear"/>
        <w:spacing w:line="360" w:lineRule="auto"/>
        <w:ind w:firstLine="275" w:firstLineChars="98"/>
        <w:outlineLvl w:val="9"/>
        <w:rPr>
          <w:rFonts w:hint="eastAsia" w:ascii="楷体" w:hAnsi="楷体" w:eastAsia="楷体" w:cs="楷体"/>
          <w:b/>
          <w:color w:val="auto"/>
          <w:sz w:val="28"/>
          <w:szCs w:val="40"/>
          <w:highlight w:val="none"/>
        </w:rPr>
      </w:pPr>
    </w:p>
    <w:p w14:paraId="7D40C633">
      <w:pPr>
        <w:shd w:val="clear"/>
        <w:spacing w:line="360" w:lineRule="auto"/>
        <w:ind w:firstLine="275" w:firstLineChars="98"/>
        <w:outlineLvl w:val="9"/>
        <w:rPr>
          <w:rFonts w:hint="eastAsia" w:ascii="楷体" w:hAnsi="楷体" w:eastAsia="楷体" w:cs="楷体"/>
          <w:b/>
          <w:color w:val="auto"/>
          <w:sz w:val="28"/>
          <w:szCs w:val="40"/>
          <w:highlight w:val="none"/>
        </w:rPr>
      </w:pPr>
    </w:p>
    <w:p w14:paraId="68270B99">
      <w:pPr>
        <w:shd w:val="clear"/>
        <w:spacing w:line="360" w:lineRule="auto"/>
        <w:ind w:firstLine="275" w:firstLineChars="98"/>
        <w:outlineLvl w:val="9"/>
        <w:rPr>
          <w:rFonts w:hint="eastAsia" w:ascii="楷体" w:hAnsi="楷体" w:eastAsia="楷体" w:cs="楷体"/>
          <w:b/>
          <w:color w:val="auto"/>
          <w:sz w:val="28"/>
          <w:szCs w:val="40"/>
          <w:highlight w:val="none"/>
        </w:rPr>
      </w:pPr>
    </w:p>
    <w:p w14:paraId="010B077D">
      <w:pPr>
        <w:shd w:val="clear"/>
        <w:spacing w:line="360" w:lineRule="auto"/>
        <w:ind w:firstLine="275" w:firstLineChars="98"/>
        <w:outlineLvl w:val="9"/>
        <w:rPr>
          <w:rFonts w:hint="eastAsia" w:ascii="楷体" w:hAnsi="楷体" w:eastAsia="楷体" w:cs="楷体"/>
          <w:b/>
          <w:color w:val="auto"/>
          <w:sz w:val="28"/>
          <w:szCs w:val="40"/>
          <w:highlight w:val="none"/>
        </w:rPr>
      </w:pPr>
    </w:p>
    <w:p w14:paraId="69B8CC21">
      <w:pPr>
        <w:shd w:val="clear"/>
        <w:spacing w:line="360" w:lineRule="auto"/>
        <w:ind w:firstLine="275" w:firstLineChars="98"/>
        <w:outlineLvl w:val="9"/>
        <w:rPr>
          <w:rFonts w:hint="eastAsia" w:ascii="楷体" w:hAnsi="楷体" w:eastAsia="楷体" w:cs="楷体"/>
          <w:b/>
          <w:color w:val="auto"/>
          <w:sz w:val="28"/>
          <w:szCs w:val="40"/>
          <w:highlight w:val="none"/>
        </w:rPr>
      </w:pPr>
    </w:p>
    <w:p w14:paraId="5A4F4B20">
      <w:pPr>
        <w:shd w:val="clear"/>
        <w:spacing w:line="360" w:lineRule="auto"/>
        <w:ind w:firstLine="275" w:firstLineChars="98"/>
        <w:outlineLvl w:val="9"/>
        <w:rPr>
          <w:rFonts w:hint="eastAsia" w:ascii="楷体" w:hAnsi="楷体" w:eastAsia="楷体" w:cs="楷体"/>
          <w:b/>
          <w:color w:val="auto"/>
          <w:sz w:val="28"/>
          <w:szCs w:val="40"/>
          <w:highlight w:val="none"/>
        </w:rPr>
      </w:pPr>
    </w:p>
    <w:p w14:paraId="3B580325">
      <w:pPr>
        <w:shd w:val="clear"/>
        <w:spacing w:line="360" w:lineRule="auto"/>
        <w:ind w:firstLine="275" w:firstLineChars="98"/>
        <w:outlineLvl w:val="9"/>
        <w:rPr>
          <w:rFonts w:hint="eastAsia" w:ascii="楷体" w:hAnsi="楷体" w:eastAsia="楷体" w:cs="楷体"/>
          <w:b/>
          <w:color w:val="auto"/>
          <w:sz w:val="28"/>
          <w:szCs w:val="40"/>
          <w:highlight w:val="none"/>
        </w:rPr>
      </w:pPr>
    </w:p>
    <w:p w14:paraId="73D51749">
      <w:pPr>
        <w:shd w:val="clear"/>
        <w:spacing w:line="360" w:lineRule="auto"/>
        <w:ind w:firstLine="275" w:firstLineChars="98"/>
        <w:outlineLvl w:val="9"/>
        <w:rPr>
          <w:rFonts w:hint="eastAsia" w:ascii="楷体" w:hAnsi="楷体" w:eastAsia="楷体" w:cs="楷体"/>
          <w:b/>
          <w:color w:val="auto"/>
          <w:sz w:val="28"/>
          <w:szCs w:val="40"/>
          <w:highlight w:val="none"/>
        </w:rPr>
      </w:pPr>
    </w:p>
    <w:p w14:paraId="13C43AC2">
      <w:pPr>
        <w:shd w:val="clear"/>
        <w:spacing w:line="360" w:lineRule="auto"/>
        <w:ind w:firstLine="275" w:firstLineChars="98"/>
        <w:outlineLvl w:val="9"/>
        <w:rPr>
          <w:rFonts w:hint="eastAsia" w:ascii="楷体" w:hAnsi="楷体" w:eastAsia="楷体" w:cs="楷体"/>
          <w:b/>
          <w:color w:val="auto"/>
          <w:sz w:val="28"/>
          <w:szCs w:val="40"/>
          <w:highlight w:val="none"/>
        </w:rPr>
      </w:pPr>
    </w:p>
    <w:p w14:paraId="0D43BE03">
      <w:pPr>
        <w:shd w:val="clear"/>
        <w:spacing w:line="360" w:lineRule="auto"/>
        <w:ind w:firstLine="275" w:firstLineChars="98"/>
        <w:outlineLvl w:val="9"/>
        <w:rPr>
          <w:rFonts w:hint="eastAsia" w:ascii="楷体" w:hAnsi="楷体" w:eastAsia="楷体" w:cs="楷体"/>
          <w:b/>
          <w:color w:val="auto"/>
          <w:sz w:val="28"/>
          <w:szCs w:val="40"/>
          <w:highlight w:val="none"/>
        </w:rPr>
      </w:pPr>
    </w:p>
    <w:p w14:paraId="19278336">
      <w:pPr>
        <w:shd w:val="clear"/>
        <w:spacing w:line="360" w:lineRule="auto"/>
        <w:ind w:firstLine="275" w:firstLineChars="98"/>
        <w:outlineLvl w:val="9"/>
        <w:rPr>
          <w:rFonts w:hint="eastAsia" w:ascii="楷体" w:hAnsi="楷体" w:eastAsia="楷体" w:cs="楷体"/>
          <w:b/>
          <w:color w:val="auto"/>
          <w:sz w:val="28"/>
          <w:szCs w:val="40"/>
          <w:highlight w:val="none"/>
        </w:rPr>
      </w:pPr>
    </w:p>
    <w:p w14:paraId="0B666913">
      <w:pPr>
        <w:shd w:val="clear"/>
        <w:spacing w:line="360" w:lineRule="auto"/>
        <w:ind w:firstLine="275" w:firstLineChars="98"/>
        <w:outlineLvl w:val="9"/>
        <w:rPr>
          <w:rFonts w:hint="eastAsia" w:ascii="楷体" w:hAnsi="楷体" w:eastAsia="楷体" w:cs="楷体"/>
          <w:b/>
          <w:color w:val="auto"/>
          <w:sz w:val="28"/>
          <w:szCs w:val="40"/>
          <w:highlight w:val="none"/>
        </w:rPr>
      </w:pPr>
    </w:p>
    <w:p w14:paraId="5ACA67B9">
      <w:pPr>
        <w:shd w:val="clear"/>
        <w:spacing w:line="360" w:lineRule="auto"/>
        <w:ind w:firstLine="275" w:firstLineChars="98"/>
        <w:outlineLvl w:val="9"/>
        <w:rPr>
          <w:rFonts w:hint="eastAsia" w:ascii="楷体" w:hAnsi="楷体" w:eastAsia="楷体" w:cs="楷体"/>
          <w:b/>
          <w:color w:val="auto"/>
          <w:sz w:val="28"/>
          <w:szCs w:val="40"/>
          <w:highlight w:val="none"/>
        </w:rPr>
      </w:pPr>
    </w:p>
    <w:p w14:paraId="32A6484F">
      <w:pPr>
        <w:shd w:val="clear"/>
        <w:spacing w:line="360" w:lineRule="auto"/>
        <w:ind w:firstLine="275" w:firstLineChars="98"/>
        <w:outlineLvl w:val="9"/>
        <w:rPr>
          <w:rFonts w:hint="eastAsia" w:ascii="楷体" w:hAnsi="楷体" w:eastAsia="楷体" w:cs="楷体"/>
          <w:b/>
          <w:color w:val="auto"/>
          <w:sz w:val="28"/>
          <w:szCs w:val="40"/>
          <w:highlight w:val="none"/>
        </w:rPr>
      </w:pPr>
    </w:p>
    <w:p w14:paraId="568C861C">
      <w:pPr>
        <w:shd w:val="clear"/>
        <w:spacing w:line="360" w:lineRule="auto"/>
        <w:ind w:firstLine="275" w:firstLineChars="98"/>
        <w:outlineLvl w:val="9"/>
        <w:rPr>
          <w:rFonts w:hint="eastAsia" w:ascii="楷体" w:hAnsi="楷体" w:eastAsia="楷体" w:cs="楷体"/>
          <w:b/>
          <w:color w:val="auto"/>
          <w:sz w:val="28"/>
          <w:szCs w:val="40"/>
          <w:highlight w:val="none"/>
        </w:rPr>
      </w:pPr>
    </w:p>
    <w:p w14:paraId="707C42E2">
      <w:pPr>
        <w:shd w:val="clear"/>
        <w:spacing w:line="360" w:lineRule="auto"/>
        <w:ind w:firstLine="275" w:firstLineChars="98"/>
        <w:outlineLvl w:val="9"/>
        <w:rPr>
          <w:rFonts w:hint="eastAsia" w:ascii="楷体" w:hAnsi="楷体" w:eastAsia="楷体" w:cs="楷体"/>
          <w:b/>
          <w:color w:val="auto"/>
          <w:sz w:val="28"/>
          <w:szCs w:val="40"/>
          <w:highlight w:val="none"/>
        </w:rPr>
      </w:pPr>
    </w:p>
    <w:p w14:paraId="3CDA794B">
      <w:pPr>
        <w:shd w:val="clear"/>
        <w:spacing w:line="360" w:lineRule="auto"/>
        <w:ind w:firstLine="275" w:firstLineChars="98"/>
        <w:outlineLvl w:val="9"/>
        <w:rPr>
          <w:rFonts w:hint="eastAsia" w:ascii="楷体" w:hAnsi="楷体" w:eastAsia="楷体" w:cs="楷体"/>
          <w:b/>
          <w:color w:val="auto"/>
          <w:sz w:val="28"/>
          <w:szCs w:val="40"/>
          <w:highlight w:val="none"/>
        </w:rPr>
      </w:pPr>
    </w:p>
    <w:p w14:paraId="6C71F5C9">
      <w:pPr>
        <w:shd w:val="clear"/>
        <w:rPr>
          <w:rFonts w:hint="eastAsia" w:ascii="仿宋" w:hAnsi="仿宋" w:eastAsia="仿宋" w:cs="仿宋"/>
          <w:b/>
          <w:bCs/>
          <w:color w:val="auto"/>
          <w:kern w:val="0"/>
          <w:sz w:val="36"/>
          <w:szCs w:val="36"/>
        </w:rPr>
      </w:pPr>
      <w:r>
        <w:rPr>
          <w:rFonts w:hint="eastAsia" w:ascii="仿宋" w:hAnsi="仿宋" w:eastAsia="仿宋" w:cs="仿宋"/>
          <w:b/>
          <w:color w:val="000000" w:themeColor="text1"/>
          <w:sz w:val="28"/>
          <w:szCs w:val="28"/>
          <w14:textFill>
            <w14:solidFill>
              <w14:schemeClr w14:val="tx1"/>
            </w14:solidFill>
          </w14:textFill>
        </w:rPr>
        <w:t>附表1：</w:t>
      </w:r>
    </w:p>
    <w:p w14:paraId="330A0257">
      <w:pPr>
        <w:shd w:val="clear"/>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auto"/>
          <w:kern w:val="0"/>
          <w:sz w:val="36"/>
          <w:szCs w:val="36"/>
          <w:lang w:val="en-US" w:eastAsia="zh-CN"/>
        </w:rPr>
        <w:t>商务条款</w:t>
      </w:r>
      <w:r>
        <w:rPr>
          <w:rFonts w:hint="eastAsia" w:ascii="仿宋" w:hAnsi="仿宋" w:eastAsia="仿宋" w:cs="仿宋"/>
          <w:b/>
          <w:bCs/>
          <w:color w:val="auto"/>
          <w:kern w:val="0"/>
          <w:sz w:val="36"/>
          <w:szCs w:val="36"/>
        </w:rPr>
        <w:t>偏离表</w:t>
      </w:r>
    </w:p>
    <w:p w14:paraId="42190009">
      <w:pPr>
        <w:pStyle w:val="13"/>
        <w:shd w:val="clear"/>
        <w:spacing w:afterLines="50"/>
        <w:ind w:firstLine="105" w:firstLineChars="50"/>
        <w:rPr>
          <w:rFonts w:hint="eastAsia" w:ascii="仿宋" w:hAnsi="仿宋" w:eastAsia="仿宋" w:cs="仿宋"/>
          <w:color w:val="auto"/>
          <w:highlight w:val="none"/>
        </w:rPr>
      </w:pPr>
      <w:r>
        <w:rPr>
          <w:rFonts w:hint="eastAsia" w:ascii="仿宋" w:hAnsi="仿宋" w:eastAsia="仿宋" w:cs="仿宋"/>
          <w:color w:val="auto"/>
          <w:highlight w:val="none"/>
          <w:lang w:eastAsia="zh-CN"/>
        </w:rPr>
        <w:t>项目名称</w:t>
      </w:r>
      <w:r>
        <w:rPr>
          <w:rFonts w:hint="eastAsia" w:ascii="仿宋" w:hAnsi="仿宋" w:eastAsia="仿宋" w:cs="仿宋"/>
          <w:color w:val="auto"/>
          <w:highlight w:val="none"/>
        </w:rPr>
        <w:t xml:space="preserve">：                           </w:t>
      </w:r>
    </w:p>
    <w:p w14:paraId="663E17A0">
      <w:pPr>
        <w:pStyle w:val="13"/>
        <w:shd w:val="clear"/>
        <w:spacing w:afterLines="50"/>
        <w:ind w:firstLine="105" w:firstLineChars="50"/>
        <w:rPr>
          <w:rFonts w:hint="eastAsia" w:ascii="仿宋" w:hAnsi="仿宋" w:eastAsia="仿宋" w:cs="仿宋"/>
          <w:color w:val="auto"/>
          <w:highlight w:val="none"/>
        </w:rPr>
      </w:pPr>
      <w:r>
        <w:rPr>
          <w:rFonts w:hint="eastAsia" w:ascii="仿宋" w:hAnsi="仿宋" w:eastAsia="仿宋" w:cs="仿宋"/>
          <w:color w:val="auto"/>
          <w:highlight w:val="none"/>
          <w:lang w:eastAsia="zh-CN"/>
        </w:rPr>
        <w:t>项目编号</w:t>
      </w:r>
      <w:r>
        <w:rPr>
          <w:rFonts w:hint="eastAsia" w:ascii="仿宋" w:hAnsi="仿宋" w:eastAsia="仿宋" w:cs="仿宋"/>
          <w:color w:val="auto"/>
          <w:highlight w:val="none"/>
        </w:rPr>
        <w:t>：</w:t>
      </w:r>
    </w:p>
    <w:tbl>
      <w:tblPr>
        <w:tblStyle w:val="42"/>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07"/>
        <w:gridCol w:w="2443"/>
        <w:gridCol w:w="1586"/>
        <w:gridCol w:w="1943"/>
      </w:tblGrid>
      <w:tr w14:paraId="33A93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41" w:type="dxa"/>
            <w:vAlign w:val="center"/>
          </w:tcPr>
          <w:p w14:paraId="634EBC0F">
            <w:pPr>
              <w:shd w:val="clear"/>
              <w:adjustRightInd w:val="0"/>
              <w:snapToGrid w:val="0"/>
              <w:ind w:right="23"/>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107" w:type="dxa"/>
            <w:vAlign w:val="center"/>
          </w:tcPr>
          <w:p w14:paraId="57FFB16C">
            <w:pPr>
              <w:shd w:val="clear"/>
              <w:adjustRightInd w:val="0"/>
              <w:snapToGrid w:val="0"/>
              <w:ind w:right="23"/>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lang w:val="en-US" w:eastAsia="zh-CN"/>
              </w:rPr>
              <w:t>招标文件</w:t>
            </w:r>
            <w:r>
              <w:rPr>
                <w:rFonts w:hint="eastAsia" w:ascii="仿宋" w:hAnsi="仿宋" w:eastAsia="仿宋" w:cs="仿宋"/>
                <w:b/>
                <w:bCs/>
                <w:color w:val="auto"/>
                <w:szCs w:val="21"/>
                <w:highlight w:val="none"/>
              </w:rPr>
              <w:t>商务要求</w:t>
            </w:r>
          </w:p>
        </w:tc>
        <w:tc>
          <w:tcPr>
            <w:tcW w:w="2443" w:type="dxa"/>
            <w:vAlign w:val="center"/>
          </w:tcPr>
          <w:p w14:paraId="43813BFE">
            <w:pPr>
              <w:shd w:val="clear"/>
              <w:adjustRightInd w:val="0"/>
              <w:snapToGrid w:val="0"/>
              <w:ind w:right="23"/>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投标文件商务响应</w:t>
            </w:r>
          </w:p>
        </w:tc>
        <w:tc>
          <w:tcPr>
            <w:tcW w:w="1586" w:type="dxa"/>
            <w:vAlign w:val="center"/>
          </w:tcPr>
          <w:p w14:paraId="390D9F5E">
            <w:pPr>
              <w:shd w:val="clear"/>
              <w:adjustRightInd w:val="0"/>
              <w:snapToGrid w:val="0"/>
              <w:ind w:right="23"/>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是否响应</w:t>
            </w:r>
          </w:p>
        </w:tc>
        <w:tc>
          <w:tcPr>
            <w:tcW w:w="1943" w:type="dxa"/>
            <w:vAlign w:val="center"/>
          </w:tcPr>
          <w:p w14:paraId="18C78054">
            <w:pPr>
              <w:shd w:val="clear"/>
              <w:adjustRightInd w:val="0"/>
              <w:snapToGrid w:val="0"/>
              <w:ind w:right="23"/>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rPr>
              <w:t>偏离</w:t>
            </w:r>
            <w:r>
              <w:rPr>
                <w:rFonts w:hint="eastAsia" w:ascii="仿宋" w:hAnsi="仿宋" w:eastAsia="仿宋" w:cs="仿宋"/>
                <w:b/>
                <w:bCs/>
                <w:color w:val="auto"/>
                <w:szCs w:val="21"/>
                <w:highlight w:val="none"/>
                <w:lang w:val="en-US" w:eastAsia="zh-CN"/>
              </w:rPr>
              <w:t>说明</w:t>
            </w:r>
          </w:p>
        </w:tc>
      </w:tr>
      <w:tr w14:paraId="6A661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54B9765">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5A0355DD">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750F827F">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3121BE0B">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65DC7D7F">
            <w:pPr>
              <w:shd w:val="clear"/>
              <w:adjustRightInd w:val="0"/>
              <w:snapToGrid w:val="0"/>
              <w:spacing w:line="360" w:lineRule="auto"/>
              <w:ind w:right="24"/>
              <w:rPr>
                <w:rFonts w:hint="eastAsia" w:ascii="仿宋" w:hAnsi="仿宋" w:eastAsia="仿宋" w:cs="仿宋"/>
                <w:bCs/>
                <w:color w:val="auto"/>
                <w:sz w:val="24"/>
                <w:highlight w:val="none"/>
              </w:rPr>
            </w:pPr>
          </w:p>
        </w:tc>
      </w:tr>
      <w:tr w14:paraId="519B99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58C9546">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5D0B6DB4">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56E35024">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468ACB70">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58991D1F">
            <w:pPr>
              <w:shd w:val="clear"/>
              <w:adjustRightInd w:val="0"/>
              <w:snapToGrid w:val="0"/>
              <w:spacing w:line="360" w:lineRule="auto"/>
              <w:ind w:right="24"/>
              <w:rPr>
                <w:rFonts w:hint="eastAsia" w:ascii="仿宋" w:hAnsi="仿宋" w:eastAsia="仿宋" w:cs="仿宋"/>
                <w:bCs/>
                <w:color w:val="auto"/>
                <w:sz w:val="24"/>
                <w:highlight w:val="none"/>
              </w:rPr>
            </w:pPr>
          </w:p>
        </w:tc>
      </w:tr>
      <w:tr w14:paraId="0B3E7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3F625190">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047DA0B5">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4F456315">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35BC49D0">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7200A2BB">
            <w:pPr>
              <w:shd w:val="clear"/>
              <w:adjustRightInd w:val="0"/>
              <w:snapToGrid w:val="0"/>
              <w:spacing w:line="360" w:lineRule="auto"/>
              <w:ind w:right="24"/>
              <w:rPr>
                <w:rFonts w:hint="eastAsia" w:ascii="仿宋" w:hAnsi="仿宋" w:eastAsia="仿宋" w:cs="仿宋"/>
                <w:bCs/>
                <w:color w:val="auto"/>
                <w:sz w:val="24"/>
                <w:highlight w:val="none"/>
              </w:rPr>
            </w:pPr>
          </w:p>
        </w:tc>
      </w:tr>
      <w:tr w14:paraId="7CF84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58A5F24">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7DC02328">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19FD7E59">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518678B0">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2A3A7896">
            <w:pPr>
              <w:shd w:val="clear"/>
              <w:adjustRightInd w:val="0"/>
              <w:snapToGrid w:val="0"/>
              <w:spacing w:line="360" w:lineRule="auto"/>
              <w:ind w:right="24"/>
              <w:rPr>
                <w:rFonts w:hint="eastAsia" w:ascii="仿宋" w:hAnsi="仿宋" w:eastAsia="仿宋" w:cs="仿宋"/>
                <w:bCs/>
                <w:color w:val="auto"/>
                <w:sz w:val="24"/>
                <w:highlight w:val="none"/>
              </w:rPr>
            </w:pPr>
          </w:p>
        </w:tc>
      </w:tr>
      <w:tr w14:paraId="39F73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0473B992">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7130B978">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4B2A19E9">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7AF49CC7">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6803603F">
            <w:pPr>
              <w:shd w:val="clear"/>
              <w:adjustRightInd w:val="0"/>
              <w:snapToGrid w:val="0"/>
              <w:spacing w:line="360" w:lineRule="auto"/>
              <w:ind w:right="24"/>
              <w:rPr>
                <w:rFonts w:hint="eastAsia" w:ascii="仿宋" w:hAnsi="仿宋" w:eastAsia="仿宋" w:cs="仿宋"/>
                <w:bCs/>
                <w:color w:val="auto"/>
                <w:sz w:val="24"/>
                <w:highlight w:val="none"/>
              </w:rPr>
            </w:pPr>
          </w:p>
        </w:tc>
      </w:tr>
      <w:tr w14:paraId="460CC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7E574063">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0D2A9367">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324062EC">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614BC646">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38C73C2E">
            <w:pPr>
              <w:shd w:val="clear"/>
              <w:adjustRightInd w:val="0"/>
              <w:snapToGrid w:val="0"/>
              <w:spacing w:line="360" w:lineRule="auto"/>
              <w:ind w:right="24"/>
              <w:rPr>
                <w:rFonts w:hint="eastAsia" w:ascii="仿宋" w:hAnsi="仿宋" w:eastAsia="仿宋" w:cs="仿宋"/>
                <w:bCs/>
                <w:color w:val="auto"/>
                <w:sz w:val="24"/>
                <w:highlight w:val="none"/>
              </w:rPr>
            </w:pPr>
          </w:p>
        </w:tc>
      </w:tr>
      <w:tr w14:paraId="69214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1BE20C1D">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0D30D328">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5C2E06F0">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7E03E3C2">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439B0C00">
            <w:pPr>
              <w:shd w:val="clear"/>
              <w:adjustRightInd w:val="0"/>
              <w:snapToGrid w:val="0"/>
              <w:spacing w:line="360" w:lineRule="auto"/>
              <w:ind w:right="24"/>
              <w:rPr>
                <w:rFonts w:hint="eastAsia" w:ascii="仿宋" w:hAnsi="仿宋" w:eastAsia="仿宋" w:cs="仿宋"/>
                <w:bCs/>
                <w:color w:val="auto"/>
                <w:sz w:val="24"/>
                <w:highlight w:val="none"/>
              </w:rPr>
            </w:pPr>
          </w:p>
        </w:tc>
      </w:tr>
      <w:tr w14:paraId="7085BA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174607D6">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08877A46">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313CF5D9">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30E3D845">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6B858BF6">
            <w:pPr>
              <w:shd w:val="clear"/>
              <w:adjustRightInd w:val="0"/>
              <w:snapToGrid w:val="0"/>
              <w:spacing w:line="360" w:lineRule="auto"/>
              <w:ind w:right="24"/>
              <w:rPr>
                <w:rFonts w:hint="eastAsia" w:ascii="仿宋" w:hAnsi="仿宋" w:eastAsia="仿宋" w:cs="仿宋"/>
                <w:bCs/>
                <w:color w:val="auto"/>
                <w:sz w:val="24"/>
                <w:highlight w:val="none"/>
              </w:rPr>
            </w:pPr>
          </w:p>
        </w:tc>
      </w:tr>
      <w:tr w14:paraId="7AD8DE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042C5D72">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2D7F5F0E">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30E66FB7">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47A33435">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411F11F5">
            <w:pPr>
              <w:shd w:val="clear"/>
              <w:adjustRightInd w:val="0"/>
              <w:snapToGrid w:val="0"/>
              <w:spacing w:line="360" w:lineRule="auto"/>
              <w:ind w:right="24"/>
              <w:rPr>
                <w:rFonts w:hint="eastAsia" w:ascii="仿宋" w:hAnsi="仿宋" w:eastAsia="仿宋" w:cs="仿宋"/>
                <w:bCs/>
                <w:color w:val="auto"/>
                <w:sz w:val="24"/>
                <w:highlight w:val="none"/>
              </w:rPr>
            </w:pPr>
          </w:p>
        </w:tc>
      </w:tr>
      <w:tr w14:paraId="739563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403FC86">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43AA1C03">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41DEB0C8">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3A9D8634">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4F167C54">
            <w:pPr>
              <w:shd w:val="clear"/>
              <w:adjustRightInd w:val="0"/>
              <w:snapToGrid w:val="0"/>
              <w:spacing w:line="360" w:lineRule="auto"/>
              <w:ind w:right="24"/>
              <w:rPr>
                <w:rFonts w:hint="eastAsia" w:ascii="仿宋" w:hAnsi="仿宋" w:eastAsia="仿宋" w:cs="仿宋"/>
                <w:bCs/>
                <w:color w:val="auto"/>
                <w:sz w:val="24"/>
                <w:highlight w:val="none"/>
              </w:rPr>
            </w:pPr>
          </w:p>
        </w:tc>
      </w:tr>
      <w:tr w14:paraId="708A2A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2407A3AC">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70243D9B">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11C81157">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74AA2CA6">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2F4F3A1A">
            <w:pPr>
              <w:shd w:val="clear"/>
              <w:adjustRightInd w:val="0"/>
              <w:snapToGrid w:val="0"/>
              <w:spacing w:line="360" w:lineRule="auto"/>
              <w:ind w:right="24"/>
              <w:rPr>
                <w:rFonts w:hint="eastAsia" w:ascii="仿宋" w:hAnsi="仿宋" w:eastAsia="仿宋" w:cs="仿宋"/>
                <w:bCs/>
                <w:color w:val="auto"/>
                <w:sz w:val="24"/>
                <w:highlight w:val="none"/>
              </w:rPr>
            </w:pPr>
          </w:p>
        </w:tc>
      </w:tr>
      <w:tr w14:paraId="1946D9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67B84AF6">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2325E223">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6813A93E">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5F176E3C">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459D46CE">
            <w:pPr>
              <w:shd w:val="clear"/>
              <w:adjustRightInd w:val="0"/>
              <w:snapToGrid w:val="0"/>
              <w:spacing w:line="360" w:lineRule="auto"/>
              <w:ind w:right="24"/>
              <w:rPr>
                <w:rFonts w:hint="eastAsia" w:ascii="仿宋" w:hAnsi="仿宋" w:eastAsia="仿宋" w:cs="仿宋"/>
                <w:bCs/>
                <w:color w:val="auto"/>
                <w:sz w:val="24"/>
                <w:highlight w:val="none"/>
              </w:rPr>
            </w:pPr>
          </w:p>
        </w:tc>
      </w:tr>
      <w:tr w14:paraId="38087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54D5A95B">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58BCB875">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0C7FD763">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5EF43149">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278D764B">
            <w:pPr>
              <w:shd w:val="clear"/>
              <w:adjustRightInd w:val="0"/>
              <w:snapToGrid w:val="0"/>
              <w:spacing w:line="360" w:lineRule="auto"/>
              <w:ind w:right="24"/>
              <w:rPr>
                <w:rFonts w:hint="eastAsia" w:ascii="仿宋" w:hAnsi="仿宋" w:eastAsia="仿宋" w:cs="仿宋"/>
                <w:bCs/>
                <w:color w:val="auto"/>
                <w:sz w:val="24"/>
                <w:highlight w:val="none"/>
              </w:rPr>
            </w:pPr>
          </w:p>
        </w:tc>
      </w:tr>
      <w:tr w14:paraId="57877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41" w:type="dxa"/>
          </w:tcPr>
          <w:p w14:paraId="479FB2C9">
            <w:pPr>
              <w:shd w:val="clear"/>
              <w:adjustRightInd w:val="0"/>
              <w:snapToGrid w:val="0"/>
              <w:spacing w:line="360" w:lineRule="auto"/>
              <w:ind w:right="24"/>
              <w:rPr>
                <w:rFonts w:hint="eastAsia" w:ascii="仿宋" w:hAnsi="仿宋" w:eastAsia="仿宋" w:cs="仿宋"/>
                <w:bCs/>
                <w:color w:val="auto"/>
                <w:sz w:val="24"/>
                <w:highlight w:val="none"/>
              </w:rPr>
            </w:pPr>
          </w:p>
        </w:tc>
        <w:tc>
          <w:tcPr>
            <w:tcW w:w="2107" w:type="dxa"/>
          </w:tcPr>
          <w:p w14:paraId="62780D28">
            <w:pPr>
              <w:shd w:val="clear"/>
              <w:adjustRightInd w:val="0"/>
              <w:snapToGrid w:val="0"/>
              <w:spacing w:line="360" w:lineRule="auto"/>
              <w:ind w:right="24"/>
              <w:rPr>
                <w:rFonts w:hint="eastAsia" w:ascii="仿宋" w:hAnsi="仿宋" w:eastAsia="仿宋" w:cs="仿宋"/>
                <w:bCs/>
                <w:color w:val="auto"/>
                <w:sz w:val="24"/>
                <w:highlight w:val="none"/>
              </w:rPr>
            </w:pPr>
          </w:p>
        </w:tc>
        <w:tc>
          <w:tcPr>
            <w:tcW w:w="2443" w:type="dxa"/>
          </w:tcPr>
          <w:p w14:paraId="64B74279">
            <w:pPr>
              <w:shd w:val="clear"/>
              <w:adjustRightInd w:val="0"/>
              <w:snapToGrid w:val="0"/>
              <w:spacing w:line="360" w:lineRule="auto"/>
              <w:ind w:right="24"/>
              <w:rPr>
                <w:rFonts w:hint="eastAsia" w:ascii="仿宋" w:hAnsi="仿宋" w:eastAsia="仿宋" w:cs="仿宋"/>
                <w:bCs/>
                <w:color w:val="auto"/>
                <w:sz w:val="24"/>
                <w:highlight w:val="none"/>
              </w:rPr>
            </w:pPr>
          </w:p>
        </w:tc>
        <w:tc>
          <w:tcPr>
            <w:tcW w:w="1586" w:type="dxa"/>
          </w:tcPr>
          <w:p w14:paraId="10DF9C31">
            <w:pPr>
              <w:shd w:val="clear"/>
              <w:adjustRightInd w:val="0"/>
              <w:snapToGrid w:val="0"/>
              <w:spacing w:line="360" w:lineRule="auto"/>
              <w:ind w:right="24"/>
              <w:rPr>
                <w:rFonts w:hint="eastAsia" w:ascii="仿宋" w:hAnsi="仿宋" w:eastAsia="仿宋" w:cs="仿宋"/>
                <w:bCs/>
                <w:color w:val="auto"/>
                <w:sz w:val="24"/>
                <w:highlight w:val="none"/>
              </w:rPr>
            </w:pPr>
          </w:p>
        </w:tc>
        <w:tc>
          <w:tcPr>
            <w:tcW w:w="1943" w:type="dxa"/>
          </w:tcPr>
          <w:p w14:paraId="0E360AE5">
            <w:pPr>
              <w:shd w:val="clear"/>
              <w:adjustRightInd w:val="0"/>
              <w:snapToGrid w:val="0"/>
              <w:spacing w:line="360" w:lineRule="auto"/>
              <w:ind w:right="24"/>
              <w:rPr>
                <w:rFonts w:hint="eastAsia" w:ascii="仿宋" w:hAnsi="仿宋" w:eastAsia="仿宋" w:cs="仿宋"/>
                <w:bCs/>
                <w:color w:val="auto"/>
                <w:sz w:val="24"/>
                <w:highlight w:val="none"/>
              </w:rPr>
            </w:pPr>
          </w:p>
        </w:tc>
      </w:tr>
    </w:tbl>
    <w:p w14:paraId="27297375">
      <w:pPr>
        <w:shd w:val="clear"/>
        <w:spacing w:beforeLines="50" w:line="400" w:lineRule="exact"/>
        <w:ind w:left="735" w:leftChars="5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54F774B6">
      <w:pPr>
        <w:pStyle w:val="2"/>
        <w:shd w:val="clear"/>
        <w:spacing w:before="82" w:line="364" w:lineRule="auto"/>
        <w:ind w:left="220" w:right="285"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1、投标人对应招标文件商务要求，如响应投标人完全响应，则请在“是否响应”栏内打“√”， 对空白或打“×”视为偏离，请在“偏离说明”栏内扼要说明偏离情况。</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.投标人必须据实填写，不得虚假响应，否则，将取消其投标或中标资格。 </w:t>
      </w:r>
    </w:p>
    <w:p w14:paraId="2A38AB67">
      <w:pPr>
        <w:shd w:val="clear"/>
        <w:spacing w:line="360" w:lineRule="auto"/>
        <w:ind w:firstLine="3990" w:firstLineChars="1900"/>
        <w:rPr>
          <w:rFonts w:hint="eastAsia" w:ascii="仿宋" w:hAnsi="仿宋" w:eastAsia="仿宋" w:cs="仿宋"/>
          <w:color w:val="auto"/>
          <w:szCs w:val="21"/>
          <w:highlight w:val="none"/>
          <w:lang w:val="zh-CN"/>
        </w:rPr>
      </w:pPr>
    </w:p>
    <w:p w14:paraId="56C29A5E">
      <w:pPr>
        <w:shd w:val="clear"/>
        <w:spacing w:line="360" w:lineRule="auto"/>
        <w:ind w:firstLine="3990" w:firstLineChars="19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投标人：（公章）</w:t>
      </w:r>
    </w:p>
    <w:p w14:paraId="2704124A">
      <w:pPr>
        <w:shd w:val="clear"/>
        <w:spacing w:line="360" w:lineRule="auto"/>
        <w:ind w:firstLine="3990" w:firstLineChars="19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法定代表人或授权代表：（签字）</w:t>
      </w:r>
    </w:p>
    <w:p w14:paraId="6332DDD2">
      <w:pPr>
        <w:shd w:val="clear"/>
        <w:spacing w:line="420" w:lineRule="exact"/>
        <w:ind w:firstLine="3990" w:firstLineChars="19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日期：</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年</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月</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日</w:t>
      </w:r>
    </w:p>
    <w:p w14:paraId="6BF1355F">
      <w:pPr>
        <w:pStyle w:val="13"/>
        <w:shd w:val="clear"/>
        <w:spacing w:afterLines="50"/>
        <w:ind w:left="0" w:leftChars="0" w:firstLine="0" w:firstLineChars="0"/>
        <w:rPr>
          <w:rFonts w:hint="eastAsia" w:ascii="仿宋" w:hAnsi="仿宋" w:eastAsia="仿宋" w:cs="仿宋"/>
          <w:b/>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color w:val="000000" w:themeColor="text1"/>
          <w:kern w:val="2"/>
          <w:sz w:val="28"/>
          <w:szCs w:val="28"/>
          <w:lang w:val="en-US" w:eastAsia="zh-CN" w:bidi="ar-SA"/>
          <w14:textFill>
            <w14:solidFill>
              <w14:schemeClr w14:val="tx1"/>
            </w14:solidFill>
          </w14:textFill>
        </w:rPr>
        <w:t>附表2：</w:t>
      </w:r>
    </w:p>
    <w:p w14:paraId="58E5C719">
      <w:pPr>
        <w:pStyle w:val="4"/>
        <w:widowControl/>
        <w:rPr>
          <w:rFonts w:hint="eastAsia" w:ascii="仿宋" w:hAnsi="仿宋" w:eastAsia="仿宋" w:cs="仿宋"/>
          <w:b/>
          <w:bCs w:val="0"/>
          <w:color w:val="auto"/>
          <w:kern w:val="0"/>
          <w:sz w:val="28"/>
          <w:szCs w:val="36"/>
          <w:highlight w:val="none"/>
          <w:lang w:val="en-US" w:eastAsia="zh-CN" w:bidi="ar-SA"/>
        </w:rPr>
      </w:pPr>
      <w:r>
        <w:rPr>
          <w:rFonts w:hint="eastAsia" w:ascii="仿宋" w:hAnsi="仿宋" w:eastAsia="仿宋" w:cs="仿宋"/>
          <w:b/>
          <w:bCs w:val="0"/>
          <w:color w:val="auto"/>
          <w:kern w:val="0"/>
          <w:sz w:val="28"/>
          <w:szCs w:val="36"/>
          <w:highlight w:val="none"/>
          <w:lang w:val="en-US" w:eastAsia="zh-CN" w:bidi="ar-SA"/>
        </w:rPr>
        <w:t>2021年11月1日以来完成的类似项目业绩</w:t>
      </w:r>
    </w:p>
    <w:tbl>
      <w:tblPr>
        <w:tblStyle w:val="42"/>
        <w:tblW w:w="92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9"/>
        <w:gridCol w:w="1097"/>
        <w:gridCol w:w="2179"/>
        <w:gridCol w:w="1243"/>
        <w:gridCol w:w="1196"/>
        <w:gridCol w:w="1953"/>
        <w:gridCol w:w="1078"/>
      </w:tblGrid>
      <w:tr w14:paraId="3943E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7A09887E">
            <w:pPr>
              <w:spacing w:line="360" w:lineRule="auto"/>
              <w:jc w:val="center"/>
              <w:rPr>
                <w:rFonts w:ascii="仿宋" w:hAnsi="仿宋" w:eastAsia="仿宋" w:cs="仿宋"/>
                <w:color w:val="auto"/>
                <w:szCs w:val="21"/>
              </w:rPr>
            </w:pPr>
            <w:r>
              <w:rPr>
                <w:rFonts w:hint="eastAsia" w:ascii="仿宋" w:hAnsi="仿宋" w:eastAsia="仿宋" w:cs="仿宋"/>
                <w:color w:val="auto"/>
                <w:szCs w:val="21"/>
              </w:rPr>
              <w:t>序号</w:t>
            </w:r>
          </w:p>
        </w:tc>
        <w:tc>
          <w:tcPr>
            <w:tcW w:w="1097" w:type="dxa"/>
            <w:vAlign w:val="center"/>
          </w:tcPr>
          <w:p w14:paraId="67EB4B11">
            <w:pPr>
              <w:spacing w:line="360" w:lineRule="auto"/>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2179" w:type="dxa"/>
            <w:vAlign w:val="center"/>
          </w:tcPr>
          <w:p w14:paraId="085BAB65">
            <w:pPr>
              <w:spacing w:line="360" w:lineRule="auto"/>
              <w:jc w:val="center"/>
              <w:rPr>
                <w:rFonts w:ascii="仿宋" w:hAnsi="仿宋" w:eastAsia="仿宋" w:cs="仿宋"/>
                <w:color w:val="auto"/>
                <w:szCs w:val="21"/>
              </w:rPr>
            </w:pPr>
            <w:r>
              <w:rPr>
                <w:rFonts w:hint="eastAsia" w:ascii="仿宋" w:hAnsi="仿宋" w:eastAsia="仿宋" w:cs="仿宋"/>
                <w:color w:val="auto"/>
                <w:szCs w:val="21"/>
              </w:rPr>
              <w:t>项目内容</w:t>
            </w:r>
          </w:p>
        </w:tc>
        <w:tc>
          <w:tcPr>
            <w:tcW w:w="1243" w:type="dxa"/>
            <w:tcBorders>
              <w:left w:val="single" w:color="auto" w:sz="4" w:space="0"/>
              <w:right w:val="single" w:color="auto" w:sz="4" w:space="0"/>
            </w:tcBorders>
            <w:vAlign w:val="center"/>
          </w:tcPr>
          <w:p w14:paraId="53287DBE">
            <w:pPr>
              <w:spacing w:line="360" w:lineRule="auto"/>
              <w:jc w:val="center"/>
              <w:rPr>
                <w:rFonts w:ascii="仿宋" w:hAnsi="仿宋" w:eastAsia="仿宋" w:cs="仿宋"/>
                <w:color w:val="auto"/>
                <w:szCs w:val="21"/>
              </w:rPr>
            </w:pPr>
            <w:r>
              <w:rPr>
                <w:rFonts w:hint="eastAsia" w:ascii="仿宋" w:hAnsi="仿宋" w:eastAsia="仿宋" w:cs="仿宋"/>
                <w:color w:val="auto"/>
                <w:szCs w:val="21"/>
              </w:rPr>
              <w:t>合同金额</w:t>
            </w:r>
          </w:p>
        </w:tc>
        <w:tc>
          <w:tcPr>
            <w:tcW w:w="1196" w:type="dxa"/>
            <w:tcBorders>
              <w:left w:val="single" w:color="auto" w:sz="4" w:space="0"/>
              <w:right w:val="single" w:color="auto" w:sz="4" w:space="0"/>
            </w:tcBorders>
            <w:vAlign w:val="center"/>
          </w:tcPr>
          <w:p w14:paraId="72B586E1">
            <w:pPr>
              <w:spacing w:line="360" w:lineRule="auto"/>
              <w:jc w:val="center"/>
              <w:rPr>
                <w:rFonts w:ascii="仿宋" w:hAnsi="仿宋" w:eastAsia="仿宋" w:cs="仿宋"/>
                <w:color w:val="auto"/>
                <w:szCs w:val="21"/>
              </w:rPr>
            </w:pPr>
            <w:r>
              <w:rPr>
                <w:rFonts w:hint="eastAsia" w:ascii="仿宋" w:hAnsi="仿宋" w:eastAsia="仿宋" w:cs="仿宋"/>
                <w:color w:val="auto"/>
                <w:szCs w:val="21"/>
              </w:rPr>
              <w:t>客户</w:t>
            </w:r>
          </w:p>
        </w:tc>
        <w:tc>
          <w:tcPr>
            <w:tcW w:w="1953" w:type="dxa"/>
            <w:tcBorders>
              <w:left w:val="single" w:color="auto" w:sz="4" w:space="0"/>
              <w:right w:val="single" w:color="auto" w:sz="4" w:space="0"/>
            </w:tcBorders>
            <w:vAlign w:val="center"/>
          </w:tcPr>
          <w:p w14:paraId="5E6600E6">
            <w:pPr>
              <w:spacing w:line="360" w:lineRule="auto"/>
              <w:jc w:val="center"/>
              <w:rPr>
                <w:rFonts w:ascii="仿宋" w:hAnsi="仿宋" w:eastAsia="仿宋" w:cs="仿宋"/>
                <w:color w:val="auto"/>
                <w:szCs w:val="21"/>
              </w:rPr>
            </w:pPr>
            <w:r>
              <w:rPr>
                <w:rFonts w:hint="eastAsia" w:ascii="仿宋" w:hAnsi="仿宋" w:eastAsia="仿宋" w:cs="仿宋"/>
                <w:color w:val="auto"/>
                <w:szCs w:val="21"/>
              </w:rPr>
              <w:t>实施日期</w:t>
            </w:r>
          </w:p>
        </w:tc>
        <w:tc>
          <w:tcPr>
            <w:tcW w:w="1078" w:type="dxa"/>
            <w:vAlign w:val="center"/>
          </w:tcPr>
          <w:p w14:paraId="4B9170D0">
            <w:pPr>
              <w:spacing w:line="360" w:lineRule="auto"/>
              <w:jc w:val="center"/>
              <w:rPr>
                <w:rFonts w:ascii="仿宋" w:hAnsi="仿宋" w:eastAsia="仿宋" w:cs="仿宋"/>
                <w:color w:val="auto"/>
                <w:szCs w:val="21"/>
              </w:rPr>
            </w:pPr>
            <w:r>
              <w:rPr>
                <w:rFonts w:hint="eastAsia" w:ascii="仿宋" w:hAnsi="仿宋" w:eastAsia="仿宋" w:cs="仿宋"/>
                <w:color w:val="auto"/>
                <w:szCs w:val="21"/>
              </w:rPr>
              <w:t>备注</w:t>
            </w:r>
          </w:p>
        </w:tc>
      </w:tr>
      <w:tr w14:paraId="64951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7619C092">
            <w:pPr>
              <w:spacing w:line="360" w:lineRule="auto"/>
              <w:jc w:val="center"/>
              <w:rPr>
                <w:rFonts w:ascii="仿宋" w:hAnsi="仿宋" w:eastAsia="仿宋" w:cs="仿宋"/>
                <w:color w:val="auto"/>
                <w:szCs w:val="21"/>
              </w:rPr>
            </w:pPr>
            <w:r>
              <w:rPr>
                <w:rFonts w:hint="eastAsia" w:ascii="仿宋" w:hAnsi="仿宋" w:eastAsia="仿宋" w:cs="仿宋"/>
                <w:color w:val="auto"/>
                <w:szCs w:val="21"/>
              </w:rPr>
              <w:t>1</w:t>
            </w:r>
          </w:p>
        </w:tc>
        <w:tc>
          <w:tcPr>
            <w:tcW w:w="1097" w:type="dxa"/>
            <w:vAlign w:val="center"/>
          </w:tcPr>
          <w:p w14:paraId="238533B5">
            <w:pPr>
              <w:spacing w:line="360" w:lineRule="auto"/>
              <w:jc w:val="center"/>
              <w:rPr>
                <w:rFonts w:ascii="仿宋" w:hAnsi="仿宋" w:eastAsia="仿宋" w:cs="仿宋"/>
                <w:color w:val="auto"/>
                <w:szCs w:val="21"/>
              </w:rPr>
            </w:pPr>
          </w:p>
        </w:tc>
        <w:tc>
          <w:tcPr>
            <w:tcW w:w="2179" w:type="dxa"/>
            <w:vAlign w:val="center"/>
          </w:tcPr>
          <w:p w14:paraId="44D9A8C9">
            <w:pPr>
              <w:spacing w:line="360" w:lineRule="auto"/>
              <w:jc w:val="center"/>
              <w:rPr>
                <w:rFonts w:ascii="仿宋" w:hAnsi="仿宋" w:eastAsia="仿宋" w:cs="仿宋"/>
                <w:color w:val="auto"/>
                <w:szCs w:val="21"/>
              </w:rPr>
            </w:pPr>
          </w:p>
        </w:tc>
        <w:tc>
          <w:tcPr>
            <w:tcW w:w="1243" w:type="dxa"/>
            <w:tcBorders>
              <w:left w:val="single" w:color="auto" w:sz="4" w:space="0"/>
              <w:right w:val="single" w:color="auto" w:sz="4" w:space="0"/>
            </w:tcBorders>
            <w:vAlign w:val="center"/>
          </w:tcPr>
          <w:p w14:paraId="00B9DE48">
            <w:pPr>
              <w:spacing w:line="360" w:lineRule="auto"/>
              <w:jc w:val="center"/>
              <w:rPr>
                <w:rFonts w:ascii="仿宋" w:hAnsi="仿宋" w:eastAsia="仿宋" w:cs="仿宋"/>
                <w:color w:val="auto"/>
                <w:szCs w:val="21"/>
              </w:rPr>
            </w:pPr>
          </w:p>
        </w:tc>
        <w:tc>
          <w:tcPr>
            <w:tcW w:w="1196" w:type="dxa"/>
            <w:tcBorders>
              <w:left w:val="single" w:color="auto" w:sz="4" w:space="0"/>
              <w:right w:val="single" w:color="auto" w:sz="4" w:space="0"/>
            </w:tcBorders>
            <w:vAlign w:val="center"/>
          </w:tcPr>
          <w:p w14:paraId="6021D0D5">
            <w:pPr>
              <w:spacing w:line="360" w:lineRule="auto"/>
              <w:jc w:val="center"/>
              <w:rPr>
                <w:rFonts w:ascii="仿宋" w:hAnsi="仿宋" w:eastAsia="仿宋" w:cs="仿宋"/>
                <w:color w:val="auto"/>
                <w:szCs w:val="21"/>
              </w:rPr>
            </w:pPr>
          </w:p>
        </w:tc>
        <w:tc>
          <w:tcPr>
            <w:tcW w:w="1953" w:type="dxa"/>
            <w:tcBorders>
              <w:left w:val="single" w:color="auto" w:sz="4" w:space="0"/>
              <w:right w:val="single" w:color="auto" w:sz="4" w:space="0"/>
            </w:tcBorders>
            <w:vAlign w:val="center"/>
          </w:tcPr>
          <w:p w14:paraId="73F3BB61">
            <w:pPr>
              <w:spacing w:line="360" w:lineRule="auto"/>
              <w:jc w:val="center"/>
              <w:rPr>
                <w:rFonts w:ascii="仿宋" w:hAnsi="仿宋" w:eastAsia="仿宋" w:cs="仿宋"/>
                <w:color w:val="auto"/>
                <w:szCs w:val="21"/>
              </w:rPr>
            </w:pPr>
          </w:p>
        </w:tc>
        <w:tc>
          <w:tcPr>
            <w:tcW w:w="1078" w:type="dxa"/>
          </w:tcPr>
          <w:p w14:paraId="7091433B">
            <w:pPr>
              <w:spacing w:line="360" w:lineRule="auto"/>
              <w:jc w:val="center"/>
              <w:rPr>
                <w:rFonts w:ascii="仿宋" w:hAnsi="仿宋" w:eastAsia="仿宋" w:cs="仿宋"/>
                <w:color w:val="auto"/>
                <w:szCs w:val="21"/>
              </w:rPr>
            </w:pPr>
          </w:p>
        </w:tc>
      </w:tr>
      <w:tr w14:paraId="7A6B5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585B1A0C">
            <w:pPr>
              <w:spacing w:line="360" w:lineRule="auto"/>
              <w:jc w:val="center"/>
              <w:rPr>
                <w:rFonts w:ascii="仿宋" w:hAnsi="仿宋" w:eastAsia="仿宋" w:cs="仿宋"/>
                <w:color w:val="auto"/>
                <w:szCs w:val="21"/>
              </w:rPr>
            </w:pPr>
            <w:r>
              <w:rPr>
                <w:rFonts w:hint="eastAsia" w:ascii="仿宋" w:hAnsi="仿宋" w:eastAsia="仿宋" w:cs="仿宋"/>
                <w:color w:val="auto"/>
                <w:szCs w:val="21"/>
              </w:rPr>
              <w:t>2</w:t>
            </w:r>
          </w:p>
        </w:tc>
        <w:tc>
          <w:tcPr>
            <w:tcW w:w="1097" w:type="dxa"/>
            <w:vAlign w:val="center"/>
          </w:tcPr>
          <w:p w14:paraId="778A3567">
            <w:pPr>
              <w:spacing w:line="360" w:lineRule="auto"/>
              <w:jc w:val="center"/>
              <w:rPr>
                <w:rFonts w:ascii="仿宋" w:hAnsi="仿宋" w:eastAsia="仿宋" w:cs="仿宋"/>
                <w:color w:val="auto"/>
                <w:szCs w:val="21"/>
              </w:rPr>
            </w:pPr>
          </w:p>
        </w:tc>
        <w:tc>
          <w:tcPr>
            <w:tcW w:w="2179" w:type="dxa"/>
            <w:vAlign w:val="center"/>
          </w:tcPr>
          <w:p w14:paraId="15C6C7C4">
            <w:pPr>
              <w:spacing w:line="360" w:lineRule="auto"/>
              <w:jc w:val="center"/>
              <w:rPr>
                <w:rFonts w:ascii="仿宋" w:hAnsi="仿宋" w:eastAsia="仿宋" w:cs="仿宋"/>
                <w:color w:val="auto"/>
                <w:szCs w:val="21"/>
              </w:rPr>
            </w:pPr>
          </w:p>
        </w:tc>
        <w:tc>
          <w:tcPr>
            <w:tcW w:w="1243" w:type="dxa"/>
            <w:tcBorders>
              <w:left w:val="single" w:color="auto" w:sz="4" w:space="0"/>
              <w:right w:val="single" w:color="auto" w:sz="4" w:space="0"/>
            </w:tcBorders>
            <w:vAlign w:val="center"/>
          </w:tcPr>
          <w:p w14:paraId="62458E5F">
            <w:pPr>
              <w:spacing w:line="360" w:lineRule="auto"/>
              <w:jc w:val="center"/>
              <w:rPr>
                <w:rFonts w:ascii="仿宋" w:hAnsi="仿宋" w:eastAsia="仿宋" w:cs="仿宋"/>
                <w:color w:val="auto"/>
                <w:szCs w:val="21"/>
              </w:rPr>
            </w:pPr>
          </w:p>
        </w:tc>
        <w:tc>
          <w:tcPr>
            <w:tcW w:w="1196" w:type="dxa"/>
            <w:tcBorders>
              <w:left w:val="single" w:color="auto" w:sz="4" w:space="0"/>
              <w:right w:val="single" w:color="auto" w:sz="4" w:space="0"/>
            </w:tcBorders>
            <w:vAlign w:val="center"/>
          </w:tcPr>
          <w:p w14:paraId="74EF3D66">
            <w:pPr>
              <w:spacing w:line="360" w:lineRule="auto"/>
              <w:jc w:val="center"/>
              <w:rPr>
                <w:rFonts w:ascii="仿宋" w:hAnsi="仿宋" w:eastAsia="仿宋" w:cs="仿宋"/>
                <w:color w:val="auto"/>
                <w:szCs w:val="21"/>
              </w:rPr>
            </w:pPr>
          </w:p>
        </w:tc>
        <w:tc>
          <w:tcPr>
            <w:tcW w:w="1953" w:type="dxa"/>
            <w:tcBorders>
              <w:left w:val="single" w:color="auto" w:sz="4" w:space="0"/>
              <w:right w:val="single" w:color="auto" w:sz="4" w:space="0"/>
            </w:tcBorders>
            <w:vAlign w:val="center"/>
          </w:tcPr>
          <w:p w14:paraId="3B53D308">
            <w:pPr>
              <w:spacing w:line="360" w:lineRule="auto"/>
              <w:jc w:val="center"/>
              <w:rPr>
                <w:rFonts w:ascii="仿宋" w:hAnsi="仿宋" w:eastAsia="仿宋" w:cs="仿宋"/>
                <w:color w:val="auto"/>
                <w:szCs w:val="21"/>
              </w:rPr>
            </w:pPr>
          </w:p>
        </w:tc>
        <w:tc>
          <w:tcPr>
            <w:tcW w:w="1078" w:type="dxa"/>
          </w:tcPr>
          <w:p w14:paraId="2107DBAD">
            <w:pPr>
              <w:spacing w:line="360" w:lineRule="auto"/>
              <w:jc w:val="center"/>
              <w:rPr>
                <w:rFonts w:ascii="仿宋" w:hAnsi="仿宋" w:eastAsia="仿宋" w:cs="仿宋"/>
                <w:color w:val="auto"/>
                <w:szCs w:val="21"/>
              </w:rPr>
            </w:pPr>
          </w:p>
        </w:tc>
      </w:tr>
      <w:tr w14:paraId="1E8D8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17" w:hRule="atLeast"/>
          <w:jc w:val="center"/>
        </w:trPr>
        <w:tc>
          <w:tcPr>
            <w:tcW w:w="549" w:type="dxa"/>
            <w:vAlign w:val="center"/>
          </w:tcPr>
          <w:p w14:paraId="7489D2E8">
            <w:pPr>
              <w:spacing w:line="360" w:lineRule="auto"/>
              <w:ind w:left="120"/>
              <w:jc w:val="center"/>
              <w:rPr>
                <w:rFonts w:ascii="仿宋" w:hAnsi="仿宋" w:eastAsia="仿宋" w:cs="仿宋"/>
                <w:color w:val="auto"/>
                <w:szCs w:val="21"/>
              </w:rPr>
            </w:pPr>
            <w:r>
              <w:rPr>
                <w:rFonts w:hint="eastAsia" w:ascii="仿宋" w:hAnsi="仿宋" w:eastAsia="仿宋" w:cs="仿宋"/>
                <w:color w:val="auto"/>
                <w:szCs w:val="21"/>
              </w:rPr>
              <w:t>...</w:t>
            </w:r>
          </w:p>
        </w:tc>
        <w:tc>
          <w:tcPr>
            <w:tcW w:w="1097" w:type="dxa"/>
            <w:vAlign w:val="center"/>
          </w:tcPr>
          <w:p w14:paraId="4DF6A0F1">
            <w:pPr>
              <w:spacing w:line="360" w:lineRule="auto"/>
              <w:jc w:val="center"/>
              <w:rPr>
                <w:rFonts w:ascii="仿宋" w:hAnsi="仿宋" w:eastAsia="仿宋" w:cs="仿宋"/>
                <w:color w:val="auto"/>
                <w:szCs w:val="21"/>
              </w:rPr>
            </w:pPr>
          </w:p>
        </w:tc>
        <w:tc>
          <w:tcPr>
            <w:tcW w:w="2179" w:type="dxa"/>
            <w:vAlign w:val="center"/>
          </w:tcPr>
          <w:p w14:paraId="55A8CA4E">
            <w:pPr>
              <w:spacing w:line="360" w:lineRule="auto"/>
              <w:jc w:val="center"/>
              <w:rPr>
                <w:rFonts w:ascii="仿宋" w:hAnsi="仿宋" w:eastAsia="仿宋" w:cs="仿宋"/>
                <w:color w:val="auto"/>
                <w:szCs w:val="21"/>
              </w:rPr>
            </w:pPr>
          </w:p>
        </w:tc>
        <w:tc>
          <w:tcPr>
            <w:tcW w:w="1243" w:type="dxa"/>
            <w:tcBorders>
              <w:left w:val="single" w:color="auto" w:sz="4" w:space="0"/>
              <w:right w:val="single" w:color="auto" w:sz="4" w:space="0"/>
            </w:tcBorders>
            <w:vAlign w:val="center"/>
          </w:tcPr>
          <w:p w14:paraId="665640E8">
            <w:pPr>
              <w:spacing w:line="360" w:lineRule="auto"/>
              <w:jc w:val="center"/>
              <w:rPr>
                <w:rFonts w:ascii="仿宋" w:hAnsi="仿宋" w:eastAsia="仿宋" w:cs="仿宋"/>
                <w:color w:val="auto"/>
                <w:szCs w:val="21"/>
              </w:rPr>
            </w:pPr>
          </w:p>
        </w:tc>
        <w:tc>
          <w:tcPr>
            <w:tcW w:w="1196" w:type="dxa"/>
            <w:tcBorders>
              <w:left w:val="single" w:color="auto" w:sz="4" w:space="0"/>
              <w:right w:val="single" w:color="auto" w:sz="4" w:space="0"/>
            </w:tcBorders>
            <w:vAlign w:val="center"/>
          </w:tcPr>
          <w:p w14:paraId="373D9039">
            <w:pPr>
              <w:spacing w:line="360" w:lineRule="auto"/>
              <w:jc w:val="center"/>
              <w:rPr>
                <w:rFonts w:ascii="仿宋" w:hAnsi="仿宋" w:eastAsia="仿宋" w:cs="仿宋"/>
                <w:color w:val="auto"/>
                <w:szCs w:val="21"/>
              </w:rPr>
            </w:pPr>
          </w:p>
        </w:tc>
        <w:tc>
          <w:tcPr>
            <w:tcW w:w="1953" w:type="dxa"/>
            <w:tcBorders>
              <w:left w:val="single" w:color="auto" w:sz="4" w:space="0"/>
              <w:right w:val="single" w:color="auto" w:sz="4" w:space="0"/>
            </w:tcBorders>
            <w:vAlign w:val="center"/>
          </w:tcPr>
          <w:p w14:paraId="1BF1EA5A">
            <w:pPr>
              <w:spacing w:line="360" w:lineRule="auto"/>
              <w:jc w:val="center"/>
              <w:rPr>
                <w:rFonts w:ascii="仿宋" w:hAnsi="仿宋" w:eastAsia="仿宋" w:cs="仿宋"/>
                <w:color w:val="auto"/>
                <w:szCs w:val="21"/>
              </w:rPr>
            </w:pPr>
          </w:p>
        </w:tc>
        <w:tc>
          <w:tcPr>
            <w:tcW w:w="1078" w:type="dxa"/>
            <w:vAlign w:val="center"/>
          </w:tcPr>
          <w:p w14:paraId="4DB63A70">
            <w:pPr>
              <w:spacing w:line="360" w:lineRule="auto"/>
              <w:jc w:val="center"/>
              <w:rPr>
                <w:rFonts w:ascii="仿宋" w:hAnsi="仿宋" w:eastAsia="仿宋" w:cs="仿宋"/>
                <w:color w:val="auto"/>
                <w:szCs w:val="21"/>
              </w:rPr>
            </w:pPr>
          </w:p>
        </w:tc>
      </w:tr>
    </w:tbl>
    <w:p w14:paraId="36B57912">
      <w:pPr>
        <w:rPr>
          <w:rFonts w:ascii="仿宋" w:hAnsi="仿宋" w:eastAsia="仿宋" w:cs="仿宋"/>
          <w:b/>
          <w:bCs/>
          <w:color w:val="auto"/>
          <w:sz w:val="22"/>
          <w:szCs w:val="21"/>
        </w:rPr>
      </w:pPr>
      <w:r>
        <w:rPr>
          <w:rFonts w:hint="eastAsia" w:ascii="仿宋" w:hAnsi="仿宋" w:eastAsia="仿宋" w:cs="仿宋"/>
          <w:b/>
          <w:bCs/>
          <w:color w:val="auto"/>
          <w:sz w:val="22"/>
          <w:szCs w:val="21"/>
        </w:rPr>
        <w:t>注：表后按填报的业绩顺序附</w:t>
      </w:r>
      <w:r>
        <w:rPr>
          <w:rFonts w:hint="eastAsia" w:ascii="仿宋" w:hAnsi="仿宋" w:eastAsia="仿宋" w:cs="仿宋"/>
          <w:b/>
          <w:bCs/>
          <w:color w:val="auto"/>
          <w:sz w:val="22"/>
          <w:szCs w:val="21"/>
          <w:lang w:val="en-US" w:eastAsia="zh-CN"/>
        </w:rPr>
        <w:t>成交</w:t>
      </w:r>
      <w:r>
        <w:rPr>
          <w:rFonts w:hint="eastAsia" w:ascii="仿宋" w:hAnsi="仿宋" w:eastAsia="仿宋" w:cs="仿宋"/>
          <w:b/>
          <w:bCs/>
          <w:color w:val="auto"/>
          <w:sz w:val="22"/>
          <w:szCs w:val="21"/>
        </w:rPr>
        <w:t>/中标通知书或合同加盖公章，材料应清晰可辨认。</w:t>
      </w:r>
    </w:p>
    <w:p w14:paraId="034F2EC3">
      <w:pPr>
        <w:shd w:val="clear"/>
        <w:tabs>
          <w:tab w:val="left" w:pos="2040"/>
        </w:tabs>
        <w:spacing w:line="360" w:lineRule="auto"/>
        <w:outlineLvl w:val="0"/>
        <w:rPr>
          <w:rFonts w:hint="eastAsia" w:ascii="仿宋" w:hAnsi="仿宋" w:eastAsia="仿宋" w:cs="仿宋"/>
          <w:b/>
          <w:color w:val="auto"/>
          <w:szCs w:val="21"/>
          <w:highlight w:val="none"/>
        </w:rPr>
      </w:pPr>
    </w:p>
    <w:p w14:paraId="588A311C">
      <w:pPr>
        <w:shd w:val="clear"/>
        <w:spacing w:line="360" w:lineRule="auto"/>
        <w:ind w:firstLine="3990" w:firstLineChars="1900"/>
        <w:rPr>
          <w:rFonts w:hint="eastAsia" w:ascii="仿宋" w:hAnsi="仿宋" w:eastAsia="仿宋" w:cs="仿宋"/>
          <w:color w:val="auto"/>
          <w:szCs w:val="21"/>
          <w:highlight w:val="none"/>
          <w:lang w:val="zh-CN"/>
        </w:rPr>
      </w:pPr>
    </w:p>
    <w:p w14:paraId="452583A6">
      <w:pPr>
        <w:shd w:val="clear"/>
        <w:spacing w:line="360" w:lineRule="auto"/>
        <w:rPr>
          <w:rFonts w:hint="eastAsia" w:ascii="仿宋" w:hAnsi="仿宋" w:eastAsia="仿宋" w:cs="仿宋"/>
          <w:color w:val="auto"/>
          <w:szCs w:val="21"/>
          <w:highlight w:val="none"/>
          <w:lang w:val="zh-CN"/>
        </w:rPr>
      </w:pPr>
    </w:p>
    <w:p w14:paraId="69E37EA5">
      <w:pPr>
        <w:shd w:val="clear"/>
        <w:spacing w:line="360" w:lineRule="auto"/>
        <w:ind w:firstLine="3990" w:firstLineChars="19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投标人：（公章）</w:t>
      </w:r>
    </w:p>
    <w:p w14:paraId="67E0D179">
      <w:pPr>
        <w:shd w:val="clear"/>
        <w:spacing w:line="360" w:lineRule="auto"/>
        <w:ind w:firstLine="3990" w:firstLineChars="19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法定代表人或授权代表：（签字）</w:t>
      </w:r>
    </w:p>
    <w:p w14:paraId="3411FCB4">
      <w:pPr>
        <w:shd w:val="clear"/>
        <w:spacing w:line="420" w:lineRule="exact"/>
        <w:ind w:firstLine="3990" w:firstLineChars="19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日期：</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年</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月</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日</w:t>
      </w:r>
    </w:p>
    <w:p w14:paraId="5689E846">
      <w:pPr>
        <w:shd w:val="clear"/>
        <w:tabs>
          <w:tab w:val="left" w:pos="2040"/>
        </w:tabs>
        <w:spacing w:line="360" w:lineRule="auto"/>
        <w:outlineLvl w:val="0"/>
        <w:rPr>
          <w:rFonts w:hint="eastAsia" w:ascii="仿宋" w:hAnsi="仿宋" w:eastAsia="仿宋" w:cs="仿宋"/>
          <w:b/>
          <w:color w:val="auto"/>
          <w:szCs w:val="21"/>
          <w:highlight w:val="none"/>
        </w:rPr>
      </w:pPr>
    </w:p>
    <w:p w14:paraId="1EFD0621">
      <w:pPr>
        <w:shd w:val="clear"/>
        <w:tabs>
          <w:tab w:val="left" w:pos="2040"/>
        </w:tabs>
        <w:spacing w:line="360" w:lineRule="auto"/>
        <w:outlineLvl w:val="0"/>
        <w:rPr>
          <w:rFonts w:hint="eastAsia" w:ascii="仿宋" w:hAnsi="仿宋" w:eastAsia="仿宋" w:cs="仿宋"/>
          <w:b/>
          <w:color w:val="auto"/>
          <w:szCs w:val="21"/>
          <w:highlight w:val="none"/>
        </w:rPr>
      </w:pPr>
    </w:p>
    <w:p w14:paraId="0E3930A2">
      <w:pPr>
        <w:shd w:val="clear"/>
        <w:tabs>
          <w:tab w:val="left" w:pos="2040"/>
        </w:tabs>
        <w:spacing w:line="360" w:lineRule="auto"/>
        <w:outlineLvl w:val="0"/>
        <w:rPr>
          <w:rFonts w:hint="eastAsia" w:ascii="仿宋" w:hAnsi="仿宋" w:eastAsia="仿宋" w:cs="仿宋"/>
          <w:b/>
          <w:color w:val="auto"/>
          <w:szCs w:val="21"/>
          <w:highlight w:val="none"/>
        </w:rPr>
      </w:pPr>
    </w:p>
    <w:p w14:paraId="6FA23B38">
      <w:pPr>
        <w:shd w:val="clear"/>
        <w:tabs>
          <w:tab w:val="left" w:pos="2040"/>
        </w:tabs>
        <w:spacing w:line="360" w:lineRule="auto"/>
        <w:outlineLvl w:val="0"/>
        <w:rPr>
          <w:rFonts w:hint="eastAsia" w:ascii="仿宋" w:hAnsi="仿宋" w:eastAsia="仿宋" w:cs="仿宋"/>
          <w:b/>
          <w:color w:val="auto"/>
          <w:szCs w:val="21"/>
          <w:highlight w:val="none"/>
        </w:rPr>
      </w:pPr>
    </w:p>
    <w:p w14:paraId="2AD53736">
      <w:pPr>
        <w:shd w:val="clear"/>
        <w:tabs>
          <w:tab w:val="left" w:pos="2040"/>
        </w:tabs>
        <w:spacing w:line="360" w:lineRule="auto"/>
        <w:outlineLvl w:val="0"/>
        <w:rPr>
          <w:rFonts w:hint="eastAsia" w:ascii="仿宋" w:hAnsi="仿宋" w:eastAsia="仿宋" w:cs="仿宋"/>
          <w:b/>
          <w:color w:val="auto"/>
          <w:szCs w:val="21"/>
          <w:highlight w:val="none"/>
        </w:rPr>
      </w:pPr>
    </w:p>
    <w:p w14:paraId="586C25F9">
      <w:pPr>
        <w:shd w:val="clear"/>
        <w:tabs>
          <w:tab w:val="left" w:pos="2040"/>
        </w:tabs>
        <w:spacing w:line="360" w:lineRule="auto"/>
        <w:outlineLvl w:val="0"/>
        <w:rPr>
          <w:rFonts w:hint="eastAsia" w:ascii="仿宋" w:hAnsi="仿宋" w:eastAsia="仿宋" w:cs="仿宋"/>
          <w:b/>
          <w:color w:val="auto"/>
          <w:szCs w:val="21"/>
          <w:highlight w:val="none"/>
        </w:rPr>
      </w:pPr>
    </w:p>
    <w:p w14:paraId="4368E19A">
      <w:pPr>
        <w:shd w:val="clear"/>
        <w:tabs>
          <w:tab w:val="left" w:pos="2040"/>
        </w:tabs>
        <w:spacing w:line="360" w:lineRule="auto"/>
        <w:outlineLvl w:val="0"/>
        <w:rPr>
          <w:rFonts w:hint="eastAsia" w:ascii="仿宋" w:hAnsi="仿宋" w:eastAsia="仿宋" w:cs="仿宋"/>
          <w:b/>
          <w:color w:val="auto"/>
          <w:szCs w:val="21"/>
          <w:highlight w:val="none"/>
        </w:rPr>
      </w:pPr>
    </w:p>
    <w:p w14:paraId="4813EE79">
      <w:pPr>
        <w:shd w:val="clear"/>
        <w:adjustRightInd w:val="0"/>
        <w:spacing w:line="400" w:lineRule="exact"/>
        <w:jc w:val="center"/>
        <w:rPr>
          <w:rFonts w:hint="eastAsia" w:ascii="仿宋" w:hAnsi="仿宋" w:eastAsia="仿宋" w:cs="仿宋"/>
          <w:b/>
          <w:color w:val="auto"/>
          <w:kern w:val="2"/>
          <w:sz w:val="32"/>
          <w:highlight w:val="none"/>
          <w:lang w:val="en-US" w:eastAsia="zh-CN" w:bidi="ar-SA"/>
        </w:rPr>
      </w:pPr>
    </w:p>
    <w:p w14:paraId="6B21BC6B">
      <w:pPr>
        <w:shd w:val="clear"/>
        <w:jc w:val="center"/>
        <w:outlineLvl w:val="0"/>
        <w:rPr>
          <w:rFonts w:hint="eastAsia" w:ascii="仿宋" w:hAnsi="仿宋" w:eastAsia="仿宋" w:cs="仿宋"/>
          <w:b/>
          <w:color w:val="auto"/>
          <w:sz w:val="32"/>
          <w:highlight w:val="none"/>
          <w:lang w:val="en-US" w:eastAsia="zh-CN"/>
        </w:rPr>
      </w:pPr>
      <w:r>
        <w:rPr>
          <w:rFonts w:hint="eastAsia" w:ascii="仿宋" w:hAnsi="仿宋" w:eastAsia="仿宋" w:cs="仿宋"/>
          <w:b/>
          <w:color w:val="auto"/>
          <w:sz w:val="32"/>
          <w:highlight w:val="none"/>
          <w:lang w:val="en-US" w:eastAsia="zh-CN"/>
        </w:rPr>
        <w:t>第5部分  投标人认为有必要补充说明的事项</w:t>
      </w:r>
    </w:p>
    <w:p w14:paraId="0E3D2D9D">
      <w:pPr>
        <w:shd w:val="clear"/>
        <w:spacing w:line="360" w:lineRule="auto"/>
        <w:ind w:firstLine="420" w:firstLineChars="200"/>
        <w:rPr>
          <w:rFonts w:hint="eastAsia" w:ascii="仿宋" w:hAnsi="仿宋" w:eastAsia="仿宋" w:cs="仿宋"/>
          <w:color w:val="auto"/>
          <w:szCs w:val="21"/>
          <w:highlight w:val="none"/>
        </w:rPr>
      </w:pPr>
    </w:p>
    <w:p w14:paraId="3998CEAF">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说明：投标人自定，格式内容自拟</w:t>
      </w:r>
    </w:p>
    <w:p w14:paraId="2B9AF179">
      <w:pPr>
        <w:shd w:val="clear"/>
        <w:adjustRightInd w:val="0"/>
        <w:snapToGrid w:val="0"/>
        <w:spacing w:line="360" w:lineRule="auto"/>
        <w:ind w:firstLine="525" w:firstLineChars="250"/>
        <w:rPr>
          <w:rFonts w:hint="eastAsia" w:ascii="楷体" w:hAnsi="楷体" w:eastAsia="楷体" w:cs="楷体"/>
          <w:bCs/>
          <w:color w:val="auto"/>
          <w:szCs w:val="21"/>
          <w:highlight w:val="none"/>
        </w:rPr>
      </w:pPr>
    </w:p>
    <w:p w14:paraId="46C7FA6C">
      <w:pPr>
        <w:shd w:val="clear"/>
        <w:adjustRightInd w:val="0"/>
        <w:snapToGrid w:val="0"/>
        <w:spacing w:line="360" w:lineRule="auto"/>
        <w:ind w:firstLine="525" w:firstLineChars="250"/>
        <w:rPr>
          <w:rFonts w:hint="eastAsia" w:ascii="楷体" w:hAnsi="楷体" w:eastAsia="楷体" w:cs="楷体"/>
          <w:bCs/>
          <w:color w:val="auto"/>
          <w:szCs w:val="21"/>
          <w:highlight w:val="none"/>
        </w:rPr>
      </w:pPr>
    </w:p>
    <w:p w14:paraId="016D4414">
      <w:pPr>
        <w:shd w:val="clear"/>
        <w:adjustRightInd w:val="0"/>
        <w:snapToGrid w:val="0"/>
        <w:spacing w:afterLines="50" w:line="360" w:lineRule="auto"/>
        <w:jc w:val="left"/>
        <w:rPr>
          <w:rFonts w:hint="eastAsia" w:ascii="楷体" w:hAnsi="楷体" w:eastAsia="楷体" w:cs="楷体"/>
          <w:bCs/>
          <w:color w:val="auto"/>
          <w:sz w:val="36"/>
          <w:szCs w:val="36"/>
          <w:highlight w:val="none"/>
        </w:rPr>
      </w:pPr>
    </w:p>
    <w:p w14:paraId="260D2CBA">
      <w:pPr>
        <w:shd w:val="clear"/>
        <w:adjustRightInd w:val="0"/>
        <w:snapToGrid w:val="0"/>
        <w:spacing w:afterLines="50" w:line="360" w:lineRule="auto"/>
        <w:jc w:val="left"/>
        <w:rPr>
          <w:rFonts w:hint="eastAsia" w:ascii="楷体" w:hAnsi="楷体" w:eastAsia="楷体" w:cs="楷体"/>
          <w:bCs/>
          <w:color w:val="auto"/>
          <w:sz w:val="36"/>
          <w:szCs w:val="36"/>
          <w:highlight w:val="none"/>
        </w:rPr>
      </w:pPr>
    </w:p>
    <w:p w14:paraId="4650F332">
      <w:pPr>
        <w:shd w:val="clear"/>
        <w:adjustRightInd w:val="0"/>
        <w:snapToGrid w:val="0"/>
        <w:spacing w:afterLines="50" w:line="360" w:lineRule="auto"/>
        <w:jc w:val="left"/>
        <w:rPr>
          <w:rFonts w:hint="eastAsia" w:ascii="楷体" w:hAnsi="楷体" w:eastAsia="楷体" w:cs="楷体"/>
          <w:bCs/>
          <w:color w:val="auto"/>
          <w:sz w:val="36"/>
          <w:szCs w:val="36"/>
          <w:highlight w:val="none"/>
        </w:rPr>
      </w:pPr>
    </w:p>
    <w:p w14:paraId="5BC70B4E">
      <w:pPr>
        <w:shd w:val="clear"/>
        <w:adjustRightInd w:val="0"/>
        <w:snapToGrid w:val="0"/>
        <w:spacing w:afterLines="50" w:line="360" w:lineRule="auto"/>
        <w:jc w:val="left"/>
        <w:rPr>
          <w:rFonts w:hint="eastAsia" w:ascii="楷体" w:hAnsi="楷体" w:eastAsia="楷体" w:cs="楷体"/>
          <w:bCs/>
          <w:color w:val="auto"/>
          <w:sz w:val="36"/>
          <w:szCs w:val="36"/>
          <w:highlight w:val="none"/>
        </w:rPr>
      </w:pPr>
    </w:p>
    <w:p w14:paraId="19CB43BC">
      <w:pPr>
        <w:shd w:val="clear"/>
        <w:adjustRightInd w:val="0"/>
        <w:snapToGrid w:val="0"/>
        <w:spacing w:afterLines="50" w:line="360" w:lineRule="auto"/>
        <w:jc w:val="left"/>
        <w:rPr>
          <w:rFonts w:hint="eastAsia" w:ascii="楷体" w:hAnsi="楷体" w:eastAsia="楷体" w:cs="楷体"/>
          <w:bCs/>
          <w:color w:val="auto"/>
          <w:sz w:val="36"/>
          <w:szCs w:val="36"/>
          <w:highlight w:val="none"/>
        </w:rPr>
      </w:pPr>
    </w:p>
    <w:p w14:paraId="7A3695F2">
      <w:pPr>
        <w:shd w:val="clear"/>
        <w:adjustRightInd w:val="0"/>
        <w:snapToGrid w:val="0"/>
        <w:spacing w:afterLines="50" w:line="360" w:lineRule="auto"/>
        <w:jc w:val="left"/>
        <w:rPr>
          <w:rFonts w:hint="eastAsia" w:ascii="楷体" w:hAnsi="楷体" w:eastAsia="楷体" w:cs="楷体"/>
          <w:bCs/>
          <w:color w:val="auto"/>
          <w:sz w:val="36"/>
          <w:szCs w:val="36"/>
          <w:highlight w:val="none"/>
        </w:rPr>
      </w:pPr>
    </w:p>
    <w:p w14:paraId="20644C38">
      <w:pPr>
        <w:shd w:val="clear"/>
        <w:adjustRightInd w:val="0"/>
        <w:snapToGrid w:val="0"/>
        <w:spacing w:afterLines="50" w:line="360" w:lineRule="auto"/>
        <w:jc w:val="left"/>
        <w:rPr>
          <w:rFonts w:hint="eastAsia" w:ascii="楷体" w:hAnsi="楷体" w:eastAsia="楷体" w:cs="楷体"/>
          <w:bCs/>
          <w:color w:val="auto"/>
          <w:sz w:val="36"/>
          <w:szCs w:val="36"/>
          <w:highlight w:val="none"/>
        </w:rPr>
      </w:pPr>
    </w:p>
    <w:p w14:paraId="52FB22EF">
      <w:pPr>
        <w:shd w:val="clear"/>
        <w:adjustRightInd w:val="0"/>
        <w:snapToGrid w:val="0"/>
        <w:spacing w:afterLines="50" w:line="360" w:lineRule="auto"/>
        <w:jc w:val="left"/>
        <w:rPr>
          <w:rFonts w:hint="eastAsia" w:ascii="楷体" w:hAnsi="楷体" w:eastAsia="楷体" w:cs="楷体"/>
          <w:bCs/>
          <w:color w:val="auto"/>
          <w:sz w:val="36"/>
          <w:szCs w:val="36"/>
          <w:highlight w:val="none"/>
        </w:rPr>
      </w:pPr>
    </w:p>
    <w:p w14:paraId="6523B428">
      <w:pPr>
        <w:shd w:val="clear"/>
        <w:adjustRightInd w:val="0"/>
        <w:snapToGrid w:val="0"/>
        <w:spacing w:afterLines="50" w:line="360" w:lineRule="auto"/>
        <w:jc w:val="left"/>
        <w:rPr>
          <w:rFonts w:hint="eastAsia" w:ascii="楷体" w:hAnsi="楷体" w:eastAsia="楷体" w:cs="楷体"/>
          <w:bCs/>
          <w:color w:val="auto"/>
          <w:sz w:val="36"/>
          <w:szCs w:val="36"/>
          <w:highlight w:val="none"/>
        </w:rPr>
      </w:pPr>
    </w:p>
    <w:p w14:paraId="478333FF">
      <w:pPr>
        <w:shd w:val="clear"/>
        <w:adjustRightInd w:val="0"/>
        <w:snapToGrid w:val="0"/>
        <w:spacing w:afterLines="50" w:line="360" w:lineRule="auto"/>
        <w:jc w:val="left"/>
        <w:rPr>
          <w:rFonts w:hint="eastAsia" w:ascii="楷体" w:hAnsi="楷体" w:eastAsia="楷体" w:cs="楷体"/>
          <w:bCs/>
          <w:color w:val="auto"/>
          <w:sz w:val="36"/>
          <w:szCs w:val="36"/>
          <w:highlight w:val="none"/>
        </w:rPr>
      </w:pPr>
    </w:p>
    <w:p w14:paraId="7C54668F">
      <w:pPr>
        <w:shd w:val="clear"/>
        <w:adjustRightInd w:val="0"/>
        <w:snapToGrid w:val="0"/>
        <w:spacing w:afterLines="50" w:line="360" w:lineRule="auto"/>
        <w:jc w:val="left"/>
        <w:rPr>
          <w:rFonts w:hint="eastAsia" w:ascii="楷体" w:hAnsi="楷体" w:eastAsia="楷体" w:cs="楷体"/>
          <w:bCs/>
          <w:color w:val="auto"/>
          <w:sz w:val="36"/>
          <w:szCs w:val="36"/>
          <w:highlight w:val="none"/>
        </w:rPr>
      </w:pPr>
    </w:p>
    <w:p w14:paraId="7C1F9382">
      <w:pPr>
        <w:pStyle w:val="57"/>
        <w:shd w:val="clear"/>
        <w:rPr>
          <w:rFonts w:hint="eastAsia" w:ascii="楷体" w:hAnsi="楷体" w:eastAsia="楷体" w:cs="楷体"/>
          <w:bCs/>
          <w:color w:val="auto"/>
          <w:sz w:val="36"/>
          <w:szCs w:val="36"/>
          <w:highlight w:val="none"/>
        </w:rPr>
      </w:pPr>
    </w:p>
    <w:p w14:paraId="2B09AFF7">
      <w:pPr>
        <w:pStyle w:val="57"/>
        <w:shd w:val="clear"/>
        <w:rPr>
          <w:rFonts w:hint="eastAsia" w:ascii="楷体" w:hAnsi="楷体" w:eastAsia="楷体" w:cs="楷体"/>
          <w:bCs/>
          <w:color w:val="auto"/>
          <w:sz w:val="36"/>
          <w:szCs w:val="36"/>
          <w:highlight w:val="none"/>
        </w:rPr>
      </w:pPr>
    </w:p>
    <w:p w14:paraId="4FC9D8D4">
      <w:pPr>
        <w:pStyle w:val="57"/>
        <w:shd w:val="clear"/>
        <w:rPr>
          <w:rFonts w:hint="eastAsia" w:ascii="楷体" w:hAnsi="楷体" w:eastAsia="楷体" w:cs="楷体"/>
          <w:bCs/>
          <w:color w:val="auto"/>
          <w:sz w:val="36"/>
          <w:szCs w:val="36"/>
          <w:highlight w:val="none"/>
        </w:rPr>
      </w:pPr>
    </w:p>
    <w:p w14:paraId="155F75F0">
      <w:pPr>
        <w:pStyle w:val="57"/>
        <w:shd w:val="clear"/>
        <w:rPr>
          <w:rFonts w:hint="eastAsia" w:ascii="楷体" w:hAnsi="楷体" w:eastAsia="楷体" w:cs="楷体"/>
          <w:bCs/>
          <w:color w:val="auto"/>
          <w:sz w:val="36"/>
          <w:szCs w:val="36"/>
          <w:highlight w:val="none"/>
        </w:rPr>
      </w:pPr>
    </w:p>
    <w:p w14:paraId="7805ACC4">
      <w:pPr>
        <w:pStyle w:val="2"/>
        <w:shd w:val="clear"/>
        <w:jc w:val="both"/>
        <w:outlineLvl w:val="9"/>
        <w:rPr>
          <w:rFonts w:hint="eastAsia" w:ascii="楷体" w:hAnsi="楷体" w:eastAsia="楷体" w:cs="楷体"/>
          <w:b/>
          <w:bCs/>
          <w:color w:val="auto"/>
          <w:sz w:val="24"/>
          <w:szCs w:val="24"/>
          <w:highlight w:val="none"/>
        </w:rPr>
      </w:pPr>
    </w:p>
    <w:p w14:paraId="6553AFAC">
      <w:pPr>
        <w:pStyle w:val="2"/>
        <w:shd w:val="clear"/>
        <w:jc w:val="center"/>
        <w:outlineLvl w:val="0"/>
        <w:rPr>
          <w:rFonts w:hint="eastAsia" w:ascii="仿宋" w:hAnsi="仿宋" w:eastAsia="仿宋" w:cs="仿宋"/>
          <w:b/>
          <w:bCs w:val="0"/>
          <w:color w:val="auto"/>
          <w:kern w:val="2"/>
          <w:sz w:val="32"/>
          <w:szCs w:val="20"/>
          <w:highlight w:val="none"/>
          <w:lang w:val="en-US" w:eastAsia="zh-CN" w:bidi="ar-SA"/>
        </w:rPr>
      </w:pPr>
      <w:bookmarkStart w:id="551" w:name="_Toc19458"/>
      <w:bookmarkStart w:id="552" w:name="_Toc27263"/>
      <w:r>
        <w:rPr>
          <w:rFonts w:hint="eastAsia" w:ascii="仿宋" w:hAnsi="仿宋" w:eastAsia="仿宋" w:cs="仿宋"/>
          <w:b/>
          <w:bCs w:val="0"/>
          <w:color w:val="auto"/>
          <w:kern w:val="2"/>
          <w:sz w:val="32"/>
          <w:szCs w:val="20"/>
          <w:highlight w:val="none"/>
          <w:lang w:val="en-US" w:eastAsia="zh-CN" w:bidi="ar-SA"/>
        </w:rPr>
        <w:t>第6部分  投标人资格证明文件</w:t>
      </w:r>
      <w:bookmarkEnd w:id="551"/>
      <w:bookmarkEnd w:id="552"/>
    </w:p>
    <w:p w14:paraId="6DA3C5A2">
      <w:pPr>
        <w:shd w:val="clear"/>
        <w:rPr>
          <w:rFonts w:hint="eastAsia" w:ascii="楷体" w:hAnsi="楷体" w:eastAsia="楷体" w:cs="楷体"/>
          <w:color w:val="auto"/>
          <w:highlight w:val="none"/>
        </w:rPr>
      </w:pPr>
    </w:p>
    <w:p w14:paraId="2AE3D292">
      <w:pPr>
        <w:pStyle w:val="2"/>
        <w:shd w:val="clear"/>
        <w:jc w:val="center"/>
        <w:outlineLvl w:val="1"/>
        <w:rPr>
          <w:rFonts w:hint="eastAsia" w:ascii="仿宋" w:hAnsi="仿宋" w:eastAsia="仿宋" w:cs="仿宋"/>
          <w:b/>
          <w:bCs/>
          <w:color w:val="auto"/>
          <w:kern w:val="2"/>
          <w:sz w:val="24"/>
          <w:szCs w:val="24"/>
          <w:highlight w:val="none"/>
          <w:lang w:val="en-US" w:eastAsia="zh-CN" w:bidi="ar-SA"/>
        </w:rPr>
      </w:pPr>
      <w:bookmarkStart w:id="553" w:name="_Toc6291"/>
      <w:bookmarkStart w:id="554" w:name="_Toc26424"/>
      <w:r>
        <w:rPr>
          <w:rFonts w:hint="eastAsia" w:ascii="仿宋" w:hAnsi="仿宋" w:eastAsia="仿宋" w:cs="仿宋"/>
          <w:b/>
          <w:bCs/>
          <w:color w:val="auto"/>
          <w:kern w:val="2"/>
          <w:sz w:val="24"/>
          <w:szCs w:val="24"/>
          <w:highlight w:val="none"/>
          <w:lang w:val="en-US" w:eastAsia="zh-CN" w:bidi="ar-SA"/>
        </w:rPr>
        <w:t>1.投标人基本情况表</w:t>
      </w:r>
      <w:bookmarkEnd w:id="553"/>
      <w:bookmarkEnd w:id="554"/>
    </w:p>
    <w:tbl>
      <w:tblPr>
        <w:tblStyle w:val="42"/>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814"/>
        <w:gridCol w:w="1382"/>
      </w:tblGrid>
      <w:tr w14:paraId="4CABD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vAlign w:val="center"/>
          </w:tcPr>
          <w:p w14:paraId="3A9E0C0C">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p>
        </w:tc>
        <w:tc>
          <w:tcPr>
            <w:tcW w:w="7016" w:type="dxa"/>
            <w:gridSpan w:val="9"/>
            <w:vAlign w:val="center"/>
          </w:tcPr>
          <w:p w14:paraId="54DB6EE1">
            <w:pPr>
              <w:shd w:val="clear"/>
              <w:topLinePunct/>
              <w:spacing w:line="440" w:lineRule="exact"/>
              <w:jc w:val="center"/>
              <w:rPr>
                <w:rFonts w:hint="eastAsia" w:ascii="仿宋" w:hAnsi="仿宋" w:eastAsia="仿宋" w:cs="仿宋"/>
                <w:color w:val="auto"/>
                <w:szCs w:val="21"/>
                <w:highlight w:val="none"/>
              </w:rPr>
            </w:pPr>
          </w:p>
        </w:tc>
      </w:tr>
      <w:tr w14:paraId="0CBDB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vAlign w:val="center"/>
          </w:tcPr>
          <w:p w14:paraId="5777AB04">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统一社会信用代码</w:t>
            </w:r>
          </w:p>
        </w:tc>
        <w:tc>
          <w:tcPr>
            <w:tcW w:w="1416" w:type="dxa"/>
            <w:vAlign w:val="center"/>
          </w:tcPr>
          <w:p w14:paraId="67923C44">
            <w:pPr>
              <w:shd w:val="clear"/>
              <w:topLinePunct/>
              <w:spacing w:line="440" w:lineRule="exact"/>
              <w:jc w:val="center"/>
              <w:rPr>
                <w:rFonts w:hint="eastAsia" w:ascii="仿宋" w:hAnsi="仿宋" w:eastAsia="仿宋" w:cs="仿宋"/>
                <w:color w:val="auto"/>
                <w:szCs w:val="21"/>
                <w:highlight w:val="none"/>
              </w:rPr>
            </w:pPr>
          </w:p>
        </w:tc>
        <w:tc>
          <w:tcPr>
            <w:tcW w:w="1419" w:type="dxa"/>
            <w:gridSpan w:val="3"/>
            <w:vAlign w:val="center"/>
          </w:tcPr>
          <w:p w14:paraId="2E835A48">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注册资金</w:t>
            </w:r>
          </w:p>
        </w:tc>
        <w:tc>
          <w:tcPr>
            <w:tcW w:w="1418" w:type="dxa"/>
            <w:vAlign w:val="center"/>
          </w:tcPr>
          <w:p w14:paraId="4CEBE077">
            <w:pPr>
              <w:shd w:val="clear"/>
              <w:topLinePunct/>
              <w:jc w:val="center"/>
              <w:rPr>
                <w:rFonts w:hint="eastAsia" w:ascii="仿宋" w:hAnsi="仿宋" w:eastAsia="仿宋" w:cs="仿宋"/>
                <w:color w:val="auto"/>
                <w:szCs w:val="21"/>
                <w:highlight w:val="none"/>
              </w:rPr>
            </w:pPr>
          </w:p>
        </w:tc>
        <w:tc>
          <w:tcPr>
            <w:tcW w:w="1381" w:type="dxa"/>
            <w:gridSpan w:val="3"/>
            <w:vAlign w:val="center"/>
          </w:tcPr>
          <w:p w14:paraId="00AA3915">
            <w:pPr>
              <w:shd w:val="clear"/>
              <w:topLinePunct/>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成立时间</w:t>
            </w:r>
          </w:p>
        </w:tc>
        <w:tc>
          <w:tcPr>
            <w:tcW w:w="1382" w:type="dxa"/>
            <w:vAlign w:val="center"/>
          </w:tcPr>
          <w:p w14:paraId="60FA2BDC">
            <w:pPr>
              <w:shd w:val="clear"/>
              <w:topLinePunct/>
              <w:spacing w:line="440" w:lineRule="exact"/>
              <w:jc w:val="center"/>
              <w:rPr>
                <w:rFonts w:hint="eastAsia" w:ascii="仿宋" w:hAnsi="仿宋" w:eastAsia="仿宋" w:cs="仿宋"/>
                <w:color w:val="auto"/>
                <w:szCs w:val="21"/>
                <w:highlight w:val="none"/>
              </w:rPr>
            </w:pPr>
          </w:p>
        </w:tc>
      </w:tr>
      <w:tr w14:paraId="78E0A0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vAlign w:val="center"/>
          </w:tcPr>
          <w:p w14:paraId="2B27383E">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注册地址</w:t>
            </w:r>
          </w:p>
        </w:tc>
        <w:tc>
          <w:tcPr>
            <w:tcW w:w="4253" w:type="dxa"/>
            <w:gridSpan w:val="5"/>
            <w:vAlign w:val="center"/>
          </w:tcPr>
          <w:p w14:paraId="1A5F15B2">
            <w:pPr>
              <w:shd w:val="clear"/>
              <w:topLinePunct/>
              <w:spacing w:line="440" w:lineRule="exact"/>
              <w:jc w:val="center"/>
              <w:rPr>
                <w:rFonts w:hint="eastAsia" w:ascii="仿宋" w:hAnsi="仿宋" w:eastAsia="仿宋" w:cs="仿宋"/>
                <w:color w:val="auto"/>
                <w:szCs w:val="21"/>
                <w:highlight w:val="none"/>
              </w:rPr>
            </w:pPr>
          </w:p>
        </w:tc>
        <w:tc>
          <w:tcPr>
            <w:tcW w:w="1381" w:type="dxa"/>
            <w:gridSpan w:val="3"/>
            <w:vAlign w:val="center"/>
          </w:tcPr>
          <w:p w14:paraId="080E41CD">
            <w:pPr>
              <w:shd w:val="clear"/>
              <w:topLinePunct/>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资产总额</w:t>
            </w:r>
          </w:p>
        </w:tc>
        <w:tc>
          <w:tcPr>
            <w:tcW w:w="1382" w:type="dxa"/>
            <w:vAlign w:val="center"/>
          </w:tcPr>
          <w:p w14:paraId="3AA8FB4B">
            <w:pPr>
              <w:shd w:val="clear"/>
              <w:topLinePunct/>
              <w:spacing w:line="440" w:lineRule="exact"/>
              <w:jc w:val="center"/>
              <w:rPr>
                <w:rFonts w:hint="eastAsia" w:ascii="仿宋" w:hAnsi="仿宋" w:eastAsia="仿宋" w:cs="仿宋"/>
                <w:color w:val="auto"/>
                <w:szCs w:val="21"/>
                <w:highlight w:val="none"/>
              </w:rPr>
            </w:pPr>
          </w:p>
        </w:tc>
      </w:tr>
      <w:tr w14:paraId="5B419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16448805">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上年营业额</w:t>
            </w:r>
          </w:p>
        </w:tc>
        <w:tc>
          <w:tcPr>
            <w:tcW w:w="1416" w:type="dxa"/>
            <w:vAlign w:val="center"/>
          </w:tcPr>
          <w:p w14:paraId="481E44D6">
            <w:pPr>
              <w:shd w:val="clear"/>
              <w:topLinePunct/>
              <w:jc w:val="center"/>
              <w:rPr>
                <w:rFonts w:hint="eastAsia" w:ascii="仿宋" w:hAnsi="仿宋" w:eastAsia="仿宋" w:cs="仿宋"/>
                <w:color w:val="auto"/>
                <w:szCs w:val="21"/>
                <w:highlight w:val="none"/>
              </w:rPr>
            </w:pPr>
          </w:p>
        </w:tc>
        <w:tc>
          <w:tcPr>
            <w:tcW w:w="1419" w:type="dxa"/>
            <w:gridSpan w:val="3"/>
            <w:vAlign w:val="center"/>
          </w:tcPr>
          <w:p w14:paraId="1376CB81">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员工总人数</w:t>
            </w:r>
          </w:p>
        </w:tc>
        <w:tc>
          <w:tcPr>
            <w:tcW w:w="1418" w:type="dxa"/>
            <w:vAlign w:val="center"/>
          </w:tcPr>
          <w:p w14:paraId="18BF94D5">
            <w:pPr>
              <w:shd w:val="clear"/>
              <w:topLinePunct/>
              <w:jc w:val="center"/>
              <w:rPr>
                <w:rFonts w:hint="eastAsia" w:ascii="仿宋" w:hAnsi="仿宋" w:eastAsia="仿宋" w:cs="仿宋"/>
                <w:color w:val="auto"/>
                <w:szCs w:val="21"/>
                <w:highlight w:val="none"/>
              </w:rPr>
            </w:pPr>
          </w:p>
        </w:tc>
        <w:tc>
          <w:tcPr>
            <w:tcW w:w="1381" w:type="dxa"/>
            <w:gridSpan w:val="3"/>
            <w:vAlign w:val="center"/>
          </w:tcPr>
          <w:p w14:paraId="7E53F136">
            <w:pPr>
              <w:shd w:val="clear"/>
              <w:topLinePunct/>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企业类型</w:t>
            </w:r>
          </w:p>
        </w:tc>
        <w:tc>
          <w:tcPr>
            <w:tcW w:w="1382" w:type="dxa"/>
            <w:vAlign w:val="center"/>
          </w:tcPr>
          <w:p w14:paraId="4AC30C60">
            <w:pPr>
              <w:shd w:val="clear"/>
              <w:topLinePunct/>
              <w:spacing w:line="440" w:lineRule="exact"/>
              <w:jc w:val="center"/>
              <w:rPr>
                <w:rFonts w:hint="eastAsia" w:ascii="仿宋" w:hAnsi="仿宋" w:eastAsia="仿宋" w:cs="仿宋"/>
                <w:color w:val="auto"/>
                <w:szCs w:val="21"/>
                <w:highlight w:val="none"/>
              </w:rPr>
            </w:pPr>
          </w:p>
        </w:tc>
      </w:tr>
      <w:tr w14:paraId="406E8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4FFB9CE8">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w:t>
            </w:r>
          </w:p>
          <w:p w14:paraId="28117ED3">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（单位负责人）</w:t>
            </w:r>
          </w:p>
        </w:tc>
        <w:tc>
          <w:tcPr>
            <w:tcW w:w="1416" w:type="dxa"/>
            <w:vMerge w:val="restart"/>
            <w:vAlign w:val="center"/>
          </w:tcPr>
          <w:p w14:paraId="4ED866A7">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姓名</w:t>
            </w:r>
          </w:p>
        </w:tc>
        <w:tc>
          <w:tcPr>
            <w:tcW w:w="1419" w:type="dxa"/>
            <w:gridSpan w:val="3"/>
            <w:vMerge w:val="restart"/>
            <w:vAlign w:val="center"/>
          </w:tcPr>
          <w:p w14:paraId="7058EE2F">
            <w:pPr>
              <w:shd w:val="clear"/>
              <w:topLinePunct/>
              <w:jc w:val="center"/>
              <w:rPr>
                <w:rFonts w:hint="eastAsia" w:ascii="仿宋" w:hAnsi="仿宋" w:eastAsia="仿宋" w:cs="仿宋"/>
                <w:color w:val="auto"/>
                <w:szCs w:val="21"/>
                <w:highlight w:val="none"/>
              </w:rPr>
            </w:pPr>
          </w:p>
        </w:tc>
        <w:tc>
          <w:tcPr>
            <w:tcW w:w="1418" w:type="dxa"/>
            <w:vMerge w:val="restart"/>
            <w:vAlign w:val="center"/>
          </w:tcPr>
          <w:p w14:paraId="67EEC65E">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1381" w:type="dxa"/>
            <w:gridSpan w:val="3"/>
            <w:vAlign w:val="center"/>
          </w:tcPr>
          <w:p w14:paraId="3C8F639C">
            <w:pPr>
              <w:shd w:val="clear"/>
              <w:topLinePunct/>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1382" w:type="dxa"/>
            <w:vAlign w:val="center"/>
          </w:tcPr>
          <w:p w14:paraId="78C084F3">
            <w:pPr>
              <w:shd w:val="clear"/>
              <w:topLinePunct/>
              <w:spacing w:line="440" w:lineRule="exact"/>
              <w:jc w:val="center"/>
              <w:rPr>
                <w:rFonts w:hint="eastAsia" w:ascii="仿宋" w:hAnsi="仿宋" w:eastAsia="仿宋" w:cs="仿宋"/>
                <w:color w:val="auto"/>
                <w:szCs w:val="21"/>
                <w:highlight w:val="none"/>
              </w:rPr>
            </w:pPr>
          </w:p>
        </w:tc>
      </w:tr>
      <w:tr w14:paraId="6BB81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62D64DB8">
            <w:pPr>
              <w:shd w:val="clear"/>
              <w:topLinePunct/>
              <w:jc w:val="center"/>
              <w:rPr>
                <w:rFonts w:hint="eastAsia" w:ascii="仿宋" w:hAnsi="仿宋" w:eastAsia="仿宋" w:cs="仿宋"/>
                <w:color w:val="auto"/>
                <w:szCs w:val="21"/>
                <w:highlight w:val="none"/>
              </w:rPr>
            </w:pPr>
          </w:p>
        </w:tc>
        <w:tc>
          <w:tcPr>
            <w:tcW w:w="1416" w:type="dxa"/>
            <w:vMerge w:val="continue"/>
            <w:vAlign w:val="center"/>
          </w:tcPr>
          <w:p w14:paraId="2D73143D">
            <w:pPr>
              <w:shd w:val="clear"/>
              <w:topLinePunct/>
              <w:jc w:val="center"/>
              <w:rPr>
                <w:rFonts w:hint="eastAsia" w:ascii="仿宋" w:hAnsi="仿宋" w:eastAsia="仿宋" w:cs="仿宋"/>
                <w:color w:val="auto"/>
                <w:szCs w:val="21"/>
                <w:highlight w:val="none"/>
              </w:rPr>
            </w:pPr>
          </w:p>
        </w:tc>
        <w:tc>
          <w:tcPr>
            <w:tcW w:w="1419" w:type="dxa"/>
            <w:gridSpan w:val="3"/>
            <w:vMerge w:val="continue"/>
            <w:vAlign w:val="center"/>
          </w:tcPr>
          <w:p w14:paraId="3F8BB56C">
            <w:pPr>
              <w:shd w:val="clear"/>
              <w:topLinePunct/>
              <w:jc w:val="center"/>
              <w:rPr>
                <w:rFonts w:hint="eastAsia" w:ascii="仿宋" w:hAnsi="仿宋" w:eastAsia="仿宋" w:cs="仿宋"/>
                <w:color w:val="auto"/>
                <w:szCs w:val="21"/>
                <w:highlight w:val="none"/>
              </w:rPr>
            </w:pPr>
          </w:p>
        </w:tc>
        <w:tc>
          <w:tcPr>
            <w:tcW w:w="1418" w:type="dxa"/>
            <w:vMerge w:val="continue"/>
            <w:vAlign w:val="center"/>
          </w:tcPr>
          <w:p w14:paraId="3C8B9EE2">
            <w:pPr>
              <w:shd w:val="clear"/>
              <w:topLinePunct/>
              <w:jc w:val="center"/>
              <w:rPr>
                <w:rFonts w:hint="eastAsia" w:ascii="仿宋" w:hAnsi="仿宋" w:eastAsia="仿宋" w:cs="仿宋"/>
                <w:color w:val="auto"/>
                <w:szCs w:val="21"/>
                <w:highlight w:val="none"/>
              </w:rPr>
            </w:pPr>
          </w:p>
        </w:tc>
        <w:tc>
          <w:tcPr>
            <w:tcW w:w="1381" w:type="dxa"/>
            <w:gridSpan w:val="3"/>
            <w:vAlign w:val="center"/>
          </w:tcPr>
          <w:p w14:paraId="54078F51">
            <w:pPr>
              <w:shd w:val="clear"/>
              <w:topLinePunct/>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办公</w:t>
            </w:r>
          </w:p>
        </w:tc>
        <w:tc>
          <w:tcPr>
            <w:tcW w:w="1382" w:type="dxa"/>
            <w:vAlign w:val="center"/>
          </w:tcPr>
          <w:p w14:paraId="4F451E6F">
            <w:pPr>
              <w:shd w:val="clear"/>
              <w:topLinePunct/>
              <w:spacing w:line="440" w:lineRule="exact"/>
              <w:jc w:val="center"/>
              <w:rPr>
                <w:rFonts w:hint="eastAsia" w:ascii="仿宋" w:hAnsi="仿宋" w:eastAsia="仿宋" w:cs="仿宋"/>
                <w:color w:val="auto"/>
                <w:szCs w:val="21"/>
                <w:highlight w:val="none"/>
              </w:rPr>
            </w:pPr>
          </w:p>
        </w:tc>
      </w:tr>
      <w:tr w14:paraId="005B4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vAlign w:val="center"/>
          </w:tcPr>
          <w:p w14:paraId="19A61C21">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w:t>
            </w:r>
          </w:p>
        </w:tc>
        <w:tc>
          <w:tcPr>
            <w:tcW w:w="1416" w:type="dxa"/>
            <w:vMerge w:val="restart"/>
            <w:vAlign w:val="center"/>
          </w:tcPr>
          <w:p w14:paraId="0EA77E7E">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w:t>
            </w:r>
          </w:p>
        </w:tc>
        <w:tc>
          <w:tcPr>
            <w:tcW w:w="1419" w:type="dxa"/>
            <w:gridSpan w:val="3"/>
            <w:vMerge w:val="restart"/>
            <w:vAlign w:val="center"/>
          </w:tcPr>
          <w:p w14:paraId="37B3C551">
            <w:pPr>
              <w:shd w:val="clear"/>
              <w:topLinePunct/>
              <w:jc w:val="center"/>
              <w:rPr>
                <w:rFonts w:hint="eastAsia" w:ascii="仿宋" w:hAnsi="仿宋" w:eastAsia="仿宋" w:cs="仿宋"/>
                <w:color w:val="auto"/>
                <w:szCs w:val="21"/>
                <w:highlight w:val="none"/>
              </w:rPr>
            </w:pPr>
          </w:p>
        </w:tc>
        <w:tc>
          <w:tcPr>
            <w:tcW w:w="1418" w:type="dxa"/>
            <w:vAlign w:val="center"/>
          </w:tcPr>
          <w:p w14:paraId="3DDD13E0">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电话</w:t>
            </w:r>
          </w:p>
        </w:tc>
        <w:tc>
          <w:tcPr>
            <w:tcW w:w="2763" w:type="dxa"/>
            <w:gridSpan w:val="4"/>
            <w:vAlign w:val="center"/>
          </w:tcPr>
          <w:p w14:paraId="57C9F830">
            <w:pPr>
              <w:shd w:val="clear"/>
              <w:topLinePunct/>
              <w:spacing w:line="440" w:lineRule="exact"/>
              <w:jc w:val="center"/>
              <w:rPr>
                <w:rFonts w:hint="eastAsia" w:ascii="仿宋" w:hAnsi="仿宋" w:eastAsia="仿宋" w:cs="仿宋"/>
                <w:color w:val="auto"/>
                <w:szCs w:val="21"/>
                <w:highlight w:val="none"/>
              </w:rPr>
            </w:pPr>
          </w:p>
        </w:tc>
      </w:tr>
      <w:tr w14:paraId="08D620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vAlign w:val="center"/>
          </w:tcPr>
          <w:p w14:paraId="33F412E8">
            <w:pPr>
              <w:shd w:val="clear"/>
              <w:topLinePunct/>
              <w:jc w:val="center"/>
              <w:rPr>
                <w:rFonts w:hint="eastAsia" w:ascii="仿宋" w:hAnsi="仿宋" w:eastAsia="仿宋" w:cs="仿宋"/>
                <w:color w:val="auto"/>
                <w:szCs w:val="21"/>
                <w:highlight w:val="none"/>
              </w:rPr>
            </w:pPr>
          </w:p>
        </w:tc>
        <w:tc>
          <w:tcPr>
            <w:tcW w:w="1416" w:type="dxa"/>
            <w:vMerge w:val="continue"/>
            <w:vAlign w:val="center"/>
          </w:tcPr>
          <w:p w14:paraId="50C7C2D4">
            <w:pPr>
              <w:shd w:val="clear"/>
              <w:topLinePunct/>
              <w:jc w:val="center"/>
              <w:rPr>
                <w:rFonts w:hint="eastAsia" w:ascii="仿宋" w:hAnsi="仿宋" w:eastAsia="仿宋" w:cs="仿宋"/>
                <w:color w:val="auto"/>
                <w:szCs w:val="21"/>
                <w:highlight w:val="none"/>
              </w:rPr>
            </w:pPr>
          </w:p>
        </w:tc>
        <w:tc>
          <w:tcPr>
            <w:tcW w:w="1419" w:type="dxa"/>
            <w:gridSpan w:val="3"/>
            <w:vMerge w:val="continue"/>
            <w:vAlign w:val="center"/>
          </w:tcPr>
          <w:p w14:paraId="0DB82309">
            <w:pPr>
              <w:shd w:val="clear"/>
              <w:topLinePunct/>
              <w:jc w:val="center"/>
              <w:rPr>
                <w:rFonts w:hint="eastAsia" w:ascii="仿宋" w:hAnsi="仿宋" w:eastAsia="仿宋" w:cs="仿宋"/>
                <w:color w:val="auto"/>
                <w:szCs w:val="21"/>
                <w:highlight w:val="none"/>
              </w:rPr>
            </w:pPr>
          </w:p>
        </w:tc>
        <w:tc>
          <w:tcPr>
            <w:tcW w:w="1418" w:type="dxa"/>
            <w:vAlign w:val="center"/>
          </w:tcPr>
          <w:p w14:paraId="3436C5D4">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邮箱</w:t>
            </w:r>
          </w:p>
        </w:tc>
        <w:tc>
          <w:tcPr>
            <w:tcW w:w="2763" w:type="dxa"/>
            <w:gridSpan w:val="4"/>
            <w:vAlign w:val="center"/>
          </w:tcPr>
          <w:p w14:paraId="5E0DA91B">
            <w:pPr>
              <w:shd w:val="clear"/>
              <w:topLinePunct/>
              <w:spacing w:line="440" w:lineRule="exact"/>
              <w:jc w:val="center"/>
              <w:rPr>
                <w:rFonts w:hint="eastAsia" w:ascii="仿宋" w:hAnsi="仿宋" w:eastAsia="仿宋" w:cs="仿宋"/>
                <w:color w:val="auto"/>
                <w:szCs w:val="21"/>
                <w:highlight w:val="none"/>
              </w:rPr>
            </w:pPr>
          </w:p>
        </w:tc>
      </w:tr>
      <w:tr w14:paraId="09BB8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Align w:val="center"/>
          </w:tcPr>
          <w:p w14:paraId="2CB3F905">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基本账户开户银行</w:t>
            </w:r>
          </w:p>
        </w:tc>
        <w:tc>
          <w:tcPr>
            <w:tcW w:w="2835" w:type="dxa"/>
            <w:gridSpan w:val="4"/>
            <w:vAlign w:val="center"/>
          </w:tcPr>
          <w:p w14:paraId="208C10CD">
            <w:pPr>
              <w:shd w:val="clear"/>
              <w:topLinePunct/>
              <w:spacing w:line="440" w:lineRule="exact"/>
              <w:jc w:val="center"/>
              <w:rPr>
                <w:rFonts w:hint="eastAsia" w:ascii="仿宋" w:hAnsi="仿宋" w:eastAsia="仿宋" w:cs="仿宋"/>
                <w:color w:val="auto"/>
                <w:szCs w:val="21"/>
                <w:highlight w:val="none"/>
              </w:rPr>
            </w:pPr>
          </w:p>
        </w:tc>
        <w:tc>
          <w:tcPr>
            <w:tcW w:w="1985" w:type="dxa"/>
            <w:gridSpan w:val="3"/>
            <w:vAlign w:val="center"/>
          </w:tcPr>
          <w:p w14:paraId="765A07CD">
            <w:pPr>
              <w:shd w:val="clear"/>
              <w:topLinePunct/>
              <w:spacing w:line="4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基本账户银行账号</w:t>
            </w:r>
          </w:p>
        </w:tc>
        <w:tc>
          <w:tcPr>
            <w:tcW w:w="2196" w:type="dxa"/>
            <w:gridSpan w:val="2"/>
            <w:vAlign w:val="center"/>
          </w:tcPr>
          <w:p w14:paraId="2213364D">
            <w:pPr>
              <w:shd w:val="clear"/>
              <w:topLinePunct/>
              <w:spacing w:line="440" w:lineRule="exact"/>
              <w:jc w:val="center"/>
              <w:rPr>
                <w:rFonts w:hint="eastAsia" w:ascii="仿宋" w:hAnsi="仿宋" w:eastAsia="仿宋" w:cs="仿宋"/>
                <w:color w:val="auto"/>
                <w:szCs w:val="21"/>
                <w:highlight w:val="none"/>
              </w:rPr>
            </w:pPr>
          </w:p>
        </w:tc>
      </w:tr>
      <w:tr w14:paraId="03BD9D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vAlign w:val="center"/>
          </w:tcPr>
          <w:p w14:paraId="0E61ADB6">
            <w:pPr>
              <w:shd w:val="clear"/>
              <w:topLinePunct/>
              <w:spacing w:line="36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投标人关联企业情况（包括但不限于与投标人法定代表人为同一人或者存在控股、管理关系的不同单位）</w:t>
            </w:r>
          </w:p>
        </w:tc>
        <w:tc>
          <w:tcPr>
            <w:tcW w:w="7016" w:type="dxa"/>
            <w:gridSpan w:val="9"/>
            <w:vAlign w:val="center"/>
          </w:tcPr>
          <w:p w14:paraId="2CDF5B0B">
            <w:pPr>
              <w:shd w:val="clear"/>
              <w:topLinePunct/>
              <w:spacing w:line="440" w:lineRule="exact"/>
              <w:jc w:val="center"/>
              <w:rPr>
                <w:rFonts w:hint="eastAsia" w:ascii="仿宋" w:hAnsi="仿宋" w:eastAsia="仿宋" w:cs="仿宋"/>
                <w:color w:val="auto"/>
                <w:szCs w:val="21"/>
                <w:highlight w:val="none"/>
              </w:rPr>
            </w:pPr>
          </w:p>
        </w:tc>
      </w:tr>
      <w:tr w14:paraId="2AA89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vAlign w:val="center"/>
          </w:tcPr>
          <w:p w14:paraId="169997EA">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投标人应具备的资质证书</w:t>
            </w:r>
          </w:p>
        </w:tc>
        <w:tc>
          <w:tcPr>
            <w:tcW w:w="1068" w:type="dxa"/>
            <w:vAlign w:val="center"/>
          </w:tcPr>
          <w:p w14:paraId="1A57D8B2">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等级</w:t>
            </w:r>
          </w:p>
        </w:tc>
        <w:tc>
          <w:tcPr>
            <w:tcW w:w="1701" w:type="dxa"/>
            <w:gridSpan w:val="3"/>
            <w:vAlign w:val="center"/>
          </w:tcPr>
          <w:p w14:paraId="62BE0F72">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类型</w:t>
            </w:r>
          </w:p>
        </w:tc>
        <w:tc>
          <w:tcPr>
            <w:tcW w:w="2623" w:type="dxa"/>
            <w:gridSpan w:val="3"/>
            <w:vAlign w:val="center"/>
          </w:tcPr>
          <w:p w14:paraId="500D334D">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证书号</w:t>
            </w:r>
          </w:p>
        </w:tc>
      </w:tr>
      <w:tr w14:paraId="72E64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vAlign w:val="center"/>
          </w:tcPr>
          <w:p w14:paraId="01849B82">
            <w:pPr>
              <w:shd w:val="clear"/>
              <w:topLinePunct/>
              <w:jc w:val="center"/>
              <w:rPr>
                <w:rFonts w:hint="eastAsia" w:ascii="仿宋" w:hAnsi="仿宋" w:eastAsia="仿宋" w:cs="仿宋"/>
                <w:color w:val="auto"/>
                <w:szCs w:val="21"/>
                <w:highlight w:val="none"/>
              </w:rPr>
            </w:pPr>
          </w:p>
        </w:tc>
        <w:tc>
          <w:tcPr>
            <w:tcW w:w="1068" w:type="dxa"/>
            <w:vAlign w:val="center"/>
          </w:tcPr>
          <w:p w14:paraId="566E3B9B">
            <w:pPr>
              <w:shd w:val="clear"/>
              <w:topLinePunct/>
              <w:jc w:val="center"/>
              <w:rPr>
                <w:rFonts w:hint="eastAsia" w:ascii="仿宋" w:hAnsi="仿宋" w:eastAsia="仿宋" w:cs="仿宋"/>
                <w:color w:val="auto"/>
                <w:szCs w:val="21"/>
                <w:highlight w:val="none"/>
              </w:rPr>
            </w:pPr>
          </w:p>
        </w:tc>
        <w:tc>
          <w:tcPr>
            <w:tcW w:w="1701" w:type="dxa"/>
            <w:gridSpan w:val="3"/>
            <w:vAlign w:val="center"/>
          </w:tcPr>
          <w:p w14:paraId="173E7979">
            <w:pPr>
              <w:shd w:val="clear"/>
              <w:topLinePunct/>
              <w:jc w:val="center"/>
              <w:rPr>
                <w:rFonts w:hint="eastAsia" w:ascii="仿宋" w:hAnsi="仿宋" w:eastAsia="仿宋" w:cs="仿宋"/>
                <w:color w:val="auto"/>
                <w:szCs w:val="21"/>
                <w:highlight w:val="none"/>
              </w:rPr>
            </w:pPr>
          </w:p>
        </w:tc>
        <w:tc>
          <w:tcPr>
            <w:tcW w:w="2623" w:type="dxa"/>
            <w:gridSpan w:val="3"/>
            <w:vAlign w:val="center"/>
          </w:tcPr>
          <w:p w14:paraId="5497B104">
            <w:pPr>
              <w:shd w:val="clear"/>
              <w:topLinePunct/>
              <w:jc w:val="center"/>
              <w:rPr>
                <w:rFonts w:hint="eastAsia" w:ascii="仿宋" w:hAnsi="仿宋" w:eastAsia="仿宋" w:cs="仿宋"/>
                <w:color w:val="auto"/>
                <w:szCs w:val="21"/>
                <w:highlight w:val="none"/>
              </w:rPr>
            </w:pPr>
          </w:p>
        </w:tc>
      </w:tr>
      <w:tr w14:paraId="733AD2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vAlign w:val="center"/>
          </w:tcPr>
          <w:p w14:paraId="2EEB8538">
            <w:pPr>
              <w:shd w:val="clear"/>
              <w:topLinePunct/>
              <w:jc w:val="center"/>
              <w:rPr>
                <w:rFonts w:hint="eastAsia" w:ascii="仿宋" w:hAnsi="仿宋" w:eastAsia="仿宋" w:cs="仿宋"/>
                <w:color w:val="auto"/>
                <w:szCs w:val="21"/>
                <w:highlight w:val="none"/>
              </w:rPr>
            </w:pPr>
          </w:p>
        </w:tc>
        <w:tc>
          <w:tcPr>
            <w:tcW w:w="1068" w:type="dxa"/>
            <w:vAlign w:val="center"/>
          </w:tcPr>
          <w:p w14:paraId="59634F68">
            <w:pPr>
              <w:shd w:val="clear"/>
              <w:topLinePunct/>
              <w:jc w:val="center"/>
              <w:rPr>
                <w:rFonts w:hint="eastAsia" w:ascii="仿宋" w:hAnsi="仿宋" w:eastAsia="仿宋" w:cs="仿宋"/>
                <w:color w:val="auto"/>
                <w:szCs w:val="21"/>
                <w:highlight w:val="none"/>
              </w:rPr>
            </w:pPr>
          </w:p>
        </w:tc>
        <w:tc>
          <w:tcPr>
            <w:tcW w:w="1701" w:type="dxa"/>
            <w:gridSpan w:val="3"/>
            <w:vAlign w:val="center"/>
          </w:tcPr>
          <w:p w14:paraId="49D25C5E">
            <w:pPr>
              <w:shd w:val="clear"/>
              <w:topLinePunct/>
              <w:jc w:val="center"/>
              <w:rPr>
                <w:rFonts w:hint="eastAsia" w:ascii="仿宋" w:hAnsi="仿宋" w:eastAsia="仿宋" w:cs="仿宋"/>
                <w:color w:val="auto"/>
                <w:szCs w:val="21"/>
                <w:highlight w:val="none"/>
              </w:rPr>
            </w:pPr>
          </w:p>
        </w:tc>
        <w:tc>
          <w:tcPr>
            <w:tcW w:w="2623" w:type="dxa"/>
            <w:gridSpan w:val="3"/>
            <w:vAlign w:val="center"/>
          </w:tcPr>
          <w:p w14:paraId="0786C988">
            <w:pPr>
              <w:shd w:val="clear"/>
              <w:topLinePunct/>
              <w:jc w:val="center"/>
              <w:rPr>
                <w:rFonts w:hint="eastAsia" w:ascii="仿宋" w:hAnsi="仿宋" w:eastAsia="仿宋" w:cs="仿宋"/>
                <w:color w:val="auto"/>
                <w:szCs w:val="21"/>
                <w:highlight w:val="none"/>
              </w:rPr>
            </w:pPr>
          </w:p>
        </w:tc>
      </w:tr>
      <w:tr w14:paraId="7387E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vAlign w:val="center"/>
          </w:tcPr>
          <w:p w14:paraId="2CC522E5">
            <w:pPr>
              <w:shd w:val="clear"/>
              <w:topLinePunct/>
              <w:jc w:val="center"/>
              <w:rPr>
                <w:rFonts w:hint="eastAsia" w:ascii="仿宋" w:hAnsi="仿宋" w:eastAsia="仿宋" w:cs="仿宋"/>
                <w:color w:val="auto"/>
                <w:szCs w:val="21"/>
                <w:highlight w:val="none"/>
              </w:rPr>
            </w:pPr>
          </w:p>
        </w:tc>
        <w:tc>
          <w:tcPr>
            <w:tcW w:w="1068" w:type="dxa"/>
            <w:vAlign w:val="center"/>
          </w:tcPr>
          <w:p w14:paraId="3E8951D9">
            <w:pPr>
              <w:shd w:val="clear"/>
              <w:topLinePunct/>
              <w:jc w:val="center"/>
              <w:rPr>
                <w:rFonts w:hint="eastAsia" w:ascii="仿宋" w:hAnsi="仿宋" w:eastAsia="仿宋" w:cs="仿宋"/>
                <w:color w:val="auto"/>
                <w:szCs w:val="21"/>
                <w:highlight w:val="none"/>
              </w:rPr>
            </w:pPr>
          </w:p>
        </w:tc>
        <w:tc>
          <w:tcPr>
            <w:tcW w:w="1701" w:type="dxa"/>
            <w:gridSpan w:val="3"/>
            <w:vAlign w:val="center"/>
          </w:tcPr>
          <w:p w14:paraId="6A86978C">
            <w:pPr>
              <w:shd w:val="clear"/>
              <w:topLinePunct/>
              <w:jc w:val="center"/>
              <w:rPr>
                <w:rFonts w:hint="eastAsia" w:ascii="仿宋" w:hAnsi="仿宋" w:eastAsia="仿宋" w:cs="仿宋"/>
                <w:color w:val="auto"/>
                <w:szCs w:val="21"/>
                <w:highlight w:val="none"/>
              </w:rPr>
            </w:pPr>
          </w:p>
        </w:tc>
        <w:tc>
          <w:tcPr>
            <w:tcW w:w="2623" w:type="dxa"/>
            <w:gridSpan w:val="3"/>
            <w:vAlign w:val="center"/>
          </w:tcPr>
          <w:p w14:paraId="24A545E4">
            <w:pPr>
              <w:shd w:val="clear"/>
              <w:topLinePunct/>
              <w:jc w:val="center"/>
              <w:rPr>
                <w:rFonts w:hint="eastAsia" w:ascii="仿宋" w:hAnsi="仿宋" w:eastAsia="仿宋" w:cs="仿宋"/>
                <w:color w:val="auto"/>
                <w:szCs w:val="21"/>
                <w:highlight w:val="none"/>
              </w:rPr>
            </w:pPr>
          </w:p>
        </w:tc>
      </w:tr>
      <w:tr w14:paraId="48CBFE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6" w:hRule="atLeast"/>
        </w:trPr>
        <w:tc>
          <w:tcPr>
            <w:tcW w:w="3608" w:type="dxa"/>
            <w:gridSpan w:val="3"/>
            <w:vAlign w:val="center"/>
          </w:tcPr>
          <w:p w14:paraId="7A11D93E">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投标产品制造商名称</w:t>
            </w:r>
          </w:p>
        </w:tc>
        <w:tc>
          <w:tcPr>
            <w:tcW w:w="5392" w:type="dxa"/>
            <w:gridSpan w:val="7"/>
            <w:vAlign w:val="center"/>
          </w:tcPr>
          <w:p w14:paraId="22596210">
            <w:pPr>
              <w:shd w:val="clear"/>
              <w:topLinePunct/>
              <w:jc w:val="center"/>
              <w:rPr>
                <w:rFonts w:hint="eastAsia" w:ascii="仿宋" w:hAnsi="仿宋" w:eastAsia="仿宋" w:cs="仿宋"/>
                <w:color w:val="auto"/>
                <w:szCs w:val="21"/>
                <w:highlight w:val="none"/>
              </w:rPr>
            </w:pPr>
          </w:p>
        </w:tc>
      </w:tr>
      <w:tr w14:paraId="7EDF1B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vAlign w:val="center"/>
          </w:tcPr>
          <w:p w14:paraId="6734C967">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投标产品制造商应具备的资质证书</w:t>
            </w:r>
          </w:p>
        </w:tc>
        <w:tc>
          <w:tcPr>
            <w:tcW w:w="1068" w:type="dxa"/>
            <w:vAlign w:val="center"/>
          </w:tcPr>
          <w:p w14:paraId="330F1049">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等级</w:t>
            </w:r>
          </w:p>
        </w:tc>
        <w:tc>
          <w:tcPr>
            <w:tcW w:w="1701" w:type="dxa"/>
            <w:gridSpan w:val="3"/>
            <w:vAlign w:val="center"/>
          </w:tcPr>
          <w:p w14:paraId="63FCF44B">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类型</w:t>
            </w:r>
          </w:p>
        </w:tc>
        <w:tc>
          <w:tcPr>
            <w:tcW w:w="2623" w:type="dxa"/>
            <w:gridSpan w:val="3"/>
            <w:vAlign w:val="center"/>
          </w:tcPr>
          <w:p w14:paraId="4FFF3170">
            <w:pPr>
              <w:shd w:val="clear"/>
              <w:topLinePun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证书号</w:t>
            </w:r>
          </w:p>
        </w:tc>
      </w:tr>
      <w:tr w14:paraId="61B899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vAlign w:val="center"/>
          </w:tcPr>
          <w:p w14:paraId="0A22641D">
            <w:pPr>
              <w:shd w:val="clear"/>
              <w:topLinePunct/>
              <w:jc w:val="center"/>
              <w:rPr>
                <w:rFonts w:hint="eastAsia" w:ascii="仿宋" w:hAnsi="仿宋" w:eastAsia="仿宋" w:cs="仿宋"/>
                <w:color w:val="auto"/>
                <w:szCs w:val="21"/>
                <w:highlight w:val="none"/>
              </w:rPr>
            </w:pPr>
          </w:p>
        </w:tc>
        <w:tc>
          <w:tcPr>
            <w:tcW w:w="1068" w:type="dxa"/>
            <w:vAlign w:val="center"/>
          </w:tcPr>
          <w:p w14:paraId="4D649EEF">
            <w:pPr>
              <w:shd w:val="clear"/>
              <w:topLinePunct/>
              <w:jc w:val="center"/>
              <w:rPr>
                <w:rFonts w:hint="eastAsia" w:ascii="仿宋" w:hAnsi="仿宋" w:eastAsia="仿宋" w:cs="仿宋"/>
                <w:color w:val="auto"/>
                <w:szCs w:val="21"/>
                <w:highlight w:val="none"/>
              </w:rPr>
            </w:pPr>
          </w:p>
        </w:tc>
        <w:tc>
          <w:tcPr>
            <w:tcW w:w="1701" w:type="dxa"/>
            <w:gridSpan w:val="3"/>
            <w:vAlign w:val="center"/>
          </w:tcPr>
          <w:p w14:paraId="171F885D">
            <w:pPr>
              <w:shd w:val="clear"/>
              <w:topLinePunct/>
              <w:jc w:val="center"/>
              <w:rPr>
                <w:rFonts w:hint="eastAsia" w:ascii="仿宋" w:hAnsi="仿宋" w:eastAsia="仿宋" w:cs="仿宋"/>
                <w:color w:val="auto"/>
                <w:szCs w:val="21"/>
                <w:highlight w:val="none"/>
              </w:rPr>
            </w:pPr>
          </w:p>
        </w:tc>
        <w:tc>
          <w:tcPr>
            <w:tcW w:w="2623" w:type="dxa"/>
            <w:gridSpan w:val="3"/>
            <w:vAlign w:val="center"/>
          </w:tcPr>
          <w:p w14:paraId="55765708">
            <w:pPr>
              <w:shd w:val="clear"/>
              <w:topLinePunct/>
              <w:jc w:val="center"/>
              <w:rPr>
                <w:rFonts w:hint="eastAsia" w:ascii="仿宋" w:hAnsi="仿宋" w:eastAsia="仿宋" w:cs="仿宋"/>
                <w:color w:val="auto"/>
                <w:szCs w:val="21"/>
                <w:highlight w:val="none"/>
              </w:rPr>
            </w:pPr>
          </w:p>
        </w:tc>
      </w:tr>
      <w:tr w14:paraId="7D427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vAlign w:val="center"/>
          </w:tcPr>
          <w:p w14:paraId="36813002">
            <w:pPr>
              <w:shd w:val="clear"/>
              <w:topLinePunct/>
              <w:jc w:val="center"/>
              <w:rPr>
                <w:rFonts w:hint="eastAsia" w:ascii="仿宋" w:hAnsi="仿宋" w:eastAsia="仿宋" w:cs="仿宋"/>
                <w:color w:val="auto"/>
                <w:szCs w:val="21"/>
                <w:highlight w:val="none"/>
              </w:rPr>
            </w:pPr>
          </w:p>
        </w:tc>
        <w:tc>
          <w:tcPr>
            <w:tcW w:w="1068" w:type="dxa"/>
            <w:vAlign w:val="center"/>
          </w:tcPr>
          <w:p w14:paraId="3B7F0D07">
            <w:pPr>
              <w:shd w:val="clear"/>
              <w:topLinePunct/>
              <w:jc w:val="center"/>
              <w:rPr>
                <w:rFonts w:hint="eastAsia" w:ascii="仿宋" w:hAnsi="仿宋" w:eastAsia="仿宋" w:cs="仿宋"/>
                <w:color w:val="auto"/>
                <w:szCs w:val="21"/>
                <w:highlight w:val="none"/>
              </w:rPr>
            </w:pPr>
          </w:p>
        </w:tc>
        <w:tc>
          <w:tcPr>
            <w:tcW w:w="1701" w:type="dxa"/>
            <w:gridSpan w:val="3"/>
            <w:vAlign w:val="center"/>
          </w:tcPr>
          <w:p w14:paraId="3B6B3BA5">
            <w:pPr>
              <w:shd w:val="clear"/>
              <w:topLinePunct/>
              <w:jc w:val="center"/>
              <w:rPr>
                <w:rFonts w:hint="eastAsia" w:ascii="仿宋" w:hAnsi="仿宋" w:eastAsia="仿宋" w:cs="仿宋"/>
                <w:color w:val="auto"/>
                <w:szCs w:val="21"/>
                <w:highlight w:val="none"/>
              </w:rPr>
            </w:pPr>
          </w:p>
        </w:tc>
        <w:tc>
          <w:tcPr>
            <w:tcW w:w="2623" w:type="dxa"/>
            <w:gridSpan w:val="3"/>
            <w:vAlign w:val="center"/>
          </w:tcPr>
          <w:p w14:paraId="45A8F6E1">
            <w:pPr>
              <w:shd w:val="clear"/>
              <w:topLinePunct/>
              <w:jc w:val="center"/>
              <w:rPr>
                <w:rFonts w:hint="eastAsia" w:ascii="仿宋" w:hAnsi="仿宋" w:eastAsia="仿宋" w:cs="仿宋"/>
                <w:color w:val="auto"/>
                <w:szCs w:val="21"/>
                <w:highlight w:val="none"/>
              </w:rPr>
            </w:pPr>
          </w:p>
        </w:tc>
      </w:tr>
      <w:tr w14:paraId="15727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vAlign w:val="center"/>
          </w:tcPr>
          <w:p w14:paraId="56220B30">
            <w:pPr>
              <w:shd w:val="clear"/>
              <w:topLinePunct/>
              <w:jc w:val="center"/>
              <w:rPr>
                <w:rFonts w:hint="eastAsia" w:ascii="仿宋" w:hAnsi="仿宋" w:eastAsia="仿宋" w:cs="仿宋"/>
                <w:color w:val="auto"/>
                <w:szCs w:val="21"/>
                <w:highlight w:val="none"/>
              </w:rPr>
            </w:pPr>
          </w:p>
        </w:tc>
        <w:tc>
          <w:tcPr>
            <w:tcW w:w="1068" w:type="dxa"/>
            <w:vAlign w:val="center"/>
          </w:tcPr>
          <w:p w14:paraId="012DB662">
            <w:pPr>
              <w:shd w:val="clear"/>
              <w:topLinePunct/>
              <w:jc w:val="center"/>
              <w:rPr>
                <w:rFonts w:hint="eastAsia" w:ascii="仿宋" w:hAnsi="仿宋" w:eastAsia="仿宋" w:cs="仿宋"/>
                <w:color w:val="auto"/>
                <w:szCs w:val="21"/>
                <w:highlight w:val="none"/>
              </w:rPr>
            </w:pPr>
          </w:p>
        </w:tc>
        <w:tc>
          <w:tcPr>
            <w:tcW w:w="1701" w:type="dxa"/>
            <w:gridSpan w:val="3"/>
            <w:vAlign w:val="center"/>
          </w:tcPr>
          <w:p w14:paraId="5A9A5D99">
            <w:pPr>
              <w:shd w:val="clear"/>
              <w:topLinePunct/>
              <w:jc w:val="center"/>
              <w:rPr>
                <w:rFonts w:hint="eastAsia" w:ascii="仿宋" w:hAnsi="仿宋" w:eastAsia="仿宋" w:cs="仿宋"/>
                <w:color w:val="auto"/>
                <w:szCs w:val="21"/>
                <w:highlight w:val="none"/>
              </w:rPr>
            </w:pPr>
          </w:p>
        </w:tc>
        <w:tc>
          <w:tcPr>
            <w:tcW w:w="2623" w:type="dxa"/>
            <w:gridSpan w:val="3"/>
            <w:vAlign w:val="center"/>
          </w:tcPr>
          <w:p w14:paraId="7DDE3F19">
            <w:pPr>
              <w:shd w:val="clear"/>
              <w:topLinePunct/>
              <w:jc w:val="center"/>
              <w:rPr>
                <w:rFonts w:hint="eastAsia" w:ascii="仿宋" w:hAnsi="仿宋" w:eastAsia="仿宋" w:cs="仿宋"/>
                <w:color w:val="auto"/>
                <w:szCs w:val="21"/>
                <w:highlight w:val="none"/>
              </w:rPr>
            </w:pPr>
          </w:p>
        </w:tc>
      </w:tr>
    </w:tbl>
    <w:p w14:paraId="4AD0C5FC">
      <w:pPr>
        <w:shd w:val="clear"/>
        <w:adjustRightInd w:val="0"/>
        <w:snapToGrid w:val="0"/>
        <w:spacing w:beforeLines="50"/>
        <w:ind w:left="63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说明：企业类型指大型、中型、小型、微型；上年营业收入、资产总额应与财务报表中的数据一致， 金额单位为万元。</w:t>
      </w:r>
    </w:p>
    <w:p w14:paraId="15D196AF">
      <w:pPr>
        <w:pStyle w:val="2"/>
        <w:shd w:val="clear"/>
        <w:spacing w:line="360" w:lineRule="auto"/>
        <w:jc w:val="left"/>
        <w:rPr>
          <w:rFonts w:hint="eastAsia" w:ascii="楷体" w:hAnsi="楷体" w:eastAsia="楷体" w:cs="楷体"/>
          <w:b/>
          <w:color w:val="auto"/>
          <w:szCs w:val="21"/>
          <w:highlight w:val="none"/>
        </w:rPr>
      </w:pPr>
    </w:p>
    <w:p w14:paraId="5CA64F39">
      <w:pPr>
        <w:pStyle w:val="2"/>
        <w:shd w:val="clear"/>
        <w:spacing w:line="360" w:lineRule="auto"/>
        <w:jc w:val="left"/>
        <w:rPr>
          <w:rFonts w:hint="eastAsia" w:ascii="楷体" w:hAnsi="楷体" w:eastAsia="楷体" w:cs="楷体"/>
          <w:b/>
          <w:color w:val="auto"/>
          <w:szCs w:val="21"/>
          <w:highlight w:val="none"/>
        </w:rPr>
      </w:pPr>
    </w:p>
    <w:p w14:paraId="0A6D4AFE">
      <w:pPr>
        <w:shd w:val="clear"/>
        <w:adjustRightInd w:val="0"/>
        <w:snapToGrid w:val="0"/>
        <w:spacing w:line="360" w:lineRule="auto"/>
        <w:jc w:val="both"/>
        <w:rPr>
          <w:rFonts w:hint="eastAsia" w:ascii="楷体" w:hAnsi="楷体" w:eastAsia="楷体" w:cs="楷体"/>
          <w:b/>
          <w:bCs/>
          <w:color w:val="auto"/>
          <w:sz w:val="24"/>
          <w:szCs w:val="24"/>
          <w:highlight w:val="none"/>
        </w:rPr>
      </w:pPr>
    </w:p>
    <w:p w14:paraId="42B12B1D">
      <w:pPr>
        <w:shd w:val="clear"/>
        <w:adjustRightInd w:val="0"/>
        <w:snapToGrid w:val="0"/>
        <w:spacing w:line="360" w:lineRule="auto"/>
        <w:jc w:val="center"/>
        <w:outlineLvl w:val="1"/>
        <w:rPr>
          <w:rFonts w:hint="eastAsia" w:ascii="仿宋" w:hAnsi="仿宋" w:eastAsia="仿宋" w:cs="仿宋"/>
          <w:b/>
          <w:bCs/>
          <w:color w:val="auto"/>
          <w:sz w:val="24"/>
          <w:szCs w:val="24"/>
          <w:highlight w:val="none"/>
        </w:rPr>
      </w:pPr>
      <w:bookmarkStart w:id="555" w:name="_Toc23020"/>
      <w:r>
        <w:rPr>
          <w:rFonts w:hint="eastAsia" w:ascii="仿宋" w:hAnsi="仿宋" w:eastAsia="仿宋" w:cs="仿宋"/>
          <w:b/>
          <w:bCs/>
          <w:color w:val="auto"/>
          <w:sz w:val="24"/>
          <w:szCs w:val="24"/>
          <w:highlight w:val="none"/>
        </w:rPr>
        <w:t>2.法定代表人（单位负责人）身份证明</w:t>
      </w:r>
      <w:bookmarkEnd w:id="555"/>
    </w:p>
    <w:p w14:paraId="7133CAFC">
      <w:pPr>
        <w:shd w:val="clear"/>
        <w:snapToGrid w:val="0"/>
        <w:spacing w:line="480" w:lineRule="auto"/>
        <w:rPr>
          <w:rFonts w:hint="eastAsia" w:ascii="仿宋" w:hAnsi="仿宋" w:eastAsia="仿宋" w:cs="仿宋"/>
          <w:color w:val="auto"/>
          <w:szCs w:val="21"/>
          <w:highlight w:val="none"/>
        </w:rPr>
      </w:pPr>
    </w:p>
    <w:p w14:paraId="6CE2661B">
      <w:pPr>
        <w:shd w:val="clear"/>
        <w:autoSpaceDE w:val="0"/>
        <w:autoSpaceDN w:val="0"/>
        <w:adjustRightInd w:val="0"/>
        <w:snapToGrid w:val="0"/>
        <w:spacing w:beforeLines="5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w:t>
      </w:r>
      <w:r>
        <w:rPr>
          <w:rFonts w:hint="eastAsia" w:ascii="仿宋" w:hAnsi="仿宋" w:eastAsia="仿宋" w:cs="仿宋"/>
          <w:color w:val="auto"/>
          <w:kern w:val="0"/>
          <w:szCs w:val="21"/>
          <w:highlight w:val="none"/>
        </w:rPr>
        <w:t>名称：</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val="en-US" w:eastAsia="zh-CN"/>
        </w:rPr>
        <w:t xml:space="preserve">                          </w:t>
      </w:r>
    </w:p>
    <w:p w14:paraId="1BA72C01">
      <w:pPr>
        <w:shd w:val="clear"/>
        <w:autoSpaceDE w:val="0"/>
        <w:autoSpaceDN w:val="0"/>
        <w:adjustRightInd w:val="0"/>
        <w:snapToGrid w:val="0"/>
        <w:spacing w:beforeLines="50" w:line="360" w:lineRule="auto"/>
        <w:jc w:val="left"/>
        <w:rPr>
          <w:rFonts w:hint="default" w:ascii="仿宋" w:hAnsi="仿宋" w:eastAsia="仿宋" w:cs="仿宋"/>
          <w:color w:val="auto"/>
          <w:kern w:val="0"/>
          <w:szCs w:val="21"/>
          <w:highlight w:val="none"/>
          <w:lang w:val="en-US"/>
        </w:rPr>
      </w:pPr>
      <w:r>
        <w:rPr>
          <w:rFonts w:hint="eastAsia" w:ascii="仿宋" w:hAnsi="仿宋" w:eastAsia="仿宋" w:cs="仿宋"/>
          <w:color w:val="auto"/>
          <w:kern w:val="0"/>
          <w:szCs w:val="21"/>
          <w:highlight w:val="none"/>
        </w:rPr>
        <w:t>统一社会信用代码：</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val="en-US" w:eastAsia="zh-CN"/>
        </w:rPr>
        <w:t xml:space="preserve">                    </w:t>
      </w:r>
    </w:p>
    <w:p w14:paraId="3E054087">
      <w:pPr>
        <w:shd w:val="clear"/>
        <w:autoSpaceDE w:val="0"/>
        <w:autoSpaceDN w:val="0"/>
        <w:adjustRightInd w:val="0"/>
        <w:snapToGrid w:val="0"/>
        <w:spacing w:beforeLines="50" w:line="360" w:lineRule="auto"/>
        <w:jc w:val="left"/>
        <w:rPr>
          <w:rFonts w:hint="default" w:ascii="仿宋" w:hAnsi="仿宋" w:eastAsia="仿宋" w:cs="仿宋"/>
          <w:color w:val="auto"/>
          <w:kern w:val="0"/>
          <w:szCs w:val="21"/>
          <w:highlight w:val="none"/>
          <w:lang w:val="en-US"/>
        </w:rPr>
      </w:pPr>
      <w:r>
        <w:rPr>
          <w:rFonts w:hint="eastAsia" w:ascii="仿宋" w:hAnsi="仿宋" w:eastAsia="仿宋" w:cs="仿宋"/>
          <w:color w:val="auto"/>
          <w:kern w:val="0"/>
          <w:szCs w:val="21"/>
          <w:highlight w:val="none"/>
        </w:rPr>
        <w:t>姓名：</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性别：</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年龄：</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 xml:space="preserve"> 职务：</w:t>
      </w:r>
      <w:r>
        <w:rPr>
          <w:rFonts w:hint="eastAsia" w:ascii="仿宋" w:hAnsi="仿宋" w:eastAsia="仿宋" w:cs="仿宋"/>
          <w:color w:val="auto"/>
          <w:kern w:val="0"/>
          <w:szCs w:val="21"/>
          <w:highlight w:val="none"/>
          <w:u w:val="single"/>
          <w:lang w:val="en-US" w:eastAsia="zh-CN"/>
        </w:rPr>
        <w:t xml:space="preserve">        </w:t>
      </w:r>
    </w:p>
    <w:p w14:paraId="6FF16DBC">
      <w:pPr>
        <w:shd w:val="clear"/>
        <w:autoSpaceDE w:val="0"/>
        <w:autoSpaceDN w:val="0"/>
        <w:adjustRightInd w:val="0"/>
        <w:snapToGrid w:val="0"/>
        <w:spacing w:beforeLines="5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系（投标</w:t>
      </w:r>
      <w:r>
        <w:rPr>
          <w:rFonts w:hint="eastAsia" w:ascii="仿宋" w:hAnsi="仿宋" w:eastAsia="仿宋" w:cs="仿宋"/>
          <w:color w:val="auto"/>
          <w:szCs w:val="21"/>
          <w:highlight w:val="none"/>
        </w:rPr>
        <w:t>人</w:t>
      </w:r>
      <w:r>
        <w:rPr>
          <w:rFonts w:hint="eastAsia" w:ascii="仿宋" w:hAnsi="仿宋" w:eastAsia="仿宋" w:cs="仿宋"/>
          <w:color w:val="auto"/>
          <w:kern w:val="0"/>
          <w:szCs w:val="21"/>
          <w:highlight w:val="none"/>
        </w:rPr>
        <w:t>名称）的法定代表人（单位负责人）。</w:t>
      </w:r>
    </w:p>
    <w:p w14:paraId="344497AA">
      <w:pPr>
        <w:shd w:val="clear"/>
        <w:autoSpaceDE w:val="0"/>
        <w:autoSpaceDN w:val="0"/>
        <w:adjustRightInd w:val="0"/>
        <w:snapToGrid w:val="0"/>
        <w:spacing w:beforeLines="50"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特此证明。</w:t>
      </w:r>
    </w:p>
    <w:p w14:paraId="444974F8">
      <w:pPr>
        <w:shd w:val="clear"/>
        <w:autoSpaceDE w:val="0"/>
        <w:autoSpaceDN w:val="0"/>
        <w:adjustRightInd w:val="0"/>
        <w:snapToGrid w:val="0"/>
        <w:spacing w:beforeLines="50" w:line="360" w:lineRule="auto"/>
        <w:jc w:val="left"/>
        <w:rPr>
          <w:rFonts w:hint="eastAsia" w:ascii="仿宋" w:hAnsi="仿宋" w:eastAsia="仿宋" w:cs="仿宋"/>
          <w:color w:val="auto"/>
          <w:szCs w:val="21"/>
          <w:highlight w:val="none"/>
        </w:rPr>
      </w:pPr>
    </w:p>
    <w:p w14:paraId="508A61EA">
      <w:pPr>
        <w:shd w:val="clear"/>
        <w:autoSpaceDE w:val="0"/>
        <w:autoSpaceDN w:val="0"/>
        <w:adjustRightInd w:val="0"/>
        <w:snapToGrid w:val="0"/>
        <w:spacing w:beforeLines="50"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附：法定代表人（单位负责人）身份证复印件</w:t>
      </w:r>
    </w:p>
    <w:tbl>
      <w:tblPr>
        <w:tblStyle w:val="42"/>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77A8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1C60512">
            <w:pPr>
              <w:shd w:val="clear"/>
              <w:snapToGrid w:val="0"/>
              <w:spacing w:line="480" w:lineRule="auto"/>
              <w:jc w:val="center"/>
              <w:rPr>
                <w:rFonts w:hint="eastAsia" w:ascii="仿宋" w:hAnsi="仿宋" w:eastAsia="仿宋" w:cs="仿宋"/>
                <w:color w:val="auto"/>
                <w:szCs w:val="21"/>
                <w:highlight w:val="none"/>
              </w:rPr>
            </w:pPr>
          </w:p>
          <w:p w14:paraId="610C8A37">
            <w:pPr>
              <w:shd w:val="clear"/>
              <w:snapToGrid w:val="0"/>
              <w:spacing w:line="480" w:lineRule="auto"/>
              <w:jc w:val="center"/>
              <w:rPr>
                <w:rFonts w:hint="eastAsia" w:ascii="仿宋" w:hAnsi="仿宋" w:eastAsia="仿宋" w:cs="仿宋"/>
                <w:color w:val="auto"/>
                <w:szCs w:val="21"/>
                <w:highlight w:val="none"/>
              </w:rPr>
            </w:pPr>
          </w:p>
          <w:p w14:paraId="2A83CCFF">
            <w:pPr>
              <w:shd w:val="clear"/>
              <w:autoSpaceDE w:val="0"/>
              <w:autoSpaceDN w:val="0"/>
              <w:adjustRightInd w:val="0"/>
              <w:snapToGrid w:val="0"/>
              <w:spacing w:beforeLines="50" w:line="360" w:lineRule="auto"/>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法定代表人（单位负责人）身份证复印件粘贴处</w:t>
            </w:r>
          </w:p>
          <w:p w14:paraId="400A3C5F">
            <w:pPr>
              <w:shd w:val="clear"/>
              <w:snapToGrid w:val="0"/>
              <w:spacing w:line="480" w:lineRule="auto"/>
              <w:jc w:val="center"/>
              <w:rPr>
                <w:rFonts w:hint="eastAsia" w:ascii="仿宋" w:hAnsi="仿宋" w:eastAsia="仿宋" w:cs="仿宋"/>
                <w:color w:val="auto"/>
                <w:szCs w:val="21"/>
                <w:highlight w:val="none"/>
              </w:rPr>
            </w:pPr>
          </w:p>
          <w:p w14:paraId="5177DC84">
            <w:pPr>
              <w:shd w:val="clear"/>
              <w:snapToGrid w:val="0"/>
              <w:spacing w:line="480" w:lineRule="auto"/>
              <w:jc w:val="center"/>
              <w:rPr>
                <w:rFonts w:hint="eastAsia" w:ascii="仿宋" w:hAnsi="仿宋" w:eastAsia="仿宋" w:cs="仿宋"/>
                <w:color w:val="auto"/>
                <w:szCs w:val="21"/>
                <w:highlight w:val="none"/>
              </w:rPr>
            </w:pPr>
          </w:p>
        </w:tc>
      </w:tr>
    </w:tbl>
    <w:p w14:paraId="31B6D85E">
      <w:pPr>
        <w:shd w:val="clear"/>
        <w:snapToGrid w:val="0"/>
        <w:spacing w:line="480" w:lineRule="auto"/>
        <w:rPr>
          <w:rFonts w:hint="eastAsia" w:ascii="仿宋" w:hAnsi="仿宋" w:eastAsia="仿宋" w:cs="仿宋"/>
          <w:color w:val="auto"/>
          <w:szCs w:val="21"/>
          <w:highlight w:val="none"/>
        </w:rPr>
      </w:pPr>
    </w:p>
    <w:p w14:paraId="20BECC76">
      <w:pPr>
        <w:shd w:val="clear"/>
        <w:snapToGrid w:val="0"/>
        <w:rPr>
          <w:rFonts w:hint="eastAsia" w:ascii="仿宋" w:hAnsi="仿宋" w:eastAsia="仿宋" w:cs="仿宋"/>
          <w:color w:val="auto"/>
          <w:szCs w:val="21"/>
          <w:highlight w:val="none"/>
        </w:rPr>
      </w:pPr>
    </w:p>
    <w:p w14:paraId="6DC09195">
      <w:pPr>
        <w:shd w:val="clear"/>
        <w:snapToGrid w:val="0"/>
        <w:rPr>
          <w:rFonts w:hint="eastAsia" w:ascii="仿宋" w:hAnsi="仿宋" w:eastAsia="仿宋" w:cs="仿宋"/>
          <w:color w:val="auto"/>
          <w:szCs w:val="21"/>
          <w:highlight w:val="none"/>
        </w:rPr>
      </w:pPr>
    </w:p>
    <w:p w14:paraId="45433AF7">
      <w:pPr>
        <w:shd w:val="clear"/>
        <w:snapToGrid w:val="0"/>
        <w:rPr>
          <w:rFonts w:hint="eastAsia" w:ascii="仿宋" w:hAnsi="仿宋" w:eastAsia="仿宋" w:cs="仿宋"/>
          <w:color w:val="auto"/>
          <w:szCs w:val="21"/>
          <w:highlight w:val="none"/>
        </w:rPr>
      </w:pPr>
    </w:p>
    <w:p w14:paraId="6298E8AA">
      <w:pPr>
        <w:shd w:val="clear"/>
        <w:snapToGrid w:val="0"/>
        <w:rPr>
          <w:rFonts w:hint="eastAsia" w:ascii="仿宋" w:hAnsi="仿宋" w:eastAsia="仿宋" w:cs="仿宋"/>
          <w:color w:val="auto"/>
          <w:szCs w:val="21"/>
          <w:highlight w:val="none"/>
        </w:rPr>
      </w:pPr>
    </w:p>
    <w:p w14:paraId="3C3FFEFD">
      <w:pPr>
        <w:shd w:val="clear"/>
        <w:adjustRightInd w:val="0"/>
        <w:snapToGrid w:val="0"/>
        <w:spacing w:line="360" w:lineRule="auto"/>
        <w:rPr>
          <w:rFonts w:hint="eastAsia" w:ascii="仿宋" w:hAnsi="仿宋" w:eastAsia="仿宋" w:cs="仿宋"/>
          <w:color w:val="auto"/>
          <w:szCs w:val="21"/>
          <w:highlight w:val="none"/>
        </w:rPr>
      </w:pPr>
    </w:p>
    <w:p w14:paraId="7CE1C1E9">
      <w:pPr>
        <w:shd w:val="clear"/>
        <w:adjustRightInd w:val="0"/>
        <w:snapToGrid w:val="0"/>
        <w:spacing w:line="360" w:lineRule="auto"/>
        <w:ind w:right="420"/>
        <w:rPr>
          <w:rFonts w:hint="eastAsia" w:ascii="仿宋" w:hAnsi="仿宋" w:eastAsia="仿宋" w:cs="仿宋"/>
          <w:color w:val="auto"/>
          <w:szCs w:val="21"/>
          <w:highlight w:val="none"/>
        </w:rPr>
      </w:pPr>
    </w:p>
    <w:p w14:paraId="6B2D8104">
      <w:pPr>
        <w:shd w:val="clear"/>
        <w:adjustRightInd w:val="0"/>
        <w:snapToGrid w:val="0"/>
        <w:spacing w:line="360" w:lineRule="auto"/>
        <w:ind w:right="420"/>
        <w:rPr>
          <w:rFonts w:hint="eastAsia" w:ascii="仿宋" w:hAnsi="仿宋" w:eastAsia="仿宋" w:cs="仿宋"/>
          <w:color w:val="auto"/>
          <w:szCs w:val="21"/>
          <w:highlight w:val="none"/>
        </w:rPr>
      </w:pPr>
    </w:p>
    <w:p w14:paraId="3D4BA92F">
      <w:pPr>
        <w:shd w:val="clear"/>
        <w:adjustRightInd w:val="0"/>
        <w:snapToGrid w:val="0"/>
        <w:spacing w:line="360" w:lineRule="auto"/>
        <w:ind w:right="420"/>
        <w:rPr>
          <w:rFonts w:hint="eastAsia" w:ascii="仿宋" w:hAnsi="仿宋" w:eastAsia="仿宋" w:cs="仿宋"/>
          <w:color w:val="auto"/>
          <w:szCs w:val="21"/>
          <w:highlight w:val="none"/>
        </w:rPr>
      </w:pPr>
    </w:p>
    <w:p w14:paraId="169C5AA2">
      <w:pPr>
        <w:shd w:val="clear"/>
        <w:adjustRightInd w:val="0"/>
        <w:snapToGrid w:val="0"/>
        <w:spacing w:line="360" w:lineRule="auto"/>
        <w:ind w:right="420"/>
        <w:rPr>
          <w:rFonts w:hint="eastAsia" w:ascii="仿宋" w:hAnsi="仿宋" w:eastAsia="仿宋" w:cs="仿宋"/>
          <w:color w:val="auto"/>
          <w:szCs w:val="21"/>
          <w:highlight w:val="none"/>
        </w:rPr>
      </w:pPr>
    </w:p>
    <w:p w14:paraId="052083B6">
      <w:pPr>
        <w:shd w:val="clear"/>
        <w:adjustRightInd w:val="0"/>
        <w:snapToGrid w:val="0"/>
        <w:spacing w:line="360" w:lineRule="auto"/>
        <w:ind w:right="420" w:firstLine="210" w:firstLineChars="100"/>
        <w:rPr>
          <w:rFonts w:hint="eastAsia" w:ascii="仿宋" w:hAnsi="仿宋" w:eastAsia="仿宋" w:cs="仿宋"/>
          <w:color w:val="auto"/>
          <w:szCs w:val="21"/>
          <w:highlight w:val="none"/>
        </w:rPr>
      </w:pPr>
    </w:p>
    <w:p w14:paraId="6F0C923C">
      <w:pPr>
        <w:shd w:val="clear"/>
        <w:adjustRightInd w:val="0"/>
        <w:snapToGrid w:val="0"/>
        <w:spacing w:line="360" w:lineRule="auto"/>
        <w:ind w:right="420" w:firstLine="3255" w:firstLineChars="1550"/>
        <w:rPr>
          <w:rFonts w:hint="eastAsia" w:ascii="仿宋" w:hAnsi="仿宋" w:eastAsia="仿宋" w:cs="仿宋"/>
          <w:color w:val="auto"/>
          <w:szCs w:val="21"/>
          <w:highlight w:val="none"/>
        </w:rPr>
      </w:pPr>
    </w:p>
    <w:p w14:paraId="6ABB2525">
      <w:pPr>
        <w:shd w:val="clear"/>
        <w:adjustRightInd w:val="0"/>
        <w:snapToGrid w:val="0"/>
        <w:spacing w:line="360" w:lineRule="auto"/>
        <w:ind w:right="420" w:firstLine="3255" w:firstLineChars="15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（盖单位章）</w:t>
      </w:r>
    </w:p>
    <w:p w14:paraId="2B1C4D94">
      <w:pPr>
        <w:shd w:val="clear"/>
        <w:adjustRightInd w:val="0"/>
        <w:snapToGrid w:val="0"/>
        <w:spacing w:line="360" w:lineRule="auto"/>
        <w:ind w:right="420" w:firstLine="4830" w:firstLineChars="2300"/>
        <w:rPr>
          <w:rFonts w:hint="eastAsia" w:ascii="仿宋" w:hAnsi="仿宋" w:eastAsia="仿宋" w:cs="仿宋"/>
          <w:color w:val="auto"/>
          <w:szCs w:val="21"/>
          <w:highlight w:val="none"/>
        </w:rPr>
      </w:pPr>
    </w:p>
    <w:p w14:paraId="619905CD">
      <w:pPr>
        <w:shd w:val="clear"/>
        <w:adjustRightInd w:val="0"/>
        <w:snapToGrid w:val="0"/>
        <w:spacing w:line="360" w:lineRule="auto"/>
        <w:ind w:right="420" w:firstLine="4252" w:firstLineChars="2025"/>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日期：20  年  月  日</w:t>
      </w:r>
    </w:p>
    <w:p w14:paraId="30FF7BBC">
      <w:pPr>
        <w:shd w:val="clear"/>
        <w:adjustRightInd w:val="0"/>
        <w:snapToGrid w:val="0"/>
        <w:spacing w:line="360" w:lineRule="auto"/>
        <w:ind w:right="420" w:firstLine="210" w:firstLineChars="100"/>
        <w:rPr>
          <w:rFonts w:hint="eastAsia" w:ascii="仿宋" w:hAnsi="仿宋" w:eastAsia="仿宋" w:cs="仿宋"/>
          <w:color w:val="auto"/>
          <w:szCs w:val="21"/>
          <w:highlight w:val="none"/>
        </w:rPr>
      </w:pPr>
    </w:p>
    <w:p w14:paraId="4FD055B3">
      <w:pPr>
        <w:shd w:val="clear"/>
        <w:adjustRightInd w:val="0"/>
        <w:snapToGrid w:val="0"/>
        <w:spacing w:line="360" w:lineRule="auto"/>
        <w:ind w:right="420" w:firstLine="210" w:firstLineChars="100"/>
        <w:rPr>
          <w:rFonts w:hint="eastAsia" w:ascii="仿宋" w:hAnsi="仿宋" w:eastAsia="仿宋" w:cs="仿宋"/>
          <w:color w:val="auto"/>
          <w:szCs w:val="21"/>
          <w:highlight w:val="none"/>
        </w:rPr>
      </w:pPr>
    </w:p>
    <w:p w14:paraId="3ED5138F">
      <w:pPr>
        <w:shd w:val="clear"/>
        <w:adjustRightInd w:val="0"/>
        <w:snapToGrid w:val="0"/>
        <w:spacing w:line="360" w:lineRule="auto"/>
        <w:ind w:right="420" w:firstLine="210" w:firstLineChars="100"/>
        <w:rPr>
          <w:rFonts w:hint="eastAsia" w:ascii="仿宋" w:hAnsi="仿宋" w:eastAsia="仿宋" w:cs="仿宋"/>
          <w:color w:val="auto"/>
          <w:szCs w:val="21"/>
          <w:highlight w:val="none"/>
        </w:rPr>
      </w:pPr>
    </w:p>
    <w:p w14:paraId="1B74A838">
      <w:pPr>
        <w:shd w:val="clear"/>
        <w:adjustRightInd w:val="0"/>
        <w:snapToGrid w:val="0"/>
        <w:spacing w:line="360" w:lineRule="auto"/>
        <w:ind w:right="42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说明：仅限法定代表人（单位负责人）参加投标时提供</w:t>
      </w:r>
    </w:p>
    <w:p w14:paraId="083ABA33">
      <w:pPr>
        <w:shd w:val="clear"/>
        <w:adjustRightInd w:val="0"/>
        <w:snapToGrid w:val="0"/>
        <w:spacing w:line="360" w:lineRule="auto"/>
        <w:ind w:right="420" w:firstLine="2168" w:firstLineChars="900"/>
        <w:rPr>
          <w:rFonts w:hint="eastAsia" w:ascii="仿宋" w:hAnsi="仿宋" w:eastAsia="仿宋" w:cs="仿宋"/>
          <w:b/>
          <w:bCs/>
          <w:color w:val="auto"/>
          <w:sz w:val="24"/>
          <w:szCs w:val="24"/>
          <w:highlight w:val="none"/>
        </w:rPr>
      </w:pPr>
    </w:p>
    <w:p w14:paraId="7BD4C6BD">
      <w:pPr>
        <w:shd w:val="clear"/>
        <w:adjustRightInd w:val="0"/>
        <w:snapToGrid w:val="0"/>
        <w:spacing w:line="360" w:lineRule="auto"/>
        <w:ind w:right="420" w:firstLine="2168" w:firstLineChars="900"/>
        <w:rPr>
          <w:rFonts w:hint="eastAsia" w:ascii="仿宋" w:hAnsi="仿宋" w:eastAsia="仿宋" w:cs="仿宋"/>
          <w:b/>
          <w:bCs/>
          <w:color w:val="auto"/>
          <w:sz w:val="24"/>
          <w:szCs w:val="24"/>
          <w:highlight w:val="none"/>
        </w:rPr>
      </w:pPr>
    </w:p>
    <w:p w14:paraId="66432209">
      <w:pPr>
        <w:shd w:val="clear"/>
        <w:adjustRightInd w:val="0"/>
        <w:snapToGrid w:val="0"/>
        <w:spacing w:line="360" w:lineRule="auto"/>
        <w:ind w:right="420" w:firstLine="2891" w:firstLineChars="1200"/>
        <w:outlineLvl w:val="1"/>
        <w:rPr>
          <w:rFonts w:hint="eastAsia" w:ascii="仿宋" w:hAnsi="仿宋" w:eastAsia="仿宋" w:cs="仿宋"/>
          <w:b/>
          <w:bCs/>
          <w:color w:val="auto"/>
          <w:sz w:val="24"/>
          <w:szCs w:val="24"/>
          <w:highlight w:val="none"/>
        </w:rPr>
      </w:pPr>
      <w:bookmarkStart w:id="556" w:name="_Toc24227"/>
    </w:p>
    <w:p w14:paraId="18F2D0AB">
      <w:pPr>
        <w:shd w:val="clear"/>
        <w:adjustRightInd w:val="0"/>
        <w:snapToGrid w:val="0"/>
        <w:spacing w:line="360" w:lineRule="auto"/>
        <w:ind w:right="420" w:firstLine="2891" w:firstLineChars="1200"/>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3.法定代表人授权委托书</w:t>
      </w:r>
      <w:bookmarkEnd w:id="556"/>
    </w:p>
    <w:p w14:paraId="70F3DCFC">
      <w:pPr>
        <w:shd w:val="clear"/>
        <w:spacing w:line="400" w:lineRule="exact"/>
        <w:ind w:firstLine="560" w:firstLineChars="200"/>
        <w:rPr>
          <w:rFonts w:hint="eastAsia" w:ascii="仿宋" w:hAnsi="仿宋" w:eastAsia="仿宋" w:cs="仿宋"/>
          <w:color w:val="auto"/>
          <w:sz w:val="28"/>
          <w:szCs w:val="28"/>
          <w:highlight w:val="none"/>
        </w:rPr>
      </w:pPr>
    </w:p>
    <w:p w14:paraId="5E9444B1">
      <w:pPr>
        <w:shd w:val="clea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本人</w:t>
      </w:r>
      <w:r>
        <w:rPr>
          <w:rFonts w:hint="eastAsia" w:ascii="仿宋" w:hAnsi="仿宋" w:eastAsia="仿宋" w:cs="仿宋"/>
          <w:color w:val="auto"/>
          <w:szCs w:val="21"/>
          <w:highlight w:val="none"/>
          <w:u w:val="single"/>
          <w:lang w:val="zh-CN"/>
        </w:rPr>
        <w:t>（姓名）</w:t>
      </w:r>
      <w:r>
        <w:rPr>
          <w:rFonts w:hint="eastAsia" w:ascii="仿宋" w:hAnsi="仿宋" w:eastAsia="仿宋" w:cs="仿宋"/>
          <w:color w:val="auto"/>
          <w:szCs w:val="21"/>
          <w:highlight w:val="none"/>
          <w:lang w:val="zh-CN"/>
        </w:rPr>
        <w:t>系</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zh-CN"/>
        </w:rPr>
        <w:t>（投标人名称）</w:t>
      </w:r>
      <w:r>
        <w:rPr>
          <w:rFonts w:hint="eastAsia" w:ascii="仿宋" w:hAnsi="仿宋" w:eastAsia="仿宋" w:cs="仿宋"/>
          <w:color w:val="auto"/>
          <w:szCs w:val="21"/>
          <w:highlight w:val="none"/>
          <w:lang w:val="zh-CN"/>
        </w:rPr>
        <w:t>的法定代表人（单位负责人），现委托</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zh-CN"/>
        </w:rPr>
        <w:t>（姓名）</w:t>
      </w:r>
      <w:r>
        <w:rPr>
          <w:rFonts w:hint="eastAsia" w:ascii="仿宋" w:hAnsi="仿宋" w:eastAsia="仿宋" w:cs="仿宋"/>
          <w:color w:val="auto"/>
          <w:szCs w:val="21"/>
          <w:highlight w:val="none"/>
          <w:lang w:val="zh-CN"/>
        </w:rPr>
        <w:t>为我方代理人。代理人根据授权，以我方的名义签署、澄清确认、递交、撤回、修改</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lang w:val="zh-CN"/>
        </w:rPr>
        <w:t>（采购项目）</w:t>
      </w:r>
      <w:r>
        <w:rPr>
          <w:rFonts w:hint="eastAsia" w:ascii="仿宋" w:hAnsi="仿宋" w:eastAsia="仿宋" w:cs="仿宋"/>
          <w:color w:val="auto"/>
          <w:szCs w:val="21"/>
          <w:highlight w:val="none"/>
          <w:lang w:val="zh-CN"/>
        </w:rPr>
        <w:t>投标文件、签订合同和全权处理一切与之有关的事宜，</w:t>
      </w:r>
      <w:r>
        <w:rPr>
          <w:rFonts w:hint="eastAsia" w:ascii="仿宋" w:hAnsi="仿宋" w:eastAsia="仿宋" w:cs="仿宋"/>
          <w:color w:val="auto"/>
          <w:kern w:val="0"/>
          <w:szCs w:val="21"/>
          <w:highlight w:val="none"/>
        </w:rPr>
        <w:t>其法律后果由我方承担。</w:t>
      </w:r>
    </w:p>
    <w:p w14:paraId="715BB473">
      <w:pPr>
        <w:shd w:val="clear"/>
        <w:spacing w:line="48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委托期限</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zh-CN"/>
        </w:rPr>
        <w:t>年</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月</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日至</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年</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月</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val="zh-CN"/>
        </w:rPr>
        <w:t>日。</w:t>
      </w:r>
    </w:p>
    <w:p w14:paraId="3FD63BE6">
      <w:pPr>
        <w:shd w:val="clear"/>
        <w:spacing w:line="48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代理人无转委托权。</w:t>
      </w:r>
    </w:p>
    <w:p w14:paraId="6169EAC2">
      <w:pPr>
        <w:shd w:val="clear"/>
        <w:spacing w:line="360" w:lineRule="auto"/>
        <w:ind w:firstLine="420" w:firstLineChars="200"/>
        <w:rPr>
          <w:rFonts w:hint="eastAsia" w:ascii="仿宋" w:hAnsi="仿宋" w:eastAsia="仿宋" w:cs="仿宋"/>
          <w:color w:val="auto"/>
          <w:szCs w:val="21"/>
          <w:highlight w:val="none"/>
        </w:rPr>
      </w:pPr>
    </w:p>
    <w:p w14:paraId="0A6E4788">
      <w:pPr>
        <w:shd w:val="clear"/>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zh-CN"/>
        </w:rPr>
        <w:t>附：法定代表人（单位负责人）身份证复印件</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zh-CN"/>
        </w:rPr>
        <w:t>委托代理人身份证复印件</w:t>
      </w:r>
    </w:p>
    <w:tbl>
      <w:tblPr>
        <w:tblStyle w:val="42"/>
        <w:tblW w:w="7996" w:type="dxa"/>
        <w:tblInd w:w="540" w:type="dxa"/>
        <w:tblLayout w:type="fixed"/>
        <w:tblCellMar>
          <w:top w:w="0" w:type="dxa"/>
          <w:left w:w="108" w:type="dxa"/>
          <w:bottom w:w="0" w:type="dxa"/>
          <w:right w:w="108" w:type="dxa"/>
        </w:tblCellMar>
      </w:tblPr>
      <w:tblGrid>
        <w:gridCol w:w="4081"/>
        <w:gridCol w:w="3915"/>
      </w:tblGrid>
      <w:tr w14:paraId="102AD8C3">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vAlign w:val="center"/>
          </w:tcPr>
          <w:p w14:paraId="516C14C8">
            <w:pPr>
              <w:shd w:val="clear"/>
              <w:spacing w:line="360" w:lineRule="auto"/>
              <w:jc w:val="center"/>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zh-CN"/>
              </w:rPr>
              <w:t>法定代表人（单位负责人）身份证复印件</w:t>
            </w:r>
          </w:p>
        </w:tc>
        <w:tc>
          <w:tcPr>
            <w:tcW w:w="3915" w:type="dxa"/>
            <w:tcBorders>
              <w:top w:val="single" w:color="auto" w:sz="6" w:space="0"/>
              <w:left w:val="single" w:color="auto" w:sz="6" w:space="0"/>
              <w:bottom w:val="single" w:color="auto" w:sz="6" w:space="0"/>
              <w:right w:val="single" w:color="auto" w:sz="6" w:space="0"/>
            </w:tcBorders>
            <w:vAlign w:val="center"/>
          </w:tcPr>
          <w:p w14:paraId="5829FE76">
            <w:pPr>
              <w:shd w:val="clear"/>
              <w:spacing w:line="360" w:lineRule="auto"/>
              <w:jc w:val="center"/>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val="zh-CN"/>
              </w:rPr>
              <w:t>委托代理人身份证复印件</w:t>
            </w:r>
          </w:p>
        </w:tc>
      </w:tr>
    </w:tbl>
    <w:p w14:paraId="359D24F7">
      <w:pPr>
        <w:shd w:val="clear"/>
        <w:ind w:firstLine="420" w:firstLineChars="200"/>
        <w:rPr>
          <w:rFonts w:hint="eastAsia" w:ascii="仿宋" w:hAnsi="仿宋" w:eastAsia="仿宋" w:cs="仿宋"/>
          <w:color w:val="auto"/>
          <w:szCs w:val="21"/>
          <w:highlight w:val="none"/>
        </w:rPr>
      </w:pPr>
    </w:p>
    <w:p w14:paraId="6887A620">
      <w:pPr>
        <w:shd w:val="clear"/>
        <w:ind w:firstLine="420" w:firstLineChars="200"/>
        <w:rPr>
          <w:rFonts w:hint="eastAsia" w:ascii="仿宋" w:hAnsi="仿宋" w:eastAsia="仿宋" w:cs="仿宋"/>
          <w:color w:val="auto"/>
          <w:szCs w:val="21"/>
          <w:highlight w:val="none"/>
        </w:rPr>
      </w:pPr>
    </w:p>
    <w:p w14:paraId="4029F530">
      <w:pPr>
        <w:shd w:val="clear"/>
        <w:ind w:firstLine="420" w:firstLineChars="200"/>
        <w:rPr>
          <w:rFonts w:hint="eastAsia" w:ascii="仿宋" w:hAnsi="仿宋" w:eastAsia="仿宋" w:cs="仿宋"/>
          <w:color w:val="auto"/>
          <w:szCs w:val="21"/>
          <w:highlight w:val="none"/>
        </w:rPr>
      </w:pPr>
    </w:p>
    <w:p w14:paraId="4FA5E9EC">
      <w:pPr>
        <w:shd w:val="clear"/>
        <w:ind w:firstLine="2835" w:firstLineChars="1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 标 人：</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（盖单位章） </w:t>
      </w:r>
    </w:p>
    <w:p w14:paraId="2D296A46">
      <w:pPr>
        <w:shd w:val="clear"/>
        <w:ind w:firstLine="420" w:firstLineChars="200"/>
        <w:rPr>
          <w:rFonts w:hint="eastAsia" w:ascii="仿宋" w:hAnsi="仿宋" w:eastAsia="仿宋" w:cs="仿宋"/>
          <w:color w:val="auto"/>
          <w:szCs w:val="21"/>
          <w:highlight w:val="none"/>
        </w:rPr>
      </w:pPr>
    </w:p>
    <w:p w14:paraId="0145CBF4">
      <w:pPr>
        <w:shd w:val="clear"/>
        <w:ind w:firstLine="2835" w:firstLineChars="135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法定代表人（单位负责人）: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（签字）</w:t>
      </w:r>
    </w:p>
    <w:p w14:paraId="1E0225DD">
      <w:pPr>
        <w:shd w:val="clear"/>
        <w:ind w:firstLine="3465" w:firstLineChars="1650"/>
        <w:rPr>
          <w:rFonts w:hint="eastAsia" w:ascii="仿宋" w:hAnsi="仿宋" w:eastAsia="仿宋" w:cs="仿宋"/>
          <w:color w:val="auto"/>
          <w:szCs w:val="21"/>
          <w:highlight w:val="none"/>
        </w:rPr>
      </w:pPr>
    </w:p>
    <w:p w14:paraId="438ABEB3">
      <w:pPr>
        <w:shd w:val="clear"/>
        <w:ind w:firstLine="2835" w:firstLineChars="1350"/>
        <w:jc w:val="left"/>
        <w:rPr>
          <w:rFonts w:hint="default" w:ascii="仿宋" w:hAnsi="仿宋" w:eastAsia="仿宋" w:cs="仿宋"/>
          <w:color w:val="auto"/>
          <w:szCs w:val="21"/>
          <w:highlight w:val="none"/>
          <w:u w:val="single"/>
          <w:lang w:val="en-US"/>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lang w:val="en-US" w:eastAsia="zh-CN"/>
        </w:rPr>
        <w:t xml:space="preserve">                     </w:t>
      </w:r>
    </w:p>
    <w:p w14:paraId="29C64465">
      <w:pPr>
        <w:shd w:val="clear"/>
        <w:ind w:firstLine="3465" w:firstLineChars="1650"/>
        <w:rPr>
          <w:rFonts w:hint="eastAsia" w:ascii="仿宋" w:hAnsi="仿宋" w:eastAsia="仿宋" w:cs="仿宋"/>
          <w:color w:val="auto"/>
          <w:szCs w:val="21"/>
          <w:highlight w:val="none"/>
        </w:rPr>
      </w:pPr>
    </w:p>
    <w:p w14:paraId="44424FF5">
      <w:pPr>
        <w:shd w:val="clear"/>
        <w:ind w:firstLine="2835" w:firstLineChars="13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委托代理人：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（签字）  </w:t>
      </w:r>
      <w:r>
        <w:rPr>
          <w:rFonts w:hint="eastAsia" w:ascii="仿宋" w:hAnsi="仿宋" w:eastAsia="仿宋" w:cs="仿宋"/>
          <w:color w:val="auto"/>
          <w:szCs w:val="21"/>
          <w:highlight w:val="none"/>
        </w:rPr>
        <w:t xml:space="preserve">   </w:t>
      </w:r>
    </w:p>
    <w:p w14:paraId="60D2B490">
      <w:pPr>
        <w:shd w:val="clear"/>
        <w:ind w:firstLine="2835" w:firstLineChars="1350"/>
        <w:jc w:val="left"/>
        <w:rPr>
          <w:rFonts w:hint="eastAsia" w:ascii="仿宋" w:hAnsi="仿宋" w:eastAsia="仿宋" w:cs="仿宋"/>
          <w:color w:val="auto"/>
          <w:szCs w:val="21"/>
          <w:highlight w:val="none"/>
        </w:rPr>
      </w:pPr>
    </w:p>
    <w:p w14:paraId="0F275B36">
      <w:pPr>
        <w:shd w:val="clear"/>
        <w:ind w:firstLine="2835" w:firstLineChars="135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身 份 证 号：</w:t>
      </w:r>
      <w:r>
        <w:rPr>
          <w:rFonts w:hint="eastAsia" w:ascii="仿宋" w:hAnsi="仿宋" w:eastAsia="仿宋" w:cs="仿宋"/>
          <w:color w:val="auto"/>
          <w:szCs w:val="21"/>
          <w:highlight w:val="none"/>
          <w:u w:val="single"/>
          <w:lang w:val="en-US" w:eastAsia="zh-CN"/>
        </w:rPr>
        <w:t xml:space="preserve">                   </w:t>
      </w:r>
    </w:p>
    <w:p w14:paraId="32FC697C">
      <w:pPr>
        <w:shd w:val="clear"/>
        <w:ind w:firstLine="420" w:firstLineChars="200"/>
        <w:rPr>
          <w:rFonts w:hint="eastAsia" w:ascii="仿宋" w:hAnsi="仿宋" w:eastAsia="仿宋" w:cs="仿宋"/>
          <w:color w:val="auto"/>
          <w:szCs w:val="21"/>
          <w:highlight w:val="none"/>
        </w:rPr>
      </w:pPr>
    </w:p>
    <w:p w14:paraId="16D10F89">
      <w:pPr>
        <w:shd w:val="clear"/>
        <w:ind w:firstLine="2730" w:firstLineChars="1300"/>
        <w:rPr>
          <w:rFonts w:hint="eastAsia" w:ascii="仿宋" w:hAnsi="仿宋" w:eastAsia="仿宋" w:cs="仿宋"/>
          <w:color w:val="auto"/>
          <w:highlight w:val="none"/>
          <w:lang w:val="zh-CN"/>
        </w:rPr>
      </w:pPr>
      <w:r>
        <w:rPr>
          <w:rFonts w:hint="eastAsia" w:ascii="仿宋" w:hAnsi="仿宋" w:eastAsia="仿宋" w:cs="仿宋"/>
          <w:color w:val="auto"/>
          <w:szCs w:val="21"/>
          <w:highlight w:val="none"/>
        </w:rPr>
        <w:t xml:space="preserve"> 授权委托日期：20 年 月 日</w:t>
      </w:r>
    </w:p>
    <w:p w14:paraId="124334EE">
      <w:pPr>
        <w:shd w:val="clear"/>
        <w:ind w:firstLine="420" w:firstLineChars="200"/>
        <w:rPr>
          <w:rFonts w:hint="eastAsia" w:ascii="仿宋" w:hAnsi="仿宋" w:eastAsia="仿宋" w:cs="仿宋"/>
          <w:color w:val="auto"/>
          <w:highlight w:val="none"/>
          <w:lang w:val="zh-CN"/>
        </w:rPr>
      </w:pPr>
    </w:p>
    <w:p w14:paraId="5348C029">
      <w:pPr>
        <w:shd w:val="clea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说明：本授权委托书有效期自开标之日起不得少于</w:t>
      </w:r>
      <w:r>
        <w:rPr>
          <w:rFonts w:hint="eastAsia" w:ascii="仿宋" w:hAnsi="仿宋" w:eastAsia="仿宋" w:cs="仿宋"/>
          <w:color w:val="auto"/>
          <w:highlight w:val="none"/>
        </w:rPr>
        <w:t>90</w:t>
      </w:r>
      <w:r>
        <w:rPr>
          <w:rFonts w:hint="eastAsia" w:ascii="仿宋" w:hAnsi="仿宋" w:eastAsia="仿宋" w:cs="仿宋"/>
          <w:color w:val="auto"/>
          <w:highlight w:val="none"/>
          <w:lang w:val="zh-CN"/>
        </w:rPr>
        <w:t>天，仅限委托代理人参加投标时提供。</w:t>
      </w:r>
    </w:p>
    <w:p w14:paraId="4E0AE59F">
      <w:pPr>
        <w:shd w:val="clear"/>
        <w:snapToGrid w:val="0"/>
        <w:spacing w:line="360" w:lineRule="auto"/>
        <w:ind w:firstLine="241" w:firstLineChars="100"/>
        <w:rPr>
          <w:rFonts w:hint="eastAsia" w:ascii="仿宋" w:hAnsi="仿宋" w:eastAsia="仿宋" w:cs="仿宋"/>
          <w:b/>
          <w:bCs/>
          <w:color w:val="auto"/>
          <w:sz w:val="24"/>
          <w:szCs w:val="24"/>
          <w:highlight w:val="none"/>
        </w:rPr>
      </w:pPr>
    </w:p>
    <w:p w14:paraId="7C5D2E07">
      <w:pPr>
        <w:shd w:val="clear"/>
        <w:snapToGrid w:val="0"/>
        <w:spacing w:line="360" w:lineRule="auto"/>
        <w:ind w:firstLine="241" w:firstLineChars="100"/>
        <w:rPr>
          <w:rFonts w:hint="eastAsia" w:ascii="仿宋" w:hAnsi="仿宋" w:eastAsia="仿宋" w:cs="仿宋"/>
          <w:b/>
          <w:bCs/>
          <w:color w:val="auto"/>
          <w:sz w:val="24"/>
          <w:szCs w:val="24"/>
          <w:highlight w:val="none"/>
        </w:rPr>
      </w:pPr>
    </w:p>
    <w:p w14:paraId="1A723B0D">
      <w:pPr>
        <w:shd w:val="clear"/>
        <w:snapToGrid w:val="0"/>
        <w:spacing w:line="360" w:lineRule="auto"/>
        <w:rPr>
          <w:rFonts w:hint="eastAsia" w:ascii="仿宋" w:hAnsi="仿宋" w:eastAsia="仿宋" w:cs="仿宋"/>
          <w:b/>
          <w:bCs/>
          <w:color w:val="auto"/>
          <w:szCs w:val="21"/>
          <w:highlight w:val="none"/>
        </w:rPr>
      </w:pPr>
    </w:p>
    <w:p w14:paraId="4741C999">
      <w:pPr>
        <w:shd w:val="clear"/>
        <w:snapToGrid w:val="0"/>
        <w:spacing w:line="360" w:lineRule="auto"/>
        <w:rPr>
          <w:rFonts w:hint="eastAsia" w:ascii="仿宋" w:hAnsi="仿宋" w:eastAsia="仿宋" w:cs="仿宋"/>
          <w:b/>
          <w:bCs/>
          <w:color w:val="auto"/>
          <w:szCs w:val="21"/>
          <w:highlight w:val="none"/>
          <w:u w:val="double"/>
        </w:rPr>
      </w:pPr>
      <w:r>
        <w:rPr>
          <w:rFonts w:hint="eastAsia" w:ascii="仿宋" w:hAnsi="仿宋" w:eastAsia="仿宋" w:cs="仿宋"/>
          <w:b w:val="0"/>
          <w:bCs w:val="0"/>
          <w:color w:val="auto"/>
          <w:szCs w:val="21"/>
          <w:highlight w:val="none"/>
        </w:rPr>
        <w:t>4</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color w:val="auto"/>
          <w:sz w:val="21"/>
          <w:szCs w:val="21"/>
          <w:highlight w:val="none"/>
          <w:lang w:eastAsia="zh-CN"/>
        </w:rPr>
        <w:t>投标人须为具有独立承担民事责任能力的法人、其他组织或自然人，并出具合法有效的营业执照或事业单位法人证书等国家规定的相关证明，自然人参与的提供其身份证明。</w:t>
      </w:r>
      <w:r>
        <w:rPr>
          <w:rFonts w:hint="eastAsia" w:ascii="仿宋" w:hAnsi="仿宋" w:eastAsia="仿宋" w:cs="仿宋"/>
          <w:b/>
          <w:color w:val="000000" w:themeColor="text1"/>
          <w:sz w:val="22"/>
          <w:szCs w:val="22"/>
          <w:u w:val="double"/>
          <w14:textFill>
            <w14:solidFill>
              <w14:schemeClr w14:val="tx1"/>
            </w14:solidFill>
          </w14:textFill>
        </w:rPr>
        <w:t>（材料应清晰可辨</w:t>
      </w:r>
      <w:r>
        <w:rPr>
          <w:rFonts w:hint="eastAsia" w:ascii="仿宋" w:hAnsi="仿宋" w:eastAsia="仿宋" w:cs="仿宋"/>
          <w:b/>
          <w:color w:val="000000" w:themeColor="text1"/>
          <w:sz w:val="22"/>
          <w:szCs w:val="22"/>
          <w:u w:val="double"/>
          <w:lang w:val="en-US" w:eastAsia="zh-CN"/>
          <w14:textFill>
            <w14:solidFill>
              <w14:schemeClr w14:val="tx1"/>
            </w14:solidFill>
          </w14:textFill>
        </w:rPr>
        <w:t>并</w:t>
      </w:r>
      <w:r>
        <w:rPr>
          <w:rFonts w:hint="eastAsia" w:ascii="仿宋" w:hAnsi="仿宋" w:eastAsia="仿宋" w:cs="仿宋"/>
          <w:b/>
          <w:color w:val="000000" w:themeColor="text1"/>
          <w:sz w:val="22"/>
          <w:szCs w:val="22"/>
          <w:u w:val="double"/>
          <w14:textFill>
            <w14:solidFill>
              <w14:schemeClr w14:val="tx1"/>
            </w14:solidFill>
          </w14:textFill>
        </w:rPr>
        <w:t>加盖公章）</w:t>
      </w:r>
    </w:p>
    <w:bookmarkEnd w:id="377"/>
    <w:bookmarkEnd w:id="378"/>
    <w:bookmarkEnd w:id="379"/>
    <w:bookmarkEnd w:id="536"/>
    <w:bookmarkEnd w:id="537"/>
    <w:bookmarkEnd w:id="538"/>
    <w:bookmarkEnd w:id="539"/>
    <w:bookmarkEnd w:id="540"/>
    <w:bookmarkEnd w:id="541"/>
    <w:bookmarkEnd w:id="542"/>
    <w:p w14:paraId="19EDA408">
      <w:pPr>
        <w:pStyle w:val="150"/>
        <w:shd w:val="clear"/>
        <w:ind w:firstLine="0" w:firstLineChars="0"/>
        <w:rPr>
          <w:rFonts w:hint="eastAsia" w:ascii="仿宋" w:hAnsi="仿宋" w:eastAsia="仿宋" w:cs="仿宋"/>
          <w:color w:val="auto"/>
          <w:sz w:val="20"/>
          <w:szCs w:val="18"/>
          <w:highlight w:val="none"/>
        </w:rPr>
      </w:pPr>
    </w:p>
    <w:p w14:paraId="21BBDC80">
      <w:pPr>
        <w:pStyle w:val="150"/>
        <w:shd w:val="clear"/>
        <w:ind w:firstLine="0" w:firstLineChars="0"/>
        <w:rPr>
          <w:rFonts w:hint="eastAsia" w:ascii="仿宋" w:hAnsi="仿宋" w:eastAsia="仿宋" w:cs="仿宋"/>
          <w:color w:val="auto"/>
          <w:sz w:val="20"/>
          <w:szCs w:val="18"/>
          <w:highlight w:val="none"/>
        </w:rPr>
      </w:pPr>
    </w:p>
    <w:p w14:paraId="28144255">
      <w:pPr>
        <w:pStyle w:val="150"/>
        <w:shd w:val="clear"/>
        <w:ind w:firstLine="0" w:firstLineChars="0"/>
        <w:rPr>
          <w:rFonts w:hint="eastAsia" w:ascii="仿宋" w:hAnsi="仿宋" w:eastAsia="仿宋" w:cs="仿宋"/>
          <w:color w:val="auto"/>
          <w:sz w:val="20"/>
          <w:szCs w:val="18"/>
          <w:highlight w:val="none"/>
        </w:rPr>
      </w:pPr>
    </w:p>
    <w:p w14:paraId="736C510D">
      <w:pPr>
        <w:shd w:val="clea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val="0"/>
          <w:bCs w:val="0"/>
          <w:color w:val="auto"/>
          <w:szCs w:val="21"/>
          <w:highlight w:val="none"/>
        </w:rPr>
        <w:t>5</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color w:val="000000" w:themeColor="text1"/>
          <w:sz w:val="22"/>
          <w:szCs w:val="22"/>
          <w14:textFill>
            <w14:solidFill>
              <w14:schemeClr w14:val="tx1"/>
            </w14:solidFill>
          </w14:textFill>
        </w:rPr>
        <w:t xml:space="preserve">财务状况报告: </w:t>
      </w:r>
      <w:r>
        <w:rPr>
          <w:rFonts w:hint="eastAsia" w:ascii="仿宋" w:hAnsi="仿宋" w:eastAsia="仿宋" w:cs="仿宋"/>
          <w:color w:val="auto"/>
          <w:sz w:val="21"/>
          <w:szCs w:val="21"/>
          <w:highlight w:val="none"/>
          <w:lang w:eastAsia="zh-CN"/>
        </w:rPr>
        <w:t>提供2022</w:t>
      </w:r>
      <w:r>
        <w:rPr>
          <w:rFonts w:hint="eastAsia" w:ascii="仿宋" w:hAnsi="仿宋" w:eastAsia="仿宋" w:cs="仿宋"/>
          <w:color w:val="auto"/>
          <w:sz w:val="21"/>
          <w:szCs w:val="21"/>
          <w:highlight w:val="none"/>
          <w:lang w:val="en-US" w:eastAsia="zh-CN"/>
        </w:rPr>
        <w:t>或2023</w:t>
      </w:r>
      <w:r>
        <w:rPr>
          <w:rFonts w:hint="eastAsia" w:ascii="仿宋" w:hAnsi="仿宋" w:eastAsia="仿宋" w:cs="仿宋"/>
          <w:color w:val="auto"/>
          <w:sz w:val="21"/>
          <w:szCs w:val="21"/>
          <w:highlight w:val="none"/>
          <w:lang w:eastAsia="zh-CN"/>
        </w:rPr>
        <w:t>年度完整有效财务审计报告（成立时间至投标文件递交截止时间不足一年的可提供成立后任意时段的资产负债表），或投标文件递交截止时间前三个月内基本存款账户开户银行出具的资信证明，或财政部门认可的政府采购专业担保机构出具的担保函（以上</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lang w:eastAsia="zh-CN"/>
        </w:rPr>
        <w:t>种任意一项即可）</w:t>
      </w:r>
      <w:r>
        <w:rPr>
          <w:rFonts w:hint="eastAsia" w:ascii="仿宋" w:hAnsi="仿宋" w:eastAsia="仿宋" w:cs="仿宋"/>
          <w:color w:val="000000" w:themeColor="text1"/>
          <w:sz w:val="22"/>
          <w:szCs w:val="22"/>
          <w14:textFill>
            <w14:solidFill>
              <w14:schemeClr w14:val="tx1"/>
            </w14:solidFill>
          </w14:textFill>
        </w:rPr>
        <w:t>。</w:t>
      </w:r>
      <w:r>
        <w:rPr>
          <w:rFonts w:hint="eastAsia" w:ascii="仿宋" w:hAnsi="仿宋" w:eastAsia="仿宋" w:cs="仿宋"/>
          <w:b/>
          <w:color w:val="000000" w:themeColor="text1"/>
          <w:sz w:val="22"/>
          <w:szCs w:val="22"/>
          <w:u w:val="double"/>
          <w14:textFill>
            <w14:solidFill>
              <w14:schemeClr w14:val="tx1"/>
            </w14:solidFill>
          </w14:textFill>
        </w:rPr>
        <w:t>（材料应清晰可辨</w:t>
      </w:r>
      <w:r>
        <w:rPr>
          <w:rFonts w:hint="eastAsia" w:ascii="仿宋" w:hAnsi="仿宋" w:eastAsia="仿宋" w:cs="仿宋"/>
          <w:b/>
          <w:color w:val="000000" w:themeColor="text1"/>
          <w:sz w:val="22"/>
          <w:szCs w:val="22"/>
          <w:u w:val="double"/>
          <w:lang w:val="en-US" w:eastAsia="zh-CN"/>
          <w14:textFill>
            <w14:solidFill>
              <w14:schemeClr w14:val="tx1"/>
            </w14:solidFill>
          </w14:textFill>
        </w:rPr>
        <w:t>并</w:t>
      </w:r>
      <w:r>
        <w:rPr>
          <w:rFonts w:hint="eastAsia" w:ascii="仿宋" w:hAnsi="仿宋" w:eastAsia="仿宋" w:cs="仿宋"/>
          <w:b/>
          <w:color w:val="000000" w:themeColor="text1"/>
          <w:sz w:val="22"/>
          <w:szCs w:val="22"/>
          <w:u w:val="double"/>
          <w14:textFill>
            <w14:solidFill>
              <w14:schemeClr w14:val="tx1"/>
            </w14:solidFill>
          </w14:textFill>
        </w:rPr>
        <w:t>加盖公章）</w:t>
      </w:r>
    </w:p>
    <w:p w14:paraId="55439C65">
      <w:pPr>
        <w:pStyle w:val="150"/>
        <w:shd w:val="clear"/>
        <w:ind w:firstLine="0" w:firstLineChars="0"/>
        <w:rPr>
          <w:rFonts w:hint="eastAsia" w:ascii="仿宋" w:hAnsi="仿宋" w:eastAsia="仿宋" w:cs="仿宋"/>
          <w:color w:val="auto"/>
          <w:sz w:val="20"/>
          <w:szCs w:val="18"/>
          <w:highlight w:val="none"/>
        </w:rPr>
      </w:pPr>
    </w:p>
    <w:p w14:paraId="3D321FB9">
      <w:pPr>
        <w:pStyle w:val="150"/>
        <w:shd w:val="clear"/>
        <w:ind w:firstLine="0" w:firstLineChars="0"/>
        <w:rPr>
          <w:rFonts w:hint="eastAsia" w:ascii="仿宋" w:hAnsi="仿宋" w:eastAsia="仿宋" w:cs="仿宋"/>
          <w:color w:val="auto"/>
          <w:sz w:val="20"/>
          <w:szCs w:val="18"/>
          <w:highlight w:val="none"/>
        </w:rPr>
      </w:pPr>
    </w:p>
    <w:p w14:paraId="28BCC6A4">
      <w:pPr>
        <w:pStyle w:val="150"/>
        <w:shd w:val="clear"/>
        <w:ind w:firstLine="0" w:firstLineChars="0"/>
        <w:rPr>
          <w:rFonts w:hint="eastAsia" w:ascii="仿宋" w:hAnsi="仿宋" w:eastAsia="仿宋" w:cs="仿宋"/>
          <w:color w:val="auto"/>
          <w:sz w:val="20"/>
          <w:szCs w:val="18"/>
          <w:highlight w:val="none"/>
        </w:rPr>
      </w:pPr>
    </w:p>
    <w:p w14:paraId="77BC601A">
      <w:pPr>
        <w:shd w:val="clea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val="0"/>
          <w:bCs w:val="0"/>
          <w:color w:val="auto"/>
          <w:szCs w:val="21"/>
          <w:highlight w:val="none"/>
        </w:rPr>
        <w:t>6</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color w:val="000000" w:themeColor="text1"/>
          <w:sz w:val="22"/>
          <w:szCs w:val="22"/>
          <w14:textFill>
            <w14:solidFill>
              <w14:schemeClr w14:val="tx1"/>
            </w14:solidFill>
          </w14:textFill>
        </w:rPr>
        <w:t xml:space="preserve">税收缴纳证明: </w:t>
      </w:r>
      <w:r>
        <w:rPr>
          <w:rFonts w:hint="eastAsia" w:ascii="仿宋" w:hAnsi="仿宋" w:eastAsia="仿宋" w:cs="仿宋"/>
          <w:color w:val="auto"/>
          <w:sz w:val="21"/>
          <w:szCs w:val="21"/>
          <w:highlight w:val="none"/>
          <w:lang w:eastAsia="zh-CN"/>
        </w:rPr>
        <w:t>提供自2023年11月1日以来已缴纳的任意1个月的依法缴纳税收的相关凭据（时间以税收所属日期为准），凭据应有税务机关或代收机关的公章或业务专用章；（依法免税或无须缴纳税收的投标人，应提供相关文件证明）。</w:t>
      </w:r>
      <w:r>
        <w:rPr>
          <w:rFonts w:hint="eastAsia" w:ascii="仿宋" w:hAnsi="仿宋" w:eastAsia="仿宋" w:cs="仿宋"/>
          <w:b/>
          <w:color w:val="000000" w:themeColor="text1"/>
          <w:sz w:val="22"/>
          <w:szCs w:val="22"/>
          <w:u w:val="double"/>
          <w14:textFill>
            <w14:solidFill>
              <w14:schemeClr w14:val="tx1"/>
            </w14:solidFill>
          </w14:textFill>
        </w:rPr>
        <w:t>（材料应清晰可辨</w:t>
      </w:r>
      <w:r>
        <w:rPr>
          <w:rFonts w:hint="eastAsia" w:ascii="仿宋" w:hAnsi="仿宋" w:eastAsia="仿宋" w:cs="仿宋"/>
          <w:b/>
          <w:color w:val="000000" w:themeColor="text1"/>
          <w:sz w:val="22"/>
          <w:szCs w:val="22"/>
          <w:u w:val="double"/>
          <w:lang w:val="en-US" w:eastAsia="zh-CN"/>
          <w14:textFill>
            <w14:solidFill>
              <w14:schemeClr w14:val="tx1"/>
            </w14:solidFill>
          </w14:textFill>
        </w:rPr>
        <w:t>并</w:t>
      </w:r>
      <w:r>
        <w:rPr>
          <w:rFonts w:hint="eastAsia" w:ascii="仿宋" w:hAnsi="仿宋" w:eastAsia="仿宋" w:cs="仿宋"/>
          <w:b/>
          <w:color w:val="000000" w:themeColor="text1"/>
          <w:sz w:val="22"/>
          <w:szCs w:val="22"/>
          <w:u w:val="double"/>
          <w14:textFill>
            <w14:solidFill>
              <w14:schemeClr w14:val="tx1"/>
            </w14:solidFill>
          </w14:textFill>
        </w:rPr>
        <w:t>加盖公章）</w:t>
      </w:r>
    </w:p>
    <w:p w14:paraId="24BED74C">
      <w:pPr>
        <w:shd w:val="clear"/>
        <w:snapToGrid w:val="0"/>
        <w:spacing w:line="360" w:lineRule="auto"/>
        <w:rPr>
          <w:rFonts w:hint="eastAsia" w:ascii="仿宋" w:hAnsi="仿宋" w:eastAsia="仿宋" w:cs="仿宋"/>
          <w:b/>
          <w:bCs/>
          <w:color w:val="auto"/>
          <w:szCs w:val="21"/>
          <w:highlight w:val="none"/>
        </w:rPr>
      </w:pPr>
    </w:p>
    <w:p w14:paraId="7148E86E">
      <w:pPr>
        <w:shd w:val="clear"/>
        <w:snapToGrid w:val="0"/>
        <w:spacing w:line="360" w:lineRule="auto"/>
        <w:rPr>
          <w:rFonts w:hint="eastAsia" w:ascii="仿宋" w:hAnsi="仿宋" w:eastAsia="仿宋" w:cs="仿宋"/>
          <w:b/>
          <w:bCs/>
          <w:color w:val="auto"/>
          <w:szCs w:val="21"/>
          <w:highlight w:val="none"/>
        </w:rPr>
      </w:pPr>
    </w:p>
    <w:p w14:paraId="408860CB">
      <w:pPr>
        <w:shd w:val="clear"/>
        <w:snapToGrid w:val="0"/>
        <w:spacing w:line="360" w:lineRule="auto"/>
        <w:rPr>
          <w:rFonts w:hint="eastAsia" w:ascii="仿宋" w:hAnsi="仿宋" w:eastAsia="仿宋" w:cs="仿宋"/>
          <w:b/>
          <w:bCs/>
          <w:color w:val="auto"/>
          <w:szCs w:val="21"/>
          <w:highlight w:val="none"/>
        </w:rPr>
      </w:pPr>
    </w:p>
    <w:p w14:paraId="5C874DD0">
      <w:pPr>
        <w:shd w:val="clea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val="0"/>
          <w:bCs w:val="0"/>
          <w:color w:val="auto"/>
          <w:szCs w:val="21"/>
          <w:highlight w:val="none"/>
        </w:rPr>
        <w:t>7</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color w:val="auto"/>
          <w:sz w:val="21"/>
          <w:szCs w:val="21"/>
          <w:highlight w:val="none"/>
          <w:lang w:eastAsia="zh-CN"/>
        </w:rPr>
        <w:t>社会保障资金缴纳证明：提供自2023年11月1日以来已缴存的任意1个月的社会保障资金缴存单据或社保机构开具的社会保险参保缴费情况证明，依法不需要缴纳社会保障资金的单位应提供相关证明材料。</w:t>
      </w:r>
      <w:r>
        <w:rPr>
          <w:rFonts w:hint="eastAsia" w:ascii="仿宋" w:hAnsi="仿宋" w:eastAsia="仿宋" w:cs="仿宋"/>
          <w:b/>
          <w:color w:val="000000" w:themeColor="text1"/>
          <w:sz w:val="22"/>
          <w:szCs w:val="22"/>
          <w:u w:val="double"/>
          <w14:textFill>
            <w14:solidFill>
              <w14:schemeClr w14:val="tx1"/>
            </w14:solidFill>
          </w14:textFill>
        </w:rPr>
        <w:t>（材料应清晰可辨</w:t>
      </w:r>
      <w:r>
        <w:rPr>
          <w:rFonts w:hint="eastAsia" w:ascii="仿宋" w:hAnsi="仿宋" w:eastAsia="仿宋" w:cs="仿宋"/>
          <w:b/>
          <w:color w:val="000000" w:themeColor="text1"/>
          <w:sz w:val="22"/>
          <w:szCs w:val="22"/>
          <w:u w:val="double"/>
          <w:lang w:val="en-US" w:eastAsia="zh-CN"/>
          <w14:textFill>
            <w14:solidFill>
              <w14:schemeClr w14:val="tx1"/>
            </w14:solidFill>
          </w14:textFill>
        </w:rPr>
        <w:t>并</w:t>
      </w:r>
      <w:r>
        <w:rPr>
          <w:rFonts w:hint="eastAsia" w:ascii="仿宋" w:hAnsi="仿宋" w:eastAsia="仿宋" w:cs="仿宋"/>
          <w:b/>
          <w:color w:val="000000" w:themeColor="text1"/>
          <w:sz w:val="22"/>
          <w:szCs w:val="22"/>
          <w:u w:val="double"/>
          <w14:textFill>
            <w14:solidFill>
              <w14:schemeClr w14:val="tx1"/>
            </w14:solidFill>
          </w14:textFill>
        </w:rPr>
        <w:t>加盖公章）</w:t>
      </w:r>
    </w:p>
    <w:p w14:paraId="044DF217">
      <w:pPr>
        <w:shd w:val="clear"/>
        <w:snapToGrid w:val="0"/>
        <w:spacing w:line="360" w:lineRule="auto"/>
        <w:ind w:firstLine="211" w:firstLineChars="100"/>
        <w:rPr>
          <w:rFonts w:hint="eastAsia" w:ascii="仿宋" w:hAnsi="仿宋" w:eastAsia="仿宋" w:cs="仿宋"/>
          <w:b/>
          <w:bCs/>
          <w:color w:val="auto"/>
          <w:szCs w:val="21"/>
          <w:highlight w:val="none"/>
        </w:rPr>
      </w:pPr>
    </w:p>
    <w:p w14:paraId="0F15B621">
      <w:pPr>
        <w:shd w:val="clear"/>
        <w:snapToGrid w:val="0"/>
        <w:spacing w:line="360" w:lineRule="auto"/>
        <w:ind w:firstLine="211" w:firstLineChars="100"/>
        <w:rPr>
          <w:rFonts w:hint="eastAsia" w:ascii="仿宋" w:hAnsi="仿宋" w:eastAsia="仿宋" w:cs="仿宋"/>
          <w:b/>
          <w:bCs/>
          <w:color w:val="auto"/>
          <w:szCs w:val="21"/>
          <w:highlight w:val="none"/>
        </w:rPr>
      </w:pPr>
    </w:p>
    <w:p w14:paraId="0C4A4E78">
      <w:pPr>
        <w:shd w:val="clear"/>
        <w:snapToGrid w:val="0"/>
        <w:spacing w:line="360" w:lineRule="auto"/>
        <w:ind w:firstLine="211" w:firstLineChars="100"/>
        <w:rPr>
          <w:rFonts w:hint="eastAsia" w:ascii="仿宋" w:hAnsi="仿宋" w:eastAsia="仿宋" w:cs="仿宋"/>
          <w:b/>
          <w:bCs/>
          <w:color w:val="auto"/>
          <w:szCs w:val="21"/>
          <w:highlight w:val="none"/>
        </w:rPr>
      </w:pPr>
    </w:p>
    <w:p w14:paraId="50501901">
      <w:pPr>
        <w:shd w:val="clear"/>
        <w:snapToGrid w:val="0"/>
        <w:spacing w:line="360" w:lineRule="auto"/>
        <w:rPr>
          <w:rFonts w:hint="eastAsia" w:ascii="仿宋" w:hAnsi="仿宋" w:eastAsia="仿宋" w:cs="仿宋"/>
          <w:b/>
          <w:bCs/>
          <w:color w:val="auto"/>
          <w:szCs w:val="21"/>
          <w:highlight w:val="none"/>
        </w:rPr>
      </w:pPr>
      <w:r>
        <w:rPr>
          <w:rFonts w:hint="eastAsia" w:ascii="仿宋" w:hAnsi="仿宋" w:eastAsia="仿宋" w:cs="仿宋"/>
          <w:b w:val="0"/>
          <w:bCs w:val="0"/>
          <w:color w:val="auto"/>
          <w:szCs w:val="21"/>
          <w:highlight w:val="none"/>
        </w:rPr>
        <w:t>8</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color w:val="auto"/>
          <w:sz w:val="21"/>
          <w:szCs w:val="21"/>
          <w:highlight w:val="none"/>
          <w:lang w:eastAsia="zh-CN"/>
        </w:rPr>
        <w:t>提供具有履行本合同所必需的设备和专业技术能力的书面承诺。</w:t>
      </w:r>
      <w:r>
        <w:rPr>
          <w:rFonts w:hint="eastAsia" w:ascii="仿宋" w:hAnsi="仿宋" w:eastAsia="仿宋" w:cs="仿宋"/>
          <w:b/>
          <w:color w:val="000000" w:themeColor="text1"/>
          <w:sz w:val="22"/>
          <w:szCs w:val="22"/>
          <w:u w:val="double"/>
          <w14:textFill>
            <w14:solidFill>
              <w14:schemeClr w14:val="tx1"/>
            </w14:solidFill>
          </w14:textFill>
        </w:rPr>
        <w:t>（</w:t>
      </w:r>
      <w:r>
        <w:rPr>
          <w:rFonts w:hint="eastAsia" w:ascii="仿宋" w:hAnsi="仿宋" w:eastAsia="仿宋" w:cs="仿宋"/>
          <w:b/>
          <w:color w:val="000000" w:themeColor="text1"/>
          <w:sz w:val="22"/>
          <w:szCs w:val="22"/>
          <w:u w:val="double"/>
          <w:lang w:val="en-US" w:eastAsia="zh-CN"/>
          <w14:textFill>
            <w14:solidFill>
              <w14:schemeClr w14:val="tx1"/>
            </w14:solidFill>
          </w14:textFill>
        </w:rPr>
        <w:t>投标</w:t>
      </w:r>
      <w:r>
        <w:rPr>
          <w:rFonts w:hint="eastAsia" w:ascii="仿宋" w:hAnsi="仿宋" w:eastAsia="仿宋" w:cs="仿宋"/>
          <w:b/>
          <w:color w:val="000000" w:themeColor="text1"/>
          <w:sz w:val="22"/>
          <w:szCs w:val="22"/>
          <w:u w:val="double"/>
          <w14:textFill>
            <w14:solidFill>
              <w14:schemeClr w14:val="tx1"/>
            </w14:solidFill>
          </w14:textFill>
        </w:rPr>
        <w:t>文件内附原件，格式内容自拟，</w:t>
      </w:r>
      <w:r>
        <w:rPr>
          <w:rFonts w:hint="eastAsia" w:ascii="仿宋" w:hAnsi="仿宋" w:eastAsia="仿宋" w:cs="仿宋"/>
          <w:b/>
          <w:color w:val="000000" w:themeColor="text1"/>
          <w:sz w:val="22"/>
          <w:szCs w:val="22"/>
          <w:u w:val="double"/>
          <w:lang w:val="en-US" w:eastAsia="zh-CN"/>
          <w14:textFill>
            <w14:solidFill>
              <w14:schemeClr w14:val="tx1"/>
            </w14:solidFill>
          </w14:textFill>
        </w:rPr>
        <w:t>并</w:t>
      </w:r>
      <w:r>
        <w:rPr>
          <w:rFonts w:hint="eastAsia" w:ascii="仿宋" w:hAnsi="仿宋" w:eastAsia="仿宋" w:cs="仿宋"/>
          <w:b/>
          <w:color w:val="000000" w:themeColor="text1"/>
          <w:sz w:val="22"/>
          <w:szCs w:val="22"/>
          <w:u w:val="double"/>
          <w14:textFill>
            <w14:solidFill>
              <w14:schemeClr w14:val="tx1"/>
            </w14:solidFill>
          </w14:textFill>
        </w:rPr>
        <w:t>加盖公章）</w:t>
      </w:r>
    </w:p>
    <w:p w14:paraId="52FCF0A9">
      <w:pPr>
        <w:shd w:val="clear"/>
        <w:snapToGrid w:val="0"/>
        <w:spacing w:line="360" w:lineRule="auto"/>
        <w:rPr>
          <w:rFonts w:hint="eastAsia" w:ascii="仿宋" w:hAnsi="仿宋" w:eastAsia="仿宋" w:cs="仿宋"/>
          <w:b/>
          <w:bCs/>
          <w:color w:val="auto"/>
          <w:szCs w:val="21"/>
          <w:highlight w:val="none"/>
        </w:rPr>
      </w:pPr>
    </w:p>
    <w:p w14:paraId="4C587156">
      <w:pPr>
        <w:shd w:val="clear"/>
        <w:snapToGrid w:val="0"/>
        <w:spacing w:line="360" w:lineRule="auto"/>
        <w:rPr>
          <w:rFonts w:hint="eastAsia" w:ascii="仿宋" w:hAnsi="仿宋" w:eastAsia="仿宋" w:cs="仿宋"/>
          <w:b/>
          <w:bCs/>
          <w:color w:val="auto"/>
          <w:szCs w:val="21"/>
          <w:highlight w:val="none"/>
        </w:rPr>
      </w:pPr>
    </w:p>
    <w:p w14:paraId="37DFE8E0">
      <w:pPr>
        <w:shd w:val="clear"/>
        <w:snapToGrid w:val="0"/>
        <w:spacing w:line="360" w:lineRule="auto"/>
        <w:rPr>
          <w:rFonts w:hint="eastAsia" w:ascii="仿宋" w:hAnsi="仿宋" w:eastAsia="仿宋" w:cs="仿宋"/>
          <w:b/>
          <w:bCs/>
          <w:color w:val="auto"/>
          <w:szCs w:val="21"/>
          <w:highlight w:val="none"/>
        </w:rPr>
      </w:pPr>
    </w:p>
    <w:p w14:paraId="7CB4CAD7">
      <w:pPr>
        <w:shd w:val="clear"/>
        <w:snapToGrid w:val="0"/>
        <w:spacing w:line="360" w:lineRule="auto"/>
        <w:rPr>
          <w:rFonts w:hint="eastAsia" w:ascii="仿宋" w:hAnsi="仿宋" w:eastAsia="仿宋" w:cs="仿宋"/>
          <w:b/>
          <w:bCs/>
          <w:color w:val="auto"/>
          <w:szCs w:val="21"/>
          <w:highlight w:val="none"/>
          <w:u w:val="double"/>
        </w:rPr>
      </w:pPr>
      <w:r>
        <w:rPr>
          <w:rFonts w:hint="eastAsia" w:ascii="仿宋" w:hAnsi="仿宋" w:eastAsia="仿宋" w:cs="仿宋"/>
          <w:b w:val="0"/>
          <w:bCs w:val="0"/>
          <w:color w:val="auto"/>
          <w:szCs w:val="21"/>
          <w:highlight w:val="none"/>
        </w:rPr>
        <w:t>9</w:t>
      </w:r>
      <w:r>
        <w:rPr>
          <w:rFonts w:hint="eastAsia" w:ascii="仿宋" w:hAnsi="仿宋" w:eastAsia="仿宋" w:cs="仿宋"/>
          <w:b w:val="0"/>
          <w:bCs w:val="0"/>
          <w:color w:val="auto"/>
          <w:szCs w:val="21"/>
          <w:highlight w:val="none"/>
          <w:lang w:val="en-US" w:eastAsia="zh-CN"/>
        </w:rPr>
        <w:t>.</w:t>
      </w:r>
      <w:r>
        <w:rPr>
          <w:rFonts w:hint="eastAsia" w:ascii="仿宋" w:hAnsi="仿宋" w:eastAsia="仿宋" w:cs="仿宋"/>
          <w:color w:val="auto"/>
          <w:sz w:val="21"/>
          <w:szCs w:val="21"/>
          <w:highlight w:val="none"/>
          <w:lang w:eastAsia="zh-CN"/>
        </w:rPr>
        <w:t>提供参加政府采购活动前三年内在经营活动中没有重大违法记录的书面声明。</w:t>
      </w:r>
      <w:r>
        <w:rPr>
          <w:rFonts w:hint="eastAsia" w:ascii="仿宋" w:hAnsi="仿宋" w:eastAsia="仿宋" w:cs="仿宋"/>
          <w:b/>
          <w:color w:val="000000" w:themeColor="text1"/>
          <w:sz w:val="22"/>
          <w:szCs w:val="22"/>
          <w:u w:val="double"/>
          <w14:textFill>
            <w14:solidFill>
              <w14:schemeClr w14:val="tx1"/>
            </w14:solidFill>
          </w14:textFill>
        </w:rPr>
        <w:t>（</w:t>
      </w:r>
      <w:r>
        <w:rPr>
          <w:rFonts w:hint="eastAsia" w:ascii="仿宋" w:hAnsi="仿宋" w:eastAsia="仿宋" w:cs="仿宋"/>
          <w:b/>
          <w:color w:val="000000" w:themeColor="text1"/>
          <w:sz w:val="22"/>
          <w:szCs w:val="22"/>
          <w:u w:val="double"/>
          <w:lang w:val="en-US" w:eastAsia="zh-CN"/>
          <w14:textFill>
            <w14:solidFill>
              <w14:schemeClr w14:val="tx1"/>
            </w14:solidFill>
          </w14:textFill>
        </w:rPr>
        <w:t>投标</w:t>
      </w:r>
      <w:r>
        <w:rPr>
          <w:rFonts w:hint="eastAsia" w:ascii="仿宋" w:hAnsi="仿宋" w:eastAsia="仿宋" w:cs="仿宋"/>
          <w:b/>
          <w:color w:val="000000" w:themeColor="text1"/>
          <w:sz w:val="22"/>
          <w:szCs w:val="22"/>
          <w:u w:val="double"/>
          <w14:textFill>
            <w14:solidFill>
              <w14:schemeClr w14:val="tx1"/>
            </w14:solidFill>
          </w14:textFill>
        </w:rPr>
        <w:t>文件内附原件，格式内容自拟，</w:t>
      </w:r>
      <w:r>
        <w:rPr>
          <w:rFonts w:hint="eastAsia" w:ascii="仿宋" w:hAnsi="仿宋" w:eastAsia="仿宋" w:cs="仿宋"/>
          <w:b/>
          <w:color w:val="000000" w:themeColor="text1"/>
          <w:sz w:val="22"/>
          <w:szCs w:val="22"/>
          <w:u w:val="double"/>
          <w:lang w:val="en-US" w:eastAsia="zh-CN"/>
          <w14:textFill>
            <w14:solidFill>
              <w14:schemeClr w14:val="tx1"/>
            </w14:solidFill>
          </w14:textFill>
        </w:rPr>
        <w:t>并</w:t>
      </w:r>
      <w:r>
        <w:rPr>
          <w:rFonts w:hint="eastAsia" w:ascii="仿宋" w:hAnsi="仿宋" w:eastAsia="仿宋" w:cs="仿宋"/>
          <w:b/>
          <w:color w:val="000000" w:themeColor="text1"/>
          <w:sz w:val="22"/>
          <w:szCs w:val="22"/>
          <w:u w:val="double"/>
          <w14:textFill>
            <w14:solidFill>
              <w14:schemeClr w14:val="tx1"/>
            </w14:solidFill>
          </w14:textFill>
        </w:rPr>
        <w:t>加盖公章）</w:t>
      </w:r>
    </w:p>
    <w:p w14:paraId="1D8ACC81">
      <w:pPr>
        <w:pStyle w:val="2"/>
        <w:shd w:val="clear"/>
        <w:jc w:val="both"/>
        <w:rPr>
          <w:rFonts w:hint="eastAsia" w:ascii="仿宋" w:hAnsi="仿宋" w:eastAsia="仿宋" w:cs="仿宋"/>
          <w:color w:val="auto"/>
          <w:szCs w:val="21"/>
          <w:highlight w:val="none"/>
        </w:rPr>
      </w:pPr>
    </w:p>
    <w:p w14:paraId="03A090CF">
      <w:pPr>
        <w:rPr>
          <w:rFonts w:hint="eastAsia" w:ascii="仿宋" w:hAnsi="仿宋" w:eastAsia="仿宋" w:cs="仿宋"/>
          <w:color w:val="auto"/>
          <w:szCs w:val="21"/>
          <w:highlight w:val="none"/>
        </w:rPr>
      </w:pPr>
    </w:p>
    <w:p w14:paraId="3D1867D8">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b/>
          <w:bCs/>
          <w:color w:val="auto"/>
          <w:szCs w:val="21"/>
          <w:highlight w:val="none"/>
        </w:rPr>
      </w:pPr>
      <w:r>
        <w:rPr>
          <w:rFonts w:hint="eastAsia" w:ascii="仿宋" w:hAnsi="仿宋" w:eastAsia="仿宋" w:cs="仿宋"/>
          <w:b w:val="0"/>
          <w:bCs w:val="0"/>
          <w:color w:val="auto"/>
          <w:kern w:val="2"/>
          <w:sz w:val="21"/>
          <w:szCs w:val="21"/>
          <w:highlight w:val="none"/>
          <w:lang w:val="en-US" w:eastAsia="zh-CN" w:bidi="ar-SA"/>
        </w:rPr>
        <w:t>10.</w:t>
      </w:r>
      <w:r>
        <w:rPr>
          <w:rFonts w:hint="eastAsia" w:ascii="仿宋" w:hAnsi="仿宋" w:eastAsia="仿宋" w:cs="仿宋"/>
          <w:color w:val="auto"/>
          <w:sz w:val="21"/>
          <w:szCs w:val="21"/>
          <w:highlight w:val="none"/>
        </w:rPr>
        <w:t>投标人</w:t>
      </w:r>
      <w:r>
        <w:rPr>
          <w:rFonts w:hint="eastAsia" w:ascii="仿宋" w:hAnsi="仿宋" w:eastAsia="仿宋" w:cs="仿宋"/>
          <w:bCs/>
          <w:color w:val="000000" w:themeColor="text1"/>
          <w:sz w:val="22"/>
          <w:szCs w:val="22"/>
          <w14:textFill>
            <w14:solidFill>
              <w14:schemeClr w14:val="tx1"/>
            </w14:solidFill>
          </w14:textFill>
        </w:rPr>
        <w:t>不得为“信用中国”网站（www.creditchina.gov.cn）中列入失信被执行人（中国执行信息公开网http://zxgk.court.gov.cn）和重大税收违法失信主体名单的</w:t>
      </w:r>
      <w:r>
        <w:rPr>
          <w:rFonts w:hint="eastAsia" w:ascii="仿宋" w:hAnsi="仿宋" w:eastAsia="仿宋" w:cs="仿宋"/>
          <w:bCs/>
          <w:color w:val="000000" w:themeColor="text1"/>
          <w:sz w:val="22"/>
          <w:szCs w:val="22"/>
          <w:lang w:eastAsia="zh-CN"/>
          <w14:textFill>
            <w14:solidFill>
              <w14:schemeClr w14:val="tx1"/>
            </w14:solidFill>
          </w14:textFill>
        </w:rPr>
        <w:t>投标人</w:t>
      </w:r>
      <w:r>
        <w:rPr>
          <w:rFonts w:hint="eastAsia" w:ascii="仿宋" w:hAnsi="仿宋" w:eastAsia="仿宋" w:cs="仿宋"/>
          <w:bCs/>
          <w:color w:val="000000" w:themeColor="text1"/>
          <w:sz w:val="22"/>
          <w:szCs w:val="22"/>
          <w14:textFill>
            <w14:solidFill>
              <w14:schemeClr w14:val="tx1"/>
            </w14:solidFill>
          </w14:textFill>
        </w:rPr>
        <w:t>，不得为中国政府采购网（www.ccgp.gov.cn）政府采购严重违法失信行为记录名单中被财政部门禁止参加政府采购活动的</w:t>
      </w:r>
      <w:r>
        <w:rPr>
          <w:rFonts w:hint="eastAsia" w:ascii="仿宋" w:hAnsi="仿宋" w:eastAsia="仿宋" w:cs="仿宋"/>
          <w:color w:val="auto"/>
          <w:sz w:val="21"/>
          <w:szCs w:val="21"/>
          <w:highlight w:val="none"/>
        </w:rPr>
        <w:t>投标人</w:t>
      </w:r>
      <w:r>
        <w:rPr>
          <w:rFonts w:hint="eastAsia" w:ascii="仿宋" w:hAnsi="仿宋" w:eastAsia="仿宋" w:cs="仿宋"/>
          <w:i w:val="0"/>
          <w:iCs w:val="0"/>
          <w:caps w:val="0"/>
          <w:color w:val="auto"/>
          <w:spacing w:val="0"/>
          <w:sz w:val="21"/>
          <w:szCs w:val="21"/>
          <w:highlight w:val="none"/>
          <w:shd w:val="clear" w:fill="FFFFFF"/>
          <w:lang w:eastAsia="zh-CN"/>
        </w:rPr>
        <w:t>。</w:t>
      </w:r>
      <w:r>
        <w:rPr>
          <w:rFonts w:hint="eastAsia" w:ascii="仿宋" w:hAnsi="仿宋" w:eastAsia="仿宋" w:cs="仿宋"/>
          <w:b/>
          <w:color w:val="000000" w:themeColor="text1"/>
          <w:sz w:val="22"/>
          <w:szCs w:val="22"/>
          <w:u w:val="double"/>
          <w14:textFill>
            <w14:solidFill>
              <w14:schemeClr w14:val="tx1"/>
            </w14:solidFill>
          </w14:textFill>
        </w:rPr>
        <w:t>（★此项由采购代理机构在</w:t>
      </w:r>
      <w:r>
        <w:rPr>
          <w:rFonts w:hint="eastAsia" w:ascii="仿宋" w:hAnsi="仿宋" w:eastAsia="仿宋" w:cs="仿宋"/>
          <w:b/>
          <w:color w:val="000000" w:themeColor="text1"/>
          <w:sz w:val="22"/>
          <w:szCs w:val="22"/>
          <w:u w:val="double"/>
          <w:lang w:eastAsia="zh-CN"/>
          <w14:textFill>
            <w14:solidFill>
              <w14:schemeClr w14:val="tx1"/>
            </w14:solidFill>
          </w14:textFill>
        </w:rPr>
        <w:t>投标</w:t>
      </w:r>
      <w:r>
        <w:rPr>
          <w:rFonts w:hint="eastAsia" w:ascii="仿宋" w:hAnsi="仿宋" w:eastAsia="仿宋" w:cs="仿宋"/>
          <w:b/>
          <w:color w:val="000000" w:themeColor="text1"/>
          <w:sz w:val="22"/>
          <w:szCs w:val="22"/>
          <w:u w:val="double"/>
          <w14:textFill>
            <w14:solidFill>
              <w14:schemeClr w14:val="tx1"/>
            </w14:solidFill>
          </w14:textFill>
        </w:rPr>
        <w:t>截止时间前3日内查询，查询结果以电子图片或者纸质版存档并作为资格审查资料的一部分，如相关失信记录已失效，</w:t>
      </w:r>
      <w:r>
        <w:rPr>
          <w:rFonts w:hint="eastAsia" w:ascii="仿宋" w:hAnsi="仿宋" w:eastAsia="仿宋" w:cs="仿宋"/>
          <w:b/>
          <w:color w:val="000000" w:themeColor="text1"/>
          <w:sz w:val="22"/>
          <w:szCs w:val="22"/>
          <w:u w:val="double"/>
          <w:lang w:eastAsia="zh-CN"/>
          <w14:textFill>
            <w14:solidFill>
              <w14:schemeClr w14:val="tx1"/>
            </w14:solidFill>
          </w14:textFill>
        </w:rPr>
        <w:t>投标人</w:t>
      </w:r>
      <w:r>
        <w:rPr>
          <w:rFonts w:hint="eastAsia" w:ascii="仿宋" w:hAnsi="仿宋" w:eastAsia="仿宋" w:cs="仿宋"/>
          <w:b/>
          <w:color w:val="000000" w:themeColor="text1"/>
          <w:sz w:val="22"/>
          <w:szCs w:val="22"/>
          <w:u w:val="double"/>
          <w14:textFill>
            <w14:solidFill>
              <w14:schemeClr w14:val="tx1"/>
            </w14:solidFill>
          </w14:textFill>
        </w:rPr>
        <w:t>需提供相关证明资料，若没有则无需提供）</w:t>
      </w:r>
      <w:r>
        <w:rPr>
          <w:rFonts w:hint="eastAsia" w:ascii="仿宋" w:hAnsi="仿宋" w:eastAsia="仿宋" w:cs="仿宋"/>
          <w:color w:val="000000" w:themeColor="text1"/>
          <w:sz w:val="22"/>
          <w:szCs w:val="22"/>
          <w14:textFill>
            <w14:solidFill>
              <w14:schemeClr w14:val="tx1"/>
            </w14:solidFill>
          </w14:textFill>
        </w:rPr>
        <w:t>。</w:t>
      </w:r>
    </w:p>
    <w:p w14:paraId="70CFCA43">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auto"/>
          <w:sz w:val="21"/>
          <w:szCs w:val="21"/>
          <w:highlight w:val="none"/>
          <w:lang w:val="en-US" w:eastAsia="zh-CN"/>
        </w:rPr>
      </w:pPr>
    </w:p>
    <w:p w14:paraId="504D8352">
      <w:pPr>
        <w:pStyle w:val="38"/>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60" w:lineRule="auto"/>
        <w:ind w:right="0"/>
        <w:jc w:val="both"/>
        <w:rPr>
          <w:rFonts w:hint="eastAsia" w:ascii="仿宋" w:hAnsi="仿宋" w:eastAsia="仿宋" w:cs="仿宋"/>
          <w:color w:val="auto"/>
          <w:sz w:val="21"/>
          <w:szCs w:val="21"/>
          <w:highlight w:val="none"/>
          <w:lang w:val="en-US" w:eastAsia="zh-CN"/>
        </w:rPr>
      </w:pPr>
    </w:p>
    <w:p w14:paraId="129684F0">
      <w:pPr>
        <w:shd w:val="clear"/>
        <w:snapToGrid w:val="0"/>
        <w:spacing w:line="360" w:lineRule="auto"/>
        <w:ind w:firstLine="211" w:firstLineChars="100"/>
        <w:rPr>
          <w:rFonts w:hint="eastAsia" w:ascii="仿宋" w:hAnsi="仿宋" w:eastAsia="仿宋" w:cs="仿宋"/>
          <w:b/>
          <w:bCs/>
          <w:color w:val="auto"/>
          <w:szCs w:val="21"/>
          <w:highlight w:val="none"/>
        </w:rPr>
      </w:pPr>
    </w:p>
    <w:p w14:paraId="15FA63C8">
      <w:pPr>
        <w:pStyle w:val="2"/>
        <w:rPr>
          <w:rFonts w:hint="eastAsia" w:ascii="仿宋" w:hAnsi="仿宋" w:eastAsia="仿宋" w:cs="仿宋"/>
          <w:b/>
          <w:bCs/>
          <w:color w:val="auto"/>
          <w:szCs w:val="21"/>
          <w:highlight w:val="none"/>
        </w:rPr>
      </w:pPr>
    </w:p>
    <w:p w14:paraId="0252D31D">
      <w:pPr>
        <w:rPr>
          <w:rFonts w:hint="eastAsia" w:ascii="仿宋" w:hAnsi="仿宋" w:eastAsia="仿宋" w:cs="仿宋"/>
          <w:b/>
          <w:bCs/>
          <w:color w:val="auto"/>
          <w:szCs w:val="21"/>
          <w:highlight w:val="none"/>
        </w:rPr>
      </w:pPr>
    </w:p>
    <w:p w14:paraId="34A9CEEE">
      <w:pPr>
        <w:pStyle w:val="2"/>
        <w:rPr>
          <w:rFonts w:hint="eastAsia" w:ascii="仿宋" w:hAnsi="仿宋" w:eastAsia="仿宋" w:cs="仿宋"/>
          <w:b/>
          <w:bCs/>
          <w:color w:val="auto"/>
          <w:szCs w:val="21"/>
          <w:highlight w:val="none"/>
        </w:rPr>
      </w:pPr>
    </w:p>
    <w:p w14:paraId="26EF9C5F">
      <w:pPr>
        <w:rPr>
          <w:rFonts w:hint="eastAsia" w:ascii="仿宋" w:hAnsi="仿宋" w:eastAsia="仿宋" w:cs="仿宋"/>
          <w:b/>
          <w:bCs/>
          <w:color w:val="auto"/>
          <w:szCs w:val="21"/>
          <w:highlight w:val="none"/>
        </w:rPr>
      </w:pPr>
    </w:p>
    <w:p w14:paraId="07F78EFF">
      <w:pPr>
        <w:pStyle w:val="2"/>
        <w:rPr>
          <w:rFonts w:hint="eastAsia" w:ascii="仿宋" w:hAnsi="仿宋" w:eastAsia="仿宋" w:cs="仿宋"/>
          <w:b/>
          <w:bCs/>
          <w:color w:val="auto"/>
          <w:szCs w:val="21"/>
          <w:highlight w:val="none"/>
        </w:rPr>
      </w:pPr>
    </w:p>
    <w:p w14:paraId="459B3AA6">
      <w:pPr>
        <w:rPr>
          <w:rFonts w:hint="eastAsia" w:ascii="仿宋" w:hAnsi="仿宋" w:eastAsia="仿宋" w:cs="仿宋"/>
          <w:b/>
          <w:bCs/>
          <w:color w:val="auto"/>
          <w:szCs w:val="21"/>
          <w:highlight w:val="none"/>
        </w:rPr>
      </w:pPr>
    </w:p>
    <w:p w14:paraId="2DF9822C">
      <w:pPr>
        <w:pStyle w:val="2"/>
        <w:rPr>
          <w:rFonts w:hint="eastAsia" w:ascii="仿宋" w:hAnsi="仿宋" w:eastAsia="仿宋" w:cs="仿宋"/>
          <w:b/>
          <w:bCs/>
          <w:color w:val="auto"/>
          <w:szCs w:val="21"/>
          <w:highlight w:val="none"/>
        </w:rPr>
      </w:pPr>
    </w:p>
    <w:p w14:paraId="516E8BED">
      <w:pPr>
        <w:rPr>
          <w:rFonts w:hint="eastAsia" w:ascii="仿宋" w:hAnsi="仿宋" w:eastAsia="仿宋" w:cs="仿宋"/>
          <w:b/>
          <w:bCs/>
          <w:color w:val="auto"/>
          <w:szCs w:val="21"/>
          <w:highlight w:val="none"/>
        </w:rPr>
      </w:pPr>
    </w:p>
    <w:p w14:paraId="272C8632">
      <w:pPr>
        <w:pStyle w:val="2"/>
        <w:rPr>
          <w:rFonts w:hint="eastAsia" w:ascii="仿宋" w:hAnsi="仿宋" w:eastAsia="仿宋" w:cs="仿宋"/>
          <w:b/>
          <w:bCs/>
          <w:color w:val="auto"/>
          <w:szCs w:val="21"/>
          <w:highlight w:val="none"/>
        </w:rPr>
      </w:pPr>
    </w:p>
    <w:p w14:paraId="5B7FDE41">
      <w:pPr>
        <w:rPr>
          <w:rFonts w:hint="eastAsia" w:ascii="仿宋" w:hAnsi="仿宋" w:eastAsia="仿宋" w:cs="仿宋"/>
          <w:b/>
          <w:bCs/>
          <w:color w:val="auto"/>
          <w:szCs w:val="21"/>
          <w:highlight w:val="none"/>
        </w:rPr>
      </w:pPr>
    </w:p>
    <w:p w14:paraId="4F992EE7">
      <w:pPr>
        <w:pStyle w:val="2"/>
        <w:rPr>
          <w:rFonts w:hint="eastAsia" w:ascii="仿宋" w:hAnsi="仿宋" w:eastAsia="仿宋" w:cs="仿宋"/>
          <w:b/>
          <w:bCs/>
          <w:color w:val="auto"/>
          <w:szCs w:val="21"/>
          <w:highlight w:val="none"/>
        </w:rPr>
      </w:pPr>
    </w:p>
    <w:p w14:paraId="788B1DE3">
      <w:pPr>
        <w:rPr>
          <w:rFonts w:hint="eastAsia" w:ascii="仿宋" w:hAnsi="仿宋" w:eastAsia="仿宋" w:cs="仿宋"/>
          <w:b/>
          <w:bCs/>
          <w:color w:val="auto"/>
          <w:szCs w:val="21"/>
          <w:highlight w:val="none"/>
        </w:rPr>
      </w:pPr>
    </w:p>
    <w:p w14:paraId="197B2FFB">
      <w:pPr>
        <w:pStyle w:val="2"/>
        <w:rPr>
          <w:rFonts w:hint="eastAsia" w:ascii="仿宋" w:hAnsi="仿宋" w:eastAsia="仿宋" w:cs="仿宋"/>
          <w:b/>
          <w:bCs/>
          <w:color w:val="auto"/>
          <w:szCs w:val="21"/>
          <w:highlight w:val="none"/>
        </w:rPr>
      </w:pPr>
    </w:p>
    <w:p w14:paraId="47CF5755">
      <w:pPr>
        <w:rPr>
          <w:rFonts w:hint="eastAsia" w:ascii="仿宋" w:hAnsi="仿宋" w:eastAsia="仿宋" w:cs="仿宋"/>
          <w:b/>
          <w:bCs/>
          <w:color w:val="auto"/>
          <w:szCs w:val="21"/>
          <w:highlight w:val="none"/>
        </w:rPr>
      </w:pPr>
    </w:p>
    <w:p w14:paraId="76762C18">
      <w:pPr>
        <w:pStyle w:val="2"/>
        <w:rPr>
          <w:rFonts w:hint="eastAsia" w:ascii="仿宋" w:hAnsi="仿宋" w:eastAsia="仿宋" w:cs="仿宋"/>
          <w:b/>
          <w:bCs/>
          <w:color w:val="auto"/>
          <w:szCs w:val="21"/>
          <w:highlight w:val="none"/>
        </w:rPr>
      </w:pPr>
    </w:p>
    <w:p w14:paraId="0975DF43">
      <w:pPr>
        <w:rPr>
          <w:rFonts w:hint="eastAsia"/>
        </w:rPr>
      </w:pPr>
    </w:p>
    <w:p w14:paraId="143E46CB">
      <w:pPr>
        <w:rPr>
          <w:rFonts w:hint="eastAsia" w:ascii="仿宋" w:hAnsi="仿宋" w:eastAsia="仿宋" w:cs="仿宋"/>
          <w:b/>
          <w:bCs/>
          <w:color w:val="auto"/>
          <w:szCs w:val="21"/>
          <w:highlight w:val="none"/>
        </w:rPr>
      </w:pPr>
    </w:p>
    <w:p w14:paraId="3D2FD883">
      <w:pPr>
        <w:rPr>
          <w:rFonts w:hint="eastAsia" w:ascii="仿宋" w:hAnsi="仿宋" w:eastAsia="仿宋" w:cs="仿宋"/>
          <w:b/>
          <w:bCs/>
          <w:color w:val="auto"/>
          <w:szCs w:val="21"/>
          <w:highlight w:val="none"/>
        </w:rPr>
      </w:pPr>
    </w:p>
    <w:p w14:paraId="71034F43">
      <w:pPr>
        <w:rPr>
          <w:rFonts w:hint="eastAsia" w:ascii="仿宋" w:hAnsi="仿宋" w:eastAsia="仿宋" w:cs="仿宋"/>
          <w:b/>
          <w:bCs/>
          <w:color w:val="auto"/>
          <w:szCs w:val="21"/>
          <w:highlight w:val="none"/>
        </w:rPr>
      </w:pPr>
    </w:p>
    <w:p w14:paraId="6046C37C">
      <w:pPr>
        <w:rPr>
          <w:rFonts w:hint="eastAsia" w:ascii="仿宋" w:hAnsi="仿宋" w:eastAsia="仿宋" w:cs="仿宋"/>
          <w:b/>
          <w:bCs/>
          <w:color w:val="auto"/>
          <w:szCs w:val="21"/>
          <w:highlight w:val="none"/>
        </w:rPr>
      </w:pPr>
    </w:p>
    <w:p w14:paraId="26838F66">
      <w:pPr>
        <w:pStyle w:val="2"/>
        <w:rPr>
          <w:rFonts w:hint="eastAsia" w:ascii="仿宋" w:hAnsi="仿宋" w:eastAsia="仿宋" w:cs="仿宋"/>
          <w:b/>
          <w:bCs/>
          <w:color w:val="auto"/>
          <w:szCs w:val="21"/>
          <w:highlight w:val="none"/>
        </w:rPr>
      </w:pPr>
    </w:p>
    <w:p w14:paraId="624A6D18">
      <w:pPr>
        <w:rPr>
          <w:rFonts w:hint="eastAsia" w:ascii="仿宋" w:hAnsi="仿宋" w:eastAsia="仿宋" w:cs="仿宋"/>
          <w:b/>
          <w:bCs/>
          <w:color w:val="auto"/>
          <w:szCs w:val="21"/>
          <w:highlight w:val="none"/>
        </w:rPr>
      </w:pPr>
    </w:p>
    <w:p w14:paraId="3C6ECE52">
      <w:pPr>
        <w:pStyle w:val="2"/>
        <w:rPr>
          <w:rFonts w:hint="eastAsia" w:ascii="仿宋" w:hAnsi="仿宋" w:eastAsia="仿宋" w:cs="仿宋"/>
          <w:b/>
          <w:bCs/>
          <w:color w:val="auto"/>
          <w:szCs w:val="21"/>
          <w:highlight w:val="none"/>
        </w:rPr>
      </w:pPr>
    </w:p>
    <w:p w14:paraId="2364507A">
      <w:pPr>
        <w:rPr>
          <w:rFonts w:hint="eastAsia" w:ascii="仿宋" w:hAnsi="仿宋" w:eastAsia="仿宋" w:cs="仿宋"/>
          <w:b/>
          <w:bCs/>
          <w:color w:val="auto"/>
          <w:szCs w:val="21"/>
          <w:highlight w:val="none"/>
        </w:rPr>
      </w:pPr>
    </w:p>
    <w:p w14:paraId="45B4E22A">
      <w:pPr>
        <w:rPr>
          <w:rFonts w:hint="eastAsia" w:ascii="仿宋" w:hAnsi="仿宋" w:eastAsia="仿宋" w:cs="仿宋"/>
          <w:b/>
          <w:bCs/>
          <w:color w:val="auto"/>
          <w:szCs w:val="21"/>
          <w:highlight w:val="none"/>
        </w:rPr>
      </w:pPr>
    </w:p>
    <w:p w14:paraId="48402CDC">
      <w:pPr>
        <w:pStyle w:val="2"/>
        <w:rPr>
          <w:rFonts w:hint="eastAsia" w:ascii="仿宋" w:hAnsi="仿宋" w:eastAsia="仿宋" w:cs="仿宋"/>
          <w:b/>
          <w:bCs/>
          <w:color w:val="auto"/>
          <w:szCs w:val="21"/>
          <w:highlight w:val="none"/>
        </w:rPr>
      </w:pPr>
    </w:p>
    <w:p w14:paraId="7FEFA0D1">
      <w:pPr>
        <w:rPr>
          <w:rFonts w:hint="eastAsia" w:ascii="仿宋" w:hAnsi="仿宋" w:eastAsia="仿宋" w:cs="仿宋"/>
          <w:b/>
          <w:bCs/>
          <w:color w:val="auto"/>
          <w:szCs w:val="21"/>
          <w:highlight w:val="none"/>
        </w:rPr>
      </w:pPr>
    </w:p>
    <w:p w14:paraId="0BD091FC">
      <w:pPr>
        <w:pStyle w:val="2"/>
        <w:rPr>
          <w:rFonts w:hint="eastAsia" w:ascii="仿宋" w:hAnsi="仿宋" w:eastAsia="仿宋" w:cs="仿宋"/>
          <w:b/>
          <w:bCs/>
          <w:color w:val="auto"/>
          <w:szCs w:val="21"/>
          <w:highlight w:val="none"/>
        </w:rPr>
      </w:pPr>
    </w:p>
    <w:p w14:paraId="5C5CDE2B">
      <w:pPr>
        <w:rPr>
          <w:rFonts w:hint="eastAsia" w:ascii="仿宋" w:hAnsi="仿宋" w:eastAsia="仿宋" w:cs="仿宋"/>
          <w:b/>
          <w:bCs/>
          <w:color w:val="auto"/>
          <w:szCs w:val="21"/>
          <w:highlight w:val="none"/>
        </w:rPr>
      </w:pPr>
    </w:p>
    <w:p w14:paraId="2B920147">
      <w:pPr>
        <w:pStyle w:val="2"/>
        <w:rPr>
          <w:rFonts w:hint="eastAsia" w:ascii="仿宋" w:hAnsi="仿宋" w:eastAsia="仿宋" w:cs="仿宋"/>
          <w:b/>
          <w:bCs/>
          <w:color w:val="auto"/>
          <w:szCs w:val="21"/>
          <w:highlight w:val="none"/>
        </w:rPr>
      </w:pPr>
    </w:p>
    <w:p w14:paraId="44566FD9">
      <w:pPr>
        <w:rPr>
          <w:rFonts w:hint="eastAsia" w:ascii="仿宋" w:hAnsi="仿宋" w:eastAsia="仿宋" w:cs="仿宋"/>
          <w:b/>
          <w:bCs/>
          <w:color w:val="auto"/>
          <w:szCs w:val="21"/>
          <w:highlight w:val="none"/>
        </w:rPr>
      </w:pPr>
    </w:p>
    <w:p w14:paraId="20284FC4">
      <w:pPr>
        <w:numPr>
          <w:ilvl w:val="0"/>
          <w:numId w:val="0"/>
        </w:numPr>
        <w:shd w:val="clear"/>
        <w:tabs>
          <w:tab w:val="left" w:pos="3600"/>
        </w:tabs>
        <w:adjustRightInd w:val="0"/>
        <w:snapToGrid w:val="0"/>
        <w:spacing w:line="360" w:lineRule="auto"/>
        <w:jc w:val="center"/>
        <w:outlineLvl w:val="1"/>
        <w:rPr>
          <w:rFonts w:hint="eastAsia" w:ascii="仿宋" w:hAnsi="仿宋" w:eastAsia="仿宋" w:cs="仿宋"/>
          <w:b/>
          <w:bCs/>
          <w:color w:val="auto"/>
          <w:sz w:val="28"/>
          <w:szCs w:val="28"/>
          <w:highlight w:val="none"/>
          <w:lang w:val="en-US" w:eastAsia="zh-CN"/>
        </w:rPr>
      </w:pPr>
      <w:bookmarkStart w:id="557" w:name="_Toc9518"/>
      <w:bookmarkStart w:id="558" w:name="_Toc499"/>
      <w:r>
        <w:rPr>
          <w:rFonts w:hint="eastAsia" w:ascii="仿宋" w:hAnsi="仿宋" w:eastAsia="仿宋" w:cs="仿宋"/>
          <w:b/>
          <w:bCs/>
          <w:color w:val="auto"/>
          <w:kern w:val="2"/>
          <w:sz w:val="28"/>
          <w:szCs w:val="28"/>
          <w:lang w:val="en-US" w:eastAsia="zh-CN" w:bidi="ar-SA"/>
        </w:rPr>
        <w:t xml:space="preserve">第7部分  </w:t>
      </w:r>
      <w:r>
        <w:rPr>
          <w:rFonts w:hint="eastAsia" w:ascii="仿宋" w:hAnsi="仿宋" w:eastAsia="仿宋" w:cs="仿宋"/>
          <w:b/>
          <w:bCs/>
          <w:color w:val="auto"/>
          <w:sz w:val="28"/>
          <w:szCs w:val="28"/>
          <w:highlight w:val="none"/>
          <w:lang w:val="en-US" w:eastAsia="zh-CN"/>
        </w:rPr>
        <w:t>落实政府采购政策需满足的资格要求</w:t>
      </w:r>
    </w:p>
    <w:p w14:paraId="1C216F70">
      <w:pPr>
        <w:numPr>
          <w:ilvl w:val="0"/>
          <w:numId w:val="0"/>
        </w:numPr>
        <w:shd w:val="clear"/>
        <w:tabs>
          <w:tab w:val="left" w:pos="3600"/>
        </w:tabs>
        <w:adjustRightInd w:val="0"/>
        <w:snapToGrid w:val="0"/>
        <w:spacing w:line="360" w:lineRule="auto"/>
        <w:jc w:val="center"/>
        <w:outlineLvl w:val="1"/>
        <w:rPr>
          <w:rFonts w:hint="eastAsia" w:ascii="仿宋" w:hAnsi="仿宋" w:eastAsia="仿宋" w:cs="仿宋"/>
          <w:color w:val="auto"/>
          <w:sz w:val="24"/>
          <w:szCs w:val="24"/>
          <w:highlight w:val="none"/>
        </w:rPr>
      </w:pPr>
      <w:r>
        <w:rPr>
          <w:rFonts w:hint="eastAsia" w:ascii="仿宋" w:hAnsi="仿宋" w:eastAsia="仿宋" w:cs="仿宋"/>
          <w:b/>
          <w:bCs/>
          <w:color w:val="auto"/>
          <w:sz w:val="28"/>
          <w:szCs w:val="28"/>
          <w:highlight w:val="none"/>
          <w:lang w:val="en-US" w:eastAsia="zh-CN"/>
        </w:rPr>
        <w:t>格式一：</w:t>
      </w:r>
      <w:r>
        <w:rPr>
          <w:rFonts w:hint="eastAsia" w:ascii="仿宋" w:hAnsi="仿宋" w:eastAsia="仿宋" w:cs="仿宋"/>
          <w:b/>
          <w:bCs/>
          <w:color w:val="auto"/>
          <w:sz w:val="28"/>
          <w:szCs w:val="28"/>
          <w:highlight w:val="none"/>
        </w:rPr>
        <w:t>中小企业声明函</w:t>
      </w:r>
      <w:bookmarkEnd w:id="557"/>
      <w:bookmarkEnd w:id="558"/>
      <w:bookmarkStart w:id="559" w:name="_Toc12359"/>
    </w:p>
    <w:p w14:paraId="573BCBAB">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本公司郑重声明，根据《政府采购促进中小企业发展管理办法》（财库﹝2020﹞46 号）的规定，本公司参加</w:t>
      </w:r>
      <w:r>
        <w:rPr>
          <w:rFonts w:hint="eastAsia" w:ascii="仿宋" w:hAnsi="仿宋" w:eastAsia="仿宋" w:cs="仿宋"/>
          <w:bCs/>
          <w:color w:val="auto"/>
          <w:sz w:val="21"/>
          <w:szCs w:val="21"/>
          <w:highlight w:val="none"/>
          <w:u w:val="single"/>
        </w:rPr>
        <w:t>（宁强县水利局）</w:t>
      </w:r>
      <w:r>
        <w:rPr>
          <w:rFonts w:hint="eastAsia" w:ascii="仿宋" w:hAnsi="仿宋" w:eastAsia="仿宋" w:cs="仿宋"/>
          <w:bCs/>
          <w:color w:val="auto"/>
          <w:sz w:val="21"/>
          <w:szCs w:val="21"/>
          <w:highlight w:val="none"/>
        </w:rPr>
        <w:t>的</w:t>
      </w:r>
      <w:r>
        <w:rPr>
          <w:rFonts w:hint="eastAsia" w:ascii="仿宋" w:hAnsi="仿宋" w:eastAsia="仿宋" w:cs="仿宋"/>
          <w:bCs/>
          <w:color w:val="auto"/>
          <w:sz w:val="21"/>
          <w:szCs w:val="21"/>
          <w:highlight w:val="none"/>
          <w:u w:val="single"/>
        </w:rPr>
        <w:t>（宁强县水利局分散供水工程消毒药剂购置项目）</w:t>
      </w:r>
      <w:r>
        <w:rPr>
          <w:rFonts w:hint="eastAsia" w:ascii="仿宋" w:hAnsi="仿宋" w:eastAsia="仿宋" w:cs="仿宋"/>
          <w:bCs/>
          <w:color w:val="auto"/>
          <w:sz w:val="21"/>
          <w:szCs w:val="21"/>
          <w:highlight w:val="none"/>
        </w:rPr>
        <w:t>采购活动，提供的货物全部由符合政策要求的中小企业制造。相关企业的具体情况如下：</w:t>
      </w:r>
    </w:p>
    <w:p w14:paraId="2B3FED59">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left="0" w:leftChars="0" w:right="0" w:rightChars="0"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kern w:val="2"/>
          <w:sz w:val="21"/>
          <w:szCs w:val="21"/>
          <w:lang w:val="en-US" w:eastAsia="zh-CN" w:bidi="ar-SA"/>
        </w:rPr>
        <w:t>1、</w:t>
      </w:r>
      <w:r>
        <w:rPr>
          <w:rFonts w:hint="eastAsia" w:ascii="仿宋" w:hAnsi="仿宋" w:eastAsia="仿宋" w:cs="仿宋"/>
          <w:bCs/>
          <w:color w:val="auto"/>
          <w:sz w:val="21"/>
          <w:szCs w:val="21"/>
          <w:highlight w:val="none"/>
          <w:u w:val="single"/>
        </w:rPr>
        <w:t>（二氧化氯消毒粉）</w:t>
      </w:r>
      <w:r>
        <w:rPr>
          <w:rFonts w:hint="eastAsia" w:ascii="仿宋" w:hAnsi="仿宋" w:eastAsia="仿宋" w:cs="仿宋"/>
          <w:bCs/>
          <w:color w:val="auto"/>
          <w:sz w:val="21"/>
          <w:szCs w:val="21"/>
          <w:highlight w:val="none"/>
        </w:rPr>
        <w:t xml:space="preserve"> ，属于</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u w:val="single"/>
          <w:lang w:val="en-US" w:eastAsia="zh-CN"/>
        </w:rPr>
        <w:t>工业</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rPr>
        <w:t>行业；制造商为</w:t>
      </w:r>
      <w:r>
        <w:rPr>
          <w:rFonts w:hint="eastAsia" w:ascii="仿宋" w:hAnsi="仿宋" w:eastAsia="仿宋" w:cs="仿宋"/>
          <w:bCs/>
          <w:color w:val="auto"/>
          <w:sz w:val="21"/>
          <w:szCs w:val="21"/>
          <w:highlight w:val="none"/>
          <w:u w:val="single"/>
        </w:rPr>
        <w:t>（企业名称）</w:t>
      </w:r>
      <w:r>
        <w:rPr>
          <w:rFonts w:hint="eastAsia" w:ascii="仿宋" w:hAnsi="仿宋" w:eastAsia="仿宋" w:cs="仿宋"/>
          <w:bCs/>
          <w:color w:val="auto"/>
          <w:sz w:val="21"/>
          <w:szCs w:val="21"/>
          <w:highlight w:val="none"/>
        </w:rPr>
        <w:t>，从业人员</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人，营业收入为</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万元，资产总额为</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万元，属于</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中型企业</w:t>
      </w:r>
      <w:r>
        <w:rPr>
          <w:rFonts w:hint="eastAsia" w:ascii="仿宋" w:hAnsi="仿宋" w:eastAsia="仿宋" w:cs="仿宋"/>
          <w:bCs/>
          <w:color w:val="auto"/>
          <w:sz w:val="21"/>
          <w:szCs w:val="21"/>
          <w:highlight w:val="none"/>
          <w:u w:val="single"/>
          <w:lang w:eastAsia="zh-CN"/>
        </w:rPr>
        <w:t>、</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小型企业、</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微型企业）</w:t>
      </w:r>
      <w:r>
        <w:rPr>
          <w:rFonts w:hint="eastAsia" w:ascii="仿宋" w:hAnsi="仿宋" w:eastAsia="仿宋" w:cs="仿宋"/>
          <w:bCs/>
          <w:color w:val="auto"/>
          <w:sz w:val="21"/>
          <w:szCs w:val="21"/>
          <w:highlight w:val="none"/>
        </w:rPr>
        <w:t>；</w:t>
      </w:r>
    </w:p>
    <w:p w14:paraId="61267037">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rPr>
      </w:pPr>
      <w:r>
        <w:rPr>
          <w:rFonts w:hint="eastAsia" w:ascii="仿宋" w:hAnsi="仿宋" w:eastAsia="仿宋" w:cs="仿宋"/>
          <w:bCs/>
          <w:color w:val="auto"/>
          <w:kern w:val="2"/>
          <w:sz w:val="21"/>
          <w:szCs w:val="21"/>
          <w:lang w:val="en-US" w:eastAsia="zh-CN" w:bidi="ar-SA"/>
        </w:rPr>
        <w:t>2</w:t>
      </w:r>
      <w:r>
        <w:rPr>
          <w:rFonts w:hint="eastAsia" w:ascii="Times New Roman" w:hAnsi="Times New Roman" w:eastAsia="宋体" w:cs="Times New Roman"/>
          <w:kern w:val="2"/>
          <w:sz w:val="21"/>
          <w:lang w:val="en-US" w:eastAsia="zh-CN" w:bidi="ar-SA"/>
        </w:rPr>
        <w:t>、</w:t>
      </w:r>
      <w:r>
        <w:rPr>
          <w:rFonts w:hint="eastAsia" w:ascii="仿宋" w:hAnsi="仿宋" w:eastAsia="仿宋" w:cs="仿宋"/>
          <w:bCs/>
          <w:color w:val="auto"/>
          <w:sz w:val="21"/>
          <w:szCs w:val="21"/>
          <w:highlight w:val="none"/>
          <w:u w:val="single"/>
        </w:rPr>
        <w:t>（二氧化氯消毒片</w:t>
      </w:r>
      <w:r>
        <w:rPr>
          <w:rFonts w:hint="eastAsia" w:ascii="仿宋" w:hAnsi="仿宋" w:eastAsia="仿宋" w:cs="仿宋"/>
          <w:bCs/>
          <w:color w:val="auto"/>
          <w:sz w:val="21"/>
          <w:szCs w:val="21"/>
          <w:highlight w:val="none"/>
          <w:u w:val="single"/>
          <w:lang w:eastAsia="zh-CN"/>
        </w:rPr>
        <w:t>（500g/瓶）</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rPr>
        <w:t xml:space="preserve"> ，属于</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u w:val="single"/>
          <w:lang w:val="en-US" w:eastAsia="zh-CN"/>
        </w:rPr>
        <w:t>工业</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rPr>
        <w:t>行业；制造商为</w:t>
      </w:r>
      <w:r>
        <w:rPr>
          <w:rFonts w:hint="eastAsia" w:ascii="仿宋" w:hAnsi="仿宋" w:eastAsia="仿宋" w:cs="仿宋"/>
          <w:bCs/>
          <w:color w:val="auto"/>
          <w:sz w:val="21"/>
          <w:szCs w:val="21"/>
          <w:highlight w:val="none"/>
          <w:u w:val="single"/>
        </w:rPr>
        <w:t>（企业名称）</w:t>
      </w:r>
      <w:r>
        <w:rPr>
          <w:rFonts w:hint="eastAsia" w:ascii="仿宋" w:hAnsi="仿宋" w:eastAsia="仿宋" w:cs="仿宋"/>
          <w:bCs/>
          <w:color w:val="auto"/>
          <w:sz w:val="21"/>
          <w:szCs w:val="21"/>
          <w:highlight w:val="none"/>
        </w:rPr>
        <w:t>，从业人员</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人，营业收入为</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万元，资产总额为</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万元，属于</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中型企业</w:t>
      </w:r>
      <w:r>
        <w:rPr>
          <w:rFonts w:hint="eastAsia" w:ascii="仿宋" w:hAnsi="仿宋" w:eastAsia="仿宋" w:cs="仿宋"/>
          <w:bCs/>
          <w:color w:val="auto"/>
          <w:sz w:val="21"/>
          <w:szCs w:val="21"/>
          <w:highlight w:val="none"/>
          <w:u w:val="single"/>
          <w:lang w:eastAsia="zh-CN"/>
        </w:rPr>
        <w:t>、</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小型企业、</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微型企业）</w:t>
      </w:r>
      <w:r>
        <w:rPr>
          <w:rFonts w:hint="eastAsia" w:ascii="仿宋" w:hAnsi="仿宋" w:eastAsia="仿宋" w:cs="仿宋"/>
          <w:bCs/>
          <w:color w:val="auto"/>
          <w:sz w:val="21"/>
          <w:szCs w:val="21"/>
          <w:highlight w:val="none"/>
        </w:rPr>
        <w:t>；</w:t>
      </w:r>
    </w:p>
    <w:p w14:paraId="4D7160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kern w:val="2"/>
          <w:sz w:val="21"/>
          <w:szCs w:val="21"/>
          <w:lang w:val="en-US" w:eastAsia="zh-CN" w:bidi="ar-SA"/>
        </w:rPr>
        <w:t>3、</w:t>
      </w:r>
      <w:r>
        <w:rPr>
          <w:rFonts w:hint="eastAsia" w:ascii="仿宋" w:hAnsi="仿宋" w:eastAsia="仿宋" w:cs="仿宋"/>
          <w:bCs/>
          <w:color w:val="auto"/>
          <w:sz w:val="21"/>
          <w:szCs w:val="21"/>
          <w:highlight w:val="none"/>
          <w:u w:val="single"/>
        </w:rPr>
        <w:t>（二氧化氯消毒片</w:t>
      </w:r>
      <w:r>
        <w:rPr>
          <w:rFonts w:hint="eastAsia" w:ascii="仿宋" w:hAnsi="仿宋" w:eastAsia="仿宋" w:cs="仿宋"/>
          <w:bCs/>
          <w:color w:val="auto"/>
          <w:sz w:val="21"/>
          <w:szCs w:val="21"/>
          <w:highlight w:val="none"/>
          <w:u w:val="single"/>
          <w:lang w:eastAsia="zh-CN"/>
        </w:rPr>
        <w:t>（100g/瓶）</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rPr>
        <w:t xml:space="preserve"> ，属于</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u w:val="single"/>
          <w:lang w:val="en-US" w:eastAsia="zh-CN"/>
        </w:rPr>
        <w:t>工业</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rPr>
        <w:t>行业；制造商为</w:t>
      </w:r>
      <w:r>
        <w:rPr>
          <w:rFonts w:hint="eastAsia" w:ascii="仿宋" w:hAnsi="仿宋" w:eastAsia="仿宋" w:cs="仿宋"/>
          <w:bCs/>
          <w:color w:val="auto"/>
          <w:sz w:val="21"/>
          <w:szCs w:val="21"/>
          <w:highlight w:val="none"/>
          <w:u w:val="single"/>
        </w:rPr>
        <w:t>（企业名称）</w:t>
      </w:r>
      <w:r>
        <w:rPr>
          <w:rFonts w:hint="eastAsia" w:ascii="仿宋" w:hAnsi="仿宋" w:eastAsia="仿宋" w:cs="仿宋"/>
          <w:bCs/>
          <w:color w:val="auto"/>
          <w:sz w:val="21"/>
          <w:szCs w:val="21"/>
          <w:highlight w:val="none"/>
        </w:rPr>
        <w:t>，从业人员</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人，营业收入为</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万元，资产总额为</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万元，属于</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中型企业</w:t>
      </w:r>
      <w:r>
        <w:rPr>
          <w:rFonts w:hint="eastAsia" w:ascii="仿宋" w:hAnsi="仿宋" w:eastAsia="仿宋" w:cs="仿宋"/>
          <w:bCs/>
          <w:color w:val="auto"/>
          <w:sz w:val="21"/>
          <w:szCs w:val="21"/>
          <w:highlight w:val="none"/>
          <w:u w:val="single"/>
          <w:lang w:eastAsia="zh-CN"/>
        </w:rPr>
        <w:t>、</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小型企业、</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微型企业）</w:t>
      </w:r>
      <w:r>
        <w:rPr>
          <w:rFonts w:hint="eastAsia" w:ascii="仿宋" w:hAnsi="仿宋" w:eastAsia="仿宋" w:cs="仿宋"/>
          <w:bCs/>
          <w:color w:val="auto"/>
          <w:sz w:val="21"/>
          <w:szCs w:val="21"/>
          <w:highlight w:val="none"/>
        </w:rPr>
        <w:t>；</w:t>
      </w:r>
    </w:p>
    <w:p w14:paraId="376B3710">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both"/>
        <w:textAlignment w:val="auto"/>
        <w:rPr>
          <w:rFonts w:hint="eastAsia"/>
        </w:rPr>
      </w:pPr>
      <w:r>
        <w:rPr>
          <w:rFonts w:hint="eastAsia" w:ascii="仿宋" w:hAnsi="仿宋" w:eastAsia="仿宋" w:cs="仿宋"/>
          <w:bCs/>
          <w:color w:val="auto"/>
          <w:kern w:val="2"/>
          <w:sz w:val="21"/>
          <w:szCs w:val="21"/>
          <w:lang w:val="en-US" w:eastAsia="zh-CN" w:bidi="ar-SA"/>
        </w:rPr>
        <w:t>4、</w:t>
      </w:r>
      <w:r>
        <w:rPr>
          <w:rFonts w:hint="eastAsia" w:ascii="仿宋" w:hAnsi="仿宋" w:eastAsia="仿宋" w:cs="仿宋"/>
          <w:bCs/>
          <w:color w:val="auto"/>
          <w:sz w:val="21"/>
          <w:szCs w:val="21"/>
          <w:highlight w:val="none"/>
          <w:u w:val="single"/>
        </w:rPr>
        <w:t>（</w:t>
      </w:r>
      <w:r>
        <w:rPr>
          <w:rFonts w:hint="eastAsia" w:ascii="仿宋" w:hAnsi="仿宋" w:eastAsia="仿宋" w:cs="仿宋"/>
          <w:i w:val="0"/>
          <w:color w:val="000000"/>
          <w:kern w:val="0"/>
          <w:sz w:val="22"/>
          <w:szCs w:val="22"/>
          <w:u w:val="single"/>
          <w:lang w:val="en-US" w:eastAsia="zh-CN" w:bidi="ar"/>
        </w:rPr>
        <w:t>二氧化氯消毒片（1000g/袋）</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rPr>
        <w:t xml:space="preserve"> ，属于</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u w:val="single"/>
          <w:lang w:val="en-US" w:eastAsia="zh-CN"/>
        </w:rPr>
        <w:t>工业</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rPr>
        <w:t>行业；制造商为</w:t>
      </w:r>
      <w:r>
        <w:rPr>
          <w:rFonts w:hint="eastAsia" w:ascii="仿宋" w:hAnsi="仿宋" w:eastAsia="仿宋" w:cs="仿宋"/>
          <w:bCs/>
          <w:color w:val="auto"/>
          <w:sz w:val="21"/>
          <w:szCs w:val="21"/>
          <w:highlight w:val="none"/>
          <w:u w:val="single"/>
        </w:rPr>
        <w:t>（企业名称）</w:t>
      </w:r>
      <w:r>
        <w:rPr>
          <w:rFonts w:hint="eastAsia" w:ascii="仿宋" w:hAnsi="仿宋" w:eastAsia="仿宋" w:cs="仿宋"/>
          <w:bCs/>
          <w:color w:val="auto"/>
          <w:sz w:val="21"/>
          <w:szCs w:val="21"/>
          <w:highlight w:val="none"/>
        </w:rPr>
        <w:t>，从业人员</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人，营业收入为</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万元，资产总额为</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万元，属于</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中型企业</w:t>
      </w:r>
      <w:r>
        <w:rPr>
          <w:rFonts w:hint="eastAsia" w:ascii="仿宋" w:hAnsi="仿宋" w:eastAsia="仿宋" w:cs="仿宋"/>
          <w:bCs/>
          <w:color w:val="auto"/>
          <w:sz w:val="21"/>
          <w:szCs w:val="21"/>
          <w:highlight w:val="none"/>
          <w:u w:val="single"/>
          <w:lang w:eastAsia="zh-CN"/>
        </w:rPr>
        <w:t>、</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小型企业、</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微型企业）</w:t>
      </w:r>
      <w:r>
        <w:rPr>
          <w:rFonts w:hint="eastAsia" w:ascii="仿宋" w:hAnsi="仿宋" w:eastAsia="仿宋" w:cs="仿宋"/>
          <w:bCs/>
          <w:color w:val="auto"/>
          <w:sz w:val="21"/>
          <w:szCs w:val="21"/>
          <w:highlight w:val="none"/>
        </w:rPr>
        <w:t>；</w:t>
      </w:r>
    </w:p>
    <w:p w14:paraId="2F2F6DF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kern w:val="2"/>
          <w:sz w:val="21"/>
          <w:szCs w:val="21"/>
          <w:lang w:val="en-US" w:eastAsia="zh-CN" w:bidi="ar-SA"/>
        </w:rPr>
        <w:t>5、</w:t>
      </w:r>
      <w:r>
        <w:rPr>
          <w:rFonts w:hint="eastAsia" w:ascii="仿宋" w:hAnsi="仿宋" w:eastAsia="仿宋" w:cs="仿宋"/>
          <w:bCs/>
          <w:color w:val="auto"/>
          <w:sz w:val="21"/>
          <w:szCs w:val="21"/>
          <w:highlight w:val="none"/>
          <w:u w:val="single"/>
        </w:rPr>
        <w:t>（漂粉精片）</w:t>
      </w:r>
      <w:r>
        <w:rPr>
          <w:rFonts w:hint="eastAsia" w:ascii="仿宋" w:hAnsi="仿宋" w:eastAsia="仿宋" w:cs="仿宋"/>
          <w:bCs/>
          <w:color w:val="auto"/>
          <w:sz w:val="21"/>
          <w:szCs w:val="21"/>
          <w:highlight w:val="none"/>
        </w:rPr>
        <w:t xml:space="preserve"> ，属于</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u w:val="single"/>
          <w:lang w:val="en-US" w:eastAsia="zh-CN"/>
        </w:rPr>
        <w:t>工业</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rPr>
        <w:t>行业；制造商为</w:t>
      </w:r>
      <w:r>
        <w:rPr>
          <w:rFonts w:hint="eastAsia" w:ascii="仿宋" w:hAnsi="仿宋" w:eastAsia="仿宋" w:cs="仿宋"/>
          <w:bCs/>
          <w:color w:val="auto"/>
          <w:sz w:val="21"/>
          <w:szCs w:val="21"/>
          <w:highlight w:val="none"/>
          <w:u w:val="single"/>
        </w:rPr>
        <w:t>（企业名称）</w:t>
      </w:r>
      <w:r>
        <w:rPr>
          <w:rFonts w:hint="eastAsia" w:ascii="仿宋" w:hAnsi="仿宋" w:eastAsia="仿宋" w:cs="仿宋"/>
          <w:bCs/>
          <w:color w:val="auto"/>
          <w:sz w:val="21"/>
          <w:szCs w:val="21"/>
          <w:highlight w:val="none"/>
        </w:rPr>
        <w:t>，从业人员</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人，营业收入为</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万元，资产总额为</w:t>
      </w:r>
      <w:r>
        <w:rPr>
          <w:rFonts w:hint="eastAsia" w:ascii="仿宋" w:hAnsi="仿宋" w:eastAsia="仿宋" w:cs="仿宋"/>
          <w:bCs/>
          <w:color w:val="auto"/>
          <w:sz w:val="21"/>
          <w:szCs w:val="21"/>
          <w:highlight w:val="none"/>
          <w:u w:val="single"/>
        </w:rPr>
        <w:t xml:space="preserve"> </w:t>
      </w:r>
      <w:r>
        <w:rPr>
          <w:rFonts w:hint="eastAsia" w:ascii="仿宋" w:hAnsi="仿宋" w:eastAsia="仿宋" w:cs="仿宋"/>
          <w:bCs/>
          <w:color w:val="auto"/>
          <w:sz w:val="21"/>
          <w:szCs w:val="21"/>
          <w:highlight w:val="none"/>
          <w:u w:val="single"/>
          <w:lang w:val="en-US" w:eastAsia="zh-CN"/>
        </w:rPr>
        <w:t xml:space="preserve">   </w:t>
      </w:r>
      <w:r>
        <w:rPr>
          <w:rFonts w:hint="eastAsia" w:ascii="仿宋" w:hAnsi="仿宋" w:eastAsia="仿宋" w:cs="仿宋"/>
          <w:bCs/>
          <w:color w:val="auto"/>
          <w:sz w:val="21"/>
          <w:szCs w:val="21"/>
          <w:highlight w:val="none"/>
          <w:u w:val="single"/>
        </w:rPr>
        <w:tab/>
      </w:r>
      <w:r>
        <w:rPr>
          <w:rFonts w:hint="eastAsia" w:ascii="仿宋" w:hAnsi="仿宋" w:eastAsia="仿宋" w:cs="仿宋"/>
          <w:bCs/>
          <w:color w:val="auto"/>
          <w:sz w:val="21"/>
          <w:szCs w:val="21"/>
          <w:highlight w:val="none"/>
        </w:rPr>
        <w:t>万元，属于</w:t>
      </w:r>
      <w:r>
        <w:rPr>
          <w:rFonts w:hint="eastAsia" w:ascii="仿宋" w:hAnsi="仿宋" w:eastAsia="仿宋" w:cs="仿宋"/>
          <w:bCs/>
          <w:color w:val="auto"/>
          <w:sz w:val="21"/>
          <w:szCs w:val="21"/>
          <w:highlight w:val="none"/>
          <w:u w:val="single"/>
        </w:rPr>
        <w:t>（</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中型企业</w:t>
      </w:r>
      <w:r>
        <w:rPr>
          <w:rFonts w:hint="eastAsia" w:ascii="仿宋" w:hAnsi="仿宋" w:eastAsia="仿宋" w:cs="仿宋"/>
          <w:bCs/>
          <w:color w:val="auto"/>
          <w:sz w:val="21"/>
          <w:szCs w:val="21"/>
          <w:highlight w:val="none"/>
          <w:u w:val="single"/>
          <w:lang w:eastAsia="zh-CN"/>
        </w:rPr>
        <w:t>、</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小型企业、</w:t>
      </w:r>
      <w:r>
        <w:rPr>
          <w:rFonts w:hint="eastAsia" w:ascii="仿宋" w:hAnsi="仿宋" w:eastAsia="仿宋" w:cs="仿宋"/>
          <w:bCs/>
          <w:color w:val="auto"/>
          <w:sz w:val="21"/>
          <w:szCs w:val="21"/>
          <w:highlight w:val="none"/>
          <w:u w:val="single"/>
        </w:rPr>
        <w:sym w:font="Wingdings" w:char="00A8"/>
      </w:r>
      <w:r>
        <w:rPr>
          <w:rFonts w:hint="eastAsia" w:ascii="仿宋" w:hAnsi="仿宋" w:eastAsia="仿宋" w:cs="仿宋"/>
          <w:bCs/>
          <w:color w:val="auto"/>
          <w:sz w:val="21"/>
          <w:szCs w:val="21"/>
          <w:highlight w:val="none"/>
          <w:u w:val="single"/>
        </w:rPr>
        <w:t>微型企业）</w:t>
      </w:r>
      <w:r>
        <w:rPr>
          <w:rFonts w:hint="eastAsia" w:ascii="仿宋" w:hAnsi="仿宋" w:eastAsia="仿宋" w:cs="仿宋"/>
          <w:bCs/>
          <w:color w:val="auto"/>
          <w:sz w:val="21"/>
          <w:szCs w:val="21"/>
          <w:highlight w:val="none"/>
        </w:rPr>
        <w:t>；</w:t>
      </w:r>
    </w:p>
    <w:p w14:paraId="4261CF32">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以上企业，不属于大企业的分支机构，不存在控股股东为大企业的情形，也不存在与大企业的负责人为同一人的情形。</w:t>
      </w:r>
    </w:p>
    <w:p w14:paraId="1F9DF165">
      <w:pPr>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20" w:firstLineChars="200"/>
        <w:jc w:val="left"/>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本企业对上述声明内容的真实性负责。如有虚假，将依法承担相应责任。</w:t>
      </w:r>
    </w:p>
    <w:p w14:paraId="36794726">
      <w:pPr>
        <w:pStyle w:val="105"/>
        <w:keepNext w:val="0"/>
        <w:keepLines w:val="0"/>
        <w:pageBreakBefore w:val="0"/>
        <w:widowControl w:val="0"/>
        <w:shd w:val="clear"/>
        <w:kinsoku/>
        <w:wordWrap/>
        <w:overflowPunct/>
        <w:topLinePunct w:val="0"/>
        <w:autoSpaceDE/>
        <w:autoSpaceDN/>
        <w:bidi w:val="0"/>
        <w:adjustRightInd w:val="0"/>
        <w:snapToGrid w:val="0"/>
        <w:spacing w:line="360" w:lineRule="auto"/>
        <w:ind w:left="0" w:leftChars="0" w:right="0" w:firstLine="440" w:firstLineChars="200"/>
        <w:textAlignment w:val="auto"/>
        <w:rPr>
          <w:rFonts w:hint="eastAsia" w:ascii="仿宋" w:hAnsi="仿宋" w:eastAsia="仿宋" w:cs="仿宋"/>
          <w:bCs/>
          <w:color w:val="auto"/>
          <w:sz w:val="22"/>
          <w:szCs w:val="22"/>
          <w:highlight w:val="none"/>
        </w:rPr>
      </w:pPr>
    </w:p>
    <w:p w14:paraId="64DA9A29">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2530" w:firstLineChars="1150"/>
        <w:jc w:val="left"/>
        <w:textAlignment w:val="auto"/>
        <w:rPr>
          <w:rFonts w:hint="eastAsia" w:ascii="仿宋" w:hAnsi="仿宋" w:eastAsia="仿宋" w:cs="仿宋"/>
          <w:bCs/>
          <w:color w:val="auto"/>
          <w:sz w:val="22"/>
          <w:szCs w:val="22"/>
          <w:highlight w:val="none"/>
          <w:u w:val="single"/>
          <w:lang w:val="en-US" w:eastAsia="zh-CN"/>
        </w:rPr>
      </w:pPr>
      <w:r>
        <w:rPr>
          <w:rFonts w:hint="eastAsia" w:ascii="仿宋" w:hAnsi="仿宋" w:eastAsia="仿宋" w:cs="仿宋"/>
          <w:bCs/>
          <w:color w:val="auto"/>
          <w:sz w:val="22"/>
          <w:szCs w:val="22"/>
          <w:highlight w:val="none"/>
        </w:rPr>
        <w:t>企业名称（盖章）：</w:t>
      </w:r>
      <w:r>
        <w:rPr>
          <w:rFonts w:hint="eastAsia" w:ascii="仿宋" w:hAnsi="仿宋" w:eastAsia="仿宋" w:cs="仿宋"/>
          <w:bCs/>
          <w:color w:val="auto"/>
          <w:sz w:val="22"/>
          <w:szCs w:val="22"/>
          <w:highlight w:val="none"/>
          <w:u w:val="single"/>
        </w:rPr>
        <w:t xml:space="preserve"> </w:t>
      </w:r>
      <w:r>
        <w:rPr>
          <w:rFonts w:hint="eastAsia" w:ascii="仿宋" w:hAnsi="仿宋" w:eastAsia="仿宋" w:cs="仿宋"/>
          <w:bCs/>
          <w:color w:val="auto"/>
          <w:sz w:val="22"/>
          <w:szCs w:val="22"/>
          <w:highlight w:val="none"/>
          <w:u w:val="single"/>
          <w:lang w:val="en-US" w:eastAsia="zh-CN"/>
        </w:rPr>
        <w:t xml:space="preserve">                 </w:t>
      </w:r>
      <w:r>
        <w:rPr>
          <w:rFonts w:hint="eastAsia" w:ascii="仿宋" w:hAnsi="仿宋" w:eastAsia="仿宋" w:cs="仿宋"/>
          <w:bCs/>
          <w:color w:val="auto"/>
          <w:sz w:val="22"/>
          <w:szCs w:val="22"/>
          <w:highlight w:val="none"/>
          <w:u w:val="single"/>
        </w:rPr>
        <w:tab/>
      </w:r>
      <w:r>
        <w:rPr>
          <w:rFonts w:hint="eastAsia" w:ascii="仿宋" w:hAnsi="仿宋" w:eastAsia="仿宋" w:cs="仿宋"/>
          <w:bCs/>
          <w:color w:val="auto"/>
          <w:sz w:val="22"/>
          <w:szCs w:val="22"/>
          <w:highlight w:val="none"/>
          <w:u w:val="single"/>
          <w:lang w:val="en-US" w:eastAsia="zh-CN"/>
        </w:rPr>
        <w:t xml:space="preserve">    </w:t>
      </w:r>
    </w:p>
    <w:p w14:paraId="3ED824EA">
      <w:pPr>
        <w:pStyle w:val="105"/>
        <w:keepNext w:val="0"/>
        <w:keepLines w:val="0"/>
        <w:pageBreakBefore w:val="0"/>
        <w:widowControl w:val="0"/>
        <w:shd w:val="clear"/>
        <w:kinsoku/>
        <w:wordWrap/>
        <w:overflowPunct/>
        <w:topLinePunct w:val="0"/>
        <w:autoSpaceDE/>
        <w:autoSpaceDN/>
        <w:bidi w:val="0"/>
        <w:adjustRightInd w:val="0"/>
        <w:snapToGrid w:val="0"/>
        <w:spacing w:line="360" w:lineRule="auto"/>
        <w:ind w:right="0" w:firstLine="315" w:firstLineChars="15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 </w:t>
      </w:r>
    </w:p>
    <w:p w14:paraId="6BEB767F">
      <w:pPr>
        <w:keepNext w:val="0"/>
        <w:keepLines w:val="0"/>
        <w:pageBreakBefore w:val="0"/>
        <w:widowControl w:val="0"/>
        <w:shd w:val="clear"/>
        <w:kinsoku/>
        <w:wordWrap/>
        <w:overflowPunct/>
        <w:topLinePunct w:val="0"/>
        <w:autoSpaceDE/>
        <w:autoSpaceDN/>
        <w:bidi w:val="0"/>
        <w:adjustRightInd w:val="0"/>
        <w:snapToGrid w:val="0"/>
        <w:spacing w:line="360" w:lineRule="auto"/>
        <w:ind w:right="0" w:firstLine="2530" w:firstLineChars="1150"/>
        <w:jc w:val="left"/>
        <w:textAlignment w:val="auto"/>
        <w:rPr>
          <w:rFonts w:hint="eastAsia" w:ascii="仿宋" w:hAnsi="仿宋" w:eastAsia="仿宋" w:cs="仿宋"/>
          <w:bCs/>
          <w:color w:val="auto"/>
          <w:sz w:val="22"/>
          <w:szCs w:val="22"/>
          <w:highlight w:val="none"/>
          <w:u w:val="single"/>
        </w:rPr>
      </w:pPr>
      <w:r>
        <w:rPr>
          <w:rFonts w:hint="eastAsia" w:ascii="仿宋" w:hAnsi="仿宋" w:eastAsia="仿宋" w:cs="仿宋"/>
          <w:bCs/>
          <w:color w:val="auto"/>
          <w:sz w:val="22"/>
          <w:szCs w:val="22"/>
          <w:highlight w:val="none"/>
        </w:rPr>
        <w:t>日</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bCs/>
          <w:color w:val="auto"/>
          <w:sz w:val="22"/>
          <w:szCs w:val="22"/>
          <w:highlight w:val="none"/>
        </w:rPr>
        <w:t>期：</w:t>
      </w:r>
      <w:r>
        <w:rPr>
          <w:rFonts w:hint="eastAsia" w:ascii="仿宋" w:hAnsi="仿宋" w:eastAsia="仿宋" w:cs="仿宋"/>
          <w:bCs/>
          <w:color w:val="auto"/>
          <w:sz w:val="22"/>
          <w:szCs w:val="22"/>
          <w:highlight w:val="none"/>
          <w:u w:val="single"/>
        </w:rPr>
        <w:t xml:space="preserve"> </w:t>
      </w:r>
      <w:r>
        <w:rPr>
          <w:rFonts w:hint="eastAsia" w:ascii="仿宋" w:hAnsi="仿宋" w:eastAsia="仿宋" w:cs="仿宋"/>
          <w:bCs/>
          <w:color w:val="auto"/>
          <w:sz w:val="22"/>
          <w:szCs w:val="22"/>
          <w:highlight w:val="none"/>
          <w:u w:val="single"/>
          <w:lang w:val="en-US" w:eastAsia="zh-CN"/>
        </w:rPr>
        <w:t xml:space="preserve">                     </w:t>
      </w:r>
      <w:r>
        <w:rPr>
          <w:rFonts w:hint="eastAsia" w:ascii="仿宋" w:hAnsi="仿宋" w:eastAsia="仿宋" w:cs="仿宋"/>
          <w:bCs/>
          <w:color w:val="auto"/>
          <w:sz w:val="22"/>
          <w:szCs w:val="22"/>
          <w:highlight w:val="none"/>
          <w:u w:val="single"/>
        </w:rPr>
        <w:tab/>
      </w:r>
    </w:p>
    <w:p w14:paraId="0472EAD1">
      <w:pPr>
        <w:tabs>
          <w:tab w:val="left" w:pos="3600"/>
        </w:tabs>
        <w:adjustRightInd w:val="0"/>
        <w:snapToGrid w:val="0"/>
        <w:spacing w:line="360" w:lineRule="auto"/>
        <w:rPr>
          <w:rFonts w:hint="eastAsia" w:ascii="仿宋" w:hAnsi="仿宋" w:eastAsia="仿宋" w:cs="仿宋"/>
          <w:color w:val="auto"/>
          <w:sz w:val="22"/>
          <w:szCs w:val="22"/>
          <w:highlight w:val="none"/>
        </w:rPr>
      </w:pPr>
    </w:p>
    <w:p w14:paraId="2479E37A">
      <w:pPr>
        <w:tabs>
          <w:tab w:val="left" w:pos="3600"/>
        </w:tabs>
        <w:adjustRightInd w:val="0"/>
        <w:snapToGrid w:val="0"/>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4A2D01DD">
      <w:pPr>
        <w:tabs>
          <w:tab w:val="left" w:pos="3600"/>
        </w:tabs>
        <w:adjustRightInd w:val="0"/>
        <w:snapToGrid w:val="0"/>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（1）本项目中小企业声明函仅对主要货物进行填报即可，</w:t>
      </w:r>
      <w:r>
        <w:rPr>
          <w:rFonts w:hint="eastAsia" w:ascii="仿宋" w:hAnsi="仿宋" w:eastAsia="仿宋" w:cs="仿宋"/>
          <w:color w:val="auto"/>
          <w:sz w:val="22"/>
          <w:szCs w:val="22"/>
          <w:highlight w:val="none"/>
          <w:lang w:val="en-US" w:eastAsia="zh-CN"/>
        </w:rPr>
        <w:t>按照填写即可</w:t>
      </w:r>
      <w:r>
        <w:rPr>
          <w:rFonts w:hint="eastAsia" w:ascii="仿宋" w:hAnsi="仿宋" w:eastAsia="仿宋" w:cs="仿宋"/>
          <w:color w:val="auto"/>
          <w:sz w:val="22"/>
          <w:szCs w:val="22"/>
          <w:highlight w:val="none"/>
        </w:rPr>
        <w:t>。</w:t>
      </w:r>
    </w:p>
    <w:p w14:paraId="50489F63">
      <w:pPr>
        <w:keepNext w:val="0"/>
        <w:keepLines w:val="0"/>
        <w:pageBreakBefore w:val="0"/>
        <w:widowControl w:val="0"/>
        <w:tabs>
          <w:tab w:val="left" w:pos="3600"/>
        </w:tabs>
        <w:kinsoku/>
        <w:wordWrap/>
        <w:overflowPunct/>
        <w:topLinePunct w:val="0"/>
        <w:autoSpaceDE/>
        <w:autoSpaceDN/>
        <w:bidi w:val="0"/>
        <w:adjustRightInd w:val="0"/>
        <w:snapToGrid w:val="0"/>
        <w:spacing w:line="360" w:lineRule="auto"/>
        <w:ind w:firstLine="440"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lang w:val="en-US" w:eastAsia="zh-CN"/>
        </w:rPr>
        <w:t>2</w:t>
      </w: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rPr>
        <w:t>填写前请认真阅读《工业和信息化部、国家统计局、国家发展和改革委员会、财政部关于印发中小企业划型标准规定的通知》（工信部联企业[2011]300号）和《政府采购促进中小企业发展管理办法》(财库〔2020〕46号相关规定。</w:t>
      </w:r>
    </w:p>
    <w:p w14:paraId="37962C88">
      <w:pPr>
        <w:shd w:val="clear"/>
        <w:tabs>
          <w:tab w:val="left" w:pos="3600"/>
        </w:tabs>
        <w:adjustRightInd w:val="0"/>
        <w:snapToGrid w:val="0"/>
        <w:jc w:val="center"/>
        <w:outlineLvl w:val="1"/>
        <w:rPr>
          <w:rFonts w:hint="eastAsia" w:ascii="仿宋" w:hAnsi="仿宋" w:eastAsia="仿宋" w:cs="仿宋"/>
          <w:b/>
          <w:bCs/>
          <w:color w:val="auto"/>
          <w:sz w:val="28"/>
          <w:szCs w:val="28"/>
          <w:highlight w:val="none"/>
        </w:rPr>
      </w:pPr>
      <w:bookmarkStart w:id="560" w:name="_Toc31799"/>
      <w:r>
        <w:rPr>
          <w:rFonts w:hint="eastAsia" w:ascii="仿宋" w:hAnsi="仿宋" w:eastAsia="仿宋" w:cs="仿宋"/>
          <w:b/>
          <w:bCs/>
          <w:color w:val="auto"/>
          <w:sz w:val="28"/>
          <w:szCs w:val="28"/>
          <w:highlight w:val="none"/>
          <w:lang w:val="en-US" w:eastAsia="zh-CN"/>
        </w:rPr>
        <w:t xml:space="preserve">格式二： </w:t>
      </w:r>
      <w:r>
        <w:rPr>
          <w:rFonts w:hint="eastAsia" w:ascii="仿宋" w:hAnsi="仿宋" w:eastAsia="仿宋" w:cs="仿宋"/>
          <w:b/>
          <w:bCs/>
          <w:color w:val="auto"/>
          <w:sz w:val="28"/>
          <w:szCs w:val="28"/>
          <w:highlight w:val="none"/>
        </w:rPr>
        <w:t>残疾人福利性单位声明函</w:t>
      </w:r>
      <w:bookmarkEnd w:id="559"/>
      <w:bookmarkEnd w:id="560"/>
    </w:p>
    <w:p w14:paraId="6F1CB5CE">
      <w:pPr>
        <w:shd w:val="clear"/>
        <w:spacing w:line="360" w:lineRule="auto"/>
        <w:rPr>
          <w:rFonts w:hint="eastAsia" w:ascii="仿宋" w:hAnsi="仿宋" w:eastAsia="仿宋" w:cs="仿宋"/>
          <w:color w:val="auto"/>
          <w:spacing w:val="6"/>
          <w:sz w:val="24"/>
          <w:szCs w:val="24"/>
          <w:highlight w:val="none"/>
        </w:rPr>
      </w:pPr>
    </w:p>
    <w:p w14:paraId="41FB5C79">
      <w:pPr>
        <w:shd w:val="clear"/>
        <w:spacing w:line="360" w:lineRule="auto"/>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本单位郑重声明，根据《财政部 民政部 中国残疾人联合会关于促进残疾人就业政府采购政策的通知》（财库</w:t>
      </w:r>
      <w:r>
        <w:rPr>
          <w:rFonts w:hint="eastAsia" w:ascii="仿宋" w:hAnsi="仿宋" w:eastAsia="仿宋" w:cs="仿宋"/>
          <w:color w:val="auto"/>
          <w:sz w:val="21"/>
          <w:szCs w:val="21"/>
          <w:highlight w:val="none"/>
        </w:rPr>
        <w:t>〔2017〕 141</w:t>
      </w:r>
      <w:r>
        <w:rPr>
          <w:rFonts w:hint="eastAsia" w:ascii="仿宋" w:hAnsi="仿宋" w:eastAsia="仿宋" w:cs="仿宋"/>
          <w:color w:val="auto"/>
          <w:spacing w:val="6"/>
          <w:sz w:val="21"/>
          <w:szCs w:val="21"/>
          <w:highlight w:val="none"/>
        </w:rPr>
        <w:t>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025773A7">
      <w:pPr>
        <w:shd w:val="clear"/>
        <w:spacing w:line="360" w:lineRule="auto"/>
        <w:ind w:firstLine="444" w:firstLineChars="200"/>
        <w:rPr>
          <w:rFonts w:hint="eastAsia" w:ascii="仿宋" w:hAnsi="仿宋" w:eastAsia="仿宋" w:cs="仿宋"/>
          <w:color w:val="auto"/>
          <w:spacing w:val="6"/>
          <w:sz w:val="21"/>
          <w:szCs w:val="21"/>
          <w:highlight w:val="none"/>
        </w:rPr>
      </w:pPr>
      <w:r>
        <w:rPr>
          <w:rFonts w:hint="eastAsia" w:ascii="仿宋" w:hAnsi="仿宋" w:eastAsia="仿宋" w:cs="仿宋"/>
          <w:color w:val="auto"/>
          <w:spacing w:val="6"/>
          <w:sz w:val="21"/>
          <w:szCs w:val="21"/>
          <w:highlight w:val="none"/>
        </w:rPr>
        <w:t>本单位对上述声明的真实性负责。如有虚假，将依法承担相应责任</w:t>
      </w:r>
    </w:p>
    <w:p w14:paraId="641EED6B">
      <w:pPr>
        <w:shd w:val="clear"/>
        <w:spacing w:line="360" w:lineRule="auto"/>
        <w:ind w:firstLine="444" w:firstLineChars="200"/>
        <w:rPr>
          <w:rFonts w:hint="eastAsia" w:ascii="仿宋" w:hAnsi="仿宋" w:eastAsia="仿宋" w:cs="仿宋"/>
          <w:color w:val="auto"/>
          <w:spacing w:val="6"/>
          <w:sz w:val="21"/>
          <w:szCs w:val="21"/>
          <w:highlight w:val="none"/>
        </w:rPr>
      </w:pPr>
    </w:p>
    <w:p w14:paraId="70F1FABE">
      <w:pPr>
        <w:pStyle w:val="57"/>
        <w:shd w:val="clear"/>
        <w:rPr>
          <w:rFonts w:hint="eastAsia" w:ascii="仿宋" w:hAnsi="仿宋" w:eastAsia="仿宋" w:cs="仿宋"/>
          <w:color w:val="auto"/>
          <w:spacing w:val="6"/>
          <w:sz w:val="21"/>
          <w:szCs w:val="21"/>
          <w:highlight w:val="none"/>
        </w:rPr>
      </w:pPr>
    </w:p>
    <w:p w14:paraId="55E16BC0">
      <w:pPr>
        <w:pStyle w:val="57"/>
        <w:shd w:val="clear"/>
        <w:rPr>
          <w:rFonts w:hint="eastAsia" w:ascii="仿宋" w:hAnsi="仿宋" w:eastAsia="仿宋" w:cs="仿宋"/>
          <w:color w:val="auto"/>
          <w:spacing w:val="6"/>
          <w:sz w:val="21"/>
          <w:szCs w:val="21"/>
          <w:highlight w:val="none"/>
        </w:rPr>
      </w:pPr>
    </w:p>
    <w:p w14:paraId="3E2C425E">
      <w:pPr>
        <w:pStyle w:val="57"/>
        <w:shd w:val="clear"/>
        <w:rPr>
          <w:rFonts w:hint="eastAsia" w:ascii="仿宋" w:hAnsi="仿宋" w:eastAsia="仿宋" w:cs="仿宋"/>
          <w:color w:val="auto"/>
          <w:spacing w:val="6"/>
          <w:sz w:val="21"/>
          <w:szCs w:val="21"/>
          <w:highlight w:val="none"/>
        </w:rPr>
      </w:pPr>
    </w:p>
    <w:p w14:paraId="2C39C65F">
      <w:pPr>
        <w:pStyle w:val="57"/>
        <w:shd w:val="clear"/>
        <w:rPr>
          <w:rFonts w:hint="eastAsia" w:ascii="仿宋" w:hAnsi="仿宋" w:eastAsia="仿宋" w:cs="仿宋"/>
          <w:color w:val="auto"/>
          <w:spacing w:val="6"/>
          <w:sz w:val="21"/>
          <w:szCs w:val="21"/>
          <w:highlight w:val="none"/>
        </w:rPr>
      </w:pPr>
    </w:p>
    <w:p w14:paraId="3F1A8079">
      <w:pPr>
        <w:pStyle w:val="57"/>
        <w:shd w:val="clear"/>
        <w:rPr>
          <w:rFonts w:hint="eastAsia" w:ascii="仿宋" w:hAnsi="仿宋" w:eastAsia="仿宋" w:cs="仿宋"/>
          <w:color w:val="auto"/>
          <w:spacing w:val="6"/>
          <w:sz w:val="21"/>
          <w:szCs w:val="21"/>
          <w:highlight w:val="none"/>
        </w:rPr>
      </w:pPr>
    </w:p>
    <w:p w14:paraId="3EE90382">
      <w:pPr>
        <w:pStyle w:val="57"/>
        <w:shd w:val="clear"/>
        <w:rPr>
          <w:rFonts w:hint="eastAsia" w:ascii="仿宋" w:hAnsi="仿宋" w:eastAsia="仿宋" w:cs="仿宋"/>
          <w:color w:val="auto"/>
          <w:spacing w:val="6"/>
          <w:sz w:val="21"/>
          <w:szCs w:val="21"/>
          <w:highlight w:val="none"/>
        </w:rPr>
      </w:pPr>
    </w:p>
    <w:p w14:paraId="6F819784">
      <w:pPr>
        <w:pStyle w:val="13"/>
        <w:shd w:val="clear"/>
        <w:spacing w:line="480" w:lineRule="auto"/>
        <w:ind w:firstLine="3780" w:firstLineChars="18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声 明 人:</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(盖单位章)</w:t>
      </w:r>
    </w:p>
    <w:p w14:paraId="0045D747">
      <w:pPr>
        <w:pStyle w:val="13"/>
        <w:shd w:val="clear"/>
        <w:spacing w:line="480" w:lineRule="auto"/>
        <w:ind w:firstLine="3780" w:firstLineChars="1800"/>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法定代表人或授权代表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（签字）</w:t>
      </w:r>
    </w:p>
    <w:p w14:paraId="228CAADC">
      <w:pPr>
        <w:pStyle w:val="13"/>
        <w:shd w:val="clear"/>
        <w:spacing w:line="480" w:lineRule="auto"/>
        <w:ind w:firstLine="3780" w:firstLineChars="18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 期：</w:t>
      </w:r>
      <w:r>
        <w:rPr>
          <w:rFonts w:hint="eastAsia" w:ascii="仿宋" w:hAnsi="仿宋" w:eastAsia="仿宋" w:cs="仿宋"/>
          <w:color w:val="auto"/>
          <w:sz w:val="21"/>
          <w:szCs w:val="21"/>
          <w:highlight w:val="none"/>
          <w:lang w:val="en-US" w:eastAsia="zh-CN"/>
        </w:rPr>
        <w:t xml:space="preserve">   年   月   日</w:t>
      </w:r>
    </w:p>
    <w:p w14:paraId="7D88B1D3">
      <w:pPr>
        <w:shd w:val="clear"/>
        <w:adjustRightInd w:val="0"/>
        <w:snapToGrid w:val="0"/>
        <w:spacing w:before="50" w:line="360" w:lineRule="auto"/>
        <w:jc w:val="left"/>
        <w:rPr>
          <w:rFonts w:hint="eastAsia" w:ascii="仿宋" w:hAnsi="仿宋" w:eastAsia="仿宋" w:cs="仿宋"/>
          <w:b/>
          <w:color w:val="auto"/>
          <w:sz w:val="21"/>
          <w:szCs w:val="21"/>
          <w:highlight w:val="none"/>
        </w:rPr>
      </w:pPr>
    </w:p>
    <w:p w14:paraId="709F3DFA">
      <w:pPr>
        <w:shd w:val="clear"/>
        <w:adjustRightInd w:val="0"/>
        <w:snapToGrid w:val="0"/>
        <w:spacing w:before="50" w:line="360" w:lineRule="auto"/>
        <w:jc w:val="left"/>
        <w:rPr>
          <w:rFonts w:hint="eastAsia" w:ascii="仿宋" w:hAnsi="仿宋" w:eastAsia="仿宋" w:cs="仿宋"/>
          <w:b/>
          <w:color w:val="auto"/>
          <w:sz w:val="21"/>
          <w:szCs w:val="21"/>
          <w:highlight w:val="none"/>
        </w:rPr>
      </w:pPr>
    </w:p>
    <w:p w14:paraId="68D3B7B0">
      <w:pPr>
        <w:pStyle w:val="30"/>
        <w:shd w:val="clear"/>
        <w:rPr>
          <w:rFonts w:hint="eastAsia" w:ascii="仿宋" w:hAnsi="仿宋" w:eastAsia="仿宋" w:cs="仿宋"/>
          <w:b/>
          <w:color w:val="auto"/>
          <w:sz w:val="21"/>
          <w:szCs w:val="21"/>
          <w:highlight w:val="none"/>
        </w:rPr>
      </w:pPr>
    </w:p>
    <w:p w14:paraId="13B4A169">
      <w:pPr>
        <w:pStyle w:val="30"/>
        <w:shd w:val="clear"/>
        <w:rPr>
          <w:rFonts w:hint="eastAsia" w:ascii="仿宋" w:hAnsi="仿宋" w:eastAsia="仿宋" w:cs="仿宋"/>
          <w:b/>
          <w:color w:val="auto"/>
          <w:sz w:val="21"/>
          <w:szCs w:val="21"/>
          <w:highlight w:val="none"/>
        </w:rPr>
      </w:pPr>
    </w:p>
    <w:p w14:paraId="5244F2B0">
      <w:pPr>
        <w:pStyle w:val="30"/>
        <w:shd w:val="clear"/>
        <w:rPr>
          <w:rFonts w:hint="eastAsia" w:ascii="仿宋" w:hAnsi="仿宋" w:eastAsia="仿宋" w:cs="仿宋"/>
          <w:b/>
          <w:color w:val="auto"/>
          <w:sz w:val="21"/>
          <w:szCs w:val="21"/>
          <w:highlight w:val="none"/>
        </w:rPr>
      </w:pPr>
    </w:p>
    <w:p w14:paraId="37220BC8">
      <w:pPr>
        <w:pStyle w:val="30"/>
        <w:shd w:val="clear"/>
        <w:rPr>
          <w:rFonts w:hint="eastAsia" w:ascii="仿宋" w:hAnsi="仿宋" w:eastAsia="仿宋" w:cs="仿宋"/>
          <w:b/>
          <w:color w:val="auto"/>
          <w:sz w:val="21"/>
          <w:szCs w:val="21"/>
          <w:highlight w:val="none"/>
        </w:rPr>
      </w:pPr>
    </w:p>
    <w:p w14:paraId="60292A6A">
      <w:pPr>
        <w:pStyle w:val="57"/>
        <w:shd w:val="clear"/>
        <w:ind w:left="0" w:leftChars="0" w:firstLine="0" w:firstLineChars="0"/>
        <w:rPr>
          <w:rFonts w:hint="eastAsia" w:ascii="仿宋" w:hAnsi="仿宋" w:eastAsia="仿宋" w:cs="仿宋"/>
          <w:b/>
          <w:color w:val="auto"/>
          <w:sz w:val="21"/>
          <w:szCs w:val="21"/>
          <w:highlight w:val="none"/>
        </w:rPr>
      </w:pPr>
    </w:p>
    <w:p w14:paraId="136096D5">
      <w:pPr>
        <w:pStyle w:val="57"/>
        <w:shd w:val="clear"/>
        <w:rPr>
          <w:rFonts w:hint="eastAsia" w:ascii="仿宋" w:hAnsi="仿宋" w:eastAsia="仿宋" w:cs="仿宋"/>
          <w:b/>
          <w:color w:val="auto"/>
          <w:sz w:val="21"/>
          <w:szCs w:val="21"/>
          <w:highlight w:val="none"/>
        </w:rPr>
      </w:pPr>
    </w:p>
    <w:p w14:paraId="4AE85675">
      <w:pPr>
        <w:pStyle w:val="30"/>
        <w:shd w:val="clear"/>
        <w:rPr>
          <w:rFonts w:hint="eastAsia" w:ascii="仿宋" w:hAnsi="仿宋" w:eastAsia="仿宋" w:cs="仿宋"/>
          <w:b/>
          <w:color w:val="auto"/>
          <w:sz w:val="21"/>
          <w:szCs w:val="21"/>
          <w:highlight w:val="none"/>
        </w:rPr>
      </w:pPr>
    </w:p>
    <w:p w14:paraId="2B5E2E08">
      <w:pPr>
        <w:pStyle w:val="30"/>
        <w:shd w:val="clear"/>
        <w:rPr>
          <w:rFonts w:hint="eastAsia" w:ascii="仿宋" w:hAnsi="仿宋" w:eastAsia="仿宋" w:cs="仿宋"/>
          <w:b/>
          <w:color w:val="auto"/>
          <w:sz w:val="21"/>
          <w:szCs w:val="21"/>
          <w:highlight w:val="none"/>
        </w:rPr>
      </w:pPr>
    </w:p>
    <w:p w14:paraId="22BE532C">
      <w:pPr>
        <w:pStyle w:val="30"/>
        <w:shd w:val="clear"/>
        <w:rPr>
          <w:rFonts w:hint="eastAsia" w:ascii="仿宋" w:hAnsi="仿宋" w:eastAsia="仿宋" w:cs="仿宋"/>
          <w:b/>
          <w:color w:val="auto"/>
          <w:sz w:val="21"/>
          <w:szCs w:val="21"/>
          <w:highlight w:val="none"/>
        </w:rPr>
      </w:pPr>
    </w:p>
    <w:p w14:paraId="3BDAD358">
      <w:pPr>
        <w:shd w:val="clear"/>
        <w:adjustRightInd w:val="0"/>
        <w:snapToGrid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不属于残疾人福利单位的，无须提供；</w:t>
      </w:r>
    </w:p>
    <w:p w14:paraId="2CF22FDC">
      <w:pPr>
        <w:shd w:val="clear"/>
        <w:adjustRightInd w:val="0"/>
        <w:snapToGrid w:val="0"/>
        <w:spacing w:before="50" w:line="360" w:lineRule="auto"/>
        <w:jc w:val="center"/>
        <w:outlineLvl w:val="9"/>
        <w:rPr>
          <w:rFonts w:hint="eastAsia" w:ascii="仿宋" w:hAnsi="仿宋" w:eastAsia="仿宋" w:cs="仿宋"/>
          <w:b/>
          <w:bCs/>
          <w:color w:val="auto"/>
          <w:sz w:val="24"/>
          <w:szCs w:val="24"/>
          <w:highlight w:val="none"/>
        </w:rPr>
      </w:pPr>
      <w:bookmarkStart w:id="561" w:name="_Toc28179"/>
    </w:p>
    <w:p w14:paraId="5FB9AAC4">
      <w:pPr>
        <w:shd w:val="clear"/>
        <w:adjustRightInd w:val="0"/>
        <w:snapToGrid w:val="0"/>
        <w:spacing w:before="50" w:line="360" w:lineRule="auto"/>
        <w:jc w:val="both"/>
        <w:outlineLvl w:val="9"/>
        <w:rPr>
          <w:rFonts w:hint="eastAsia" w:ascii="仿宋" w:hAnsi="仿宋" w:eastAsia="仿宋" w:cs="仿宋"/>
          <w:b/>
          <w:bCs/>
          <w:color w:val="auto"/>
          <w:sz w:val="28"/>
          <w:szCs w:val="28"/>
          <w:highlight w:val="none"/>
          <w:lang w:val="en-US" w:eastAsia="zh-CN"/>
        </w:rPr>
      </w:pPr>
    </w:p>
    <w:p w14:paraId="1280B5AD">
      <w:pPr>
        <w:shd w:val="clear"/>
        <w:adjustRightInd w:val="0"/>
        <w:snapToGrid w:val="0"/>
        <w:spacing w:before="50" w:line="360" w:lineRule="auto"/>
        <w:jc w:val="center"/>
        <w:outlineLvl w:val="1"/>
        <w:rPr>
          <w:rFonts w:hint="eastAsia" w:ascii="仿宋" w:hAnsi="仿宋" w:eastAsia="仿宋" w:cs="仿宋"/>
          <w:b/>
          <w:bCs/>
          <w:color w:val="auto"/>
          <w:sz w:val="24"/>
          <w:szCs w:val="24"/>
          <w:highlight w:val="none"/>
        </w:rPr>
      </w:pPr>
      <w:bookmarkStart w:id="562" w:name="_Toc22303"/>
      <w:r>
        <w:rPr>
          <w:rFonts w:hint="eastAsia" w:ascii="仿宋" w:hAnsi="仿宋" w:eastAsia="仿宋" w:cs="仿宋"/>
          <w:b/>
          <w:bCs/>
          <w:color w:val="auto"/>
          <w:sz w:val="28"/>
          <w:szCs w:val="28"/>
          <w:highlight w:val="none"/>
          <w:lang w:val="en-US" w:eastAsia="zh-CN"/>
        </w:rPr>
        <w:t>格式三：监狱企业证明</w:t>
      </w:r>
      <w:bookmarkEnd w:id="561"/>
      <w:bookmarkEnd w:id="562"/>
    </w:p>
    <w:p w14:paraId="645617FC">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7B90933">
      <w:pPr>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监狱企业参加政府采购活动时，应当提供由省级以上监狱管理局、戒毒管理局（含新疆生产建设兵团）出具的属于监狱企业的证明文件，非监狱企业无需提供。</w:t>
      </w:r>
    </w:p>
    <w:p w14:paraId="6B3114A8">
      <w:pPr>
        <w:shd w:val="clear"/>
        <w:spacing w:line="360" w:lineRule="auto"/>
        <w:ind w:firstLine="2108" w:firstLineChars="1000"/>
        <w:rPr>
          <w:rFonts w:hint="eastAsia" w:ascii="仿宋" w:hAnsi="仿宋" w:eastAsia="仿宋" w:cs="仿宋"/>
          <w:b/>
          <w:color w:val="auto"/>
          <w:sz w:val="21"/>
          <w:szCs w:val="21"/>
          <w:highlight w:val="none"/>
        </w:rPr>
      </w:pPr>
    </w:p>
    <w:p w14:paraId="7E626E57">
      <w:pPr>
        <w:shd w:val="clear"/>
        <w:spacing w:line="360" w:lineRule="auto"/>
        <w:ind w:firstLine="2108" w:firstLineChars="1000"/>
        <w:rPr>
          <w:rFonts w:hint="eastAsia" w:ascii="仿宋" w:hAnsi="仿宋" w:eastAsia="仿宋" w:cs="仿宋"/>
          <w:b/>
          <w:color w:val="auto"/>
          <w:sz w:val="21"/>
          <w:szCs w:val="21"/>
          <w:highlight w:val="none"/>
        </w:rPr>
      </w:pPr>
    </w:p>
    <w:p w14:paraId="35DF1194">
      <w:pPr>
        <w:shd w:val="clear"/>
        <w:spacing w:afterLines="150" w:line="400" w:lineRule="exact"/>
        <w:ind w:firstLine="2891" w:firstLineChars="1200"/>
        <w:rPr>
          <w:rFonts w:hint="eastAsia" w:ascii="仿宋" w:hAnsi="仿宋" w:eastAsia="仿宋" w:cs="仿宋"/>
          <w:b/>
          <w:bCs/>
          <w:color w:val="auto"/>
          <w:sz w:val="24"/>
          <w:szCs w:val="24"/>
          <w:highlight w:val="none"/>
        </w:rPr>
      </w:pPr>
    </w:p>
    <w:p w14:paraId="7BBC4069">
      <w:pPr>
        <w:shd w:val="clear"/>
        <w:spacing w:afterLines="150" w:line="400" w:lineRule="exact"/>
        <w:ind w:firstLine="2891" w:firstLineChars="1200"/>
        <w:rPr>
          <w:rFonts w:hint="eastAsia" w:ascii="仿宋" w:hAnsi="仿宋" w:eastAsia="仿宋" w:cs="仿宋"/>
          <w:b/>
          <w:bCs/>
          <w:color w:val="auto"/>
          <w:sz w:val="24"/>
          <w:szCs w:val="24"/>
          <w:highlight w:val="none"/>
        </w:rPr>
      </w:pPr>
    </w:p>
    <w:p w14:paraId="7FAF6ABA">
      <w:pPr>
        <w:shd w:val="clear"/>
        <w:spacing w:afterLines="150" w:line="400" w:lineRule="exact"/>
        <w:ind w:firstLine="2891" w:firstLineChars="1200"/>
        <w:rPr>
          <w:rFonts w:hint="eastAsia" w:ascii="仿宋" w:hAnsi="仿宋" w:eastAsia="仿宋" w:cs="仿宋"/>
          <w:b/>
          <w:bCs/>
          <w:color w:val="auto"/>
          <w:sz w:val="24"/>
          <w:szCs w:val="24"/>
          <w:highlight w:val="none"/>
        </w:rPr>
      </w:pPr>
    </w:p>
    <w:p w14:paraId="2D8578B2">
      <w:pPr>
        <w:shd w:val="clear"/>
        <w:spacing w:afterLines="150" w:line="400" w:lineRule="exact"/>
        <w:ind w:firstLine="2891" w:firstLineChars="1200"/>
        <w:rPr>
          <w:rFonts w:hint="eastAsia" w:ascii="仿宋" w:hAnsi="仿宋" w:eastAsia="仿宋" w:cs="仿宋"/>
          <w:b/>
          <w:bCs/>
          <w:color w:val="auto"/>
          <w:sz w:val="24"/>
          <w:szCs w:val="24"/>
          <w:highlight w:val="none"/>
        </w:rPr>
      </w:pPr>
    </w:p>
    <w:p w14:paraId="7B270B8F">
      <w:pPr>
        <w:shd w:val="clear"/>
        <w:spacing w:afterLines="150" w:line="400" w:lineRule="exact"/>
        <w:rPr>
          <w:rFonts w:hint="eastAsia" w:ascii="仿宋" w:hAnsi="仿宋" w:eastAsia="仿宋" w:cs="仿宋"/>
          <w:b/>
          <w:bCs/>
          <w:color w:val="auto"/>
          <w:sz w:val="24"/>
          <w:szCs w:val="24"/>
          <w:highlight w:val="none"/>
        </w:rPr>
      </w:pPr>
    </w:p>
    <w:p w14:paraId="5AFB95A1">
      <w:pPr>
        <w:shd w:val="clear"/>
        <w:spacing w:afterLines="150" w:line="400" w:lineRule="exact"/>
        <w:ind w:firstLine="2891" w:firstLineChars="1200"/>
        <w:rPr>
          <w:rFonts w:hint="eastAsia" w:ascii="仿宋" w:hAnsi="仿宋" w:eastAsia="仿宋" w:cs="仿宋"/>
          <w:b/>
          <w:bCs/>
          <w:color w:val="auto"/>
          <w:sz w:val="24"/>
          <w:szCs w:val="24"/>
          <w:highlight w:val="none"/>
        </w:rPr>
      </w:pPr>
    </w:p>
    <w:p w14:paraId="170C3BC6">
      <w:pPr>
        <w:shd w:val="clear"/>
        <w:spacing w:afterLines="150" w:line="400" w:lineRule="exact"/>
        <w:ind w:firstLine="2891" w:firstLineChars="1200"/>
        <w:rPr>
          <w:rFonts w:hint="eastAsia" w:ascii="仿宋" w:hAnsi="仿宋" w:eastAsia="仿宋" w:cs="仿宋"/>
          <w:b/>
          <w:bCs/>
          <w:color w:val="auto"/>
          <w:sz w:val="24"/>
          <w:szCs w:val="24"/>
          <w:highlight w:val="none"/>
        </w:rPr>
      </w:pPr>
    </w:p>
    <w:p w14:paraId="23273FEB">
      <w:pPr>
        <w:shd w:val="clear"/>
        <w:spacing w:afterLines="150" w:line="400" w:lineRule="exact"/>
        <w:ind w:firstLine="2891" w:firstLineChars="1200"/>
        <w:rPr>
          <w:rFonts w:hint="eastAsia" w:ascii="仿宋" w:hAnsi="仿宋" w:eastAsia="仿宋" w:cs="仿宋"/>
          <w:b/>
          <w:bCs/>
          <w:color w:val="auto"/>
          <w:sz w:val="24"/>
          <w:szCs w:val="24"/>
          <w:highlight w:val="none"/>
        </w:rPr>
      </w:pPr>
    </w:p>
    <w:p w14:paraId="0BFD0B5C">
      <w:pPr>
        <w:shd w:val="clear"/>
        <w:spacing w:afterLines="150" w:line="400" w:lineRule="exact"/>
        <w:rPr>
          <w:rFonts w:hint="eastAsia" w:ascii="仿宋" w:hAnsi="仿宋" w:eastAsia="仿宋" w:cs="仿宋"/>
          <w:b/>
          <w:bCs/>
          <w:color w:val="auto"/>
          <w:sz w:val="24"/>
          <w:szCs w:val="24"/>
          <w:highlight w:val="none"/>
        </w:rPr>
      </w:pPr>
    </w:p>
    <w:p w14:paraId="5EADED43">
      <w:pPr>
        <w:shd w:val="clear"/>
        <w:adjustRightInd w:val="0"/>
        <w:snapToGrid w:val="0"/>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说明：</w:t>
      </w:r>
      <w:r>
        <w:rPr>
          <w:rFonts w:hint="eastAsia" w:ascii="仿宋" w:hAnsi="仿宋" w:eastAsia="仿宋" w:cs="仿宋"/>
          <w:color w:val="auto"/>
          <w:sz w:val="21"/>
          <w:szCs w:val="21"/>
          <w:highlight w:val="none"/>
          <w:lang w:eastAsia="zh-CN"/>
        </w:rPr>
        <w:t>投标人</w:t>
      </w:r>
      <w:r>
        <w:rPr>
          <w:rFonts w:hint="eastAsia" w:ascii="仿宋" w:hAnsi="仿宋" w:eastAsia="仿宋" w:cs="仿宋"/>
          <w:color w:val="auto"/>
          <w:sz w:val="21"/>
          <w:szCs w:val="21"/>
          <w:highlight w:val="none"/>
        </w:rPr>
        <w:t>不属于</w:t>
      </w:r>
      <w:r>
        <w:rPr>
          <w:rFonts w:hint="eastAsia" w:ascii="仿宋" w:hAnsi="仿宋" w:eastAsia="仿宋" w:cs="仿宋"/>
          <w:color w:val="auto"/>
          <w:sz w:val="21"/>
          <w:szCs w:val="21"/>
          <w:highlight w:val="none"/>
          <w:lang w:val="en-US" w:eastAsia="zh-CN"/>
        </w:rPr>
        <w:t>监狱企业</w:t>
      </w:r>
      <w:r>
        <w:rPr>
          <w:rFonts w:hint="eastAsia" w:ascii="仿宋" w:hAnsi="仿宋" w:eastAsia="仿宋" w:cs="仿宋"/>
          <w:color w:val="auto"/>
          <w:sz w:val="21"/>
          <w:szCs w:val="21"/>
          <w:highlight w:val="none"/>
        </w:rPr>
        <w:t>的，无须提供；</w:t>
      </w:r>
    </w:p>
    <w:p w14:paraId="37E28AB4">
      <w:pPr>
        <w:shd w:val="clear"/>
        <w:adjustRightInd w:val="0"/>
        <w:snapToGrid w:val="0"/>
        <w:spacing w:line="360" w:lineRule="exact"/>
        <w:rPr>
          <w:rFonts w:hint="eastAsia" w:ascii="仿宋" w:hAnsi="仿宋" w:eastAsia="仿宋" w:cs="仿宋"/>
          <w:color w:val="auto"/>
          <w:sz w:val="21"/>
          <w:szCs w:val="21"/>
          <w:highlight w:val="none"/>
        </w:rPr>
      </w:pPr>
    </w:p>
    <w:p w14:paraId="6785721F">
      <w:pPr>
        <w:shd w:val="clear"/>
        <w:adjustRightInd w:val="0"/>
        <w:snapToGrid w:val="0"/>
        <w:spacing w:line="360" w:lineRule="exact"/>
        <w:rPr>
          <w:rFonts w:hint="eastAsia" w:ascii="仿宋" w:hAnsi="仿宋" w:eastAsia="仿宋" w:cs="仿宋"/>
          <w:color w:val="auto"/>
          <w:sz w:val="21"/>
          <w:szCs w:val="21"/>
          <w:highlight w:val="none"/>
        </w:rPr>
      </w:pPr>
    </w:p>
    <w:p w14:paraId="5954EB2B">
      <w:pPr>
        <w:pStyle w:val="3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val="0"/>
        <w:snapToGrid w:val="0"/>
        <w:spacing w:before="0" w:beforeAutospacing="0" w:after="0" w:afterAutospacing="0" w:line="336" w:lineRule="auto"/>
        <w:ind w:right="0"/>
        <w:jc w:val="center"/>
        <w:textAlignment w:val="auto"/>
        <w:rPr>
          <w:rFonts w:hint="default" w:ascii="仿宋" w:hAnsi="仿宋" w:eastAsia="仿宋" w:cs="仿宋"/>
          <w:b/>
          <w:bCs w:val="0"/>
          <w:color w:val="auto"/>
          <w:kern w:val="2"/>
          <w:sz w:val="32"/>
          <w:szCs w:val="20"/>
          <w:highlight w:val="none"/>
          <w:lang w:val="en-US" w:eastAsia="zh-CN" w:bidi="ar-SA"/>
        </w:rPr>
      </w:pPr>
      <w:r>
        <w:rPr>
          <w:rFonts w:hint="eastAsia" w:ascii="仿宋" w:hAnsi="仿宋" w:eastAsia="仿宋" w:cs="仿宋"/>
          <w:b/>
          <w:bCs w:val="0"/>
          <w:color w:val="auto"/>
          <w:kern w:val="2"/>
          <w:sz w:val="32"/>
          <w:szCs w:val="20"/>
          <w:highlight w:val="none"/>
          <w:lang w:val="en-US" w:eastAsia="zh-CN" w:bidi="ar-SA"/>
        </w:rPr>
        <w:t>第8部分 投标保证金退还声明</w:t>
      </w:r>
    </w:p>
    <w:p w14:paraId="24153A25">
      <w:pPr>
        <w:pStyle w:val="57"/>
        <w:numPr>
          <w:ilvl w:val="0"/>
          <w:numId w:val="0"/>
        </w:numPr>
        <w:ind w:leftChars="0"/>
        <w:rPr>
          <w:rFonts w:hint="eastAsia" w:ascii="仿宋" w:hAnsi="仿宋" w:eastAsia="仿宋" w:cs="仿宋"/>
          <w:color w:val="000000" w:themeColor="text1"/>
          <w:sz w:val="21"/>
          <w:szCs w:val="21"/>
          <w:highlight w:val="none"/>
          <w14:textFill>
            <w14:solidFill>
              <w14:schemeClr w14:val="tx1"/>
            </w14:solidFill>
          </w14:textFill>
        </w:rPr>
      </w:pPr>
    </w:p>
    <w:p w14:paraId="6D36F33B">
      <w:pPr>
        <w:spacing w:line="480" w:lineRule="auto"/>
        <w:ind w:left="0" w:lef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我单位关于</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项目（项目编号：        </w:t>
      </w:r>
      <w:r>
        <w:rPr>
          <w:rFonts w:hint="eastAsia" w:ascii="仿宋" w:hAnsi="仿宋" w:eastAsia="仿宋" w:cs="仿宋"/>
          <w:color w:val="000000" w:themeColor="text1"/>
          <w:sz w:val="21"/>
          <w:szCs w:val="21"/>
          <w:highlight w:val="none"/>
          <w14:textFill>
            <w14:solidFill>
              <w14:schemeClr w14:val="tx1"/>
            </w14:solidFill>
          </w14:textFill>
        </w:rPr>
        <w:t>）的</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保证金到期后请汇至如下帐号：</w:t>
      </w:r>
    </w:p>
    <w:p w14:paraId="61D36260">
      <w:pPr>
        <w:spacing w:line="480" w:lineRule="auto"/>
        <w:ind w:left="0" w:leftChars="0"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收款单位：</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bCs/>
          <w:color w:val="000000" w:themeColor="text1"/>
          <w:sz w:val="21"/>
          <w:szCs w:val="21"/>
          <w:highlight w:val="none"/>
          <w14:textFill>
            <w14:solidFill>
              <w14:schemeClr w14:val="tx1"/>
            </w14:solidFill>
          </w14:textFill>
        </w:rPr>
        <w:t>（与磋商供应商名称一致）</w:t>
      </w:r>
    </w:p>
    <w:p w14:paraId="26874002">
      <w:pPr>
        <w:spacing w:line="480" w:lineRule="auto"/>
        <w:ind w:left="0" w:leftChars="0" w:firstLine="420" w:firstLineChars="200"/>
        <w:rPr>
          <w:rFonts w:hint="eastAsia" w:ascii="仿宋" w:hAnsi="仿宋" w:eastAsia="仿宋" w:cs="仿宋"/>
          <w:color w:val="000000" w:themeColor="text1"/>
          <w:sz w:val="21"/>
          <w:szCs w:val="21"/>
          <w:highlight w:val="none"/>
          <w:u w:val="singl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开 户</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行：</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color w:val="000000" w:themeColor="text1"/>
          <w:sz w:val="21"/>
          <w:szCs w:val="21"/>
          <w:highlight w:val="none"/>
          <w14:textFill>
            <w14:solidFill>
              <w14:schemeClr w14:val="tx1"/>
            </w14:solidFill>
          </w14:textFill>
        </w:rPr>
        <w:t>（详细准确无误全称）</w:t>
      </w:r>
    </w:p>
    <w:p w14:paraId="2C846959">
      <w:pPr>
        <w:spacing w:line="480" w:lineRule="auto"/>
        <w:ind w:left="0" w:leftChars="0" w:firstLine="420" w:firstLineChars="2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银行帐号：</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r>
        <w:rPr>
          <w:rFonts w:hint="eastAsia" w:ascii="仿宋" w:hAnsi="仿宋" w:eastAsia="仿宋" w:cs="仿宋"/>
          <w:b/>
          <w:color w:val="000000" w:themeColor="text1"/>
          <w:sz w:val="21"/>
          <w:szCs w:val="21"/>
          <w:highlight w:val="none"/>
          <w14:textFill>
            <w14:solidFill>
              <w14:schemeClr w14:val="tx1"/>
            </w14:solidFill>
          </w14:textFill>
        </w:rPr>
        <w:t>（详细准确无误）</w:t>
      </w:r>
    </w:p>
    <w:p w14:paraId="41A7488A">
      <w:pPr>
        <w:spacing w:line="360" w:lineRule="auto"/>
        <w:ind w:firstLine="630"/>
        <w:rPr>
          <w:rFonts w:hint="eastAsia" w:ascii="仿宋" w:hAnsi="仿宋" w:eastAsia="仿宋" w:cs="仿宋"/>
          <w:color w:val="000000" w:themeColor="text1"/>
          <w:sz w:val="21"/>
          <w:szCs w:val="21"/>
          <w:highlight w:val="none"/>
          <w14:textFill>
            <w14:solidFill>
              <w14:schemeClr w14:val="tx1"/>
            </w14:solidFill>
          </w14:textFill>
        </w:rPr>
      </w:pPr>
    </w:p>
    <w:p w14:paraId="301499C5">
      <w:pPr>
        <w:spacing w:line="360" w:lineRule="auto"/>
        <w:ind w:firstLine="630"/>
        <w:rPr>
          <w:rFonts w:hint="eastAsia" w:ascii="仿宋" w:hAnsi="仿宋" w:eastAsia="仿宋" w:cs="仿宋"/>
          <w:color w:val="000000" w:themeColor="text1"/>
          <w:sz w:val="21"/>
          <w:szCs w:val="21"/>
          <w:highlight w:val="none"/>
          <w14:textFill>
            <w14:solidFill>
              <w14:schemeClr w14:val="tx1"/>
            </w14:solidFill>
          </w14:textFill>
        </w:rPr>
      </w:pPr>
    </w:p>
    <w:p w14:paraId="22AFAA31">
      <w:pPr>
        <w:spacing w:line="360" w:lineRule="auto"/>
        <w:ind w:firstLine="630"/>
        <w:rPr>
          <w:rFonts w:hint="eastAsia" w:ascii="仿宋" w:hAnsi="仿宋" w:eastAsia="仿宋" w:cs="仿宋"/>
          <w:color w:val="000000" w:themeColor="text1"/>
          <w:sz w:val="21"/>
          <w:szCs w:val="21"/>
          <w:highlight w:val="none"/>
          <w14:textFill>
            <w14:solidFill>
              <w14:schemeClr w14:val="tx1"/>
            </w14:solidFill>
          </w14:textFill>
        </w:rPr>
      </w:pPr>
    </w:p>
    <w:p w14:paraId="568F4964">
      <w:pPr>
        <w:pStyle w:val="41"/>
        <w:spacing w:line="360" w:lineRule="auto"/>
        <w:ind w:firstLine="240"/>
        <w:rPr>
          <w:rFonts w:hint="eastAsia" w:ascii="仿宋" w:hAnsi="仿宋" w:eastAsia="仿宋" w:cs="仿宋"/>
          <w:color w:val="000000" w:themeColor="text1"/>
          <w:sz w:val="21"/>
          <w:szCs w:val="21"/>
          <w:highlight w:val="none"/>
          <w14:textFill>
            <w14:solidFill>
              <w14:schemeClr w14:val="tx1"/>
            </w14:solidFill>
          </w14:textFill>
        </w:rPr>
      </w:pPr>
    </w:p>
    <w:p w14:paraId="060ACFFC">
      <w:pPr>
        <w:pStyle w:val="41"/>
        <w:spacing w:line="360" w:lineRule="auto"/>
        <w:ind w:firstLine="240"/>
        <w:rPr>
          <w:rFonts w:hint="eastAsia" w:ascii="仿宋" w:hAnsi="仿宋" w:eastAsia="仿宋" w:cs="仿宋"/>
          <w:color w:val="000000" w:themeColor="text1"/>
          <w:sz w:val="21"/>
          <w:szCs w:val="21"/>
          <w:highlight w:val="none"/>
          <w14:textFill>
            <w14:solidFill>
              <w14:schemeClr w14:val="tx1"/>
            </w14:solidFill>
          </w14:textFill>
        </w:rPr>
      </w:pPr>
    </w:p>
    <w:p w14:paraId="60512458">
      <w:pPr>
        <w:pStyle w:val="41"/>
        <w:spacing w:line="360" w:lineRule="auto"/>
        <w:ind w:firstLine="240"/>
        <w:rPr>
          <w:rFonts w:hint="eastAsia" w:ascii="仿宋" w:hAnsi="仿宋" w:eastAsia="仿宋" w:cs="仿宋"/>
          <w:color w:val="000000" w:themeColor="text1"/>
          <w:sz w:val="21"/>
          <w:szCs w:val="21"/>
          <w:highlight w:val="none"/>
          <w14:textFill>
            <w14:solidFill>
              <w14:schemeClr w14:val="tx1"/>
            </w14:solidFill>
          </w14:textFill>
        </w:rPr>
      </w:pPr>
    </w:p>
    <w:p w14:paraId="584D7E66">
      <w:pPr>
        <w:pStyle w:val="41"/>
        <w:spacing w:line="360" w:lineRule="auto"/>
        <w:ind w:firstLine="240"/>
        <w:rPr>
          <w:rFonts w:hint="eastAsia" w:ascii="仿宋" w:hAnsi="仿宋" w:eastAsia="仿宋" w:cs="仿宋"/>
          <w:color w:val="000000" w:themeColor="text1"/>
          <w:sz w:val="21"/>
          <w:szCs w:val="21"/>
          <w:highlight w:val="none"/>
          <w14:textFill>
            <w14:solidFill>
              <w14:schemeClr w14:val="tx1"/>
            </w14:solidFill>
          </w14:textFill>
        </w:rPr>
      </w:pPr>
    </w:p>
    <w:p w14:paraId="4275869D">
      <w:pPr>
        <w:pStyle w:val="41"/>
        <w:spacing w:line="360" w:lineRule="auto"/>
        <w:ind w:left="0" w:leftChars="0" w:firstLine="0" w:firstLineChars="0"/>
        <w:rPr>
          <w:rFonts w:hint="eastAsia" w:ascii="仿宋" w:hAnsi="仿宋" w:eastAsia="仿宋" w:cs="仿宋"/>
          <w:color w:val="000000" w:themeColor="text1"/>
          <w:sz w:val="21"/>
          <w:szCs w:val="21"/>
          <w:highlight w:val="none"/>
          <w14:textFill>
            <w14:solidFill>
              <w14:schemeClr w14:val="tx1"/>
            </w14:solidFill>
          </w14:textFill>
        </w:rPr>
      </w:pPr>
    </w:p>
    <w:p w14:paraId="70AB6101">
      <w:pPr>
        <w:pStyle w:val="41"/>
        <w:spacing w:line="360" w:lineRule="auto"/>
        <w:ind w:firstLine="240"/>
        <w:rPr>
          <w:rFonts w:hint="eastAsia" w:ascii="仿宋" w:hAnsi="仿宋" w:eastAsia="仿宋" w:cs="仿宋"/>
          <w:color w:val="000000" w:themeColor="text1"/>
          <w:sz w:val="21"/>
          <w:szCs w:val="21"/>
          <w:highlight w:val="none"/>
          <w14:textFill>
            <w14:solidFill>
              <w14:schemeClr w14:val="tx1"/>
            </w14:solidFill>
          </w14:textFill>
        </w:rPr>
      </w:pPr>
    </w:p>
    <w:p w14:paraId="134B06B6">
      <w:pPr>
        <w:spacing w:line="360" w:lineRule="auto"/>
        <w:ind w:firstLine="3990" w:firstLineChars="190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声</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明</w:t>
      </w:r>
      <w:r>
        <w:rPr>
          <w:rFonts w:hint="eastAsia" w:ascii="仿宋" w:hAnsi="仿宋" w:eastAsia="仿宋" w:cs="仿宋"/>
          <w:color w:val="000000" w:themeColor="text1"/>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14:textFill>
            <w14:solidFill>
              <w14:schemeClr w14:val="tx1"/>
            </w14:solidFill>
          </w14:textFill>
        </w:rPr>
        <w:t>人：</w:t>
      </w:r>
      <w:r>
        <w:rPr>
          <w:rFonts w:hint="eastAsia" w:ascii="仿宋" w:hAnsi="仿宋" w:eastAsia="仿宋" w:cs="仿宋"/>
          <w:color w:val="000000" w:themeColor="text1"/>
          <w:sz w:val="21"/>
          <w:szCs w:val="21"/>
          <w:highlight w:val="none"/>
          <w:u w:val="single"/>
          <w14:textFill>
            <w14:solidFill>
              <w14:schemeClr w14:val="tx1"/>
            </w14:solidFill>
          </w14:textFill>
        </w:rPr>
        <w:t xml:space="preserve">（全称及公章）  </w:t>
      </w:r>
    </w:p>
    <w:p w14:paraId="45518CBF">
      <w:pPr>
        <w:spacing w:line="360" w:lineRule="auto"/>
        <w:ind w:firstLine="630"/>
        <w:jc w:val="center"/>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法定代表人或其被授权委托代理人（签字）：</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1"/>
          <w:szCs w:val="21"/>
          <w:highlight w:val="none"/>
          <w:u w:val="single"/>
          <w14:textFill>
            <w14:solidFill>
              <w14:schemeClr w14:val="tx1"/>
            </w14:solidFill>
          </w14:textFill>
        </w:rPr>
        <w:t xml:space="preserve">  </w:t>
      </w:r>
    </w:p>
    <w:p w14:paraId="673D82C4">
      <w:pPr>
        <w:spacing w:line="360" w:lineRule="auto"/>
        <w:ind w:firstLine="630"/>
        <w:rPr>
          <w:rFonts w:hint="eastAsia" w:ascii="仿宋" w:hAnsi="仿宋" w:eastAsia="仿宋" w:cs="仿宋"/>
          <w:b/>
          <w:color w:val="000000" w:themeColor="text1"/>
          <w:sz w:val="21"/>
          <w:szCs w:val="21"/>
          <w:highlight w:val="none"/>
          <w14:textFill>
            <w14:solidFill>
              <w14:schemeClr w14:val="tx1"/>
            </w14:solidFill>
          </w14:textFill>
        </w:rPr>
      </w:pPr>
    </w:p>
    <w:p w14:paraId="0E2A785F">
      <w:pPr>
        <w:pStyle w:val="13"/>
        <w:rPr>
          <w:rFonts w:hint="eastAsia"/>
        </w:rPr>
      </w:pPr>
    </w:p>
    <w:p w14:paraId="7C9B78E2">
      <w:pPr>
        <w:spacing w:line="360" w:lineRule="auto"/>
        <w:ind w:firstLine="630"/>
        <w:rPr>
          <w:rFonts w:hint="eastAsia" w:ascii="仿宋" w:hAnsi="仿宋" w:eastAsia="仿宋" w:cs="仿宋"/>
          <w:b/>
          <w:color w:val="000000" w:themeColor="text1"/>
          <w:sz w:val="21"/>
          <w:szCs w:val="21"/>
          <w:highlight w:val="none"/>
          <w14:textFill>
            <w14:solidFill>
              <w14:schemeClr w14:val="tx1"/>
            </w14:solidFill>
          </w14:textFill>
        </w:rPr>
      </w:pPr>
      <w:r>
        <w:rPr>
          <w:rFonts w:hint="eastAsia" w:ascii="仿宋" w:hAnsi="仿宋" w:eastAsia="仿宋" w:cs="仿宋"/>
          <w:b/>
          <w:color w:val="000000" w:themeColor="text1"/>
          <w:sz w:val="21"/>
          <w:szCs w:val="21"/>
          <w:highlight w:val="none"/>
          <w14:textFill>
            <w14:solidFill>
              <w14:schemeClr w14:val="tx1"/>
            </w14:solidFill>
          </w14:textFill>
        </w:rPr>
        <w:t>声明</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b/>
          <w:color w:val="000000" w:themeColor="text1"/>
          <w:sz w:val="21"/>
          <w:szCs w:val="21"/>
          <w:highlight w:val="none"/>
          <w14:textFill>
            <w14:solidFill>
              <w14:schemeClr w14:val="tx1"/>
            </w14:solidFill>
          </w14:textFill>
        </w:rPr>
        <w:t>我单位保证以上收款单位名称、开户行和银行账号与缴纳</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b/>
          <w:color w:val="000000" w:themeColor="text1"/>
          <w:sz w:val="21"/>
          <w:szCs w:val="21"/>
          <w:highlight w:val="none"/>
          <w14:textFill>
            <w14:solidFill>
              <w14:schemeClr w14:val="tx1"/>
            </w14:solidFill>
          </w14:textFill>
        </w:rPr>
        <w:t>保证金的单位名称、开户行和银行账号一致，否则由此造成的</w:t>
      </w:r>
      <w:r>
        <w:rPr>
          <w:rFonts w:hint="eastAsia" w:ascii="仿宋" w:hAnsi="仿宋" w:eastAsia="仿宋" w:cs="仿宋"/>
          <w:b/>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b/>
          <w:color w:val="000000" w:themeColor="text1"/>
          <w:sz w:val="21"/>
          <w:szCs w:val="21"/>
          <w:highlight w:val="none"/>
          <w14:textFill>
            <w14:solidFill>
              <w14:schemeClr w14:val="tx1"/>
            </w14:solidFill>
          </w14:textFill>
        </w:rPr>
        <w:t>保证金无法退还或迟延退还，一切后果由我单位自行承担。</w:t>
      </w:r>
    </w:p>
    <w:p w14:paraId="1E4C06F2">
      <w:pPr>
        <w:pStyle w:val="57"/>
        <w:rPr>
          <w:rFonts w:hint="eastAsia" w:ascii="仿宋" w:hAnsi="仿宋" w:eastAsia="仿宋" w:cs="仿宋"/>
          <w:b/>
          <w:color w:val="000000" w:themeColor="text1"/>
          <w:sz w:val="21"/>
          <w:szCs w:val="21"/>
          <w:highlight w:val="none"/>
          <w14:textFill>
            <w14:solidFill>
              <w14:schemeClr w14:val="tx1"/>
            </w14:solidFill>
          </w14:textFill>
        </w:rPr>
      </w:pPr>
    </w:p>
    <w:p w14:paraId="1370CD0F">
      <w:pPr>
        <w:pStyle w:val="57"/>
        <w:rPr>
          <w:rFonts w:hint="eastAsia" w:ascii="仿宋" w:hAnsi="仿宋" w:eastAsia="仿宋" w:cs="仿宋"/>
          <w:b/>
          <w:color w:val="000000" w:themeColor="text1"/>
          <w:sz w:val="21"/>
          <w:szCs w:val="21"/>
          <w:highlight w:val="none"/>
          <w14:textFill>
            <w14:solidFill>
              <w14:schemeClr w14:val="tx1"/>
            </w14:solidFill>
          </w14:textFill>
        </w:rPr>
      </w:pPr>
    </w:p>
    <w:p w14:paraId="1E0AED0B">
      <w:pPr>
        <w:spacing w:line="360" w:lineRule="auto"/>
        <w:ind w:firstLine="315" w:firstLineChars="150"/>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color w:val="000000" w:themeColor="text1"/>
          <w:sz w:val="21"/>
          <w:szCs w:val="21"/>
          <w:highlight w:val="none"/>
          <w14:textFill>
            <w14:solidFill>
              <w14:schemeClr w14:val="tx1"/>
            </w14:solidFill>
          </w14:textFill>
        </w:rPr>
        <w:t>注：此页后附基本账户转出</w:t>
      </w:r>
      <w:r>
        <w:rPr>
          <w:rFonts w:hint="eastAsia" w:ascii="仿宋" w:hAnsi="仿宋" w:eastAsia="仿宋" w:cs="仿宋"/>
          <w:color w:val="000000" w:themeColor="text1"/>
          <w:sz w:val="21"/>
          <w:szCs w:val="21"/>
          <w:highlight w:val="none"/>
          <w:lang w:val="en-US" w:eastAsia="zh-CN"/>
          <w14:textFill>
            <w14:solidFill>
              <w14:schemeClr w14:val="tx1"/>
            </w14:solidFill>
          </w14:textFill>
        </w:rPr>
        <w:t>投标</w:t>
      </w:r>
      <w:r>
        <w:rPr>
          <w:rFonts w:hint="eastAsia" w:ascii="仿宋" w:hAnsi="仿宋" w:eastAsia="仿宋" w:cs="仿宋"/>
          <w:color w:val="000000" w:themeColor="text1"/>
          <w:sz w:val="21"/>
          <w:szCs w:val="21"/>
          <w:highlight w:val="none"/>
          <w14:textFill>
            <w14:solidFill>
              <w14:schemeClr w14:val="tx1"/>
            </w14:solidFill>
          </w14:textFill>
        </w:rPr>
        <w:t>保证金的转账凭证复印件、基本账户开户许可证复印件</w:t>
      </w:r>
    </w:p>
    <w:p w14:paraId="6CAB243C">
      <w:pPr>
        <w:shd w:val="clear"/>
        <w:adjustRightInd w:val="0"/>
        <w:snapToGrid w:val="0"/>
        <w:spacing w:line="360" w:lineRule="exact"/>
        <w:rPr>
          <w:rFonts w:hint="eastAsia" w:ascii="仿宋" w:hAnsi="仿宋" w:eastAsia="仿宋" w:cs="仿宋"/>
          <w:color w:val="auto"/>
          <w:sz w:val="21"/>
          <w:szCs w:val="21"/>
          <w:highlight w:val="none"/>
        </w:rPr>
      </w:pPr>
    </w:p>
    <w:p w14:paraId="316CFFED">
      <w:pPr>
        <w:shd w:val="clear"/>
        <w:adjustRightInd w:val="0"/>
        <w:snapToGrid w:val="0"/>
        <w:spacing w:line="360" w:lineRule="exact"/>
        <w:rPr>
          <w:rFonts w:hint="eastAsia" w:ascii="仿宋" w:hAnsi="仿宋" w:eastAsia="仿宋" w:cs="仿宋"/>
          <w:color w:val="auto"/>
          <w:sz w:val="21"/>
          <w:szCs w:val="21"/>
          <w:highlight w:val="none"/>
        </w:rPr>
      </w:pPr>
    </w:p>
    <w:p w14:paraId="7A4ED852">
      <w:pPr>
        <w:pStyle w:val="3"/>
        <w:shd w:val="clear"/>
        <w:ind w:left="0" w:leftChars="0" w:firstLine="0" w:firstLineChars="0"/>
        <w:jc w:val="center"/>
        <w:rPr>
          <w:rFonts w:hint="eastAsia" w:ascii="黑体" w:hAnsi="黑体" w:eastAsia="黑体" w:cs="黑体"/>
          <w:color w:val="auto"/>
          <w:szCs w:val="36"/>
          <w:highlight w:val="none"/>
        </w:rPr>
      </w:pPr>
      <w:r>
        <w:rPr>
          <w:rFonts w:hint="eastAsia" w:ascii="黑体" w:hAnsi="黑体" w:eastAsia="黑体" w:cs="黑体"/>
          <w:bCs/>
          <w:color w:val="auto"/>
          <w:szCs w:val="36"/>
          <w:highlight w:val="none"/>
        </w:rPr>
        <w:t>第</w:t>
      </w:r>
      <w:r>
        <w:rPr>
          <w:rFonts w:hint="eastAsia" w:ascii="黑体" w:hAnsi="黑体" w:eastAsia="黑体" w:cs="黑体"/>
          <w:bCs/>
          <w:color w:val="auto"/>
          <w:szCs w:val="36"/>
          <w:highlight w:val="none"/>
          <w:lang w:val="en-US" w:eastAsia="zh-CN"/>
        </w:rPr>
        <w:t>六</w:t>
      </w:r>
      <w:r>
        <w:rPr>
          <w:rFonts w:hint="eastAsia" w:ascii="黑体" w:hAnsi="黑体" w:eastAsia="黑体" w:cs="黑体"/>
          <w:bCs/>
          <w:color w:val="auto"/>
          <w:szCs w:val="36"/>
          <w:highlight w:val="none"/>
        </w:rPr>
        <w:t>章</w:t>
      </w:r>
      <w:r>
        <w:rPr>
          <w:rFonts w:hint="eastAsia" w:ascii="黑体" w:hAnsi="黑体" w:eastAsia="黑体" w:cs="黑体"/>
          <w:bCs/>
          <w:color w:val="auto"/>
          <w:szCs w:val="36"/>
          <w:highlight w:val="none"/>
          <w:lang w:val="en-US" w:eastAsia="zh-CN"/>
        </w:rPr>
        <w:t xml:space="preserve">  </w:t>
      </w:r>
      <w:r>
        <w:rPr>
          <w:rFonts w:hint="eastAsia" w:ascii="黑体" w:hAnsi="黑体" w:eastAsia="黑体" w:cs="黑体"/>
          <w:color w:val="auto"/>
          <w:szCs w:val="36"/>
          <w:highlight w:val="none"/>
        </w:rPr>
        <w:t>拟签订的合同文本</w:t>
      </w:r>
    </w:p>
    <w:p w14:paraId="252E427D">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jc w:val="left"/>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注：本合同作为合同的基本格式，甲方有权在签订合同时对合同的相关条款及内容作进一步细化和修改）</w:t>
      </w:r>
    </w:p>
    <w:p w14:paraId="252BD852">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合同编号： </w:t>
      </w:r>
    </w:p>
    <w:p w14:paraId="58900063">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签订地点： </w:t>
      </w:r>
    </w:p>
    <w:p w14:paraId="5CA2E81F">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签订时间:</w:t>
      </w:r>
    </w:p>
    <w:p w14:paraId="0647352E">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采购人（甲方）：</w:t>
      </w:r>
    </w:p>
    <w:p w14:paraId="1BC6D23C">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中标人（乙方）：</w:t>
      </w:r>
    </w:p>
    <w:p w14:paraId="0C4F12AF">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根据《中华人民共和国政府采购法》及实施条例、《中华人民共和国民法典》和</w:t>
      </w:r>
      <w:r>
        <w:rPr>
          <w:rFonts w:hint="eastAsia" w:ascii="仿宋" w:hAnsi="仿宋" w:eastAsia="仿宋" w:cs="仿宋"/>
          <w:color w:val="auto"/>
          <w:sz w:val="21"/>
          <w:szCs w:val="21"/>
          <w:highlight w:val="none"/>
          <w:lang w:val="en-US" w:eastAsia="zh-CN"/>
        </w:rPr>
        <w:t>招标文件</w:t>
      </w:r>
      <w:r>
        <w:rPr>
          <w:rFonts w:hint="eastAsia" w:ascii="仿宋" w:hAnsi="仿宋" w:eastAsia="仿宋" w:cs="仿宋"/>
          <w:color w:val="auto"/>
          <w:sz w:val="21"/>
          <w:szCs w:val="21"/>
          <w:highlight w:val="none"/>
        </w:rPr>
        <w:t>文件、投标文件等有关规定，为确保甲方采购项目的顺利实施，甲、乙双方在平等自愿原则下签订本合同，并共同遵守如下条款：</w:t>
      </w:r>
    </w:p>
    <w:p w14:paraId="17395A4A">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41" w:firstLineChars="100"/>
        <w:textAlignment w:val="auto"/>
        <w:outlineLvl w:val="1"/>
        <w:rPr>
          <w:rFonts w:hint="eastAsia" w:ascii="仿宋" w:hAnsi="仿宋" w:eastAsia="仿宋" w:cs="仿宋"/>
          <w:b/>
          <w:color w:val="auto"/>
          <w:sz w:val="24"/>
          <w:szCs w:val="24"/>
          <w:highlight w:val="none"/>
        </w:rPr>
      </w:pPr>
      <w:bookmarkStart w:id="563" w:name="_Toc16582"/>
      <w:r>
        <w:rPr>
          <w:rFonts w:hint="eastAsia" w:ascii="仿宋" w:hAnsi="仿宋" w:eastAsia="仿宋" w:cs="仿宋"/>
          <w:b/>
          <w:color w:val="auto"/>
          <w:sz w:val="24"/>
          <w:szCs w:val="24"/>
          <w:highlight w:val="none"/>
        </w:rPr>
        <w:t>第一条 合同标的及数量</w:t>
      </w:r>
      <w:bookmarkEnd w:id="563"/>
    </w:p>
    <w:p w14:paraId="218C203D">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乙方向甲方提供下列货物（产品）：</w:t>
      </w:r>
    </w:p>
    <w:p w14:paraId="07284FE4">
      <w:pPr>
        <w:pStyle w:val="13"/>
        <w:shd w:val="clear"/>
        <w:spacing w:line="360" w:lineRule="auto"/>
        <w:ind w:firstLine="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报价一览表</w:t>
      </w:r>
    </w:p>
    <w:tbl>
      <w:tblPr>
        <w:tblStyle w:val="42"/>
        <w:tblpPr w:leftFromText="180" w:rightFromText="180" w:vertAnchor="text" w:horzAnchor="margin" w:tblpX="-986" w:tblpY="309"/>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684"/>
        <w:gridCol w:w="693"/>
        <w:gridCol w:w="831"/>
        <w:gridCol w:w="970"/>
        <w:gridCol w:w="1212"/>
        <w:gridCol w:w="1212"/>
        <w:gridCol w:w="1344"/>
        <w:gridCol w:w="1416"/>
      </w:tblGrid>
      <w:tr w14:paraId="6414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829" w:type="dxa"/>
            <w:vAlign w:val="center"/>
          </w:tcPr>
          <w:p w14:paraId="2ED04760">
            <w:pPr>
              <w:pStyle w:val="4"/>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bookmarkStart w:id="564" w:name="_Toc26243"/>
            <w:r>
              <w:rPr>
                <w:rFonts w:hint="eastAsia" w:ascii="仿宋" w:hAnsi="仿宋" w:eastAsia="仿宋" w:cs="仿宋"/>
                <w:color w:val="auto"/>
                <w:sz w:val="21"/>
                <w:szCs w:val="21"/>
                <w:highlight w:val="none"/>
              </w:rPr>
              <w:t>序号</w:t>
            </w:r>
            <w:bookmarkEnd w:id="564"/>
          </w:p>
        </w:tc>
        <w:tc>
          <w:tcPr>
            <w:tcW w:w="684" w:type="dxa"/>
            <w:vAlign w:val="center"/>
          </w:tcPr>
          <w:p w14:paraId="0D54A84F">
            <w:pPr>
              <w:pStyle w:val="4"/>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bookmarkStart w:id="565" w:name="_Toc6556"/>
            <w:r>
              <w:rPr>
                <w:rFonts w:hint="eastAsia" w:ascii="仿宋" w:hAnsi="仿宋" w:eastAsia="仿宋" w:cs="仿宋"/>
                <w:color w:val="auto"/>
                <w:sz w:val="21"/>
                <w:szCs w:val="21"/>
                <w:highlight w:val="none"/>
              </w:rPr>
              <w:t>名称</w:t>
            </w:r>
            <w:bookmarkEnd w:id="565"/>
          </w:p>
        </w:tc>
        <w:tc>
          <w:tcPr>
            <w:tcW w:w="693" w:type="dxa"/>
            <w:vAlign w:val="center"/>
          </w:tcPr>
          <w:p w14:paraId="4F59F120">
            <w:pPr>
              <w:pStyle w:val="4"/>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bookmarkStart w:id="566" w:name="_Toc23319"/>
            <w:r>
              <w:rPr>
                <w:rFonts w:hint="eastAsia" w:ascii="仿宋" w:hAnsi="仿宋" w:eastAsia="仿宋" w:cs="仿宋"/>
                <w:color w:val="auto"/>
                <w:sz w:val="21"/>
                <w:szCs w:val="21"/>
                <w:highlight w:val="none"/>
              </w:rPr>
              <w:t>规格</w:t>
            </w:r>
            <w:bookmarkEnd w:id="566"/>
          </w:p>
        </w:tc>
        <w:tc>
          <w:tcPr>
            <w:tcW w:w="831" w:type="dxa"/>
            <w:vAlign w:val="center"/>
          </w:tcPr>
          <w:p w14:paraId="75BF0199">
            <w:pPr>
              <w:pStyle w:val="4"/>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bookmarkStart w:id="567" w:name="_Toc28484"/>
            <w:r>
              <w:rPr>
                <w:rFonts w:hint="default" w:ascii="仿宋" w:hAnsi="仿宋" w:eastAsia="仿宋" w:cs="仿宋"/>
                <w:color w:val="auto"/>
                <w:sz w:val="21"/>
                <w:szCs w:val="21"/>
                <w:highlight w:val="none"/>
                <w:lang w:val="en-US" w:eastAsia="zh-CN"/>
              </w:rPr>
              <w:t>品牌</w:t>
            </w:r>
          </w:p>
        </w:tc>
        <w:tc>
          <w:tcPr>
            <w:tcW w:w="970" w:type="dxa"/>
            <w:vAlign w:val="center"/>
          </w:tcPr>
          <w:p w14:paraId="3954315E">
            <w:pPr>
              <w:pStyle w:val="4"/>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制造商</w:t>
            </w:r>
          </w:p>
        </w:tc>
        <w:tc>
          <w:tcPr>
            <w:tcW w:w="1212" w:type="dxa"/>
            <w:vAlign w:val="center"/>
          </w:tcPr>
          <w:p w14:paraId="15EA98C9">
            <w:pPr>
              <w:pStyle w:val="4"/>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计量单位</w:t>
            </w:r>
            <w:bookmarkEnd w:id="567"/>
          </w:p>
        </w:tc>
        <w:tc>
          <w:tcPr>
            <w:tcW w:w="1212" w:type="dxa"/>
            <w:vAlign w:val="center"/>
          </w:tcPr>
          <w:p w14:paraId="2B9AAFD4">
            <w:pPr>
              <w:pStyle w:val="4"/>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bookmarkStart w:id="568" w:name="_Toc11791"/>
            <w:r>
              <w:rPr>
                <w:rFonts w:hint="eastAsia" w:ascii="仿宋" w:hAnsi="仿宋" w:eastAsia="仿宋" w:cs="仿宋"/>
                <w:color w:val="auto"/>
                <w:sz w:val="21"/>
                <w:szCs w:val="21"/>
                <w:highlight w:val="none"/>
              </w:rPr>
              <w:t>数量</w:t>
            </w:r>
            <w:bookmarkEnd w:id="568"/>
          </w:p>
        </w:tc>
        <w:tc>
          <w:tcPr>
            <w:tcW w:w="1344" w:type="dxa"/>
            <w:vAlign w:val="center"/>
          </w:tcPr>
          <w:p w14:paraId="6D8CB882">
            <w:pPr>
              <w:pStyle w:val="4"/>
              <w:keepNext w:val="0"/>
              <w:keepLines w:val="0"/>
              <w:pageBreakBefore w:val="0"/>
              <w:widowControl w:val="0"/>
              <w:shd w:val="clear"/>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auto"/>
                <w:sz w:val="21"/>
                <w:szCs w:val="21"/>
                <w:highlight w:val="none"/>
              </w:rPr>
            </w:pPr>
            <w:bookmarkStart w:id="569" w:name="_Toc12328"/>
            <w:r>
              <w:rPr>
                <w:rFonts w:hint="eastAsia" w:ascii="仿宋" w:hAnsi="仿宋" w:eastAsia="仿宋" w:cs="仿宋"/>
                <w:color w:val="auto"/>
                <w:sz w:val="21"/>
                <w:szCs w:val="21"/>
                <w:highlight w:val="none"/>
              </w:rPr>
              <w:t>单价（元）</w:t>
            </w:r>
            <w:bookmarkEnd w:id="569"/>
          </w:p>
        </w:tc>
        <w:tc>
          <w:tcPr>
            <w:tcW w:w="1416" w:type="dxa"/>
            <w:vAlign w:val="center"/>
          </w:tcPr>
          <w:p w14:paraId="2BAC07EC">
            <w:pPr>
              <w:pStyle w:val="4"/>
              <w:keepNext w:val="0"/>
              <w:keepLines w:val="0"/>
              <w:pageBreakBefore w:val="0"/>
              <w:widowControl w:val="0"/>
              <w:shd w:val="clear"/>
              <w:kinsoku/>
              <w:wordWrap/>
              <w:overflowPunct/>
              <w:topLinePunct w:val="0"/>
              <w:autoSpaceDE/>
              <w:autoSpaceDN/>
              <w:bidi w:val="0"/>
              <w:adjustRightInd w:val="0"/>
              <w:snapToGrid w:val="0"/>
              <w:spacing w:line="240" w:lineRule="auto"/>
              <w:ind w:left="0" w:firstLine="211" w:firstLineChars="100"/>
              <w:textAlignment w:val="auto"/>
              <w:rPr>
                <w:rFonts w:hint="eastAsia" w:ascii="仿宋" w:hAnsi="仿宋" w:eastAsia="仿宋" w:cs="仿宋"/>
                <w:color w:val="auto"/>
                <w:sz w:val="21"/>
                <w:szCs w:val="21"/>
                <w:highlight w:val="none"/>
              </w:rPr>
            </w:pPr>
            <w:bookmarkStart w:id="570" w:name="_Toc7450"/>
            <w:r>
              <w:rPr>
                <w:rFonts w:hint="eastAsia" w:ascii="仿宋" w:hAnsi="仿宋" w:eastAsia="仿宋" w:cs="仿宋"/>
                <w:color w:val="auto"/>
                <w:sz w:val="21"/>
                <w:szCs w:val="21"/>
                <w:highlight w:val="none"/>
              </w:rPr>
              <w:t>金额 (元)</w:t>
            </w:r>
            <w:bookmarkEnd w:id="570"/>
          </w:p>
        </w:tc>
      </w:tr>
      <w:tr w14:paraId="3EE2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9" w:type="dxa"/>
          </w:tcPr>
          <w:p w14:paraId="74C8E91A">
            <w:pPr>
              <w:pStyle w:val="4"/>
              <w:shd w:val="clear"/>
              <w:outlineLvl w:val="9"/>
              <w:rPr>
                <w:rFonts w:hint="eastAsia" w:ascii="仿宋" w:hAnsi="仿宋" w:eastAsia="仿宋" w:cs="仿宋"/>
                <w:color w:val="auto"/>
                <w:sz w:val="24"/>
                <w:szCs w:val="24"/>
                <w:highlight w:val="none"/>
              </w:rPr>
            </w:pPr>
          </w:p>
        </w:tc>
        <w:tc>
          <w:tcPr>
            <w:tcW w:w="684" w:type="dxa"/>
          </w:tcPr>
          <w:p w14:paraId="4C688EA2">
            <w:pPr>
              <w:pStyle w:val="4"/>
              <w:shd w:val="clear"/>
              <w:outlineLvl w:val="9"/>
              <w:rPr>
                <w:rFonts w:hint="eastAsia" w:ascii="仿宋" w:hAnsi="仿宋" w:eastAsia="仿宋" w:cs="仿宋"/>
                <w:color w:val="auto"/>
                <w:sz w:val="24"/>
                <w:szCs w:val="24"/>
                <w:highlight w:val="none"/>
              </w:rPr>
            </w:pPr>
          </w:p>
        </w:tc>
        <w:tc>
          <w:tcPr>
            <w:tcW w:w="693" w:type="dxa"/>
          </w:tcPr>
          <w:p w14:paraId="355ED6AF">
            <w:pPr>
              <w:pStyle w:val="4"/>
              <w:shd w:val="clear"/>
              <w:outlineLvl w:val="9"/>
              <w:rPr>
                <w:rFonts w:hint="eastAsia" w:ascii="仿宋" w:hAnsi="仿宋" w:eastAsia="仿宋" w:cs="仿宋"/>
                <w:color w:val="auto"/>
                <w:sz w:val="24"/>
                <w:szCs w:val="24"/>
                <w:highlight w:val="none"/>
              </w:rPr>
            </w:pPr>
          </w:p>
        </w:tc>
        <w:tc>
          <w:tcPr>
            <w:tcW w:w="831" w:type="dxa"/>
          </w:tcPr>
          <w:p w14:paraId="30323B2D">
            <w:pPr>
              <w:pStyle w:val="4"/>
              <w:shd w:val="clear"/>
              <w:outlineLvl w:val="9"/>
              <w:rPr>
                <w:rFonts w:hint="eastAsia" w:ascii="仿宋" w:hAnsi="仿宋" w:eastAsia="仿宋" w:cs="仿宋"/>
                <w:color w:val="auto"/>
                <w:sz w:val="24"/>
                <w:szCs w:val="24"/>
                <w:highlight w:val="none"/>
              </w:rPr>
            </w:pPr>
          </w:p>
        </w:tc>
        <w:tc>
          <w:tcPr>
            <w:tcW w:w="970" w:type="dxa"/>
          </w:tcPr>
          <w:p w14:paraId="2815F862">
            <w:pPr>
              <w:pStyle w:val="4"/>
              <w:shd w:val="clear"/>
              <w:outlineLvl w:val="9"/>
              <w:rPr>
                <w:rFonts w:hint="eastAsia" w:ascii="仿宋" w:hAnsi="仿宋" w:eastAsia="仿宋" w:cs="仿宋"/>
                <w:color w:val="auto"/>
                <w:sz w:val="24"/>
                <w:szCs w:val="24"/>
                <w:highlight w:val="none"/>
              </w:rPr>
            </w:pPr>
          </w:p>
        </w:tc>
        <w:tc>
          <w:tcPr>
            <w:tcW w:w="1212" w:type="dxa"/>
          </w:tcPr>
          <w:p w14:paraId="10B593BC">
            <w:pPr>
              <w:pStyle w:val="4"/>
              <w:shd w:val="clear"/>
              <w:outlineLvl w:val="9"/>
              <w:rPr>
                <w:rFonts w:hint="eastAsia" w:ascii="仿宋" w:hAnsi="仿宋" w:eastAsia="仿宋" w:cs="仿宋"/>
                <w:color w:val="auto"/>
                <w:sz w:val="24"/>
                <w:szCs w:val="24"/>
                <w:highlight w:val="none"/>
              </w:rPr>
            </w:pPr>
          </w:p>
        </w:tc>
        <w:tc>
          <w:tcPr>
            <w:tcW w:w="1212" w:type="dxa"/>
          </w:tcPr>
          <w:p w14:paraId="713B9732">
            <w:pPr>
              <w:pStyle w:val="4"/>
              <w:shd w:val="clear"/>
              <w:outlineLvl w:val="9"/>
              <w:rPr>
                <w:rFonts w:hint="eastAsia" w:ascii="仿宋" w:hAnsi="仿宋" w:eastAsia="仿宋" w:cs="仿宋"/>
                <w:color w:val="auto"/>
                <w:sz w:val="24"/>
                <w:szCs w:val="24"/>
                <w:highlight w:val="none"/>
              </w:rPr>
            </w:pPr>
          </w:p>
        </w:tc>
        <w:tc>
          <w:tcPr>
            <w:tcW w:w="1344" w:type="dxa"/>
          </w:tcPr>
          <w:p w14:paraId="48F37DBA">
            <w:pPr>
              <w:pStyle w:val="4"/>
              <w:shd w:val="clear"/>
              <w:outlineLvl w:val="9"/>
              <w:rPr>
                <w:rFonts w:hint="eastAsia" w:ascii="仿宋" w:hAnsi="仿宋" w:eastAsia="仿宋" w:cs="仿宋"/>
                <w:color w:val="auto"/>
                <w:sz w:val="24"/>
                <w:szCs w:val="24"/>
                <w:highlight w:val="none"/>
              </w:rPr>
            </w:pPr>
          </w:p>
        </w:tc>
        <w:tc>
          <w:tcPr>
            <w:tcW w:w="1416" w:type="dxa"/>
          </w:tcPr>
          <w:p w14:paraId="43145570">
            <w:pPr>
              <w:pStyle w:val="4"/>
              <w:shd w:val="clear"/>
              <w:outlineLvl w:val="9"/>
              <w:rPr>
                <w:rFonts w:hint="eastAsia" w:ascii="仿宋" w:hAnsi="仿宋" w:eastAsia="仿宋" w:cs="仿宋"/>
                <w:color w:val="auto"/>
                <w:sz w:val="24"/>
                <w:szCs w:val="24"/>
                <w:highlight w:val="none"/>
              </w:rPr>
            </w:pPr>
          </w:p>
        </w:tc>
      </w:tr>
      <w:tr w14:paraId="2670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9" w:type="dxa"/>
          </w:tcPr>
          <w:p w14:paraId="07A376D1">
            <w:pPr>
              <w:pStyle w:val="13"/>
              <w:shd w:val="clear"/>
              <w:spacing w:line="360" w:lineRule="auto"/>
              <w:rPr>
                <w:rFonts w:hint="eastAsia" w:ascii="仿宋" w:hAnsi="仿宋" w:eastAsia="仿宋" w:cs="仿宋"/>
                <w:color w:val="auto"/>
                <w:highlight w:val="none"/>
              </w:rPr>
            </w:pPr>
          </w:p>
        </w:tc>
        <w:tc>
          <w:tcPr>
            <w:tcW w:w="684" w:type="dxa"/>
          </w:tcPr>
          <w:p w14:paraId="23E7FAA3">
            <w:pPr>
              <w:pStyle w:val="4"/>
              <w:shd w:val="clear"/>
              <w:outlineLvl w:val="9"/>
              <w:rPr>
                <w:rFonts w:hint="eastAsia" w:ascii="仿宋" w:hAnsi="仿宋" w:eastAsia="仿宋" w:cs="仿宋"/>
                <w:color w:val="auto"/>
                <w:sz w:val="24"/>
                <w:szCs w:val="24"/>
                <w:highlight w:val="none"/>
              </w:rPr>
            </w:pPr>
          </w:p>
        </w:tc>
        <w:tc>
          <w:tcPr>
            <w:tcW w:w="693" w:type="dxa"/>
          </w:tcPr>
          <w:p w14:paraId="1EB0C723">
            <w:pPr>
              <w:pStyle w:val="4"/>
              <w:shd w:val="clear"/>
              <w:outlineLvl w:val="9"/>
              <w:rPr>
                <w:rFonts w:hint="eastAsia" w:ascii="仿宋" w:hAnsi="仿宋" w:eastAsia="仿宋" w:cs="仿宋"/>
                <w:color w:val="auto"/>
                <w:sz w:val="24"/>
                <w:szCs w:val="24"/>
                <w:highlight w:val="none"/>
              </w:rPr>
            </w:pPr>
          </w:p>
        </w:tc>
        <w:tc>
          <w:tcPr>
            <w:tcW w:w="831" w:type="dxa"/>
          </w:tcPr>
          <w:p w14:paraId="0D5E2B13">
            <w:pPr>
              <w:pStyle w:val="4"/>
              <w:shd w:val="clear"/>
              <w:outlineLvl w:val="9"/>
              <w:rPr>
                <w:rFonts w:hint="eastAsia" w:ascii="仿宋" w:hAnsi="仿宋" w:eastAsia="仿宋" w:cs="仿宋"/>
                <w:color w:val="auto"/>
                <w:sz w:val="24"/>
                <w:szCs w:val="24"/>
                <w:highlight w:val="none"/>
              </w:rPr>
            </w:pPr>
          </w:p>
        </w:tc>
        <w:tc>
          <w:tcPr>
            <w:tcW w:w="970" w:type="dxa"/>
          </w:tcPr>
          <w:p w14:paraId="36E749B1">
            <w:pPr>
              <w:pStyle w:val="4"/>
              <w:shd w:val="clear"/>
              <w:outlineLvl w:val="9"/>
              <w:rPr>
                <w:rFonts w:hint="eastAsia" w:ascii="仿宋" w:hAnsi="仿宋" w:eastAsia="仿宋" w:cs="仿宋"/>
                <w:color w:val="auto"/>
                <w:sz w:val="24"/>
                <w:szCs w:val="24"/>
                <w:highlight w:val="none"/>
              </w:rPr>
            </w:pPr>
          </w:p>
        </w:tc>
        <w:tc>
          <w:tcPr>
            <w:tcW w:w="1212" w:type="dxa"/>
          </w:tcPr>
          <w:p w14:paraId="152AC29D">
            <w:pPr>
              <w:pStyle w:val="4"/>
              <w:shd w:val="clear"/>
              <w:outlineLvl w:val="9"/>
              <w:rPr>
                <w:rFonts w:hint="eastAsia" w:ascii="仿宋" w:hAnsi="仿宋" w:eastAsia="仿宋" w:cs="仿宋"/>
                <w:color w:val="auto"/>
                <w:sz w:val="24"/>
                <w:szCs w:val="24"/>
                <w:highlight w:val="none"/>
              </w:rPr>
            </w:pPr>
          </w:p>
        </w:tc>
        <w:tc>
          <w:tcPr>
            <w:tcW w:w="1212" w:type="dxa"/>
          </w:tcPr>
          <w:p w14:paraId="0F562D7D">
            <w:pPr>
              <w:pStyle w:val="4"/>
              <w:shd w:val="clear"/>
              <w:outlineLvl w:val="9"/>
              <w:rPr>
                <w:rFonts w:hint="eastAsia" w:ascii="仿宋" w:hAnsi="仿宋" w:eastAsia="仿宋" w:cs="仿宋"/>
                <w:color w:val="auto"/>
                <w:sz w:val="24"/>
                <w:szCs w:val="24"/>
                <w:highlight w:val="none"/>
              </w:rPr>
            </w:pPr>
          </w:p>
        </w:tc>
        <w:tc>
          <w:tcPr>
            <w:tcW w:w="1344" w:type="dxa"/>
          </w:tcPr>
          <w:p w14:paraId="4E8E5F33">
            <w:pPr>
              <w:pStyle w:val="4"/>
              <w:shd w:val="clear"/>
              <w:outlineLvl w:val="9"/>
              <w:rPr>
                <w:rFonts w:hint="eastAsia" w:ascii="仿宋" w:hAnsi="仿宋" w:eastAsia="仿宋" w:cs="仿宋"/>
                <w:color w:val="auto"/>
                <w:sz w:val="24"/>
                <w:szCs w:val="24"/>
                <w:highlight w:val="none"/>
              </w:rPr>
            </w:pPr>
          </w:p>
        </w:tc>
        <w:tc>
          <w:tcPr>
            <w:tcW w:w="1416" w:type="dxa"/>
          </w:tcPr>
          <w:p w14:paraId="238D094F">
            <w:pPr>
              <w:pStyle w:val="4"/>
              <w:shd w:val="clear"/>
              <w:outlineLvl w:val="9"/>
              <w:rPr>
                <w:rFonts w:hint="eastAsia" w:ascii="仿宋" w:hAnsi="仿宋" w:eastAsia="仿宋" w:cs="仿宋"/>
                <w:color w:val="auto"/>
                <w:sz w:val="24"/>
                <w:szCs w:val="24"/>
                <w:highlight w:val="none"/>
              </w:rPr>
            </w:pPr>
          </w:p>
        </w:tc>
      </w:tr>
      <w:tr w14:paraId="7E81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9" w:type="dxa"/>
          </w:tcPr>
          <w:p w14:paraId="4D742D40">
            <w:pPr>
              <w:pStyle w:val="13"/>
              <w:shd w:val="clear"/>
              <w:spacing w:line="360" w:lineRule="auto"/>
              <w:rPr>
                <w:rFonts w:hint="eastAsia" w:ascii="仿宋" w:hAnsi="仿宋" w:eastAsia="仿宋" w:cs="仿宋"/>
                <w:color w:val="auto"/>
                <w:highlight w:val="none"/>
              </w:rPr>
            </w:pPr>
          </w:p>
        </w:tc>
        <w:tc>
          <w:tcPr>
            <w:tcW w:w="684" w:type="dxa"/>
          </w:tcPr>
          <w:p w14:paraId="6B1FBC8F">
            <w:pPr>
              <w:pStyle w:val="4"/>
              <w:shd w:val="clear"/>
              <w:outlineLvl w:val="9"/>
              <w:rPr>
                <w:rFonts w:hint="eastAsia" w:ascii="仿宋" w:hAnsi="仿宋" w:eastAsia="仿宋" w:cs="仿宋"/>
                <w:color w:val="auto"/>
                <w:sz w:val="24"/>
                <w:szCs w:val="24"/>
                <w:highlight w:val="none"/>
              </w:rPr>
            </w:pPr>
          </w:p>
        </w:tc>
        <w:tc>
          <w:tcPr>
            <w:tcW w:w="693" w:type="dxa"/>
          </w:tcPr>
          <w:p w14:paraId="7977BA5B">
            <w:pPr>
              <w:pStyle w:val="4"/>
              <w:shd w:val="clear"/>
              <w:outlineLvl w:val="9"/>
              <w:rPr>
                <w:rFonts w:hint="eastAsia" w:ascii="仿宋" w:hAnsi="仿宋" w:eastAsia="仿宋" w:cs="仿宋"/>
                <w:color w:val="auto"/>
                <w:sz w:val="24"/>
                <w:szCs w:val="24"/>
                <w:highlight w:val="none"/>
              </w:rPr>
            </w:pPr>
          </w:p>
        </w:tc>
        <w:tc>
          <w:tcPr>
            <w:tcW w:w="831" w:type="dxa"/>
          </w:tcPr>
          <w:p w14:paraId="670CF354">
            <w:pPr>
              <w:pStyle w:val="4"/>
              <w:shd w:val="clear"/>
              <w:outlineLvl w:val="9"/>
              <w:rPr>
                <w:rFonts w:hint="eastAsia" w:ascii="仿宋" w:hAnsi="仿宋" w:eastAsia="仿宋" w:cs="仿宋"/>
                <w:color w:val="auto"/>
                <w:sz w:val="24"/>
                <w:szCs w:val="24"/>
                <w:highlight w:val="none"/>
              </w:rPr>
            </w:pPr>
          </w:p>
        </w:tc>
        <w:tc>
          <w:tcPr>
            <w:tcW w:w="970" w:type="dxa"/>
          </w:tcPr>
          <w:p w14:paraId="0076D2C3">
            <w:pPr>
              <w:pStyle w:val="4"/>
              <w:shd w:val="clear"/>
              <w:outlineLvl w:val="9"/>
              <w:rPr>
                <w:rFonts w:hint="eastAsia" w:ascii="仿宋" w:hAnsi="仿宋" w:eastAsia="仿宋" w:cs="仿宋"/>
                <w:color w:val="auto"/>
                <w:sz w:val="24"/>
                <w:szCs w:val="24"/>
                <w:highlight w:val="none"/>
              </w:rPr>
            </w:pPr>
          </w:p>
        </w:tc>
        <w:tc>
          <w:tcPr>
            <w:tcW w:w="1212" w:type="dxa"/>
          </w:tcPr>
          <w:p w14:paraId="4EA860B8">
            <w:pPr>
              <w:pStyle w:val="4"/>
              <w:shd w:val="clear"/>
              <w:outlineLvl w:val="9"/>
              <w:rPr>
                <w:rFonts w:hint="eastAsia" w:ascii="仿宋" w:hAnsi="仿宋" w:eastAsia="仿宋" w:cs="仿宋"/>
                <w:color w:val="auto"/>
                <w:sz w:val="24"/>
                <w:szCs w:val="24"/>
                <w:highlight w:val="none"/>
              </w:rPr>
            </w:pPr>
          </w:p>
        </w:tc>
        <w:tc>
          <w:tcPr>
            <w:tcW w:w="1212" w:type="dxa"/>
          </w:tcPr>
          <w:p w14:paraId="3036B153">
            <w:pPr>
              <w:pStyle w:val="4"/>
              <w:shd w:val="clear"/>
              <w:outlineLvl w:val="9"/>
              <w:rPr>
                <w:rFonts w:hint="eastAsia" w:ascii="仿宋" w:hAnsi="仿宋" w:eastAsia="仿宋" w:cs="仿宋"/>
                <w:color w:val="auto"/>
                <w:sz w:val="24"/>
                <w:szCs w:val="24"/>
                <w:highlight w:val="none"/>
              </w:rPr>
            </w:pPr>
          </w:p>
        </w:tc>
        <w:tc>
          <w:tcPr>
            <w:tcW w:w="1344" w:type="dxa"/>
          </w:tcPr>
          <w:p w14:paraId="0E2F8528">
            <w:pPr>
              <w:pStyle w:val="4"/>
              <w:shd w:val="clear"/>
              <w:outlineLvl w:val="9"/>
              <w:rPr>
                <w:rFonts w:hint="eastAsia" w:ascii="仿宋" w:hAnsi="仿宋" w:eastAsia="仿宋" w:cs="仿宋"/>
                <w:color w:val="auto"/>
                <w:sz w:val="24"/>
                <w:szCs w:val="24"/>
                <w:highlight w:val="none"/>
              </w:rPr>
            </w:pPr>
          </w:p>
        </w:tc>
        <w:tc>
          <w:tcPr>
            <w:tcW w:w="1416" w:type="dxa"/>
          </w:tcPr>
          <w:p w14:paraId="57CE48F0">
            <w:pPr>
              <w:pStyle w:val="4"/>
              <w:shd w:val="clear"/>
              <w:outlineLvl w:val="9"/>
              <w:rPr>
                <w:rFonts w:hint="eastAsia" w:ascii="仿宋" w:hAnsi="仿宋" w:eastAsia="仿宋" w:cs="仿宋"/>
                <w:color w:val="auto"/>
                <w:sz w:val="24"/>
                <w:szCs w:val="24"/>
                <w:highlight w:val="none"/>
              </w:rPr>
            </w:pPr>
          </w:p>
        </w:tc>
      </w:tr>
      <w:tr w14:paraId="2585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9" w:type="dxa"/>
          </w:tcPr>
          <w:p w14:paraId="31E9835E">
            <w:pPr>
              <w:pStyle w:val="4"/>
              <w:shd w:val="clear"/>
              <w:outlineLvl w:val="9"/>
              <w:rPr>
                <w:rFonts w:hint="eastAsia" w:ascii="仿宋" w:hAnsi="仿宋" w:eastAsia="仿宋" w:cs="仿宋"/>
                <w:color w:val="auto"/>
                <w:sz w:val="24"/>
                <w:szCs w:val="24"/>
                <w:highlight w:val="none"/>
              </w:rPr>
            </w:pPr>
          </w:p>
        </w:tc>
        <w:tc>
          <w:tcPr>
            <w:tcW w:w="684" w:type="dxa"/>
          </w:tcPr>
          <w:p w14:paraId="117DCC92">
            <w:pPr>
              <w:pStyle w:val="4"/>
              <w:shd w:val="clear"/>
              <w:outlineLvl w:val="9"/>
              <w:rPr>
                <w:rFonts w:hint="eastAsia" w:ascii="仿宋" w:hAnsi="仿宋" w:eastAsia="仿宋" w:cs="仿宋"/>
                <w:color w:val="auto"/>
                <w:sz w:val="24"/>
                <w:szCs w:val="24"/>
                <w:highlight w:val="none"/>
              </w:rPr>
            </w:pPr>
          </w:p>
        </w:tc>
        <w:tc>
          <w:tcPr>
            <w:tcW w:w="693" w:type="dxa"/>
          </w:tcPr>
          <w:p w14:paraId="07E5C384">
            <w:pPr>
              <w:pStyle w:val="4"/>
              <w:shd w:val="clear"/>
              <w:outlineLvl w:val="9"/>
              <w:rPr>
                <w:rFonts w:hint="eastAsia" w:ascii="仿宋" w:hAnsi="仿宋" w:eastAsia="仿宋" w:cs="仿宋"/>
                <w:color w:val="auto"/>
                <w:sz w:val="24"/>
                <w:szCs w:val="24"/>
                <w:highlight w:val="none"/>
              </w:rPr>
            </w:pPr>
          </w:p>
        </w:tc>
        <w:tc>
          <w:tcPr>
            <w:tcW w:w="831" w:type="dxa"/>
          </w:tcPr>
          <w:p w14:paraId="4ADF164A">
            <w:pPr>
              <w:pStyle w:val="4"/>
              <w:shd w:val="clear"/>
              <w:outlineLvl w:val="9"/>
              <w:rPr>
                <w:rFonts w:hint="eastAsia" w:ascii="仿宋" w:hAnsi="仿宋" w:eastAsia="仿宋" w:cs="仿宋"/>
                <w:color w:val="auto"/>
                <w:sz w:val="24"/>
                <w:szCs w:val="24"/>
                <w:highlight w:val="none"/>
              </w:rPr>
            </w:pPr>
          </w:p>
        </w:tc>
        <w:tc>
          <w:tcPr>
            <w:tcW w:w="970" w:type="dxa"/>
          </w:tcPr>
          <w:p w14:paraId="0069F53F">
            <w:pPr>
              <w:pStyle w:val="4"/>
              <w:shd w:val="clear"/>
              <w:outlineLvl w:val="9"/>
              <w:rPr>
                <w:rFonts w:hint="eastAsia" w:ascii="仿宋" w:hAnsi="仿宋" w:eastAsia="仿宋" w:cs="仿宋"/>
                <w:color w:val="auto"/>
                <w:sz w:val="24"/>
                <w:szCs w:val="24"/>
                <w:highlight w:val="none"/>
              </w:rPr>
            </w:pPr>
          </w:p>
        </w:tc>
        <w:tc>
          <w:tcPr>
            <w:tcW w:w="1212" w:type="dxa"/>
          </w:tcPr>
          <w:p w14:paraId="61DDAA7B">
            <w:pPr>
              <w:pStyle w:val="4"/>
              <w:shd w:val="clear"/>
              <w:outlineLvl w:val="9"/>
              <w:rPr>
                <w:rFonts w:hint="eastAsia" w:ascii="仿宋" w:hAnsi="仿宋" w:eastAsia="仿宋" w:cs="仿宋"/>
                <w:color w:val="auto"/>
                <w:sz w:val="24"/>
                <w:szCs w:val="24"/>
                <w:highlight w:val="none"/>
              </w:rPr>
            </w:pPr>
          </w:p>
        </w:tc>
        <w:tc>
          <w:tcPr>
            <w:tcW w:w="1212" w:type="dxa"/>
          </w:tcPr>
          <w:p w14:paraId="155E95D7">
            <w:pPr>
              <w:pStyle w:val="4"/>
              <w:shd w:val="clear"/>
              <w:outlineLvl w:val="9"/>
              <w:rPr>
                <w:rFonts w:hint="eastAsia" w:ascii="仿宋" w:hAnsi="仿宋" w:eastAsia="仿宋" w:cs="仿宋"/>
                <w:color w:val="auto"/>
                <w:sz w:val="24"/>
                <w:szCs w:val="24"/>
                <w:highlight w:val="none"/>
              </w:rPr>
            </w:pPr>
          </w:p>
        </w:tc>
        <w:tc>
          <w:tcPr>
            <w:tcW w:w="1344" w:type="dxa"/>
          </w:tcPr>
          <w:p w14:paraId="238DBB35">
            <w:pPr>
              <w:pStyle w:val="4"/>
              <w:shd w:val="clear"/>
              <w:outlineLvl w:val="9"/>
              <w:rPr>
                <w:rFonts w:hint="eastAsia" w:ascii="仿宋" w:hAnsi="仿宋" w:eastAsia="仿宋" w:cs="仿宋"/>
                <w:color w:val="auto"/>
                <w:sz w:val="24"/>
                <w:szCs w:val="24"/>
                <w:highlight w:val="none"/>
              </w:rPr>
            </w:pPr>
          </w:p>
        </w:tc>
        <w:tc>
          <w:tcPr>
            <w:tcW w:w="1416" w:type="dxa"/>
          </w:tcPr>
          <w:p w14:paraId="01B7D8C0">
            <w:pPr>
              <w:pStyle w:val="4"/>
              <w:shd w:val="clear"/>
              <w:outlineLvl w:val="9"/>
              <w:rPr>
                <w:rFonts w:hint="eastAsia" w:ascii="仿宋" w:hAnsi="仿宋" w:eastAsia="仿宋" w:cs="仿宋"/>
                <w:color w:val="auto"/>
                <w:sz w:val="24"/>
                <w:szCs w:val="24"/>
                <w:highlight w:val="none"/>
              </w:rPr>
            </w:pPr>
          </w:p>
        </w:tc>
      </w:tr>
      <w:tr w14:paraId="48EC9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9" w:type="dxa"/>
          </w:tcPr>
          <w:p w14:paraId="4C81D174">
            <w:pPr>
              <w:pStyle w:val="4"/>
              <w:shd w:val="clear"/>
              <w:outlineLvl w:val="9"/>
              <w:rPr>
                <w:rFonts w:hint="eastAsia" w:ascii="仿宋" w:hAnsi="仿宋" w:eastAsia="仿宋" w:cs="仿宋"/>
                <w:color w:val="auto"/>
                <w:sz w:val="24"/>
                <w:szCs w:val="24"/>
                <w:highlight w:val="none"/>
              </w:rPr>
            </w:pPr>
          </w:p>
        </w:tc>
        <w:tc>
          <w:tcPr>
            <w:tcW w:w="684" w:type="dxa"/>
          </w:tcPr>
          <w:p w14:paraId="0E337103">
            <w:pPr>
              <w:pStyle w:val="4"/>
              <w:shd w:val="clear"/>
              <w:outlineLvl w:val="9"/>
              <w:rPr>
                <w:rFonts w:hint="eastAsia" w:ascii="仿宋" w:hAnsi="仿宋" w:eastAsia="仿宋" w:cs="仿宋"/>
                <w:color w:val="auto"/>
                <w:sz w:val="24"/>
                <w:szCs w:val="24"/>
                <w:highlight w:val="none"/>
              </w:rPr>
            </w:pPr>
          </w:p>
        </w:tc>
        <w:tc>
          <w:tcPr>
            <w:tcW w:w="693" w:type="dxa"/>
          </w:tcPr>
          <w:p w14:paraId="1E4794F5">
            <w:pPr>
              <w:pStyle w:val="4"/>
              <w:shd w:val="clear"/>
              <w:outlineLvl w:val="9"/>
              <w:rPr>
                <w:rFonts w:hint="eastAsia" w:ascii="仿宋" w:hAnsi="仿宋" w:eastAsia="仿宋" w:cs="仿宋"/>
                <w:color w:val="auto"/>
                <w:sz w:val="24"/>
                <w:szCs w:val="24"/>
                <w:highlight w:val="none"/>
              </w:rPr>
            </w:pPr>
          </w:p>
        </w:tc>
        <w:tc>
          <w:tcPr>
            <w:tcW w:w="831" w:type="dxa"/>
          </w:tcPr>
          <w:p w14:paraId="23586EEB">
            <w:pPr>
              <w:pStyle w:val="4"/>
              <w:shd w:val="clear"/>
              <w:outlineLvl w:val="9"/>
              <w:rPr>
                <w:rFonts w:hint="eastAsia" w:ascii="仿宋" w:hAnsi="仿宋" w:eastAsia="仿宋" w:cs="仿宋"/>
                <w:color w:val="auto"/>
                <w:sz w:val="24"/>
                <w:szCs w:val="24"/>
                <w:highlight w:val="none"/>
              </w:rPr>
            </w:pPr>
          </w:p>
        </w:tc>
        <w:tc>
          <w:tcPr>
            <w:tcW w:w="970" w:type="dxa"/>
          </w:tcPr>
          <w:p w14:paraId="0F938FCC">
            <w:pPr>
              <w:pStyle w:val="4"/>
              <w:shd w:val="clear"/>
              <w:outlineLvl w:val="9"/>
              <w:rPr>
                <w:rFonts w:hint="eastAsia" w:ascii="仿宋" w:hAnsi="仿宋" w:eastAsia="仿宋" w:cs="仿宋"/>
                <w:color w:val="auto"/>
                <w:sz w:val="24"/>
                <w:szCs w:val="24"/>
                <w:highlight w:val="none"/>
              </w:rPr>
            </w:pPr>
          </w:p>
        </w:tc>
        <w:tc>
          <w:tcPr>
            <w:tcW w:w="1212" w:type="dxa"/>
          </w:tcPr>
          <w:p w14:paraId="6617C329">
            <w:pPr>
              <w:pStyle w:val="4"/>
              <w:shd w:val="clear"/>
              <w:outlineLvl w:val="9"/>
              <w:rPr>
                <w:rFonts w:hint="eastAsia" w:ascii="仿宋" w:hAnsi="仿宋" w:eastAsia="仿宋" w:cs="仿宋"/>
                <w:color w:val="auto"/>
                <w:sz w:val="24"/>
                <w:szCs w:val="24"/>
                <w:highlight w:val="none"/>
              </w:rPr>
            </w:pPr>
          </w:p>
        </w:tc>
        <w:tc>
          <w:tcPr>
            <w:tcW w:w="1212" w:type="dxa"/>
          </w:tcPr>
          <w:p w14:paraId="46B2A5B9">
            <w:pPr>
              <w:pStyle w:val="4"/>
              <w:shd w:val="clear"/>
              <w:outlineLvl w:val="9"/>
              <w:rPr>
                <w:rFonts w:hint="eastAsia" w:ascii="仿宋" w:hAnsi="仿宋" w:eastAsia="仿宋" w:cs="仿宋"/>
                <w:color w:val="auto"/>
                <w:sz w:val="24"/>
                <w:szCs w:val="24"/>
                <w:highlight w:val="none"/>
              </w:rPr>
            </w:pPr>
          </w:p>
        </w:tc>
        <w:tc>
          <w:tcPr>
            <w:tcW w:w="1344" w:type="dxa"/>
          </w:tcPr>
          <w:p w14:paraId="6F55C5BE">
            <w:pPr>
              <w:pStyle w:val="4"/>
              <w:shd w:val="clear"/>
              <w:outlineLvl w:val="9"/>
              <w:rPr>
                <w:rFonts w:hint="eastAsia" w:ascii="仿宋" w:hAnsi="仿宋" w:eastAsia="仿宋" w:cs="仿宋"/>
                <w:color w:val="auto"/>
                <w:sz w:val="24"/>
                <w:szCs w:val="24"/>
                <w:highlight w:val="none"/>
              </w:rPr>
            </w:pPr>
          </w:p>
        </w:tc>
        <w:tc>
          <w:tcPr>
            <w:tcW w:w="1416" w:type="dxa"/>
          </w:tcPr>
          <w:p w14:paraId="74E8D8AC">
            <w:pPr>
              <w:pStyle w:val="4"/>
              <w:shd w:val="clear"/>
              <w:outlineLvl w:val="9"/>
              <w:rPr>
                <w:rFonts w:hint="eastAsia" w:ascii="仿宋" w:hAnsi="仿宋" w:eastAsia="仿宋" w:cs="仿宋"/>
                <w:color w:val="auto"/>
                <w:sz w:val="24"/>
                <w:szCs w:val="24"/>
                <w:highlight w:val="none"/>
              </w:rPr>
            </w:pPr>
          </w:p>
        </w:tc>
      </w:tr>
      <w:tr w14:paraId="052C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9" w:type="dxa"/>
          </w:tcPr>
          <w:p w14:paraId="4D0644AD">
            <w:pPr>
              <w:pStyle w:val="4"/>
              <w:shd w:val="clear"/>
              <w:outlineLvl w:val="9"/>
              <w:rPr>
                <w:rFonts w:hint="eastAsia" w:ascii="仿宋" w:hAnsi="仿宋" w:eastAsia="仿宋" w:cs="仿宋"/>
                <w:color w:val="auto"/>
                <w:sz w:val="24"/>
                <w:szCs w:val="24"/>
                <w:highlight w:val="none"/>
              </w:rPr>
            </w:pPr>
          </w:p>
        </w:tc>
        <w:tc>
          <w:tcPr>
            <w:tcW w:w="684" w:type="dxa"/>
          </w:tcPr>
          <w:p w14:paraId="3A3D0503">
            <w:pPr>
              <w:pStyle w:val="4"/>
              <w:shd w:val="clear"/>
              <w:outlineLvl w:val="9"/>
              <w:rPr>
                <w:rFonts w:hint="eastAsia" w:ascii="仿宋" w:hAnsi="仿宋" w:eastAsia="仿宋" w:cs="仿宋"/>
                <w:color w:val="auto"/>
                <w:sz w:val="24"/>
                <w:szCs w:val="24"/>
                <w:highlight w:val="none"/>
              </w:rPr>
            </w:pPr>
          </w:p>
        </w:tc>
        <w:tc>
          <w:tcPr>
            <w:tcW w:w="693" w:type="dxa"/>
          </w:tcPr>
          <w:p w14:paraId="25F887E6">
            <w:pPr>
              <w:pStyle w:val="4"/>
              <w:shd w:val="clear"/>
              <w:outlineLvl w:val="9"/>
              <w:rPr>
                <w:rFonts w:hint="eastAsia" w:ascii="仿宋" w:hAnsi="仿宋" w:eastAsia="仿宋" w:cs="仿宋"/>
                <w:color w:val="auto"/>
                <w:sz w:val="24"/>
                <w:szCs w:val="24"/>
                <w:highlight w:val="none"/>
              </w:rPr>
            </w:pPr>
          </w:p>
        </w:tc>
        <w:tc>
          <w:tcPr>
            <w:tcW w:w="831" w:type="dxa"/>
          </w:tcPr>
          <w:p w14:paraId="3F251BF1">
            <w:pPr>
              <w:pStyle w:val="4"/>
              <w:shd w:val="clear"/>
              <w:outlineLvl w:val="9"/>
              <w:rPr>
                <w:rFonts w:hint="eastAsia" w:ascii="仿宋" w:hAnsi="仿宋" w:eastAsia="仿宋" w:cs="仿宋"/>
                <w:color w:val="auto"/>
                <w:sz w:val="24"/>
                <w:szCs w:val="24"/>
                <w:highlight w:val="none"/>
              </w:rPr>
            </w:pPr>
          </w:p>
        </w:tc>
        <w:tc>
          <w:tcPr>
            <w:tcW w:w="970" w:type="dxa"/>
          </w:tcPr>
          <w:p w14:paraId="04298FCA">
            <w:pPr>
              <w:pStyle w:val="4"/>
              <w:shd w:val="clear"/>
              <w:outlineLvl w:val="9"/>
              <w:rPr>
                <w:rFonts w:hint="eastAsia" w:ascii="仿宋" w:hAnsi="仿宋" w:eastAsia="仿宋" w:cs="仿宋"/>
                <w:color w:val="auto"/>
                <w:sz w:val="24"/>
                <w:szCs w:val="24"/>
                <w:highlight w:val="none"/>
              </w:rPr>
            </w:pPr>
          </w:p>
        </w:tc>
        <w:tc>
          <w:tcPr>
            <w:tcW w:w="1212" w:type="dxa"/>
          </w:tcPr>
          <w:p w14:paraId="78E612EA">
            <w:pPr>
              <w:pStyle w:val="4"/>
              <w:shd w:val="clear"/>
              <w:outlineLvl w:val="9"/>
              <w:rPr>
                <w:rFonts w:hint="eastAsia" w:ascii="仿宋" w:hAnsi="仿宋" w:eastAsia="仿宋" w:cs="仿宋"/>
                <w:color w:val="auto"/>
                <w:sz w:val="24"/>
                <w:szCs w:val="24"/>
                <w:highlight w:val="none"/>
              </w:rPr>
            </w:pPr>
          </w:p>
        </w:tc>
        <w:tc>
          <w:tcPr>
            <w:tcW w:w="1212" w:type="dxa"/>
          </w:tcPr>
          <w:p w14:paraId="4769D5CD">
            <w:pPr>
              <w:pStyle w:val="4"/>
              <w:shd w:val="clear"/>
              <w:outlineLvl w:val="9"/>
              <w:rPr>
                <w:rFonts w:hint="eastAsia" w:ascii="仿宋" w:hAnsi="仿宋" w:eastAsia="仿宋" w:cs="仿宋"/>
                <w:color w:val="auto"/>
                <w:sz w:val="24"/>
                <w:szCs w:val="24"/>
                <w:highlight w:val="none"/>
              </w:rPr>
            </w:pPr>
          </w:p>
        </w:tc>
        <w:tc>
          <w:tcPr>
            <w:tcW w:w="1344" w:type="dxa"/>
          </w:tcPr>
          <w:p w14:paraId="62CE989A">
            <w:pPr>
              <w:pStyle w:val="4"/>
              <w:shd w:val="clear"/>
              <w:outlineLvl w:val="9"/>
              <w:rPr>
                <w:rFonts w:hint="eastAsia" w:ascii="仿宋" w:hAnsi="仿宋" w:eastAsia="仿宋" w:cs="仿宋"/>
                <w:color w:val="auto"/>
                <w:sz w:val="24"/>
                <w:szCs w:val="24"/>
                <w:highlight w:val="none"/>
              </w:rPr>
            </w:pPr>
          </w:p>
        </w:tc>
        <w:tc>
          <w:tcPr>
            <w:tcW w:w="1416" w:type="dxa"/>
          </w:tcPr>
          <w:p w14:paraId="49C5E8ED">
            <w:pPr>
              <w:pStyle w:val="4"/>
              <w:shd w:val="clear"/>
              <w:outlineLvl w:val="9"/>
              <w:rPr>
                <w:rFonts w:hint="eastAsia" w:ascii="仿宋" w:hAnsi="仿宋" w:eastAsia="仿宋" w:cs="仿宋"/>
                <w:color w:val="auto"/>
                <w:sz w:val="24"/>
                <w:szCs w:val="24"/>
                <w:highlight w:val="none"/>
              </w:rPr>
            </w:pPr>
          </w:p>
        </w:tc>
      </w:tr>
      <w:tr w14:paraId="60979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206" w:type="dxa"/>
            <w:gridSpan w:val="3"/>
          </w:tcPr>
          <w:p w14:paraId="71E45244">
            <w:pPr>
              <w:pStyle w:val="4"/>
              <w:shd w:val="clear"/>
              <w:ind w:firstLine="310" w:firstLineChars="147"/>
              <w:rPr>
                <w:rFonts w:hint="eastAsia" w:ascii="仿宋" w:hAnsi="仿宋" w:eastAsia="仿宋" w:cs="仿宋"/>
                <w:color w:val="auto"/>
                <w:sz w:val="21"/>
                <w:szCs w:val="21"/>
                <w:highlight w:val="none"/>
              </w:rPr>
            </w:pPr>
            <w:bookmarkStart w:id="571" w:name="_Toc12416"/>
            <w:r>
              <w:rPr>
                <w:rFonts w:hint="eastAsia" w:ascii="仿宋" w:hAnsi="仿宋" w:eastAsia="仿宋" w:cs="仿宋"/>
                <w:color w:val="auto"/>
                <w:sz w:val="21"/>
                <w:szCs w:val="21"/>
                <w:highlight w:val="none"/>
              </w:rPr>
              <w:t>合计</w:t>
            </w:r>
            <w:bookmarkEnd w:id="571"/>
          </w:p>
        </w:tc>
        <w:tc>
          <w:tcPr>
            <w:tcW w:w="831" w:type="dxa"/>
            <w:vAlign w:val="center"/>
          </w:tcPr>
          <w:p w14:paraId="006DE700">
            <w:pPr>
              <w:pStyle w:val="4"/>
              <w:shd w:val="clear"/>
              <w:rPr>
                <w:rFonts w:hint="eastAsia" w:ascii="仿宋" w:hAnsi="仿宋" w:eastAsia="仿宋" w:cs="仿宋"/>
                <w:color w:val="auto"/>
                <w:sz w:val="21"/>
                <w:szCs w:val="21"/>
                <w:highlight w:val="none"/>
              </w:rPr>
            </w:pPr>
            <w:bookmarkStart w:id="572" w:name="_Toc3021"/>
          </w:p>
        </w:tc>
        <w:tc>
          <w:tcPr>
            <w:tcW w:w="970" w:type="dxa"/>
            <w:vAlign w:val="center"/>
          </w:tcPr>
          <w:p w14:paraId="6651E539">
            <w:pPr>
              <w:pStyle w:val="4"/>
              <w:shd w:val="clear"/>
              <w:rPr>
                <w:rFonts w:hint="eastAsia" w:ascii="仿宋" w:hAnsi="仿宋" w:eastAsia="仿宋" w:cs="仿宋"/>
                <w:color w:val="auto"/>
                <w:sz w:val="21"/>
                <w:szCs w:val="21"/>
                <w:highlight w:val="none"/>
              </w:rPr>
            </w:pPr>
          </w:p>
        </w:tc>
        <w:tc>
          <w:tcPr>
            <w:tcW w:w="2424" w:type="dxa"/>
            <w:gridSpan w:val="2"/>
            <w:vAlign w:val="center"/>
          </w:tcPr>
          <w:p w14:paraId="2F9B18CC">
            <w:pPr>
              <w:pStyle w:val="4"/>
              <w:shd w:val="clea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大写</w:t>
            </w:r>
            <w:bookmarkEnd w:id="572"/>
          </w:p>
        </w:tc>
        <w:tc>
          <w:tcPr>
            <w:tcW w:w="2760" w:type="dxa"/>
            <w:gridSpan w:val="2"/>
            <w:vAlign w:val="center"/>
          </w:tcPr>
          <w:p w14:paraId="7E68D37F">
            <w:pPr>
              <w:pStyle w:val="4"/>
              <w:shd w:val="clear"/>
              <w:rPr>
                <w:rFonts w:hint="eastAsia" w:ascii="仿宋" w:hAnsi="仿宋" w:eastAsia="仿宋" w:cs="仿宋"/>
                <w:color w:val="auto"/>
                <w:sz w:val="21"/>
                <w:szCs w:val="21"/>
                <w:highlight w:val="none"/>
              </w:rPr>
            </w:pPr>
            <w:bookmarkStart w:id="573" w:name="_Toc3291"/>
            <w:r>
              <w:rPr>
                <w:rFonts w:hint="default" w:ascii="Arial" w:hAnsi="Arial" w:eastAsia="仿宋" w:cs="Arial"/>
                <w:color w:val="auto"/>
                <w:sz w:val="21"/>
                <w:szCs w:val="21"/>
                <w:highlight w:val="none"/>
              </w:rPr>
              <w:t>¥</w:t>
            </w:r>
            <w:bookmarkEnd w:id="573"/>
          </w:p>
        </w:tc>
      </w:tr>
    </w:tbl>
    <w:p w14:paraId="1F74E190">
      <w:pPr>
        <w:pStyle w:val="57"/>
        <w:keepNext w:val="0"/>
        <w:keepLines w:val="0"/>
        <w:pageBreakBefore w:val="0"/>
        <w:widowControl w:val="0"/>
        <w:shd w:val="clear"/>
        <w:kinsoku/>
        <w:wordWrap/>
        <w:overflowPunct/>
        <w:topLinePunct w:val="0"/>
        <w:autoSpaceDE/>
        <w:autoSpaceDN/>
        <w:bidi w:val="0"/>
        <w:adjustRightInd w:val="0"/>
        <w:snapToGrid w:val="0"/>
        <w:spacing w:line="360" w:lineRule="auto"/>
        <w:ind w:firstLine="241" w:firstLineChars="100"/>
        <w:textAlignment w:val="auto"/>
        <w:outlineLvl w:val="1"/>
        <w:rPr>
          <w:rFonts w:hint="eastAsia" w:ascii="仿宋" w:hAnsi="仿宋" w:eastAsia="仿宋" w:cs="仿宋"/>
          <w:b/>
          <w:color w:val="auto"/>
          <w:sz w:val="24"/>
          <w:szCs w:val="24"/>
          <w:highlight w:val="none"/>
        </w:rPr>
      </w:pPr>
      <w:bookmarkStart w:id="574" w:name="_Toc5759"/>
      <w:r>
        <w:rPr>
          <w:rFonts w:hint="eastAsia" w:ascii="仿宋" w:hAnsi="仿宋" w:eastAsia="仿宋" w:cs="仿宋"/>
          <w:b/>
          <w:color w:val="auto"/>
          <w:sz w:val="24"/>
          <w:szCs w:val="24"/>
          <w:highlight w:val="none"/>
        </w:rPr>
        <w:t>第二条 合同价款</w:t>
      </w:r>
      <w:bookmarkEnd w:id="574"/>
    </w:p>
    <w:p w14:paraId="4BC986CA">
      <w:pPr>
        <w:pStyle w:val="4"/>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auto"/>
          <w:sz w:val="21"/>
          <w:szCs w:val="21"/>
          <w:highlight w:val="none"/>
        </w:rPr>
      </w:pPr>
      <w:bookmarkStart w:id="575" w:name="_Toc16920"/>
      <w:r>
        <w:rPr>
          <w:rFonts w:hint="eastAsia" w:ascii="仿宋" w:hAnsi="仿宋" w:eastAsia="仿宋" w:cs="仿宋"/>
          <w:b w:val="0"/>
          <w:color w:val="auto"/>
          <w:sz w:val="21"/>
          <w:szCs w:val="21"/>
          <w:highlight w:val="none"/>
        </w:rPr>
        <w:t>1、合同总价为人民币大写：</w:t>
      </w:r>
      <w:r>
        <w:rPr>
          <w:rFonts w:hint="eastAsia" w:ascii="仿宋" w:hAnsi="仿宋" w:eastAsia="仿宋" w:cs="仿宋"/>
          <w:b w:val="0"/>
          <w:color w:val="auto"/>
          <w:sz w:val="21"/>
          <w:szCs w:val="21"/>
          <w:highlight w:val="none"/>
          <w:u w:val="single"/>
          <w:lang w:val="en-US" w:eastAsia="zh-CN"/>
        </w:rPr>
        <w:t xml:space="preserve">      </w:t>
      </w:r>
      <w:r>
        <w:rPr>
          <w:rFonts w:hint="eastAsia" w:ascii="仿宋" w:hAnsi="仿宋" w:eastAsia="仿宋" w:cs="仿宋"/>
          <w:b w:val="0"/>
          <w:color w:val="auto"/>
          <w:sz w:val="21"/>
          <w:szCs w:val="21"/>
          <w:highlight w:val="none"/>
          <w:u w:val="single"/>
        </w:rPr>
        <w:t>元，RMB¥</w:t>
      </w:r>
      <w:r>
        <w:rPr>
          <w:rFonts w:hint="eastAsia" w:ascii="仿宋" w:hAnsi="仿宋" w:eastAsia="仿宋" w:cs="仿宋"/>
          <w:b w:val="0"/>
          <w:color w:val="auto"/>
          <w:sz w:val="21"/>
          <w:szCs w:val="21"/>
          <w:highlight w:val="none"/>
          <w:u w:val="single"/>
          <w:lang w:val="en-US" w:eastAsia="zh-CN"/>
        </w:rPr>
        <w:t xml:space="preserve">  </w:t>
      </w:r>
      <w:r>
        <w:rPr>
          <w:rFonts w:hint="eastAsia" w:ascii="仿宋" w:hAnsi="仿宋" w:eastAsia="仿宋" w:cs="仿宋"/>
          <w:b w:val="0"/>
          <w:color w:val="auto"/>
          <w:sz w:val="21"/>
          <w:szCs w:val="21"/>
          <w:highlight w:val="none"/>
        </w:rPr>
        <w:t>。</w:t>
      </w:r>
      <w:bookmarkEnd w:id="575"/>
    </w:p>
    <w:p w14:paraId="71564C19">
      <w:pPr>
        <w:pStyle w:val="4"/>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auto"/>
          <w:sz w:val="21"/>
          <w:szCs w:val="21"/>
          <w:highlight w:val="none"/>
        </w:rPr>
      </w:pPr>
      <w:bookmarkStart w:id="576" w:name="_Toc22771"/>
      <w:r>
        <w:rPr>
          <w:rFonts w:hint="eastAsia" w:ascii="仿宋" w:hAnsi="仿宋" w:eastAsia="仿宋" w:cs="仿宋"/>
          <w:b w:val="0"/>
          <w:color w:val="auto"/>
          <w:sz w:val="21"/>
          <w:szCs w:val="21"/>
          <w:highlight w:val="none"/>
        </w:rPr>
        <w:t>2、本合同总价是货物（产品）包装、运输等其他有关各项的含税费用。</w:t>
      </w:r>
      <w:bookmarkEnd w:id="576"/>
    </w:p>
    <w:p w14:paraId="4C544608">
      <w:pPr>
        <w:pStyle w:val="4"/>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auto"/>
          <w:sz w:val="21"/>
          <w:szCs w:val="21"/>
          <w:highlight w:val="none"/>
        </w:rPr>
      </w:pPr>
      <w:bookmarkStart w:id="577" w:name="_Toc11740"/>
      <w:r>
        <w:rPr>
          <w:rFonts w:hint="eastAsia" w:ascii="仿宋" w:hAnsi="仿宋" w:eastAsia="仿宋" w:cs="仿宋"/>
          <w:b w:val="0"/>
          <w:color w:val="auto"/>
          <w:sz w:val="21"/>
          <w:szCs w:val="21"/>
          <w:highlight w:val="none"/>
        </w:rPr>
        <w:t>3、本合同总价还包含乙方应当提供的伴随服务和售后服务费用。</w:t>
      </w:r>
      <w:bookmarkEnd w:id="577"/>
    </w:p>
    <w:p w14:paraId="7335601A">
      <w:pPr>
        <w:pStyle w:val="4"/>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auto"/>
          <w:sz w:val="21"/>
          <w:szCs w:val="21"/>
          <w:highlight w:val="none"/>
        </w:rPr>
      </w:pPr>
      <w:bookmarkStart w:id="578" w:name="_Toc28511"/>
      <w:r>
        <w:rPr>
          <w:rFonts w:hint="eastAsia" w:ascii="仿宋" w:hAnsi="仿宋" w:eastAsia="仿宋" w:cs="仿宋"/>
          <w:b w:val="0"/>
          <w:color w:val="auto"/>
          <w:sz w:val="21"/>
          <w:szCs w:val="21"/>
          <w:highlight w:val="none"/>
        </w:rPr>
        <w:t>4、本合同执行期间合同总价不变，甲方无须另向乙方支付本合同规定之外的其他任何费用。</w:t>
      </w:r>
      <w:bookmarkEnd w:id="578"/>
    </w:p>
    <w:p w14:paraId="07D94F25">
      <w:pPr>
        <w:pStyle w:val="4"/>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b w:val="0"/>
          <w:color w:val="auto"/>
          <w:sz w:val="21"/>
          <w:szCs w:val="21"/>
          <w:highlight w:val="none"/>
        </w:rPr>
      </w:pPr>
      <w:bookmarkStart w:id="579" w:name="_Toc1038"/>
      <w:r>
        <w:rPr>
          <w:rFonts w:hint="eastAsia" w:ascii="仿宋" w:hAnsi="仿宋" w:eastAsia="仿宋" w:cs="仿宋"/>
          <w:b w:val="0"/>
          <w:color w:val="auto"/>
          <w:sz w:val="21"/>
          <w:szCs w:val="21"/>
          <w:highlight w:val="none"/>
        </w:rPr>
        <w:t>5、本合同总价需包含完成本项目所必须的全部费用。（产品如涉及专利等方面问题，应按 国家相关规定取得授权并确保不发生纠纷，投标（中标）企业须承担相关费用，如产生纠纷 由投标（中标）企业承担全部责任。）</w:t>
      </w:r>
      <w:bookmarkEnd w:id="579"/>
    </w:p>
    <w:p w14:paraId="33B3ECAC">
      <w:pPr>
        <w:pStyle w:val="4"/>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jc w:val="both"/>
        <w:rPr>
          <w:rFonts w:hint="eastAsia" w:ascii="仿宋" w:hAnsi="仿宋" w:eastAsia="仿宋" w:cs="仿宋"/>
          <w:color w:val="auto"/>
          <w:sz w:val="24"/>
          <w:szCs w:val="24"/>
          <w:highlight w:val="none"/>
        </w:rPr>
      </w:pPr>
      <w:bookmarkStart w:id="580" w:name="_Toc11403"/>
      <w:r>
        <w:rPr>
          <w:rFonts w:hint="eastAsia" w:ascii="仿宋" w:hAnsi="仿宋" w:eastAsia="仿宋" w:cs="仿宋"/>
          <w:color w:val="auto"/>
          <w:sz w:val="24"/>
          <w:szCs w:val="24"/>
          <w:highlight w:val="none"/>
        </w:rPr>
        <w:t>第三条 货款支付</w:t>
      </w:r>
      <w:bookmarkEnd w:id="580"/>
    </w:p>
    <w:p w14:paraId="09AA3EDB">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20" w:firstLineChars="100"/>
        <w:outlineLvl w:val="1"/>
        <w:rPr>
          <w:rFonts w:hint="eastAsia" w:ascii="仿宋" w:hAnsi="仿宋" w:eastAsia="仿宋" w:cs="仿宋"/>
          <w:color w:val="auto"/>
          <w:sz w:val="22"/>
          <w:szCs w:val="22"/>
        </w:rPr>
      </w:pPr>
      <w:bookmarkStart w:id="581" w:name="_Toc26850"/>
      <w:r>
        <w:rPr>
          <w:rFonts w:hint="eastAsia" w:ascii="仿宋" w:hAnsi="仿宋" w:eastAsia="仿宋" w:cs="仿宋"/>
          <w:color w:val="auto"/>
          <w:sz w:val="22"/>
          <w:szCs w:val="22"/>
        </w:rPr>
        <w:t>根据项目进度进行支付。</w:t>
      </w:r>
    </w:p>
    <w:p w14:paraId="6530D76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auto"/>
          <w:sz w:val="24"/>
          <w:szCs w:val="24"/>
          <w:highlight w:val="none"/>
        </w:rPr>
      </w:pPr>
      <w:r>
        <w:rPr>
          <w:rFonts w:hint="eastAsia" w:ascii="仿宋" w:hAnsi="仿宋" w:eastAsia="仿宋" w:cs="仿宋"/>
          <w:b/>
          <w:bCs/>
          <w:color w:val="auto"/>
          <w:kern w:val="0"/>
          <w:sz w:val="24"/>
          <w:szCs w:val="24"/>
          <w:highlight w:val="none"/>
        </w:rPr>
        <w:t xml:space="preserve">第四条 </w:t>
      </w:r>
      <w:r>
        <w:rPr>
          <w:rFonts w:hint="eastAsia" w:ascii="仿宋" w:hAnsi="仿宋" w:eastAsia="仿宋" w:cs="仿宋"/>
          <w:b/>
          <w:bCs/>
          <w:color w:val="auto"/>
          <w:kern w:val="0"/>
          <w:sz w:val="24"/>
          <w:szCs w:val="24"/>
          <w:highlight w:val="none"/>
          <w:lang w:eastAsia="zh-CN"/>
        </w:rPr>
        <w:t>交货期</w:t>
      </w:r>
      <w:r>
        <w:rPr>
          <w:rFonts w:hint="eastAsia" w:ascii="仿宋" w:hAnsi="仿宋" w:eastAsia="仿宋" w:cs="仿宋"/>
          <w:b/>
          <w:bCs/>
          <w:color w:val="auto"/>
          <w:kern w:val="0"/>
          <w:sz w:val="24"/>
          <w:szCs w:val="24"/>
          <w:highlight w:val="none"/>
        </w:rPr>
        <w:t>与地点</w:t>
      </w:r>
      <w:bookmarkEnd w:id="581"/>
    </w:p>
    <w:p w14:paraId="6DF620FF">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eastAsia="zh-CN"/>
        </w:rPr>
        <w:t>交货期</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执行招标文件内要求</w:t>
      </w:r>
    </w:p>
    <w:p w14:paraId="174A553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1.1.1中标人未征得采购人同意和谅解而单方面延迟履行合同期限，将按违约终止合同。</w:t>
      </w:r>
    </w:p>
    <w:p w14:paraId="417AE190">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1.1.2采购人遇到可能妨碍按时完工的情况，应当及时以书面形式通知采购人，说明原由、拖延的期限等；采购人在收到通知后，尽快进行情况评估并确定是否通过修改合同，酌情延长服务时间或者通过协商加收误期赔偿金。</w:t>
      </w:r>
    </w:p>
    <w:p w14:paraId="2F210421">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1.1.3如在供货过程中出现不可抗力得原因影响供货时间的，</w:t>
      </w:r>
      <w:r>
        <w:rPr>
          <w:rFonts w:hint="eastAsia" w:ascii="仿宋" w:hAnsi="仿宋" w:eastAsia="仿宋" w:cs="仿宋"/>
          <w:color w:val="auto"/>
          <w:sz w:val="21"/>
          <w:szCs w:val="21"/>
          <w:highlight w:val="none"/>
          <w:lang w:eastAsia="zh-CN"/>
        </w:rPr>
        <w:t>交货期</w:t>
      </w:r>
      <w:r>
        <w:rPr>
          <w:rFonts w:hint="eastAsia" w:ascii="仿宋" w:hAnsi="仿宋" w:eastAsia="仿宋" w:cs="仿宋"/>
          <w:color w:val="auto"/>
          <w:sz w:val="21"/>
          <w:szCs w:val="21"/>
          <w:highlight w:val="none"/>
        </w:rPr>
        <w:t>相应顺延。</w:t>
      </w:r>
    </w:p>
    <w:p w14:paraId="65E1797F">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地点：</w:t>
      </w:r>
      <w:r>
        <w:rPr>
          <w:rFonts w:hint="eastAsia" w:ascii="仿宋" w:hAnsi="仿宋" w:eastAsia="仿宋" w:cs="仿宋"/>
          <w:color w:val="auto"/>
          <w:kern w:val="2"/>
          <w:sz w:val="21"/>
          <w:szCs w:val="21"/>
          <w:highlight w:val="none"/>
          <w:lang w:val="en-US" w:eastAsia="zh-CN"/>
        </w:rPr>
        <w:t>采购人指定地点。</w:t>
      </w:r>
    </w:p>
    <w:p w14:paraId="6F35AE38">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auto"/>
          <w:sz w:val="24"/>
          <w:szCs w:val="24"/>
          <w:highlight w:val="none"/>
        </w:rPr>
      </w:pPr>
      <w:bookmarkStart w:id="582" w:name="_Toc5671"/>
      <w:r>
        <w:rPr>
          <w:rFonts w:hint="eastAsia" w:ascii="仿宋" w:hAnsi="仿宋" w:eastAsia="仿宋" w:cs="仿宋"/>
          <w:b/>
          <w:color w:val="auto"/>
          <w:sz w:val="24"/>
          <w:szCs w:val="24"/>
          <w:highlight w:val="none"/>
        </w:rPr>
        <w:t>第五条 质量保证</w:t>
      </w:r>
      <w:bookmarkEnd w:id="582"/>
    </w:p>
    <w:p w14:paraId="523D831C">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1、乙方须提供全新的、未使用过的合格正品货物，完全符合合同规定的质量、规格的要求。</w:t>
      </w:r>
    </w:p>
    <w:p w14:paraId="33EB4E3B">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2、乙方提供的节能和环保产品必须是列入政府采购清单的产品。</w:t>
      </w:r>
    </w:p>
    <w:p w14:paraId="1FE9B4EA">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3、质量标准按照最新颁布的国家标准、行业标准或制造商企业标准确定，上述标准不一致的，以严格标准为准。</w:t>
      </w:r>
    </w:p>
    <w:p w14:paraId="4FE6F1A0">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4、乙方所提供货物还应符合国家和陕西省有关安全、环保、节能之规定，“3C”认证的货物（产品）应加贴“3C”认证标志。</w:t>
      </w:r>
    </w:p>
    <w:p w14:paraId="1626695A">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5、货物制造质量出现问题，乙方应负责三包（包修、包换、包退），费用由乙方负担，甲方有权到乙方生产场地检查货物质量和生产进度。</w:t>
      </w:r>
    </w:p>
    <w:p w14:paraId="254519D1">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auto"/>
          <w:sz w:val="24"/>
          <w:szCs w:val="24"/>
          <w:highlight w:val="none"/>
        </w:rPr>
      </w:pPr>
      <w:bookmarkStart w:id="583" w:name="_Toc7279"/>
      <w:r>
        <w:rPr>
          <w:rFonts w:hint="eastAsia" w:ascii="仿宋" w:hAnsi="仿宋" w:eastAsia="仿宋" w:cs="仿宋"/>
          <w:b/>
          <w:color w:val="auto"/>
          <w:sz w:val="24"/>
          <w:szCs w:val="24"/>
          <w:highlight w:val="none"/>
        </w:rPr>
        <w:t>第六条 权利保证</w:t>
      </w:r>
      <w:bookmarkEnd w:id="583"/>
    </w:p>
    <w:p w14:paraId="7B5A7C3F">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1、乙方保证对其出售的货物享有合法的权利。</w:t>
      </w:r>
    </w:p>
    <w:p w14:paraId="257DF786">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2、乙方保证对其出售的货物上不存在任何未曾向甲方透露的担保物权，如抵押权、质押权、留置权。</w:t>
      </w:r>
    </w:p>
    <w:p w14:paraId="1E590E80">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3、乙方保证对其出售的货物或其任何一部分没有侵犯第三方的专利权、版权、商标权或其他权利。</w:t>
      </w:r>
    </w:p>
    <w:p w14:paraId="55142AEF">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4、如甲方在使用该货物构成上述侵权的，则由乙方承担全部责任。</w:t>
      </w:r>
    </w:p>
    <w:p w14:paraId="18F98CE9">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color w:val="auto"/>
          <w:sz w:val="30"/>
          <w:szCs w:val="30"/>
          <w:highlight w:val="none"/>
        </w:rPr>
      </w:pPr>
      <w:bookmarkStart w:id="584" w:name="_Toc129"/>
      <w:r>
        <w:rPr>
          <w:rFonts w:hint="eastAsia" w:ascii="仿宋" w:hAnsi="仿宋" w:eastAsia="仿宋" w:cs="仿宋"/>
          <w:b/>
          <w:color w:val="auto"/>
          <w:sz w:val="24"/>
          <w:szCs w:val="24"/>
          <w:highlight w:val="none"/>
        </w:rPr>
        <w:t>第七条 包装要求与运输方式</w:t>
      </w:r>
      <w:bookmarkEnd w:id="584"/>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30"/>
          <w:szCs w:val="30"/>
          <w:highlight w:val="none"/>
        </w:rPr>
        <w:t xml:space="preserve"> </w:t>
      </w:r>
    </w:p>
    <w:p w14:paraId="63342C74">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1、除合同另有规定外，乙方提供的全部货物均应按标准保护措施进行包装，该包装应适应于远距离运输、防潮、防震、防锈和防野蛮装卸，以确保货物安全运抵指定地点。</w:t>
      </w:r>
    </w:p>
    <w:p w14:paraId="69EDFBAF">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2、每一包装单元应附详细的装箱单和质量合格证。</w:t>
      </w:r>
    </w:p>
    <w:p w14:paraId="6DD82B72">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3、货物（产品）运输方式：</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p>
    <w:p w14:paraId="3A462D3B">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4、乙方负责货物（产品）运输，货物运输的合理损耗及计算方法。</w:t>
      </w:r>
    </w:p>
    <w:p w14:paraId="0B97A863">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color w:val="auto"/>
          <w:sz w:val="24"/>
          <w:szCs w:val="24"/>
          <w:highlight w:val="none"/>
        </w:rPr>
      </w:pPr>
      <w:bookmarkStart w:id="585" w:name="_Toc11592"/>
      <w:r>
        <w:rPr>
          <w:rFonts w:hint="eastAsia" w:ascii="仿宋" w:hAnsi="仿宋" w:eastAsia="仿宋" w:cs="仿宋"/>
          <w:b/>
          <w:color w:val="auto"/>
          <w:sz w:val="24"/>
          <w:szCs w:val="24"/>
          <w:highlight w:val="none"/>
        </w:rPr>
        <w:t>第八条 验收</w:t>
      </w:r>
      <w:bookmarkEnd w:id="585"/>
    </w:p>
    <w:p w14:paraId="7B099A2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1、货物验收由甲方组织，乙方配合，并按下列程序进行：</w:t>
      </w:r>
    </w:p>
    <w:p w14:paraId="7FAF1127">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交货验收时，乙方须提供质检部门产品抽样检查合格的检测报告（或生产厂家自检报告）及所提供货物（产品）的合格证、装箱清单、配件、随机工具、用户使用手册（产品使用说明书）、保修卡等资料交付给甲方；</w:t>
      </w:r>
    </w:p>
    <w:p w14:paraId="26C345BF">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（2）到货验收 ：货物到达后，按合同第一条款的货物清单和装箱单经行逐一核对，同时检查货物外观，是否有划痕或破损的，并做好相应记录；</w:t>
      </w:r>
    </w:p>
    <w:p w14:paraId="5182DB19">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货物初验：乙方应在货物到货之日起，日内全部完成安装调试完毕；乙方安装调试完毕后日内完成初步验收；初步验收合格后，进入试用期，由甲乙双方另行商定；试用期间发生重大质量问题，修复后试用期相应顺延；</w:t>
      </w:r>
    </w:p>
    <w:p w14:paraId="7C74E230">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（4）货物终验：试用期结束后日内完成最终验收；</w:t>
      </w:r>
    </w:p>
    <w:p w14:paraId="7816FB0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（5）货物和相关配套质量验收合格，双方签署质量验收报告。</w:t>
      </w:r>
    </w:p>
    <w:p w14:paraId="1386ADF0">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2、货物验收依据：</w:t>
      </w:r>
    </w:p>
    <w:p w14:paraId="2C1A96B0">
      <w:pPr>
        <w:pStyle w:val="13"/>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（1）采购文件；</w:t>
      </w:r>
    </w:p>
    <w:p w14:paraId="049248F7">
      <w:pPr>
        <w:pStyle w:val="13"/>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（2）投标文件；</w:t>
      </w:r>
    </w:p>
    <w:p w14:paraId="75EB18FB">
      <w:pPr>
        <w:pStyle w:val="13"/>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（3）采购合同及补充协议；</w:t>
      </w:r>
    </w:p>
    <w:p w14:paraId="0BBB8861">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（4）质检部门抽样检查货物（产品）合格的检测报告。</w:t>
      </w:r>
    </w:p>
    <w:p w14:paraId="4B17D7C4">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3、货物验收时发现问题的处理办法：</w:t>
      </w:r>
    </w:p>
    <w:p w14:paraId="21800B26">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（1）乙方提供不符合采购文件和本合同规定的货物（产品），甲方有权拒绝接受；</w:t>
      </w:r>
    </w:p>
    <w:p w14:paraId="566EB709">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如发现所交付的货物有短装、次品、损坏或其它不符合标准及本合同规定之情形者，甲方有权要求更换货物（产品），同时做出详尽的现场记录，或由甲乙双方签署备忘录，此现场记录或备忘录可用作补充、缺失和更换损坏部件或更换整个货物（产品）有效证据，由此产生的时间延误与有关费用由乙方承担，验收期限相应顺延；</w:t>
      </w:r>
    </w:p>
    <w:p w14:paraId="694A76A9">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（3）如货物经乙方</w:t>
      </w:r>
      <w:r>
        <w:rPr>
          <w:rFonts w:hint="eastAsia" w:ascii="仿宋" w:hAnsi="仿宋" w:eastAsia="仿宋" w:cs="仿宋"/>
          <w:color w:val="auto"/>
          <w:sz w:val="21"/>
          <w:szCs w:val="21"/>
          <w:highlight w:val="none"/>
          <w:u w:val="single"/>
        </w:rPr>
        <w:t xml:space="preserve"> 2  </w:t>
      </w:r>
      <w:r>
        <w:rPr>
          <w:rFonts w:hint="eastAsia" w:ascii="仿宋" w:hAnsi="仿宋" w:eastAsia="仿宋" w:cs="仿宋"/>
          <w:color w:val="auto"/>
          <w:sz w:val="21"/>
          <w:szCs w:val="21"/>
          <w:highlight w:val="none"/>
        </w:rPr>
        <w:t>次维修仍不能达到合同约定的质量标准，甲方有权退货，并视作乙方不能交付货物而须支付违约赔偿金给甲方，甲方还可依法追究乙方的违约责任； </w:t>
      </w:r>
    </w:p>
    <w:p w14:paraId="02B7D69D">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1" w:firstLineChars="100"/>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w:t>
      </w:r>
      <w:r>
        <w:rPr>
          <w:rFonts w:hint="eastAsia" w:ascii="仿宋" w:hAnsi="仿宋" w:eastAsia="仿宋" w:cs="仿宋"/>
          <w:color w:val="auto"/>
          <w:sz w:val="21"/>
          <w:szCs w:val="21"/>
          <w:highlight w:val="none"/>
        </w:rPr>
        <w:t>4）货物安装完成15日后，且具备验收条件，乙方提出验收，而甲方无故不进行验收工作并已使用货物的，视同为已安装调试完成并验收合格。</w:t>
      </w:r>
    </w:p>
    <w:p w14:paraId="35FDB2C8">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（5）乙方不能完整交付货物及本条第一款规定的单证和工具的，必须负责补齐，否则视为未按合同约定交货；</w:t>
      </w:r>
    </w:p>
    <w:p w14:paraId="64C84BAB">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（6）超出合理磅差的处理方法：。</w:t>
      </w:r>
    </w:p>
    <w:p w14:paraId="50AE9EEC">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auto"/>
          <w:sz w:val="24"/>
          <w:szCs w:val="24"/>
          <w:highlight w:val="none"/>
        </w:rPr>
      </w:pPr>
      <w:bookmarkStart w:id="586" w:name="_Toc32307"/>
      <w:r>
        <w:rPr>
          <w:rFonts w:hint="eastAsia" w:ascii="仿宋" w:hAnsi="仿宋" w:eastAsia="仿宋" w:cs="仿宋"/>
          <w:b/>
          <w:color w:val="auto"/>
          <w:sz w:val="24"/>
          <w:szCs w:val="24"/>
          <w:highlight w:val="none"/>
        </w:rPr>
        <w:t>第九条 售后服务</w:t>
      </w:r>
      <w:bookmarkEnd w:id="586"/>
    </w:p>
    <w:p w14:paraId="4C05FCF5">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乙方应按照国家有关法律法规和“三包”规定以及采购文件要求和投标文件的“服务承诺”提供服务，并提供不少于1年原厂硬软件免费售后和维护服务及</w:t>
      </w:r>
      <w:r>
        <w:rPr>
          <w:rFonts w:hint="eastAsia" w:ascii="仿宋" w:hAnsi="仿宋" w:eastAsia="仿宋" w:cs="仿宋"/>
          <w:color w:val="auto"/>
          <w:sz w:val="21"/>
          <w:szCs w:val="21"/>
          <w:highlight w:val="none"/>
        </w:rPr>
        <w:t>软件终身免费升级</w:t>
      </w:r>
      <w:r>
        <w:rPr>
          <w:rFonts w:hint="eastAsia" w:ascii="仿宋" w:hAnsi="仿宋" w:eastAsia="仿宋" w:cs="仿宋"/>
          <w:color w:val="auto"/>
          <w:kern w:val="0"/>
          <w:sz w:val="21"/>
          <w:szCs w:val="21"/>
          <w:highlight w:val="none"/>
        </w:rPr>
        <w:t>。</w:t>
      </w:r>
    </w:p>
    <w:p w14:paraId="687CD5D1">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color w:val="auto"/>
          <w:sz w:val="24"/>
          <w:szCs w:val="24"/>
          <w:highlight w:val="none"/>
        </w:rPr>
      </w:pPr>
      <w:bookmarkStart w:id="587" w:name="_Toc11515"/>
      <w:r>
        <w:rPr>
          <w:rFonts w:hint="eastAsia" w:ascii="仿宋" w:hAnsi="仿宋" w:eastAsia="仿宋" w:cs="仿宋"/>
          <w:b/>
          <w:color w:val="auto"/>
          <w:sz w:val="24"/>
          <w:szCs w:val="24"/>
          <w:highlight w:val="none"/>
        </w:rPr>
        <w:t>第十条 违约责任</w:t>
      </w:r>
      <w:bookmarkEnd w:id="587"/>
    </w:p>
    <w:p w14:paraId="59BD24DC">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1、甲方违约责任</w:t>
      </w:r>
    </w:p>
    <w:p w14:paraId="1F0412F5">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（1）甲方无正当理由拒收货物的，甲方应偿付合同总价%的违约金；</w:t>
      </w:r>
    </w:p>
    <w:p w14:paraId="663B8E25">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（2）甲方逾期支付货款的，除应及时付足货款外，应向乙方每天支付欠款总额</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‰的滞纳金；但累计滞纳金总额不超过欠款总额的</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w:t>
      </w:r>
    </w:p>
    <w:p w14:paraId="0711B1F6">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2、乙方违约责任</w:t>
      </w:r>
    </w:p>
    <w:p w14:paraId="3C65FDD9">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（1）如乙方不能交付货物，甲方有权扣留全部履约保证金；同时乙方应向甲方支付合同总价</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kern w:val="0"/>
          <w:szCs w:val="21"/>
          <w:highlight w:val="none"/>
        </w:rPr>
        <w:t>％的违约金；</w:t>
      </w:r>
    </w:p>
    <w:p w14:paraId="7E9BBE35">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（2）乙方逾期交付货物的，每逾期1天，乙方向甲方偿付逾期交货部分货款总额的‰的滞纳金。如乙方逾期交货达</w:t>
      </w:r>
      <w:r>
        <w:rPr>
          <w:rFonts w:hint="eastAsia" w:ascii="仿宋" w:hAnsi="仿宋" w:eastAsia="仿宋" w:cs="仿宋"/>
          <w:color w:val="auto"/>
          <w:kern w:val="0"/>
          <w:szCs w:val="21"/>
          <w:highlight w:val="none"/>
          <w:u w:val="single"/>
        </w:rPr>
        <w:t>_7__</w:t>
      </w:r>
      <w:r>
        <w:rPr>
          <w:rFonts w:hint="eastAsia" w:ascii="仿宋" w:hAnsi="仿宋" w:eastAsia="仿宋" w:cs="仿宋"/>
          <w:color w:val="auto"/>
          <w:kern w:val="0"/>
          <w:szCs w:val="21"/>
          <w:highlight w:val="none"/>
        </w:rPr>
        <w:t>天，甲方有权解除合同，解除合同的通知自到达乙方时生效；</w:t>
      </w:r>
    </w:p>
    <w:p w14:paraId="50D5B53E">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（3）乙方所交付的货物品种、型号、规格不符合合同规定的，甲方有权拒收。甲方拒收的，乙方应向甲方支付货款总额</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的违约金；</w:t>
      </w:r>
    </w:p>
    <w:p w14:paraId="4E161F4A">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（4）乙方货物经甲方送交具有法定资格条件的质量技术监督机构检测后，如检测结果认定货物质量不符合本合同规定标准的，则视为乙方没有按时交货而违约，乙方须在</w:t>
      </w:r>
      <w:r>
        <w:rPr>
          <w:rFonts w:hint="eastAsia" w:ascii="仿宋" w:hAnsi="仿宋" w:eastAsia="仿宋" w:cs="仿宋"/>
          <w:color w:val="auto"/>
          <w:sz w:val="21"/>
          <w:szCs w:val="21"/>
          <w:highlight w:val="none"/>
          <w:u w:val="single"/>
        </w:rPr>
        <w:t xml:space="preserve"> 3  </w:t>
      </w:r>
      <w:r>
        <w:rPr>
          <w:rFonts w:hint="eastAsia" w:ascii="仿宋" w:hAnsi="仿宋" w:eastAsia="仿宋" w:cs="仿宋"/>
          <w:color w:val="auto"/>
          <w:sz w:val="21"/>
          <w:szCs w:val="21"/>
          <w:highlight w:val="none"/>
        </w:rPr>
        <w:t>天内无条件更换合格的货物，如逾期不能更换合格的货物，甲方有权终止本合同，乙方应另向甲方支付货款总额的%的违约金；</w:t>
      </w:r>
    </w:p>
    <w:p w14:paraId="30B600EF">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5）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14:paraId="06E4F768">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（6）乙方未按本合同第十条的规定向甲方交付履约保证金的，应按应交付履约保证金的</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%向甲方支付违约金，该违约金的支付不影响乙方应承担的其他违约责任；</w:t>
      </w:r>
    </w:p>
    <w:p w14:paraId="1AD0C228">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（7）乙方未按本合同的规定和“服务承诺”提供伴随服务/售后服务的，应按合同总价款的</w:t>
      </w:r>
      <w:r>
        <w:rPr>
          <w:rFonts w:hint="eastAsia" w:ascii="仿宋" w:hAnsi="仿宋" w:eastAsia="仿宋" w:cs="仿宋"/>
          <w:color w:val="auto"/>
          <w:kern w:val="0"/>
          <w:sz w:val="21"/>
          <w:szCs w:val="21"/>
          <w:highlight w:val="none"/>
          <w:u w:val="single"/>
        </w:rPr>
        <w:t xml:space="preserve"> 5 </w:t>
      </w:r>
      <w:r>
        <w:rPr>
          <w:rFonts w:hint="eastAsia" w:ascii="仿宋" w:hAnsi="仿宋" w:eastAsia="仿宋" w:cs="仿宋"/>
          <w:color w:val="auto"/>
          <w:kern w:val="0"/>
          <w:sz w:val="21"/>
          <w:szCs w:val="21"/>
          <w:highlight w:val="none"/>
        </w:rPr>
        <w:t>%向甲方承担违约责任；</w:t>
      </w:r>
    </w:p>
    <w:p w14:paraId="31F4EE06">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（8）乙方在承担上述1-7款一项或多项违约责任后，仍应继续履行合同规定的义务（甲方解除合同的除外）。甲方未能及时追究乙方的任何一项违约责任并不表明甲方放弃追究乙方该项或其他违约责任；</w:t>
      </w:r>
    </w:p>
    <w:p w14:paraId="32BAEEEE">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（9）乙方偿付的违约金不足以弥补甲方损失的，还应按甲方损失尚未弥补的部分，支付赔偿金给甲方。</w:t>
      </w:r>
    </w:p>
    <w:p w14:paraId="1F7244C1">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41" w:firstLineChars="100"/>
        <w:jc w:val="left"/>
        <w:outlineLvl w:val="1"/>
        <w:rPr>
          <w:rFonts w:hint="eastAsia" w:ascii="仿宋" w:hAnsi="仿宋" w:eastAsia="仿宋" w:cs="仿宋"/>
          <w:color w:val="auto"/>
          <w:kern w:val="0"/>
          <w:sz w:val="24"/>
          <w:szCs w:val="24"/>
          <w:highlight w:val="none"/>
        </w:rPr>
      </w:pPr>
      <w:bookmarkStart w:id="588" w:name="_Toc31609"/>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 xml:space="preserve">条 </w:t>
      </w:r>
      <w:r>
        <w:rPr>
          <w:rFonts w:hint="eastAsia" w:ascii="仿宋" w:hAnsi="仿宋" w:eastAsia="仿宋" w:cs="仿宋"/>
          <w:b/>
          <w:color w:val="auto"/>
          <w:kern w:val="0"/>
          <w:sz w:val="24"/>
          <w:szCs w:val="24"/>
          <w:highlight w:val="none"/>
        </w:rPr>
        <w:t>合同的变更和终止</w:t>
      </w:r>
      <w:bookmarkEnd w:id="588"/>
    </w:p>
    <w:p w14:paraId="20CCF255">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10" w:firstLineChars="1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除《中华人民共和国政府采购法》第49条、第50条第二款规定的情形外，本合同一经签订，甲乙双方不得擅自变更、中止或终止合同。</w:t>
      </w:r>
    </w:p>
    <w:p w14:paraId="10E59F97">
      <w:pPr>
        <w:keepNext w:val="0"/>
        <w:keepLines w:val="0"/>
        <w:pageBreakBefore w:val="0"/>
        <w:widowControl/>
        <w:shd w:val="clear"/>
        <w:kinsoku/>
        <w:wordWrap/>
        <w:overflowPunct/>
        <w:topLinePunct w:val="0"/>
        <w:autoSpaceDE/>
        <w:autoSpaceDN/>
        <w:bidi w:val="0"/>
        <w:adjustRightInd w:val="0"/>
        <w:snapToGrid w:val="0"/>
        <w:spacing w:line="360" w:lineRule="auto"/>
        <w:ind w:left="0" w:leftChars="0" w:firstLine="241" w:firstLineChars="100"/>
        <w:jc w:val="left"/>
        <w:outlineLvl w:val="1"/>
        <w:rPr>
          <w:rFonts w:hint="eastAsia" w:ascii="仿宋" w:hAnsi="仿宋" w:eastAsia="仿宋" w:cs="仿宋"/>
          <w:b/>
          <w:color w:val="auto"/>
          <w:kern w:val="0"/>
          <w:sz w:val="24"/>
          <w:szCs w:val="24"/>
          <w:highlight w:val="none"/>
        </w:rPr>
      </w:pPr>
      <w:bookmarkStart w:id="589" w:name="_Toc304"/>
      <w:r>
        <w:rPr>
          <w:rFonts w:hint="eastAsia" w:ascii="仿宋" w:hAnsi="仿宋" w:eastAsia="仿宋" w:cs="仿宋"/>
          <w:b/>
          <w:color w:val="auto"/>
          <w:kern w:val="0"/>
          <w:sz w:val="24"/>
          <w:szCs w:val="24"/>
          <w:highlight w:val="none"/>
        </w:rPr>
        <w:t>第十</w:t>
      </w:r>
      <w:r>
        <w:rPr>
          <w:rFonts w:hint="eastAsia" w:ascii="仿宋" w:hAnsi="仿宋" w:eastAsia="仿宋" w:cs="仿宋"/>
          <w:b/>
          <w:color w:val="auto"/>
          <w:kern w:val="0"/>
          <w:sz w:val="24"/>
          <w:szCs w:val="24"/>
          <w:highlight w:val="none"/>
          <w:lang w:val="en-US" w:eastAsia="zh-CN"/>
        </w:rPr>
        <w:t>二</w:t>
      </w:r>
      <w:r>
        <w:rPr>
          <w:rFonts w:hint="eastAsia" w:ascii="仿宋" w:hAnsi="仿宋" w:eastAsia="仿宋" w:cs="仿宋"/>
          <w:b/>
          <w:color w:val="auto"/>
          <w:kern w:val="0"/>
          <w:sz w:val="24"/>
          <w:szCs w:val="24"/>
          <w:highlight w:val="none"/>
        </w:rPr>
        <w:t>条 争议的解决</w:t>
      </w:r>
      <w:bookmarkEnd w:id="589"/>
    </w:p>
    <w:p w14:paraId="756E2889">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1、因货物的质量问题发生争议，由质量技术监督部门或其指定的质量鉴定机构进行质量鉴定。货物符合标准的，鉴定费由甲方承担；货物不符合质量标准的，鉴定费由乙方承担。</w:t>
      </w:r>
    </w:p>
    <w:p w14:paraId="07871AD4">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2、因履行本合同引起的或与本合同有关的争议，甲、乙双方应首先通过友好协商解决，如果协商不成，则采取以下第_1_种方式解决争议：</w:t>
      </w:r>
    </w:p>
    <w:p w14:paraId="64EF0061">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（1）向甲方所在地有管辖权的人民法院提起诉讼；</w:t>
      </w:r>
    </w:p>
    <w:p w14:paraId="50844CDF">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（2）向____________仲裁委员会按其仲裁规则申请仲裁。</w:t>
      </w:r>
    </w:p>
    <w:p w14:paraId="64BDF113">
      <w:pPr>
        <w:pStyle w:val="57"/>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3、在仲裁期间，本合同应继续履行。</w:t>
      </w:r>
    </w:p>
    <w:p w14:paraId="60A02FD6">
      <w:pPr>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textAlignment w:val="baseline"/>
        <w:outlineLvl w:val="1"/>
        <w:rPr>
          <w:rFonts w:hint="eastAsia" w:ascii="仿宋" w:hAnsi="仿宋" w:eastAsia="仿宋" w:cs="仿宋"/>
          <w:b/>
          <w:color w:val="auto"/>
          <w:sz w:val="24"/>
          <w:szCs w:val="24"/>
          <w:highlight w:val="none"/>
        </w:rPr>
      </w:pPr>
      <w:bookmarkStart w:id="590" w:name="_Toc22373"/>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条合同文件</w:t>
      </w:r>
      <w:bookmarkEnd w:id="590"/>
    </w:p>
    <w:p w14:paraId="13EF1104">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textAlignment w:val="baseline"/>
        <w:rPr>
          <w:rFonts w:hint="eastAsia" w:ascii="仿宋" w:hAnsi="仿宋" w:eastAsia="仿宋" w:cs="仿宋"/>
          <w:color w:val="auto"/>
          <w:szCs w:val="21"/>
          <w:highlight w:val="none"/>
        </w:rPr>
      </w:pPr>
      <w:r>
        <w:rPr>
          <w:rFonts w:hint="eastAsia" w:ascii="仿宋" w:hAnsi="仿宋" w:eastAsia="仿宋" w:cs="仿宋"/>
          <w:color w:val="auto"/>
          <w:szCs w:val="21"/>
          <w:highlight w:val="none"/>
        </w:rPr>
        <w:t>详细技术说明及其他有关合同项目的特定信息由合同附件予以说明，下列文件构成本合同的组成部分，应该认为是一个整体，彼此相互解释，相互补充。组成合同的多个文件的优先支配地位的次序如下：</w:t>
      </w:r>
    </w:p>
    <w:p w14:paraId="546A6F98">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1、本合同书</w:t>
      </w:r>
    </w:p>
    <w:p w14:paraId="2C4A81BD">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2、中标通知书</w:t>
      </w:r>
      <w:r>
        <w:rPr>
          <w:rFonts w:hint="eastAsia" w:ascii="仿宋" w:hAnsi="仿宋" w:eastAsia="仿宋" w:cs="仿宋"/>
          <w:color w:val="auto"/>
          <w:szCs w:val="21"/>
          <w:highlight w:val="none"/>
        </w:rPr>
        <w:tab/>
      </w:r>
    </w:p>
    <w:p w14:paraId="51AE69C3">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3、协议</w:t>
      </w:r>
    </w:p>
    <w:p w14:paraId="284F91EC">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w:t>
      </w:r>
      <w:r>
        <w:rPr>
          <w:rFonts w:hint="eastAsia" w:ascii="仿宋" w:hAnsi="仿宋" w:eastAsia="仿宋" w:cs="仿宋"/>
          <w:color w:val="auto"/>
          <w:szCs w:val="21"/>
          <w:highlight w:val="none"/>
          <w:lang w:val="en-US" w:eastAsia="zh-CN"/>
        </w:rPr>
        <w:t>招标</w:t>
      </w:r>
      <w:r>
        <w:rPr>
          <w:rFonts w:hint="eastAsia" w:ascii="仿宋" w:hAnsi="仿宋" w:eastAsia="仿宋" w:cs="仿宋"/>
          <w:color w:val="auto"/>
          <w:szCs w:val="21"/>
          <w:highlight w:val="none"/>
        </w:rPr>
        <w:t>文件(含澄清文件)</w:t>
      </w:r>
    </w:p>
    <w:p w14:paraId="5FFD6396">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5、投标文件</w:t>
      </w:r>
    </w:p>
    <w:p w14:paraId="69F8C054">
      <w:pPr>
        <w:pStyle w:val="2"/>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jc w:val="both"/>
        <w:rPr>
          <w:rFonts w:hint="eastAsia" w:ascii="仿宋" w:hAnsi="仿宋" w:eastAsia="仿宋" w:cs="仿宋"/>
          <w:color w:val="auto"/>
          <w:highlight w:val="none"/>
        </w:rPr>
      </w:pPr>
      <w:r>
        <w:rPr>
          <w:rFonts w:hint="eastAsia" w:ascii="仿宋" w:hAnsi="仿宋" w:eastAsia="仿宋" w:cs="仿宋"/>
          <w:color w:val="auto"/>
          <w:szCs w:val="21"/>
          <w:highlight w:val="none"/>
        </w:rPr>
        <w:t>6、附件：安全责任协议（签订时合同时一并签订）</w:t>
      </w:r>
    </w:p>
    <w:p w14:paraId="60A02D26">
      <w:pPr>
        <w:keepNext w:val="0"/>
        <w:keepLines w:val="0"/>
        <w:pageBreakBefore w:val="0"/>
        <w:shd w:val="clear"/>
        <w:kinsoku/>
        <w:wordWrap/>
        <w:overflowPunct/>
        <w:topLinePunct w:val="0"/>
        <w:autoSpaceDE/>
        <w:autoSpaceDN/>
        <w:bidi w:val="0"/>
        <w:adjustRightInd w:val="0"/>
        <w:snapToGrid w:val="0"/>
        <w:spacing w:line="360" w:lineRule="auto"/>
        <w:ind w:left="0" w:leftChars="0" w:firstLine="241" w:firstLineChars="100"/>
        <w:outlineLvl w:val="1"/>
        <w:rPr>
          <w:rFonts w:hint="eastAsia" w:ascii="仿宋" w:hAnsi="仿宋" w:eastAsia="仿宋" w:cs="仿宋"/>
          <w:b/>
          <w:color w:val="auto"/>
          <w:kern w:val="0"/>
          <w:sz w:val="24"/>
          <w:szCs w:val="24"/>
          <w:highlight w:val="none"/>
        </w:rPr>
      </w:pPr>
      <w:bookmarkStart w:id="591" w:name="_Toc11752"/>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 xml:space="preserve">条 </w:t>
      </w:r>
      <w:r>
        <w:rPr>
          <w:rFonts w:hint="eastAsia" w:ascii="仿宋" w:hAnsi="仿宋" w:eastAsia="仿宋" w:cs="仿宋"/>
          <w:b/>
          <w:color w:val="auto"/>
          <w:kern w:val="0"/>
          <w:sz w:val="24"/>
          <w:szCs w:val="24"/>
          <w:highlight w:val="none"/>
        </w:rPr>
        <w:t>合同生效及其他</w:t>
      </w:r>
      <w:bookmarkEnd w:id="591"/>
    </w:p>
    <w:p w14:paraId="167DC1E1">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1、</w:t>
      </w:r>
      <w:r>
        <w:rPr>
          <w:rFonts w:hint="eastAsia" w:ascii="仿宋" w:hAnsi="仿宋" w:eastAsia="仿宋" w:cs="仿宋"/>
          <w:color w:val="auto"/>
          <w:szCs w:val="21"/>
          <w:highlight w:val="none"/>
        </w:rPr>
        <w:t>如有未尽事宜，由双方依法订立补充合同。</w:t>
      </w:r>
    </w:p>
    <w:p w14:paraId="26772267">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2、本合同自签订之日起生效。</w:t>
      </w:r>
    </w:p>
    <w:p w14:paraId="6713C428">
      <w:pPr>
        <w:keepNext w:val="0"/>
        <w:keepLines w:val="0"/>
        <w:pageBreakBefore w:val="0"/>
        <w:shd w:val="clear"/>
        <w:kinsoku/>
        <w:wordWrap/>
        <w:overflowPunct/>
        <w:topLinePunct w:val="0"/>
        <w:autoSpaceDE/>
        <w:autoSpaceDN/>
        <w:bidi w:val="0"/>
        <w:adjustRightInd w:val="0"/>
        <w:snapToGrid w:val="0"/>
        <w:spacing w:line="360" w:lineRule="auto"/>
        <w:ind w:left="0" w:leftChars="0" w:firstLine="210" w:firstLineChars="10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3、本合同一式___份，具有同等法律效力，甲乙双方各执____份，___份报送政府采购监督管理部门备案，一份采购代理机构存档。</w:t>
      </w:r>
    </w:p>
    <w:p w14:paraId="2CD3DF36">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Cs w:val="21"/>
          <w:highlight w:val="none"/>
        </w:rPr>
      </w:pPr>
    </w:p>
    <w:p w14:paraId="7C639491">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Cs w:val="21"/>
          <w:highlight w:val="none"/>
        </w:rPr>
      </w:pPr>
    </w:p>
    <w:p w14:paraId="67554307">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甲方：   （盖章）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乙方：   （盖章）</w:t>
      </w:r>
    </w:p>
    <w:p w14:paraId="0454B860">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法定代表人/授权代表：              法定代表人/授权代表：</w:t>
      </w:r>
    </w:p>
    <w:p w14:paraId="386FC38A">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                         地    址：</w:t>
      </w:r>
    </w:p>
    <w:p w14:paraId="458CAFC3">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开户银行：                         开户银行：</w:t>
      </w:r>
    </w:p>
    <w:p w14:paraId="6D01521E">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                         账    号：</w:t>
      </w:r>
    </w:p>
    <w:p w14:paraId="1E994181">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    话：                         电    话：</w:t>
      </w:r>
    </w:p>
    <w:p w14:paraId="065D7918">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    真：                         传    真：</w:t>
      </w:r>
    </w:p>
    <w:p w14:paraId="2DEFBE70">
      <w:pPr>
        <w:keepNext w:val="0"/>
        <w:keepLines w:val="0"/>
        <w:pageBreakBefore w:val="0"/>
        <w:widowControl w:val="0"/>
        <w:shd w:val="clear"/>
        <w:kinsoku/>
        <w:wordWrap/>
        <w:overflowPunct/>
        <w:topLinePunct w:val="0"/>
        <w:autoSpaceDE/>
        <w:autoSpaceDN/>
        <w:bidi w:val="0"/>
        <w:adjustRightInd w:val="0"/>
        <w:snapToGrid w:val="0"/>
        <w:spacing w:line="360" w:lineRule="auto"/>
        <w:ind w:firstLine="210" w:firstLineChars="100"/>
        <w:textAlignment w:val="auto"/>
        <w:rPr>
          <w:rFonts w:hint="eastAsia" w:ascii="黑体" w:hAnsi="黑体" w:eastAsia="黑体" w:cs="黑体"/>
          <w:color w:val="auto"/>
          <w:highlight w:val="none"/>
        </w:rPr>
      </w:pPr>
      <w:r>
        <w:rPr>
          <w:rFonts w:hint="eastAsia" w:ascii="仿宋" w:hAnsi="仿宋" w:eastAsia="仿宋" w:cs="仿宋"/>
          <w:color w:val="auto"/>
          <w:szCs w:val="21"/>
          <w:highlight w:val="none"/>
        </w:rPr>
        <w:t>签约日期：    年  月  日           签约日期：    年  月  日</w:t>
      </w:r>
    </w:p>
    <w:p w14:paraId="755E2969">
      <w:pPr>
        <w:shd w:val="clear"/>
        <w:adjustRightInd w:val="0"/>
        <w:snapToGrid w:val="0"/>
        <w:spacing w:line="360" w:lineRule="exact"/>
        <w:rPr>
          <w:rFonts w:hint="eastAsia" w:ascii="仿宋" w:hAnsi="仿宋" w:eastAsia="仿宋" w:cs="仿宋"/>
          <w:color w:val="auto"/>
          <w:sz w:val="21"/>
          <w:szCs w:val="21"/>
          <w:highlight w:val="none"/>
        </w:rPr>
      </w:pPr>
    </w:p>
    <w:sectPr>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MS Sans Serif">
    <w:altName w:val="Arial"/>
    <w:panose1 w:val="020B05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Garamond">
    <w:altName w:val="PMingLiU-ExtB"/>
    <w:panose1 w:val="02020404030301010803"/>
    <w:charset w:val="00"/>
    <w:family w:val="roman"/>
    <w:pitch w:val="default"/>
    <w:sig w:usb0="00000000" w:usb1="00000000" w:usb2="00000000" w:usb3="00000000" w:csb0="0000009F" w:csb1="DFD70000"/>
  </w:font>
  <w:font w:name="ˎ̥">
    <w:altName w:val="Times New Roman"/>
    <w:panose1 w:val="00000000000000000000"/>
    <w:charset w:val="00"/>
    <w:family w:val="auto"/>
    <w:pitch w:val="default"/>
    <w:sig w:usb0="00000000" w:usb1="00000000" w:usb2="00000000" w:usb3="00000000" w:csb0="00040001" w:csb1="00000000"/>
  </w:font>
  <w:font w:name="宋体-简">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5A238">
    <w:pPr>
      <w:pStyle w:val="30"/>
      <w:jc w:val="distribute"/>
      <w:rPr>
        <w:rFonts w:ascii="宋体" w:cs="宋体"/>
        <w:kern w:val="1"/>
        <w:sz w:val="24"/>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9323">
    <w:pPr>
      <w:pStyle w:val="30"/>
      <w:jc w:val="center"/>
    </w:pPr>
  </w:p>
  <w:p w14:paraId="5E864051">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566FF">
    <w:pPr>
      <w:pStyle w:val="30"/>
      <w:jc w:val="center"/>
    </w:pPr>
    <w:r>
      <w:rPr>
        <w:rFonts w:hint="eastAsia" w:ascii="宋体" w:hAnsi="宋体"/>
        <w:szCs w:val="18"/>
        <w:lang w:val="en-US" w:eastAsia="zh-CN"/>
      </w:rPr>
      <w:t xml:space="preserve">                                                     </w:t>
    </w:r>
    <w:r>
      <w:rPr>
        <w:sz w:val="18"/>
      </w:rPr>
      <mc:AlternateContent>
        <mc:Choice Requires="wps">
          <w:drawing>
            <wp:anchor distT="0" distB="0" distL="114300" distR="114300" simplePos="0" relativeHeight="251659264" behindDoc="0" locked="0" layoutInCell="1" allowOverlap="1">
              <wp:simplePos x="0" y="0"/>
              <wp:positionH relativeFrom="margin">
                <wp:posOffset>2576830</wp:posOffset>
              </wp:positionH>
              <wp:positionV relativeFrom="paragraph">
                <wp:posOffset>0</wp:posOffset>
              </wp:positionV>
              <wp:extent cx="806450" cy="1917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06450" cy="191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B85CA">
                          <w:pPr>
                            <w:pStyle w:val="30"/>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p w14:paraId="1E5E70D4">
                          <w:pPr>
                            <w:pStyle w:val="2"/>
                          </w:pPr>
                        </w:p>
                        <w:p w14:paraId="3A727B95">
                          <w:pPr>
                            <w:pStyle w:val="2"/>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2.9pt;margin-top:0pt;height:15.1pt;width:63.5pt;mso-position-horizontal-relative:margin;z-index:251659264;mso-width-relative:page;mso-height-relative:page;" filled="f" stroked="f" coordsize="21600,21600" o:gfxdata="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uHjL1gAAAAcBAAAPAAAAAAAAAAEAIAAAACIAAABkcnMvZG93bnJldi54&#10;bWxQSwECFAAUAAAACACHTuJApsdX7TUCAABhBAAADgAAAAAAAAABACAAAAAlAQAAZHJzL2Uyb0Rv&#10;Yy54bWxQSwUGAAAAAAYABgBZAQAAzAUAAAAA&#10;">
              <v:fill on="f" focussize="0,0"/>
              <v:stroke on="f" weight="0.5pt"/>
              <v:imagedata o:title=""/>
              <o:lock v:ext="edit" aspectratio="f"/>
              <v:textbox inset="0mm,0mm,0mm,0mm">
                <w:txbxContent>
                  <w:p w14:paraId="6B6B85CA">
                    <w:pPr>
                      <w:pStyle w:val="30"/>
                      <w:rPr>
                        <w:rFonts w:hint="eastAsia" w:eastAsia="宋体"/>
                        <w:lang w:val="en-US" w:eastAsia="zh-CN"/>
                      </w:rPr>
                    </w:pPr>
                    <w:r>
                      <w:t xml:space="preserve">— </w:t>
                    </w:r>
                    <w:r>
                      <w:fldChar w:fldCharType="begin"/>
                    </w:r>
                    <w:r>
                      <w:instrText xml:space="preserve"> PAGE  \* MERGEFORMAT </w:instrText>
                    </w:r>
                    <w:r>
                      <w:fldChar w:fldCharType="separate"/>
                    </w:r>
                    <w:r>
                      <w:t>1</w:t>
                    </w:r>
                    <w:r>
                      <w:fldChar w:fldCharType="end"/>
                    </w:r>
                    <w:r>
                      <w:t xml:space="preserve"> —</w:t>
                    </w:r>
                    <w:r>
                      <w:rPr>
                        <w:rFonts w:hint="eastAsia"/>
                        <w:lang w:val="en-US" w:eastAsia="zh-CN"/>
                      </w:rPr>
                      <w:t xml:space="preserve"> </w:t>
                    </w:r>
                  </w:p>
                  <w:p w14:paraId="1E5E70D4">
                    <w:pPr>
                      <w:pStyle w:val="2"/>
                    </w:pPr>
                  </w:p>
                  <w:p w14:paraId="3A727B95">
                    <w:pPr>
                      <w:pStyle w:val="2"/>
                    </w:pPr>
                  </w:p>
                </w:txbxContent>
              </v:textbox>
            </v:shape>
          </w:pict>
        </mc:Fallback>
      </mc:AlternateContent>
    </w:r>
  </w:p>
  <w:p w14:paraId="7D873C45">
    <w:pPr>
      <w:pStyle w:val="30"/>
      <w:pBdr>
        <w:top w:val="single" w:color="auto" w:sz="4" w:space="0"/>
      </w:pBdr>
    </w:pPr>
    <w:r>
      <w:rPr>
        <w:rFonts w:hint="eastAsia" w:ascii="宋体" w:hAnsi="宋体"/>
        <w:szCs w:val="18"/>
        <w:lang w:val="en-US" w:eastAsia="zh-CN"/>
      </w:rPr>
      <w:t xml:space="preserve">                                                 </w:t>
    </w:r>
    <w:r>
      <w:rPr>
        <w:rFonts w:hint="eastAsia" w:ascii="宋体" w:hAnsi="宋体" w:eastAsia="宋体" w:cs="宋体"/>
        <w:b w:val="0"/>
        <w:bCs/>
        <w:sz w:val="21"/>
        <w:szCs w:val="21"/>
        <w:lang w:val="en-US" w:eastAsia="zh-CN"/>
      </w:rPr>
      <w:t>采购代理机构：陕西汉正项目管理有限公司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0248">
    <w:pPr>
      <w:pStyle w:val="32"/>
      <w:pBdr>
        <w:top w:val="none" w:color="auto" w:sz="0" w:space="0"/>
        <w:left w:val="none" w:color="auto" w:sz="0" w:space="0"/>
        <w:bottom w:val="none" w:color="auto" w:sz="0" w:space="0"/>
        <w:right w:val="none" w:color="auto" w:sz="0" w:space="0"/>
      </w:pBdr>
      <w:jc w:val="distribute"/>
      <w:rPr>
        <w:sz w:val="28"/>
        <w:szCs w:val="28"/>
        <w:u w:val="none"/>
      </w:rPr>
    </w:pPr>
    <w:r>
      <w:rPr>
        <w:rFonts w:hint="eastAsia"/>
        <w:u w:val="none"/>
        <w:lang w:val="en-US" w:eastAsia="zh-CN"/>
      </w:rPr>
      <w:t xml:space="preserve">                                                                  </w:t>
    </w:r>
    <w:r>
      <w:rPr>
        <w:u w:val="none"/>
      </w:rPr>
      <w:fldChar w:fldCharType="begin"/>
    </w:r>
    <w:r>
      <w:rPr>
        <w:u w:val="none"/>
      </w:rPr>
      <w:instrText xml:space="preserve">INCLUDEPICTURE \d "C:\\Users\\lx\\AppData\\Local\\Packages\\Microsoft.Windows.Photos_8wekyb3d8bbwe\\TempState\\ShareServiceTempFolder\\c6aa0a0fb67aa5f0a33bdbf835be832.jpeg" \* MERGEFORMATINET </w:instrText>
    </w:r>
    <w:r>
      <w:rPr>
        <w:u w:val="none"/>
      </w:rPr>
      <w:fldChar w:fldCharType="separate"/>
    </w:r>
    <w:r>
      <w:rPr>
        <w:u w:val="none"/>
      </w:rPr>
      <w:drawing>
        <wp:inline distT="0" distB="0" distL="114300" distR="114300">
          <wp:extent cx="1483995" cy="316230"/>
          <wp:effectExtent l="0" t="0" r="9525" b="381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1"/>
                  <a:stretch>
                    <a:fillRect/>
                  </a:stretch>
                </pic:blipFill>
                <pic:spPr>
                  <a:xfrm>
                    <a:off x="0" y="0"/>
                    <a:ext cx="1483995" cy="316230"/>
                  </a:xfrm>
                  <a:prstGeom prst="rect">
                    <a:avLst/>
                  </a:prstGeom>
                  <a:noFill/>
                  <a:ln>
                    <a:noFill/>
                  </a:ln>
                </pic:spPr>
              </pic:pic>
            </a:graphicData>
          </a:graphic>
        </wp:inline>
      </w:drawing>
    </w:r>
    <w:r>
      <w:rPr>
        <w:u w:val="none"/>
      </w:rPr>
      <w:fldChar w:fldCharType="end"/>
    </w:r>
  </w:p>
  <w:p w14:paraId="0EC43BF7">
    <w:pPr>
      <w:pStyle w:val="32"/>
      <w:pBdr>
        <w:top w:val="none" w:color="auto" w:sz="0" w:space="0"/>
        <w:left w:val="none" w:color="auto" w:sz="0" w:space="0"/>
        <w:bottom w:val="none" w:color="auto" w:sz="0" w:space="0"/>
        <w:right w:val="none" w:color="auto" w:sz="0" w:space="0"/>
      </w:pBdr>
      <w:jc w:val="distribute"/>
      <w:rPr>
        <w:b/>
        <w:sz w:val="28"/>
        <w:szCs w:val="28"/>
        <w:u w:val="doub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EDFFA">
    <w:pPr>
      <w:pStyle w:val="32"/>
      <w:pBdr>
        <w:bottom w:val="single" w:color="auto" w:sz="4" w:space="1"/>
      </w:pBdr>
      <w:tabs>
        <w:tab w:val="right" w:pos="0"/>
        <w:tab w:val="clear" w:pos="4153"/>
        <w:tab w:val="clear" w:pos="8306"/>
      </w:tabs>
      <w:jc w:val="both"/>
      <w:rPr>
        <w:rFonts w:hint="eastAsia" w:ascii="宋体" w:hAnsi="宋体" w:eastAsia="宋体" w:cs="宋体"/>
        <w:lang w:val="en-US" w:eastAsia="zh-CN"/>
      </w:rPr>
    </w:pPr>
    <w:r>
      <w:rPr>
        <w:rFonts w:hint="eastAsia" w:ascii="宋体" w:hAnsi="宋体" w:eastAsia="宋体" w:cs="宋体"/>
        <w:i w:val="0"/>
        <w:iCs w:val="0"/>
        <w:caps w:val="0"/>
        <w:color w:val="auto"/>
        <w:spacing w:val="0"/>
        <w:sz w:val="21"/>
        <w:szCs w:val="21"/>
        <w:shd w:val="clear" w:fill="FFFFFF"/>
      </w:rPr>
      <w:t>宁强县水利局分散供水工程消毒药剂购置项目</w:t>
    </w:r>
    <w:r>
      <w:rPr>
        <w:rFonts w:hint="eastAsia" w:ascii="宋体" w:hAnsi="宋体" w:eastAsia="宋体" w:cs="宋体"/>
        <w:i w:val="0"/>
        <w:iCs w:val="0"/>
        <w:caps w:val="0"/>
        <w:color w:val="auto"/>
        <w:spacing w:val="0"/>
        <w:sz w:val="21"/>
        <w:szCs w:val="21"/>
        <w:shd w:val="clear" w:fill="FFFFFF"/>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18887F"/>
    <w:multiLevelType w:val="singleLevel"/>
    <w:tmpl w:val="8C18887F"/>
    <w:lvl w:ilvl="0" w:tentative="0">
      <w:start w:val="1"/>
      <w:numFmt w:val="decimal"/>
      <w:suff w:val="nothing"/>
      <w:lvlText w:val="%1、"/>
      <w:lvlJc w:val="left"/>
    </w:lvl>
  </w:abstractNum>
  <w:abstractNum w:abstractNumId="1">
    <w:nsid w:val="5C487675"/>
    <w:multiLevelType w:val="multilevel"/>
    <w:tmpl w:val="5C487675"/>
    <w:lvl w:ilvl="0" w:tentative="0">
      <w:start w:val="1"/>
      <w:numFmt w:val="decimal"/>
      <w:lvlText w:val="第%1章"/>
      <w:lvlJc w:val="left"/>
      <w:pPr>
        <w:ind w:left="425" w:hanging="425"/>
      </w:pPr>
      <w:rPr>
        <w:rFonts w:hint="eastAsia"/>
        <w:sz w:val="44"/>
      </w:rPr>
    </w:lvl>
    <w:lvl w:ilvl="1" w:tentative="0">
      <w:start w:val="1"/>
      <w:numFmt w:val="decimal"/>
      <w:lvlText w:val="%1.%2"/>
      <w:lvlJc w:val="left"/>
      <w:pPr>
        <w:ind w:left="0" w:firstLine="0"/>
      </w:pPr>
      <w:rPr>
        <w:rFonts w:hint="eastAsia"/>
        <w:sz w:val="36"/>
      </w:rPr>
    </w:lvl>
    <w:lvl w:ilvl="2" w:tentative="0">
      <w:start w:val="1"/>
      <w:numFmt w:val="decimal"/>
      <w:pStyle w:val="239"/>
      <w:lvlText w:val="%1.%2.%3"/>
      <w:lvlJc w:val="left"/>
      <w:pPr>
        <w:ind w:left="397" w:firstLine="0"/>
      </w:pPr>
      <w:rPr>
        <w:rFonts w:hint="eastAsia"/>
        <w:sz w:val="32"/>
      </w:rPr>
    </w:lvl>
    <w:lvl w:ilvl="3" w:tentative="0">
      <w:start w:val="1"/>
      <w:numFmt w:val="decimal"/>
      <w:lvlText w:val="%1.%2.%3.%4"/>
      <w:lvlJc w:val="left"/>
      <w:pPr>
        <w:ind w:left="851" w:firstLine="0"/>
      </w:pPr>
      <w:rPr>
        <w:rFonts w:hint="eastAsia"/>
        <w:sz w:val="30"/>
      </w:rPr>
    </w:lvl>
    <w:lvl w:ilvl="4" w:tentative="0">
      <w:start w:val="1"/>
      <w:numFmt w:val="decimal"/>
      <w:lvlText w:val="%1.%2.%3.%4.%5"/>
      <w:lvlJc w:val="left"/>
      <w:pPr>
        <w:ind w:left="1134" w:firstLine="0"/>
      </w:pPr>
      <w:rPr>
        <w:rFonts w:hint="eastAsia"/>
        <w:sz w:val="28"/>
      </w:rPr>
    </w:lvl>
    <w:lvl w:ilvl="5" w:tentative="0">
      <w:start w:val="1"/>
      <w:numFmt w:val="decimal"/>
      <w:lvlText w:val="%1.%2.%3.%4.%5.%6"/>
      <w:lvlJc w:val="left"/>
      <w:pPr>
        <w:ind w:left="3260" w:hanging="1134"/>
      </w:pPr>
      <w:rPr>
        <w:rFonts w:hint="eastAsia"/>
        <w:sz w:val="24"/>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755EDCF1"/>
    <w:multiLevelType w:val="singleLevel"/>
    <w:tmpl w:val="755EDCF1"/>
    <w:lvl w:ilvl="0" w:tentative="0">
      <w:start w:val="3"/>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Y3NmQ4ZGIyZDQzZmE4OTJjYzI4MTQ2ZWE5ZDEifQ=="/>
    <w:docVar w:name="KSO_WPS_MARK_KEY" w:val="913be8d1-743a-4127-a7c3-a81b7f4ed10a"/>
  </w:docVars>
  <w:rsids>
    <w:rsidRoot w:val="00172A27"/>
    <w:rsid w:val="000001D1"/>
    <w:rsid w:val="00002C1F"/>
    <w:rsid w:val="00003574"/>
    <w:rsid w:val="0000688B"/>
    <w:rsid w:val="00007BCE"/>
    <w:rsid w:val="00007DED"/>
    <w:rsid w:val="00016C5D"/>
    <w:rsid w:val="00021E99"/>
    <w:rsid w:val="00023F5F"/>
    <w:rsid w:val="00024CD5"/>
    <w:rsid w:val="00025A75"/>
    <w:rsid w:val="00025A93"/>
    <w:rsid w:val="000267EF"/>
    <w:rsid w:val="00037BE7"/>
    <w:rsid w:val="00040C24"/>
    <w:rsid w:val="000415D5"/>
    <w:rsid w:val="00043C5B"/>
    <w:rsid w:val="00043EA3"/>
    <w:rsid w:val="0004459A"/>
    <w:rsid w:val="00045266"/>
    <w:rsid w:val="00047899"/>
    <w:rsid w:val="000538D8"/>
    <w:rsid w:val="000554EC"/>
    <w:rsid w:val="00056052"/>
    <w:rsid w:val="00056A12"/>
    <w:rsid w:val="0006415F"/>
    <w:rsid w:val="0006577B"/>
    <w:rsid w:val="0006580D"/>
    <w:rsid w:val="00071935"/>
    <w:rsid w:val="000740A9"/>
    <w:rsid w:val="00095731"/>
    <w:rsid w:val="000B1DF8"/>
    <w:rsid w:val="000D10E4"/>
    <w:rsid w:val="000D548B"/>
    <w:rsid w:val="000D6161"/>
    <w:rsid w:val="000D7181"/>
    <w:rsid w:val="000E1026"/>
    <w:rsid w:val="000E2A9D"/>
    <w:rsid w:val="000E2E8A"/>
    <w:rsid w:val="000E4F4A"/>
    <w:rsid w:val="000E751C"/>
    <w:rsid w:val="000F73EF"/>
    <w:rsid w:val="000F7B80"/>
    <w:rsid w:val="00100D67"/>
    <w:rsid w:val="00105780"/>
    <w:rsid w:val="001075B9"/>
    <w:rsid w:val="00110934"/>
    <w:rsid w:val="00116098"/>
    <w:rsid w:val="00116F6D"/>
    <w:rsid w:val="00124490"/>
    <w:rsid w:val="00130A0E"/>
    <w:rsid w:val="00140B69"/>
    <w:rsid w:val="0014684D"/>
    <w:rsid w:val="0015178F"/>
    <w:rsid w:val="001566DD"/>
    <w:rsid w:val="00162EEA"/>
    <w:rsid w:val="00170817"/>
    <w:rsid w:val="00172A27"/>
    <w:rsid w:val="0018539E"/>
    <w:rsid w:val="00190A60"/>
    <w:rsid w:val="00190D7C"/>
    <w:rsid w:val="0019653E"/>
    <w:rsid w:val="001A0968"/>
    <w:rsid w:val="001A4DBA"/>
    <w:rsid w:val="001A722B"/>
    <w:rsid w:val="001B1981"/>
    <w:rsid w:val="001B55DB"/>
    <w:rsid w:val="001C04AD"/>
    <w:rsid w:val="001C5971"/>
    <w:rsid w:val="001C59BE"/>
    <w:rsid w:val="001C7AB4"/>
    <w:rsid w:val="001D15B2"/>
    <w:rsid w:val="001E5215"/>
    <w:rsid w:val="001F0DF9"/>
    <w:rsid w:val="001F18AF"/>
    <w:rsid w:val="001F4501"/>
    <w:rsid w:val="001F5C0C"/>
    <w:rsid w:val="0020158E"/>
    <w:rsid w:val="0020175C"/>
    <w:rsid w:val="00202095"/>
    <w:rsid w:val="002102D0"/>
    <w:rsid w:val="00213177"/>
    <w:rsid w:val="00217C44"/>
    <w:rsid w:val="0022255F"/>
    <w:rsid w:val="00223D99"/>
    <w:rsid w:val="002351E2"/>
    <w:rsid w:val="00240247"/>
    <w:rsid w:val="002415D4"/>
    <w:rsid w:val="00252DF9"/>
    <w:rsid w:val="002535FA"/>
    <w:rsid w:val="002539E7"/>
    <w:rsid w:val="002554A6"/>
    <w:rsid w:val="00257358"/>
    <w:rsid w:val="002637F5"/>
    <w:rsid w:val="002678AD"/>
    <w:rsid w:val="00271B91"/>
    <w:rsid w:val="00277883"/>
    <w:rsid w:val="002819BA"/>
    <w:rsid w:val="00292358"/>
    <w:rsid w:val="00296B29"/>
    <w:rsid w:val="002A0181"/>
    <w:rsid w:val="002A29D7"/>
    <w:rsid w:val="002A4B12"/>
    <w:rsid w:val="002A6938"/>
    <w:rsid w:val="002B0492"/>
    <w:rsid w:val="002B0F0C"/>
    <w:rsid w:val="002C1F71"/>
    <w:rsid w:val="002C3F57"/>
    <w:rsid w:val="002D31F8"/>
    <w:rsid w:val="002D6365"/>
    <w:rsid w:val="002E0C92"/>
    <w:rsid w:val="002E1026"/>
    <w:rsid w:val="002E64B8"/>
    <w:rsid w:val="002F2887"/>
    <w:rsid w:val="0030105E"/>
    <w:rsid w:val="0030229E"/>
    <w:rsid w:val="00306D7D"/>
    <w:rsid w:val="00310844"/>
    <w:rsid w:val="00321E99"/>
    <w:rsid w:val="00323F6C"/>
    <w:rsid w:val="00342768"/>
    <w:rsid w:val="00344818"/>
    <w:rsid w:val="003477E8"/>
    <w:rsid w:val="003505B2"/>
    <w:rsid w:val="0035109D"/>
    <w:rsid w:val="003533C2"/>
    <w:rsid w:val="00361116"/>
    <w:rsid w:val="003628A6"/>
    <w:rsid w:val="00364C39"/>
    <w:rsid w:val="00365574"/>
    <w:rsid w:val="003663D3"/>
    <w:rsid w:val="0037121B"/>
    <w:rsid w:val="00371980"/>
    <w:rsid w:val="00373909"/>
    <w:rsid w:val="003816B4"/>
    <w:rsid w:val="00381BE5"/>
    <w:rsid w:val="00382DD4"/>
    <w:rsid w:val="00390CB7"/>
    <w:rsid w:val="00391228"/>
    <w:rsid w:val="00391D63"/>
    <w:rsid w:val="00393BA0"/>
    <w:rsid w:val="00396E6F"/>
    <w:rsid w:val="003A0B49"/>
    <w:rsid w:val="003A0E5A"/>
    <w:rsid w:val="003A289B"/>
    <w:rsid w:val="003A2F33"/>
    <w:rsid w:val="003A4CAB"/>
    <w:rsid w:val="003A5276"/>
    <w:rsid w:val="003A5F48"/>
    <w:rsid w:val="003B5F4D"/>
    <w:rsid w:val="003B5FAC"/>
    <w:rsid w:val="003C18B2"/>
    <w:rsid w:val="003C2A60"/>
    <w:rsid w:val="003C2AC9"/>
    <w:rsid w:val="003C34E1"/>
    <w:rsid w:val="003C3DF7"/>
    <w:rsid w:val="003D1806"/>
    <w:rsid w:val="003D190A"/>
    <w:rsid w:val="003D7D82"/>
    <w:rsid w:val="003E1465"/>
    <w:rsid w:val="003E353F"/>
    <w:rsid w:val="003F530F"/>
    <w:rsid w:val="003F5773"/>
    <w:rsid w:val="003F646A"/>
    <w:rsid w:val="0040410C"/>
    <w:rsid w:val="0040706D"/>
    <w:rsid w:val="00410E6B"/>
    <w:rsid w:val="00414040"/>
    <w:rsid w:val="00415036"/>
    <w:rsid w:val="004154F0"/>
    <w:rsid w:val="00415FE4"/>
    <w:rsid w:val="00416A1B"/>
    <w:rsid w:val="00417F64"/>
    <w:rsid w:val="004218D9"/>
    <w:rsid w:val="00425116"/>
    <w:rsid w:val="00426E89"/>
    <w:rsid w:val="004303B6"/>
    <w:rsid w:val="00434130"/>
    <w:rsid w:val="00450A5C"/>
    <w:rsid w:val="00453889"/>
    <w:rsid w:val="0045474D"/>
    <w:rsid w:val="004570FA"/>
    <w:rsid w:val="00460A44"/>
    <w:rsid w:val="004666E5"/>
    <w:rsid w:val="004723FC"/>
    <w:rsid w:val="00487E43"/>
    <w:rsid w:val="004937A8"/>
    <w:rsid w:val="004A0DC0"/>
    <w:rsid w:val="004A1F19"/>
    <w:rsid w:val="004A2A93"/>
    <w:rsid w:val="004A344A"/>
    <w:rsid w:val="004A3A3C"/>
    <w:rsid w:val="004A58C3"/>
    <w:rsid w:val="004B41C3"/>
    <w:rsid w:val="004B7976"/>
    <w:rsid w:val="004C0A72"/>
    <w:rsid w:val="004C1197"/>
    <w:rsid w:val="004C1691"/>
    <w:rsid w:val="004C1EBA"/>
    <w:rsid w:val="004C26BC"/>
    <w:rsid w:val="004D1130"/>
    <w:rsid w:val="004E6D75"/>
    <w:rsid w:val="004F06BD"/>
    <w:rsid w:val="004F0A05"/>
    <w:rsid w:val="005002CA"/>
    <w:rsid w:val="0050235F"/>
    <w:rsid w:val="005033C4"/>
    <w:rsid w:val="0051094B"/>
    <w:rsid w:val="00512F09"/>
    <w:rsid w:val="005138F7"/>
    <w:rsid w:val="00514B25"/>
    <w:rsid w:val="00521B18"/>
    <w:rsid w:val="00522546"/>
    <w:rsid w:val="00530D85"/>
    <w:rsid w:val="005344F9"/>
    <w:rsid w:val="00537CD7"/>
    <w:rsid w:val="00540431"/>
    <w:rsid w:val="00543D5A"/>
    <w:rsid w:val="005452CE"/>
    <w:rsid w:val="00546DAC"/>
    <w:rsid w:val="00547641"/>
    <w:rsid w:val="00551E65"/>
    <w:rsid w:val="005539A0"/>
    <w:rsid w:val="00557BAC"/>
    <w:rsid w:val="005676B1"/>
    <w:rsid w:val="00567A8B"/>
    <w:rsid w:val="00573358"/>
    <w:rsid w:val="00574049"/>
    <w:rsid w:val="00576727"/>
    <w:rsid w:val="00576DF1"/>
    <w:rsid w:val="00580DAE"/>
    <w:rsid w:val="00581016"/>
    <w:rsid w:val="0058322B"/>
    <w:rsid w:val="00585638"/>
    <w:rsid w:val="00590499"/>
    <w:rsid w:val="005926F9"/>
    <w:rsid w:val="0059608A"/>
    <w:rsid w:val="005A47F7"/>
    <w:rsid w:val="005B31E8"/>
    <w:rsid w:val="005B786E"/>
    <w:rsid w:val="005C1340"/>
    <w:rsid w:val="005C1EAA"/>
    <w:rsid w:val="005D1FA6"/>
    <w:rsid w:val="005E50E6"/>
    <w:rsid w:val="005F406B"/>
    <w:rsid w:val="005F495A"/>
    <w:rsid w:val="005F7200"/>
    <w:rsid w:val="0060031E"/>
    <w:rsid w:val="00613E79"/>
    <w:rsid w:val="006152F0"/>
    <w:rsid w:val="00615453"/>
    <w:rsid w:val="00615B20"/>
    <w:rsid w:val="00620F37"/>
    <w:rsid w:val="006254AD"/>
    <w:rsid w:val="00626C25"/>
    <w:rsid w:val="0063217D"/>
    <w:rsid w:val="0063285F"/>
    <w:rsid w:val="00634A92"/>
    <w:rsid w:val="00635093"/>
    <w:rsid w:val="00640943"/>
    <w:rsid w:val="00641902"/>
    <w:rsid w:val="0064487F"/>
    <w:rsid w:val="006449D4"/>
    <w:rsid w:val="00646B40"/>
    <w:rsid w:val="006474BF"/>
    <w:rsid w:val="006507A3"/>
    <w:rsid w:val="0065523A"/>
    <w:rsid w:val="00672E1A"/>
    <w:rsid w:val="0067342F"/>
    <w:rsid w:val="00676A6B"/>
    <w:rsid w:val="00677485"/>
    <w:rsid w:val="00681115"/>
    <w:rsid w:val="00687E93"/>
    <w:rsid w:val="00693C54"/>
    <w:rsid w:val="006A51BD"/>
    <w:rsid w:val="006B2DEB"/>
    <w:rsid w:val="006B39BE"/>
    <w:rsid w:val="006D5089"/>
    <w:rsid w:val="006D787E"/>
    <w:rsid w:val="006E52A9"/>
    <w:rsid w:val="006E6D69"/>
    <w:rsid w:val="006F0CF3"/>
    <w:rsid w:val="006F5041"/>
    <w:rsid w:val="00704F31"/>
    <w:rsid w:val="00706557"/>
    <w:rsid w:val="00710D5A"/>
    <w:rsid w:val="007221CC"/>
    <w:rsid w:val="00725983"/>
    <w:rsid w:val="007322C9"/>
    <w:rsid w:val="0073324F"/>
    <w:rsid w:val="00733B64"/>
    <w:rsid w:val="0073493A"/>
    <w:rsid w:val="0073688F"/>
    <w:rsid w:val="007412AC"/>
    <w:rsid w:val="00744990"/>
    <w:rsid w:val="00745AFE"/>
    <w:rsid w:val="007558F4"/>
    <w:rsid w:val="00764EE4"/>
    <w:rsid w:val="00765B31"/>
    <w:rsid w:val="007707F4"/>
    <w:rsid w:val="00773E79"/>
    <w:rsid w:val="00774DDA"/>
    <w:rsid w:val="00777804"/>
    <w:rsid w:val="007830AF"/>
    <w:rsid w:val="007908EB"/>
    <w:rsid w:val="00794688"/>
    <w:rsid w:val="007958D5"/>
    <w:rsid w:val="00796486"/>
    <w:rsid w:val="007A0C10"/>
    <w:rsid w:val="007A6318"/>
    <w:rsid w:val="007C0CAA"/>
    <w:rsid w:val="007C28EA"/>
    <w:rsid w:val="007C65BF"/>
    <w:rsid w:val="007D0A06"/>
    <w:rsid w:val="008001D2"/>
    <w:rsid w:val="00800AF1"/>
    <w:rsid w:val="008051AE"/>
    <w:rsid w:val="0081426F"/>
    <w:rsid w:val="00816D81"/>
    <w:rsid w:val="0082316D"/>
    <w:rsid w:val="00823688"/>
    <w:rsid w:val="00834949"/>
    <w:rsid w:val="00836DC5"/>
    <w:rsid w:val="00845926"/>
    <w:rsid w:val="008501C1"/>
    <w:rsid w:val="008503E7"/>
    <w:rsid w:val="00850DEF"/>
    <w:rsid w:val="008542D5"/>
    <w:rsid w:val="0085579A"/>
    <w:rsid w:val="008643F1"/>
    <w:rsid w:val="0086769A"/>
    <w:rsid w:val="0087174B"/>
    <w:rsid w:val="00873284"/>
    <w:rsid w:val="00873972"/>
    <w:rsid w:val="00876AD6"/>
    <w:rsid w:val="00885E16"/>
    <w:rsid w:val="008866A7"/>
    <w:rsid w:val="0089000B"/>
    <w:rsid w:val="008905BB"/>
    <w:rsid w:val="00890942"/>
    <w:rsid w:val="008A0175"/>
    <w:rsid w:val="008B0ED7"/>
    <w:rsid w:val="008B7B4F"/>
    <w:rsid w:val="008C09BD"/>
    <w:rsid w:val="008C34F0"/>
    <w:rsid w:val="008D06A0"/>
    <w:rsid w:val="008D5140"/>
    <w:rsid w:val="008E2261"/>
    <w:rsid w:val="008E27DF"/>
    <w:rsid w:val="008E4B86"/>
    <w:rsid w:val="008E4E42"/>
    <w:rsid w:val="008E63DC"/>
    <w:rsid w:val="008F6BE7"/>
    <w:rsid w:val="009001A6"/>
    <w:rsid w:val="009011B9"/>
    <w:rsid w:val="009024EB"/>
    <w:rsid w:val="009042C0"/>
    <w:rsid w:val="00905D56"/>
    <w:rsid w:val="009134BF"/>
    <w:rsid w:val="009165DF"/>
    <w:rsid w:val="00916DB7"/>
    <w:rsid w:val="00924D8F"/>
    <w:rsid w:val="00926DB5"/>
    <w:rsid w:val="00930BFE"/>
    <w:rsid w:val="009318C7"/>
    <w:rsid w:val="0093720B"/>
    <w:rsid w:val="00947146"/>
    <w:rsid w:val="009572B9"/>
    <w:rsid w:val="009639CC"/>
    <w:rsid w:val="00971BDE"/>
    <w:rsid w:val="009762E1"/>
    <w:rsid w:val="00976EFB"/>
    <w:rsid w:val="009841C9"/>
    <w:rsid w:val="00990375"/>
    <w:rsid w:val="00994C10"/>
    <w:rsid w:val="009A0312"/>
    <w:rsid w:val="009A28B2"/>
    <w:rsid w:val="009A2F9C"/>
    <w:rsid w:val="009B32BB"/>
    <w:rsid w:val="009C1497"/>
    <w:rsid w:val="009C2DE3"/>
    <w:rsid w:val="009C41B0"/>
    <w:rsid w:val="009C5392"/>
    <w:rsid w:val="009C5A2A"/>
    <w:rsid w:val="009C614F"/>
    <w:rsid w:val="009C7915"/>
    <w:rsid w:val="009D299C"/>
    <w:rsid w:val="009E0214"/>
    <w:rsid w:val="009E2393"/>
    <w:rsid w:val="009F1EFC"/>
    <w:rsid w:val="00A02D3B"/>
    <w:rsid w:val="00A07F6F"/>
    <w:rsid w:val="00A11E4C"/>
    <w:rsid w:val="00A14BDA"/>
    <w:rsid w:val="00A151A1"/>
    <w:rsid w:val="00A15F00"/>
    <w:rsid w:val="00A20D22"/>
    <w:rsid w:val="00A215FC"/>
    <w:rsid w:val="00A24DDD"/>
    <w:rsid w:val="00A27CE2"/>
    <w:rsid w:val="00A35302"/>
    <w:rsid w:val="00A36608"/>
    <w:rsid w:val="00A42026"/>
    <w:rsid w:val="00A42635"/>
    <w:rsid w:val="00A45241"/>
    <w:rsid w:val="00A46062"/>
    <w:rsid w:val="00A477EB"/>
    <w:rsid w:val="00A545F0"/>
    <w:rsid w:val="00A575F7"/>
    <w:rsid w:val="00A57FA7"/>
    <w:rsid w:val="00A60859"/>
    <w:rsid w:val="00A6760D"/>
    <w:rsid w:val="00A7181A"/>
    <w:rsid w:val="00A74082"/>
    <w:rsid w:val="00A823C6"/>
    <w:rsid w:val="00A82964"/>
    <w:rsid w:val="00A90A2C"/>
    <w:rsid w:val="00A93F7F"/>
    <w:rsid w:val="00A945D0"/>
    <w:rsid w:val="00A966BD"/>
    <w:rsid w:val="00A97B83"/>
    <w:rsid w:val="00AA6108"/>
    <w:rsid w:val="00AB4EDF"/>
    <w:rsid w:val="00AB518A"/>
    <w:rsid w:val="00AB5757"/>
    <w:rsid w:val="00AB68D7"/>
    <w:rsid w:val="00AD05F1"/>
    <w:rsid w:val="00AE161A"/>
    <w:rsid w:val="00AE4279"/>
    <w:rsid w:val="00AE4CFC"/>
    <w:rsid w:val="00AF01A2"/>
    <w:rsid w:val="00AF2F14"/>
    <w:rsid w:val="00B14B61"/>
    <w:rsid w:val="00B17AB6"/>
    <w:rsid w:val="00B21030"/>
    <w:rsid w:val="00B230F5"/>
    <w:rsid w:val="00B23BA4"/>
    <w:rsid w:val="00B24E4D"/>
    <w:rsid w:val="00B30BBC"/>
    <w:rsid w:val="00B31C25"/>
    <w:rsid w:val="00B4435C"/>
    <w:rsid w:val="00B50BD9"/>
    <w:rsid w:val="00B55527"/>
    <w:rsid w:val="00B618E6"/>
    <w:rsid w:val="00B6560A"/>
    <w:rsid w:val="00B66E16"/>
    <w:rsid w:val="00B8033E"/>
    <w:rsid w:val="00B928D6"/>
    <w:rsid w:val="00B93CFD"/>
    <w:rsid w:val="00BA2477"/>
    <w:rsid w:val="00BA5904"/>
    <w:rsid w:val="00BA7E17"/>
    <w:rsid w:val="00BB182C"/>
    <w:rsid w:val="00BB2B1A"/>
    <w:rsid w:val="00BC3580"/>
    <w:rsid w:val="00BC6DDA"/>
    <w:rsid w:val="00BD3CC8"/>
    <w:rsid w:val="00BD4FB8"/>
    <w:rsid w:val="00BE46A7"/>
    <w:rsid w:val="00BE4F32"/>
    <w:rsid w:val="00BE7067"/>
    <w:rsid w:val="00BF62B9"/>
    <w:rsid w:val="00C06CA2"/>
    <w:rsid w:val="00C109EC"/>
    <w:rsid w:val="00C12ED9"/>
    <w:rsid w:val="00C21B50"/>
    <w:rsid w:val="00C21BE8"/>
    <w:rsid w:val="00C23308"/>
    <w:rsid w:val="00C26E2C"/>
    <w:rsid w:val="00C30454"/>
    <w:rsid w:val="00C31B42"/>
    <w:rsid w:val="00C34221"/>
    <w:rsid w:val="00C34EBB"/>
    <w:rsid w:val="00C35341"/>
    <w:rsid w:val="00C40E63"/>
    <w:rsid w:val="00C43810"/>
    <w:rsid w:val="00C441D9"/>
    <w:rsid w:val="00C54EFA"/>
    <w:rsid w:val="00C570AA"/>
    <w:rsid w:val="00C61BDA"/>
    <w:rsid w:val="00C6210A"/>
    <w:rsid w:val="00C6305A"/>
    <w:rsid w:val="00C709E2"/>
    <w:rsid w:val="00C72FE6"/>
    <w:rsid w:val="00C76C8A"/>
    <w:rsid w:val="00C8361C"/>
    <w:rsid w:val="00C83CC6"/>
    <w:rsid w:val="00C84172"/>
    <w:rsid w:val="00C91522"/>
    <w:rsid w:val="00C97C58"/>
    <w:rsid w:val="00CA29DF"/>
    <w:rsid w:val="00CA77B8"/>
    <w:rsid w:val="00CB14A8"/>
    <w:rsid w:val="00CC10F6"/>
    <w:rsid w:val="00CD0C6F"/>
    <w:rsid w:val="00CD2E76"/>
    <w:rsid w:val="00CD3E33"/>
    <w:rsid w:val="00CD56CF"/>
    <w:rsid w:val="00CE10FB"/>
    <w:rsid w:val="00CE2415"/>
    <w:rsid w:val="00CE73B1"/>
    <w:rsid w:val="00CF29DA"/>
    <w:rsid w:val="00D0031B"/>
    <w:rsid w:val="00D00892"/>
    <w:rsid w:val="00D0367F"/>
    <w:rsid w:val="00D13F57"/>
    <w:rsid w:val="00D16C0D"/>
    <w:rsid w:val="00D2003F"/>
    <w:rsid w:val="00D217ED"/>
    <w:rsid w:val="00D21C13"/>
    <w:rsid w:val="00D26C05"/>
    <w:rsid w:val="00D32FDA"/>
    <w:rsid w:val="00D3392A"/>
    <w:rsid w:val="00D341BE"/>
    <w:rsid w:val="00D40CB5"/>
    <w:rsid w:val="00D41493"/>
    <w:rsid w:val="00D43727"/>
    <w:rsid w:val="00D44A81"/>
    <w:rsid w:val="00D45C40"/>
    <w:rsid w:val="00D5777A"/>
    <w:rsid w:val="00D65A80"/>
    <w:rsid w:val="00D75B46"/>
    <w:rsid w:val="00D819DA"/>
    <w:rsid w:val="00D8528A"/>
    <w:rsid w:val="00D87AD1"/>
    <w:rsid w:val="00D9108E"/>
    <w:rsid w:val="00D91092"/>
    <w:rsid w:val="00D940BE"/>
    <w:rsid w:val="00D954C3"/>
    <w:rsid w:val="00DA1B57"/>
    <w:rsid w:val="00DA4464"/>
    <w:rsid w:val="00DA47FC"/>
    <w:rsid w:val="00DB474E"/>
    <w:rsid w:val="00DB7A71"/>
    <w:rsid w:val="00DC0BD8"/>
    <w:rsid w:val="00DC6F9D"/>
    <w:rsid w:val="00DD7263"/>
    <w:rsid w:val="00DD7C3C"/>
    <w:rsid w:val="00DF07D4"/>
    <w:rsid w:val="00DF3C76"/>
    <w:rsid w:val="00E01556"/>
    <w:rsid w:val="00E04727"/>
    <w:rsid w:val="00E10F24"/>
    <w:rsid w:val="00E24C6E"/>
    <w:rsid w:val="00E25281"/>
    <w:rsid w:val="00E26322"/>
    <w:rsid w:val="00E265D6"/>
    <w:rsid w:val="00E2789C"/>
    <w:rsid w:val="00E3248F"/>
    <w:rsid w:val="00E33490"/>
    <w:rsid w:val="00E36CC1"/>
    <w:rsid w:val="00E37326"/>
    <w:rsid w:val="00E42272"/>
    <w:rsid w:val="00E434D5"/>
    <w:rsid w:val="00E45A88"/>
    <w:rsid w:val="00E521C9"/>
    <w:rsid w:val="00E550FA"/>
    <w:rsid w:val="00E60070"/>
    <w:rsid w:val="00E629D3"/>
    <w:rsid w:val="00E62A9B"/>
    <w:rsid w:val="00E63F21"/>
    <w:rsid w:val="00E65E38"/>
    <w:rsid w:val="00E662AA"/>
    <w:rsid w:val="00E7384A"/>
    <w:rsid w:val="00E81B9E"/>
    <w:rsid w:val="00E82D93"/>
    <w:rsid w:val="00E8446E"/>
    <w:rsid w:val="00E84907"/>
    <w:rsid w:val="00E84E70"/>
    <w:rsid w:val="00E91D92"/>
    <w:rsid w:val="00E95283"/>
    <w:rsid w:val="00E95F4D"/>
    <w:rsid w:val="00EA1B50"/>
    <w:rsid w:val="00EA3F4F"/>
    <w:rsid w:val="00EA3F68"/>
    <w:rsid w:val="00EA6C7A"/>
    <w:rsid w:val="00EA779B"/>
    <w:rsid w:val="00EA780E"/>
    <w:rsid w:val="00EB32F8"/>
    <w:rsid w:val="00EB4028"/>
    <w:rsid w:val="00EB6CCC"/>
    <w:rsid w:val="00EC1B97"/>
    <w:rsid w:val="00EC2D92"/>
    <w:rsid w:val="00EC76DC"/>
    <w:rsid w:val="00ED0C48"/>
    <w:rsid w:val="00ED1724"/>
    <w:rsid w:val="00ED22E5"/>
    <w:rsid w:val="00ED3543"/>
    <w:rsid w:val="00ED5CF2"/>
    <w:rsid w:val="00ED66D4"/>
    <w:rsid w:val="00EE26C4"/>
    <w:rsid w:val="00EE64FF"/>
    <w:rsid w:val="00EF1B53"/>
    <w:rsid w:val="00EF68F6"/>
    <w:rsid w:val="00F025D9"/>
    <w:rsid w:val="00F07595"/>
    <w:rsid w:val="00F14796"/>
    <w:rsid w:val="00F1504E"/>
    <w:rsid w:val="00F21E47"/>
    <w:rsid w:val="00F311E3"/>
    <w:rsid w:val="00F31C52"/>
    <w:rsid w:val="00F328E5"/>
    <w:rsid w:val="00F36430"/>
    <w:rsid w:val="00F37DAD"/>
    <w:rsid w:val="00F43D0C"/>
    <w:rsid w:val="00F47E69"/>
    <w:rsid w:val="00F507C4"/>
    <w:rsid w:val="00F63F09"/>
    <w:rsid w:val="00F65E51"/>
    <w:rsid w:val="00F66CBF"/>
    <w:rsid w:val="00F74586"/>
    <w:rsid w:val="00F750DA"/>
    <w:rsid w:val="00F759FC"/>
    <w:rsid w:val="00FA34FE"/>
    <w:rsid w:val="00FA440B"/>
    <w:rsid w:val="00FA5088"/>
    <w:rsid w:val="00FB2898"/>
    <w:rsid w:val="00FB4FFC"/>
    <w:rsid w:val="00FC1C8D"/>
    <w:rsid w:val="00FC318F"/>
    <w:rsid w:val="00FC357F"/>
    <w:rsid w:val="00FC4750"/>
    <w:rsid w:val="00FC5152"/>
    <w:rsid w:val="00FC6CB2"/>
    <w:rsid w:val="00FC6D00"/>
    <w:rsid w:val="00FC78A0"/>
    <w:rsid w:val="00FC7A04"/>
    <w:rsid w:val="00FD0DF1"/>
    <w:rsid w:val="00FE7E50"/>
    <w:rsid w:val="00FF7340"/>
    <w:rsid w:val="010A6538"/>
    <w:rsid w:val="010C7E9E"/>
    <w:rsid w:val="010F5F14"/>
    <w:rsid w:val="01114915"/>
    <w:rsid w:val="01233176"/>
    <w:rsid w:val="0128739E"/>
    <w:rsid w:val="012C6EBE"/>
    <w:rsid w:val="012E7B68"/>
    <w:rsid w:val="01361444"/>
    <w:rsid w:val="013B0B11"/>
    <w:rsid w:val="013C440B"/>
    <w:rsid w:val="01413242"/>
    <w:rsid w:val="01473AEC"/>
    <w:rsid w:val="014E1872"/>
    <w:rsid w:val="01501825"/>
    <w:rsid w:val="015D1E37"/>
    <w:rsid w:val="016320EC"/>
    <w:rsid w:val="016632ED"/>
    <w:rsid w:val="01754BC7"/>
    <w:rsid w:val="01774323"/>
    <w:rsid w:val="017B2F92"/>
    <w:rsid w:val="018D5596"/>
    <w:rsid w:val="018F047A"/>
    <w:rsid w:val="01A47E38"/>
    <w:rsid w:val="01A92D17"/>
    <w:rsid w:val="01AA499D"/>
    <w:rsid w:val="01AD125C"/>
    <w:rsid w:val="01BD680B"/>
    <w:rsid w:val="01BF098D"/>
    <w:rsid w:val="01C13FA1"/>
    <w:rsid w:val="01C57BC6"/>
    <w:rsid w:val="01C74429"/>
    <w:rsid w:val="01CC68B2"/>
    <w:rsid w:val="01CF196D"/>
    <w:rsid w:val="01D325F8"/>
    <w:rsid w:val="01D74CA6"/>
    <w:rsid w:val="01D933E1"/>
    <w:rsid w:val="01E93984"/>
    <w:rsid w:val="01F45283"/>
    <w:rsid w:val="02023A3D"/>
    <w:rsid w:val="02036662"/>
    <w:rsid w:val="020A7DED"/>
    <w:rsid w:val="021652D6"/>
    <w:rsid w:val="021745C2"/>
    <w:rsid w:val="021B5C89"/>
    <w:rsid w:val="02210B68"/>
    <w:rsid w:val="02243EDA"/>
    <w:rsid w:val="022551F2"/>
    <w:rsid w:val="022602E1"/>
    <w:rsid w:val="02261EF1"/>
    <w:rsid w:val="0229183F"/>
    <w:rsid w:val="023A7077"/>
    <w:rsid w:val="023F0464"/>
    <w:rsid w:val="0247567F"/>
    <w:rsid w:val="024B2775"/>
    <w:rsid w:val="02522323"/>
    <w:rsid w:val="02560D18"/>
    <w:rsid w:val="025A2A63"/>
    <w:rsid w:val="0263791D"/>
    <w:rsid w:val="026608A3"/>
    <w:rsid w:val="02663939"/>
    <w:rsid w:val="02690DFF"/>
    <w:rsid w:val="027E0D1B"/>
    <w:rsid w:val="02844D5F"/>
    <w:rsid w:val="028A598A"/>
    <w:rsid w:val="02916F11"/>
    <w:rsid w:val="029B375C"/>
    <w:rsid w:val="02A470ED"/>
    <w:rsid w:val="02AA14B7"/>
    <w:rsid w:val="02B50726"/>
    <w:rsid w:val="02B66C79"/>
    <w:rsid w:val="02B725D1"/>
    <w:rsid w:val="02BB5ECE"/>
    <w:rsid w:val="02C71A3B"/>
    <w:rsid w:val="02C81BA4"/>
    <w:rsid w:val="02CE1346"/>
    <w:rsid w:val="02CE3699"/>
    <w:rsid w:val="02D21057"/>
    <w:rsid w:val="02D35D36"/>
    <w:rsid w:val="02D53789"/>
    <w:rsid w:val="02E01AEF"/>
    <w:rsid w:val="02E368F4"/>
    <w:rsid w:val="02F14DF7"/>
    <w:rsid w:val="02FC78AB"/>
    <w:rsid w:val="030704FB"/>
    <w:rsid w:val="03086BBE"/>
    <w:rsid w:val="0328120C"/>
    <w:rsid w:val="032835A4"/>
    <w:rsid w:val="032F29C8"/>
    <w:rsid w:val="032F4404"/>
    <w:rsid w:val="03316FEA"/>
    <w:rsid w:val="033B12BD"/>
    <w:rsid w:val="03502D9E"/>
    <w:rsid w:val="03537909"/>
    <w:rsid w:val="03572FF7"/>
    <w:rsid w:val="03575C81"/>
    <w:rsid w:val="03583C5B"/>
    <w:rsid w:val="03584069"/>
    <w:rsid w:val="035C330F"/>
    <w:rsid w:val="035C6F76"/>
    <w:rsid w:val="03613E17"/>
    <w:rsid w:val="036E6271"/>
    <w:rsid w:val="03727D7B"/>
    <w:rsid w:val="037524B1"/>
    <w:rsid w:val="0377715F"/>
    <w:rsid w:val="038A6C1D"/>
    <w:rsid w:val="038E7A37"/>
    <w:rsid w:val="03912F9C"/>
    <w:rsid w:val="0397607D"/>
    <w:rsid w:val="03A26EFC"/>
    <w:rsid w:val="03A36CC6"/>
    <w:rsid w:val="03A81B5B"/>
    <w:rsid w:val="03AA510D"/>
    <w:rsid w:val="03AE2F25"/>
    <w:rsid w:val="03B21C17"/>
    <w:rsid w:val="03B41CB7"/>
    <w:rsid w:val="03B72490"/>
    <w:rsid w:val="03B8645A"/>
    <w:rsid w:val="03C81B45"/>
    <w:rsid w:val="03D36B41"/>
    <w:rsid w:val="03D67670"/>
    <w:rsid w:val="03DC737C"/>
    <w:rsid w:val="03FC033A"/>
    <w:rsid w:val="03FE3903"/>
    <w:rsid w:val="03FF4C47"/>
    <w:rsid w:val="04010D18"/>
    <w:rsid w:val="04060440"/>
    <w:rsid w:val="040C0CA9"/>
    <w:rsid w:val="041132F7"/>
    <w:rsid w:val="04136AEB"/>
    <w:rsid w:val="04165EB1"/>
    <w:rsid w:val="044141EF"/>
    <w:rsid w:val="04491C62"/>
    <w:rsid w:val="044E143B"/>
    <w:rsid w:val="045124FD"/>
    <w:rsid w:val="045C717F"/>
    <w:rsid w:val="04747EE2"/>
    <w:rsid w:val="04766CDF"/>
    <w:rsid w:val="047C7A9D"/>
    <w:rsid w:val="0487573F"/>
    <w:rsid w:val="048D7275"/>
    <w:rsid w:val="048F7135"/>
    <w:rsid w:val="04A15406"/>
    <w:rsid w:val="04A30C83"/>
    <w:rsid w:val="04A77D6F"/>
    <w:rsid w:val="04A85C50"/>
    <w:rsid w:val="04B45DFC"/>
    <w:rsid w:val="04B67A1F"/>
    <w:rsid w:val="04B807B5"/>
    <w:rsid w:val="04BF4A59"/>
    <w:rsid w:val="04C26841"/>
    <w:rsid w:val="04D20B7C"/>
    <w:rsid w:val="04D55D20"/>
    <w:rsid w:val="04DE566C"/>
    <w:rsid w:val="04E8504B"/>
    <w:rsid w:val="04F239EA"/>
    <w:rsid w:val="04F76DD4"/>
    <w:rsid w:val="04F803B4"/>
    <w:rsid w:val="0518640C"/>
    <w:rsid w:val="051A565C"/>
    <w:rsid w:val="051B5E4F"/>
    <w:rsid w:val="051C42D9"/>
    <w:rsid w:val="051F77E0"/>
    <w:rsid w:val="05216AB0"/>
    <w:rsid w:val="05254C4B"/>
    <w:rsid w:val="052D007E"/>
    <w:rsid w:val="052D413A"/>
    <w:rsid w:val="054C76DB"/>
    <w:rsid w:val="05553A81"/>
    <w:rsid w:val="055A4F5B"/>
    <w:rsid w:val="055F0502"/>
    <w:rsid w:val="0560706F"/>
    <w:rsid w:val="05620EEE"/>
    <w:rsid w:val="056B3271"/>
    <w:rsid w:val="056E0FA3"/>
    <w:rsid w:val="05773B83"/>
    <w:rsid w:val="057F1A68"/>
    <w:rsid w:val="05846278"/>
    <w:rsid w:val="058D2915"/>
    <w:rsid w:val="058D3375"/>
    <w:rsid w:val="059A3D38"/>
    <w:rsid w:val="05B6103A"/>
    <w:rsid w:val="05B67C78"/>
    <w:rsid w:val="05BC54BB"/>
    <w:rsid w:val="05BE5B43"/>
    <w:rsid w:val="05C25634"/>
    <w:rsid w:val="05C303C2"/>
    <w:rsid w:val="05C479C1"/>
    <w:rsid w:val="05C641A8"/>
    <w:rsid w:val="05CD002D"/>
    <w:rsid w:val="05D60639"/>
    <w:rsid w:val="05F13345"/>
    <w:rsid w:val="05FE35CB"/>
    <w:rsid w:val="0607279E"/>
    <w:rsid w:val="0607620B"/>
    <w:rsid w:val="06077020"/>
    <w:rsid w:val="061206B4"/>
    <w:rsid w:val="06212938"/>
    <w:rsid w:val="062A0EF1"/>
    <w:rsid w:val="062F6A41"/>
    <w:rsid w:val="06327EAB"/>
    <w:rsid w:val="06366E1F"/>
    <w:rsid w:val="063D2F0C"/>
    <w:rsid w:val="0640241D"/>
    <w:rsid w:val="064D5AEF"/>
    <w:rsid w:val="064E4F43"/>
    <w:rsid w:val="065344DE"/>
    <w:rsid w:val="065A5F02"/>
    <w:rsid w:val="06650E74"/>
    <w:rsid w:val="066856F7"/>
    <w:rsid w:val="066910D6"/>
    <w:rsid w:val="06712C5C"/>
    <w:rsid w:val="06753754"/>
    <w:rsid w:val="06785CC5"/>
    <w:rsid w:val="067D72CA"/>
    <w:rsid w:val="06824DC3"/>
    <w:rsid w:val="068B295C"/>
    <w:rsid w:val="068C4828"/>
    <w:rsid w:val="06924322"/>
    <w:rsid w:val="06976776"/>
    <w:rsid w:val="06AB3CE9"/>
    <w:rsid w:val="06B24597"/>
    <w:rsid w:val="06B372D2"/>
    <w:rsid w:val="06B9290C"/>
    <w:rsid w:val="06BC5541"/>
    <w:rsid w:val="06BD7C56"/>
    <w:rsid w:val="06C95CD2"/>
    <w:rsid w:val="06C96A9A"/>
    <w:rsid w:val="06CE129C"/>
    <w:rsid w:val="06D039AA"/>
    <w:rsid w:val="06D070E0"/>
    <w:rsid w:val="06DC570A"/>
    <w:rsid w:val="06EC4CA7"/>
    <w:rsid w:val="06EF2B18"/>
    <w:rsid w:val="06F17688"/>
    <w:rsid w:val="06F53406"/>
    <w:rsid w:val="07007DF2"/>
    <w:rsid w:val="07080D7E"/>
    <w:rsid w:val="07107CDD"/>
    <w:rsid w:val="07155306"/>
    <w:rsid w:val="07231C3E"/>
    <w:rsid w:val="072C14BC"/>
    <w:rsid w:val="073D0077"/>
    <w:rsid w:val="073E594D"/>
    <w:rsid w:val="07527EB1"/>
    <w:rsid w:val="075F6ABF"/>
    <w:rsid w:val="076F655B"/>
    <w:rsid w:val="077641BC"/>
    <w:rsid w:val="07785D40"/>
    <w:rsid w:val="0787506D"/>
    <w:rsid w:val="078C6AD1"/>
    <w:rsid w:val="078E1566"/>
    <w:rsid w:val="07944C75"/>
    <w:rsid w:val="07A777F1"/>
    <w:rsid w:val="07BA10AF"/>
    <w:rsid w:val="07BC45A2"/>
    <w:rsid w:val="07BE7320"/>
    <w:rsid w:val="07CF0F2B"/>
    <w:rsid w:val="07D27038"/>
    <w:rsid w:val="07E31891"/>
    <w:rsid w:val="07E37708"/>
    <w:rsid w:val="07F61794"/>
    <w:rsid w:val="07F84B9D"/>
    <w:rsid w:val="07F920F7"/>
    <w:rsid w:val="08064B71"/>
    <w:rsid w:val="080705AC"/>
    <w:rsid w:val="08180F83"/>
    <w:rsid w:val="081A5EBB"/>
    <w:rsid w:val="081A7F1A"/>
    <w:rsid w:val="082302F0"/>
    <w:rsid w:val="082F7D4E"/>
    <w:rsid w:val="083145CC"/>
    <w:rsid w:val="083550BF"/>
    <w:rsid w:val="083B1353"/>
    <w:rsid w:val="084367D4"/>
    <w:rsid w:val="0847434F"/>
    <w:rsid w:val="0858227F"/>
    <w:rsid w:val="086B2CF3"/>
    <w:rsid w:val="08710694"/>
    <w:rsid w:val="087150EF"/>
    <w:rsid w:val="08761BAA"/>
    <w:rsid w:val="08790EE0"/>
    <w:rsid w:val="087D1EE5"/>
    <w:rsid w:val="08881CF7"/>
    <w:rsid w:val="089A78D1"/>
    <w:rsid w:val="08A239EC"/>
    <w:rsid w:val="08A42432"/>
    <w:rsid w:val="08A62A3D"/>
    <w:rsid w:val="08A702C5"/>
    <w:rsid w:val="08A8408F"/>
    <w:rsid w:val="08AC4765"/>
    <w:rsid w:val="08AD6673"/>
    <w:rsid w:val="08AE1EA5"/>
    <w:rsid w:val="08B15841"/>
    <w:rsid w:val="08B41F78"/>
    <w:rsid w:val="08B96CC2"/>
    <w:rsid w:val="08C621E3"/>
    <w:rsid w:val="08C747C6"/>
    <w:rsid w:val="08D27869"/>
    <w:rsid w:val="08D33663"/>
    <w:rsid w:val="08D37973"/>
    <w:rsid w:val="08D82B3D"/>
    <w:rsid w:val="08DE41BC"/>
    <w:rsid w:val="08E04D02"/>
    <w:rsid w:val="08E46921"/>
    <w:rsid w:val="08E76D23"/>
    <w:rsid w:val="08EE3343"/>
    <w:rsid w:val="090053BA"/>
    <w:rsid w:val="090105A7"/>
    <w:rsid w:val="09010F98"/>
    <w:rsid w:val="090622E9"/>
    <w:rsid w:val="090F0984"/>
    <w:rsid w:val="09265ED9"/>
    <w:rsid w:val="092709CC"/>
    <w:rsid w:val="092C7268"/>
    <w:rsid w:val="092E73FD"/>
    <w:rsid w:val="09325175"/>
    <w:rsid w:val="09336E74"/>
    <w:rsid w:val="093A1985"/>
    <w:rsid w:val="093A3491"/>
    <w:rsid w:val="093A562A"/>
    <w:rsid w:val="093C2BB9"/>
    <w:rsid w:val="093F01AA"/>
    <w:rsid w:val="094573BB"/>
    <w:rsid w:val="0946032A"/>
    <w:rsid w:val="09481600"/>
    <w:rsid w:val="094E4AAC"/>
    <w:rsid w:val="09532A47"/>
    <w:rsid w:val="0953513A"/>
    <w:rsid w:val="09550B60"/>
    <w:rsid w:val="095F6932"/>
    <w:rsid w:val="09652BB3"/>
    <w:rsid w:val="096A7E55"/>
    <w:rsid w:val="096B1405"/>
    <w:rsid w:val="097717CE"/>
    <w:rsid w:val="09797D80"/>
    <w:rsid w:val="097C6C09"/>
    <w:rsid w:val="098370C2"/>
    <w:rsid w:val="09857BE6"/>
    <w:rsid w:val="0988059A"/>
    <w:rsid w:val="09880765"/>
    <w:rsid w:val="0988267B"/>
    <w:rsid w:val="0989460B"/>
    <w:rsid w:val="098C7D6A"/>
    <w:rsid w:val="09945775"/>
    <w:rsid w:val="09987570"/>
    <w:rsid w:val="099C0271"/>
    <w:rsid w:val="099C4235"/>
    <w:rsid w:val="09A17925"/>
    <w:rsid w:val="09A324FA"/>
    <w:rsid w:val="09AA059E"/>
    <w:rsid w:val="09AB0C6C"/>
    <w:rsid w:val="09AE7C76"/>
    <w:rsid w:val="09AF2C97"/>
    <w:rsid w:val="09B117EC"/>
    <w:rsid w:val="09BB513D"/>
    <w:rsid w:val="09BB5640"/>
    <w:rsid w:val="09C73642"/>
    <w:rsid w:val="09C97885"/>
    <w:rsid w:val="09CB20EF"/>
    <w:rsid w:val="09CB6AFB"/>
    <w:rsid w:val="09CC3506"/>
    <w:rsid w:val="09D82239"/>
    <w:rsid w:val="09DC279A"/>
    <w:rsid w:val="09EB7F84"/>
    <w:rsid w:val="09EC69BC"/>
    <w:rsid w:val="0A1966F1"/>
    <w:rsid w:val="0A2148F3"/>
    <w:rsid w:val="0A303C8D"/>
    <w:rsid w:val="0A3B0B57"/>
    <w:rsid w:val="0A414231"/>
    <w:rsid w:val="0A5F52DD"/>
    <w:rsid w:val="0A6A2CE6"/>
    <w:rsid w:val="0A6F3963"/>
    <w:rsid w:val="0A702A09"/>
    <w:rsid w:val="0A716B2E"/>
    <w:rsid w:val="0A764C3F"/>
    <w:rsid w:val="0A7F5428"/>
    <w:rsid w:val="0A805ABD"/>
    <w:rsid w:val="0A811DA6"/>
    <w:rsid w:val="0A83110A"/>
    <w:rsid w:val="0A8F7D96"/>
    <w:rsid w:val="0A93635E"/>
    <w:rsid w:val="0A9A21B4"/>
    <w:rsid w:val="0A9B15DC"/>
    <w:rsid w:val="0A9D7A3C"/>
    <w:rsid w:val="0AA03C2F"/>
    <w:rsid w:val="0AA07B2D"/>
    <w:rsid w:val="0AA425D9"/>
    <w:rsid w:val="0AA76A5B"/>
    <w:rsid w:val="0AAA7336"/>
    <w:rsid w:val="0AB1728C"/>
    <w:rsid w:val="0AB71938"/>
    <w:rsid w:val="0ABA3BC3"/>
    <w:rsid w:val="0ABA7F8F"/>
    <w:rsid w:val="0AC215D2"/>
    <w:rsid w:val="0ACB7628"/>
    <w:rsid w:val="0ACC39CC"/>
    <w:rsid w:val="0AD06361"/>
    <w:rsid w:val="0AD14C2A"/>
    <w:rsid w:val="0AD15B6C"/>
    <w:rsid w:val="0AD2392A"/>
    <w:rsid w:val="0AD32091"/>
    <w:rsid w:val="0AD5453F"/>
    <w:rsid w:val="0AD77065"/>
    <w:rsid w:val="0AF13F44"/>
    <w:rsid w:val="0AF21B8E"/>
    <w:rsid w:val="0AF93024"/>
    <w:rsid w:val="0AFE26FA"/>
    <w:rsid w:val="0B0018BE"/>
    <w:rsid w:val="0B02456B"/>
    <w:rsid w:val="0B0446A8"/>
    <w:rsid w:val="0B073AE9"/>
    <w:rsid w:val="0B0D396B"/>
    <w:rsid w:val="0B0D60CD"/>
    <w:rsid w:val="0B112BB9"/>
    <w:rsid w:val="0B13687B"/>
    <w:rsid w:val="0B16128B"/>
    <w:rsid w:val="0B2372FD"/>
    <w:rsid w:val="0B2705B5"/>
    <w:rsid w:val="0B3643CE"/>
    <w:rsid w:val="0B38256E"/>
    <w:rsid w:val="0B3A2110"/>
    <w:rsid w:val="0B3B5887"/>
    <w:rsid w:val="0B3F323F"/>
    <w:rsid w:val="0B451EB6"/>
    <w:rsid w:val="0B4C5520"/>
    <w:rsid w:val="0B4D3BF1"/>
    <w:rsid w:val="0B4F3D9B"/>
    <w:rsid w:val="0B5533E5"/>
    <w:rsid w:val="0B5B3553"/>
    <w:rsid w:val="0B5C55FA"/>
    <w:rsid w:val="0B5E6917"/>
    <w:rsid w:val="0B617633"/>
    <w:rsid w:val="0B652373"/>
    <w:rsid w:val="0B666D1E"/>
    <w:rsid w:val="0B9A409B"/>
    <w:rsid w:val="0B9F30AF"/>
    <w:rsid w:val="0BA615B0"/>
    <w:rsid w:val="0BAC77A0"/>
    <w:rsid w:val="0BAD2F53"/>
    <w:rsid w:val="0BB007E1"/>
    <w:rsid w:val="0BB16B2D"/>
    <w:rsid w:val="0BB35344"/>
    <w:rsid w:val="0BB6147E"/>
    <w:rsid w:val="0BB7245D"/>
    <w:rsid w:val="0BB83010"/>
    <w:rsid w:val="0BC111A4"/>
    <w:rsid w:val="0BC244E8"/>
    <w:rsid w:val="0BC32E34"/>
    <w:rsid w:val="0BC366D3"/>
    <w:rsid w:val="0BC82B63"/>
    <w:rsid w:val="0BD97354"/>
    <w:rsid w:val="0BE01596"/>
    <w:rsid w:val="0BE33F83"/>
    <w:rsid w:val="0BEB61F0"/>
    <w:rsid w:val="0BEC1377"/>
    <w:rsid w:val="0BF6735D"/>
    <w:rsid w:val="0BF73B5D"/>
    <w:rsid w:val="0C0036EF"/>
    <w:rsid w:val="0C062D8D"/>
    <w:rsid w:val="0C157849"/>
    <w:rsid w:val="0C1E4EE9"/>
    <w:rsid w:val="0C2374C7"/>
    <w:rsid w:val="0C2506CA"/>
    <w:rsid w:val="0C260E40"/>
    <w:rsid w:val="0C2B1B44"/>
    <w:rsid w:val="0C316F49"/>
    <w:rsid w:val="0C3355FF"/>
    <w:rsid w:val="0C420B00"/>
    <w:rsid w:val="0C4258DA"/>
    <w:rsid w:val="0C4576A1"/>
    <w:rsid w:val="0C5A04F2"/>
    <w:rsid w:val="0C677E6B"/>
    <w:rsid w:val="0C6E5B73"/>
    <w:rsid w:val="0C752494"/>
    <w:rsid w:val="0C7768F3"/>
    <w:rsid w:val="0C7E7EA9"/>
    <w:rsid w:val="0C8023E5"/>
    <w:rsid w:val="0C82079B"/>
    <w:rsid w:val="0C880C59"/>
    <w:rsid w:val="0C8873DF"/>
    <w:rsid w:val="0C92108B"/>
    <w:rsid w:val="0C970E9C"/>
    <w:rsid w:val="0CA3265E"/>
    <w:rsid w:val="0CAE28D1"/>
    <w:rsid w:val="0CB17F5E"/>
    <w:rsid w:val="0CB43E7E"/>
    <w:rsid w:val="0CB6331A"/>
    <w:rsid w:val="0CB657C6"/>
    <w:rsid w:val="0CB769C1"/>
    <w:rsid w:val="0CB93393"/>
    <w:rsid w:val="0CBE135E"/>
    <w:rsid w:val="0CD80E04"/>
    <w:rsid w:val="0CFC41A6"/>
    <w:rsid w:val="0D0062D2"/>
    <w:rsid w:val="0D027C53"/>
    <w:rsid w:val="0D055FD4"/>
    <w:rsid w:val="0D10028E"/>
    <w:rsid w:val="0D1B387B"/>
    <w:rsid w:val="0D225312"/>
    <w:rsid w:val="0D265864"/>
    <w:rsid w:val="0D266DE0"/>
    <w:rsid w:val="0D2E66FE"/>
    <w:rsid w:val="0D3144DB"/>
    <w:rsid w:val="0D334492"/>
    <w:rsid w:val="0D3857DA"/>
    <w:rsid w:val="0D4A0077"/>
    <w:rsid w:val="0D4B7BC4"/>
    <w:rsid w:val="0D4E797E"/>
    <w:rsid w:val="0D5648AD"/>
    <w:rsid w:val="0D5D4C67"/>
    <w:rsid w:val="0D604B44"/>
    <w:rsid w:val="0D663BA0"/>
    <w:rsid w:val="0D6B5658"/>
    <w:rsid w:val="0D6F5B9E"/>
    <w:rsid w:val="0D731382"/>
    <w:rsid w:val="0D7B0452"/>
    <w:rsid w:val="0D7B6EC0"/>
    <w:rsid w:val="0D7D405D"/>
    <w:rsid w:val="0D815DD4"/>
    <w:rsid w:val="0D876648"/>
    <w:rsid w:val="0D89119D"/>
    <w:rsid w:val="0D976785"/>
    <w:rsid w:val="0DA12C8B"/>
    <w:rsid w:val="0DA97995"/>
    <w:rsid w:val="0DAE5B76"/>
    <w:rsid w:val="0DB714F1"/>
    <w:rsid w:val="0DBB1EA3"/>
    <w:rsid w:val="0DBC505E"/>
    <w:rsid w:val="0DC61F74"/>
    <w:rsid w:val="0DD01EB7"/>
    <w:rsid w:val="0DD93333"/>
    <w:rsid w:val="0DE277A1"/>
    <w:rsid w:val="0DE8376D"/>
    <w:rsid w:val="0DEC271C"/>
    <w:rsid w:val="0E0A6FEB"/>
    <w:rsid w:val="0E204713"/>
    <w:rsid w:val="0E2511AE"/>
    <w:rsid w:val="0E290B9F"/>
    <w:rsid w:val="0E292187"/>
    <w:rsid w:val="0E3273B4"/>
    <w:rsid w:val="0E34151F"/>
    <w:rsid w:val="0E3578B3"/>
    <w:rsid w:val="0E3B0886"/>
    <w:rsid w:val="0E3B203F"/>
    <w:rsid w:val="0E3C33B1"/>
    <w:rsid w:val="0E462B7A"/>
    <w:rsid w:val="0E4D2933"/>
    <w:rsid w:val="0E4D775F"/>
    <w:rsid w:val="0E55118D"/>
    <w:rsid w:val="0E5B3B28"/>
    <w:rsid w:val="0E690E71"/>
    <w:rsid w:val="0E691818"/>
    <w:rsid w:val="0E6D0968"/>
    <w:rsid w:val="0E6D6F96"/>
    <w:rsid w:val="0E782497"/>
    <w:rsid w:val="0E783377"/>
    <w:rsid w:val="0E7C4589"/>
    <w:rsid w:val="0E7E443A"/>
    <w:rsid w:val="0E804564"/>
    <w:rsid w:val="0E896379"/>
    <w:rsid w:val="0E8A5BD3"/>
    <w:rsid w:val="0E8E36BE"/>
    <w:rsid w:val="0E9153B9"/>
    <w:rsid w:val="0E96772B"/>
    <w:rsid w:val="0E975FBA"/>
    <w:rsid w:val="0E9E70EB"/>
    <w:rsid w:val="0EA726C2"/>
    <w:rsid w:val="0EAD1BBA"/>
    <w:rsid w:val="0EB52D3A"/>
    <w:rsid w:val="0EB633E8"/>
    <w:rsid w:val="0EB63D25"/>
    <w:rsid w:val="0EB702DD"/>
    <w:rsid w:val="0EB910F2"/>
    <w:rsid w:val="0EB949A7"/>
    <w:rsid w:val="0EBC4CE7"/>
    <w:rsid w:val="0EC5389B"/>
    <w:rsid w:val="0ECF78DC"/>
    <w:rsid w:val="0ED30206"/>
    <w:rsid w:val="0ED60140"/>
    <w:rsid w:val="0EDA5ECF"/>
    <w:rsid w:val="0EEE7275"/>
    <w:rsid w:val="0EF00AAA"/>
    <w:rsid w:val="0EF122C5"/>
    <w:rsid w:val="0EF343CB"/>
    <w:rsid w:val="0EFC6090"/>
    <w:rsid w:val="0EFD6EFA"/>
    <w:rsid w:val="0EFF6669"/>
    <w:rsid w:val="0F0410BF"/>
    <w:rsid w:val="0F0A598E"/>
    <w:rsid w:val="0F131C25"/>
    <w:rsid w:val="0F17176A"/>
    <w:rsid w:val="0F190E04"/>
    <w:rsid w:val="0F2074A2"/>
    <w:rsid w:val="0F25029A"/>
    <w:rsid w:val="0F26095E"/>
    <w:rsid w:val="0F27601A"/>
    <w:rsid w:val="0F283F67"/>
    <w:rsid w:val="0F2C2C72"/>
    <w:rsid w:val="0F2E2179"/>
    <w:rsid w:val="0F315EA1"/>
    <w:rsid w:val="0F327F41"/>
    <w:rsid w:val="0F390247"/>
    <w:rsid w:val="0F3A651B"/>
    <w:rsid w:val="0F3D2D27"/>
    <w:rsid w:val="0F3F2A27"/>
    <w:rsid w:val="0F410646"/>
    <w:rsid w:val="0F461D6C"/>
    <w:rsid w:val="0F47161D"/>
    <w:rsid w:val="0F495FAE"/>
    <w:rsid w:val="0F4E168D"/>
    <w:rsid w:val="0F572ADF"/>
    <w:rsid w:val="0F585CCA"/>
    <w:rsid w:val="0F5B677D"/>
    <w:rsid w:val="0F5C1F1A"/>
    <w:rsid w:val="0F60021F"/>
    <w:rsid w:val="0F6359F4"/>
    <w:rsid w:val="0F642AB0"/>
    <w:rsid w:val="0F6611E9"/>
    <w:rsid w:val="0F6F7597"/>
    <w:rsid w:val="0F792848"/>
    <w:rsid w:val="0F793457"/>
    <w:rsid w:val="0F7A20F2"/>
    <w:rsid w:val="0F7E4FDA"/>
    <w:rsid w:val="0F8108A1"/>
    <w:rsid w:val="0F815631"/>
    <w:rsid w:val="0F831E95"/>
    <w:rsid w:val="0F847455"/>
    <w:rsid w:val="0F9705F3"/>
    <w:rsid w:val="0F9A4609"/>
    <w:rsid w:val="0F9B1CBD"/>
    <w:rsid w:val="0F9E7BE2"/>
    <w:rsid w:val="0FA770A6"/>
    <w:rsid w:val="0FA933E6"/>
    <w:rsid w:val="0FB04B23"/>
    <w:rsid w:val="0FB122A5"/>
    <w:rsid w:val="0FC10769"/>
    <w:rsid w:val="0FCB1589"/>
    <w:rsid w:val="0FCB2D53"/>
    <w:rsid w:val="0FD358EB"/>
    <w:rsid w:val="0FDE17AA"/>
    <w:rsid w:val="0FED1A64"/>
    <w:rsid w:val="0FF038FC"/>
    <w:rsid w:val="0FF705D0"/>
    <w:rsid w:val="0FFF3A48"/>
    <w:rsid w:val="10157EC6"/>
    <w:rsid w:val="10203146"/>
    <w:rsid w:val="102610C0"/>
    <w:rsid w:val="102667F4"/>
    <w:rsid w:val="102B535B"/>
    <w:rsid w:val="103E4E6E"/>
    <w:rsid w:val="103E7309"/>
    <w:rsid w:val="10416089"/>
    <w:rsid w:val="104240CC"/>
    <w:rsid w:val="10497F69"/>
    <w:rsid w:val="105B5DE7"/>
    <w:rsid w:val="105F0A00"/>
    <w:rsid w:val="106F56E0"/>
    <w:rsid w:val="10700D1C"/>
    <w:rsid w:val="10705E81"/>
    <w:rsid w:val="10803FE4"/>
    <w:rsid w:val="10834B6E"/>
    <w:rsid w:val="10AA0004"/>
    <w:rsid w:val="10AA7326"/>
    <w:rsid w:val="10B92487"/>
    <w:rsid w:val="10BD4993"/>
    <w:rsid w:val="10D13AAF"/>
    <w:rsid w:val="10D876FD"/>
    <w:rsid w:val="10DF51A5"/>
    <w:rsid w:val="10E01044"/>
    <w:rsid w:val="10ED054F"/>
    <w:rsid w:val="10F1031C"/>
    <w:rsid w:val="10F178FC"/>
    <w:rsid w:val="10F20D97"/>
    <w:rsid w:val="10F9103E"/>
    <w:rsid w:val="10F91B6C"/>
    <w:rsid w:val="10FF3248"/>
    <w:rsid w:val="110B7C52"/>
    <w:rsid w:val="11140836"/>
    <w:rsid w:val="11145CD5"/>
    <w:rsid w:val="11191FB0"/>
    <w:rsid w:val="111B3388"/>
    <w:rsid w:val="111D4D77"/>
    <w:rsid w:val="11252F1A"/>
    <w:rsid w:val="11296D7D"/>
    <w:rsid w:val="112B2D58"/>
    <w:rsid w:val="112C31EE"/>
    <w:rsid w:val="112D6CCD"/>
    <w:rsid w:val="11346CBB"/>
    <w:rsid w:val="1136367A"/>
    <w:rsid w:val="113D2012"/>
    <w:rsid w:val="113D24EE"/>
    <w:rsid w:val="1141513C"/>
    <w:rsid w:val="114C375A"/>
    <w:rsid w:val="114E30E0"/>
    <w:rsid w:val="114F42AC"/>
    <w:rsid w:val="11524E35"/>
    <w:rsid w:val="115C2B36"/>
    <w:rsid w:val="115D0F31"/>
    <w:rsid w:val="115D6662"/>
    <w:rsid w:val="1161138F"/>
    <w:rsid w:val="117143B2"/>
    <w:rsid w:val="117B517F"/>
    <w:rsid w:val="117D0E6B"/>
    <w:rsid w:val="117D1F24"/>
    <w:rsid w:val="11850EAC"/>
    <w:rsid w:val="11966B9D"/>
    <w:rsid w:val="119D7CDF"/>
    <w:rsid w:val="11A774A2"/>
    <w:rsid w:val="11AD3988"/>
    <w:rsid w:val="11B13498"/>
    <w:rsid w:val="11B76268"/>
    <w:rsid w:val="11B83F88"/>
    <w:rsid w:val="11BC7A8B"/>
    <w:rsid w:val="11BF6E86"/>
    <w:rsid w:val="11C74789"/>
    <w:rsid w:val="11D573F1"/>
    <w:rsid w:val="11D97477"/>
    <w:rsid w:val="11DC17E5"/>
    <w:rsid w:val="11E42DD6"/>
    <w:rsid w:val="11E62697"/>
    <w:rsid w:val="11E94164"/>
    <w:rsid w:val="11EE6709"/>
    <w:rsid w:val="11F34DC7"/>
    <w:rsid w:val="11F55274"/>
    <w:rsid w:val="11F756AC"/>
    <w:rsid w:val="11FD099E"/>
    <w:rsid w:val="12020F04"/>
    <w:rsid w:val="12030064"/>
    <w:rsid w:val="120431A6"/>
    <w:rsid w:val="120929A2"/>
    <w:rsid w:val="12131391"/>
    <w:rsid w:val="121A14D0"/>
    <w:rsid w:val="12220318"/>
    <w:rsid w:val="12337685"/>
    <w:rsid w:val="123846C6"/>
    <w:rsid w:val="123A0811"/>
    <w:rsid w:val="123A1BC7"/>
    <w:rsid w:val="123B1F06"/>
    <w:rsid w:val="123D0729"/>
    <w:rsid w:val="12430DB7"/>
    <w:rsid w:val="12471388"/>
    <w:rsid w:val="124729AB"/>
    <w:rsid w:val="126200E0"/>
    <w:rsid w:val="126A5674"/>
    <w:rsid w:val="1270230E"/>
    <w:rsid w:val="1273125A"/>
    <w:rsid w:val="127777A6"/>
    <w:rsid w:val="127A0E51"/>
    <w:rsid w:val="127F4C3B"/>
    <w:rsid w:val="12844361"/>
    <w:rsid w:val="12886B37"/>
    <w:rsid w:val="12953363"/>
    <w:rsid w:val="129A5F1E"/>
    <w:rsid w:val="129C72D0"/>
    <w:rsid w:val="12A62179"/>
    <w:rsid w:val="12C2248A"/>
    <w:rsid w:val="12C43058"/>
    <w:rsid w:val="12D17A2B"/>
    <w:rsid w:val="12DB0083"/>
    <w:rsid w:val="12E206CB"/>
    <w:rsid w:val="12E91757"/>
    <w:rsid w:val="12EC7534"/>
    <w:rsid w:val="12F300FC"/>
    <w:rsid w:val="12F46CDB"/>
    <w:rsid w:val="12F64676"/>
    <w:rsid w:val="13066BF4"/>
    <w:rsid w:val="130F125E"/>
    <w:rsid w:val="13133314"/>
    <w:rsid w:val="13133606"/>
    <w:rsid w:val="13137C8A"/>
    <w:rsid w:val="13195901"/>
    <w:rsid w:val="131B5B61"/>
    <w:rsid w:val="131C20FB"/>
    <w:rsid w:val="13247EE9"/>
    <w:rsid w:val="13291AED"/>
    <w:rsid w:val="132F1D05"/>
    <w:rsid w:val="133178C3"/>
    <w:rsid w:val="13327A2D"/>
    <w:rsid w:val="13365156"/>
    <w:rsid w:val="13375E3E"/>
    <w:rsid w:val="13393FAE"/>
    <w:rsid w:val="133C6F2C"/>
    <w:rsid w:val="13405DEA"/>
    <w:rsid w:val="1345127B"/>
    <w:rsid w:val="1346033A"/>
    <w:rsid w:val="13484EFC"/>
    <w:rsid w:val="134B5829"/>
    <w:rsid w:val="135320A0"/>
    <w:rsid w:val="135A1054"/>
    <w:rsid w:val="135D21BD"/>
    <w:rsid w:val="13652812"/>
    <w:rsid w:val="137335D6"/>
    <w:rsid w:val="13750690"/>
    <w:rsid w:val="13795C3B"/>
    <w:rsid w:val="137A57A0"/>
    <w:rsid w:val="137C1149"/>
    <w:rsid w:val="13811D72"/>
    <w:rsid w:val="138B678C"/>
    <w:rsid w:val="139042E3"/>
    <w:rsid w:val="139F0672"/>
    <w:rsid w:val="13A02D2C"/>
    <w:rsid w:val="13A77CA3"/>
    <w:rsid w:val="13A8796C"/>
    <w:rsid w:val="13A91391"/>
    <w:rsid w:val="13A96B18"/>
    <w:rsid w:val="13B4778E"/>
    <w:rsid w:val="13B64198"/>
    <w:rsid w:val="13BB1256"/>
    <w:rsid w:val="13C94031"/>
    <w:rsid w:val="13CB5055"/>
    <w:rsid w:val="13CB7DA9"/>
    <w:rsid w:val="13CC6FEE"/>
    <w:rsid w:val="13D32386"/>
    <w:rsid w:val="13D37F26"/>
    <w:rsid w:val="13E612FE"/>
    <w:rsid w:val="13E76B83"/>
    <w:rsid w:val="13EA3F5C"/>
    <w:rsid w:val="13EC3E3F"/>
    <w:rsid w:val="13EF44E6"/>
    <w:rsid w:val="13F6735D"/>
    <w:rsid w:val="13F876EB"/>
    <w:rsid w:val="14093159"/>
    <w:rsid w:val="14167D0C"/>
    <w:rsid w:val="14192C7F"/>
    <w:rsid w:val="14193DDF"/>
    <w:rsid w:val="141F6313"/>
    <w:rsid w:val="14285B9F"/>
    <w:rsid w:val="142B1B6F"/>
    <w:rsid w:val="142D0DCF"/>
    <w:rsid w:val="143A127E"/>
    <w:rsid w:val="143B682F"/>
    <w:rsid w:val="14430869"/>
    <w:rsid w:val="14432725"/>
    <w:rsid w:val="14443226"/>
    <w:rsid w:val="144642C2"/>
    <w:rsid w:val="14473911"/>
    <w:rsid w:val="144813FA"/>
    <w:rsid w:val="1449056A"/>
    <w:rsid w:val="144B0486"/>
    <w:rsid w:val="145270FB"/>
    <w:rsid w:val="145D7B7C"/>
    <w:rsid w:val="1463562A"/>
    <w:rsid w:val="14663D16"/>
    <w:rsid w:val="1468208E"/>
    <w:rsid w:val="147E2E6B"/>
    <w:rsid w:val="14804384"/>
    <w:rsid w:val="14854E20"/>
    <w:rsid w:val="148D62F6"/>
    <w:rsid w:val="14900E65"/>
    <w:rsid w:val="149061E2"/>
    <w:rsid w:val="14940A62"/>
    <w:rsid w:val="149439E8"/>
    <w:rsid w:val="149A6CFD"/>
    <w:rsid w:val="14A17B0B"/>
    <w:rsid w:val="14BD1EEC"/>
    <w:rsid w:val="14BF2B7A"/>
    <w:rsid w:val="14C5262D"/>
    <w:rsid w:val="14C60BDA"/>
    <w:rsid w:val="14CB5D47"/>
    <w:rsid w:val="14CB6C20"/>
    <w:rsid w:val="14D250B0"/>
    <w:rsid w:val="14D76032"/>
    <w:rsid w:val="14D92A9E"/>
    <w:rsid w:val="14E01004"/>
    <w:rsid w:val="14E2050C"/>
    <w:rsid w:val="14EA179D"/>
    <w:rsid w:val="14F12B8D"/>
    <w:rsid w:val="14F3527D"/>
    <w:rsid w:val="14F92392"/>
    <w:rsid w:val="14FF6FA9"/>
    <w:rsid w:val="15063063"/>
    <w:rsid w:val="15064C19"/>
    <w:rsid w:val="151503B1"/>
    <w:rsid w:val="151B18EE"/>
    <w:rsid w:val="151E643C"/>
    <w:rsid w:val="15273F9C"/>
    <w:rsid w:val="15281DF5"/>
    <w:rsid w:val="153070B7"/>
    <w:rsid w:val="153627F8"/>
    <w:rsid w:val="153B0F5F"/>
    <w:rsid w:val="153E533A"/>
    <w:rsid w:val="154632BC"/>
    <w:rsid w:val="154E4F2D"/>
    <w:rsid w:val="15553CF3"/>
    <w:rsid w:val="155A7A47"/>
    <w:rsid w:val="155B7AE1"/>
    <w:rsid w:val="15720975"/>
    <w:rsid w:val="15785D0F"/>
    <w:rsid w:val="157B6E3A"/>
    <w:rsid w:val="157C1BA6"/>
    <w:rsid w:val="158E0A15"/>
    <w:rsid w:val="159613BE"/>
    <w:rsid w:val="159E0C56"/>
    <w:rsid w:val="15A0556A"/>
    <w:rsid w:val="15A64B0B"/>
    <w:rsid w:val="15AA2092"/>
    <w:rsid w:val="15B3006A"/>
    <w:rsid w:val="15B7619F"/>
    <w:rsid w:val="15BD7BC5"/>
    <w:rsid w:val="15BF56EC"/>
    <w:rsid w:val="15C62C1A"/>
    <w:rsid w:val="15C7380D"/>
    <w:rsid w:val="15C7675B"/>
    <w:rsid w:val="15C92532"/>
    <w:rsid w:val="15DF0F1F"/>
    <w:rsid w:val="15E20F74"/>
    <w:rsid w:val="15E51085"/>
    <w:rsid w:val="15E92732"/>
    <w:rsid w:val="15EC51EF"/>
    <w:rsid w:val="160025F7"/>
    <w:rsid w:val="1606331B"/>
    <w:rsid w:val="162E3FBD"/>
    <w:rsid w:val="16362ABF"/>
    <w:rsid w:val="16384275"/>
    <w:rsid w:val="164B4113"/>
    <w:rsid w:val="165B1291"/>
    <w:rsid w:val="167067A1"/>
    <w:rsid w:val="1673211A"/>
    <w:rsid w:val="167635DC"/>
    <w:rsid w:val="167D08B8"/>
    <w:rsid w:val="16894BB3"/>
    <w:rsid w:val="168A28EF"/>
    <w:rsid w:val="169619E0"/>
    <w:rsid w:val="169C19E3"/>
    <w:rsid w:val="169F123F"/>
    <w:rsid w:val="16A070E1"/>
    <w:rsid w:val="16A42B33"/>
    <w:rsid w:val="16A50D85"/>
    <w:rsid w:val="16A57368"/>
    <w:rsid w:val="16A9501F"/>
    <w:rsid w:val="16B014D8"/>
    <w:rsid w:val="16B24ED1"/>
    <w:rsid w:val="16C302B2"/>
    <w:rsid w:val="16CC3B80"/>
    <w:rsid w:val="16D109B7"/>
    <w:rsid w:val="16D2144F"/>
    <w:rsid w:val="16D663B2"/>
    <w:rsid w:val="16DC30E2"/>
    <w:rsid w:val="16DD5A00"/>
    <w:rsid w:val="16E46EAC"/>
    <w:rsid w:val="16E606C2"/>
    <w:rsid w:val="16E67B47"/>
    <w:rsid w:val="16E7513A"/>
    <w:rsid w:val="16E871EA"/>
    <w:rsid w:val="16F73C11"/>
    <w:rsid w:val="16FB22AF"/>
    <w:rsid w:val="16FB313E"/>
    <w:rsid w:val="16FD1D31"/>
    <w:rsid w:val="16FE7A78"/>
    <w:rsid w:val="17007A6D"/>
    <w:rsid w:val="17025706"/>
    <w:rsid w:val="17026E59"/>
    <w:rsid w:val="17050780"/>
    <w:rsid w:val="17095832"/>
    <w:rsid w:val="171149C8"/>
    <w:rsid w:val="171A3023"/>
    <w:rsid w:val="17261636"/>
    <w:rsid w:val="17363645"/>
    <w:rsid w:val="17393EFC"/>
    <w:rsid w:val="173E0892"/>
    <w:rsid w:val="17437528"/>
    <w:rsid w:val="17464469"/>
    <w:rsid w:val="174834AA"/>
    <w:rsid w:val="17490311"/>
    <w:rsid w:val="175129AF"/>
    <w:rsid w:val="1758511E"/>
    <w:rsid w:val="175B7696"/>
    <w:rsid w:val="17614279"/>
    <w:rsid w:val="17645DDE"/>
    <w:rsid w:val="177230D6"/>
    <w:rsid w:val="1772642F"/>
    <w:rsid w:val="1779294D"/>
    <w:rsid w:val="177C760C"/>
    <w:rsid w:val="177F6718"/>
    <w:rsid w:val="17814289"/>
    <w:rsid w:val="17854E2C"/>
    <w:rsid w:val="17923D7B"/>
    <w:rsid w:val="179A1C58"/>
    <w:rsid w:val="179E6E5A"/>
    <w:rsid w:val="17B150CB"/>
    <w:rsid w:val="17B23598"/>
    <w:rsid w:val="17B47768"/>
    <w:rsid w:val="17B85E0F"/>
    <w:rsid w:val="17BB35B1"/>
    <w:rsid w:val="17BE5517"/>
    <w:rsid w:val="17C045CA"/>
    <w:rsid w:val="17C85CEA"/>
    <w:rsid w:val="17CE79E2"/>
    <w:rsid w:val="17D40AAA"/>
    <w:rsid w:val="17D87834"/>
    <w:rsid w:val="17DF4479"/>
    <w:rsid w:val="17E20DEE"/>
    <w:rsid w:val="17E72060"/>
    <w:rsid w:val="17E94CA2"/>
    <w:rsid w:val="17EB564C"/>
    <w:rsid w:val="17EB5B9A"/>
    <w:rsid w:val="17F944DD"/>
    <w:rsid w:val="18052543"/>
    <w:rsid w:val="180E18D0"/>
    <w:rsid w:val="180F4CBE"/>
    <w:rsid w:val="18125949"/>
    <w:rsid w:val="18187E60"/>
    <w:rsid w:val="181E44F2"/>
    <w:rsid w:val="182007DD"/>
    <w:rsid w:val="182A7068"/>
    <w:rsid w:val="182C5877"/>
    <w:rsid w:val="18345F0A"/>
    <w:rsid w:val="183A1736"/>
    <w:rsid w:val="183D39F7"/>
    <w:rsid w:val="1843207A"/>
    <w:rsid w:val="18453F28"/>
    <w:rsid w:val="184753A6"/>
    <w:rsid w:val="18491FB8"/>
    <w:rsid w:val="184C12B5"/>
    <w:rsid w:val="184E5188"/>
    <w:rsid w:val="18523355"/>
    <w:rsid w:val="18566ECD"/>
    <w:rsid w:val="185760FC"/>
    <w:rsid w:val="185840A4"/>
    <w:rsid w:val="185D11EC"/>
    <w:rsid w:val="186212BA"/>
    <w:rsid w:val="1864014C"/>
    <w:rsid w:val="187208E1"/>
    <w:rsid w:val="187833B2"/>
    <w:rsid w:val="187B23E5"/>
    <w:rsid w:val="187D051D"/>
    <w:rsid w:val="187D2E0E"/>
    <w:rsid w:val="187D3B10"/>
    <w:rsid w:val="187D644E"/>
    <w:rsid w:val="18820879"/>
    <w:rsid w:val="188E0F9F"/>
    <w:rsid w:val="189D6459"/>
    <w:rsid w:val="18A04FFD"/>
    <w:rsid w:val="18A07947"/>
    <w:rsid w:val="18A4634D"/>
    <w:rsid w:val="18A92683"/>
    <w:rsid w:val="18AE1A47"/>
    <w:rsid w:val="18AE5289"/>
    <w:rsid w:val="18B371A8"/>
    <w:rsid w:val="18B771D9"/>
    <w:rsid w:val="18B828C6"/>
    <w:rsid w:val="18BD4376"/>
    <w:rsid w:val="18C55223"/>
    <w:rsid w:val="18C6568D"/>
    <w:rsid w:val="18C77E92"/>
    <w:rsid w:val="18C8358D"/>
    <w:rsid w:val="18C959BB"/>
    <w:rsid w:val="18D45952"/>
    <w:rsid w:val="18D65581"/>
    <w:rsid w:val="18D90BFD"/>
    <w:rsid w:val="18D951B2"/>
    <w:rsid w:val="18E05C0E"/>
    <w:rsid w:val="18E06D9A"/>
    <w:rsid w:val="18E25BE7"/>
    <w:rsid w:val="18E702FB"/>
    <w:rsid w:val="18F00CE8"/>
    <w:rsid w:val="19065E45"/>
    <w:rsid w:val="190972E9"/>
    <w:rsid w:val="19166CB4"/>
    <w:rsid w:val="192132D6"/>
    <w:rsid w:val="1921612B"/>
    <w:rsid w:val="19287DCA"/>
    <w:rsid w:val="192A5572"/>
    <w:rsid w:val="1934019F"/>
    <w:rsid w:val="19583977"/>
    <w:rsid w:val="19643E2F"/>
    <w:rsid w:val="196565AA"/>
    <w:rsid w:val="197455B0"/>
    <w:rsid w:val="197A0717"/>
    <w:rsid w:val="197D1936"/>
    <w:rsid w:val="199E2772"/>
    <w:rsid w:val="19A33352"/>
    <w:rsid w:val="19AE764D"/>
    <w:rsid w:val="19AF75D4"/>
    <w:rsid w:val="19C749D9"/>
    <w:rsid w:val="19D15A82"/>
    <w:rsid w:val="19D32BA5"/>
    <w:rsid w:val="19D8115F"/>
    <w:rsid w:val="19D95A8C"/>
    <w:rsid w:val="19DE1A34"/>
    <w:rsid w:val="19DF68D4"/>
    <w:rsid w:val="19E16672"/>
    <w:rsid w:val="19E25F19"/>
    <w:rsid w:val="19E43194"/>
    <w:rsid w:val="19E74261"/>
    <w:rsid w:val="19FA6D1A"/>
    <w:rsid w:val="19FD4F93"/>
    <w:rsid w:val="19FE1B56"/>
    <w:rsid w:val="1A0A6B4F"/>
    <w:rsid w:val="1A0F1ED8"/>
    <w:rsid w:val="1A1507A3"/>
    <w:rsid w:val="1A15521C"/>
    <w:rsid w:val="1A1928B1"/>
    <w:rsid w:val="1A1F4187"/>
    <w:rsid w:val="1A2017A7"/>
    <w:rsid w:val="1A2053A5"/>
    <w:rsid w:val="1A237D40"/>
    <w:rsid w:val="1A255D39"/>
    <w:rsid w:val="1A266FD5"/>
    <w:rsid w:val="1A2C4317"/>
    <w:rsid w:val="1A2C7DFF"/>
    <w:rsid w:val="1A2D7200"/>
    <w:rsid w:val="1A304070"/>
    <w:rsid w:val="1A3167EC"/>
    <w:rsid w:val="1A3654F4"/>
    <w:rsid w:val="1A3F47B6"/>
    <w:rsid w:val="1A444280"/>
    <w:rsid w:val="1A4965F9"/>
    <w:rsid w:val="1A4C0978"/>
    <w:rsid w:val="1A537548"/>
    <w:rsid w:val="1A5A4993"/>
    <w:rsid w:val="1A5F3F04"/>
    <w:rsid w:val="1A674776"/>
    <w:rsid w:val="1A6D2535"/>
    <w:rsid w:val="1A7056AF"/>
    <w:rsid w:val="1A75353A"/>
    <w:rsid w:val="1A886E5C"/>
    <w:rsid w:val="1A8959EC"/>
    <w:rsid w:val="1A901D46"/>
    <w:rsid w:val="1A9E0E31"/>
    <w:rsid w:val="1A9F0FB4"/>
    <w:rsid w:val="1AA06A41"/>
    <w:rsid w:val="1AA16AA1"/>
    <w:rsid w:val="1AA519C2"/>
    <w:rsid w:val="1ABA602A"/>
    <w:rsid w:val="1ABA785B"/>
    <w:rsid w:val="1ABD3F9F"/>
    <w:rsid w:val="1ABE55FB"/>
    <w:rsid w:val="1ABE7FDC"/>
    <w:rsid w:val="1AC33166"/>
    <w:rsid w:val="1AC94295"/>
    <w:rsid w:val="1ACB4062"/>
    <w:rsid w:val="1ACF3554"/>
    <w:rsid w:val="1AD27C6F"/>
    <w:rsid w:val="1AD5775F"/>
    <w:rsid w:val="1AE612D2"/>
    <w:rsid w:val="1AE77CF0"/>
    <w:rsid w:val="1AEC61C2"/>
    <w:rsid w:val="1AEE2E3A"/>
    <w:rsid w:val="1AF06330"/>
    <w:rsid w:val="1AF519ED"/>
    <w:rsid w:val="1AF5342C"/>
    <w:rsid w:val="1AFA0443"/>
    <w:rsid w:val="1AFF1FA4"/>
    <w:rsid w:val="1B0C419E"/>
    <w:rsid w:val="1B157289"/>
    <w:rsid w:val="1B173817"/>
    <w:rsid w:val="1B195FF9"/>
    <w:rsid w:val="1B22725F"/>
    <w:rsid w:val="1B2B151F"/>
    <w:rsid w:val="1B39587C"/>
    <w:rsid w:val="1B3B1532"/>
    <w:rsid w:val="1B4668FD"/>
    <w:rsid w:val="1B47394A"/>
    <w:rsid w:val="1B4C033F"/>
    <w:rsid w:val="1B4F159B"/>
    <w:rsid w:val="1B69390C"/>
    <w:rsid w:val="1B6E1A71"/>
    <w:rsid w:val="1B702586"/>
    <w:rsid w:val="1B7116D9"/>
    <w:rsid w:val="1B82359E"/>
    <w:rsid w:val="1B855280"/>
    <w:rsid w:val="1B8561FB"/>
    <w:rsid w:val="1B9B6355"/>
    <w:rsid w:val="1B9D4814"/>
    <w:rsid w:val="1BA0313F"/>
    <w:rsid w:val="1BA11472"/>
    <w:rsid w:val="1BA70410"/>
    <w:rsid w:val="1BCD463F"/>
    <w:rsid w:val="1BD31F37"/>
    <w:rsid w:val="1BD35A60"/>
    <w:rsid w:val="1BD91A0E"/>
    <w:rsid w:val="1BDC68CC"/>
    <w:rsid w:val="1BDD0D8B"/>
    <w:rsid w:val="1BE078BD"/>
    <w:rsid w:val="1BE745F6"/>
    <w:rsid w:val="1BE806B2"/>
    <w:rsid w:val="1BF11408"/>
    <w:rsid w:val="1BFF62D5"/>
    <w:rsid w:val="1C027BDF"/>
    <w:rsid w:val="1C145037"/>
    <w:rsid w:val="1C17662B"/>
    <w:rsid w:val="1C185919"/>
    <w:rsid w:val="1C19367C"/>
    <w:rsid w:val="1C3765F9"/>
    <w:rsid w:val="1C412E6E"/>
    <w:rsid w:val="1C42342B"/>
    <w:rsid w:val="1C44694B"/>
    <w:rsid w:val="1C496434"/>
    <w:rsid w:val="1C4D5CB3"/>
    <w:rsid w:val="1C4F6772"/>
    <w:rsid w:val="1C50745E"/>
    <w:rsid w:val="1C532A4B"/>
    <w:rsid w:val="1C6041F4"/>
    <w:rsid w:val="1C6A04B1"/>
    <w:rsid w:val="1C6F1AE1"/>
    <w:rsid w:val="1C7469E6"/>
    <w:rsid w:val="1C7A336B"/>
    <w:rsid w:val="1C7B54B3"/>
    <w:rsid w:val="1C8262D2"/>
    <w:rsid w:val="1C8979E9"/>
    <w:rsid w:val="1C8D63EE"/>
    <w:rsid w:val="1C915D04"/>
    <w:rsid w:val="1C986C96"/>
    <w:rsid w:val="1C9F1DD3"/>
    <w:rsid w:val="1CA23D4E"/>
    <w:rsid w:val="1CA366CB"/>
    <w:rsid w:val="1CAD6138"/>
    <w:rsid w:val="1CAE0268"/>
    <w:rsid w:val="1CB464E2"/>
    <w:rsid w:val="1CB81A6B"/>
    <w:rsid w:val="1CB82E95"/>
    <w:rsid w:val="1CB90C5D"/>
    <w:rsid w:val="1CC44476"/>
    <w:rsid w:val="1CC76F56"/>
    <w:rsid w:val="1CE93D2A"/>
    <w:rsid w:val="1CE96A40"/>
    <w:rsid w:val="1CEB0236"/>
    <w:rsid w:val="1CF57C45"/>
    <w:rsid w:val="1CF80A69"/>
    <w:rsid w:val="1D025D6F"/>
    <w:rsid w:val="1D070972"/>
    <w:rsid w:val="1D155D79"/>
    <w:rsid w:val="1D1A2745"/>
    <w:rsid w:val="1D1E66CC"/>
    <w:rsid w:val="1D215272"/>
    <w:rsid w:val="1D3F6620"/>
    <w:rsid w:val="1D4126F8"/>
    <w:rsid w:val="1D4930D8"/>
    <w:rsid w:val="1D5223E3"/>
    <w:rsid w:val="1D561B4E"/>
    <w:rsid w:val="1D586126"/>
    <w:rsid w:val="1D5E2B03"/>
    <w:rsid w:val="1D5F5F9E"/>
    <w:rsid w:val="1D69133D"/>
    <w:rsid w:val="1D6D6AF8"/>
    <w:rsid w:val="1D6F5B7C"/>
    <w:rsid w:val="1D854F7E"/>
    <w:rsid w:val="1D880945"/>
    <w:rsid w:val="1D8944CB"/>
    <w:rsid w:val="1D94070A"/>
    <w:rsid w:val="1D9E51F9"/>
    <w:rsid w:val="1DA43419"/>
    <w:rsid w:val="1DAE0C00"/>
    <w:rsid w:val="1DC44C30"/>
    <w:rsid w:val="1DCC330E"/>
    <w:rsid w:val="1DD26768"/>
    <w:rsid w:val="1DD33F61"/>
    <w:rsid w:val="1DD82332"/>
    <w:rsid w:val="1DDA3D7F"/>
    <w:rsid w:val="1DDE13F8"/>
    <w:rsid w:val="1DE651E8"/>
    <w:rsid w:val="1DF1585D"/>
    <w:rsid w:val="1DF83A39"/>
    <w:rsid w:val="1DF84814"/>
    <w:rsid w:val="1DFB6E89"/>
    <w:rsid w:val="1DFB74DD"/>
    <w:rsid w:val="1E070091"/>
    <w:rsid w:val="1E0A2569"/>
    <w:rsid w:val="1E146959"/>
    <w:rsid w:val="1E1B2F5F"/>
    <w:rsid w:val="1E245234"/>
    <w:rsid w:val="1E2750AE"/>
    <w:rsid w:val="1E484929"/>
    <w:rsid w:val="1E4F5C2D"/>
    <w:rsid w:val="1E552F80"/>
    <w:rsid w:val="1E5E1958"/>
    <w:rsid w:val="1E6147B7"/>
    <w:rsid w:val="1E653553"/>
    <w:rsid w:val="1E693EC0"/>
    <w:rsid w:val="1E6A31B4"/>
    <w:rsid w:val="1E6B5EAB"/>
    <w:rsid w:val="1E6E1784"/>
    <w:rsid w:val="1E6E7C03"/>
    <w:rsid w:val="1E71052F"/>
    <w:rsid w:val="1E71154D"/>
    <w:rsid w:val="1E790E87"/>
    <w:rsid w:val="1E7A25F2"/>
    <w:rsid w:val="1EAD3FA1"/>
    <w:rsid w:val="1EB24BCB"/>
    <w:rsid w:val="1EB5212B"/>
    <w:rsid w:val="1EBA3D0C"/>
    <w:rsid w:val="1EBB4EBE"/>
    <w:rsid w:val="1EC5054E"/>
    <w:rsid w:val="1EC6392B"/>
    <w:rsid w:val="1EC90621"/>
    <w:rsid w:val="1ECB24E7"/>
    <w:rsid w:val="1ECC2C27"/>
    <w:rsid w:val="1ECC6B68"/>
    <w:rsid w:val="1ED62E6A"/>
    <w:rsid w:val="1EE260EC"/>
    <w:rsid w:val="1EE667FC"/>
    <w:rsid w:val="1EE84B34"/>
    <w:rsid w:val="1EE97F7C"/>
    <w:rsid w:val="1EEF431A"/>
    <w:rsid w:val="1EF64135"/>
    <w:rsid w:val="1F0650C7"/>
    <w:rsid w:val="1F0B6D61"/>
    <w:rsid w:val="1F0E2B05"/>
    <w:rsid w:val="1F172367"/>
    <w:rsid w:val="1F254E34"/>
    <w:rsid w:val="1F2678A3"/>
    <w:rsid w:val="1F2932A1"/>
    <w:rsid w:val="1F404217"/>
    <w:rsid w:val="1F4247F1"/>
    <w:rsid w:val="1F48621D"/>
    <w:rsid w:val="1F533118"/>
    <w:rsid w:val="1F626E72"/>
    <w:rsid w:val="1F6A2294"/>
    <w:rsid w:val="1F8D282B"/>
    <w:rsid w:val="1F970130"/>
    <w:rsid w:val="1F9D0A44"/>
    <w:rsid w:val="1FA51D91"/>
    <w:rsid w:val="1FAB7093"/>
    <w:rsid w:val="1FAC0548"/>
    <w:rsid w:val="1FB65F17"/>
    <w:rsid w:val="1FBE0652"/>
    <w:rsid w:val="1FC169BD"/>
    <w:rsid w:val="1FC76C64"/>
    <w:rsid w:val="1FCF3A1C"/>
    <w:rsid w:val="1FD55365"/>
    <w:rsid w:val="1FD55385"/>
    <w:rsid w:val="1FD83DFD"/>
    <w:rsid w:val="1FD930B0"/>
    <w:rsid w:val="1FE43F25"/>
    <w:rsid w:val="1FF107B1"/>
    <w:rsid w:val="1FF11E30"/>
    <w:rsid w:val="1FF20A5C"/>
    <w:rsid w:val="20001E8C"/>
    <w:rsid w:val="20031903"/>
    <w:rsid w:val="20067B7E"/>
    <w:rsid w:val="20075E29"/>
    <w:rsid w:val="200A3D59"/>
    <w:rsid w:val="20102A57"/>
    <w:rsid w:val="201955DF"/>
    <w:rsid w:val="201E5EB6"/>
    <w:rsid w:val="20255669"/>
    <w:rsid w:val="202F5F6F"/>
    <w:rsid w:val="20301677"/>
    <w:rsid w:val="20341112"/>
    <w:rsid w:val="204E279C"/>
    <w:rsid w:val="2059524D"/>
    <w:rsid w:val="205E1FA5"/>
    <w:rsid w:val="206841DB"/>
    <w:rsid w:val="20692E24"/>
    <w:rsid w:val="206B3403"/>
    <w:rsid w:val="206B75C0"/>
    <w:rsid w:val="206D21E8"/>
    <w:rsid w:val="206D55DF"/>
    <w:rsid w:val="2076034B"/>
    <w:rsid w:val="20767256"/>
    <w:rsid w:val="207823E8"/>
    <w:rsid w:val="207A1ABC"/>
    <w:rsid w:val="20893FDE"/>
    <w:rsid w:val="208C6B12"/>
    <w:rsid w:val="208D3C12"/>
    <w:rsid w:val="20931E8F"/>
    <w:rsid w:val="209A3380"/>
    <w:rsid w:val="20A2611A"/>
    <w:rsid w:val="20A71359"/>
    <w:rsid w:val="20B0645D"/>
    <w:rsid w:val="20B66B40"/>
    <w:rsid w:val="20BA0E51"/>
    <w:rsid w:val="20BC0C42"/>
    <w:rsid w:val="20C5585B"/>
    <w:rsid w:val="20CB1088"/>
    <w:rsid w:val="20CF64D3"/>
    <w:rsid w:val="20D276ED"/>
    <w:rsid w:val="20D314FF"/>
    <w:rsid w:val="20D35978"/>
    <w:rsid w:val="20D36C50"/>
    <w:rsid w:val="20D724A8"/>
    <w:rsid w:val="20DB5E28"/>
    <w:rsid w:val="20E32E09"/>
    <w:rsid w:val="20E424AA"/>
    <w:rsid w:val="20F070A1"/>
    <w:rsid w:val="20F261A5"/>
    <w:rsid w:val="20FB39E4"/>
    <w:rsid w:val="20FE770C"/>
    <w:rsid w:val="21044291"/>
    <w:rsid w:val="2106633C"/>
    <w:rsid w:val="210A4B79"/>
    <w:rsid w:val="211D393E"/>
    <w:rsid w:val="21226BEF"/>
    <w:rsid w:val="212528F5"/>
    <w:rsid w:val="21332707"/>
    <w:rsid w:val="21362B20"/>
    <w:rsid w:val="21391F84"/>
    <w:rsid w:val="213B5848"/>
    <w:rsid w:val="213E521A"/>
    <w:rsid w:val="213E6B12"/>
    <w:rsid w:val="21456E23"/>
    <w:rsid w:val="214663E7"/>
    <w:rsid w:val="21484B50"/>
    <w:rsid w:val="215347EE"/>
    <w:rsid w:val="21562473"/>
    <w:rsid w:val="2158338F"/>
    <w:rsid w:val="215869A6"/>
    <w:rsid w:val="215C4D90"/>
    <w:rsid w:val="215D53B4"/>
    <w:rsid w:val="21642844"/>
    <w:rsid w:val="217575A6"/>
    <w:rsid w:val="217C0935"/>
    <w:rsid w:val="21822366"/>
    <w:rsid w:val="21863561"/>
    <w:rsid w:val="218F12E5"/>
    <w:rsid w:val="219C1508"/>
    <w:rsid w:val="21AB6CD0"/>
    <w:rsid w:val="21AE317B"/>
    <w:rsid w:val="21B01FA5"/>
    <w:rsid w:val="21BA4C58"/>
    <w:rsid w:val="21BC11F2"/>
    <w:rsid w:val="21BE4D6A"/>
    <w:rsid w:val="21CB622C"/>
    <w:rsid w:val="21D01E62"/>
    <w:rsid w:val="21D03B15"/>
    <w:rsid w:val="21E645E2"/>
    <w:rsid w:val="21E85460"/>
    <w:rsid w:val="21E94A97"/>
    <w:rsid w:val="21EB7868"/>
    <w:rsid w:val="21EC07B7"/>
    <w:rsid w:val="21F40328"/>
    <w:rsid w:val="21F579C8"/>
    <w:rsid w:val="21FD4613"/>
    <w:rsid w:val="221176DE"/>
    <w:rsid w:val="22122C06"/>
    <w:rsid w:val="221262C7"/>
    <w:rsid w:val="222370DF"/>
    <w:rsid w:val="22242A1A"/>
    <w:rsid w:val="222B624F"/>
    <w:rsid w:val="22340E6A"/>
    <w:rsid w:val="223E5856"/>
    <w:rsid w:val="22400EBC"/>
    <w:rsid w:val="22412DE8"/>
    <w:rsid w:val="224B1D4A"/>
    <w:rsid w:val="22534DC7"/>
    <w:rsid w:val="225B2C40"/>
    <w:rsid w:val="22670040"/>
    <w:rsid w:val="2274553B"/>
    <w:rsid w:val="22770131"/>
    <w:rsid w:val="22930250"/>
    <w:rsid w:val="22994A3D"/>
    <w:rsid w:val="22A16B3E"/>
    <w:rsid w:val="22AD0A60"/>
    <w:rsid w:val="22B723CD"/>
    <w:rsid w:val="22BC7CD7"/>
    <w:rsid w:val="22C371B4"/>
    <w:rsid w:val="22C40161"/>
    <w:rsid w:val="22C7765D"/>
    <w:rsid w:val="22CB28BB"/>
    <w:rsid w:val="22DB2858"/>
    <w:rsid w:val="22E91DF4"/>
    <w:rsid w:val="22EE5707"/>
    <w:rsid w:val="22EF5FA2"/>
    <w:rsid w:val="22F21B90"/>
    <w:rsid w:val="22F66267"/>
    <w:rsid w:val="22F740A5"/>
    <w:rsid w:val="22FF110E"/>
    <w:rsid w:val="23003BD7"/>
    <w:rsid w:val="23007343"/>
    <w:rsid w:val="23016467"/>
    <w:rsid w:val="23021BF0"/>
    <w:rsid w:val="230259B3"/>
    <w:rsid w:val="23094295"/>
    <w:rsid w:val="231614AF"/>
    <w:rsid w:val="231E2482"/>
    <w:rsid w:val="232F3FCA"/>
    <w:rsid w:val="233D20F9"/>
    <w:rsid w:val="23460E68"/>
    <w:rsid w:val="234642A1"/>
    <w:rsid w:val="234D545C"/>
    <w:rsid w:val="23502731"/>
    <w:rsid w:val="235E7EA4"/>
    <w:rsid w:val="23694A75"/>
    <w:rsid w:val="2378526F"/>
    <w:rsid w:val="23895462"/>
    <w:rsid w:val="23927D67"/>
    <w:rsid w:val="23953F30"/>
    <w:rsid w:val="239D4DA3"/>
    <w:rsid w:val="23A05F5C"/>
    <w:rsid w:val="23A62D1E"/>
    <w:rsid w:val="23A632DC"/>
    <w:rsid w:val="23AE3967"/>
    <w:rsid w:val="23B208BE"/>
    <w:rsid w:val="23B67E0E"/>
    <w:rsid w:val="23C263D2"/>
    <w:rsid w:val="23CD6B32"/>
    <w:rsid w:val="23CF3744"/>
    <w:rsid w:val="23D41292"/>
    <w:rsid w:val="23EB0A86"/>
    <w:rsid w:val="23F3706B"/>
    <w:rsid w:val="23F400AB"/>
    <w:rsid w:val="24094AAC"/>
    <w:rsid w:val="240A1E6F"/>
    <w:rsid w:val="240E3ECF"/>
    <w:rsid w:val="24127C13"/>
    <w:rsid w:val="24263981"/>
    <w:rsid w:val="242644BF"/>
    <w:rsid w:val="24303C58"/>
    <w:rsid w:val="2431571F"/>
    <w:rsid w:val="24360A3C"/>
    <w:rsid w:val="243D71CC"/>
    <w:rsid w:val="244259D7"/>
    <w:rsid w:val="24443A64"/>
    <w:rsid w:val="24507EB3"/>
    <w:rsid w:val="245B41B9"/>
    <w:rsid w:val="245E1D5D"/>
    <w:rsid w:val="24643FED"/>
    <w:rsid w:val="24683E43"/>
    <w:rsid w:val="247E49C4"/>
    <w:rsid w:val="24805226"/>
    <w:rsid w:val="249258B0"/>
    <w:rsid w:val="2493734E"/>
    <w:rsid w:val="24941068"/>
    <w:rsid w:val="24A361D8"/>
    <w:rsid w:val="24AB2738"/>
    <w:rsid w:val="24BA242F"/>
    <w:rsid w:val="24BB4B39"/>
    <w:rsid w:val="24C26913"/>
    <w:rsid w:val="24CE5679"/>
    <w:rsid w:val="24DB1234"/>
    <w:rsid w:val="24DD371D"/>
    <w:rsid w:val="24E3339E"/>
    <w:rsid w:val="24EE7D9B"/>
    <w:rsid w:val="24F26082"/>
    <w:rsid w:val="24F361FA"/>
    <w:rsid w:val="250273A3"/>
    <w:rsid w:val="250E6800"/>
    <w:rsid w:val="251E5A26"/>
    <w:rsid w:val="25287D72"/>
    <w:rsid w:val="25315208"/>
    <w:rsid w:val="25346CD3"/>
    <w:rsid w:val="25365AE4"/>
    <w:rsid w:val="253A2078"/>
    <w:rsid w:val="253B0B07"/>
    <w:rsid w:val="253B11D0"/>
    <w:rsid w:val="25462EE4"/>
    <w:rsid w:val="254B3D2B"/>
    <w:rsid w:val="254E54EE"/>
    <w:rsid w:val="255866A0"/>
    <w:rsid w:val="25606D83"/>
    <w:rsid w:val="25683697"/>
    <w:rsid w:val="257F4470"/>
    <w:rsid w:val="258960E4"/>
    <w:rsid w:val="25965F62"/>
    <w:rsid w:val="25B02CAD"/>
    <w:rsid w:val="25BF57FD"/>
    <w:rsid w:val="25CC304D"/>
    <w:rsid w:val="25CF2A2A"/>
    <w:rsid w:val="25D1410B"/>
    <w:rsid w:val="25DB1205"/>
    <w:rsid w:val="25E72020"/>
    <w:rsid w:val="25F25669"/>
    <w:rsid w:val="25F609D5"/>
    <w:rsid w:val="25FA0B7A"/>
    <w:rsid w:val="260932BF"/>
    <w:rsid w:val="26133BF3"/>
    <w:rsid w:val="26143D1D"/>
    <w:rsid w:val="261A700A"/>
    <w:rsid w:val="261B28E7"/>
    <w:rsid w:val="26202FCC"/>
    <w:rsid w:val="262F430D"/>
    <w:rsid w:val="26313B27"/>
    <w:rsid w:val="26315941"/>
    <w:rsid w:val="263F7366"/>
    <w:rsid w:val="264734B0"/>
    <w:rsid w:val="2650413E"/>
    <w:rsid w:val="2658795F"/>
    <w:rsid w:val="265F481B"/>
    <w:rsid w:val="26622FBA"/>
    <w:rsid w:val="266269BA"/>
    <w:rsid w:val="266A209B"/>
    <w:rsid w:val="267100DA"/>
    <w:rsid w:val="26754641"/>
    <w:rsid w:val="26782D55"/>
    <w:rsid w:val="267D6301"/>
    <w:rsid w:val="268062CE"/>
    <w:rsid w:val="26861921"/>
    <w:rsid w:val="26872AA1"/>
    <w:rsid w:val="268E07C6"/>
    <w:rsid w:val="269130F1"/>
    <w:rsid w:val="269C2310"/>
    <w:rsid w:val="26A32151"/>
    <w:rsid w:val="26A47779"/>
    <w:rsid w:val="26A760A9"/>
    <w:rsid w:val="26AA1D34"/>
    <w:rsid w:val="26B763D2"/>
    <w:rsid w:val="26C2163A"/>
    <w:rsid w:val="26C77332"/>
    <w:rsid w:val="26C84235"/>
    <w:rsid w:val="26DA11DF"/>
    <w:rsid w:val="26E916C7"/>
    <w:rsid w:val="26EB2A75"/>
    <w:rsid w:val="26ED0722"/>
    <w:rsid w:val="26F0416A"/>
    <w:rsid w:val="26F163F5"/>
    <w:rsid w:val="26F930CC"/>
    <w:rsid w:val="27052D67"/>
    <w:rsid w:val="270B33C9"/>
    <w:rsid w:val="271167D4"/>
    <w:rsid w:val="271863D4"/>
    <w:rsid w:val="271B27F2"/>
    <w:rsid w:val="271B62A6"/>
    <w:rsid w:val="271D470B"/>
    <w:rsid w:val="271D6716"/>
    <w:rsid w:val="27205EB5"/>
    <w:rsid w:val="272626D1"/>
    <w:rsid w:val="27276904"/>
    <w:rsid w:val="27324B59"/>
    <w:rsid w:val="27326925"/>
    <w:rsid w:val="27353395"/>
    <w:rsid w:val="273E5571"/>
    <w:rsid w:val="27405EAA"/>
    <w:rsid w:val="27480C39"/>
    <w:rsid w:val="275C05BC"/>
    <w:rsid w:val="276172CD"/>
    <w:rsid w:val="2763576E"/>
    <w:rsid w:val="276832E7"/>
    <w:rsid w:val="276C59F9"/>
    <w:rsid w:val="276D15DE"/>
    <w:rsid w:val="2774095F"/>
    <w:rsid w:val="27826575"/>
    <w:rsid w:val="27895B59"/>
    <w:rsid w:val="278E3226"/>
    <w:rsid w:val="27982424"/>
    <w:rsid w:val="279F6F21"/>
    <w:rsid w:val="27A21C97"/>
    <w:rsid w:val="27AB2CA6"/>
    <w:rsid w:val="27AB4C89"/>
    <w:rsid w:val="27AC7C18"/>
    <w:rsid w:val="27AD123F"/>
    <w:rsid w:val="27AD5666"/>
    <w:rsid w:val="27C064F1"/>
    <w:rsid w:val="27C66C59"/>
    <w:rsid w:val="27C9620D"/>
    <w:rsid w:val="27CC3C98"/>
    <w:rsid w:val="27CC7BF6"/>
    <w:rsid w:val="27DF40FD"/>
    <w:rsid w:val="27E80919"/>
    <w:rsid w:val="27EA454F"/>
    <w:rsid w:val="27EA4753"/>
    <w:rsid w:val="27F8683B"/>
    <w:rsid w:val="27FB25DF"/>
    <w:rsid w:val="27FB7291"/>
    <w:rsid w:val="27FD399F"/>
    <w:rsid w:val="2801780A"/>
    <w:rsid w:val="280179BA"/>
    <w:rsid w:val="280323B3"/>
    <w:rsid w:val="28090902"/>
    <w:rsid w:val="280D4CA8"/>
    <w:rsid w:val="280F556C"/>
    <w:rsid w:val="28141908"/>
    <w:rsid w:val="2818054C"/>
    <w:rsid w:val="28180ADF"/>
    <w:rsid w:val="281C498C"/>
    <w:rsid w:val="281E3135"/>
    <w:rsid w:val="282044D8"/>
    <w:rsid w:val="28206CB8"/>
    <w:rsid w:val="282362E4"/>
    <w:rsid w:val="28242E5B"/>
    <w:rsid w:val="28285372"/>
    <w:rsid w:val="283260E3"/>
    <w:rsid w:val="28357A8F"/>
    <w:rsid w:val="283667A0"/>
    <w:rsid w:val="28375FB1"/>
    <w:rsid w:val="28390684"/>
    <w:rsid w:val="283E28ED"/>
    <w:rsid w:val="2844368E"/>
    <w:rsid w:val="284969C6"/>
    <w:rsid w:val="284C4B32"/>
    <w:rsid w:val="284D0EA4"/>
    <w:rsid w:val="28520636"/>
    <w:rsid w:val="28565FE4"/>
    <w:rsid w:val="285707E6"/>
    <w:rsid w:val="28592D6C"/>
    <w:rsid w:val="285F36CB"/>
    <w:rsid w:val="286214A8"/>
    <w:rsid w:val="286715E1"/>
    <w:rsid w:val="28700869"/>
    <w:rsid w:val="28733B36"/>
    <w:rsid w:val="2882120E"/>
    <w:rsid w:val="2886448A"/>
    <w:rsid w:val="28881BDD"/>
    <w:rsid w:val="288B2B02"/>
    <w:rsid w:val="288F542E"/>
    <w:rsid w:val="28974EF1"/>
    <w:rsid w:val="2898046B"/>
    <w:rsid w:val="289A7D66"/>
    <w:rsid w:val="28A20FA9"/>
    <w:rsid w:val="28AA2139"/>
    <w:rsid w:val="28AA29A9"/>
    <w:rsid w:val="28AF4EC4"/>
    <w:rsid w:val="28C17634"/>
    <w:rsid w:val="28C459EB"/>
    <w:rsid w:val="28C5692B"/>
    <w:rsid w:val="28CF6423"/>
    <w:rsid w:val="28D34E2F"/>
    <w:rsid w:val="28D86DBC"/>
    <w:rsid w:val="28DB23E5"/>
    <w:rsid w:val="28E538B9"/>
    <w:rsid w:val="28F31D4F"/>
    <w:rsid w:val="28F463E0"/>
    <w:rsid w:val="28F7563D"/>
    <w:rsid w:val="28FB44D6"/>
    <w:rsid w:val="2901329A"/>
    <w:rsid w:val="29045B2F"/>
    <w:rsid w:val="290C4699"/>
    <w:rsid w:val="290E201D"/>
    <w:rsid w:val="291175A9"/>
    <w:rsid w:val="291458F7"/>
    <w:rsid w:val="291F1157"/>
    <w:rsid w:val="292672F1"/>
    <w:rsid w:val="292D7A53"/>
    <w:rsid w:val="294837F2"/>
    <w:rsid w:val="29485E0E"/>
    <w:rsid w:val="295D00D2"/>
    <w:rsid w:val="2962286D"/>
    <w:rsid w:val="296B731F"/>
    <w:rsid w:val="297843D7"/>
    <w:rsid w:val="297B25F8"/>
    <w:rsid w:val="297E5982"/>
    <w:rsid w:val="297F1C71"/>
    <w:rsid w:val="29893098"/>
    <w:rsid w:val="298E52C4"/>
    <w:rsid w:val="299550FB"/>
    <w:rsid w:val="2996455E"/>
    <w:rsid w:val="299A0710"/>
    <w:rsid w:val="29A42CE5"/>
    <w:rsid w:val="29A56F9F"/>
    <w:rsid w:val="29A7021E"/>
    <w:rsid w:val="29AC26A7"/>
    <w:rsid w:val="29B21CC5"/>
    <w:rsid w:val="29B475EC"/>
    <w:rsid w:val="29C70471"/>
    <w:rsid w:val="29D31BA8"/>
    <w:rsid w:val="29E2016D"/>
    <w:rsid w:val="29E91D93"/>
    <w:rsid w:val="2A0170AC"/>
    <w:rsid w:val="2A165475"/>
    <w:rsid w:val="2A1C549D"/>
    <w:rsid w:val="2A256F3B"/>
    <w:rsid w:val="2A370ABE"/>
    <w:rsid w:val="2A3E529F"/>
    <w:rsid w:val="2A4261CD"/>
    <w:rsid w:val="2A4E0A4E"/>
    <w:rsid w:val="2A584251"/>
    <w:rsid w:val="2A5F7734"/>
    <w:rsid w:val="2A753B41"/>
    <w:rsid w:val="2A755AD7"/>
    <w:rsid w:val="2A7F00A7"/>
    <w:rsid w:val="2A7F3244"/>
    <w:rsid w:val="2A807AD5"/>
    <w:rsid w:val="2A897FDE"/>
    <w:rsid w:val="2A8B0C1E"/>
    <w:rsid w:val="2A8D7448"/>
    <w:rsid w:val="2A932B48"/>
    <w:rsid w:val="2A933BA3"/>
    <w:rsid w:val="2A984D50"/>
    <w:rsid w:val="2A994305"/>
    <w:rsid w:val="2AA46FE2"/>
    <w:rsid w:val="2AA604D8"/>
    <w:rsid w:val="2AB23C68"/>
    <w:rsid w:val="2ACC3156"/>
    <w:rsid w:val="2AD5714A"/>
    <w:rsid w:val="2AE431B2"/>
    <w:rsid w:val="2AE7718C"/>
    <w:rsid w:val="2AE85BFB"/>
    <w:rsid w:val="2AE86FAA"/>
    <w:rsid w:val="2AEA4B61"/>
    <w:rsid w:val="2AED22A5"/>
    <w:rsid w:val="2AF53506"/>
    <w:rsid w:val="2AF87AE6"/>
    <w:rsid w:val="2AFB125F"/>
    <w:rsid w:val="2AFF0B3A"/>
    <w:rsid w:val="2B013CF4"/>
    <w:rsid w:val="2B084E73"/>
    <w:rsid w:val="2B0A3199"/>
    <w:rsid w:val="2B0F153B"/>
    <w:rsid w:val="2B123D82"/>
    <w:rsid w:val="2B1A7704"/>
    <w:rsid w:val="2B1B499F"/>
    <w:rsid w:val="2B213062"/>
    <w:rsid w:val="2B252957"/>
    <w:rsid w:val="2B26384F"/>
    <w:rsid w:val="2B295402"/>
    <w:rsid w:val="2B2C517A"/>
    <w:rsid w:val="2B311B81"/>
    <w:rsid w:val="2B3330AE"/>
    <w:rsid w:val="2B384D75"/>
    <w:rsid w:val="2B413B51"/>
    <w:rsid w:val="2B544E32"/>
    <w:rsid w:val="2B571037"/>
    <w:rsid w:val="2B583793"/>
    <w:rsid w:val="2B5A5DE6"/>
    <w:rsid w:val="2B5B323B"/>
    <w:rsid w:val="2B6571B2"/>
    <w:rsid w:val="2B6C06E8"/>
    <w:rsid w:val="2B6F6304"/>
    <w:rsid w:val="2B7A5D28"/>
    <w:rsid w:val="2B7F5FD7"/>
    <w:rsid w:val="2B8151CA"/>
    <w:rsid w:val="2B8A5E6E"/>
    <w:rsid w:val="2BA82862"/>
    <w:rsid w:val="2BAC1606"/>
    <w:rsid w:val="2BB37649"/>
    <w:rsid w:val="2BB42415"/>
    <w:rsid w:val="2BB822A7"/>
    <w:rsid w:val="2BBD2C80"/>
    <w:rsid w:val="2BC02C66"/>
    <w:rsid w:val="2BC1004E"/>
    <w:rsid w:val="2BCB7A4E"/>
    <w:rsid w:val="2BCD61A8"/>
    <w:rsid w:val="2BD223DC"/>
    <w:rsid w:val="2BD25787"/>
    <w:rsid w:val="2BD55931"/>
    <w:rsid w:val="2BE7611E"/>
    <w:rsid w:val="2BEB1A8A"/>
    <w:rsid w:val="2BEC2295"/>
    <w:rsid w:val="2BEF14DE"/>
    <w:rsid w:val="2BF27461"/>
    <w:rsid w:val="2BF51A0F"/>
    <w:rsid w:val="2BFD08C4"/>
    <w:rsid w:val="2C055387"/>
    <w:rsid w:val="2C0623C5"/>
    <w:rsid w:val="2C07120E"/>
    <w:rsid w:val="2C0C0B07"/>
    <w:rsid w:val="2C161986"/>
    <w:rsid w:val="2C1627B6"/>
    <w:rsid w:val="2C175F8A"/>
    <w:rsid w:val="2C186CD6"/>
    <w:rsid w:val="2C1A1AEF"/>
    <w:rsid w:val="2C2E2294"/>
    <w:rsid w:val="2C31196C"/>
    <w:rsid w:val="2C3D7F61"/>
    <w:rsid w:val="2C42138C"/>
    <w:rsid w:val="2C47345C"/>
    <w:rsid w:val="2C5F0DF2"/>
    <w:rsid w:val="2C5F3333"/>
    <w:rsid w:val="2C616936"/>
    <w:rsid w:val="2C64742D"/>
    <w:rsid w:val="2C6E1245"/>
    <w:rsid w:val="2C7238CB"/>
    <w:rsid w:val="2C7A0C19"/>
    <w:rsid w:val="2C7A3CC3"/>
    <w:rsid w:val="2C807883"/>
    <w:rsid w:val="2C983333"/>
    <w:rsid w:val="2C9A4907"/>
    <w:rsid w:val="2CA73D56"/>
    <w:rsid w:val="2CAA2A60"/>
    <w:rsid w:val="2CBB1B1D"/>
    <w:rsid w:val="2CBE6DD2"/>
    <w:rsid w:val="2CBF3182"/>
    <w:rsid w:val="2CC95FB1"/>
    <w:rsid w:val="2CC96C87"/>
    <w:rsid w:val="2CCF5A74"/>
    <w:rsid w:val="2CD21D51"/>
    <w:rsid w:val="2CF33A75"/>
    <w:rsid w:val="2CF5369D"/>
    <w:rsid w:val="2CF972DD"/>
    <w:rsid w:val="2CFB1A93"/>
    <w:rsid w:val="2D0204E4"/>
    <w:rsid w:val="2D043AB6"/>
    <w:rsid w:val="2D070A1A"/>
    <w:rsid w:val="2D077F81"/>
    <w:rsid w:val="2D112F7E"/>
    <w:rsid w:val="2D2836D2"/>
    <w:rsid w:val="2D29159E"/>
    <w:rsid w:val="2D2A14A3"/>
    <w:rsid w:val="2D2C3818"/>
    <w:rsid w:val="2D330825"/>
    <w:rsid w:val="2D332906"/>
    <w:rsid w:val="2D3642EE"/>
    <w:rsid w:val="2D4179CC"/>
    <w:rsid w:val="2D464245"/>
    <w:rsid w:val="2D4A4D2A"/>
    <w:rsid w:val="2D4E7C8C"/>
    <w:rsid w:val="2D50024A"/>
    <w:rsid w:val="2D6334E2"/>
    <w:rsid w:val="2D6513BF"/>
    <w:rsid w:val="2D6C5C4E"/>
    <w:rsid w:val="2D6D701B"/>
    <w:rsid w:val="2D6E7594"/>
    <w:rsid w:val="2D736897"/>
    <w:rsid w:val="2D771BD6"/>
    <w:rsid w:val="2D7C1CBC"/>
    <w:rsid w:val="2D7F0073"/>
    <w:rsid w:val="2D7F0A19"/>
    <w:rsid w:val="2D8354A9"/>
    <w:rsid w:val="2D8B17F7"/>
    <w:rsid w:val="2D8F2EC8"/>
    <w:rsid w:val="2D954B15"/>
    <w:rsid w:val="2D9729AD"/>
    <w:rsid w:val="2D98579B"/>
    <w:rsid w:val="2D9E000B"/>
    <w:rsid w:val="2DA0018B"/>
    <w:rsid w:val="2DAA35F3"/>
    <w:rsid w:val="2DC00077"/>
    <w:rsid w:val="2DC47B75"/>
    <w:rsid w:val="2DCD78C7"/>
    <w:rsid w:val="2DCF5CFD"/>
    <w:rsid w:val="2DD34127"/>
    <w:rsid w:val="2DD76C09"/>
    <w:rsid w:val="2DE118D6"/>
    <w:rsid w:val="2DE55BFE"/>
    <w:rsid w:val="2DE749D0"/>
    <w:rsid w:val="2DE96B75"/>
    <w:rsid w:val="2DEE32C4"/>
    <w:rsid w:val="2DF160E0"/>
    <w:rsid w:val="2DF24BA0"/>
    <w:rsid w:val="2DF60D4A"/>
    <w:rsid w:val="2DF74829"/>
    <w:rsid w:val="2DF811B8"/>
    <w:rsid w:val="2E063581"/>
    <w:rsid w:val="2E07699B"/>
    <w:rsid w:val="2E09140F"/>
    <w:rsid w:val="2E0B788F"/>
    <w:rsid w:val="2E0D3348"/>
    <w:rsid w:val="2E0F6DDB"/>
    <w:rsid w:val="2E100418"/>
    <w:rsid w:val="2E117F26"/>
    <w:rsid w:val="2E12312C"/>
    <w:rsid w:val="2E2A3CE5"/>
    <w:rsid w:val="2E2B30C4"/>
    <w:rsid w:val="2E2E56E6"/>
    <w:rsid w:val="2E2F6D2F"/>
    <w:rsid w:val="2E356943"/>
    <w:rsid w:val="2E3D4B5C"/>
    <w:rsid w:val="2E5004EA"/>
    <w:rsid w:val="2E504D66"/>
    <w:rsid w:val="2E620F20"/>
    <w:rsid w:val="2E623BE1"/>
    <w:rsid w:val="2E63375A"/>
    <w:rsid w:val="2E6461EF"/>
    <w:rsid w:val="2E684B29"/>
    <w:rsid w:val="2E6D586C"/>
    <w:rsid w:val="2E6F5850"/>
    <w:rsid w:val="2E7637CA"/>
    <w:rsid w:val="2E792EEA"/>
    <w:rsid w:val="2E7A3BD9"/>
    <w:rsid w:val="2E7B0EC8"/>
    <w:rsid w:val="2E7B5AD6"/>
    <w:rsid w:val="2E7F7CB6"/>
    <w:rsid w:val="2E8A573C"/>
    <w:rsid w:val="2E8A76DC"/>
    <w:rsid w:val="2E8D4B50"/>
    <w:rsid w:val="2E8F2FC6"/>
    <w:rsid w:val="2E976EDC"/>
    <w:rsid w:val="2E9C4DDE"/>
    <w:rsid w:val="2EBE762F"/>
    <w:rsid w:val="2EC17D7C"/>
    <w:rsid w:val="2EC5279E"/>
    <w:rsid w:val="2EC643F0"/>
    <w:rsid w:val="2EDA3568"/>
    <w:rsid w:val="2EDA6985"/>
    <w:rsid w:val="2EDB6DBC"/>
    <w:rsid w:val="2EE04780"/>
    <w:rsid w:val="2EE45B77"/>
    <w:rsid w:val="2EEC7263"/>
    <w:rsid w:val="2EF51FEB"/>
    <w:rsid w:val="2EFC3C85"/>
    <w:rsid w:val="2F013F9D"/>
    <w:rsid w:val="2F087CAC"/>
    <w:rsid w:val="2F155F25"/>
    <w:rsid w:val="2F1672DE"/>
    <w:rsid w:val="2F286E8F"/>
    <w:rsid w:val="2F294C45"/>
    <w:rsid w:val="2F2A0095"/>
    <w:rsid w:val="2F310135"/>
    <w:rsid w:val="2F3242E7"/>
    <w:rsid w:val="2F326AD7"/>
    <w:rsid w:val="2F38003B"/>
    <w:rsid w:val="2F3A6C5E"/>
    <w:rsid w:val="2F44342B"/>
    <w:rsid w:val="2F481420"/>
    <w:rsid w:val="2F590670"/>
    <w:rsid w:val="2F6346FF"/>
    <w:rsid w:val="2F6366AC"/>
    <w:rsid w:val="2F651E4E"/>
    <w:rsid w:val="2F710B77"/>
    <w:rsid w:val="2F7E1D1C"/>
    <w:rsid w:val="2F882B9B"/>
    <w:rsid w:val="2F8E4E49"/>
    <w:rsid w:val="2F90787C"/>
    <w:rsid w:val="2FA24604"/>
    <w:rsid w:val="2FA57CD1"/>
    <w:rsid w:val="2FA92A30"/>
    <w:rsid w:val="2FA92EAB"/>
    <w:rsid w:val="2FAA30C6"/>
    <w:rsid w:val="2FAE0D43"/>
    <w:rsid w:val="2FB50062"/>
    <w:rsid w:val="2FB87D95"/>
    <w:rsid w:val="2FC73D6E"/>
    <w:rsid w:val="2FCA2075"/>
    <w:rsid w:val="2FD972AD"/>
    <w:rsid w:val="2FE01154"/>
    <w:rsid w:val="2FE04EFB"/>
    <w:rsid w:val="2FE52DA0"/>
    <w:rsid w:val="2FED2A41"/>
    <w:rsid w:val="2FF169AF"/>
    <w:rsid w:val="2FF3611E"/>
    <w:rsid w:val="2FFD1107"/>
    <w:rsid w:val="2FFD1B52"/>
    <w:rsid w:val="2FFE4C0B"/>
    <w:rsid w:val="30007DA5"/>
    <w:rsid w:val="300246FB"/>
    <w:rsid w:val="30103288"/>
    <w:rsid w:val="301B1EF3"/>
    <w:rsid w:val="30275D16"/>
    <w:rsid w:val="302855A9"/>
    <w:rsid w:val="302877F0"/>
    <w:rsid w:val="302A47F7"/>
    <w:rsid w:val="302F493E"/>
    <w:rsid w:val="303B32CA"/>
    <w:rsid w:val="303D105A"/>
    <w:rsid w:val="303F2919"/>
    <w:rsid w:val="30403475"/>
    <w:rsid w:val="30473907"/>
    <w:rsid w:val="30487D28"/>
    <w:rsid w:val="304E377B"/>
    <w:rsid w:val="305215E6"/>
    <w:rsid w:val="3053006C"/>
    <w:rsid w:val="30621303"/>
    <w:rsid w:val="30667A88"/>
    <w:rsid w:val="30677645"/>
    <w:rsid w:val="30697DB0"/>
    <w:rsid w:val="307027F0"/>
    <w:rsid w:val="307A039E"/>
    <w:rsid w:val="30842714"/>
    <w:rsid w:val="30965933"/>
    <w:rsid w:val="3097695B"/>
    <w:rsid w:val="309D5F8B"/>
    <w:rsid w:val="30A44754"/>
    <w:rsid w:val="30A92176"/>
    <w:rsid w:val="30AA7324"/>
    <w:rsid w:val="30AD3A67"/>
    <w:rsid w:val="30AD499B"/>
    <w:rsid w:val="30B82D56"/>
    <w:rsid w:val="30C379C0"/>
    <w:rsid w:val="30C56DCA"/>
    <w:rsid w:val="30CC5827"/>
    <w:rsid w:val="30D605AE"/>
    <w:rsid w:val="30E36B98"/>
    <w:rsid w:val="30E958BB"/>
    <w:rsid w:val="30F3714A"/>
    <w:rsid w:val="30F405F4"/>
    <w:rsid w:val="30F54FA4"/>
    <w:rsid w:val="30F559A0"/>
    <w:rsid w:val="30FD07EF"/>
    <w:rsid w:val="310622A1"/>
    <w:rsid w:val="310E0E7D"/>
    <w:rsid w:val="31172DC0"/>
    <w:rsid w:val="311B4D71"/>
    <w:rsid w:val="311C17EC"/>
    <w:rsid w:val="312F4132"/>
    <w:rsid w:val="3130258A"/>
    <w:rsid w:val="313034AA"/>
    <w:rsid w:val="31346121"/>
    <w:rsid w:val="313620D6"/>
    <w:rsid w:val="313E74D6"/>
    <w:rsid w:val="31405230"/>
    <w:rsid w:val="3165056F"/>
    <w:rsid w:val="316E1BA9"/>
    <w:rsid w:val="31752179"/>
    <w:rsid w:val="317C0EDE"/>
    <w:rsid w:val="317C724B"/>
    <w:rsid w:val="317D198B"/>
    <w:rsid w:val="31816A40"/>
    <w:rsid w:val="31822B8C"/>
    <w:rsid w:val="31823CF4"/>
    <w:rsid w:val="3183403E"/>
    <w:rsid w:val="31845EEE"/>
    <w:rsid w:val="319B67AD"/>
    <w:rsid w:val="319D3D66"/>
    <w:rsid w:val="319F09CA"/>
    <w:rsid w:val="31AB7396"/>
    <w:rsid w:val="31CA45A8"/>
    <w:rsid w:val="31D11C69"/>
    <w:rsid w:val="31DC3FB0"/>
    <w:rsid w:val="31E167EA"/>
    <w:rsid w:val="31F40F98"/>
    <w:rsid w:val="31F47C1D"/>
    <w:rsid w:val="31F960C4"/>
    <w:rsid w:val="31FA277A"/>
    <w:rsid w:val="320B6605"/>
    <w:rsid w:val="320E4C55"/>
    <w:rsid w:val="321502FE"/>
    <w:rsid w:val="3215068A"/>
    <w:rsid w:val="32160A2B"/>
    <w:rsid w:val="32185EDE"/>
    <w:rsid w:val="321A63B7"/>
    <w:rsid w:val="321E10B9"/>
    <w:rsid w:val="322220B5"/>
    <w:rsid w:val="32255891"/>
    <w:rsid w:val="322A400C"/>
    <w:rsid w:val="32397B0D"/>
    <w:rsid w:val="324A639A"/>
    <w:rsid w:val="324D19AD"/>
    <w:rsid w:val="32565A52"/>
    <w:rsid w:val="325B6344"/>
    <w:rsid w:val="32671142"/>
    <w:rsid w:val="326E20AB"/>
    <w:rsid w:val="327837DF"/>
    <w:rsid w:val="32791CC4"/>
    <w:rsid w:val="32850221"/>
    <w:rsid w:val="32851613"/>
    <w:rsid w:val="329C0D99"/>
    <w:rsid w:val="32A647DA"/>
    <w:rsid w:val="32AC5F10"/>
    <w:rsid w:val="32B009DE"/>
    <w:rsid w:val="32B06690"/>
    <w:rsid w:val="32B80E85"/>
    <w:rsid w:val="32C3150B"/>
    <w:rsid w:val="32C71332"/>
    <w:rsid w:val="32C80C7B"/>
    <w:rsid w:val="32CB3EDA"/>
    <w:rsid w:val="32CC7242"/>
    <w:rsid w:val="32CF7659"/>
    <w:rsid w:val="32D075CC"/>
    <w:rsid w:val="32E91B5D"/>
    <w:rsid w:val="32ED3B98"/>
    <w:rsid w:val="32F42DDB"/>
    <w:rsid w:val="32F8281B"/>
    <w:rsid w:val="32F9367A"/>
    <w:rsid w:val="32FF2EE8"/>
    <w:rsid w:val="33044978"/>
    <w:rsid w:val="33192395"/>
    <w:rsid w:val="331D08E7"/>
    <w:rsid w:val="332B28ED"/>
    <w:rsid w:val="332B7C19"/>
    <w:rsid w:val="332E6EF4"/>
    <w:rsid w:val="332F21DB"/>
    <w:rsid w:val="333504CC"/>
    <w:rsid w:val="3335572E"/>
    <w:rsid w:val="33391EF4"/>
    <w:rsid w:val="333C5CC2"/>
    <w:rsid w:val="3341447E"/>
    <w:rsid w:val="3348282F"/>
    <w:rsid w:val="334E421C"/>
    <w:rsid w:val="335B78D3"/>
    <w:rsid w:val="335F3539"/>
    <w:rsid w:val="3361514A"/>
    <w:rsid w:val="336B7771"/>
    <w:rsid w:val="336D5381"/>
    <w:rsid w:val="337338BF"/>
    <w:rsid w:val="33822C22"/>
    <w:rsid w:val="338D077F"/>
    <w:rsid w:val="3390565C"/>
    <w:rsid w:val="3391496F"/>
    <w:rsid w:val="33A1422B"/>
    <w:rsid w:val="33A16D7F"/>
    <w:rsid w:val="33AB52CC"/>
    <w:rsid w:val="33AC2366"/>
    <w:rsid w:val="33B1555C"/>
    <w:rsid w:val="33B221AD"/>
    <w:rsid w:val="33B75AEE"/>
    <w:rsid w:val="33C61EAB"/>
    <w:rsid w:val="33CF529C"/>
    <w:rsid w:val="33D10827"/>
    <w:rsid w:val="33D25F46"/>
    <w:rsid w:val="33D26ADA"/>
    <w:rsid w:val="33D740F0"/>
    <w:rsid w:val="33D82A47"/>
    <w:rsid w:val="33E5078D"/>
    <w:rsid w:val="33E87D94"/>
    <w:rsid w:val="33E90420"/>
    <w:rsid w:val="33EC34B5"/>
    <w:rsid w:val="33F702BA"/>
    <w:rsid w:val="340160C2"/>
    <w:rsid w:val="34142C4F"/>
    <w:rsid w:val="34166608"/>
    <w:rsid w:val="341E1D09"/>
    <w:rsid w:val="34287CA9"/>
    <w:rsid w:val="342A5239"/>
    <w:rsid w:val="343105F8"/>
    <w:rsid w:val="34312280"/>
    <w:rsid w:val="34363F6C"/>
    <w:rsid w:val="343F0918"/>
    <w:rsid w:val="3443661F"/>
    <w:rsid w:val="3447358C"/>
    <w:rsid w:val="344921A3"/>
    <w:rsid w:val="34503BC2"/>
    <w:rsid w:val="3455325A"/>
    <w:rsid w:val="34573BFE"/>
    <w:rsid w:val="345B4DE2"/>
    <w:rsid w:val="346135E4"/>
    <w:rsid w:val="34621BC6"/>
    <w:rsid w:val="346E47A9"/>
    <w:rsid w:val="34706117"/>
    <w:rsid w:val="34727588"/>
    <w:rsid w:val="347425C8"/>
    <w:rsid w:val="347F2305"/>
    <w:rsid w:val="348A5967"/>
    <w:rsid w:val="348B6FC3"/>
    <w:rsid w:val="34944293"/>
    <w:rsid w:val="34945E6C"/>
    <w:rsid w:val="34992347"/>
    <w:rsid w:val="349B7F45"/>
    <w:rsid w:val="349C3739"/>
    <w:rsid w:val="349F6C9E"/>
    <w:rsid w:val="34A0570C"/>
    <w:rsid w:val="34A570CB"/>
    <w:rsid w:val="34B443AA"/>
    <w:rsid w:val="34BB5B73"/>
    <w:rsid w:val="34BE76F7"/>
    <w:rsid w:val="34C064B9"/>
    <w:rsid w:val="34C557AB"/>
    <w:rsid w:val="34C747A1"/>
    <w:rsid w:val="34CD333A"/>
    <w:rsid w:val="34D449B3"/>
    <w:rsid w:val="34E7122E"/>
    <w:rsid w:val="34EA406D"/>
    <w:rsid w:val="34EE2100"/>
    <w:rsid w:val="34F13E83"/>
    <w:rsid w:val="34F21601"/>
    <w:rsid w:val="34F24E7E"/>
    <w:rsid w:val="34F6201E"/>
    <w:rsid w:val="35164976"/>
    <w:rsid w:val="35172201"/>
    <w:rsid w:val="351C3180"/>
    <w:rsid w:val="351E4A64"/>
    <w:rsid w:val="35211249"/>
    <w:rsid w:val="353719BF"/>
    <w:rsid w:val="353F5204"/>
    <w:rsid w:val="35412085"/>
    <w:rsid w:val="35430AD9"/>
    <w:rsid w:val="354332C6"/>
    <w:rsid w:val="35515CD9"/>
    <w:rsid w:val="355574F6"/>
    <w:rsid w:val="355A67B6"/>
    <w:rsid w:val="355F3EB4"/>
    <w:rsid w:val="35785E21"/>
    <w:rsid w:val="357E0820"/>
    <w:rsid w:val="35844F49"/>
    <w:rsid w:val="358838F4"/>
    <w:rsid w:val="358B6440"/>
    <w:rsid w:val="358D5606"/>
    <w:rsid w:val="35902019"/>
    <w:rsid w:val="359E056B"/>
    <w:rsid w:val="359F6A81"/>
    <w:rsid w:val="35BC34CC"/>
    <w:rsid w:val="35C1015C"/>
    <w:rsid w:val="35C506A4"/>
    <w:rsid w:val="35C5439C"/>
    <w:rsid w:val="35D56CB4"/>
    <w:rsid w:val="35D655F5"/>
    <w:rsid w:val="35E61D23"/>
    <w:rsid w:val="35EE423C"/>
    <w:rsid w:val="35F01E35"/>
    <w:rsid w:val="35F47DCC"/>
    <w:rsid w:val="35F745D6"/>
    <w:rsid w:val="35F9731F"/>
    <w:rsid w:val="3601296C"/>
    <w:rsid w:val="36087EA5"/>
    <w:rsid w:val="360C09B0"/>
    <w:rsid w:val="360F590B"/>
    <w:rsid w:val="36104126"/>
    <w:rsid w:val="36153DEA"/>
    <w:rsid w:val="361753B0"/>
    <w:rsid w:val="361C6A78"/>
    <w:rsid w:val="361E5532"/>
    <w:rsid w:val="36242C4C"/>
    <w:rsid w:val="36252C37"/>
    <w:rsid w:val="36293EA3"/>
    <w:rsid w:val="362949F9"/>
    <w:rsid w:val="362F123C"/>
    <w:rsid w:val="362F228B"/>
    <w:rsid w:val="36341386"/>
    <w:rsid w:val="364273AB"/>
    <w:rsid w:val="36480096"/>
    <w:rsid w:val="364E1A8D"/>
    <w:rsid w:val="36515F02"/>
    <w:rsid w:val="3652559C"/>
    <w:rsid w:val="3653022A"/>
    <w:rsid w:val="365A167E"/>
    <w:rsid w:val="365D0C8B"/>
    <w:rsid w:val="365F76A0"/>
    <w:rsid w:val="365F77CF"/>
    <w:rsid w:val="36616CCC"/>
    <w:rsid w:val="36666DDD"/>
    <w:rsid w:val="366B5E8C"/>
    <w:rsid w:val="36730100"/>
    <w:rsid w:val="36873CC3"/>
    <w:rsid w:val="36892FFB"/>
    <w:rsid w:val="36906807"/>
    <w:rsid w:val="369D5193"/>
    <w:rsid w:val="36A17B7C"/>
    <w:rsid w:val="36A42362"/>
    <w:rsid w:val="36A6615F"/>
    <w:rsid w:val="36A86AA6"/>
    <w:rsid w:val="36C002C8"/>
    <w:rsid w:val="36C94C38"/>
    <w:rsid w:val="36D02926"/>
    <w:rsid w:val="36D918CE"/>
    <w:rsid w:val="36DE6396"/>
    <w:rsid w:val="36E22979"/>
    <w:rsid w:val="36F35D72"/>
    <w:rsid w:val="37053951"/>
    <w:rsid w:val="370926C4"/>
    <w:rsid w:val="370A5B3C"/>
    <w:rsid w:val="3710594F"/>
    <w:rsid w:val="37146EE0"/>
    <w:rsid w:val="37266CF4"/>
    <w:rsid w:val="3727708F"/>
    <w:rsid w:val="372B2E07"/>
    <w:rsid w:val="3734309E"/>
    <w:rsid w:val="37377380"/>
    <w:rsid w:val="373D17EF"/>
    <w:rsid w:val="373F32DB"/>
    <w:rsid w:val="373F7EC3"/>
    <w:rsid w:val="37480E2E"/>
    <w:rsid w:val="374D28F1"/>
    <w:rsid w:val="37500E75"/>
    <w:rsid w:val="375326D6"/>
    <w:rsid w:val="37551A4A"/>
    <w:rsid w:val="37565F83"/>
    <w:rsid w:val="3764597C"/>
    <w:rsid w:val="37647E82"/>
    <w:rsid w:val="3765089F"/>
    <w:rsid w:val="376511E5"/>
    <w:rsid w:val="37661C1C"/>
    <w:rsid w:val="376A33F2"/>
    <w:rsid w:val="376A786A"/>
    <w:rsid w:val="37711C99"/>
    <w:rsid w:val="37733DBD"/>
    <w:rsid w:val="378D3D30"/>
    <w:rsid w:val="378E02F2"/>
    <w:rsid w:val="3792586C"/>
    <w:rsid w:val="37A305D8"/>
    <w:rsid w:val="37A97E73"/>
    <w:rsid w:val="37AA15AE"/>
    <w:rsid w:val="37B9513C"/>
    <w:rsid w:val="37BA1D5F"/>
    <w:rsid w:val="37BF3E37"/>
    <w:rsid w:val="37C30C14"/>
    <w:rsid w:val="37C47E91"/>
    <w:rsid w:val="37CD6F8F"/>
    <w:rsid w:val="37D82AEA"/>
    <w:rsid w:val="37DB33F9"/>
    <w:rsid w:val="37E50A8E"/>
    <w:rsid w:val="37FD17A7"/>
    <w:rsid w:val="37FE1C4C"/>
    <w:rsid w:val="38013108"/>
    <w:rsid w:val="38030A26"/>
    <w:rsid w:val="380B2608"/>
    <w:rsid w:val="381C00C8"/>
    <w:rsid w:val="382A46B7"/>
    <w:rsid w:val="382E6895"/>
    <w:rsid w:val="384C3CA2"/>
    <w:rsid w:val="384D6FBD"/>
    <w:rsid w:val="385B7AD9"/>
    <w:rsid w:val="38666CA2"/>
    <w:rsid w:val="386926C1"/>
    <w:rsid w:val="386E0533"/>
    <w:rsid w:val="386E19E9"/>
    <w:rsid w:val="387409D0"/>
    <w:rsid w:val="38802F48"/>
    <w:rsid w:val="388257A6"/>
    <w:rsid w:val="388667B9"/>
    <w:rsid w:val="388A4429"/>
    <w:rsid w:val="388C6226"/>
    <w:rsid w:val="389362FC"/>
    <w:rsid w:val="38951917"/>
    <w:rsid w:val="38961B7F"/>
    <w:rsid w:val="389A0FDE"/>
    <w:rsid w:val="38A038B5"/>
    <w:rsid w:val="38A5485A"/>
    <w:rsid w:val="38A95DBD"/>
    <w:rsid w:val="38AB467F"/>
    <w:rsid w:val="38AC0F24"/>
    <w:rsid w:val="38B02007"/>
    <w:rsid w:val="38B130DD"/>
    <w:rsid w:val="38B2661C"/>
    <w:rsid w:val="38B34D79"/>
    <w:rsid w:val="38BE4B80"/>
    <w:rsid w:val="38C43651"/>
    <w:rsid w:val="38D062BC"/>
    <w:rsid w:val="38D16BAC"/>
    <w:rsid w:val="38D5618A"/>
    <w:rsid w:val="38E2656A"/>
    <w:rsid w:val="38E770F9"/>
    <w:rsid w:val="38F84258"/>
    <w:rsid w:val="38FB5039"/>
    <w:rsid w:val="38FD4910"/>
    <w:rsid w:val="391B7555"/>
    <w:rsid w:val="39210241"/>
    <w:rsid w:val="392431DD"/>
    <w:rsid w:val="39250638"/>
    <w:rsid w:val="3927669B"/>
    <w:rsid w:val="39282C3F"/>
    <w:rsid w:val="39287583"/>
    <w:rsid w:val="393516FD"/>
    <w:rsid w:val="3936203F"/>
    <w:rsid w:val="39377FE0"/>
    <w:rsid w:val="393C32BF"/>
    <w:rsid w:val="39452567"/>
    <w:rsid w:val="39465B31"/>
    <w:rsid w:val="3949339B"/>
    <w:rsid w:val="394D4967"/>
    <w:rsid w:val="395213BF"/>
    <w:rsid w:val="39587FFC"/>
    <w:rsid w:val="395F49D2"/>
    <w:rsid w:val="39633132"/>
    <w:rsid w:val="396D319B"/>
    <w:rsid w:val="396E010A"/>
    <w:rsid w:val="396F4EF8"/>
    <w:rsid w:val="396F5908"/>
    <w:rsid w:val="397734A4"/>
    <w:rsid w:val="39776D6F"/>
    <w:rsid w:val="397C376D"/>
    <w:rsid w:val="39825504"/>
    <w:rsid w:val="39826A0B"/>
    <w:rsid w:val="398430E0"/>
    <w:rsid w:val="3991350E"/>
    <w:rsid w:val="39A22AAB"/>
    <w:rsid w:val="39A903AD"/>
    <w:rsid w:val="39AD0ADB"/>
    <w:rsid w:val="39B24FF9"/>
    <w:rsid w:val="39BA7DF9"/>
    <w:rsid w:val="39C33146"/>
    <w:rsid w:val="39C55D33"/>
    <w:rsid w:val="39D2128E"/>
    <w:rsid w:val="39D50425"/>
    <w:rsid w:val="39D96C03"/>
    <w:rsid w:val="39DF3995"/>
    <w:rsid w:val="39DF4D2E"/>
    <w:rsid w:val="39E300DD"/>
    <w:rsid w:val="39E6768A"/>
    <w:rsid w:val="39EB0270"/>
    <w:rsid w:val="39F058F3"/>
    <w:rsid w:val="39F678D2"/>
    <w:rsid w:val="39F70CA1"/>
    <w:rsid w:val="39F819FD"/>
    <w:rsid w:val="39F87D81"/>
    <w:rsid w:val="39FA1AAE"/>
    <w:rsid w:val="39FF1736"/>
    <w:rsid w:val="3A00630C"/>
    <w:rsid w:val="3A03755E"/>
    <w:rsid w:val="3A210253"/>
    <w:rsid w:val="3A2160C5"/>
    <w:rsid w:val="3A23446A"/>
    <w:rsid w:val="3A236A5F"/>
    <w:rsid w:val="3A2C47DA"/>
    <w:rsid w:val="3A2E3312"/>
    <w:rsid w:val="3A320ACC"/>
    <w:rsid w:val="3A3A5144"/>
    <w:rsid w:val="3A424542"/>
    <w:rsid w:val="3A4756F1"/>
    <w:rsid w:val="3A5A02B0"/>
    <w:rsid w:val="3A5F7566"/>
    <w:rsid w:val="3A670E99"/>
    <w:rsid w:val="3A68016E"/>
    <w:rsid w:val="3A692ADF"/>
    <w:rsid w:val="3A747612"/>
    <w:rsid w:val="3A770799"/>
    <w:rsid w:val="3A7A0930"/>
    <w:rsid w:val="3A7F2D6F"/>
    <w:rsid w:val="3A89323E"/>
    <w:rsid w:val="3A8C5F1E"/>
    <w:rsid w:val="3A8E4475"/>
    <w:rsid w:val="3A901318"/>
    <w:rsid w:val="3A9110AE"/>
    <w:rsid w:val="3A9B5364"/>
    <w:rsid w:val="3AA804FD"/>
    <w:rsid w:val="3AAC3225"/>
    <w:rsid w:val="3AB64D17"/>
    <w:rsid w:val="3AC60033"/>
    <w:rsid w:val="3AC66FCA"/>
    <w:rsid w:val="3AD05784"/>
    <w:rsid w:val="3AE376FB"/>
    <w:rsid w:val="3AE55B98"/>
    <w:rsid w:val="3AF1786F"/>
    <w:rsid w:val="3AF25942"/>
    <w:rsid w:val="3AFF538E"/>
    <w:rsid w:val="3B0A12C3"/>
    <w:rsid w:val="3B0A425E"/>
    <w:rsid w:val="3B0E03F8"/>
    <w:rsid w:val="3B19064C"/>
    <w:rsid w:val="3B193A25"/>
    <w:rsid w:val="3B1D063B"/>
    <w:rsid w:val="3B1D433F"/>
    <w:rsid w:val="3B215530"/>
    <w:rsid w:val="3B220ACF"/>
    <w:rsid w:val="3B285FB9"/>
    <w:rsid w:val="3B2A2D74"/>
    <w:rsid w:val="3B30731A"/>
    <w:rsid w:val="3B351CE2"/>
    <w:rsid w:val="3B3734A3"/>
    <w:rsid w:val="3B3B0249"/>
    <w:rsid w:val="3B4047B4"/>
    <w:rsid w:val="3B43339B"/>
    <w:rsid w:val="3B562689"/>
    <w:rsid w:val="3B5D412E"/>
    <w:rsid w:val="3B640DBE"/>
    <w:rsid w:val="3B73452E"/>
    <w:rsid w:val="3B78793E"/>
    <w:rsid w:val="3B7A2F25"/>
    <w:rsid w:val="3B7A5A8D"/>
    <w:rsid w:val="3B7A67E7"/>
    <w:rsid w:val="3B9814B7"/>
    <w:rsid w:val="3B9C619D"/>
    <w:rsid w:val="3B9D4C55"/>
    <w:rsid w:val="3BA0301A"/>
    <w:rsid w:val="3BAB0584"/>
    <w:rsid w:val="3BB42B2B"/>
    <w:rsid w:val="3BBB29B9"/>
    <w:rsid w:val="3BBC7DBA"/>
    <w:rsid w:val="3BC87F3A"/>
    <w:rsid w:val="3BC97FF5"/>
    <w:rsid w:val="3BD87404"/>
    <w:rsid w:val="3BDD48F9"/>
    <w:rsid w:val="3BDF528A"/>
    <w:rsid w:val="3BE3161A"/>
    <w:rsid w:val="3BE703E9"/>
    <w:rsid w:val="3BE9692D"/>
    <w:rsid w:val="3BED54F7"/>
    <w:rsid w:val="3BF46037"/>
    <w:rsid w:val="3BFC6E7C"/>
    <w:rsid w:val="3BFD584F"/>
    <w:rsid w:val="3BFF6834"/>
    <w:rsid w:val="3C057C49"/>
    <w:rsid w:val="3C0D6901"/>
    <w:rsid w:val="3C123FB4"/>
    <w:rsid w:val="3C1629F6"/>
    <w:rsid w:val="3C1B4977"/>
    <w:rsid w:val="3C1B5560"/>
    <w:rsid w:val="3C1F085F"/>
    <w:rsid w:val="3C2078B9"/>
    <w:rsid w:val="3C2613B9"/>
    <w:rsid w:val="3C2E703F"/>
    <w:rsid w:val="3C3912DA"/>
    <w:rsid w:val="3C3944C4"/>
    <w:rsid w:val="3C4073E3"/>
    <w:rsid w:val="3C43245D"/>
    <w:rsid w:val="3C466F98"/>
    <w:rsid w:val="3C496509"/>
    <w:rsid w:val="3C4F039D"/>
    <w:rsid w:val="3C5A1CFC"/>
    <w:rsid w:val="3C603F10"/>
    <w:rsid w:val="3C610757"/>
    <w:rsid w:val="3C696345"/>
    <w:rsid w:val="3C6A7CD7"/>
    <w:rsid w:val="3C6E499C"/>
    <w:rsid w:val="3C6F72B6"/>
    <w:rsid w:val="3C7127CF"/>
    <w:rsid w:val="3C7529C0"/>
    <w:rsid w:val="3C794C98"/>
    <w:rsid w:val="3C8C40D0"/>
    <w:rsid w:val="3C8D37E1"/>
    <w:rsid w:val="3C8F72B2"/>
    <w:rsid w:val="3C992016"/>
    <w:rsid w:val="3C9A569B"/>
    <w:rsid w:val="3C9E6C12"/>
    <w:rsid w:val="3C9F1D18"/>
    <w:rsid w:val="3CA725E5"/>
    <w:rsid w:val="3CA91DA7"/>
    <w:rsid w:val="3CAB1D45"/>
    <w:rsid w:val="3CB16EB3"/>
    <w:rsid w:val="3CB773B7"/>
    <w:rsid w:val="3CBE0C16"/>
    <w:rsid w:val="3CBE56B3"/>
    <w:rsid w:val="3CD243EF"/>
    <w:rsid w:val="3CD72D15"/>
    <w:rsid w:val="3CEC2CEF"/>
    <w:rsid w:val="3CEC3BE9"/>
    <w:rsid w:val="3CF22945"/>
    <w:rsid w:val="3D0B3822"/>
    <w:rsid w:val="3D0F521E"/>
    <w:rsid w:val="3D103C1D"/>
    <w:rsid w:val="3D13000F"/>
    <w:rsid w:val="3D1D196D"/>
    <w:rsid w:val="3D1D2832"/>
    <w:rsid w:val="3D1D3A0F"/>
    <w:rsid w:val="3D294D95"/>
    <w:rsid w:val="3D33738A"/>
    <w:rsid w:val="3D3C271F"/>
    <w:rsid w:val="3D3D4D35"/>
    <w:rsid w:val="3D4062DB"/>
    <w:rsid w:val="3D586A74"/>
    <w:rsid w:val="3D5E57B5"/>
    <w:rsid w:val="3D6320C7"/>
    <w:rsid w:val="3D6B50ED"/>
    <w:rsid w:val="3D7C687D"/>
    <w:rsid w:val="3D84413D"/>
    <w:rsid w:val="3D8E0023"/>
    <w:rsid w:val="3D9E6736"/>
    <w:rsid w:val="3D9E7490"/>
    <w:rsid w:val="3DB541C0"/>
    <w:rsid w:val="3DB61592"/>
    <w:rsid w:val="3DB9030A"/>
    <w:rsid w:val="3DC35BBB"/>
    <w:rsid w:val="3DC37DBB"/>
    <w:rsid w:val="3DC53F2C"/>
    <w:rsid w:val="3DC93385"/>
    <w:rsid w:val="3DC940CB"/>
    <w:rsid w:val="3DD07587"/>
    <w:rsid w:val="3DD2086E"/>
    <w:rsid w:val="3DD879A2"/>
    <w:rsid w:val="3DE2207B"/>
    <w:rsid w:val="3DF31CA4"/>
    <w:rsid w:val="3DF47E41"/>
    <w:rsid w:val="3DF75981"/>
    <w:rsid w:val="3DFE2ACA"/>
    <w:rsid w:val="3DFE7A67"/>
    <w:rsid w:val="3DFF2E3A"/>
    <w:rsid w:val="3E057486"/>
    <w:rsid w:val="3E11027B"/>
    <w:rsid w:val="3E117624"/>
    <w:rsid w:val="3E135119"/>
    <w:rsid w:val="3E192FB0"/>
    <w:rsid w:val="3E1D0ED7"/>
    <w:rsid w:val="3E207D67"/>
    <w:rsid w:val="3E2274D6"/>
    <w:rsid w:val="3E2320B2"/>
    <w:rsid w:val="3E2A4B55"/>
    <w:rsid w:val="3E3B315E"/>
    <w:rsid w:val="3E3D5672"/>
    <w:rsid w:val="3E3D60A2"/>
    <w:rsid w:val="3E46181B"/>
    <w:rsid w:val="3E484FA9"/>
    <w:rsid w:val="3E5E50CC"/>
    <w:rsid w:val="3E6350CF"/>
    <w:rsid w:val="3E64332B"/>
    <w:rsid w:val="3E6E4385"/>
    <w:rsid w:val="3E744FD2"/>
    <w:rsid w:val="3E78332B"/>
    <w:rsid w:val="3E7E2BAF"/>
    <w:rsid w:val="3E86735F"/>
    <w:rsid w:val="3E867DCA"/>
    <w:rsid w:val="3E88240C"/>
    <w:rsid w:val="3E90687A"/>
    <w:rsid w:val="3E9A5EEC"/>
    <w:rsid w:val="3E9F3A2D"/>
    <w:rsid w:val="3EA11583"/>
    <w:rsid w:val="3EA637B9"/>
    <w:rsid w:val="3EAD6834"/>
    <w:rsid w:val="3EB562C8"/>
    <w:rsid w:val="3EB93255"/>
    <w:rsid w:val="3EBA0C12"/>
    <w:rsid w:val="3EBA44DD"/>
    <w:rsid w:val="3EBD6A90"/>
    <w:rsid w:val="3EC6476E"/>
    <w:rsid w:val="3EC95630"/>
    <w:rsid w:val="3ECE4A4C"/>
    <w:rsid w:val="3ECF7890"/>
    <w:rsid w:val="3ED731F7"/>
    <w:rsid w:val="3ED90ADE"/>
    <w:rsid w:val="3EE844C9"/>
    <w:rsid w:val="3EEB0C33"/>
    <w:rsid w:val="3EEC4A1C"/>
    <w:rsid w:val="3EF43670"/>
    <w:rsid w:val="3EFA0A2D"/>
    <w:rsid w:val="3EFB0146"/>
    <w:rsid w:val="3F102382"/>
    <w:rsid w:val="3F111FEA"/>
    <w:rsid w:val="3F1858E5"/>
    <w:rsid w:val="3F19380F"/>
    <w:rsid w:val="3F220865"/>
    <w:rsid w:val="3F2266FA"/>
    <w:rsid w:val="3F2B2BFA"/>
    <w:rsid w:val="3F3009D6"/>
    <w:rsid w:val="3F313F9D"/>
    <w:rsid w:val="3F3D16B2"/>
    <w:rsid w:val="3F451A0C"/>
    <w:rsid w:val="3F466C65"/>
    <w:rsid w:val="3F4861B3"/>
    <w:rsid w:val="3F5468F1"/>
    <w:rsid w:val="3F601D02"/>
    <w:rsid w:val="3F6649AC"/>
    <w:rsid w:val="3F6C2EC4"/>
    <w:rsid w:val="3F824144"/>
    <w:rsid w:val="3F8D4D8A"/>
    <w:rsid w:val="3F8E28FC"/>
    <w:rsid w:val="3F8E7C5C"/>
    <w:rsid w:val="3F90688E"/>
    <w:rsid w:val="3F9357FF"/>
    <w:rsid w:val="3F9B5174"/>
    <w:rsid w:val="3F9E2C84"/>
    <w:rsid w:val="3FA3278D"/>
    <w:rsid w:val="3FA44527"/>
    <w:rsid w:val="3FAC6431"/>
    <w:rsid w:val="3FAF0BD1"/>
    <w:rsid w:val="3FB65876"/>
    <w:rsid w:val="3FBF7FF0"/>
    <w:rsid w:val="3FC43071"/>
    <w:rsid w:val="3FC5683B"/>
    <w:rsid w:val="3FCD5832"/>
    <w:rsid w:val="3FD17545"/>
    <w:rsid w:val="3FD32A54"/>
    <w:rsid w:val="3FD467B1"/>
    <w:rsid w:val="3FDD5930"/>
    <w:rsid w:val="3FE45BCB"/>
    <w:rsid w:val="3FE74029"/>
    <w:rsid w:val="3FEE6221"/>
    <w:rsid w:val="3FF62489"/>
    <w:rsid w:val="3FFA2657"/>
    <w:rsid w:val="3FFB70C1"/>
    <w:rsid w:val="40061013"/>
    <w:rsid w:val="40073765"/>
    <w:rsid w:val="4012771F"/>
    <w:rsid w:val="40157535"/>
    <w:rsid w:val="402959EE"/>
    <w:rsid w:val="402C7E9E"/>
    <w:rsid w:val="40324F52"/>
    <w:rsid w:val="403F72A5"/>
    <w:rsid w:val="404A2671"/>
    <w:rsid w:val="404E573A"/>
    <w:rsid w:val="40501179"/>
    <w:rsid w:val="405169FF"/>
    <w:rsid w:val="40536C06"/>
    <w:rsid w:val="40544CE2"/>
    <w:rsid w:val="40551F62"/>
    <w:rsid w:val="405D33A6"/>
    <w:rsid w:val="4060028A"/>
    <w:rsid w:val="40624441"/>
    <w:rsid w:val="40645038"/>
    <w:rsid w:val="406500F9"/>
    <w:rsid w:val="4068232A"/>
    <w:rsid w:val="40691494"/>
    <w:rsid w:val="40781753"/>
    <w:rsid w:val="40790D7F"/>
    <w:rsid w:val="40881501"/>
    <w:rsid w:val="408A2D9D"/>
    <w:rsid w:val="408D1DBF"/>
    <w:rsid w:val="409018E3"/>
    <w:rsid w:val="40923AAA"/>
    <w:rsid w:val="40953ACA"/>
    <w:rsid w:val="409C4F35"/>
    <w:rsid w:val="409F23B1"/>
    <w:rsid w:val="40A23390"/>
    <w:rsid w:val="40A658FC"/>
    <w:rsid w:val="40AE3051"/>
    <w:rsid w:val="40B51316"/>
    <w:rsid w:val="40BA59C9"/>
    <w:rsid w:val="40C46173"/>
    <w:rsid w:val="40C71BCD"/>
    <w:rsid w:val="40CA1918"/>
    <w:rsid w:val="40CA7373"/>
    <w:rsid w:val="40CF2E62"/>
    <w:rsid w:val="40D44847"/>
    <w:rsid w:val="40D64A42"/>
    <w:rsid w:val="40D934A8"/>
    <w:rsid w:val="40E148C3"/>
    <w:rsid w:val="40E5218B"/>
    <w:rsid w:val="40E93E87"/>
    <w:rsid w:val="40EA4DD9"/>
    <w:rsid w:val="40EF4CAC"/>
    <w:rsid w:val="40FF3BDC"/>
    <w:rsid w:val="410E7D80"/>
    <w:rsid w:val="410F5F95"/>
    <w:rsid w:val="41194293"/>
    <w:rsid w:val="411A0004"/>
    <w:rsid w:val="41202712"/>
    <w:rsid w:val="412D0987"/>
    <w:rsid w:val="41300928"/>
    <w:rsid w:val="41362456"/>
    <w:rsid w:val="413E0EB4"/>
    <w:rsid w:val="414020C9"/>
    <w:rsid w:val="4147052D"/>
    <w:rsid w:val="414C0934"/>
    <w:rsid w:val="4163336D"/>
    <w:rsid w:val="4164280B"/>
    <w:rsid w:val="416470BA"/>
    <w:rsid w:val="41737986"/>
    <w:rsid w:val="417538D3"/>
    <w:rsid w:val="417B2A0A"/>
    <w:rsid w:val="417C3618"/>
    <w:rsid w:val="417C4F1D"/>
    <w:rsid w:val="41864B10"/>
    <w:rsid w:val="418826F0"/>
    <w:rsid w:val="41916E61"/>
    <w:rsid w:val="41927543"/>
    <w:rsid w:val="41A11E72"/>
    <w:rsid w:val="41A2189A"/>
    <w:rsid w:val="41AF3FB7"/>
    <w:rsid w:val="41B044F0"/>
    <w:rsid w:val="41B54C3A"/>
    <w:rsid w:val="41C65ECB"/>
    <w:rsid w:val="41C7188C"/>
    <w:rsid w:val="41CD3834"/>
    <w:rsid w:val="41CD5FE7"/>
    <w:rsid w:val="41D07917"/>
    <w:rsid w:val="41D31431"/>
    <w:rsid w:val="41D83122"/>
    <w:rsid w:val="41DB7B60"/>
    <w:rsid w:val="41E26596"/>
    <w:rsid w:val="41E34A2C"/>
    <w:rsid w:val="41E464F5"/>
    <w:rsid w:val="41E73432"/>
    <w:rsid w:val="41EB01D0"/>
    <w:rsid w:val="41EB2983"/>
    <w:rsid w:val="41ED737D"/>
    <w:rsid w:val="41F25551"/>
    <w:rsid w:val="41F3403B"/>
    <w:rsid w:val="41FB48E8"/>
    <w:rsid w:val="41FB5D15"/>
    <w:rsid w:val="41FB6FAE"/>
    <w:rsid w:val="4206188F"/>
    <w:rsid w:val="421409D8"/>
    <w:rsid w:val="4216324D"/>
    <w:rsid w:val="42181B5C"/>
    <w:rsid w:val="4223186B"/>
    <w:rsid w:val="42291B13"/>
    <w:rsid w:val="422E05A3"/>
    <w:rsid w:val="42384C0F"/>
    <w:rsid w:val="423E31E9"/>
    <w:rsid w:val="424232BD"/>
    <w:rsid w:val="424566C9"/>
    <w:rsid w:val="42462ABA"/>
    <w:rsid w:val="4249759E"/>
    <w:rsid w:val="425C481B"/>
    <w:rsid w:val="425D5562"/>
    <w:rsid w:val="42632930"/>
    <w:rsid w:val="426538A8"/>
    <w:rsid w:val="4270253C"/>
    <w:rsid w:val="42740052"/>
    <w:rsid w:val="42781869"/>
    <w:rsid w:val="427D639B"/>
    <w:rsid w:val="427E71BE"/>
    <w:rsid w:val="4280395E"/>
    <w:rsid w:val="42875938"/>
    <w:rsid w:val="428B1526"/>
    <w:rsid w:val="428F7215"/>
    <w:rsid w:val="42976DB5"/>
    <w:rsid w:val="429F402B"/>
    <w:rsid w:val="42A92D3F"/>
    <w:rsid w:val="42AD1BF5"/>
    <w:rsid w:val="42AE41C8"/>
    <w:rsid w:val="42B07795"/>
    <w:rsid w:val="42B730DB"/>
    <w:rsid w:val="42BE2214"/>
    <w:rsid w:val="42C23A75"/>
    <w:rsid w:val="42C66783"/>
    <w:rsid w:val="42CB1C43"/>
    <w:rsid w:val="42CD74E5"/>
    <w:rsid w:val="42D321A3"/>
    <w:rsid w:val="42DF6B1E"/>
    <w:rsid w:val="42E21EE9"/>
    <w:rsid w:val="42E628D1"/>
    <w:rsid w:val="42EF6EF9"/>
    <w:rsid w:val="42EF789F"/>
    <w:rsid w:val="42F11D19"/>
    <w:rsid w:val="42F14C19"/>
    <w:rsid w:val="42F50908"/>
    <w:rsid w:val="42F53A7D"/>
    <w:rsid w:val="42F81964"/>
    <w:rsid w:val="43005764"/>
    <w:rsid w:val="430E70E6"/>
    <w:rsid w:val="4311795F"/>
    <w:rsid w:val="43236458"/>
    <w:rsid w:val="43236A0A"/>
    <w:rsid w:val="4324652F"/>
    <w:rsid w:val="4328371C"/>
    <w:rsid w:val="432B172B"/>
    <w:rsid w:val="433136EE"/>
    <w:rsid w:val="433406EF"/>
    <w:rsid w:val="43427FE6"/>
    <w:rsid w:val="43442180"/>
    <w:rsid w:val="434B7778"/>
    <w:rsid w:val="434D38DE"/>
    <w:rsid w:val="43622B9B"/>
    <w:rsid w:val="43642FA9"/>
    <w:rsid w:val="4369409E"/>
    <w:rsid w:val="4378537B"/>
    <w:rsid w:val="43794FF4"/>
    <w:rsid w:val="437E3C11"/>
    <w:rsid w:val="438020CF"/>
    <w:rsid w:val="43881BE8"/>
    <w:rsid w:val="438A6919"/>
    <w:rsid w:val="438B7716"/>
    <w:rsid w:val="43903FA1"/>
    <w:rsid w:val="43945C3F"/>
    <w:rsid w:val="43962464"/>
    <w:rsid w:val="43977B2C"/>
    <w:rsid w:val="43A238DE"/>
    <w:rsid w:val="43A32C0B"/>
    <w:rsid w:val="43A70978"/>
    <w:rsid w:val="43B50996"/>
    <w:rsid w:val="43B85A29"/>
    <w:rsid w:val="43BD29FA"/>
    <w:rsid w:val="43BD34BF"/>
    <w:rsid w:val="43C26584"/>
    <w:rsid w:val="43C475D9"/>
    <w:rsid w:val="43CA049A"/>
    <w:rsid w:val="43CA59D6"/>
    <w:rsid w:val="43D45027"/>
    <w:rsid w:val="43D5461F"/>
    <w:rsid w:val="43E32410"/>
    <w:rsid w:val="43EA6FCB"/>
    <w:rsid w:val="43EB364C"/>
    <w:rsid w:val="43FB3116"/>
    <w:rsid w:val="43FB7B5F"/>
    <w:rsid w:val="43FC7BEA"/>
    <w:rsid w:val="44005588"/>
    <w:rsid w:val="44085B1D"/>
    <w:rsid w:val="440E40E5"/>
    <w:rsid w:val="4416031D"/>
    <w:rsid w:val="44192C16"/>
    <w:rsid w:val="441F16F2"/>
    <w:rsid w:val="442C7B41"/>
    <w:rsid w:val="442D2ABF"/>
    <w:rsid w:val="442F18C7"/>
    <w:rsid w:val="4430732D"/>
    <w:rsid w:val="44331FF5"/>
    <w:rsid w:val="44385A50"/>
    <w:rsid w:val="446112B7"/>
    <w:rsid w:val="44620064"/>
    <w:rsid w:val="44680347"/>
    <w:rsid w:val="44691522"/>
    <w:rsid w:val="448443DE"/>
    <w:rsid w:val="448470B1"/>
    <w:rsid w:val="44861741"/>
    <w:rsid w:val="44863E9E"/>
    <w:rsid w:val="44872F17"/>
    <w:rsid w:val="449C24BE"/>
    <w:rsid w:val="449D2878"/>
    <w:rsid w:val="44A55A08"/>
    <w:rsid w:val="44AA1FA5"/>
    <w:rsid w:val="44AB30C7"/>
    <w:rsid w:val="44AC4C4C"/>
    <w:rsid w:val="44AE749A"/>
    <w:rsid w:val="44B43896"/>
    <w:rsid w:val="44B50D14"/>
    <w:rsid w:val="44B63D6A"/>
    <w:rsid w:val="44BB3A24"/>
    <w:rsid w:val="44BD5B69"/>
    <w:rsid w:val="44BD6207"/>
    <w:rsid w:val="44BD6356"/>
    <w:rsid w:val="44BE3C77"/>
    <w:rsid w:val="44C27A9B"/>
    <w:rsid w:val="44C51584"/>
    <w:rsid w:val="44C970D0"/>
    <w:rsid w:val="44CF7E69"/>
    <w:rsid w:val="44D178A4"/>
    <w:rsid w:val="44D524E8"/>
    <w:rsid w:val="44D818B0"/>
    <w:rsid w:val="44DD66EA"/>
    <w:rsid w:val="44E31B61"/>
    <w:rsid w:val="44E41E72"/>
    <w:rsid w:val="44F21FDA"/>
    <w:rsid w:val="44F95EAE"/>
    <w:rsid w:val="4500553C"/>
    <w:rsid w:val="450900CC"/>
    <w:rsid w:val="450B354C"/>
    <w:rsid w:val="450D4275"/>
    <w:rsid w:val="45151EAC"/>
    <w:rsid w:val="451D5249"/>
    <w:rsid w:val="45201701"/>
    <w:rsid w:val="452504BF"/>
    <w:rsid w:val="452D2431"/>
    <w:rsid w:val="45342C3E"/>
    <w:rsid w:val="45384386"/>
    <w:rsid w:val="454100D0"/>
    <w:rsid w:val="454606ED"/>
    <w:rsid w:val="454E693C"/>
    <w:rsid w:val="454F3AF6"/>
    <w:rsid w:val="455560AE"/>
    <w:rsid w:val="455A248C"/>
    <w:rsid w:val="45637592"/>
    <w:rsid w:val="45645F7D"/>
    <w:rsid w:val="456A0921"/>
    <w:rsid w:val="456E13F2"/>
    <w:rsid w:val="456E19ED"/>
    <w:rsid w:val="45733E45"/>
    <w:rsid w:val="4574248F"/>
    <w:rsid w:val="45766C7A"/>
    <w:rsid w:val="45863FAA"/>
    <w:rsid w:val="458C7E02"/>
    <w:rsid w:val="45926214"/>
    <w:rsid w:val="459B02C1"/>
    <w:rsid w:val="459F60A7"/>
    <w:rsid w:val="45A04E65"/>
    <w:rsid w:val="45A2648D"/>
    <w:rsid w:val="45A97509"/>
    <w:rsid w:val="45B40195"/>
    <w:rsid w:val="45B8663E"/>
    <w:rsid w:val="45C40C47"/>
    <w:rsid w:val="45C933BF"/>
    <w:rsid w:val="45CD1D7E"/>
    <w:rsid w:val="45D41C65"/>
    <w:rsid w:val="45D85CB6"/>
    <w:rsid w:val="45DA2CA5"/>
    <w:rsid w:val="45DC672A"/>
    <w:rsid w:val="45DF7268"/>
    <w:rsid w:val="45E51710"/>
    <w:rsid w:val="45EB517D"/>
    <w:rsid w:val="45FC4C7C"/>
    <w:rsid w:val="45FC593F"/>
    <w:rsid w:val="46001285"/>
    <w:rsid w:val="460726F2"/>
    <w:rsid w:val="460A5157"/>
    <w:rsid w:val="460D5F3F"/>
    <w:rsid w:val="46132D66"/>
    <w:rsid w:val="461B0AF4"/>
    <w:rsid w:val="462816A9"/>
    <w:rsid w:val="46440D8B"/>
    <w:rsid w:val="46464134"/>
    <w:rsid w:val="464F5D68"/>
    <w:rsid w:val="46511D4F"/>
    <w:rsid w:val="46525C25"/>
    <w:rsid w:val="46572B1F"/>
    <w:rsid w:val="465C05A9"/>
    <w:rsid w:val="465C653F"/>
    <w:rsid w:val="46617DC8"/>
    <w:rsid w:val="46641EB3"/>
    <w:rsid w:val="46662D74"/>
    <w:rsid w:val="46713386"/>
    <w:rsid w:val="467A2C9B"/>
    <w:rsid w:val="46802328"/>
    <w:rsid w:val="46873888"/>
    <w:rsid w:val="46876F49"/>
    <w:rsid w:val="468A4E8C"/>
    <w:rsid w:val="46913456"/>
    <w:rsid w:val="469F6BE0"/>
    <w:rsid w:val="46A17161"/>
    <w:rsid w:val="46AA7FFF"/>
    <w:rsid w:val="46AC3AB5"/>
    <w:rsid w:val="46B56C36"/>
    <w:rsid w:val="46BF36C1"/>
    <w:rsid w:val="46C14065"/>
    <w:rsid w:val="46C455B1"/>
    <w:rsid w:val="46C9790B"/>
    <w:rsid w:val="46C97B2D"/>
    <w:rsid w:val="46CA7A15"/>
    <w:rsid w:val="46D878FB"/>
    <w:rsid w:val="46E82445"/>
    <w:rsid w:val="46EA3CF0"/>
    <w:rsid w:val="46EB2263"/>
    <w:rsid w:val="46F83D33"/>
    <w:rsid w:val="46F908C6"/>
    <w:rsid w:val="47087211"/>
    <w:rsid w:val="470D7F27"/>
    <w:rsid w:val="47142AA5"/>
    <w:rsid w:val="47183182"/>
    <w:rsid w:val="471D245A"/>
    <w:rsid w:val="472034CE"/>
    <w:rsid w:val="472B2D3B"/>
    <w:rsid w:val="47372A84"/>
    <w:rsid w:val="473A5C04"/>
    <w:rsid w:val="473E5135"/>
    <w:rsid w:val="473F5079"/>
    <w:rsid w:val="47431515"/>
    <w:rsid w:val="474451A1"/>
    <w:rsid w:val="47466B02"/>
    <w:rsid w:val="474E6020"/>
    <w:rsid w:val="47520728"/>
    <w:rsid w:val="475A6745"/>
    <w:rsid w:val="476A5CC5"/>
    <w:rsid w:val="476E6059"/>
    <w:rsid w:val="476F2784"/>
    <w:rsid w:val="477130FF"/>
    <w:rsid w:val="4772724E"/>
    <w:rsid w:val="47843450"/>
    <w:rsid w:val="47883D12"/>
    <w:rsid w:val="4789459D"/>
    <w:rsid w:val="478B35DA"/>
    <w:rsid w:val="479557BD"/>
    <w:rsid w:val="47A05946"/>
    <w:rsid w:val="47BE5BC6"/>
    <w:rsid w:val="47BF7BAD"/>
    <w:rsid w:val="47C03032"/>
    <w:rsid w:val="47C670D9"/>
    <w:rsid w:val="47D51448"/>
    <w:rsid w:val="47D941A0"/>
    <w:rsid w:val="47EA41A2"/>
    <w:rsid w:val="47EE4BF1"/>
    <w:rsid w:val="47F90A49"/>
    <w:rsid w:val="47FE410E"/>
    <w:rsid w:val="48030FE7"/>
    <w:rsid w:val="48203C3B"/>
    <w:rsid w:val="48213C72"/>
    <w:rsid w:val="48254B0C"/>
    <w:rsid w:val="48274FDD"/>
    <w:rsid w:val="482F4142"/>
    <w:rsid w:val="483802BB"/>
    <w:rsid w:val="483808E4"/>
    <w:rsid w:val="483A1096"/>
    <w:rsid w:val="483A1E36"/>
    <w:rsid w:val="48430C94"/>
    <w:rsid w:val="485A47E2"/>
    <w:rsid w:val="48631525"/>
    <w:rsid w:val="48650D3C"/>
    <w:rsid w:val="486A5A24"/>
    <w:rsid w:val="48774754"/>
    <w:rsid w:val="48786194"/>
    <w:rsid w:val="487E5A01"/>
    <w:rsid w:val="4881358D"/>
    <w:rsid w:val="48873598"/>
    <w:rsid w:val="488E2B78"/>
    <w:rsid w:val="48925C56"/>
    <w:rsid w:val="48951B29"/>
    <w:rsid w:val="489A5C3B"/>
    <w:rsid w:val="48A111EC"/>
    <w:rsid w:val="48A32CEA"/>
    <w:rsid w:val="48B0562C"/>
    <w:rsid w:val="48B24817"/>
    <w:rsid w:val="48B35D67"/>
    <w:rsid w:val="48BD66D5"/>
    <w:rsid w:val="48BF19E5"/>
    <w:rsid w:val="48C03203"/>
    <w:rsid w:val="48C1363A"/>
    <w:rsid w:val="48CA25BD"/>
    <w:rsid w:val="48D33595"/>
    <w:rsid w:val="48DA0D67"/>
    <w:rsid w:val="48E4687B"/>
    <w:rsid w:val="48E75653"/>
    <w:rsid w:val="48EA2900"/>
    <w:rsid w:val="48F13FFA"/>
    <w:rsid w:val="48F46C49"/>
    <w:rsid w:val="48F60D0E"/>
    <w:rsid w:val="490778E5"/>
    <w:rsid w:val="490B4D0F"/>
    <w:rsid w:val="490F2EE9"/>
    <w:rsid w:val="491D4BD9"/>
    <w:rsid w:val="49235AF7"/>
    <w:rsid w:val="493332DD"/>
    <w:rsid w:val="493560F8"/>
    <w:rsid w:val="49366D6C"/>
    <w:rsid w:val="49402BAA"/>
    <w:rsid w:val="494B6CBB"/>
    <w:rsid w:val="4950166C"/>
    <w:rsid w:val="4969094F"/>
    <w:rsid w:val="496B323D"/>
    <w:rsid w:val="496F1C12"/>
    <w:rsid w:val="49715538"/>
    <w:rsid w:val="49725317"/>
    <w:rsid w:val="497351F1"/>
    <w:rsid w:val="497E02DF"/>
    <w:rsid w:val="4985786B"/>
    <w:rsid w:val="49942651"/>
    <w:rsid w:val="49A168B8"/>
    <w:rsid w:val="49A95790"/>
    <w:rsid w:val="49AA2C41"/>
    <w:rsid w:val="49B01EB3"/>
    <w:rsid w:val="49B6098D"/>
    <w:rsid w:val="49B724E6"/>
    <w:rsid w:val="49C2278B"/>
    <w:rsid w:val="49C61E5A"/>
    <w:rsid w:val="49C66E58"/>
    <w:rsid w:val="49E704A2"/>
    <w:rsid w:val="49EA6C02"/>
    <w:rsid w:val="49EB68F6"/>
    <w:rsid w:val="49EC24BE"/>
    <w:rsid w:val="49F1070A"/>
    <w:rsid w:val="49F455A7"/>
    <w:rsid w:val="49FC1171"/>
    <w:rsid w:val="49FE52F8"/>
    <w:rsid w:val="49FF0661"/>
    <w:rsid w:val="4A00000B"/>
    <w:rsid w:val="4A0103F4"/>
    <w:rsid w:val="4A104E6C"/>
    <w:rsid w:val="4A136529"/>
    <w:rsid w:val="4A16422F"/>
    <w:rsid w:val="4A1E7F2C"/>
    <w:rsid w:val="4A1F73DD"/>
    <w:rsid w:val="4A27646E"/>
    <w:rsid w:val="4A344AE9"/>
    <w:rsid w:val="4A34774F"/>
    <w:rsid w:val="4A3B0ADD"/>
    <w:rsid w:val="4A3D5D50"/>
    <w:rsid w:val="4A4369BA"/>
    <w:rsid w:val="4A461CEA"/>
    <w:rsid w:val="4A4C4A99"/>
    <w:rsid w:val="4A4C6FBE"/>
    <w:rsid w:val="4A517389"/>
    <w:rsid w:val="4A5F196C"/>
    <w:rsid w:val="4A620A0A"/>
    <w:rsid w:val="4A655134"/>
    <w:rsid w:val="4A656CC0"/>
    <w:rsid w:val="4A6D5080"/>
    <w:rsid w:val="4A71027A"/>
    <w:rsid w:val="4A90390A"/>
    <w:rsid w:val="4A925361"/>
    <w:rsid w:val="4A946D6F"/>
    <w:rsid w:val="4A9758BE"/>
    <w:rsid w:val="4A9E2704"/>
    <w:rsid w:val="4AA551E5"/>
    <w:rsid w:val="4AAC2AB8"/>
    <w:rsid w:val="4AAF1AD6"/>
    <w:rsid w:val="4AB11484"/>
    <w:rsid w:val="4ABF5206"/>
    <w:rsid w:val="4AD45BE7"/>
    <w:rsid w:val="4AD67E57"/>
    <w:rsid w:val="4ADC1682"/>
    <w:rsid w:val="4ADC36A7"/>
    <w:rsid w:val="4AEC0E24"/>
    <w:rsid w:val="4AEE1F11"/>
    <w:rsid w:val="4AFE2B37"/>
    <w:rsid w:val="4B0E0E20"/>
    <w:rsid w:val="4B0F322E"/>
    <w:rsid w:val="4B1027F5"/>
    <w:rsid w:val="4B11183E"/>
    <w:rsid w:val="4B143F83"/>
    <w:rsid w:val="4B160D93"/>
    <w:rsid w:val="4B1760E2"/>
    <w:rsid w:val="4B1C32C3"/>
    <w:rsid w:val="4B315990"/>
    <w:rsid w:val="4B315A73"/>
    <w:rsid w:val="4B490C3D"/>
    <w:rsid w:val="4B4E38DF"/>
    <w:rsid w:val="4B501B8D"/>
    <w:rsid w:val="4B5601E1"/>
    <w:rsid w:val="4B5A1437"/>
    <w:rsid w:val="4B5B01EF"/>
    <w:rsid w:val="4B6A5083"/>
    <w:rsid w:val="4B7F73F5"/>
    <w:rsid w:val="4B811C8B"/>
    <w:rsid w:val="4B8526AE"/>
    <w:rsid w:val="4B8E28EC"/>
    <w:rsid w:val="4B906059"/>
    <w:rsid w:val="4B927F14"/>
    <w:rsid w:val="4B983265"/>
    <w:rsid w:val="4B98764D"/>
    <w:rsid w:val="4BB2309B"/>
    <w:rsid w:val="4BBB4FEF"/>
    <w:rsid w:val="4BC11745"/>
    <w:rsid w:val="4BC7483D"/>
    <w:rsid w:val="4BCB09D3"/>
    <w:rsid w:val="4BCF29E5"/>
    <w:rsid w:val="4BD011D0"/>
    <w:rsid w:val="4BD14E08"/>
    <w:rsid w:val="4BD25443"/>
    <w:rsid w:val="4BD26FC9"/>
    <w:rsid w:val="4BD3645C"/>
    <w:rsid w:val="4BD87856"/>
    <w:rsid w:val="4BDD514F"/>
    <w:rsid w:val="4BE32B7C"/>
    <w:rsid w:val="4BF12C1F"/>
    <w:rsid w:val="4BF414CA"/>
    <w:rsid w:val="4BF418AD"/>
    <w:rsid w:val="4BF64D73"/>
    <w:rsid w:val="4BF74DFD"/>
    <w:rsid w:val="4C101E96"/>
    <w:rsid w:val="4C147561"/>
    <w:rsid w:val="4C20075F"/>
    <w:rsid w:val="4C211F55"/>
    <w:rsid w:val="4C236BC6"/>
    <w:rsid w:val="4C242F2C"/>
    <w:rsid w:val="4C3149A7"/>
    <w:rsid w:val="4C343A36"/>
    <w:rsid w:val="4C375463"/>
    <w:rsid w:val="4C3970CF"/>
    <w:rsid w:val="4C3B4DC5"/>
    <w:rsid w:val="4C465589"/>
    <w:rsid w:val="4C4E0615"/>
    <w:rsid w:val="4C502A2B"/>
    <w:rsid w:val="4C5060E3"/>
    <w:rsid w:val="4C54729E"/>
    <w:rsid w:val="4C6B1B56"/>
    <w:rsid w:val="4C717308"/>
    <w:rsid w:val="4C737F5C"/>
    <w:rsid w:val="4C813C88"/>
    <w:rsid w:val="4C892284"/>
    <w:rsid w:val="4C911CC5"/>
    <w:rsid w:val="4C9804CF"/>
    <w:rsid w:val="4C994A82"/>
    <w:rsid w:val="4C9E0AB0"/>
    <w:rsid w:val="4CA96713"/>
    <w:rsid w:val="4CB01CC5"/>
    <w:rsid w:val="4CC6067D"/>
    <w:rsid w:val="4CCA4C76"/>
    <w:rsid w:val="4CCE1172"/>
    <w:rsid w:val="4CCF45B9"/>
    <w:rsid w:val="4CDC3BE9"/>
    <w:rsid w:val="4CE62E7B"/>
    <w:rsid w:val="4CEA7D39"/>
    <w:rsid w:val="4CEC0CB3"/>
    <w:rsid w:val="4CF0229C"/>
    <w:rsid w:val="4CF20C8D"/>
    <w:rsid w:val="4D057171"/>
    <w:rsid w:val="4D082D99"/>
    <w:rsid w:val="4D1840C5"/>
    <w:rsid w:val="4D1A61F1"/>
    <w:rsid w:val="4D1B3A0E"/>
    <w:rsid w:val="4D1B46DC"/>
    <w:rsid w:val="4D1F7EC6"/>
    <w:rsid w:val="4D2A08C4"/>
    <w:rsid w:val="4D3202D6"/>
    <w:rsid w:val="4D364793"/>
    <w:rsid w:val="4D3D11F9"/>
    <w:rsid w:val="4D49491A"/>
    <w:rsid w:val="4D4C2881"/>
    <w:rsid w:val="4D5A7AA9"/>
    <w:rsid w:val="4D6705C1"/>
    <w:rsid w:val="4D687C5F"/>
    <w:rsid w:val="4D7955DB"/>
    <w:rsid w:val="4D89620D"/>
    <w:rsid w:val="4D8C5DC2"/>
    <w:rsid w:val="4D8E11DC"/>
    <w:rsid w:val="4D8F5613"/>
    <w:rsid w:val="4D925B02"/>
    <w:rsid w:val="4D934A0C"/>
    <w:rsid w:val="4D9A7366"/>
    <w:rsid w:val="4D9F4C30"/>
    <w:rsid w:val="4DA44BEC"/>
    <w:rsid w:val="4DAF4203"/>
    <w:rsid w:val="4DAF5830"/>
    <w:rsid w:val="4DB96D3C"/>
    <w:rsid w:val="4DD1189E"/>
    <w:rsid w:val="4DD32765"/>
    <w:rsid w:val="4DD704FD"/>
    <w:rsid w:val="4DD86E28"/>
    <w:rsid w:val="4DDE5FE8"/>
    <w:rsid w:val="4DE90B47"/>
    <w:rsid w:val="4DF05839"/>
    <w:rsid w:val="4DF14E4D"/>
    <w:rsid w:val="4DF571F5"/>
    <w:rsid w:val="4DFA5859"/>
    <w:rsid w:val="4E081D5B"/>
    <w:rsid w:val="4E151B46"/>
    <w:rsid w:val="4E153677"/>
    <w:rsid w:val="4E1B1AD4"/>
    <w:rsid w:val="4E204AB5"/>
    <w:rsid w:val="4E281473"/>
    <w:rsid w:val="4E337408"/>
    <w:rsid w:val="4E3D3770"/>
    <w:rsid w:val="4E3D5A9F"/>
    <w:rsid w:val="4E401788"/>
    <w:rsid w:val="4E425E54"/>
    <w:rsid w:val="4E466D42"/>
    <w:rsid w:val="4E4B32B9"/>
    <w:rsid w:val="4E540588"/>
    <w:rsid w:val="4E546CF7"/>
    <w:rsid w:val="4E611E87"/>
    <w:rsid w:val="4E624E01"/>
    <w:rsid w:val="4E6D178C"/>
    <w:rsid w:val="4E7D3526"/>
    <w:rsid w:val="4E842E09"/>
    <w:rsid w:val="4E871CB0"/>
    <w:rsid w:val="4E89116B"/>
    <w:rsid w:val="4E8E281D"/>
    <w:rsid w:val="4E904841"/>
    <w:rsid w:val="4E9955D3"/>
    <w:rsid w:val="4EAE0D04"/>
    <w:rsid w:val="4EB87E70"/>
    <w:rsid w:val="4EC34610"/>
    <w:rsid w:val="4EC632BF"/>
    <w:rsid w:val="4EC8471E"/>
    <w:rsid w:val="4ECB17EA"/>
    <w:rsid w:val="4ECC445F"/>
    <w:rsid w:val="4ECF34BC"/>
    <w:rsid w:val="4ED551B9"/>
    <w:rsid w:val="4ED8787F"/>
    <w:rsid w:val="4ED916D9"/>
    <w:rsid w:val="4EDB7EFA"/>
    <w:rsid w:val="4EDC3BA7"/>
    <w:rsid w:val="4EE37128"/>
    <w:rsid w:val="4EEE2AE5"/>
    <w:rsid w:val="4EEE34EC"/>
    <w:rsid w:val="4EF4707B"/>
    <w:rsid w:val="4EFD3A5E"/>
    <w:rsid w:val="4F061F0F"/>
    <w:rsid w:val="4F0633A3"/>
    <w:rsid w:val="4F0D06C9"/>
    <w:rsid w:val="4F1E65C4"/>
    <w:rsid w:val="4F233716"/>
    <w:rsid w:val="4F2D391B"/>
    <w:rsid w:val="4F2E0C11"/>
    <w:rsid w:val="4F32218F"/>
    <w:rsid w:val="4F3834F9"/>
    <w:rsid w:val="4F3F6FDA"/>
    <w:rsid w:val="4F4512A1"/>
    <w:rsid w:val="4F47131D"/>
    <w:rsid w:val="4F4C333C"/>
    <w:rsid w:val="4F4F3A50"/>
    <w:rsid w:val="4F4F4AAC"/>
    <w:rsid w:val="4F535542"/>
    <w:rsid w:val="4F603056"/>
    <w:rsid w:val="4F712267"/>
    <w:rsid w:val="4F7A7262"/>
    <w:rsid w:val="4F7C3A8C"/>
    <w:rsid w:val="4F7C6633"/>
    <w:rsid w:val="4F845BAE"/>
    <w:rsid w:val="4F891C8A"/>
    <w:rsid w:val="4F8A0700"/>
    <w:rsid w:val="4F933090"/>
    <w:rsid w:val="4F9960B4"/>
    <w:rsid w:val="4FA849FF"/>
    <w:rsid w:val="4FAA7DCA"/>
    <w:rsid w:val="4FB0116F"/>
    <w:rsid w:val="4FBC621D"/>
    <w:rsid w:val="4FC368A1"/>
    <w:rsid w:val="4FC6376D"/>
    <w:rsid w:val="4FC949D3"/>
    <w:rsid w:val="4FD16F4A"/>
    <w:rsid w:val="4FD712A8"/>
    <w:rsid w:val="4FD83B9A"/>
    <w:rsid w:val="4FFD70C9"/>
    <w:rsid w:val="501D38E3"/>
    <w:rsid w:val="501E2D1F"/>
    <w:rsid w:val="50201A3A"/>
    <w:rsid w:val="50395ABF"/>
    <w:rsid w:val="50443097"/>
    <w:rsid w:val="5045110F"/>
    <w:rsid w:val="504518F6"/>
    <w:rsid w:val="504A4FE9"/>
    <w:rsid w:val="5057531D"/>
    <w:rsid w:val="506141AF"/>
    <w:rsid w:val="50626217"/>
    <w:rsid w:val="50637781"/>
    <w:rsid w:val="506B5A22"/>
    <w:rsid w:val="506F2C48"/>
    <w:rsid w:val="50707FEE"/>
    <w:rsid w:val="50742835"/>
    <w:rsid w:val="50747317"/>
    <w:rsid w:val="50773DEE"/>
    <w:rsid w:val="507A101F"/>
    <w:rsid w:val="507E24DF"/>
    <w:rsid w:val="509506E1"/>
    <w:rsid w:val="50985133"/>
    <w:rsid w:val="50AA35CF"/>
    <w:rsid w:val="50B11AF9"/>
    <w:rsid w:val="50B90185"/>
    <w:rsid w:val="50CF01D2"/>
    <w:rsid w:val="50D233A0"/>
    <w:rsid w:val="50DA2EED"/>
    <w:rsid w:val="50DC4A98"/>
    <w:rsid w:val="50E20F10"/>
    <w:rsid w:val="50E472D7"/>
    <w:rsid w:val="50EC1BBB"/>
    <w:rsid w:val="50F761F1"/>
    <w:rsid w:val="51066A14"/>
    <w:rsid w:val="510947F3"/>
    <w:rsid w:val="510D66B8"/>
    <w:rsid w:val="510E2ADE"/>
    <w:rsid w:val="511615C1"/>
    <w:rsid w:val="511A35BB"/>
    <w:rsid w:val="511C76C2"/>
    <w:rsid w:val="51212B5C"/>
    <w:rsid w:val="5121641A"/>
    <w:rsid w:val="51291073"/>
    <w:rsid w:val="51295F2B"/>
    <w:rsid w:val="51321274"/>
    <w:rsid w:val="51337BBE"/>
    <w:rsid w:val="51391438"/>
    <w:rsid w:val="514433B9"/>
    <w:rsid w:val="514F59B8"/>
    <w:rsid w:val="51560987"/>
    <w:rsid w:val="515A5FD6"/>
    <w:rsid w:val="515A775F"/>
    <w:rsid w:val="515F2058"/>
    <w:rsid w:val="516011E5"/>
    <w:rsid w:val="51622E6A"/>
    <w:rsid w:val="51637002"/>
    <w:rsid w:val="517214F6"/>
    <w:rsid w:val="517332EE"/>
    <w:rsid w:val="5176055B"/>
    <w:rsid w:val="51761B0B"/>
    <w:rsid w:val="51772678"/>
    <w:rsid w:val="517A1F1A"/>
    <w:rsid w:val="517F1896"/>
    <w:rsid w:val="51991502"/>
    <w:rsid w:val="51994DA8"/>
    <w:rsid w:val="51995E77"/>
    <w:rsid w:val="519B7947"/>
    <w:rsid w:val="519E45A0"/>
    <w:rsid w:val="51A72937"/>
    <w:rsid w:val="51AF3848"/>
    <w:rsid w:val="51B06247"/>
    <w:rsid w:val="51B715A5"/>
    <w:rsid w:val="51B832DD"/>
    <w:rsid w:val="51BC398E"/>
    <w:rsid w:val="51C550B7"/>
    <w:rsid w:val="51C67FA4"/>
    <w:rsid w:val="51CE247B"/>
    <w:rsid w:val="51D63165"/>
    <w:rsid w:val="51D7423C"/>
    <w:rsid w:val="51DB7CDE"/>
    <w:rsid w:val="51E75F9F"/>
    <w:rsid w:val="51F872B4"/>
    <w:rsid w:val="51FE62B2"/>
    <w:rsid w:val="51FF3326"/>
    <w:rsid w:val="522F6B53"/>
    <w:rsid w:val="52315453"/>
    <w:rsid w:val="52360985"/>
    <w:rsid w:val="52390325"/>
    <w:rsid w:val="523A5457"/>
    <w:rsid w:val="523C2E68"/>
    <w:rsid w:val="523E0D6C"/>
    <w:rsid w:val="52431146"/>
    <w:rsid w:val="52693198"/>
    <w:rsid w:val="526F14DE"/>
    <w:rsid w:val="52700E00"/>
    <w:rsid w:val="527E4DA9"/>
    <w:rsid w:val="52857C4A"/>
    <w:rsid w:val="52964F60"/>
    <w:rsid w:val="529E79C7"/>
    <w:rsid w:val="52A54CEA"/>
    <w:rsid w:val="52A93E27"/>
    <w:rsid w:val="52AE55C9"/>
    <w:rsid w:val="52BA0903"/>
    <w:rsid w:val="52C823F6"/>
    <w:rsid w:val="52CA2036"/>
    <w:rsid w:val="52D80764"/>
    <w:rsid w:val="52DA40DA"/>
    <w:rsid w:val="52E71802"/>
    <w:rsid w:val="52E73287"/>
    <w:rsid w:val="52FB474A"/>
    <w:rsid w:val="52FD6003"/>
    <w:rsid w:val="53002468"/>
    <w:rsid w:val="53097478"/>
    <w:rsid w:val="530D63A6"/>
    <w:rsid w:val="530F6D0A"/>
    <w:rsid w:val="53120A6B"/>
    <w:rsid w:val="531542E7"/>
    <w:rsid w:val="53245F24"/>
    <w:rsid w:val="5332571F"/>
    <w:rsid w:val="533601E1"/>
    <w:rsid w:val="53383605"/>
    <w:rsid w:val="533A6331"/>
    <w:rsid w:val="534310B6"/>
    <w:rsid w:val="534E2894"/>
    <w:rsid w:val="53517349"/>
    <w:rsid w:val="53567845"/>
    <w:rsid w:val="535A4110"/>
    <w:rsid w:val="53630B05"/>
    <w:rsid w:val="53695265"/>
    <w:rsid w:val="536D3E13"/>
    <w:rsid w:val="536D43FE"/>
    <w:rsid w:val="537578D5"/>
    <w:rsid w:val="537B2AFE"/>
    <w:rsid w:val="537D6236"/>
    <w:rsid w:val="538476AA"/>
    <w:rsid w:val="53875E4B"/>
    <w:rsid w:val="538D3520"/>
    <w:rsid w:val="53917BE2"/>
    <w:rsid w:val="53961EE9"/>
    <w:rsid w:val="539E49F2"/>
    <w:rsid w:val="53A45A0C"/>
    <w:rsid w:val="53B023D3"/>
    <w:rsid w:val="53B27D03"/>
    <w:rsid w:val="53B70BA2"/>
    <w:rsid w:val="53B927C7"/>
    <w:rsid w:val="53C929EF"/>
    <w:rsid w:val="53C95059"/>
    <w:rsid w:val="53D13A08"/>
    <w:rsid w:val="53D40BE1"/>
    <w:rsid w:val="53D55AFF"/>
    <w:rsid w:val="53D82074"/>
    <w:rsid w:val="53DB4428"/>
    <w:rsid w:val="53DE5242"/>
    <w:rsid w:val="53E219B9"/>
    <w:rsid w:val="53E21C84"/>
    <w:rsid w:val="53EA6792"/>
    <w:rsid w:val="53EC2E02"/>
    <w:rsid w:val="53F52A10"/>
    <w:rsid w:val="53FF23EC"/>
    <w:rsid w:val="540F5DB4"/>
    <w:rsid w:val="541A1393"/>
    <w:rsid w:val="54207A3B"/>
    <w:rsid w:val="54207E4B"/>
    <w:rsid w:val="54214F8C"/>
    <w:rsid w:val="54266C2A"/>
    <w:rsid w:val="542E0A83"/>
    <w:rsid w:val="54351929"/>
    <w:rsid w:val="54362CC1"/>
    <w:rsid w:val="54365BBC"/>
    <w:rsid w:val="5437569C"/>
    <w:rsid w:val="54376B4D"/>
    <w:rsid w:val="543A339D"/>
    <w:rsid w:val="54460BE9"/>
    <w:rsid w:val="54496E9B"/>
    <w:rsid w:val="544A1355"/>
    <w:rsid w:val="54566D72"/>
    <w:rsid w:val="545C7D98"/>
    <w:rsid w:val="546504A5"/>
    <w:rsid w:val="54700739"/>
    <w:rsid w:val="54734E8E"/>
    <w:rsid w:val="547370C6"/>
    <w:rsid w:val="547B1C41"/>
    <w:rsid w:val="547E67EF"/>
    <w:rsid w:val="54817224"/>
    <w:rsid w:val="54856614"/>
    <w:rsid w:val="5497251D"/>
    <w:rsid w:val="54A05F51"/>
    <w:rsid w:val="54B06507"/>
    <w:rsid w:val="54B41BB8"/>
    <w:rsid w:val="54B84AA0"/>
    <w:rsid w:val="54B9745A"/>
    <w:rsid w:val="54C00A5A"/>
    <w:rsid w:val="54C478EC"/>
    <w:rsid w:val="54D83F1C"/>
    <w:rsid w:val="54E51D72"/>
    <w:rsid w:val="54E5459F"/>
    <w:rsid w:val="54EB1369"/>
    <w:rsid w:val="54ED6045"/>
    <w:rsid w:val="54F74E66"/>
    <w:rsid w:val="54F75A83"/>
    <w:rsid w:val="54F8791E"/>
    <w:rsid w:val="55022E67"/>
    <w:rsid w:val="55043DC5"/>
    <w:rsid w:val="550A5C75"/>
    <w:rsid w:val="55170AF0"/>
    <w:rsid w:val="551E2DF7"/>
    <w:rsid w:val="55266EAD"/>
    <w:rsid w:val="55304E9F"/>
    <w:rsid w:val="55396CFB"/>
    <w:rsid w:val="553B5167"/>
    <w:rsid w:val="55406311"/>
    <w:rsid w:val="554546CA"/>
    <w:rsid w:val="554B402D"/>
    <w:rsid w:val="55516335"/>
    <w:rsid w:val="55521D96"/>
    <w:rsid w:val="555519FA"/>
    <w:rsid w:val="55553F6C"/>
    <w:rsid w:val="555B30C2"/>
    <w:rsid w:val="55635CE6"/>
    <w:rsid w:val="55676D13"/>
    <w:rsid w:val="557622B6"/>
    <w:rsid w:val="5576686F"/>
    <w:rsid w:val="5578459E"/>
    <w:rsid w:val="557A1F96"/>
    <w:rsid w:val="557F2BF0"/>
    <w:rsid w:val="558A2ABC"/>
    <w:rsid w:val="558B3EC5"/>
    <w:rsid w:val="558B3F82"/>
    <w:rsid w:val="55961EF1"/>
    <w:rsid w:val="559659F1"/>
    <w:rsid w:val="55A4646A"/>
    <w:rsid w:val="55AF5035"/>
    <w:rsid w:val="55BB4E7D"/>
    <w:rsid w:val="55C70849"/>
    <w:rsid w:val="55CC4CE0"/>
    <w:rsid w:val="55D1398B"/>
    <w:rsid w:val="55D42A82"/>
    <w:rsid w:val="55DB3175"/>
    <w:rsid w:val="55DE7B68"/>
    <w:rsid w:val="55FA1ABC"/>
    <w:rsid w:val="55FB55C5"/>
    <w:rsid w:val="55FC688F"/>
    <w:rsid w:val="560776BA"/>
    <w:rsid w:val="56093F1D"/>
    <w:rsid w:val="560B34AB"/>
    <w:rsid w:val="560F6B61"/>
    <w:rsid w:val="56210A17"/>
    <w:rsid w:val="562716C2"/>
    <w:rsid w:val="56316023"/>
    <w:rsid w:val="56322468"/>
    <w:rsid w:val="563F7578"/>
    <w:rsid w:val="56414CB7"/>
    <w:rsid w:val="56451AD1"/>
    <w:rsid w:val="564F5678"/>
    <w:rsid w:val="5655639A"/>
    <w:rsid w:val="566302EC"/>
    <w:rsid w:val="566808A7"/>
    <w:rsid w:val="56706391"/>
    <w:rsid w:val="5679149C"/>
    <w:rsid w:val="56837807"/>
    <w:rsid w:val="568F2401"/>
    <w:rsid w:val="569312BB"/>
    <w:rsid w:val="569B1228"/>
    <w:rsid w:val="569D79A7"/>
    <w:rsid w:val="569E74BB"/>
    <w:rsid w:val="56A21304"/>
    <w:rsid w:val="56A7705B"/>
    <w:rsid w:val="56AD7F79"/>
    <w:rsid w:val="56B03C08"/>
    <w:rsid w:val="56B10558"/>
    <w:rsid w:val="56B33C58"/>
    <w:rsid w:val="56B769A3"/>
    <w:rsid w:val="56BA1C2F"/>
    <w:rsid w:val="56BA3E74"/>
    <w:rsid w:val="56BD5128"/>
    <w:rsid w:val="56C433BA"/>
    <w:rsid w:val="56C64E25"/>
    <w:rsid w:val="56D078BA"/>
    <w:rsid w:val="56D45E5C"/>
    <w:rsid w:val="56D91D97"/>
    <w:rsid w:val="56E22F03"/>
    <w:rsid w:val="56FE2675"/>
    <w:rsid w:val="57024CA9"/>
    <w:rsid w:val="570B1A7A"/>
    <w:rsid w:val="570D55B0"/>
    <w:rsid w:val="570F7836"/>
    <w:rsid w:val="571D456C"/>
    <w:rsid w:val="571F4A05"/>
    <w:rsid w:val="5720093F"/>
    <w:rsid w:val="572F29D4"/>
    <w:rsid w:val="5730692C"/>
    <w:rsid w:val="57345D28"/>
    <w:rsid w:val="5748483A"/>
    <w:rsid w:val="57491534"/>
    <w:rsid w:val="574A6F64"/>
    <w:rsid w:val="57554930"/>
    <w:rsid w:val="575753D8"/>
    <w:rsid w:val="575B58D7"/>
    <w:rsid w:val="57605623"/>
    <w:rsid w:val="57761F9B"/>
    <w:rsid w:val="57792C45"/>
    <w:rsid w:val="577C1325"/>
    <w:rsid w:val="577E2CCC"/>
    <w:rsid w:val="57832BB2"/>
    <w:rsid w:val="578850E6"/>
    <w:rsid w:val="578E7FF5"/>
    <w:rsid w:val="579239D5"/>
    <w:rsid w:val="57963FEF"/>
    <w:rsid w:val="57A21425"/>
    <w:rsid w:val="57A718D3"/>
    <w:rsid w:val="57A8224C"/>
    <w:rsid w:val="57AE372B"/>
    <w:rsid w:val="57B47A69"/>
    <w:rsid w:val="57B601AF"/>
    <w:rsid w:val="57B63FF7"/>
    <w:rsid w:val="57BD4097"/>
    <w:rsid w:val="57C251E5"/>
    <w:rsid w:val="57C37B7C"/>
    <w:rsid w:val="57CE1194"/>
    <w:rsid w:val="57CF37D7"/>
    <w:rsid w:val="57DF62FB"/>
    <w:rsid w:val="57DF7CFC"/>
    <w:rsid w:val="57E95805"/>
    <w:rsid w:val="57EB1021"/>
    <w:rsid w:val="57F85246"/>
    <w:rsid w:val="57FD1B47"/>
    <w:rsid w:val="580A5CD8"/>
    <w:rsid w:val="580E2A1E"/>
    <w:rsid w:val="58120418"/>
    <w:rsid w:val="58190256"/>
    <w:rsid w:val="581A1FD0"/>
    <w:rsid w:val="58214D28"/>
    <w:rsid w:val="58220A53"/>
    <w:rsid w:val="58255662"/>
    <w:rsid w:val="58265CA2"/>
    <w:rsid w:val="582E72C4"/>
    <w:rsid w:val="583C2242"/>
    <w:rsid w:val="583C5CCB"/>
    <w:rsid w:val="58496ABB"/>
    <w:rsid w:val="584A0594"/>
    <w:rsid w:val="584E7218"/>
    <w:rsid w:val="58644008"/>
    <w:rsid w:val="586819A5"/>
    <w:rsid w:val="58690477"/>
    <w:rsid w:val="58716063"/>
    <w:rsid w:val="58736AA2"/>
    <w:rsid w:val="587839A2"/>
    <w:rsid w:val="587F20DC"/>
    <w:rsid w:val="5884037B"/>
    <w:rsid w:val="588551C2"/>
    <w:rsid w:val="58875A0C"/>
    <w:rsid w:val="58880A1A"/>
    <w:rsid w:val="588B516F"/>
    <w:rsid w:val="588E04FC"/>
    <w:rsid w:val="58915A5B"/>
    <w:rsid w:val="58922E4E"/>
    <w:rsid w:val="5892322A"/>
    <w:rsid w:val="58932672"/>
    <w:rsid w:val="5895405F"/>
    <w:rsid w:val="58997677"/>
    <w:rsid w:val="58A44D10"/>
    <w:rsid w:val="58A52F73"/>
    <w:rsid w:val="58A53206"/>
    <w:rsid w:val="58A91F0E"/>
    <w:rsid w:val="58AB15FA"/>
    <w:rsid w:val="58AB1DB2"/>
    <w:rsid w:val="58AB710B"/>
    <w:rsid w:val="58AC400B"/>
    <w:rsid w:val="58AF65F5"/>
    <w:rsid w:val="58B367AB"/>
    <w:rsid w:val="58B47A23"/>
    <w:rsid w:val="58B974BA"/>
    <w:rsid w:val="58C02FC5"/>
    <w:rsid w:val="58C44394"/>
    <w:rsid w:val="58C723AC"/>
    <w:rsid w:val="58CB31E8"/>
    <w:rsid w:val="58D75C5B"/>
    <w:rsid w:val="58DA315C"/>
    <w:rsid w:val="58DC4A1E"/>
    <w:rsid w:val="58E05334"/>
    <w:rsid w:val="58E17A5A"/>
    <w:rsid w:val="58E25D56"/>
    <w:rsid w:val="58E267D5"/>
    <w:rsid w:val="58EA0663"/>
    <w:rsid w:val="58F3600E"/>
    <w:rsid w:val="59103135"/>
    <w:rsid w:val="59124742"/>
    <w:rsid w:val="59144AEF"/>
    <w:rsid w:val="591841DB"/>
    <w:rsid w:val="59252237"/>
    <w:rsid w:val="592562E1"/>
    <w:rsid w:val="59276CA7"/>
    <w:rsid w:val="59296AD1"/>
    <w:rsid w:val="593055E0"/>
    <w:rsid w:val="59345076"/>
    <w:rsid w:val="59356D28"/>
    <w:rsid w:val="593E3CDA"/>
    <w:rsid w:val="59453215"/>
    <w:rsid w:val="59453B20"/>
    <w:rsid w:val="59576FB6"/>
    <w:rsid w:val="59592E7B"/>
    <w:rsid w:val="595E36F9"/>
    <w:rsid w:val="59602C55"/>
    <w:rsid w:val="5963054E"/>
    <w:rsid w:val="59631B70"/>
    <w:rsid w:val="596B2F32"/>
    <w:rsid w:val="597647D2"/>
    <w:rsid w:val="5977223D"/>
    <w:rsid w:val="598325E3"/>
    <w:rsid w:val="59872692"/>
    <w:rsid w:val="598C10A3"/>
    <w:rsid w:val="598F568D"/>
    <w:rsid w:val="599625DD"/>
    <w:rsid w:val="59981C54"/>
    <w:rsid w:val="59A12B3D"/>
    <w:rsid w:val="59AF2D18"/>
    <w:rsid w:val="59AF3AF2"/>
    <w:rsid w:val="59B14818"/>
    <w:rsid w:val="59B461B6"/>
    <w:rsid w:val="59B77A55"/>
    <w:rsid w:val="59B95A0D"/>
    <w:rsid w:val="59BA60EE"/>
    <w:rsid w:val="59C02DAD"/>
    <w:rsid w:val="59D10207"/>
    <w:rsid w:val="59D25759"/>
    <w:rsid w:val="59D86349"/>
    <w:rsid w:val="59E74652"/>
    <w:rsid w:val="59EA24B6"/>
    <w:rsid w:val="59F002FD"/>
    <w:rsid w:val="59F02980"/>
    <w:rsid w:val="59F17145"/>
    <w:rsid w:val="59FD5116"/>
    <w:rsid w:val="5A067105"/>
    <w:rsid w:val="5A0B56F0"/>
    <w:rsid w:val="5A2055FA"/>
    <w:rsid w:val="5A297057"/>
    <w:rsid w:val="5A3553B3"/>
    <w:rsid w:val="5A365C4A"/>
    <w:rsid w:val="5A3B47A6"/>
    <w:rsid w:val="5A3C2295"/>
    <w:rsid w:val="5A3E2C06"/>
    <w:rsid w:val="5A42336F"/>
    <w:rsid w:val="5A455061"/>
    <w:rsid w:val="5A4D1EC6"/>
    <w:rsid w:val="5A5076BF"/>
    <w:rsid w:val="5A5C0D28"/>
    <w:rsid w:val="5A5C32EE"/>
    <w:rsid w:val="5A5D190B"/>
    <w:rsid w:val="5A601753"/>
    <w:rsid w:val="5A687CB9"/>
    <w:rsid w:val="5A6D68F3"/>
    <w:rsid w:val="5A75669D"/>
    <w:rsid w:val="5A8323EE"/>
    <w:rsid w:val="5A885AA9"/>
    <w:rsid w:val="5A8C2769"/>
    <w:rsid w:val="5A9401DD"/>
    <w:rsid w:val="5A94610F"/>
    <w:rsid w:val="5AA136BD"/>
    <w:rsid w:val="5AA77FE6"/>
    <w:rsid w:val="5AAE752B"/>
    <w:rsid w:val="5AB3021C"/>
    <w:rsid w:val="5AB630BE"/>
    <w:rsid w:val="5AB82EC1"/>
    <w:rsid w:val="5AC44733"/>
    <w:rsid w:val="5ACD255B"/>
    <w:rsid w:val="5ADA35B4"/>
    <w:rsid w:val="5AE51657"/>
    <w:rsid w:val="5AE8165E"/>
    <w:rsid w:val="5AF73743"/>
    <w:rsid w:val="5AFE1233"/>
    <w:rsid w:val="5B0008AA"/>
    <w:rsid w:val="5B031853"/>
    <w:rsid w:val="5B0D253B"/>
    <w:rsid w:val="5B155C31"/>
    <w:rsid w:val="5B1D54B7"/>
    <w:rsid w:val="5B21162A"/>
    <w:rsid w:val="5B222596"/>
    <w:rsid w:val="5B246E44"/>
    <w:rsid w:val="5B295CDA"/>
    <w:rsid w:val="5B2A29B4"/>
    <w:rsid w:val="5B3551D5"/>
    <w:rsid w:val="5B364E45"/>
    <w:rsid w:val="5B3F15ED"/>
    <w:rsid w:val="5B405E90"/>
    <w:rsid w:val="5B42726A"/>
    <w:rsid w:val="5B4B1AFC"/>
    <w:rsid w:val="5B4B48F9"/>
    <w:rsid w:val="5B63038C"/>
    <w:rsid w:val="5B656418"/>
    <w:rsid w:val="5B675B3C"/>
    <w:rsid w:val="5B681DB7"/>
    <w:rsid w:val="5B6E71D2"/>
    <w:rsid w:val="5B70435F"/>
    <w:rsid w:val="5B7159D0"/>
    <w:rsid w:val="5B730088"/>
    <w:rsid w:val="5B740991"/>
    <w:rsid w:val="5B74437B"/>
    <w:rsid w:val="5B7D5DA4"/>
    <w:rsid w:val="5B8553DD"/>
    <w:rsid w:val="5B896C4A"/>
    <w:rsid w:val="5B9519A0"/>
    <w:rsid w:val="5B952EC4"/>
    <w:rsid w:val="5BA968A1"/>
    <w:rsid w:val="5BAF16CD"/>
    <w:rsid w:val="5BB228BB"/>
    <w:rsid w:val="5BB64D50"/>
    <w:rsid w:val="5BB87FB0"/>
    <w:rsid w:val="5BC3708A"/>
    <w:rsid w:val="5BC6506B"/>
    <w:rsid w:val="5BCC27FF"/>
    <w:rsid w:val="5BCC3E36"/>
    <w:rsid w:val="5BE017D7"/>
    <w:rsid w:val="5BE33A5B"/>
    <w:rsid w:val="5BE364EA"/>
    <w:rsid w:val="5BEA1AED"/>
    <w:rsid w:val="5BEB01EF"/>
    <w:rsid w:val="5BF6658D"/>
    <w:rsid w:val="5BFE631F"/>
    <w:rsid w:val="5BFE6FE4"/>
    <w:rsid w:val="5C003935"/>
    <w:rsid w:val="5C005573"/>
    <w:rsid w:val="5C0160F9"/>
    <w:rsid w:val="5C03649B"/>
    <w:rsid w:val="5C081A8C"/>
    <w:rsid w:val="5C09327B"/>
    <w:rsid w:val="5C0C2E43"/>
    <w:rsid w:val="5C0F1DCA"/>
    <w:rsid w:val="5C112EF5"/>
    <w:rsid w:val="5C1523B5"/>
    <w:rsid w:val="5C171F2B"/>
    <w:rsid w:val="5C1D76F0"/>
    <w:rsid w:val="5C2075C5"/>
    <w:rsid w:val="5C3A6069"/>
    <w:rsid w:val="5C410A70"/>
    <w:rsid w:val="5C425D34"/>
    <w:rsid w:val="5C45636A"/>
    <w:rsid w:val="5C4F2ABE"/>
    <w:rsid w:val="5C560E8B"/>
    <w:rsid w:val="5C581538"/>
    <w:rsid w:val="5C5D7036"/>
    <w:rsid w:val="5C615DD6"/>
    <w:rsid w:val="5C672A94"/>
    <w:rsid w:val="5C675690"/>
    <w:rsid w:val="5C6A7000"/>
    <w:rsid w:val="5C724ECE"/>
    <w:rsid w:val="5C7310F3"/>
    <w:rsid w:val="5C776BEB"/>
    <w:rsid w:val="5C7A0780"/>
    <w:rsid w:val="5C7D022F"/>
    <w:rsid w:val="5C7D6575"/>
    <w:rsid w:val="5C7E2144"/>
    <w:rsid w:val="5C8516FE"/>
    <w:rsid w:val="5C8A4C5B"/>
    <w:rsid w:val="5C8D037D"/>
    <w:rsid w:val="5C9B4AD0"/>
    <w:rsid w:val="5C9E7696"/>
    <w:rsid w:val="5CA11271"/>
    <w:rsid w:val="5CA5749C"/>
    <w:rsid w:val="5CC5275B"/>
    <w:rsid w:val="5CC91FE6"/>
    <w:rsid w:val="5CDC656A"/>
    <w:rsid w:val="5CE53C09"/>
    <w:rsid w:val="5CE77E5B"/>
    <w:rsid w:val="5CEB1EEF"/>
    <w:rsid w:val="5CEC43EB"/>
    <w:rsid w:val="5CEF38B2"/>
    <w:rsid w:val="5CF25617"/>
    <w:rsid w:val="5CF314B1"/>
    <w:rsid w:val="5CFD2382"/>
    <w:rsid w:val="5CFE4292"/>
    <w:rsid w:val="5D010CDE"/>
    <w:rsid w:val="5D0721E8"/>
    <w:rsid w:val="5D0D7453"/>
    <w:rsid w:val="5D100A1E"/>
    <w:rsid w:val="5D104837"/>
    <w:rsid w:val="5D1324BB"/>
    <w:rsid w:val="5D15731A"/>
    <w:rsid w:val="5D1719BE"/>
    <w:rsid w:val="5D1E10D6"/>
    <w:rsid w:val="5D217954"/>
    <w:rsid w:val="5D291DEC"/>
    <w:rsid w:val="5D302B88"/>
    <w:rsid w:val="5D42535B"/>
    <w:rsid w:val="5D43432D"/>
    <w:rsid w:val="5D4A0A83"/>
    <w:rsid w:val="5D4A3BDD"/>
    <w:rsid w:val="5D4A5585"/>
    <w:rsid w:val="5D550D64"/>
    <w:rsid w:val="5D56381F"/>
    <w:rsid w:val="5D594602"/>
    <w:rsid w:val="5D722610"/>
    <w:rsid w:val="5D730E85"/>
    <w:rsid w:val="5D7B5336"/>
    <w:rsid w:val="5D7D0750"/>
    <w:rsid w:val="5D7E3559"/>
    <w:rsid w:val="5D810AA5"/>
    <w:rsid w:val="5D872699"/>
    <w:rsid w:val="5D8E4A80"/>
    <w:rsid w:val="5D97482E"/>
    <w:rsid w:val="5DA02030"/>
    <w:rsid w:val="5DA41E0E"/>
    <w:rsid w:val="5DA72268"/>
    <w:rsid w:val="5DC62146"/>
    <w:rsid w:val="5DC71F6A"/>
    <w:rsid w:val="5DC862A3"/>
    <w:rsid w:val="5DCA5E64"/>
    <w:rsid w:val="5DD003BA"/>
    <w:rsid w:val="5DDA038E"/>
    <w:rsid w:val="5DE354FD"/>
    <w:rsid w:val="5DE82F2E"/>
    <w:rsid w:val="5DEA42B1"/>
    <w:rsid w:val="5DEC7F96"/>
    <w:rsid w:val="5DF05963"/>
    <w:rsid w:val="5DF615B6"/>
    <w:rsid w:val="5DF9087B"/>
    <w:rsid w:val="5DFB2606"/>
    <w:rsid w:val="5DFD4F08"/>
    <w:rsid w:val="5E016CB2"/>
    <w:rsid w:val="5E172F8A"/>
    <w:rsid w:val="5E387BAE"/>
    <w:rsid w:val="5E3E7621"/>
    <w:rsid w:val="5E48755C"/>
    <w:rsid w:val="5E4B5FC3"/>
    <w:rsid w:val="5E4E2F15"/>
    <w:rsid w:val="5E53627F"/>
    <w:rsid w:val="5E55788C"/>
    <w:rsid w:val="5E584E27"/>
    <w:rsid w:val="5E5F20CF"/>
    <w:rsid w:val="5E741175"/>
    <w:rsid w:val="5E775184"/>
    <w:rsid w:val="5E7E12F3"/>
    <w:rsid w:val="5E892D83"/>
    <w:rsid w:val="5EA3535A"/>
    <w:rsid w:val="5EA70A2B"/>
    <w:rsid w:val="5EAE06BC"/>
    <w:rsid w:val="5EAE1426"/>
    <w:rsid w:val="5EBF1885"/>
    <w:rsid w:val="5EC450EE"/>
    <w:rsid w:val="5ECD4F14"/>
    <w:rsid w:val="5EDF127E"/>
    <w:rsid w:val="5EF37781"/>
    <w:rsid w:val="5EF42D90"/>
    <w:rsid w:val="5EF543BB"/>
    <w:rsid w:val="5EFC5E7B"/>
    <w:rsid w:val="5EFF5B7D"/>
    <w:rsid w:val="5F047935"/>
    <w:rsid w:val="5F056362"/>
    <w:rsid w:val="5F091819"/>
    <w:rsid w:val="5F110760"/>
    <w:rsid w:val="5F1265AF"/>
    <w:rsid w:val="5F1A31D2"/>
    <w:rsid w:val="5F1F78E4"/>
    <w:rsid w:val="5F206838"/>
    <w:rsid w:val="5F260AC4"/>
    <w:rsid w:val="5F266591"/>
    <w:rsid w:val="5F28678B"/>
    <w:rsid w:val="5F293A2C"/>
    <w:rsid w:val="5F2B24E7"/>
    <w:rsid w:val="5F2D46F6"/>
    <w:rsid w:val="5F385E54"/>
    <w:rsid w:val="5F3C3AE7"/>
    <w:rsid w:val="5F3E1829"/>
    <w:rsid w:val="5F3E6B31"/>
    <w:rsid w:val="5F412860"/>
    <w:rsid w:val="5F422122"/>
    <w:rsid w:val="5F42674F"/>
    <w:rsid w:val="5F4F0B04"/>
    <w:rsid w:val="5F550FE6"/>
    <w:rsid w:val="5F641218"/>
    <w:rsid w:val="5F6B324B"/>
    <w:rsid w:val="5F6C7517"/>
    <w:rsid w:val="5F705205"/>
    <w:rsid w:val="5F712E5B"/>
    <w:rsid w:val="5F7327C6"/>
    <w:rsid w:val="5F750196"/>
    <w:rsid w:val="5F750588"/>
    <w:rsid w:val="5F7F6E06"/>
    <w:rsid w:val="5F81458B"/>
    <w:rsid w:val="5F8910B2"/>
    <w:rsid w:val="5F8D346E"/>
    <w:rsid w:val="5FA20747"/>
    <w:rsid w:val="5FA7486B"/>
    <w:rsid w:val="5FAC361E"/>
    <w:rsid w:val="5FB5402E"/>
    <w:rsid w:val="5FB901E6"/>
    <w:rsid w:val="5FBC2D4D"/>
    <w:rsid w:val="5FBF7FC6"/>
    <w:rsid w:val="5FD33CED"/>
    <w:rsid w:val="5FDD4249"/>
    <w:rsid w:val="5FDE5D3B"/>
    <w:rsid w:val="5FE57A85"/>
    <w:rsid w:val="5FE73BAF"/>
    <w:rsid w:val="5FE908F1"/>
    <w:rsid w:val="5FED58A6"/>
    <w:rsid w:val="5FF65C5C"/>
    <w:rsid w:val="60003F04"/>
    <w:rsid w:val="60052348"/>
    <w:rsid w:val="60053032"/>
    <w:rsid w:val="6008725C"/>
    <w:rsid w:val="6018410E"/>
    <w:rsid w:val="6025396A"/>
    <w:rsid w:val="6031180D"/>
    <w:rsid w:val="603A230F"/>
    <w:rsid w:val="604007A4"/>
    <w:rsid w:val="60426A1E"/>
    <w:rsid w:val="604840F1"/>
    <w:rsid w:val="604F7C8F"/>
    <w:rsid w:val="605018D1"/>
    <w:rsid w:val="60547ECC"/>
    <w:rsid w:val="60663646"/>
    <w:rsid w:val="606809C2"/>
    <w:rsid w:val="606D484F"/>
    <w:rsid w:val="60825473"/>
    <w:rsid w:val="60884FAA"/>
    <w:rsid w:val="608949A1"/>
    <w:rsid w:val="608F4044"/>
    <w:rsid w:val="609B46CE"/>
    <w:rsid w:val="609D1736"/>
    <w:rsid w:val="60A22FC2"/>
    <w:rsid w:val="60A6027A"/>
    <w:rsid w:val="60A85E9A"/>
    <w:rsid w:val="60B4503A"/>
    <w:rsid w:val="60B86D82"/>
    <w:rsid w:val="60C42FF7"/>
    <w:rsid w:val="60C95E5C"/>
    <w:rsid w:val="60CE2EE1"/>
    <w:rsid w:val="60D07E29"/>
    <w:rsid w:val="60DF62DD"/>
    <w:rsid w:val="60EA05A2"/>
    <w:rsid w:val="60F33E43"/>
    <w:rsid w:val="60FF41BB"/>
    <w:rsid w:val="6109299E"/>
    <w:rsid w:val="61112CC5"/>
    <w:rsid w:val="6129750A"/>
    <w:rsid w:val="61297FB1"/>
    <w:rsid w:val="613121CE"/>
    <w:rsid w:val="613961C3"/>
    <w:rsid w:val="61413A23"/>
    <w:rsid w:val="61473059"/>
    <w:rsid w:val="615902D6"/>
    <w:rsid w:val="616278FA"/>
    <w:rsid w:val="616733B2"/>
    <w:rsid w:val="61674177"/>
    <w:rsid w:val="61693036"/>
    <w:rsid w:val="61695AD8"/>
    <w:rsid w:val="616C1B96"/>
    <w:rsid w:val="61721B91"/>
    <w:rsid w:val="61766367"/>
    <w:rsid w:val="617B3EB0"/>
    <w:rsid w:val="618E0E1E"/>
    <w:rsid w:val="61952E01"/>
    <w:rsid w:val="619B714A"/>
    <w:rsid w:val="619C13C0"/>
    <w:rsid w:val="619C1EE1"/>
    <w:rsid w:val="61A41770"/>
    <w:rsid w:val="61AF33B2"/>
    <w:rsid w:val="61B51378"/>
    <w:rsid w:val="61C35FB8"/>
    <w:rsid w:val="61C77E1D"/>
    <w:rsid w:val="61CB0AE0"/>
    <w:rsid w:val="61D01F53"/>
    <w:rsid w:val="61D20D31"/>
    <w:rsid w:val="61D80E95"/>
    <w:rsid w:val="61D830B4"/>
    <w:rsid w:val="61DB02DC"/>
    <w:rsid w:val="61DB05B0"/>
    <w:rsid w:val="61E2523A"/>
    <w:rsid w:val="61E423F3"/>
    <w:rsid w:val="61E63A17"/>
    <w:rsid w:val="61E66FAD"/>
    <w:rsid w:val="61E67129"/>
    <w:rsid w:val="61EA7A45"/>
    <w:rsid w:val="61ED5EE7"/>
    <w:rsid w:val="62092205"/>
    <w:rsid w:val="62171ACF"/>
    <w:rsid w:val="621950F1"/>
    <w:rsid w:val="621C3279"/>
    <w:rsid w:val="62214D5D"/>
    <w:rsid w:val="622436D5"/>
    <w:rsid w:val="62256101"/>
    <w:rsid w:val="62280495"/>
    <w:rsid w:val="622F4FDA"/>
    <w:rsid w:val="62303EAD"/>
    <w:rsid w:val="62394D24"/>
    <w:rsid w:val="6255436D"/>
    <w:rsid w:val="62593E93"/>
    <w:rsid w:val="62604BC8"/>
    <w:rsid w:val="6262034B"/>
    <w:rsid w:val="62653DB1"/>
    <w:rsid w:val="626A337F"/>
    <w:rsid w:val="62766143"/>
    <w:rsid w:val="62790A24"/>
    <w:rsid w:val="627B425A"/>
    <w:rsid w:val="627C0A32"/>
    <w:rsid w:val="627C7B72"/>
    <w:rsid w:val="627F6324"/>
    <w:rsid w:val="628425E8"/>
    <w:rsid w:val="6289299F"/>
    <w:rsid w:val="629F2C81"/>
    <w:rsid w:val="62A02BB8"/>
    <w:rsid w:val="62A47915"/>
    <w:rsid w:val="62A61089"/>
    <w:rsid w:val="62A668AD"/>
    <w:rsid w:val="62A80347"/>
    <w:rsid w:val="62A96B96"/>
    <w:rsid w:val="62AF33EC"/>
    <w:rsid w:val="62B30F46"/>
    <w:rsid w:val="62B701F8"/>
    <w:rsid w:val="62B82C24"/>
    <w:rsid w:val="62B83AA8"/>
    <w:rsid w:val="62BC5D49"/>
    <w:rsid w:val="62BD1BF7"/>
    <w:rsid w:val="62BE5E0D"/>
    <w:rsid w:val="62C05259"/>
    <w:rsid w:val="62C54413"/>
    <w:rsid w:val="62C72673"/>
    <w:rsid w:val="62C74375"/>
    <w:rsid w:val="62CA52E5"/>
    <w:rsid w:val="62CD5E5E"/>
    <w:rsid w:val="62D07784"/>
    <w:rsid w:val="62D5720F"/>
    <w:rsid w:val="62D57BBC"/>
    <w:rsid w:val="62DB3373"/>
    <w:rsid w:val="62E5724A"/>
    <w:rsid w:val="62E94951"/>
    <w:rsid w:val="62EA2C49"/>
    <w:rsid w:val="62EC67D1"/>
    <w:rsid w:val="62F92060"/>
    <w:rsid w:val="62F95834"/>
    <w:rsid w:val="62FD13EB"/>
    <w:rsid w:val="63135493"/>
    <w:rsid w:val="63213E09"/>
    <w:rsid w:val="632234BF"/>
    <w:rsid w:val="63231877"/>
    <w:rsid w:val="63252C07"/>
    <w:rsid w:val="6326746E"/>
    <w:rsid w:val="63290D0E"/>
    <w:rsid w:val="632F5A78"/>
    <w:rsid w:val="6339025A"/>
    <w:rsid w:val="63427369"/>
    <w:rsid w:val="6343041D"/>
    <w:rsid w:val="63453AAA"/>
    <w:rsid w:val="63456297"/>
    <w:rsid w:val="63464323"/>
    <w:rsid w:val="634C7460"/>
    <w:rsid w:val="63522164"/>
    <w:rsid w:val="63591E23"/>
    <w:rsid w:val="635A092C"/>
    <w:rsid w:val="635B0E7E"/>
    <w:rsid w:val="635B7569"/>
    <w:rsid w:val="635C4E3D"/>
    <w:rsid w:val="63625431"/>
    <w:rsid w:val="637627B1"/>
    <w:rsid w:val="63885D3E"/>
    <w:rsid w:val="638F78F2"/>
    <w:rsid w:val="63907BC8"/>
    <w:rsid w:val="639602DE"/>
    <w:rsid w:val="639E7020"/>
    <w:rsid w:val="63A12146"/>
    <w:rsid w:val="63AF4358"/>
    <w:rsid w:val="63B964E3"/>
    <w:rsid w:val="63E6552A"/>
    <w:rsid w:val="63EA2B19"/>
    <w:rsid w:val="63EB238C"/>
    <w:rsid w:val="63ED2B9F"/>
    <w:rsid w:val="63F45328"/>
    <w:rsid w:val="63F5554C"/>
    <w:rsid w:val="640203E4"/>
    <w:rsid w:val="64022E4D"/>
    <w:rsid w:val="64043057"/>
    <w:rsid w:val="64093558"/>
    <w:rsid w:val="640D32C8"/>
    <w:rsid w:val="640D3C1C"/>
    <w:rsid w:val="64294BF2"/>
    <w:rsid w:val="642951CF"/>
    <w:rsid w:val="64336A57"/>
    <w:rsid w:val="644C70A9"/>
    <w:rsid w:val="644D47BC"/>
    <w:rsid w:val="64613A5C"/>
    <w:rsid w:val="646A3A2D"/>
    <w:rsid w:val="646F7DBD"/>
    <w:rsid w:val="647457FE"/>
    <w:rsid w:val="647629E6"/>
    <w:rsid w:val="647E189B"/>
    <w:rsid w:val="64890C5B"/>
    <w:rsid w:val="649A577A"/>
    <w:rsid w:val="649F00CF"/>
    <w:rsid w:val="64A16EE3"/>
    <w:rsid w:val="64A21A5D"/>
    <w:rsid w:val="64A26351"/>
    <w:rsid w:val="64AA6409"/>
    <w:rsid w:val="64B2338B"/>
    <w:rsid w:val="64B25C4D"/>
    <w:rsid w:val="64BA7677"/>
    <w:rsid w:val="64C31CAB"/>
    <w:rsid w:val="64C66C26"/>
    <w:rsid w:val="64C7375A"/>
    <w:rsid w:val="64C77667"/>
    <w:rsid w:val="64E35D36"/>
    <w:rsid w:val="64E63BF8"/>
    <w:rsid w:val="64FC09C3"/>
    <w:rsid w:val="650407EF"/>
    <w:rsid w:val="650A1F74"/>
    <w:rsid w:val="650B415C"/>
    <w:rsid w:val="650D6B24"/>
    <w:rsid w:val="65133541"/>
    <w:rsid w:val="651A0FD2"/>
    <w:rsid w:val="65240694"/>
    <w:rsid w:val="652860EA"/>
    <w:rsid w:val="653470EC"/>
    <w:rsid w:val="65370D10"/>
    <w:rsid w:val="65386D76"/>
    <w:rsid w:val="653A5281"/>
    <w:rsid w:val="6543188C"/>
    <w:rsid w:val="65565168"/>
    <w:rsid w:val="655A46DF"/>
    <w:rsid w:val="655C1C24"/>
    <w:rsid w:val="656B410C"/>
    <w:rsid w:val="65784C06"/>
    <w:rsid w:val="657C3984"/>
    <w:rsid w:val="65827289"/>
    <w:rsid w:val="658412FD"/>
    <w:rsid w:val="658D609C"/>
    <w:rsid w:val="65A143A4"/>
    <w:rsid w:val="65A30255"/>
    <w:rsid w:val="65A96A12"/>
    <w:rsid w:val="65A97F43"/>
    <w:rsid w:val="65BF03BD"/>
    <w:rsid w:val="65CC5374"/>
    <w:rsid w:val="65DA531D"/>
    <w:rsid w:val="65DC479B"/>
    <w:rsid w:val="65DE105D"/>
    <w:rsid w:val="65F07E14"/>
    <w:rsid w:val="65F21798"/>
    <w:rsid w:val="65F362B8"/>
    <w:rsid w:val="65F86E84"/>
    <w:rsid w:val="66026F49"/>
    <w:rsid w:val="660C60E0"/>
    <w:rsid w:val="661F566C"/>
    <w:rsid w:val="66202B8F"/>
    <w:rsid w:val="66374470"/>
    <w:rsid w:val="663C4415"/>
    <w:rsid w:val="6645369B"/>
    <w:rsid w:val="66494A65"/>
    <w:rsid w:val="66587006"/>
    <w:rsid w:val="665D2648"/>
    <w:rsid w:val="6661150C"/>
    <w:rsid w:val="666B7133"/>
    <w:rsid w:val="667575D4"/>
    <w:rsid w:val="66780783"/>
    <w:rsid w:val="667978DA"/>
    <w:rsid w:val="667B0FBC"/>
    <w:rsid w:val="66836E9B"/>
    <w:rsid w:val="66863385"/>
    <w:rsid w:val="668D21BE"/>
    <w:rsid w:val="66910366"/>
    <w:rsid w:val="66976E3D"/>
    <w:rsid w:val="66A129E2"/>
    <w:rsid w:val="66A7761F"/>
    <w:rsid w:val="66AF0431"/>
    <w:rsid w:val="66AF04D3"/>
    <w:rsid w:val="66AF0505"/>
    <w:rsid w:val="66AF4860"/>
    <w:rsid w:val="66B04194"/>
    <w:rsid w:val="66B63460"/>
    <w:rsid w:val="66C27853"/>
    <w:rsid w:val="66C45DAA"/>
    <w:rsid w:val="66C4632F"/>
    <w:rsid w:val="66C85874"/>
    <w:rsid w:val="66C93B8F"/>
    <w:rsid w:val="66CE7D0D"/>
    <w:rsid w:val="66DB0927"/>
    <w:rsid w:val="66DB2FD4"/>
    <w:rsid w:val="66DE4B30"/>
    <w:rsid w:val="66EE50C6"/>
    <w:rsid w:val="66EE58B9"/>
    <w:rsid w:val="66F12905"/>
    <w:rsid w:val="66FA65F2"/>
    <w:rsid w:val="67130B4C"/>
    <w:rsid w:val="67153C75"/>
    <w:rsid w:val="67177D85"/>
    <w:rsid w:val="671A4130"/>
    <w:rsid w:val="671B59D4"/>
    <w:rsid w:val="671E3476"/>
    <w:rsid w:val="67206C55"/>
    <w:rsid w:val="6722024C"/>
    <w:rsid w:val="672B0763"/>
    <w:rsid w:val="672B265C"/>
    <w:rsid w:val="672D4CE8"/>
    <w:rsid w:val="672F2C8D"/>
    <w:rsid w:val="672F6329"/>
    <w:rsid w:val="673616CF"/>
    <w:rsid w:val="673B5C55"/>
    <w:rsid w:val="67492715"/>
    <w:rsid w:val="67540AD0"/>
    <w:rsid w:val="675867FD"/>
    <w:rsid w:val="675D5FFF"/>
    <w:rsid w:val="675E59B4"/>
    <w:rsid w:val="676545F0"/>
    <w:rsid w:val="676D3C75"/>
    <w:rsid w:val="67772930"/>
    <w:rsid w:val="677821E1"/>
    <w:rsid w:val="677B41A8"/>
    <w:rsid w:val="67840C2E"/>
    <w:rsid w:val="678878D3"/>
    <w:rsid w:val="678B6429"/>
    <w:rsid w:val="679152F5"/>
    <w:rsid w:val="6798447B"/>
    <w:rsid w:val="679E22C6"/>
    <w:rsid w:val="67A1542D"/>
    <w:rsid w:val="67A23BDC"/>
    <w:rsid w:val="67A7391E"/>
    <w:rsid w:val="67AC5F95"/>
    <w:rsid w:val="67AE69D9"/>
    <w:rsid w:val="67AF7891"/>
    <w:rsid w:val="67BB6E96"/>
    <w:rsid w:val="67BF0C36"/>
    <w:rsid w:val="67D23AD1"/>
    <w:rsid w:val="67D26883"/>
    <w:rsid w:val="67D94632"/>
    <w:rsid w:val="67DA3CF9"/>
    <w:rsid w:val="67DC1D21"/>
    <w:rsid w:val="67E40A16"/>
    <w:rsid w:val="67E41C88"/>
    <w:rsid w:val="67E759A9"/>
    <w:rsid w:val="67EB56F4"/>
    <w:rsid w:val="67FB6A66"/>
    <w:rsid w:val="6800222E"/>
    <w:rsid w:val="680B3E54"/>
    <w:rsid w:val="68176832"/>
    <w:rsid w:val="681E1D82"/>
    <w:rsid w:val="681E5F31"/>
    <w:rsid w:val="681F6FED"/>
    <w:rsid w:val="682C160E"/>
    <w:rsid w:val="682D2573"/>
    <w:rsid w:val="683634E3"/>
    <w:rsid w:val="68401F12"/>
    <w:rsid w:val="68421B8C"/>
    <w:rsid w:val="684D1769"/>
    <w:rsid w:val="6855588C"/>
    <w:rsid w:val="6859136F"/>
    <w:rsid w:val="68592AB6"/>
    <w:rsid w:val="685E3EBD"/>
    <w:rsid w:val="68624715"/>
    <w:rsid w:val="6864524C"/>
    <w:rsid w:val="6867242F"/>
    <w:rsid w:val="687016F7"/>
    <w:rsid w:val="687A0679"/>
    <w:rsid w:val="687A6A6A"/>
    <w:rsid w:val="687B4F22"/>
    <w:rsid w:val="687D4111"/>
    <w:rsid w:val="688237E5"/>
    <w:rsid w:val="688519C8"/>
    <w:rsid w:val="688D537F"/>
    <w:rsid w:val="689072CA"/>
    <w:rsid w:val="6893513C"/>
    <w:rsid w:val="689845BC"/>
    <w:rsid w:val="689C2C37"/>
    <w:rsid w:val="689F668A"/>
    <w:rsid w:val="68A14066"/>
    <w:rsid w:val="68A526BE"/>
    <w:rsid w:val="68AC144F"/>
    <w:rsid w:val="68B848FE"/>
    <w:rsid w:val="68B91A87"/>
    <w:rsid w:val="68B934E7"/>
    <w:rsid w:val="68D6542B"/>
    <w:rsid w:val="68D66F36"/>
    <w:rsid w:val="68DE6FE0"/>
    <w:rsid w:val="68E07E46"/>
    <w:rsid w:val="68E22237"/>
    <w:rsid w:val="68E407DF"/>
    <w:rsid w:val="68EF3417"/>
    <w:rsid w:val="68EF598D"/>
    <w:rsid w:val="690812C7"/>
    <w:rsid w:val="69104817"/>
    <w:rsid w:val="69150204"/>
    <w:rsid w:val="6919371A"/>
    <w:rsid w:val="69195A8A"/>
    <w:rsid w:val="691F3444"/>
    <w:rsid w:val="6921078D"/>
    <w:rsid w:val="69213A88"/>
    <w:rsid w:val="69250889"/>
    <w:rsid w:val="69272795"/>
    <w:rsid w:val="692A18A6"/>
    <w:rsid w:val="692C3B5D"/>
    <w:rsid w:val="692F7B60"/>
    <w:rsid w:val="69345FFB"/>
    <w:rsid w:val="69374285"/>
    <w:rsid w:val="69384AF9"/>
    <w:rsid w:val="693C1042"/>
    <w:rsid w:val="6943089E"/>
    <w:rsid w:val="69450FB5"/>
    <w:rsid w:val="69486DC1"/>
    <w:rsid w:val="694B7CE4"/>
    <w:rsid w:val="69516214"/>
    <w:rsid w:val="69522B37"/>
    <w:rsid w:val="69536FA2"/>
    <w:rsid w:val="695817BF"/>
    <w:rsid w:val="695B5142"/>
    <w:rsid w:val="696459E5"/>
    <w:rsid w:val="696E0EA7"/>
    <w:rsid w:val="696E6EA8"/>
    <w:rsid w:val="6976545F"/>
    <w:rsid w:val="69797085"/>
    <w:rsid w:val="697E7B17"/>
    <w:rsid w:val="6983333C"/>
    <w:rsid w:val="698535EE"/>
    <w:rsid w:val="6985524D"/>
    <w:rsid w:val="698F54EC"/>
    <w:rsid w:val="69946A6C"/>
    <w:rsid w:val="699A592F"/>
    <w:rsid w:val="69A27DD9"/>
    <w:rsid w:val="69A578CA"/>
    <w:rsid w:val="69A655DA"/>
    <w:rsid w:val="69AF5B70"/>
    <w:rsid w:val="69BA535F"/>
    <w:rsid w:val="69BE15B8"/>
    <w:rsid w:val="69C60EF3"/>
    <w:rsid w:val="69C6146F"/>
    <w:rsid w:val="69CA142B"/>
    <w:rsid w:val="69CB659D"/>
    <w:rsid w:val="69CD7EA5"/>
    <w:rsid w:val="69D6713E"/>
    <w:rsid w:val="69E31AE2"/>
    <w:rsid w:val="69EE2548"/>
    <w:rsid w:val="69EF4147"/>
    <w:rsid w:val="69F0277F"/>
    <w:rsid w:val="69F23A42"/>
    <w:rsid w:val="69F82255"/>
    <w:rsid w:val="69FA3512"/>
    <w:rsid w:val="69FB2499"/>
    <w:rsid w:val="6A003C11"/>
    <w:rsid w:val="6A11089C"/>
    <w:rsid w:val="6A13077F"/>
    <w:rsid w:val="6A156A75"/>
    <w:rsid w:val="6A2C306F"/>
    <w:rsid w:val="6A2F0D03"/>
    <w:rsid w:val="6A3B2E9F"/>
    <w:rsid w:val="6A3C476E"/>
    <w:rsid w:val="6A3C5C50"/>
    <w:rsid w:val="6A496454"/>
    <w:rsid w:val="6A4D5FEB"/>
    <w:rsid w:val="6A4F71BD"/>
    <w:rsid w:val="6A56479B"/>
    <w:rsid w:val="6A580566"/>
    <w:rsid w:val="6A5A1A64"/>
    <w:rsid w:val="6A5B5205"/>
    <w:rsid w:val="6A654B93"/>
    <w:rsid w:val="6A755BE3"/>
    <w:rsid w:val="6A82383E"/>
    <w:rsid w:val="6A834C5D"/>
    <w:rsid w:val="6A861B6A"/>
    <w:rsid w:val="6A8D7966"/>
    <w:rsid w:val="6A9637F1"/>
    <w:rsid w:val="6A9A2F82"/>
    <w:rsid w:val="6A9C0CCD"/>
    <w:rsid w:val="6A9E7245"/>
    <w:rsid w:val="6AB41A70"/>
    <w:rsid w:val="6AC00283"/>
    <w:rsid w:val="6AC63D56"/>
    <w:rsid w:val="6ACE0A84"/>
    <w:rsid w:val="6ADA4C85"/>
    <w:rsid w:val="6ADD0559"/>
    <w:rsid w:val="6AE4100F"/>
    <w:rsid w:val="6AE503DD"/>
    <w:rsid w:val="6AEE4950"/>
    <w:rsid w:val="6AF6131B"/>
    <w:rsid w:val="6AFA6A28"/>
    <w:rsid w:val="6AFC7F36"/>
    <w:rsid w:val="6B00125C"/>
    <w:rsid w:val="6B046CD8"/>
    <w:rsid w:val="6B06537A"/>
    <w:rsid w:val="6B067871"/>
    <w:rsid w:val="6B0A14A9"/>
    <w:rsid w:val="6B0C4023"/>
    <w:rsid w:val="6B0D7733"/>
    <w:rsid w:val="6B0E6094"/>
    <w:rsid w:val="6B1D005F"/>
    <w:rsid w:val="6B1D4EBD"/>
    <w:rsid w:val="6B281980"/>
    <w:rsid w:val="6B290AE6"/>
    <w:rsid w:val="6B2C5F48"/>
    <w:rsid w:val="6B3A3E42"/>
    <w:rsid w:val="6B434DBF"/>
    <w:rsid w:val="6B4A6F42"/>
    <w:rsid w:val="6B4C6A0B"/>
    <w:rsid w:val="6B5A5F3A"/>
    <w:rsid w:val="6B5B0922"/>
    <w:rsid w:val="6B6A4609"/>
    <w:rsid w:val="6B713AFC"/>
    <w:rsid w:val="6B7A2D3C"/>
    <w:rsid w:val="6B7E4615"/>
    <w:rsid w:val="6B8B0649"/>
    <w:rsid w:val="6B915AEF"/>
    <w:rsid w:val="6B99570E"/>
    <w:rsid w:val="6B9E600C"/>
    <w:rsid w:val="6BA64AA6"/>
    <w:rsid w:val="6BAA7D79"/>
    <w:rsid w:val="6BAD3CC3"/>
    <w:rsid w:val="6BAE5124"/>
    <w:rsid w:val="6BAF689F"/>
    <w:rsid w:val="6BBF4FAC"/>
    <w:rsid w:val="6BC66E87"/>
    <w:rsid w:val="6BC75BA0"/>
    <w:rsid w:val="6BC95AF1"/>
    <w:rsid w:val="6BCF4934"/>
    <w:rsid w:val="6BD2260D"/>
    <w:rsid w:val="6BD3587A"/>
    <w:rsid w:val="6BDF7458"/>
    <w:rsid w:val="6BF02587"/>
    <w:rsid w:val="6BF06CEF"/>
    <w:rsid w:val="6BF07195"/>
    <w:rsid w:val="6BF5715A"/>
    <w:rsid w:val="6BF94E42"/>
    <w:rsid w:val="6BFC2633"/>
    <w:rsid w:val="6C005FAD"/>
    <w:rsid w:val="6C0A4481"/>
    <w:rsid w:val="6C0A737F"/>
    <w:rsid w:val="6C0E4447"/>
    <w:rsid w:val="6C114A6F"/>
    <w:rsid w:val="6C136B41"/>
    <w:rsid w:val="6C171153"/>
    <w:rsid w:val="6C201E87"/>
    <w:rsid w:val="6C2242E4"/>
    <w:rsid w:val="6C2C2CDA"/>
    <w:rsid w:val="6C2D69BE"/>
    <w:rsid w:val="6C3118A0"/>
    <w:rsid w:val="6C35150F"/>
    <w:rsid w:val="6C352B60"/>
    <w:rsid w:val="6C365B58"/>
    <w:rsid w:val="6C3918BB"/>
    <w:rsid w:val="6C3C237F"/>
    <w:rsid w:val="6C3F2032"/>
    <w:rsid w:val="6C441487"/>
    <w:rsid w:val="6C4C3B13"/>
    <w:rsid w:val="6C504887"/>
    <w:rsid w:val="6C505E13"/>
    <w:rsid w:val="6C522A6E"/>
    <w:rsid w:val="6C531D06"/>
    <w:rsid w:val="6C5A76D6"/>
    <w:rsid w:val="6C646850"/>
    <w:rsid w:val="6C683613"/>
    <w:rsid w:val="6C7012B2"/>
    <w:rsid w:val="6C7D4FCF"/>
    <w:rsid w:val="6C7E003F"/>
    <w:rsid w:val="6C8514BC"/>
    <w:rsid w:val="6C9368A6"/>
    <w:rsid w:val="6C9854C4"/>
    <w:rsid w:val="6C991825"/>
    <w:rsid w:val="6CA916A8"/>
    <w:rsid w:val="6CC73E7F"/>
    <w:rsid w:val="6CD32ADC"/>
    <w:rsid w:val="6CD469F6"/>
    <w:rsid w:val="6CDB448E"/>
    <w:rsid w:val="6CDD25F0"/>
    <w:rsid w:val="6CE6448A"/>
    <w:rsid w:val="6CE751B3"/>
    <w:rsid w:val="6CF21078"/>
    <w:rsid w:val="6CF95798"/>
    <w:rsid w:val="6CFB1497"/>
    <w:rsid w:val="6D0B2A82"/>
    <w:rsid w:val="6D0C736B"/>
    <w:rsid w:val="6D0E08C5"/>
    <w:rsid w:val="6D0E25DA"/>
    <w:rsid w:val="6D1378AB"/>
    <w:rsid w:val="6D196CE1"/>
    <w:rsid w:val="6D294397"/>
    <w:rsid w:val="6D48320F"/>
    <w:rsid w:val="6D495388"/>
    <w:rsid w:val="6D4A48C4"/>
    <w:rsid w:val="6D4B5581"/>
    <w:rsid w:val="6D504FD7"/>
    <w:rsid w:val="6D706437"/>
    <w:rsid w:val="6D7343F4"/>
    <w:rsid w:val="6D860EF1"/>
    <w:rsid w:val="6D897659"/>
    <w:rsid w:val="6D8B5606"/>
    <w:rsid w:val="6D8D5BE7"/>
    <w:rsid w:val="6DA847F1"/>
    <w:rsid w:val="6DAC1227"/>
    <w:rsid w:val="6DB16F6A"/>
    <w:rsid w:val="6DB93944"/>
    <w:rsid w:val="6DCE2C85"/>
    <w:rsid w:val="6DD17B96"/>
    <w:rsid w:val="6DD62303"/>
    <w:rsid w:val="6DDC0FB6"/>
    <w:rsid w:val="6DDD5A49"/>
    <w:rsid w:val="6DDF754D"/>
    <w:rsid w:val="6DE917BA"/>
    <w:rsid w:val="6DF04D30"/>
    <w:rsid w:val="6E093C5C"/>
    <w:rsid w:val="6E0C327A"/>
    <w:rsid w:val="6E1176B9"/>
    <w:rsid w:val="6E121611"/>
    <w:rsid w:val="6E1514DC"/>
    <w:rsid w:val="6E20011E"/>
    <w:rsid w:val="6E257130"/>
    <w:rsid w:val="6E267FC1"/>
    <w:rsid w:val="6E2E60E0"/>
    <w:rsid w:val="6E3D54F7"/>
    <w:rsid w:val="6E3D68CE"/>
    <w:rsid w:val="6E464149"/>
    <w:rsid w:val="6E513B07"/>
    <w:rsid w:val="6E51534E"/>
    <w:rsid w:val="6E5556F6"/>
    <w:rsid w:val="6E577F27"/>
    <w:rsid w:val="6E6B2770"/>
    <w:rsid w:val="6E6F5A36"/>
    <w:rsid w:val="6E6F5EC6"/>
    <w:rsid w:val="6E7679A7"/>
    <w:rsid w:val="6E785ACB"/>
    <w:rsid w:val="6E7A6E47"/>
    <w:rsid w:val="6E7B04BD"/>
    <w:rsid w:val="6E841BF5"/>
    <w:rsid w:val="6E8A3BC5"/>
    <w:rsid w:val="6E8E6BA7"/>
    <w:rsid w:val="6E903638"/>
    <w:rsid w:val="6E9432C9"/>
    <w:rsid w:val="6E991D93"/>
    <w:rsid w:val="6EA31405"/>
    <w:rsid w:val="6EA57D5B"/>
    <w:rsid w:val="6EA62795"/>
    <w:rsid w:val="6EA7353C"/>
    <w:rsid w:val="6EAC1849"/>
    <w:rsid w:val="6EB33CC8"/>
    <w:rsid w:val="6EB86D79"/>
    <w:rsid w:val="6EB95C61"/>
    <w:rsid w:val="6EC066F9"/>
    <w:rsid w:val="6EC06FC3"/>
    <w:rsid w:val="6ED56D94"/>
    <w:rsid w:val="6EDD756E"/>
    <w:rsid w:val="6EE25006"/>
    <w:rsid w:val="6EE25B38"/>
    <w:rsid w:val="6EEC7F84"/>
    <w:rsid w:val="6EEF42DE"/>
    <w:rsid w:val="6EF043F6"/>
    <w:rsid w:val="6EF1468F"/>
    <w:rsid w:val="6EF3044D"/>
    <w:rsid w:val="6EF95D64"/>
    <w:rsid w:val="6EFA5422"/>
    <w:rsid w:val="6EFE3D04"/>
    <w:rsid w:val="6F0664C1"/>
    <w:rsid w:val="6F085098"/>
    <w:rsid w:val="6F1378A3"/>
    <w:rsid w:val="6F142069"/>
    <w:rsid w:val="6F154AE6"/>
    <w:rsid w:val="6F1E2AD6"/>
    <w:rsid w:val="6F27241B"/>
    <w:rsid w:val="6F290730"/>
    <w:rsid w:val="6F2A45AA"/>
    <w:rsid w:val="6F385849"/>
    <w:rsid w:val="6F4045CE"/>
    <w:rsid w:val="6F43752F"/>
    <w:rsid w:val="6F4632E7"/>
    <w:rsid w:val="6F4C7376"/>
    <w:rsid w:val="6F5C0BBA"/>
    <w:rsid w:val="6F6429C3"/>
    <w:rsid w:val="6F684202"/>
    <w:rsid w:val="6F6B2A36"/>
    <w:rsid w:val="6F6F075E"/>
    <w:rsid w:val="6F7056EE"/>
    <w:rsid w:val="6F7D3980"/>
    <w:rsid w:val="6F7F75BF"/>
    <w:rsid w:val="6F81095A"/>
    <w:rsid w:val="6F815F0F"/>
    <w:rsid w:val="6F907CBC"/>
    <w:rsid w:val="6F926382"/>
    <w:rsid w:val="6F9D556B"/>
    <w:rsid w:val="6FA05F0D"/>
    <w:rsid w:val="6FA920AE"/>
    <w:rsid w:val="6FAD533B"/>
    <w:rsid w:val="6FB05B0B"/>
    <w:rsid w:val="6FB40867"/>
    <w:rsid w:val="6FB51D19"/>
    <w:rsid w:val="6FB9221B"/>
    <w:rsid w:val="6FC861D2"/>
    <w:rsid w:val="6FCC0F58"/>
    <w:rsid w:val="6FCF3E0A"/>
    <w:rsid w:val="6FD22687"/>
    <w:rsid w:val="6FDD5EAF"/>
    <w:rsid w:val="6FDE1D83"/>
    <w:rsid w:val="6FE119B9"/>
    <w:rsid w:val="6FE12A77"/>
    <w:rsid w:val="6FF5399F"/>
    <w:rsid w:val="70002350"/>
    <w:rsid w:val="700770A0"/>
    <w:rsid w:val="700D5CF4"/>
    <w:rsid w:val="700E570C"/>
    <w:rsid w:val="70146F5A"/>
    <w:rsid w:val="70184F84"/>
    <w:rsid w:val="7023042F"/>
    <w:rsid w:val="70247734"/>
    <w:rsid w:val="702F7850"/>
    <w:rsid w:val="70302060"/>
    <w:rsid w:val="70326667"/>
    <w:rsid w:val="70377E6F"/>
    <w:rsid w:val="70482DE3"/>
    <w:rsid w:val="704C5AD8"/>
    <w:rsid w:val="704D1189"/>
    <w:rsid w:val="705931C7"/>
    <w:rsid w:val="705A3572"/>
    <w:rsid w:val="705B5B04"/>
    <w:rsid w:val="706856C8"/>
    <w:rsid w:val="70687328"/>
    <w:rsid w:val="706D26E2"/>
    <w:rsid w:val="70706F10"/>
    <w:rsid w:val="70777B6C"/>
    <w:rsid w:val="707D4D7E"/>
    <w:rsid w:val="7085737F"/>
    <w:rsid w:val="7087456D"/>
    <w:rsid w:val="70931E70"/>
    <w:rsid w:val="70A33291"/>
    <w:rsid w:val="70A44B41"/>
    <w:rsid w:val="70AD38F3"/>
    <w:rsid w:val="70AE3508"/>
    <w:rsid w:val="70BC0644"/>
    <w:rsid w:val="70BD7C14"/>
    <w:rsid w:val="70C20550"/>
    <w:rsid w:val="70C6066D"/>
    <w:rsid w:val="70C925B1"/>
    <w:rsid w:val="70CD1896"/>
    <w:rsid w:val="70D31804"/>
    <w:rsid w:val="70D425F3"/>
    <w:rsid w:val="70D80B1B"/>
    <w:rsid w:val="70D94A29"/>
    <w:rsid w:val="70DA7F54"/>
    <w:rsid w:val="70DB29ED"/>
    <w:rsid w:val="70DF74E1"/>
    <w:rsid w:val="70F02849"/>
    <w:rsid w:val="70F41D36"/>
    <w:rsid w:val="71043EBA"/>
    <w:rsid w:val="7105230D"/>
    <w:rsid w:val="710A6495"/>
    <w:rsid w:val="71124BB1"/>
    <w:rsid w:val="71153587"/>
    <w:rsid w:val="711F1595"/>
    <w:rsid w:val="71254EFF"/>
    <w:rsid w:val="71257102"/>
    <w:rsid w:val="71264FDA"/>
    <w:rsid w:val="712D3800"/>
    <w:rsid w:val="71306E04"/>
    <w:rsid w:val="71380F11"/>
    <w:rsid w:val="71385DEE"/>
    <w:rsid w:val="713D4675"/>
    <w:rsid w:val="713E57F4"/>
    <w:rsid w:val="7141418F"/>
    <w:rsid w:val="715E2F77"/>
    <w:rsid w:val="7162147F"/>
    <w:rsid w:val="717643C7"/>
    <w:rsid w:val="717938D8"/>
    <w:rsid w:val="71836742"/>
    <w:rsid w:val="718978AC"/>
    <w:rsid w:val="718A2427"/>
    <w:rsid w:val="718E3FD3"/>
    <w:rsid w:val="71A23EBF"/>
    <w:rsid w:val="71A75045"/>
    <w:rsid w:val="71A94D89"/>
    <w:rsid w:val="71BA144C"/>
    <w:rsid w:val="71BB6EB3"/>
    <w:rsid w:val="71BB7BC0"/>
    <w:rsid w:val="71BC3298"/>
    <w:rsid w:val="71C24FA7"/>
    <w:rsid w:val="71CA79F7"/>
    <w:rsid w:val="71D177E1"/>
    <w:rsid w:val="71D353C3"/>
    <w:rsid w:val="71DF6A65"/>
    <w:rsid w:val="71DF6A69"/>
    <w:rsid w:val="71E301BE"/>
    <w:rsid w:val="71EE1350"/>
    <w:rsid w:val="71F153DB"/>
    <w:rsid w:val="71FD5DE7"/>
    <w:rsid w:val="720337ED"/>
    <w:rsid w:val="720359C7"/>
    <w:rsid w:val="72205F72"/>
    <w:rsid w:val="722144EA"/>
    <w:rsid w:val="72233A82"/>
    <w:rsid w:val="722B365E"/>
    <w:rsid w:val="7230299A"/>
    <w:rsid w:val="7233656A"/>
    <w:rsid w:val="72414E18"/>
    <w:rsid w:val="72461B17"/>
    <w:rsid w:val="7246219B"/>
    <w:rsid w:val="724904F1"/>
    <w:rsid w:val="72571065"/>
    <w:rsid w:val="725D17CA"/>
    <w:rsid w:val="72605C00"/>
    <w:rsid w:val="726269B9"/>
    <w:rsid w:val="726E11A1"/>
    <w:rsid w:val="7298385D"/>
    <w:rsid w:val="72A16A7D"/>
    <w:rsid w:val="72A91023"/>
    <w:rsid w:val="72B86369"/>
    <w:rsid w:val="72B8745F"/>
    <w:rsid w:val="72C0584E"/>
    <w:rsid w:val="72C42615"/>
    <w:rsid w:val="72C578F3"/>
    <w:rsid w:val="72CE0048"/>
    <w:rsid w:val="72CF55DD"/>
    <w:rsid w:val="72D22C80"/>
    <w:rsid w:val="72D618E2"/>
    <w:rsid w:val="72D70A16"/>
    <w:rsid w:val="72E42B45"/>
    <w:rsid w:val="72EE4F94"/>
    <w:rsid w:val="72EE637E"/>
    <w:rsid w:val="72EF3290"/>
    <w:rsid w:val="72FA6C2B"/>
    <w:rsid w:val="73030993"/>
    <w:rsid w:val="7315786E"/>
    <w:rsid w:val="731E10E7"/>
    <w:rsid w:val="731F5F4E"/>
    <w:rsid w:val="732075EA"/>
    <w:rsid w:val="732708D5"/>
    <w:rsid w:val="73280DA0"/>
    <w:rsid w:val="732B3796"/>
    <w:rsid w:val="732B3D2D"/>
    <w:rsid w:val="732D3105"/>
    <w:rsid w:val="732D7DBA"/>
    <w:rsid w:val="733A612A"/>
    <w:rsid w:val="733B6156"/>
    <w:rsid w:val="733D635F"/>
    <w:rsid w:val="733E091D"/>
    <w:rsid w:val="73442AC9"/>
    <w:rsid w:val="734819F2"/>
    <w:rsid w:val="73490EB6"/>
    <w:rsid w:val="734D2174"/>
    <w:rsid w:val="735C549D"/>
    <w:rsid w:val="735F00E2"/>
    <w:rsid w:val="735F02EA"/>
    <w:rsid w:val="73685AE7"/>
    <w:rsid w:val="73782D86"/>
    <w:rsid w:val="73793682"/>
    <w:rsid w:val="737C6E2F"/>
    <w:rsid w:val="737F01CC"/>
    <w:rsid w:val="73812055"/>
    <w:rsid w:val="738D1994"/>
    <w:rsid w:val="739A12BD"/>
    <w:rsid w:val="739A2552"/>
    <w:rsid w:val="73AD7B3F"/>
    <w:rsid w:val="73C71690"/>
    <w:rsid w:val="73C908D4"/>
    <w:rsid w:val="73CF1E23"/>
    <w:rsid w:val="73CF3B5C"/>
    <w:rsid w:val="73D678EC"/>
    <w:rsid w:val="73D73BD1"/>
    <w:rsid w:val="73D96AEE"/>
    <w:rsid w:val="73DC0984"/>
    <w:rsid w:val="73E42D5A"/>
    <w:rsid w:val="73E74D53"/>
    <w:rsid w:val="73ED2655"/>
    <w:rsid w:val="73F95753"/>
    <w:rsid w:val="7403480C"/>
    <w:rsid w:val="740D3898"/>
    <w:rsid w:val="740F4CA4"/>
    <w:rsid w:val="74105CDC"/>
    <w:rsid w:val="74127D6E"/>
    <w:rsid w:val="7419338E"/>
    <w:rsid w:val="741F64E0"/>
    <w:rsid w:val="74276B4E"/>
    <w:rsid w:val="74285696"/>
    <w:rsid w:val="74344302"/>
    <w:rsid w:val="743554AC"/>
    <w:rsid w:val="74355F6C"/>
    <w:rsid w:val="74366164"/>
    <w:rsid w:val="743828A3"/>
    <w:rsid w:val="743C1D70"/>
    <w:rsid w:val="743E5B55"/>
    <w:rsid w:val="74497B3A"/>
    <w:rsid w:val="744B344D"/>
    <w:rsid w:val="74522B4B"/>
    <w:rsid w:val="745237DB"/>
    <w:rsid w:val="74561C4F"/>
    <w:rsid w:val="74690512"/>
    <w:rsid w:val="746907DC"/>
    <w:rsid w:val="746B4E22"/>
    <w:rsid w:val="74737794"/>
    <w:rsid w:val="747C539A"/>
    <w:rsid w:val="7480089B"/>
    <w:rsid w:val="748051BB"/>
    <w:rsid w:val="748A25A0"/>
    <w:rsid w:val="74924B22"/>
    <w:rsid w:val="7492774C"/>
    <w:rsid w:val="749C2B79"/>
    <w:rsid w:val="749D5671"/>
    <w:rsid w:val="74A83421"/>
    <w:rsid w:val="74AF0B63"/>
    <w:rsid w:val="74B01101"/>
    <w:rsid w:val="74B8287E"/>
    <w:rsid w:val="74BA3143"/>
    <w:rsid w:val="74BD4185"/>
    <w:rsid w:val="74C43285"/>
    <w:rsid w:val="74CA5026"/>
    <w:rsid w:val="74CC09E4"/>
    <w:rsid w:val="74CD6C2B"/>
    <w:rsid w:val="74D03B5B"/>
    <w:rsid w:val="74D47F61"/>
    <w:rsid w:val="74D55403"/>
    <w:rsid w:val="74D715D2"/>
    <w:rsid w:val="74DD33CD"/>
    <w:rsid w:val="74EB4B62"/>
    <w:rsid w:val="74F155F7"/>
    <w:rsid w:val="74F52356"/>
    <w:rsid w:val="74F7779C"/>
    <w:rsid w:val="74F92A23"/>
    <w:rsid w:val="7501360F"/>
    <w:rsid w:val="750307CC"/>
    <w:rsid w:val="7516629F"/>
    <w:rsid w:val="751F0F18"/>
    <w:rsid w:val="7527212C"/>
    <w:rsid w:val="7538148C"/>
    <w:rsid w:val="75403DF3"/>
    <w:rsid w:val="7541332D"/>
    <w:rsid w:val="7541494A"/>
    <w:rsid w:val="75443B78"/>
    <w:rsid w:val="754D1420"/>
    <w:rsid w:val="755224CE"/>
    <w:rsid w:val="75533D8A"/>
    <w:rsid w:val="75572C76"/>
    <w:rsid w:val="75603FDF"/>
    <w:rsid w:val="75700484"/>
    <w:rsid w:val="757220A4"/>
    <w:rsid w:val="757E0BA8"/>
    <w:rsid w:val="757E2F6B"/>
    <w:rsid w:val="757E756E"/>
    <w:rsid w:val="75840190"/>
    <w:rsid w:val="7586114C"/>
    <w:rsid w:val="758626CB"/>
    <w:rsid w:val="75933A19"/>
    <w:rsid w:val="75944BD7"/>
    <w:rsid w:val="75974B6F"/>
    <w:rsid w:val="75975F78"/>
    <w:rsid w:val="75A062DE"/>
    <w:rsid w:val="75B311C3"/>
    <w:rsid w:val="75C57DD8"/>
    <w:rsid w:val="75C81DD2"/>
    <w:rsid w:val="75E00A02"/>
    <w:rsid w:val="75E22EA2"/>
    <w:rsid w:val="75E722D5"/>
    <w:rsid w:val="75F2229F"/>
    <w:rsid w:val="75F42EC0"/>
    <w:rsid w:val="75F60B30"/>
    <w:rsid w:val="75F714AD"/>
    <w:rsid w:val="75FF2103"/>
    <w:rsid w:val="760065B4"/>
    <w:rsid w:val="76041F8B"/>
    <w:rsid w:val="7608051D"/>
    <w:rsid w:val="76085CDD"/>
    <w:rsid w:val="76114870"/>
    <w:rsid w:val="76171EA7"/>
    <w:rsid w:val="76216387"/>
    <w:rsid w:val="762802B3"/>
    <w:rsid w:val="76290195"/>
    <w:rsid w:val="763220F3"/>
    <w:rsid w:val="763406CC"/>
    <w:rsid w:val="76430CF6"/>
    <w:rsid w:val="76444440"/>
    <w:rsid w:val="764E6ACD"/>
    <w:rsid w:val="765607F1"/>
    <w:rsid w:val="76562678"/>
    <w:rsid w:val="76594CF0"/>
    <w:rsid w:val="765C2BA3"/>
    <w:rsid w:val="765F3B81"/>
    <w:rsid w:val="76697525"/>
    <w:rsid w:val="766A7ED1"/>
    <w:rsid w:val="766E0DC1"/>
    <w:rsid w:val="76714747"/>
    <w:rsid w:val="767818C2"/>
    <w:rsid w:val="76784911"/>
    <w:rsid w:val="767A2B37"/>
    <w:rsid w:val="767B2FE7"/>
    <w:rsid w:val="76832D47"/>
    <w:rsid w:val="768B5DC4"/>
    <w:rsid w:val="76947BF8"/>
    <w:rsid w:val="76AF71BD"/>
    <w:rsid w:val="76BC61A3"/>
    <w:rsid w:val="76CF7544"/>
    <w:rsid w:val="76D325D0"/>
    <w:rsid w:val="76D505F5"/>
    <w:rsid w:val="76D51757"/>
    <w:rsid w:val="76D64F23"/>
    <w:rsid w:val="76E56E55"/>
    <w:rsid w:val="76E73438"/>
    <w:rsid w:val="76E957FA"/>
    <w:rsid w:val="76EA51E8"/>
    <w:rsid w:val="76EE0562"/>
    <w:rsid w:val="76EE2280"/>
    <w:rsid w:val="76F54799"/>
    <w:rsid w:val="76F56B05"/>
    <w:rsid w:val="76F91F92"/>
    <w:rsid w:val="76F94957"/>
    <w:rsid w:val="76FB67AB"/>
    <w:rsid w:val="77102263"/>
    <w:rsid w:val="77166ABB"/>
    <w:rsid w:val="772072B5"/>
    <w:rsid w:val="772A3AE4"/>
    <w:rsid w:val="773A3875"/>
    <w:rsid w:val="773C1C0E"/>
    <w:rsid w:val="7746543E"/>
    <w:rsid w:val="77482D29"/>
    <w:rsid w:val="77503315"/>
    <w:rsid w:val="77552B9D"/>
    <w:rsid w:val="77592289"/>
    <w:rsid w:val="775A1CF3"/>
    <w:rsid w:val="77650792"/>
    <w:rsid w:val="777C61F3"/>
    <w:rsid w:val="777F1B75"/>
    <w:rsid w:val="77854826"/>
    <w:rsid w:val="77887E1F"/>
    <w:rsid w:val="779111A1"/>
    <w:rsid w:val="77A10873"/>
    <w:rsid w:val="77A47413"/>
    <w:rsid w:val="77AC2DFE"/>
    <w:rsid w:val="77B061D0"/>
    <w:rsid w:val="77B2559F"/>
    <w:rsid w:val="77B54DC9"/>
    <w:rsid w:val="77B82D36"/>
    <w:rsid w:val="77BF5FFA"/>
    <w:rsid w:val="77E3380B"/>
    <w:rsid w:val="77EB6A8A"/>
    <w:rsid w:val="77EB7B02"/>
    <w:rsid w:val="77ED1BEA"/>
    <w:rsid w:val="77F11B43"/>
    <w:rsid w:val="77F70518"/>
    <w:rsid w:val="780104EC"/>
    <w:rsid w:val="78024ECD"/>
    <w:rsid w:val="7807209D"/>
    <w:rsid w:val="780F55B9"/>
    <w:rsid w:val="780F64A6"/>
    <w:rsid w:val="78106C6D"/>
    <w:rsid w:val="781528BF"/>
    <w:rsid w:val="781F103C"/>
    <w:rsid w:val="78237D85"/>
    <w:rsid w:val="78240B68"/>
    <w:rsid w:val="782600E5"/>
    <w:rsid w:val="782819B6"/>
    <w:rsid w:val="782F1EFA"/>
    <w:rsid w:val="78310267"/>
    <w:rsid w:val="783A5315"/>
    <w:rsid w:val="783C79AD"/>
    <w:rsid w:val="78470F94"/>
    <w:rsid w:val="78506296"/>
    <w:rsid w:val="785229AC"/>
    <w:rsid w:val="78526BB1"/>
    <w:rsid w:val="78536AF7"/>
    <w:rsid w:val="78575279"/>
    <w:rsid w:val="78621B07"/>
    <w:rsid w:val="78690F47"/>
    <w:rsid w:val="78692552"/>
    <w:rsid w:val="786976C8"/>
    <w:rsid w:val="786A028E"/>
    <w:rsid w:val="786D3CA8"/>
    <w:rsid w:val="786D40E6"/>
    <w:rsid w:val="787C2F5E"/>
    <w:rsid w:val="787C35D6"/>
    <w:rsid w:val="78915591"/>
    <w:rsid w:val="789E3A8C"/>
    <w:rsid w:val="789F1F48"/>
    <w:rsid w:val="78A20485"/>
    <w:rsid w:val="78A25098"/>
    <w:rsid w:val="78A833D9"/>
    <w:rsid w:val="78AB3B50"/>
    <w:rsid w:val="78B55333"/>
    <w:rsid w:val="78BB1CE2"/>
    <w:rsid w:val="78BE4E3D"/>
    <w:rsid w:val="78BF7039"/>
    <w:rsid w:val="78CA2EA9"/>
    <w:rsid w:val="78D51EEC"/>
    <w:rsid w:val="78DE6ADA"/>
    <w:rsid w:val="78E462BE"/>
    <w:rsid w:val="78EC6147"/>
    <w:rsid w:val="78F93B8F"/>
    <w:rsid w:val="78FB4ABB"/>
    <w:rsid w:val="78FD0F21"/>
    <w:rsid w:val="79012111"/>
    <w:rsid w:val="79057967"/>
    <w:rsid w:val="790749BC"/>
    <w:rsid w:val="790A4903"/>
    <w:rsid w:val="791123BF"/>
    <w:rsid w:val="79134850"/>
    <w:rsid w:val="791407B6"/>
    <w:rsid w:val="79167DFB"/>
    <w:rsid w:val="7924594A"/>
    <w:rsid w:val="792B57CD"/>
    <w:rsid w:val="79303F10"/>
    <w:rsid w:val="7932612A"/>
    <w:rsid w:val="79331D91"/>
    <w:rsid w:val="79347010"/>
    <w:rsid w:val="7941531A"/>
    <w:rsid w:val="794530F9"/>
    <w:rsid w:val="79476F53"/>
    <w:rsid w:val="794873CE"/>
    <w:rsid w:val="794A2BB3"/>
    <w:rsid w:val="794C3108"/>
    <w:rsid w:val="794C6C15"/>
    <w:rsid w:val="794F114D"/>
    <w:rsid w:val="79537A79"/>
    <w:rsid w:val="797015A1"/>
    <w:rsid w:val="797352EE"/>
    <w:rsid w:val="79783AAA"/>
    <w:rsid w:val="797F13CC"/>
    <w:rsid w:val="798C4E9C"/>
    <w:rsid w:val="7998268C"/>
    <w:rsid w:val="799847D7"/>
    <w:rsid w:val="799D7146"/>
    <w:rsid w:val="79A328AA"/>
    <w:rsid w:val="79AA575B"/>
    <w:rsid w:val="79B471DA"/>
    <w:rsid w:val="79BB1D8B"/>
    <w:rsid w:val="79C066F7"/>
    <w:rsid w:val="79C9227A"/>
    <w:rsid w:val="79C94E0D"/>
    <w:rsid w:val="79CE5CB5"/>
    <w:rsid w:val="79D16099"/>
    <w:rsid w:val="79D6394B"/>
    <w:rsid w:val="79E07E4A"/>
    <w:rsid w:val="79E47FF3"/>
    <w:rsid w:val="79F237AD"/>
    <w:rsid w:val="7A025E33"/>
    <w:rsid w:val="7A0344E2"/>
    <w:rsid w:val="7A0547A5"/>
    <w:rsid w:val="7A0B114D"/>
    <w:rsid w:val="7A155ADF"/>
    <w:rsid w:val="7A197EEF"/>
    <w:rsid w:val="7A1F411B"/>
    <w:rsid w:val="7A233866"/>
    <w:rsid w:val="7A294988"/>
    <w:rsid w:val="7A317848"/>
    <w:rsid w:val="7A356BD9"/>
    <w:rsid w:val="7A392099"/>
    <w:rsid w:val="7A3E2666"/>
    <w:rsid w:val="7A4B5D2D"/>
    <w:rsid w:val="7A5216AD"/>
    <w:rsid w:val="7A524FFA"/>
    <w:rsid w:val="7A532B6E"/>
    <w:rsid w:val="7A543119"/>
    <w:rsid w:val="7A580CBC"/>
    <w:rsid w:val="7A657EA0"/>
    <w:rsid w:val="7A6A1EE6"/>
    <w:rsid w:val="7A711524"/>
    <w:rsid w:val="7A7817F2"/>
    <w:rsid w:val="7A8A4A55"/>
    <w:rsid w:val="7A8F485D"/>
    <w:rsid w:val="7A94741C"/>
    <w:rsid w:val="7A97391C"/>
    <w:rsid w:val="7AAF7948"/>
    <w:rsid w:val="7ABC7695"/>
    <w:rsid w:val="7AC70EA4"/>
    <w:rsid w:val="7ACD4328"/>
    <w:rsid w:val="7ACD4708"/>
    <w:rsid w:val="7AD01F98"/>
    <w:rsid w:val="7AD149C3"/>
    <w:rsid w:val="7ADC503B"/>
    <w:rsid w:val="7ADF15AD"/>
    <w:rsid w:val="7AE26091"/>
    <w:rsid w:val="7AE35E8A"/>
    <w:rsid w:val="7AE53D22"/>
    <w:rsid w:val="7AEB0534"/>
    <w:rsid w:val="7AEF1577"/>
    <w:rsid w:val="7AF045B5"/>
    <w:rsid w:val="7AF96873"/>
    <w:rsid w:val="7AFB7F56"/>
    <w:rsid w:val="7B0B4C26"/>
    <w:rsid w:val="7B1168A9"/>
    <w:rsid w:val="7B16687D"/>
    <w:rsid w:val="7B337241"/>
    <w:rsid w:val="7B3E014C"/>
    <w:rsid w:val="7B440CFC"/>
    <w:rsid w:val="7B445BBD"/>
    <w:rsid w:val="7B4E7E3B"/>
    <w:rsid w:val="7B506A29"/>
    <w:rsid w:val="7B5348F9"/>
    <w:rsid w:val="7B5A5AD3"/>
    <w:rsid w:val="7B6C42EB"/>
    <w:rsid w:val="7B6D6151"/>
    <w:rsid w:val="7B6E6AE7"/>
    <w:rsid w:val="7B7B1469"/>
    <w:rsid w:val="7B7C356E"/>
    <w:rsid w:val="7B821743"/>
    <w:rsid w:val="7B826E3E"/>
    <w:rsid w:val="7B9003DA"/>
    <w:rsid w:val="7B925CCA"/>
    <w:rsid w:val="7B971FAA"/>
    <w:rsid w:val="7BB217F7"/>
    <w:rsid w:val="7BB341E4"/>
    <w:rsid w:val="7BBA7205"/>
    <w:rsid w:val="7BC437E7"/>
    <w:rsid w:val="7BC550AC"/>
    <w:rsid w:val="7BD01353"/>
    <w:rsid w:val="7BD63726"/>
    <w:rsid w:val="7BD7386C"/>
    <w:rsid w:val="7BD74EAB"/>
    <w:rsid w:val="7BDB29CB"/>
    <w:rsid w:val="7BE167A8"/>
    <w:rsid w:val="7BE552CE"/>
    <w:rsid w:val="7BE81177"/>
    <w:rsid w:val="7BED6B5B"/>
    <w:rsid w:val="7BEE15CE"/>
    <w:rsid w:val="7BF56759"/>
    <w:rsid w:val="7BF63E4B"/>
    <w:rsid w:val="7C01687D"/>
    <w:rsid w:val="7C075514"/>
    <w:rsid w:val="7C13579D"/>
    <w:rsid w:val="7C1B6C68"/>
    <w:rsid w:val="7C1D74D6"/>
    <w:rsid w:val="7C1F420D"/>
    <w:rsid w:val="7C2C0C23"/>
    <w:rsid w:val="7C2E0B57"/>
    <w:rsid w:val="7C322918"/>
    <w:rsid w:val="7C3860A1"/>
    <w:rsid w:val="7C4C190A"/>
    <w:rsid w:val="7C58594A"/>
    <w:rsid w:val="7C5D08D4"/>
    <w:rsid w:val="7C606D2C"/>
    <w:rsid w:val="7C607BBF"/>
    <w:rsid w:val="7C66281A"/>
    <w:rsid w:val="7C6756A8"/>
    <w:rsid w:val="7C851933"/>
    <w:rsid w:val="7C8F1C48"/>
    <w:rsid w:val="7C934AB7"/>
    <w:rsid w:val="7C9576D2"/>
    <w:rsid w:val="7CA1331E"/>
    <w:rsid w:val="7CA3537F"/>
    <w:rsid w:val="7CA53A11"/>
    <w:rsid w:val="7CAB21F2"/>
    <w:rsid w:val="7CB71255"/>
    <w:rsid w:val="7CBB49FB"/>
    <w:rsid w:val="7CBD52B4"/>
    <w:rsid w:val="7CCB3D06"/>
    <w:rsid w:val="7CDB4082"/>
    <w:rsid w:val="7CDD0A74"/>
    <w:rsid w:val="7CE25BA9"/>
    <w:rsid w:val="7CE37367"/>
    <w:rsid w:val="7CE81B50"/>
    <w:rsid w:val="7CF64FFC"/>
    <w:rsid w:val="7CFD01CF"/>
    <w:rsid w:val="7D084EF7"/>
    <w:rsid w:val="7D0959F5"/>
    <w:rsid w:val="7D0E4148"/>
    <w:rsid w:val="7D0F5EA2"/>
    <w:rsid w:val="7D161B1F"/>
    <w:rsid w:val="7D1A67B9"/>
    <w:rsid w:val="7D2210C8"/>
    <w:rsid w:val="7D297ADB"/>
    <w:rsid w:val="7D2C4708"/>
    <w:rsid w:val="7D3803D7"/>
    <w:rsid w:val="7D397F8C"/>
    <w:rsid w:val="7D3A6C63"/>
    <w:rsid w:val="7D401A43"/>
    <w:rsid w:val="7D453719"/>
    <w:rsid w:val="7D467A78"/>
    <w:rsid w:val="7D510BF8"/>
    <w:rsid w:val="7D56072F"/>
    <w:rsid w:val="7D5C3396"/>
    <w:rsid w:val="7D5D7CCC"/>
    <w:rsid w:val="7D5E09AC"/>
    <w:rsid w:val="7D6405A2"/>
    <w:rsid w:val="7D6D2B6B"/>
    <w:rsid w:val="7D7D743F"/>
    <w:rsid w:val="7D832D44"/>
    <w:rsid w:val="7D8711C3"/>
    <w:rsid w:val="7D887CE6"/>
    <w:rsid w:val="7D922DBB"/>
    <w:rsid w:val="7DA301D8"/>
    <w:rsid w:val="7DBB33AA"/>
    <w:rsid w:val="7DBB6747"/>
    <w:rsid w:val="7DBF0BB2"/>
    <w:rsid w:val="7DC42184"/>
    <w:rsid w:val="7DC93724"/>
    <w:rsid w:val="7DCC485C"/>
    <w:rsid w:val="7DCF35BA"/>
    <w:rsid w:val="7DD5372D"/>
    <w:rsid w:val="7DDE731B"/>
    <w:rsid w:val="7DDF172D"/>
    <w:rsid w:val="7DE467BB"/>
    <w:rsid w:val="7DEC570F"/>
    <w:rsid w:val="7DF0341D"/>
    <w:rsid w:val="7DFA4C46"/>
    <w:rsid w:val="7DFD21D7"/>
    <w:rsid w:val="7E0212A1"/>
    <w:rsid w:val="7E055EE1"/>
    <w:rsid w:val="7E095F97"/>
    <w:rsid w:val="7E096221"/>
    <w:rsid w:val="7E0B4528"/>
    <w:rsid w:val="7E0B63F7"/>
    <w:rsid w:val="7E0D389A"/>
    <w:rsid w:val="7E1626EC"/>
    <w:rsid w:val="7E1C5F55"/>
    <w:rsid w:val="7E217EFC"/>
    <w:rsid w:val="7E2D4218"/>
    <w:rsid w:val="7E3039CD"/>
    <w:rsid w:val="7E3E785A"/>
    <w:rsid w:val="7E420F5B"/>
    <w:rsid w:val="7E431F37"/>
    <w:rsid w:val="7E495B86"/>
    <w:rsid w:val="7E4A15D1"/>
    <w:rsid w:val="7E534F52"/>
    <w:rsid w:val="7E535226"/>
    <w:rsid w:val="7E585E0E"/>
    <w:rsid w:val="7E5A5EB6"/>
    <w:rsid w:val="7E5D24BC"/>
    <w:rsid w:val="7E694F12"/>
    <w:rsid w:val="7E6D5430"/>
    <w:rsid w:val="7E6F1098"/>
    <w:rsid w:val="7E7044F2"/>
    <w:rsid w:val="7E80283D"/>
    <w:rsid w:val="7E824DF6"/>
    <w:rsid w:val="7E875255"/>
    <w:rsid w:val="7E8E78C2"/>
    <w:rsid w:val="7E9A3766"/>
    <w:rsid w:val="7E9C4B8F"/>
    <w:rsid w:val="7EA26653"/>
    <w:rsid w:val="7EA8467A"/>
    <w:rsid w:val="7EAE6DDB"/>
    <w:rsid w:val="7EB01205"/>
    <w:rsid w:val="7EB01FDC"/>
    <w:rsid w:val="7EB640A0"/>
    <w:rsid w:val="7EC31200"/>
    <w:rsid w:val="7EC6435A"/>
    <w:rsid w:val="7ECC1603"/>
    <w:rsid w:val="7ECF1E1F"/>
    <w:rsid w:val="7ECF4F2D"/>
    <w:rsid w:val="7ED523B9"/>
    <w:rsid w:val="7ED56104"/>
    <w:rsid w:val="7ED56FFA"/>
    <w:rsid w:val="7ED83EE4"/>
    <w:rsid w:val="7EDA3CD5"/>
    <w:rsid w:val="7EDB2F51"/>
    <w:rsid w:val="7EDB7BBE"/>
    <w:rsid w:val="7EE175A8"/>
    <w:rsid w:val="7EE17752"/>
    <w:rsid w:val="7EF14A8E"/>
    <w:rsid w:val="7EFC7B34"/>
    <w:rsid w:val="7F061002"/>
    <w:rsid w:val="7F0D062E"/>
    <w:rsid w:val="7F1239B6"/>
    <w:rsid w:val="7F1E7DC0"/>
    <w:rsid w:val="7F202CCC"/>
    <w:rsid w:val="7F207FF4"/>
    <w:rsid w:val="7F243AD8"/>
    <w:rsid w:val="7F244CB3"/>
    <w:rsid w:val="7F313DAF"/>
    <w:rsid w:val="7F3A2AF2"/>
    <w:rsid w:val="7F494D54"/>
    <w:rsid w:val="7F592109"/>
    <w:rsid w:val="7F5A0C56"/>
    <w:rsid w:val="7F6B1BBD"/>
    <w:rsid w:val="7F737E3D"/>
    <w:rsid w:val="7F7A29D8"/>
    <w:rsid w:val="7F880C19"/>
    <w:rsid w:val="7F8828A7"/>
    <w:rsid w:val="7F8A609B"/>
    <w:rsid w:val="7F8D5082"/>
    <w:rsid w:val="7F9A1DCB"/>
    <w:rsid w:val="7F9B093D"/>
    <w:rsid w:val="7F9C7BD2"/>
    <w:rsid w:val="7F9E0BEB"/>
    <w:rsid w:val="7FA01878"/>
    <w:rsid w:val="7FA134F4"/>
    <w:rsid w:val="7FA237FE"/>
    <w:rsid w:val="7FA83872"/>
    <w:rsid w:val="7FAB7F3D"/>
    <w:rsid w:val="7FAE7080"/>
    <w:rsid w:val="7FB15428"/>
    <w:rsid w:val="7FB56B75"/>
    <w:rsid w:val="7FB64187"/>
    <w:rsid w:val="7FC8224C"/>
    <w:rsid w:val="7FCA48B6"/>
    <w:rsid w:val="7FCC0473"/>
    <w:rsid w:val="7FCF19B5"/>
    <w:rsid w:val="7FD15A06"/>
    <w:rsid w:val="7FD24D80"/>
    <w:rsid w:val="7FE5421D"/>
    <w:rsid w:val="7FEE0E00"/>
    <w:rsid w:val="7FF7544F"/>
    <w:rsid w:val="7FF825AB"/>
    <w:rsid w:val="7FFD6A31"/>
    <w:rsid w:val="7FFE1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37"/>
    <w:qFormat/>
    <w:uiPriority w:val="0"/>
    <w:pPr>
      <w:jc w:val="center"/>
      <w:outlineLvl w:val="0"/>
    </w:pPr>
    <w:rPr>
      <w:rFonts w:ascii="宋体" w:hAnsi="宋体"/>
      <w:sz w:val="36"/>
    </w:rPr>
  </w:style>
  <w:style w:type="paragraph" w:styleId="4">
    <w:name w:val="heading 2"/>
    <w:basedOn w:val="1"/>
    <w:next w:val="1"/>
    <w:link w:val="217"/>
    <w:qFormat/>
    <w:uiPriority w:val="0"/>
    <w:pPr>
      <w:spacing w:line="360" w:lineRule="auto"/>
      <w:jc w:val="center"/>
      <w:outlineLvl w:val="1"/>
    </w:pPr>
    <w:rPr>
      <w:rFonts w:ascii="Arial" w:hAnsi="Arial" w:eastAsia="黑体"/>
      <w:b/>
      <w:bCs/>
      <w:kern w:val="0"/>
      <w:sz w:val="32"/>
      <w:szCs w:val="32"/>
    </w:rPr>
  </w:style>
  <w:style w:type="paragraph" w:styleId="5">
    <w:name w:val="heading 3"/>
    <w:basedOn w:val="1"/>
    <w:next w:val="1"/>
    <w:link w:val="187"/>
    <w:qFormat/>
    <w:uiPriority w:val="0"/>
    <w:pPr>
      <w:keepNext/>
      <w:keepLines/>
      <w:autoSpaceDE w:val="0"/>
      <w:autoSpaceDN w:val="0"/>
      <w:adjustRightInd w:val="0"/>
      <w:spacing w:before="360" w:after="120"/>
      <w:jc w:val="left"/>
      <w:outlineLvl w:val="2"/>
    </w:pPr>
    <w:rPr>
      <w:rFonts w:ascii="宋体"/>
      <w:b/>
      <w:sz w:val="24"/>
      <w:u w:val="single"/>
    </w:rPr>
  </w:style>
  <w:style w:type="paragraph" w:styleId="6">
    <w:name w:val="heading 4"/>
    <w:basedOn w:val="1"/>
    <w:next w:val="1"/>
    <w:link w:val="226"/>
    <w:qFormat/>
    <w:uiPriority w:val="0"/>
    <w:pPr>
      <w:keepNext/>
      <w:outlineLvl w:val="3"/>
    </w:pPr>
    <w:rPr>
      <w:color w:val="FF0000"/>
      <w:sz w:val="28"/>
      <w:u w:val="single"/>
    </w:rPr>
  </w:style>
  <w:style w:type="paragraph" w:styleId="7">
    <w:name w:val="heading 5"/>
    <w:basedOn w:val="1"/>
    <w:next w:val="1"/>
    <w:link w:val="207"/>
    <w:qFormat/>
    <w:uiPriority w:val="0"/>
    <w:pPr>
      <w:keepNext/>
      <w:keepLines/>
      <w:spacing w:before="280" w:after="290" w:line="372" w:lineRule="auto"/>
      <w:outlineLvl w:val="4"/>
    </w:pPr>
    <w:rPr>
      <w:b/>
      <w:sz w:val="28"/>
    </w:rPr>
  </w:style>
  <w:style w:type="paragraph" w:styleId="8">
    <w:name w:val="heading 6"/>
    <w:basedOn w:val="1"/>
    <w:next w:val="1"/>
    <w:link w:val="195"/>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210"/>
    <w:qFormat/>
    <w:uiPriority w:val="0"/>
    <w:pPr>
      <w:keepNext/>
      <w:keepLines/>
      <w:spacing w:before="240" w:after="64" w:line="317" w:lineRule="auto"/>
      <w:outlineLvl w:val="6"/>
    </w:pPr>
    <w:rPr>
      <w:b/>
      <w:sz w:val="24"/>
    </w:rPr>
  </w:style>
  <w:style w:type="paragraph" w:styleId="10">
    <w:name w:val="heading 8"/>
    <w:basedOn w:val="1"/>
    <w:next w:val="1"/>
    <w:link w:val="202"/>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236"/>
    <w:qFormat/>
    <w:uiPriority w:val="0"/>
    <w:pPr>
      <w:keepNext/>
      <w:keepLines/>
      <w:spacing w:before="240" w:after="64" w:line="317" w:lineRule="auto"/>
      <w:outlineLvl w:val="8"/>
    </w:pPr>
    <w:rPr>
      <w:rFonts w:ascii="Arial" w:hAnsi="Arial" w:eastAsia="黑体"/>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98"/>
    <w:qFormat/>
    <w:uiPriority w:val="0"/>
    <w:pPr>
      <w:jc w:val="center"/>
    </w:pPr>
  </w:style>
  <w:style w:type="paragraph" w:styleId="12">
    <w:name w:val="table of authorities"/>
    <w:basedOn w:val="1"/>
    <w:next w:val="1"/>
    <w:unhideWhenUsed/>
    <w:qFormat/>
    <w:uiPriority w:val="99"/>
    <w:pPr>
      <w:ind w:left="420" w:leftChars="200"/>
    </w:pPr>
  </w:style>
  <w:style w:type="paragraph" w:styleId="13">
    <w:name w:val="Normal Indent"/>
    <w:basedOn w:val="1"/>
    <w:next w:val="14"/>
    <w:qFormat/>
    <w:uiPriority w:val="0"/>
    <w:pPr>
      <w:adjustRightInd w:val="0"/>
      <w:spacing w:line="312" w:lineRule="atLeast"/>
      <w:ind w:firstLine="420"/>
      <w:textAlignment w:val="baseline"/>
    </w:pPr>
    <w:rPr>
      <w:rFonts w:ascii="宋体"/>
      <w:kern w:val="0"/>
    </w:rPr>
  </w:style>
  <w:style w:type="paragraph" w:styleId="14">
    <w:name w:val="Body Text First Indent 2"/>
    <w:basedOn w:val="15"/>
    <w:next w:val="1"/>
    <w:qFormat/>
    <w:uiPriority w:val="0"/>
    <w:pPr>
      <w:ind w:firstLine="420" w:firstLineChars="200"/>
    </w:pPr>
    <w:rPr>
      <w:sz w:val="21"/>
    </w:rPr>
  </w:style>
  <w:style w:type="paragraph" w:styleId="15">
    <w:name w:val="Body Text Indent"/>
    <w:basedOn w:val="1"/>
    <w:link w:val="182"/>
    <w:qFormat/>
    <w:uiPriority w:val="0"/>
    <w:pPr>
      <w:spacing w:after="120"/>
      <w:ind w:left="420" w:leftChars="200"/>
    </w:pPr>
    <w:rPr>
      <w:b/>
      <w:color w:val="000000"/>
      <w:kern w:val="0"/>
      <w:sz w:val="24"/>
      <w:szCs w:val="24"/>
    </w:rPr>
  </w:style>
  <w:style w:type="paragraph" w:styleId="16">
    <w:name w:val="caption"/>
    <w:basedOn w:val="1"/>
    <w:next w:val="1"/>
    <w:qFormat/>
    <w:uiPriority w:val="35"/>
    <w:rPr>
      <w:rFonts w:ascii="Calibri Light" w:hAnsi="Calibri Light" w:eastAsia="黑体"/>
      <w:sz w:val="20"/>
    </w:rPr>
  </w:style>
  <w:style w:type="paragraph" w:styleId="17">
    <w:name w:val="Document Map"/>
    <w:basedOn w:val="1"/>
    <w:link w:val="213"/>
    <w:qFormat/>
    <w:uiPriority w:val="0"/>
    <w:pPr>
      <w:shd w:val="clear" w:color="auto" w:fill="000080"/>
    </w:pPr>
  </w:style>
  <w:style w:type="paragraph" w:styleId="18">
    <w:name w:val="toa heading"/>
    <w:basedOn w:val="1"/>
    <w:next w:val="1"/>
    <w:qFormat/>
    <w:uiPriority w:val="0"/>
    <w:pPr>
      <w:autoSpaceDE w:val="0"/>
      <w:autoSpaceDN w:val="0"/>
      <w:adjustRightInd w:val="0"/>
      <w:spacing w:before="120"/>
      <w:jc w:val="left"/>
    </w:pPr>
    <w:rPr>
      <w:rFonts w:ascii="Arial" w:hAnsi="Arial"/>
      <w:kern w:val="0"/>
      <w:sz w:val="24"/>
    </w:rPr>
  </w:style>
  <w:style w:type="paragraph" w:styleId="19">
    <w:name w:val="annotation text"/>
    <w:basedOn w:val="1"/>
    <w:qFormat/>
    <w:uiPriority w:val="0"/>
    <w:pPr>
      <w:jc w:val="left"/>
    </w:pPr>
  </w:style>
  <w:style w:type="paragraph" w:styleId="20">
    <w:name w:val="Salutation"/>
    <w:basedOn w:val="1"/>
    <w:next w:val="1"/>
    <w:link w:val="245"/>
    <w:qFormat/>
    <w:uiPriority w:val="99"/>
    <w:rPr>
      <w:rFonts w:ascii="Calibri" w:hAnsi="Calibri"/>
      <w:sz w:val="24"/>
    </w:rPr>
  </w:style>
  <w:style w:type="paragraph" w:styleId="21">
    <w:name w:val="Body Text 3"/>
    <w:basedOn w:val="1"/>
    <w:qFormat/>
    <w:uiPriority w:val="0"/>
    <w:pPr>
      <w:widowControl/>
      <w:ind w:right="-108"/>
    </w:pPr>
    <w:rPr>
      <w:b/>
      <w:sz w:val="24"/>
    </w:rPr>
  </w:style>
  <w:style w:type="paragraph" w:styleId="22">
    <w:name w:val="List 2"/>
    <w:basedOn w:val="1"/>
    <w:qFormat/>
    <w:uiPriority w:val="0"/>
    <w:pPr>
      <w:ind w:left="100" w:leftChars="200" w:hanging="200" w:hangingChars="200"/>
      <w:contextualSpacing/>
    </w:pPr>
  </w:style>
  <w:style w:type="paragraph" w:styleId="23">
    <w:name w:val="Block Text"/>
    <w:basedOn w:val="1"/>
    <w:next w:val="24"/>
    <w:qFormat/>
    <w:uiPriority w:val="99"/>
    <w:pPr>
      <w:spacing w:after="120"/>
      <w:ind w:left="1440" w:leftChars="700" w:right="700" w:rightChars="700"/>
    </w:pPr>
  </w:style>
  <w:style w:type="paragraph" w:styleId="24">
    <w:name w:val="Plain Text"/>
    <w:basedOn w:val="1"/>
    <w:link w:val="218"/>
    <w:qFormat/>
    <w:uiPriority w:val="0"/>
    <w:rPr>
      <w:rFonts w:ascii="宋体" w:hAnsi="Courier New"/>
    </w:rPr>
  </w:style>
  <w:style w:type="paragraph" w:styleId="25">
    <w:name w:val="toc 3"/>
    <w:basedOn w:val="1"/>
    <w:next w:val="1"/>
    <w:qFormat/>
    <w:uiPriority w:val="0"/>
    <w:pPr>
      <w:spacing w:beforeLines="100" w:line="360" w:lineRule="auto"/>
      <w:ind w:left="480" w:firstLine="480" w:firstLineChars="200"/>
      <w:jc w:val="left"/>
    </w:pPr>
    <w:rPr>
      <w:i/>
      <w:sz w:val="24"/>
    </w:rPr>
  </w:style>
  <w:style w:type="paragraph" w:styleId="26">
    <w:name w:val="Date"/>
    <w:basedOn w:val="1"/>
    <w:next w:val="1"/>
    <w:link w:val="185"/>
    <w:qFormat/>
    <w:uiPriority w:val="0"/>
    <w:pPr>
      <w:ind w:left="100" w:leftChars="2500"/>
    </w:pPr>
  </w:style>
  <w:style w:type="paragraph" w:styleId="27">
    <w:name w:val="Body Text Indent 2"/>
    <w:basedOn w:val="1"/>
    <w:link w:val="215"/>
    <w:qFormat/>
    <w:uiPriority w:val="0"/>
    <w:pPr>
      <w:spacing w:after="120" w:line="480" w:lineRule="auto"/>
      <w:ind w:left="420" w:leftChars="200"/>
    </w:pPr>
  </w:style>
  <w:style w:type="paragraph" w:styleId="28">
    <w:name w:val="endnote text"/>
    <w:basedOn w:val="1"/>
    <w:qFormat/>
    <w:uiPriority w:val="0"/>
    <w:pPr>
      <w:snapToGrid w:val="0"/>
      <w:jc w:val="left"/>
    </w:pPr>
  </w:style>
  <w:style w:type="paragraph" w:styleId="29">
    <w:name w:val="Balloon Text"/>
    <w:basedOn w:val="1"/>
    <w:link w:val="190"/>
    <w:qFormat/>
    <w:uiPriority w:val="0"/>
    <w:rPr>
      <w:sz w:val="18"/>
    </w:rPr>
  </w:style>
  <w:style w:type="paragraph" w:styleId="30">
    <w:name w:val="footer"/>
    <w:basedOn w:val="1"/>
    <w:next w:val="2"/>
    <w:link w:val="200"/>
    <w:qFormat/>
    <w:uiPriority w:val="0"/>
    <w:pPr>
      <w:tabs>
        <w:tab w:val="center" w:pos="4153"/>
        <w:tab w:val="right" w:pos="8306"/>
      </w:tabs>
      <w:snapToGrid w:val="0"/>
      <w:jc w:val="left"/>
    </w:pPr>
    <w:rPr>
      <w:kern w:val="0"/>
      <w:sz w:val="18"/>
    </w:rPr>
  </w:style>
  <w:style w:type="paragraph" w:styleId="31">
    <w:name w:val="envelope return"/>
    <w:basedOn w:val="1"/>
    <w:qFormat/>
    <w:uiPriority w:val="0"/>
    <w:pPr>
      <w:snapToGrid w:val="0"/>
    </w:pPr>
    <w:rPr>
      <w:rFonts w:ascii="Arial" w:hAnsi="Arial"/>
    </w:rPr>
  </w:style>
  <w:style w:type="paragraph" w:styleId="32">
    <w:name w:val="header"/>
    <w:basedOn w:val="1"/>
    <w:next w:val="33"/>
    <w:link w:val="209"/>
    <w:qFormat/>
    <w:uiPriority w:val="0"/>
    <w:pPr>
      <w:pBdr>
        <w:bottom w:val="single" w:color="auto" w:sz="6" w:space="1"/>
      </w:pBdr>
      <w:tabs>
        <w:tab w:val="center" w:pos="4153"/>
        <w:tab w:val="right" w:pos="8306"/>
      </w:tabs>
      <w:snapToGrid w:val="0"/>
      <w:jc w:val="center"/>
    </w:pPr>
    <w:rPr>
      <w:sz w:val="18"/>
    </w:rPr>
  </w:style>
  <w:style w:type="paragraph" w:customStyle="1" w:styleId="33">
    <w:name w:val="自定义页眉"/>
    <w:basedOn w:val="32"/>
    <w:autoRedefine/>
    <w:qFormat/>
    <w:uiPriority w:val="0"/>
    <w:pPr>
      <w:pBdr>
        <w:bottom w:val="thickThinMediumGap" w:color="auto" w:sz="18" w:space="1"/>
      </w:pBdr>
    </w:pPr>
    <w:rPr>
      <w:rFonts w:eastAsia="华文行楷"/>
      <w:sz w:val="21"/>
    </w:rPr>
  </w:style>
  <w:style w:type="paragraph" w:styleId="34">
    <w:name w:val="toc 1"/>
    <w:basedOn w:val="1"/>
    <w:next w:val="1"/>
    <w:qFormat/>
    <w:uiPriority w:val="39"/>
    <w:pPr>
      <w:widowControl/>
      <w:jc w:val="left"/>
    </w:pPr>
    <w:rPr>
      <w:kern w:val="0"/>
      <w:sz w:val="20"/>
    </w:rPr>
  </w:style>
  <w:style w:type="paragraph" w:styleId="35">
    <w:name w:val="Body Text Indent 3"/>
    <w:basedOn w:val="1"/>
    <w:link w:val="203"/>
    <w:qFormat/>
    <w:uiPriority w:val="0"/>
    <w:pPr>
      <w:spacing w:after="120"/>
      <w:ind w:left="420" w:leftChars="200"/>
    </w:pPr>
    <w:rPr>
      <w:sz w:val="16"/>
    </w:rPr>
  </w:style>
  <w:style w:type="paragraph" w:styleId="36">
    <w:name w:val="toc 2"/>
    <w:basedOn w:val="1"/>
    <w:next w:val="1"/>
    <w:qFormat/>
    <w:uiPriority w:val="39"/>
    <w:pPr>
      <w:spacing w:beforeLines="100" w:line="360" w:lineRule="auto"/>
      <w:ind w:left="240" w:firstLine="480" w:firstLineChars="200"/>
      <w:jc w:val="left"/>
    </w:pPr>
    <w:rPr>
      <w:smallCaps/>
      <w:sz w:val="24"/>
    </w:rPr>
  </w:style>
  <w:style w:type="paragraph" w:styleId="37">
    <w:name w:val="Body Text 2"/>
    <w:basedOn w:val="1"/>
    <w:link w:val="227"/>
    <w:qFormat/>
    <w:uiPriority w:val="0"/>
    <w:rPr>
      <w:sz w:val="30"/>
    </w:rPr>
  </w:style>
  <w:style w:type="paragraph" w:styleId="38">
    <w:name w:val="Normal (Web)"/>
    <w:basedOn w:val="1"/>
    <w:qFormat/>
    <w:uiPriority w:val="0"/>
    <w:pPr>
      <w:widowControl/>
      <w:spacing w:before="100" w:beforeAutospacing="1" w:after="100" w:afterAutospacing="1"/>
      <w:jc w:val="left"/>
    </w:pPr>
    <w:rPr>
      <w:rFonts w:ascii="宋体" w:hAnsi="宋体"/>
      <w:kern w:val="0"/>
      <w:sz w:val="24"/>
    </w:rPr>
  </w:style>
  <w:style w:type="paragraph" w:styleId="39">
    <w:name w:val="Title"/>
    <w:basedOn w:val="22"/>
    <w:next w:val="1"/>
    <w:qFormat/>
    <w:uiPriority w:val="0"/>
    <w:pPr>
      <w:spacing w:before="120" w:after="120"/>
      <w:jc w:val="center"/>
    </w:pPr>
    <w:rPr>
      <w:rFonts w:eastAsia="黑体"/>
      <w:b/>
      <w:sz w:val="32"/>
    </w:rPr>
  </w:style>
  <w:style w:type="paragraph" w:styleId="40">
    <w:name w:val="annotation subject"/>
    <w:basedOn w:val="19"/>
    <w:next w:val="19"/>
    <w:qFormat/>
    <w:uiPriority w:val="0"/>
    <w:rPr>
      <w:b/>
    </w:rPr>
  </w:style>
  <w:style w:type="paragraph" w:styleId="41">
    <w:name w:val="Body Text First Indent"/>
    <w:basedOn w:val="2"/>
    <w:next w:val="14"/>
    <w:qFormat/>
    <w:uiPriority w:val="0"/>
    <w:pPr>
      <w:spacing w:after="120"/>
      <w:ind w:firstLine="420" w:firstLineChars="100"/>
    </w:pPr>
    <w:rPr>
      <w:sz w:val="18"/>
      <w:szCs w:val="18"/>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rPr>
      <w:b/>
    </w:rPr>
  </w:style>
  <w:style w:type="character" w:styleId="46">
    <w:name w:val="endnote reference"/>
    <w:qFormat/>
    <w:uiPriority w:val="0"/>
    <w:rPr>
      <w:vertAlign w:val="superscript"/>
    </w:rPr>
  </w:style>
  <w:style w:type="character" w:styleId="47">
    <w:name w:val="page number"/>
    <w:basedOn w:val="44"/>
    <w:qFormat/>
    <w:uiPriority w:val="0"/>
  </w:style>
  <w:style w:type="character" w:styleId="48">
    <w:name w:val="FollowedHyperlink"/>
    <w:qFormat/>
    <w:uiPriority w:val="0"/>
    <w:rPr>
      <w:color w:val="333333"/>
      <w:u w:val="none"/>
    </w:rPr>
  </w:style>
  <w:style w:type="character" w:styleId="49">
    <w:name w:val="Emphasis"/>
    <w:qFormat/>
    <w:uiPriority w:val="0"/>
  </w:style>
  <w:style w:type="character" w:styleId="50">
    <w:name w:val="HTML Definition"/>
    <w:basedOn w:val="44"/>
    <w:qFormat/>
    <w:uiPriority w:val="0"/>
    <w:rPr>
      <w:i/>
    </w:rPr>
  </w:style>
  <w:style w:type="character" w:styleId="51">
    <w:name w:val="Hyperlink"/>
    <w:basedOn w:val="44"/>
    <w:qFormat/>
    <w:uiPriority w:val="0"/>
    <w:rPr>
      <w:color w:val="333333"/>
      <w:u w:val="none"/>
    </w:rPr>
  </w:style>
  <w:style w:type="character" w:styleId="52">
    <w:name w:val="HTML Code"/>
    <w:qFormat/>
    <w:uiPriority w:val="0"/>
    <w:rPr>
      <w:rFonts w:ascii="Consolas" w:hAnsi="Consolas" w:eastAsia="Consolas" w:cs="Consolas"/>
      <w:color w:val="C7254E"/>
      <w:sz w:val="21"/>
      <w:szCs w:val="21"/>
      <w:shd w:val="clear" w:color="auto" w:fill="F9F2F4"/>
    </w:rPr>
  </w:style>
  <w:style w:type="character" w:styleId="53">
    <w:name w:val="annotation reference"/>
    <w:qFormat/>
    <w:uiPriority w:val="0"/>
    <w:rPr>
      <w:sz w:val="21"/>
    </w:rPr>
  </w:style>
  <w:style w:type="character" w:styleId="54">
    <w:name w:val="HTML Keyboard"/>
    <w:qFormat/>
    <w:uiPriority w:val="0"/>
    <w:rPr>
      <w:rFonts w:hint="default" w:ascii="Consolas" w:hAnsi="Consolas" w:eastAsia="Consolas" w:cs="Consolas"/>
      <w:color w:val="FFFFFF"/>
      <w:sz w:val="21"/>
      <w:szCs w:val="21"/>
      <w:shd w:val="clear" w:color="auto" w:fill="333333"/>
    </w:rPr>
  </w:style>
  <w:style w:type="character" w:styleId="55">
    <w:name w:val="HTML Sample"/>
    <w:qFormat/>
    <w:uiPriority w:val="0"/>
    <w:rPr>
      <w:rFonts w:hint="default" w:ascii="Consolas" w:hAnsi="Consolas" w:eastAsia="Consolas" w:cs="Consolas"/>
      <w:sz w:val="21"/>
      <w:szCs w:val="21"/>
    </w:rPr>
  </w:style>
  <w:style w:type="paragraph" w:customStyle="1" w:styleId="5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样式 首行缩进:  2 字符"/>
    <w:qFormat/>
    <w:uiPriority w:val="0"/>
    <w:pPr>
      <w:widowControl w:val="0"/>
      <w:pBdr>
        <w:top w:val="none" w:color="000000" w:sz="0" w:space="3"/>
        <w:left w:val="none" w:color="000000" w:sz="0" w:space="3"/>
        <w:bottom w:val="none" w:color="000000" w:sz="0" w:space="3"/>
        <w:right w:val="none" w:color="000000" w:sz="0" w:space="3"/>
        <w:between w:val="none" w:color="000000" w:sz="0" w:space="0"/>
      </w:pBdr>
      <w:spacing w:line="400" w:lineRule="exact"/>
      <w:ind w:firstLine="200"/>
      <w:jc w:val="both"/>
    </w:pPr>
    <w:rPr>
      <w:rFonts w:ascii="Calibri" w:hAnsi="Calibri" w:eastAsia="宋体" w:cs="宋体"/>
      <w:kern w:val="1"/>
      <w:sz w:val="24"/>
      <w:szCs w:val="24"/>
      <w:lang w:val="en-US" w:eastAsia="zh-CN" w:bidi="ar-SA"/>
    </w:rPr>
  </w:style>
  <w:style w:type="paragraph" w:customStyle="1" w:styleId="58">
    <w:name w:val="Char"/>
    <w:basedOn w:val="1"/>
    <w:qFormat/>
    <w:uiPriority w:val="0"/>
    <w:pPr>
      <w:spacing w:line="360" w:lineRule="auto"/>
    </w:pPr>
    <w:rPr>
      <w:rFonts w:ascii="仿宋_GB2312" w:eastAsia="仿宋_GB2312"/>
      <w:b/>
      <w:sz w:val="32"/>
    </w:rPr>
  </w:style>
  <w:style w:type="paragraph" w:customStyle="1" w:styleId="59">
    <w:name w:val="正文A"/>
    <w:basedOn w:val="1"/>
    <w:qFormat/>
    <w:uiPriority w:val="0"/>
    <w:pPr>
      <w:adjustRightInd w:val="0"/>
      <w:snapToGrid w:val="0"/>
      <w:spacing w:line="360" w:lineRule="auto"/>
      <w:ind w:firstLine="480" w:firstLineChars="200"/>
    </w:pPr>
    <w:rPr>
      <w:rFonts w:ascii="宋体" w:hAnsi="宋体"/>
      <w:sz w:val="24"/>
    </w:rPr>
  </w:style>
  <w:style w:type="paragraph" w:customStyle="1" w:styleId="6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61">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62">
    <w:name w:val="Char3"/>
    <w:basedOn w:val="1"/>
    <w:qFormat/>
    <w:uiPriority w:val="0"/>
    <w:pPr>
      <w:widowControl/>
      <w:spacing w:after="160" w:line="240" w:lineRule="exact"/>
      <w:jc w:val="left"/>
    </w:pPr>
  </w:style>
  <w:style w:type="paragraph" w:customStyle="1" w:styleId="63">
    <w:name w:val="样式 标题 2H2l2I2 + 宋体"/>
    <w:basedOn w:val="4"/>
    <w:qFormat/>
    <w:uiPriority w:val="0"/>
    <w:pPr>
      <w:keepNext/>
      <w:keepLines/>
      <w:widowControl/>
      <w:spacing w:before="180" w:after="120"/>
      <w:ind w:left="720" w:hanging="720"/>
      <w:jc w:val="left"/>
    </w:pPr>
  </w:style>
  <w:style w:type="paragraph" w:customStyle="1" w:styleId="64">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65">
    <w:name w:val="xl33"/>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67">
    <w:name w:val="title12"/>
    <w:basedOn w:val="1"/>
    <w:qFormat/>
    <w:uiPriority w:val="0"/>
    <w:pPr>
      <w:spacing w:before="100"/>
      <w:jc w:val="left"/>
    </w:pPr>
    <w:rPr>
      <w:b/>
      <w:kern w:val="0"/>
      <w:sz w:val="15"/>
      <w:szCs w:val="15"/>
    </w:rPr>
  </w:style>
  <w:style w:type="paragraph" w:customStyle="1" w:styleId="68">
    <w:name w:val="目录"/>
    <w:basedOn w:val="1"/>
    <w:qFormat/>
    <w:uiPriority w:val="0"/>
    <w:pPr>
      <w:widowControl/>
      <w:jc w:val="center"/>
    </w:pPr>
    <w:rPr>
      <w:rFonts w:ascii="宋体"/>
      <w:b/>
      <w:kern w:val="0"/>
      <w:sz w:val="36"/>
    </w:rPr>
  </w:style>
  <w:style w:type="paragraph" w:customStyle="1" w:styleId="69">
    <w:name w:val="列表编号2"/>
    <w:basedOn w:val="70"/>
    <w:qFormat/>
    <w:uiPriority w:val="0"/>
    <w:pPr>
      <w:tabs>
        <w:tab w:val="left" w:pos="900"/>
        <w:tab w:val="left" w:pos="1588"/>
      </w:tabs>
      <w:ind w:left="1588" w:hanging="794"/>
    </w:pPr>
  </w:style>
  <w:style w:type="paragraph" w:customStyle="1" w:styleId="70">
    <w:name w:val="列表编号1"/>
    <w:basedOn w:val="1"/>
    <w:qFormat/>
    <w:uiPriority w:val="0"/>
    <w:pPr>
      <w:tabs>
        <w:tab w:val="left" w:pos="900"/>
      </w:tabs>
      <w:spacing w:beforeLines="100" w:line="360" w:lineRule="auto"/>
      <w:ind w:left="900" w:hanging="420"/>
    </w:pPr>
    <w:rPr>
      <w:sz w:val="24"/>
    </w:rPr>
  </w:style>
  <w:style w:type="paragraph" w:customStyle="1" w:styleId="71">
    <w:name w:val="正文缩进2格"/>
    <w:basedOn w:val="1"/>
    <w:link w:val="193"/>
    <w:qFormat/>
    <w:uiPriority w:val="0"/>
    <w:pPr>
      <w:spacing w:line="600" w:lineRule="exact"/>
      <w:ind w:firstLine="639" w:firstLineChars="206"/>
    </w:pPr>
    <w:rPr>
      <w:rFonts w:ascii="仿宋_GB2312" w:hAnsi="宋体" w:eastAsia="仿宋_GB2312"/>
      <w:sz w:val="31"/>
    </w:rPr>
  </w:style>
  <w:style w:type="paragraph" w:styleId="72">
    <w:name w:val="List Paragraph"/>
    <w:basedOn w:val="1"/>
    <w:qFormat/>
    <w:uiPriority w:val="0"/>
    <w:pPr>
      <w:ind w:firstLine="420" w:firstLineChars="200"/>
    </w:pPr>
    <w:rPr>
      <w:rFonts w:ascii="Calibri" w:hAnsi="Calibri"/>
      <w:sz w:val="24"/>
      <w:szCs w:val="22"/>
    </w:rPr>
  </w:style>
  <w:style w:type="paragraph" w:customStyle="1" w:styleId="73">
    <w:name w:val="正文+首行缩进2字符"/>
    <w:basedOn w:val="1"/>
    <w:qFormat/>
    <w:uiPriority w:val="0"/>
    <w:pPr>
      <w:adjustRightInd w:val="0"/>
      <w:snapToGrid w:val="0"/>
      <w:spacing w:before="100" w:beforeAutospacing="1" w:after="100" w:afterAutospacing="1"/>
    </w:pPr>
    <w:rPr>
      <w:rFonts w:ascii="宋体" w:hAnsi="宋体"/>
      <w:snapToGrid w:val="0"/>
      <w:spacing w:val="10"/>
      <w:kern w:val="0"/>
    </w:rPr>
  </w:style>
  <w:style w:type="paragraph" w:customStyle="1" w:styleId="74">
    <w:name w:val="WPSOffice手动目录 1"/>
    <w:qFormat/>
    <w:uiPriority w:val="0"/>
    <w:rPr>
      <w:rFonts w:ascii="Times New Roman" w:hAnsi="Times New Roman" w:eastAsia="宋体" w:cs="Times New Roman"/>
      <w:lang w:val="en-US" w:eastAsia="zh-CN" w:bidi="ar-SA"/>
    </w:rPr>
  </w:style>
  <w:style w:type="paragraph" w:customStyle="1" w:styleId="7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76">
    <w:name w:val="正文文本缩进 31"/>
    <w:basedOn w:val="1"/>
    <w:qFormat/>
    <w:uiPriority w:val="0"/>
    <w:pPr>
      <w:adjustRightInd w:val="0"/>
      <w:spacing w:after="240"/>
      <w:ind w:left="792" w:firstLine="480"/>
      <w:textAlignment w:val="baseline"/>
    </w:pPr>
    <w:rPr>
      <w:sz w:val="24"/>
    </w:rPr>
  </w:style>
  <w:style w:type="paragraph" w:customStyle="1" w:styleId="77">
    <w:name w:val="样式 标题 3 + 宋体"/>
    <w:basedOn w:val="5"/>
    <w:link w:val="197"/>
    <w:qFormat/>
    <w:uiPriority w:val="0"/>
    <w:pPr>
      <w:keepNext w:val="0"/>
      <w:widowControl/>
      <w:tabs>
        <w:tab w:val="left" w:pos="1080"/>
      </w:tabs>
      <w:autoSpaceDE/>
      <w:autoSpaceDN/>
      <w:adjustRightInd/>
      <w:spacing w:before="0"/>
      <w:ind w:left="1021" w:hanging="794"/>
      <w:jc w:val="both"/>
    </w:pPr>
    <w:rPr>
      <w:rFonts w:hAnsi="宋体"/>
      <w:b w:val="0"/>
      <w:snapToGrid w:val="0"/>
      <w:kern w:val="0"/>
      <w:u w:val="none"/>
    </w:rPr>
  </w:style>
  <w:style w:type="paragraph" w:customStyle="1" w:styleId="78">
    <w:name w:val="xl34"/>
    <w:basedOn w:val="1"/>
    <w:qFormat/>
    <w:uiPriority w:val="0"/>
    <w:pPr>
      <w:widowControl/>
      <w:pBdr>
        <w:bottom w:val="single" w:color="auto" w:sz="4" w:space="0"/>
      </w:pBdr>
      <w:spacing w:before="100" w:beforeAutospacing="1" w:after="100" w:afterAutospacing="1"/>
      <w:jc w:val="center"/>
    </w:pPr>
    <w:rPr>
      <w:rFonts w:ascii="宋体" w:hAnsi="宋体"/>
      <w:kern w:val="0"/>
      <w:sz w:val="24"/>
    </w:rPr>
  </w:style>
  <w:style w:type="paragraph" w:customStyle="1" w:styleId="79">
    <w:name w:val="页脚1"/>
    <w:basedOn w:val="1"/>
    <w:qFormat/>
    <w:uiPriority w:val="0"/>
    <w:pPr>
      <w:tabs>
        <w:tab w:val="center" w:pos="4153"/>
        <w:tab w:val="right" w:pos="8306"/>
      </w:tabs>
      <w:adjustRightInd w:val="0"/>
      <w:spacing w:line="240" w:lineRule="atLeast"/>
      <w:jc w:val="left"/>
      <w:textAlignment w:val="baseline"/>
    </w:pPr>
    <w:rPr>
      <w:sz w:val="18"/>
    </w:rPr>
  </w:style>
  <w:style w:type="paragraph" w:customStyle="1" w:styleId="80">
    <w:name w:val="toc2"/>
    <w:basedOn w:val="3"/>
    <w:qFormat/>
    <w:uiPriority w:val="0"/>
    <w:pPr>
      <w:keepNext/>
      <w:tabs>
        <w:tab w:val="left" w:pos="840"/>
      </w:tabs>
      <w:spacing w:before="240" w:after="60"/>
      <w:jc w:val="both"/>
    </w:pPr>
    <w:rPr>
      <w:rFonts w:ascii="Arial" w:hAnsi="Arial"/>
      <w:kern w:val="32"/>
      <w:sz w:val="22"/>
    </w:rPr>
  </w:style>
  <w:style w:type="paragraph" w:customStyle="1" w:styleId="81">
    <w:name w:val="i."/>
    <w:basedOn w:val="1"/>
    <w:qFormat/>
    <w:uiPriority w:val="0"/>
    <w:pPr>
      <w:widowControl/>
      <w:tabs>
        <w:tab w:val="left" w:pos="2041"/>
        <w:tab w:val="left" w:pos="2308"/>
      </w:tabs>
      <w:spacing w:before="60" w:after="60" w:line="264" w:lineRule="auto"/>
      <w:ind w:left="2041" w:hanging="453"/>
    </w:pPr>
    <w:rPr>
      <w:sz w:val="22"/>
    </w:rPr>
  </w:style>
  <w:style w:type="paragraph" w:customStyle="1" w:styleId="82">
    <w:name w:val="xiao b"/>
    <w:basedOn w:val="1"/>
    <w:qFormat/>
    <w:uiPriority w:val="0"/>
    <w:pPr>
      <w:jc w:val="center"/>
    </w:pPr>
    <w:rPr>
      <w:rFonts w:eastAsia="黑体"/>
      <w:sz w:val="24"/>
    </w:rPr>
  </w:style>
  <w:style w:type="paragraph" w:customStyle="1" w:styleId="83">
    <w:name w:val="表中"/>
    <w:basedOn w:val="1"/>
    <w:qFormat/>
    <w:uiPriority w:val="0"/>
    <w:pPr>
      <w:tabs>
        <w:tab w:val="left" w:pos="2619"/>
      </w:tabs>
      <w:adjustRightInd w:val="0"/>
      <w:spacing w:before="60" w:line="360" w:lineRule="auto"/>
      <w:ind w:right="26" w:rightChars="26"/>
    </w:pPr>
    <w:rPr>
      <w:rFonts w:ascii="宋体" w:hAnsi="宋体"/>
      <w:b/>
      <w:snapToGrid w:val="0"/>
      <w:kern w:val="0"/>
      <w:sz w:val="24"/>
    </w:rPr>
  </w:style>
  <w:style w:type="paragraph" w:customStyle="1" w:styleId="84">
    <w:name w:val="font9"/>
    <w:basedOn w:val="1"/>
    <w:qFormat/>
    <w:uiPriority w:val="0"/>
    <w:pPr>
      <w:widowControl/>
      <w:spacing w:before="100" w:beforeAutospacing="1" w:after="100" w:afterAutospacing="1"/>
      <w:jc w:val="left"/>
    </w:pPr>
    <w:rPr>
      <w:rFonts w:hint="eastAsia" w:ascii="宋体" w:hAnsi="宋体"/>
      <w:color w:val="FF0000"/>
      <w:kern w:val="0"/>
      <w:sz w:val="20"/>
    </w:rPr>
  </w:style>
  <w:style w:type="paragraph" w:customStyle="1" w:styleId="85">
    <w:name w:val="font8"/>
    <w:basedOn w:val="1"/>
    <w:qFormat/>
    <w:uiPriority w:val="0"/>
    <w:pPr>
      <w:widowControl/>
      <w:spacing w:before="100" w:beforeAutospacing="1" w:after="100" w:afterAutospacing="1"/>
      <w:jc w:val="left"/>
    </w:pPr>
    <w:rPr>
      <w:rFonts w:ascii="MS Sans Serif" w:hAnsi="MS Sans Serif"/>
      <w:color w:val="FF0000"/>
      <w:kern w:val="0"/>
      <w:sz w:val="20"/>
    </w:rPr>
  </w:style>
  <w:style w:type="paragraph" w:customStyle="1" w:styleId="86">
    <w:name w:val="tit"/>
    <w:basedOn w:val="1"/>
    <w:qFormat/>
    <w:uiPriority w:val="0"/>
    <w:pPr>
      <w:pBdr>
        <w:left w:val="single" w:color="auto" w:sz="6" w:space="4"/>
      </w:pBdr>
      <w:tabs>
        <w:tab w:val="left" w:pos="1021"/>
        <w:tab w:val="left" w:pos="5245"/>
      </w:tabs>
      <w:spacing w:before="60" w:after="60" w:line="520" w:lineRule="exact"/>
      <w:jc w:val="center"/>
    </w:pPr>
    <w:rPr>
      <w:rFonts w:ascii="Arial" w:hAnsi="Arial" w:eastAsia="仿宋_GB2312"/>
      <w:kern w:val="0"/>
    </w:rPr>
  </w:style>
  <w:style w:type="paragraph" w:customStyle="1" w:styleId="87">
    <w:name w:val="xl4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88">
    <w:name w:val="列表1"/>
    <w:basedOn w:val="1"/>
    <w:qFormat/>
    <w:uiPriority w:val="0"/>
    <w:pPr>
      <w:adjustRightInd w:val="0"/>
      <w:spacing w:after="120" w:line="300" w:lineRule="auto"/>
      <w:ind w:left="2387" w:hanging="227"/>
      <w:textAlignment w:val="baseline"/>
    </w:pPr>
    <w:rPr>
      <w:rFonts w:ascii="宋体" w:hAnsi="宋体"/>
      <w:sz w:val="24"/>
    </w:rPr>
  </w:style>
  <w:style w:type="paragraph" w:customStyle="1" w:styleId="89">
    <w:name w:val="C503-正文格式"/>
    <w:basedOn w:val="1"/>
    <w:qFormat/>
    <w:uiPriority w:val="0"/>
    <w:pPr>
      <w:widowControl/>
      <w:ind w:firstLine="560" w:firstLineChars="200"/>
      <w:jc w:val="left"/>
    </w:pPr>
    <w:rPr>
      <w:rFonts w:ascii="仿宋" w:hAnsi="仿宋" w:eastAsia="仿宋" w:cs="宋体"/>
      <w:kern w:val="0"/>
    </w:rPr>
  </w:style>
  <w:style w:type="paragraph" w:customStyle="1" w:styleId="90">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1">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2">
    <w:name w:val="正文文本 21"/>
    <w:basedOn w:val="1"/>
    <w:qFormat/>
    <w:uiPriority w:val="0"/>
    <w:pPr>
      <w:autoSpaceDE w:val="0"/>
      <w:autoSpaceDN w:val="0"/>
      <w:adjustRightInd w:val="0"/>
      <w:spacing w:line="380" w:lineRule="atLeast"/>
      <w:textAlignment w:val="baseline"/>
    </w:pPr>
    <w:rPr>
      <w:spacing w:val="10"/>
      <w:kern w:val="0"/>
      <w:sz w:val="24"/>
    </w:rPr>
  </w:style>
  <w:style w:type="paragraph" w:customStyle="1" w:styleId="93">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4">
    <w:name w:val="_Style 87"/>
    <w:basedOn w:val="3"/>
    <w:next w:val="1"/>
    <w:qFormat/>
    <w:uiPriority w:val="0"/>
    <w:pPr>
      <w:keepNext/>
      <w:keepLines/>
      <w:widowControl/>
      <w:spacing w:before="480" w:line="276" w:lineRule="auto"/>
      <w:jc w:val="left"/>
      <w:outlineLvl w:val="9"/>
    </w:pPr>
    <w:rPr>
      <w:rFonts w:ascii="Cambria" w:hAnsi="Cambria"/>
      <w:bCs/>
      <w:color w:val="365F91"/>
      <w:kern w:val="0"/>
      <w:sz w:val="28"/>
      <w:szCs w:val="28"/>
    </w:rPr>
  </w:style>
  <w:style w:type="paragraph" w:customStyle="1" w:styleId="95">
    <w:name w:val="缺省文本"/>
    <w:basedOn w:val="1"/>
    <w:qFormat/>
    <w:uiPriority w:val="0"/>
    <w:pPr>
      <w:autoSpaceDE w:val="0"/>
      <w:autoSpaceDN w:val="0"/>
      <w:adjustRightInd w:val="0"/>
      <w:jc w:val="left"/>
    </w:pPr>
    <w:rPr>
      <w:kern w:val="0"/>
      <w:sz w:val="24"/>
    </w:rPr>
  </w:style>
  <w:style w:type="paragraph" w:customStyle="1" w:styleId="96">
    <w:name w:val="&lt;=&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97">
    <w:name w:val="正文 + 宋体"/>
    <w:basedOn w:val="1"/>
    <w:qFormat/>
    <w:uiPriority w:val="0"/>
    <w:pPr>
      <w:spacing w:line="380" w:lineRule="exact"/>
      <w:jc w:val="center"/>
    </w:pPr>
    <w:rPr>
      <w:sz w:val="24"/>
      <w:szCs w:val="24"/>
    </w:rPr>
  </w:style>
  <w:style w:type="paragraph" w:customStyle="1" w:styleId="98">
    <w:name w:val="xl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99">
    <w:name w:val="xl4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00">
    <w:name w:val="(1)"/>
    <w:basedOn w:val="1"/>
    <w:qFormat/>
    <w:uiPriority w:val="0"/>
    <w:pPr>
      <w:widowControl/>
      <w:tabs>
        <w:tab w:val="left" w:pos="2608"/>
      </w:tabs>
      <w:overflowPunct w:val="0"/>
      <w:autoSpaceDE w:val="0"/>
      <w:autoSpaceDN w:val="0"/>
      <w:adjustRightInd w:val="0"/>
      <w:spacing w:before="120" w:after="120" w:line="264" w:lineRule="auto"/>
      <w:ind w:left="2608" w:hanging="567"/>
      <w:textAlignment w:val="baseline"/>
    </w:pPr>
    <w:rPr>
      <w:kern w:val="0"/>
      <w:sz w:val="22"/>
    </w:rPr>
  </w:style>
  <w:style w:type="paragraph" w:customStyle="1" w:styleId="101">
    <w:name w:val="List Paragraph11"/>
    <w:basedOn w:val="1"/>
    <w:qFormat/>
    <w:uiPriority w:val="0"/>
    <w:pPr>
      <w:ind w:firstLine="420" w:firstLineChars="200"/>
    </w:pPr>
  </w:style>
  <w:style w:type="paragraph" w:customStyle="1" w:styleId="102">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03">
    <w:name w:val="标书正文"/>
    <w:basedOn w:val="1"/>
    <w:qFormat/>
    <w:uiPriority w:val="0"/>
    <w:pPr>
      <w:adjustRightInd w:val="0"/>
      <w:spacing w:line="360" w:lineRule="auto"/>
      <w:ind w:left="840" w:hanging="840"/>
      <w:textAlignment w:val="baseline"/>
    </w:pPr>
    <w:rPr>
      <w:rFonts w:ascii="楷体_GB2312" w:eastAsia="楷体_GB2312"/>
      <w:kern w:val="0"/>
      <w:sz w:val="24"/>
    </w:rPr>
  </w:style>
  <w:style w:type="paragraph" w:customStyle="1" w:styleId="104">
    <w:name w:val="Char Char Char Char Char Char Char"/>
    <w:basedOn w:val="1"/>
    <w:qFormat/>
    <w:uiPriority w:val="0"/>
    <w:pPr>
      <w:widowControl/>
      <w:tabs>
        <w:tab w:val="left" w:pos="720"/>
      </w:tabs>
      <w:spacing w:line="360" w:lineRule="auto"/>
      <w:ind w:left="720"/>
      <w:jc w:val="left"/>
    </w:pPr>
    <w:rPr>
      <w:rFonts w:ascii="宋体"/>
      <w:kern w:val="0"/>
    </w:rPr>
  </w:style>
  <w:style w:type="paragraph" w:customStyle="1" w:styleId="105">
    <w:name w:val="无间隔1"/>
    <w:qFormat/>
    <w:uiPriority w:val="1"/>
    <w:pPr>
      <w:widowControl w:val="0"/>
      <w:spacing w:line="300" w:lineRule="auto"/>
    </w:pPr>
    <w:rPr>
      <w:rFonts w:ascii="Calibri" w:hAnsi="Calibri" w:eastAsia="宋体" w:cs="黑体"/>
      <w:kern w:val="2"/>
      <w:sz w:val="21"/>
      <w:szCs w:val="22"/>
      <w:lang w:val="en-US" w:eastAsia="zh-CN" w:bidi="ar-SA"/>
    </w:rPr>
  </w:style>
  <w:style w:type="paragraph" w:customStyle="1" w:styleId="106">
    <w:name w:val="符号参数位1级"/>
    <w:basedOn w:val="1"/>
    <w:qFormat/>
    <w:uiPriority w:val="0"/>
    <w:pPr>
      <w:tabs>
        <w:tab w:val="left" w:pos="5670"/>
      </w:tabs>
      <w:adjustRightInd w:val="0"/>
      <w:spacing w:before="60"/>
      <w:ind w:left="851" w:hanging="284"/>
      <w:jc w:val="left"/>
      <w:textAlignment w:val="baseline"/>
    </w:pPr>
    <w:rPr>
      <w:kern w:val="0"/>
      <w:sz w:val="28"/>
    </w:rPr>
  </w:style>
  <w:style w:type="paragraph" w:customStyle="1" w:styleId="107">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08">
    <w:name w:val="Table Paragraph"/>
    <w:basedOn w:val="1"/>
    <w:qFormat/>
    <w:uiPriority w:val="1"/>
    <w:rPr>
      <w:rFonts w:ascii="宋体" w:hAnsi="宋体" w:cs="宋体"/>
      <w:lang w:val="zh-CN" w:bidi="zh-CN"/>
    </w:rPr>
  </w:style>
  <w:style w:type="paragraph" w:customStyle="1" w:styleId="109">
    <w:name w:val="font6"/>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10">
    <w:name w:val="(a)items"/>
    <w:basedOn w:val="1"/>
    <w:qFormat/>
    <w:uiPriority w:val="0"/>
    <w:pPr>
      <w:tabs>
        <w:tab w:val="left" w:pos="1980"/>
      </w:tabs>
      <w:adjustRightInd w:val="0"/>
      <w:spacing w:after="240"/>
      <w:ind w:left="1980" w:leftChars="680" w:hanging="348" w:hangingChars="145"/>
      <w:textAlignment w:val="baseline"/>
    </w:pPr>
    <w:rPr>
      <w:sz w:val="24"/>
    </w:rPr>
  </w:style>
  <w:style w:type="paragraph" w:customStyle="1" w:styleId="111">
    <w:name w:val="表头"/>
    <w:basedOn w:val="1"/>
    <w:qFormat/>
    <w:uiPriority w:val="0"/>
    <w:pPr>
      <w:spacing w:beforeLines="50" w:afterLines="50"/>
      <w:ind w:right="-21" w:rightChars="-21"/>
      <w:jc w:val="center"/>
    </w:pPr>
    <w:rPr>
      <w:rFonts w:ascii="宋体"/>
      <w:b/>
      <w:sz w:val="24"/>
    </w:rPr>
  </w:style>
  <w:style w:type="paragraph" w:customStyle="1" w:styleId="112">
    <w:name w:val="Char Char Char"/>
    <w:basedOn w:val="1"/>
    <w:qFormat/>
    <w:uiPriority w:val="0"/>
    <w:rPr>
      <w:rFonts w:ascii="Tahoma" w:hAnsi="Tahoma"/>
      <w:sz w:val="24"/>
    </w:rPr>
  </w:style>
  <w:style w:type="paragraph" w:customStyle="1" w:styleId="113">
    <w:name w:val="xl32"/>
    <w:basedOn w:val="1"/>
    <w:qFormat/>
    <w:uiPriority w:val="0"/>
    <w:pPr>
      <w:widowControl/>
      <w:pBdr>
        <w:bottom w:val="single" w:color="auto" w:sz="4" w:space="0"/>
      </w:pBdr>
      <w:spacing w:before="100" w:beforeAutospacing="1" w:after="100" w:afterAutospacing="1"/>
      <w:jc w:val="center"/>
    </w:pPr>
    <w:rPr>
      <w:rFonts w:hint="eastAsia" w:ascii="宋体" w:hAnsi="宋体"/>
      <w:kern w:val="0"/>
      <w:sz w:val="24"/>
    </w:rPr>
  </w:style>
  <w:style w:type="paragraph" w:customStyle="1" w:styleId="114">
    <w:name w:val="图标题文字"/>
    <w:basedOn w:val="115"/>
    <w:qFormat/>
    <w:uiPriority w:val="0"/>
    <w:pPr>
      <w:spacing w:line="300" w:lineRule="exact"/>
      <w:jc w:val="center"/>
    </w:pPr>
    <w:rPr>
      <w:b/>
      <w:sz w:val="28"/>
    </w:rPr>
  </w:style>
  <w:style w:type="paragraph" w:customStyle="1" w:styleId="115">
    <w:name w:val="文本框文字"/>
    <w:basedOn w:val="1"/>
    <w:qFormat/>
    <w:uiPriority w:val="0"/>
    <w:pPr>
      <w:spacing w:line="280" w:lineRule="exact"/>
    </w:pPr>
  </w:style>
  <w:style w:type="paragraph" w:customStyle="1" w:styleId="116">
    <w:name w:val="title1"/>
    <w:basedOn w:val="1"/>
    <w:qFormat/>
    <w:uiPriority w:val="0"/>
    <w:pPr>
      <w:spacing w:before="100" w:line="300" w:lineRule="atLeast"/>
      <w:jc w:val="left"/>
    </w:pPr>
    <w:rPr>
      <w:b/>
      <w:kern w:val="0"/>
      <w:sz w:val="16"/>
      <w:szCs w:val="16"/>
    </w:rPr>
  </w:style>
  <w:style w:type="paragraph" w:customStyle="1" w:styleId="117">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FF0000"/>
      <w:kern w:val="0"/>
      <w:sz w:val="24"/>
    </w:rPr>
  </w:style>
  <w:style w:type="paragraph" w:customStyle="1" w:styleId="118">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0">
    <w:name w:val="font7"/>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121">
    <w:name w:val="xl37"/>
    <w:basedOn w:val="1"/>
    <w:qFormat/>
    <w:uiPriority w:val="0"/>
    <w:pPr>
      <w:widowControl/>
      <w:spacing w:before="100" w:beforeAutospacing="1" w:after="100" w:afterAutospacing="1"/>
      <w:jc w:val="center"/>
    </w:pPr>
    <w:rPr>
      <w:rFonts w:hint="eastAsia" w:ascii="宋体" w:hAnsi="宋体"/>
      <w:kern w:val="0"/>
      <w:sz w:val="24"/>
    </w:rPr>
  </w:style>
  <w:style w:type="paragraph" w:customStyle="1" w:styleId="122">
    <w:name w:val="table text contents"/>
    <w:basedOn w:val="123"/>
    <w:qFormat/>
    <w:uiPriority w:val="0"/>
    <w:pPr>
      <w:ind w:left="0" w:firstLine="0" w:firstLineChars="0"/>
      <w:jc w:val="center"/>
    </w:pPr>
  </w:style>
  <w:style w:type="paragraph" w:customStyle="1" w:styleId="123">
    <w:name w:val="table text"/>
    <w:basedOn w:val="1"/>
    <w:qFormat/>
    <w:uiPriority w:val="0"/>
    <w:pPr>
      <w:spacing w:line="0" w:lineRule="atLeast"/>
      <w:ind w:left="220" w:hanging="220" w:hangingChars="100"/>
    </w:pPr>
    <w:rPr>
      <w:sz w:val="22"/>
    </w:rPr>
  </w:style>
  <w:style w:type="paragraph" w:customStyle="1" w:styleId="124">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5">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26">
    <w:name w:val="标题 2 + 楷体_GB2312"/>
    <w:basedOn w:val="4"/>
    <w:qFormat/>
    <w:uiPriority w:val="0"/>
    <w:pPr>
      <w:keepNext/>
      <w:ind w:firstLine="240" w:firstLineChars="100"/>
      <w:jc w:val="both"/>
    </w:pPr>
    <w:rPr>
      <w:rFonts w:ascii="楷体_GB2312" w:eastAsia="楷体_GB2312"/>
      <w:b w:val="0"/>
    </w:rPr>
  </w:style>
  <w:style w:type="paragraph" w:customStyle="1" w:styleId="127">
    <w:name w:val="Char1"/>
    <w:basedOn w:val="1"/>
    <w:qFormat/>
    <w:uiPriority w:val="0"/>
    <w:rPr>
      <w:szCs w:val="21"/>
    </w:rPr>
  </w:style>
  <w:style w:type="paragraph" w:customStyle="1" w:styleId="128">
    <w:name w:val="图"/>
    <w:basedOn w:val="1"/>
    <w:qFormat/>
    <w:uiPriority w:val="0"/>
    <w:pPr>
      <w:keepNext/>
      <w:spacing w:before="60" w:after="60" w:line="300" w:lineRule="auto"/>
      <w:jc w:val="center"/>
      <w:textAlignment w:val="center"/>
    </w:pPr>
    <w:rPr>
      <w:snapToGrid w:val="0"/>
      <w:spacing w:val="20"/>
      <w:sz w:val="24"/>
    </w:rPr>
  </w:style>
  <w:style w:type="paragraph" w:customStyle="1" w:styleId="129">
    <w:name w:val="样式1"/>
    <w:basedOn w:val="1"/>
    <w:qFormat/>
    <w:uiPriority w:val="0"/>
    <w:pPr>
      <w:tabs>
        <w:tab w:val="left" w:pos="425"/>
        <w:tab w:val="left" w:pos="3969"/>
      </w:tabs>
      <w:adjustRightInd w:val="0"/>
      <w:spacing w:before="120" w:line="300" w:lineRule="auto"/>
      <w:ind w:left="425" w:hanging="425"/>
      <w:jc w:val="left"/>
      <w:textAlignment w:val="baseline"/>
    </w:pPr>
    <w:rPr>
      <w:rFonts w:ascii="宋体"/>
      <w:kern w:val="0"/>
      <w:sz w:val="28"/>
    </w:rPr>
  </w:style>
  <w:style w:type="paragraph" w:customStyle="1" w:styleId="130">
    <w:name w:val="样式 标题 4 + 宋体"/>
    <w:basedOn w:val="6"/>
    <w:qFormat/>
    <w:uiPriority w:val="0"/>
    <w:pPr>
      <w:keepNext w:val="0"/>
      <w:keepLines/>
      <w:widowControl/>
      <w:spacing w:after="120"/>
      <w:ind w:left="1531" w:hanging="1077"/>
    </w:pPr>
    <w:rPr>
      <w:rFonts w:ascii="宋体" w:hAnsi="宋体"/>
      <w:color w:val="auto"/>
      <w:kern w:val="0"/>
      <w:sz w:val="24"/>
      <w:u w:val="none"/>
    </w:rPr>
  </w:style>
  <w:style w:type="paragraph" w:customStyle="1" w:styleId="131">
    <w:name w:val="多级编号 1"/>
    <w:basedOn w:val="1"/>
    <w:qFormat/>
    <w:uiPriority w:val="0"/>
    <w:pPr>
      <w:tabs>
        <w:tab w:val="left" w:pos="814"/>
      </w:tabs>
      <w:adjustRightInd w:val="0"/>
      <w:spacing w:before="120" w:line="300" w:lineRule="auto"/>
      <w:ind w:left="425" w:hanging="425"/>
      <w:jc w:val="left"/>
      <w:textAlignment w:val="baseline"/>
    </w:pPr>
    <w:rPr>
      <w:kern w:val="0"/>
      <w:position w:val="20"/>
      <w:sz w:val="28"/>
    </w:rPr>
  </w:style>
  <w:style w:type="paragraph" w:customStyle="1" w:styleId="13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33">
    <w:name w:val="title11"/>
    <w:basedOn w:val="1"/>
    <w:qFormat/>
    <w:uiPriority w:val="0"/>
    <w:pPr>
      <w:spacing w:before="150" w:line="450" w:lineRule="atLeast"/>
      <w:jc w:val="left"/>
    </w:pPr>
    <w:rPr>
      <w:b/>
      <w:kern w:val="0"/>
      <w:sz w:val="24"/>
      <w:szCs w:val="24"/>
    </w:rPr>
  </w:style>
  <w:style w:type="paragraph" w:customStyle="1" w:styleId="134">
    <w:name w:val="font5"/>
    <w:basedOn w:val="1"/>
    <w:qFormat/>
    <w:uiPriority w:val="0"/>
    <w:pPr>
      <w:widowControl/>
      <w:spacing w:before="100" w:beforeAutospacing="1" w:after="100" w:afterAutospacing="1"/>
      <w:jc w:val="left"/>
    </w:pPr>
    <w:rPr>
      <w:rFonts w:hint="eastAsia" w:ascii="宋体" w:hAnsi="宋体"/>
      <w:kern w:val="0"/>
      <w:sz w:val="18"/>
    </w:rPr>
  </w:style>
  <w:style w:type="paragraph" w:customStyle="1" w:styleId="135">
    <w:name w:val="Char Char4 Char Char Char Char"/>
    <w:basedOn w:val="1"/>
    <w:qFormat/>
    <w:uiPriority w:val="0"/>
    <w:pPr>
      <w:spacing w:line="440" w:lineRule="atLeast"/>
      <w:ind w:firstLine="482" w:firstLineChars="200"/>
    </w:pPr>
    <w:rPr>
      <w:rFonts w:ascii="宋体" w:hAnsi="宋体"/>
      <w:b/>
      <w:color w:val="000000"/>
      <w:sz w:val="24"/>
    </w:rPr>
  </w:style>
  <w:style w:type="paragraph" w:customStyle="1" w:styleId="136">
    <w:name w:val="Char1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7">
    <w:name w:val="正文文本缩进 21"/>
    <w:basedOn w:val="1"/>
    <w:qFormat/>
    <w:uiPriority w:val="0"/>
    <w:pPr>
      <w:adjustRightInd w:val="0"/>
      <w:spacing w:after="240"/>
      <w:ind w:left="1080" w:firstLine="480"/>
      <w:textAlignment w:val="baseline"/>
    </w:pPr>
    <w:rPr>
      <w:sz w:val="24"/>
    </w:rPr>
  </w:style>
  <w:style w:type="paragraph" w:customStyle="1" w:styleId="138">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140">
    <w:name w:val="(i)tems"/>
    <w:basedOn w:val="1"/>
    <w:qFormat/>
    <w:uiPriority w:val="0"/>
    <w:pPr>
      <w:tabs>
        <w:tab w:val="left" w:pos="360"/>
      </w:tabs>
      <w:adjustRightInd w:val="0"/>
      <w:spacing w:after="240"/>
      <w:ind w:left="360" w:hanging="360"/>
      <w:textAlignment w:val="baseline"/>
    </w:pPr>
    <w:rPr>
      <w:sz w:val="24"/>
    </w:rPr>
  </w:style>
  <w:style w:type="paragraph" w:customStyle="1" w:styleId="141">
    <w:name w:val="p0"/>
    <w:basedOn w:val="1"/>
    <w:link w:val="244"/>
    <w:qFormat/>
    <w:uiPriority w:val="0"/>
    <w:pPr>
      <w:widowControl/>
      <w:jc w:val="left"/>
    </w:pPr>
    <w:rPr>
      <w:rFonts w:ascii="Calibri" w:hAnsi="Calibri" w:cs="宋体"/>
      <w:kern w:val="0"/>
      <w:sz w:val="24"/>
      <w:szCs w:val="24"/>
    </w:rPr>
  </w:style>
  <w:style w:type="paragraph" w:customStyle="1" w:styleId="142">
    <w:name w:val="xl28"/>
    <w:basedOn w:val="1"/>
    <w:qFormat/>
    <w:uiPriority w:val="0"/>
    <w:pPr>
      <w:widowControl/>
      <w:spacing w:before="100" w:after="100"/>
      <w:jc w:val="center"/>
    </w:pPr>
    <w:rPr>
      <w:rFonts w:ascii="Arial Unicode MS" w:hAnsi="Arial Unicode MS"/>
      <w:kern w:val="0"/>
      <w:sz w:val="24"/>
    </w:rPr>
  </w:style>
  <w:style w:type="paragraph" w:customStyle="1" w:styleId="143">
    <w:name w:val="项目编号2"/>
    <w:basedOn w:val="144"/>
    <w:qFormat/>
    <w:uiPriority w:val="0"/>
    <w:pPr>
      <w:tabs>
        <w:tab w:val="left" w:pos="360"/>
        <w:tab w:val="left" w:pos="927"/>
      </w:tabs>
      <w:ind w:left="360" w:hanging="360"/>
    </w:pPr>
  </w:style>
  <w:style w:type="paragraph" w:customStyle="1" w:styleId="144">
    <w:name w:val="项目编号1"/>
    <w:basedOn w:val="1"/>
    <w:qFormat/>
    <w:uiPriority w:val="0"/>
    <w:pPr>
      <w:tabs>
        <w:tab w:val="left" w:pos="927"/>
      </w:tabs>
      <w:spacing w:beforeLines="100" w:line="360" w:lineRule="auto"/>
      <w:ind w:left="907" w:hanging="340"/>
    </w:pPr>
    <w:rPr>
      <w:sz w:val="24"/>
    </w:rPr>
  </w:style>
  <w:style w:type="paragraph" w:customStyle="1" w:styleId="145">
    <w:name w:val="基准标题"/>
    <w:basedOn w:val="2"/>
    <w:next w:val="2"/>
    <w:qFormat/>
    <w:uiPriority w:val="0"/>
    <w:pPr>
      <w:keepNext/>
      <w:keepLines/>
      <w:widowControl/>
      <w:tabs>
        <w:tab w:val="left" w:pos="2619"/>
      </w:tabs>
      <w:adjustRightInd w:val="0"/>
      <w:spacing w:before="60" w:line="240" w:lineRule="atLeast"/>
      <w:ind w:right="26" w:rightChars="26"/>
      <w:jc w:val="left"/>
    </w:pPr>
    <w:rPr>
      <w:rFonts w:ascii="Garamond" w:hAnsi="Garamond"/>
      <w:b/>
      <w:kern w:val="20"/>
    </w:rPr>
  </w:style>
  <w:style w:type="paragraph" w:customStyle="1" w:styleId="146">
    <w:name w:val="数字编号"/>
    <w:basedOn w:val="1"/>
    <w:qFormat/>
    <w:uiPriority w:val="0"/>
    <w:pPr>
      <w:tabs>
        <w:tab w:val="left" w:pos="3969"/>
      </w:tabs>
      <w:adjustRightInd w:val="0"/>
      <w:spacing w:before="120" w:line="300" w:lineRule="auto"/>
      <w:ind w:firstLine="567"/>
      <w:jc w:val="left"/>
      <w:textAlignment w:val="baseline"/>
    </w:pPr>
    <w:rPr>
      <w:kern w:val="0"/>
      <w:position w:val="20"/>
      <w:sz w:val="28"/>
    </w:rPr>
  </w:style>
  <w:style w:type="paragraph" w:customStyle="1" w:styleId="147">
    <w:name w:val="1."/>
    <w:basedOn w:val="1"/>
    <w:qFormat/>
    <w:uiPriority w:val="0"/>
    <w:pPr>
      <w:widowControl/>
      <w:tabs>
        <w:tab w:val="left" w:pos="1134"/>
      </w:tabs>
      <w:spacing w:before="60" w:after="60" w:line="264" w:lineRule="auto"/>
      <w:ind w:left="1134" w:hanging="454"/>
    </w:pPr>
    <w:rPr>
      <w:sz w:val="22"/>
    </w:rPr>
  </w:style>
  <w:style w:type="paragraph" w:customStyle="1" w:styleId="148">
    <w:name w:val="样式 标题 5 + 宋体"/>
    <w:basedOn w:val="7"/>
    <w:qFormat/>
    <w:uiPriority w:val="0"/>
    <w:pPr>
      <w:keepNext w:val="0"/>
      <w:widowControl/>
      <w:tabs>
        <w:tab w:val="left" w:pos="1800"/>
      </w:tabs>
      <w:spacing w:before="0" w:after="120" w:line="240" w:lineRule="auto"/>
      <w:ind w:left="1985" w:hanging="1305"/>
    </w:pPr>
    <w:rPr>
      <w:rFonts w:ascii="宋体" w:hAnsi="宋体"/>
      <w:b w:val="0"/>
      <w:kern w:val="0"/>
      <w:sz w:val="24"/>
    </w:rPr>
  </w:style>
  <w:style w:type="paragraph" w:customStyle="1" w:styleId="149">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150">
    <w:name w:val="正文缩进1"/>
    <w:basedOn w:val="1"/>
    <w:qFormat/>
    <w:uiPriority w:val="0"/>
    <w:pPr>
      <w:ind w:firstLine="420" w:firstLineChars="200"/>
    </w:pPr>
  </w:style>
  <w:style w:type="paragraph" w:customStyle="1" w:styleId="15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2">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53">
    <w:name w:val="xl35"/>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4">
    <w:name w:val="Char2"/>
    <w:basedOn w:val="17"/>
    <w:qFormat/>
    <w:uiPriority w:val="0"/>
  </w:style>
  <w:style w:type="paragraph" w:customStyle="1" w:styleId="155">
    <w:name w:val="xl36"/>
    <w:basedOn w:val="1"/>
    <w:qFormat/>
    <w:uiPriority w:val="0"/>
    <w:pPr>
      <w:widowControl/>
      <w:spacing w:before="100" w:beforeAutospacing="1" w:after="100" w:afterAutospacing="1"/>
      <w:jc w:val="center"/>
      <w:textAlignment w:val="center"/>
    </w:pPr>
    <w:rPr>
      <w:rFonts w:hint="eastAsia" w:ascii="宋体" w:hAnsi="宋体"/>
      <w:kern w:val="0"/>
      <w:sz w:val="24"/>
    </w:rPr>
  </w:style>
  <w:style w:type="paragraph" w:customStyle="1" w:styleId="156">
    <w:name w:val="tex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57">
    <w:name w:val="comments"/>
    <w:basedOn w:val="1"/>
    <w:qFormat/>
    <w:uiPriority w:val="0"/>
    <w:pPr>
      <w:adjustRightInd w:val="0"/>
      <w:spacing w:after="100"/>
      <w:ind w:left="2340" w:leftChars="975"/>
      <w:textAlignment w:val="baseline"/>
    </w:pPr>
    <w:rPr>
      <w:sz w:val="24"/>
    </w:rPr>
  </w:style>
  <w:style w:type="paragraph" w:customStyle="1" w:styleId="158">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59">
    <w:name w:val="TESTO"/>
    <w:basedOn w:val="1"/>
    <w:qFormat/>
    <w:uiPriority w:val="0"/>
    <w:pPr>
      <w:widowControl/>
      <w:tabs>
        <w:tab w:val="left" w:pos="1418"/>
        <w:tab w:val="left" w:pos="1701"/>
        <w:tab w:val="left" w:pos="2424"/>
        <w:tab w:val="left" w:pos="3024"/>
        <w:tab w:val="left" w:pos="3624"/>
        <w:tab w:val="left" w:pos="4224"/>
        <w:tab w:val="left" w:pos="4824"/>
        <w:tab w:val="left" w:pos="5424"/>
        <w:tab w:val="left" w:pos="6024"/>
        <w:tab w:val="left" w:pos="6624"/>
        <w:tab w:val="left" w:pos="7224"/>
      </w:tabs>
      <w:overflowPunct w:val="0"/>
      <w:autoSpaceDE w:val="0"/>
      <w:autoSpaceDN w:val="0"/>
      <w:adjustRightInd w:val="0"/>
      <w:spacing w:line="240" w:lineRule="atLeast"/>
      <w:ind w:left="1247" w:right="851" w:hanging="851"/>
      <w:textAlignment w:val="baseline"/>
    </w:pPr>
    <w:rPr>
      <w:rFonts w:ascii="Arial" w:hAnsi="Arial"/>
      <w:kern w:val="0"/>
      <w:sz w:val="22"/>
      <w:lang w:val="en-GB"/>
    </w:rPr>
  </w:style>
  <w:style w:type="paragraph" w:customStyle="1" w:styleId="160">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1">
    <w:name w:val="List Paragraph1"/>
    <w:basedOn w:val="1"/>
    <w:qFormat/>
    <w:uiPriority w:val="0"/>
    <w:pPr>
      <w:ind w:firstLine="420" w:firstLineChars="200"/>
    </w:pPr>
    <w:rPr>
      <w:rFonts w:ascii="Calibri" w:hAnsi="Calibri"/>
      <w:szCs w:val="22"/>
    </w:rPr>
  </w:style>
  <w:style w:type="paragraph" w:customStyle="1" w:styleId="162">
    <w:name w:val="样式 样式 MYSTY1 + 首行缩进:  2 字符 + 段前: 0.5 行 段后: 0.5 行"/>
    <w:basedOn w:val="1"/>
    <w:qFormat/>
    <w:uiPriority w:val="0"/>
    <w:pPr>
      <w:tabs>
        <w:tab w:val="left" w:pos="525"/>
      </w:tabs>
      <w:spacing w:beforeLines="50" w:afterLines="50"/>
      <w:ind w:left="420" w:hanging="420"/>
      <w:jc w:val="left"/>
    </w:pPr>
    <w:rPr>
      <w:b/>
      <w:sz w:val="24"/>
    </w:rPr>
  </w:style>
  <w:style w:type="paragraph" w:customStyle="1" w:styleId="163">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64">
    <w:name w:val="xl38"/>
    <w:basedOn w:val="1"/>
    <w:qFormat/>
    <w:uiPriority w:val="0"/>
    <w:pPr>
      <w:widowControl/>
      <w:spacing w:before="100" w:beforeAutospacing="1" w:after="100" w:afterAutospacing="1"/>
      <w:jc w:val="center"/>
    </w:pPr>
    <w:rPr>
      <w:rFonts w:ascii="宋体" w:hAnsi="宋体"/>
      <w:kern w:val="0"/>
      <w:sz w:val="24"/>
    </w:rPr>
  </w:style>
  <w:style w:type="paragraph" w:customStyle="1" w:styleId="165">
    <w:name w:val="sma."/>
    <w:basedOn w:val="1"/>
    <w:qFormat/>
    <w:uiPriority w:val="0"/>
    <w:pPr>
      <w:widowControl/>
      <w:tabs>
        <w:tab w:val="left" w:pos="1588"/>
      </w:tabs>
      <w:spacing w:before="60" w:after="60" w:line="264" w:lineRule="auto"/>
      <w:ind w:left="1588" w:hanging="454"/>
    </w:pPr>
    <w:rPr>
      <w:sz w:val="22"/>
    </w:rPr>
  </w:style>
  <w:style w:type="paragraph" w:customStyle="1" w:styleId="166">
    <w:name w:val="==&g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9">
    <w:name w:val="&lt;=="/>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17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1">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4"/>
    </w:rPr>
  </w:style>
  <w:style w:type="paragraph" w:customStyle="1" w:styleId="172">
    <w:name w:val="图表"/>
    <w:basedOn w:val="16"/>
    <w:qFormat/>
    <w:uiPriority w:val="0"/>
    <w:pPr>
      <w:jc w:val="center"/>
    </w:pPr>
    <w:rPr>
      <w:rFonts w:ascii="Times New Roman" w:hAnsi="Times New Roman" w:eastAsia="宋体" w:cs="宋体"/>
      <w:sz w:val="21"/>
    </w:rPr>
  </w:style>
  <w:style w:type="paragraph" w:customStyle="1" w:styleId="173">
    <w:name w:val="样式 红正文 + 首行缩进:  2 字符1"/>
    <w:basedOn w:val="1"/>
    <w:qFormat/>
    <w:uiPriority w:val="0"/>
    <w:pPr>
      <w:adjustRightInd w:val="0"/>
      <w:snapToGrid w:val="0"/>
      <w:spacing w:before="240" w:line="360" w:lineRule="auto"/>
      <w:ind w:left="210" w:leftChars="100" w:right="131" w:rightChars="131" w:firstLine="560" w:firstLineChars="200"/>
      <w:jc w:val="left"/>
    </w:pPr>
    <w:rPr>
      <w:rFonts w:ascii="宋体" w:hAnsi="宋体"/>
      <w:color w:val="000000"/>
      <w:sz w:val="28"/>
    </w:rPr>
  </w:style>
  <w:style w:type="paragraph" w:customStyle="1" w:styleId="174">
    <w:name w:val="参数值"/>
    <w:basedOn w:val="1"/>
    <w:qFormat/>
    <w:uiPriority w:val="0"/>
    <w:pPr>
      <w:tabs>
        <w:tab w:val="left" w:pos="5670"/>
      </w:tabs>
      <w:adjustRightInd w:val="0"/>
      <w:spacing w:line="300" w:lineRule="auto"/>
      <w:ind w:left="1134"/>
      <w:textAlignment w:val="baseline"/>
    </w:pPr>
    <w:rPr>
      <w:rFonts w:ascii="宋体"/>
      <w:sz w:val="28"/>
    </w:rPr>
  </w:style>
  <w:style w:type="paragraph" w:customStyle="1" w:styleId="175">
    <w:name w:val="表头－h"/>
    <w:basedOn w:val="1"/>
    <w:next w:val="1"/>
    <w:qFormat/>
    <w:uiPriority w:val="0"/>
    <w:pPr>
      <w:keepNext/>
      <w:widowControl/>
      <w:adjustRightInd w:val="0"/>
      <w:snapToGrid w:val="0"/>
      <w:ind w:firstLine="357"/>
      <w:jc w:val="center"/>
    </w:pPr>
    <w:rPr>
      <w:rFonts w:ascii="Arial" w:hAnsi="Arial"/>
      <w:b/>
      <w:spacing w:val="4"/>
      <w:kern w:val="0"/>
      <w:sz w:val="28"/>
    </w:rPr>
  </w:style>
  <w:style w:type="paragraph" w:customStyle="1" w:styleId="176">
    <w:name w:val="_Style 19"/>
    <w:basedOn w:val="1"/>
    <w:next w:val="1"/>
    <w:qFormat/>
    <w:uiPriority w:val="0"/>
    <w:pPr>
      <w:spacing w:after="120"/>
    </w:pPr>
  </w:style>
  <w:style w:type="paragraph" w:customStyle="1" w:styleId="177">
    <w:name w:val="list closer"/>
    <w:basedOn w:val="88"/>
    <w:qFormat/>
    <w:uiPriority w:val="0"/>
    <w:pPr>
      <w:ind w:left="1200" w:leftChars="1200" w:hanging="1980" w:hangingChars="825"/>
    </w:pPr>
  </w:style>
  <w:style w:type="paragraph" w:customStyle="1" w:styleId="178">
    <w:name w:val="title13"/>
    <w:basedOn w:val="1"/>
    <w:qFormat/>
    <w:uiPriority w:val="0"/>
    <w:pPr>
      <w:spacing w:before="150"/>
      <w:jc w:val="left"/>
    </w:pPr>
    <w:rPr>
      <w:b/>
      <w:kern w:val="0"/>
      <w:sz w:val="22"/>
      <w:szCs w:val="22"/>
    </w:rPr>
  </w:style>
  <w:style w:type="paragraph" w:customStyle="1" w:styleId="179">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180">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customStyle="1" w:styleId="181">
    <w:name w:val="myp1111"/>
    <w:basedOn w:val="44"/>
    <w:qFormat/>
    <w:uiPriority w:val="0"/>
  </w:style>
  <w:style w:type="character" w:customStyle="1" w:styleId="182">
    <w:name w:val="正文文本缩进 Char"/>
    <w:link w:val="15"/>
    <w:qFormat/>
    <w:uiPriority w:val="0"/>
    <w:rPr>
      <w:rFonts w:ascii="Times New Roman" w:hAnsi="Times New Roman" w:eastAsia="宋体" w:cs="Times New Roman"/>
      <w:b/>
      <w:color w:val="000000"/>
      <w:sz w:val="24"/>
      <w:szCs w:val="24"/>
    </w:rPr>
  </w:style>
  <w:style w:type="character" w:customStyle="1" w:styleId="183">
    <w:name w:val="huei12b1"/>
    <w:qFormat/>
    <w:uiPriority w:val="0"/>
    <w:rPr>
      <w:b/>
      <w:color w:val="333333"/>
      <w:sz w:val="24"/>
    </w:rPr>
  </w:style>
  <w:style w:type="character" w:customStyle="1" w:styleId="184">
    <w:name w:val="标题 5 Char Char"/>
    <w:qFormat/>
    <w:uiPriority w:val="0"/>
    <w:rPr>
      <w:rFonts w:eastAsia="宋体"/>
      <w:b/>
      <w:kern w:val="2"/>
      <w:sz w:val="28"/>
      <w:lang w:val="en-US" w:eastAsia="zh-CN"/>
    </w:rPr>
  </w:style>
  <w:style w:type="character" w:customStyle="1" w:styleId="185">
    <w:name w:val="日期 Char"/>
    <w:link w:val="26"/>
    <w:qFormat/>
    <w:uiPriority w:val="0"/>
    <w:rPr>
      <w:kern w:val="2"/>
      <w:sz w:val="21"/>
      <w:lang w:bidi="ar-SA"/>
    </w:rPr>
  </w:style>
  <w:style w:type="character" w:customStyle="1" w:styleId="186">
    <w:name w:val="t151"/>
    <w:qFormat/>
    <w:uiPriority w:val="0"/>
    <w:rPr>
      <w:rFonts w:hint="default" w:ascii="ˎ̥" w:hAnsi="ˎ̥"/>
      <w:color w:val="B34300"/>
      <w:sz w:val="24"/>
    </w:rPr>
  </w:style>
  <w:style w:type="character" w:customStyle="1" w:styleId="187">
    <w:name w:val="标题 3 Char"/>
    <w:link w:val="5"/>
    <w:qFormat/>
    <w:uiPriority w:val="0"/>
    <w:rPr>
      <w:rFonts w:ascii="宋体" w:eastAsia="宋体"/>
      <w:b/>
      <w:kern w:val="2"/>
      <w:sz w:val="24"/>
      <w:u w:val="single"/>
      <w:lang w:val="en-US" w:eastAsia="zh-CN" w:bidi="ar-SA"/>
    </w:rPr>
  </w:style>
  <w:style w:type="character" w:customStyle="1" w:styleId="188">
    <w:name w:val="phone"/>
    <w:basedOn w:val="44"/>
    <w:qFormat/>
    <w:uiPriority w:val="0"/>
    <w:rPr>
      <w:color w:val="FF8833"/>
      <w:sz w:val="18"/>
      <w:szCs w:val="18"/>
    </w:rPr>
  </w:style>
  <w:style w:type="character" w:customStyle="1" w:styleId="189">
    <w:name w:val="number"/>
    <w:basedOn w:val="44"/>
    <w:qFormat/>
    <w:uiPriority w:val="0"/>
    <w:rPr>
      <w:color w:val="FF8833"/>
      <w:sz w:val="18"/>
      <w:szCs w:val="18"/>
    </w:rPr>
  </w:style>
  <w:style w:type="character" w:customStyle="1" w:styleId="190">
    <w:name w:val="批注框文本 Char"/>
    <w:link w:val="29"/>
    <w:qFormat/>
    <w:uiPriority w:val="0"/>
    <w:rPr>
      <w:rFonts w:eastAsia="宋体"/>
      <w:kern w:val="2"/>
      <w:sz w:val="18"/>
      <w:lang w:val="en-US" w:eastAsia="zh-CN" w:bidi="ar-SA"/>
    </w:rPr>
  </w:style>
  <w:style w:type="character" w:customStyle="1" w:styleId="191">
    <w:name w:val="纯文本 Char Char"/>
    <w:qFormat/>
    <w:uiPriority w:val="0"/>
    <w:rPr>
      <w:rFonts w:ascii="宋体" w:hAnsi="Courier New" w:eastAsia="宋体" w:cs="Courier New"/>
      <w:szCs w:val="21"/>
    </w:rPr>
  </w:style>
  <w:style w:type="character" w:customStyle="1" w:styleId="192">
    <w:name w:val="stclosebtn"/>
    <w:basedOn w:val="44"/>
    <w:qFormat/>
    <w:uiPriority w:val="0"/>
  </w:style>
  <w:style w:type="character" w:customStyle="1" w:styleId="193">
    <w:name w:val="正文缩进2格 Char Char"/>
    <w:link w:val="71"/>
    <w:qFormat/>
    <w:uiPriority w:val="0"/>
    <w:rPr>
      <w:rFonts w:ascii="仿宋_GB2312" w:hAnsi="宋体" w:eastAsia="仿宋_GB2312"/>
      <w:kern w:val="2"/>
      <w:sz w:val="31"/>
      <w:lang w:val="en-US" w:eastAsia="zh-CN" w:bidi="ar-SA"/>
    </w:rPr>
  </w:style>
  <w:style w:type="character" w:customStyle="1" w:styleId="194">
    <w:name w:val="beforeinfotext"/>
    <w:basedOn w:val="44"/>
    <w:qFormat/>
    <w:uiPriority w:val="0"/>
    <w:rPr>
      <w:color w:val="666666"/>
    </w:rPr>
  </w:style>
  <w:style w:type="character" w:customStyle="1" w:styleId="195">
    <w:name w:val="标题 6 Char"/>
    <w:link w:val="8"/>
    <w:qFormat/>
    <w:uiPriority w:val="0"/>
    <w:rPr>
      <w:rFonts w:ascii="Arial" w:hAnsi="Arial" w:eastAsia="黑体"/>
      <w:b/>
      <w:kern w:val="2"/>
      <w:sz w:val="24"/>
      <w:lang w:val="en-US" w:eastAsia="zh-CN" w:bidi="ar-SA"/>
    </w:rPr>
  </w:style>
  <w:style w:type="character" w:customStyle="1" w:styleId="196">
    <w:name w:val="old"/>
    <w:qFormat/>
    <w:uiPriority w:val="0"/>
    <w:rPr>
      <w:color w:val="999999"/>
    </w:rPr>
  </w:style>
  <w:style w:type="character" w:customStyle="1" w:styleId="197">
    <w:name w:val="样式 标题 3 + 宋体 Char Char"/>
    <w:link w:val="77"/>
    <w:qFormat/>
    <w:uiPriority w:val="0"/>
    <w:rPr>
      <w:rFonts w:ascii="宋体" w:hAnsi="宋体" w:eastAsia="宋体"/>
      <w:snapToGrid w:val="0"/>
      <w:sz w:val="24"/>
      <w:lang w:val="en-US" w:eastAsia="zh-CN" w:bidi="ar-SA"/>
    </w:rPr>
  </w:style>
  <w:style w:type="character" w:customStyle="1" w:styleId="198">
    <w:name w:val="正文文本 Char"/>
    <w:link w:val="2"/>
    <w:qFormat/>
    <w:uiPriority w:val="0"/>
    <w:rPr>
      <w:rFonts w:eastAsia="宋体"/>
      <w:kern w:val="2"/>
      <w:sz w:val="21"/>
      <w:lang w:val="en-US" w:eastAsia="zh-CN" w:bidi="ar-SA"/>
    </w:rPr>
  </w:style>
  <w:style w:type="character" w:customStyle="1" w:styleId="199">
    <w:name w:val="页眉 Char1"/>
    <w:qFormat/>
    <w:uiPriority w:val="0"/>
    <w:rPr>
      <w:rFonts w:ascii="Times New Roman" w:hAnsi="Times New Roman" w:eastAsia="宋体" w:cs="Times New Roman"/>
      <w:sz w:val="18"/>
      <w:szCs w:val="18"/>
    </w:rPr>
  </w:style>
  <w:style w:type="character" w:customStyle="1" w:styleId="200">
    <w:name w:val="页脚 Char"/>
    <w:link w:val="30"/>
    <w:qFormat/>
    <w:uiPriority w:val="0"/>
    <w:rPr>
      <w:rFonts w:ascii="Times New Roman" w:hAnsi="Times New Roman" w:eastAsia="宋体" w:cs="Times New Roman"/>
      <w:kern w:val="0"/>
      <w:sz w:val="18"/>
      <w:szCs w:val="20"/>
    </w:rPr>
  </w:style>
  <w:style w:type="character" w:customStyle="1" w:styleId="201">
    <w:name w:val="glyphicon4"/>
    <w:basedOn w:val="44"/>
    <w:qFormat/>
    <w:uiPriority w:val="0"/>
  </w:style>
  <w:style w:type="character" w:customStyle="1" w:styleId="202">
    <w:name w:val="标题 8 Char"/>
    <w:link w:val="10"/>
    <w:qFormat/>
    <w:uiPriority w:val="0"/>
    <w:rPr>
      <w:rFonts w:ascii="Arial" w:hAnsi="Arial" w:eastAsia="黑体"/>
      <w:kern w:val="2"/>
      <w:sz w:val="24"/>
      <w:lang w:val="en-US" w:eastAsia="zh-CN" w:bidi="ar-SA"/>
    </w:rPr>
  </w:style>
  <w:style w:type="character" w:customStyle="1" w:styleId="203">
    <w:name w:val="正文文本缩进 3 Char"/>
    <w:link w:val="35"/>
    <w:qFormat/>
    <w:uiPriority w:val="0"/>
    <w:rPr>
      <w:rFonts w:eastAsia="宋体"/>
      <w:kern w:val="2"/>
      <w:sz w:val="16"/>
      <w:lang w:val="en-US" w:eastAsia="zh-CN" w:bidi="ar-SA"/>
    </w:rPr>
  </w:style>
  <w:style w:type="character" w:customStyle="1" w:styleId="204">
    <w:name w:val="indent"/>
    <w:basedOn w:val="44"/>
    <w:qFormat/>
    <w:uiPriority w:val="0"/>
  </w:style>
  <w:style w:type="character" w:customStyle="1" w:styleId="205">
    <w:name w:val="button"/>
    <w:basedOn w:val="44"/>
    <w:qFormat/>
    <w:uiPriority w:val="0"/>
  </w:style>
  <w:style w:type="character" w:customStyle="1" w:styleId="206">
    <w:name w:val="Footer-Even Char Char"/>
    <w:qFormat/>
    <w:uiPriority w:val="0"/>
    <w:rPr>
      <w:rFonts w:eastAsia="宋体"/>
      <w:kern w:val="2"/>
      <w:sz w:val="18"/>
      <w:lang w:val="en-US" w:eastAsia="zh-CN" w:bidi="ar-SA"/>
    </w:rPr>
  </w:style>
  <w:style w:type="character" w:customStyle="1" w:styleId="207">
    <w:name w:val="标题 5 Char"/>
    <w:link w:val="7"/>
    <w:qFormat/>
    <w:uiPriority w:val="0"/>
    <w:rPr>
      <w:rFonts w:eastAsia="宋体"/>
      <w:b/>
      <w:kern w:val="2"/>
      <w:sz w:val="28"/>
      <w:lang w:val="en-US" w:eastAsia="zh-CN" w:bidi="ar-SA"/>
    </w:rPr>
  </w:style>
  <w:style w:type="character" w:customStyle="1" w:styleId="208">
    <w:name w:val="普通文字 Char"/>
    <w:qFormat/>
    <w:uiPriority w:val="0"/>
    <w:rPr>
      <w:rFonts w:ascii="宋体" w:hAnsi="Courier New" w:eastAsia="宋体" w:cs="Times New Roman"/>
      <w:szCs w:val="21"/>
    </w:rPr>
  </w:style>
  <w:style w:type="character" w:customStyle="1" w:styleId="209">
    <w:name w:val="页眉 Char"/>
    <w:link w:val="32"/>
    <w:qFormat/>
    <w:uiPriority w:val="0"/>
    <w:rPr>
      <w:kern w:val="2"/>
      <w:sz w:val="18"/>
      <w:lang w:bidi="ar-SA"/>
    </w:rPr>
  </w:style>
  <w:style w:type="character" w:customStyle="1" w:styleId="210">
    <w:name w:val="标题 7 Char"/>
    <w:link w:val="9"/>
    <w:qFormat/>
    <w:uiPriority w:val="0"/>
    <w:rPr>
      <w:rFonts w:eastAsia="宋体"/>
      <w:b/>
      <w:kern w:val="2"/>
      <w:sz w:val="24"/>
      <w:lang w:val="en-US" w:eastAsia="zh-CN" w:bidi="ar-SA"/>
    </w:rPr>
  </w:style>
  <w:style w:type="character" w:customStyle="1" w:styleId="211">
    <w:name w:val="日期 Char Char"/>
    <w:qFormat/>
    <w:uiPriority w:val="0"/>
    <w:rPr>
      <w:rFonts w:ascii="Times New Roman" w:hAnsi="Times New Roman" w:eastAsia="宋体" w:cs="Times New Roman"/>
      <w:b/>
      <w:sz w:val="32"/>
      <w:szCs w:val="20"/>
    </w:rPr>
  </w:style>
  <w:style w:type="character" w:customStyle="1" w:styleId="212">
    <w:name w:val="proollist"/>
    <w:basedOn w:val="44"/>
    <w:qFormat/>
    <w:uiPriority w:val="0"/>
  </w:style>
  <w:style w:type="character" w:customStyle="1" w:styleId="213">
    <w:name w:val="文档结构图 Char"/>
    <w:link w:val="17"/>
    <w:qFormat/>
    <w:uiPriority w:val="0"/>
    <w:rPr>
      <w:rFonts w:eastAsia="宋体"/>
      <w:kern w:val="2"/>
      <w:sz w:val="21"/>
      <w:lang w:val="en-US" w:eastAsia="zh-CN" w:bidi="ar-SA"/>
    </w:rPr>
  </w:style>
  <w:style w:type="character" w:customStyle="1" w:styleId="214">
    <w:name w:val="hour_pm"/>
    <w:basedOn w:val="44"/>
    <w:qFormat/>
    <w:uiPriority w:val="0"/>
  </w:style>
  <w:style w:type="character" w:customStyle="1" w:styleId="215">
    <w:name w:val="正文文本缩进 2 Char"/>
    <w:link w:val="27"/>
    <w:qFormat/>
    <w:uiPriority w:val="0"/>
    <w:rPr>
      <w:rFonts w:eastAsia="宋体"/>
      <w:kern w:val="2"/>
      <w:sz w:val="21"/>
      <w:lang w:val="en-US" w:eastAsia="zh-CN" w:bidi="ar-SA"/>
    </w:rPr>
  </w:style>
  <w:style w:type="character" w:customStyle="1" w:styleId="216">
    <w:name w:val="text1"/>
    <w:basedOn w:val="44"/>
    <w:qFormat/>
    <w:uiPriority w:val="0"/>
  </w:style>
  <w:style w:type="character" w:customStyle="1" w:styleId="217">
    <w:name w:val="标题 2 Char"/>
    <w:link w:val="4"/>
    <w:qFormat/>
    <w:uiPriority w:val="0"/>
    <w:rPr>
      <w:rFonts w:ascii="Arial" w:hAnsi="Arial" w:eastAsia="黑体" w:cs="Times New Roman"/>
      <w:b/>
      <w:bCs/>
      <w:sz w:val="32"/>
      <w:szCs w:val="32"/>
    </w:rPr>
  </w:style>
  <w:style w:type="character" w:customStyle="1" w:styleId="218">
    <w:name w:val="纯文本 Char"/>
    <w:link w:val="24"/>
    <w:qFormat/>
    <w:uiPriority w:val="0"/>
    <w:rPr>
      <w:rFonts w:ascii="宋体" w:hAnsi="Courier New" w:eastAsia="宋体"/>
      <w:kern w:val="2"/>
      <w:sz w:val="21"/>
      <w:lang w:val="en-US" w:eastAsia="zh-CN" w:bidi="ar-SA"/>
    </w:rPr>
  </w:style>
  <w:style w:type="character" w:customStyle="1" w:styleId="219">
    <w:name w:val="zi71"/>
    <w:qFormat/>
    <w:uiPriority w:val="0"/>
    <w:rPr>
      <w:color w:val="000000"/>
      <w:sz w:val="20"/>
      <w:u w:val="none"/>
    </w:rPr>
  </w:style>
  <w:style w:type="character" w:customStyle="1" w:styleId="220">
    <w:name w:val="Char Char2"/>
    <w:qFormat/>
    <w:uiPriority w:val="0"/>
    <w:rPr>
      <w:rFonts w:ascii="Arial" w:hAnsi="Arial" w:eastAsia="黑体"/>
      <w:b/>
      <w:bCs/>
      <w:kern w:val="2"/>
      <w:sz w:val="32"/>
      <w:szCs w:val="32"/>
      <w:lang w:val="en-US" w:eastAsia="zh-CN" w:bidi="ar-SA"/>
    </w:rPr>
  </w:style>
  <w:style w:type="character" w:customStyle="1" w:styleId="221">
    <w:name w:val="页眉 Char Char"/>
    <w:qFormat/>
    <w:uiPriority w:val="0"/>
    <w:rPr>
      <w:rFonts w:ascii="Times New Roman" w:hAnsi="Times New Roman" w:eastAsia="宋体" w:cs="Times New Roman"/>
      <w:sz w:val="18"/>
      <w:szCs w:val="18"/>
    </w:rPr>
  </w:style>
  <w:style w:type="character" w:customStyle="1" w:styleId="222">
    <w:name w:val="页码1"/>
    <w:qFormat/>
    <w:uiPriority w:val="0"/>
    <w:rPr>
      <w:rFonts w:hint="default" w:ascii="Times New Roman"/>
    </w:rPr>
  </w:style>
  <w:style w:type="character" w:customStyle="1" w:styleId="223">
    <w:name w:val="f141"/>
    <w:qFormat/>
    <w:uiPriority w:val="0"/>
    <w:rPr>
      <w:sz w:val="21"/>
    </w:rPr>
  </w:style>
  <w:style w:type="character" w:customStyle="1" w:styleId="224">
    <w:name w:val="hover3"/>
    <w:qFormat/>
    <w:uiPriority w:val="0"/>
    <w:rPr>
      <w:shd w:val="clear" w:color="auto" w:fill="EEEEEE"/>
    </w:rPr>
  </w:style>
  <w:style w:type="character" w:customStyle="1" w:styleId="225">
    <w:name w:val="tmpztreemove_arrow"/>
    <w:qFormat/>
    <w:uiPriority w:val="0"/>
    <w:rPr>
      <w:shd w:val="clear" w:color="auto" w:fill="FFFFFF"/>
    </w:rPr>
  </w:style>
  <w:style w:type="character" w:customStyle="1" w:styleId="226">
    <w:name w:val="标题 4 Char"/>
    <w:link w:val="6"/>
    <w:qFormat/>
    <w:uiPriority w:val="0"/>
    <w:rPr>
      <w:rFonts w:eastAsia="宋体"/>
      <w:color w:val="FF0000"/>
      <w:kern w:val="2"/>
      <w:sz w:val="28"/>
      <w:u w:val="single"/>
      <w:lang w:val="en-US" w:eastAsia="zh-CN" w:bidi="ar-SA"/>
    </w:rPr>
  </w:style>
  <w:style w:type="character" w:customStyle="1" w:styleId="227">
    <w:name w:val="正文文本 2 Char"/>
    <w:link w:val="37"/>
    <w:qFormat/>
    <w:uiPriority w:val="0"/>
    <w:rPr>
      <w:rFonts w:eastAsia="宋体"/>
      <w:kern w:val="2"/>
      <w:sz w:val="30"/>
      <w:lang w:val="en-US" w:eastAsia="zh-CN" w:bidi="ar-SA"/>
    </w:rPr>
  </w:style>
  <w:style w:type="character" w:customStyle="1" w:styleId="228">
    <w:name w:val="paramname3"/>
    <w:qFormat/>
    <w:uiPriority w:val="0"/>
    <w:rPr>
      <w:color w:val="999999"/>
    </w:rPr>
  </w:style>
  <w:style w:type="character" w:customStyle="1" w:styleId="229">
    <w:name w:val="Char Char7"/>
    <w:qFormat/>
    <w:uiPriority w:val="0"/>
    <w:rPr>
      <w:rFonts w:ascii="Times New Roman" w:hAnsi="Times New Roman" w:eastAsia="宋体"/>
    </w:rPr>
  </w:style>
  <w:style w:type="character" w:customStyle="1" w:styleId="230">
    <w:name w:val="标题 3 Char1 Char"/>
    <w:qFormat/>
    <w:uiPriority w:val="0"/>
    <w:rPr>
      <w:rFonts w:ascii="Times New Roman" w:hAnsi="Times New Roman" w:eastAsia="宋体"/>
      <w:b/>
      <w:sz w:val="32"/>
    </w:rPr>
  </w:style>
  <w:style w:type="character" w:customStyle="1" w:styleId="231">
    <w:name w:val="Heading 2 Char"/>
    <w:qFormat/>
    <w:locked/>
    <w:uiPriority w:val="0"/>
    <w:rPr>
      <w:rFonts w:ascii="Arial" w:hAnsi="Arial" w:eastAsia="黑体" w:cs="Times New Roman"/>
      <w:b/>
      <w:bCs/>
      <w:sz w:val="32"/>
      <w:szCs w:val="32"/>
    </w:rPr>
  </w:style>
  <w:style w:type="character" w:customStyle="1" w:styleId="232">
    <w:name w:val="hour_am"/>
    <w:basedOn w:val="44"/>
    <w:qFormat/>
    <w:uiPriority w:val="0"/>
  </w:style>
  <w:style w:type="character" w:customStyle="1" w:styleId="233">
    <w:name w:val="spantable1"/>
    <w:qFormat/>
    <w:uiPriority w:val="0"/>
    <w:rPr>
      <w:rFonts w:hint="default" w:ascii="ˎ̥" w:hAnsi="ˎ̥"/>
      <w:sz w:val="18"/>
    </w:rPr>
  </w:style>
  <w:style w:type="character" w:customStyle="1" w:styleId="234">
    <w:name w:val="标题 1 Char Char"/>
    <w:qFormat/>
    <w:uiPriority w:val="0"/>
    <w:rPr>
      <w:rFonts w:ascii="Times New Roman" w:hAnsi="Times New Roman" w:eastAsia="宋体" w:cs="Times New Roman"/>
      <w:b/>
      <w:bCs/>
      <w:kern w:val="44"/>
      <w:sz w:val="44"/>
      <w:szCs w:val="44"/>
    </w:rPr>
  </w:style>
  <w:style w:type="character" w:customStyle="1" w:styleId="235">
    <w:name w:val="正文文字 Char"/>
    <w:qFormat/>
    <w:uiPriority w:val="0"/>
    <w:rPr>
      <w:rFonts w:eastAsia="宋体"/>
      <w:kern w:val="2"/>
      <w:sz w:val="21"/>
      <w:lang w:val="en-US" w:eastAsia="zh-CN"/>
    </w:rPr>
  </w:style>
  <w:style w:type="character" w:customStyle="1" w:styleId="236">
    <w:name w:val="标题 9 Char"/>
    <w:link w:val="11"/>
    <w:qFormat/>
    <w:uiPriority w:val="0"/>
    <w:rPr>
      <w:rFonts w:ascii="Arial" w:hAnsi="Arial" w:eastAsia="黑体"/>
      <w:kern w:val="2"/>
      <w:sz w:val="21"/>
      <w:lang w:val="en-US" w:eastAsia="zh-CN" w:bidi="ar-SA"/>
    </w:rPr>
  </w:style>
  <w:style w:type="character" w:customStyle="1" w:styleId="237">
    <w:name w:val="标题 1 Char"/>
    <w:link w:val="3"/>
    <w:qFormat/>
    <w:uiPriority w:val="0"/>
    <w:rPr>
      <w:rFonts w:ascii="宋体" w:hAnsi="宋体" w:eastAsia="宋体"/>
      <w:b/>
      <w:kern w:val="2"/>
      <w:sz w:val="36"/>
      <w:lang w:val="en-US" w:eastAsia="zh-CN" w:bidi="ar-SA"/>
    </w:rPr>
  </w:style>
  <w:style w:type="paragraph" w:customStyle="1" w:styleId="238">
    <w:name w:val="title14"/>
    <w:basedOn w:val="1"/>
    <w:qFormat/>
    <w:uiPriority w:val="0"/>
    <w:pPr>
      <w:spacing w:before="100"/>
      <w:jc w:val="left"/>
    </w:pPr>
    <w:rPr>
      <w:b/>
      <w:kern w:val="0"/>
      <w:sz w:val="15"/>
      <w:szCs w:val="15"/>
    </w:rPr>
  </w:style>
  <w:style w:type="paragraph" w:customStyle="1" w:styleId="239">
    <w:name w:val="标题 31"/>
    <w:basedOn w:val="1"/>
    <w:next w:val="1"/>
    <w:unhideWhenUsed/>
    <w:qFormat/>
    <w:uiPriority w:val="0"/>
    <w:pPr>
      <w:keepNext/>
      <w:keepLines/>
      <w:numPr>
        <w:ilvl w:val="2"/>
        <w:numId w:val="1"/>
      </w:numPr>
      <w:spacing w:before="260" w:after="260" w:line="413" w:lineRule="auto"/>
      <w:outlineLvl w:val="2"/>
    </w:pPr>
    <w:rPr>
      <w:rFonts w:eastAsia="黑体"/>
      <w:b/>
      <w:sz w:val="36"/>
    </w:rPr>
  </w:style>
  <w:style w:type="character" w:customStyle="1" w:styleId="240">
    <w:name w:val="font171"/>
    <w:basedOn w:val="44"/>
    <w:qFormat/>
    <w:uiPriority w:val="0"/>
    <w:rPr>
      <w:rFonts w:hint="default" w:ascii="宋体-简" w:hAnsi="宋体-简" w:eastAsia="宋体-简" w:cs="宋体-简"/>
      <w:color w:val="000000"/>
      <w:sz w:val="18"/>
      <w:szCs w:val="18"/>
      <w:u w:val="none"/>
    </w:rPr>
  </w:style>
  <w:style w:type="character" w:customStyle="1" w:styleId="241">
    <w:name w:val="font131"/>
    <w:basedOn w:val="44"/>
    <w:qFormat/>
    <w:uiPriority w:val="0"/>
    <w:rPr>
      <w:rFonts w:ascii="Calibri" w:hAnsi="Calibri" w:cs="Calibri"/>
      <w:color w:val="000000"/>
      <w:sz w:val="18"/>
      <w:szCs w:val="18"/>
      <w:u w:val="none"/>
    </w:rPr>
  </w:style>
  <w:style w:type="paragraph" w:customStyle="1" w:styleId="242">
    <w:name w:val="正文 New"/>
    <w:qFormat/>
    <w:uiPriority w:val="99"/>
    <w:pPr>
      <w:widowControl w:val="0"/>
      <w:jc w:val="both"/>
    </w:pPr>
    <w:rPr>
      <w:rFonts w:ascii="Calibri" w:hAnsi="Calibri" w:eastAsia="宋体" w:cs="Times New Roman"/>
      <w:lang w:val="en-US" w:eastAsia="zh-CN" w:bidi="ar-SA"/>
    </w:rPr>
  </w:style>
  <w:style w:type="character" w:customStyle="1" w:styleId="243">
    <w:name w:val="NormalCharacter"/>
    <w:qFormat/>
    <w:uiPriority w:val="0"/>
    <w:rPr>
      <w:rFonts w:ascii="Times New Roman" w:hAnsi="Times New Roman" w:eastAsia="宋体"/>
    </w:rPr>
  </w:style>
  <w:style w:type="character" w:customStyle="1" w:styleId="244">
    <w:name w:val="p0 Char"/>
    <w:link w:val="141"/>
    <w:qFormat/>
    <w:uiPriority w:val="0"/>
    <w:rPr>
      <w:rFonts w:ascii="Calibri" w:hAnsi="Calibri" w:cs="宋体"/>
      <w:sz w:val="24"/>
      <w:szCs w:val="24"/>
    </w:rPr>
  </w:style>
  <w:style w:type="character" w:customStyle="1" w:styleId="245">
    <w:name w:val="称呼 Char"/>
    <w:basedOn w:val="44"/>
    <w:link w:val="20"/>
    <w:qFormat/>
    <w:uiPriority w:val="99"/>
    <w:rPr>
      <w:rFonts w:ascii="Calibri" w:hAnsi="Calibri"/>
      <w:kern w:val="2"/>
      <w:sz w:val="24"/>
    </w:rPr>
  </w:style>
  <w:style w:type="character" w:customStyle="1" w:styleId="246">
    <w:name w:val="font31"/>
    <w:basedOn w:val="44"/>
    <w:qFormat/>
    <w:uiPriority w:val="0"/>
    <w:rPr>
      <w:rFonts w:hint="eastAsia" w:ascii="仿宋" w:hAnsi="仿宋" w:eastAsia="仿宋" w:cs="仿宋"/>
      <w:b/>
      <w:bCs/>
      <w:color w:val="000000"/>
      <w:sz w:val="24"/>
      <w:szCs w:val="24"/>
      <w:u w:val="none"/>
    </w:rPr>
  </w:style>
  <w:style w:type="paragraph" w:customStyle="1" w:styleId="247">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248">
    <w:name w:val="WPSOffice手动目录 2"/>
    <w:qFormat/>
    <w:uiPriority w:val="0"/>
    <w:pPr>
      <w:ind w:leftChars="200"/>
    </w:pPr>
    <w:rPr>
      <w:rFonts w:ascii="Times New Roman" w:hAnsi="Times New Roman" w:eastAsia="宋体" w:cs="Times New Roman"/>
      <w:sz w:val="20"/>
      <w:szCs w:val="20"/>
    </w:rPr>
  </w:style>
  <w:style w:type="paragraph" w:customStyle="1" w:styleId="249">
    <w:name w:val="默认段落字体 Para Char Char Char Char Char Char Char"/>
    <w:basedOn w:val="1"/>
    <w:qFormat/>
    <w:uiPriority w:val="0"/>
    <w:rPr>
      <w:rFonts w:ascii="Tahoma" w:hAnsi="Tahoma"/>
      <w:sz w:val="24"/>
      <w:szCs w:val="20"/>
    </w:rPr>
  </w:style>
  <w:style w:type="character" w:customStyle="1" w:styleId="250">
    <w:name w:val="font11"/>
    <w:basedOn w:val="44"/>
    <w:qFormat/>
    <w:uiPriority w:val="0"/>
    <w:rPr>
      <w:rFonts w:hint="eastAsia" w:ascii="宋体" w:hAnsi="宋体" w:eastAsia="宋体" w:cs="宋体"/>
      <w:color w:val="000000"/>
      <w:sz w:val="22"/>
      <w:szCs w:val="22"/>
      <w:u w:val="none"/>
    </w:rPr>
  </w:style>
  <w:style w:type="paragraph" w:customStyle="1" w:styleId="251">
    <w:name w:val="Normal Indent1"/>
    <w:basedOn w:val="1"/>
    <w:autoRedefine/>
    <w:qFormat/>
    <w:uiPriority w:val="99"/>
    <w:pPr>
      <w:spacing w:line="660" w:lineRule="exact"/>
      <w:ind w:firstLine="720" w:firstLineChars="200"/>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67</Pages>
  <Words>19948</Words>
  <Characters>21535</Characters>
  <Lines>309</Lines>
  <Paragraphs>87</Paragraphs>
  <TotalTime>1</TotalTime>
  <ScaleCrop>false</ScaleCrop>
  <LinksUpToDate>false</LinksUpToDate>
  <CharactersWithSpaces>23269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2013-07-11T02:47:00Z</dcterms:created>
  <dc:creator>微软用户</dc:creator>
  <cp:lastModifiedBy>俗野</cp:lastModifiedBy>
  <cp:lastPrinted>2024-09-04T03:38:00Z</cp:lastPrinted>
  <dcterms:modified xsi:type="dcterms:W3CDTF">2024-11-12T09:02:58Z</dcterms:modified>
  <dc:title>招标编号：SXLHZB2009-124</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39DFB93AD4974A1D845E9BE8B6B0ED0C_13</vt:lpwstr>
  </property>
</Properties>
</file>