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auto"/>
        <w:jc w:val="left"/>
        <w:rPr>
          <w:rFonts w:hint="default" w:ascii="宋体" w:hAnsi="宋体" w:eastAsia="宋体" w:cs="宋体"/>
          <w:b/>
          <w:sz w:val="28"/>
          <w:szCs w:val="28"/>
          <w:lang w:val="en-US" w:eastAsia="zh-CN"/>
        </w:rPr>
      </w:pPr>
      <w:bookmarkStart w:id="0" w:name="_Toc193702467"/>
      <w:bookmarkStart w:id="1" w:name="_Toc12011"/>
      <w:bookmarkStart w:id="2" w:name="_Toc22392"/>
      <w:bookmarkStart w:id="3" w:name="_Toc12260"/>
      <w:bookmarkStart w:id="4" w:name="_Toc6410"/>
      <w:bookmarkStart w:id="5" w:name="_Toc246928891"/>
      <w:bookmarkStart w:id="6" w:name="_Toc465958085"/>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HYDZB-2024-010</w:t>
      </w:r>
    </w:p>
    <w:p>
      <w:pPr>
        <w:pStyle w:val="3"/>
        <w:jc w:val="both"/>
        <w:rPr>
          <w:rFonts w:hint="eastAsia"/>
          <w:sz w:val="44"/>
          <w:szCs w:val="44"/>
          <w:lang w:val="en-US" w:eastAsia="zh-CN"/>
        </w:rPr>
      </w:pPr>
    </w:p>
    <w:p>
      <w:pPr>
        <w:pStyle w:val="3"/>
        <w:rPr>
          <w:rFonts w:hint="eastAsia"/>
          <w:sz w:val="44"/>
          <w:szCs w:val="44"/>
          <w:lang w:val="en-US" w:eastAsia="zh-CN"/>
        </w:rPr>
      </w:pPr>
    </w:p>
    <w:p>
      <w:pPr>
        <w:spacing w:line="480" w:lineRule="auto"/>
        <w:jc w:val="center"/>
        <w:rPr>
          <w:rFonts w:hint="eastAsia" w:ascii="宋体" w:hAnsi="宋体" w:cs="宋体"/>
          <w:b/>
          <w:sz w:val="52"/>
          <w:szCs w:val="52"/>
          <w:lang w:eastAsia="zh-CN"/>
        </w:rPr>
      </w:pPr>
      <w:r>
        <w:rPr>
          <w:rFonts w:hint="eastAsia" w:ascii="宋体" w:hAnsi="宋体" w:cs="宋体"/>
          <w:b/>
          <w:sz w:val="52"/>
          <w:szCs w:val="52"/>
          <w:lang w:eastAsia="zh-CN"/>
        </w:rPr>
        <w:t>榆林市文化和旅游局2024“陕北榆林过大年”系列活动及宣传服务项目</w:t>
      </w:r>
    </w:p>
    <w:p>
      <w:pPr>
        <w:pStyle w:val="8"/>
        <w:rPr>
          <w:rFonts w:hint="eastAsia"/>
        </w:rPr>
      </w:pPr>
    </w:p>
    <w:p>
      <w:pPr>
        <w:rPr>
          <w:rFonts w:hint="eastAsia"/>
        </w:rPr>
      </w:pPr>
    </w:p>
    <w:p>
      <w:pPr>
        <w:jc w:val="center"/>
        <w:rPr>
          <w:rFonts w:hint="eastAsia" w:ascii="宋体" w:hAnsi="宋体" w:cs="宋体"/>
          <w:b/>
          <w:sz w:val="80"/>
          <w:szCs w:val="80"/>
        </w:rPr>
      </w:pPr>
    </w:p>
    <w:p>
      <w:pPr>
        <w:pStyle w:val="7"/>
        <w:rPr>
          <w:rFonts w:hint="eastAsia"/>
        </w:rPr>
      </w:pPr>
    </w:p>
    <w:p>
      <w:pPr>
        <w:jc w:val="center"/>
        <w:rPr>
          <w:rFonts w:ascii="宋体" w:hAnsi="宋体" w:cs="宋体"/>
          <w:b/>
          <w:sz w:val="80"/>
          <w:szCs w:val="80"/>
        </w:rPr>
      </w:pPr>
      <w:r>
        <w:rPr>
          <w:rFonts w:hint="eastAsia" w:ascii="宋体" w:hAnsi="宋体" w:cs="宋体"/>
          <w:b/>
          <w:sz w:val="80"/>
          <w:szCs w:val="80"/>
        </w:rPr>
        <w:t>竞争性谈判文件</w:t>
      </w:r>
    </w:p>
    <w:p>
      <w:pPr>
        <w:spacing w:line="420" w:lineRule="auto"/>
        <w:rPr>
          <w:rFonts w:ascii="宋体" w:hAnsi="宋体" w:cs="宋体"/>
          <w:bCs/>
          <w:sz w:val="24"/>
          <w:szCs w:val="24"/>
        </w:rPr>
      </w:pPr>
    </w:p>
    <w:p>
      <w:pPr>
        <w:spacing w:line="420" w:lineRule="auto"/>
        <w:rPr>
          <w:rFonts w:ascii="宋体" w:hAnsi="宋体" w:cs="宋体"/>
          <w:bCs/>
          <w:sz w:val="24"/>
          <w:szCs w:val="24"/>
        </w:rPr>
      </w:pPr>
    </w:p>
    <w:p>
      <w:pPr>
        <w:pStyle w:val="9"/>
        <w:rPr>
          <w:rFonts w:ascii="宋体" w:hAnsi="宋体" w:cs="宋体"/>
          <w:bCs/>
          <w:sz w:val="11"/>
          <w:szCs w:val="11"/>
        </w:rPr>
      </w:pPr>
    </w:p>
    <w:p>
      <w:pPr>
        <w:rPr>
          <w:rFonts w:ascii="宋体" w:hAnsi="宋体" w:cs="宋体"/>
          <w:bCs/>
          <w:sz w:val="11"/>
          <w:szCs w:val="11"/>
        </w:rPr>
      </w:pPr>
    </w:p>
    <w:p>
      <w:pPr>
        <w:pStyle w:val="39"/>
        <w:rPr>
          <w:rFonts w:ascii="宋体" w:hAnsi="宋体" w:cs="宋体"/>
          <w:bCs/>
          <w:sz w:val="11"/>
          <w:szCs w:val="11"/>
        </w:rPr>
      </w:pPr>
    </w:p>
    <w:p>
      <w:pPr>
        <w:pStyle w:val="39"/>
        <w:rPr>
          <w:rFonts w:ascii="宋体" w:hAnsi="宋体" w:cs="宋体"/>
          <w:bCs/>
          <w:sz w:val="11"/>
          <w:szCs w:val="11"/>
        </w:rPr>
      </w:pPr>
    </w:p>
    <w:p>
      <w:pPr>
        <w:pStyle w:val="7"/>
        <w:ind w:firstLine="0"/>
        <w:rPr>
          <w:sz w:val="40"/>
          <w:szCs w:val="40"/>
        </w:rPr>
      </w:pPr>
    </w:p>
    <w:p>
      <w:pPr>
        <w:snapToGrid w:val="0"/>
        <w:spacing w:line="480" w:lineRule="auto"/>
        <w:rPr>
          <w:rFonts w:hint="eastAsia" w:ascii="宋体" w:hAnsi="宋体" w:eastAsia="宋体" w:cs="宋体"/>
          <w:b/>
          <w:sz w:val="32"/>
          <w:szCs w:val="32"/>
          <w:lang w:eastAsia="zh-CN"/>
        </w:rPr>
      </w:pPr>
      <w:bookmarkStart w:id="8" w:name="OLE_LINK43"/>
      <w:r>
        <w:rPr>
          <w:rFonts w:hint="eastAsia" w:ascii="宋体" w:hAnsi="宋体" w:cs="宋体"/>
          <w:b/>
          <w:sz w:val="24"/>
          <w:szCs w:val="24"/>
        </w:rPr>
        <w:t xml:space="preserve">      </w:t>
      </w:r>
      <w:r>
        <w:rPr>
          <w:rFonts w:hint="eastAsia" w:ascii="宋体" w:hAnsi="宋体" w:cs="宋体"/>
          <w:b/>
          <w:sz w:val="32"/>
          <w:szCs w:val="32"/>
        </w:rPr>
        <w:t>采购人：</w:t>
      </w:r>
      <w:r>
        <w:rPr>
          <w:rFonts w:hint="eastAsia" w:ascii="宋体" w:hAnsi="宋体" w:cs="宋体"/>
          <w:b/>
          <w:sz w:val="32"/>
          <w:szCs w:val="32"/>
          <w:lang w:eastAsia="zh-CN"/>
        </w:rPr>
        <w:t>榆林市文化和旅游局</w:t>
      </w:r>
    </w:p>
    <w:p>
      <w:pPr>
        <w:pStyle w:val="9"/>
      </w:pPr>
    </w:p>
    <w:p>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pPr>
        <w:snapToGrid w:val="0"/>
        <w:jc w:val="center"/>
        <w:rPr>
          <w:rFonts w:ascii="宋体" w:hAnsi="宋体" w:cs="宋体"/>
          <w:b/>
          <w:sz w:val="32"/>
          <w:szCs w:val="32"/>
        </w:rPr>
      </w:pPr>
    </w:p>
    <w:p>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四</w:t>
      </w:r>
      <w:r>
        <w:rPr>
          <w:rFonts w:hint="eastAsia" w:ascii="宋体" w:hAnsi="宋体" w:cs="宋体"/>
          <w:b/>
          <w:sz w:val="32"/>
          <w:szCs w:val="32"/>
        </w:rPr>
        <w:t>年</w:t>
      </w:r>
      <w:r>
        <w:rPr>
          <w:rFonts w:hint="eastAsia" w:ascii="宋体" w:hAnsi="宋体" w:cs="宋体"/>
          <w:b/>
          <w:sz w:val="32"/>
          <w:szCs w:val="32"/>
          <w:lang w:val="en-US" w:eastAsia="zh-CN"/>
        </w:rPr>
        <w:t>一</w:t>
      </w:r>
      <w:r>
        <w:rPr>
          <w:rFonts w:hint="eastAsia" w:ascii="宋体" w:hAnsi="宋体" w:cs="宋体"/>
          <w:b/>
          <w:sz w:val="32"/>
          <w:szCs w:val="32"/>
        </w:rPr>
        <w:t>月</w:t>
      </w:r>
    </w:p>
    <w:bookmarkEnd w:id="8"/>
    <w:p>
      <w:pPr>
        <w:pStyle w:val="18"/>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pPr>
        <w:pStyle w:val="17"/>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pPr>
        <w:spacing w:line="600" w:lineRule="auto"/>
        <w:jc w:val="center"/>
        <w:rPr>
          <w:rFonts w:ascii="宋体" w:hAnsi="宋体"/>
          <w:sz w:val="44"/>
          <w:szCs w:val="44"/>
        </w:rPr>
      </w:pPr>
    </w:p>
    <w:p>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pPr>
        <w:pStyle w:val="17"/>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17"/>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17"/>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pPr>
        <w:tabs>
          <w:tab w:val="left" w:pos="7605"/>
        </w:tabs>
        <w:rPr>
          <w:sz w:val="24"/>
          <w:szCs w:val="24"/>
        </w:rPr>
      </w:pPr>
      <w:r>
        <w:rPr>
          <w:rFonts w:hint="eastAsia"/>
          <w:sz w:val="24"/>
          <w:szCs w:val="24"/>
        </w:rPr>
        <w:tab/>
      </w:r>
    </w:p>
    <w:p>
      <w:pPr>
        <w:rPr>
          <w:sz w:val="24"/>
          <w:szCs w:val="24"/>
        </w:rPr>
      </w:pPr>
    </w:p>
    <w:p>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bookmarkStart w:id="393" w:name="_GoBack"/>
      <w:bookmarkEnd w:id="393"/>
    </w:p>
    <w:p>
      <w:pPr>
        <w:pStyle w:val="17"/>
        <w:tabs>
          <w:tab w:val="right" w:leader="dot" w:pos="8829"/>
        </w:tabs>
        <w:spacing w:line="360" w:lineRule="auto"/>
        <w:jc w:val="center"/>
        <w:outlineLvl w:val="0"/>
        <w:rPr>
          <w:rFonts w:ascii="宋体" w:hAnsi="宋体"/>
          <w:sz w:val="24"/>
        </w:rPr>
      </w:pPr>
      <w:bookmarkStart w:id="9" w:name="_Toc14990"/>
      <w:bookmarkStart w:id="10" w:name="_Toc31446"/>
      <w:bookmarkStart w:id="11" w:name="_Toc4933"/>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_Toc246928892"/>
      <w:bookmarkStart w:id="13" w:name="OLE_LINK5"/>
      <w:bookmarkStart w:id="14" w:name="OLE_LINK15"/>
      <w:bookmarkStart w:id="15" w:name="OLE_LINK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2024“陕北榆林过大年”系列活动及宣传服务项目采购项目的潜在供应商应在CA锁自行下载获取采购文件，并于 2024年</w:t>
      </w:r>
      <w:r>
        <w:rPr>
          <w:rFonts w:hint="eastAsia" w:ascii="宋体" w:hAnsi="宋体" w:cs="宋体"/>
          <w:sz w:val="24"/>
          <w:szCs w:val="24"/>
          <w:lang w:val="en-US" w:eastAsia="zh-CN"/>
        </w:rPr>
        <w:t>01</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 13时30分 （北京时间）前提交响应文件。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项目编号：HYDZB-2024-010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项目名称：2024“陕北榆林过大年”系列活动及宣传服务项目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采购方式：竞争性谈判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预算金额：6,380,000.00元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合同包1(广告宣传服务):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合同包预算金额：1,900,000.00元</w:t>
      </w:r>
    </w:p>
    <w:tbl>
      <w:tblPr>
        <w:tblStyle w:val="21"/>
        <w:tblW w:w="949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90"/>
        <w:gridCol w:w="1572"/>
        <w:gridCol w:w="2263"/>
        <w:gridCol w:w="1199"/>
        <w:gridCol w:w="1593"/>
        <w:gridCol w:w="1500"/>
        <w:gridCol w:w="7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51" w:hRule="atLeast"/>
          <w:tblHeader/>
        </w:trPr>
        <w:tc>
          <w:tcPr>
            <w:tcW w:w="5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品目号</w:t>
            </w:r>
          </w:p>
        </w:tc>
        <w:tc>
          <w:tcPr>
            <w:tcW w:w="14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品目名称</w:t>
            </w:r>
          </w:p>
        </w:tc>
        <w:tc>
          <w:tcPr>
            <w:tcW w:w="2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采购标的</w:t>
            </w:r>
          </w:p>
        </w:tc>
        <w:tc>
          <w:tcPr>
            <w:tcW w:w="12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数量（单位）</w:t>
            </w:r>
          </w:p>
        </w:tc>
        <w:tc>
          <w:tcPr>
            <w:tcW w:w="14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品目预算(元)</w:t>
            </w:r>
          </w:p>
        </w:tc>
        <w:tc>
          <w:tcPr>
            <w:tcW w:w="7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广告宣传服务</w:t>
            </w:r>
          </w:p>
        </w:tc>
        <w:tc>
          <w:tcPr>
            <w:tcW w:w="2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西安地铁投放宣传广告服务项目</w:t>
            </w:r>
          </w:p>
        </w:tc>
        <w:tc>
          <w:tcPr>
            <w:tcW w:w="12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1,900,000.00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合同包2(其他文化艺术服务):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合同包预算金额：700,000.00元</w:t>
      </w:r>
    </w:p>
    <w:tbl>
      <w:tblPr>
        <w:tblStyle w:val="21"/>
        <w:tblW w:w="947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72"/>
        <w:gridCol w:w="2158"/>
        <w:gridCol w:w="1898"/>
        <w:gridCol w:w="1174"/>
        <w:gridCol w:w="1277"/>
        <w:gridCol w:w="1461"/>
        <w:gridCol w:w="9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77" w:hRule="atLeast"/>
          <w:tblHeader/>
        </w:trPr>
        <w:tc>
          <w:tcPr>
            <w:tcW w:w="5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品目号</w:t>
            </w:r>
          </w:p>
        </w:tc>
        <w:tc>
          <w:tcPr>
            <w:tcW w:w="21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品目名称</w:t>
            </w:r>
          </w:p>
        </w:tc>
        <w:tc>
          <w:tcPr>
            <w:tcW w:w="18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采购标的</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数量（单位）</w:t>
            </w:r>
          </w:p>
        </w:tc>
        <w:tc>
          <w:tcPr>
            <w:tcW w:w="1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技术规格、参数及要求</w:t>
            </w:r>
          </w:p>
        </w:tc>
        <w:tc>
          <w:tcPr>
            <w:tcW w:w="1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品目预算(元)</w:t>
            </w:r>
          </w:p>
        </w:tc>
        <w:tc>
          <w:tcPr>
            <w:tcW w:w="9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91"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其他文化艺术服务</w:t>
            </w:r>
          </w:p>
        </w:tc>
        <w:tc>
          <w:tcPr>
            <w:tcW w:w="18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2024“陕北榆林过大年”活动航旅宣传服务项目</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1(项)</w:t>
            </w:r>
          </w:p>
        </w:tc>
        <w:tc>
          <w:tcPr>
            <w:tcW w:w="1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详见采购文件</w:t>
            </w:r>
          </w:p>
        </w:tc>
        <w:tc>
          <w:tcPr>
            <w:tcW w:w="14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700,000.00</w:t>
            </w:r>
          </w:p>
        </w:tc>
        <w:tc>
          <w:tcPr>
            <w:tcW w:w="9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合同包3(广告宣传服务):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合同包预算金额：1,300,000.00元</w:t>
      </w:r>
    </w:p>
    <w:tbl>
      <w:tblPr>
        <w:tblStyle w:val="21"/>
        <w:tblW w:w="91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1"/>
        <w:gridCol w:w="1466"/>
        <w:gridCol w:w="2704"/>
        <w:gridCol w:w="764"/>
        <w:gridCol w:w="1501"/>
        <w:gridCol w:w="1299"/>
        <w:gridCol w:w="86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50"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品目号</w:t>
            </w:r>
          </w:p>
        </w:tc>
        <w:tc>
          <w:tcPr>
            <w:tcW w:w="14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品目名称</w:t>
            </w:r>
          </w:p>
        </w:tc>
        <w:tc>
          <w:tcPr>
            <w:tcW w:w="27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采购标的</w:t>
            </w:r>
          </w:p>
        </w:tc>
        <w:tc>
          <w:tcPr>
            <w:tcW w:w="7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数量（单位）</w:t>
            </w:r>
          </w:p>
        </w:tc>
        <w:tc>
          <w:tcPr>
            <w:tcW w:w="15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技术规格、参数及要求</w:t>
            </w:r>
          </w:p>
        </w:tc>
        <w:tc>
          <w:tcPr>
            <w:tcW w:w="12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品目预算(元)</w:t>
            </w:r>
          </w:p>
        </w:tc>
        <w:tc>
          <w:tcPr>
            <w:tcW w:w="8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66" w:hRule="atLeast"/>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3-1</w:t>
            </w:r>
          </w:p>
        </w:tc>
        <w:tc>
          <w:tcPr>
            <w:tcW w:w="14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广告宣传服务</w:t>
            </w:r>
          </w:p>
        </w:tc>
        <w:tc>
          <w:tcPr>
            <w:tcW w:w="27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2024“陕北榆林过大年”活动抖音平台宣传服务项目</w:t>
            </w:r>
          </w:p>
        </w:tc>
        <w:tc>
          <w:tcPr>
            <w:tcW w:w="7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1(项)</w:t>
            </w:r>
          </w:p>
        </w:tc>
        <w:tc>
          <w:tcPr>
            <w:tcW w:w="15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详见采购文件</w:t>
            </w:r>
          </w:p>
        </w:tc>
        <w:tc>
          <w:tcPr>
            <w:tcW w:w="12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1,300,000.00</w:t>
            </w:r>
          </w:p>
        </w:tc>
        <w:tc>
          <w:tcPr>
            <w:tcW w:w="8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rPr>
                <w:rFonts w:hint="eastAsia"/>
                <w:sz w:val="24"/>
                <w:szCs w:val="22"/>
              </w:rPr>
            </w:pPr>
            <w:r>
              <w:rPr>
                <w:rFonts w:hint="eastAsia"/>
                <w:sz w:val="24"/>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合同包4(群众文化活动服务):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合同包预算金额：1,980,000.00元</w:t>
      </w:r>
    </w:p>
    <w:tbl>
      <w:tblPr>
        <w:tblStyle w:val="21"/>
        <w:tblW w:w="92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06"/>
        <w:gridCol w:w="1399"/>
        <w:gridCol w:w="2187"/>
        <w:gridCol w:w="1026"/>
        <w:gridCol w:w="1245"/>
        <w:gridCol w:w="1816"/>
        <w:gridCol w:w="77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66" w:hRule="atLeast"/>
          <w:tblHeader/>
        </w:trPr>
        <w:tc>
          <w:tcPr>
            <w:tcW w:w="10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品目号</w:t>
            </w:r>
          </w:p>
        </w:tc>
        <w:tc>
          <w:tcPr>
            <w:tcW w:w="12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品目名称</w:t>
            </w:r>
          </w:p>
        </w:tc>
        <w:tc>
          <w:tcPr>
            <w:tcW w:w="15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采购标的</w:t>
            </w:r>
          </w:p>
        </w:tc>
        <w:tc>
          <w:tcPr>
            <w:tcW w:w="12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数量（单位）</w:t>
            </w:r>
          </w:p>
        </w:tc>
        <w:tc>
          <w:tcPr>
            <w:tcW w:w="11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技术规格、参数及要求</w:t>
            </w:r>
          </w:p>
        </w:tc>
        <w:tc>
          <w:tcPr>
            <w:tcW w:w="2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品目预算(元)</w:t>
            </w:r>
          </w:p>
        </w:tc>
        <w:tc>
          <w:tcPr>
            <w:tcW w:w="8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7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4-1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群众文化活动服务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全国秧歌展演策划执行服务项目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1,980,000.00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合同包5(群众文化活动服务):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合同包预算金额：500,000.00元</w:t>
      </w:r>
    </w:p>
    <w:tbl>
      <w:tblPr>
        <w:tblStyle w:val="21"/>
        <w:tblW w:w="93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0"/>
        <w:gridCol w:w="1523"/>
        <w:gridCol w:w="3104"/>
        <w:gridCol w:w="766"/>
        <w:gridCol w:w="1316"/>
        <w:gridCol w:w="1331"/>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45" w:hRule="atLeast"/>
          <w:tblHeader/>
        </w:trPr>
        <w:tc>
          <w:tcPr>
            <w:tcW w:w="5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品目号</w:t>
            </w:r>
          </w:p>
        </w:tc>
        <w:tc>
          <w:tcPr>
            <w:tcW w:w="15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品目名称</w:t>
            </w:r>
          </w:p>
        </w:tc>
        <w:tc>
          <w:tcPr>
            <w:tcW w:w="30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采购标的</w:t>
            </w:r>
          </w:p>
        </w:tc>
        <w:tc>
          <w:tcPr>
            <w:tcW w:w="7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数量（单位）</w:t>
            </w:r>
          </w:p>
        </w:tc>
        <w:tc>
          <w:tcPr>
            <w:tcW w:w="13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技术规格、参数及要求</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品目预算(元)</w:t>
            </w:r>
          </w:p>
        </w:tc>
        <w:tc>
          <w:tcPr>
            <w:tcW w:w="7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73"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5-1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群众文化活动服务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“冒铰媳妇”剪纸大赛策划执行服务项目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500,000.00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sz w:val="24"/>
                <w:szCs w:val="22"/>
              </w:rPr>
            </w:pPr>
            <w:r>
              <w:rPr>
                <w:rFonts w:hint="eastAsia"/>
                <w:sz w:val="24"/>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二、申请人的资格要求：</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合同包1(广告宣传服务)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（6）《财政部、民政部、中国残疾人联合会关于促进残疾人就业政府采购政策的通知》（财库[2017]141号）；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（7）陕西省财政厅关于印发《陕西省中小企业政府采购信用融资办法》（陕财办采〔2018〕23号）；相关政策、业务流程、办理平台(http://www.ccgpshaanxi.gov.cn/zcdservice/zcd/shanxi/)；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（8）《关于在政府采购活动中查询及使用信用记录有关问题的通知》（财库〔2016〕125号）；</w:t>
      </w:r>
      <w:r>
        <w:rPr>
          <w:rFonts w:hint="eastAsia" w:ascii="宋体" w:hAnsi="宋体" w:eastAsia="宋体" w:cs="宋体"/>
          <w:sz w:val="24"/>
          <w:szCs w:val="24"/>
        </w:rPr>
        <w:br w:type="textWrapping"/>
      </w:r>
      <w:r>
        <w:rPr>
          <w:rFonts w:hint="eastAsia" w:ascii="宋体" w:hAnsi="宋体" w:eastAsia="宋体" w:cs="宋体"/>
          <w:sz w:val="24"/>
          <w:szCs w:val="24"/>
        </w:rPr>
        <w:t>（9）《榆林市财政局关于进一步加大政府采购支持中小企业力度的通知》（榆政财采发〔2022〕10号)；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（10）《陕西省财政厅关于进一步加大政府采购支持中小企业力度的通知》(陕财采发〔2022〕5号)；</w:t>
      </w:r>
      <w:r>
        <w:rPr>
          <w:rFonts w:hint="eastAsia" w:ascii="宋体" w:hAnsi="宋体" w:eastAsia="宋体" w:cs="宋体"/>
          <w:sz w:val="24"/>
          <w:szCs w:val="24"/>
        </w:rPr>
        <w:br w:type="textWrapping"/>
      </w:r>
      <w:r>
        <w:rPr>
          <w:rFonts w:hint="eastAsia" w:ascii="宋体" w:hAnsi="宋体" w:eastAsia="宋体" w:cs="宋体"/>
          <w:sz w:val="24"/>
          <w:szCs w:val="24"/>
        </w:rPr>
        <w:t>（11）《陕西省财政厅中国人民银行西安分行关于深人推进政府采购信用融资业务的通知》（陕财办采〔2023]5号）。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合同包2(其他文化艺术服务)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（6）《财政部、民政部、中国残疾人联合会关于促进残疾人就业政府采购政策的通知》（财库[2017]141号）；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（7）陕西省财政厅关于印发《陕西省中小企业政府采购信用融资办法》（陕财办采〔2018〕23号）；相关政策、业务流程、办理平台(http://www.ccgpshaanxi.gov.cn/zcdservice/zcd/shanxi/)；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（8）《关于在政府采购活动中查询及使用信用记录有关问题的通知》（财库〔2016〕125号）；</w:t>
      </w:r>
      <w:r>
        <w:rPr>
          <w:rFonts w:hint="eastAsia" w:ascii="宋体" w:hAnsi="宋体" w:eastAsia="宋体" w:cs="宋体"/>
          <w:sz w:val="24"/>
          <w:szCs w:val="24"/>
        </w:rPr>
        <w:br w:type="textWrapping"/>
      </w:r>
      <w:r>
        <w:rPr>
          <w:rFonts w:hint="eastAsia" w:ascii="宋体" w:hAnsi="宋体" w:eastAsia="宋体" w:cs="宋体"/>
          <w:sz w:val="24"/>
          <w:szCs w:val="24"/>
        </w:rPr>
        <w:t>（9）《榆林市财政局关于进一步加大政府采购支持中小企业力度的通知》（榆政财采发〔2022〕10号)；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（10）《陕西省财政厅关于进一步加大政府采购支持中小企业力度的通知》(陕财采发〔2022〕5号)；</w:t>
      </w:r>
      <w:r>
        <w:rPr>
          <w:rFonts w:hint="eastAsia" w:ascii="宋体" w:hAnsi="宋体" w:eastAsia="宋体" w:cs="宋体"/>
          <w:sz w:val="24"/>
          <w:szCs w:val="24"/>
        </w:rPr>
        <w:br w:type="textWrapping"/>
      </w:r>
      <w:r>
        <w:rPr>
          <w:rFonts w:hint="eastAsia" w:ascii="宋体" w:hAnsi="宋体" w:eastAsia="宋体" w:cs="宋体"/>
          <w:sz w:val="24"/>
          <w:szCs w:val="24"/>
        </w:rPr>
        <w:t>（11）《陕西省财政厅中国人民银行西安分行关于深人推进政府采购信用融资业务的通知》（陕财办采〔2023]5号）。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合同包3(广告宣传服务)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（6）《财政部、民政部、中国残疾人联合会关于促进残疾人就业政府采购政策的通知》（财库[2017]141号）；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（7）陕西省财政厅关于印发《陕西省中小企业政府采购信用融资办法》（陕财办采〔2018〕23号）；相关政策、业务流程、办理平台(http://www.ccgpshaanxi.gov.cn/zcdservice/zcd/shanxi/)；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（8）《关于在政府采购活动中查询及使用信用记录有关问题的通知》（财库〔2016〕125号）；</w:t>
      </w:r>
      <w:r>
        <w:rPr>
          <w:rFonts w:hint="eastAsia" w:ascii="宋体" w:hAnsi="宋体" w:eastAsia="宋体" w:cs="宋体"/>
          <w:sz w:val="24"/>
          <w:szCs w:val="24"/>
        </w:rPr>
        <w:br w:type="textWrapping"/>
      </w:r>
      <w:r>
        <w:rPr>
          <w:rFonts w:hint="eastAsia" w:ascii="宋体" w:hAnsi="宋体" w:eastAsia="宋体" w:cs="宋体"/>
          <w:sz w:val="24"/>
          <w:szCs w:val="24"/>
        </w:rPr>
        <w:t>（9）《榆林市财政局关于进一步加大政府采购支持中小企业力度的通知》（榆政财采发〔2022〕10号)；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（10）《陕西省财政厅关于进一步加大政府采购支持中小企业力度的通知》(陕财采发〔2022〕5号)；</w:t>
      </w:r>
      <w:r>
        <w:rPr>
          <w:rFonts w:hint="eastAsia" w:ascii="宋体" w:hAnsi="宋体" w:eastAsia="宋体" w:cs="宋体"/>
          <w:sz w:val="24"/>
          <w:szCs w:val="24"/>
        </w:rPr>
        <w:br w:type="textWrapping"/>
      </w:r>
      <w:r>
        <w:rPr>
          <w:rFonts w:hint="eastAsia" w:ascii="宋体" w:hAnsi="宋体" w:eastAsia="宋体" w:cs="宋体"/>
          <w:sz w:val="24"/>
          <w:szCs w:val="24"/>
        </w:rPr>
        <w:t>（11）《陕西省财政厅中国人民银行西安分行关于深人推进政府采购信用融资业务的通知》（陕财办采〔2023]5号）。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合同包4(群众文化活动服务)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（6）《财政部、民政部、中国残疾人联合会关于促进残疾人就业政府采购政策的通知》（财库[2017]141号）；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（7）陕西省财政厅关于印发《陕西省中小企业政府采购信用融资办法》（陕财办采〔2018〕23号）；相关政策、业务流程、办理平台(http://www.ccgpshaanxi.gov.cn/zcdservice/zcd/shanxi/)；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（8）《关于在政府采购活动中查询及使用信用记录有关问题的通知》（财库〔2016〕125号）；</w:t>
      </w:r>
      <w:r>
        <w:rPr>
          <w:rFonts w:hint="eastAsia" w:ascii="宋体" w:hAnsi="宋体" w:eastAsia="宋体" w:cs="宋体"/>
          <w:sz w:val="24"/>
          <w:szCs w:val="24"/>
        </w:rPr>
        <w:br w:type="textWrapping"/>
      </w:r>
      <w:r>
        <w:rPr>
          <w:rFonts w:hint="eastAsia" w:ascii="宋体" w:hAnsi="宋体" w:eastAsia="宋体" w:cs="宋体"/>
          <w:sz w:val="24"/>
          <w:szCs w:val="24"/>
        </w:rPr>
        <w:t>（9）《榆林市财政局关于进一步加大政府采购支持中小企业力度的通知》（榆政财采发〔2022〕10号)；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（10）《陕西省财政厅关于进一步加大政府采购支持中小企业力度的通知》(陕财采发〔2022〕5号)；</w:t>
      </w:r>
      <w:r>
        <w:rPr>
          <w:rFonts w:hint="eastAsia" w:ascii="宋体" w:hAnsi="宋体" w:eastAsia="宋体" w:cs="宋体"/>
          <w:sz w:val="24"/>
          <w:szCs w:val="24"/>
        </w:rPr>
        <w:br w:type="textWrapping"/>
      </w:r>
      <w:r>
        <w:rPr>
          <w:rFonts w:hint="eastAsia" w:ascii="宋体" w:hAnsi="宋体" w:eastAsia="宋体" w:cs="宋体"/>
          <w:sz w:val="24"/>
          <w:szCs w:val="24"/>
        </w:rPr>
        <w:t>（11）《陕西省财政厅中国人民银行西安分行关于深人推进政府采购信用融资业务的通知》（陕财办采〔2023]5号）。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合同包5(群众文化活动服务)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（6）《财政部、民政部、中国残疾人联合会关于促进残疾人就业政府采购政策的通知》（财库[2017]141号）；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（7）陕西省财政厅关于印发《陕西省中小企业政府采购信用融资办法》（陕财办采〔2018〕23号）；相关政策、业务流程、办理平台(http://www.ccgpshaanxi.gov.cn/zcdservice/zcd/shanxi/)；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（8）《关于在政府采购活动中查询及使用信用记录有关问题的通知》（财库〔2016〕125号）；</w:t>
      </w:r>
      <w:r>
        <w:rPr>
          <w:rFonts w:hint="eastAsia" w:ascii="宋体" w:hAnsi="宋体" w:eastAsia="宋体" w:cs="宋体"/>
          <w:sz w:val="24"/>
          <w:szCs w:val="24"/>
        </w:rPr>
        <w:br w:type="textWrapping"/>
      </w:r>
      <w:r>
        <w:rPr>
          <w:rFonts w:hint="eastAsia" w:ascii="宋体" w:hAnsi="宋体" w:eastAsia="宋体" w:cs="宋体"/>
          <w:sz w:val="24"/>
          <w:szCs w:val="24"/>
        </w:rPr>
        <w:t>（9）《榆林市财政局关于进一步加大政府采购支持中小企业力度的通知》（榆政财采发〔2022〕10号)；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（10）《陕西省财政厅关于进一步加大政府采购支持中小企业力度的通知》(陕财采发〔2022〕5号)；</w:t>
      </w:r>
      <w:r>
        <w:rPr>
          <w:rFonts w:hint="eastAsia" w:ascii="宋体" w:hAnsi="宋体" w:eastAsia="宋体" w:cs="宋体"/>
          <w:sz w:val="24"/>
          <w:szCs w:val="24"/>
        </w:rPr>
        <w:br w:type="textWrapping"/>
      </w:r>
      <w:r>
        <w:rPr>
          <w:rFonts w:hint="eastAsia" w:ascii="宋体" w:hAnsi="宋体" w:eastAsia="宋体" w:cs="宋体"/>
          <w:sz w:val="24"/>
          <w:szCs w:val="24"/>
        </w:rPr>
        <w:t>（11）《陕西省财政厅中国人民银行西安分行关于深人推进政府采购信用融资业务的通知》（陕财办采〔2023]5号）。</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合同包1(广告宣传服务)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8、本项目专门面向小微企业采购（须提供小微企业声明函）；</w:t>
      </w:r>
      <w:r>
        <w:rPr>
          <w:rFonts w:hint="eastAsia" w:ascii="宋体" w:hAnsi="宋体" w:eastAsia="宋体" w:cs="宋体"/>
          <w:sz w:val="24"/>
          <w:szCs w:val="24"/>
        </w:rPr>
        <w:br w:type="textWrapping"/>
      </w:r>
      <w:r>
        <w:rPr>
          <w:rFonts w:hint="eastAsia" w:ascii="宋体" w:hAnsi="宋体" w:eastAsia="宋体" w:cs="宋体"/>
          <w:sz w:val="24"/>
          <w:szCs w:val="24"/>
        </w:rPr>
        <w:t>9、本项目不接受联合体投标，单位负责人为同一人或者存在直接控股、管理关系的不同投标人，不得参加同一合同项下的政府采购活动。（须提供非联合体投标声明函）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合同包2(其他文化艺术服务)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合同包3(广告宣传服务)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合同包4(群众文化活动服务)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8、本项目专门面向小微企业采购（须提供小微企业声明函）；</w:t>
      </w:r>
      <w:r>
        <w:rPr>
          <w:rFonts w:hint="eastAsia" w:ascii="宋体" w:hAnsi="宋体" w:eastAsia="宋体" w:cs="宋体"/>
          <w:sz w:val="24"/>
          <w:szCs w:val="24"/>
        </w:rPr>
        <w:br w:type="textWrapping"/>
      </w:r>
      <w:r>
        <w:rPr>
          <w:rFonts w:hint="eastAsia" w:ascii="宋体" w:hAnsi="宋体" w:eastAsia="宋体" w:cs="宋体"/>
          <w:sz w:val="24"/>
          <w:szCs w:val="24"/>
        </w:rPr>
        <w:t>9、本项目不接受联合体投标，单位负责人为同一人或者存在直接控股、管理关系的不同投标人，不得参加同一合同项下的政府采购活动。（须提供非联合体投标声明函）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合同包5(群众文化活动服务)</w:t>
      </w:r>
      <w:r>
        <w:rPr>
          <w:rFonts w:hint="eastAsia" w:ascii="宋体" w:hAnsi="宋体" w:eastAsia="宋体" w:cs="宋体"/>
          <w:sz w:val="24"/>
          <w:szCs w:val="24"/>
        </w:rPr>
        <w:t>特定资格要求如下: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w:t>
      </w:r>
      <w:r>
        <w:rPr>
          <w:rFonts w:hint="eastAsia" w:ascii="宋体" w:hAnsi="宋体" w:cs="宋体"/>
          <w:sz w:val="24"/>
          <w:szCs w:val="24"/>
          <w:lang w:val="en-US" w:eastAsia="zh-CN"/>
        </w:rPr>
        <w:t>中小</w:t>
      </w:r>
      <w:r>
        <w:rPr>
          <w:rFonts w:hint="eastAsia" w:ascii="宋体" w:hAnsi="宋体" w:eastAsia="宋体" w:cs="宋体"/>
          <w:sz w:val="24"/>
          <w:szCs w:val="24"/>
        </w:rPr>
        <w:t>企业采购（须提供</w:t>
      </w:r>
      <w:r>
        <w:rPr>
          <w:rFonts w:hint="eastAsia" w:ascii="宋体" w:hAnsi="宋体" w:cs="宋体"/>
          <w:sz w:val="24"/>
          <w:szCs w:val="24"/>
          <w:lang w:val="en-US" w:eastAsia="zh-CN"/>
        </w:rPr>
        <w:t>中小</w:t>
      </w:r>
      <w:r>
        <w:rPr>
          <w:rFonts w:hint="eastAsia" w:ascii="宋体" w:hAnsi="宋体" w:eastAsia="宋体" w:cs="宋体"/>
          <w:sz w:val="24"/>
          <w:szCs w:val="24"/>
        </w:rPr>
        <w:t>企业声明函）；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三、获取采购文件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时间：2024年01月</w:t>
      </w:r>
      <w:r>
        <w:rPr>
          <w:rFonts w:hint="eastAsia" w:ascii="宋体" w:hAnsi="宋体" w:cs="宋体"/>
          <w:sz w:val="24"/>
          <w:szCs w:val="24"/>
          <w:lang w:val="en-US" w:eastAsia="zh-CN"/>
        </w:rPr>
        <w:t>26</w:t>
      </w:r>
      <w:r>
        <w:rPr>
          <w:rFonts w:hint="eastAsia" w:ascii="宋体" w:hAnsi="宋体" w:eastAsia="宋体" w:cs="宋体"/>
          <w:sz w:val="24"/>
          <w:szCs w:val="24"/>
        </w:rPr>
        <w:t>日至2024年01月</w:t>
      </w:r>
      <w:r>
        <w:rPr>
          <w:rFonts w:hint="eastAsia" w:ascii="宋体" w:hAnsi="宋体" w:cs="宋体"/>
          <w:sz w:val="24"/>
          <w:szCs w:val="24"/>
          <w:lang w:val="en-US" w:eastAsia="zh-CN"/>
        </w:rPr>
        <w:t>30</w:t>
      </w:r>
      <w:r>
        <w:rPr>
          <w:rFonts w:hint="eastAsia" w:ascii="宋体" w:hAnsi="宋体" w:eastAsia="宋体" w:cs="宋体"/>
          <w:sz w:val="24"/>
          <w:szCs w:val="24"/>
        </w:rPr>
        <w:t>日，每天上午08:00:00至12:00:00，下午12:00:00至18:00:00（北京时间）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途径：CA锁自行下载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方式：在线获取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售价：0元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四、响应文件提交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截止时间：2024年</w:t>
      </w:r>
      <w:r>
        <w:rPr>
          <w:rFonts w:hint="eastAsia" w:ascii="宋体" w:hAnsi="宋体" w:cs="宋体"/>
          <w:sz w:val="24"/>
          <w:szCs w:val="24"/>
          <w:lang w:val="en-US" w:eastAsia="zh-CN"/>
        </w:rPr>
        <w:t>01</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 13时30分00秒（北京时间）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地点：榆林市公共资源交易中心十楼开标室11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五、开启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时间：2024年</w:t>
      </w:r>
      <w:r>
        <w:rPr>
          <w:rFonts w:hint="eastAsia" w:ascii="宋体" w:hAnsi="宋体" w:cs="宋体"/>
          <w:sz w:val="24"/>
          <w:szCs w:val="24"/>
          <w:lang w:val="en-US" w:eastAsia="zh-CN"/>
        </w:rPr>
        <w:t>01</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 13时30分00秒（北京时间）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地点：榆林市公共资源交易中心十楼开标室11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六、公告期限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七、其他补充事宜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2.本项目采用电子化招投标的方式，供应商使用数字认证证书(CA锁)对投标文件进行签章、加密、递交及开标时解密等相关招投标事宜。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3.电子投标文件制作软件技术支持热线：400-998-0000，CA锁购买：榆林市民大厦3楼E18、E19窗口,电话：0912-3452148。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招标文件或旧版答疑文件制作的电子投标文件，系统将拒绝接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6.请各供应商按照陕西省财政厅《关于政府采购投标供应商注册登记有关事项的通知》要求，通过陕西省政府采购 (http://www.ccgp-shaanxi.gov.cn/) 注册登记加入陕西省政府采购投标供应商库。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八、对本次招标提出询问，请按以下方式联系。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名称：榆林市文化和旅游局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地址：陕西省榆林市榆阳区青山路1号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联系方式：0912-3525682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2.采购代理机构信息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名称：榆林市恒易达工程项目管理有限公司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地址：榆林市高新区安居路14号金叶小区一楼商铺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联系方式：0912-3448777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3.项目联系方式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项目联系人：纪瑜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电话：15619910006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榆林市恒易达工程项目管理有限公司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2024年01月</w:t>
      </w:r>
      <w:r>
        <w:rPr>
          <w:rFonts w:hint="eastAsia" w:ascii="宋体" w:hAnsi="宋体" w:cs="宋体"/>
          <w:sz w:val="24"/>
          <w:szCs w:val="24"/>
          <w:lang w:val="en-US" w:eastAsia="zh-CN"/>
        </w:rPr>
        <w:t>25</w:t>
      </w:r>
      <w:r>
        <w:rPr>
          <w:rFonts w:hint="eastAsia" w:ascii="宋体" w:hAnsi="宋体" w:eastAsia="宋体" w:cs="宋体"/>
          <w:sz w:val="24"/>
          <w:szCs w:val="24"/>
          <w:lang w:val="en-US" w:eastAsia="zh-CN"/>
        </w:rPr>
        <w:t>日</w:t>
      </w:r>
    </w:p>
    <w:p>
      <w:pPr>
        <w:pStyle w:val="9"/>
        <w:rPr>
          <w:rFonts w:hint="eastAsia" w:asciiTheme="minorEastAsia" w:hAnsiTheme="minorEastAsia" w:eastAsiaTheme="minorEastAsia" w:cstheme="minorEastAsia"/>
          <w:sz w:val="24"/>
          <w:szCs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9"/>
        <w:rPr>
          <w:rFonts w:hint="eastAsia"/>
        </w:rPr>
      </w:pPr>
    </w:p>
    <w:p>
      <w:pPr>
        <w:pStyle w:val="2"/>
        <w:numPr>
          <w:ilvl w:val="0"/>
          <w:numId w:val="2"/>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17537"/>
      <w:bookmarkStart w:id="17" w:name="_Toc27563"/>
      <w:bookmarkStart w:id="18" w:name="_Toc21055"/>
      <w:r>
        <w:rPr>
          <w:rFonts w:hint="eastAsia" w:ascii="宋体" w:hAnsi="宋体" w:cs="宋体"/>
          <w:sz w:val="36"/>
          <w:szCs w:val="36"/>
        </w:rPr>
        <w:t>供应商须知前附表</w:t>
      </w:r>
      <w:bookmarkEnd w:id="16"/>
      <w:bookmarkEnd w:id="17"/>
      <w:bookmarkEnd w:id="18"/>
    </w:p>
    <w:tbl>
      <w:tblPr>
        <w:tblStyle w:val="21"/>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pPr>
              <w:spacing w:line="360" w:lineRule="auto"/>
              <w:jc w:val="center"/>
              <w:rPr>
                <w:rFonts w:ascii="宋体" w:hAnsi="宋体" w:cs="宋体"/>
                <w:b/>
                <w:sz w:val="24"/>
                <w:szCs w:val="24"/>
              </w:rPr>
            </w:pPr>
            <w:r>
              <w:rPr>
                <w:rFonts w:hint="eastAsia" w:ascii="宋体" w:hAnsi="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adjustRightInd w:val="0"/>
              <w:snapToGrid w:val="0"/>
              <w:spacing w:line="450" w:lineRule="exact"/>
              <w:jc w:val="left"/>
              <w:rPr>
                <w:rFonts w:hint="eastAsia" w:ascii="宋体" w:hAnsi="宋体" w:eastAsia="宋体" w:cs="宋体"/>
                <w:sz w:val="24"/>
                <w:szCs w:val="24"/>
                <w:lang w:eastAsia="zh-CN"/>
              </w:rPr>
            </w:pPr>
            <w:r>
              <w:rPr>
                <w:rFonts w:hint="eastAsia" w:ascii="宋体" w:hAnsi="宋体" w:cs="宋体"/>
                <w:sz w:val="24"/>
                <w:szCs w:val="24"/>
              </w:rPr>
              <w:t>采购项目名称：</w:t>
            </w:r>
            <w:r>
              <w:rPr>
                <w:rFonts w:hint="eastAsia"/>
                <w:sz w:val="24"/>
                <w:szCs w:val="22"/>
                <w:lang w:eastAsia="zh-CN"/>
              </w:rPr>
              <w:t>榆林市文化和旅游局2024“陕北榆林过大年”系列活动及宣传服务项目</w:t>
            </w:r>
          </w:p>
          <w:p>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项目性质：财政拨款</w:t>
            </w:r>
          </w:p>
          <w:p>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本项目采购总预算：6380000.00元</w:t>
            </w:r>
          </w:p>
          <w:p>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ind w:left="960" w:hanging="960" w:hangingChars="400"/>
              <w:rPr>
                <w:rFonts w:hint="default" w:ascii="宋体" w:hAnsi="宋体" w:eastAsia="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榆林市文化和旅游局</w:t>
            </w:r>
          </w:p>
          <w:p>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采购内容具体见竞争性谈判文件第七部分采购内容及要求</w:t>
            </w:r>
          </w:p>
          <w:p>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pPr>
              <w:spacing w:line="360" w:lineRule="auto"/>
              <w:rPr>
                <w:rFonts w:ascii="宋体" w:hAnsi="宋体" w:cs="宋体"/>
                <w:color w:val="auto"/>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w:t>
            </w:r>
            <w:r>
              <w:rPr>
                <w:rFonts w:hint="eastAsia"/>
                <w:sz w:val="24"/>
                <w:szCs w:val="24"/>
              </w:rPr>
              <w:t> </w:t>
            </w:r>
            <w:r>
              <w:rPr>
                <w:rFonts w:hint="eastAsia" w:ascii="宋体" w:hAnsi="宋体" w:eastAsia="宋体" w:cs="宋体"/>
                <w:sz w:val="24"/>
                <w:szCs w:val="24"/>
              </w:rPr>
              <w:t>2024年</w:t>
            </w:r>
            <w:r>
              <w:rPr>
                <w:rFonts w:hint="eastAsia" w:ascii="宋体" w:hAnsi="宋体" w:cs="宋体"/>
                <w:sz w:val="24"/>
                <w:szCs w:val="24"/>
                <w:lang w:val="en-US" w:eastAsia="zh-CN"/>
              </w:rPr>
              <w:t>01</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 13时30分</w:t>
            </w:r>
          </w:p>
          <w:p>
            <w:pPr>
              <w:spacing w:line="360" w:lineRule="auto"/>
              <w:rPr>
                <w:rFonts w:ascii="宋体" w:hAnsi="宋体" w:cs="宋体"/>
                <w:color w:val="auto"/>
                <w:sz w:val="24"/>
                <w:szCs w:val="24"/>
              </w:rPr>
            </w:pPr>
            <w:r>
              <w:rPr>
                <w:rFonts w:hint="eastAsia" w:ascii="宋体" w:hAnsi="宋体" w:cs="宋体"/>
                <w:color w:val="auto"/>
                <w:sz w:val="24"/>
                <w:szCs w:val="24"/>
              </w:rPr>
              <w:t>谈判时间：</w:t>
            </w:r>
            <w:r>
              <w:rPr>
                <w:rFonts w:hint="eastAsia" w:ascii="宋体" w:hAnsi="宋体" w:eastAsia="宋体" w:cs="宋体"/>
                <w:sz w:val="24"/>
                <w:szCs w:val="24"/>
              </w:rPr>
              <w:t>2024年</w:t>
            </w:r>
            <w:r>
              <w:rPr>
                <w:rFonts w:hint="eastAsia" w:ascii="宋体" w:hAnsi="宋体" w:cs="宋体"/>
                <w:sz w:val="24"/>
                <w:szCs w:val="24"/>
                <w:lang w:val="en-US" w:eastAsia="zh-CN"/>
              </w:rPr>
              <w:t>01</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 13时30分</w:t>
            </w:r>
          </w:p>
          <w:p>
            <w:pPr>
              <w:spacing w:line="360" w:lineRule="auto"/>
              <w:rPr>
                <w:rFonts w:hint="eastAsia" w:ascii="宋体" w:hAnsi="宋体" w:eastAsia="宋体" w:cs="宋体"/>
                <w:sz w:val="24"/>
                <w:szCs w:val="24"/>
                <w:u w:val="single"/>
                <w:lang w:eastAsia="zh-CN"/>
              </w:rPr>
            </w:pPr>
            <w:r>
              <w:rPr>
                <w:rFonts w:hint="eastAsia" w:ascii="宋体" w:hAnsi="宋体" w:cs="宋体"/>
                <w:sz w:val="24"/>
                <w:szCs w:val="24"/>
              </w:rPr>
              <w:t>谈判地点：榆林市公共资源交易中心十楼开标室1</w:t>
            </w: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pPr>
              <w:numPr>
                <w:ilvl w:val="0"/>
                <w:numId w:val="3"/>
              </w:numPr>
              <w:spacing w:line="360" w:lineRule="auto"/>
              <w:rPr>
                <w:rFonts w:ascii="宋体" w:hAnsi="宋体" w:cs="宋体"/>
                <w:color w:val="auto"/>
                <w:sz w:val="24"/>
                <w:szCs w:val="24"/>
              </w:rPr>
            </w:pPr>
          </w:p>
        </w:tc>
        <w:tc>
          <w:tcPr>
            <w:tcW w:w="9041" w:type="dxa"/>
            <w:noWrap w:val="0"/>
            <w:vAlign w:val="center"/>
          </w:tcPr>
          <w:p>
            <w:pPr>
              <w:spacing w:line="360" w:lineRule="auto"/>
              <w:rPr>
                <w:rFonts w:hint="default" w:eastAsia="宋体"/>
                <w:color w:val="auto"/>
                <w:lang w:val="en-US" w:eastAsia="zh-CN"/>
              </w:rPr>
            </w:pPr>
            <w:r>
              <w:rPr>
                <w:rFonts w:hint="eastAsia" w:ascii="宋体" w:hAnsi="宋体" w:cs="宋体"/>
                <w:color w:val="auto"/>
                <w:sz w:val="24"/>
                <w:szCs w:val="24"/>
                <w:lang w:val="en-US" w:eastAsia="zh-CN"/>
              </w:rPr>
              <w:t>服务</w:t>
            </w:r>
            <w:r>
              <w:rPr>
                <w:rFonts w:hint="eastAsia" w:ascii="宋体" w:hAnsi="宋体" w:cs="宋体"/>
                <w:color w:val="auto"/>
                <w:sz w:val="24"/>
                <w:szCs w:val="24"/>
              </w:rPr>
              <w:t>期：</w:t>
            </w:r>
            <w:r>
              <w:rPr>
                <w:rFonts w:hint="eastAsia" w:ascii="宋体" w:hAnsi="宋体" w:cs="宋体"/>
                <w:color w:val="auto"/>
                <w:sz w:val="24"/>
                <w:szCs w:val="24"/>
                <w:lang w:val="en-US" w:eastAsia="zh-CN"/>
              </w:rPr>
              <w:t>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lang w:val="en-US" w:eastAsia="zh-CN"/>
              </w:rPr>
              <w:t>服务</w:t>
            </w:r>
            <w:r>
              <w:rPr>
                <w:rFonts w:hint="eastAsia" w:ascii="宋体" w:hAnsi="宋体" w:cs="宋体"/>
                <w:sz w:val="24"/>
                <w:szCs w:val="24"/>
              </w:rPr>
              <w:t>地点：采购人</w:t>
            </w:r>
            <w:r>
              <w:rPr>
                <w:rFonts w:hint="eastAsia" w:ascii="宋体" w:hAnsi="宋体" w:cs="宋体"/>
                <w:sz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合同签订后预付中标金额的40%，验收合格后一次性付清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pPr>
            <w:r>
              <w:rPr>
                <w:rFonts w:hint="default"/>
                <w:sz w:val="24"/>
                <w:szCs w:val="22"/>
              </w:rPr>
              <w:t>投标保证金可用投标信用承诺书代替（提供投标信用承诺书）；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谈判有效期：</w:t>
            </w:r>
            <w:bookmarkStart w:id="19" w:name="OLE_LINK10"/>
            <w:bookmarkStart w:id="20" w:name="OLE_LINK9"/>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pPr>
              <w:numPr>
                <w:ilvl w:val="0"/>
                <w:numId w:val="4"/>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pPr>
              <w:numPr>
                <w:ilvl w:val="0"/>
                <w:numId w:val="4"/>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pPr>
              <w:numPr>
                <w:ilvl w:val="0"/>
                <w:numId w:val="5"/>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1"/>
                <w:rFonts w:hint="eastAsia" w:ascii="思源宋体 CN Light" w:hAnsi="思源宋体 CN Light" w:eastAsia="思源宋体 CN Light" w:cs="思源宋体 CN Light"/>
                <w:color w:val="auto"/>
                <w:sz w:val="24"/>
                <w:szCs w:val="24"/>
              </w:rPr>
              <w:t>http://111.20.184.126:8081/BidOpeningHallCS/bidhall/default/login</w:t>
            </w:r>
            <w:r>
              <w:rPr>
                <w:rStyle w:val="31"/>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pPr>
              <w:numPr>
                <w:ilvl w:val="0"/>
                <w:numId w:val="5"/>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pPr>
              <w:numPr>
                <w:ilvl w:val="0"/>
                <w:numId w:val="5"/>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合同包1(广告宣传服务)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8、本项目专门面向小微企业采购（须提供小微企业声明函）；</w:t>
            </w:r>
            <w:r>
              <w:rPr>
                <w:rFonts w:hint="eastAsia" w:ascii="宋体" w:hAnsi="宋体" w:eastAsia="宋体" w:cs="宋体"/>
                <w:sz w:val="24"/>
                <w:szCs w:val="24"/>
              </w:rPr>
              <w:br w:type="textWrapping"/>
            </w:r>
            <w:r>
              <w:rPr>
                <w:rFonts w:hint="eastAsia" w:ascii="宋体" w:hAnsi="宋体" w:eastAsia="宋体" w:cs="宋体"/>
                <w:sz w:val="24"/>
                <w:szCs w:val="24"/>
              </w:rPr>
              <w:t>9、本项目不接受联合体投标，单位负责人为同一人或者存在直接控股、管理关系的不同投标人，不得参加同一合同项下的政府采购活动。（须提供非联合体投标声明函）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合同包2(其他文化艺术服务)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合同包3(广告宣传服务)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合同包4(群众文化活动服务)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8、本项目专门面向小微企业采购（须提供小微企业声明函）；</w:t>
            </w:r>
            <w:r>
              <w:rPr>
                <w:rFonts w:hint="eastAsia" w:ascii="宋体" w:hAnsi="宋体" w:eastAsia="宋体" w:cs="宋体"/>
                <w:sz w:val="24"/>
                <w:szCs w:val="24"/>
              </w:rPr>
              <w:br w:type="textWrapping"/>
            </w:r>
            <w:r>
              <w:rPr>
                <w:rFonts w:hint="eastAsia" w:ascii="宋体" w:hAnsi="宋体" w:eastAsia="宋体" w:cs="宋体"/>
                <w:sz w:val="24"/>
                <w:szCs w:val="24"/>
              </w:rPr>
              <w:t>9、本项目不接受联合体投标，单位负责人为同一人或者存在直接控股、管理关系的不同投标人，不得参加同一合同项下的政府采购活动。（须提供非联合体投标声明函）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合同包5(群众文化活动服务)</w:t>
            </w:r>
            <w:r>
              <w:rPr>
                <w:rFonts w:hint="eastAsia" w:ascii="宋体" w:hAnsi="宋体" w:eastAsia="宋体" w:cs="宋体"/>
                <w:sz w:val="24"/>
                <w:szCs w:val="24"/>
              </w:rPr>
              <w:t>特定资格要求如下: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投标人须具备独立承担民事责任能力的法人或其他组织，提供合法有效的统一社会信用代码的营业执照； </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2022年度的财务审计报告（至少包括资产负债表、利润表、现金流量表、所有者权益变动表及其附注）或银行资信证明，成立时间至提交谈判响应文件递交截止时间不足一年的，投标人须自行声明； </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2023年6月至今已缴存的至少一个月的社会保障资金缴纳证明（银行缴费凭证或社保完税证明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4、税收缴纳证明：提供2023年6月至今已缴纳的至少一个月的税收缴纳证明（银行缴费凭证或税收完税证明），依法免税的单位应提供相关证明材料；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同时提供供应商信用承诺书原件；</w:t>
            </w:r>
            <w:r>
              <w:rPr>
                <w:rFonts w:hint="eastAsia" w:ascii="宋体" w:hAnsi="宋体" w:eastAsia="宋体" w:cs="宋体"/>
                <w:sz w:val="24"/>
                <w:szCs w:val="24"/>
              </w:rPr>
              <w:br w:type="textWrapping"/>
            </w:r>
            <w:r>
              <w:rPr>
                <w:rFonts w:hint="eastAsia" w:ascii="宋体" w:hAnsi="宋体" w:eastAsia="宋体" w:cs="宋体"/>
                <w:sz w:val="24"/>
                <w:szCs w:val="24"/>
              </w:rPr>
              <w:t>7、投标保证金用投标信用承诺书代替（提供投标信用承诺书）；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8、本项目专门面向</w:t>
            </w:r>
            <w:r>
              <w:rPr>
                <w:rFonts w:hint="eastAsia" w:ascii="宋体" w:hAnsi="宋体" w:cs="宋体"/>
                <w:sz w:val="24"/>
                <w:szCs w:val="24"/>
                <w:lang w:val="en-US" w:eastAsia="zh-CN"/>
              </w:rPr>
              <w:t>中小</w:t>
            </w:r>
            <w:r>
              <w:rPr>
                <w:rFonts w:hint="eastAsia" w:ascii="宋体" w:hAnsi="宋体" w:eastAsia="宋体" w:cs="宋体"/>
                <w:sz w:val="24"/>
                <w:szCs w:val="24"/>
              </w:rPr>
              <w:t>企业采购（须提供</w:t>
            </w:r>
            <w:r>
              <w:rPr>
                <w:rFonts w:hint="eastAsia" w:ascii="宋体" w:hAnsi="宋体" w:cs="宋体"/>
                <w:sz w:val="24"/>
                <w:szCs w:val="24"/>
                <w:lang w:val="en-US" w:eastAsia="zh-CN"/>
              </w:rPr>
              <w:t>中小</w:t>
            </w:r>
            <w:r>
              <w:rPr>
                <w:rFonts w:hint="eastAsia" w:ascii="宋体" w:hAnsi="宋体" w:eastAsia="宋体" w:cs="宋体"/>
                <w:sz w:val="24"/>
                <w:szCs w:val="24"/>
              </w:rPr>
              <w:t>企业声明函）；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、本项目不接受联合体投标，单位负责人为同一人或者存在直接控股、管理关系的不同投标人，不得参加同一合同项下的政府采购活动。（须提供非联合体投标声明函）</w:t>
            </w:r>
          </w:p>
          <w:p>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支持中小企业发展：</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中小</w:t>
            </w:r>
            <w:r>
              <w:rPr>
                <w:rFonts w:hint="eastAsia" w:ascii="宋体" w:hAnsi="宋体" w:cs="宋体"/>
                <w:sz w:val="24"/>
                <w:szCs w:val="24"/>
              </w:rPr>
              <w:t>企业采购项目</w:t>
            </w:r>
          </w:p>
          <w:p>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支持监狱企业发展：</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jc w:val="center"/>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pStyle w:val="39"/>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pPr>
              <w:pStyle w:val="39"/>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pPr>
              <w:spacing w:line="360" w:lineRule="auto"/>
              <w:rPr>
                <w:rFonts w:hint="eastAsia" w:ascii="宋体" w:hAnsi="宋体" w:cs="宋体"/>
                <w:sz w:val="24"/>
                <w:szCs w:val="24"/>
              </w:rPr>
            </w:pPr>
            <w:r>
              <w:rPr>
                <w:rFonts w:hint="eastAsia" w:ascii="宋体" w:hAnsi="宋体" w:eastAsia="宋体" w:cs="宋体"/>
                <w:color w:val="auto"/>
                <w:kern w:val="2"/>
                <w:sz w:val="24"/>
                <w:szCs w:val="22"/>
                <w:highlight w:val="none"/>
                <w:lang w:val="en-US" w:eastAsia="zh-CN" w:bidi="ar-SA"/>
              </w:rPr>
              <w:t>附件：信用承诺上报操作指南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pPr>
              <w:pStyle w:val="14"/>
              <w:ind w:firstLine="720" w:firstLineChars="300"/>
            </w:pPr>
            <w:r>
              <w:rPr>
                <w:rFonts w:hint="eastAsia" w:ascii="宋体" w:hAnsi="宋体" w:cs="宋体"/>
                <w:sz w:val="24"/>
                <w:szCs w:val="24"/>
              </w:rPr>
              <w:t>2、当供应商不足三家时，按相关文件执行。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pPr>
              <w:numPr>
                <w:ilvl w:val="0"/>
                <w:numId w:val="3"/>
              </w:numPr>
              <w:spacing w:line="360" w:lineRule="auto"/>
              <w:rPr>
                <w:rFonts w:ascii="宋体" w:hAnsi="宋体" w:cs="宋体"/>
                <w:sz w:val="24"/>
                <w:szCs w:val="24"/>
              </w:rPr>
            </w:pPr>
          </w:p>
        </w:tc>
        <w:tc>
          <w:tcPr>
            <w:tcW w:w="9041" w:type="dxa"/>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1"/>
              <w:tblpPr w:leftFromText="180" w:rightFromText="180" w:vertAnchor="page" w:horzAnchor="page" w:tblpX="55" w:tblpY="1426"/>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pPr>
              <w:spacing w:line="360" w:lineRule="auto"/>
              <w:rPr>
                <w:rFonts w:ascii="宋体" w:hAnsi="宋体" w:cs="仿宋_GB2312"/>
                <w:sz w:val="24"/>
                <w:szCs w:val="24"/>
              </w:rPr>
            </w:pPr>
            <w:r>
              <w:rPr>
                <w:rFonts w:hint="eastAsia" w:ascii="宋体" w:hAnsi="宋体" w:cs="仿宋_GB2312"/>
                <w:sz w:val="24"/>
                <w:szCs w:val="24"/>
              </w:rPr>
              <w:t>招标代理服务费：</w:t>
            </w:r>
          </w:p>
          <w:p>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1"/>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pPr>
                    <w:spacing w:line="360" w:lineRule="auto"/>
                    <w:rPr>
                      <w:rFonts w:ascii="宋体" w:hAnsi="宋体" w:cs="宋体"/>
                      <w:sz w:val="24"/>
                      <w:szCs w:val="24"/>
                    </w:rPr>
                  </w:pPr>
                  <w:r>
                    <w:rPr>
                      <w:rFonts w:hint="eastAsia" w:ascii="宋体" w:hAnsi="宋体" w:cs="宋体"/>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r>
          </w:tbl>
          <w:p>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pPr>
              <w:spacing w:line="360" w:lineRule="auto"/>
              <w:rPr>
                <w:rFonts w:ascii="宋体" w:hAnsi="宋体" w:cs="宋体"/>
                <w:sz w:val="24"/>
                <w:szCs w:val="24"/>
              </w:rPr>
            </w:pPr>
            <w:r>
              <w:rPr>
                <w:rFonts w:hint="eastAsia" w:ascii="宋体" w:hAnsi="宋体" w:cs="宋体"/>
                <w:sz w:val="24"/>
                <w:szCs w:val="24"/>
              </w:rPr>
              <w:t xml:space="preserve">100万元*1.5%=1.50万元 </w:t>
            </w:r>
          </w:p>
          <w:p>
            <w:pPr>
              <w:spacing w:line="360" w:lineRule="auto"/>
              <w:rPr>
                <w:rFonts w:ascii="宋体" w:hAnsi="宋体" w:cs="宋体"/>
                <w:sz w:val="24"/>
                <w:szCs w:val="24"/>
              </w:rPr>
            </w:pPr>
            <w:r>
              <w:rPr>
                <w:rFonts w:hint="eastAsia" w:ascii="宋体" w:hAnsi="宋体" w:cs="宋体"/>
                <w:sz w:val="24"/>
                <w:szCs w:val="24"/>
              </w:rPr>
              <w:t>(500-100)*1.1%=4.40万元</w:t>
            </w:r>
          </w:p>
          <w:p>
            <w:pPr>
              <w:spacing w:line="360" w:lineRule="auto"/>
              <w:rPr>
                <w:rFonts w:ascii="宋体" w:hAnsi="宋体" w:cs="宋体"/>
                <w:sz w:val="24"/>
                <w:szCs w:val="24"/>
              </w:rPr>
            </w:pPr>
            <w:r>
              <w:rPr>
                <w:rFonts w:hint="eastAsia" w:ascii="宋体" w:hAnsi="宋体" w:cs="宋体"/>
                <w:sz w:val="24"/>
                <w:szCs w:val="24"/>
              </w:rPr>
              <w:t>(678.2-500)*0.8%=1.4256万元</w:t>
            </w:r>
          </w:p>
          <w:p>
            <w:pPr>
              <w:spacing w:line="360" w:lineRule="auto"/>
              <w:rPr>
                <w:rFonts w:ascii="宋体" w:hAnsi="宋体" w:cs="宋体"/>
                <w:sz w:val="24"/>
                <w:szCs w:val="24"/>
              </w:rPr>
            </w:pPr>
            <w:r>
              <w:rPr>
                <w:rFonts w:hint="eastAsia" w:ascii="宋体" w:hAnsi="宋体" w:cs="宋体"/>
                <w:sz w:val="24"/>
                <w:szCs w:val="24"/>
              </w:rPr>
              <w:t>服务费=1.50+4.40+1.4256=7.3256万元。</w:t>
            </w:r>
          </w:p>
          <w:p>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服务</w:t>
            </w:r>
            <w:r>
              <w:rPr>
                <w:rFonts w:hint="eastAsia" w:ascii="宋体" w:hAnsi="宋体" w:cs="宋体"/>
                <w:sz w:val="24"/>
                <w:szCs w:val="24"/>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52" w:type="dxa"/>
            <w:noWrap w:val="0"/>
            <w:vAlign w:val="center"/>
          </w:tcPr>
          <w:p>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pPr>
              <w:spacing w:line="360" w:lineRule="auto"/>
              <w:rPr>
                <w:rFonts w:ascii="宋体" w:hAnsi="宋体" w:cs="宋体"/>
                <w:sz w:val="24"/>
                <w:szCs w:val="24"/>
              </w:rPr>
            </w:pPr>
            <w:r>
              <w:rPr>
                <w:rFonts w:hint="eastAsia" w:ascii="宋体" w:hAnsi="宋体" w:cs="宋体"/>
                <w:sz w:val="24"/>
                <w:szCs w:val="24"/>
              </w:rPr>
              <w:t>谈判报价轮次：</w:t>
            </w:r>
          </w:p>
          <w:p>
            <w:pPr>
              <w:spacing w:line="360" w:lineRule="auto"/>
              <w:rPr>
                <w:rFonts w:ascii="宋体" w:hAnsi="宋体" w:cs="宋体"/>
                <w:sz w:val="24"/>
                <w:szCs w:val="24"/>
              </w:rPr>
            </w:pPr>
            <w:r>
              <w:rPr>
                <w:rFonts w:hint="eastAsia" w:ascii="宋体" w:hAnsi="宋体" w:cs="宋体"/>
                <w:sz w:val="24"/>
                <w:szCs w:val="24"/>
              </w:rPr>
              <w:t>多轮（报价文件中报价为第一轮，谈判现场为第二轮）</w:t>
            </w:r>
          </w:p>
          <w:p>
            <w:pPr>
              <w:spacing w:line="360" w:lineRule="auto"/>
              <w:rPr>
                <w:rFonts w:ascii="宋体" w:hAnsi="宋体" w:cs="宋体"/>
                <w:sz w:val="24"/>
                <w:szCs w:val="24"/>
              </w:rPr>
            </w:pPr>
            <w:r>
              <w:rPr>
                <w:rFonts w:hint="eastAsia" w:ascii="宋体" w:hAnsi="宋体" w:cs="宋体"/>
                <w:sz w:val="24"/>
                <w:szCs w:val="24"/>
              </w:rPr>
              <w:t>最后一轮报价时间：谈判现场通知</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供应商</w:t>
            </w:r>
            <w:r>
              <w:rPr>
                <w:rFonts w:hint="eastAsia" w:ascii="宋体" w:hAnsi="宋体" w:eastAsia="宋体" w:cs="宋体"/>
                <w:b/>
                <w:bCs/>
                <w:sz w:val="24"/>
                <w:szCs w:val="24"/>
                <w:lang w:eastAsia="zh-CN"/>
              </w:rPr>
              <w:t>保持在线直到评审结束，请投标单位本项目授权委托人或法人代表保持手机畅通，以便于接收最后报价通知，各供应商在</w:t>
            </w:r>
            <w:r>
              <w:rPr>
                <w:rFonts w:hint="eastAsia" w:ascii="宋体" w:hAnsi="宋体" w:eastAsia="宋体" w:cs="宋体"/>
                <w:b/>
                <w:bCs/>
                <w:sz w:val="24"/>
                <w:szCs w:val="24"/>
                <w:lang w:val="en-US" w:eastAsia="zh-CN"/>
              </w:rPr>
              <w:t>CA锁-网上报价</w:t>
            </w:r>
            <w:r>
              <w:rPr>
                <w:rFonts w:hint="eastAsia" w:ascii="宋体" w:hAnsi="宋体" w:eastAsia="宋体" w:cs="宋体"/>
                <w:b/>
                <w:bCs/>
                <w:sz w:val="24"/>
                <w:szCs w:val="24"/>
                <w:lang w:eastAsia="zh-CN"/>
              </w:rPr>
              <w:t>进行最后报价。）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pPr>
              <w:widowControl/>
              <w:spacing w:line="360" w:lineRule="auto"/>
              <w:jc w:val="left"/>
            </w:pPr>
            <w:r>
              <w:rPr>
                <w:rFonts w:hint="eastAsia" w:ascii="宋体" w:hAnsi="宋体" w:cs="宋体"/>
                <w:b/>
                <w:bCs/>
                <w:kern w:val="0"/>
                <w:sz w:val="24"/>
                <w:szCs w:val="24"/>
              </w:rPr>
              <w:t>特别提醒：本项目采用电子化投标的方式。</w:t>
            </w:r>
          </w:p>
          <w:p>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：商务服务业</w:t>
            </w:r>
          </w:p>
        </w:tc>
      </w:tr>
      <w:bookmarkEnd w:id="7"/>
      <w:bookmarkEnd w:id="12"/>
      <w:bookmarkEnd w:id="13"/>
      <w:bookmarkEnd w:id="14"/>
      <w:bookmarkEnd w:id="15"/>
    </w:tbl>
    <w:p>
      <w:pPr>
        <w:pStyle w:val="2"/>
        <w:spacing w:line="240" w:lineRule="auto"/>
        <w:jc w:val="center"/>
        <w:rPr>
          <w:rFonts w:hint="eastAsia" w:ascii="宋体" w:hAnsi="宋体" w:cs="宋体"/>
          <w:sz w:val="36"/>
          <w:szCs w:val="36"/>
        </w:rPr>
      </w:pPr>
      <w:bookmarkStart w:id="21" w:name="_Toc8259"/>
      <w:bookmarkStart w:id="22" w:name="_Toc30436"/>
      <w:bookmarkStart w:id="23" w:name="_Toc16531"/>
      <w:bookmarkStart w:id="24" w:name="_Toc23139"/>
      <w:bookmarkStart w:id="25" w:name="_Toc12300"/>
      <w:bookmarkStart w:id="26" w:name="_Toc17129"/>
      <w:bookmarkStart w:id="27" w:name="_Toc4754"/>
      <w:bookmarkStart w:id="28" w:name="_Toc465958087"/>
      <w:bookmarkStart w:id="29" w:name="_Toc246928894"/>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rPr>
          <w:rFonts w:hint="eastAsia" w:ascii="宋体" w:hAnsi="宋体" w:cs="宋体"/>
          <w:sz w:val="36"/>
          <w:szCs w:val="36"/>
        </w:rPr>
      </w:pPr>
    </w:p>
    <w:p>
      <w:pPr>
        <w:pStyle w:val="2"/>
        <w:spacing w:line="240" w:lineRule="auto"/>
        <w:jc w:val="center"/>
        <w:rPr>
          <w:rFonts w:ascii="宋体" w:hAnsi="宋体" w:cs="宋体"/>
          <w:sz w:val="36"/>
          <w:szCs w:val="36"/>
        </w:rPr>
      </w:pPr>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pPr>
        <w:pStyle w:val="3"/>
        <w:spacing w:line="240" w:lineRule="auto"/>
        <w:rPr>
          <w:rFonts w:ascii="宋体" w:hAnsi="宋体" w:eastAsia="宋体" w:cs="宋体"/>
          <w:sz w:val="36"/>
          <w:szCs w:val="24"/>
        </w:rPr>
      </w:pPr>
      <w:bookmarkStart w:id="30" w:name="_Toc23623"/>
      <w:bookmarkStart w:id="31" w:name="_Toc465958088"/>
      <w:bookmarkStart w:id="32" w:name="_Toc31058"/>
      <w:bookmarkStart w:id="33" w:name="_Toc30345"/>
      <w:bookmarkStart w:id="34" w:name="_Toc32198"/>
      <w:bookmarkStart w:id="35" w:name="_Toc246928895"/>
      <w:r>
        <w:rPr>
          <w:rFonts w:hint="eastAsia" w:ascii="宋体" w:hAnsi="宋体" w:eastAsia="宋体" w:cs="宋体"/>
          <w:sz w:val="36"/>
          <w:szCs w:val="24"/>
        </w:rPr>
        <w:t>A 总则</w:t>
      </w:r>
      <w:bookmarkEnd w:id="30"/>
      <w:bookmarkEnd w:id="31"/>
      <w:bookmarkEnd w:id="32"/>
      <w:bookmarkEnd w:id="33"/>
      <w:bookmarkEnd w:id="34"/>
      <w:bookmarkEnd w:id="35"/>
    </w:p>
    <w:p>
      <w:pPr>
        <w:pStyle w:val="4"/>
        <w:spacing w:beforeLines="50" w:afterLines="50"/>
        <w:rPr>
          <w:rFonts w:ascii="宋体" w:hAnsi="宋体" w:cs="宋体"/>
          <w:szCs w:val="24"/>
        </w:rPr>
      </w:pPr>
      <w:bookmarkStart w:id="36" w:name="_Toc21639"/>
      <w:bookmarkStart w:id="37" w:name="_Toc465958089"/>
      <w:bookmarkStart w:id="38" w:name="_Toc7587"/>
      <w:bookmarkStart w:id="39" w:name="_Toc13194"/>
      <w:bookmarkStart w:id="40" w:name="_Toc31417"/>
      <w:bookmarkStart w:id="41" w:name="_Toc246928896"/>
      <w:bookmarkStart w:id="42" w:name="_Toc4811"/>
      <w:r>
        <w:rPr>
          <w:rFonts w:hint="eastAsia" w:ascii="宋体" w:hAnsi="宋体" w:cs="宋体"/>
          <w:szCs w:val="24"/>
        </w:rPr>
        <w:t>1 适用范围</w:t>
      </w:r>
      <w:bookmarkEnd w:id="36"/>
      <w:bookmarkEnd w:id="37"/>
      <w:bookmarkEnd w:id="38"/>
      <w:bookmarkEnd w:id="39"/>
      <w:bookmarkEnd w:id="40"/>
      <w:bookmarkEnd w:id="41"/>
      <w:bookmarkEnd w:id="42"/>
    </w:p>
    <w:p>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pPr>
        <w:pStyle w:val="4"/>
        <w:spacing w:beforeLines="50" w:afterLines="50" w:line="360" w:lineRule="auto"/>
        <w:rPr>
          <w:rFonts w:ascii="宋体" w:hAnsi="宋体" w:cs="宋体"/>
          <w:szCs w:val="24"/>
        </w:rPr>
      </w:pPr>
      <w:bookmarkStart w:id="43" w:name="_Toc465958090"/>
      <w:bookmarkStart w:id="44" w:name="_Toc9614"/>
      <w:bookmarkStart w:id="45" w:name="_Toc28727"/>
      <w:bookmarkStart w:id="46" w:name="_Toc18894"/>
      <w:bookmarkStart w:id="47" w:name="_Toc246928897"/>
      <w:bookmarkStart w:id="48" w:name="_Toc6698"/>
      <w:bookmarkStart w:id="49" w:name="_Toc31636"/>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榆林市文化和旅游局</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pPr>
        <w:pStyle w:val="4"/>
        <w:spacing w:beforeLines="50" w:afterLines="50" w:line="360" w:lineRule="auto"/>
        <w:rPr>
          <w:rFonts w:ascii="宋体" w:hAnsi="宋体" w:cs="宋体"/>
          <w:szCs w:val="24"/>
        </w:rPr>
      </w:pPr>
      <w:bookmarkStart w:id="51" w:name="_Toc20739"/>
      <w:bookmarkStart w:id="52" w:name="_Toc27989"/>
      <w:bookmarkStart w:id="53" w:name="_Toc26952"/>
      <w:bookmarkStart w:id="54" w:name="_Toc16727"/>
      <w:bookmarkStart w:id="55" w:name="_Toc465958091"/>
      <w:bookmarkStart w:id="56" w:name="_Toc19646"/>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pPr>
        <w:wordWrap w:val="0"/>
        <w:topLinePunct/>
        <w:spacing w:line="360" w:lineRule="auto"/>
        <w:jc w:val="left"/>
        <w:rPr>
          <w:rFonts w:ascii="宋体" w:hAnsi="宋体"/>
          <w:sz w:val="24"/>
        </w:rPr>
      </w:pPr>
      <w:bookmarkStart w:id="57" w:name="_Toc18683"/>
      <w:bookmarkStart w:id="58" w:name="_Toc3389"/>
      <w:bookmarkStart w:id="59" w:name="_Toc246928899"/>
      <w:bookmarkStart w:id="60" w:name="_Toc9563"/>
      <w:bookmarkStart w:id="61" w:name="_Toc465958092"/>
      <w:bookmarkStart w:id="62" w:name="_Toc21286"/>
      <w:bookmarkStart w:id="63" w:name="_Toc18171"/>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pPr>
        <w:pStyle w:val="4"/>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pPr>
        <w:pStyle w:val="3"/>
        <w:rPr>
          <w:rFonts w:ascii="宋体" w:hAnsi="宋体" w:eastAsia="宋体" w:cs="宋体"/>
          <w:sz w:val="44"/>
        </w:rPr>
      </w:pPr>
      <w:bookmarkStart w:id="64" w:name="_Toc1383"/>
      <w:bookmarkStart w:id="65" w:name="_Toc3331"/>
      <w:bookmarkStart w:id="66" w:name="_Toc24227"/>
      <w:bookmarkStart w:id="67" w:name="_Toc26140"/>
      <w:bookmarkStart w:id="68" w:name="_Toc246928900"/>
      <w:bookmarkStart w:id="69" w:name="_Toc465958093"/>
      <w:r>
        <w:rPr>
          <w:rFonts w:hint="eastAsia" w:ascii="宋体" w:hAnsi="宋体" w:eastAsia="宋体" w:cs="宋体"/>
          <w:sz w:val="44"/>
        </w:rPr>
        <w:t>B 竞争性谈判文件说明</w:t>
      </w:r>
      <w:bookmarkEnd w:id="64"/>
      <w:bookmarkEnd w:id="65"/>
      <w:bookmarkEnd w:id="66"/>
      <w:bookmarkEnd w:id="67"/>
      <w:bookmarkEnd w:id="68"/>
      <w:bookmarkEnd w:id="69"/>
    </w:p>
    <w:p>
      <w:pPr>
        <w:pStyle w:val="4"/>
        <w:spacing w:line="360" w:lineRule="auto"/>
        <w:rPr>
          <w:rFonts w:ascii="宋体" w:hAnsi="宋体" w:cs="宋体"/>
        </w:rPr>
      </w:pPr>
      <w:bookmarkStart w:id="70" w:name="_Toc7327"/>
      <w:bookmarkStart w:id="71" w:name="_Toc15639"/>
      <w:bookmarkStart w:id="72" w:name="_Toc16142"/>
      <w:bookmarkStart w:id="73" w:name="_Toc6287"/>
      <w:bookmarkStart w:id="74" w:name="_Toc465958094"/>
      <w:bookmarkStart w:id="75" w:name="_Toc246928901"/>
      <w:bookmarkStart w:id="76" w:name="_Toc21132"/>
      <w:r>
        <w:rPr>
          <w:rFonts w:hint="eastAsia" w:ascii="宋体" w:hAnsi="宋体" w:cs="宋体"/>
        </w:rPr>
        <w:t>5 竞争性谈判文件的构成</w:t>
      </w:r>
      <w:bookmarkEnd w:id="70"/>
      <w:bookmarkEnd w:id="71"/>
      <w:bookmarkEnd w:id="72"/>
      <w:bookmarkEnd w:id="73"/>
      <w:bookmarkEnd w:id="74"/>
      <w:bookmarkEnd w:id="75"/>
      <w:bookmarkEnd w:id="76"/>
    </w:p>
    <w:p>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pPr>
        <w:spacing w:line="360" w:lineRule="auto"/>
        <w:rPr>
          <w:rFonts w:ascii="宋体" w:hAnsi="宋体" w:cs="宋体"/>
          <w:sz w:val="24"/>
        </w:rPr>
      </w:pPr>
      <w:r>
        <w:rPr>
          <w:rFonts w:hint="eastAsia" w:ascii="宋体" w:hAnsi="宋体" w:cs="宋体"/>
          <w:sz w:val="24"/>
        </w:rPr>
        <w:t>5.1.1 竞争性谈判公告；</w:t>
      </w:r>
    </w:p>
    <w:p>
      <w:pPr>
        <w:spacing w:line="360" w:lineRule="auto"/>
        <w:rPr>
          <w:rFonts w:ascii="宋体" w:hAnsi="宋体" w:cs="宋体"/>
          <w:sz w:val="24"/>
        </w:rPr>
      </w:pPr>
      <w:r>
        <w:rPr>
          <w:rFonts w:hint="eastAsia" w:ascii="宋体" w:hAnsi="宋体" w:cs="宋体"/>
          <w:sz w:val="24"/>
        </w:rPr>
        <w:t>5.1.2 供应商须知前附表；</w:t>
      </w:r>
    </w:p>
    <w:p>
      <w:pPr>
        <w:spacing w:line="360" w:lineRule="auto"/>
        <w:rPr>
          <w:rFonts w:ascii="宋体" w:hAnsi="宋体" w:cs="宋体"/>
          <w:sz w:val="24"/>
        </w:rPr>
      </w:pPr>
      <w:r>
        <w:rPr>
          <w:rFonts w:hint="eastAsia" w:ascii="宋体" w:hAnsi="宋体" w:cs="宋体"/>
          <w:sz w:val="24"/>
        </w:rPr>
        <w:t>5.1.3 供应商须知；</w:t>
      </w:r>
    </w:p>
    <w:p>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pPr>
        <w:spacing w:line="360" w:lineRule="auto"/>
        <w:rPr>
          <w:rFonts w:ascii="宋体" w:hAnsi="宋体" w:cs="宋体"/>
          <w:sz w:val="24"/>
        </w:rPr>
      </w:pPr>
      <w:r>
        <w:rPr>
          <w:rFonts w:hint="eastAsia" w:ascii="宋体" w:hAnsi="宋体" w:cs="宋体"/>
          <w:sz w:val="24"/>
        </w:rPr>
        <w:t>5.1.5 商务要求；</w:t>
      </w:r>
    </w:p>
    <w:p>
      <w:pPr>
        <w:spacing w:line="360" w:lineRule="auto"/>
        <w:rPr>
          <w:rFonts w:ascii="宋体" w:hAnsi="宋体" w:cs="宋体"/>
          <w:sz w:val="24"/>
        </w:rPr>
      </w:pPr>
      <w:r>
        <w:rPr>
          <w:rFonts w:hint="eastAsia" w:ascii="宋体" w:hAnsi="宋体" w:cs="宋体"/>
          <w:sz w:val="24"/>
        </w:rPr>
        <w:t xml:space="preserve">5.1.6 采购内容及要求； </w:t>
      </w:r>
    </w:p>
    <w:p>
      <w:pPr>
        <w:pStyle w:val="14"/>
        <w:spacing w:line="360" w:lineRule="auto"/>
        <w:rPr>
          <w:rFonts w:ascii="宋体" w:hAnsi="宋体" w:cs="宋体"/>
          <w:sz w:val="24"/>
        </w:rPr>
      </w:pPr>
      <w:r>
        <w:rPr>
          <w:rFonts w:hint="eastAsia" w:ascii="宋体" w:hAnsi="宋体" w:cs="宋体"/>
          <w:sz w:val="24"/>
        </w:rPr>
        <w:t>5.1.7 评审方法；</w:t>
      </w:r>
    </w:p>
    <w:p>
      <w:pPr>
        <w:pStyle w:val="14"/>
        <w:spacing w:line="360" w:lineRule="auto"/>
        <w:rPr>
          <w:rFonts w:ascii="宋体" w:hAnsi="宋体" w:cs="宋体"/>
          <w:sz w:val="24"/>
        </w:rPr>
      </w:pPr>
      <w:r>
        <w:rPr>
          <w:rFonts w:hint="eastAsia" w:ascii="宋体" w:hAnsi="宋体" w:cs="宋体"/>
          <w:sz w:val="24"/>
        </w:rPr>
        <w:t>5.1.8竞争性谈判响应文件格式</w:t>
      </w:r>
    </w:p>
    <w:p>
      <w:pPr>
        <w:pStyle w:val="14"/>
        <w:spacing w:line="360" w:lineRule="auto"/>
        <w:rPr>
          <w:rFonts w:ascii="宋体" w:hAnsi="宋体" w:cs="宋体"/>
          <w:sz w:val="24"/>
        </w:rPr>
      </w:pPr>
      <w:r>
        <w:rPr>
          <w:rFonts w:hint="eastAsia" w:ascii="宋体" w:hAnsi="宋体" w:cs="宋体"/>
          <w:sz w:val="24"/>
        </w:rPr>
        <w:t>5.1.9封袋正面标识式样</w:t>
      </w:r>
    </w:p>
    <w:p>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pPr>
        <w:pStyle w:val="18"/>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pPr>
        <w:pStyle w:val="9"/>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pPr>
        <w:pStyle w:val="9"/>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仿宋_GB2312"/>
          <w:kern w:val="0"/>
          <w:sz w:val="24"/>
          <w:szCs w:val="24"/>
        </w:rPr>
        <w:t>5.4.10</w:t>
      </w:r>
      <w:r>
        <w:rPr>
          <w:rFonts w:hint="eastAsia" w:ascii="宋体" w:hAnsi="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cs="宋体"/>
          <w:bCs/>
          <w:kern w:val="0"/>
          <w:sz w:val="24"/>
          <w:szCs w:val="24"/>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bCs/>
          <w:kern w:val="0"/>
          <w:sz w:val="24"/>
          <w:szCs w:val="24"/>
        </w:rPr>
        <w:t>http://www.ccgp-shaanxi.gov.cn/zcdservice/zcd/shanxi/）在线申请，依法参加政府采购信用融资活动。</w:t>
      </w:r>
    </w:p>
    <w:p>
      <w:pPr>
        <w:adjustRightInd w:val="0"/>
        <w:snapToGrid w:val="0"/>
        <w:spacing w:line="360" w:lineRule="auto"/>
        <w:rPr>
          <w:rFonts w:ascii="宋体" w:hAnsi="宋体" w:cs="宋体"/>
          <w:bCs/>
          <w:kern w:val="0"/>
          <w:sz w:val="24"/>
          <w:szCs w:val="24"/>
        </w:rPr>
      </w:pPr>
      <w:r>
        <w:rPr>
          <w:rFonts w:hint="eastAsia" w:ascii="宋体" w:hAnsi="宋体" w:cs="宋体"/>
          <w:bCs/>
          <w:kern w:val="0"/>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pPr>
        <w:pStyle w:val="4"/>
        <w:spacing w:line="360" w:lineRule="auto"/>
        <w:rPr>
          <w:rFonts w:ascii="宋体" w:hAnsi="宋体" w:cs="宋体"/>
        </w:rPr>
      </w:pPr>
      <w:bookmarkStart w:id="77" w:name="_Toc9452"/>
      <w:bookmarkStart w:id="78" w:name="_Toc7858"/>
      <w:bookmarkStart w:id="79" w:name="_Toc465958095"/>
      <w:bookmarkStart w:id="80" w:name="_Toc32248"/>
      <w:bookmarkStart w:id="81" w:name="_Toc246928902"/>
      <w:bookmarkStart w:id="82" w:name="_Toc29090"/>
      <w:bookmarkStart w:id="83" w:name="_Toc2275"/>
      <w:r>
        <w:rPr>
          <w:rFonts w:hint="eastAsia" w:ascii="宋体" w:hAnsi="宋体" w:cs="宋体"/>
        </w:rPr>
        <w:t>6 竞争性谈判文件的澄清</w:t>
      </w:r>
      <w:bookmarkEnd w:id="77"/>
      <w:bookmarkEnd w:id="78"/>
      <w:bookmarkEnd w:id="79"/>
      <w:bookmarkEnd w:id="80"/>
      <w:bookmarkEnd w:id="81"/>
      <w:bookmarkEnd w:id="82"/>
      <w:bookmarkEnd w:id="83"/>
    </w:p>
    <w:p>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pPr>
        <w:spacing w:line="360" w:lineRule="auto"/>
        <w:rPr>
          <w:rFonts w:ascii="宋体" w:hAnsi="宋体" w:cs="宋体"/>
          <w:sz w:val="24"/>
        </w:rPr>
      </w:pPr>
      <w:r>
        <w:rPr>
          <w:rFonts w:hint="eastAsia" w:ascii="宋体" w:hAnsi="宋体" w:cs="宋体"/>
          <w:sz w:val="24"/>
        </w:rPr>
        <w:t>6.3 该澄清的内容为竞争性谈判文件的组成部分。</w:t>
      </w:r>
    </w:p>
    <w:p>
      <w:pPr>
        <w:pStyle w:val="4"/>
        <w:spacing w:line="360" w:lineRule="auto"/>
        <w:rPr>
          <w:rFonts w:ascii="宋体" w:hAnsi="宋体" w:cs="宋体"/>
        </w:rPr>
      </w:pPr>
      <w:bookmarkStart w:id="84" w:name="_Toc29244"/>
      <w:bookmarkStart w:id="85" w:name="_Toc465958096"/>
      <w:bookmarkStart w:id="86" w:name="_Toc246928903"/>
      <w:bookmarkStart w:id="87" w:name="_Toc11107"/>
      <w:bookmarkStart w:id="88" w:name="_Toc25100"/>
      <w:bookmarkStart w:id="89" w:name="_Toc30004"/>
      <w:bookmarkStart w:id="90" w:name="_Toc28323"/>
      <w:r>
        <w:rPr>
          <w:rFonts w:hint="eastAsia" w:ascii="宋体" w:hAnsi="宋体" w:cs="宋体"/>
        </w:rPr>
        <w:t>7 竞争性谈判文件的修改</w:t>
      </w:r>
      <w:bookmarkEnd w:id="84"/>
      <w:bookmarkEnd w:id="85"/>
      <w:bookmarkEnd w:id="86"/>
      <w:bookmarkEnd w:id="87"/>
      <w:bookmarkEnd w:id="88"/>
      <w:bookmarkEnd w:id="89"/>
      <w:bookmarkEnd w:id="90"/>
    </w:p>
    <w:p>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pPr>
        <w:pStyle w:val="4"/>
        <w:rPr>
          <w:rFonts w:ascii="宋体" w:hAnsi="宋体" w:cs="宋体"/>
          <w:szCs w:val="24"/>
        </w:rPr>
      </w:pPr>
      <w:r>
        <w:rPr>
          <w:rFonts w:hint="eastAsia" w:ascii="宋体" w:hAnsi="宋体" w:cs="宋体"/>
        </w:rPr>
        <w:t>8 竞争性谈判文件的获取</w:t>
      </w:r>
    </w:p>
    <w:p>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pPr>
        <w:pStyle w:val="4"/>
        <w:rPr>
          <w:rFonts w:ascii="宋体" w:hAnsi="宋体" w:cs="宋体"/>
          <w:sz w:val="24"/>
          <w:szCs w:val="24"/>
        </w:rPr>
      </w:pPr>
      <w:r>
        <w:rPr>
          <w:rFonts w:hint="eastAsia" w:ascii="宋体" w:hAnsi="宋体" w:cs="宋体"/>
        </w:rPr>
        <w:t>9 解释权归属</w:t>
      </w:r>
    </w:p>
    <w:p>
      <w:pPr>
        <w:spacing w:line="360" w:lineRule="auto"/>
        <w:ind w:firstLine="566" w:firstLineChars="236"/>
      </w:pPr>
      <w:r>
        <w:rPr>
          <w:rFonts w:hint="eastAsia" w:ascii="宋体" w:hAnsi="宋体" w:cs="宋体"/>
          <w:sz w:val="24"/>
          <w:szCs w:val="24"/>
        </w:rPr>
        <w:t xml:space="preserve">本次竞争性谈判文件的解释权归采购代理机构。 </w:t>
      </w:r>
    </w:p>
    <w:p>
      <w:pPr>
        <w:pStyle w:val="3"/>
        <w:rPr>
          <w:rFonts w:ascii="宋体" w:hAnsi="宋体" w:eastAsia="宋体" w:cs="宋体"/>
          <w:sz w:val="36"/>
        </w:rPr>
      </w:pPr>
      <w:bookmarkStart w:id="91" w:name="_Toc19669"/>
      <w:bookmarkStart w:id="92" w:name="_Toc30520"/>
      <w:bookmarkStart w:id="93" w:name="_Toc28020"/>
      <w:bookmarkStart w:id="94" w:name="_Toc465958097"/>
      <w:bookmarkStart w:id="95" w:name="_Toc585"/>
      <w:bookmarkStart w:id="96" w:name="_Toc246928904"/>
      <w:r>
        <w:rPr>
          <w:rFonts w:hint="eastAsia" w:ascii="宋体" w:hAnsi="宋体" w:eastAsia="宋体" w:cs="宋体"/>
          <w:sz w:val="36"/>
        </w:rPr>
        <w:t>C 竞争性谈判响应文件的编写</w:t>
      </w:r>
      <w:bookmarkEnd w:id="91"/>
      <w:bookmarkEnd w:id="92"/>
      <w:bookmarkEnd w:id="93"/>
      <w:bookmarkEnd w:id="94"/>
      <w:bookmarkEnd w:id="95"/>
      <w:bookmarkEnd w:id="96"/>
    </w:p>
    <w:p>
      <w:pPr>
        <w:pStyle w:val="4"/>
        <w:spacing w:line="360" w:lineRule="auto"/>
        <w:rPr>
          <w:rFonts w:ascii="宋体" w:hAnsi="宋体" w:cs="宋体"/>
        </w:rPr>
      </w:pPr>
      <w:bookmarkStart w:id="97" w:name="_Toc465958098"/>
      <w:bookmarkStart w:id="98" w:name="_Toc25916"/>
      <w:bookmarkStart w:id="99" w:name="_Toc246928905"/>
      <w:bookmarkStart w:id="100" w:name="_Toc3361"/>
      <w:bookmarkStart w:id="101" w:name="_Toc20725"/>
      <w:bookmarkStart w:id="102" w:name="_Toc32164"/>
      <w:bookmarkStart w:id="103" w:name="_Toc25855"/>
      <w:r>
        <w:rPr>
          <w:rFonts w:hint="eastAsia" w:ascii="宋体" w:hAnsi="宋体" w:cs="宋体"/>
        </w:rPr>
        <w:t>10 谈判语言</w:t>
      </w:r>
      <w:bookmarkEnd w:id="97"/>
      <w:bookmarkEnd w:id="98"/>
      <w:bookmarkEnd w:id="99"/>
      <w:bookmarkEnd w:id="100"/>
      <w:bookmarkEnd w:id="101"/>
      <w:bookmarkEnd w:id="102"/>
      <w:bookmarkEnd w:id="103"/>
    </w:p>
    <w:p>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pPr>
        <w:pStyle w:val="4"/>
        <w:spacing w:line="360" w:lineRule="auto"/>
        <w:rPr>
          <w:rFonts w:ascii="宋体" w:hAnsi="宋体" w:cs="宋体"/>
        </w:rPr>
      </w:pPr>
      <w:bookmarkStart w:id="104" w:name="_Toc14629"/>
      <w:bookmarkStart w:id="105" w:name="_Toc26252"/>
      <w:bookmarkStart w:id="106" w:name="_Toc246928906"/>
      <w:bookmarkStart w:id="107" w:name="_Toc30244"/>
      <w:bookmarkStart w:id="108" w:name="_Toc465958099"/>
      <w:bookmarkStart w:id="109" w:name="_Toc6421"/>
      <w:bookmarkStart w:id="110" w:name="_Toc12423"/>
      <w:r>
        <w:rPr>
          <w:rFonts w:hint="eastAsia" w:ascii="宋体" w:hAnsi="宋体" w:cs="宋体"/>
        </w:rPr>
        <w:t>11 计量单位</w:t>
      </w:r>
      <w:bookmarkEnd w:id="104"/>
      <w:bookmarkEnd w:id="105"/>
      <w:bookmarkEnd w:id="106"/>
      <w:bookmarkEnd w:id="107"/>
      <w:bookmarkEnd w:id="108"/>
      <w:bookmarkEnd w:id="109"/>
      <w:bookmarkEnd w:id="110"/>
    </w:p>
    <w:p>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pPr>
        <w:pStyle w:val="4"/>
        <w:spacing w:line="360" w:lineRule="auto"/>
        <w:rPr>
          <w:rFonts w:ascii="宋体" w:hAnsi="宋体" w:cs="宋体"/>
        </w:rPr>
      </w:pPr>
      <w:bookmarkStart w:id="111" w:name="_Toc26388"/>
      <w:bookmarkStart w:id="112" w:name="_Toc13655"/>
      <w:bookmarkStart w:id="113" w:name="_Toc465958100"/>
      <w:bookmarkStart w:id="114" w:name="_Toc27123"/>
      <w:bookmarkStart w:id="115" w:name="_Toc3415"/>
      <w:bookmarkStart w:id="116" w:name="_Toc1098"/>
      <w:bookmarkStart w:id="117" w:name="_Toc246928907"/>
      <w:r>
        <w:rPr>
          <w:rFonts w:hint="eastAsia" w:ascii="宋体" w:hAnsi="宋体" w:cs="宋体"/>
        </w:rPr>
        <w:t>12 竞争性谈判响应文件的构成</w:t>
      </w:r>
      <w:bookmarkEnd w:id="111"/>
      <w:bookmarkEnd w:id="112"/>
      <w:bookmarkEnd w:id="113"/>
      <w:bookmarkEnd w:id="114"/>
      <w:bookmarkEnd w:id="115"/>
      <w:bookmarkEnd w:id="116"/>
      <w:bookmarkEnd w:id="117"/>
    </w:p>
    <w:p>
      <w:pPr>
        <w:spacing w:line="360" w:lineRule="auto"/>
        <w:rPr>
          <w:rFonts w:ascii="宋体" w:hAnsi="宋体" w:cs="宋体"/>
          <w:sz w:val="24"/>
        </w:rPr>
      </w:pPr>
      <w:r>
        <w:rPr>
          <w:rFonts w:hint="eastAsia" w:ascii="宋体" w:hAnsi="宋体" w:cs="宋体"/>
          <w:sz w:val="24"/>
        </w:rPr>
        <w:t>12.1 供应商编写的竞争性谈判响应文件应包括下列部分：</w:t>
      </w:r>
    </w:p>
    <w:p>
      <w:pPr>
        <w:spacing w:line="360" w:lineRule="auto"/>
        <w:rPr>
          <w:rFonts w:ascii="宋体" w:hAnsi="宋体" w:cs="宋体"/>
          <w:sz w:val="24"/>
        </w:rPr>
      </w:pPr>
      <w:r>
        <w:rPr>
          <w:rFonts w:hint="eastAsia" w:ascii="宋体" w:hAnsi="宋体" w:cs="宋体"/>
          <w:sz w:val="24"/>
        </w:rPr>
        <w:t>12.1.1 响应函（格式）；</w:t>
      </w:r>
    </w:p>
    <w:p>
      <w:pPr>
        <w:spacing w:line="360" w:lineRule="auto"/>
        <w:rPr>
          <w:rFonts w:ascii="宋体" w:hAnsi="宋体" w:cs="宋体"/>
          <w:sz w:val="24"/>
        </w:rPr>
      </w:pPr>
      <w:r>
        <w:rPr>
          <w:rFonts w:hint="eastAsia" w:ascii="宋体" w:hAnsi="宋体" w:cs="宋体"/>
          <w:sz w:val="24"/>
        </w:rPr>
        <w:t>12.1.2 第一次谈判报价表；</w:t>
      </w:r>
    </w:p>
    <w:p>
      <w:pPr>
        <w:pStyle w:val="14"/>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pPr>
        <w:pStyle w:val="4"/>
        <w:spacing w:line="360" w:lineRule="auto"/>
        <w:rPr>
          <w:rFonts w:ascii="宋体" w:hAnsi="宋体" w:cs="宋体"/>
        </w:rPr>
      </w:pPr>
      <w:bookmarkStart w:id="118" w:name="_Toc23839"/>
      <w:bookmarkStart w:id="119" w:name="_Toc11558"/>
      <w:bookmarkStart w:id="120" w:name="_Toc246928909"/>
      <w:bookmarkStart w:id="121" w:name="_Toc27931"/>
      <w:bookmarkStart w:id="122" w:name="_Toc285"/>
      <w:bookmarkStart w:id="123" w:name="_Toc7488"/>
      <w:bookmarkStart w:id="124" w:name="_Toc465958101"/>
      <w:r>
        <w:rPr>
          <w:rFonts w:hint="eastAsia" w:ascii="宋体" w:hAnsi="宋体" w:cs="宋体"/>
        </w:rPr>
        <w:t>13 谈判报价</w:t>
      </w:r>
      <w:bookmarkEnd w:id="118"/>
      <w:bookmarkEnd w:id="119"/>
      <w:bookmarkEnd w:id="120"/>
      <w:bookmarkEnd w:id="121"/>
      <w:bookmarkEnd w:id="122"/>
      <w:bookmarkEnd w:id="123"/>
      <w:bookmarkEnd w:id="124"/>
    </w:p>
    <w:p>
      <w:pPr>
        <w:spacing w:line="360" w:lineRule="auto"/>
        <w:rPr>
          <w:rFonts w:ascii="宋体" w:hAnsi="宋体" w:cs="宋体"/>
          <w:sz w:val="24"/>
        </w:rPr>
      </w:pPr>
      <w:r>
        <w:rPr>
          <w:rFonts w:hint="eastAsia" w:ascii="宋体" w:hAnsi="宋体" w:cs="宋体"/>
          <w:sz w:val="24"/>
        </w:rPr>
        <w:t>13.1 所有谈判均以人民币报价。</w:t>
      </w:r>
    </w:p>
    <w:p>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pPr>
        <w:pStyle w:val="4"/>
        <w:spacing w:line="360" w:lineRule="auto"/>
        <w:rPr>
          <w:rFonts w:ascii="宋体" w:hAnsi="宋体" w:cs="宋体"/>
        </w:rPr>
      </w:pPr>
      <w:bookmarkStart w:id="126" w:name="_Toc10046"/>
      <w:bookmarkStart w:id="127" w:name="_Toc465958102"/>
      <w:bookmarkStart w:id="128" w:name="_Toc14151"/>
      <w:bookmarkStart w:id="129" w:name="_Toc7647"/>
      <w:bookmarkStart w:id="130" w:name="_Toc28059"/>
      <w:bookmarkStart w:id="131" w:name="_Toc30975"/>
      <w:r>
        <w:rPr>
          <w:rFonts w:hint="eastAsia" w:ascii="宋体" w:hAnsi="宋体" w:cs="宋体"/>
        </w:rPr>
        <w:t>14 证明供应商资格的证明文件</w:t>
      </w:r>
      <w:bookmarkEnd w:id="125"/>
      <w:bookmarkEnd w:id="126"/>
      <w:bookmarkEnd w:id="127"/>
      <w:bookmarkEnd w:id="128"/>
      <w:bookmarkEnd w:id="129"/>
      <w:bookmarkEnd w:id="130"/>
      <w:bookmarkEnd w:id="131"/>
    </w:p>
    <w:p>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pPr>
        <w:spacing w:line="360" w:lineRule="auto"/>
        <w:rPr>
          <w:rFonts w:ascii="宋体" w:hAnsi="宋体" w:cs="宋体"/>
          <w:sz w:val="24"/>
        </w:rPr>
      </w:pPr>
      <w:r>
        <w:rPr>
          <w:rFonts w:hint="eastAsia" w:ascii="宋体" w:hAnsi="宋体" w:cs="宋体"/>
          <w:sz w:val="24"/>
        </w:rPr>
        <w:t>12.2供应商应具有履行合同所需的财务、技术和生产能力；</w:t>
      </w:r>
    </w:p>
    <w:p>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pPr>
        <w:pStyle w:val="4"/>
        <w:spacing w:line="360" w:lineRule="auto"/>
        <w:rPr>
          <w:rFonts w:ascii="宋体" w:hAnsi="宋体" w:cs="宋体"/>
        </w:rPr>
      </w:pPr>
      <w:bookmarkStart w:id="132" w:name="_Toc28780"/>
      <w:bookmarkStart w:id="133" w:name="_Toc7233"/>
      <w:bookmarkStart w:id="134" w:name="_Toc32534"/>
      <w:bookmarkStart w:id="135" w:name="_Toc246928912"/>
      <w:bookmarkStart w:id="136" w:name="_Toc19118"/>
      <w:bookmarkStart w:id="137" w:name="_Toc23372"/>
      <w:bookmarkStart w:id="138" w:name="_Toc465958103"/>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pPr>
        <w:pStyle w:val="4"/>
        <w:spacing w:line="360" w:lineRule="auto"/>
        <w:rPr>
          <w:rFonts w:ascii="宋体" w:hAnsi="宋体" w:cs="宋体"/>
        </w:rPr>
      </w:pPr>
      <w:bookmarkStart w:id="139" w:name="_Toc22564"/>
      <w:bookmarkStart w:id="140" w:name="_Toc246928913"/>
      <w:bookmarkStart w:id="141" w:name="_Toc465958104"/>
      <w:bookmarkStart w:id="142" w:name="_Toc6620"/>
      <w:bookmarkStart w:id="143" w:name="_Toc27673"/>
      <w:bookmarkStart w:id="144" w:name="_Toc4194"/>
      <w:bookmarkStart w:id="145" w:name="_Toc21933"/>
      <w:r>
        <w:rPr>
          <w:rFonts w:hint="eastAsia" w:ascii="宋体" w:hAnsi="宋体" w:cs="宋体"/>
        </w:rPr>
        <w:t>16 谈判保证金</w:t>
      </w:r>
      <w:bookmarkEnd w:id="139"/>
      <w:bookmarkEnd w:id="140"/>
      <w:bookmarkEnd w:id="141"/>
      <w:bookmarkEnd w:id="142"/>
      <w:bookmarkEnd w:id="143"/>
      <w:bookmarkEnd w:id="144"/>
      <w:bookmarkEnd w:id="145"/>
    </w:p>
    <w:p>
      <w:pPr>
        <w:pStyle w:val="4"/>
        <w:spacing w:line="360" w:lineRule="auto"/>
        <w:rPr>
          <w:rFonts w:hint="eastAsia" w:ascii="宋体" w:hAnsi="宋体" w:cs="宋体"/>
          <w:sz w:val="24"/>
          <w:szCs w:val="28"/>
        </w:rPr>
      </w:pPr>
      <w:bookmarkStart w:id="146" w:name="_Toc4413"/>
      <w:bookmarkStart w:id="147" w:name="_Toc4576"/>
      <w:bookmarkStart w:id="148" w:name="_Toc20201"/>
      <w:bookmarkStart w:id="149" w:name="_Toc8022"/>
      <w:bookmarkStart w:id="150" w:name="_Toc465958105"/>
      <w:bookmarkStart w:id="151" w:name="_Toc22789"/>
      <w:bookmarkStart w:id="152" w:name="_Toc246928914"/>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pPr>
        <w:pStyle w:val="4"/>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pPr>
        <w:pStyle w:val="4"/>
        <w:spacing w:before="120" w:after="120" w:line="360" w:lineRule="auto"/>
        <w:rPr>
          <w:rFonts w:ascii="宋体" w:hAnsi="宋体" w:cs="宋体"/>
        </w:rPr>
      </w:pPr>
      <w:bookmarkStart w:id="153" w:name="_Toc246928915"/>
      <w:bookmarkStart w:id="154" w:name="_Toc465958106"/>
      <w:bookmarkStart w:id="155" w:name="_Toc282"/>
      <w:bookmarkStart w:id="156" w:name="_Toc17754"/>
      <w:bookmarkStart w:id="157" w:name="_Toc14012"/>
      <w:bookmarkStart w:id="158" w:name="_Toc15795"/>
      <w:bookmarkStart w:id="159" w:name="_Toc22552"/>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pPr>
        <w:spacing w:line="360" w:lineRule="auto"/>
        <w:rPr>
          <w:rFonts w:ascii="宋体" w:hAnsi="宋体" w:cs="宋体"/>
          <w:sz w:val="24"/>
        </w:rPr>
      </w:pPr>
      <w:r>
        <w:rPr>
          <w:rFonts w:hint="eastAsia" w:ascii="宋体" w:hAnsi="宋体" w:cs="宋体"/>
          <w:sz w:val="24"/>
        </w:rPr>
        <w:t xml:space="preserve">18.1 </w:t>
      </w:r>
      <w:r>
        <w:rPr>
          <w:rFonts w:hint="eastAsia" w:ascii="宋体" w:hAnsi="宋体" w:cs="宋体"/>
          <w:sz w:val="24"/>
          <w:lang w:eastAsia="zh-CN"/>
        </w:rPr>
        <w:t>纸质</w:t>
      </w:r>
      <w:r>
        <w:rPr>
          <w:rFonts w:hint="eastAsia" w:ascii="宋体" w:hAnsi="宋体" w:cs="宋体"/>
          <w:sz w:val="24"/>
        </w:rPr>
        <w:t>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pPr>
        <w:pStyle w:val="9"/>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pPr>
        <w:pStyle w:val="9"/>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pPr>
        <w:pStyle w:val="3"/>
        <w:spacing w:before="120" w:after="120"/>
        <w:rPr>
          <w:rFonts w:ascii="宋体" w:hAnsi="宋体" w:eastAsia="宋体" w:cs="宋体"/>
          <w:sz w:val="36"/>
        </w:rPr>
      </w:pPr>
      <w:bookmarkStart w:id="160" w:name="_Toc12354"/>
      <w:bookmarkStart w:id="161" w:name="_Toc26918"/>
      <w:bookmarkStart w:id="162" w:name="_Toc12671"/>
      <w:bookmarkStart w:id="163" w:name="_Toc465958107"/>
      <w:bookmarkStart w:id="164" w:name="_Toc246928916"/>
      <w:bookmarkStart w:id="165" w:name="_Toc28593"/>
      <w:r>
        <w:rPr>
          <w:rFonts w:hint="eastAsia" w:ascii="宋体" w:hAnsi="宋体" w:eastAsia="宋体" w:cs="宋体"/>
          <w:sz w:val="36"/>
        </w:rPr>
        <w:t>D 竞争性谈判响应文件的递交</w:t>
      </w:r>
      <w:bookmarkEnd w:id="160"/>
      <w:bookmarkEnd w:id="161"/>
      <w:bookmarkEnd w:id="162"/>
      <w:bookmarkEnd w:id="163"/>
      <w:bookmarkEnd w:id="164"/>
      <w:bookmarkEnd w:id="165"/>
    </w:p>
    <w:p>
      <w:pPr>
        <w:pStyle w:val="4"/>
        <w:spacing w:before="120" w:after="120" w:line="360" w:lineRule="auto"/>
        <w:rPr>
          <w:rFonts w:ascii="宋体" w:hAnsi="宋体" w:cs="宋体"/>
        </w:rPr>
      </w:pPr>
      <w:bookmarkStart w:id="166" w:name="_Toc20693"/>
      <w:bookmarkStart w:id="167" w:name="_Toc14296"/>
      <w:bookmarkStart w:id="168" w:name="_Toc17004"/>
      <w:bookmarkStart w:id="169" w:name="_Toc22531"/>
      <w:bookmarkStart w:id="170" w:name="_Toc5378"/>
      <w:bookmarkStart w:id="171" w:name="_Toc465958108"/>
      <w:bookmarkStart w:id="172" w:name="_Toc246928917"/>
      <w:r>
        <w:rPr>
          <w:rFonts w:hint="eastAsia" w:ascii="宋体" w:hAnsi="宋体" w:cs="宋体"/>
        </w:rPr>
        <w:t>19 竞争性谈判响应文件的密封和标记</w:t>
      </w:r>
      <w:bookmarkEnd w:id="166"/>
      <w:bookmarkEnd w:id="167"/>
      <w:bookmarkEnd w:id="168"/>
      <w:bookmarkEnd w:id="169"/>
      <w:bookmarkEnd w:id="170"/>
      <w:bookmarkEnd w:id="171"/>
      <w:bookmarkEnd w:id="172"/>
    </w:p>
    <w:p>
      <w:pPr>
        <w:spacing w:line="360" w:lineRule="auto"/>
        <w:rPr>
          <w:rFonts w:ascii="宋体" w:hAnsi="宋体" w:cs="仿宋_GB2312"/>
          <w:bCs/>
          <w:sz w:val="24"/>
          <w:szCs w:val="22"/>
        </w:rPr>
      </w:pPr>
      <w:bookmarkStart w:id="173" w:name="_Toc4222"/>
      <w:bookmarkStart w:id="174" w:name="_Toc2644"/>
      <w:bookmarkStart w:id="175" w:name="_Toc465958109"/>
      <w:bookmarkStart w:id="176" w:name="_Toc27827"/>
      <w:bookmarkStart w:id="177" w:name="_Toc27391"/>
      <w:bookmarkStart w:id="178" w:name="_Toc10052"/>
      <w:bookmarkStart w:id="179" w:name="_Toc246928918"/>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pPr>
        <w:pStyle w:val="4"/>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pPr>
        <w:pStyle w:val="4"/>
        <w:spacing w:line="360" w:lineRule="auto"/>
        <w:rPr>
          <w:rFonts w:ascii="宋体" w:hAnsi="宋体" w:cs="宋体"/>
        </w:rPr>
      </w:pPr>
      <w:bookmarkStart w:id="180" w:name="_Toc13225"/>
      <w:bookmarkStart w:id="181" w:name="_Toc10103"/>
      <w:bookmarkStart w:id="182" w:name="_Toc4701"/>
      <w:bookmarkStart w:id="183" w:name="_Toc465958110"/>
      <w:bookmarkStart w:id="184" w:name="_Toc7672"/>
      <w:bookmarkStart w:id="185" w:name="_Toc29885"/>
      <w:r>
        <w:rPr>
          <w:rFonts w:hint="eastAsia" w:ascii="宋体" w:hAnsi="宋体" w:cs="宋体"/>
        </w:rPr>
        <w:t>21 竞争性谈判响应文件的修改与撤回</w:t>
      </w:r>
      <w:bookmarkEnd w:id="180"/>
      <w:bookmarkEnd w:id="181"/>
      <w:bookmarkEnd w:id="182"/>
      <w:bookmarkEnd w:id="183"/>
      <w:bookmarkEnd w:id="184"/>
      <w:bookmarkEnd w:id="185"/>
    </w:p>
    <w:p>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pPr>
        <w:pStyle w:val="3"/>
        <w:rPr>
          <w:rFonts w:ascii="宋体" w:hAnsi="宋体" w:eastAsia="宋体" w:cs="宋体"/>
          <w:sz w:val="36"/>
        </w:rPr>
      </w:pPr>
      <w:bookmarkStart w:id="186" w:name="_Toc3199"/>
      <w:bookmarkStart w:id="187" w:name="_Toc465958111"/>
      <w:bookmarkStart w:id="188" w:name="_Toc21818"/>
      <w:bookmarkStart w:id="189" w:name="_Toc22666"/>
      <w:bookmarkStart w:id="190" w:name="_Toc246928919"/>
      <w:bookmarkStart w:id="191" w:name="_Toc24049"/>
      <w:r>
        <w:rPr>
          <w:rFonts w:hint="eastAsia" w:ascii="宋体" w:hAnsi="宋体" w:eastAsia="宋体" w:cs="宋体"/>
          <w:sz w:val="36"/>
        </w:rPr>
        <w:t>E 开标与评审</w:t>
      </w:r>
      <w:bookmarkEnd w:id="186"/>
      <w:bookmarkEnd w:id="187"/>
      <w:bookmarkEnd w:id="188"/>
      <w:bookmarkEnd w:id="189"/>
      <w:bookmarkEnd w:id="190"/>
      <w:bookmarkEnd w:id="191"/>
    </w:p>
    <w:p>
      <w:pPr>
        <w:pStyle w:val="4"/>
        <w:spacing w:line="360" w:lineRule="auto"/>
        <w:rPr>
          <w:rFonts w:ascii="宋体" w:hAnsi="宋体" w:cs="宋体"/>
        </w:rPr>
      </w:pPr>
      <w:bookmarkStart w:id="192" w:name="_Toc25438"/>
      <w:bookmarkStart w:id="193" w:name="_Toc465958112"/>
      <w:bookmarkStart w:id="194" w:name="_Toc11145"/>
      <w:bookmarkStart w:id="195" w:name="_Toc15292"/>
      <w:bookmarkStart w:id="196" w:name="_Toc28426"/>
      <w:bookmarkStart w:id="197" w:name="_Toc246928920"/>
      <w:bookmarkStart w:id="198" w:name="_Toc6346"/>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pPr>
        <w:pStyle w:val="14"/>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pPr>
        <w:pStyle w:val="4"/>
        <w:rPr>
          <w:rFonts w:ascii="宋体" w:hAnsi="宋体" w:cs="宋体"/>
          <w:szCs w:val="22"/>
        </w:rPr>
      </w:pPr>
      <w:bookmarkStart w:id="199" w:name="_Toc32401"/>
      <w:bookmarkStart w:id="200" w:name="_Toc246928922"/>
      <w:bookmarkStart w:id="201" w:name="_Toc32220"/>
      <w:bookmarkStart w:id="202" w:name="_Toc20915"/>
      <w:bookmarkStart w:id="203" w:name="_Toc21518"/>
      <w:bookmarkStart w:id="204" w:name="_Toc465958114"/>
      <w:bookmarkStart w:id="205" w:name="_Toc12022"/>
      <w:bookmarkStart w:id="206" w:name="_Toc29724"/>
      <w:bookmarkStart w:id="207" w:name="_Toc246928923"/>
      <w:bookmarkStart w:id="208" w:name="_Toc30377"/>
      <w:bookmarkStart w:id="209" w:name="_Toc23381"/>
      <w:bookmarkStart w:id="210" w:name="_Toc465958115"/>
      <w:bookmarkStart w:id="211" w:name="_Toc32736"/>
      <w:bookmarkStart w:id="212" w:name="_Toc9869"/>
      <w:r>
        <w:rPr>
          <w:rFonts w:hint="eastAsia" w:ascii="宋体" w:hAnsi="宋体" w:cs="宋体"/>
          <w:szCs w:val="22"/>
        </w:rPr>
        <w:t xml:space="preserve">23 </w:t>
      </w:r>
      <w:r>
        <w:rPr>
          <w:rFonts w:hint="eastAsia" w:ascii="宋体" w:hAnsi="宋体" w:cs="宋体"/>
        </w:rPr>
        <w:t>对供应商资格的审查</w:t>
      </w:r>
    </w:p>
    <w:p>
      <w:pPr>
        <w:pStyle w:val="9"/>
        <w:adjustRightInd w:val="0"/>
        <w:snapToGrid w:val="0"/>
        <w:spacing w:line="360" w:lineRule="auto"/>
        <w:jc w:val="left"/>
        <w:rPr>
          <w:rFonts w:ascii="宋体" w:hAnsi="宋体" w:cs="宋体"/>
          <w:sz w:val="24"/>
          <w:szCs w:val="22"/>
        </w:rPr>
      </w:pPr>
      <w:r>
        <w:rPr>
          <w:rFonts w:hint="eastAsia" w:ascii="宋体" w:hAnsi="宋体" w:cs="宋体"/>
          <w:sz w:val="24"/>
          <w:szCs w:val="22"/>
        </w:rPr>
        <w:t>23.1开标结束后，采购人和采购代理机构应当依法对供应商的资格证明文件进行审查，</w:t>
      </w:r>
      <w:r>
        <w:rPr>
          <w:rFonts w:hint="eastAsia" w:ascii="宋体" w:hAnsi="宋体" w:cs="宋体"/>
          <w:bCs/>
          <w:sz w:val="24"/>
        </w:rPr>
        <w:t>不符合竞争性谈判文件要求的按无效谈判响应处理，不得进入后续评审，</w:t>
      </w:r>
      <w:r>
        <w:rPr>
          <w:rFonts w:hint="eastAsia" w:ascii="宋体" w:hAnsi="宋体" w:cs="宋体"/>
          <w:sz w:val="24"/>
          <w:szCs w:val="22"/>
        </w:rPr>
        <w:t>签字确认检查结果。</w:t>
      </w:r>
    </w:p>
    <w:p>
      <w:pPr>
        <w:adjustRightInd w:val="0"/>
        <w:snapToGrid w:val="0"/>
        <w:spacing w:line="360" w:lineRule="auto"/>
      </w:pPr>
      <w:r>
        <w:rPr>
          <w:rFonts w:hint="eastAsia" w:ascii="宋体" w:hAnsi="宋体" w:cs="宋体"/>
          <w:sz w:val="24"/>
          <w:szCs w:val="22"/>
        </w:rPr>
        <w:t>23.2</w:t>
      </w:r>
      <w:r>
        <w:rPr>
          <w:rFonts w:hint="eastAsia" w:ascii="宋体" w:hAnsi="宋体" w:cs="宋体"/>
          <w:sz w:val="24"/>
          <w:szCs w:val="24"/>
        </w:rPr>
        <w:t>不符合竞争性谈判文件要求的按无效文件处理，不得进入后续评审工作。</w:t>
      </w:r>
    </w:p>
    <w:p>
      <w:pPr>
        <w:pStyle w:val="9"/>
        <w:adjustRightInd w:val="0"/>
        <w:snapToGrid w:val="0"/>
        <w:spacing w:line="360" w:lineRule="auto"/>
        <w:rPr>
          <w:rFonts w:ascii="宋体" w:hAnsi="宋体" w:cs="宋体"/>
          <w:b/>
        </w:rPr>
      </w:pPr>
      <w:r>
        <w:rPr>
          <w:rFonts w:hint="eastAsia" w:ascii="宋体" w:hAnsi="宋体" w:cs="宋体"/>
          <w:bCs/>
          <w:sz w:val="24"/>
          <w:szCs w:val="24"/>
        </w:rPr>
        <w:t>23.3合格投标人不足三家的，不得评标。</w:t>
      </w:r>
    </w:p>
    <w:bookmarkEnd w:id="199"/>
    <w:bookmarkEnd w:id="200"/>
    <w:bookmarkEnd w:id="201"/>
    <w:bookmarkEnd w:id="202"/>
    <w:bookmarkEnd w:id="203"/>
    <w:bookmarkEnd w:id="204"/>
    <w:bookmarkEnd w:id="205"/>
    <w:p>
      <w:pPr>
        <w:pStyle w:val="4"/>
        <w:spacing w:beforeLines="50" w:afterLines="50" w:line="360" w:lineRule="auto"/>
        <w:rPr>
          <w:rFonts w:ascii="宋体" w:hAnsi="宋体" w:cs="宋体"/>
          <w:sz w:val="30"/>
          <w:szCs w:val="30"/>
        </w:rPr>
      </w:pPr>
      <w:r>
        <w:rPr>
          <w:rFonts w:hint="eastAsia" w:ascii="宋体" w:hAnsi="宋体" w:cs="宋体"/>
          <w:sz w:val="30"/>
          <w:szCs w:val="30"/>
        </w:rPr>
        <w:t>24 谈判小组</w:t>
      </w:r>
    </w:p>
    <w:p>
      <w:pPr>
        <w:spacing w:line="360" w:lineRule="auto"/>
        <w:rPr>
          <w:rFonts w:ascii="宋体" w:hAnsi="宋体" w:cs="宋体"/>
          <w:sz w:val="24"/>
        </w:rPr>
      </w:pPr>
      <w:r>
        <w:rPr>
          <w:rFonts w:hint="eastAsia" w:ascii="宋体" w:hAnsi="宋体" w:cs="宋体"/>
          <w:sz w:val="24"/>
        </w:rPr>
        <w:t>24.1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pPr>
        <w:spacing w:line="360" w:lineRule="auto"/>
        <w:rPr>
          <w:rFonts w:ascii="宋体" w:hAnsi="宋体" w:cs="宋体"/>
          <w:sz w:val="24"/>
        </w:rPr>
      </w:pPr>
      <w:r>
        <w:rPr>
          <w:rFonts w:hint="eastAsia" w:ascii="宋体" w:hAnsi="宋体" w:cs="宋体"/>
          <w:sz w:val="24"/>
        </w:rPr>
        <w:t>24.2 谈判小组成员由采购人代表和评审专家3人以上单数组成，评审专家人数应占总人数的2/3以上。</w:t>
      </w:r>
    </w:p>
    <w:p>
      <w:pPr>
        <w:spacing w:line="360" w:lineRule="auto"/>
        <w:rPr>
          <w:rFonts w:ascii="宋体" w:hAnsi="宋体" w:cs="宋体"/>
          <w:sz w:val="24"/>
        </w:rPr>
      </w:pPr>
      <w:r>
        <w:rPr>
          <w:rFonts w:hint="eastAsia" w:ascii="宋体" w:hAnsi="宋体" w:cs="宋体"/>
          <w:sz w:val="24"/>
        </w:rPr>
        <w:t>24.3 谈判小组成员对各供应商竞争性谈判响应文件进行审查、质疑、评估和比较，并推荐出成交候选供应商。</w:t>
      </w:r>
    </w:p>
    <w:p>
      <w:pPr>
        <w:pStyle w:val="4"/>
        <w:spacing w:line="360" w:lineRule="auto"/>
        <w:rPr>
          <w:rFonts w:ascii="宋体" w:hAnsi="宋体" w:cs="宋体"/>
        </w:rPr>
      </w:pPr>
      <w:r>
        <w:rPr>
          <w:rFonts w:hint="eastAsia" w:ascii="宋体" w:hAnsi="宋体" w:cs="宋体"/>
        </w:rPr>
        <w:t>25 评标</w:t>
      </w:r>
    </w:p>
    <w:p>
      <w:pPr>
        <w:spacing w:line="360" w:lineRule="auto"/>
        <w:rPr>
          <w:rFonts w:ascii="宋体" w:hAnsi="宋体" w:cs="宋体"/>
          <w:bCs/>
          <w:sz w:val="24"/>
        </w:rPr>
      </w:pPr>
      <w:r>
        <w:rPr>
          <w:rFonts w:hint="eastAsia" w:ascii="宋体" w:hAnsi="宋体" w:cs="宋体"/>
          <w:bCs/>
          <w:sz w:val="24"/>
        </w:rPr>
        <w:t>25.1谈判小组对通过资格审查的供应商进行商务、技术符合性审查，审查不合格者不进入下一步评审。</w:t>
      </w:r>
    </w:p>
    <w:p>
      <w:pPr>
        <w:spacing w:line="360" w:lineRule="auto"/>
        <w:rPr>
          <w:rFonts w:ascii="宋体" w:hAnsi="宋体" w:cs="宋体"/>
          <w:bCs/>
          <w:sz w:val="24"/>
        </w:rPr>
      </w:pPr>
      <w:r>
        <w:rPr>
          <w:rFonts w:hint="eastAsia" w:ascii="宋体" w:hAnsi="宋体" w:cs="宋体"/>
          <w:bCs/>
          <w:sz w:val="24"/>
        </w:rPr>
        <w:t>25.2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pPr>
        <w:spacing w:line="360" w:lineRule="auto"/>
        <w:rPr>
          <w:rFonts w:ascii="宋体" w:hAnsi="宋体" w:cs="宋体"/>
          <w:bCs/>
          <w:sz w:val="24"/>
        </w:rPr>
      </w:pPr>
      <w:r>
        <w:rPr>
          <w:rFonts w:hint="eastAsia" w:ascii="宋体" w:hAnsi="宋体" w:cs="宋体"/>
          <w:bCs/>
          <w:sz w:val="24"/>
        </w:rPr>
        <w:t>25.3 澄清文件将作为竞争性谈判响应文件的一部分。</w:t>
      </w:r>
    </w:p>
    <w:p>
      <w:pPr>
        <w:spacing w:line="360" w:lineRule="auto"/>
        <w:rPr>
          <w:rFonts w:ascii="宋体" w:hAnsi="宋体" w:cs="宋体"/>
          <w:bCs/>
          <w:sz w:val="24"/>
        </w:rPr>
      </w:pPr>
      <w:r>
        <w:rPr>
          <w:rFonts w:hint="eastAsia" w:ascii="宋体" w:hAnsi="宋体" w:cs="宋体"/>
          <w:bCs/>
          <w:sz w:val="24"/>
        </w:rPr>
        <w:t>25.4 算术错误将按以下方法更正：</w:t>
      </w:r>
    </w:p>
    <w:p>
      <w:pPr>
        <w:spacing w:line="360" w:lineRule="auto"/>
        <w:rPr>
          <w:rFonts w:ascii="宋体" w:hAnsi="宋体" w:cs="宋体"/>
          <w:bCs/>
          <w:sz w:val="24"/>
        </w:rPr>
      </w:pPr>
      <w:r>
        <w:rPr>
          <w:rFonts w:hint="eastAsia" w:ascii="宋体" w:hAnsi="宋体" w:cs="宋体"/>
          <w:bCs/>
          <w:sz w:val="24"/>
        </w:rPr>
        <w:t>25.4.1 竞争性谈判响应文件的大写金额和小写金额不一致的，以大写金额为准；</w:t>
      </w:r>
    </w:p>
    <w:p>
      <w:pPr>
        <w:spacing w:line="360" w:lineRule="auto"/>
        <w:rPr>
          <w:rFonts w:ascii="宋体" w:hAnsi="宋体" w:cs="宋体"/>
          <w:bCs/>
          <w:sz w:val="24"/>
        </w:rPr>
      </w:pPr>
      <w:r>
        <w:rPr>
          <w:rFonts w:hint="eastAsia" w:ascii="宋体" w:hAnsi="宋体" w:cs="宋体"/>
          <w:bCs/>
          <w:sz w:val="24"/>
        </w:rPr>
        <w:t>25.4.2 总价金额与按单价汇总金额不一致的，以单价金额计算结果为准；</w:t>
      </w:r>
    </w:p>
    <w:p>
      <w:pPr>
        <w:spacing w:line="360" w:lineRule="auto"/>
        <w:rPr>
          <w:rFonts w:ascii="宋体" w:hAnsi="宋体" w:cs="宋体"/>
          <w:bCs/>
          <w:sz w:val="24"/>
        </w:rPr>
      </w:pPr>
      <w:r>
        <w:rPr>
          <w:rFonts w:hint="eastAsia" w:ascii="宋体" w:hAnsi="宋体" w:cs="宋体"/>
          <w:bCs/>
          <w:sz w:val="24"/>
        </w:rPr>
        <w:t>25.4.3 单价金额小数点有明显错位的，应当以总价为准，并修改单价；</w:t>
      </w:r>
    </w:p>
    <w:p>
      <w:pPr>
        <w:spacing w:line="360" w:lineRule="auto"/>
        <w:rPr>
          <w:rFonts w:ascii="宋体" w:hAnsi="宋体" w:cs="宋体"/>
          <w:bCs/>
          <w:sz w:val="24"/>
        </w:rPr>
      </w:pPr>
      <w:r>
        <w:rPr>
          <w:rFonts w:hint="eastAsia" w:ascii="宋体" w:hAnsi="宋体" w:cs="宋体"/>
          <w:bCs/>
          <w:sz w:val="24"/>
        </w:rPr>
        <w:t>25.4.4 对不同文字文本竞争性谈判响应文件的解释发生异议的，以中文文本为准；</w:t>
      </w:r>
    </w:p>
    <w:p>
      <w:pPr>
        <w:spacing w:line="360" w:lineRule="auto"/>
        <w:rPr>
          <w:rFonts w:ascii="宋体" w:hAnsi="宋体" w:cs="宋体"/>
          <w:sz w:val="24"/>
        </w:rPr>
      </w:pPr>
      <w:r>
        <w:rPr>
          <w:rFonts w:hint="eastAsia" w:ascii="宋体" w:hAnsi="宋体" w:cs="宋体"/>
          <w:bCs/>
          <w:sz w:val="24"/>
        </w:rPr>
        <w:t>25.4.5 对于供应商不接受对其错误的更改，其谈判属于无效谈判情形。</w:t>
      </w:r>
    </w:p>
    <w:bookmarkEnd w:id="206"/>
    <w:bookmarkEnd w:id="207"/>
    <w:bookmarkEnd w:id="208"/>
    <w:bookmarkEnd w:id="209"/>
    <w:bookmarkEnd w:id="210"/>
    <w:bookmarkEnd w:id="211"/>
    <w:bookmarkEnd w:id="212"/>
    <w:p>
      <w:pPr>
        <w:pStyle w:val="4"/>
        <w:spacing w:beforeLines="50" w:afterLines="50" w:line="360" w:lineRule="auto"/>
        <w:rPr>
          <w:rFonts w:ascii="宋体" w:hAnsi="宋体" w:cs="宋体"/>
          <w:sz w:val="30"/>
          <w:szCs w:val="30"/>
        </w:rPr>
      </w:pPr>
      <w:bookmarkStart w:id="213" w:name="_Toc8037"/>
      <w:bookmarkStart w:id="214" w:name="_Toc2865"/>
      <w:bookmarkStart w:id="215" w:name="_Toc6609"/>
      <w:bookmarkStart w:id="216" w:name="_Toc246928924"/>
      <w:bookmarkStart w:id="217" w:name="_Toc25350"/>
      <w:bookmarkStart w:id="218" w:name="_Toc465958116"/>
      <w:bookmarkStart w:id="219" w:name="_Toc12911"/>
      <w:r>
        <w:rPr>
          <w:rFonts w:hint="eastAsia" w:ascii="宋体" w:hAnsi="宋体" w:cs="宋体"/>
          <w:sz w:val="30"/>
          <w:szCs w:val="30"/>
        </w:rPr>
        <w:t>26 竞争性谈判响应文件的评价和比较</w:t>
      </w:r>
    </w:p>
    <w:p>
      <w:pPr>
        <w:spacing w:line="360" w:lineRule="auto"/>
        <w:rPr>
          <w:rFonts w:ascii="宋体" w:hAnsi="宋体" w:cs="宋体"/>
          <w:sz w:val="24"/>
        </w:rPr>
      </w:pPr>
      <w:r>
        <w:rPr>
          <w:rFonts w:hint="eastAsia" w:ascii="宋体" w:hAnsi="宋体" w:cs="宋体"/>
          <w:sz w:val="24"/>
        </w:rPr>
        <w:t>26.1 谈判小组将对有效的竞争性谈判响应文件进行评估和比较。</w:t>
      </w:r>
    </w:p>
    <w:p>
      <w:pPr>
        <w:spacing w:line="360" w:lineRule="auto"/>
        <w:rPr>
          <w:rFonts w:ascii="宋体" w:hAnsi="宋体" w:cs="宋体"/>
          <w:sz w:val="24"/>
        </w:rPr>
      </w:pPr>
      <w:r>
        <w:rPr>
          <w:rFonts w:hint="eastAsia" w:ascii="宋体" w:hAnsi="宋体" w:cs="宋体"/>
          <w:sz w:val="24"/>
        </w:rPr>
        <w:t>26.2 评审时除考虑谈判报价竞争有利性以外，还将考虑以下因素：</w:t>
      </w:r>
    </w:p>
    <w:p>
      <w:pPr>
        <w:spacing w:line="360" w:lineRule="auto"/>
        <w:rPr>
          <w:rFonts w:ascii="宋体" w:hAnsi="宋体" w:cs="宋体"/>
          <w:sz w:val="24"/>
          <w:szCs w:val="22"/>
        </w:rPr>
      </w:pPr>
      <w:r>
        <w:rPr>
          <w:rFonts w:hint="eastAsia" w:ascii="宋体" w:hAnsi="宋体" w:cs="宋体"/>
          <w:sz w:val="24"/>
        </w:rPr>
        <w:t>26.2.1竞争性谈判响应文件中各项报价的合理性，谈判小组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p>
      <w:pPr>
        <w:spacing w:line="360" w:lineRule="auto"/>
        <w:rPr>
          <w:rFonts w:ascii="宋体" w:hAnsi="宋体" w:cs="宋体"/>
          <w:sz w:val="24"/>
        </w:rPr>
      </w:pPr>
      <w:r>
        <w:rPr>
          <w:rFonts w:hint="eastAsia" w:ascii="宋体" w:hAnsi="宋体" w:cs="宋体"/>
          <w:sz w:val="24"/>
        </w:rPr>
        <w:t>26.2.2承诺的</w:t>
      </w:r>
      <w:r>
        <w:rPr>
          <w:rFonts w:hint="eastAsia" w:ascii="宋体" w:hAnsi="宋体" w:cs="宋体"/>
          <w:sz w:val="24"/>
          <w:lang w:val="en-US" w:eastAsia="zh-CN"/>
        </w:rPr>
        <w:t>服务</w:t>
      </w:r>
      <w:r>
        <w:rPr>
          <w:rFonts w:hint="eastAsia" w:ascii="宋体" w:hAnsi="宋体" w:cs="宋体"/>
          <w:sz w:val="24"/>
          <w:lang w:eastAsia="zh-CN"/>
        </w:rPr>
        <w:t>期</w:t>
      </w:r>
      <w:r>
        <w:rPr>
          <w:rFonts w:hint="eastAsia" w:ascii="宋体" w:hAnsi="宋体" w:cs="宋体"/>
          <w:sz w:val="24"/>
        </w:rPr>
        <w:t>及付款方式；</w:t>
      </w:r>
    </w:p>
    <w:p>
      <w:pPr>
        <w:spacing w:line="360" w:lineRule="auto"/>
        <w:rPr>
          <w:rFonts w:ascii="宋体" w:hAnsi="宋体" w:cs="宋体"/>
          <w:sz w:val="24"/>
        </w:rPr>
      </w:pPr>
      <w:r>
        <w:rPr>
          <w:rFonts w:hint="eastAsia" w:ascii="宋体" w:hAnsi="宋体" w:cs="宋体"/>
          <w:sz w:val="24"/>
        </w:rPr>
        <w:t>26.2.3项目的实施方案的完整合理性；</w:t>
      </w:r>
    </w:p>
    <w:p>
      <w:pPr>
        <w:spacing w:line="360" w:lineRule="auto"/>
        <w:rPr>
          <w:rFonts w:ascii="宋体" w:hAnsi="宋体" w:cs="宋体"/>
          <w:sz w:val="24"/>
        </w:rPr>
      </w:pPr>
      <w:r>
        <w:rPr>
          <w:rFonts w:hint="eastAsia" w:ascii="宋体" w:hAnsi="宋体" w:cs="宋体"/>
          <w:sz w:val="24"/>
        </w:rPr>
        <w:t>26.2.4项目的人员配备情况的合理性；</w:t>
      </w:r>
    </w:p>
    <w:p>
      <w:pPr>
        <w:spacing w:line="360" w:lineRule="auto"/>
        <w:rPr>
          <w:rFonts w:ascii="宋体" w:hAnsi="宋体" w:cs="宋体"/>
          <w:sz w:val="24"/>
          <w:szCs w:val="22"/>
        </w:rPr>
      </w:pPr>
      <w:r>
        <w:rPr>
          <w:rFonts w:hint="eastAsia" w:ascii="宋体" w:hAnsi="宋体" w:cs="宋体"/>
          <w:sz w:val="24"/>
          <w:szCs w:val="22"/>
        </w:rPr>
        <w:t>26.2.5供应商提供服务的承诺情况；</w:t>
      </w:r>
    </w:p>
    <w:p>
      <w:pPr>
        <w:spacing w:line="360" w:lineRule="auto"/>
        <w:rPr>
          <w:rFonts w:ascii="宋体" w:hAnsi="宋体" w:cs="宋体"/>
          <w:sz w:val="24"/>
          <w:szCs w:val="22"/>
        </w:rPr>
      </w:pPr>
      <w:r>
        <w:rPr>
          <w:rFonts w:hint="eastAsia" w:ascii="宋体" w:hAnsi="宋体" w:cs="宋体"/>
          <w:sz w:val="24"/>
          <w:szCs w:val="22"/>
        </w:rPr>
        <w:t>26.2.6其他特殊要求因素（如安全及环保等）。</w:t>
      </w:r>
    </w:p>
    <w:bookmarkEnd w:id="213"/>
    <w:bookmarkEnd w:id="214"/>
    <w:bookmarkEnd w:id="215"/>
    <w:bookmarkEnd w:id="216"/>
    <w:bookmarkEnd w:id="217"/>
    <w:bookmarkEnd w:id="218"/>
    <w:bookmarkEnd w:id="219"/>
    <w:p>
      <w:pPr>
        <w:pStyle w:val="4"/>
        <w:spacing w:beforeLines="50" w:afterLines="50" w:line="360" w:lineRule="auto"/>
        <w:rPr>
          <w:rFonts w:ascii="宋体" w:hAnsi="宋体" w:cs="宋体"/>
          <w:sz w:val="30"/>
          <w:szCs w:val="30"/>
        </w:rPr>
      </w:pPr>
      <w:bookmarkStart w:id="220" w:name="_Toc8450"/>
      <w:bookmarkStart w:id="221" w:name="_Toc11926"/>
      <w:bookmarkStart w:id="222" w:name="_Toc26106"/>
      <w:bookmarkStart w:id="223" w:name="_Toc20287"/>
      <w:bookmarkStart w:id="224" w:name="_Toc20736"/>
      <w:bookmarkStart w:id="225" w:name="_Toc465958117"/>
      <w:r>
        <w:rPr>
          <w:rFonts w:hint="eastAsia" w:ascii="宋体" w:hAnsi="宋体" w:cs="宋体"/>
          <w:sz w:val="30"/>
          <w:szCs w:val="30"/>
        </w:rPr>
        <w:t>27 评审原则及主要方法</w:t>
      </w:r>
    </w:p>
    <w:p>
      <w:pPr>
        <w:spacing w:line="360" w:lineRule="auto"/>
        <w:rPr>
          <w:rFonts w:ascii="宋体" w:hAnsi="宋体" w:cs="宋体"/>
          <w:sz w:val="24"/>
        </w:rPr>
      </w:pPr>
      <w:r>
        <w:rPr>
          <w:rFonts w:hint="eastAsia" w:ascii="宋体" w:hAnsi="宋体" w:cs="宋体"/>
          <w:sz w:val="24"/>
        </w:rPr>
        <w:t>27.1 谈判小组将遵循公开、公平、公正和择优的原则，禁止不正当竞争。对所有供应商的竞争性谈判响应文件评审，都采用相同的程序和标准。</w:t>
      </w:r>
    </w:p>
    <w:p>
      <w:pPr>
        <w:spacing w:line="360" w:lineRule="auto"/>
        <w:rPr>
          <w:rFonts w:ascii="宋体" w:hAnsi="宋体" w:cs="宋体"/>
          <w:sz w:val="24"/>
        </w:rPr>
      </w:pPr>
      <w:r>
        <w:rPr>
          <w:rFonts w:hint="eastAsia" w:ascii="宋体" w:hAnsi="宋体" w:cs="宋体"/>
          <w:sz w:val="24"/>
        </w:rPr>
        <w:t>27.2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pPr>
        <w:pStyle w:val="14"/>
        <w:spacing w:line="360" w:lineRule="auto"/>
        <w:rPr>
          <w:rFonts w:ascii="宋体" w:hAnsi="宋体" w:cs="宋体"/>
          <w:sz w:val="24"/>
        </w:rPr>
      </w:pPr>
      <w:r>
        <w:rPr>
          <w:rFonts w:hint="eastAsia" w:ascii="宋体" w:hAnsi="宋体" w:cs="宋体"/>
          <w:sz w:val="24"/>
        </w:rPr>
        <w:t>27.3 竞争性谈判响应文件的初步评审（含资格性检查和符合性审查）</w:t>
      </w:r>
    </w:p>
    <w:p>
      <w:pPr>
        <w:pStyle w:val="14"/>
        <w:spacing w:line="360" w:lineRule="auto"/>
        <w:rPr>
          <w:rFonts w:ascii="宋体" w:hAnsi="宋体" w:cs="宋体"/>
          <w:sz w:val="24"/>
        </w:rPr>
      </w:pPr>
      <w:r>
        <w:rPr>
          <w:rFonts w:hint="eastAsia" w:ascii="宋体" w:hAnsi="宋体" w:cs="宋体"/>
          <w:sz w:val="24"/>
        </w:rPr>
        <w:t>27.3.1 谈判小组将审查竞争性谈判响应文件是否完整、采购人和代理机构审查资格证明文件是否合格，不合格均按无效投标处理。</w:t>
      </w:r>
    </w:p>
    <w:p>
      <w:pPr>
        <w:spacing w:line="360" w:lineRule="auto"/>
        <w:rPr>
          <w:rFonts w:ascii="宋体" w:hAnsi="宋体" w:cs="宋体"/>
          <w:sz w:val="24"/>
        </w:rPr>
      </w:pPr>
      <w:r>
        <w:rPr>
          <w:rFonts w:hint="eastAsia" w:ascii="宋体" w:hAnsi="宋体" w:cs="宋体"/>
          <w:sz w:val="24"/>
        </w:rPr>
        <w:t>27.4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pPr>
        <w:spacing w:line="360" w:lineRule="auto"/>
        <w:rPr>
          <w:rFonts w:ascii="宋体" w:hAnsi="宋体" w:cs="宋体"/>
          <w:sz w:val="24"/>
        </w:rPr>
      </w:pPr>
      <w:r>
        <w:rPr>
          <w:rFonts w:hint="eastAsia" w:ascii="宋体" w:hAnsi="宋体" w:cs="宋体"/>
          <w:sz w:val="24"/>
        </w:rPr>
        <w:t>27.5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pPr>
        <w:pStyle w:val="9"/>
        <w:adjustRightInd w:val="0"/>
        <w:snapToGrid w:val="0"/>
        <w:spacing w:line="360" w:lineRule="auto"/>
      </w:pPr>
      <w:r>
        <w:rPr>
          <w:rFonts w:hint="eastAsia" w:ascii="宋体" w:hAnsi="宋体" w:cs="宋体"/>
          <w:sz w:val="24"/>
          <w:szCs w:val="24"/>
        </w:rPr>
        <w:t>27.5.1投标单位的投标报价超过采购预算；</w:t>
      </w:r>
    </w:p>
    <w:p>
      <w:pPr>
        <w:adjustRightInd w:val="0"/>
        <w:snapToGrid w:val="0"/>
        <w:spacing w:line="360" w:lineRule="auto"/>
        <w:rPr>
          <w:rFonts w:ascii="宋体" w:hAnsi="宋体"/>
          <w:sz w:val="24"/>
        </w:rPr>
      </w:pPr>
      <w:r>
        <w:rPr>
          <w:rFonts w:hint="eastAsia" w:ascii="宋体" w:hAnsi="宋体"/>
          <w:sz w:val="24"/>
        </w:rPr>
        <w:t xml:space="preserve">27.5.2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pPr>
        <w:adjustRightInd w:val="0"/>
        <w:snapToGrid w:val="0"/>
        <w:spacing w:line="360" w:lineRule="auto"/>
      </w:pPr>
      <w:r>
        <w:rPr>
          <w:rFonts w:hint="eastAsia" w:ascii="宋体" w:hAnsi="宋体" w:cs="宋体"/>
          <w:sz w:val="24"/>
          <w:szCs w:val="24"/>
        </w:rPr>
        <w:t>27.5.3投标单位未按照谈判文件规定时间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pPr>
        <w:adjustRightInd w:val="0"/>
        <w:snapToGrid w:val="0"/>
        <w:spacing w:line="360" w:lineRule="auto"/>
        <w:rPr>
          <w:rFonts w:ascii="宋体" w:hAnsi="宋体"/>
          <w:sz w:val="24"/>
        </w:rPr>
      </w:pPr>
      <w:r>
        <w:rPr>
          <w:rFonts w:hint="eastAsia" w:ascii="宋体" w:hAnsi="宋体"/>
          <w:sz w:val="24"/>
        </w:rPr>
        <w:t xml:space="preserve">27.5.4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pPr>
        <w:adjustRightInd w:val="0"/>
        <w:snapToGrid w:val="0"/>
        <w:spacing w:line="360" w:lineRule="auto"/>
        <w:rPr>
          <w:rFonts w:ascii="宋体" w:hAnsi="宋体"/>
          <w:sz w:val="24"/>
        </w:rPr>
      </w:pPr>
      <w:r>
        <w:rPr>
          <w:rFonts w:hint="eastAsia" w:ascii="宋体" w:hAnsi="宋体"/>
          <w:sz w:val="24"/>
        </w:rPr>
        <w:t xml:space="preserve">27.5.5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pPr>
        <w:adjustRightInd w:val="0"/>
        <w:snapToGrid w:val="0"/>
        <w:spacing w:line="360" w:lineRule="auto"/>
        <w:rPr>
          <w:rFonts w:ascii="宋体" w:hAnsi="宋体"/>
          <w:sz w:val="24"/>
        </w:rPr>
      </w:pPr>
      <w:r>
        <w:rPr>
          <w:rFonts w:hint="eastAsia" w:ascii="宋体" w:hAnsi="宋体"/>
          <w:sz w:val="24"/>
        </w:rPr>
        <w:t>27.5.6</w:t>
      </w:r>
      <w:r>
        <w:rPr>
          <w:rFonts w:hint="eastAsia" w:ascii="宋体" w:hAnsi="宋体"/>
          <w:sz w:val="24"/>
          <w:lang w:eastAsia="zh-CN"/>
        </w:rPr>
        <w:t>谈判响应文件</w:t>
      </w:r>
      <w:r>
        <w:rPr>
          <w:rFonts w:hint="eastAsia" w:ascii="宋体" w:hAnsi="宋体"/>
          <w:sz w:val="24"/>
        </w:rPr>
        <w:t>的关键内容字迹模糊、无法辨认的；</w:t>
      </w:r>
    </w:p>
    <w:p>
      <w:pPr>
        <w:adjustRightInd w:val="0"/>
        <w:snapToGrid w:val="0"/>
        <w:spacing w:line="360" w:lineRule="auto"/>
        <w:rPr>
          <w:rFonts w:ascii="宋体" w:hAnsi="宋体"/>
          <w:sz w:val="24"/>
        </w:rPr>
      </w:pPr>
      <w:r>
        <w:rPr>
          <w:rFonts w:hint="eastAsia" w:ascii="宋体" w:hAnsi="宋体"/>
          <w:sz w:val="24"/>
        </w:rPr>
        <w:t>27.5.7提供虚假证明（包括第三方提供的虚假证明），开具虚假资质，出现虚假应答，除按无效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pPr>
        <w:adjustRightInd w:val="0"/>
        <w:snapToGrid w:val="0"/>
        <w:spacing w:line="360" w:lineRule="auto"/>
        <w:rPr>
          <w:rFonts w:ascii="宋体" w:hAnsi="宋体"/>
          <w:sz w:val="24"/>
        </w:rPr>
      </w:pPr>
      <w:r>
        <w:rPr>
          <w:rFonts w:hint="eastAsia" w:ascii="宋体" w:hAnsi="宋体"/>
          <w:sz w:val="24"/>
        </w:rPr>
        <w:t>27.5.8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pPr>
        <w:adjustRightInd w:val="0"/>
        <w:snapToGrid w:val="0"/>
        <w:spacing w:line="360" w:lineRule="auto"/>
        <w:rPr>
          <w:rFonts w:ascii="宋体" w:hAnsi="宋体"/>
          <w:sz w:val="24"/>
        </w:rPr>
      </w:pPr>
      <w:r>
        <w:rPr>
          <w:rFonts w:hint="eastAsia" w:ascii="宋体" w:hAnsi="宋体"/>
          <w:sz w:val="24"/>
        </w:rPr>
        <w:t>27.5.9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pPr>
        <w:adjustRightInd w:val="0"/>
        <w:snapToGrid w:val="0"/>
        <w:spacing w:line="360" w:lineRule="auto"/>
        <w:rPr>
          <w:rFonts w:ascii="宋体" w:hAnsi="宋体"/>
          <w:sz w:val="24"/>
        </w:rPr>
      </w:pPr>
      <w:r>
        <w:rPr>
          <w:rFonts w:hint="eastAsia" w:ascii="宋体" w:hAnsi="宋体"/>
          <w:sz w:val="24"/>
        </w:rPr>
        <w:t>27.5.10投标报价大于项目预算或与市场价偏离较大，低于成本，形成不正当竞争的；</w:t>
      </w:r>
    </w:p>
    <w:p>
      <w:pPr>
        <w:adjustRightInd w:val="0"/>
        <w:snapToGrid w:val="0"/>
        <w:spacing w:line="360" w:lineRule="auto"/>
        <w:rPr>
          <w:rFonts w:ascii="宋体" w:hAnsi="宋体"/>
          <w:sz w:val="24"/>
        </w:rPr>
      </w:pPr>
      <w:r>
        <w:rPr>
          <w:rFonts w:hint="eastAsia" w:ascii="宋体" w:hAnsi="宋体"/>
          <w:sz w:val="24"/>
        </w:rPr>
        <w:t>27.5.11投标人有围标、串标现象（不同投标人的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pPr>
        <w:adjustRightInd w:val="0"/>
        <w:snapToGrid w:val="0"/>
        <w:spacing w:line="360" w:lineRule="auto"/>
        <w:rPr>
          <w:rFonts w:ascii="宋体" w:hAnsi="宋体"/>
          <w:sz w:val="24"/>
        </w:rPr>
      </w:pPr>
      <w:r>
        <w:rPr>
          <w:rFonts w:hint="eastAsia" w:ascii="宋体" w:hAnsi="宋体"/>
          <w:sz w:val="24"/>
        </w:rPr>
        <w:t>27.5.12逾期提交电子响应文件；</w:t>
      </w:r>
    </w:p>
    <w:p>
      <w:pPr>
        <w:adjustRightInd w:val="0"/>
        <w:snapToGrid w:val="0"/>
        <w:spacing w:line="360" w:lineRule="auto"/>
        <w:rPr>
          <w:rFonts w:ascii="宋体" w:hAnsi="宋体"/>
          <w:sz w:val="24"/>
        </w:rPr>
      </w:pPr>
      <w:r>
        <w:rPr>
          <w:rFonts w:hint="eastAsia" w:ascii="宋体" w:hAnsi="宋体"/>
          <w:sz w:val="24"/>
        </w:rPr>
        <w:t>27.5.13提交的响应文件与本项目不相符；</w:t>
      </w:r>
    </w:p>
    <w:p>
      <w:pPr>
        <w:adjustRightInd w:val="0"/>
        <w:snapToGrid w:val="0"/>
        <w:spacing w:line="360" w:lineRule="auto"/>
        <w:rPr>
          <w:rFonts w:ascii="宋体" w:hAnsi="宋体"/>
          <w:sz w:val="24"/>
        </w:rPr>
      </w:pPr>
      <w:r>
        <w:rPr>
          <w:rFonts w:hint="eastAsia" w:ascii="宋体" w:hAnsi="宋体"/>
          <w:sz w:val="24"/>
        </w:rPr>
        <w:t>27.5.14供应商拒绝对电子响应文件进行解密；</w:t>
      </w:r>
    </w:p>
    <w:p>
      <w:pPr>
        <w:adjustRightInd w:val="0"/>
        <w:snapToGrid w:val="0"/>
        <w:spacing w:line="360" w:lineRule="auto"/>
        <w:rPr>
          <w:rFonts w:ascii="宋体" w:hAnsi="宋体"/>
          <w:sz w:val="24"/>
        </w:rPr>
      </w:pPr>
      <w:r>
        <w:rPr>
          <w:rFonts w:hint="eastAsia" w:ascii="宋体" w:hAnsi="宋体"/>
          <w:sz w:val="24"/>
        </w:rPr>
        <w:t>27.5.15因供应商自身原因（如未带 CA 锁、或所带 CA 锁与制作电子响应文件使用的 CA锁不一致、或沿用旧版谈判文件编制响应文件等情形），导致在规定时间内无法解密响应文件；</w:t>
      </w:r>
    </w:p>
    <w:p>
      <w:pPr>
        <w:adjustRightInd w:val="0"/>
        <w:snapToGrid w:val="0"/>
        <w:spacing w:line="360" w:lineRule="auto"/>
        <w:rPr>
          <w:rFonts w:ascii="宋体" w:hAnsi="宋体"/>
          <w:sz w:val="24"/>
        </w:rPr>
      </w:pPr>
      <w:r>
        <w:rPr>
          <w:rFonts w:hint="eastAsia" w:ascii="宋体" w:hAnsi="宋体"/>
          <w:sz w:val="24"/>
        </w:rPr>
        <w:t>27.5.16上传的电子响应文件无法打开。</w:t>
      </w:r>
    </w:p>
    <w:p>
      <w:pPr>
        <w:adjustRightInd w:val="0"/>
        <w:snapToGrid w:val="0"/>
        <w:spacing w:line="360" w:lineRule="auto"/>
        <w:rPr>
          <w:rFonts w:ascii="宋体" w:hAnsi="宋体"/>
          <w:sz w:val="24"/>
        </w:rPr>
      </w:pPr>
      <w:r>
        <w:rPr>
          <w:rFonts w:hint="eastAsia" w:ascii="宋体" w:hAnsi="宋体"/>
          <w:sz w:val="24"/>
        </w:rPr>
        <w:t>27.5.17谈判文件规定的其他要求。</w:t>
      </w:r>
    </w:p>
    <w:bookmarkEnd w:id="220"/>
    <w:bookmarkEnd w:id="221"/>
    <w:bookmarkEnd w:id="222"/>
    <w:bookmarkEnd w:id="223"/>
    <w:bookmarkEnd w:id="224"/>
    <w:bookmarkEnd w:id="225"/>
    <w:p>
      <w:pPr>
        <w:pStyle w:val="4"/>
        <w:spacing w:beforeLines="50" w:afterLines="50" w:line="360" w:lineRule="auto"/>
        <w:rPr>
          <w:rFonts w:ascii="宋体" w:hAnsi="宋体" w:cs="宋体"/>
          <w:sz w:val="30"/>
          <w:szCs w:val="30"/>
        </w:rPr>
      </w:pPr>
      <w:bookmarkStart w:id="226" w:name="_Toc24562"/>
      <w:bookmarkStart w:id="227" w:name="_Toc497551782"/>
      <w:bookmarkStart w:id="228" w:name="_Toc25216"/>
      <w:bookmarkStart w:id="229" w:name="_Toc497712095"/>
      <w:bookmarkStart w:id="230" w:name="_Toc497546880"/>
      <w:bookmarkStart w:id="231" w:name="_Toc4915"/>
      <w:bookmarkStart w:id="232" w:name="_Toc465958118"/>
      <w:bookmarkStart w:id="233" w:name="_Toc497711547"/>
      <w:bookmarkStart w:id="234" w:name="_Toc385992360"/>
      <w:bookmarkStart w:id="235" w:name="_Toc492955421"/>
      <w:bookmarkStart w:id="236" w:name="_Toc389620199"/>
      <w:bookmarkStart w:id="237" w:name="_Toc246928925"/>
      <w:bookmarkStart w:id="238" w:name="_Toc2448"/>
      <w:r>
        <w:rPr>
          <w:rFonts w:hint="eastAsia" w:ascii="宋体" w:hAnsi="宋体" w:cs="宋体"/>
          <w:sz w:val="30"/>
          <w:szCs w:val="30"/>
        </w:rPr>
        <w:t>28 谈判</w:t>
      </w:r>
    </w:p>
    <w:p>
      <w:pPr>
        <w:adjustRightInd w:val="0"/>
        <w:spacing w:line="360" w:lineRule="auto"/>
        <w:rPr>
          <w:rFonts w:ascii="宋体" w:hAnsi="宋体" w:cs="宋体"/>
          <w:sz w:val="24"/>
        </w:rPr>
      </w:pPr>
      <w:r>
        <w:rPr>
          <w:rFonts w:hint="eastAsia" w:ascii="宋体" w:hAnsi="宋体" w:cs="宋体"/>
          <w:sz w:val="24"/>
        </w:rPr>
        <w:t>28.1谈判过程依次为记录第一次谈判投标报价（不对供应商公布）、竞争性谈判响应文件资格性审查、符合性审查、谈判与承诺、最后报价五个阶段。</w:t>
      </w:r>
    </w:p>
    <w:p>
      <w:pPr>
        <w:adjustRightInd w:val="0"/>
        <w:spacing w:line="360" w:lineRule="auto"/>
        <w:ind w:firstLine="480" w:firstLineChars="200"/>
        <w:rPr>
          <w:rFonts w:ascii="宋体" w:hAnsi="宋体" w:cs="宋体"/>
          <w:sz w:val="24"/>
        </w:rPr>
      </w:pPr>
      <w:r>
        <w:rPr>
          <w:rFonts w:hint="eastAsia" w:ascii="宋体" w:hAnsi="宋体" w:cs="宋体"/>
          <w:sz w:val="24"/>
        </w:rPr>
        <w:t>资格审查小组对各供应商的资质证明文件进行评审，不符合竞争性谈判文件要求的按无效谈判响应处理，不得进入后续评审。</w:t>
      </w:r>
    </w:p>
    <w:p>
      <w:pPr>
        <w:adjustRightInd w:val="0"/>
        <w:spacing w:line="360" w:lineRule="auto"/>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对通过资格审查的供应商，谈判小组对于各个供应商的竞争性谈判响应文件进行符合性审查，审查不合格者不进入下一步评审。</w:t>
      </w:r>
    </w:p>
    <w:p>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pPr>
        <w:spacing w:line="360" w:lineRule="auto"/>
        <w:rPr>
          <w:rFonts w:ascii="宋体" w:hAnsi="宋体" w:cs="宋体"/>
          <w:sz w:val="24"/>
        </w:rPr>
      </w:pPr>
      <w:r>
        <w:rPr>
          <w:rFonts w:hint="eastAsia" w:ascii="宋体" w:hAnsi="宋体" w:cs="宋体"/>
          <w:sz w:val="24"/>
        </w:rPr>
        <w:t>28.2谈判后，供应商应按谈判小组规定的时间进行最后报价，各供应商请携带电脑现场进行最后报价，最后报价现场不对供应商公布。该谈判报价为不可更改价格，作为谈判小组推荐成交候选人的依据。</w:t>
      </w:r>
    </w:p>
    <w:p>
      <w:pPr>
        <w:spacing w:line="360" w:lineRule="auto"/>
        <w:rPr>
          <w:rFonts w:ascii="宋体" w:hAnsi="宋体" w:cs="宋体"/>
          <w:sz w:val="24"/>
        </w:rPr>
      </w:pPr>
      <w:r>
        <w:rPr>
          <w:rFonts w:hint="eastAsia" w:ascii="宋体" w:hAnsi="宋体" w:cs="宋体"/>
          <w:sz w:val="24"/>
        </w:rPr>
        <w:t>28.3特殊情况处理：按相关法律法规执行。</w:t>
      </w:r>
    </w:p>
    <w:p>
      <w:pPr>
        <w:spacing w:line="360" w:lineRule="auto"/>
        <w:rPr>
          <w:rFonts w:ascii="宋体" w:hAnsi="宋体" w:cs="宋体"/>
          <w:sz w:val="24"/>
        </w:rPr>
      </w:pPr>
      <w:r>
        <w:rPr>
          <w:rFonts w:hint="eastAsia" w:ascii="宋体" w:hAnsi="宋体" w:cs="宋体"/>
          <w:sz w:val="24"/>
        </w:rPr>
        <w:t xml:space="preserve">28.4评审方法：谈判小组从质量和服务均能满足采购文件实质性响应要求的供应商中，按照最后报价由低到高的顺序提出成交候选人。 </w:t>
      </w:r>
    </w:p>
    <w:p>
      <w:pPr>
        <w:pStyle w:val="3"/>
        <w:spacing w:before="120" w:after="120"/>
        <w:rPr>
          <w:rFonts w:ascii="宋体" w:hAnsi="宋体" w:eastAsia="宋体" w:cs="宋体"/>
          <w:sz w:val="36"/>
        </w:rPr>
      </w:pPr>
      <w:r>
        <w:rPr>
          <w:rFonts w:hint="eastAsia" w:ascii="宋体" w:hAnsi="宋体" w:eastAsia="宋体" w:cs="宋体"/>
          <w:sz w:val="36"/>
        </w:rPr>
        <w:t>F</w:t>
      </w:r>
      <w:bookmarkStart w:id="239" w:name="_Hlt491765714"/>
      <w:bookmarkEnd w:id="239"/>
      <w:r>
        <w:rPr>
          <w:rFonts w:hint="eastAsia" w:ascii="宋体" w:hAnsi="宋体" w:eastAsia="宋体" w:cs="宋体"/>
          <w:sz w:val="36"/>
        </w:rPr>
        <w:t xml:space="preserve"> </w:t>
      </w:r>
      <w:bookmarkStart w:id="240" w:name="_Hlt497547134"/>
      <w:bookmarkEnd w:id="240"/>
      <w:r>
        <w:rPr>
          <w:rFonts w:hint="eastAsia" w:ascii="宋体" w:hAnsi="宋体" w:eastAsia="宋体" w:cs="宋体"/>
          <w:sz w:val="36"/>
        </w:rPr>
        <w:t>授予合同</w:t>
      </w:r>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4"/>
        <w:spacing w:beforeLines="50" w:afterLines="50" w:line="360" w:lineRule="auto"/>
        <w:rPr>
          <w:rFonts w:ascii="宋体" w:hAnsi="宋体" w:cs="宋体"/>
          <w:sz w:val="30"/>
          <w:szCs w:val="30"/>
        </w:rPr>
      </w:pPr>
      <w:bookmarkStart w:id="241" w:name="_Toc465958119"/>
      <w:bookmarkStart w:id="242" w:name="_Toc17220"/>
      <w:bookmarkStart w:id="243" w:name="_Toc385992361"/>
      <w:bookmarkStart w:id="244" w:name="_Toc30376"/>
      <w:bookmarkStart w:id="245" w:name="_Toc389620200"/>
      <w:bookmarkStart w:id="246" w:name="_Toc246928926"/>
      <w:bookmarkStart w:id="247" w:name="_Toc264"/>
      <w:bookmarkStart w:id="248" w:name="_Toc9423"/>
      <w:bookmarkStart w:id="249" w:name="_Toc21436"/>
      <w:bookmarkStart w:id="250" w:name="_Toc30811"/>
      <w:bookmarkStart w:id="251" w:name="_Toc389620205"/>
      <w:bookmarkStart w:id="252" w:name="_Toc385992366"/>
      <w:bookmarkStart w:id="253" w:name="_Toc5090"/>
      <w:bookmarkStart w:id="254" w:name="_Toc15641"/>
      <w:bookmarkStart w:id="255" w:name="_Toc465958121"/>
      <w:bookmarkStart w:id="256" w:name="_Toc6603"/>
      <w:bookmarkStart w:id="257" w:name="_Toc246928928"/>
      <w:bookmarkStart w:id="258" w:name="_Toc9330"/>
      <w:r>
        <w:rPr>
          <w:rFonts w:hint="eastAsia" w:ascii="宋体" w:hAnsi="宋体" w:cs="宋体"/>
          <w:sz w:val="30"/>
          <w:szCs w:val="30"/>
        </w:rPr>
        <w:t>29 成交准则</w:t>
      </w:r>
      <w:bookmarkEnd w:id="241"/>
      <w:bookmarkEnd w:id="242"/>
      <w:bookmarkEnd w:id="243"/>
      <w:bookmarkEnd w:id="244"/>
      <w:bookmarkEnd w:id="245"/>
      <w:bookmarkEnd w:id="246"/>
      <w:bookmarkEnd w:id="247"/>
      <w:bookmarkEnd w:id="248"/>
      <w:bookmarkEnd w:id="249"/>
    </w:p>
    <w:p>
      <w:pPr>
        <w:spacing w:before="120" w:line="360" w:lineRule="auto"/>
        <w:rPr>
          <w:rFonts w:ascii="宋体" w:hAnsi="宋体" w:cs="宋体"/>
          <w:sz w:val="24"/>
        </w:rPr>
      </w:pPr>
      <w:r>
        <w:rPr>
          <w:rFonts w:hint="eastAsia" w:ascii="宋体" w:hAnsi="宋体" w:cs="宋体"/>
          <w:sz w:val="24"/>
        </w:rPr>
        <w:t>29.1合同将授予竞争性谈判响应文件符合竞争性谈判文件要求、并能圆满地履行合同、对采购人最为有利且价格最低的供应商。</w:t>
      </w:r>
    </w:p>
    <w:p>
      <w:pPr>
        <w:spacing w:line="360" w:lineRule="auto"/>
        <w:rPr>
          <w:rFonts w:ascii="宋体" w:hAnsi="宋体" w:cs="宋体"/>
          <w:sz w:val="24"/>
        </w:rPr>
      </w:pPr>
      <w:r>
        <w:rPr>
          <w:rFonts w:hint="eastAsia" w:ascii="宋体" w:hAnsi="宋体" w:cs="宋体"/>
          <w:sz w:val="24"/>
        </w:rPr>
        <w:t>29.2谈判小组将根据评审方法推荐成交候选供应商名单。</w:t>
      </w:r>
      <w:bookmarkStart w:id="259" w:name="_Toc385992362"/>
      <w:bookmarkStart w:id="260" w:name="_Toc389620201"/>
    </w:p>
    <w:p>
      <w:pPr>
        <w:spacing w:line="360" w:lineRule="auto"/>
        <w:rPr>
          <w:rFonts w:ascii="宋体" w:hAnsi="宋体" w:cs="宋体"/>
          <w:sz w:val="24"/>
        </w:rPr>
      </w:pPr>
      <w:r>
        <w:rPr>
          <w:rFonts w:hint="eastAsia" w:ascii="宋体" w:hAnsi="宋体" w:cs="宋体"/>
          <w:sz w:val="24"/>
        </w:rPr>
        <w:t>29.3采购代理机构在评审结束后将评审报告送采购人，采购人在收到评审报告后按照评审报告中推荐的成交候选供应商顺序确定成交供应商。</w:t>
      </w:r>
    </w:p>
    <w:p>
      <w:pPr>
        <w:spacing w:line="360" w:lineRule="auto"/>
        <w:rPr>
          <w:rFonts w:ascii="宋体" w:hAnsi="宋体" w:cs="宋体"/>
          <w:sz w:val="24"/>
        </w:rPr>
      </w:pPr>
      <w:r>
        <w:rPr>
          <w:rFonts w:hint="eastAsia" w:ascii="宋体" w:hAnsi="宋体" w:cs="宋体"/>
          <w:sz w:val="24"/>
        </w:rPr>
        <w:t>29.4成交供应商因不可抗力或自身原因不能履行政府采购合同的，采购人可以再排位在成交供应商之后的第一位的成交候选供应商签订政府采购合同，以此类推。</w:t>
      </w:r>
    </w:p>
    <w:bookmarkEnd w:id="259"/>
    <w:bookmarkEnd w:id="260"/>
    <w:p>
      <w:pPr>
        <w:pStyle w:val="4"/>
        <w:spacing w:beforeLines="50" w:afterLines="50" w:line="360" w:lineRule="auto"/>
        <w:rPr>
          <w:rFonts w:ascii="宋体" w:hAnsi="宋体" w:cs="宋体"/>
          <w:sz w:val="30"/>
          <w:szCs w:val="30"/>
        </w:rPr>
      </w:pPr>
      <w:bookmarkStart w:id="261" w:name="_Toc385992364"/>
      <w:bookmarkStart w:id="262" w:name="_Toc389620203"/>
      <w:bookmarkStart w:id="263" w:name="_Toc246928927"/>
      <w:bookmarkStart w:id="264" w:name="_Toc21691"/>
      <w:bookmarkStart w:id="265" w:name="_Toc12205"/>
      <w:bookmarkStart w:id="266" w:name="_Toc19435"/>
      <w:bookmarkStart w:id="267" w:name="_Toc30974"/>
      <w:bookmarkStart w:id="268" w:name="_Toc465958120"/>
      <w:bookmarkStart w:id="269" w:name="_Toc19328"/>
      <w:r>
        <w:rPr>
          <w:rFonts w:hint="eastAsia" w:ascii="宋体" w:hAnsi="宋体" w:cs="宋体"/>
          <w:sz w:val="30"/>
          <w:szCs w:val="30"/>
        </w:rPr>
        <w:t xml:space="preserve">30 </w:t>
      </w:r>
      <w:bookmarkEnd w:id="261"/>
      <w:bookmarkEnd w:id="262"/>
      <w:r>
        <w:rPr>
          <w:rFonts w:hint="eastAsia" w:ascii="宋体" w:hAnsi="宋体" w:cs="宋体"/>
          <w:sz w:val="30"/>
          <w:szCs w:val="30"/>
        </w:rPr>
        <w:t>成交通知</w:t>
      </w:r>
      <w:bookmarkEnd w:id="263"/>
      <w:r>
        <w:rPr>
          <w:rFonts w:hint="eastAsia" w:ascii="宋体" w:hAnsi="宋体" w:cs="宋体"/>
          <w:sz w:val="30"/>
          <w:szCs w:val="30"/>
        </w:rPr>
        <w:t>书</w:t>
      </w:r>
      <w:bookmarkEnd w:id="264"/>
      <w:bookmarkEnd w:id="265"/>
      <w:bookmarkEnd w:id="266"/>
      <w:bookmarkEnd w:id="267"/>
      <w:bookmarkEnd w:id="268"/>
      <w:bookmarkEnd w:id="269"/>
    </w:p>
    <w:p>
      <w:pPr>
        <w:spacing w:line="360" w:lineRule="auto"/>
        <w:rPr>
          <w:rFonts w:ascii="宋体" w:hAnsi="宋体" w:cs="宋体"/>
          <w:sz w:val="24"/>
        </w:rPr>
      </w:pPr>
      <w:r>
        <w:rPr>
          <w:rFonts w:hint="eastAsia" w:ascii="宋体" w:hAnsi="宋体" w:cs="宋体"/>
          <w:sz w:val="24"/>
        </w:rPr>
        <w:t>30.1 在谈判有效期内，确定成交供应商后，成交结果在财政部门指定的政府采购信息发布媒体上公告。</w:t>
      </w:r>
    </w:p>
    <w:p>
      <w:pPr>
        <w:spacing w:line="360" w:lineRule="auto"/>
        <w:rPr>
          <w:rFonts w:ascii="宋体" w:hAnsi="宋体" w:cs="宋体"/>
          <w:sz w:val="24"/>
        </w:rPr>
      </w:pPr>
      <w:r>
        <w:rPr>
          <w:rFonts w:hint="eastAsia" w:ascii="宋体" w:hAnsi="宋体" w:cs="宋体"/>
          <w:sz w:val="24"/>
        </w:rPr>
        <w:t xml:space="preserve">30.2 采购代理机构向成交供应商发出成交通知书。 </w:t>
      </w:r>
    </w:p>
    <w:p>
      <w:pPr>
        <w:spacing w:line="360" w:lineRule="auto"/>
        <w:rPr>
          <w:rFonts w:ascii="宋体" w:hAnsi="宋体" w:cs="宋体"/>
          <w:sz w:val="24"/>
        </w:rPr>
      </w:pPr>
      <w:r>
        <w:rPr>
          <w:rFonts w:hint="eastAsia" w:ascii="宋体" w:hAnsi="宋体" w:cs="宋体"/>
          <w:sz w:val="24"/>
        </w:rPr>
        <w:t>30.3 成交通知书将作为签订合同的依据。</w:t>
      </w:r>
    </w:p>
    <w:p>
      <w:pPr>
        <w:spacing w:line="360" w:lineRule="auto"/>
        <w:rPr>
          <w:rFonts w:ascii="宋体" w:hAnsi="宋体" w:cs="宋体"/>
          <w:sz w:val="24"/>
        </w:rPr>
      </w:pPr>
      <w:r>
        <w:rPr>
          <w:rFonts w:hint="eastAsia" w:ascii="宋体" w:hAnsi="宋体" w:cs="宋体"/>
          <w:sz w:val="24"/>
        </w:rPr>
        <w:t>30.4 对未成交者，采购人不做出解释，同时亦不退还竞争性谈判响应文件。</w:t>
      </w:r>
    </w:p>
    <w:bookmarkEnd w:id="250"/>
    <w:bookmarkEnd w:id="251"/>
    <w:bookmarkEnd w:id="252"/>
    <w:bookmarkEnd w:id="253"/>
    <w:bookmarkEnd w:id="254"/>
    <w:bookmarkEnd w:id="255"/>
    <w:bookmarkEnd w:id="256"/>
    <w:bookmarkEnd w:id="257"/>
    <w:bookmarkEnd w:id="258"/>
    <w:p>
      <w:pPr>
        <w:pStyle w:val="4"/>
        <w:spacing w:beforeLines="50" w:afterLines="50" w:line="360" w:lineRule="auto"/>
        <w:rPr>
          <w:rFonts w:ascii="宋体" w:hAnsi="宋体" w:cs="宋体"/>
          <w:sz w:val="30"/>
          <w:szCs w:val="30"/>
        </w:rPr>
      </w:pPr>
      <w:bookmarkStart w:id="270" w:name="_Toc23493"/>
      <w:bookmarkStart w:id="271" w:name="_Toc385992368"/>
      <w:bookmarkStart w:id="272" w:name="_Toc465958122"/>
      <w:bookmarkStart w:id="273" w:name="_Toc9873"/>
      <w:bookmarkStart w:id="274" w:name="_Toc389620207"/>
      <w:bookmarkStart w:id="275" w:name="_Toc246928929"/>
      <w:bookmarkStart w:id="276" w:name="_Toc11754"/>
      <w:bookmarkStart w:id="277" w:name="_Toc23291"/>
      <w:bookmarkStart w:id="278" w:name="_Toc20377"/>
      <w:r>
        <w:rPr>
          <w:rFonts w:hint="eastAsia" w:ascii="宋体" w:hAnsi="宋体" w:cs="宋体"/>
          <w:sz w:val="30"/>
          <w:szCs w:val="30"/>
        </w:rPr>
        <w:t>31 签订合同</w:t>
      </w:r>
    </w:p>
    <w:p>
      <w:pPr>
        <w:spacing w:line="360" w:lineRule="auto"/>
        <w:rPr>
          <w:rFonts w:ascii="宋体" w:hAnsi="宋体" w:cs="宋体"/>
          <w:sz w:val="24"/>
        </w:rPr>
      </w:pPr>
      <w:r>
        <w:rPr>
          <w:rFonts w:hint="eastAsia" w:ascii="宋体" w:hAnsi="宋体" w:cs="宋体"/>
          <w:sz w:val="24"/>
        </w:rPr>
        <w:t>31.1成交供应商应当自成交通知书发出之日起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pPr>
        <w:spacing w:line="360" w:lineRule="auto"/>
        <w:rPr>
          <w:rFonts w:ascii="宋体" w:hAnsi="宋体" w:cs="宋体"/>
          <w:sz w:val="24"/>
        </w:rPr>
      </w:pPr>
      <w:r>
        <w:rPr>
          <w:rFonts w:hint="eastAsia" w:ascii="宋体" w:hAnsi="宋体" w:cs="宋体"/>
          <w:sz w:val="24"/>
        </w:rPr>
        <w:t>31.2 竞争性谈判文件、成交供应商的竞争性谈判响应文件和补充文件（如澄清、承诺等）等，均为签订合同的依据。所签订的合同不得对竞争性谈判文件和成交供应商竞争性谈判响应文件作实质性修改。</w:t>
      </w:r>
    </w:p>
    <w:bookmarkEnd w:id="270"/>
    <w:bookmarkEnd w:id="271"/>
    <w:bookmarkEnd w:id="272"/>
    <w:bookmarkEnd w:id="273"/>
    <w:bookmarkEnd w:id="274"/>
    <w:bookmarkEnd w:id="275"/>
    <w:bookmarkEnd w:id="276"/>
    <w:bookmarkEnd w:id="277"/>
    <w:bookmarkEnd w:id="278"/>
    <w:p>
      <w:pPr>
        <w:pStyle w:val="4"/>
        <w:spacing w:beforeLines="50" w:afterLines="50" w:line="360" w:lineRule="auto"/>
        <w:rPr>
          <w:rFonts w:ascii="宋体" w:hAnsi="宋体" w:cs="宋体"/>
          <w:sz w:val="30"/>
          <w:szCs w:val="30"/>
        </w:rPr>
      </w:pPr>
      <w:r>
        <w:rPr>
          <w:rFonts w:hint="eastAsia" w:ascii="宋体" w:hAnsi="宋体" w:cs="宋体"/>
          <w:sz w:val="30"/>
          <w:szCs w:val="30"/>
        </w:rPr>
        <w:t xml:space="preserve">32 招标代理服务费 </w:t>
      </w:r>
    </w:p>
    <w:p>
      <w:pPr>
        <w:spacing w:line="360" w:lineRule="auto"/>
        <w:rPr>
          <w:rFonts w:ascii="宋体" w:hAnsi="宋体" w:cs="仿宋_GB2312"/>
          <w:sz w:val="24"/>
          <w:szCs w:val="24"/>
        </w:rPr>
      </w:pPr>
      <w:r>
        <w:rPr>
          <w:rFonts w:hint="eastAsia" w:ascii="宋体" w:hAnsi="宋体" w:cs="宋体"/>
          <w:sz w:val="24"/>
        </w:rPr>
        <w:t xml:space="preserve">32.1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pPr>
        <w:spacing w:line="360" w:lineRule="auto"/>
        <w:rPr>
          <w:rFonts w:ascii="宋体" w:hAnsi="宋体" w:cs="宋体"/>
          <w:sz w:val="24"/>
          <w:highlight w:val="yellow"/>
        </w:rPr>
      </w:pPr>
      <w:r>
        <w:rPr>
          <w:rFonts w:hint="eastAsia" w:ascii="宋体" w:hAnsi="宋体" w:cs="仿宋_GB2312"/>
          <w:sz w:val="24"/>
          <w:szCs w:val="24"/>
        </w:rPr>
        <w:t>32.2  成交单位在领取成交通知书前，须向采购代理机构一次性支付招标代理服务费。</w:t>
      </w:r>
    </w:p>
    <w:p>
      <w:pPr>
        <w:pStyle w:val="4"/>
        <w:spacing w:before="120" w:after="120" w:line="360" w:lineRule="auto"/>
        <w:rPr>
          <w:rFonts w:ascii="宋体" w:hAnsi="宋体" w:cs="宋体"/>
          <w:szCs w:val="22"/>
        </w:rPr>
      </w:pPr>
      <w:bookmarkStart w:id="279" w:name="_Hlt497548036"/>
      <w:bookmarkEnd w:id="279"/>
      <w:bookmarkStart w:id="280" w:name="_Toc93800308"/>
      <w:bookmarkStart w:id="281" w:name="_Toc347478708"/>
      <w:bookmarkStart w:id="282" w:name="_Toc28607"/>
      <w:bookmarkStart w:id="283" w:name="_Toc13928"/>
      <w:bookmarkStart w:id="284" w:name="_Toc9748"/>
      <w:bookmarkStart w:id="285" w:name="_Toc10852"/>
      <w:bookmarkStart w:id="286" w:name="_Toc497711585"/>
      <w:bookmarkStart w:id="287" w:name="_Toc497712133"/>
      <w:bookmarkStart w:id="288" w:name="_Toc497546918"/>
      <w:bookmarkStart w:id="289" w:name="_Toc497551820"/>
      <w:bookmarkStart w:id="290" w:name="_Toc492955459"/>
      <w:bookmarkStart w:id="291" w:name="_Toc385992402"/>
      <w:bookmarkStart w:id="292" w:name="_Toc497551821"/>
      <w:bookmarkStart w:id="293" w:name="_Toc246928960"/>
      <w:bookmarkStart w:id="294" w:name="_Toc497712134"/>
      <w:bookmarkStart w:id="295" w:name="_Toc389620242"/>
      <w:bookmarkStart w:id="296" w:name="_Toc497711586"/>
      <w:bookmarkStart w:id="297" w:name="_Toc497546919"/>
      <w:bookmarkStart w:id="298" w:name="_Toc492955460"/>
      <w:r>
        <w:rPr>
          <w:rFonts w:hint="eastAsia" w:ascii="宋体" w:hAnsi="宋体" w:cs="宋体"/>
          <w:szCs w:val="22"/>
        </w:rPr>
        <w:t>33 其他</w:t>
      </w:r>
    </w:p>
    <w:p>
      <w:pPr>
        <w:spacing w:line="360" w:lineRule="auto"/>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pPr>
        <w:pStyle w:val="4"/>
        <w:spacing w:before="120" w:after="120" w:line="360" w:lineRule="auto"/>
        <w:rPr>
          <w:rFonts w:ascii="宋体" w:hAnsi="宋体" w:cs="宋体"/>
          <w:szCs w:val="22"/>
        </w:rPr>
      </w:pPr>
      <w:r>
        <w:rPr>
          <w:rFonts w:hint="eastAsia" w:ascii="宋体" w:hAnsi="宋体" w:cs="宋体"/>
          <w:szCs w:val="22"/>
        </w:rPr>
        <w:t>34 质疑提出与答复</w:t>
      </w:r>
    </w:p>
    <w:p>
      <w:pPr>
        <w:pStyle w:val="18"/>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pPr>
        <w:pStyle w:val="18"/>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pPr>
        <w:pStyle w:val="18"/>
        <w:adjustRightInd w:val="0"/>
        <w:snapToGrid w:val="0"/>
        <w:spacing w:before="0" w:beforeAutospacing="0" w:after="0" w:afterAutospacing="0" w:line="420" w:lineRule="exact"/>
        <w:ind w:firstLine="360" w:firstLineChars="150"/>
      </w:pPr>
      <w:r>
        <w:rPr>
          <w:rFonts w:hint="eastAsia"/>
        </w:rPr>
        <w:t>《政府采购供应商质疑函范本》链接地址：</w:t>
      </w:r>
    </w:p>
    <w:p>
      <w:pPr>
        <w:pStyle w:val="18"/>
        <w:adjustRightInd w:val="0"/>
        <w:snapToGrid w:val="0"/>
        <w:spacing w:before="0" w:beforeAutospacing="0" w:after="0" w:afterAutospacing="0" w:line="420" w:lineRule="exact"/>
        <w:ind w:firstLine="360" w:firstLineChars="150"/>
      </w:pPr>
      <w:r>
        <w:rPr>
          <w:rFonts w:hint="eastAsia"/>
        </w:rPr>
        <w:t>http://www.mof.gov.cn/gp/xxgkml/gks/201802/t20180201_2804587.htm</w:t>
      </w:r>
    </w:p>
    <w:p>
      <w:pPr>
        <w:pStyle w:val="18"/>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pStyle w:val="18"/>
        <w:adjustRightInd w:val="0"/>
        <w:snapToGrid w:val="0"/>
        <w:spacing w:before="0" w:beforeAutospacing="0" w:after="0" w:afterAutospacing="0" w:line="420" w:lineRule="exact"/>
        <w:ind w:firstLine="360" w:firstLineChars="150"/>
      </w:pPr>
      <w:r>
        <w:rPr>
          <w:rFonts w:hint="eastAsia"/>
        </w:rPr>
        <w:t>2.1质疑函应当包括下列内容：</w:t>
      </w:r>
    </w:p>
    <w:p>
      <w:pPr>
        <w:pStyle w:val="18"/>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pPr>
        <w:pStyle w:val="18"/>
        <w:adjustRightInd w:val="0"/>
        <w:snapToGrid w:val="0"/>
        <w:spacing w:before="0" w:beforeAutospacing="0" w:after="0" w:afterAutospacing="0" w:line="420" w:lineRule="exact"/>
        <w:ind w:firstLine="360" w:firstLineChars="150"/>
      </w:pPr>
      <w:r>
        <w:rPr>
          <w:rFonts w:hint="eastAsia"/>
        </w:rPr>
        <w:t>（2）质疑项目的名称、编号；</w:t>
      </w:r>
    </w:p>
    <w:p>
      <w:pPr>
        <w:pStyle w:val="18"/>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pPr>
        <w:pStyle w:val="18"/>
        <w:adjustRightInd w:val="0"/>
        <w:snapToGrid w:val="0"/>
        <w:spacing w:before="0" w:beforeAutospacing="0" w:after="0" w:afterAutospacing="0" w:line="420" w:lineRule="exact"/>
        <w:ind w:firstLine="360" w:firstLineChars="150"/>
      </w:pPr>
      <w:r>
        <w:rPr>
          <w:rFonts w:hint="eastAsia"/>
        </w:rPr>
        <w:t>（4）事实依据；</w:t>
      </w:r>
    </w:p>
    <w:p>
      <w:pPr>
        <w:pStyle w:val="18"/>
        <w:adjustRightInd w:val="0"/>
        <w:snapToGrid w:val="0"/>
        <w:spacing w:before="0" w:beforeAutospacing="0" w:after="0" w:afterAutospacing="0" w:line="420" w:lineRule="exact"/>
        <w:ind w:firstLine="360" w:firstLineChars="150"/>
      </w:pPr>
      <w:r>
        <w:rPr>
          <w:rFonts w:hint="eastAsia"/>
        </w:rPr>
        <w:t>（5）必要的法律依据；</w:t>
      </w:r>
    </w:p>
    <w:p>
      <w:pPr>
        <w:pStyle w:val="18"/>
        <w:adjustRightInd w:val="0"/>
        <w:snapToGrid w:val="0"/>
        <w:spacing w:before="0" w:beforeAutospacing="0" w:after="0" w:afterAutospacing="0" w:line="420" w:lineRule="exact"/>
        <w:ind w:firstLine="360" w:firstLineChars="150"/>
      </w:pPr>
      <w:r>
        <w:rPr>
          <w:rFonts w:hint="eastAsia"/>
        </w:rPr>
        <w:t xml:space="preserve">（6）提出质疑的日期。 </w:t>
      </w:r>
    </w:p>
    <w:p>
      <w:pPr>
        <w:pStyle w:val="18"/>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pPr>
        <w:pStyle w:val="18"/>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pPr>
        <w:pStyle w:val="18"/>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pPr>
        <w:pStyle w:val="18"/>
        <w:adjustRightInd w:val="0"/>
        <w:snapToGrid w:val="0"/>
        <w:spacing w:before="0" w:beforeAutospacing="0" w:after="0" w:afterAutospacing="0" w:line="420" w:lineRule="exact"/>
        <w:ind w:firstLine="360" w:firstLineChars="150"/>
      </w:pPr>
      <w:r>
        <w:rPr>
          <w:rFonts w:hint="eastAsia"/>
        </w:rPr>
        <w:t>（2）质疑人与质疑事项不存在利害关系的；</w:t>
      </w:r>
    </w:p>
    <w:p>
      <w:pPr>
        <w:pStyle w:val="18"/>
        <w:adjustRightInd w:val="0"/>
        <w:snapToGrid w:val="0"/>
        <w:spacing w:before="0" w:beforeAutospacing="0" w:after="0" w:afterAutospacing="0" w:line="420" w:lineRule="exact"/>
        <w:ind w:firstLine="360" w:firstLineChars="150"/>
      </w:pPr>
      <w:r>
        <w:rPr>
          <w:rFonts w:hint="eastAsia"/>
        </w:rPr>
        <w:t>（3）未在法定期限内提出质疑的；</w:t>
      </w:r>
    </w:p>
    <w:p>
      <w:pPr>
        <w:pStyle w:val="18"/>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pPr>
        <w:pStyle w:val="18"/>
        <w:adjustRightInd w:val="0"/>
        <w:snapToGrid w:val="0"/>
        <w:spacing w:before="0" w:beforeAutospacing="0" w:after="0" w:afterAutospacing="0" w:line="420" w:lineRule="exact"/>
        <w:ind w:firstLine="360" w:firstLineChars="150"/>
      </w:pPr>
      <w:r>
        <w:rPr>
          <w:rFonts w:hint="eastAsia"/>
        </w:rPr>
        <w:t>（5）质疑函没有合法有效的签字、盖章或授权的；</w:t>
      </w:r>
    </w:p>
    <w:p>
      <w:pPr>
        <w:pStyle w:val="18"/>
        <w:adjustRightInd w:val="0"/>
        <w:snapToGrid w:val="0"/>
        <w:spacing w:before="0" w:beforeAutospacing="0" w:after="0" w:afterAutospacing="0" w:line="420" w:lineRule="exact"/>
        <w:ind w:firstLine="360" w:firstLineChars="150"/>
      </w:pPr>
      <w:r>
        <w:rPr>
          <w:rFonts w:hint="eastAsia"/>
        </w:rPr>
        <w:t>（6）以非法手段取得证据、材料的；</w:t>
      </w:r>
    </w:p>
    <w:p>
      <w:pPr>
        <w:pStyle w:val="18"/>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pPr>
        <w:pStyle w:val="18"/>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pPr>
        <w:pStyle w:val="18"/>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pPr>
        <w:pStyle w:val="18"/>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pPr>
        <w:pStyle w:val="18"/>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pPr>
        <w:pStyle w:val="18"/>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pPr>
        <w:pStyle w:val="18"/>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pPr>
        <w:pStyle w:val="18"/>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pPr>
        <w:pStyle w:val="18"/>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pPr>
        <w:pStyle w:val="18"/>
        <w:adjustRightInd w:val="0"/>
        <w:snapToGrid w:val="0"/>
        <w:spacing w:before="0" w:beforeAutospacing="0" w:after="0" w:afterAutospacing="0" w:line="420" w:lineRule="exact"/>
        <w:ind w:firstLine="360" w:firstLineChars="150"/>
      </w:pPr>
      <w:r>
        <w:rPr>
          <w:rFonts w:hint="eastAsia"/>
        </w:rPr>
        <w:t>9、质疑函递交地址：</w:t>
      </w:r>
      <w:r>
        <w:rPr>
          <w:rFonts w:hint="eastAsia" w:ascii="宋体" w:hAnsi="宋体" w:eastAsia="宋体" w:cs="宋体"/>
          <w:i w:val="0"/>
          <w:caps w:val="0"/>
          <w:color w:val="333333"/>
          <w:spacing w:val="0"/>
          <w:sz w:val="24"/>
          <w:szCs w:val="24"/>
          <w:shd w:val="clear" w:color="auto" w:fill="FFFFFF"/>
          <w:vertAlign w:val="baseline"/>
        </w:rPr>
        <w:t>榆林市高新区安居路14号金叶小区一楼商铺</w:t>
      </w:r>
    </w:p>
    <w:p>
      <w:pPr>
        <w:pStyle w:val="18"/>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pPr>
        <w:pStyle w:val="18"/>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80"/>
    <w:bookmarkEnd w:id="281"/>
    <w:bookmarkEnd w:id="282"/>
    <w:bookmarkEnd w:id="283"/>
    <w:bookmarkEnd w:id="284"/>
    <w:bookmarkEnd w:id="285"/>
    <w:bookmarkEnd w:id="286"/>
    <w:bookmarkEnd w:id="287"/>
    <w:bookmarkEnd w:id="288"/>
    <w:bookmarkEnd w:id="289"/>
    <w:bookmarkEnd w:id="290"/>
    <w:p>
      <w:pPr>
        <w:pStyle w:val="2"/>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9" w:name="_Toc24136"/>
      <w:bookmarkStart w:id="300" w:name="_Toc18524"/>
    </w:p>
    <w:p>
      <w:pPr>
        <w:pStyle w:val="2"/>
        <w:spacing w:line="240" w:lineRule="auto"/>
        <w:jc w:val="center"/>
        <w:rPr>
          <w:rFonts w:ascii="宋体" w:hAnsi="宋体" w:cs="宋体"/>
          <w:sz w:val="24"/>
          <w:szCs w:val="24"/>
        </w:rPr>
      </w:pPr>
      <w:bookmarkStart w:id="301"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301"/>
      <w:bookmarkStart w:id="302" w:name="_Toc3964"/>
    </w:p>
    <w:p>
      <w:pPr>
        <w:spacing w:line="360" w:lineRule="auto"/>
        <w:jc w:val="center"/>
        <w:rPr>
          <w:rFonts w:hint="eastAsia" w:ascii="宋体" w:hAnsi="宋体"/>
          <w:b/>
          <w:sz w:val="24"/>
        </w:rPr>
      </w:pPr>
      <w:r>
        <w:rPr>
          <w:rFonts w:hint="eastAsia"/>
          <w:b/>
        </w:rPr>
        <w:t>（此合同只作为参考，最终签订的合同以采购人确定的合同内容为准。）</w:t>
      </w:r>
    </w:p>
    <w:p>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pPr>
        <w:adjustRightInd w:val="0"/>
        <w:snapToGrid w:val="0"/>
        <w:spacing w:line="520" w:lineRule="exact"/>
        <w:rPr>
          <w:rFonts w:hint="eastAsia" w:ascii="宋体" w:hAnsi="宋体"/>
          <w:b/>
          <w:sz w:val="24"/>
        </w:rPr>
      </w:pPr>
      <w:r>
        <w:rPr>
          <w:rFonts w:hint="eastAsia" w:ascii="宋体" w:hAnsi="宋体"/>
          <w:b/>
          <w:sz w:val="24"/>
        </w:rPr>
        <w:t>一、项目概况</w:t>
      </w:r>
    </w:p>
    <w:p>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pPr>
        <w:adjustRightInd w:val="0"/>
        <w:snapToGrid w:val="0"/>
        <w:spacing w:line="520" w:lineRule="exact"/>
        <w:rPr>
          <w:rFonts w:hint="eastAsia" w:ascii="宋体" w:hAnsi="宋体"/>
          <w:b/>
          <w:sz w:val="24"/>
        </w:rPr>
      </w:pPr>
      <w:r>
        <w:rPr>
          <w:rFonts w:hint="eastAsia" w:ascii="宋体" w:hAnsi="宋体"/>
          <w:b/>
          <w:sz w:val="24"/>
        </w:rPr>
        <w:t>二、组成本合同的文件</w:t>
      </w:r>
    </w:p>
    <w:p>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pPr>
        <w:adjustRightInd w:val="0"/>
        <w:snapToGrid w:val="0"/>
        <w:spacing w:line="520" w:lineRule="exact"/>
        <w:rPr>
          <w:rFonts w:hint="eastAsia" w:ascii="宋体" w:hAnsi="宋体"/>
          <w:b/>
          <w:sz w:val="24"/>
        </w:rPr>
      </w:pPr>
      <w:r>
        <w:rPr>
          <w:rFonts w:hint="eastAsia" w:ascii="宋体" w:hAnsi="宋体"/>
          <w:b/>
          <w:sz w:val="24"/>
        </w:rPr>
        <w:t>三、签约金额</w:t>
      </w:r>
    </w:p>
    <w:p>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pPr>
        <w:numPr>
          <w:ilvl w:val="0"/>
          <w:numId w:val="6"/>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ascii="宋体" w:hAnsi="宋体"/>
          <w:sz w:val="24"/>
          <w:szCs w:val="24"/>
          <w:lang w:val="en-US" w:eastAsia="zh-CN"/>
        </w:rPr>
        <w:t>预付中标金额的40%，</w:t>
      </w:r>
      <w:r>
        <w:rPr>
          <w:rFonts w:hint="eastAsia"/>
          <w:sz w:val="24"/>
          <w:szCs w:val="24"/>
          <w:lang w:eastAsia="zh-CN"/>
        </w:rPr>
        <w:t>竣工验收后一次性结清。</w:t>
      </w:r>
    </w:p>
    <w:p>
      <w:pPr>
        <w:adjustRightInd w:val="0"/>
        <w:snapToGrid w:val="0"/>
        <w:spacing w:line="520" w:lineRule="exact"/>
        <w:rPr>
          <w:rFonts w:hint="eastAsia" w:ascii="宋体" w:hAnsi="宋体"/>
          <w:b/>
          <w:sz w:val="24"/>
        </w:rPr>
      </w:pPr>
      <w:r>
        <w:rPr>
          <w:rFonts w:hint="eastAsia" w:ascii="宋体" w:hAnsi="宋体"/>
          <w:b/>
          <w:sz w:val="24"/>
        </w:rPr>
        <w:t>五、期限</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服务</w:t>
      </w:r>
      <w:r>
        <w:rPr>
          <w:rFonts w:hint="eastAsia" w:ascii="宋体" w:hAnsi="宋体" w:eastAsia="宋体" w:cs="宋体"/>
          <w:color w:val="auto"/>
          <w:sz w:val="24"/>
          <w:szCs w:val="24"/>
        </w:rPr>
        <w:t>期：</w:t>
      </w:r>
    </w:p>
    <w:p>
      <w:pPr>
        <w:adjustRightInd w:val="0"/>
        <w:snapToGrid w:val="0"/>
        <w:spacing w:line="520" w:lineRule="exact"/>
        <w:rPr>
          <w:rFonts w:hint="eastAsia" w:ascii="宋体" w:hAnsi="宋体"/>
          <w:b/>
          <w:sz w:val="24"/>
        </w:rPr>
      </w:pPr>
      <w:r>
        <w:rPr>
          <w:rFonts w:hint="eastAsia" w:ascii="宋体" w:hAnsi="宋体"/>
          <w:b/>
          <w:sz w:val="24"/>
        </w:rPr>
        <w:t>六、双方承诺</w:t>
      </w:r>
    </w:p>
    <w:p>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即服务内容与竞争性谈判响应文件、成交通知书等所指明的，或者与本合同所指明的服务内容相一致。（附清单）</w:t>
      </w:r>
    </w:p>
    <w:p>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pPr>
        <w:adjustRightInd w:val="0"/>
        <w:snapToGrid w:val="0"/>
        <w:spacing w:line="520" w:lineRule="exact"/>
        <w:rPr>
          <w:rFonts w:hint="eastAsia" w:ascii="宋体" w:hAnsi="宋体"/>
          <w:b/>
          <w:sz w:val="24"/>
        </w:rPr>
      </w:pPr>
      <w:r>
        <w:rPr>
          <w:rFonts w:hint="eastAsia" w:ascii="宋体" w:hAnsi="宋体"/>
          <w:b/>
          <w:sz w:val="24"/>
        </w:rPr>
        <w:t>十五、验收</w:t>
      </w:r>
    </w:p>
    <w:p>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pPr>
        <w:adjustRightInd w:val="0"/>
        <w:snapToGrid w:val="0"/>
        <w:spacing w:line="520" w:lineRule="exact"/>
        <w:rPr>
          <w:rFonts w:hint="eastAsia" w:ascii="宋体" w:hAnsi="宋体"/>
          <w:b/>
          <w:sz w:val="24"/>
        </w:rPr>
      </w:pPr>
      <w:r>
        <w:rPr>
          <w:rFonts w:hint="eastAsia" w:ascii="宋体" w:hAnsi="宋体"/>
          <w:b/>
          <w:sz w:val="24"/>
        </w:rPr>
        <w:t>十七、合同订立</w:t>
      </w:r>
    </w:p>
    <w:p>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pPr>
        <w:spacing w:line="360" w:lineRule="auto"/>
        <w:jc w:val="center"/>
        <w:outlineLvl w:val="0"/>
        <w:rPr>
          <w:rFonts w:hint="eastAsia" w:ascii="宋体" w:hAnsi="宋体" w:cs="宋体"/>
          <w:b/>
          <w:kern w:val="44"/>
          <w:sz w:val="36"/>
          <w:szCs w:val="22"/>
        </w:rPr>
      </w:pPr>
    </w:p>
    <w:p>
      <w:pPr>
        <w:spacing w:line="360" w:lineRule="auto"/>
        <w:jc w:val="center"/>
        <w:outlineLvl w:val="0"/>
        <w:rPr>
          <w:rFonts w:hint="eastAsia" w:ascii="宋体" w:hAnsi="宋体" w:cs="宋体"/>
          <w:b/>
          <w:kern w:val="44"/>
          <w:sz w:val="36"/>
          <w:szCs w:val="22"/>
        </w:rPr>
      </w:pPr>
    </w:p>
    <w:p>
      <w:pPr>
        <w:spacing w:line="360" w:lineRule="auto"/>
        <w:jc w:val="center"/>
        <w:outlineLvl w:val="0"/>
        <w:rPr>
          <w:rFonts w:hint="eastAsia" w:ascii="宋体" w:hAnsi="宋体" w:cs="宋体"/>
          <w:b/>
          <w:kern w:val="44"/>
          <w:sz w:val="36"/>
          <w:szCs w:val="22"/>
        </w:rPr>
      </w:pPr>
    </w:p>
    <w:p>
      <w:pPr>
        <w:spacing w:line="360" w:lineRule="auto"/>
        <w:jc w:val="center"/>
        <w:outlineLvl w:val="0"/>
        <w:rPr>
          <w:rFonts w:hint="eastAsia" w:ascii="宋体" w:hAnsi="宋体" w:cs="宋体"/>
          <w:b/>
          <w:kern w:val="44"/>
          <w:sz w:val="36"/>
          <w:szCs w:val="22"/>
        </w:rPr>
      </w:pPr>
    </w:p>
    <w:p>
      <w:pPr>
        <w:pStyle w:val="8"/>
        <w:rPr>
          <w:rFonts w:hint="eastAsia" w:ascii="宋体" w:hAnsi="宋体" w:cs="宋体"/>
          <w:b/>
          <w:kern w:val="44"/>
          <w:sz w:val="36"/>
          <w:szCs w:val="22"/>
        </w:rPr>
      </w:pPr>
    </w:p>
    <w:p>
      <w:pPr>
        <w:rPr>
          <w:rFonts w:hint="eastAsia"/>
        </w:rPr>
      </w:pPr>
    </w:p>
    <w:p>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9"/>
      <w:bookmarkEnd w:id="300"/>
      <w:bookmarkEnd w:id="302"/>
    </w:p>
    <w:bookmarkEnd w:id="291"/>
    <w:bookmarkEnd w:id="292"/>
    <w:bookmarkEnd w:id="293"/>
    <w:bookmarkEnd w:id="294"/>
    <w:bookmarkEnd w:id="295"/>
    <w:bookmarkEnd w:id="296"/>
    <w:bookmarkEnd w:id="297"/>
    <w:bookmarkEnd w:id="298"/>
    <w:p>
      <w:pPr>
        <w:spacing w:line="360" w:lineRule="auto"/>
        <w:ind w:firstLine="448" w:firstLineChars="186"/>
        <w:rPr>
          <w:rFonts w:ascii="宋体" w:hAnsi="宋体" w:cs="宋体"/>
          <w:bCs/>
          <w:sz w:val="24"/>
        </w:rPr>
      </w:pPr>
      <w:bookmarkStart w:id="303" w:name="_Toc14458"/>
      <w:bookmarkStart w:id="304" w:name="_Toc465958129"/>
      <w:bookmarkStart w:id="305" w:name="_Toc246928961"/>
      <w:bookmarkStart w:id="306" w:name="_Toc128557264"/>
      <w:bookmarkStart w:id="307" w:name="_Toc246928962"/>
      <w:bookmarkStart w:id="308" w:name="_Toc492955463"/>
      <w:bookmarkStart w:id="309" w:name="_Toc497711589"/>
      <w:bookmarkStart w:id="310" w:name="_Toc497546922"/>
      <w:bookmarkStart w:id="311" w:name="_Toc389620244"/>
      <w:bookmarkStart w:id="312" w:name="_Toc385992404"/>
      <w:bookmarkStart w:id="313" w:name="_Toc497712137"/>
      <w:bookmarkStart w:id="314" w:name="_Toc497551824"/>
      <w:r>
        <w:rPr>
          <w:rFonts w:hint="eastAsia" w:ascii="宋体" w:hAnsi="宋体" w:cs="宋体"/>
          <w:b/>
          <w:bCs/>
          <w:sz w:val="24"/>
        </w:rPr>
        <w:t>一、</w:t>
      </w:r>
      <w:r>
        <w:rPr>
          <w:rFonts w:hint="eastAsia" w:ascii="宋体" w:hAnsi="宋体" w:cs="宋体"/>
          <w:b/>
          <w:bCs/>
          <w:sz w:val="24"/>
          <w:szCs w:val="24"/>
          <w:lang w:val="en-US" w:eastAsia="zh-CN"/>
        </w:rPr>
        <w:t>服务</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服务</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sz w:val="24"/>
          <w:szCs w:val="24"/>
          <w:lang w:val="en-US" w:eastAsia="zh-CN"/>
        </w:rPr>
        <w:t>详见采购需求内容</w:t>
      </w:r>
      <w:r>
        <w:rPr>
          <w:rFonts w:hint="eastAsia" w:ascii="宋体" w:hAnsi="宋体" w:cs="宋体"/>
          <w:color w:val="FF0000"/>
          <w:sz w:val="24"/>
          <w:szCs w:val="24"/>
        </w:rPr>
        <w:t xml:space="preserve">    </w:t>
      </w:r>
    </w:p>
    <w:p>
      <w:pPr>
        <w:spacing w:line="360" w:lineRule="auto"/>
        <w:ind w:firstLine="482" w:firstLineChars="200"/>
        <w:rPr>
          <w:rFonts w:ascii="宋体" w:hAnsi="宋体" w:cs="宋体"/>
          <w:b/>
          <w:bCs/>
          <w:sz w:val="24"/>
        </w:rPr>
      </w:pPr>
      <w:r>
        <w:rPr>
          <w:rFonts w:hint="eastAsia" w:ascii="宋体" w:hAnsi="宋体" w:cs="宋体"/>
          <w:b/>
          <w:bCs/>
          <w:sz w:val="24"/>
        </w:rPr>
        <w:t>三、合同价款</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pPr>
        <w:spacing w:line="360" w:lineRule="auto"/>
        <w:ind w:firstLine="482" w:firstLineChars="200"/>
        <w:rPr>
          <w:rFonts w:ascii="宋体" w:hAnsi="宋体" w:cs="宋体"/>
          <w:b/>
          <w:bCs/>
          <w:sz w:val="24"/>
        </w:rPr>
      </w:pPr>
      <w:r>
        <w:rPr>
          <w:rFonts w:hint="eastAsia" w:ascii="宋体" w:hAnsi="宋体" w:cs="宋体"/>
          <w:b/>
          <w:bCs/>
          <w:sz w:val="24"/>
        </w:rPr>
        <w:t>四、款项结算</w:t>
      </w:r>
    </w:p>
    <w:p>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303"/>
    <w:p>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pPr>
        <w:bidi w:val="0"/>
        <w:rPr>
          <w:rFonts w:hint="eastAsia"/>
        </w:rPr>
      </w:pPr>
    </w:p>
    <w:p>
      <w:pPr>
        <w:bidi w:val="0"/>
        <w:rPr>
          <w:rFonts w:hint="eastAsia"/>
        </w:rPr>
      </w:pPr>
    </w:p>
    <w:p>
      <w:pPr>
        <w:bidi w:val="0"/>
        <w:rPr>
          <w:rFonts w:hint="eastAsia"/>
        </w:rPr>
      </w:pPr>
    </w:p>
    <w:p>
      <w:pPr>
        <w:pStyle w:val="7"/>
        <w:rPr>
          <w:rFonts w:hint="eastAsia"/>
        </w:rPr>
      </w:pPr>
    </w:p>
    <w:p>
      <w:pPr>
        <w:pStyle w:val="7"/>
        <w:rPr>
          <w:rFonts w:hint="eastAsia"/>
        </w:rPr>
      </w:pPr>
    </w:p>
    <w:p>
      <w:pPr>
        <w:pStyle w:val="7"/>
        <w:rPr>
          <w:rFonts w:hint="eastAsia"/>
        </w:rPr>
      </w:pPr>
    </w:p>
    <w:p>
      <w:pPr>
        <w:pStyle w:val="2"/>
        <w:numPr>
          <w:ilvl w:val="0"/>
          <w:numId w:val="7"/>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pPr>
        <w:bidi w:val="0"/>
        <w:jc w:val="center"/>
        <w:rPr>
          <w:rFonts w:hint="eastAsia" w:ascii="宋体" w:hAnsi="宋体" w:eastAsia="宋体" w:cs="宋体"/>
          <w:b/>
          <w:bCs/>
          <w:sz w:val="36"/>
          <w:szCs w:val="52"/>
          <w:lang w:val="en-US" w:eastAsia="zh-CN"/>
        </w:rPr>
      </w:pPr>
      <w:bookmarkStart w:id="315" w:name="_Toc28145"/>
      <w:r>
        <w:rPr>
          <w:rFonts w:hint="eastAsia" w:ascii="宋体" w:hAnsi="宋体" w:eastAsia="宋体" w:cs="宋体"/>
          <w:b/>
          <w:bCs/>
          <w:sz w:val="36"/>
          <w:szCs w:val="52"/>
          <w:lang w:val="en-US" w:eastAsia="zh-CN"/>
        </w:rPr>
        <w:t>第六部分：采购内容需求</w:t>
      </w:r>
    </w:p>
    <w:p>
      <w:pPr>
        <w:bidi w:val="0"/>
        <w:jc w:val="center"/>
        <w:rPr>
          <w:rFonts w:hint="eastAsia" w:eastAsia="宋体"/>
          <w:b/>
          <w:bCs/>
          <w:sz w:val="36"/>
          <w:szCs w:val="32"/>
          <w:lang w:val="en-US" w:eastAsia="zh-CN"/>
        </w:rPr>
      </w:pPr>
      <w:r>
        <w:rPr>
          <w:rFonts w:hint="eastAsia"/>
          <w:b/>
          <w:bCs/>
          <w:sz w:val="36"/>
          <w:szCs w:val="32"/>
          <w:lang w:val="en-US" w:eastAsia="zh-CN"/>
        </w:rPr>
        <w:t>1包</w:t>
      </w:r>
      <w:r>
        <w:rPr>
          <w:rFonts w:hint="eastAsia" w:eastAsia="宋体"/>
          <w:b/>
          <w:bCs/>
          <w:sz w:val="36"/>
          <w:szCs w:val="32"/>
          <w:lang w:val="en-US" w:eastAsia="zh-CN"/>
        </w:rPr>
        <w:t>—西安地铁投放宣传广告服务</w:t>
      </w:r>
    </w:p>
    <w:p>
      <w:pPr>
        <w:numPr>
          <w:ilvl w:val="0"/>
          <w:numId w:val="0"/>
        </w:numPr>
        <w:spacing w:line="360" w:lineRule="auto"/>
        <w:rPr>
          <w:rFonts w:hint="eastAsia"/>
          <w:sz w:val="24"/>
          <w:szCs w:val="22"/>
          <w:lang w:val="en-US" w:eastAsia="zh-CN"/>
        </w:rPr>
      </w:pPr>
      <w:r>
        <w:rPr>
          <w:rFonts w:hint="eastAsia"/>
          <w:sz w:val="24"/>
          <w:szCs w:val="22"/>
          <w:lang w:val="en-US" w:eastAsia="zh-CN"/>
        </w:rPr>
        <w:t>1、计划在西安地铁4号线沿线地铁站内投放榆林文化旅游宣传广告，因该线路经过大明宫遗址公园、大唐芙蓉园、大雁塔、曲江池等多个著名景区。且连通西安北客站、西安火车站等交通枢纽线路，能有效覆盖外地游客和本地居民。</w:t>
      </w:r>
    </w:p>
    <w:p>
      <w:pPr>
        <w:numPr>
          <w:ilvl w:val="0"/>
          <w:numId w:val="0"/>
        </w:numPr>
        <w:spacing w:line="360" w:lineRule="auto"/>
        <w:rPr>
          <w:rFonts w:hint="eastAsia"/>
          <w:sz w:val="24"/>
          <w:szCs w:val="22"/>
          <w:lang w:val="en-US" w:eastAsia="zh-CN"/>
        </w:rPr>
      </w:pPr>
      <w:r>
        <w:rPr>
          <w:rFonts w:hint="eastAsia"/>
          <w:sz w:val="24"/>
          <w:szCs w:val="22"/>
          <w:lang w:val="en-US" w:eastAsia="zh-CN"/>
        </w:rPr>
        <w:t>2、计划在西安市地铁4号线交通枢纽换乘站点 (S级、A++) 站点的广告资源处宣传。包括梯眉灯箱:不少于18块，不少于11个站点，每块面积不低于3平米;换乘站点 (S级)十二封灯箱:不少于20块，不少于5个站点，每块面积不低于3平米;通道品牌墙贴:3个换乘站主通道区域内双侧,双侧面积不低于60平米。</w:t>
      </w:r>
    </w:p>
    <w:p>
      <w:pPr>
        <w:spacing w:line="360" w:lineRule="auto"/>
        <w:rPr>
          <w:rFonts w:hint="eastAsia"/>
          <w:sz w:val="24"/>
          <w:szCs w:val="22"/>
          <w:lang w:val="en-US" w:eastAsia="zh-CN"/>
        </w:rPr>
      </w:pPr>
      <w:r>
        <w:rPr>
          <w:rFonts w:hint="eastAsia"/>
          <w:sz w:val="24"/>
          <w:szCs w:val="22"/>
          <w:lang w:val="en-US" w:eastAsia="zh-CN"/>
        </w:rPr>
        <w:t>3、合同签订7个工作日内完成安装调试及广告发布，服务期为一个月</w:t>
      </w:r>
    </w:p>
    <w:p>
      <w:pPr>
        <w:spacing w:line="360" w:lineRule="auto"/>
        <w:rPr>
          <w:rFonts w:hint="eastAsia"/>
          <w:sz w:val="24"/>
          <w:szCs w:val="22"/>
          <w:lang w:val="en-US" w:eastAsia="zh-CN"/>
        </w:rPr>
      </w:pPr>
      <w:r>
        <w:rPr>
          <w:rFonts w:hint="eastAsia"/>
          <w:sz w:val="24"/>
          <w:szCs w:val="22"/>
          <w:lang w:val="en-US" w:eastAsia="zh-CN"/>
        </w:rPr>
        <w:t>4、资源要求：为一手代理（产权单位或产权单位直接授权）或二手代理（一手代理直接授权），并提供完整、规范、合法且有效的代理证明</w:t>
      </w:r>
    </w:p>
    <w:p>
      <w:pPr>
        <w:spacing w:line="360" w:lineRule="auto"/>
        <w:rPr>
          <w:rFonts w:hint="eastAsia"/>
          <w:sz w:val="24"/>
          <w:szCs w:val="22"/>
          <w:lang w:val="en-US" w:eastAsia="zh-CN"/>
        </w:rPr>
      </w:pPr>
      <w:r>
        <w:rPr>
          <w:rFonts w:hint="eastAsia"/>
          <w:sz w:val="24"/>
          <w:szCs w:val="22"/>
          <w:lang w:val="en-US" w:eastAsia="zh-CN"/>
        </w:rPr>
        <w:t>5、设计人员不少于3人，提供大专及以上学历或相关工作证明</w:t>
      </w:r>
    </w:p>
    <w:p>
      <w:pPr>
        <w:spacing w:line="360" w:lineRule="auto"/>
        <w:rPr>
          <w:rFonts w:hint="eastAsia"/>
          <w:sz w:val="24"/>
          <w:szCs w:val="22"/>
          <w:lang w:val="en-US" w:eastAsia="zh-CN"/>
        </w:rPr>
      </w:pPr>
      <w:r>
        <w:rPr>
          <w:rFonts w:hint="eastAsia"/>
          <w:sz w:val="24"/>
          <w:szCs w:val="22"/>
          <w:lang w:val="en-US" w:eastAsia="zh-CN"/>
        </w:rPr>
        <w:t>6、初拟梯眉、十二封灯箱、通道品牌墙广告效果图，每个不少于3张</w:t>
      </w:r>
    </w:p>
    <w:p>
      <w:pPr>
        <w:spacing w:line="360" w:lineRule="auto"/>
        <w:rPr>
          <w:rFonts w:hint="default"/>
          <w:sz w:val="24"/>
          <w:szCs w:val="22"/>
          <w:lang w:val="en-US" w:eastAsia="zh-CN"/>
        </w:rPr>
      </w:pPr>
      <w:r>
        <w:rPr>
          <w:rFonts w:hint="eastAsia"/>
          <w:sz w:val="24"/>
          <w:szCs w:val="22"/>
          <w:lang w:val="en-US" w:eastAsia="zh-CN"/>
        </w:rPr>
        <w:t>7、维护人员不少于3人，提供服务名单</w:t>
      </w:r>
    </w:p>
    <w:p>
      <w:pPr>
        <w:spacing w:line="360" w:lineRule="auto"/>
        <w:rPr>
          <w:rFonts w:hint="default"/>
          <w:sz w:val="24"/>
          <w:szCs w:val="22"/>
          <w:lang w:val="en-US" w:eastAsia="zh-CN"/>
        </w:rPr>
      </w:pPr>
      <w:r>
        <w:rPr>
          <w:rFonts w:hint="eastAsia"/>
          <w:sz w:val="24"/>
          <w:szCs w:val="22"/>
          <w:lang w:val="en-US" w:eastAsia="zh-CN"/>
        </w:rPr>
        <w:t>8、内容经文旅局确认后，交由地铁方发布</w:t>
      </w:r>
    </w:p>
    <w:p/>
    <w:p/>
    <w:p/>
    <w:p/>
    <w:p/>
    <w:p/>
    <w:p/>
    <w:p/>
    <w:p/>
    <w:p/>
    <w:p/>
    <w:p/>
    <w:p/>
    <w:p/>
    <w:p/>
    <w:p/>
    <w:p/>
    <w:p>
      <w:pPr>
        <w:bidi w:val="0"/>
        <w:jc w:val="center"/>
        <w:rPr>
          <w:rFonts w:hint="eastAsia"/>
          <w:sz w:val="24"/>
          <w:szCs w:val="32"/>
          <w:lang w:val="en-US" w:eastAsia="zh-CN"/>
        </w:rPr>
      </w:pPr>
      <w:r>
        <w:rPr>
          <w:rFonts w:hint="eastAsia"/>
          <w:b/>
          <w:bCs/>
          <w:sz w:val="36"/>
          <w:szCs w:val="32"/>
          <w:lang w:val="en-US" w:eastAsia="zh-CN"/>
        </w:rPr>
        <w:t>2包</w:t>
      </w:r>
      <w:r>
        <w:rPr>
          <w:rFonts w:hint="eastAsia" w:eastAsia="宋体"/>
          <w:b/>
          <w:bCs/>
          <w:sz w:val="36"/>
          <w:szCs w:val="32"/>
          <w:lang w:val="en-US" w:eastAsia="zh-CN"/>
        </w:rPr>
        <w:t>——航空宣传服务要求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sz w:val="24"/>
          <w:szCs w:val="32"/>
          <w:lang w:val="en-US" w:eastAsia="zh-CN"/>
        </w:rPr>
      </w:pPr>
      <w:r>
        <w:rPr>
          <w:rFonts w:hint="eastAsia"/>
          <w:sz w:val="24"/>
          <w:szCs w:val="32"/>
          <w:lang w:val="en-US" w:eastAsia="zh-CN"/>
        </w:rPr>
        <w:t>1、计划在执行榆林航线的飞机上开展专题宣传，宣传内容为在飞机客舱座椅小桌板、行李架上刊登“陕北榆林过大年”宣传展示广告，桌椅后背书报袋放置榆林文旅宣传折页。投放宣传广告的飞机不少于6架，宣传周期为1个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sz w:val="24"/>
          <w:szCs w:val="32"/>
          <w:lang w:val="en-US" w:eastAsia="zh-CN"/>
        </w:rPr>
      </w:pPr>
      <w:r>
        <w:rPr>
          <w:rFonts w:hint="eastAsia"/>
          <w:sz w:val="24"/>
          <w:szCs w:val="32"/>
          <w:lang w:val="en-US" w:eastAsia="zh-CN"/>
        </w:rPr>
        <w:t>2、在榆林机场策划“陕北榆林过大年”落地迎宾活动，在航班密集起降的时间段，在榆林机场航站楼内开展陕北民歌、横山说书等项目展示。要求每天至少安排1场不少于1小时的迎宾仪式，每次不少于3人次，演出周期为一个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其他要求：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1、提供相关航空公司与榆林机场广告合作推广证明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2、设计人员不少于2人，需提供大专及以上学历或相关从业工作证明，并提供至少3版</w:t>
      </w:r>
      <w:r>
        <w:rPr>
          <w:rFonts w:hint="eastAsia"/>
          <w:sz w:val="24"/>
          <w:szCs w:val="32"/>
        </w:rPr>
        <w:t>《陕北榆林过大年》为宣传主题的宣传推广</w:t>
      </w:r>
      <w:r>
        <w:rPr>
          <w:rFonts w:hint="eastAsia"/>
          <w:sz w:val="24"/>
          <w:szCs w:val="32"/>
          <w:lang w:val="en-US" w:eastAsia="zh-CN"/>
        </w:rPr>
        <w:t>设计效果图、</w:t>
      </w:r>
      <w:r>
        <w:rPr>
          <w:rFonts w:hint="eastAsia"/>
          <w:sz w:val="24"/>
          <w:szCs w:val="32"/>
        </w:rPr>
        <w:t>营造 “年味”</w:t>
      </w:r>
      <w:r>
        <w:rPr>
          <w:rFonts w:hint="eastAsia"/>
          <w:sz w:val="24"/>
          <w:szCs w:val="32"/>
          <w:lang w:val="en-US" w:eastAsia="zh-CN"/>
        </w:rPr>
        <w:t>布置广告效果图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3、提供意向合作艺人名单和意向合作书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4、材质：3M180MC+专用保护膜（按每架次110张制作——小桌板、数量30张——行李架）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5、图样由榆林市文旅局审定后发布</w:t>
      </w:r>
    </w:p>
    <w:p/>
    <w:p/>
    <w:p/>
    <w:p/>
    <w:p/>
    <w:p/>
    <w:p/>
    <w:p/>
    <w:p/>
    <w:p/>
    <w:p/>
    <w:p/>
    <w:p/>
    <w:p/>
    <w:p/>
    <w:p/>
    <w:p>
      <w:pPr>
        <w:bidi w:val="0"/>
        <w:jc w:val="center"/>
        <w:rPr>
          <w:rFonts w:hint="eastAsia" w:eastAsia="宋体"/>
          <w:b/>
          <w:bCs/>
          <w:sz w:val="36"/>
          <w:szCs w:val="32"/>
          <w:lang w:val="en-US" w:eastAsia="zh-CN"/>
        </w:rPr>
      </w:pPr>
      <w:r>
        <w:rPr>
          <w:rFonts w:hint="eastAsia"/>
          <w:b/>
          <w:bCs/>
          <w:sz w:val="36"/>
          <w:szCs w:val="32"/>
          <w:lang w:val="en-US" w:eastAsia="zh-CN"/>
        </w:rPr>
        <w:t>3包</w:t>
      </w:r>
      <w:r>
        <w:rPr>
          <w:rFonts w:hint="eastAsia" w:eastAsia="宋体"/>
          <w:b/>
          <w:bCs/>
          <w:sz w:val="36"/>
          <w:szCs w:val="32"/>
          <w:lang w:val="en-US" w:eastAsia="zh-CN"/>
        </w:rPr>
        <w:t>—2024“陕北榆林过大年”活动抖音平台宣传服务</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245"/>
        <w:gridCol w:w="5135"/>
        <w:gridCol w:w="92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8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cs="宋体"/>
                <w:kern w:val="0"/>
                <w:sz w:val="24"/>
                <w:lang w:bidi="ar"/>
              </w:rPr>
            </w:pPr>
            <w:r>
              <w:rPr>
                <w:rFonts w:hint="eastAsia" w:ascii="宋体" w:hAnsi="宋体" w:cs="宋体"/>
                <w:b/>
                <w:bCs/>
                <w:kern w:val="0"/>
                <w:sz w:val="24"/>
                <w:lang w:bidi="ar"/>
              </w:rPr>
              <w:t>序号</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cs="宋体"/>
                <w:kern w:val="0"/>
                <w:sz w:val="24"/>
                <w:lang w:bidi="ar"/>
              </w:rPr>
            </w:pPr>
            <w:r>
              <w:rPr>
                <w:rFonts w:hint="eastAsia" w:ascii="宋体" w:hAnsi="宋体" w:cs="宋体"/>
                <w:b/>
                <w:bCs/>
                <w:kern w:val="0"/>
                <w:sz w:val="24"/>
                <w:lang w:bidi="ar"/>
              </w:rPr>
              <w:t>宣传营销项目</w:t>
            </w:r>
          </w:p>
        </w:tc>
        <w:tc>
          <w:tcPr>
            <w:tcW w:w="513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cs="宋体"/>
                <w:kern w:val="0"/>
                <w:sz w:val="24"/>
                <w:lang w:bidi="ar"/>
              </w:rPr>
            </w:pPr>
            <w:r>
              <w:rPr>
                <w:rFonts w:hint="eastAsia" w:ascii="宋体" w:hAnsi="宋体" w:cs="宋体"/>
                <w:b/>
                <w:bCs/>
                <w:kern w:val="0"/>
                <w:sz w:val="24"/>
                <w:lang w:bidi="ar"/>
              </w:rPr>
              <w:t>要求</w:t>
            </w:r>
          </w:p>
        </w:tc>
        <w:tc>
          <w:tcPr>
            <w:tcW w:w="921"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cs="宋体"/>
                <w:kern w:val="0"/>
                <w:sz w:val="24"/>
                <w:lang w:bidi="ar"/>
              </w:rPr>
            </w:pPr>
            <w:r>
              <w:rPr>
                <w:rFonts w:hint="eastAsia" w:ascii="宋体" w:hAnsi="宋体" w:cs="宋体"/>
                <w:b/>
                <w:bCs/>
                <w:kern w:val="0"/>
                <w:sz w:val="24"/>
                <w:lang w:bidi="ar"/>
              </w:rPr>
              <w:t>单位</w:t>
            </w:r>
          </w:p>
        </w:tc>
        <w:tc>
          <w:tcPr>
            <w:tcW w:w="99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cs="宋体"/>
                <w:kern w:val="0"/>
                <w:sz w:val="24"/>
                <w:lang w:bidi="ar"/>
              </w:rPr>
            </w:pPr>
            <w:r>
              <w:rPr>
                <w:rFonts w:hint="eastAsia" w:ascii="宋体" w:hAnsi="宋体" w:cs="宋体"/>
                <w:b/>
                <w:bCs/>
                <w:kern w:val="0"/>
                <w:sz w:val="24"/>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品牌策略</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bidi="ar"/>
              </w:rPr>
              <w:t>2</w:t>
            </w:r>
            <w:r>
              <w:rPr>
                <w:rFonts w:ascii="宋体" w:hAnsi="宋体" w:cs="宋体"/>
                <w:kern w:val="0"/>
                <w:sz w:val="24"/>
                <w:lang w:bidi="ar"/>
              </w:rPr>
              <w:t>024</w:t>
            </w:r>
            <w:r>
              <w:rPr>
                <w:rFonts w:hint="eastAsia" w:ascii="宋体" w:hAnsi="宋体" w:cs="宋体"/>
                <w:kern w:val="0"/>
                <w:sz w:val="24"/>
                <w:lang w:bidi="ar"/>
              </w:rPr>
              <w:t>“陕北榆林过大年”</w:t>
            </w:r>
            <w:r>
              <w:rPr>
                <w:rFonts w:hint="eastAsia" w:ascii="宋体" w:hAnsi="宋体" w:cs="宋体"/>
                <w:kern w:val="0"/>
                <w:sz w:val="24"/>
                <w:lang w:val="en-US" w:eastAsia="zh-CN" w:bidi="ar"/>
              </w:rPr>
              <w:t>活动</w:t>
            </w:r>
            <w:r>
              <w:rPr>
                <w:rFonts w:hint="eastAsia" w:ascii="宋体" w:hAnsi="宋体" w:cs="宋体"/>
                <w:kern w:val="0"/>
                <w:sz w:val="24"/>
                <w:lang w:bidi="ar"/>
              </w:rPr>
              <w:t>进行整体品牌营销策略规划</w:t>
            </w:r>
            <w:r>
              <w:rPr>
                <w:rFonts w:hint="eastAsia" w:ascii="宋体" w:hAnsi="宋体" w:cs="宋体"/>
                <w:kern w:val="0"/>
                <w:sz w:val="24"/>
                <w:lang w:eastAsia="zh-CN" w:bidi="ar"/>
              </w:rPr>
              <w:t>。</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组</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2</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品牌设计</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bidi="ar"/>
              </w:rPr>
              <w:t>主画面、海报等系列平面宣传设计</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组</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3</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val="en-US" w:eastAsia="zh-CN" w:bidi="ar"/>
              </w:rPr>
              <w:t>抖音平台</w:t>
            </w:r>
            <w:r>
              <w:rPr>
                <w:rFonts w:hint="eastAsia" w:ascii="宋体" w:hAnsi="宋体" w:cs="宋体"/>
                <w:kern w:val="0"/>
                <w:sz w:val="24"/>
                <w:lang w:bidi="ar"/>
              </w:rPr>
              <w:t>主宣传片拍摄</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bidi="ar"/>
              </w:rPr>
              <w:t>2</w:t>
            </w:r>
            <w:r>
              <w:rPr>
                <w:rFonts w:ascii="宋体" w:hAnsi="宋体" w:cs="宋体"/>
                <w:kern w:val="0"/>
                <w:sz w:val="24"/>
                <w:lang w:bidi="ar"/>
              </w:rPr>
              <w:t>024</w:t>
            </w:r>
            <w:r>
              <w:rPr>
                <w:rFonts w:hint="eastAsia" w:ascii="宋体" w:hAnsi="宋体" w:cs="宋体"/>
                <w:kern w:val="0"/>
                <w:sz w:val="24"/>
                <w:lang w:bidi="ar"/>
              </w:rPr>
              <w:t>“陕北榆林过大年”主形象片脚本撰写、创意呈现、执行拍摄，要突出陕北榆林过大年的地域文化特点，文案精美，画面精良，创意精彩，视频拍摄相关设备（含但不限于摄影机、无人机、灯光辅助设备等）自备</w:t>
            </w:r>
            <w:r>
              <w:rPr>
                <w:rFonts w:hint="eastAsia" w:ascii="宋体" w:hAnsi="宋体" w:cs="宋体"/>
                <w:kern w:val="0"/>
                <w:sz w:val="24"/>
                <w:lang w:eastAsia="zh-CN" w:bidi="ar"/>
              </w:rPr>
              <w:t>，视频时长3分钟</w:t>
            </w:r>
            <w:r>
              <w:rPr>
                <w:rFonts w:hint="eastAsia" w:ascii="宋体" w:hAnsi="宋体" w:cs="宋体"/>
                <w:kern w:val="0"/>
                <w:sz w:val="24"/>
                <w:lang w:bidi="ar"/>
              </w:rPr>
              <w:t>。</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个</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eastAsia="宋体" w:cs="宋体"/>
                <w:sz w:val="24"/>
                <w:lang w:val="en-US" w:eastAsia="zh-CN"/>
              </w:rPr>
              <w:t>4</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抖音APP信息流广告曝光</w:t>
            </w:r>
          </w:p>
        </w:tc>
        <w:tc>
          <w:tcPr>
            <w:tcW w:w="5135" w:type="dxa"/>
            <w:noWrap w:val="0"/>
            <w:vAlign w:val="center"/>
          </w:tcPr>
          <w:p>
            <w:pPr>
              <w:widowControl/>
              <w:spacing w:line="360" w:lineRule="auto"/>
              <w:jc w:val="left"/>
              <w:textAlignment w:val="center"/>
              <w:rPr>
                <w:rFonts w:hint="eastAsia" w:ascii="宋体" w:hAnsi="宋体" w:cs="宋体"/>
                <w:kern w:val="0"/>
                <w:sz w:val="24"/>
                <w:lang w:bidi="ar"/>
              </w:rPr>
            </w:pPr>
            <w:r>
              <w:rPr>
                <w:rFonts w:hint="eastAsia" w:ascii="宋体" w:hAnsi="宋体" w:cs="宋体"/>
                <w:kern w:val="0"/>
                <w:sz w:val="24"/>
                <w:lang w:bidi="ar"/>
              </w:rPr>
              <w:t>1、按地域（省，市，区及商圈），年龄，性别，兴趣定向，白名单等标签进行</w:t>
            </w:r>
            <w:r>
              <w:rPr>
                <w:rFonts w:hint="eastAsia" w:ascii="宋体" w:hAnsi="宋体" w:cs="宋体"/>
                <w:kern w:val="0"/>
                <w:sz w:val="24"/>
                <w:lang w:val="en-US" w:eastAsia="zh-CN" w:bidi="ar"/>
              </w:rPr>
              <w:t>精准</w:t>
            </w:r>
            <w:r>
              <w:rPr>
                <w:rFonts w:hint="eastAsia" w:ascii="宋体" w:hAnsi="宋体" w:cs="宋体"/>
                <w:kern w:val="0"/>
                <w:sz w:val="24"/>
                <w:lang w:bidi="ar"/>
              </w:rPr>
              <w:t>投放；</w:t>
            </w:r>
          </w:p>
          <w:p>
            <w:pPr>
              <w:widowControl/>
              <w:spacing w:line="360" w:lineRule="auto"/>
              <w:jc w:val="left"/>
              <w:textAlignment w:val="center"/>
              <w:rPr>
                <w:rFonts w:hint="eastAsia" w:ascii="宋体" w:hAnsi="宋体" w:cs="宋体"/>
                <w:kern w:val="0"/>
                <w:sz w:val="24"/>
                <w:lang w:bidi="ar"/>
              </w:rPr>
            </w:pPr>
            <w:r>
              <w:rPr>
                <w:rFonts w:hint="eastAsia" w:ascii="宋体" w:hAnsi="宋体" w:cs="宋体"/>
                <w:kern w:val="0"/>
                <w:sz w:val="24"/>
                <w:lang w:bidi="ar"/>
              </w:rPr>
              <w:t>2、投放时间：全天，按时段投放，可随时调整投放时间及受众群体。</w:t>
            </w:r>
          </w:p>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val="en-US" w:eastAsia="zh-CN" w:bidi="ar"/>
              </w:rPr>
              <w:t>3.投放内容：给与话题流量，为话题下参与的达人视频进行流量推送。</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sz w:val="24"/>
                <w:lang w:val="en-US" w:eastAsia="zh-CN"/>
              </w:rPr>
              <w:t>话题播放量不低于2亿次曝光</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val="en-US" w:eastAsia="zh-CN" w:bidi="ar"/>
              </w:rPr>
              <w:t>5</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抖音开屏广告</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bidi="ar"/>
              </w:rPr>
              <w:t>在</w:t>
            </w:r>
            <w:r>
              <w:rPr>
                <w:rFonts w:hint="eastAsia" w:ascii="宋体" w:hAnsi="宋体" w:cs="宋体"/>
                <w:kern w:val="0"/>
                <w:sz w:val="24"/>
                <w:lang w:val="en-US" w:eastAsia="zh-CN" w:bidi="ar"/>
              </w:rPr>
              <w:t>陕西</w:t>
            </w:r>
            <w:r>
              <w:rPr>
                <w:rFonts w:hint="eastAsia" w:ascii="宋体" w:hAnsi="宋体" w:cs="宋体"/>
                <w:kern w:val="0"/>
                <w:sz w:val="24"/>
                <w:lang w:bidi="ar"/>
              </w:rPr>
              <w:t>当地抖音主屏幕，投放</w:t>
            </w:r>
            <w:r>
              <w:rPr>
                <w:rFonts w:hint="eastAsia" w:ascii="宋体" w:hAnsi="宋体" w:cs="宋体"/>
                <w:kern w:val="0"/>
                <w:sz w:val="24"/>
                <w:lang w:val="en-US" w:eastAsia="zh-CN" w:bidi="ar"/>
              </w:rPr>
              <w:t>陕北</w:t>
            </w:r>
            <w:r>
              <w:rPr>
                <w:rFonts w:hint="eastAsia" w:ascii="宋体" w:hAnsi="宋体" w:cs="宋体"/>
                <w:kern w:val="0"/>
                <w:sz w:val="24"/>
                <w:lang w:bidi="ar"/>
              </w:rPr>
              <w:t>榆林过年宣传</w:t>
            </w:r>
            <w:r>
              <w:rPr>
                <w:rFonts w:hint="eastAsia" w:ascii="宋体" w:hAnsi="宋体" w:cs="宋体"/>
                <w:kern w:val="0"/>
                <w:sz w:val="24"/>
                <w:lang w:val="en-US" w:eastAsia="zh-CN" w:bidi="ar"/>
              </w:rPr>
              <w:t>海报</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50万</w:t>
            </w:r>
            <w:r>
              <w:rPr>
                <w:rFonts w:hint="eastAsia" w:ascii="宋体" w:hAnsi="宋体" w:cs="宋体"/>
                <w:kern w:val="0"/>
                <w:sz w:val="24"/>
                <w:lang w:val="en-US" w:eastAsia="zh-CN" w:bidi="ar"/>
              </w:rPr>
              <w:t>曝光</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sz w:val="24"/>
                <w:lang w:val="en-US" w:eastAsia="zh-CN"/>
              </w:rPr>
              <w:t>6</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短视频制作</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kern w:val="0"/>
                <w:sz w:val="24"/>
                <w:lang w:bidi="ar"/>
              </w:rPr>
              <w:t>1、短视频脚本； 2、短视频拍摄； 3、后期剪辑制作；视频拍摄相关设备(含但不限于摄影机、无人机、灯光辅助设备等)自备，视频输出为竖版并不低于1920*1080像素</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条</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88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sz w:val="24"/>
                <w:lang w:val="en-US" w:eastAsia="zh-CN"/>
              </w:rPr>
              <w:t>7</w:t>
            </w:r>
          </w:p>
        </w:tc>
        <w:tc>
          <w:tcPr>
            <w:tcW w:w="1245"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达人</w:t>
            </w:r>
            <w:r>
              <w:rPr>
                <w:rFonts w:hint="eastAsia" w:ascii="宋体" w:hAnsi="宋体" w:cs="宋体"/>
                <w:kern w:val="0"/>
                <w:sz w:val="24"/>
                <w:lang w:val="en-US" w:eastAsia="zh-CN" w:bidi="ar"/>
              </w:rPr>
              <w:t>视频发布</w:t>
            </w:r>
          </w:p>
        </w:tc>
        <w:tc>
          <w:tcPr>
            <w:tcW w:w="5135" w:type="dxa"/>
            <w:noWrap w:val="0"/>
            <w:vAlign w:val="center"/>
          </w:tcPr>
          <w:p>
            <w:pPr>
              <w:widowControl/>
              <w:spacing w:line="360" w:lineRule="auto"/>
              <w:jc w:val="left"/>
              <w:textAlignment w:val="center"/>
              <w:rPr>
                <w:rFonts w:hint="eastAsia"/>
                <w:sz w:val="28"/>
                <w:szCs w:val="36"/>
                <w:vertAlign w:val="baseline"/>
                <w:lang w:val="en-US" w:eastAsia="zh-CN"/>
              </w:rPr>
            </w:pPr>
            <w:r>
              <w:rPr>
                <w:rFonts w:hint="eastAsia" w:ascii="宋体" w:hAnsi="宋体" w:cs="宋体"/>
                <w:sz w:val="24"/>
              </w:rPr>
              <w:t>1000条云剪视频，L4-L5达人100名，L6达人100名，L7达人3人，视频拍摄相关设备(含但不限于摄影机、无人机、灯光辅助设备等)自备，视频输出为竖版并不低于1920*1080像素</w:t>
            </w:r>
          </w:p>
        </w:tc>
        <w:tc>
          <w:tcPr>
            <w:tcW w:w="921"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次</w:t>
            </w:r>
          </w:p>
        </w:tc>
        <w:tc>
          <w:tcPr>
            <w:tcW w:w="993" w:type="dxa"/>
            <w:noWrap w:val="0"/>
            <w:vAlign w:val="center"/>
          </w:tcPr>
          <w:p>
            <w:pPr>
              <w:widowControl/>
              <w:spacing w:line="360" w:lineRule="auto"/>
              <w:jc w:val="center"/>
              <w:textAlignment w:val="center"/>
              <w:rPr>
                <w:rFonts w:hint="eastAsia"/>
                <w:sz w:val="28"/>
                <w:szCs w:val="36"/>
                <w:vertAlign w:val="baseline"/>
                <w:lang w:val="en-US" w:eastAsia="zh-CN"/>
              </w:rPr>
            </w:pPr>
            <w:r>
              <w:rPr>
                <w:rFonts w:hint="eastAsia" w:ascii="宋体" w:hAnsi="宋体" w:cs="宋体"/>
                <w:kern w:val="0"/>
                <w:sz w:val="24"/>
                <w:lang w:bidi="ar"/>
              </w:rPr>
              <w:t>1</w:t>
            </w:r>
          </w:p>
        </w:tc>
      </w:tr>
    </w:tbl>
    <w:p>
      <w:pPr>
        <w:jc w:val="center"/>
        <w:rPr>
          <w:rFonts w:hint="default"/>
          <w:sz w:val="28"/>
          <w:szCs w:val="36"/>
          <w:lang w:val="en-US" w:eastAsia="zh-CN"/>
        </w:rPr>
      </w:pPr>
      <w:r>
        <w:rPr>
          <w:rFonts w:hint="eastAsia"/>
          <w:sz w:val="28"/>
          <w:szCs w:val="36"/>
          <w:lang w:val="en-US" w:eastAsia="zh-CN"/>
        </w:rPr>
        <w:t>品牌策划和品牌设计服务要求内容</w:t>
      </w:r>
    </w:p>
    <w:tbl>
      <w:tblPr>
        <w:tblStyle w:val="22"/>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856"/>
        <w:gridCol w:w="1248"/>
        <w:gridCol w:w="1680"/>
        <w:gridCol w:w="2748"/>
        <w:gridCol w:w="79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p>
        </w:tc>
        <w:tc>
          <w:tcPr>
            <w:tcW w:w="856" w:type="dxa"/>
            <w:vMerge w:val="restart"/>
            <w:noWrap w:val="0"/>
            <w:vAlign w:val="center"/>
          </w:tcPr>
          <w:p>
            <w:pPr>
              <w:spacing w:after="0" w:line="360" w:lineRule="auto"/>
              <w:jc w:val="center"/>
              <w:rPr>
                <w:rFonts w:hint="eastAsia"/>
                <w:sz w:val="24"/>
                <w:szCs w:val="24"/>
              </w:rPr>
            </w:pPr>
            <w:r>
              <w:rPr>
                <w:rFonts w:hint="eastAsia"/>
                <w:sz w:val="24"/>
                <w:szCs w:val="24"/>
              </w:rPr>
              <w:t>品牌策略</w:t>
            </w:r>
          </w:p>
        </w:tc>
        <w:tc>
          <w:tcPr>
            <w:tcW w:w="1248" w:type="dxa"/>
            <w:vMerge w:val="restart"/>
            <w:noWrap w:val="0"/>
            <w:vAlign w:val="center"/>
          </w:tcPr>
          <w:p>
            <w:pPr>
              <w:spacing w:after="0" w:line="360" w:lineRule="auto"/>
              <w:jc w:val="center"/>
              <w:rPr>
                <w:rFonts w:hint="eastAsia"/>
                <w:sz w:val="24"/>
                <w:szCs w:val="24"/>
              </w:rPr>
            </w:pPr>
            <w:r>
              <w:rPr>
                <w:rFonts w:hint="eastAsia"/>
                <w:sz w:val="24"/>
                <w:szCs w:val="24"/>
              </w:rPr>
              <w:t>品牌分析</w:t>
            </w:r>
          </w:p>
        </w:tc>
        <w:tc>
          <w:tcPr>
            <w:tcW w:w="1680" w:type="dxa"/>
            <w:noWrap w:val="0"/>
            <w:vAlign w:val="top"/>
          </w:tcPr>
          <w:p>
            <w:pPr>
              <w:spacing w:after="0" w:line="360" w:lineRule="auto"/>
              <w:rPr>
                <w:rFonts w:hint="eastAsia"/>
                <w:sz w:val="24"/>
                <w:szCs w:val="24"/>
              </w:rPr>
            </w:pPr>
            <w:r>
              <w:rPr>
                <w:rFonts w:hint="eastAsia"/>
                <w:sz w:val="24"/>
                <w:szCs w:val="24"/>
              </w:rPr>
              <w:t>榆林文旅消费市场分析</w:t>
            </w:r>
          </w:p>
        </w:tc>
        <w:tc>
          <w:tcPr>
            <w:tcW w:w="2748" w:type="dxa"/>
            <w:noWrap w:val="0"/>
            <w:vAlign w:val="top"/>
          </w:tcPr>
          <w:p>
            <w:pPr>
              <w:spacing w:after="0" w:line="360" w:lineRule="auto"/>
              <w:rPr>
                <w:rFonts w:hint="eastAsia"/>
                <w:sz w:val="24"/>
                <w:szCs w:val="24"/>
              </w:rPr>
            </w:pPr>
            <w:r>
              <w:rPr>
                <w:rFonts w:hint="eastAsia"/>
                <w:sz w:val="24"/>
                <w:szCs w:val="24"/>
              </w:rPr>
              <w:t>包括行业发展状况、政策导向、市场规模、发展趋势等</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2</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同位市场竞争参考分析</w:t>
            </w:r>
          </w:p>
        </w:tc>
        <w:tc>
          <w:tcPr>
            <w:tcW w:w="2748" w:type="dxa"/>
            <w:noWrap w:val="0"/>
            <w:vAlign w:val="top"/>
          </w:tcPr>
          <w:p>
            <w:pPr>
              <w:spacing w:after="0" w:line="360" w:lineRule="auto"/>
              <w:rPr>
                <w:rFonts w:hint="eastAsia"/>
                <w:sz w:val="24"/>
                <w:szCs w:val="24"/>
              </w:rPr>
            </w:pPr>
            <w:r>
              <w:rPr>
                <w:rFonts w:hint="eastAsia"/>
                <w:sz w:val="24"/>
                <w:szCs w:val="24"/>
              </w:rPr>
              <w:t>包括竞争态势，主要竞品或市场优先者分析，独特卖点，广告诉求、推广手段等</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3</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消费者调查研究</w:t>
            </w:r>
          </w:p>
        </w:tc>
        <w:tc>
          <w:tcPr>
            <w:tcW w:w="2748" w:type="dxa"/>
            <w:noWrap w:val="0"/>
            <w:vAlign w:val="top"/>
          </w:tcPr>
          <w:p>
            <w:pPr>
              <w:spacing w:after="0" w:line="360" w:lineRule="auto"/>
              <w:rPr>
                <w:rFonts w:hint="eastAsia"/>
                <w:sz w:val="24"/>
                <w:szCs w:val="24"/>
              </w:rPr>
            </w:pPr>
            <w:r>
              <w:rPr>
                <w:rFonts w:hint="eastAsia"/>
                <w:sz w:val="24"/>
                <w:szCs w:val="24"/>
              </w:rPr>
              <w:t>包括消费心理、消费动机、消费决策及行为特点，消费观念，媒介喜好等</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4</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产品研究</w:t>
            </w:r>
          </w:p>
        </w:tc>
        <w:tc>
          <w:tcPr>
            <w:tcW w:w="2748" w:type="dxa"/>
            <w:noWrap w:val="0"/>
            <w:vAlign w:val="top"/>
          </w:tcPr>
          <w:p>
            <w:pPr>
              <w:spacing w:after="0" w:line="360" w:lineRule="auto"/>
              <w:rPr>
                <w:rFonts w:hint="eastAsia"/>
                <w:sz w:val="24"/>
                <w:szCs w:val="24"/>
              </w:rPr>
            </w:pPr>
            <w:r>
              <w:rPr>
                <w:rFonts w:hint="eastAsia"/>
                <w:sz w:val="24"/>
                <w:szCs w:val="24"/>
              </w:rPr>
              <w:t>品牌产品概念、接受状况、差异化分析、利益诉求、满意度、构思新产品体系</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5</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S</w:t>
            </w:r>
            <w:r>
              <w:rPr>
                <w:sz w:val="24"/>
                <w:szCs w:val="24"/>
              </w:rPr>
              <w:t>WOT</w:t>
            </w:r>
            <w:r>
              <w:rPr>
                <w:rFonts w:hint="eastAsia"/>
                <w:sz w:val="24"/>
                <w:szCs w:val="24"/>
              </w:rPr>
              <w:t>分析</w:t>
            </w:r>
          </w:p>
        </w:tc>
        <w:tc>
          <w:tcPr>
            <w:tcW w:w="2748" w:type="dxa"/>
            <w:noWrap w:val="0"/>
            <w:vAlign w:val="top"/>
          </w:tcPr>
          <w:p>
            <w:pPr>
              <w:spacing w:after="0" w:line="360" w:lineRule="auto"/>
              <w:rPr>
                <w:rFonts w:hint="eastAsia"/>
                <w:sz w:val="24"/>
                <w:szCs w:val="24"/>
              </w:rPr>
            </w:pPr>
            <w:r>
              <w:rPr>
                <w:rFonts w:hint="eastAsia"/>
                <w:sz w:val="24"/>
                <w:szCs w:val="24"/>
              </w:rPr>
              <w:t>包括优势、劣势、机会、威胁</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6</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价格策略</w:t>
            </w:r>
          </w:p>
        </w:tc>
        <w:tc>
          <w:tcPr>
            <w:tcW w:w="2748" w:type="dxa"/>
            <w:noWrap w:val="0"/>
            <w:vAlign w:val="top"/>
          </w:tcPr>
          <w:p>
            <w:pPr>
              <w:spacing w:after="0" w:line="360" w:lineRule="auto"/>
              <w:rPr>
                <w:rFonts w:hint="eastAsia"/>
                <w:sz w:val="24"/>
                <w:szCs w:val="24"/>
              </w:rPr>
            </w:pPr>
            <w:r>
              <w:rPr>
                <w:rFonts w:hint="eastAsia"/>
                <w:sz w:val="24"/>
                <w:szCs w:val="24"/>
              </w:rPr>
              <w:t>先行价格接受度、心理价格、价格最高承受力、价格敏感度分析</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7</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媒介策略</w:t>
            </w:r>
          </w:p>
        </w:tc>
        <w:tc>
          <w:tcPr>
            <w:tcW w:w="2748" w:type="dxa"/>
            <w:noWrap w:val="0"/>
            <w:vAlign w:val="top"/>
          </w:tcPr>
          <w:p>
            <w:pPr>
              <w:spacing w:after="0" w:line="360" w:lineRule="auto"/>
              <w:rPr>
                <w:rFonts w:hint="eastAsia"/>
                <w:sz w:val="24"/>
                <w:szCs w:val="24"/>
              </w:rPr>
            </w:pPr>
            <w:r>
              <w:rPr>
                <w:rFonts w:hint="eastAsia"/>
                <w:sz w:val="24"/>
                <w:szCs w:val="24"/>
              </w:rPr>
              <w:t>宣传媒体情况分析，优势媒体宣传建议</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8</w:t>
            </w:r>
          </w:p>
        </w:tc>
        <w:tc>
          <w:tcPr>
            <w:tcW w:w="856" w:type="dxa"/>
            <w:vMerge w:val="continue"/>
            <w:noWrap w:val="0"/>
            <w:vAlign w:val="center"/>
          </w:tcPr>
          <w:p>
            <w:pPr>
              <w:spacing w:after="0" w:line="360" w:lineRule="auto"/>
              <w:jc w:val="center"/>
              <w:rPr>
                <w:rFonts w:hint="eastAsia"/>
                <w:sz w:val="24"/>
                <w:szCs w:val="24"/>
              </w:rPr>
            </w:pPr>
          </w:p>
        </w:tc>
        <w:tc>
          <w:tcPr>
            <w:tcW w:w="1248" w:type="dxa"/>
            <w:vMerge w:val="restart"/>
            <w:noWrap w:val="0"/>
            <w:vAlign w:val="center"/>
          </w:tcPr>
          <w:p>
            <w:pPr>
              <w:spacing w:after="0" w:line="360" w:lineRule="auto"/>
              <w:jc w:val="center"/>
              <w:rPr>
                <w:rFonts w:hint="eastAsia"/>
                <w:sz w:val="24"/>
                <w:szCs w:val="24"/>
              </w:rPr>
            </w:pPr>
            <w:r>
              <w:rPr>
                <w:rFonts w:hint="eastAsia"/>
                <w:sz w:val="24"/>
                <w:szCs w:val="24"/>
              </w:rPr>
              <w:t>品牌概念</w:t>
            </w:r>
          </w:p>
        </w:tc>
        <w:tc>
          <w:tcPr>
            <w:tcW w:w="1680" w:type="dxa"/>
            <w:noWrap w:val="0"/>
            <w:vAlign w:val="top"/>
          </w:tcPr>
          <w:p>
            <w:pPr>
              <w:spacing w:after="0" w:line="360" w:lineRule="auto"/>
              <w:rPr>
                <w:rFonts w:hint="eastAsia"/>
                <w:sz w:val="24"/>
                <w:szCs w:val="24"/>
              </w:rPr>
            </w:pPr>
            <w:r>
              <w:rPr>
                <w:rFonts w:hint="eastAsia"/>
                <w:sz w:val="24"/>
                <w:szCs w:val="24"/>
              </w:rPr>
              <w:t>品牌定位策略</w:t>
            </w:r>
          </w:p>
        </w:tc>
        <w:tc>
          <w:tcPr>
            <w:tcW w:w="2748" w:type="dxa"/>
            <w:noWrap w:val="0"/>
            <w:vAlign w:val="top"/>
          </w:tcPr>
          <w:p>
            <w:pPr>
              <w:spacing w:after="0" w:line="360" w:lineRule="auto"/>
              <w:rPr>
                <w:rFonts w:hint="eastAsia"/>
                <w:sz w:val="24"/>
                <w:szCs w:val="24"/>
              </w:rPr>
            </w:pPr>
            <w:r>
              <w:rPr>
                <w:rFonts w:hint="eastAsia"/>
                <w:sz w:val="24"/>
                <w:szCs w:val="24"/>
              </w:rPr>
              <w:t>2</w:t>
            </w:r>
            <w:r>
              <w:rPr>
                <w:sz w:val="24"/>
                <w:szCs w:val="24"/>
              </w:rPr>
              <w:t>024</w:t>
            </w:r>
            <w:r>
              <w:rPr>
                <w:rFonts w:hint="eastAsia"/>
                <w:sz w:val="24"/>
                <w:szCs w:val="24"/>
              </w:rPr>
              <w:t>陕北榆林过大年品牌整体概念推导及定位</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9</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品牌主题策略</w:t>
            </w:r>
          </w:p>
        </w:tc>
        <w:tc>
          <w:tcPr>
            <w:tcW w:w="2748" w:type="dxa"/>
            <w:noWrap w:val="0"/>
            <w:vAlign w:val="top"/>
          </w:tcPr>
          <w:p>
            <w:pPr>
              <w:spacing w:after="0" w:line="360" w:lineRule="auto"/>
              <w:rPr>
                <w:rFonts w:hint="eastAsia"/>
                <w:sz w:val="24"/>
                <w:szCs w:val="24"/>
              </w:rPr>
            </w:pPr>
            <w:r>
              <w:rPr>
                <w:rFonts w:hint="eastAsia"/>
                <w:sz w:val="24"/>
                <w:szCs w:val="24"/>
              </w:rPr>
              <w:t>传播概念及传播主题推导及概念提出</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0</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品牌传播策略</w:t>
            </w:r>
          </w:p>
        </w:tc>
        <w:tc>
          <w:tcPr>
            <w:tcW w:w="2748" w:type="dxa"/>
            <w:noWrap w:val="0"/>
            <w:vAlign w:val="top"/>
          </w:tcPr>
          <w:p>
            <w:pPr>
              <w:spacing w:after="0" w:line="360" w:lineRule="auto"/>
              <w:rPr>
                <w:rFonts w:hint="eastAsia"/>
                <w:sz w:val="24"/>
                <w:szCs w:val="24"/>
              </w:rPr>
            </w:pPr>
            <w:r>
              <w:rPr>
                <w:rFonts w:hint="eastAsia"/>
                <w:sz w:val="24"/>
                <w:szCs w:val="24"/>
              </w:rPr>
              <w:t>品牌传播内容规划，包含品牌主视频、品牌主画面、品牌短视频</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1</w:t>
            </w:r>
          </w:p>
        </w:tc>
        <w:tc>
          <w:tcPr>
            <w:tcW w:w="856" w:type="dxa"/>
            <w:vMerge w:val="continue"/>
            <w:noWrap w:val="0"/>
            <w:vAlign w:val="center"/>
          </w:tcPr>
          <w:p>
            <w:pPr>
              <w:spacing w:after="0" w:line="360" w:lineRule="auto"/>
              <w:jc w:val="center"/>
              <w:rPr>
                <w:rFonts w:hint="eastAsia"/>
                <w:sz w:val="24"/>
                <w:szCs w:val="24"/>
              </w:rPr>
            </w:pPr>
          </w:p>
        </w:tc>
        <w:tc>
          <w:tcPr>
            <w:tcW w:w="1248" w:type="dxa"/>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品牌媒介策略</w:t>
            </w:r>
          </w:p>
        </w:tc>
        <w:tc>
          <w:tcPr>
            <w:tcW w:w="2748" w:type="dxa"/>
            <w:noWrap w:val="0"/>
            <w:vAlign w:val="top"/>
          </w:tcPr>
          <w:p>
            <w:pPr>
              <w:spacing w:after="0" w:line="360" w:lineRule="auto"/>
              <w:rPr>
                <w:rFonts w:hint="eastAsia"/>
                <w:sz w:val="24"/>
                <w:szCs w:val="24"/>
              </w:rPr>
            </w:pPr>
            <w:r>
              <w:rPr>
                <w:sz w:val="24"/>
                <w:szCs w:val="24"/>
              </w:rPr>
              <w:t>2024</w:t>
            </w:r>
            <w:r>
              <w:rPr>
                <w:rFonts w:hint="eastAsia"/>
                <w:sz w:val="24"/>
                <w:szCs w:val="24"/>
              </w:rPr>
              <w:t>陕北榆林过大年宣传媒体整体投放规划</w:t>
            </w:r>
          </w:p>
        </w:tc>
        <w:tc>
          <w:tcPr>
            <w:tcW w:w="793" w:type="dxa"/>
            <w:noWrap w:val="0"/>
            <w:vAlign w:val="center"/>
          </w:tcPr>
          <w:p>
            <w:pPr>
              <w:spacing w:after="0" w:line="360" w:lineRule="auto"/>
              <w:jc w:val="center"/>
              <w:rPr>
                <w:rFonts w:hint="eastAsia"/>
                <w:sz w:val="24"/>
                <w:szCs w:val="24"/>
              </w:rPr>
            </w:pPr>
            <w:r>
              <w:rPr>
                <w:rFonts w:hint="eastAsia"/>
                <w:sz w:val="24"/>
                <w:szCs w:val="24"/>
              </w:rPr>
              <w:t>项</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2</w:t>
            </w:r>
          </w:p>
        </w:tc>
        <w:tc>
          <w:tcPr>
            <w:tcW w:w="2104" w:type="dxa"/>
            <w:gridSpan w:val="2"/>
            <w:vMerge w:val="restart"/>
            <w:noWrap w:val="0"/>
            <w:vAlign w:val="center"/>
          </w:tcPr>
          <w:p>
            <w:pPr>
              <w:spacing w:after="0" w:line="360" w:lineRule="auto"/>
              <w:jc w:val="center"/>
              <w:rPr>
                <w:rFonts w:hint="eastAsia"/>
                <w:sz w:val="24"/>
                <w:szCs w:val="24"/>
              </w:rPr>
            </w:pPr>
            <w:r>
              <w:rPr>
                <w:rFonts w:hint="eastAsia"/>
                <w:sz w:val="24"/>
                <w:szCs w:val="24"/>
              </w:rPr>
              <w:t>品牌设计</w:t>
            </w:r>
          </w:p>
        </w:tc>
        <w:tc>
          <w:tcPr>
            <w:tcW w:w="1680" w:type="dxa"/>
            <w:noWrap w:val="0"/>
            <w:vAlign w:val="top"/>
          </w:tcPr>
          <w:p>
            <w:pPr>
              <w:spacing w:after="0" w:line="360" w:lineRule="auto"/>
              <w:rPr>
                <w:rFonts w:hint="eastAsia"/>
                <w:sz w:val="24"/>
                <w:szCs w:val="24"/>
              </w:rPr>
            </w:pPr>
            <w:r>
              <w:rPr>
                <w:rFonts w:hint="eastAsia"/>
                <w:sz w:val="24"/>
                <w:szCs w:val="24"/>
              </w:rPr>
              <w:t>宣传主画面</w:t>
            </w:r>
          </w:p>
        </w:tc>
        <w:tc>
          <w:tcPr>
            <w:tcW w:w="2748" w:type="dxa"/>
            <w:noWrap w:val="0"/>
            <w:vAlign w:val="top"/>
          </w:tcPr>
          <w:p>
            <w:pPr>
              <w:spacing w:after="0" w:line="360" w:lineRule="auto"/>
              <w:rPr>
                <w:rFonts w:hint="eastAsia"/>
                <w:sz w:val="24"/>
                <w:szCs w:val="24"/>
              </w:rPr>
            </w:pPr>
            <w:r>
              <w:rPr>
                <w:rFonts w:hint="eastAsia"/>
                <w:sz w:val="24"/>
                <w:szCs w:val="24"/>
              </w:rPr>
              <w:t>2</w:t>
            </w:r>
            <w:r>
              <w:rPr>
                <w:sz w:val="24"/>
                <w:szCs w:val="24"/>
              </w:rPr>
              <w:t>024</w:t>
            </w:r>
            <w:r>
              <w:rPr>
                <w:rFonts w:hint="eastAsia"/>
                <w:sz w:val="24"/>
                <w:szCs w:val="24"/>
              </w:rPr>
              <w:t>陕北榆林过大年宣传主画面</w:t>
            </w:r>
          </w:p>
        </w:tc>
        <w:tc>
          <w:tcPr>
            <w:tcW w:w="793" w:type="dxa"/>
            <w:noWrap w:val="0"/>
            <w:vAlign w:val="center"/>
          </w:tcPr>
          <w:p>
            <w:pPr>
              <w:spacing w:after="0" w:line="360" w:lineRule="auto"/>
              <w:jc w:val="center"/>
              <w:rPr>
                <w:rFonts w:hint="eastAsia"/>
                <w:sz w:val="24"/>
                <w:szCs w:val="24"/>
              </w:rPr>
            </w:pPr>
            <w:r>
              <w:rPr>
                <w:rFonts w:hint="eastAsia"/>
                <w:sz w:val="24"/>
                <w:szCs w:val="24"/>
              </w:rPr>
              <w:t>张</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3</w:t>
            </w:r>
          </w:p>
        </w:tc>
        <w:tc>
          <w:tcPr>
            <w:tcW w:w="2104" w:type="dxa"/>
            <w:gridSpan w:val="2"/>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宣传系列海报</w:t>
            </w:r>
          </w:p>
        </w:tc>
        <w:tc>
          <w:tcPr>
            <w:tcW w:w="2748" w:type="dxa"/>
            <w:noWrap w:val="0"/>
            <w:vAlign w:val="top"/>
          </w:tcPr>
          <w:p>
            <w:pPr>
              <w:spacing w:after="0" w:line="360" w:lineRule="auto"/>
              <w:rPr>
                <w:rFonts w:hint="eastAsia"/>
                <w:sz w:val="24"/>
                <w:szCs w:val="24"/>
              </w:rPr>
            </w:pPr>
            <w:r>
              <w:rPr>
                <w:rFonts w:hint="eastAsia"/>
                <w:sz w:val="24"/>
                <w:szCs w:val="24"/>
              </w:rPr>
              <w:t>2</w:t>
            </w:r>
            <w:r>
              <w:rPr>
                <w:sz w:val="24"/>
                <w:szCs w:val="24"/>
              </w:rPr>
              <w:t>024</w:t>
            </w:r>
            <w:r>
              <w:rPr>
                <w:rFonts w:hint="eastAsia"/>
                <w:sz w:val="24"/>
                <w:szCs w:val="24"/>
              </w:rPr>
              <w:t>陕北榆林过大年创意传播海报，用于线上媒体投放</w:t>
            </w:r>
          </w:p>
        </w:tc>
        <w:tc>
          <w:tcPr>
            <w:tcW w:w="793" w:type="dxa"/>
            <w:noWrap w:val="0"/>
            <w:vAlign w:val="center"/>
          </w:tcPr>
          <w:p>
            <w:pPr>
              <w:spacing w:after="0" w:line="360" w:lineRule="auto"/>
              <w:jc w:val="center"/>
              <w:rPr>
                <w:rFonts w:hint="eastAsia"/>
                <w:sz w:val="24"/>
                <w:szCs w:val="24"/>
              </w:rPr>
            </w:pPr>
            <w:r>
              <w:rPr>
                <w:rFonts w:hint="eastAsia"/>
                <w:sz w:val="24"/>
                <w:szCs w:val="24"/>
              </w:rPr>
              <w:t>张</w:t>
            </w:r>
          </w:p>
        </w:tc>
        <w:tc>
          <w:tcPr>
            <w:tcW w:w="936" w:type="dxa"/>
            <w:noWrap w:val="0"/>
            <w:vAlign w:val="center"/>
          </w:tcPr>
          <w:p>
            <w:pPr>
              <w:spacing w:after="0" w:line="360" w:lineRule="auto"/>
              <w:jc w:val="center"/>
              <w:rPr>
                <w:rFonts w:hint="eastAsia"/>
                <w:sz w:val="24"/>
                <w:szCs w:val="24"/>
              </w:rPr>
            </w:pPr>
            <w:r>
              <w:rPr>
                <w:rFonts w:hint="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4</w:t>
            </w:r>
          </w:p>
        </w:tc>
        <w:tc>
          <w:tcPr>
            <w:tcW w:w="2104" w:type="dxa"/>
            <w:gridSpan w:val="2"/>
            <w:vMerge w:val="continue"/>
            <w:noWrap w:val="0"/>
            <w:vAlign w:val="center"/>
          </w:tcPr>
          <w:p>
            <w:pPr>
              <w:spacing w:after="0" w:line="360" w:lineRule="auto"/>
              <w:jc w:val="center"/>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视频系列定点画面</w:t>
            </w:r>
          </w:p>
        </w:tc>
        <w:tc>
          <w:tcPr>
            <w:tcW w:w="2748" w:type="dxa"/>
            <w:noWrap w:val="0"/>
            <w:vAlign w:val="top"/>
          </w:tcPr>
          <w:p>
            <w:pPr>
              <w:spacing w:after="0" w:line="360" w:lineRule="auto"/>
              <w:rPr>
                <w:rFonts w:hint="eastAsia"/>
                <w:sz w:val="24"/>
                <w:szCs w:val="24"/>
              </w:rPr>
            </w:pPr>
            <w:r>
              <w:rPr>
                <w:rFonts w:hint="eastAsia"/>
                <w:sz w:val="24"/>
                <w:szCs w:val="24"/>
              </w:rPr>
              <w:t>短视频拍摄中配合的平面海报定点画面设计</w:t>
            </w:r>
          </w:p>
        </w:tc>
        <w:tc>
          <w:tcPr>
            <w:tcW w:w="793" w:type="dxa"/>
            <w:noWrap w:val="0"/>
            <w:vAlign w:val="center"/>
          </w:tcPr>
          <w:p>
            <w:pPr>
              <w:spacing w:after="0" w:line="360" w:lineRule="auto"/>
              <w:jc w:val="center"/>
              <w:rPr>
                <w:rFonts w:hint="eastAsia"/>
                <w:sz w:val="24"/>
                <w:szCs w:val="24"/>
              </w:rPr>
            </w:pPr>
            <w:r>
              <w:rPr>
                <w:rFonts w:hint="eastAsia"/>
                <w:sz w:val="24"/>
                <w:szCs w:val="24"/>
              </w:rPr>
              <w:t>张</w:t>
            </w:r>
          </w:p>
        </w:tc>
        <w:tc>
          <w:tcPr>
            <w:tcW w:w="936" w:type="dxa"/>
            <w:noWrap w:val="0"/>
            <w:vAlign w:val="center"/>
          </w:tcPr>
          <w:p>
            <w:pPr>
              <w:spacing w:after="0" w:line="360" w:lineRule="auto"/>
              <w:jc w:val="center"/>
              <w:rPr>
                <w:rFonts w:hint="eastAsia"/>
                <w:sz w:val="24"/>
                <w:szCs w:val="24"/>
              </w:rPr>
            </w:pPr>
            <w:r>
              <w:rPr>
                <w:rFonts w:hint="eastAsia"/>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97" w:type="dxa"/>
            <w:noWrap w:val="0"/>
            <w:vAlign w:val="center"/>
          </w:tcPr>
          <w:p>
            <w:pPr>
              <w:spacing w:after="0" w:line="360" w:lineRule="auto"/>
              <w:jc w:val="center"/>
              <w:rPr>
                <w:rFonts w:hint="eastAsia"/>
                <w:sz w:val="24"/>
                <w:szCs w:val="24"/>
              </w:rPr>
            </w:pPr>
            <w:r>
              <w:rPr>
                <w:rFonts w:hint="eastAsia"/>
                <w:sz w:val="24"/>
                <w:szCs w:val="24"/>
              </w:rPr>
              <w:t>1</w:t>
            </w:r>
            <w:r>
              <w:rPr>
                <w:sz w:val="24"/>
                <w:szCs w:val="24"/>
              </w:rPr>
              <w:t>5</w:t>
            </w:r>
          </w:p>
        </w:tc>
        <w:tc>
          <w:tcPr>
            <w:tcW w:w="2104" w:type="dxa"/>
            <w:gridSpan w:val="2"/>
            <w:vMerge w:val="restart"/>
            <w:noWrap w:val="0"/>
            <w:vAlign w:val="center"/>
          </w:tcPr>
          <w:p>
            <w:pPr>
              <w:spacing w:after="0" w:line="360" w:lineRule="auto"/>
              <w:jc w:val="center"/>
              <w:rPr>
                <w:rFonts w:hint="eastAsia"/>
                <w:sz w:val="24"/>
                <w:szCs w:val="24"/>
              </w:rPr>
            </w:pPr>
            <w:r>
              <w:rPr>
                <w:rFonts w:hint="eastAsia"/>
                <w:sz w:val="24"/>
                <w:szCs w:val="24"/>
              </w:rPr>
              <w:t>抖音平台主宣传片拍摄</w:t>
            </w:r>
          </w:p>
        </w:tc>
        <w:tc>
          <w:tcPr>
            <w:tcW w:w="1680" w:type="dxa"/>
            <w:noWrap w:val="0"/>
            <w:vAlign w:val="top"/>
          </w:tcPr>
          <w:p>
            <w:pPr>
              <w:spacing w:after="0" w:line="360" w:lineRule="auto"/>
              <w:rPr>
                <w:rFonts w:hint="eastAsia"/>
                <w:sz w:val="24"/>
                <w:szCs w:val="24"/>
              </w:rPr>
            </w:pPr>
            <w:r>
              <w:rPr>
                <w:rFonts w:hint="eastAsia"/>
                <w:sz w:val="24"/>
                <w:szCs w:val="24"/>
              </w:rPr>
              <w:t>创意概念及脚本</w:t>
            </w:r>
          </w:p>
        </w:tc>
        <w:tc>
          <w:tcPr>
            <w:tcW w:w="2748" w:type="dxa"/>
            <w:noWrap w:val="0"/>
            <w:vAlign w:val="top"/>
          </w:tcPr>
          <w:p>
            <w:pPr>
              <w:spacing w:after="0" w:line="360" w:lineRule="auto"/>
              <w:rPr>
                <w:rFonts w:hint="eastAsia"/>
                <w:sz w:val="24"/>
                <w:szCs w:val="24"/>
              </w:rPr>
            </w:pPr>
            <w:r>
              <w:rPr>
                <w:rFonts w:hint="eastAsia"/>
                <w:sz w:val="24"/>
                <w:szCs w:val="24"/>
              </w:rPr>
              <w:t>主宣传片整体概念策划，提供拍摄脚本</w:t>
            </w:r>
          </w:p>
        </w:tc>
        <w:tc>
          <w:tcPr>
            <w:tcW w:w="793" w:type="dxa"/>
            <w:noWrap w:val="0"/>
            <w:vAlign w:val="center"/>
          </w:tcPr>
          <w:p>
            <w:pPr>
              <w:spacing w:after="0" w:line="360" w:lineRule="auto"/>
              <w:jc w:val="center"/>
              <w:rPr>
                <w:rFonts w:hint="eastAsia"/>
                <w:sz w:val="24"/>
                <w:szCs w:val="24"/>
              </w:rPr>
            </w:pPr>
            <w:r>
              <w:rPr>
                <w:rFonts w:hint="eastAsia"/>
                <w:sz w:val="24"/>
                <w:szCs w:val="24"/>
              </w:rPr>
              <w:t>个</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897" w:type="dxa"/>
            <w:noWrap w:val="0"/>
            <w:vAlign w:val="center"/>
          </w:tcPr>
          <w:p>
            <w:pPr>
              <w:spacing w:after="0" w:line="360" w:lineRule="auto"/>
              <w:jc w:val="center"/>
              <w:rPr>
                <w:rFonts w:hint="eastAsia"/>
                <w:sz w:val="24"/>
                <w:szCs w:val="24"/>
              </w:rPr>
            </w:pPr>
          </w:p>
        </w:tc>
        <w:tc>
          <w:tcPr>
            <w:tcW w:w="2104" w:type="dxa"/>
            <w:gridSpan w:val="2"/>
            <w:vMerge w:val="continue"/>
            <w:noWrap w:val="0"/>
            <w:vAlign w:val="top"/>
          </w:tcPr>
          <w:p>
            <w:pPr>
              <w:spacing w:after="0" w:line="360" w:lineRule="auto"/>
              <w:rPr>
                <w:rFonts w:hint="eastAsia"/>
                <w:sz w:val="24"/>
                <w:szCs w:val="24"/>
              </w:rPr>
            </w:pPr>
          </w:p>
        </w:tc>
        <w:tc>
          <w:tcPr>
            <w:tcW w:w="1680" w:type="dxa"/>
            <w:noWrap w:val="0"/>
            <w:vAlign w:val="top"/>
          </w:tcPr>
          <w:p>
            <w:pPr>
              <w:spacing w:after="0" w:line="360" w:lineRule="auto"/>
              <w:rPr>
                <w:rFonts w:hint="eastAsia"/>
                <w:sz w:val="24"/>
                <w:szCs w:val="24"/>
              </w:rPr>
            </w:pPr>
            <w:r>
              <w:rPr>
                <w:rFonts w:hint="eastAsia"/>
                <w:sz w:val="24"/>
                <w:szCs w:val="24"/>
              </w:rPr>
              <w:t>演员邀约</w:t>
            </w:r>
          </w:p>
        </w:tc>
        <w:tc>
          <w:tcPr>
            <w:tcW w:w="2748" w:type="dxa"/>
            <w:noWrap w:val="0"/>
            <w:vAlign w:val="top"/>
          </w:tcPr>
          <w:p>
            <w:pPr>
              <w:spacing w:after="0" w:line="360" w:lineRule="auto"/>
              <w:rPr>
                <w:rFonts w:hint="eastAsia"/>
                <w:sz w:val="24"/>
                <w:szCs w:val="24"/>
              </w:rPr>
            </w:pPr>
            <w:r>
              <w:rPr>
                <w:rFonts w:hint="eastAsia"/>
                <w:sz w:val="24"/>
                <w:szCs w:val="24"/>
              </w:rPr>
              <w:t>陕西广播电视台一线主持人参与拍摄</w:t>
            </w:r>
          </w:p>
        </w:tc>
        <w:tc>
          <w:tcPr>
            <w:tcW w:w="793" w:type="dxa"/>
            <w:noWrap w:val="0"/>
            <w:vAlign w:val="center"/>
          </w:tcPr>
          <w:p>
            <w:pPr>
              <w:spacing w:after="0" w:line="360" w:lineRule="auto"/>
              <w:jc w:val="center"/>
              <w:rPr>
                <w:rFonts w:hint="eastAsia"/>
                <w:sz w:val="24"/>
                <w:szCs w:val="24"/>
              </w:rPr>
            </w:pPr>
            <w:r>
              <w:rPr>
                <w:rFonts w:hint="eastAsia"/>
                <w:sz w:val="24"/>
                <w:szCs w:val="24"/>
              </w:rPr>
              <w:t>人</w:t>
            </w:r>
          </w:p>
        </w:tc>
        <w:tc>
          <w:tcPr>
            <w:tcW w:w="936" w:type="dxa"/>
            <w:noWrap w:val="0"/>
            <w:vAlign w:val="center"/>
          </w:tcPr>
          <w:p>
            <w:pPr>
              <w:spacing w:after="0" w:line="360" w:lineRule="auto"/>
              <w:jc w:val="center"/>
              <w:rPr>
                <w:rFonts w:hint="eastAsia"/>
                <w:sz w:val="24"/>
                <w:szCs w:val="24"/>
              </w:rPr>
            </w:pPr>
            <w:r>
              <w:rPr>
                <w:rFonts w:hint="eastAsia"/>
                <w:sz w:val="24"/>
                <w:szCs w:val="24"/>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sz w:val="24"/>
          <w:szCs w:val="24"/>
          <w:lang w:val="en-US" w:eastAsia="zh-CN"/>
        </w:rPr>
      </w:pPr>
      <w:r>
        <w:rPr>
          <w:rFonts w:hint="eastAsia"/>
          <w:sz w:val="24"/>
          <w:szCs w:val="22"/>
          <w:lang w:eastAsia="zh-CN"/>
        </w:rPr>
        <w:t>其他要求：1、需提供陕西省内（全国）初步名单（L4-L5达人100名，L6达人100名，L7达人3人，通过抖音官方数据查询认证），以确定合作意向，名单中需体现各自媒体达人粉丝数量及现有视频播放量，后期正式宣传视频也需提供相关播放量，以便甲方统一审核；2、对所播放短视频的质量、播放量作出承诺，保证不低于招标现有要求，以甲方审核要求为准；3、出境视频主持人需提供普通话等级考试二级乙等以上证明（2人）；4、提供摄影机、无人机、灯光辅助设备等自有或租赁证明；</w:t>
      </w:r>
      <w:r>
        <w:rPr>
          <w:rFonts w:hint="eastAsia"/>
          <w:sz w:val="24"/>
          <w:szCs w:val="22"/>
          <w:lang w:val="en-US" w:eastAsia="zh-CN"/>
        </w:rPr>
        <w:t>5</w:t>
      </w:r>
      <w:r>
        <w:rPr>
          <w:rFonts w:hint="eastAsia" w:ascii="宋体" w:hAnsi="宋体" w:cs="宋体"/>
          <w:kern w:val="0"/>
          <w:sz w:val="24"/>
          <w:szCs w:val="24"/>
          <w:lang w:val="en-US" w:eastAsia="zh-CN" w:bidi="ar"/>
        </w:rPr>
        <w:t>、服务期30天</w:t>
      </w:r>
    </w:p>
    <w:p/>
    <w:p>
      <w:pPr>
        <w:bidi w:val="0"/>
        <w:jc w:val="center"/>
        <w:rPr>
          <w:rFonts w:hint="eastAsia"/>
          <w:sz w:val="24"/>
          <w:szCs w:val="32"/>
          <w:lang w:val="en-US" w:eastAsia="zh-CN"/>
        </w:rPr>
      </w:pPr>
      <w:r>
        <w:rPr>
          <w:rFonts w:hint="eastAsia"/>
          <w:b/>
          <w:bCs/>
          <w:sz w:val="36"/>
          <w:szCs w:val="32"/>
          <w:lang w:val="en-US" w:eastAsia="zh-CN"/>
        </w:rPr>
        <w:t>4包</w:t>
      </w:r>
      <w:r>
        <w:rPr>
          <w:rFonts w:hint="eastAsia" w:eastAsia="宋体"/>
          <w:b/>
          <w:bCs/>
          <w:sz w:val="36"/>
          <w:szCs w:val="32"/>
          <w:lang w:val="en-US" w:eastAsia="zh-CN"/>
        </w:rPr>
        <w:t>—全国秧歌展演策划执行服务需求内容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32"/>
          <w:lang w:val="en-US" w:eastAsia="zh-CN"/>
        </w:rPr>
      </w:pPr>
      <w:r>
        <w:rPr>
          <w:rFonts w:hint="eastAsia"/>
          <w:sz w:val="24"/>
          <w:szCs w:val="32"/>
          <w:lang w:val="en-US" w:eastAsia="zh-CN"/>
        </w:rPr>
        <w:t>项目背景：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sz w:val="24"/>
          <w:szCs w:val="32"/>
          <w:lang w:val="en-US" w:eastAsia="zh-CN"/>
        </w:rPr>
      </w:pPr>
      <w:r>
        <w:rPr>
          <w:rFonts w:hint="default"/>
          <w:sz w:val="24"/>
          <w:szCs w:val="32"/>
          <w:lang w:val="en-US" w:eastAsia="zh-CN"/>
        </w:rPr>
        <w:t>全国秧歌展演活动邀请河北省、山西省、内蒙古自治区、辽宁省、吉林省、黑龙江省、安徽省、山东省、广东省的12支秧歌队，会同陕西省各地市的11支秧歌队，榆林市的14支秧歌队（市文旅系统1支、各县市区12支、高新区管委会1支），共计37支秧歌队在榆林古城大街、二街进行分组展演。</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32"/>
          <w:lang w:val="en-US" w:eastAsia="zh-CN"/>
        </w:rPr>
      </w:pPr>
      <w:r>
        <w:rPr>
          <w:rFonts w:hint="eastAsia"/>
          <w:sz w:val="24"/>
          <w:szCs w:val="32"/>
          <w:lang w:val="en-US" w:eastAsia="zh-CN"/>
        </w:rPr>
        <w:t>参与人数及时间：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sz w:val="24"/>
          <w:szCs w:val="32"/>
          <w:lang w:val="en-US" w:eastAsia="zh-CN"/>
        </w:rPr>
      </w:pPr>
      <w:r>
        <w:rPr>
          <w:rFonts w:hint="default"/>
          <w:sz w:val="24"/>
          <w:szCs w:val="32"/>
          <w:lang w:val="en-US" w:eastAsia="zh-CN"/>
        </w:rPr>
        <w:t>正月初四至正月十</w:t>
      </w:r>
      <w:r>
        <w:rPr>
          <w:rFonts w:hint="eastAsia"/>
          <w:sz w:val="24"/>
          <w:szCs w:val="32"/>
          <w:lang w:val="en-US" w:eastAsia="zh-CN"/>
        </w:rPr>
        <w:t>五</w:t>
      </w:r>
      <w:r>
        <w:rPr>
          <w:rFonts w:hint="default"/>
          <w:sz w:val="24"/>
          <w:szCs w:val="32"/>
          <w:lang w:val="en-US" w:eastAsia="zh-CN"/>
        </w:rPr>
        <w:t>，每天安排6-8支秧歌队参加展演，正月十五安排16支秧歌队参加汇演。市外秧歌队每支不超80人，各县市区秧歌队每支不超100人</w:t>
      </w:r>
      <w:r>
        <w:rPr>
          <w:rFonts w:hint="eastAsia"/>
          <w:sz w:val="24"/>
          <w:szCs w:val="32"/>
          <w:lang w:val="en-US" w:eastAsia="zh-CN"/>
        </w:rPr>
        <w:t>，总时长12天。</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32"/>
          <w:lang w:val="en-US" w:eastAsia="zh-CN"/>
        </w:rPr>
      </w:pPr>
      <w:r>
        <w:rPr>
          <w:rFonts w:hint="eastAsia"/>
          <w:sz w:val="24"/>
          <w:szCs w:val="32"/>
          <w:lang w:val="en-US" w:eastAsia="zh-CN"/>
        </w:rPr>
        <w:t>配置及要求：</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0" w:firstLineChars="0"/>
        <w:jc w:val="both"/>
        <w:textAlignment w:val="auto"/>
        <w:rPr>
          <w:rFonts w:hint="eastAsia"/>
          <w:sz w:val="24"/>
          <w:szCs w:val="32"/>
          <w:lang w:val="en-US" w:eastAsia="zh-CN"/>
        </w:rPr>
      </w:pPr>
      <w:r>
        <w:rPr>
          <w:rFonts w:hint="eastAsia"/>
          <w:sz w:val="24"/>
          <w:szCs w:val="32"/>
          <w:lang w:val="en-US" w:eastAsia="zh-CN"/>
        </w:rPr>
        <w:t>导演团队，50人，投标人承担团队成员所有费用。其中秧歌展演总导演1人，秧歌展演执行导演9人，秧歌展演编导20人，工作人员20人；其中，总导演要求：有导演学历或导演证书，曾导演过国家级或者省级大型非遗活动项目经历证明。</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sz w:val="24"/>
          <w:szCs w:val="32"/>
          <w:lang w:val="en-US" w:eastAsia="zh-CN"/>
        </w:rPr>
      </w:pPr>
      <w:r>
        <w:rPr>
          <w:rFonts w:hint="eastAsia"/>
          <w:sz w:val="24"/>
          <w:szCs w:val="32"/>
          <w:lang w:val="en-US" w:eastAsia="zh-CN"/>
        </w:rPr>
        <w:t>秧歌展演彩车使用前四后八型货车，共17辆（含宣传车），投标人需出具租车协议，确保车辆及时到位。同时，配备17名驾驶员，17套电机、音响师、音响、话筒，彩车设计师2名（提供大专及以上学历或相关工作经验证明），并提供5套彩车设计效果图。</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sz w:val="24"/>
          <w:szCs w:val="32"/>
          <w:lang w:val="en-US" w:eastAsia="zh-CN"/>
        </w:rPr>
      </w:pPr>
      <w:r>
        <w:rPr>
          <w:rFonts w:hint="eastAsia"/>
          <w:sz w:val="24"/>
          <w:szCs w:val="32"/>
          <w:lang w:val="en-US" w:eastAsia="zh-CN"/>
        </w:rPr>
        <w:t>参演人员平均每天200人，投标人需配备化妆师团队10人以上，化妆团队曾承接过省级或市级大型演出活动的妆造，该活动演员不得少于300人。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bidi w:val="0"/>
        <w:jc w:val="center"/>
        <w:rPr>
          <w:rFonts w:hint="eastAsia"/>
          <w:b/>
          <w:bCs/>
          <w:sz w:val="32"/>
          <w:szCs w:val="28"/>
          <w:lang w:val="en-US" w:eastAsia="zh-CN"/>
        </w:rPr>
      </w:pPr>
    </w:p>
    <w:p>
      <w:pPr>
        <w:bidi w:val="0"/>
        <w:jc w:val="center"/>
        <w:rPr>
          <w:rFonts w:hint="eastAsia"/>
          <w:sz w:val="24"/>
          <w:szCs w:val="32"/>
          <w:lang w:val="en-US" w:eastAsia="zh-CN"/>
        </w:rPr>
      </w:pPr>
      <w:r>
        <w:rPr>
          <w:rFonts w:hint="eastAsia"/>
          <w:b/>
          <w:bCs/>
          <w:sz w:val="36"/>
          <w:szCs w:val="32"/>
          <w:lang w:val="en-US" w:eastAsia="zh-CN"/>
        </w:rPr>
        <w:t>5包</w:t>
      </w:r>
      <w:r>
        <w:rPr>
          <w:rFonts w:hint="eastAsia" w:eastAsia="宋体"/>
          <w:b/>
          <w:bCs/>
          <w:sz w:val="36"/>
          <w:szCs w:val="32"/>
          <w:lang w:val="en-US" w:eastAsia="zh-CN"/>
        </w:rPr>
        <w:t>—“冒铰媳妇”剪纸大赛活动服务要求</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sz w:val="24"/>
          <w:szCs w:val="32"/>
          <w:lang w:val="en-US" w:eastAsia="zh-CN"/>
        </w:rPr>
      </w:pPr>
      <w:r>
        <w:rPr>
          <w:rFonts w:hint="eastAsia"/>
          <w:sz w:val="24"/>
          <w:szCs w:val="32"/>
          <w:lang w:val="en-US" w:eastAsia="zh-CN"/>
        </w:rPr>
        <w:t>活动背景：</w:t>
      </w:r>
      <w:r>
        <w:rPr>
          <w:sz w:val="24"/>
          <w:szCs w:val="32"/>
          <w:lang w:val="en-US" w:eastAsia="zh-CN"/>
        </w:rPr>
        <w:t>为积极配合“赏北国风光·品陕北年味”活动，持续巩固和发展陕北文化生态保护区建设成果，弘扬非物质文化遗产，增进市民之间的交流与互动，提高市民对剪纸艺术的认识与喜爱，让群众与来榆游客更好的感受中华优秀传统文化和浓厚的古城年味，拟定于2024年</w:t>
      </w:r>
      <w:r>
        <w:rPr>
          <w:rFonts w:hint="eastAsia"/>
          <w:sz w:val="24"/>
          <w:szCs w:val="32"/>
          <w:lang w:val="en-US" w:eastAsia="zh-CN"/>
        </w:rPr>
        <w:t>2月初（5天）</w:t>
      </w:r>
      <w:r>
        <w:rPr>
          <w:sz w:val="24"/>
          <w:szCs w:val="32"/>
          <w:lang w:val="en-US" w:eastAsia="zh-CN"/>
        </w:rPr>
        <w:t>在榆林古城举办“冒铰媳妇”剪纸大赛</w:t>
      </w:r>
      <w:r>
        <w:rPr>
          <w:rFonts w:hint="eastAsia"/>
          <w:sz w:val="24"/>
          <w:szCs w:val="32"/>
          <w:lang w:val="en-US" w:eastAsia="zh-CN"/>
        </w:rPr>
        <w:t>。</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活动地点：</w:t>
      </w:r>
      <w:r>
        <w:rPr>
          <w:color w:val="000000"/>
          <w:sz w:val="24"/>
          <w:szCs w:val="32"/>
          <w:lang w:val="en-US" w:eastAsia="zh-CN"/>
        </w:rPr>
        <w:t>榆林古城大街二院旧址</w:t>
      </w:r>
      <w:r>
        <w:rPr>
          <w:rFonts w:hint="eastAsia"/>
          <w:color w:val="000000"/>
          <w:sz w:val="24"/>
          <w:szCs w:val="32"/>
          <w:lang w:val="en-US" w:eastAsia="zh-CN"/>
        </w:rPr>
        <w:t>、古城5个广场</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活动对象：</w:t>
      </w:r>
      <w:r>
        <w:rPr>
          <w:color w:val="000000"/>
          <w:sz w:val="24"/>
          <w:szCs w:val="32"/>
          <w:lang w:val="en-US" w:eastAsia="zh-CN"/>
        </w:rPr>
        <w:t>邀请</w:t>
      </w:r>
      <w:r>
        <w:rPr>
          <w:rFonts w:hint="eastAsia"/>
          <w:color w:val="000000"/>
          <w:sz w:val="24"/>
          <w:szCs w:val="32"/>
          <w:lang w:val="en-US" w:eastAsia="zh-CN"/>
        </w:rPr>
        <w:t>外省及陕西省各地市</w:t>
      </w:r>
      <w:r>
        <w:rPr>
          <w:color w:val="000000"/>
          <w:sz w:val="24"/>
          <w:szCs w:val="32"/>
          <w:lang w:val="en-US" w:eastAsia="zh-CN"/>
        </w:rPr>
        <w:t>剪纸传承人进行剪纸大赛</w:t>
      </w:r>
      <w:r>
        <w:rPr>
          <w:rFonts w:hint="eastAsia"/>
          <w:color w:val="000000"/>
          <w:sz w:val="24"/>
          <w:szCs w:val="32"/>
          <w:lang w:val="en-US" w:eastAsia="zh-CN"/>
        </w:rPr>
        <w:t>，专业组约55人（全国各地省级以上非遗传承人），现场剪、专业评；兴趣组（现场组织）无门槛。</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活动形式：现场剪、网上评借助现代网络传承剪纸艺术，</w:t>
      </w:r>
      <w:r>
        <w:rPr>
          <w:color w:val="000000"/>
          <w:sz w:val="24"/>
          <w:szCs w:val="32"/>
          <w:lang w:val="en-US" w:eastAsia="zh-CN"/>
        </w:rPr>
        <w:t>组织市民</w:t>
      </w:r>
      <w:r>
        <w:rPr>
          <w:rFonts w:hint="eastAsia"/>
          <w:color w:val="000000"/>
          <w:sz w:val="24"/>
          <w:szCs w:val="32"/>
          <w:lang w:val="en-US" w:eastAsia="zh-CN"/>
        </w:rPr>
        <w:t>（现场组织）</w:t>
      </w:r>
      <w:r>
        <w:rPr>
          <w:color w:val="000000"/>
          <w:sz w:val="24"/>
          <w:szCs w:val="32"/>
          <w:lang w:val="en-US" w:eastAsia="zh-CN"/>
        </w:rPr>
        <w:t>现场参与</w:t>
      </w:r>
      <w:r>
        <w:rPr>
          <w:rFonts w:hint="eastAsia"/>
          <w:color w:val="000000"/>
          <w:sz w:val="24"/>
          <w:szCs w:val="32"/>
          <w:lang w:val="en-US" w:eastAsia="zh-CN"/>
        </w:rPr>
        <w:t>，展现文化魅力。</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现场布置：灯灯光音响、舞台桁架、背景板、帐篷、LED显示屏、投影仪、幕布、隔离带、X展架、贵宾椅、签到桌。</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比赛用具：提前采购现场比赛所需的剪纸材料，包括纸张：红色整张宣纸、不超60g的红色卡纸、 一张拍照大白纸、大、中、小三把剪刀、垫板等。</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宣传工具：佳能或其他品牌系列相机 2台、摄像机：小高清Z5-C、203MC、Z1-C、198P 2台，无人机一架，宣传工具由投标人自行负责，自有或租赁需提供证明材料。</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奖品设置：纪念参与奖（所有传承人约55名、100元标准）、参与证书奖（所有传承人约55名、100元标准）、前10名优秀作品奖（10名、2500元标准）。</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赛事结果：评选方式：专家评定打分，占比30%；大众点赞投票，占比70%。“冒铰媳妇”剪纸作品上传小程序（运行费不低于60000元）后，由投标人负责宣传推广，进行大众投票，根据网络点赞量、冒铰创意、技法等选出前十名优秀选手。最终综合评分进行排名，公布前三名传承人获评“金剪刀”、“银剪刀”、“铜剪刀”，前十名“冒铰巧媳妇”名单。</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宣传推广：根据主题制作活动主视觉海报，积极配合“赏北国风光·品陕北年味”整体宣传活动，在各大社交媒体、网络平台、本地媒体等进行宣传，制作宣传视频（发动各地传承人录制，统一剪辑成片）、图文、线下海报等物料进行推广，增加大众对作品评选的参与度，制作现场整体活动视频为后宣准备。</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其他要求：投标人初拟</w:t>
      </w:r>
      <w:r>
        <w:rPr>
          <w:color w:val="000000"/>
          <w:sz w:val="24"/>
          <w:szCs w:val="32"/>
          <w:lang w:val="en-US" w:eastAsia="zh-CN"/>
        </w:rPr>
        <w:t>比赛主题</w:t>
      </w:r>
      <w:r>
        <w:rPr>
          <w:rFonts w:hint="eastAsia"/>
          <w:color w:val="000000"/>
          <w:sz w:val="24"/>
          <w:szCs w:val="32"/>
          <w:lang w:val="en-US" w:eastAsia="zh-CN"/>
        </w:rPr>
        <w:t>、活动流程、参与剪纸传承人意向名单——41人（领队14人除外）；图文、海报制作需提供设计人员学历、从业证明（不少于1人）。</w:t>
      </w:r>
    </w:p>
    <w:p>
      <w:pPr>
        <w:keepNext w:val="0"/>
        <w:keepLines w:val="0"/>
        <w:pageBreakBefore w:val="0"/>
        <w:widowControl w:val="0"/>
        <w:kinsoku/>
        <w:wordWrap/>
        <w:overflowPunct/>
        <w:topLinePunct w:val="0"/>
        <w:autoSpaceDE/>
        <w:autoSpaceDN/>
        <w:bidi w:val="0"/>
        <w:snapToGrid/>
        <w:spacing w:line="360" w:lineRule="auto"/>
        <w:ind w:firstLine="420" w:firstLineChars="0"/>
        <w:rPr>
          <w:rFonts w:hint="eastAsia"/>
          <w:color w:val="000000"/>
          <w:sz w:val="24"/>
          <w:szCs w:val="32"/>
          <w:lang w:val="en-US" w:eastAsia="zh-CN"/>
        </w:rPr>
      </w:pPr>
      <w:r>
        <w:rPr>
          <w:rFonts w:hint="eastAsia"/>
          <w:color w:val="000000"/>
          <w:sz w:val="24"/>
          <w:szCs w:val="32"/>
          <w:lang w:val="en-US" w:eastAsia="zh-CN"/>
        </w:rPr>
        <w:t>除上述开支外，投标人还需对专业组来榆传承人的城际交通、市内交通、住宿、餐费、场地搭建费专家评审费予以支付。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p>
    <w:p>
      <w:pPr>
        <w:bidi w:val="0"/>
        <w:jc w:val="center"/>
        <w:rPr>
          <w:rFonts w:hint="eastAsia"/>
          <w:b/>
          <w:bCs/>
          <w:sz w:val="32"/>
          <w:szCs w:val="28"/>
          <w:lang w:val="en-US" w:eastAsia="zh-CN"/>
        </w:rPr>
      </w:pPr>
    </w:p>
    <w:p/>
    <w:p/>
    <w:p/>
    <w:p/>
    <w:p/>
    <w:p/>
    <w:p/>
    <w:p/>
    <w:p/>
    <w:p/>
    <w:p/>
    <w:p/>
    <w:p/>
    <w:p/>
    <w:p/>
    <w:p/>
    <w:p/>
    <w:p/>
    <w:p/>
    <w:p/>
    <w:p/>
    <w:p/>
    <w:p/>
    <w:p/>
    <w:p/>
    <w:p/>
    <w:p/>
    <w:p/>
    <w:p/>
    <w:p/>
    <w:p/>
    <w:p/>
    <w:p/>
    <w:p/>
    <w:p/>
    <w:p>
      <w:pPr>
        <w:pStyle w:val="2"/>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15"/>
    </w:p>
    <w:p>
      <w:pPr>
        <w:spacing w:line="360" w:lineRule="auto"/>
        <w:rPr>
          <w:rFonts w:ascii="宋体" w:hAnsi="宋体" w:cs="宋体"/>
          <w:b/>
          <w:bCs/>
          <w:sz w:val="24"/>
          <w:szCs w:val="24"/>
        </w:rPr>
      </w:pPr>
      <w:r>
        <w:rPr>
          <w:rFonts w:hint="eastAsia" w:ascii="宋体" w:hAnsi="宋体" w:cs="宋体"/>
          <w:b/>
          <w:bCs/>
          <w:sz w:val="24"/>
          <w:szCs w:val="24"/>
        </w:rPr>
        <w:t>一、评审方法</w:t>
      </w:r>
    </w:p>
    <w:p>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pPr>
        <w:spacing w:line="360" w:lineRule="auto"/>
        <w:rPr>
          <w:rFonts w:ascii="宋体" w:hAnsi="宋体" w:cs="宋体"/>
          <w:b/>
          <w:bCs/>
          <w:sz w:val="24"/>
          <w:szCs w:val="24"/>
        </w:rPr>
      </w:pPr>
      <w:r>
        <w:rPr>
          <w:rFonts w:hint="eastAsia" w:ascii="宋体" w:hAnsi="宋体" w:cs="宋体"/>
          <w:b/>
          <w:bCs/>
          <w:sz w:val="24"/>
          <w:szCs w:val="24"/>
        </w:rPr>
        <w:t>二、评审程序</w:t>
      </w:r>
    </w:p>
    <w:p>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pPr>
        <w:spacing w:line="360" w:lineRule="auto"/>
        <w:rPr>
          <w:rFonts w:ascii="宋体" w:hAnsi="宋体" w:cs="宋体"/>
          <w:sz w:val="24"/>
          <w:szCs w:val="24"/>
        </w:rPr>
      </w:pPr>
      <w:r>
        <w:rPr>
          <w:rFonts w:hint="eastAsia" w:ascii="宋体" w:hAnsi="宋体" w:cs="宋体"/>
          <w:sz w:val="24"/>
          <w:szCs w:val="24"/>
        </w:rPr>
        <w:t>资格性审查由采购人和代理机构共同审查，符合性审查由谈判小组审查。在上一步评审中被废标者，不进入下一步的评审。</w:t>
      </w:r>
    </w:p>
    <w:p>
      <w:pPr>
        <w:spacing w:line="360" w:lineRule="auto"/>
        <w:rPr>
          <w:rFonts w:ascii="宋体" w:hAnsi="宋体" w:cs="宋体"/>
          <w:sz w:val="24"/>
          <w:szCs w:val="24"/>
        </w:rPr>
      </w:pPr>
      <w:r>
        <w:rPr>
          <w:rFonts w:hint="eastAsia" w:ascii="宋体" w:hAnsi="宋体" w:cs="宋体"/>
          <w:sz w:val="24"/>
          <w:szCs w:val="24"/>
        </w:rPr>
        <w:t>1、对竞争性谈判响应文件的符合性审查：</w:t>
      </w:r>
    </w:p>
    <w:p>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pPr>
              <w:jc w:val="center"/>
              <w:rPr>
                <w:rFonts w:ascii="宋体" w:hAnsi="宋体" w:cs="宋体"/>
                <w:b/>
                <w:bCs/>
                <w:sz w:val="24"/>
                <w:szCs w:val="24"/>
              </w:rPr>
            </w:pPr>
            <w:r>
              <w:rPr>
                <w:rFonts w:hint="eastAsia" w:ascii="宋体" w:hAnsi="宋体" w:cs="宋体"/>
                <w:b/>
                <w:bCs/>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pPr>
              <w:rPr>
                <w:rFonts w:ascii="宋体" w:hAnsi="宋体" w:cs="宋体"/>
                <w:sz w:val="24"/>
                <w:szCs w:val="24"/>
              </w:rPr>
            </w:pPr>
            <w:r>
              <w:rPr>
                <w:rFonts w:hint="eastAsia" w:ascii="宋体" w:hAnsi="宋体" w:cs="宋体"/>
                <w:sz w:val="24"/>
                <w:szCs w:val="24"/>
              </w:rPr>
              <w:t>1）供应商在同一份谈判响应文件中，只有一个有效报价的；</w:t>
            </w:r>
          </w:p>
          <w:p>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pPr>
              <w:rPr>
                <w:rFonts w:ascii="宋体" w:hAnsi="宋体" w:cs="宋体"/>
                <w:sz w:val="24"/>
                <w:szCs w:val="24"/>
              </w:rPr>
            </w:pPr>
            <w:r>
              <w:rPr>
                <w:rFonts w:hint="eastAsia" w:ascii="宋体" w:hAnsi="宋体" w:cs="宋体"/>
                <w:sz w:val="24"/>
                <w:szCs w:val="24"/>
              </w:rPr>
              <w:t>商务要求逐条响应并满足竞争性谈判文件要求。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default" w:ascii="宋体" w:hAnsi="宋体" w:eastAsia="宋体" w:cs="宋体"/>
                <w:sz w:val="24"/>
                <w:szCs w:val="24"/>
                <w:lang w:val="en-US" w:eastAsia="zh-CN"/>
              </w:rPr>
              <w:t>对本项目服务的组织措施及人员投入情况。</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default" w:ascii="宋体" w:hAnsi="宋体" w:eastAsia="宋体" w:cs="宋体"/>
                <w:sz w:val="24"/>
                <w:szCs w:val="24"/>
                <w:lang w:val="en-US" w:eastAsia="zh-CN"/>
              </w:rPr>
              <w:t>投标供应商商务投标响应与合同条款说明。</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default" w:ascii="宋体" w:hAnsi="宋体" w:eastAsia="宋体" w:cs="宋体"/>
                <w:sz w:val="24"/>
                <w:szCs w:val="24"/>
                <w:lang w:val="en-US" w:eastAsia="zh-CN"/>
              </w:rPr>
              <w:t>质量保证、售后服务计划及措施。</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default" w:ascii="宋体" w:hAnsi="宋体" w:eastAsia="宋体" w:cs="宋体"/>
                <w:sz w:val="24"/>
                <w:szCs w:val="24"/>
                <w:lang w:val="en-US" w:eastAsia="zh-CN"/>
              </w:rPr>
              <w:t>公司服务承诺。</w:t>
            </w:r>
          </w:p>
          <w:p>
            <w:pPr>
              <w:spacing w:line="360" w:lineRule="auto"/>
              <w:rPr>
                <w:rFonts w:hint="default" w:eastAsia="宋体"/>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default" w:ascii="宋体" w:hAnsi="宋体" w:eastAsia="宋体" w:cs="宋体"/>
                <w:sz w:val="24"/>
                <w:szCs w:val="24"/>
                <w:lang w:val="en-US" w:eastAsia="zh-CN"/>
              </w:rPr>
              <w:t>投标供应商其他有必要说明的问题。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pPr>
              <w:rPr>
                <w:rFonts w:ascii="宋体" w:hAnsi="宋体" w:cs="宋体"/>
                <w:sz w:val="24"/>
                <w:szCs w:val="24"/>
              </w:rPr>
            </w:pPr>
            <w:r>
              <w:rPr>
                <w:rFonts w:hint="eastAsia" w:ascii="宋体" w:hAnsi="宋体" w:cs="宋体"/>
                <w:sz w:val="24"/>
                <w:szCs w:val="24"/>
              </w:rPr>
              <w:t>满足谈判文件规定的其他要求。</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pPr>
        <w:spacing w:line="360" w:lineRule="auto"/>
        <w:rPr>
          <w:rFonts w:ascii="宋体" w:hAnsi="宋体" w:cs="宋体"/>
          <w:sz w:val="24"/>
          <w:szCs w:val="24"/>
        </w:rPr>
      </w:pPr>
      <w:r>
        <w:rPr>
          <w:rFonts w:hint="eastAsia" w:ascii="宋体" w:hAnsi="宋体" w:cs="宋体"/>
          <w:sz w:val="24"/>
          <w:szCs w:val="24"/>
        </w:rPr>
        <w:t>更正：</w:t>
      </w:r>
    </w:p>
    <w:p>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pPr>
        <w:spacing w:line="360" w:lineRule="auto"/>
        <w:ind w:firstLine="480" w:firstLineChars="200"/>
        <w:rPr>
          <w:sz w:val="24"/>
          <w:szCs w:val="24"/>
        </w:rPr>
      </w:pPr>
      <w:r>
        <w:rPr>
          <w:rFonts w:hint="eastAsia"/>
          <w:sz w:val="24"/>
          <w:szCs w:val="24"/>
        </w:rPr>
        <w:t>（4）《国务院办公厅关于建立政府强制采购节能产品制度的通知》（国办发〔2007〕</w:t>
      </w:r>
    </w:p>
    <w:p>
      <w:pPr>
        <w:spacing w:line="360" w:lineRule="auto"/>
        <w:rPr>
          <w:sz w:val="24"/>
          <w:szCs w:val="24"/>
        </w:rPr>
      </w:pPr>
      <w:r>
        <w:rPr>
          <w:rFonts w:hint="eastAsia"/>
          <w:sz w:val="24"/>
          <w:szCs w:val="24"/>
        </w:rPr>
        <w:t>51 号）；</w:t>
      </w:r>
    </w:p>
    <w:p>
      <w:pPr>
        <w:spacing w:line="360" w:lineRule="auto"/>
        <w:ind w:firstLine="480" w:firstLineChars="200"/>
        <w:rPr>
          <w:sz w:val="24"/>
          <w:szCs w:val="24"/>
        </w:rPr>
      </w:pPr>
      <w:r>
        <w:rPr>
          <w:rFonts w:hint="eastAsia"/>
          <w:sz w:val="24"/>
          <w:szCs w:val="24"/>
        </w:rPr>
        <w:t>（5）《节能产品政府采购实施意见》（财库[2004]185 号）；</w:t>
      </w:r>
    </w:p>
    <w:p>
      <w:pPr>
        <w:spacing w:line="360" w:lineRule="auto"/>
        <w:ind w:firstLine="480" w:firstLineChars="200"/>
        <w:rPr>
          <w:sz w:val="24"/>
          <w:szCs w:val="24"/>
        </w:rPr>
      </w:pPr>
      <w:r>
        <w:rPr>
          <w:rFonts w:hint="eastAsia"/>
          <w:sz w:val="24"/>
          <w:szCs w:val="24"/>
        </w:rPr>
        <w:t>（6）《环境标志产品政府采购实施的意见》（财库[2006]90 号）；</w:t>
      </w:r>
    </w:p>
    <w:p>
      <w:pPr>
        <w:spacing w:line="360" w:lineRule="auto"/>
        <w:ind w:firstLine="480" w:firstLineChars="200"/>
        <w:rPr>
          <w:sz w:val="24"/>
          <w:szCs w:val="24"/>
        </w:rPr>
      </w:pPr>
      <w:r>
        <w:rPr>
          <w:rFonts w:hint="eastAsia"/>
          <w:sz w:val="24"/>
          <w:szCs w:val="24"/>
        </w:rPr>
        <w:t>（7） 《陕西省中小企业政府采购信用融资办法》（陕财办采〔2018〕23 号）。</w:t>
      </w:r>
    </w:p>
    <w:p>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pPr>
        <w:spacing w:line="360" w:lineRule="auto"/>
        <w:ind w:firstLine="480" w:firstLineChars="200"/>
        <w:rPr>
          <w:sz w:val="24"/>
          <w:szCs w:val="24"/>
        </w:rPr>
      </w:pPr>
      <w:r>
        <w:rPr>
          <w:rFonts w:hint="eastAsia"/>
          <w:sz w:val="24"/>
          <w:szCs w:val="24"/>
        </w:rPr>
        <w:t>2）在工程采购项目中，工程由中小企业承建，即工程施工单位为中小企业；</w:t>
      </w:r>
    </w:p>
    <w:p>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pPr>
        <w:spacing w:line="360" w:lineRule="auto"/>
        <w:rPr>
          <w:sz w:val="24"/>
          <w:szCs w:val="24"/>
        </w:rPr>
      </w:pPr>
      <w:r>
        <w:rPr>
          <w:rFonts w:hint="eastAsia"/>
          <w:sz w:val="24"/>
          <w:szCs w:val="24"/>
        </w:rPr>
        <w:t>中小企业。其中，联合体各方均为小微企业的，联合体视同小微企业。</w:t>
      </w:r>
    </w:p>
    <w:p>
      <w:pPr>
        <w:spacing w:line="360" w:lineRule="auto"/>
        <w:ind w:firstLine="482" w:firstLineChars="200"/>
        <w:rPr>
          <w:b/>
          <w:bCs/>
          <w:sz w:val="24"/>
          <w:szCs w:val="24"/>
        </w:rPr>
      </w:pPr>
      <w:r>
        <w:rPr>
          <w:rFonts w:hint="eastAsia"/>
          <w:b/>
          <w:bCs/>
          <w:sz w:val="24"/>
          <w:szCs w:val="24"/>
        </w:rPr>
        <w:t>供应商为非联合体参与投标的情况：</w:t>
      </w:r>
    </w:p>
    <w:p>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pPr>
        <w:spacing w:line="360" w:lineRule="auto"/>
        <w:rPr>
          <w:sz w:val="24"/>
          <w:szCs w:val="24"/>
        </w:rPr>
      </w:pPr>
      <w:r>
        <w:rPr>
          <w:rFonts w:hint="eastAsia"/>
          <w:sz w:val="24"/>
          <w:szCs w:val="24"/>
        </w:rPr>
        <w:t>的通知》（财库〔2017〕，符合条件的残疾人福利性单位在参加政府采购活动时，</w:t>
      </w:r>
    </w:p>
    <w:p>
      <w:pPr>
        <w:spacing w:line="360" w:lineRule="auto"/>
        <w:rPr>
          <w:sz w:val="24"/>
          <w:szCs w:val="24"/>
        </w:rPr>
      </w:pPr>
      <w:r>
        <w:rPr>
          <w:rFonts w:hint="eastAsia"/>
          <w:sz w:val="24"/>
          <w:szCs w:val="24"/>
        </w:rPr>
        <w:t>应当提供本通知规定的《残疾人福利性单位声明函》（见附件），并对声明的真</w:t>
      </w:r>
    </w:p>
    <w:p>
      <w:pPr>
        <w:spacing w:line="360" w:lineRule="auto"/>
        <w:rPr>
          <w:sz w:val="24"/>
          <w:szCs w:val="24"/>
        </w:rPr>
      </w:pPr>
      <w:r>
        <w:rPr>
          <w:rFonts w:hint="eastAsia"/>
          <w:sz w:val="24"/>
          <w:szCs w:val="24"/>
        </w:rPr>
        <w:t>实性负责。中标、成交供应商为残疾人福利性单位的，采购人或者其委托的采购</w:t>
      </w:r>
    </w:p>
    <w:p>
      <w:pPr>
        <w:spacing w:line="360" w:lineRule="auto"/>
        <w:rPr>
          <w:sz w:val="24"/>
          <w:szCs w:val="24"/>
        </w:rPr>
      </w:pPr>
      <w:r>
        <w:rPr>
          <w:rFonts w:hint="eastAsia"/>
          <w:sz w:val="24"/>
          <w:szCs w:val="24"/>
        </w:rPr>
        <w:t>代理机构应当随中标、成交结果同时公告其《残疾人福利性单位声明函》，接受</w:t>
      </w:r>
    </w:p>
    <w:p>
      <w:pPr>
        <w:spacing w:line="360" w:lineRule="auto"/>
        <w:rPr>
          <w:sz w:val="24"/>
          <w:szCs w:val="24"/>
        </w:rPr>
      </w:pPr>
      <w:r>
        <w:rPr>
          <w:rFonts w:hint="eastAsia"/>
          <w:sz w:val="24"/>
          <w:szCs w:val="24"/>
        </w:rPr>
        <w:t>社会监督。投标人提供的《残疾人福利性单位声明函》与事实不符的，依照《政</w:t>
      </w:r>
    </w:p>
    <w:p>
      <w:pPr>
        <w:spacing w:line="360" w:lineRule="auto"/>
        <w:rPr>
          <w:sz w:val="24"/>
          <w:szCs w:val="24"/>
        </w:rPr>
      </w:pPr>
      <w:r>
        <w:rPr>
          <w:rFonts w:hint="eastAsia"/>
          <w:sz w:val="24"/>
          <w:szCs w:val="24"/>
        </w:rPr>
        <w:t>府采购法》第七十七条第一款的规定追究法律责任。</w:t>
      </w:r>
    </w:p>
    <w:p>
      <w:pPr>
        <w:rPr>
          <w:rFonts w:ascii="宋体" w:hAnsi="宋体" w:cs="宋体"/>
          <w:sz w:val="24"/>
          <w:szCs w:val="24"/>
        </w:rPr>
      </w:pPr>
      <w:r>
        <w:rPr>
          <w:rFonts w:hint="eastAsia" w:ascii="宋体" w:hAnsi="宋体" w:cs="宋体"/>
          <w:b/>
          <w:bCs/>
          <w:sz w:val="24"/>
          <w:szCs w:val="24"/>
        </w:rPr>
        <w:t>三、谈判方法</w:t>
      </w:r>
    </w:p>
    <w:p>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pPr>
        <w:spacing w:line="360" w:lineRule="auto"/>
        <w:rPr>
          <w:rFonts w:ascii="宋体" w:hAnsi="宋体" w:cs="宋体"/>
          <w:sz w:val="24"/>
          <w:szCs w:val="24"/>
        </w:rPr>
      </w:pPr>
      <w:r>
        <w:rPr>
          <w:rFonts w:hint="eastAsia" w:ascii="宋体" w:hAnsi="宋体" w:cs="宋体"/>
          <w:b/>
          <w:bCs/>
          <w:sz w:val="24"/>
          <w:szCs w:val="24"/>
        </w:rPr>
        <w:t>四、成交：</w:t>
      </w:r>
    </w:p>
    <w:p>
      <w:pPr>
        <w:spacing w:line="360" w:lineRule="auto"/>
        <w:rPr>
          <w:rFonts w:ascii="宋体" w:hAnsi="宋体" w:cs="宋体"/>
          <w:sz w:val="24"/>
          <w:szCs w:val="24"/>
        </w:rPr>
      </w:pPr>
      <w:r>
        <w:rPr>
          <w:rFonts w:hint="eastAsia" w:ascii="宋体" w:hAnsi="宋体" w:cs="宋体"/>
          <w:sz w:val="24"/>
          <w:szCs w:val="24"/>
        </w:rPr>
        <w:t>1、评审结果报告由全体评委签字确认。</w:t>
      </w:r>
    </w:p>
    <w:p>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pPr>
        <w:pStyle w:val="2"/>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pPr>
        <w:pStyle w:val="2"/>
        <w:spacing w:line="360" w:lineRule="auto"/>
        <w:jc w:val="center"/>
        <w:rPr>
          <w:rFonts w:ascii="宋体" w:hAnsi="宋体" w:cs="宋体"/>
          <w:b w:val="0"/>
          <w:bCs/>
          <w:sz w:val="32"/>
          <w:szCs w:val="32"/>
        </w:rPr>
      </w:pPr>
      <w:bookmarkStart w:id="316" w:name="_Toc29159"/>
      <w:r>
        <w:rPr>
          <w:rFonts w:hint="eastAsia" w:ascii="宋体" w:hAnsi="宋体" w:cs="宋体"/>
          <w:sz w:val="36"/>
          <w:szCs w:val="22"/>
        </w:rPr>
        <w:t>第八部分  竞争性谈判响应文件格式</w:t>
      </w:r>
      <w:bookmarkEnd w:id="316"/>
    </w:p>
    <w:p>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pPr>
        <w:spacing w:line="360" w:lineRule="auto"/>
        <w:jc w:val="left"/>
        <w:rPr>
          <w:rFonts w:ascii="宋体" w:hAnsi="宋体" w:cs="宋体"/>
          <w:b/>
          <w:sz w:val="28"/>
          <w:szCs w:val="28"/>
        </w:rPr>
      </w:pPr>
      <w:r>
        <w:rPr>
          <w:rFonts w:hint="eastAsia" w:ascii="宋体" w:hAnsi="宋体" w:cs="宋体"/>
          <w:b/>
          <w:sz w:val="28"/>
          <w:szCs w:val="28"/>
        </w:rPr>
        <w:t>采购项目编号：</w:t>
      </w:r>
      <w:bookmarkEnd w:id="304"/>
    </w:p>
    <w:p>
      <w:pPr>
        <w:pStyle w:val="9"/>
      </w:pPr>
    </w:p>
    <w:p/>
    <w:p>
      <w:pPr>
        <w:pStyle w:val="9"/>
        <w:spacing w:line="360" w:lineRule="auto"/>
        <w:jc w:val="center"/>
        <w:rPr>
          <w:rFonts w:hint="eastAsia"/>
          <w:b/>
          <w:bCs/>
          <w:sz w:val="52"/>
          <w:szCs w:val="48"/>
          <w:lang w:eastAsia="zh-CN"/>
        </w:rPr>
      </w:pPr>
      <w:r>
        <w:rPr>
          <w:rFonts w:hint="eastAsia"/>
          <w:b/>
          <w:bCs/>
          <w:sz w:val="52"/>
          <w:szCs w:val="48"/>
          <w:lang w:eastAsia="zh-CN"/>
        </w:rPr>
        <w:t>榆林市文化和旅游局2024“陕北榆林</w:t>
      </w:r>
    </w:p>
    <w:p>
      <w:pPr>
        <w:pStyle w:val="9"/>
        <w:spacing w:line="360" w:lineRule="auto"/>
        <w:jc w:val="center"/>
        <w:rPr>
          <w:rFonts w:hint="eastAsia" w:eastAsia="宋体"/>
          <w:b/>
          <w:bCs/>
          <w:sz w:val="52"/>
          <w:szCs w:val="48"/>
          <w:lang w:eastAsia="zh-CN"/>
        </w:rPr>
      </w:pPr>
      <w:r>
        <w:rPr>
          <w:rFonts w:hint="eastAsia"/>
          <w:b/>
          <w:bCs/>
          <w:sz w:val="52"/>
          <w:szCs w:val="48"/>
          <w:lang w:eastAsia="zh-CN"/>
        </w:rPr>
        <w:t>过大年”系列活动及宣传服务项目</w:t>
      </w:r>
    </w:p>
    <w:p>
      <w:pPr>
        <w:pStyle w:val="8"/>
        <w:jc w:val="center"/>
        <w:rPr>
          <w:rFonts w:hint="default" w:ascii="Times New Roman" w:hAnsi="Times New Roman" w:eastAsia="宋体" w:cs="Times New Roman"/>
          <w:b/>
          <w:bCs/>
          <w:kern w:val="2"/>
          <w:sz w:val="52"/>
          <w:szCs w:val="48"/>
          <w:lang w:val="en-US" w:eastAsia="zh-CN" w:bidi="ar-SA"/>
        </w:rPr>
      </w:pPr>
      <w:r>
        <w:rPr>
          <w:rFonts w:hint="eastAsia" w:ascii="Times New Roman" w:hAnsi="Times New Roman" w:cs="Times New Roman"/>
          <w:b/>
          <w:bCs/>
          <w:kern w:val="2"/>
          <w:sz w:val="52"/>
          <w:szCs w:val="48"/>
          <w:u w:val="single"/>
          <w:lang w:val="en-US" w:eastAsia="zh-CN" w:bidi="ar-SA"/>
        </w:rPr>
        <w:t xml:space="preserve">     </w:t>
      </w:r>
      <w:r>
        <w:rPr>
          <w:rFonts w:hint="eastAsia" w:ascii="Times New Roman" w:hAnsi="Times New Roman" w:eastAsia="宋体" w:cs="Times New Roman"/>
          <w:b/>
          <w:bCs/>
          <w:kern w:val="2"/>
          <w:sz w:val="52"/>
          <w:szCs w:val="48"/>
          <w:lang w:val="en-US" w:eastAsia="zh-CN" w:bidi="ar-SA"/>
        </w:rPr>
        <w:t>包</w:t>
      </w:r>
    </w:p>
    <w:p/>
    <w:p>
      <w:pPr>
        <w:pStyle w:val="20"/>
      </w:pPr>
    </w:p>
    <w:p>
      <w:pPr>
        <w:pStyle w:val="20"/>
      </w:pPr>
    </w:p>
    <w:p/>
    <w:p>
      <w:pPr>
        <w:pStyle w:val="39"/>
      </w:pPr>
    </w:p>
    <w:p>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p>
      <w:pPr>
        <w:pStyle w:val="7"/>
      </w:pPr>
    </w:p>
    <w:p>
      <w:pPr>
        <w:pStyle w:val="7"/>
      </w:pPr>
    </w:p>
    <w:p/>
    <w:p>
      <w:pPr>
        <w:pStyle w:val="9"/>
      </w:pPr>
    </w:p>
    <w:p>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四</w:t>
      </w:r>
      <w:r>
        <w:rPr>
          <w:rFonts w:hint="eastAsia" w:ascii="宋体" w:hAnsi="宋体" w:cs="宋体"/>
          <w:b/>
          <w:sz w:val="28"/>
          <w:szCs w:val="22"/>
        </w:rPr>
        <w:t>年   月</w:t>
      </w:r>
    </w:p>
    <w:p>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17" w:name="_Toc21305"/>
      <w:bookmarkStart w:id="318" w:name="_Toc357087380"/>
    </w:p>
    <w:p>
      <w:pPr>
        <w:tabs>
          <w:tab w:val="left" w:pos="3329"/>
        </w:tabs>
        <w:jc w:val="center"/>
        <w:rPr>
          <w:rFonts w:hint="eastAsia"/>
          <w:b/>
          <w:sz w:val="44"/>
        </w:rPr>
      </w:pPr>
      <w:bookmarkStart w:id="319" w:name="_Toc465958130"/>
      <w:bookmarkStart w:id="320" w:name="_Toc24244"/>
      <w:bookmarkStart w:id="321" w:name="_Toc15746"/>
      <w:bookmarkStart w:id="322" w:name="_Toc22764"/>
      <w:bookmarkStart w:id="323" w:name="_Toc30709"/>
      <w:bookmarkStart w:id="324" w:name="_Toc6250"/>
    </w:p>
    <w:p>
      <w:pPr>
        <w:tabs>
          <w:tab w:val="left" w:pos="3329"/>
        </w:tabs>
        <w:jc w:val="center"/>
        <w:rPr>
          <w:b/>
          <w:sz w:val="44"/>
        </w:rPr>
      </w:pPr>
      <w:r>
        <w:rPr>
          <w:rFonts w:hint="eastAsia"/>
          <w:b/>
          <w:sz w:val="44"/>
        </w:rPr>
        <w:t>目  录</w:t>
      </w:r>
    </w:p>
    <w:p>
      <w:pPr>
        <w:jc w:val="center"/>
        <w:rPr>
          <w:rFonts w:hAnsi="宋体"/>
          <w:b/>
          <w:bCs/>
          <w:szCs w:val="24"/>
        </w:rPr>
      </w:pPr>
      <w:r>
        <w:rPr>
          <w:rFonts w:hint="eastAsia" w:ascii="宋体" w:hAnsi="宋体" w:cs="宋体"/>
          <w:b/>
          <w:bCs/>
          <w:kern w:val="0"/>
          <w:sz w:val="24"/>
          <w:szCs w:val="24"/>
        </w:rPr>
        <w:t>(引用三级目录）</w:t>
      </w:r>
    </w:p>
    <w:p>
      <w:pPr>
        <w:jc w:val="center"/>
        <w:rPr>
          <w:rFonts w:hAnsi="宋体"/>
          <w:b/>
          <w:bCs/>
          <w:sz w:val="44"/>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bookmarkEnd w:id="305"/>
    <w:bookmarkEnd w:id="317"/>
    <w:bookmarkEnd w:id="318"/>
    <w:bookmarkEnd w:id="319"/>
    <w:bookmarkEnd w:id="320"/>
    <w:bookmarkEnd w:id="321"/>
    <w:bookmarkEnd w:id="322"/>
    <w:bookmarkEnd w:id="323"/>
    <w:bookmarkEnd w:id="324"/>
    <w:p>
      <w:pPr>
        <w:spacing w:line="400" w:lineRule="atLeast"/>
        <w:ind w:firstLine="540" w:firstLineChars="225"/>
        <w:rPr>
          <w:rFonts w:ascii="宋体" w:hAnsi="宋体" w:cs="宋体"/>
          <w:sz w:val="24"/>
          <w:szCs w:val="24"/>
        </w:rPr>
      </w:pPr>
    </w:p>
    <w:p>
      <w:pPr>
        <w:spacing w:line="400" w:lineRule="atLeast"/>
        <w:ind w:firstLine="540" w:firstLineChars="225"/>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pStyle w:val="11"/>
        <w:rPr>
          <w:rFonts w:ascii="宋体" w:hAnsi="宋体" w:cs="宋体"/>
          <w:sz w:val="24"/>
          <w:szCs w:val="24"/>
        </w:rPr>
      </w:pPr>
    </w:p>
    <w:p>
      <w:pPr>
        <w:spacing w:line="360" w:lineRule="auto"/>
        <w:rPr>
          <w:rFonts w:ascii="宋体" w:hAnsi="宋体" w:cs="宋体"/>
          <w:sz w:val="24"/>
          <w:szCs w:val="24"/>
        </w:rPr>
      </w:pPr>
    </w:p>
    <w:p>
      <w:pPr>
        <w:pStyle w:val="3"/>
        <w:rPr>
          <w:rFonts w:ascii="宋体" w:hAnsi="宋体" w:cs="宋体"/>
          <w:sz w:val="24"/>
          <w:szCs w:val="24"/>
        </w:rPr>
      </w:pPr>
      <w:r>
        <w:rPr>
          <w:rFonts w:hint="eastAsia" w:ascii="宋体" w:hAnsi="宋体" w:eastAsia="宋体" w:cs="宋体"/>
          <w:szCs w:val="22"/>
        </w:rPr>
        <w:t>一、响应函</w:t>
      </w:r>
    </w:p>
    <w:bookmarkEnd w:id="306"/>
    <w:bookmarkEnd w:id="307"/>
    <w:p>
      <w:pPr>
        <w:spacing w:line="360" w:lineRule="auto"/>
        <w:rPr>
          <w:rFonts w:hint="eastAsia" w:ascii="宋体" w:hAnsi="宋体" w:eastAsia="宋体" w:cs="宋体"/>
          <w:sz w:val="24"/>
          <w:lang w:eastAsia="zh-CN"/>
        </w:rPr>
      </w:pPr>
      <w:bookmarkStart w:id="325" w:name="_Toc21360"/>
      <w:bookmarkStart w:id="326" w:name="_Toc465958131"/>
      <w:bookmarkStart w:id="327" w:name="_Toc698"/>
      <w:bookmarkStart w:id="328" w:name="_Toc190"/>
      <w:bookmarkStart w:id="329" w:name="_Toc25167"/>
      <w:r>
        <w:rPr>
          <w:rFonts w:hint="eastAsia" w:ascii="宋体" w:hAnsi="宋体" w:cs="宋体"/>
          <w:sz w:val="24"/>
        </w:rPr>
        <w:t>致：</w:t>
      </w:r>
      <w:r>
        <w:rPr>
          <w:rFonts w:hint="eastAsia" w:ascii="宋体" w:hAnsi="宋体" w:cs="宋体"/>
          <w:sz w:val="24"/>
          <w:lang w:eastAsia="zh-CN"/>
        </w:rPr>
        <w:t>榆林市恒易达工程项目管理有限公司</w:t>
      </w:r>
    </w:p>
    <w:p>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(供应商名称、地址、统一社会信用代码）提交包含下述内容的谈判响应文件，正本一份、副本一式二份，电子版（u盘）一份，资格证明文件一套。</w:t>
      </w:r>
    </w:p>
    <w:p>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pPr>
        <w:spacing w:line="360" w:lineRule="auto"/>
        <w:rPr>
          <w:rFonts w:ascii="宋体" w:hAnsi="宋体" w:cs="宋体"/>
          <w:sz w:val="24"/>
        </w:rPr>
      </w:pPr>
      <w:r>
        <w:rPr>
          <w:rFonts w:hint="eastAsia" w:ascii="宋体" w:hAnsi="宋体" w:cs="宋体"/>
          <w:sz w:val="24"/>
        </w:rPr>
        <w:t xml:space="preserve">    (2) 报价一览表</w:t>
      </w:r>
    </w:p>
    <w:p>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pPr>
        <w:spacing w:line="360" w:lineRule="auto"/>
        <w:rPr>
          <w:rFonts w:ascii="宋体" w:hAnsi="宋体" w:cs="宋体"/>
          <w:sz w:val="24"/>
        </w:rPr>
      </w:pPr>
      <w:r>
        <w:rPr>
          <w:rFonts w:hint="eastAsia" w:ascii="宋体" w:hAnsi="宋体" w:cs="宋体"/>
          <w:sz w:val="24"/>
        </w:rPr>
        <w:t xml:space="preserve">    (4) 供应商资格证明文件。</w:t>
      </w:r>
    </w:p>
    <w:p>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服务</w:t>
      </w:r>
      <w:r>
        <w:rPr>
          <w:rFonts w:hint="eastAsia" w:ascii="宋体" w:hAnsi="宋体" w:cs="宋体"/>
          <w:sz w:val="24"/>
          <w:lang w:eastAsia="zh-CN"/>
        </w:rPr>
        <w:t>期</w:t>
      </w:r>
      <w:r>
        <w:rPr>
          <w:rFonts w:hint="eastAsia" w:ascii="宋体" w:hAnsi="宋体" w:cs="宋体"/>
          <w:sz w:val="24"/>
          <w:u w:val="single"/>
        </w:rPr>
        <w:t xml:space="preserve">         </w:t>
      </w:r>
      <w:r>
        <w:rPr>
          <w:rFonts w:hint="eastAsia" w:ascii="宋体" w:hAnsi="宋体" w:cs="宋体"/>
          <w:sz w:val="24"/>
        </w:rPr>
        <w:t>；</w:t>
      </w:r>
    </w:p>
    <w:p>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25"/>
    <w:bookmarkEnd w:id="326"/>
    <w:bookmarkEnd w:id="327"/>
    <w:bookmarkEnd w:id="328"/>
    <w:bookmarkEnd w:id="329"/>
    <w:p>
      <w:pPr>
        <w:pStyle w:val="3"/>
        <w:keepLines w:val="0"/>
        <w:numPr>
          <w:ilvl w:val="0"/>
          <w:numId w:val="9"/>
        </w:numPr>
        <w:adjustRightInd w:val="0"/>
        <w:textAlignment w:val="baseline"/>
        <w:rPr>
          <w:rFonts w:ascii="宋体" w:hAnsi="宋体" w:eastAsia="宋体" w:cs="宋体"/>
        </w:rPr>
      </w:pPr>
      <w:r>
        <w:rPr>
          <w:rFonts w:hint="eastAsia" w:ascii="宋体" w:hAnsi="宋体" w:eastAsia="宋体" w:cs="宋体"/>
        </w:rPr>
        <w:t>第一次谈判报价表</w:t>
      </w:r>
    </w:p>
    <w:p>
      <w:pPr>
        <w:pStyle w:val="4"/>
        <w:spacing w:line="360" w:lineRule="auto"/>
        <w:jc w:val="center"/>
      </w:pPr>
      <w:r>
        <w:rPr>
          <w:rFonts w:hint="eastAsia"/>
        </w:rPr>
        <w:t>2.1谈判报价表</w:t>
      </w:r>
    </w:p>
    <w:tbl>
      <w:tblPr>
        <w:tblStyle w:val="21"/>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pPr>
              <w:spacing w:line="360" w:lineRule="auto"/>
              <w:jc w:val="center"/>
              <w:rPr>
                <w:rFonts w:ascii="宋体" w:hAnsi="宋体" w:cs="宋体"/>
                <w:b/>
                <w:bCs/>
                <w:sz w:val="24"/>
              </w:rPr>
            </w:pPr>
            <w:bookmarkStart w:id="330" w:name="OLE_LINK14"/>
            <w:r>
              <w:rPr>
                <w:rFonts w:hint="eastAsia" w:ascii="宋体" w:hAnsi="宋体" w:cs="宋体"/>
                <w:b/>
                <w:bCs/>
                <w:sz w:val="24"/>
              </w:rPr>
              <w:t>采购项目名称</w:t>
            </w:r>
          </w:p>
        </w:tc>
        <w:tc>
          <w:tcPr>
            <w:tcW w:w="7015" w:type="dxa"/>
            <w:noWrap w:val="0"/>
            <w:vAlign w:val="center"/>
          </w:tcPr>
          <w:p>
            <w:pPr>
              <w:pStyle w:val="2"/>
              <w:spacing w:line="360" w:lineRule="auto"/>
              <w:jc w:val="center"/>
              <w:rPr>
                <w:rFonts w:ascii="宋体" w:hAnsi="宋体" w:cs="宋体"/>
                <w:b w:val="0"/>
                <w:bCs/>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pPr>
              <w:spacing w:line="360" w:lineRule="auto"/>
              <w:jc w:val="center"/>
              <w:rPr>
                <w:rFonts w:ascii="宋体" w:hAnsi="宋体" w:cs="宋体"/>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pPr>
              <w:spacing w:line="360" w:lineRule="auto"/>
              <w:jc w:val="center"/>
              <w:rPr>
                <w:rFonts w:ascii="宋体" w:hAnsi="宋体" w:cs="宋体"/>
                <w:b/>
                <w:bCs/>
                <w:sz w:val="24"/>
              </w:rPr>
            </w:pPr>
            <w:r>
              <w:rPr>
                <w:rFonts w:hint="eastAsia" w:ascii="宋体" w:hAnsi="宋体" w:cs="宋体"/>
                <w:b/>
                <w:bCs/>
                <w:sz w:val="24"/>
              </w:rPr>
              <w:t>供应商名称</w:t>
            </w:r>
          </w:p>
          <w:p>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pPr>
              <w:spacing w:line="360" w:lineRule="auto"/>
              <w:jc w:val="center"/>
              <w:rPr>
                <w:rFonts w:ascii="宋体" w:hAnsi="宋体" w:cs="宋体"/>
                <w:b/>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pPr>
              <w:spacing w:line="360" w:lineRule="auto"/>
              <w:jc w:val="center"/>
              <w:rPr>
                <w:rFonts w:ascii="宋体" w:hAnsi="宋体" w:cs="宋体"/>
                <w:b/>
                <w:bCs/>
                <w:sz w:val="24"/>
              </w:rPr>
            </w:pPr>
            <w:r>
              <w:rPr>
                <w:rFonts w:hint="eastAsia" w:ascii="宋体" w:hAnsi="宋体" w:cs="宋体"/>
                <w:b/>
                <w:bCs/>
                <w:sz w:val="24"/>
              </w:rPr>
              <w:t>谈判报价</w:t>
            </w:r>
          </w:p>
          <w:p>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pPr>
              <w:spacing w:line="360" w:lineRule="auto"/>
              <w:rPr>
                <w:rFonts w:ascii="宋体" w:hAnsi="宋体" w:cs="宋体"/>
                <w:b/>
                <w:bCs/>
                <w:sz w:val="24"/>
              </w:rPr>
            </w:pPr>
            <w:r>
              <w:rPr>
                <w:rFonts w:hint="eastAsia" w:ascii="宋体" w:hAnsi="宋体" w:cs="宋体"/>
                <w:b/>
                <w:bCs/>
                <w:sz w:val="24"/>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pPr>
              <w:spacing w:line="360" w:lineRule="auto"/>
              <w:jc w:val="center"/>
              <w:rPr>
                <w:rFonts w:ascii="宋体" w:hAnsi="宋体" w:cs="宋体"/>
                <w:b/>
                <w:bCs/>
                <w:sz w:val="24"/>
              </w:rPr>
            </w:pPr>
            <w:r>
              <w:rPr>
                <w:rFonts w:hint="eastAsia" w:ascii="宋体" w:hAnsi="宋体" w:cs="宋体"/>
                <w:b/>
                <w:bCs/>
                <w:sz w:val="24"/>
                <w:lang w:val="en-US" w:eastAsia="zh-CN"/>
              </w:rPr>
              <w:t>服务</w:t>
            </w:r>
            <w:r>
              <w:rPr>
                <w:rFonts w:hint="eastAsia" w:ascii="宋体" w:hAnsi="宋体" w:cs="宋体"/>
                <w:b/>
                <w:bCs/>
                <w:sz w:val="24"/>
                <w:lang w:eastAsia="zh-CN"/>
              </w:rPr>
              <w:t>期</w:t>
            </w:r>
          </w:p>
        </w:tc>
        <w:tc>
          <w:tcPr>
            <w:tcW w:w="7015" w:type="dxa"/>
            <w:noWrap w:val="0"/>
            <w:vAlign w:val="top"/>
          </w:tcPr>
          <w:p>
            <w:pPr>
              <w:spacing w:line="360" w:lineRule="auto"/>
              <w:rPr>
                <w:rFonts w:ascii="宋体" w:hAnsi="宋体" w:cs="宋体"/>
                <w:b/>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pPr>
              <w:spacing w:line="360" w:lineRule="auto"/>
              <w:rPr>
                <w:rFonts w:ascii="宋体" w:hAnsi="宋体" w:cs="宋体"/>
                <w:b/>
                <w:bCs/>
                <w:sz w:val="24"/>
              </w:rPr>
            </w:pPr>
          </w:p>
        </w:tc>
      </w:tr>
      <w:bookmarkEnd w:id="330"/>
    </w:tbl>
    <w:p>
      <w:pPr>
        <w:spacing w:line="360" w:lineRule="auto"/>
        <w:ind w:right="-161"/>
        <w:rPr>
          <w:rFonts w:hint="eastAsia" w:ascii="宋体" w:hAnsi="宋体" w:eastAsia="宋体" w:cs="宋体"/>
          <w:sz w:val="24"/>
          <w:szCs w:val="24"/>
          <w:lang w:eastAsia="zh-CN"/>
        </w:rPr>
      </w:pPr>
    </w:p>
    <w:p>
      <w:pPr>
        <w:pStyle w:val="11"/>
        <w:rPr>
          <w:rFonts w:hint="eastAsia" w:ascii="宋体" w:hAnsi="宋体" w:eastAsia="宋体" w:cs="宋体"/>
          <w:sz w:val="24"/>
          <w:szCs w:val="24"/>
          <w:lang w:eastAsia="zh-CN"/>
        </w:rPr>
      </w:pPr>
    </w:p>
    <w:p>
      <w:pPr>
        <w:pStyle w:val="11"/>
        <w:rPr>
          <w:rFonts w:hint="eastAsia" w:ascii="宋体" w:hAnsi="宋体" w:eastAsia="宋体" w:cs="宋体"/>
          <w:sz w:val="24"/>
          <w:szCs w:val="24"/>
          <w:lang w:eastAsia="zh-CN"/>
        </w:rPr>
      </w:pPr>
    </w:p>
    <w:p>
      <w:pPr>
        <w:pStyle w:val="11"/>
        <w:rPr>
          <w:rFonts w:hint="eastAsia" w:ascii="宋体" w:hAnsi="宋体" w:eastAsia="宋体" w:cs="宋体"/>
          <w:sz w:val="24"/>
          <w:szCs w:val="24"/>
          <w:lang w:eastAsia="zh-CN"/>
        </w:rPr>
      </w:pPr>
    </w:p>
    <w:p>
      <w:pPr>
        <w:spacing w:line="360" w:lineRule="auto"/>
        <w:ind w:right="-161"/>
        <w:rPr>
          <w:rFonts w:ascii="宋体" w:hAnsi="宋体" w:cs="宋体"/>
          <w:sz w:val="24"/>
          <w:szCs w:val="24"/>
        </w:rPr>
      </w:pPr>
    </w:p>
    <w:p>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308"/>
    <w:bookmarkEnd w:id="309"/>
    <w:bookmarkEnd w:id="310"/>
    <w:bookmarkEnd w:id="311"/>
    <w:bookmarkEnd w:id="312"/>
    <w:bookmarkEnd w:id="313"/>
    <w:bookmarkEnd w:id="314"/>
    <w:p>
      <w:pPr>
        <w:bidi w:val="0"/>
        <w:rPr>
          <w:rFonts w:hint="eastAsia"/>
        </w:rPr>
      </w:pPr>
      <w:bookmarkStart w:id="331" w:name="_Toc23496"/>
      <w:bookmarkStart w:id="332" w:name="_Toc29346"/>
      <w:bookmarkStart w:id="333" w:name="_Toc27665"/>
      <w:bookmarkStart w:id="334" w:name="_Toc30603"/>
      <w:bookmarkStart w:id="335" w:name="_Toc29567"/>
      <w:bookmarkStart w:id="336" w:name="_Toc8483"/>
      <w:bookmarkStart w:id="337" w:name="_Toc9067"/>
      <w:bookmarkStart w:id="338" w:name="_Toc25449"/>
      <w:bookmarkStart w:id="339" w:name="_Toc14320"/>
      <w:bookmarkStart w:id="340" w:name="_Toc465958133"/>
      <w:bookmarkStart w:id="341" w:name="_Toc7129"/>
      <w:bookmarkStart w:id="342" w:name="_Toc31054"/>
      <w:bookmarkStart w:id="343" w:name="_Toc26959"/>
      <w:bookmarkStart w:id="344" w:name="_Toc30297"/>
    </w:p>
    <w:p>
      <w:pPr>
        <w:pStyle w:val="7"/>
        <w:rPr>
          <w:rFonts w:hint="eastAsia"/>
        </w:rPr>
      </w:pPr>
    </w:p>
    <w:p>
      <w:pPr>
        <w:pStyle w:val="7"/>
        <w:rPr>
          <w:rFonts w:hint="eastAsia"/>
        </w:rPr>
      </w:pPr>
    </w:p>
    <w:p>
      <w:pPr>
        <w:pStyle w:val="4"/>
        <w:spacing w:line="360" w:lineRule="auto"/>
        <w:jc w:val="center"/>
        <w:rPr>
          <w:rFonts w:ascii="宋体" w:hAnsi="宋体" w:cs="宋体"/>
          <w:szCs w:val="22"/>
        </w:rPr>
      </w:pPr>
      <w:r>
        <w:rPr>
          <w:rFonts w:hint="eastAsia"/>
        </w:rPr>
        <w:t>2.2分项报价表</w:t>
      </w:r>
      <w:bookmarkEnd w:id="331"/>
    </w:p>
    <w:p>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p>
      <w:pPr>
        <w:spacing w:line="360" w:lineRule="auto"/>
        <w:ind w:right="-161" w:firstLine="2640" w:firstLineChars="1100"/>
        <w:rPr>
          <w:rFonts w:hint="eastAsia" w:ascii="宋体" w:hAnsi="宋体" w:cs="宋体"/>
          <w:sz w:val="24"/>
        </w:rPr>
      </w:pPr>
    </w:p>
    <w:p>
      <w:pPr>
        <w:pStyle w:val="20"/>
        <w:rPr>
          <w:rFonts w:hint="eastAsia" w:ascii="宋体" w:hAnsi="宋体" w:cs="宋体"/>
          <w:sz w:val="24"/>
        </w:rPr>
      </w:pPr>
    </w:p>
    <w:p>
      <w:pPr>
        <w:pStyle w:val="20"/>
        <w:ind w:left="0" w:leftChars="0"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自拟</w:t>
      </w:r>
    </w:p>
    <w:p>
      <w:pPr>
        <w:pStyle w:val="20"/>
        <w:rPr>
          <w:rFonts w:hint="eastAsia" w:ascii="宋体" w:hAnsi="宋体" w:cs="宋体"/>
          <w:sz w:val="24"/>
        </w:rPr>
      </w:pPr>
    </w:p>
    <w:p>
      <w:pPr>
        <w:pStyle w:val="20"/>
        <w:rPr>
          <w:rFonts w:hint="eastAsia" w:ascii="宋体" w:hAnsi="宋体" w:cs="宋体"/>
          <w:sz w:val="24"/>
        </w:rPr>
      </w:pPr>
    </w:p>
    <w:p>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45" w:name="_Toc5391"/>
    </w:p>
    <w:bookmarkEnd w:id="345"/>
    <w:p>
      <w:pPr>
        <w:spacing w:line="480" w:lineRule="auto"/>
        <w:ind w:right="-161"/>
        <w:jc w:val="center"/>
        <w:outlineLvl w:val="0"/>
        <w:rPr>
          <w:b/>
          <w:bCs/>
          <w:sz w:val="36"/>
          <w:szCs w:val="16"/>
        </w:rPr>
      </w:pPr>
    </w:p>
    <w:p>
      <w:pPr>
        <w:spacing w:line="480" w:lineRule="auto"/>
        <w:ind w:right="-161"/>
        <w:jc w:val="center"/>
        <w:outlineLvl w:val="0"/>
        <w:rPr>
          <w:b/>
          <w:bCs/>
          <w:sz w:val="36"/>
          <w:szCs w:val="16"/>
        </w:rPr>
      </w:pPr>
    </w:p>
    <w:p>
      <w:pPr>
        <w:spacing w:line="480" w:lineRule="auto"/>
        <w:ind w:right="-161"/>
        <w:jc w:val="center"/>
        <w:outlineLvl w:val="0"/>
        <w:rPr>
          <w:b/>
          <w:bCs/>
          <w:sz w:val="36"/>
          <w:szCs w:val="16"/>
        </w:rPr>
      </w:pPr>
    </w:p>
    <w:p>
      <w:pPr>
        <w:spacing w:line="480" w:lineRule="auto"/>
        <w:ind w:right="-161"/>
        <w:jc w:val="center"/>
        <w:outlineLvl w:val="0"/>
        <w:rPr>
          <w:b/>
          <w:bCs/>
          <w:sz w:val="36"/>
          <w:szCs w:val="16"/>
        </w:rPr>
      </w:pPr>
    </w:p>
    <w:p>
      <w:pPr>
        <w:pStyle w:val="9"/>
        <w:rPr>
          <w:b/>
          <w:bCs/>
          <w:sz w:val="36"/>
          <w:szCs w:val="16"/>
        </w:rPr>
      </w:pPr>
    </w:p>
    <w:p/>
    <w:p/>
    <w:p>
      <w:pPr>
        <w:pStyle w:val="20"/>
      </w:pPr>
    </w:p>
    <w:p>
      <w:pPr>
        <w:pStyle w:val="20"/>
      </w:pPr>
    </w:p>
    <w:p>
      <w:pPr>
        <w:pStyle w:val="20"/>
      </w:pPr>
    </w:p>
    <w:p>
      <w:pPr>
        <w:pStyle w:val="20"/>
      </w:pPr>
    </w:p>
    <w:p>
      <w:pPr>
        <w:pStyle w:val="20"/>
      </w:pPr>
    </w:p>
    <w:p>
      <w:pPr>
        <w:pStyle w:val="20"/>
      </w:pPr>
    </w:p>
    <w:p>
      <w:pPr>
        <w:pStyle w:val="20"/>
      </w:pPr>
    </w:p>
    <w:p>
      <w:pPr>
        <w:pStyle w:val="20"/>
      </w:pPr>
    </w:p>
    <w:p>
      <w:pPr>
        <w:pStyle w:val="20"/>
      </w:pPr>
    </w:p>
    <w:p>
      <w:pPr>
        <w:spacing w:line="480" w:lineRule="auto"/>
        <w:ind w:right="-161"/>
        <w:jc w:val="center"/>
        <w:outlineLvl w:val="0"/>
        <w:rPr>
          <w:b/>
          <w:bCs/>
          <w:sz w:val="36"/>
          <w:szCs w:val="16"/>
        </w:rPr>
      </w:pPr>
    </w:p>
    <w:p>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32"/>
      <w:bookmarkEnd w:id="333"/>
      <w:bookmarkEnd w:id="334"/>
      <w:bookmarkEnd w:id="335"/>
      <w:bookmarkEnd w:id="336"/>
      <w:bookmarkEnd w:id="337"/>
    </w:p>
    <w:p>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pPr>
        <w:pStyle w:val="14"/>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pStyle w:val="3"/>
        <w:rPr>
          <w:rFonts w:ascii="宋体" w:hAnsi="宋体" w:eastAsia="宋体" w:cs="宋体"/>
          <w:szCs w:val="22"/>
        </w:rPr>
      </w:pPr>
    </w:p>
    <w:p>
      <w:pPr>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rPr>
          <w:rFonts w:ascii="宋体" w:hAnsi="宋体" w:cs="宋体"/>
          <w:szCs w:val="22"/>
        </w:rPr>
      </w:pPr>
    </w:p>
    <w:p>
      <w:pPr>
        <w:pStyle w:val="14"/>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pPr>
        <w:spacing w:line="360" w:lineRule="atLeast"/>
        <w:rPr>
          <w:rFonts w:ascii="宋体" w:hAnsi="宋体" w:cs="宋体"/>
          <w:b w:val="0"/>
          <w:bCs w:val="0"/>
          <w:sz w:val="28"/>
          <w:szCs w:val="28"/>
        </w:rPr>
      </w:pPr>
      <w:r>
        <w:rPr>
          <w:rFonts w:hint="eastAsia" w:ascii="宋体" w:hAnsi="宋体" w:cs="宋体"/>
          <w:b w:val="0"/>
          <w:bCs w:val="0"/>
          <w:sz w:val="28"/>
          <w:szCs w:val="28"/>
        </w:rPr>
        <w:t>附件</w:t>
      </w:r>
      <w:r>
        <w:rPr>
          <w:rFonts w:hint="eastAsia" w:ascii="宋体" w:hAnsi="宋体" w:cs="宋体"/>
          <w:b w:val="0"/>
          <w:bCs w:val="0"/>
          <w:sz w:val="28"/>
          <w:szCs w:val="28"/>
          <w:lang w:val="en-US" w:eastAsia="zh-CN"/>
        </w:rPr>
        <w:t>1</w:t>
      </w:r>
      <w:r>
        <w:rPr>
          <w:rFonts w:hint="eastAsia" w:ascii="宋体" w:hAnsi="宋体" w:cs="宋体"/>
          <w:b w:val="0"/>
          <w:bCs w:val="0"/>
          <w:sz w:val="28"/>
          <w:szCs w:val="28"/>
        </w:rPr>
        <w:t>：</w:t>
      </w:r>
    </w:p>
    <w:p>
      <w:pPr>
        <w:pStyle w:val="18"/>
        <w:widowControl/>
        <w:shd w:val="clear" w:color="060000" w:fill="FFFFFF"/>
        <w:adjustRightInd w:val="0"/>
        <w:snapToGrid w:val="0"/>
        <w:spacing w:before="0" w:beforeAutospacing="0" w:after="150" w:afterAutospacing="0" w:line="500" w:lineRule="exact"/>
        <w:ind w:firstLine="480"/>
        <w:jc w:val="center"/>
        <w:rPr>
          <w:rFonts w:ascii="宋体" w:hAnsi="宋体" w:cs="宋体"/>
          <w:color w:val="333333"/>
          <w:szCs w:val="24"/>
        </w:rPr>
      </w:pPr>
      <w:r>
        <w:rPr>
          <w:rFonts w:hint="eastAsia" w:ascii="宋体" w:hAnsi="宋体" w:cs="宋体"/>
          <w:b/>
          <w:bCs/>
          <w:color w:val="333333"/>
          <w:sz w:val="36"/>
          <w:szCs w:val="36"/>
          <w:shd w:val="clear" w:color="070000" w:fill="FFFFFF"/>
        </w:rPr>
        <w:t>榆林市政府采购</w:t>
      </w:r>
      <w:r>
        <w:rPr>
          <w:rFonts w:hint="eastAsia" w:ascii="宋体" w:hAnsi="宋体" w:cs="宋体"/>
          <w:b/>
          <w:bCs/>
          <w:color w:val="333333"/>
          <w:sz w:val="36"/>
          <w:szCs w:val="36"/>
          <w:shd w:val="clear" w:color="070000" w:fill="FFFFFF"/>
          <w:lang w:val="en-US" w:eastAsia="zh-CN"/>
        </w:rPr>
        <w:t>服务</w:t>
      </w:r>
      <w:r>
        <w:rPr>
          <w:rFonts w:hint="eastAsia" w:ascii="宋体" w:hAnsi="宋体" w:cs="宋体"/>
          <w:b/>
          <w:bCs/>
          <w:color w:val="333333"/>
          <w:sz w:val="36"/>
          <w:szCs w:val="36"/>
          <w:shd w:val="clear" w:color="070000" w:fill="FFFFFF"/>
        </w:rPr>
        <w:t>类项目供应商信用承诺书</w:t>
      </w:r>
    </w:p>
    <w:p>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市场主体名称：</w:t>
      </w:r>
    </w:p>
    <w:p>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证件类型：统一社会信用代码</w:t>
      </w:r>
    </w:p>
    <w:p>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证件号码：</w:t>
      </w:r>
    </w:p>
    <w:p>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法人代表：</w:t>
      </w:r>
    </w:p>
    <w:p>
      <w:pPr>
        <w:pStyle w:val="18"/>
        <w:widowControl/>
        <w:shd w:val="clear" w:color="auto" w:fill="FFFFFF"/>
        <w:adjustRightInd w:val="0"/>
        <w:snapToGrid w:val="0"/>
        <w:spacing w:before="0" w:beforeAutospacing="0" w:after="150" w:afterAutospacing="0" w:line="560" w:lineRule="exact"/>
        <w:ind w:firstLine="480"/>
        <w:jc w:val="both"/>
        <w:rPr>
          <w:rFonts w:hint="eastAsia"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承诺有效期限：   年    月   日—   年   月   日</w:t>
      </w:r>
      <w:r>
        <w:rPr>
          <w:rFonts w:hint="eastAsia" w:ascii="宋体" w:hAnsi="宋体" w:cs="宋体"/>
          <w:color w:val="333333"/>
          <w:sz w:val="28"/>
          <w:szCs w:val="28"/>
          <w:shd w:val="clear" w:color="auto" w:fill="FFFFFF"/>
          <w:lang w:eastAsia="zh-CN"/>
        </w:rPr>
        <w:t>（有效期一年）</w:t>
      </w:r>
    </w:p>
    <w:p>
      <w:pPr>
        <w:pStyle w:val="18"/>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承诺内容：</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为维护公开、公平、公正的政府采购市场秩序，树立诚实守信的政府采购供应商形象，本单位自愿做出以下承诺：</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四、承诺本单位自觉接受行政管理部门、行业组织、社会公众、新闻舆论的监督；</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六、承诺本单位提出政府采购质疑和投诉坚持依法依规、诚实信用原则，在全国范围12个月内没有三次以上查无实据的政府采购投诉；</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七、根据政府采购相关法律法规的规定需要作出的其他承诺：</w:t>
      </w:r>
      <w:r>
        <w:rPr>
          <w:rFonts w:hint="eastAsia" w:ascii="宋体" w:hAnsi="宋体" w:cs="宋体"/>
          <w:color w:val="333333"/>
          <w:sz w:val="28"/>
          <w:szCs w:val="28"/>
          <w:u w:val="single"/>
          <w:shd w:val="clear" w:color="auto" w:fill="FFFFFF"/>
        </w:rPr>
        <w:t>                                                              </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xml:space="preserve">              承诺单位（盖章）：</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xml:space="preserve">      法定代表人（负责人）：          </w:t>
      </w:r>
    </w:p>
    <w:p>
      <w:pPr>
        <w:pStyle w:val="18"/>
        <w:widowControl/>
        <w:shd w:val="clear" w:color="auto" w:fill="FFFFFF"/>
        <w:adjustRightInd w:val="0"/>
        <w:snapToGrid w:val="0"/>
        <w:spacing w:before="0" w:beforeAutospacing="0" w:after="150" w:afterAutospacing="0" w:line="560" w:lineRule="exact"/>
        <w:ind w:firstLine="2520" w:firstLineChars="9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法定代表人（负责人）身份证号：</w:t>
      </w:r>
    </w:p>
    <w:p>
      <w:pPr>
        <w:pStyle w:val="18"/>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承诺日期：</w:t>
      </w:r>
    </w:p>
    <w:p>
      <w:pPr>
        <w:pStyle w:val="18"/>
        <w:widowControl/>
        <w:shd w:val="clear" w:color="auto" w:fill="FFFFFF"/>
        <w:adjustRightInd w:val="0"/>
        <w:snapToGrid w:val="0"/>
        <w:spacing w:before="0" w:beforeAutospacing="0" w:after="150" w:afterAutospacing="0" w:line="5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注：法定代表人或负责人、主体名称发生变更的应当重新做出承诺；承诺书标题按照工程类、货物类、服务类确定。</w:t>
      </w:r>
    </w:p>
    <w:p>
      <w:pPr>
        <w:pStyle w:val="9"/>
        <w:adjustRightInd w:val="0"/>
        <w:snapToGrid w:val="0"/>
        <w:spacing w:line="500" w:lineRule="exact"/>
        <w:rPr>
          <w:rFonts w:ascii="宋体" w:hAnsi="宋体" w:cs="宋体"/>
          <w:color w:val="333333"/>
          <w:kern w:val="0"/>
          <w:sz w:val="31"/>
          <w:szCs w:val="31"/>
          <w:shd w:val="clear" w:color="070000" w:fill="FFFFFF"/>
        </w:rPr>
      </w:pPr>
      <w:r>
        <w:rPr>
          <w:rFonts w:hint="eastAsia" w:ascii="宋体" w:hAnsi="宋体" w:cs="宋体"/>
          <w:b/>
          <w:sz w:val="24"/>
        </w:rPr>
        <w:t xml:space="preserve">    </w:t>
      </w:r>
      <w:r>
        <w:rPr>
          <w:rFonts w:hint="eastAsia" w:ascii="宋体" w:hAnsi="宋体" w:cs="宋体"/>
          <w:color w:val="333333"/>
          <w:kern w:val="0"/>
          <w:sz w:val="31"/>
          <w:szCs w:val="31"/>
          <w:shd w:val="clear" w:color="070000" w:fill="FFFFFF"/>
        </w:rPr>
        <w:t xml:space="preserve"> </w:t>
      </w:r>
    </w:p>
    <w:p>
      <w:pPr>
        <w:rPr>
          <w:rFonts w:ascii="宋体" w:hAnsi="宋体" w:cs="宋体"/>
          <w:color w:val="333333"/>
          <w:kern w:val="0"/>
          <w:sz w:val="31"/>
          <w:szCs w:val="31"/>
          <w:shd w:val="clear" w:color="070000" w:fill="FFFFFF"/>
        </w:rPr>
      </w:pPr>
    </w:p>
    <w:p>
      <w:pPr>
        <w:pStyle w:val="9"/>
        <w:rPr>
          <w:rFonts w:ascii="宋体" w:hAnsi="宋体" w:cs="宋体"/>
          <w:color w:val="333333"/>
          <w:kern w:val="0"/>
          <w:sz w:val="31"/>
          <w:szCs w:val="31"/>
          <w:shd w:val="clear" w:color="070000" w:fill="FFFFFF"/>
        </w:rPr>
      </w:pPr>
    </w:p>
    <w:p>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附件2：</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宋体" w:hAnsi="宋体" w:eastAsia="宋体" w:cs="宋体"/>
          <w:kern w:val="0"/>
          <w:sz w:val="24"/>
          <w:szCs w:val="24"/>
        </w:rPr>
      </w:pPr>
    </w:p>
    <w:p>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pPr>
        <w:adjustRightInd w:val="0"/>
        <w:snapToGrid w:val="0"/>
        <w:spacing w:line="500" w:lineRule="exact"/>
        <w:rPr>
          <w:rFonts w:hint="eastAsia" w:ascii="宋体" w:hAnsi="宋体" w:eastAsia="宋体" w:cs="宋体"/>
          <w:b/>
          <w:kern w:val="0"/>
          <w:sz w:val="24"/>
          <w:szCs w:val="24"/>
        </w:rPr>
      </w:pPr>
    </w:p>
    <w:p>
      <w:pPr>
        <w:pStyle w:val="39"/>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pPr>
        <w:pStyle w:val="39"/>
        <w:rPr>
          <w:rFonts w:hint="eastAsia" w:ascii="宋体" w:hAnsi="宋体" w:eastAsia="宋体" w:cs="宋体"/>
          <w:kern w:val="0"/>
          <w:sz w:val="24"/>
          <w:szCs w:val="24"/>
        </w:rPr>
      </w:pPr>
    </w:p>
    <w:p>
      <w:pPr>
        <w:pStyle w:val="39"/>
        <w:rPr>
          <w:rFonts w:hint="eastAsia" w:ascii="宋体" w:hAnsi="宋体" w:eastAsia="宋体" w:cs="宋体"/>
          <w:kern w:val="0"/>
          <w:sz w:val="24"/>
          <w:szCs w:val="24"/>
        </w:rPr>
      </w:pPr>
    </w:p>
    <w:p>
      <w:pPr>
        <w:pStyle w:val="39"/>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3</w:t>
      </w:r>
      <w:r>
        <w:rPr>
          <w:rFonts w:hint="eastAsia" w:ascii="宋体" w:hAnsi="宋体" w:cs="宋体"/>
          <w:b w:val="0"/>
          <w:bCs/>
          <w:sz w:val="24"/>
        </w:rPr>
        <w:t>：</w:t>
      </w:r>
    </w:p>
    <w:p>
      <w:pPr>
        <w:spacing w:line="200" w:lineRule="exact"/>
        <w:rPr>
          <w:rFonts w:hint="eastAsia" w:ascii="宋体" w:hAnsi="宋体" w:cs="宋体"/>
        </w:rPr>
      </w:pPr>
    </w:p>
    <w:p>
      <w:pPr>
        <w:pageBreakBefore w:val="0"/>
        <w:kinsoku/>
        <w:wordWrap/>
        <w:overflowPunct/>
        <w:topLinePunct w:val="0"/>
        <w:autoSpaceDE/>
        <w:autoSpaceDN/>
        <w:bidi w:val="0"/>
        <w:spacing w:line="560" w:lineRule="exact"/>
        <w:jc w:val="center"/>
        <w:textAlignment w:val="auto"/>
        <w:rPr>
          <w:rFonts w:hint="eastAsia" w:ascii="宋体" w:hAnsi="宋体" w:eastAsia="宋体" w:cs="宋体"/>
          <w:bCs/>
          <w:sz w:val="24"/>
          <w:highlight w:val="none"/>
        </w:rPr>
      </w:pPr>
      <w:r>
        <w:rPr>
          <w:rFonts w:hint="eastAsia" w:ascii="宋体" w:hAnsi="宋体" w:eastAsia="宋体" w:cs="宋体"/>
          <w:b/>
          <w:bCs/>
          <w:sz w:val="28"/>
          <w:szCs w:val="28"/>
          <w:highlight w:val="none"/>
        </w:rPr>
        <w:t>《中小企业声明函》</w:t>
      </w:r>
    </w:p>
    <w:p>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本公司郑重声明，根据《政府采购促进中小企业发展管理办法》（财库﹝2020﹞46 号）的规定，本公司参加</w:t>
      </w:r>
      <w:r>
        <w:rPr>
          <w:rFonts w:hint="eastAsia" w:ascii="宋体" w:hAnsi="宋体" w:eastAsia="宋体" w:cs="宋体"/>
          <w:sz w:val="24"/>
          <w:szCs w:val="24"/>
          <w:highlight w:val="none"/>
          <w:u w:val="single"/>
        </w:rPr>
        <w:t>（单位名称）</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rPr>
        <w:t>采购活动，工程的施工单位全部为符合政策要求的中小企业。具体情况如下：</w:t>
      </w:r>
    </w:p>
    <w:p>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（采购文件中明确的所属行业）</w:t>
      </w:r>
      <w:r>
        <w:rPr>
          <w:rFonts w:hint="eastAsia" w:ascii="宋体" w:hAnsi="宋体" w:eastAsia="宋体" w:cs="宋体"/>
          <w:sz w:val="24"/>
          <w:szCs w:val="24"/>
          <w:highlight w:val="none"/>
        </w:rPr>
        <w:t>；承建企业为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rPr>
        <w:t>；</w:t>
      </w:r>
    </w:p>
    <w:p>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w:t>
      </w:r>
    </w:p>
    <w:p>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本企业对上述声明内容的真实性负责。如有虚假，将依法承担相应责任。</w:t>
      </w:r>
    </w:p>
    <w:p>
      <w:pPr>
        <w:pageBreakBefore w:val="0"/>
        <w:kinsoku/>
        <w:wordWrap/>
        <w:overflowPunct/>
        <w:topLinePunct w:val="0"/>
        <w:autoSpaceDE/>
        <w:autoSpaceDN/>
        <w:bidi w:val="0"/>
        <w:spacing w:line="560" w:lineRule="exact"/>
        <w:ind w:firstLine="5520" w:firstLineChars="2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企业名称（盖章）： </w:t>
      </w:r>
    </w:p>
    <w:p>
      <w:pPr>
        <w:pageBreakBefore w:val="0"/>
        <w:kinsoku/>
        <w:wordWrap/>
        <w:overflowPunct/>
        <w:topLinePunct w:val="0"/>
        <w:autoSpaceDE/>
        <w:autoSpaceDN/>
        <w:bidi w:val="0"/>
        <w:spacing w:line="560" w:lineRule="exact"/>
        <w:ind w:firstLine="5520" w:firstLineChars="2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pPr>
        <w:pStyle w:val="12"/>
        <w:rPr>
          <w:rFonts w:hint="eastAsia"/>
        </w:rPr>
      </w:pPr>
    </w:p>
    <w:p>
      <w:pPr>
        <w:pageBreakBefore w:val="0"/>
        <w:kinsoku/>
        <w:wordWrap/>
        <w:overflowPunct/>
        <w:topLinePunct w:val="0"/>
        <w:autoSpaceDE/>
        <w:autoSpaceDN/>
        <w:bidi w:val="0"/>
        <w:spacing w:line="56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注：</w:t>
      </w:r>
      <w:bookmarkStart w:id="346" w:name="_Hlk17733178"/>
      <w:r>
        <w:rPr>
          <w:rFonts w:hint="eastAsia" w:ascii="宋体" w:hAnsi="宋体" w:eastAsia="宋体" w:cs="宋体"/>
          <w:b/>
          <w:sz w:val="24"/>
          <w:highlight w:val="none"/>
          <w:lang w:val="en-US" w:eastAsia="zh-CN"/>
        </w:rPr>
        <w:t>1.</w:t>
      </w:r>
      <w:r>
        <w:rPr>
          <w:rFonts w:hint="eastAsia" w:ascii="宋体" w:hAnsi="宋体" w:eastAsia="宋体" w:cs="宋体"/>
          <w:b/>
          <w:sz w:val="24"/>
          <w:highlight w:val="none"/>
          <w:lang w:eastAsia="zh-CN"/>
        </w:rPr>
        <w:t>供应商</w:t>
      </w:r>
      <w:r>
        <w:rPr>
          <w:rFonts w:hint="eastAsia" w:ascii="宋体" w:hAnsi="宋体" w:eastAsia="宋体" w:cs="宋体"/>
          <w:b/>
          <w:sz w:val="24"/>
          <w:highlight w:val="none"/>
        </w:rPr>
        <w:t>提供《中小企业声明函》的需保证其真实性，如经查实存在虚假证明的情况，由</w:t>
      </w:r>
      <w:r>
        <w:rPr>
          <w:rFonts w:hint="eastAsia" w:ascii="宋体" w:hAnsi="宋体" w:eastAsia="宋体" w:cs="宋体"/>
          <w:b/>
          <w:sz w:val="24"/>
          <w:highlight w:val="none"/>
          <w:lang w:eastAsia="zh-CN"/>
        </w:rPr>
        <w:t>供应商</w:t>
      </w:r>
      <w:r>
        <w:rPr>
          <w:rFonts w:hint="eastAsia" w:ascii="宋体" w:hAnsi="宋体" w:eastAsia="宋体" w:cs="宋体"/>
          <w:b/>
          <w:sz w:val="24"/>
          <w:highlight w:val="none"/>
        </w:rPr>
        <w:t>自行承担相应不良影响及法律责任。</w:t>
      </w:r>
    </w:p>
    <w:p>
      <w:pPr>
        <w:pageBreakBefore w:val="0"/>
        <w:kinsoku/>
        <w:wordWrap/>
        <w:overflowPunct/>
        <w:topLinePunct w:val="0"/>
        <w:autoSpaceDE/>
        <w:autoSpaceDN/>
        <w:bidi w:val="0"/>
        <w:spacing w:line="560" w:lineRule="exact"/>
        <w:ind w:firstLine="482" w:firstLineChars="200"/>
        <w:textAlignment w:val="auto"/>
        <w:rPr>
          <w:rFonts w:hint="default" w:ascii="宋体" w:hAnsi="宋体" w:eastAsia="宋体" w:cs="宋体"/>
          <w:b/>
          <w:sz w:val="24"/>
          <w:highlight w:val="none"/>
          <w:lang w:val="en-US" w:eastAsia="zh-CN"/>
        </w:rPr>
      </w:pPr>
      <w:r>
        <w:rPr>
          <w:rFonts w:hint="eastAsia" w:ascii="宋体" w:hAnsi="宋体" w:eastAsia="宋体" w:cs="宋体"/>
          <w:b/>
          <w:sz w:val="24"/>
          <w:highlight w:val="none"/>
          <w:lang w:val="en-US" w:eastAsia="zh-CN"/>
        </w:rPr>
        <w:t>2.人业人员、营业收入、资产总额填报上一年度数据。</w:t>
      </w:r>
    </w:p>
    <w:bookmarkEnd w:id="346"/>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
          <w:sz w:val="32"/>
          <w:szCs w:val="22"/>
        </w:rPr>
      </w:pPr>
    </w:p>
    <w:p>
      <w:pPr>
        <w:pStyle w:val="14"/>
        <w:jc w:val="center"/>
        <w:rPr>
          <w:rFonts w:hint="eastAsia" w:ascii="宋体" w:hAnsi="宋体" w:cs="宋体"/>
          <w:bCs/>
          <w:sz w:val="32"/>
          <w:szCs w:val="32"/>
          <w:lang w:val="en-US" w:eastAsia="zh-CN"/>
        </w:rPr>
      </w:pPr>
      <w:r>
        <w:rPr>
          <w:rFonts w:hint="eastAsia" w:ascii="宋体" w:hAnsi="宋体" w:cs="宋体"/>
          <w:b/>
          <w:sz w:val="32"/>
          <w:szCs w:val="22"/>
        </w:rPr>
        <w:t>四、响应方案</w:t>
      </w:r>
    </w:p>
    <w:p>
      <w:pPr>
        <w:pStyle w:val="39"/>
      </w:pPr>
    </w:p>
    <w:p>
      <w:pPr>
        <w:adjustRightInd w:val="0"/>
        <w:spacing w:line="360" w:lineRule="auto"/>
        <w:ind w:firstLine="480" w:firstLineChars="200"/>
        <w:textAlignment w:val="baseline"/>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提供详细的服务方案与措施</w:t>
      </w:r>
      <w:r>
        <w:rPr>
          <w:rFonts w:hint="eastAsia" w:ascii="宋体" w:hAnsi="宋体"/>
          <w:color w:val="auto"/>
          <w:sz w:val="24"/>
        </w:rPr>
        <w:t>。</w:t>
      </w:r>
    </w:p>
    <w:p>
      <w:pPr>
        <w:pStyle w:val="7"/>
      </w:pPr>
    </w:p>
    <w:p>
      <w:pPr>
        <w:spacing w:line="360" w:lineRule="auto"/>
        <w:ind w:right="-161" w:firstLine="2640" w:firstLineChars="1100"/>
        <w:rPr>
          <w:rFonts w:hint="eastAsia" w:ascii="宋体" w:hAnsi="宋体" w:eastAsia="宋体" w:cs="宋体"/>
          <w:sz w:val="24"/>
          <w:lang w:eastAsia="zh-CN"/>
        </w:rPr>
      </w:pPr>
      <w:r>
        <w:rPr>
          <w:rFonts w:hint="eastAsia" w:ascii="宋体" w:hAnsi="宋体" w:cs="宋体"/>
          <w:color w:val="auto"/>
          <w:sz w:val="24"/>
          <w:szCs w:val="24"/>
          <w:lang w:eastAsia="zh-CN"/>
        </w:rPr>
        <w:t>自拟</w:t>
      </w:r>
    </w:p>
    <w:p>
      <w:pPr>
        <w:spacing w:line="360" w:lineRule="auto"/>
        <w:ind w:right="-161" w:firstLine="2640" w:firstLineChars="1100"/>
        <w:rPr>
          <w:rFonts w:hint="eastAsia" w:ascii="宋体" w:hAnsi="宋体" w:cs="宋体"/>
          <w:sz w:val="24"/>
        </w:rPr>
      </w:pPr>
    </w:p>
    <w:p>
      <w:pPr>
        <w:spacing w:line="360" w:lineRule="auto"/>
        <w:ind w:right="-161" w:firstLine="2640" w:firstLineChars="1100"/>
        <w:rPr>
          <w:rFonts w:hint="eastAsia" w:ascii="宋体" w:hAnsi="宋体" w:cs="宋体"/>
          <w:sz w:val="24"/>
        </w:rPr>
      </w:pPr>
    </w:p>
    <w:p>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38"/>
    <w:bookmarkEnd w:id="339"/>
    <w:bookmarkEnd w:id="340"/>
    <w:bookmarkEnd w:id="341"/>
    <w:bookmarkEnd w:id="342"/>
    <w:bookmarkEnd w:id="343"/>
    <w:bookmarkEnd w:id="344"/>
    <w:p>
      <w:pPr>
        <w:pStyle w:val="9"/>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1"/>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ascii="宋体" w:hAnsi="宋体" w:cs="宋体"/>
                <w:color w:val="000000"/>
                <w:sz w:val="24"/>
              </w:rPr>
            </w:pPr>
          </w:p>
        </w:tc>
        <w:tc>
          <w:tcPr>
            <w:tcW w:w="2931" w:type="dxa"/>
            <w:noWrap w:val="0"/>
            <w:vAlign w:val="top"/>
          </w:tcPr>
          <w:p>
            <w:pPr>
              <w:spacing w:line="360" w:lineRule="auto"/>
              <w:jc w:val="center"/>
              <w:rPr>
                <w:rFonts w:ascii="宋体" w:hAnsi="宋体" w:cs="宋体"/>
                <w:color w:val="000000"/>
                <w:sz w:val="24"/>
              </w:rPr>
            </w:pPr>
          </w:p>
        </w:tc>
        <w:tc>
          <w:tcPr>
            <w:tcW w:w="3231" w:type="dxa"/>
            <w:noWrap w:val="0"/>
            <w:vAlign w:val="top"/>
          </w:tcPr>
          <w:p>
            <w:pPr>
              <w:spacing w:line="360" w:lineRule="auto"/>
              <w:jc w:val="center"/>
              <w:rPr>
                <w:rFonts w:ascii="宋体" w:hAnsi="宋体" w:cs="宋体"/>
                <w:color w:val="000000"/>
                <w:sz w:val="24"/>
              </w:rPr>
            </w:pPr>
          </w:p>
        </w:tc>
        <w:tc>
          <w:tcPr>
            <w:tcW w:w="807" w:type="dxa"/>
            <w:noWrap w:val="0"/>
            <w:vAlign w:val="top"/>
          </w:tcPr>
          <w:p>
            <w:pPr>
              <w:spacing w:line="360" w:lineRule="auto"/>
              <w:jc w:val="center"/>
              <w:rPr>
                <w:rFonts w:ascii="宋体" w:hAnsi="宋体" w:cs="宋体"/>
                <w:color w:val="000000"/>
                <w:sz w:val="24"/>
              </w:rPr>
            </w:pPr>
          </w:p>
        </w:tc>
        <w:tc>
          <w:tcPr>
            <w:tcW w:w="1072" w:type="dxa"/>
            <w:noWrap w:val="0"/>
            <w:vAlign w:val="top"/>
          </w:tcPr>
          <w:p>
            <w:pPr>
              <w:spacing w:line="360" w:lineRule="auto"/>
              <w:jc w:val="center"/>
              <w:rPr>
                <w:rFonts w:ascii="宋体" w:hAnsi="宋体" w:cs="宋体"/>
                <w:color w:val="000000"/>
                <w:sz w:val="24"/>
              </w:rPr>
            </w:pPr>
          </w:p>
        </w:tc>
      </w:tr>
    </w:tbl>
    <w:p>
      <w:pPr>
        <w:spacing w:line="360" w:lineRule="auto"/>
        <w:ind w:right="-161"/>
        <w:rPr>
          <w:rFonts w:ascii="宋体" w:hAnsi="宋体" w:cs="宋体"/>
          <w:color w:val="000000"/>
          <w:sz w:val="24"/>
        </w:rPr>
      </w:pPr>
      <w:r>
        <w:rPr>
          <w:rFonts w:hint="eastAsia" w:ascii="宋体" w:hAnsi="宋体" w:cs="宋体"/>
          <w:color w:val="000000"/>
          <w:sz w:val="24"/>
        </w:rPr>
        <w:t>说明：</w:t>
      </w:r>
    </w:p>
    <w:p>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pPr>
        <w:spacing w:line="360" w:lineRule="auto"/>
        <w:ind w:right="-161" w:firstLine="2640" w:firstLineChars="1100"/>
        <w:rPr>
          <w:rFonts w:ascii="宋体" w:hAnsi="宋体" w:cs="宋体"/>
          <w:color w:val="000000"/>
          <w:sz w:val="24"/>
          <w:szCs w:val="24"/>
        </w:rPr>
      </w:pPr>
    </w:p>
    <w:p>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47" w:name="_Toc311415661"/>
      <w:bookmarkStart w:id="348" w:name="_Toc347478750"/>
      <w:bookmarkStart w:id="349" w:name="_Toc334522295"/>
      <w:bookmarkStart w:id="350" w:name="_Toc312789407"/>
      <w:bookmarkStart w:id="351" w:name="_Toc283240500"/>
    </w:p>
    <w:bookmarkEnd w:id="347"/>
    <w:bookmarkEnd w:id="348"/>
    <w:bookmarkEnd w:id="349"/>
    <w:bookmarkEnd w:id="350"/>
    <w:bookmarkEnd w:id="351"/>
    <w:p>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52" w:name="_Hlt491765868"/>
      <w:bookmarkEnd w:id="352"/>
      <w:bookmarkStart w:id="353" w:name="_Hlt491765944"/>
      <w:bookmarkEnd w:id="353"/>
      <w:bookmarkStart w:id="354" w:name="_Hlt491572882"/>
      <w:bookmarkEnd w:id="354"/>
      <w:bookmarkStart w:id="355" w:name="_Hlt491573425"/>
      <w:bookmarkEnd w:id="355"/>
      <w:bookmarkStart w:id="356" w:name="_Hlt491766019"/>
      <w:bookmarkEnd w:id="356"/>
      <w:bookmarkStart w:id="357" w:name="_Toc17542"/>
      <w:bookmarkStart w:id="358" w:name="_Toc10670"/>
      <w:bookmarkStart w:id="359" w:name="_Toc12278"/>
      <w:bookmarkStart w:id="360" w:name="_Toc19031"/>
      <w:bookmarkStart w:id="361" w:name="_Toc14838"/>
      <w:bookmarkStart w:id="362" w:name="_Toc354655332"/>
      <w:bookmarkStart w:id="363" w:name="_Toc32070"/>
      <w:bookmarkStart w:id="364" w:name="_Toc465958135"/>
      <w:bookmarkStart w:id="365" w:name="_Toc389620250"/>
      <w:bookmarkStart w:id="366" w:name="_Toc385992410"/>
    </w:p>
    <w:p>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六</w:t>
      </w:r>
      <w:r>
        <w:rPr>
          <w:rFonts w:hint="eastAsia" w:ascii="宋体" w:hAnsi="宋体" w:eastAsia="宋体" w:cs="宋体"/>
          <w:color w:val="000000"/>
          <w:szCs w:val="22"/>
        </w:rPr>
        <w:t>、法定代表人证明书及法定代表人授权委托书</w:t>
      </w:r>
    </w:p>
    <w:p>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.1法定代表人证明书</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pPr>
              <w:tabs>
                <w:tab w:val="left" w:pos="210"/>
              </w:tabs>
              <w:spacing w:line="320" w:lineRule="exact"/>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eastAsia="zh-CN"/>
              </w:rPr>
              <w:t>榆林市恒易达工程项目管理有限公司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pPr>
              <w:tabs>
                <w:tab w:val="left" w:pos="210"/>
              </w:tabs>
              <w:spacing w:line="320" w:lineRule="exact"/>
              <w:jc w:val="center"/>
              <w:rPr>
                <w:rFonts w:ascii="宋体" w:hAnsi="宋体" w:cs="Arial"/>
                <w:color w:val="000000"/>
                <w:kern w:val="0"/>
                <w:sz w:val="24"/>
              </w:rPr>
            </w:pPr>
          </w:p>
        </w:tc>
        <w:tc>
          <w:tcPr>
            <w:tcW w:w="2203"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pPr>
              <w:tabs>
                <w:tab w:val="left" w:pos="210"/>
              </w:tabs>
              <w:spacing w:line="320" w:lineRule="exact"/>
              <w:jc w:val="center"/>
              <w:rPr>
                <w:rFonts w:ascii="宋体" w:hAnsi="宋体" w:cs="Arial"/>
                <w:color w:val="000000"/>
                <w:kern w:val="0"/>
                <w:sz w:val="24"/>
              </w:rPr>
            </w:pPr>
          </w:p>
        </w:tc>
        <w:tc>
          <w:tcPr>
            <w:tcW w:w="2203"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pPr>
              <w:tabs>
                <w:tab w:val="left" w:pos="210"/>
              </w:tabs>
              <w:spacing w:line="320" w:lineRule="exact"/>
              <w:jc w:val="center"/>
              <w:rPr>
                <w:rFonts w:ascii="宋体" w:hAnsi="宋体" w:cs="Arial"/>
                <w:color w:val="000000"/>
                <w:kern w:val="0"/>
                <w:sz w:val="24"/>
              </w:rPr>
            </w:pPr>
          </w:p>
        </w:tc>
        <w:tc>
          <w:tcPr>
            <w:tcW w:w="2207" w:type="dxa"/>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pPr>
              <w:tabs>
                <w:tab w:val="left" w:pos="210"/>
              </w:tabs>
              <w:spacing w:line="320" w:lineRule="exact"/>
              <w:jc w:val="center"/>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center"/>
              <w:rPr>
                <w:rFonts w:ascii="宋体" w:hAnsi="宋体" w:cs="Arial"/>
                <w:color w:val="000000"/>
                <w:kern w:val="0"/>
                <w:sz w:val="24"/>
              </w:rPr>
            </w:pPr>
          </w:p>
          <w:p>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pPr>
        <w:pStyle w:val="3"/>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.2法定代表人授权委托书</w:t>
      </w:r>
    </w:p>
    <w:p>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67" w:name="_Toc26509"/>
      <w:bookmarkStart w:id="368" w:name="_Toc12419"/>
      <w:bookmarkStart w:id="369" w:name="_Toc17538"/>
      <w:bookmarkStart w:id="370" w:name="_Toc3685"/>
      <w:r>
        <w:rPr>
          <w:rFonts w:hint="eastAsia" w:ascii="宋体" w:hAnsi="宋体" w:cs="宋体"/>
          <w:color w:val="000000"/>
          <w:sz w:val="24"/>
          <w:szCs w:val="24"/>
        </w:rPr>
        <w:t>附：法定代表人、被授权人身份证复印件。（注：如使用二代身份证需复印正、反两面）</w:t>
      </w:r>
      <w:bookmarkEnd w:id="367"/>
      <w:bookmarkEnd w:id="368"/>
      <w:bookmarkEnd w:id="369"/>
      <w:bookmarkEnd w:id="370"/>
    </w:p>
    <w:tbl>
      <w:tblPr>
        <w:tblStyle w:val="21"/>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000000"/>
                <w:sz w:val="24"/>
                <w:szCs w:val="24"/>
              </w:rPr>
            </w:pPr>
          </w:p>
          <w:p>
            <w:pPr>
              <w:spacing w:line="360" w:lineRule="auto"/>
              <w:jc w:val="center"/>
              <w:outlineLvl w:val="0"/>
              <w:rPr>
                <w:rFonts w:ascii="宋体" w:hAnsi="宋体" w:cs="宋体"/>
                <w:color w:val="000000"/>
                <w:sz w:val="24"/>
                <w:szCs w:val="24"/>
              </w:rPr>
            </w:pPr>
            <w:bookmarkStart w:id="371" w:name="_Toc5583"/>
            <w:bookmarkStart w:id="372" w:name="_Toc12606"/>
            <w:bookmarkStart w:id="373" w:name="_Toc3175"/>
            <w:bookmarkStart w:id="374" w:name="_Toc19741"/>
            <w:r>
              <w:rPr>
                <w:rFonts w:hint="eastAsia" w:ascii="宋体" w:hAnsi="宋体" w:cs="宋体"/>
                <w:color w:val="000000"/>
                <w:sz w:val="24"/>
                <w:szCs w:val="24"/>
              </w:rPr>
              <w:t>法定代表人身份证复印件</w:t>
            </w:r>
            <w:bookmarkEnd w:id="371"/>
            <w:bookmarkEnd w:id="372"/>
            <w:bookmarkEnd w:id="373"/>
            <w:bookmarkEnd w:id="374"/>
          </w:p>
          <w:p>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pPr>
              <w:spacing w:line="360" w:lineRule="auto"/>
              <w:jc w:val="center"/>
              <w:outlineLvl w:val="0"/>
              <w:rPr>
                <w:rFonts w:ascii="宋体" w:hAnsi="宋体" w:cs="宋体"/>
                <w:color w:val="000000"/>
                <w:sz w:val="24"/>
                <w:szCs w:val="24"/>
              </w:rPr>
            </w:pPr>
            <w:bookmarkStart w:id="375" w:name="_Toc28825"/>
            <w:bookmarkStart w:id="376" w:name="_Toc31188"/>
            <w:bookmarkStart w:id="377" w:name="_Toc14341"/>
            <w:bookmarkStart w:id="378" w:name="_Toc2151"/>
            <w:r>
              <w:rPr>
                <w:rFonts w:hint="eastAsia" w:ascii="宋体" w:hAnsi="宋体" w:cs="宋体"/>
                <w:color w:val="000000"/>
                <w:sz w:val="24"/>
                <w:szCs w:val="24"/>
              </w:rPr>
              <w:t>被授权人身份证复印件</w:t>
            </w:r>
            <w:bookmarkEnd w:id="375"/>
            <w:bookmarkEnd w:id="376"/>
            <w:bookmarkEnd w:id="377"/>
            <w:bookmarkEnd w:id="378"/>
          </w:p>
          <w:p>
            <w:pPr>
              <w:spacing w:line="360" w:lineRule="auto"/>
              <w:jc w:val="center"/>
              <w:outlineLvl w:val="0"/>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ascii="宋体" w:hAnsi="宋体" w:cs="宋体"/>
                <w:color w:val="000000"/>
                <w:sz w:val="24"/>
                <w:szCs w:val="24"/>
              </w:rPr>
            </w:pPr>
            <w:bookmarkStart w:id="379" w:name="_Toc28695"/>
            <w:bookmarkStart w:id="380" w:name="_Toc12477"/>
            <w:bookmarkStart w:id="381" w:name="_Toc28549"/>
            <w:bookmarkStart w:id="382" w:name="_Toc14312"/>
            <w:r>
              <w:rPr>
                <w:rFonts w:hint="eastAsia" w:ascii="宋体" w:hAnsi="宋体" w:cs="宋体"/>
                <w:color w:val="000000"/>
                <w:sz w:val="24"/>
                <w:szCs w:val="24"/>
              </w:rPr>
              <w:t>法定代表人身份证复印件</w:t>
            </w:r>
            <w:bookmarkEnd w:id="379"/>
            <w:bookmarkEnd w:id="380"/>
            <w:bookmarkEnd w:id="381"/>
            <w:bookmarkEnd w:id="382"/>
          </w:p>
          <w:p>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pPr>
              <w:spacing w:line="360" w:lineRule="auto"/>
              <w:jc w:val="center"/>
              <w:outlineLvl w:val="0"/>
              <w:rPr>
                <w:rFonts w:ascii="宋体" w:hAnsi="宋体" w:cs="宋体"/>
                <w:color w:val="000000"/>
                <w:sz w:val="24"/>
                <w:szCs w:val="24"/>
              </w:rPr>
            </w:pPr>
            <w:bookmarkStart w:id="383" w:name="_Toc17968"/>
            <w:bookmarkStart w:id="384" w:name="_Toc17870"/>
            <w:bookmarkStart w:id="385" w:name="_Toc5386"/>
            <w:bookmarkStart w:id="386" w:name="_Toc7697"/>
            <w:r>
              <w:rPr>
                <w:rFonts w:hint="eastAsia" w:ascii="宋体" w:hAnsi="宋体" w:cs="宋体"/>
                <w:color w:val="000000"/>
                <w:sz w:val="24"/>
                <w:szCs w:val="24"/>
              </w:rPr>
              <w:t>被授权人身份证复印件</w:t>
            </w:r>
            <w:bookmarkEnd w:id="383"/>
            <w:bookmarkEnd w:id="384"/>
            <w:bookmarkEnd w:id="385"/>
            <w:bookmarkEnd w:id="386"/>
          </w:p>
          <w:p>
            <w:pPr>
              <w:spacing w:line="360" w:lineRule="auto"/>
              <w:jc w:val="center"/>
              <w:outlineLvl w:val="0"/>
              <w:rPr>
                <w:rFonts w:ascii="宋体" w:hAnsi="宋体" w:cs="宋体"/>
                <w:color w:val="000000"/>
                <w:sz w:val="24"/>
                <w:szCs w:val="24"/>
              </w:rPr>
            </w:pPr>
          </w:p>
        </w:tc>
      </w:tr>
    </w:tbl>
    <w:p>
      <w:pPr>
        <w:spacing w:line="360" w:lineRule="auto"/>
        <w:ind w:firstLine="3360" w:firstLineChars="1400"/>
        <w:rPr>
          <w:rFonts w:hint="eastAsia" w:ascii="宋体" w:hAnsi="宋体" w:cs="宋体"/>
          <w:color w:val="000000"/>
          <w:sz w:val="24"/>
          <w:szCs w:val="24"/>
        </w:rPr>
      </w:pPr>
    </w:p>
    <w:p>
      <w:pPr>
        <w:spacing w:line="360" w:lineRule="auto"/>
        <w:ind w:firstLine="3360" w:firstLineChars="1400"/>
        <w:rPr>
          <w:rFonts w:hint="eastAsia" w:ascii="宋体" w:hAnsi="宋体" w:cs="宋体"/>
          <w:color w:val="000000"/>
          <w:sz w:val="24"/>
          <w:szCs w:val="24"/>
        </w:rPr>
      </w:pPr>
    </w:p>
    <w:p>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57"/>
    <w:bookmarkEnd w:id="358"/>
    <w:bookmarkEnd w:id="359"/>
    <w:bookmarkEnd w:id="360"/>
    <w:bookmarkEnd w:id="361"/>
    <w:bookmarkEnd w:id="362"/>
    <w:bookmarkEnd w:id="363"/>
    <w:bookmarkEnd w:id="364"/>
    <w:p>
      <w:pPr>
        <w:pStyle w:val="11"/>
        <w:spacing w:line="360" w:lineRule="auto"/>
        <w:rPr>
          <w:rFonts w:hint="default" w:ascii="Times New Roman" w:hAnsi="Times New Roman"/>
        </w:rPr>
      </w:pPr>
      <w:bookmarkStart w:id="387" w:name="_Toc26762"/>
      <w:bookmarkStart w:id="388" w:name="_Toc465958138"/>
      <w:bookmarkStart w:id="389" w:name="_Toc246928973"/>
    </w:p>
    <w:bookmarkEnd w:id="365"/>
    <w:bookmarkEnd w:id="366"/>
    <w:bookmarkEnd w:id="387"/>
    <w:bookmarkEnd w:id="388"/>
    <w:bookmarkEnd w:id="389"/>
    <w:p>
      <w:pPr>
        <w:pStyle w:val="2"/>
        <w:numPr>
          <w:ilvl w:val="0"/>
          <w:numId w:val="0"/>
        </w:numPr>
        <w:spacing w:line="240" w:lineRule="auto"/>
        <w:jc w:val="center"/>
        <w:rPr>
          <w:rFonts w:hint="eastAsia" w:ascii="宋体" w:hAnsi="宋体" w:cs="宋体"/>
          <w:bCs w:val="0"/>
          <w:sz w:val="32"/>
          <w:szCs w:val="32"/>
        </w:rPr>
      </w:pPr>
      <w:bookmarkStart w:id="390" w:name="_Toc25170"/>
      <w:bookmarkStart w:id="391" w:name="_Toc31861"/>
      <w:bookmarkStart w:id="392" w:name="_Hlk17733230"/>
      <w:r>
        <w:rPr>
          <w:rFonts w:hint="eastAsia" w:ascii="宋体" w:hAnsi="宋体" w:cs="宋体"/>
          <w:bCs w:val="0"/>
          <w:sz w:val="32"/>
          <w:szCs w:val="32"/>
          <w:lang w:val="en-US" w:eastAsia="zh-CN"/>
        </w:rPr>
        <w:t>七、</w:t>
      </w:r>
      <w:r>
        <w:rPr>
          <w:rFonts w:hint="eastAsia" w:ascii="宋体" w:hAnsi="宋体" w:cs="宋体"/>
          <w:bCs w:val="0"/>
          <w:sz w:val="32"/>
          <w:szCs w:val="32"/>
        </w:rPr>
        <w:t>信用中国陕西榆林承诺申报截图</w:t>
      </w:r>
      <w:bookmarkEnd w:id="390"/>
      <w:bookmarkEnd w:id="391"/>
    </w:p>
    <w:p>
      <w:pPr>
        <w:widowControl w:val="0"/>
        <w:numPr>
          <w:ilvl w:val="0"/>
          <w:numId w:val="0"/>
        </w:numPr>
        <w:jc w:val="both"/>
        <w:rPr>
          <w:rFonts w:hint="eastAsia"/>
        </w:rPr>
      </w:pPr>
    </w:p>
    <w:p>
      <w:pPr>
        <w:pStyle w:val="163"/>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92"/>
    <w:p>
      <w:pPr>
        <w:spacing w:line="360" w:lineRule="auto"/>
        <w:jc w:val="center"/>
        <w:rPr>
          <w:rFonts w:hint="eastAsia" w:ascii="宋体" w:hAnsi="宋体" w:cs="宋体"/>
          <w:b/>
          <w:bCs/>
          <w:color w:val="auto"/>
          <w:sz w:val="32"/>
          <w:szCs w:val="32"/>
        </w:rPr>
      </w:pPr>
      <w:r>
        <w:rPr>
          <w:rFonts w:hint="eastAsia"/>
          <w:b/>
          <w:bCs/>
          <w:sz w:val="28"/>
          <w:szCs w:val="28"/>
        </w:rPr>
        <w:t>（投标人须在开标前将附件1、附件2、附件3按时上传至信用中国（陕西榆林）进行公示，并将上传后的截图附在投标文件中。）</w:t>
      </w:r>
    </w:p>
    <w:p>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p>
    <w:p>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pPr>
        <w:pStyle w:val="9"/>
        <w:rPr>
          <w:color w:val="auto"/>
        </w:rPr>
      </w:pPr>
    </w:p>
    <w:p>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pPr>
        <w:adjustRightInd w:val="0"/>
        <w:snapToGrid w:val="0"/>
        <w:spacing w:line="480" w:lineRule="auto"/>
        <w:jc w:val="center"/>
        <w:rPr>
          <w:rFonts w:ascii="宋体" w:cs="宋体"/>
          <w:color w:val="auto"/>
          <w:kern w:val="0"/>
          <w:sz w:val="24"/>
        </w:rPr>
      </w:pPr>
    </w:p>
    <w:p>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pPr>
        <w:spacing w:line="480" w:lineRule="auto"/>
        <w:ind w:right="-2"/>
        <w:jc w:val="center"/>
        <w:rPr>
          <w:rFonts w:hint="eastAsia" w:ascii="宋体" w:hAnsi="宋体" w:cs="宋体"/>
          <w:b/>
          <w:bCs/>
          <w:color w:val="auto"/>
          <w:sz w:val="32"/>
          <w:szCs w:val="32"/>
        </w:rPr>
        <w:sectPr>
          <w:footerReference r:id="rId13" w:type="default"/>
          <w:pgSz w:w="11906" w:h="16838"/>
          <w:pgMar w:top="1219" w:right="1803" w:bottom="1219" w:left="1803" w:header="850" w:footer="992" w:gutter="0"/>
          <w:pgNumType w:fmt="decimal"/>
          <w:cols w:space="720" w:num="1"/>
          <w:rtlGutter w:val="0"/>
          <w:docGrid w:type="lines" w:linePitch="313" w:charSpace="0"/>
        </w:sectPr>
      </w:pPr>
    </w:p>
    <w:p>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pPr>
        <w:widowControl/>
        <w:spacing w:line="320" w:lineRule="exact"/>
        <w:ind w:firstLine="482"/>
        <w:jc w:val="left"/>
        <w:rPr>
          <w:rFonts w:ascii="宋体" w:hAnsi="宋体" w:cs="宋体"/>
          <w:color w:val="auto"/>
          <w:kern w:val="0"/>
          <w:sz w:val="24"/>
        </w:rPr>
      </w:pPr>
    </w:p>
    <w:p>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pPr>
        <w:widowControl/>
        <w:spacing w:line="320" w:lineRule="exact"/>
        <w:ind w:firstLine="482"/>
        <w:jc w:val="left"/>
        <w:rPr>
          <w:rFonts w:ascii="宋体" w:hAnsi="宋体" w:cs="宋体"/>
          <w:color w:val="auto"/>
          <w:kern w:val="0"/>
          <w:sz w:val="24"/>
        </w:rPr>
      </w:pPr>
    </w:p>
    <w:p>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pPr>
        <w:widowControl/>
        <w:spacing w:line="320" w:lineRule="exact"/>
        <w:ind w:firstLine="482"/>
        <w:jc w:val="left"/>
        <w:rPr>
          <w:rFonts w:ascii="宋体" w:hAnsi="宋体" w:cs="宋体"/>
          <w:color w:val="auto"/>
          <w:kern w:val="0"/>
          <w:sz w:val="24"/>
        </w:rPr>
      </w:pPr>
    </w:p>
    <w:p>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pPr>
        <w:widowControl/>
        <w:spacing w:line="320" w:lineRule="exact"/>
        <w:ind w:firstLine="482"/>
        <w:jc w:val="left"/>
        <w:rPr>
          <w:rFonts w:ascii="宋体" w:hAnsi="宋体" w:cs="宋体"/>
          <w:color w:val="auto"/>
          <w:kern w:val="0"/>
          <w:sz w:val="24"/>
          <w:u w:val="single"/>
        </w:rPr>
      </w:pPr>
    </w:p>
    <w:p>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项目标段：</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pPr>
        <w:widowControl/>
        <w:adjustRightInd w:val="0"/>
        <w:snapToGrid w:val="0"/>
        <w:spacing w:line="540" w:lineRule="exact"/>
        <w:ind w:firstLine="480" w:firstLineChars="200"/>
        <w:jc w:val="left"/>
        <w:rPr>
          <w:rFonts w:ascii="宋体" w:hAnsi="宋体" w:cs="宋体"/>
          <w:color w:val="auto"/>
          <w:kern w:val="0"/>
          <w:sz w:val="24"/>
        </w:rPr>
      </w:pPr>
    </w:p>
    <w:p>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pPr>
        <w:adjustRightInd w:val="0"/>
        <w:snapToGrid w:val="0"/>
        <w:spacing w:line="500" w:lineRule="exact"/>
        <w:rPr>
          <w:rFonts w:ascii="宋体" w:hAnsi="宋体" w:cs="宋体"/>
          <w:b/>
          <w:color w:val="auto"/>
          <w:kern w:val="0"/>
          <w:sz w:val="24"/>
        </w:rPr>
      </w:pPr>
    </w:p>
    <w:p>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pPr>
        <w:pStyle w:val="3"/>
        <w:spacing w:line="240" w:lineRule="auto"/>
        <w:jc w:val="center"/>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p>
      <w:pPr>
        <w:shd w:val="clear" w:color="auto" w:fill="auto"/>
        <w:spacing w:line="360" w:lineRule="auto"/>
        <w:jc w:val="both"/>
        <w:rPr>
          <w:rFonts w:hint="eastAsia" w:ascii="宋体" w:hAnsi="宋体" w:eastAsia="宋体" w:cs="宋体"/>
          <w:b/>
          <w:bCs/>
          <w:color w:val="auto"/>
          <w:sz w:val="24"/>
          <w:szCs w:val="22"/>
          <w:highlight w:val="none"/>
        </w:rPr>
      </w:pPr>
    </w:p>
    <w:p>
      <w:pPr>
        <w:shd w:val="clear" w:color="auto" w:fill="auto"/>
        <w:spacing w:line="360" w:lineRule="auto"/>
        <w:jc w:val="both"/>
        <w:rPr>
          <w:rFonts w:hint="eastAsia" w:ascii="宋体" w:hAnsi="宋体" w:eastAsia="宋体" w:cs="宋体"/>
          <w:b/>
          <w:bCs/>
          <w:color w:val="auto"/>
          <w:sz w:val="24"/>
          <w:szCs w:val="22"/>
          <w:highlight w:val="none"/>
        </w:rPr>
      </w:pPr>
    </w:p>
    <w:p>
      <w:pPr>
        <w:shd w:val="clear" w:color="auto" w:fill="auto"/>
        <w:spacing w:line="360" w:lineRule="auto"/>
        <w:jc w:val="both"/>
        <w:rPr>
          <w:rFonts w:hint="eastAsia" w:ascii="宋体" w:hAnsi="宋体" w:eastAsia="宋体" w:cs="宋体"/>
          <w:b/>
          <w:bCs/>
          <w:color w:val="auto"/>
          <w:sz w:val="24"/>
          <w:szCs w:val="22"/>
          <w:highlight w:val="none"/>
        </w:rPr>
      </w:pPr>
    </w:p>
    <w:p>
      <w:pPr>
        <w:shd w:val="clear" w:color="auto" w:fill="auto"/>
        <w:spacing w:line="360" w:lineRule="auto"/>
        <w:jc w:val="both"/>
        <w:rPr>
          <w:rFonts w:hint="eastAsia" w:ascii="宋体" w:hAnsi="宋体" w:eastAsia="宋体" w:cs="宋体"/>
          <w:b/>
          <w:bCs/>
          <w:color w:val="auto"/>
          <w:sz w:val="24"/>
          <w:szCs w:val="22"/>
          <w:highlight w:val="none"/>
        </w:rPr>
      </w:pPr>
    </w:p>
    <w:p>
      <w:pPr>
        <w:shd w:val="clear" w:color="auto" w:fill="auto"/>
        <w:spacing w:line="360" w:lineRule="auto"/>
        <w:jc w:val="both"/>
        <w:rPr>
          <w:rFonts w:hint="eastAsia" w:ascii="宋体" w:hAnsi="宋体" w:eastAsia="宋体" w:cs="宋体"/>
          <w:b/>
          <w:bCs/>
          <w:color w:val="auto"/>
          <w:sz w:val="24"/>
          <w:szCs w:val="22"/>
          <w:highlight w:val="none"/>
          <w:lang w:eastAsia="zh-CN"/>
        </w:rPr>
      </w:pPr>
      <w:r>
        <w:rPr>
          <w:rFonts w:hint="eastAsia" w:ascii="宋体" w:hAnsi="宋体" w:eastAsia="宋体" w:cs="宋体"/>
          <w:b/>
          <w:bCs/>
          <w:color w:val="auto"/>
          <w:sz w:val="24"/>
          <w:szCs w:val="22"/>
          <w:highlight w:val="none"/>
        </w:rPr>
        <w:t>附件：</w:t>
      </w:r>
      <w:r>
        <w:rPr>
          <w:rFonts w:hint="eastAsia" w:ascii="宋体" w:hAnsi="宋体" w:eastAsia="宋体" w:cs="宋体"/>
          <w:b/>
          <w:bCs/>
          <w:color w:val="auto"/>
          <w:sz w:val="24"/>
          <w:szCs w:val="22"/>
          <w:highlight w:val="none"/>
          <w:lang w:eastAsia="zh-CN"/>
        </w:rPr>
        <w:t>信用承诺上报操作指南</w:t>
      </w:r>
    </w:p>
    <w:p>
      <w:pPr>
        <w:bidi w:val="0"/>
      </w:pPr>
      <w:r>
        <w:drawing>
          <wp:inline distT="0" distB="0" distL="114300" distR="114300">
            <wp:extent cx="6110605" cy="3481070"/>
            <wp:effectExtent l="0" t="0" r="444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6110605" cy="3481070"/>
                    </a:xfrm>
                    <a:prstGeom prst="rect">
                      <a:avLst/>
                    </a:prstGeom>
                    <a:noFill/>
                    <a:ln>
                      <a:noFill/>
                    </a:ln>
                  </pic:spPr>
                </pic:pic>
              </a:graphicData>
            </a:graphic>
          </wp:inline>
        </w:drawing>
      </w:r>
    </w:p>
    <w:p>
      <w:pPr>
        <w:bidi w:val="0"/>
      </w:pPr>
    </w:p>
    <w:p>
      <w:pPr>
        <w:bidi w:val="0"/>
      </w:pPr>
      <w:r>
        <w:drawing>
          <wp:inline distT="0" distB="0" distL="114300" distR="114300">
            <wp:extent cx="6172200" cy="344868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977255" cy="3370580"/>
                    </a:xfrm>
                    <a:prstGeom prst="rect">
                      <a:avLst/>
                    </a:prstGeom>
                    <a:noFill/>
                    <a:ln>
                      <a:noFill/>
                    </a:ln>
                  </pic:spPr>
                </pic:pic>
              </a:graphicData>
            </a:graphic>
          </wp:inline>
        </w:drawing>
      </w:r>
    </w:p>
    <w:p>
      <w:pPr>
        <w:bidi w:val="0"/>
      </w:pPr>
    </w:p>
    <w:p>
      <w:pPr>
        <w:bidi w:val="0"/>
      </w:pPr>
      <w:r>
        <w:drawing>
          <wp:inline distT="0" distB="0" distL="114300" distR="114300">
            <wp:extent cx="5993130" cy="3397250"/>
            <wp:effectExtent l="0" t="0" r="762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6019165" cy="3403600"/>
                    </a:xfrm>
                    <a:prstGeom prst="rect">
                      <a:avLst/>
                    </a:prstGeom>
                    <a:noFill/>
                    <a:ln>
                      <a:noFill/>
                    </a:ln>
                  </pic:spPr>
                </pic:pic>
              </a:graphicData>
            </a:graphic>
          </wp:inline>
        </w:drawing>
      </w:r>
    </w:p>
    <w:p>
      <w:pPr>
        <w:bidi w:val="0"/>
      </w:pPr>
    </w:p>
    <w:p>
      <w:pPr>
        <w:bidi w:val="0"/>
      </w:pPr>
      <w:r>
        <w:drawing>
          <wp:inline distT="0" distB="0" distL="114300" distR="114300">
            <wp:extent cx="6025515" cy="3397885"/>
            <wp:effectExtent l="0" t="0" r="133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6084570" cy="3452495"/>
                    </a:xfrm>
                    <a:prstGeom prst="rect">
                      <a:avLst/>
                    </a:prstGeom>
                    <a:noFill/>
                    <a:ln>
                      <a:noFill/>
                    </a:ln>
                  </pic:spPr>
                </pic:pic>
              </a:graphicData>
            </a:graphic>
          </wp:inline>
        </w:drawing>
      </w:r>
    </w:p>
    <w:p>
      <w:pPr>
        <w:bidi w:val="0"/>
      </w:pPr>
    </w:p>
    <w:p>
      <w:pPr>
        <w:bidi w:val="0"/>
      </w:pPr>
      <w: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997575" cy="3375025"/>
                    </a:xfrm>
                    <a:prstGeom prst="rect">
                      <a:avLst/>
                    </a:prstGeom>
                    <a:noFill/>
                    <a:ln>
                      <a:noFill/>
                    </a:ln>
                  </pic:spPr>
                </pic:pic>
              </a:graphicData>
            </a:graphic>
          </wp:inline>
        </w:drawing>
      </w:r>
    </w:p>
    <w:p>
      <w:pPr>
        <w:bidi w:val="0"/>
      </w:pPr>
    </w:p>
    <w:p>
      <w:pPr>
        <w:bidi w:val="0"/>
        <w:rPr>
          <w:rFonts w:hint="eastAsia"/>
        </w:rPr>
      </w:pPr>
      <w: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6045200" cy="3409950"/>
                    </a:xfrm>
                    <a:prstGeom prst="rect">
                      <a:avLst/>
                    </a:prstGeom>
                    <a:noFill/>
                    <a:ln>
                      <a:noFill/>
                    </a:ln>
                  </pic:spPr>
                </pic:pic>
              </a:graphicData>
            </a:graphic>
          </wp:inline>
        </w:drawing>
      </w:r>
    </w:p>
    <w:p>
      <w:pPr>
        <w:keepNext w:val="0"/>
        <w:keepLines w:val="0"/>
        <w:widowControl w:val="0"/>
        <w:suppressLineNumbers w:val="0"/>
        <w:shd w:val="clear" w:color="auto" w:fill="auto"/>
        <w:spacing w:before="0" w:beforeAutospacing="0" w:after="0" w:afterAutospacing="0" w:line="300" w:lineRule="auto"/>
        <w:ind w:left="0" w:right="0" w:firstLine="420" w:firstLineChars="200"/>
        <w:jc w:val="both"/>
        <w:rPr>
          <w:rFonts w:hint="default" w:ascii="Times New Roman" w:hAnsi="Times New Roman" w:eastAsia="宋体" w:cs="Times New Roman"/>
          <w:color w:val="auto"/>
          <w:kern w:val="2"/>
          <w:sz w:val="21"/>
          <w:szCs w:val="24"/>
          <w:highlight w:val="none"/>
          <w:lang w:val="en-US" w:eastAsia="zh-CN" w:bidi="ar"/>
        </w:rPr>
      </w:pPr>
    </w:p>
    <w:p>
      <w:pPr>
        <w:pStyle w:val="15"/>
        <w:shd w:val="clear" w:color="auto" w:fill="auto"/>
        <w:rPr>
          <w:rFonts w:hint="eastAsia" w:eastAsia="宋体" w:cs="Times New Roman"/>
          <w:b/>
          <w:bCs/>
          <w:color w:val="auto"/>
          <w:highlight w:val="none"/>
        </w:rPr>
      </w:pPr>
    </w:p>
    <w:p>
      <w:pPr>
        <w:widowControl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p>
    <w:p>
      <w:pPr>
        <w:pStyle w:val="4"/>
        <w:bidi w:val="0"/>
        <w:jc w:val="center"/>
        <w:rPr>
          <w:rFonts w:hint="eastAsia" w:ascii="Times New Roman" w:hAnsi="Times New Roman" w:eastAsia="宋体" w:cs="Times New Roman"/>
          <w:b/>
        </w:rPr>
      </w:pPr>
    </w:p>
    <w:p>
      <w:pPr>
        <w:pStyle w:val="20"/>
        <w:rPr>
          <w:rFonts w:hint="eastAsia"/>
          <w:b/>
          <w:bCs/>
          <w:color w:val="auto"/>
          <w:sz w:val="32"/>
          <w:szCs w:val="32"/>
        </w:rPr>
      </w:pPr>
    </w:p>
    <w:p>
      <w:pPr>
        <w:pStyle w:val="3"/>
      </w:pPr>
    </w:p>
    <w:p/>
    <w:p>
      <w:pPr>
        <w:pStyle w:val="3"/>
      </w:pPr>
    </w:p>
    <w:p/>
    <w:sectPr>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SourceHanSansCN-Regular">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022"/>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1312;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szCs w:val="18"/>
        <w:lang w:eastAsia="zh-CN"/>
      </w:rPr>
      <w:t>榆林市恒易达工程项目管理有限公司</w:t>
    </w:r>
    <w:r>
      <w:rPr>
        <w:rFonts w:hint="eastAsia"/>
        <w:szCs w:val="18"/>
      </w:rPr>
      <w:t xml:space="preserve">                                             竞争性谈判文件</w:t>
    </w:r>
  </w:p>
  <w:p>
    <w:pPr>
      <w:pStyle w:val="16"/>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B7F60AD1"/>
    <w:multiLevelType w:val="singleLevel"/>
    <w:tmpl w:val="B7F60AD1"/>
    <w:lvl w:ilvl="0" w:tentative="0">
      <w:start w:val="1"/>
      <w:numFmt w:val="decimal"/>
      <w:suff w:val="nothing"/>
      <w:lvlText w:val="%1、"/>
      <w:lvlJc w:val="left"/>
    </w:lvl>
  </w:abstractNum>
  <w:abstractNum w:abstractNumId="3">
    <w:nsid w:val="D044AFBB"/>
    <w:multiLevelType w:val="singleLevel"/>
    <w:tmpl w:val="D044AFBB"/>
    <w:lvl w:ilvl="0" w:tentative="0">
      <w:start w:val="1"/>
      <w:numFmt w:val="decimal"/>
      <w:suff w:val="nothing"/>
      <w:lvlText w:val="%1、"/>
      <w:lvlJc w:val="left"/>
    </w:lvl>
  </w:abstractNum>
  <w:abstractNum w:abstractNumId="4">
    <w:nsid w:val="E87660C1"/>
    <w:multiLevelType w:val="singleLevel"/>
    <w:tmpl w:val="E87660C1"/>
    <w:lvl w:ilvl="0" w:tentative="0">
      <w:start w:val="2"/>
      <w:numFmt w:val="chineseCounting"/>
      <w:suff w:val="nothing"/>
      <w:lvlText w:val="%1、"/>
      <w:lvlJc w:val="left"/>
      <w:rPr>
        <w:rFonts w:hint="eastAsia"/>
      </w:rPr>
    </w:lvl>
  </w:abstractNum>
  <w:abstractNum w:abstractNumId="5">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6">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FB0796"/>
    <w:multiLevelType w:val="singleLevel"/>
    <w:tmpl w:val="59FB0796"/>
    <w:lvl w:ilvl="0" w:tentative="0">
      <w:start w:val="1"/>
      <w:numFmt w:val="decimal"/>
      <w:suff w:val="nothing"/>
      <w:lvlText w:val="%1、"/>
      <w:lvlJc w:val="left"/>
    </w:lvl>
  </w:abstractNum>
  <w:abstractNum w:abstractNumId="8">
    <w:nsid w:val="5A1F7005"/>
    <w:multiLevelType w:val="singleLevel"/>
    <w:tmpl w:val="5A1F7005"/>
    <w:lvl w:ilvl="0" w:tentative="0">
      <w:start w:val="2"/>
      <w:numFmt w:val="chineseCounting"/>
      <w:suff w:val="space"/>
      <w:lvlText w:val="第%1部分"/>
      <w:lvlJc w:val="left"/>
    </w:lvl>
  </w:abstractNum>
  <w:num w:numId="1">
    <w:abstractNumId w:val="3"/>
  </w:num>
  <w:num w:numId="2">
    <w:abstractNumId w:val="8"/>
  </w:num>
  <w:num w:numId="3">
    <w:abstractNumId w:val="6"/>
  </w:num>
  <w:num w:numId="4">
    <w:abstractNumId w:val="7"/>
  </w:num>
  <w:num w:numId="5">
    <w:abstractNumId w:val="1"/>
  </w:num>
  <w:num w:numId="6">
    <w:abstractNumId w:val="0"/>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OGE4OWVmOTcwNjQ0ZTIxNDc2YTU0NjQ2Mjg3MDYifQ=="/>
  </w:docVars>
  <w:rsids>
    <w:rsidRoot w:val="7AD2169E"/>
    <w:rsid w:val="0020796E"/>
    <w:rsid w:val="003776F8"/>
    <w:rsid w:val="00531B7A"/>
    <w:rsid w:val="008C36D4"/>
    <w:rsid w:val="008D1106"/>
    <w:rsid w:val="00DB6DE4"/>
    <w:rsid w:val="00E41943"/>
    <w:rsid w:val="01D64C2C"/>
    <w:rsid w:val="024F1E56"/>
    <w:rsid w:val="029702A0"/>
    <w:rsid w:val="03345AEF"/>
    <w:rsid w:val="03401B03"/>
    <w:rsid w:val="035C6DF3"/>
    <w:rsid w:val="04CB2483"/>
    <w:rsid w:val="05D0476C"/>
    <w:rsid w:val="06565574"/>
    <w:rsid w:val="08A27337"/>
    <w:rsid w:val="094A21A2"/>
    <w:rsid w:val="0B0B7D58"/>
    <w:rsid w:val="0B827D72"/>
    <w:rsid w:val="0BB94EEC"/>
    <w:rsid w:val="0C1A050D"/>
    <w:rsid w:val="0C361E92"/>
    <w:rsid w:val="0C5A2E51"/>
    <w:rsid w:val="0CF34650"/>
    <w:rsid w:val="0D2C67AC"/>
    <w:rsid w:val="0E550B2A"/>
    <w:rsid w:val="0ED14B39"/>
    <w:rsid w:val="0ED168E7"/>
    <w:rsid w:val="11902A8A"/>
    <w:rsid w:val="137E6912"/>
    <w:rsid w:val="13D16BF6"/>
    <w:rsid w:val="14C4231A"/>
    <w:rsid w:val="14DC5FE6"/>
    <w:rsid w:val="151E0666"/>
    <w:rsid w:val="151E288C"/>
    <w:rsid w:val="15211C4B"/>
    <w:rsid w:val="156009C5"/>
    <w:rsid w:val="156C23C2"/>
    <w:rsid w:val="17E268DE"/>
    <w:rsid w:val="18340673"/>
    <w:rsid w:val="18AC437F"/>
    <w:rsid w:val="18E11E1D"/>
    <w:rsid w:val="191044B0"/>
    <w:rsid w:val="19EC0A79"/>
    <w:rsid w:val="1A2F2313"/>
    <w:rsid w:val="1BB2744F"/>
    <w:rsid w:val="1DCD0BC2"/>
    <w:rsid w:val="1FAA11BB"/>
    <w:rsid w:val="1FD177C5"/>
    <w:rsid w:val="1FE93FAC"/>
    <w:rsid w:val="21F20BF7"/>
    <w:rsid w:val="23797AEA"/>
    <w:rsid w:val="23A203FB"/>
    <w:rsid w:val="25657932"/>
    <w:rsid w:val="25C61A2C"/>
    <w:rsid w:val="26246288"/>
    <w:rsid w:val="28FE4902"/>
    <w:rsid w:val="293D3C3C"/>
    <w:rsid w:val="2A585CB7"/>
    <w:rsid w:val="2B88437A"/>
    <w:rsid w:val="2CDD4919"/>
    <w:rsid w:val="2D016553"/>
    <w:rsid w:val="2E45132A"/>
    <w:rsid w:val="2E586286"/>
    <w:rsid w:val="2E8928E3"/>
    <w:rsid w:val="2F1F547B"/>
    <w:rsid w:val="2F353AB6"/>
    <w:rsid w:val="30EC0490"/>
    <w:rsid w:val="313C3C3D"/>
    <w:rsid w:val="31466AF4"/>
    <w:rsid w:val="31FF7E5D"/>
    <w:rsid w:val="33E74334"/>
    <w:rsid w:val="347F27BE"/>
    <w:rsid w:val="34F4706D"/>
    <w:rsid w:val="36405F7D"/>
    <w:rsid w:val="375907F6"/>
    <w:rsid w:val="38BB5D8F"/>
    <w:rsid w:val="39D97A10"/>
    <w:rsid w:val="3B016F16"/>
    <w:rsid w:val="3B345984"/>
    <w:rsid w:val="3B806E1C"/>
    <w:rsid w:val="3BC22595"/>
    <w:rsid w:val="3C6F3118"/>
    <w:rsid w:val="3C8B3CCA"/>
    <w:rsid w:val="3E860A9B"/>
    <w:rsid w:val="3E9B60A4"/>
    <w:rsid w:val="3F2B5902"/>
    <w:rsid w:val="3FA0183A"/>
    <w:rsid w:val="3FA109E2"/>
    <w:rsid w:val="3FA96941"/>
    <w:rsid w:val="3FD00372"/>
    <w:rsid w:val="40077B0C"/>
    <w:rsid w:val="40421EA3"/>
    <w:rsid w:val="4175335E"/>
    <w:rsid w:val="41831141"/>
    <w:rsid w:val="41DF2AEE"/>
    <w:rsid w:val="42873B0C"/>
    <w:rsid w:val="44441E0B"/>
    <w:rsid w:val="44D54F56"/>
    <w:rsid w:val="44ED72D0"/>
    <w:rsid w:val="45162194"/>
    <w:rsid w:val="45344EFF"/>
    <w:rsid w:val="456330E1"/>
    <w:rsid w:val="463F16FB"/>
    <w:rsid w:val="471A45C8"/>
    <w:rsid w:val="47995741"/>
    <w:rsid w:val="482B7A3F"/>
    <w:rsid w:val="486A487A"/>
    <w:rsid w:val="48F12205"/>
    <w:rsid w:val="49426B77"/>
    <w:rsid w:val="495516A9"/>
    <w:rsid w:val="49932766"/>
    <w:rsid w:val="49A43D68"/>
    <w:rsid w:val="4AC2591E"/>
    <w:rsid w:val="4D4D14B4"/>
    <w:rsid w:val="4DE53493"/>
    <w:rsid w:val="4E1E674C"/>
    <w:rsid w:val="4E477394"/>
    <w:rsid w:val="4EE64015"/>
    <w:rsid w:val="4FE70DC0"/>
    <w:rsid w:val="5058443B"/>
    <w:rsid w:val="50865861"/>
    <w:rsid w:val="508D7BB9"/>
    <w:rsid w:val="52374D6B"/>
    <w:rsid w:val="52A04F8E"/>
    <w:rsid w:val="52ED5725"/>
    <w:rsid w:val="53220A8C"/>
    <w:rsid w:val="53446C55"/>
    <w:rsid w:val="53D855EF"/>
    <w:rsid w:val="54300F87"/>
    <w:rsid w:val="554C1DF1"/>
    <w:rsid w:val="55843C1A"/>
    <w:rsid w:val="55C64900"/>
    <w:rsid w:val="56B7773E"/>
    <w:rsid w:val="56BF519F"/>
    <w:rsid w:val="56FE7D56"/>
    <w:rsid w:val="57193E77"/>
    <w:rsid w:val="571B5F1F"/>
    <w:rsid w:val="57411A85"/>
    <w:rsid w:val="57A001D2"/>
    <w:rsid w:val="599C4537"/>
    <w:rsid w:val="5AF509F4"/>
    <w:rsid w:val="5AFB2BCB"/>
    <w:rsid w:val="5D41670D"/>
    <w:rsid w:val="5E1717A5"/>
    <w:rsid w:val="5E9D23EF"/>
    <w:rsid w:val="5F2931A3"/>
    <w:rsid w:val="60E50312"/>
    <w:rsid w:val="610F24CD"/>
    <w:rsid w:val="61344F63"/>
    <w:rsid w:val="61BF4336"/>
    <w:rsid w:val="61D05B58"/>
    <w:rsid w:val="622814F0"/>
    <w:rsid w:val="6355699C"/>
    <w:rsid w:val="63B43AF8"/>
    <w:rsid w:val="63C11A36"/>
    <w:rsid w:val="63DE27AE"/>
    <w:rsid w:val="64631235"/>
    <w:rsid w:val="64D14887"/>
    <w:rsid w:val="64D36A0C"/>
    <w:rsid w:val="65432F68"/>
    <w:rsid w:val="65FC1361"/>
    <w:rsid w:val="66315EC2"/>
    <w:rsid w:val="68C93267"/>
    <w:rsid w:val="696A74A4"/>
    <w:rsid w:val="6A1F767C"/>
    <w:rsid w:val="6A381D3E"/>
    <w:rsid w:val="6A3D3FA6"/>
    <w:rsid w:val="6A415CDB"/>
    <w:rsid w:val="6A5512F0"/>
    <w:rsid w:val="6A62547B"/>
    <w:rsid w:val="6AED32D6"/>
    <w:rsid w:val="6BD667C4"/>
    <w:rsid w:val="6C7F463A"/>
    <w:rsid w:val="6CCD7344"/>
    <w:rsid w:val="6D4164CC"/>
    <w:rsid w:val="6D543AE1"/>
    <w:rsid w:val="6D9640F9"/>
    <w:rsid w:val="6DCA78FF"/>
    <w:rsid w:val="6DEA1D4F"/>
    <w:rsid w:val="6DF25D19"/>
    <w:rsid w:val="6E0B0E56"/>
    <w:rsid w:val="6F30035B"/>
    <w:rsid w:val="70003AAC"/>
    <w:rsid w:val="703D085C"/>
    <w:rsid w:val="71570B74"/>
    <w:rsid w:val="717D271A"/>
    <w:rsid w:val="729D3834"/>
    <w:rsid w:val="72C24A5E"/>
    <w:rsid w:val="72E94CCB"/>
    <w:rsid w:val="7345352C"/>
    <w:rsid w:val="739F538A"/>
    <w:rsid w:val="762070B4"/>
    <w:rsid w:val="769A6A08"/>
    <w:rsid w:val="76A2766B"/>
    <w:rsid w:val="77010F17"/>
    <w:rsid w:val="773C6A7A"/>
    <w:rsid w:val="78F16688"/>
    <w:rsid w:val="7AD2169E"/>
    <w:rsid w:val="7B7755C5"/>
    <w:rsid w:val="7C234BCD"/>
    <w:rsid w:val="7C5238E1"/>
    <w:rsid w:val="7C9932BE"/>
    <w:rsid w:val="7D0133EC"/>
    <w:rsid w:val="7D0D7808"/>
    <w:rsid w:val="7D2D56B4"/>
    <w:rsid w:val="7D407BDD"/>
    <w:rsid w:val="7D653A0A"/>
    <w:rsid w:val="7D787377"/>
    <w:rsid w:val="7DCB56F9"/>
    <w:rsid w:val="7DCC7162"/>
    <w:rsid w:val="7E157BB7"/>
    <w:rsid w:val="7E6520B7"/>
    <w:rsid w:val="7F1E7AAB"/>
    <w:rsid w:val="7F6776A3"/>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4">
    <w:name w:val="heading 3"/>
    <w:basedOn w:val="1"/>
    <w:next w:val="1"/>
    <w:link w:val="36"/>
    <w:autoRedefine/>
    <w:unhideWhenUsed/>
    <w:qFormat/>
    <w:uiPriority w:val="0"/>
    <w:pPr>
      <w:keepNext/>
      <w:keepLines/>
      <w:jc w:val="left"/>
      <w:outlineLvl w:val="2"/>
    </w:pPr>
    <w:rPr>
      <w:b/>
      <w:bCs/>
      <w:sz w:val="28"/>
      <w:szCs w:val="32"/>
    </w:rPr>
  </w:style>
  <w:style w:type="paragraph" w:styleId="5">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6">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3">
    <w:name w:val="Default Paragraph Font"/>
    <w:autoRedefine/>
    <w:unhideWhenUsed/>
    <w:qFormat/>
    <w:uiPriority w:val="1"/>
  </w:style>
  <w:style w:type="table" w:default="1" w:styleId="21">
    <w:name w:val="Normal Table"/>
    <w:autoRedefine/>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toa heading"/>
    <w:basedOn w:val="1"/>
    <w:next w:val="1"/>
    <w:autoRedefine/>
    <w:semiHidden/>
    <w:qFormat/>
    <w:uiPriority w:val="99"/>
    <w:pPr>
      <w:spacing w:before="120"/>
    </w:pPr>
    <w:rPr>
      <w:rFonts w:ascii="Arial" w:hAnsi="Arial"/>
      <w:sz w:val="24"/>
      <w:szCs w:val="20"/>
    </w:rPr>
  </w:style>
  <w:style w:type="paragraph" w:styleId="9">
    <w:name w:val="Body Text"/>
    <w:basedOn w:val="1"/>
    <w:next w:val="1"/>
    <w:autoRedefine/>
    <w:qFormat/>
    <w:uiPriority w:val="0"/>
  </w:style>
  <w:style w:type="paragraph" w:styleId="10">
    <w:name w:val="Body Text Indent"/>
    <w:basedOn w:val="1"/>
    <w:autoRedefine/>
    <w:qFormat/>
    <w:uiPriority w:val="0"/>
    <w:pPr>
      <w:ind w:left="1083" w:leftChars="30" w:hanging="1020" w:hangingChars="425"/>
    </w:pPr>
    <w:rPr>
      <w:rFonts w:ascii="宋体" w:hAnsi="宋体"/>
      <w:sz w:val="24"/>
    </w:rPr>
  </w:style>
  <w:style w:type="paragraph" w:styleId="11">
    <w:name w:val="Plain Text"/>
    <w:basedOn w:val="9"/>
    <w:autoRedefine/>
    <w:unhideWhenUsed/>
    <w:qFormat/>
    <w:uiPriority w:val="99"/>
    <w:rPr>
      <w:rFonts w:hint="eastAsia" w:ascii="宋体" w:hAnsi="Courier New"/>
      <w:sz w:val="24"/>
    </w:rPr>
  </w:style>
  <w:style w:type="paragraph" w:styleId="12">
    <w:name w:val="Body Text Indent 2"/>
    <w:basedOn w:val="1"/>
    <w:autoRedefine/>
    <w:qFormat/>
    <w:uiPriority w:val="99"/>
    <w:pPr>
      <w:tabs>
        <w:tab w:val="left" w:pos="5625"/>
      </w:tabs>
      <w:ind w:left="1138" w:leftChars="542"/>
    </w:pPr>
    <w:rPr>
      <w:rFonts w:ascii="Times New Roman"/>
      <w:kern w:val="2"/>
    </w:rPr>
  </w:style>
  <w:style w:type="paragraph" w:styleId="13">
    <w:name w:val="Balloon Text"/>
    <w:basedOn w:val="1"/>
    <w:link w:val="38"/>
    <w:autoRedefine/>
    <w:qFormat/>
    <w:uiPriority w:val="0"/>
    <w:rPr>
      <w:sz w:val="18"/>
      <w:szCs w:val="18"/>
    </w:rPr>
  </w:style>
  <w:style w:type="paragraph" w:styleId="14">
    <w:name w:val="footer"/>
    <w:basedOn w:val="1"/>
    <w:autoRedefine/>
    <w:unhideWhenUsed/>
    <w:qFormat/>
    <w:uiPriority w:val="99"/>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7">
    <w:name w:val="toc 1"/>
    <w:basedOn w:val="1"/>
    <w:next w:val="1"/>
    <w:autoRedefine/>
    <w:unhideWhenUsed/>
    <w:qFormat/>
    <w:uiPriority w:val="39"/>
  </w:style>
  <w:style w:type="paragraph" w:styleId="18">
    <w:name w:val="Normal (Web)"/>
    <w:basedOn w:val="1"/>
    <w:next w:val="15"/>
    <w:autoRedefine/>
    <w:unhideWhenUsed/>
    <w:qFormat/>
    <w:uiPriority w:val="99"/>
    <w:pPr>
      <w:spacing w:before="100" w:beforeAutospacing="1" w:after="100" w:afterAutospacing="1"/>
      <w:jc w:val="left"/>
    </w:pPr>
    <w:rPr>
      <w:kern w:val="0"/>
      <w:sz w:val="24"/>
    </w:rPr>
  </w:style>
  <w:style w:type="paragraph" w:styleId="19">
    <w:name w:val="Body Text First Indent"/>
    <w:basedOn w:val="9"/>
    <w:next w:val="1"/>
    <w:autoRedefine/>
    <w:unhideWhenUsed/>
    <w:qFormat/>
    <w:uiPriority w:val="99"/>
    <w:pPr>
      <w:ind w:firstLine="420" w:firstLineChars="100"/>
    </w:pPr>
  </w:style>
  <w:style w:type="paragraph" w:styleId="20">
    <w:name w:val="Body Text First Indent 2"/>
    <w:basedOn w:val="1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2">
    <w:name w:val="Table Grid"/>
    <w:basedOn w:val="21"/>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bCs/>
    </w:rPr>
  </w:style>
  <w:style w:type="character" w:styleId="25">
    <w:name w:val="FollowedHyperlink"/>
    <w:basedOn w:val="23"/>
    <w:autoRedefine/>
    <w:qFormat/>
    <w:uiPriority w:val="0"/>
    <w:rPr>
      <w:color w:val="800080"/>
      <w:u w:val="none"/>
    </w:rPr>
  </w:style>
  <w:style w:type="character" w:styleId="26">
    <w:name w:val="Emphasis"/>
    <w:basedOn w:val="23"/>
    <w:autoRedefine/>
    <w:qFormat/>
    <w:uiPriority w:val="0"/>
    <w:rPr>
      <w:b/>
      <w:bCs/>
    </w:rPr>
  </w:style>
  <w:style w:type="character" w:styleId="27">
    <w:name w:val="HTML Definition"/>
    <w:basedOn w:val="23"/>
    <w:autoRedefine/>
    <w:qFormat/>
    <w:uiPriority w:val="0"/>
  </w:style>
  <w:style w:type="character" w:styleId="28">
    <w:name w:val="HTML Typewriter"/>
    <w:basedOn w:val="23"/>
    <w:autoRedefine/>
    <w:qFormat/>
    <w:uiPriority w:val="0"/>
    <w:rPr>
      <w:rFonts w:hint="default" w:ascii="monospace" w:hAnsi="monospace" w:eastAsia="monospace" w:cs="monospace"/>
      <w:sz w:val="20"/>
    </w:rPr>
  </w:style>
  <w:style w:type="character" w:styleId="29">
    <w:name w:val="HTML Acronym"/>
    <w:basedOn w:val="23"/>
    <w:autoRedefine/>
    <w:qFormat/>
    <w:uiPriority w:val="0"/>
  </w:style>
  <w:style w:type="character" w:styleId="30">
    <w:name w:val="HTML Variable"/>
    <w:basedOn w:val="23"/>
    <w:autoRedefine/>
    <w:qFormat/>
    <w:uiPriority w:val="0"/>
  </w:style>
  <w:style w:type="character" w:styleId="31">
    <w:name w:val="Hyperlink"/>
    <w:basedOn w:val="23"/>
    <w:autoRedefine/>
    <w:qFormat/>
    <w:uiPriority w:val="0"/>
    <w:rPr>
      <w:rFonts w:hint="eastAsia" w:ascii="宋体" w:hAnsi="宋体" w:eastAsia="宋体" w:cs="宋体"/>
      <w:color w:val="000000"/>
      <w:sz w:val="18"/>
      <w:szCs w:val="18"/>
      <w:u w:val="none"/>
    </w:rPr>
  </w:style>
  <w:style w:type="character" w:styleId="32">
    <w:name w:val="HTML Code"/>
    <w:basedOn w:val="23"/>
    <w:autoRedefine/>
    <w:qFormat/>
    <w:uiPriority w:val="0"/>
    <w:rPr>
      <w:rFonts w:hint="default" w:ascii="monospace" w:hAnsi="monospace" w:eastAsia="monospace" w:cs="monospace"/>
      <w:sz w:val="20"/>
    </w:rPr>
  </w:style>
  <w:style w:type="character" w:styleId="33">
    <w:name w:val="HTML Cite"/>
    <w:basedOn w:val="23"/>
    <w:autoRedefine/>
    <w:qFormat/>
    <w:uiPriority w:val="0"/>
  </w:style>
  <w:style w:type="character" w:styleId="34">
    <w:name w:val="HTML Keyboard"/>
    <w:basedOn w:val="23"/>
    <w:autoRedefine/>
    <w:qFormat/>
    <w:uiPriority w:val="0"/>
    <w:rPr>
      <w:rFonts w:ascii="monospace" w:hAnsi="monospace" w:eastAsia="monospace" w:cs="monospace"/>
      <w:sz w:val="20"/>
    </w:rPr>
  </w:style>
  <w:style w:type="character" w:styleId="35">
    <w:name w:val="HTML Sample"/>
    <w:basedOn w:val="23"/>
    <w:autoRedefine/>
    <w:qFormat/>
    <w:uiPriority w:val="0"/>
    <w:rPr>
      <w:rFonts w:hint="default" w:ascii="monospace" w:hAnsi="monospace" w:eastAsia="monospace" w:cs="monospace"/>
    </w:rPr>
  </w:style>
  <w:style w:type="character" w:customStyle="1" w:styleId="36">
    <w:name w:val="标题 3 Char"/>
    <w:link w:val="4"/>
    <w:autoRedefine/>
    <w:qFormat/>
    <w:uiPriority w:val="0"/>
    <w:rPr>
      <w:rFonts w:ascii="Times New Roman" w:hAnsi="Times New Roman" w:eastAsia="宋体" w:cs="Times New Roman"/>
      <w:b/>
      <w:bCs/>
      <w:sz w:val="28"/>
      <w:szCs w:val="32"/>
    </w:rPr>
  </w:style>
  <w:style w:type="paragraph" w:customStyle="1" w:styleId="37">
    <w:name w:val="样式1"/>
    <w:basedOn w:val="1"/>
    <w:autoRedefine/>
    <w:qFormat/>
    <w:uiPriority w:val="0"/>
    <w:rPr>
      <w:sz w:val="18"/>
    </w:rPr>
  </w:style>
  <w:style w:type="character" w:customStyle="1" w:styleId="38">
    <w:name w:val="批注框文本 Char"/>
    <w:basedOn w:val="23"/>
    <w:link w:val="13"/>
    <w:autoRedefine/>
    <w:qFormat/>
    <w:uiPriority w:val="0"/>
    <w:rPr>
      <w:kern w:val="2"/>
      <w:sz w:val="18"/>
      <w:szCs w:val="18"/>
    </w:rPr>
  </w:style>
  <w:style w:type="paragraph" w:customStyle="1" w:styleId="39">
    <w:name w:val="正文缩进1"/>
    <w:basedOn w:val="1"/>
    <w:autoRedefine/>
    <w:qFormat/>
    <w:uiPriority w:val="0"/>
    <w:pPr>
      <w:ind w:firstLine="420" w:firstLineChars="200"/>
    </w:pPr>
  </w:style>
  <w:style w:type="paragraph" w:customStyle="1" w:styleId="4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Heading2"/>
    <w:basedOn w:val="1"/>
    <w:next w:val="1"/>
    <w:autoRedefine/>
    <w:qFormat/>
    <w:uiPriority w:val="0"/>
    <w:pPr>
      <w:keepNext/>
      <w:keepLines/>
      <w:spacing w:before="260" w:after="260"/>
      <w:jc w:val="center"/>
    </w:pPr>
    <w:rPr>
      <w:rFonts w:ascii="Arial" w:hAnsi="Arial"/>
      <w:b/>
      <w:sz w:val="30"/>
    </w:rPr>
  </w:style>
  <w:style w:type="character" w:customStyle="1" w:styleId="42">
    <w:name w:val="NormalCharacter"/>
    <w:link w:val="43"/>
    <w:autoRedefine/>
    <w:qFormat/>
    <w:uiPriority w:val="0"/>
  </w:style>
  <w:style w:type="paragraph" w:customStyle="1" w:styleId="43">
    <w:name w:val="UserStyle_34"/>
    <w:basedOn w:val="1"/>
    <w:link w:val="42"/>
    <w:autoRedefine/>
    <w:qFormat/>
    <w:uiPriority w:val="0"/>
  </w:style>
  <w:style w:type="paragraph" w:customStyle="1" w:styleId="44">
    <w:name w:val="List Paragraph"/>
    <w:basedOn w:val="1"/>
    <w:autoRedefine/>
    <w:qFormat/>
    <w:uiPriority w:val="34"/>
    <w:pPr>
      <w:ind w:firstLine="420" w:firstLineChars="200"/>
    </w:pPr>
    <w:rPr>
      <w:szCs w:val="24"/>
    </w:rPr>
  </w:style>
  <w:style w:type="character" w:customStyle="1" w:styleId="45">
    <w:name w:val="font91"/>
    <w:basedOn w:val="23"/>
    <w:autoRedefine/>
    <w:qFormat/>
    <w:uiPriority w:val="0"/>
    <w:rPr>
      <w:rFonts w:hint="eastAsia" w:ascii="宋体" w:hAnsi="宋体" w:eastAsia="宋体" w:cs="宋体"/>
      <w:color w:val="000000"/>
      <w:sz w:val="24"/>
      <w:szCs w:val="24"/>
      <w:u w:val="none"/>
    </w:rPr>
  </w:style>
  <w:style w:type="character" w:customStyle="1" w:styleId="46">
    <w:name w:val="font121"/>
    <w:basedOn w:val="23"/>
    <w:autoRedefine/>
    <w:qFormat/>
    <w:uiPriority w:val="0"/>
    <w:rPr>
      <w:rFonts w:hint="eastAsia" w:ascii="宋体" w:hAnsi="宋体" w:eastAsia="宋体" w:cs="宋体"/>
      <w:color w:val="000000"/>
      <w:sz w:val="24"/>
      <w:szCs w:val="24"/>
      <w:u w:val="none"/>
    </w:rPr>
  </w:style>
  <w:style w:type="character" w:customStyle="1" w:styleId="47">
    <w:name w:val="font141"/>
    <w:basedOn w:val="23"/>
    <w:autoRedefine/>
    <w:qFormat/>
    <w:uiPriority w:val="0"/>
    <w:rPr>
      <w:rFonts w:hint="eastAsia" w:ascii="宋体" w:hAnsi="宋体" w:eastAsia="宋体" w:cs="宋体"/>
      <w:color w:val="000000"/>
      <w:sz w:val="24"/>
      <w:szCs w:val="24"/>
      <w:u w:val="none"/>
    </w:rPr>
  </w:style>
  <w:style w:type="character" w:customStyle="1" w:styleId="48">
    <w:name w:val="font212"/>
    <w:basedOn w:val="23"/>
    <w:autoRedefine/>
    <w:qFormat/>
    <w:uiPriority w:val="0"/>
    <w:rPr>
      <w:rFonts w:hint="eastAsia" w:ascii="宋体" w:hAnsi="宋体" w:eastAsia="宋体" w:cs="宋体"/>
      <w:color w:val="000000"/>
      <w:sz w:val="24"/>
      <w:szCs w:val="24"/>
      <w:u w:val="none"/>
      <w:vertAlign w:val="superscript"/>
    </w:rPr>
  </w:style>
  <w:style w:type="character" w:customStyle="1" w:styleId="49">
    <w:name w:val="font31"/>
    <w:basedOn w:val="23"/>
    <w:autoRedefine/>
    <w:qFormat/>
    <w:uiPriority w:val="0"/>
    <w:rPr>
      <w:rFonts w:hint="eastAsia" w:ascii="宋体" w:hAnsi="宋体" w:eastAsia="宋体" w:cs="宋体"/>
      <w:color w:val="000000"/>
      <w:sz w:val="24"/>
      <w:szCs w:val="24"/>
      <w:u w:val="none"/>
    </w:rPr>
  </w:style>
  <w:style w:type="character" w:customStyle="1" w:styleId="50">
    <w:name w:val="font231"/>
    <w:basedOn w:val="23"/>
    <w:autoRedefine/>
    <w:qFormat/>
    <w:uiPriority w:val="0"/>
    <w:rPr>
      <w:rFonts w:hint="eastAsia" w:ascii="宋体" w:hAnsi="宋体" w:eastAsia="宋体" w:cs="宋体"/>
      <w:color w:val="000000"/>
      <w:sz w:val="24"/>
      <w:szCs w:val="24"/>
      <w:u w:val="none"/>
    </w:rPr>
  </w:style>
  <w:style w:type="table" w:customStyle="1" w:styleId="51">
    <w:name w:val="Table Normal"/>
    <w:autoRedefine/>
    <w:unhideWhenUsed/>
    <w:qFormat/>
    <w:uiPriority w:val="0"/>
    <w:tblPr>
      <w:tblCellMar>
        <w:top w:w="0" w:type="dxa"/>
        <w:left w:w="0" w:type="dxa"/>
        <w:bottom w:w="0" w:type="dxa"/>
        <w:right w:w="0" w:type="dxa"/>
      </w:tblCellMar>
    </w:tblPr>
  </w:style>
  <w:style w:type="character" w:customStyle="1" w:styleId="52">
    <w:name w:val="tang-pass-qrcode-list-bj"/>
    <w:basedOn w:val="23"/>
    <w:autoRedefine/>
    <w:qFormat/>
    <w:uiPriority w:val="0"/>
  </w:style>
  <w:style w:type="character" w:customStyle="1" w:styleId="53">
    <w:name w:val="pass-generalerror"/>
    <w:basedOn w:val="23"/>
    <w:autoRedefine/>
    <w:qFormat/>
    <w:uiPriority w:val="0"/>
    <w:rPr>
      <w:sz w:val="21"/>
      <w:szCs w:val="21"/>
    </w:rPr>
  </w:style>
  <w:style w:type="character" w:customStyle="1" w:styleId="54">
    <w:name w:val="pass-placeholder"/>
    <w:basedOn w:val="23"/>
    <w:autoRedefine/>
    <w:qFormat/>
    <w:uiPriority w:val="0"/>
  </w:style>
  <w:style w:type="character" w:customStyle="1" w:styleId="55">
    <w:name w:val="pass-placeholder1"/>
    <w:basedOn w:val="23"/>
    <w:autoRedefine/>
    <w:qFormat/>
    <w:uiPriority w:val="0"/>
  </w:style>
  <w:style w:type="character" w:customStyle="1" w:styleId="56">
    <w:name w:val="pass-placeholder2"/>
    <w:basedOn w:val="23"/>
    <w:autoRedefine/>
    <w:qFormat/>
    <w:uiPriority w:val="0"/>
  </w:style>
  <w:style w:type="character" w:customStyle="1" w:styleId="57">
    <w:name w:val="pass-placeholder3"/>
    <w:basedOn w:val="23"/>
    <w:autoRedefine/>
    <w:qFormat/>
    <w:uiPriority w:val="0"/>
  </w:style>
  <w:style w:type="character" w:customStyle="1" w:styleId="58">
    <w:name w:val="tang-pass-qrcode-list-aq"/>
    <w:basedOn w:val="23"/>
    <w:autoRedefine/>
    <w:qFormat/>
    <w:uiPriority w:val="0"/>
  </w:style>
  <w:style w:type="character" w:customStyle="1" w:styleId="59">
    <w:name w:val="pass-clearbtn-verifycode"/>
    <w:basedOn w:val="23"/>
    <w:autoRedefine/>
    <w:qFormat/>
    <w:uiPriority w:val="0"/>
    <w:rPr>
      <w:color w:val="CCCCCC"/>
      <w:sz w:val="21"/>
      <w:szCs w:val="21"/>
    </w:rPr>
  </w:style>
  <w:style w:type="character" w:customStyle="1" w:styleId="60">
    <w:name w:val="pass-clearbtn-smsverifycode"/>
    <w:basedOn w:val="23"/>
    <w:autoRedefine/>
    <w:qFormat/>
    <w:uiPriority w:val="0"/>
  </w:style>
  <w:style w:type="character" w:customStyle="1" w:styleId="61">
    <w:name w:val="open"/>
    <w:basedOn w:val="23"/>
    <w:autoRedefine/>
    <w:qFormat/>
    <w:uiPriority w:val="0"/>
  </w:style>
  <w:style w:type="character" w:customStyle="1" w:styleId="62">
    <w:name w:val="tang-pass-qrcode-list-gx"/>
    <w:basedOn w:val="23"/>
    <w:autoRedefine/>
    <w:qFormat/>
    <w:uiPriority w:val="0"/>
  </w:style>
  <w:style w:type="paragraph" w:customStyle="1" w:styleId="63">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4">
    <w:name w:val="font101"/>
    <w:basedOn w:val="23"/>
    <w:autoRedefine/>
    <w:qFormat/>
    <w:uiPriority w:val="0"/>
    <w:rPr>
      <w:rFonts w:hint="default" w:ascii="Calibri" w:hAnsi="Calibri" w:cs="Calibri"/>
      <w:color w:val="000000"/>
      <w:sz w:val="21"/>
      <w:szCs w:val="21"/>
      <w:u w:val="none"/>
    </w:rPr>
  </w:style>
  <w:style w:type="character" w:customStyle="1" w:styleId="65">
    <w:name w:val="nth-of-type(3)"/>
    <w:basedOn w:val="23"/>
    <w:autoRedefine/>
    <w:qFormat/>
    <w:uiPriority w:val="0"/>
  </w:style>
  <w:style w:type="character" w:customStyle="1" w:styleId="66">
    <w:name w:val="nth-of-type(3)1"/>
    <w:basedOn w:val="23"/>
    <w:autoRedefine/>
    <w:qFormat/>
    <w:uiPriority w:val="0"/>
  </w:style>
  <w:style w:type="character" w:customStyle="1" w:styleId="67">
    <w:name w:val="nth-of-type(3)2"/>
    <w:basedOn w:val="23"/>
    <w:autoRedefine/>
    <w:qFormat/>
    <w:uiPriority w:val="0"/>
  </w:style>
  <w:style w:type="character" w:customStyle="1" w:styleId="68">
    <w:name w:val="nth-of-type(3)3"/>
    <w:basedOn w:val="23"/>
    <w:autoRedefine/>
    <w:qFormat/>
    <w:uiPriority w:val="0"/>
  </w:style>
  <w:style w:type="character" w:customStyle="1" w:styleId="69">
    <w:name w:val="nth-of-type(3)4"/>
    <w:basedOn w:val="23"/>
    <w:autoRedefine/>
    <w:qFormat/>
    <w:uiPriority w:val="0"/>
  </w:style>
  <w:style w:type="character" w:customStyle="1" w:styleId="70">
    <w:name w:val="nth-of-type(3)5"/>
    <w:basedOn w:val="23"/>
    <w:autoRedefine/>
    <w:qFormat/>
    <w:uiPriority w:val="0"/>
  </w:style>
  <w:style w:type="character" w:customStyle="1" w:styleId="71">
    <w:name w:val="nth-of-type(3)6"/>
    <w:basedOn w:val="23"/>
    <w:autoRedefine/>
    <w:qFormat/>
    <w:uiPriority w:val="0"/>
    <w:rPr>
      <w:sz w:val="21"/>
      <w:szCs w:val="21"/>
    </w:rPr>
  </w:style>
  <w:style w:type="character" w:customStyle="1" w:styleId="72">
    <w:name w:val="nth-of-type(3)7"/>
    <w:basedOn w:val="23"/>
    <w:autoRedefine/>
    <w:qFormat/>
    <w:uiPriority w:val="0"/>
  </w:style>
  <w:style w:type="character" w:customStyle="1" w:styleId="73">
    <w:name w:val="last-child"/>
    <w:basedOn w:val="23"/>
    <w:autoRedefine/>
    <w:qFormat/>
    <w:uiPriority w:val="0"/>
  </w:style>
  <w:style w:type="character" w:customStyle="1" w:styleId="74">
    <w:name w:val="last-child1"/>
    <w:basedOn w:val="23"/>
    <w:autoRedefine/>
    <w:qFormat/>
    <w:uiPriority w:val="0"/>
    <w:rPr>
      <w:color w:val="FFFFFF"/>
    </w:rPr>
  </w:style>
  <w:style w:type="character" w:customStyle="1" w:styleId="75">
    <w:name w:val="nth-of-type(4)"/>
    <w:basedOn w:val="23"/>
    <w:autoRedefine/>
    <w:qFormat/>
    <w:uiPriority w:val="0"/>
  </w:style>
  <w:style w:type="character" w:customStyle="1" w:styleId="76">
    <w:name w:val="nth-of-type(1)"/>
    <w:basedOn w:val="23"/>
    <w:autoRedefine/>
    <w:qFormat/>
    <w:uiPriority w:val="0"/>
  </w:style>
  <w:style w:type="character" w:customStyle="1" w:styleId="77">
    <w:name w:val="nth-of-type(1)1"/>
    <w:basedOn w:val="23"/>
    <w:autoRedefine/>
    <w:qFormat/>
    <w:uiPriority w:val="0"/>
  </w:style>
  <w:style w:type="character" w:customStyle="1" w:styleId="78">
    <w:name w:val="nth-of-type(1)2"/>
    <w:basedOn w:val="23"/>
    <w:autoRedefine/>
    <w:qFormat/>
    <w:uiPriority w:val="0"/>
  </w:style>
  <w:style w:type="character" w:customStyle="1" w:styleId="79">
    <w:name w:val="nth-of-type(1)3"/>
    <w:basedOn w:val="23"/>
    <w:autoRedefine/>
    <w:qFormat/>
    <w:uiPriority w:val="0"/>
  </w:style>
  <w:style w:type="character" w:customStyle="1" w:styleId="80">
    <w:name w:val="nth-of-type(1)4"/>
    <w:basedOn w:val="23"/>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5"/>
    <w:basedOn w:val="23"/>
    <w:autoRedefine/>
    <w:qFormat/>
    <w:uiPriority w:val="0"/>
  </w:style>
  <w:style w:type="character" w:customStyle="1" w:styleId="82">
    <w:name w:val="nth-of-type(1)6"/>
    <w:basedOn w:val="23"/>
    <w:autoRedefine/>
    <w:qFormat/>
    <w:uiPriority w:val="0"/>
  </w:style>
  <w:style w:type="character" w:customStyle="1" w:styleId="83">
    <w:name w:val="nth-of-type(1)7"/>
    <w:basedOn w:val="23"/>
    <w:autoRedefine/>
    <w:qFormat/>
    <w:uiPriority w:val="0"/>
  </w:style>
  <w:style w:type="character" w:customStyle="1" w:styleId="84">
    <w:name w:val="nth-of-type(1)8"/>
    <w:basedOn w:val="23"/>
    <w:autoRedefine/>
    <w:qFormat/>
    <w:uiPriority w:val="0"/>
  </w:style>
  <w:style w:type="character" w:customStyle="1" w:styleId="85">
    <w:name w:val="nth-of-type(1)9"/>
    <w:basedOn w:val="23"/>
    <w:autoRedefine/>
    <w:qFormat/>
    <w:uiPriority w:val="0"/>
  </w:style>
  <w:style w:type="character" w:customStyle="1" w:styleId="86">
    <w:name w:val="nth-of-type(1)10"/>
    <w:basedOn w:val="23"/>
    <w:autoRedefine/>
    <w:qFormat/>
    <w:uiPriority w:val="0"/>
  </w:style>
  <w:style w:type="character" w:customStyle="1" w:styleId="87">
    <w:name w:val="nth-of-type(1)11"/>
    <w:basedOn w:val="23"/>
    <w:autoRedefine/>
    <w:qFormat/>
    <w:uiPriority w:val="0"/>
  </w:style>
  <w:style w:type="character" w:customStyle="1" w:styleId="88">
    <w:name w:val="nth-of-type(1)12"/>
    <w:basedOn w:val="23"/>
    <w:autoRedefine/>
    <w:qFormat/>
    <w:uiPriority w:val="0"/>
  </w:style>
  <w:style w:type="character" w:customStyle="1" w:styleId="89">
    <w:name w:val="nth-of-type(1)13"/>
    <w:basedOn w:val="23"/>
    <w:autoRedefine/>
    <w:qFormat/>
    <w:uiPriority w:val="0"/>
  </w:style>
  <w:style w:type="character" w:customStyle="1" w:styleId="90">
    <w:name w:val="nth-of-type(1)14"/>
    <w:basedOn w:val="23"/>
    <w:autoRedefine/>
    <w:qFormat/>
    <w:uiPriority w:val="0"/>
  </w:style>
  <w:style w:type="character" w:customStyle="1" w:styleId="91">
    <w:name w:val="nth-of-type(1)15"/>
    <w:basedOn w:val="23"/>
    <w:autoRedefine/>
    <w:qFormat/>
    <w:uiPriority w:val="0"/>
  </w:style>
  <w:style w:type="character" w:customStyle="1" w:styleId="92">
    <w:name w:val="nth-of-type(1)16"/>
    <w:basedOn w:val="23"/>
    <w:autoRedefine/>
    <w:qFormat/>
    <w:uiPriority w:val="0"/>
  </w:style>
  <w:style w:type="character" w:customStyle="1" w:styleId="93">
    <w:name w:val="nth-of-type(1)17"/>
    <w:basedOn w:val="23"/>
    <w:autoRedefine/>
    <w:qFormat/>
    <w:uiPriority w:val="0"/>
    <w:rPr>
      <w:sz w:val="21"/>
      <w:szCs w:val="21"/>
    </w:rPr>
  </w:style>
  <w:style w:type="character" w:customStyle="1" w:styleId="94">
    <w:name w:val="nth-of-type(1)18"/>
    <w:basedOn w:val="23"/>
    <w:autoRedefine/>
    <w:qFormat/>
    <w:uiPriority w:val="0"/>
  </w:style>
  <w:style w:type="character" w:customStyle="1" w:styleId="95">
    <w:name w:val="nth-of-type(9)"/>
    <w:basedOn w:val="23"/>
    <w:autoRedefine/>
    <w:qFormat/>
    <w:uiPriority w:val="0"/>
  </w:style>
  <w:style w:type="character" w:customStyle="1" w:styleId="96">
    <w:name w:val="nth-of-type(2)"/>
    <w:basedOn w:val="23"/>
    <w:autoRedefine/>
    <w:qFormat/>
    <w:uiPriority w:val="0"/>
  </w:style>
  <w:style w:type="character" w:customStyle="1" w:styleId="97">
    <w:name w:val="nth-of-type(2)1"/>
    <w:basedOn w:val="23"/>
    <w:autoRedefine/>
    <w:qFormat/>
    <w:uiPriority w:val="0"/>
  </w:style>
  <w:style w:type="character" w:customStyle="1" w:styleId="98">
    <w:name w:val="nth-of-type(2)2"/>
    <w:basedOn w:val="23"/>
    <w:autoRedefine/>
    <w:qFormat/>
    <w:uiPriority w:val="0"/>
  </w:style>
  <w:style w:type="character" w:customStyle="1" w:styleId="99">
    <w:name w:val="nth-of-type(2)3"/>
    <w:basedOn w:val="23"/>
    <w:autoRedefine/>
    <w:qFormat/>
    <w:uiPriority w:val="0"/>
  </w:style>
  <w:style w:type="character" w:customStyle="1" w:styleId="100">
    <w:name w:val="nth-of-type(2)4"/>
    <w:basedOn w:val="23"/>
    <w:autoRedefine/>
    <w:qFormat/>
    <w:uiPriority w:val="0"/>
  </w:style>
  <w:style w:type="character" w:customStyle="1" w:styleId="101">
    <w:name w:val="nth-of-type(2)5"/>
    <w:basedOn w:val="23"/>
    <w:autoRedefine/>
    <w:qFormat/>
    <w:uiPriority w:val="0"/>
  </w:style>
  <w:style w:type="character" w:customStyle="1" w:styleId="102">
    <w:name w:val="nth-of-type(2)6"/>
    <w:basedOn w:val="23"/>
    <w:autoRedefine/>
    <w:qFormat/>
    <w:uiPriority w:val="0"/>
  </w:style>
  <w:style w:type="character" w:customStyle="1" w:styleId="103">
    <w:name w:val="nth-of-type(2)7"/>
    <w:basedOn w:val="23"/>
    <w:autoRedefine/>
    <w:qFormat/>
    <w:uiPriority w:val="0"/>
  </w:style>
  <w:style w:type="character" w:customStyle="1" w:styleId="104">
    <w:name w:val="nth-of-type(2)8"/>
    <w:basedOn w:val="23"/>
    <w:autoRedefine/>
    <w:qFormat/>
    <w:uiPriority w:val="0"/>
  </w:style>
  <w:style w:type="character" w:customStyle="1" w:styleId="105">
    <w:name w:val="nth-of-type(2)9"/>
    <w:basedOn w:val="23"/>
    <w:autoRedefine/>
    <w:qFormat/>
    <w:uiPriority w:val="0"/>
  </w:style>
  <w:style w:type="character" w:customStyle="1" w:styleId="106">
    <w:name w:val="nth-of-type(2)10"/>
    <w:basedOn w:val="23"/>
    <w:autoRedefine/>
    <w:qFormat/>
    <w:uiPriority w:val="0"/>
  </w:style>
  <w:style w:type="character" w:customStyle="1" w:styleId="107">
    <w:name w:val="nth-of-type(2)11"/>
    <w:basedOn w:val="23"/>
    <w:autoRedefine/>
    <w:qFormat/>
    <w:uiPriority w:val="0"/>
  </w:style>
  <w:style w:type="character" w:customStyle="1" w:styleId="108">
    <w:name w:val="nth-of-type(2)12"/>
    <w:basedOn w:val="23"/>
    <w:autoRedefine/>
    <w:qFormat/>
    <w:uiPriority w:val="0"/>
  </w:style>
  <w:style w:type="character" w:customStyle="1" w:styleId="109">
    <w:name w:val="nth-of-type(2)13"/>
    <w:basedOn w:val="23"/>
    <w:autoRedefine/>
    <w:qFormat/>
    <w:uiPriority w:val="0"/>
    <w:rPr>
      <w:sz w:val="21"/>
      <w:szCs w:val="21"/>
    </w:rPr>
  </w:style>
  <w:style w:type="character" w:customStyle="1" w:styleId="110">
    <w:name w:val="nth-of-type(2)14"/>
    <w:basedOn w:val="23"/>
    <w:autoRedefine/>
    <w:qFormat/>
    <w:uiPriority w:val="0"/>
  </w:style>
  <w:style w:type="character" w:customStyle="1" w:styleId="111">
    <w:name w:val="layui-this4"/>
    <w:basedOn w:val="23"/>
    <w:autoRedefine/>
    <w:qFormat/>
    <w:uiPriority w:val="0"/>
    <w:rPr>
      <w:bdr w:val="single" w:color="EEEEEE" w:sz="6" w:space="0"/>
      <w:shd w:val="clear" w:color="auto" w:fill="FFFFFF"/>
    </w:rPr>
  </w:style>
  <w:style w:type="character" w:customStyle="1" w:styleId="112">
    <w:name w:val="nth-child(1)"/>
    <w:basedOn w:val="23"/>
    <w:autoRedefine/>
    <w:qFormat/>
    <w:uiPriority w:val="0"/>
  </w:style>
  <w:style w:type="character" w:customStyle="1" w:styleId="113">
    <w:name w:val="before2"/>
    <w:basedOn w:val="23"/>
    <w:autoRedefine/>
    <w:qFormat/>
    <w:uiPriority w:val="0"/>
    <w:rPr>
      <w:shd w:val="clear" w:color="auto" w:fill="C20E0C"/>
    </w:rPr>
  </w:style>
  <w:style w:type="character" w:customStyle="1" w:styleId="114">
    <w:name w:val="lineshow"/>
    <w:basedOn w:val="23"/>
    <w:autoRedefine/>
    <w:qFormat/>
    <w:uiPriority w:val="0"/>
  </w:style>
  <w:style w:type="character" w:customStyle="1" w:styleId="115">
    <w:name w:val="lineshow1"/>
    <w:basedOn w:val="23"/>
    <w:autoRedefine/>
    <w:qFormat/>
    <w:uiPriority w:val="0"/>
  </w:style>
  <w:style w:type="character" w:customStyle="1" w:styleId="116">
    <w:name w:val="first-child"/>
    <w:basedOn w:val="23"/>
    <w:autoRedefine/>
    <w:qFormat/>
    <w:uiPriority w:val="0"/>
  </w:style>
  <w:style w:type="character" w:customStyle="1" w:styleId="117">
    <w:name w:val="first-child1"/>
    <w:basedOn w:val="23"/>
    <w:autoRedefine/>
    <w:qFormat/>
    <w:uiPriority w:val="0"/>
  </w:style>
  <w:style w:type="character" w:customStyle="1" w:styleId="118">
    <w:name w:val="first-child2"/>
    <w:basedOn w:val="23"/>
    <w:autoRedefine/>
    <w:qFormat/>
    <w:uiPriority w:val="0"/>
  </w:style>
  <w:style w:type="character" w:customStyle="1" w:styleId="119">
    <w:name w:val="first-child3"/>
    <w:basedOn w:val="23"/>
    <w:autoRedefine/>
    <w:qFormat/>
    <w:uiPriority w:val="0"/>
  </w:style>
  <w:style w:type="character" w:customStyle="1" w:styleId="120">
    <w:name w:val="hover25"/>
    <w:basedOn w:val="23"/>
    <w:autoRedefine/>
    <w:qFormat/>
    <w:uiPriority w:val="0"/>
    <w:rPr>
      <w:color w:val="167AE0"/>
    </w:rPr>
  </w:style>
  <w:style w:type="character" w:customStyle="1" w:styleId="121">
    <w:name w:val="hover26"/>
    <w:basedOn w:val="23"/>
    <w:autoRedefine/>
    <w:qFormat/>
    <w:uiPriority w:val="0"/>
  </w:style>
  <w:style w:type="character" w:customStyle="1" w:styleId="122">
    <w:name w:val="nth-of-type(5)"/>
    <w:basedOn w:val="23"/>
    <w:autoRedefine/>
    <w:qFormat/>
    <w:uiPriority w:val="0"/>
  </w:style>
  <w:style w:type="character" w:customStyle="1" w:styleId="123">
    <w:name w:val="nth-of-type(5)1"/>
    <w:basedOn w:val="23"/>
    <w:autoRedefine/>
    <w:qFormat/>
    <w:uiPriority w:val="0"/>
  </w:style>
  <w:style w:type="character" w:customStyle="1" w:styleId="124">
    <w:name w:val="nth-of-type(5)2"/>
    <w:basedOn w:val="23"/>
    <w:autoRedefine/>
    <w:qFormat/>
    <w:uiPriority w:val="0"/>
  </w:style>
  <w:style w:type="character" w:customStyle="1" w:styleId="125">
    <w:name w:val="nth-of-type(5)3"/>
    <w:basedOn w:val="23"/>
    <w:autoRedefine/>
    <w:qFormat/>
    <w:uiPriority w:val="0"/>
  </w:style>
  <w:style w:type="character" w:customStyle="1" w:styleId="126">
    <w:name w:val="nth-of-type(5)4"/>
    <w:basedOn w:val="23"/>
    <w:autoRedefine/>
    <w:qFormat/>
    <w:uiPriority w:val="0"/>
  </w:style>
  <w:style w:type="character" w:customStyle="1" w:styleId="127">
    <w:name w:val="nth-of-type(5)5"/>
    <w:basedOn w:val="23"/>
    <w:autoRedefine/>
    <w:qFormat/>
    <w:uiPriority w:val="0"/>
    <w:rPr>
      <w:sz w:val="21"/>
      <w:szCs w:val="21"/>
    </w:rPr>
  </w:style>
  <w:style w:type="character" w:customStyle="1" w:styleId="128">
    <w:name w:val="nth-of-type(5)6"/>
    <w:basedOn w:val="23"/>
    <w:autoRedefine/>
    <w:qFormat/>
    <w:uiPriority w:val="0"/>
  </w:style>
  <w:style w:type="character" w:customStyle="1" w:styleId="129">
    <w:name w:val="nth-of-type(8)"/>
    <w:basedOn w:val="23"/>
    <w:autoRedefine/>
    <w:qFormat/>
    <w:uiPriority w:val="0"/>
  </w:style>
  <w:style w:type="character" w:customStyle="1" w:styleId="130">
    <w:name w:val="nth-of-type(10)"/>
    <w:basedOn w:val="23"/>
    <w:autoRedefine/>
    <w:qFormat/>
    <w:uiPriority w:val="0"/>
  </w:style>
  <w:style w:type="character" w:customStyle="1" w:styleId="131">
    <w:name w:val="nth-of-type(7)"/>
    <w:basedOn w:val="23"/>
    <w:autoRedefine/>
    <w:qFormat/>
    <w:uiPriority w:val="0"/>
  </w:style>
  <w:style w:type="character" w:customStyle="1" w:styleId="132">
    <w:name w:val="nth-of-type(7)1"/>
    <w:basedOn w:val="23"/>
    <w:autoRedefine/>
    <w:qFormat/>
    <w:uiPriority w:val="0"/>
  </w:style>
  <w:style w:type="character" w:customStyle="1" w:styleId="133">
    <w:name w:val="nth-of-type(7)2"/>
    <w:basedOn w:val="23"/>
    <w:autoRedefine/>
    <w:qFormat/>
    <w:uiPriority w:val="0"/>
  </w:style>
  <w:style w:type="character" w:customStyle="1" w:styleId="134">
    <w:name w:val="nth-of-type(6)"/>
    <w:basedOn w:val="23"/>
    <w:autoRedefine/>
    <w:qFormat/>
    <w:uiPriority w:val="0"/>
  </w:style>
  <w:style w:type="character" w:customStyle="1" w:styleId="135">
    <w:name w:val="nth-of-type(6)1"/>
    <w:basedOn w:val="23"/>
    <w:autoRedefine/>
    <w:qFormat/>
    <w:uiPriority w:val="0"/>
  </w:style>
  <w:style w:type="character" w:customStyle="1" w:styleId="136">
    <w:name w:val="nth-of-type(6)2"/>
    <w:basedOn w:val="23"/>
    <w:autoRedefine/>
    <w:qFormat/>
    <w:uiPriority w:val="0"/>
  </w:style>
  <w:style w:type="character" w:customStyle="1" w:styleId="137">
    <w:name w:val="nth-of-type(6)3"/>
    <w:basedOn w:val="23"/>
    <w:autoRedefine/>
    <w:qFormat/>
    <w:uiPriority w:val="0"/>
    <w:rPr>
      <w:color w:val="0082DF"/>
    </w:rPr>
  </w:style>
  <w:style w:type="character" w:customStyle="1" w:styleId="138">
    <w:name w:val="nth-of-type(6)4"/>
    <w:basedOn w:val="23"/>
    <w:autoRedefine/>
    <w:qFormat/>
    <w:uiPriority w:val="0"/>
  </w:style>
  <w:style w:type="character" w:customStyle="1" w:styleId="139">
    <w:name w:val="nth-of-type(6)5"/>
    <w:basedOn w:val="23"/>
    <w:autoRedefine/>
    <w:qFormat/>
    <w:uiPriority w:val="0"/>
  </w:style>
  <w:style w:type="character" w:customStyle="1" w:styleId="140">
    <w:name w:val="nth-child(2)"/>
    <w:basedOn w:val="23"/>
    <w:autoRedefine/>
    <w:qFormat/>
    <w:uiPriority w:val="0"/>
  </w:style>
  <w:style w:type="character" w:customStyle="1" w:styleId="141">
    <w:name w:val="layui-laypage-curr"/>
    <w:basedOn w:val="23"/>
    <w:autoRedefine/>
    <w:qFormat/>
    <w:uiPriority w:val="0"/>
  </w:style>
  <w:style w:type="character" w:customStyle="1" w:styleId="142">
    <w:name w:val="titleshow"/>
    <w:basedOn w:val="23"/>
    <w:autoRedefine/>
    <w:qFormat/>
    <w:uiPriority w:val="0"/>
    <w:rPr>
      <w:color w:val="3E464C"/>
    </w:rPr>
  </w:style>
  <w:style w:type="character" w:customStyle="1" w:styleId="143">
    <w:name w:val="nth-child(3)"/>
    <w:basedOn w:val="23"/>
    <w:autoRedefine/>
    <w:qFormat/>
    <w:uiPriority w:val="0"/>
  </w:style>
  <w:style w:type="character" w:customStyle="1" w:styleId="144">
    <w:name w:val="last-child2"/>
    <w:basedOn w:val="23"/>
    <w:autoRedefine/>
    <w:qFormat/>
    <w:uiPriority w:val="0"/>
    <w:rPr>
      <w:color w:val="011F4F"/>
    </w:rPr>
  </w:style>
  <w:style w:type="character" w:customStyle="1" w:styleId="145">
    <w:name w:val="hover23"/>
    <w:basedOn w:val="23"/>
    <w:autoRedefine/>
    <w:qFormat/>
    <w:uiPriority w:val="0"/>
  </w:style>
  <w:style w:type="character" w:customStyle="1" w:styleId="146">
    <w:name w:val="hover24"/>
    <w:basedOn w:val="23"/>
    <w:autoRedefine/>
    <w:qFormat/>
    <w:uiPriority w:val="0"/>
    <w:rPr>
      <w:color w:val="167AE0"/>
    </w:rPr>
  </w:style>
  <w:style w:type="character" w:customStyle="1" w:styleId="147">
    <w:name w:val="nth-of-type(4)1"/>
    <w:basedOn w:val="23"/>
    <w:autoRedefine/>
    <w:qFormat/>
    <w:uiPriority w:val="0"/>
  </w:style>
  <w:style w:type="character" w:customStyle="1" w:styleId="148">
    <w:name w:val="nth-of-type(4)2"/>
    <w:basedOn w:val="23"/>
    <w:autoRedefine/>
    <w:qFormat/>
    <w:uiPriority w:val="0"/>
  </w:style>
  <w:style w:type="character" w:customStyle="1" w:styleId="149">
    <w:name w:val="nth-of-type(4)3"/>
    <w:basedOn w:val="23"/>
    <w:autoRedefine/>
    <w:qFormat/>
    <w:uiPriority w:val="0"/>
  </w:style>
  <w:style w:type="character" w:customStyle="1" w:styleId="150">
    <w:name w:val="nth-of-type(4)4"/>
    <w:basedOn w:val="23"/>
    <w:autoRedefine/>
    <w:qFormat/>
    <w:uiPriority w:val="0"/>
  </w:style>
  <w:style w:type="character" w:customStyle="1" w:styleId="151">
    <w:name w:val="nth-of-type(4)5"/>
    <w:basedOn w:val="23"/>
    <w:autoRedefine/>
    <w:qFormat/>
    <w:uiPriority w:val="0"/>
  </w:style>
  <w:style w:type="character" w:customStyle="1" w:styleId="152">
    <w:name w:val="nth-of-type(4)6"/>
    <w:basedOn w:val="23"/>
    <w:autoRedefine/>
    <w:qFormat/>
    <w:uiPriority w:val="0"/>
  </w:style>
  <w:style w:type="character" w:customStyle="1" w:styleId="153">
    <w:name w:val="nth-of-type(4)7"/>
    <w:basedOn w:val="23"/>
    <w:autoRedefine/>
    <w:qFormat/>
    <w:uiPriority w:val="0"/>
  </w:style>
  <w:style w:type="character" w:customStyle="1" w:styleId="154">
    <w:name w:val="nth-of-type(4)8"/>
    <w:basedOn w:val="23"/>
    <w:autoRedefine/>
    <w:qFormat/>
    <w:uiPriority w:val="0"/>
  </w:style>
  <w:style w:type="character" w:customStyle="1" w:styleId="155">
    <w:name w:val="layui-this"/>
    <w:basedOn w:val="23"/>
    <w:autoRedefine/>
    <w:qFormat/>
    <w:uiPriority w:val="0"/>
    <w:rPr>
      <w:bdr w:val="single" w:color="EEEEEE" w:sz="6" w:space="0"/>
      <w:shd w:val="clear" w:color="auto" w:fill="FFFFFF"/>
    </w:rPr>
  </w:style>
  <w:style w:type="character" w:customStyle="1" w:styleId="156">
    <w:name w:val="font21"/>
    <w:basedOn w:val="23"/>
    <w:autoRedefine/>
    <w:qFormat/>
    <w:uiPriority w:val="0"/>
    <w:rPr>
      <w:rFonts w:hint="eastAsia" w:ascii="仿宋" w:hAnsi="仿宋" w:eastAsia="仿宋" w:cs="仿宋"/>
      <w:color w:val="000000"/>
      <w:sz w:val="28"/>
      <w:szCs w:val="28"/>
      <w:u w:val="none"/>
    </w:rPr>
  </w:style>
  <w:style w:type="character" w:customStyle="1" w:styleId="157">
    <w:name w:val="font11"/>
    <w:basedOn w:val="23"/>
    <w:autoRedefine/>
    <w:qFormat/>
    <w:uiPriority w:val="0"/>
    <w:rPr>
      <w:rFonts w:hint="eastAsia" w:ascii="宋体" w:hAnsi="宋体" w:eastAsia="宋体" w:cs="宋体"/>
      <w:color w:val="000000"/>
      <w:sz w:val="28"/>
      <w:szCs w:val="28"/>
      <w:u w:val="none"/>
    </w:rPr>
  </w:style>
  <w:style w:type="character" w:customStyle="1" w:styleId="158">
    <w:name w:val="font71"/>
    <w:basedOn w:val="23"/>
    <w:autoRedefine/>
    <w:qFormat/>
    <w:uiPriority w:val="0"/>
    <w:rPr>
      <w:rFonts w:hint="eastAsia" w:ascii="微软雅黑" w:hAnsi="微软雅黑" w:eastAsia="微软雅黑" w:cs="微软雅黑"/>
      <w:color w:val="000000"/>
      <w:sz w:val="20"/>
      <w:szCs w:val="20"/>
      <w:u w:val="none"/>
    </w:rPr>
  </w:style>
  <w:style w:type="character" w:customStyle="1" w:styleId="159">
    <w:name w:val="font131"/>
    <w:basedOn w:val="23"/>
    <w:autoRedefine/>
    <w:qFormat/>
    <w:uiPriority w:val="0"/>
    <w:rPr>
      <w:rFonts w:ascii="宋体" w:hAnsi="宋体" w:eastAsia="宋体" w:cs="宋体"/>
      <w:color w:val="000000"/>
      <w:sz w:val="20"/>
      <w:szCs w:val="20"/>
      <w:u w:val="none"/>
    </w:rPr>
  </w:style>
  <w:style w:type="character" w:customStyle="1" w:styleId="160">
    <w:name w:val="font81"/>
    <w:basedOn w:val="23"/>
    <w:autoRedefine/>
    <w:qFormat/>
    <w:uiPriority w:val="0"/>
    <w:rPr>
      <w:rFonts w:hint="eastAsia" w:ascii="宋体" w:hAnsi="宋体" w:eastAsia="宋体" w:cs="宋体"/>
      <w:color w:val="000000"/>
      <w:sz w:val="20"/>
      <w:szCs w:val="20"/>
      <w:u w:val="none"/>
    </w:rPr>
  </w:style>
  <w:style w:type="character" w:customStyle="1" w:styleId="161">
    <w:name w:val="font112"/>
    <w:basedOn w:val="23"/>
    <w:autoRedefine/>
    <w:qFormat/>
    <w:uiPriority w:val="0"/>
    <w:rPr>
      <w:rFonts w:hint="eastAsia" w:ascii="微软雅黑" w:hAnsi="微软雅黑" w:eastAsia="微软雅黑" w:cs="微软雅黑"/>
      <w:color w:val="000000"/>
      <w:sz w:val="20"/>
      <w:szCs w:val="20"/>
      <w:u w:val="none"/>
    </w:rPr>
  </w:style>
  <w:style w:type="character" w:customStyle="1" w:styleId="162">
    <w:name w:val="font51"/>
    <w:basedOn w:val="23"/>
    <w:autoRedefine/>
    <w:qFormat/>
    <w:uiPriority w:val="0"/>
    <w:rPr>
      <w:rFonts w:hint="eastAsia" w:ascii="仿宋" w:hAnsi="仿宋" w:eastAsia="仿宋" w:cs="仿宋"/>
      <w:color w:val="000000"/>
      <w:sz w:val="22"/>
      <w:szCs w:val="22"/>
      <w:u w:val="none"/>
    </w:rPr>
  </w:style>
  <w:style w:type="paragraph" w:customStyle="1" w:styleId="163">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37641</Words>
  <Characters>41134</Characters>
  <Lines>320</Lines>
  <Paragraphs>90</Paragraphs>
  <TotalTime>0</TotalTime>
  <ScaleCrop>false</ScaleCrop>
  <LinksUpToDate>false</LinksUpToDate>
  <CharactersWithSpaces>44204</CharactersWithSpaces>
  <Application>WPS Office_12.1.0.16309_F1E327BC-269C-435d-A152-05C5408002CA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、小纪炖蘑菇</cp:lastModifiedBy>
  <cp:lastPrinted>2022-06-07T17:41:00Z</cp:lastPrinted>
  <dcterms:modified xsi:type="dcterms:W3CDTF">2024-01-31T01:59:16Z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2052-12.1.0.16309</vt:lpwstr>
  </property>
  <property fmtid="{D5CDD505-2E9C-101B-9397-08002B2CF9AE}" pid="3" name="ICV">
    <vt:lpwstr>9A277499BEB343ADA28BE3D7D36F2664_13</vt:lpwstr>
  </property>
</Properties>
</file>