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2E4F71">
      <w:pPr>
        <w:rPr>
          <w:rFonts w:hint="eastAsia" w:hAnsi="宋体" w:eastAsia="宋体" w:cs="宋体"/>
          <w:b/>
          <w:color w:val="FF0000"/>
          <w:sz w:val="36"/>
          <w:highlight w:val="none"/>
          <w:shd w:val="clear" w:color="auto" w:fill="auto"/>
          <w:lang w:eastAsia="zh-CN"/>
        </w:rPr>
      </w:pPr>
      <w:r>
        <w:rPr>
          <w:rFonts w:hint="eastAsia" w:hAnsi="宋体" w:cs="宋体"/>
          <w:b/>
          <w:bCs/>
          <w:color w:val="auto"/>
          <w:sz w:val="32"/>
          <w:szCs w:val="32"/>
          <w:highlight w:val="none"/>
          <w:shd w:val="clear" w:color="auto" w:fill="auto"/>
        </w:rPr>
        <w:t>项目编号：</w:t>
      </w:r>
      <w:r>
        <w:rPr>
          <w:rFonts w:hint="eastAsia" w:hAnsi="宋体" w:cs="宋体"/>
          <w:b/>
          <w:bCs/>
          <w:color w:val="auto"/>
          <w:sz w:val="32"/>
          <w:szCs w:val="32"/>
          <w:highlight w:val="none"/>
          <w:shd w:val="clear" w:color="auto" w:fill="auto"/>
          <w:lang w:val="en-US" w:eastAsia="zh-CN"/>
        </w:rPr>
        <w:t>YLHB-2025-039</w:t>
      </w:r>
    </w:p>
    <w:p w14:paraId="3E19A264">
      <w:pPr>
        <w:pStyle w:val="10"/>
      </w:pPr>
    </w:p>
    <w:p w14:paraId="514F7988">
      <w:pPr>
        <w:pStyle w:val="10"/>
      </w:pPr>
    </w:p>
    <w:p w14:paraId="18320C99">
      <w:pPr>
        <w:pStyle w:val="10"/>
        <w:jc w:val="center"/>
        <w:rPr>
          <w:rFonts w:hint="eastAsia"/>
          <w:b/>
          <w:bCs/>
          <w:sz w:val="72"/>
          <w:szCs w:val="72"/>
        </w:rPr>
      </w:pPr>
      <w:bookmarkStart w:id="0" w:name="_Toc363463325"/>
    </w:p>
    <w:p w14:paraId="3898D5A6">
      <w:pPr>
        <w:pStyle w:val="10"/>
        <w:jc w:val="center"/>
        <w:rPr>
          <w:rFonts w:hint="eastAsia"/>
          <w:b/>
          <w:bCs/>
          <w:sz w:val="72"/>
          <w:szCs w:val="72"/>
          <w:lang w:eastAsia="zh-CN"/>
        </w:rPr>
      </w:pPr>
      <w:r>
        <w:rPr>
          <w:rFonts w:hint="eastAsia"/>
          <w:b/>
          <w:bCs/>
          <w:sz w:val="72"/>
          <w:szCs w:val="72"/>
          <w:lang w:eastAsia="zh-CN"/>
        </w:rPr>
        <w:t>榆林市综合交通信息服务平台建设（一期）工程项目</w:t>
      </w:r>
    </w:p>
    <w:p w14:paraId="475DBD8E">
      <w:pPr>
        <w:pStyle w:val="10"/>
        <w:jc w:val="center"/>
        <w:rPr>
          <w:rFonts w:hint="eastAsia" w:eastAsia="宋体"/>
          <w:b/>
          <w:bCs/>
          <w:sz w:val="72"/>
          <w:szCs w:val="72"/>
          <w:lang w:eastAsia="zh-CN"/>
        </w:rPr>
      </w:pPr>
      <w:r>
        <w:rPr>
          <w:rFonts w:hint="eastAsia"/>
          <w:b/>
          <w:bCs/>
          <w:sz w:val="72"/>
          <w:szCs w:val="72"/>
          <w:lang w:eastAsia="zh-CN"/>
        </w:rPr>
        <w:t>管理服务</w:t>
      </w:r>
    </w:p>
    <w:p w14:paraId="040E87F7"/>
    <w:p w14:paraId="5DC1A3EA">
      <w:pPr>
        <w:jc w:val="center"/>
        <w:rPr>
          <w:rFonts w:hint="eastAsia" w:hAnsi="宋体" w:cs="宋体"/>
          <w:b/>
          <w:sz w:val="112"/>
          <w:szCs w:val="112"/>
          <w:lang w:val="en-US" w:eastAsia="zh-CN"/>
        </w:rPr>
      </w:pPr>
    </w:p>
    <w:p w14:paraId="3908D7F4">
      <w:pPr>
        <w:jc w:val="center"/>
        <w:rPr>
          <w:rFonts w:hAnsi="宋体" w:cs="宋体"/>
          <w:b/>
          <w:bCs/>
          <w:color w:val="000000"/>
          <w:sz w:val="32"/>
          <w:szCs w:val="32"/>
        </w:rPr>
      </w:pPr>
      <w:r>
        <w:rPr>
          <w:rFonts w:hint="eastAsia" w:hAnsi="宋体" w:cs="宋体"/>
          <w:b/>
          <w:sz w:val="112"/>
          <w:szCs w:val="112"/>
          <w:lang w:val="en-US" w:eastAsia="zh-CN"/>
        </w:rPr>
        <w:t>公开招标</w:t>
      </w:r>
      <w:r>
        <w:rPr>
          <w:rFonts w:hint="eastAsia" w:hAnsi="宋体" w:cs="宋体"/>
          <w:b/>
          <w:sz w:val="112"/>
          <w:szCs w:val="112"/>
        </w:rPr>
        <w:t>文件</w:t>
      </w:r>
      <w:bookmarkEnd w:id="0"/>
    </w:p>
    <w:p w14:paraId="4B6BB5A7">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宋体" w:hAnsi="宋体" w:eastAsia="宋体" w:cs="宋体"/>
          <w:b/>
          <w:bCs w:val="0"/>
          <w:sz w:val="32"/>
          <w:szCs w:val="32"/>
          <w:lang w:eastAsia="zh-CN"/>
        </w:rPr>
      </w:pPr>
    </w:p>
    <w:p w14:paraId="67055A4D">
      <w:pPr>
        <w:keepNext w:val="0"/>
        <w:keepLines w:val="0"/>
        <w:pageBreakBefore w:val="0"/>
        <w:widowControl w:val="0"/>
        <w:kinsoku/>
        <w:wordWrap/>
        <w:overflowPunct/>
        <w:topLinePunct w:val="0"/>
        <w:autoSpaceDE/>
        <w:autoSpaceDN/>
        <w:bidi w:val="0"/>
        <w:adjustRightInd/>
        <w:snapToGrid/>
        <w:spacing w:line="240" w:lineRule="auto"/>
        <w:ind w:firstLine="964" w:firstLineChars="300"/>
        <w:jc w:val="both"/>
        <w:textAlignment w:val="auto"/>
        <w:outlineLvl w:val="9"/>
        <w:rPr>
          <w:rFonts w:hint="eastAsia" w:ascii="宋体" w:hAnsi="宋体" w:eastAsia="宋体" w:cs="宋体"/>
          <w:b/>
          <w:bCs w:val="0"/>
          <w:sz w:val="32"/>
          <w:szCs w:val="32"/>
          <w:lang w:eastAsia="zh-CN"/>
        </w:rPr>
      </w:pPr>
    </w:p>
    <w:p w14:paraId="1CE019C7">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9"/>
        <w:rPr>
          <w:rFonts w:hint="eastAsia" w:ascii="宋体" w:hAnsi="宋体" w:eastAsia="宋体" w:cs="宋体"/>
          <w:b/>
          <w:bCs w:val="0"/>
          <w:sz w:val="32"/>
          <w:szCs w:val="32"/>
          <w:lang w:eastAsia="zh-CN"/>
        </w:rPr>
      </w:pPr>
    </w:p>
    <w:p w14:paraId="6163E228">
      <w:pPr>
        <w:keepNext w:val="0"/>
        <w:keepLines w:val="0"/>
        <w:pageBreakBefore w:val="0"/>
        <w:widowControl w:val="0"/>
        <w:kinsoku/>
        <w:wordWrap/>
        <w:overflowPunct/>
        <w:topLinePunct w:val="0"/>
        <w:autoSpaceDE/>
        <w:autoSpaceDN/>
        <w:bidi w:val="0"/>
        <w:adjustRightInd/>
        <w:snapToGrid/>
        <w:spacing w:line="240" w:lineRule="auto"/>
        <w:ind w:firstLine="1606" w:firstLineChars="500"/>
        <w:jc w:val="both"/>
        <w:textAlignment w:val="auto"/>
        <w:outlineLvl w:val="9"/>
        <w:rPr>
          <w:rFonts w:hint="eastAsia" w:ascii="宋体" w:hAnsi="宋体" w:eastAsia="宋体" w:cs="宋体"/>
          <w:b/>
          <w:bCs w:val="0"/>
          <w:sz w:val="32"/>
          <w:szCs w:val="32"/>
          <w:lang w:val="en-US" w:eastAsia="zh-CN"/>
        </w:rPr>
      </w:pPr>
      <w:r>
        <w:rPr>
          <w:rFonts w:hint="eastAsia" w:ascii="宋体" w:hAnsi="宋体" w:eastAsia="宋体" w:cs="宋体"/>
          <w:b/>
          <w:bCs w:val="0"/>
          <w:sz w:val="32"/>
          <w:szCs w:val="32"/>
          <w:lang w:eastAsia="zh-CN"/>
        </w:rPr>
        <w:t>采</w:t>
      </w:r>
      <w:r>
        <w:rPr>
          <w:rFonts w:hint="eastAsia" w:hAnsi="宋体" w:cs="宋体"/>
          <w:b/>
          <w:bCs w:val="0"/>
          <w:sz w:val="32"/>
          <w:szCs w:val="32"/>
          <w:lang w:val="en-US" w:eastAsia="zh-CN"/>
        </w:rPr>
        <w:t xml:space="preserve">  </w:t>
      </w:r>
      <w:r>
        <w:rPr>
          <w:rFonts w:hint="eastAsia" w:ascii="宋体" w:hAnsi="宋体" w:eastAsia="宋体" w:cs="宋体"/>
          <w:b/>
          <w:bCs w:val="0"/>
          <w:sz w:val="32"/>
          <w:szCs w:val="32"/>
          <w:lang w:eastAsia="zh-CN"/>
        </w:rPr>
        <w:t>购</w:t>
      </w:r>
      <w:r>
        <w:rPr>
          <w:rFonts w:hint="eastAsia" w:hAnsi="宋体" w:cs="宋体"/>
          <w:b/>
          <w:bCs w:val="0"/>
          <w:sz w:val="32"/>
          <w:szCs w:val="32"/>
          <w:lang w:val="en-US" w:eastAsia="zh-CN"/>
        </w:rPr>
        <w:t xml:space="preserve">  </w:t>
      </w:r>
      <w:r>
        <w:rPr>
          <w:rFonts w:hint="eastAsia" w:ascii="宋体" w:hAnsi="宋体" w:eastAsia="宋体" w:cs="宋体"/>
          <w:b/>
          <w:bCs w:val="0"/>
          <w:sz w:val="32"/>
          <w:szCs w:val="32"/>
        </w:rPr>
        <w:t>人：</w:t>
      </w:r>
      <w:r>
        <w:rPr>
          <w:rFonts w:hint="eastAsia" w:hAnsi="宋体" w:cs="宋体"/>
          <w:b/>
          <w:bCs w:val="0"/>
          <w:sz w:val="32"/>
          <w:szCs w:val="32"/>
          <w:lang w:val="en-US" w:eastAsia="zh-CN"/>
        </w:rPr>
        <w:t>榆林市交通运输局</w:t>
      </w:r>
    </w:p>
    <w:p w14:paraId="5B19792E">
      <w:pPr>
        <w:keepNext w:val="0"/>
        <w:keepLines w:val="0"/>
        <w:pageBreakBefore w:val="0"/>
        <w:widowControl w:val="0"/>
        <w:kinsoku/>
        <w:wordWrap/>
        <w:overflowPunct/>
        <w:topLinePunct w:val="0"/>
        <w:autoSpaceDE/>
        <w:autoSpaceDN/>
        <w:bidi w:val="0"/>
        <w:adjustRightInd w:val="0"/>
        <w:snapToGrid/>
        <w:spacing w:after="313" w:afterLines="100" w:line="800" w:lineRule="exact"/>
        <w:jc w:val="center"/>
        <w:textAlignment w:val="auto"/>
        <w:outlineLvl w:val="9"/>
        <w:rPr>
          <w:rFonts w:hint="eastAsia" w:ascii="宋体" w:hAnsi="宋体" w:eastAsia="宋体" w:cs="宋体"/>
          <w:b/>
          <w:bCs w:val="0"/>
          <w:sz w:val="32"/>
          <w:szCs w:val="32"/>
          <w:lang w:eastAsia="zh-CN"/>
        </w:rPr>
      </w:pPr>
      <w:r>
        <w:rPr>
          <w:rFonts w:hint="eastAsia" w:ascii="宋体" w:hAnsi="宋体" w:cs="宋体"/>
          <w:b/>
          <w:bCs w:val="0"/>
          <w:sz w:val="32"/>
          <w:szCs w:val="32"/>
          <w:lang w:eastAsia="zh-CN"/>
        </w:rPr>
        <w:t>采购</w:t>
      </w:r>
      <w:r>
        <w:rPr>
          <w:rFonts w:hint="eastAsia" w:ascii="宋体" w:hAnsi="宋体" w:eastAsia="宋体" w:cs="宋体"/>
          <w:b/>
          <w:bCs w:val="0"/>
          <w:sz w:val="32"/>
          <w:szCs w:val="32"/>
        </w:rPr>
        <w:t>代理机构：</w:t>
      </w:r>
      <w:r>
        <w:rPr>
          <w:rFonts w:hint="eastAsia" w:hAnsi="宋体" w:cs="宋体"/>
          <w:b/>
          <w:bCs w:val="0"/>
          <w:sz w:val="32"/>
          <w:szCs w:val="32"/>
          <w:u w:val="none"/>
          <w:lang w:eastAsia="zh-CN"/>
        </w:rPr>
        <w:t>榆林市恒博</w:t>
      </w:r>
      <w:r>
        <w:rPr>
          <w:rFonts w:hint="eastAsia" w:hAnsi="宋体" w:cs="宋体"/>
          <w:b/>
          <w:bCs w:val="0"/>
          <w:sz w:val="32"/>
          <w:szCs w:val="32"/>
          <w:u w:val="none"/>
          <w:lang w:val="en-US" w:eastAsia="zh-CN"/>
        </w:rPr>
        <w:t>工程</w:t>
      </w:r>
      <w:r>
        <w:rPr>
          <w:rFonts w:hint="eastAsia" w:hAnsi="宋体" w:cs="宋体"/>
          <w:b/>
          <w:bCs w:val="0"/>
          <w:sz w:val="32"/>
          <w:szCs w:val="32"/>
          <w:u w:val="none"/>
          <w:lang w:eastAsia="zh-CN"/>
        </w:rPr>
        <w:t>咨询有限公司</w:t>
      </w:r>
    </w:p>
    <w:p w14:paraId="2D5F5106">
      <w:pPr>
        <w:jc w:val="center"/>
        <w:rPr>
          <w:rFonts w:hint="eastAsia" w:ascii="宋体" w:hAnsi="宋体" w:eastAsia="宋体" w:cs="宋体"/>
          <w:b/>
          <w:bCs w:val="0"/>
          <w:sz w:val="32"/>
          <w:szCs w:val="32"/>
        </w:rPr>
        <w:sectPr>
          <w:headerReference r:id="rId3" w:type="default"/>
          <w:pgSz w:w="11906" w:h="16838"/>
          <w:pgMar w:top="1417" w:right="1417" w:bottom="1417" w:left="1417" w:header="850" w:footer="850" w:gutter="0"/>
          <w:pgNumType w:fmt="numberInDash" w:start="1"/>
          <w:cols w:space="425" w:num="1"/>
          <w:docGrid w:type="lines" w:linePitch="326" w:charSpace="0"/>
        </w:sectPr>
      </w:pPr>
      <w:r>
        <w:rPr>
          <w:rFonts w:hint="eastAsia" w:ascii="宋体" w:hAnsi="宋体" w:eastAsia="宋体" w:cs="宋体"/>
          <w:b/>
          <w:bCs w:val="0"/>
          <w:sz w:val="32"/>
          <w:szCs w:val="32"/>
          <w:lang w:eastAsia="zh-CN"/>
        </w:rPr>
        <w:t>编制日期：</w:t>
      </w:r>
      <w:r>
        <w:rPr>
          <w:rFonts w:hint="eastAsia" w:ascii="宋体" w:hAnsi="宋体" w:eastAsia="宋体" w:cs="宋体"/>
          <w:b/>
          <w:bCs w:val="0"/>
          <w:sz w:val="32"/>
          <w:szCs w:val="32"/>
          <w:lang w:val="en-US" w:eastAsia="zh-CN"/>
        </w:rPr>
        <w:t>202</w:t>
      </w:r>
      <w:r>
        <w:rPr>
          <w:rFonts w:hint="eastAsia" w:hAnsi="宋体" w:cs="宋体"/>
          <w:b/>
          <w:bCs w:val="0"/>
          <w:sz w:val="32"/>
          <w:szCs w:val="32"/>
          <w:lang w:val="en-US" w:eastAsia="zh-CN"/>
        </w:rPr>
        <w:t>5</w:t>
      </w:r>
      <w:r>
        <w:rPr>
          <w:rFonts w:hint="eastAsia" w:ascii="宋体" w:hAnsi="宋体" w:eastAsia="宋体" w:cs="宋体"/>
          <w:b/>
          <w:bCs w:val="0"/>
          <w:sz w:val="32"/>
          <w:szCs w:val="32"/>
        </w:rPr>
        <w:t>年</w:t>
      </w:r>
      <w:r>
        <w:rPr>
          <w:rFonts w:hint="eastAsia" w:hAnsi="宋体" w:cs="宋体"/>
          <w:b/>
          <w:bCs w:val="0"/>
          <w:sz w:val="32"/>
          <w:szCs w:val="32"/>
          <w:lang w:val="en-US" w:eastAsia="zh-CN"/>
        </w:rPr>
        <w:t>10</w:t>
      </w:r>
      <w:r>
        <w:rPr>
          <w:rFonts w:hint="eastAsia" w:ascii="宋体" w:hAnsi="宋体" w:eastAsia="宋体" w:cs="宋体"/>
          <w:b/>
          <w:bCs w:val="0"/>
          <w:sz w:val="32"/>
          <w:szCs w:val="32"/>
        </w:rPr>
        <w:t>月</w:t>
      </w:r>
    </w:p>
    <w:p w14:paraId="52460D63">
      <w:pPr>
        <w:jc w:val="center"/>
        <w:rPr>
          <w:rFonts w:hint="eastAsia" w:eastAsia="宋体"/>
          <w:b/>
          <w:bCs/>
          <w:color w:val="auto"/>
          <w:lang w:eastAsia="zh-CN"/>
        </w:rPr>
      </w:pPr>
      <w:r>
        <w:rPr>
          <w:rFonts w:hAnsi="宋体"/>
          <w:b/>
          <w:bCs/>
          <w:color w:val="auto"/>
          <w:sz w:val="32"/>
          <w:szCs w:val="32"/>
        </w:rPr>
        <w:t>目</w:t>
      </w:r>
      <w:r>
        <w:rPr>
          <w:rFonts w:hint="eastAsia" w:hAnsi="宋体"/>
          <w:b/>
          <w:bCs/>
          <w:color w:val="auto"/>
          <w:sz w:val="32"/>
          <w:szCs w:val="32"/>
        </w:rPr>
        <w:t xml:space="preserve"> </w:t>
      </w:r>
      <w:r>
        <w:rPr>
          <w:rFonts w:hAnsi="宋体"/>
          <w:b/>
          <w:bCs/>
          <w:color w:val="auto"/>
          <w:sz w:val="32"/>
          <w:szCs w:val="32"/>
        </w:rPr>
        <w:t>录</w:t>
      </w:r>
    </w:p>
    <w:p w14:paraId="3143AEFD">
      <w:pPr>
        <w:pStyle w:val="46"/>
        <w:tabs>
          <w:tab w:val="right" w:leader="middleDot" w:pos="9120"/>
        </w:tabs>
        <w:spacing w:line="288" w:lineRule="auto"/>
        <w:rPr>
          <w:color w:val="auto"/>
        </w:rPr>
      </w:pPr>
    </w:p>
    <w:p w14:paraId="1B6BA3E7">
      <w:pPr>
        <w:pStyle w:val="46"/>
        <w:tabs>
          <w:tab w:val="right" w:leader="middleDot" w:pos="9120"/>
        </w:tabs>
        <w:spacing w:line="288" w:lineRule="auto"/>
        <w:rPr>
          <w:rFonts w:hint="eastAsia" w:ascii="宋体" w:hAnsi="宋体" w:eastAsia="宋体" w:cs="宋体"/>
          <w:b/>
          <w:color w:val="auto"/>
          <w:sz w:val="28"/>
          <w:szCs w:val="28"/>
        </w:rPr>
      </w:pPr>
      <w:r>
        <w:rPr>
          <w:color w:val="auto"/>
        </w:rPr>
        <w:fldChar w:fldCharType="begin"/>
      </w:r>
      <w:r>
        <w:rPr>
          <w:color w:val="auto"/>
        </w:rPr>
        <w:instrText xml:space="preserve">TOC \o "1-2" \h \u </w:instrText>
      </w:r>
      <w:r>
        <w:rPr>
          <w:color w:val="auto"/>
        </w:rPr>
        <w:fldChar w:fldCharType="separate"/>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"_Toc25770" </w:instrText>
      </w:r>
      <w:r>
        <w:rPr>
          <w:rFonts w:hint="eastAsia" w:ascii="宋体" w:hAnsi="宋体" w:eastAsia="宋体" w:cs="宋体"/>
          <w:color w:val="auto"/>
          <w:sz w:val="28"/>
          <w:szCs w:val="28"/>
        </w:rPr>
        <w:fldChar w:fldCharType="separate"/>
      </w:r>
      <w:r>
        <w:rPr>
          <w:rFonts w:hint="eastAsia" w:ascii="宋体" w:hAnsi="宋体" w:eastAsia="宋体" w:cs="宋体"/>
          <w:b/>
          <w:color w:val="auto"/>
          <w:sz w:val="28"/>
          <w:szCs w:val="28"/>
        </w:rPr>
        <w:t>第一章 招标公告</w:t>
      </w:r>
      <w:r>
        <w:rPr>
          <w:rFonts w:hint="eastAsia" w:ascii="宋体" w:hAnsi="宋体" w:eastAsia="宋体" w:cs="宋体"/>
          <w:b/>
          <w:color w:val="auto"/>
          <w:sz w:val="28"/>
          <w:szCs w:val="28"/>
        </w:rPr>
        <w:tab/>
      </w:r>
      <w:r>
        <w:rPr>
          <w:rFonts w:hint="eastAsia" w:ascii="宋体" w:hAnsi="宋体" w:eastAsia="宋体" w:cs="宋体"/>
          <w:b/>
          <w:color w:val="auto"/>
          <w:sz w:val="28"/>
          <w:szCs w:val="28"/>
        </w:rPr>
        <w:fldChar w:fldCharType="begin"/>
      </w:r>
      <w:r>
        <w:rPr>
          <w:rFonts w:hint="eastAsia" w:ascii="宋体" w:hAnsi="宋体" w:eastAsia="宋体" w:cs="宋体"/>
          <w:b/>
          <w:color w:val="auto"/>
          <w:sz w:val="28"/>
          <w:szCs w:val="28"/>
        </w:rPr>
        <w:instrText xml:space="preserve"> PAGEREF _Toc25770 </w:instrText>
      </w:r>
      <w:r>
        <w:rPr>
          <w:rFonts w:hint="eastAsia" w:ascii="宋体" w:hAnsi="宋体" w:eastAsia="宋体" w:cs="宋体"/>
          <w:b/>
          <w:color w:val="auto"/>
          <w:sz w:val="28"/>
          <w:szCs w:val="28"/>
        </w:rPr>
        <w:fldChar w:fldCharType="separate"/>
      </w:r>
      <w:r>
        <w:rPr>
          <w:rFonts w:hint="eastAsia" w:ascii="宋体" w:hAnsi="宋体" w:eastAsia="宋体" w:cs="宋体"/>
          <w:b/>
          <w:color w:val="auto"/>
          <w:sz w:val="28"/>
          <w:szCs w:val="28"/>
        </w:rPr>
        <w:t>- 1 -</w:t>
      </w:r>
      <w:r>
        <w:rPr>
          <w:rFonts w:hint="eastAsia" w:ascii="宋体" w:hAnsi="宋体" w:eastAsia="宋体" w:cs="宋体"/>
          <w:b/>
          <w:color w:val="auto"/>
          <w:sz w:val="28"/>
          <w:szCs w:val="28"/>
        </w:rPr>
        <w:fldChar w:fldCharType="end"/>
      </w:r>
      <w:r>
        <w:rPr>
          <w:rFonts w:hint="eastAsia" w:ascii="宋体" w:hAnsi="宋体" w:eastAsia="宋体" w:cs="宋体"/>
          <w:b/>
          <w:color w:val="auto"/>
          <w:sz w:val="28"/>
          <w:szCs w:val="28"/>
        </w:rPr>
        <w:fldChar w:fldCharType="end"/>
      </w:r>
    </w:p>
    <w:p w14:paraId="0586B2AC">
      <w:pPr>
        <w:pStyle w:val="47"/>
        <w:tabs>
          <w:tab w:val="right" w:leader="middleDot" w:pos="9120"/>
        </w:tabs>
        <w:spacing w:line="288" w:lineRule="auto"/>
        <w:rPr>
          <w:rFonts w:hint="eastAsia" w:ascii="宋体" w:hAnsi="宋体" w:eastAsia="宋体" w:cs="宋体"/>
          <w:color w:val="auto"/>
          <w:sz w:val="28"/>
          <w:szCs w:val="28"/>
        </w:rPr>
      </w:pPr>
    </w:p>
    <w:p w14:paraId="2E1A3159">
      <w:pPr>
        <w:pStyle w:val="46"/>
        <w:tabs>
          <w:tab w:val="right" w:leader="middleDot" w:pos="9120"/>
        </w:tabs>
        <w:spacing w:line="288" w:lineRule="auto"/>
        <w:rPr>
          <w:rFonts w:hint="eastAsia" w:ascii="宋体" w:hAnsi="宋体" w:eastAsia="宋体" w:cs="宋体"/>
          <w:b/>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"_Toc3954" </w:instrText>
      </w:r>
      <w:r>
        <w:rPr>
          <w:rFonts w:hint="eastAsia" w:ascii="宋体" w:hAnsi="宋体" w:eastAsia="宋体" w:cs="宋体"/>
          <w:color w:val="auto"/>
          <w:sz w:val="28"/>
          <w:szCs w:val="28"/>
        </w:rPr>
        <w:fldChar w:fldCharType="separate"/>
      </w:r>
      <w:r>
        <w:rPr>
          <w:rFonts w:hint="eastAsia" w:ascii="宋体" w:hAnsi="宋体" w:eastAsia="宋体" w:cs="宋体"/>
          <w:b/>
          <w:color w:val="auto"/>
          <w:sz w:val="28"/>
          <w:szCs w:val="28"/>
        </w:rPr>
        <w:t>第二章 投标人须知</w:t>
      </w:r>
      <w:r>
        <w:rPr>
          <w:rFonts w:hint="eastAsia" w:ascii="宋体" w:hAnsi="宋体" w:eastAsia="宋体" w:cs="宋体"/>
          <w:b/>
          <w:color w:val="auto"/>
          <w:sz w:val="28"/>
          <w:szCs w:val="28"/>
        </w:rPr>
        <w:tab/>
      </w:r>
      <w:r>
        <w:rPr>
          <w:rFonts w:hint="eastAsia" w:ascii="宋体" w:hAnsi="宋体" w:eastAsia="宋体" w:cs="宋体"/>
          <w:b/>
          <w:color w:val="auto"/>
          <w:sz w:val="28"/>
          <w:szCs w:val="28"/>
        </w:rPr>
        <w:fldChar w:fldCharType="begin"/>
      </w:r>
      <w:r>
        <w:rPr>
          <w:rFonts w:hint="eastAsia" w:ascii="宋体" w:hAnsi="宋体" w:eastAsia="宋体" w:cs="宋体"/>
          <w:b/>
          <w:color w:val="auto"/>
          <w:sz w:val="28"/>
          <w:szCs w:val="28"/>
        </w:rPr>
        <w:instrText xml:space="preserve"> PAGEREF _Toc3954 </w:instrText>
      </w:r>
      <w:r>
        <w:rPr>
          <w:rFonts w:hint="eastAsia" w:ascii="宋体" w:hAnsi="宋体" w:eastAsia="宋体" w:cs="宋体"/>
          <w:b/>
          <w:color w:val="auto"/>
          <w:sz w:val="28"/>
          <w:szCs w:val="28"/>
        </w:rPr>
        <w:fldChar w:fldCharType="separate"/>
      </w:r>
      <w:r>
        <w:rPr>
          <w:rFonts w:hint="eastAsia" w:ascii="宋体" w:hAnsi="宋体" w:eastAsia="宋体" w:cs="宋体"/>
          <w:b/>
          <w:color w:val="auto"/>
          <w:sz w:val="28"/>
          <w:szCs w:val="28"/>
        </w:rPr>
        <w:t>- 6 -</w:t>
      </w:r>
      <w:r>
        <w:rPr>
          <w:rFonts w:hint="eastAsia" w:ascii="宋体" w:hAnsi="宋体" w:eastAsia="宋体" w:cs="宋体"/>
          <w:b/>
          <w:color w:val="auto"/>
          <w:sz w:val="28"/>
          <w:szCs w:val="28"/>
        </w:rPr>
        <w:fldChar w:fldCharType="end"/>
      </w:r>
      <w:r>
        <w:rPr>
          <w:rFonts w:hint="eastAsia" w:ascii="宋体" w:hAnsi="宋体" w:eastAsia="宋体" w:cs="宋体"/>
          <w:b/>
          <w:color w:val="auto"/>
          <w:sz w:val="28"/>
          <w:szCs w:val="28"/>
        </w:rPr>
        <w:fldChar w:fldCharType="end"/>
      </w:r>
    </w:p>
    <w:p w14:paraId="685164E5">
      <w:pPr>
        <w:pStyle w:val="47"/>
        <w:tabs>
          <w:tab w:val="right" w:leader="middleDot" w:pos="9660"/>
        </w:tabs>
        <w:spacing w:line="288" w:lineRule="auto"/>
        <w:ind w:left="480"/>
        <w:rPr>
          <w:rFonts w:hint="eastAsia" w:ascii="宋体" w:hAnsi="宋体" w:eastAsia="宋体" w:cs="宋体"/>
          <w:color w:val="auto"/>
          <w:sz w:val="28"/>
          <w:szCs w:val="28"/>
        </w:rPr>
      </w:pPr>
    </w:p>
    <w:p w14:paraId="7CD9CC38">
      <w:pPr>
        <w:pStyle w:val="46"/>
        <w:tabs>
          <w:tab w:val="right" w:leader="middleDot" w:pos="9120"/>
        </w:tabs>
        <w:spacing w:line="288" w:lineRule="auto"/>
        <w:rPr>
          <w:rFonts w:hint="eastAsia" w:ascii="宋体" w:hAnsi="宋体" w:eastAsia="宋体" w:cs="宋体"/>
          <w:b/>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"_Toc19346" </w:instrText>
      </w:r>
      <w:r>
        <w:rPr>
          <w:rFonts w:hint="eastAsia" w:ascii="宋体" w:hAnsi="宋体" w:eastAsia="宋体" w:cs="宋体"/>
          <w:color w:val="auto"/>
          <w:sz w:val="28"/>
          <w:szCs w:val="28"/>
        </w:rPr>
        <w:fldChar w:fldCharType="separate"/>
      </w:r>
      <w:r>
        <w:rPr>
          <w:rFonts w:hint="eastAsia" w:ascii="宋体" w:hAnsi="宋体" w:eastAsia="宋体" w:cs="宋体"/>
          <w:b/>
          <w:color w:val="auto"/>
          <w:sz w:val="28"/>
          <w:szCs w:val="28"/>
        </w:rPr>
        <w:t>第三章 评审办法及标准</w:t>
      </w:r>
      <w:r>
        <w:rPr>
          <w:rFonts w:hint="eastAsia" w:ascii="宋体" w:hAnsi="宋体" w:eastAsia="宋体" w:cs="宋体"/>
          <w:b/>
          <w:color w:val="auto"/>
          <w:sz w:val="28"/>
          <w:szCs w:val="28"/>
        </w:rPr>
        <w:tab/>
      </w:r>
      <w:r>
        <w:rPr>
          <w:rFonts w:hint="eastAsia" w:ascii="宋体" w:hAnsi="宋体" w:eastAsia="宋体" w:cs="宋体"/>
          <w:b/>
          <w:color w:val="auto"/>
          <w:sz w:val="28"/>
          <w:szCs w:val="28"/>
        </w:rPr>
        <w:fldChar w:fldCharType="begin"/>
      </w:r>
      <w:r>
        <w:rPr>
          <w:rFonts w:hint="eastAsia" w:ascii="宋体" w:hAnsi="宋体" w:eastAsia="宋体" w:cs="宋体"/>
          <w:b/>
          <w:color w:val="auto"/>
          <w:sz w:val="28"/>
          <w:szCs w:val="28"/>
        </w:rPr>
        <w:instrText xml:space="preserve"> PAGEREF _Toc19346 </w:instrText>
      </w:r>
      <w:r>
        <w:rPr>
          <w:rFonts w:hint="eastAsia" w:ascii="宋体" w:hAnsi="宋体" w:eastAsia="宋体" w:cs="宋体"/>
          <w:b/>
          <w:color w:val="auto"/>
          <w:sz w:val="28"/>
          <w:szCs w:val="28"/>
        </w:rPr>
        <w:fldChar w:fldCharType="separate"/>
      </w:r>
      <w:r>
        <w:rPr>
          <w:rFonts w:hint="eastAsia" w:ascii="宋体" w:hAnsi="宋体" w:eastAsia="宋体" w:cs="宋体"/>
          <w:b/>
          <w:color w:val="auto"/>
          <w:sz w:val="28"/>
          <w:szCs w:val="28"/>
        </w:rPr>
        <w:t>- 30 -</w:t>
      </w:r>
      <w:r>
        <w:rPr>
          <w:rFonts w:hint="eastAsia" w:ascii="宋体" w:hAnsi="宋体" w:eastAsia="宋体" w:cs="宋体"/>
          <w:b/>
          <w:color w:val="auto"/>
          <w:sz w:val="28"/>
          <w:szCs w:val="28"/>
        </w:rPr>
        <w:fldChar w:fldCharType="end"/>
      </w:r>
      <w:r>
        <w:rPr>
          <w:rFonts w:hint="eastAsia" w:ascii="宋体" w:hAnsi="宋体" w:eastAsia="宋体" w:cs="宋体"/>
          <w:b/>
          <w:color w:val="auto"/>
          <w:sz w:val="28"/>
          <w:szCs w:val="28"/>
        </w:rPr>
        <w:fldChar w:fldCharType="end"/>
      </w:r>
    </w:p>
    <w:p w14:paraId="7FE5C3D8">
      <w:pPr>
        <w:pStyle w:val="47"/>
        <w:tabs>
          <w:tab w:val="right" w:leader="middleDot" w:pos="9660"/>
        </w:tabs>
        <w:spacing w:line="288" w:lineRule="auto"/>
        <w:ind w:left="480" w:firstLine="560" w:firstLineChars="200"/>
        <w:rPr>
          <w:rFonts w:hint="eastAsia" w:ascii="宋体" w:hAnsi="宋体" w:eastAsia="宋体" w:cs="宋体"/>
          <w:color w:val="auto"/>
          <w:sz w:val="28"/>
          <w:szCs w:val="28"/>
        </w:rPr>
      </w:pPr>
    </w:p>
    <w:p w14:paraId="407F9225">
      <w:pPr>
        <w:pStyle w:val="46"/>
        <w:tabs>
          <w:tab w:val="right" w:leader="middleDot" w:pos="9120"/>
        </w:tabs>
        <w:spacing w:line="288" w:lineRule="auto"/>
        <w:rPr>
          <w:rFonts w:hint="eastAsia" w:ascii="宋体" w:hAnsi="宋体" w:eastAsia="宋体" w:cs="宋体"/>
          <w:b/>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"_Toc1331" </w:instrText>
      </w:r>
      <w:r>
        <w:rPr>
          <w:rFonts w:hint="eastAsia" w:ascii="宋体" w:hAnsi="宋体" w:eastAsia="宋体" w:cs="宋体"/>
          <w:color w:val="auto"/>
          <w:sz w:val="28"/>
          <w:szCs w:val="28"/>
        </w:rPr>
        <w:fldChar w:fldCharType="separate"/>
      </w:r>
      <w:r>
        <w:rPr>
          <w:rFonts w:hint="eastAsia" w:ascii="宋体" w:hAnsi="宋体" w:eastAsia="宋体" w:cs="宋体"/>
          <w:b/>
          <w:color w:val="auto"/>
          <w:sz w:val="28"/>
          <w:szCs w:val="28"/>
        </w:rPr>
        <w:t xml:space="preserve">第四章 </w:t>
      </w:r>
      <w:r>
        <w:rPr>
          <w:rFonts w:hint="eastAsia" w:ascii="宋体" w:hAnsi="宋体" w:cs="宋体"/>
          <w:b/>
          <w:color w:val="auto"/>
          <w:sz w:val="28"/>
          <w:szCs w:val="28"/>
          <w:lang w:val="en-US" w:eastAsia="zh-CN"/>
        </w:rPr>
        <w:t>服务</w:t>
      </w:r>
      <w:r>
        <w:rPr>
          <w:rFonts w:hint="eastAsia" w:ascii="宋体" w:hAnsi="宋体" w:eastAsia="宋体" w:cs="宋体"/>
          <w:b/>
          <w:color w:val="auto"/>
          <w:sz w:val="28"/>
          <w:szCs w:val="28"/>
        </w:rPr>
        <w:t>内容及要求</w:t>
      </w:r>
      <w:r>
        <w:rPr>
          <w:rFonts w:hint="eastAsia" w:ascii="宋体" w:hAnsi="宋体" w:eastAsia="宋体" w:cs="宋体"/>
          <w:b/>
          <w:color w:val="auto"/>
          <w:sz w:val="28"/>
          <w:szCs w:val="28"/>
        </w:rPr>
        <w:tab/>
      </w:r>
      <w:r>
        <w:rPr>
          <w:rFonts w:hint="eastAsia" w:ascii="宋体" w:hAnsi="宋体" w:eastAsia="宋体" w:cs="宋体"/>
          <w:b/>
          <w:color w:val="auto"/>
          <w:sz w:val="28"/>
          <w:szCs w:val="28"/>
        </w:rPr>
        <w:fldChar w:fldCharType="begin"/>
      </w:r>
      <w:r>
        <w:rPr>
          <w:rFonts w:hint="eastAsia" w:ascii="宋体" w:hAnsi="宋体" w:eastAsia="宋体" w:cs="宋体"/>
          <w:b/>
          <w:color w:val="auto"/>
          <w:sz w:val="28"/>
          <w:szCs w:val="28"/>
        </w:rPr>
        <w:instrText xml:space="preserve"> PAGEREF _Toc1331 </w:instrText>
      </w:r>
      <w:r>
        <w:rPr>
          <w:rFonts w:hint="eastAsia" w:ascii="宋体" w:hAnsi="宋体" w:eastAsia="宋体" w:cs="宋体"/>
          <w:b/>
          <w:color w:val="auto"/>
          <w:sz w:val="28"/>
          <w:szCs w:val="28"/>
        </w:rPr>
        <w:fldChar w:fldCharType="separate"/>
      </w:r>
      <w:r>
        <w:rPr>
          <w:rFonts w:hint="eastAsia" w:ascii="宋体" w:hAnsi="宋体" w:eastAsia="宋体" w:cs="宋体"/>
          <w:b/>
          <w:color w:val="auto"/>
          <w:sz w:val="28"/>
          <w:szCs w:val="28"/>
        </w:rPr>
        <w:t>- 3</w:t>
      </w:r>
      <w:r>
        <w:rPr>
          <w:rFonts w:hint="eastAsia" w:ascii="宋体" w:hAnsi="宋体" w:cs="宋体"/>
          <w:b/>
          <w:color w:val="auto"/>
          <w:sz w:val="28"/>
          <w:szCs w:val="28"/>
          <w:lang w:val="en-US" w:eastAsia="zh-CN"/>
        </w:rPr>
        <w:t>5</w:t>
      </w:r>
      <w:r>
        <w:rPr>
          <w:rFonts w:hint="eastAsia" w:ascii="宋体" w:hAnsi="宋体" w:eastAsia="宋体" w:cs="宋体"/>
          <w:b/>
          <w:color w:val="auto"/>
          <w:sz w:val="28"/>
          <w:szCs w:val="28"/>
        </w:rPr>
        <w:t xml:space="preserve"> -</w:t>
      </w:r>
      <w:r>
        <w:rPr>
          <w:rFonts w:hint="eastAsia" w:ascii="宋体" w:hAnsi="宋体" w:eastAsia="宋体" w:cs="宋体"/>
          <w:b/>
          <w:color w:val="auto"/>
          <w:sz w:val="28"/>
          <w:szCs w:val="28"/>
        </w:rPr>
        <w:fldChar w:fldCharType="end"/>
      </w:r>
      <w:r>
        <w:rPr>
          <w:rFonts w:hint="eastAsia" w:ascii="宋体" w:hAnsi="宋体" w:eastAsia="宋体" w:cs="宋体"/>
          <w:b/>
          <w:color w:val="auto"/>
          <w:sz w:val="28"/>
          <w:szCs w:val="28"/>
        </w:rPr>
        <w:fldChar w:fldCharType="end"/>
      </w:r>
    </w:p>
    <w:p w14:paraId="51B5178B">
      <w:pPr>
        <w:pStyle w:val="47"/>
        <w:tabs>
          <w:tab w:val="right" w:leader="middleDot" w:pos="9660"/>
        </w:tabs>
        <w:spacing w:line="288" w:lineRule="auto"/>
        <w:ind w:left="480"/>
        <w:rPr>
          <w:rFonts w:hint="eastAsia" w:ascii="宋体" w:hAnsi="宋体" w:eastAsia="宋体" w:cs="宋体"/>
          <w:color w:val="auto"/>
          <w:sz w:val="28"/>
          <w:szCs w:val="28"/>
        </w:rPr>
      </w:pPr>
    </w:p>
    <w:p w14:paraId="387EF4A4">
      <w:pPr>
        <w:pStyle w:val="46"/>
        <w:tabs>
          <w:tab w:val="right" w:leader="middleDot" w:pos="9120"/>
        </w:tabs>
        <w:spacing w:line="288" w:lineRule="auto"/>
        <w:rPr>
          <w:rFonts w:hint="eastAsia" w:ascii="宋体" w:hAnsi="宋体" w:eastAsia="宋体" w:cs="宋体"/>
          <w:b/>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"_Toc5522" </w:instrText>
      </w:r>
      <w:r>
        <w:rPr>
          <w:rFonts w:hint="eastAsia" w:ascii="宋体" w:hAnsi="宋体" w:eastAsia="宋体" w:cs="宋体"/>
          <w:color w:val="auto"/>
          <w:sz w:val="28"/>
          <w:szCs w:val="28"/>
        </w:rPr>
        <w:fldChar w:fldCharType="separate"/>
      </w:r>
      <w:r>
        <w:rPr>
          <w:rFonts w:hint="eastAsia" w:ascii="宋体" w:hAnsi="宋体" w:eastAsia="宋体" w:cs="宋体"/>
          <w:b/>
          <w:color w:val="auto"/>
          <w:sz w:val="28"/>
          <w:szCs w:val="28"/>
        </w:rPr>
        <w:t xml:space="preserve">第五章 </w:t>
      </w:r>
      <w:r>
        <w:rPr>
          <w:rFonts w:hint="eastAsia" w:ascii="宋体" w:hAnsi="宋体" w:cs="宋体"/>
          <w:b/>
          <w:color w:val="auto"/>
          <w:sz w:val="28"/>
          <w:szCs w:val="28"/>
          <w:lang w:val="en-US" w:eastAsia="zh-CN"/>
        </w:rPr>
        <w:t>商务要求</w:t>
      </w:r>
      <w:r>
        <w:rPr>
          <w:rFonts w:hint="eastAsia" w:ascii="宋体" w:hAnsi="宋体" w:eastAsia="宋体" w:cs="宋体"/>
          <w:b/>
          <w:color w:val="auto"/>
          <w:sz w:val="28"/>
          <w:szCs w:val="28"/>
        </w:rPr>
        <w:tab/>
      </w:r>
      <w:r>
        <w:rPr>
          <w:rFonts w:hint="eastAsia" w:ascii="宋体" w:hAnsi="宋体" w:eastAsia="宋体" w:cs="宋体"/>
          <w:b/>
          <w:color w:val="auto"/>
          <w:sz w:val="28"/>
          <w:szCs w:val="28"/>
        </w:rPr>
        <w:fldChar w:fldCharType="begin"/>
      </w:r>
      <w:r>
        <w:rPr>
          <w:rFonts w:hint="eastAsia" w:ascii="宋体" w:hAnsi="宋体" w:eastAsia="宋体" w:cs="宋体"/>
          <w:b/>
          <w:color w:val="auto"/>
          <w:sz w:val="28"/>
          <w:szCs w:val="28"/>
        </w:rPr>
        <w:instrText xml:space="preserve"> PAGEREF _Toc5522 </w:instrText>
      </w:r>
      <w:r>
        <w:rPr>
          <w:rFonts w:hint="eastAsia" w:ascii="宋体" w:hAnsi="宋体" w:eastAsia="宋体" w:cs="宋体"/>
          <w:b/>
          <w:color w:val="auto"/>
          <w:sz w:val="28"/>
          <w:szCs w:val="28"/>
        </w:rPr>
        <w:fldChar w:fldCharType="separate"/>
      </w:r>
      <w:r>
        <w:rPr>
          <w:rFonts w:hint="eastAsia" w:ascii="宋体" w:hAnsi="宋体" w:eastAsia="宋体" w:cs="宋体"/>
          <w:b/>
          <w:color w:val="auto"/>
          <w:sz w:val="28"/>
          <w:szCs w:val="28"/>
        </w:rPr>
        <w:t xml:space="preserve">- </w:t>
      </w:r>
      <w:r>
        <w:rPr>
          <w:rFonts w:hint="eastAsia" w:ascii="宋体" w:hAnsi="宋体" w:cs="宋体"/>
          <w:b/>
          <w:color w:val="auto"/>
          <w:sz w:val="28"/>
          <w:szCs w:val="28"/>
          <w:lang w:val="en-US" w:eastAsia="zh-CN"/>
        </w:rPr>
        <w:t>70</w:t>
      </w:r>
      <w:r>
        <w:rPr>
          <w:rFonts w:hint="eastAsia" w:ascii="宋体" w:hAnsi="宋体" w:eastAsia="宋体" w:cs="宋体"/>
          <w:b/>
          <w:color w:val="auto"/>
          <w:sz w:val="28"/>
          <w:szCs w:val="28"/>
        </w:rPr>
        <w:t xml:space="preserve"> -</w:t>
      </w:r>
      <w:r>
        <w:rPr>
          <w:rFonts w:hint="eastAsia" w:ascii="宋体" w:hAnsi="宋体" w:eastAsia="宋体" w:cs="宋体"/>
          <w:b/>
          <w:color w:val="auto"/>
          <w:sz w:val="28"/>
          <w:szCs w:val="28"/>
        </w:rPr>
        <w:fldChar w:fldCharType="end"/>
      </w:r>
      <w:r>
        <w:rPr>
          <w:rFonts w:hint="eastAsia" w:ascii="宋体" w:hAnsi="宋体" w:eastAsia="宋体" w:cs="宋体"/>
          <w:b/>
          <w:color w:val="auto"/>
          <w:sz w:val="28"/>
          <w:szCs w:val="28"/>
        </w:rPr>
        <w:fldChar w:fldCharType="end"/>
      </w:r>
    </w:p>
    <w:p w14:paraId="1EBE2DE7">
      <w:pPr>
        <w:pStyle w:val="46"/>
        <w:tabs>
          <w:tab w:val="right" w:leader="middleDot" w:pos="9660"/>
        </w:tabs>
        <w:spacing w:line="288" w:lineRule="auto"/>
        <w:rPr>
          <w:rFonts w:hint="eastAsia" w:ascii="宋体" w:hAnsi="宋体" w:eastAsia="宋体" w:cs="宋体"/>
          <w:b/>
          <w:color w:val="auto"/>
          <w:sz w:val="28"/>
          <w:szCs w:val="28"/>
        </w:rPr>
      </w:pPr>
    </w:p>
    <w:p w14:paraId="2ECC7356">
      <w:pPr>
        <w:pStyle w:val="46"/>
        <w:tabs>
          <w:tab w:val="right" w:leader="middleDot" w:pos="9120"/>
        </w:tabs>
        <w:spacing w:line="288" w:lineRule="auto"/>
        <w:rPr>
          <w:rFonts w:hint="eastAsia" w:ascii="宋体" w:hAnsi="宋体" w:eastAsia="宋体" w:cs="宋体"/>
          <w:b/>
          <w:color w:val="auto"/>
          <w:sz w:val="28"/>
          <w:szCs w:val="28"/>
        </w:rPr>
      </w:pP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\l "_Toc20606" </w:instrText>
      </w:r>
      <w:r>
        <w:rPr>
          <w:rFonts w:hint="eastAsia" w:ascii="宋体" w:hAnsi="宋体" w:eastAsia="宋体" w:cs="宋体"/>
          <w:color w:val="auto"/>
          <w:sz w:val="28"/>
          <w:szCs w:val="28"/>
        </w:rPr>
        <w:fldChar w:fldCharType="separate"/>
      </w:r>
      <w:r>
        <w:rPr>
          <w:rFonts w:hint="eastAsia" w:ascii="宋体" w:hAnsi="宋体" w:eastAsia="宋体" w:cs="宋体"/>
          <w:b/>
          <w:color w:val="auto"/>
          <w:sz w:val="28"/>
          <w:szCs w:val="28"/>
        </w:rPr>
        <w:t xml:space="preserve">第六章 </w:t>
      </w:r>
      <w:r>
        <w:rPr>
          <w:rFonts w:hint="eastAsia" w:ascii="宋体" w:hAnsi="宋体" w:cs="宋体"/>
          <w:b/>
          <w:color w:val="auto"/>
          <w:sz w:val="28"/>
          <w:szCs w:val="28"/>
          <w:lang w:val="en-US" w:eastAsia="zh-CN"/>
        </w:rPr>
        <w:t>服务合同</w:t>
      </w:r>
      <w:r>
        <w:rPr>
          <w:rFonts w:hint="eastAsia" w:ascii="宋体" w:hAnsi="宋体" w:eastAsia="宋体" w:cs="宋体"/>
          <w:b/>
          <w:color w:val="auto"/>
          <w:sz w:val="28"/>
          <w:szCs w:val="28"/>
        </w:rPr>
        <w:tab/>
      </w:r>
      <w:r>
        <w:rPr>
          <w:rFonts w:hint="eastAsia" w:ascii="宋体" w:hAnsi="宋体" w:eastAsia="宋体" w:cs="宋体"/>
          <w:b/>
          <w:color w:val="auto"/>
          <w:sz w:val="28"/>
          <w:szCs w:val="28"/>
        </w:rPr>
        <w:fldChar w:fldCharType="begin"/>
      </w:r>
      <w:r>
        <w:rPr>
          <w:rFonts w:hint="eastAsia" w:ascii="宋体" w:hAnsi="宋体" w:eastAsia="宋体" w:cs="宋体"/>
          <w:b/>
          <w:color w:val="auto"/>
          <w:sz w:val="28"/>
          <w:szCs w:val="28"/>
        </w:rPr>
        <w:instrText xml:space="preserve"> PAGEREF _Toc20606 </w:instrText>
      </w:r>
      <w:r>
        <w:rPr>
          <w:rFonts w:hint="eastAsia" w:ascii="宋体" w:hAnsi="宋体" w:eastAsia="宋体" w:cs="宋体"/>
          <w:b/>
          <w:color w:val="auto"/>
          <w:sz w:val="28"/>
          <w:szCs w:val="28"/>
        </w:rPr>
        <w:fldChar w:fldCharType="separate"/>
      </w:r>
      <w:r>
        <w:rPr>
          <w:rFonts w:hint="eastAsia" w:ascii="宋体" w:hAnsi="宋体" w:eastAsia="宋体" w:cs="宋体"/>
          <w:b/>
          <w:color w:val="auto"/>
          <w:sz w:val="28"/>
          <w:szCs w:val="28"/>
        </w:rPr>
        <w:t>- 7</w:t>
      </w:r>
      <w:r>
        <w:rPr>
          <w:rFonts w:hint="eastAsia" w:ascii="宋体" w:hAnsi="宋体" w:cs="宋体"/>
          <w:b/>
          <w:color w:val="auto"/>
          <w:sz w:val="28"/>
          <w:szCs w:val="28"/>
          <w:lang w:val="en-US" w:eastAsia="zh-CN"/>
        </w:rPr>
        <w:t>2</w:t>
      </w:r>
      <w:r>
        <w:rPr>
          <w:rFonts w:hint="eastAsia" w:ascii="宋体" w:hAnsi="宋体" w:eastAsia="宋体" w:cs="宋体"/>
          <w:b/>
          <w:color w:val="auto"/>
          <w:sz w:val="28"/>
          <w:szCs w:val="28"/>
        </w:rPr>
        <w:t xml:space="preserve"> -</w:t>
      </w:r>
      <w:r>
        <w:rPr>
          <w:rFonts w:hint="eastAsia" w:ascii="宋体" w:hAnsi="宋体" w:eastAsia="宋体" w:cs="宋体"/>
          <w:b/>
          <w:color w:val="auto"/>
          <w:sz w:val="28"/>
          <w:szCs w:val="28"/>
        </w:rPr>
        <w:fldChar w:fldCharType="end"/>
      </w:r>
      <w:r>
        <w:rPr>
          <w:rFonts w:hint="eastAsia" w:ascii="宋体" w:hAnsi="宋体" w:eastAsia="宋体" w:cs="宋体"/>
          <w:b/>
          <w:color w:val="auto"/>
          <w:sz w:val="28"/>
          <w:szCs w:val="28"/>
        </w:rPr>
        <w:fldChar w:fldCharType="end"/>
      </w:r>
    </w:p>
    <w:p w14:paraId="13814FD3">
      <w:pPr>
        <w:pStyle w:val="46"/>
        <w:tabs>
          <w:tab w:val="right" w:leader="middleDot" w:pos="9120"/>
        </w:tabs>
        <w:spacing w:line="288" w:lineRule="auto"/>
        <w:rPr>
          <w:rFonts w:hint="eastAsia" w:ascii="宋体" w:hAnsi="宋体" w:eastAsia="宋体" w:cs="宋体"/>
          <w:b/>
          <w:color w:val="auto"/>
          <w:sz w:val="28"/>
          <w:szCs w:val="28"/>
        </w:rPr>
      </w:pPr>
    </w:p>
    <w:p w14:paraId="40098360">
      <w:pPr>
        <w:pStyle w:val="46"/>
        <w:tabs>
          <w:tab w:val="right" w:leader="middleDot" w:pos="9120"/>
        </w:tabs>
        <w:spacing w:line="288" w:lineRule="auto"/>
        <w:rPr>
          <w:rFonts w:hint="default" w:ascii="宋体" w:hAnsi="宋体" w:eastAsia="宋体" w:cs="宋体"/>
          <w:b/>
          <w:color w:val="auto"/>
          <w:sz w:val="28"/>
          <w:szCs w:val="28"/>
          <w:lang w:val="en-US" w:eastAsia="zh-CN"/>
        </w:rPr>
      </w:pPr>
      <w:r>
        <w:rPr>
          <w:rFonts w:hint="eastAsia" w:ascii="宋体" w:hAnsi="宋体" w:cs="宋体"/>
          <w:b/>
          <w:color w:val="auto"/>
          <w:sz w:val="28"/>
          <w:szCs w:val="28"/>
          <w:lang w:val="en-US" w:eastAsia="zh-CN"/>
        </w:rPr>
        <w:t xml:space="preserve">第七章 </w:t>
      </w:r>
      <w:r>
        <w:rPr>
          <w:rFonts w:hint="eastAsia" w:ascii="宋体" w:hAnsi="宋体" w:eastAsia="宋体" w:cs="宋体"/>
          <w:b/>
          <w:color w:val="auto"/>
          <w:sz w:val="28"/>
          <w:szCs w:val="28"/>
        </w:rPr>
        <w:t>投标文件构成及格式</w:t>
      </w:r>
      <w:r>
        <w:rPr>
          <w:rFonts w:hint="eastAsia" w:ascii="宋体" w:hAnsi="宋体" w:eastAsia="宋体" w:cs="宋体"/>
          <w:b/>
          <w:color w:val="auto"/>
          <w:sz w:val="28"/>
          <w:szCs w:val="28"/>
        </w:rPr>
        <w:tab/>
      </w:r>
      <w:r>
        <w:rPr>
          <w:rFonts w:hint="eastAsia" w:ascii="宋体" w:hAnsi="宋体" w:eastAsia="宋体" w:cs="宋体"/>
          <w:b/>
          <w:color w:val="auto"/>
          <w:sz w:val="28"/>
          <w:szCs w:val="28"/>
        </w:rPr>
        <w:fldChar w:fldCharType="begin"/>
      </w:r>
      <w:r>
        <w:rPr>
          <w:rFonts w:hint="eastAsia" w:ascii="宋体" w:hAnsi="宋体" w:eastAsia="宋体" w:cs="宋体"/>
          <w:b/>
          <w:color w:val="auto"/>
          <w:sz w:val="28"/>
          <w:szCs w:val="28"/>
        </w:rPr>
        <w:instrText xml:space="preserve"> PAGEREF _Toc20606 </w:instrText>
      </w:r>
      <w:r>
        <w:rPr>
          <w:rFonts w:hint="eastAsia" w:ascii="宋体" w:hAnsi="宋体" w:eastAsia="宋体" w:cs="宋体"/>
          <w:b/>
          <w:color w:val="auto"/>
          <w:sz w:val="28"/>
          <w:szCs w:val="28"/>
        </w:rPr>
        <w:fldChar w:fldCharType="separate"/>
      </w:r>
      <w:r>
        <w:rPr>
          <w:rFonts w:hint="eastAsia" w:ascii="宋体" w:hAnsi="宋体" w:eastAsia="宋体" w:cs="宋体"/>
          <w:b/>
          <w:color w:val="auto"/>
          <w:sz w:val="28"/>
          <w:szCs w:val="28"/>
        </w:rPr>
        <w:t xml:space="preserve">- </w:t>
      </w:r>
      <w:r>
        <w:rPr>
          <w:rFonts w:hint="eastAsia" w:ascii="宋体" w:hAnsi="宋体" w:cs="宋体"/>
          <w:b/>
          <w:color w:val="auto"/>
          <w:sz w:val="28"/>
          <w:szCs w:val="28"/>
          <w:lang w:val="en-US" w:eastAsia="zh-CN"/>
        </w:rPr>
        <w:t xml:space="preserve">79 </w:t>
      </w:r>
      <w:r>
        <w:rPr>
          <w:rFonts w:hint="eastAsia" w:ascii="宋体" w:hAnsi="宋体" w:eastAsia="宋体" w:cs="宋体"/>
          <w:b/>
          <w:color w:val="auto"/>
          <w:sz w:val="28"/>
          <w:szCs w:val="28"/>
        </w:rPr>
        <w:t>-</w:t>
      </w:r>
      <w:r>
        <w:rPr>
          <w:rFonts w:hint="eastAsia" w:ascii="宋体" w:hAnsi="宋体" w:eastAsia="宋体" w:cs="宋体"/>
          <w:b/>
          <w:color w:val="auto"/>
          <w:sz w:val="28"/>
          <w:szCs w:val="28"/>
        </w:rPr>
        <w:fldChar w:fldCharType="end"/>
      </w:r>
    </w:p>
    <w:p w14:paraId="38AC9DBB">
      <w:pPr>
        <w:pStyle w:val="20"/>
        <w:ind w:firstLine="0" w:firstLineChars="0"/>
        <w:rPr>
          <w:rFonts w:hAnsi="Times New Roman"/>
          <w:b/>
          <w:bCs/>
          <w:color w:val="auto"/>
          <w:sz w:val="24"/>
        </w:rPr>
      </w:pPr>
      <w:r>
        <w:rPr>
          <w:b/>
          <w:color w:val="auto"/>
        </w:rPr>
        <w:fldChar w:fldCharType="end"/>
      </w:r>
    </w:p>
    <w:p w14:paraId="7F8A5EB7">
      <w:pPr>
        <w:bidi w:val="0"/>
        <w:rPr>
          <w:color w:val="auto"/>
        </w:rPr>
      </w:pPr>
    </w:p>
    <w:p w14:paraId="3CF39C0C">
      <w:pPr>
        <w:bidi w:val="0"/>
        <w:rPr>
          <w:color w:val="auto"/>
        </w:rPr>
      </w:pPr>
    </w:p>
    <w:p w14:paraId="03FD9DDC">
      <w:pPr>
        <w:bidi w:val="0"/>
        <w:rPr>
          <w:color w:val="auto"/>
        </w:rPr>
      </w:pPr>
    </w:p>
    <w:p w14:paraId="7116E63A">
      <w:pPr>
        <w:bidi w:val="0"/>
        <w:rPr>
          <w:color w:val="auto"/>
        </w:rPr>
      </w:pPr>
    </w:p>
    <w:p w14:paraId="4BEB3CDA">
      <w:pPr>
        <w:bidi w:val="0"/>
        <w:rPr>
          <w:color w:val="auto"/>
        </w:rPr>
      </w:pPr>
    </w:p>
    <w:p w14:paraId="081A7678">
      <w:pPr>
        <w:bidi w:val="0"/>
        <w:rPr>
          <w:color w:val="auto"/>
        </w:rPr>
      </w:pPr>
    </w:p>
    <w:p w14:paraId="13786A64">
      <w:pPr>
        <w:bidi w:val="0"/>
        <w:rPr>
          <w:color w:val="auto"/>
        </w:rPr>
      </w:pPr>
    </w:p>
    <w:p w14:paraId="3ED1ACA8">
      <w:pPr>
        <w:bidi w:val="0"/>
        <w:rPr>
          <w:color w:val="auto"/>
        </w:rPr>
      </w:pPr>
    </w:p>
    <w:p w14:paraId="2D8CA342">
      <w:pPr>
        <w:bidi w:val="0"/>
        <w:rPr>
          <w:color w:val="auto"/>
        </w:rPr>
      </w:pPr>
    </w:p>
    <w:p w14:paraId="6EE4BEBA">
      <w:pPr>
        <w:bidi w:val="0"/>
        <w:rPr>
          <w:color w:val="auto"/>
        </w:rPr>
      </w:pPr>
    </w:p>
    <w:p w14:paraId="0FC8A345">
      <w:pPr>
        <w:bidi w:val="0"/>
        <w:rPr>
          <w:color w:val="auto"/>
        </w:rPr>
      </w:pPr>
    </w:p>
    <w:p w14:paraId="7B0F146D">
      <w:pPr>
        <w:bidi w:val="0"/>
        <w:rPr>
          <w:color w:val="auto"/>
        </w:rPr>
        <w:sectPr>
          <w:footerReference r:id="rId4" w:type="default"/>
          <w:pgSz w:w="11906" w:h="16838"/>
          <w:pgMar w:top="1417" w:right="1417" w:bottom="1417" w:left="1417" w:header="850" w:footer="850" w:gutter="0"/>
          <w:pgNumType w:fmt="numberInDash" w:start="1"/>
          <w:cols w:space="425" w:num="1"/>
          <w:docGrid w:type="lines" w:linePitch="326" w:charSpace="0"/>
        </w:sectPr>
      </w:pPr>
    </w:p>
    <w:p w14:paraId="1BA89E65">
      <w:pPr>
        <w:bidi w:val="0"/>
        <w:rPr>
          <w:color w:val="auto"/>
        </w:rPr>
      </w:pPr>
    </w:p>
    <w:p w14:paraId="74C3ED52">
      <w:pPr>
        <w:pStyle w:val="2"/>
        <w:numPr>
          <w:ilvl w:val="0"/>
          <w:numId w:val="1"/>
        </w:numPr>
        <w:rPr>
          <w:rFonts w:hint="eastAsia"/>
          <w:sz w:val="32"/>
          <w:szCs w:val="32"/>
        </w:rPr>
      </w:pPr>
      <w:bookmarkStart w:id="1" w:name="_Toc25770"/>
      <w:r>
        <w:rPr>
          <w:rFonts w:hint="eastAsia"/>
          <w:sz w:val="32"/>
          <w:szCs w:val="32"/>
        </w:rPr>
        <w:t>招标公告</w:t>
      </w:r>
      <w:bookmarkEnd w:id="1"/>
    </w:p>
    <w:p w14:paraId="6A28AA87">
      <w:pPr>
        <w:numPr>
          <w:ilvl w:val="0"/>
          <w:numId w:val="0"/>
        </w:numPr>
        <w:jc w:val="center"/>
        <w:rPr>
          <w:rFonts w:hint="eastAsia"/>
          <w:b/>
          <w:bCs/>
          <w:sz w:val="30"/>
          <w:szCs w:val="30"/>
        </w:rPr>
      </w:pPr>
      <w:r>
        <w:rPr>
          <w:rFonts w:hint="eastAsia"/>
          <w:b/>
          <w:bCs/>
          <w:sz w:val="30"/>
          <w:szCs w:val="30"/>
        </w:rPr>
        <w:t>榆林市综合交通信息服务平台建设（一期）工程项目</w:t>
      </w:r>
    </w:p>
    <w:p w14:paraId="634F9CE9">
      <w:pPr>
        <w:numPr>
          <w:ilvl w:val="0"/>
          <w:numId w:val="0"/>
        </w:numPr>
        <w:jc w:val="center"/>
        <w:rPr>
          <w:rFonts w:hint="eastAsia" w:ascii="宋体" w:eastAsia="宋体"/>
          <w:b/>
          <w:bCs/>
          <w:sz w:val="30"/>
          <w:szCs w:val="30"/>
        </w:rPr>
      </w:pPr>
      <w:r>
        <w:rPr>
          <w:rFonts w:hint="eastAsia" w:ascii="宋体" w:eastAsia="宋体"/>
          <w:b/>
          <w:bCs/>
          <w:sz w:val="30"/>
          <w:szCs w:val="30"/>
        </w:rPr>
        <w:t>管理服务招标公告</w:t>
      </w:r>
    </w:p>
    <w:p w14:paraId="6438149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rPr>
      </w:pPr>
      <w:r>
        <w:rPr>
          <w:rFonts w:hint="eastAsia"/>
          <w:b/>
          <w:bCs/>
        </w:rPr>
        <w:t xml:space="preserve"> 项目概况</w:t>
      </w:r>
    </w:p>
    <w:p w14:paraId="562686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b/>
          <w:bCs/>
        </w:rPr>
      </w:pPr>
      <w:r>
        <w:rPr>
          <w:rFonts w:hint="eastAsia"/>
        </w:rPr>
        <w:t>榆林市综合交通信息服务平台建设（一期）工程项目管理服务招标项目的潜在投标人应在登录全国公共资源交易中心平台（陕西省）使用CA锁报名后自行下载获取招标文件，并于 2025年11月</w:t>
      </w:r>
      <w:r>
        <w:rPr>
          <w:rFonts w:hint="eastAsia"/>
          <w:lang w:val="en-US" w:eastAsia="zh-CN"/>
        </w:rPr>
        <w:t>20</w:t>
      </w:r>
      <w:r>
        <w:rPr>
          <w:rFonts w:hint="eastAsia"/>
        </w:rPr>
        <w:t>日 09时30分 （北京时间）前递交投标文件。</w:t>
      </w:r>
    </w:p>
    <w:p w14:paraId="6AA0F08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rPr>
      </w:pPr>
      <w:r>
        <w:rPr>
          <w:rFonts w:hint="eastAsia"/>
          <w:b/>
          <w:bCs/>
        </w:rPr>
        <w:t>一、项目基本情况</w:t>
      </w:r>
    </w:p>
    <w:p w14:paraId="2C2165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项目编号：YLHB-2025-039</w:t>
      </w:r>
    </w:p>
    <w:p w14:paraId="2032A27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项目名称：榆林市综合交通信息服务平台建设（一期）工程项目管理服务</w:t>
      </w:r>
    </w:p>
    <w:p w14:paraId="2A774C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采购方式：公开招标</w:t>
      </w:r>
    </w:p>
    <w:p w14:paraId="3655DE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预算金额：4,401,200.00元</w:t>
      </w:r>
    </w:p>
    <w:p w14:paraId="153E24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采购需求：</w:t>
      </w:r>
    </w:p>
    <w:p w14:paraId="63905F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合同包1(榆林市综合交通信息服务平台建设（一期）工程项目管理服务):</w:t>
      </w:r>
    </w:p>
    <w:p w14:paraId="5E8E8E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960" w:firstLineChars="400"/>
        <w:textAlignment w:val="auto"/>
        <w:rPr>
          <w:rFonts w:hint="eastAsia"/>
        </w:rPr>
      </w:pPr>
      <w:r>
        <w:rPr>
          <w:rFonts w:hint="eastAsia"/>
        </w:rPr>
        <w:t>合同包预算金额：4,401,200.00元</w:t>
      </w:r>
    </w:p>
    <w:p w14:paraId="12BC85E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 xml:space="preserve"> </w:t>
      </w:r>
      <w:r>
        <w:rPr>
          <w:rFonts w:hint="eastAsia"/>
          <w:lang w:val="en-US" w:eastAsia="zh-CN"/>
        </w:rPr>
        <w:t xml:space="preserve">        </w:t>
      </w:r>
      <w:r>
        <w:rPr>
          <w:rFonts w:hint="eastAsia"/>
        </w:rPr>
        <w:t>合同包最高限价：4,401,200.00元</w:t>
      </w:r>
    </w:p>
    <w:tbl>
      <w:tblPr>
        <w:tblStyle w:val="21"/>
        <w:tblpPr w:leftFromText="180" w:rightFromText="180" w:vertAnchor="text" w:horzAnchor="page" w:tblpX="1662" w:tblpY="42"/>
        <w:tblOverlap w:val="never"/>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384"/>
        <w:gridCol w:w="1254"/>
        <w:gridCol w:w="1680"/>
        <w:gridCol w:w="1218"/>
        <w:gridCol w:w="1384"/>
        <w:gridCol w:w="1476"/>
      </w:tblGrid>
      <w:tr w14:paraId="2173F9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FC3BA3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1"/>
                <w:szCs w:val="21"/>
              </w:rPr>
            </w:pPr>
            <w:r>
              <w:rPr>
                <w:rFonts w:hint="eastAsia"/>
                <w:sz w:val="21"/>
                <w:szCs w:val="21"/>
              </w:rPr>
              <w:t>品目号</w:t>
            </w:r>
          </w:p>
        </w:tc>
        <w:tc>
          <w:tcPr>
            <w:tcW w:w="1254" w:type="dxa"/>
          </w:tcPr>
          <w:p w14:paraId="35C4B69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1"/>
                <w:szCs w:val="21"/>
              </w:rPr>
            </w:pPr>
            <w:r>
              <w:rPr>
                <w:rFonts w:hint="eastAsia"/>
                <w:sz w:val="21"/>
                <w:szCs w:val="21"/>
              </w:rPr>
              <w:t>品目名称</w:t>
            </w:r>
          </w:p>
        </w:tc>
        <w:tc>
          <w:tcPr>
            <w:tcW w:w="1680" w:type="dxa"/>
          </w:tcPr>
          <w:p w14:paraId="27971C1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1"/>
                <w:szCs w:val="21"/>
              </w:rPr>
            </w:pPr>
            <w:r>
              <w:rPr>
                <w:rFonts w:hint="eastAsia"/>
                <w:sz w:val="21"/>
                <w:szCs w:val="21"/>
              </w:rPr>
              <w:t>采购标的</w:t>
            </w:r>
          </w:p>
        </w:tc>
        <w:tc>
          <w:tcPr>
            <w:tcW w:w="1218" w:type="dxa"/>
          </w:tcPr>
          <w:p w14:paraId="0077170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1"/>
                <w:szCs w:val="21"/>
              </w:rPr>
            </w:pPr>
            <w:r>
              <w:rPr>
                <w:rFonts w:hint="eastAsia"/>
                <w:sz w:val="21"/>
                <w:szCs w:val="21"/>
              </w:rPr>
              <w:t>数量（单位）</w:t>
            </w:r>
          </w:p>
        </w:tc>
        <w:tc>
          <w:tcPr>
            <w:tcW w:w="1384" w:type="dxa"/>
          </w:tcPr>
          <w:p w14:paraId="703AE9F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1"/>
                <w:szCs w:val="21"/>
              </w:rPr>
            </w:pPr>
            <w:r>
              <w:rPr>
                <w:rFonts w:hint="eastAsia"/>
                <w:sz w:val="21"/>
                <w:szCs w:val="21"/>
              </w:rPr>
              <w:t>技术规格、参数及要求</w:t>
            </w:r>
          </w:p>
        </w:tc>
        <w:tc>
          <w:tcPr>
            <w:tcW w:w="1476" w:type="dxa"/>
          </w:tcPr>
          <w:p w14:paraId="63D9D49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1"/>
                <w:szCs w:val="21"/>
              </w:rPr>
            </w:pPr>
            <w:r>
              <w:rPr>
                <w:rFonts w:hint="eastAsia"/>
                <w:sz w:val="21"/>
                <w:szCs w:val="21"/>
              </w:rPr>
              <w:t>品目预算(元)</w:t>
            </w:r>
          </w:p>
        </w:tc>
      </w:tr>
      <w:tr w14:paraId="1F8844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5C3CD9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sz w:val="21"/>
                <w:szCs w:val="21"/>
              </w:rPr>
            </w:pPr>
            <w:r>
              <w:rPr>
                <w:rFonts w:hint="eastAsia"/>
                <w:sz w:val="21"/>
                <w:szCs w:val="21"/>
              </w:rPr>
              <w:t>1-1</w:t>
            </w:r>
          </w:p>
        </w:tc>
        <w:tc>
          <w:tcPr>
            <w:tcW w:w="1254" w:type="dxa"/>
          </w:tcPr>
          <w:p w14:paraId="4E38BDE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1"/>
                <w:szCs w:val="21"/>
              </w:rPr>
            </w:pPr>
            <w:r>
              <w:rPr>
                <w:rFonts w:hint="eastAsia"/>
                <w:sz w:val="21"/>
                <w:szCs w:val="21"/>
              </w:rPr>
              <w:t>工程项目管理服务</w:t>
            </w:r>
          </w:p>
        </w:tc>
        <w:tc>
          <w:tcPr>
            <w:tcW w:w="1680" w:type="dxa"/>
          </w:tcPr>
          <w:p w14:paraId="3D95940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1"/>
                <w:szCs w:val="21"/>
              </w:rPr>
            </w:pPr>
            <w:r>
              <w:rPr>
                <w:rFonts w:hint="eastAsia"/>
                <w:sz w:val="21"/>
                <w:szCs w:val="21"/>
              </w:rPr>
              <w:t>榆林市综合交通信息服务平台建设项目</w:t>
            </w:r>
          </w:p>
        </w:tc>
        <w:tc>
          <w:tcPr>
            <w:tcW w:w="1218" w:type="dxa"/>
          </w:tcPr>
          <w:p w14:paraId="69191A2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sz w:val="21"/>
                <w:szCs w:val="21"/>
              </w:rPr>
            </w:pPr>
            <w:r>
              <w:rPr>
                <w:rFonts w:hint="eastAsia"/>
                <w:sz w:val="21"/>
                <w:szCs w:val="21"/>
              </w:rPr>
              <w:t>1(项)</w:t>
            </w:r>
          </w:p>
        </w:tc>
        <w:tc>
          <w:tcPr>
            <w:tcW w:w="1384" w:type="dxa"/>
          </w:tcPr>
          <w:p w14:paraId="2959F66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1"/>
                <w:szCs w:val="21"/>
              </w:rPr>
            </w:pPr>
            <w:r>
              <w:rPr>
                <w:rFonts w:hint="eastAsia"/>
                <w:sz w:val="21"/>
                <w:szCs w:val="21"/>
              </w:rPr>
              <w:t>详见采购文件</w:t>
            </w:r>
          </w:p>
        </w:tc>
        <w:tc>
          <w:tcPr>
            <w:tcW w:w="1476" w:type="dxa"/>
          </w:tcPr>
          <w:p w14:paraId="4582261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1"/>
                <w:szCs w:val="21"/>
              </w:rPr>
            </w:pPr>
            <w:r>
              <w:rPr>
                <w:rFonts w:hint="eastAsia"/>
                <w:sz w:val="21"/>
                <w:szCs w:val="21"/>
              </w:rPr>
              <w:t>4,401,200.00</w:t>
            </w:r>
          </w:p>
        </w:tc>
      </w:tr>
    </w:tbl>
    <w:p w14:paraId="2704960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p>
    <w:p w14:paraId="42311A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 xml:space="preserve"> 本合同包不接受联合体投标</w:t>
      </w:r>
    </w:p>
    <w:p w14:paraId="68FF24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宋体"/>
          <w:lang w:val="en-US" w:eastAsia="zh-CN"/>
        </w:rPr>
      </w:pPr>
      <w:r>
        <w:rPr>
          <w:rFonts w:hint="eastAsia"/>
        </w:rPr>
        <w:t xml:space="preserve"> 合同履行期限：</w:t>
      </w:r>
      <w:r>
        <w:rPr>
          <w:rFonts w:hint="eastAsia"/>
          <w:lang w:val="en-US" w:eastAsia="zh-CN"/>
        </w:rPr>
        <w:t>详见招标</w:t>
      </w:r>
      <w:bookmarkStart w:id="259" w:name="_GoBack"/>
      <w:bookmarkEnd w:id="259"/>
      <w:r>
        <w:rPr>
          <w:rFonts w:hint="eastAsia"/>
          <w:lang w:val="en-US" w:eastAsia="zh-CN"/>
        </w:rPr>
        <w:t>文件要求。</w:t>
      </w:r>
    </w:p>
    <w:p w14:paraId="5538EF0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rPr>
      </w:pPr>
      <w:r>
        <w:rPr>
          <w:rFonts w:hint="eastAsia"/>
          <w:b/>
          <w:bCs/>
        </w:rPr>
        <w:t>二、申请人的资格要求：</w:t>
      </w:r>
    </w:p>
    <w:p w14:paraId="75F0FF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eastAsia="宋体"/>
          <w:b/>
          <w:bCs/>
          <w:color w:val="FF0000"/>
          <w:lang w:eastAsia="zh-CN"/>
        </w:rPr>
      </w:pPr>
      <w:r>
        <w:rPr>
          <w:rFonts w:hint="eastAsia"/>
          <w:b/>
          <w:bCs/>
        </w:rPr>
        <w:t>1.满足《中华人民共和国政府采购法》第二十二条规定;</w:t>
      </w:r>
    </w:p>
    <w:p w14:paraId="69B8B8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b/>
          <w:bCs/>
        </w:rPr>
      </w:pPr>
      <w:r>
        <w:rPr>
          <w:rFonts w:hint="eastAsia"/>
          <w:b/>
          <w:bCs/>
        </w:rPr>
        <w:t>2.落实政府采购政策需满足的资格要求：</w:t>
      </w:r>
    </w:p>
    <w:p w14:paraId="2A765E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合同包1(榆林市综合交通信息服务平台建设（一期）工程项目管理服务)落实政府采购政策需满足的资格要求如下:</w:t>
      </w:r>
    </w:p>
    <w:p w14:paraId="2B1F8D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1.《节能产品政府采购实施意见》（财库〔2004〕185号）；</w:t>
      </w:r>
    </w:p>
    <w:p w14:paraId="244D5D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2.《环境标志产品政府采购实施的意见》（财库〔2006〕90号）；</w:t>
      </w:r>
    </w:p>
    <w:p w14:paraId="548CEB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3.《国务院办公厅关于建立政府强制采购节能产品制度的通知》（国办发〔2007〕51号）；</w:t>
      </w:r>
    </w:p>
    <w:p w14:paraId="76FF83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4.根据《政府采购促进中小企业发展管理办法》（财库〔2020〕46号）的规定，本项目非专门面向中小企业采购；</w:t>
      </w:r>
    </w:p>
    <w:p w14:paraId="1AC4CB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5.根据《陕西省财政厅关于进一步加大政府采购支持中小企业力度的通知》（陕财办采〔2022〕5号）；</w:t>
      </w:r>
    </w:p>
    <w:p w14:paraId="066C91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6.根据《榆林市财政局关于进一步加大政府采购支持中小企业力度的通知》（榆政财采发〔2022〕10号）；</w:t>
      </w:r>
    </w:p>
    <w:p w14:paraId="68F941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7.《陕西省财政厅关于印发&lt;陕西省中小企业政府采购信用融资办法&gt;的通知》（陕财办采〔2018〕23号）相关政策、业务流程、办理平台(http://www.ccgp-shaanxi.gov.cn/zcdservice/zcd/shanxi/；</w:t>
      </w:r>
    </w:p>
    <w:p w14:paraId="43383E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8.财政部司法部关于政府采购支持监狱企业发展有关问题的通知（财库〔2014〕68号）；</w:t>
      </w:r>
    </w:p>
    <w:p w14:paraId="2C2960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9.《财政部民政部中国残疾人联合会关于促进残疾人就业政府采购政策的通知》（财库〔2017〕141号）；</w:t>
      </w:r>
    </w:p>
    <w:p w14:paraId="4B1A29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10.《关于在政府采购活动中查询及使用信用记录有关问题的通知》（财库〔2016〕125号）；</w:t>
      </w:r>
    </w:p>
    <w:p w14:paraId="18B5FA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11.其他需要落实的政府采购政策（如有最新颁布的政府采购政策，按最新文件执行）。</w:t>
      </w:r>
    </w:p>
    <w:p w14:paraId="0BFFEDD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rPr>
      </w:pPr>
      <w:r>
        <w:rPr>
          <w:rFonts w:hint="eastAsia"/>
          <w:b/>
          <w:bCs/>
        </w:rPr>
        <w:t>3.本项目的特定资格要求：</w:t>
      </w:r>
    </w:p>
    <w:p w14:paraId="6F49303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合同包1(榆林市综合交通信息服务平台建设（一期）工程项目管理服务)特定资格要求如下:</w:t>
      </w:r>
    </w:p>
    <w:p w14:paraId="2C8A3E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rPr>
      </w:pPr>
      <w:r>
        <w:rPr>
          <w:rFonts w:hint="eastAsia"/>
        </w:rPr>
        <w:t>（1）投标供应商须为具有独立承担民事责任能力的法人、事业法人、其他组织。企业法人应提供有效存续的企业营业执照及2024年度企业年检报告或相关合法存续证明；事业单位法人应提供有效的事业单位法人证书；其他组织应提供依法登记的证明文件； 如投标人为分公司，除提供分公司营业执照外，还必须同时满足以下条件：</w:t>
      </w:r>
    </w:p>
    <w:p w14:paraId="45FFEF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rPr>
      </w:pPr>
      <w:r>
        <w:rPr>
          <w:rFonts w:hint="eastAsia"/>
        </w:rPr>
        <w:t>1. 提供由总公司出具的有效授权书，明确授权其代表总公司参与本项目投标及履行合同；2. 提供总公司有效的营业执照副本复印件（加盖总公司公章）；3. 分公司不具备独立法人资格，其法律责任由总公司承担。</w:t>
      </w:r>
    </w:p>
    <w:p w14:paraId="04BA7E7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2）财务状况报告：提供2024年度经审计赋码的财务审计报告（成立时间至提交响应文件截止时间不足一年的可提供成立后任一时段的现金流量表、资产负债表和利润表或其基本存款账户开户银行出具的资信证明）及基本存款账户信息；</w:t>
      </w:r>
    </w:p>
    <w:p w14:paraId="25436BA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（3）社会保障资金缴纳证明：提供2025年01月至今已缴存的社会保障资金缴存单据或社保机构开具的社会保险参保缴费情况证明，依法不需要缴纳社会保障资金的单位应提供相关证明材料；</w:t>
      </w:r>
    </w:p>
    <w:p w14:paraId="5E84F1E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（4）税收缴纳证明：提供2025年01月至今已缴纳的至少一个月的纳税证明或完税证明，依法免税的单位应提供相关证明材料；</w:t>
      </w:r>
    </w:p>
    <w:p w14:paraId="5592F0F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（5）参加本次政府采购活动前3年内在经营活动中没有重大违纪，以及未被列入失信被执行人、重大税收违法案件当事人名单、政府采购严重违法失信行为记录名单的书面声明；</w:t>
      </w:r>
    </w:p>
    <w:p w14:paraId="5B5AC3A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（6）提供具有履行合同所必需的设备和专业技术能力的证明资料或承诺书；</w:t>
      </w:r>
    </w:p>
    <w:p w14:paraId="3EDC7F2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7）供应商不得为“信用中国”网站（www.creditchina.gov.cn）中列入失信被执行人、严重失信主体和重大税收违法失信主体，不得为中国政府采购网（www.ccgp.gov.cn）及信用中国网站政府采购严重违法失信行为记录名单中被财政部门禁止参加政府采购活动的企业（提供网页查询截图及信用中国信用报告(查询时间须从招标文件发出开始至投标截止时间内)）；</w:t>
      </w:r>
    </w:p>
    <w:p w14:paraId="0E1B844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8）提供榆林市政府采购服务类项目供应商信用承诺书、投标信用（保证金）承诺书等（格式详见招标文件）；供应商应在“信用中国（陕西榆林）”网站进行注册、登录、并提供截图，自主上报信用承诺书（网址：https://www.ylcredit.gov.cn/）；</w:t>
      </w:r>
    </w:p>
    <w:p w14:paraId="6850677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（9）法定代表人参加投标的，须提供本人身份证扫描件（附到资格证明文件中）；法定代表人授权他人参加投标的，须提供法定代表人委托授权书并出示被授权代表的身份证原件扫描件。</w:t>
      </w:r>
    </w:p>
    <w:p w14:paraId="70D0F60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（10）本项目非专门面向中小企业采购。</w:t>
      </w:r>
    </w:p>
    <w:p w14:paraId="42A5891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11）备注：（1）单位负责人为同一人或者存在直接控股、管理关系的不同投标人，不得参加同一合同项下的政府采购活动；（2）本项目不接受联合体投标，不允许分包。投标人提供非联合体、不分包投标声明，视为独立投标，不分包。（3）事业单位法人参与投标可不提供财务状况报告和社会保障资金缴纳证明及税收缴纳证明。</w:t>
      </w:r>
    </w:p>
    <w:p w14:paraId="2F1932A3">
      <w:pPr>
        <w:pStyle w:val="10"/>
        <w:numPr>
          <w:ilvl w:val="0"/>
          <w:numId w:val="0"/>
        </w:numPr>
        <w:spacing w:line="240" w:lineRule="auto"/>
        <w:ind w:firstLine="480" w:firstLineChars="200"/>
        <w:rPr>
          <w:rFonts w:hint="eastAsia"/>
        </w:rPr>
      </w:pPr>
      <w:r>
        <w:rPr>
          <w:rFonts w:hint="eastAsia"/>
          <w:sz w:val="24"/>
          <w:szCs w:val="24"/>
        </w:rPr>
        <w:t>注：以上为必备资格条件，缺一项或某项达不到要求，按无效投标处理。</w:t>
      </w:r>
    </w:p>
    <w:p w14:paraId="509EB3D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三、获取招标文件</w:t>
      </w:r>
    </w:p>
    <w:p w14:paraId="1C1661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rPr>
      </w:pPr>
      <w:r>
        <w:rPr>
          <w:rFonts w:hint="eastAsia"/>
        </w:rPr>
        <w:t>时间： 2025年10月2</w:t>
      </w:r>
      <w:r>
        <w:rPr>
          <w:rFonts w:hint="eastAsia"/>
          <w:lang w:val="en-US" w:eastAsia="zh-CN"/>
        </w:rPr>
        <w:t>9</w:t>
      </w:r>
      <w:r>
        <w:rPr>
          <w:rFonts w:hint="eastAsia"/>
        </w:rPr>
        <w:t>日 至 2025年</w:t>
      </w:r>
      <w:r>
        <w:rPr>
          <w:rFonts w:hint="eastAsia"/>
          <w:lang w:val="en-US" w:eastAsia="zh-CN"/>
        </w:rPr>
        <w:t>11</w:t>
      </w:r>
      <w:r>
        <w:rPr>
          <w:rFonts w:hint="eastAsia"/>
        </w:rPr>
        <w:t>月</w:t>
      </w:r>
      <w:r>
        <w:rPr>
          <w:rFonts w:hint="eastAsia"/>
          <w:lang w:val="en-US" w:eastAsia="zh-CN"/>
        </w:rPr>
        <w:t>04</w:t>
      </w:r>
      <w:r>
        <w:rPr>
          <w:rFonts w:hint="eastAsia"/>
        </w:rPr>
        <w:t>日 ，每天上午 08:00:00 至 12:00:00 ，下午 12:00:00 至 18:00:00 （北京时间）</w:t>
      </w:r>
    </w:p>
    <w:p w14:paraId="52F62E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rPr>
      </w:pPr>
      <w:r>
        <w:rPr>
          <w:rFonts w:hint="eastAsia"/>
        </w:rPr>
        <w:t>途径：登录全国公共资源交易中心平台（陕西省）使用CA锁报名后自行下载</w:t>
      </w:r>
    </w:p>
    <w:p w14:paraId="3CC985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rPr>
      </w:pPr>
      <w:r>
        <w:rPr>
          <w:rFonts w:hint="eastAsia"/>
        </w:rPr>
        <w:t>方式：在线获取</w:t>
      </w:r>
    </w:p>
    <w:p w14:paraId="507184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rPr>
      </w:pPr>
      <w:r>
        <w:rPr>
          <w:rFonts w:hint="eastAsia"/>
        </w:rPr>
        <w:t>售价： 0元</w:t>
      </w:r>
    </w:p>
    <w:p w14:paraId="38D188C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四、提交投标文件截止时间、开标时间和地点</w:t>
      </w:r>
    </w:p>
    <w:p w14:paraId="5F90EC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rPr>
      </w:pPr>
      <w:r>
        <w:rPr>
          <w:rFonts w:hint="eastAsia"/>
        </w:rPr>
        <w:t>时间： 2025年11月</w:t>
      </w:r>
      <w:r>
        <w:rPr>
          <w:rFonts w:hint="eastAsia"/>
          <w:lang w:val="en-US" w:eastAsia="zh-CN"/>
        </w:rPr>
        <w:t>20</w:t>
      </w:r>
      <w:r>
        <w:rPr>
          <w:rFonts w:hint="eastAsia"/>
        </w:rPr>
        <w:t>日 09时30分00秒 （北京时间）</w:t>
      </w:r>
    </w:p>
    <w:p w14:paraId="6D97DE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rPr>
      </w:pPr>
      <w:r>
        <w:rPr>
          <w:rFonts w:hint="eastAsia"/>
        </w:rPr>
        <w:t>提交投标文件地点：全国公共资源交易中心平台（陕西省）提交电子投标文件</w:t>
      </w:r>
    </w:p>
    <w:p w14:paraId="5FF73A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rPr>
      </w:pPr>
      <w:r>
        <w:rPr>
          <w:rFonts w:hint="eastAsia"/>
        </w:rPr>
        <w:t>开标地点：榆林市公共资源交易中心十楼</w:t>
      </w:r>
      <w:r>
        <w:rPr>
          <w:rFonts w:hint="eastAsia"/>
          <w:lang w:val="en-US" w:eastAsia="zh-CN"/>
        </w:rPr>
        <w:t>开标</w:t>
      </w:r>
      <w:r>
        <w:rPr>
          <w:rFonts w:hint="eastAsia"/>
        </w:rPr>
        <w:t>6室</w:t>
      </w:r>
    </w:p>
    <w:p w14:paraId="653EE84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五、公告期限</w:t>
      </w:r>
    </w:p>
    <w:p w14:paraId="4F6F9E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自本公告发布之日起5个工作日。</w:t>
      </w:r>
    </w:p>
    <w:p w14:paraId="0DE7D8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六、其他补充事宜</w:t>
      </w:r>
    </w:p>
    <w:p w14:paraId="26D499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 xml:space="preserve">1.投标人未办理陕西省公共资源交易中心CA锁的可到榆林市市民大厦三楼E18、E19窗口办理，咨询电话0912-3452148、029-88661298或4006-369-888（陕西CA联系电话）。 </w:t>
      </w:r>
    </w:p>
    <w:p w14:paraId="5FD589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 xml:space="preserve">2.请各供应商领取招标文件后，按照陕西省财政厅《关于政府采购供应商注册登记有关事项的通知》要求，通过陕西省政府采购网注册登记加入陕西省政府采购供应商库。 </w:t>
      </w:r>
    </w:p>
    <w:p w14:paraId="78B5DC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3.关于自主上报信用承诺书事宜，遵循《榆林市公共资源交易中心关于公共资源交易信用承诺网上公示的通知》（榆交易函〔2021〕19号）文件相关要求执行。</w:t>
      </w:r>
    </w:p>
    <w:p w14:paraId="49B287A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特别提醒：本项目采用电子化不见面开标方式，投标人使用数字认证证书（CA锁）对投标文件进行签章、加密、上传、签到、解密；投标人应在全国公共资源交易平台（陕西省˙榆林市）（http://yl.sxggzyjy.cn/），选择“服务指南”，点击“下载专区”；提前熟知“政府采购投标单位手册”、“榆林不见面开标系统操作手册（投标人）”、“榆林不见面开标大厅投标人询标操作手册V1.0”。请投标人仔细阅读操作手册，了解操作流程，熟练掌握不见面开标、不见面询标操作相关事宜，若无法正常投标，投标人自行承担责任。电子投标文件制作软件技术支持热线：400-998-0000。</w:t>
      </w:r>
    </w:p>
    <w:p w14:paraId="249DA28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七、对本次招标提出询问，请按以下方式联系。</w:t>
      </w:r>
    </w:p>
    <w:p w14:paraId="26F361A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1.采购人信息</w:t>
      </w:r>
    </w:p>
    <w:p w14:paraId="12B812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color w:val="auto"/>
        </w:rPr>
      </w:pPr>
      <w:r>
        <w:rPr>
          <w:rFonts w:hint="eastAsia"/>
          <w:color w:val="auto"/>
        </w:rPr>
        <w:t>名称：榆林市交通运输局</w:t>
      </w:r>
    </w:p>
    <w:p w14:paraId="2B6A70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color w:val="auto"/>
        </w:rPr>
      </w:pPr>
      <w:r>
        <w:rPr>
          <w:rFonts w:hint="eastAsia"/>
          <w:color w:val="auto"/>
        </w:rPr>
        <w:t>地址：榆林市</w:t>
      </w:r>
      <w:r>
        <w:rPr>
          <w:rFonts w:hint="eastAsia"/>
          <w:color w:val="auto"/>
          <w:lang w:val="en-US" w:eastAsia="zh-CN"/>
        </w:rPr>
        <w:t>榆阳区</w:t>
      </w:r>
      <w:r>
        <w:rPr>
          <w:rFonts w:hint="eastAsia"/>
          <w:color w:val="auto"/>
        </w:rPr>
        <w:t>航宇路</w:t>
      </w:r>
      <w:r>
        <w:rPr>
          <w:rFonts w:hint="eastAsia"/>
          <w:color w:val="auto"/>
          <w:lang w:val="en-US" w:eastAsia="zh-CN"/>
        </w:rPr>
        <w:t>99号</w:t>
      </w:r>
    </w:p>
    <w:p w14:paraId="33B1AF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default" w:eastAsia="宋体"/>
          <w:color w:val="auto"/>
          <w:lang w:val="en-US" w:eastAsia="zh-CN"/>
        </w:rPr>
      </w:pPr>
      <w:r>
        <w:rPr>
          <w:rFonts w:hint="eastAsia"/>
          <w:color w:val="auto"/>
        </w:rPr>
        <w:t>联系方式：19929395557</w:t>
      </w:r>
      <w:r>
        <w:rPr>
          <w:rFonts w:hint="eastAsia"/>
          <w:color w:val="auto"/>
          <w:lang w:val="en-US" w:eastAsia="zh-CN"/>
        </w:rPr>
        <w:t xml:space="preserve">  </w:t>
      </w:r>
    </w:p>
    <w:p w14:paraId="57F218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2.采购代理机构信息</w:t>
      </w:r>
    </w:p>
    <w:p w14:paraId="79837D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rPr>
      </w:pPr>
      <w:r>
        <w:rPr>
          <w:rFonts w:hint="eastAsia"/>
        </w:rPr>
        <w:t>名称：榆林市恒博工程咨询有限公司</w:t>
      </w:r>
    </w:p>
    <w:p w14:paraId="057934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rPr>
      </w:pPr>
      <w:r>
        <w:rPr>
          <w:rFonts w:hint="eastAsia"/>
        </w:rPr>
        <w:t>地址：榆林市高新区明珠大道榆商大厦A座5楼</w:t>
      </w:r>
    </w:p>
    <w:p w14:paraId="7E3619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rPr>
      </w:pPr>
      <w:r>
        <w:rPr>
          <w:rFonts w:hint="eastAsia"/>
        </w:rPr>
        <w:t>联系方式：0912-3891169</w:t>
      </w:r>
    </w:p>
    <w:p w14:paraId="5FA838B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3.项目联系方式</w:t>
      </w:r>
    </w:p>
    <w:p w14:paraId="17E629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rPr>
      </w:pPr>
      <w:r>
        <w:rPr>
          <w:rFonts w:hint="eastAsia"/>
        </w:rPr>
        <w:t>项目联系人：朱坤</w:t>
      </w:r>
    </w:p>
    <w:p w14:paraId="4F8401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rPr>
      </w:pPr>
      <w:r>
        <w:rPr>
          <w:rFonts w:hint="eastAsia"/>
        </w:rPr>
        <w:t>电话：0912-3891169</w:t>
      </w:r>
    </w:p>
    <w:p w14:paraId="7406347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right"/>
        <w:textAlignment w:val="auto"/>
        <w:rPr>
          <w:rFonts w:hint="eastAsia"/>
        </w:rPr>
      </w:pPr>
    </w:p>
    <w:p w14:paraId="39CFF3A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right"/>
        <w:textAlignment w:val="auto"/>
      </w:pPr>
      <w:r>
        <w:rPr>
          <w:rFonts w:hint="eastAsia"/>
        </w:rPr>
        <w:t>榆林市恒博工程咨询有限公司</w:t>
      </w:r>
    </w:p>
    <w:p w14:paraId="27C20C54">
      <w:pPr>
        <w:pStyle w:val="2"/>
        <w:rPr>
          <w:rFonts w:hint="eastAsia"/>
          <w:sz w:val="32"/>
          <w:szCs w:val="32"/>
        </w:rPr>
      </w:pPr>
      <w:bookmarkStart w:id="2" w:name="_Toc3954"/>
    </w:p>
    <w:p w14:paraId="3908E508">
      <w:pPr>
        <w:pStyle w:val="2"/>
        <w:rPr>
          <w:rFonts w:hint="eastAsia"/>
          <w:sz w:val="32"/>
          <w:szCs w:val="32"/>
        </w:rPr>
      </w:pPr>
    </w:p>
    <w:p w14:paraId="5B845F64">
      <w:pPr>
        <w:pStyle w:val="2"/>
        <w:jc w:val="both"/>
        <w:rPr>
          <w:rFonts w:hint="eastAsia"/>
          <w:sz w:val="32"/>
          <w:szCs w:val="32"/>
        </w:rPr>
      </w:pPr>
    </w:p>
    <w:p w14:paraId="7A1EA3AA">
      <w:pPr>
        <w:rPr>
          <w:rFonts w:hint="eastAsia"/>
          <w:sz w:val="32"/>
          <w:szCs w:val="32"/>
        </w:rPr>
      </w:pPr>
    </w:p>
    <w:p w14:paraId="07ED7083">
      <w:pPr>
        <w:rPr>
          <w:rFonts w:hint="eastAsia"/>
          <w:sz w:val="32"/>
          <w:szCs w:val="32"/>
        </w:rPr>
      </w:pPr>
    </w:p>
    <w:p w14:paraId="64B2E432">
      <w:pPr>
        <w:rPr>
          <w:rFonts w:hint="eastAsia"/>
          <w:sz w:val="32"/>
          <w:szCs w:val="32"/>
        </w:rPr>
      </w:pPr>
    </w:p>
    <w:p w14:paraId="111BFE10">
      <w:pPr>
        <w:pStyle w:val="2"/>
        <w:jc w:val="center"/>
      </w:pPr>
      <w:r>
        <w:rPr>
          <w:rFonts w:hint="eastAsia"/>
          <w:sz w:val="32"/>
          <w:szCs w:val="32"/>
        </w:rPr>
        <w:t>第二章 投标人须知</w:t>
      </w:r>
      <w:bookmarkEnd w:id="2"/>
    </w:p>
    <w:p w14:paraId="57C9A458">
      <w:pPr>
        <w:pStyle w:val="3"/>
        <w:jc w:val="center"/>
      </w:pPr>
      <w:bookmarkStart w:id="3" w:name="_Toc9544"/>
      <w:r>
        <w:rPr>
          <w:sz w:val="28"/>
          <w:szCs w:val="28"/>
        </w:rPr>
        <w:t>投标人须知前附表</w:t>
      </w:r>
      <w:bookmarkEnd w:id="3"/>
    </w:p>
    <w:p w14:paraId="461B3373">
      <w:pPr>
        <w:ind w:firstLine="210" w:firstLineChars="100"/>
        <w:rPr>
          <w:rFonts w:hAnsi="宋体" w:cs="宋体"/>
          <w:sz w:val="21"/>
          <w:szCs w:val="21"/>
        </w:rPr>
      </w:pPr>
      <w:r>
        <w:rPr>
          <w:rFonts w:hint="eastAsia" w:hAnsi="宋体" w:cs="宋体"/>
          <w:sz w:val="21"/>
          <w:szCs w:val="21"/>
        </w:rPr>
        <w:t>本表是对投标人须知的具体补充和修改，如有矛盾，应以本资料表为准。</w:t>
      </w:r>
    </w:p>
    <w:tbl>
      <w:tblPr>
        <w:tblStyle w:val="21"/>
        <w:tblW w:w="9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932"/>
        <w:gridCol w:w="6735"/>
      </w:tblGrid>
      <w:tr w14:paraId="6F968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blHeader/>
          <w:jc w:val="center"/>
        </w:trPr>
        <w:tc>
          <w:tcPr>
            <w:tcW w:w="651" w:type="dxa"/>
            <w:vAlign w:val="center"/>
          </w:tcPr>
          <w:p w14:paraId="60A76674">
            <w:pPr>
              <w:spacing w:line="288" w:lineRule="auto"/>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1932" w:type="dxa"/>
            <w:vAlign w:val="center"/>
          </w:tcPr>
          <w:p w14:paraId="4029E740">
            <w:pPr>
              <w:spacing w:line="288" w:lineRule="auto"/>
              <w:jc w:val="center"/>
              <w:rPr>
                <w:rFonts w:hint="eastAsia" w:ascii="宋体" w:hAnsi="宋体" w:eastAsia="宋体" w:cs="宋体"/>
                <w:b/>
                <w:sz w:val="24"/>
                <w:szCs w:val="24"/>
              </w:rPr>
            </w:pPr>
            <w:r>
              <w:rPr>
                <w:rFonts w:hint="eastAsia" w:ascii="宋体" w:hAnsi="宋体" w:eastAsia="宋体" w:cs="宋体"/>
                <w:b/>
                <w:sz w:val="24"/>
                <w:szCs w:val="24"/>
              </w:rPr>
              <w:t>条款名称</w:t>
            </w:r>
          </w:p>
        </w:tc>
        <w:tc>
          <w:tcPr>
            <w:tcW w:w="6735" w:type="dxa"/>
            <w:vAlign w:val="center"/>
          </w:tcPr>
          <w:p w14:paraId="3FD9D099">
            <w:pPr>
              <w:spacing w:line="288" w:lineRule="auto"/>
              <w:jc w:val="center"/>
              <w:rPr>
                <w:rFonts w:hint="eastAsia" w:ascii="宋体" w:hAnsi="宋体" w:eastAsia="宋体" w:cs="宋体"/>
                <w:b/>
                <w:sz w:val="24"/>
                <w:szCs w:val="24"/>
              </w:rPr>
            </w:pPr>
            <w:r>
              <w:rPr>
                <w:rFonts w:hint="eastAsia" w:ascii="宋体" w:hAnsi="宋体" w:eastAsia="宋体" w:cs="宋体"/>
                <w:b/>
                <w:sz w:val="24"/>
                <w:szCs w:val="24"/>
              </w:rPr>
              <w:t>说明和要求</w:t>
            </w:r>
          </w:p>
        </w:tc>
      </w:tr>
      <w:tr w14:paraId="7A825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651" w:type="dxa"/>
            <w:vAlign w:val="center"/>
          </w:tcPr>
          <w:p w14:paraId="1E0DDB01">
            <w:pPr>
              <w:spacing w:line="288"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932" w:type="dxa"/>
            <w:vAlign w:val="center"/>
          </w:tcPr>
          <w:p w14:paraId="1E937CD9">
            <w:pPr>
              <w:spacing w:line="288" w:lineRule="auto"/>
              <w:jc w:val="left"/>
              <w:rPr>
                <w:rFonts w:hint="eastAsia" w:ascii="宋体" w:hAnsi="宋体" w:eastAsia="宋体" w:cs="宋体"/>
                <w:sz w:val="24"/>
                <w:szCs w:val="24"/>
              </w:rPr>
            </w:pPr>
            <w:r>
              <w:rPr>
                <w:rFonts w:hint="eastAsia" w:ascii="宋体" w:hAnsi="宋体" w:eastAsia="宋体" w:cs="宋体"/>
                <w:sz w:val="24"/>
                <w:szCs w:val="24"/>
              </w:rPr>
              <w:t>采购人</w:t>
            </w:r>
          </w:p>
        </w:tc>
        <w:tc>
          <w:tcPr>
            <w:tcW w:w="6735" w:type="dxa"/>
            <w:vAlign w:val="center"/>
          </w:tcPr>
          <w:p w14:paraId="45CDC999">
            <w:pPr>
              <w:spacing w:line="288" w:lineRule="auto"/>
              <w:jc w:val="left"/>
              <w:rPr>
                <w:rFonts w:hint="eastAsia" w:ascii="宋体" w:hAnsi="宋体" w:eastAsia="宋体" w:cs="宋体"/>
                <w:sz w:val="24"/>
                <w:szCs w:val="24"/>
                <w:lang w:eastAsia="zh-CN"/>
              </w:rPr>
            </w:pPr>
            <w:r>
              <w:rPr>
                <w:rFonts w:hint="eastAsia" w:hAnsi="宋体" w:cs="宋体"/>
                <w:sz w:val="24"/>
                <w:szCs w:val="24"/>
                <w:lang w:eastAsia="zh-CN"/>
              </w:rPr>
              <w:t>榆林市交通运输局</w:t>
            </w:r>
          </w:p>
        </w:tc>
      </w:tr>
      <w:tr w14:paraId="09CA8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651" w:type="dxa"/>
            <w:vAlign w:val="center"/>
          </w:tcPr>
          <w:p w14:paraId="7E32BA58">
            <w:pPr>
              <w:spacing w:line="288"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1932" w:type="dxa"/>
            <w:vAlign w:val="center"/>
          </w:tcPr>
          <w:p w14:paraId="79A032F5">
            <w:pPr>
              <w:spacing w:line="288" w:lineRule="auto"/>
              <w:jc w:val="left"/>
              <w:rPr>
                <w:rFonts w:hint="eastAsia" w:ascii="宋体" w:hAnsi="宋体" w:eastAsia="宋体" w:cs="宋体"/>
                <w:sz w:val="24"/>
                <w:szCs w:val="24"/>
              </w:rPr>
            </w:pPr>
            <w:r>
              <w:rPr>
                <w:rFonts w:hint="eastAsia" w:ascii="宋体" w:hAnsi="宋体" w:eastAsia="宋体" w:cs="宋体"/>
                <w:sz w:val="24"/>
                <w:szCs w:val="24"/>
              </w:rPr>
              <w:t>采购代理机构</w:t>
            </w:r>
          </w:p>
        </w:tc>
        <w:tc>
          <w:tcPr>
            <w:tcW w:w="6735" w:type="dxa"/>
            <w:vAlign w:val="center"/>
          </w:tcPr>
          <w:p w14:paraId="10922B20">
            <w:pPr>
              <w:spacing w:line="288" w:lineRule="auto"/>
              <w:rPr>
                <w:rFonts w:hint="eastAsia" w:ascii="宋体" w:hAnsi="宋体" w:eastAsia="宋体" w:cs="宋体"/>
                <w:sz w:val="24"/>
                <w:szCs w:val="24"/>
                <w:lang w:eastAsia="zh-CN"/>
              </w:rPr>
            </w:pPr>
            <w:r>
              <w:rPr>
                <w:rFonts w:hint="eastAsia" w:hAnsi="宋体" w:cs="宋体"/>
                <w:sz w:val="24"/>
                <w:szCs w:val="24"/>
                <w:lang w:eastAsia="zh-CN"/>
              </w:rPr>
              <w:t>榆林市恒博</w:t>
            </w:r>
            <w:r>
              <w:rPr>
                <w:rFonts w:hint="eastAsia" w:hAnsi="宋体" w:cs="宋体"/>
                <w:sz w:val="24"/>
                <w:szCs w:val="24"/>
                <w:lang w:val="en-US" w:eastAsia="zh-CN"/>
              </w:rPr>
              <w:t>工程</w:t>
            </w:r>
            <w:r>
              <w:rPr>
                <w:rFonts w:hint="eastAsia" w:hAnsi="宋体" w:cs="宋体"/>
                <w:sz w:val="24"/>
                <w:szCs w:val="24"/>
                <w:lang w:eastAsia="zh-CN"/>
              </w:rPr>
              <w:t>咨询有限公司</w:t>
            </w:r>
          </w:p>
        </w:tc>
      </w:tr>
      <w:tr w14:paraId="25712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651" w:type="dxa"/>
            <w:vAlign w:val="center"/>
          </w:tcPr>
          <w:p w14:paraId="31872431">
            <w:pPr>
              <w:spacing w:line="288"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1932" w:type="dxa"/>
            <w:vAlign w:val="center"/>
          </w:tcPr>
          <w:p w14:paraId="796EC6B6">
            <w:pPr>
              <w:spacing w:line="288" w:lineRule="auto"/>
              <w:jc w:val="left"/>
              <w:rPr>
                <w:rFonts w:hint="eastAsia" w:ascii="宋体" w:hAnsi="宋体" w:eastAsia="宋体" w:cs="宋体"/>
                <w:sz w:val="24"/>
                <w:szCs w:val="24"/>
              </w:rPr>
            </w:pPr>
            <w:r>
              <w:rPr>
                <w:rFonts w:hint="eastAsia" w:ascii="宋体" w:hAnsi="宋体" w:eastAsia="宋体" w:cs="宋体"/>
                <w:sz w:val="24"/>
                <w:szCs w:val="24"/>
              </w:rPr>
              <w:t>监督管理机构</w:t>
            </w:r>
          </w:p>
        </w:tc>
        <w:tc>
          <w:tcPr>
            <w:tcW w:w="6735" w:type="dxa"/>
            <w:vAlign w:val="center"/>
          </w:tcPr>
          <w:p w14:paraId="1E5CAE9C">
            <w:pPr>
              <w:spacing w:line="288" w:lineRule="auto"/>
              <w:rPr>
                <w:rFonts w:hint="eastAsia" w:ascii="宋体" w:hAnsi="宋体" w:eastAsia="宋体" w:cs="宋体"/>
                <w:sz w:val="24"/>
                <w:szCs w:val="24"/>
              </w:rPr>
            </w:pPr>
            <w:r>
              <w:rPr>
                <w:rFonts w:hint="eastAsia" w:hAnsi="宋体" w:cs="宋体"/>
                <w:sz w:val="24"/>
                <w:szCs w:val="24"/>
                <w:lang w:val="en-US" w:eastAsia="zh-CN"/>
              </w:rPr>
              <w:t>榆林市财政局</w:t>
            </w:r>
          </w:p>
        </w:tc>
      </w:tr>
      <w:tr w14:paraId="05551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651" w:type="dxa"/>
            <w:vAlign w:val="center"/>
          </w:tcPr>
          <w:p w14:paraId="3FA7F0D6">
            <w:pPr>
              <w:spacing w:line="288"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1932" w:type="dxa"/>
            <w:vAlign w:val="center"/>
          </w:tcPr>
          <w:p w14:paraId="0197F95F">
            <w:pPr>
              <w:spacing w:line="288" w:lineRule="auto"/>
              <w:jc w:val="left"/>
              <w:rPr>
                <w:rFonts w:hint="eastAsia" w:ascii="宋体" w:hAnsi="宋体" w:eastAsia="宋体" w:cs="宋体"/>
                <w:sz w:val="24"/>
                <w:szCs w:val="24"/>
              </w:rPr>
            </w:pPr>
            <w:r>
              <w:rPr>
                <w:rFonts w:hint="eastAsia" w:ascii="宋体" w:hAnsi="宋体" w:eastAsia="宋体" w:cs="宋体"/>
                <w:sz w:val="24"/>
                <w:szCs w:val="24"/>
              </w:rPr>
              <w:t>项目名称</w:t>
            </w:r>
          </w:p>
        </w:tc>
        <w:tc>
          <w:tcPr>
            <w:tcW w:w="6735" w:type="dxa"/>
            <w:vAlign w:val="center"/>
          </w:tcPr>
          <w:p w14:paraId="2C444739">
            <w:pPr>
              <w:spacing w:line="288" w:lineRule="auto"/>
              <w:rPr>
                <w:rFonts w:hint="eastAsia" w:ascii="宋体" w:hAnsi="宋体" w:eastAsia="宋体" w:cs="宋体"/>
                <w:sz w:val="24"/>
                <w:szCs w:val="24"/>
                <w:lang w:eastAsia="zh-CN"/>
              </w:rPr>
            </w:pPr>
            <w:r>
              <w:rPr>
                <w:rFonts w:hint="eastAsia" w:hAnsi="宋体" w:cs="宋体"/>
                <w:sz w:val="24"/>
                <w:szCs w:val="24"/>
                <w:lang w:eastAsia="zh-CN"/>
              </w:rPr>
              <w:t>榆林市综合交通信息服务平台建设（一期）工程项目管理服务</w:t>
            </w:r>
          </w:p>
        </w:tc>
      </w:tr>
      <w:tr w14:paraId="41386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651" w:type="dxa"/>
            <w:vAlign w:val="center"/>
          </w:tcPr>
          <w:p w14:paraId="79985DC9">
            <w:pPr>
              <w:spacing w:line="288" w:lineRule="auto"/>
              <w:jc w:val="center"/>
              <w:rPr>
                <w:rFonts w:hint="eastAsia" w:ascii="宋体" w:hAnsi="宋体" w:eastAsia="宋体" w:cs="宋体"/>
                <w:sz w:val="24"/>
                <w:szCs w:val="24"/>
              </w:rPr>
            </w:pPr>
            <w:r>
              <w:rPr>
                <w:rFonts w:hint="eastAsia" w:ascii="宋体" w:hAnsi="宋体" w:eastAsia="宋体" w:cs="宋体"/>
                <w:sz w:val="24"/>
                <w:szCs w:val="24"/>
              </w:rPr>
              <w:t>5</w:t>
            </w:r>
          </w:p>
        </w:tc>
        <w:tc>
          <w:tcPr>
            <w:tcW w:w="1932" w:type="dxa"/>
            <w:vAlign w:val="center"/>
          </w:tcPr>
          <w:p w14:paraId="6435367D">
            <w:pPr>
              <w:spacing w:line="288" w:lineRule="auto"/>
              <w:jc w:val="left"/>
              <w:rPr>
                <w:rFonts w:hint="eastAsia" w:ascii="宋体" w:hAnsi="宋体" w:eastAsia="宋体" w:cs="宋体"/>
                <w:sz w:val="24"/>
                <w:szCs w:val="24"/>
              </w:rPr>
            </w:pPr>
            <w:r>
              <w:rPr>
                <w:rFonts w:hint="eastAsia" w:ascii="宋体" w:hAnsi="宋体" w:eastAsia="宋体" w:cs="宋体"/>
                <w:sz w:val="24"/>
                <w:szCs w:val="24"/>
              </w:rPr>
              <w:t>项目编号</w:t>
            </w:r>
          </w:p>
        </w:tc>
        <w:tc>
          <w:tcPr>
            <w:tcW w:w="6735" w:type="dxa"/>
            <w:vAlign w:val="center"/>
          </w:tcPr>
          <w:p w14:paraId="16D89AB6">
            <w:pPr>
              <w:spacing w:line="288" w:lineRule="auto"/>
              <w:rPr>
                <w:rFonts w:hint="eastAsia" w:ascii="宋体" w:hAnsi="宋体" w:eastAsia="宋体" w:cs="宋体"/>
                <w:sz w:val="24"/>
                <w:szCs w:val="24"/>
                <w:lang w:eastAsia="zh-CN"/>
              </w:rPr>
            </w:pPr>
            <w:r>
              <w:rPr>
                <w:rFonts w:hint="eastAsia" w:hAnsi="宋体" w:cs="宋体"/>
                <w:sz w:val="24"/>
                <w:szCs w:val="24"/>
                <w:lang w:eastAsia="zh-CN"/>
              </w:rPr>
              <w:t>YLHB-2025-039</w:t>
            </w:r>
          </w:p>
        </w:tc>
      </w:tr>
      <w:tr w14:paraId="590DF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651" w:type="dxa"/>
            <w:vAlign w:val="center"/>
          </w:tcPr>
          <w:p w14:paraId="62A95484">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p>
        </w:tc>
        <w:tc>
          <w:tcPr>
            <w:tcW w:w="1932" w:type="dxa"/>
            <w:vAlign w:val="center"/>
          </w:tcPr>
          <w:p w14:paraId="64C57EFB">
            <w:pPr>
              <w:spacing w:line="288" w:lineRule="auto"/>
              <w:jc w:val="left"/>
              <w:rPr>
                <w:rFonts w:hint="eastAsia" w:ascii="宋体" w:hAnsi="宋体" w:eastAsia="宋体" w:cs="宋体"/>
                <w:sz w:val="24"/>
                <w:szCs w:val="24"/>
              </w:rPr>
            </w:pPr>
            <w:r>
              <w:rPr>
                <w:rFonts w:hint="eastAsia" w:ascii="宋体" w:hAnsi="宋体" w:eastAsia="宋体" w:cs="宋体"/>
                <w:sz w:val="24"/>
                <w:szCs w:val="24"/>
              </w:rPr>
              <w:t>采购内容及要求</w:t>
            </w:r>
          </w:p>
        </w:tc>
        <w:tc>
          <w:tcPr>
            <w:tcW w:w="6735" w:type="dxa"/>
            <w:vAlign w:val="center"/>
          </w:tcPr>
          <w:p w14:paraId="32523C29">
            <w:pPr>
              <w:pStyle w:val="36"/>
              <w:spacing w:line="288" w:lineRule="auto"/>
              <w:ind w:firstLine="0" w:firstLineChars="0"/>
              <w:rPr>
                <w:rFonts w:hint="eastAsia" w:ascii="宋体" w:hAnsi="宋体" w:eastAsia="宋体" w:cs="宋体"/>
                <w:sz w:val="24"/>
                <w:szCs w:val="24"/>
              </w:rPr>
            </w:pPr>
            <w:r>
              <w:rPr>
                <w:rFonts w:hint="eastAsia" w:ascii="宋体" w:hAnsi="宋体" w:cs="宋体"/>
                <w:sz w:val="24"/>
                <w:szCs w:val="24"/>
                <w:lang w:val="en-US" w:eastAsia="zh-CN"/>
              </w:rPr>
              <w:t>榆林市综合交通信息服务平台建设（一期）工程项目管理服务全部内容</w:t>
            </w:r>
            <w:r>
              <w:rPr>
                <w:rFonts w:hint="eastAsia" w:ascii="宋体" w:hAnsi="宋体" w:eastAsia="宋体" w:cs="宋体"/>
                <w:sz w:val="24"/>
                <w:szCs w:val="24"/>
              </w:rPr>
              <w:t>，详见招标文件第四章。</w:t>
            </w:r>
          </w:p>
        </w:tc>
      </w:tr>
      <w:tr w14:paraId="7AD06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5447D4C7">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p>
        </w:tc>
        <w:tc>
          <w:tcPr>
            <w:tcW w:w="1932" w:type="dxa"/>
            <w:vAlign w:val="center"/>
          </w:tcPr>
          <w:p w14:paraId="43FE336A">
            <w:pPr>
              <w:spacing w:line="288" w:lineRule="auto"/>
              <w:rPr>
                <w:rFonts w:hint="eastAsia" w:ascii="宋体" w:hAnsi="宋体" w:eastAsia="宋体" w:cs="宋体"/>
                <w:sz w:val="24"/>
                <w:szCs w:val="24"/>
                <w:highlight w:val="red"/>
              </w:rPr>
            </w:pPr>
            <w:r>
              <w:rPr>
                <w:rFonts w:hint="eastAsia" w:ascii="宋体" w:hAnsi="宋体" w:eastAsia="宋体" w:cs="宋体"/>
                <w:sz w:val="24"/>
                <w:szCs w:val="24"/>
              </w:rPr>
              <w:t>投标人资格要求</w:t>
            </w:r>
          </w:p>
        </w:tc>
        <w:tc>
          <w:tcPr>
            <w:tcW w:w="6735" w:type="dxa"/>
          </w:tcPr>
          <w:p w14:paraId="5D0227B2">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both"/>
              <w:rPr>
                <w:rFonts w:hint="eastAsia" w:ascii="宋体" w:hAnsi="宋体" w:eastAsia="宋体" w:cs="宋体"/>
                <w:i w:val="0"/>
                <w:iCs w:val="0"/>
                <w:caps w:val="0"/>
                <w:color w:val="auto"/>
                <w:spacing w:val="0"/>
                <w:sz w:val="24"/>
                <w:szCs w:val="24"/>
                <w:shd w:val="clear" w:fill="FFFFFF"/>
              </w:rPr>
            </w:pPr>
            <w:r>
              <w:rPr>
                <w:rFonts w:hint="eastAsia" w:hAnsi="宋体" w:cs="宋体"/>
                <w:sz w:val="24"/>
                <w:szCs w:val="24"/>
              </w:rPr>
              <w:t>1</w:t>
            </w:r>
            <w:r>
              <w:rPr>
                <w:rFonts w:hint="eastAsia" w:hAnsi="宋体" w:cs="宋体"/>
                <w:sz w:val="24"/>
                <w:szCs w:val="24"/>
                <w:lang w:eastAsia="zh-CN"/>
              </w:rPr>
              <w:t>、</w:t>
            </w:r>
            <w:r>
              <w:rPr>
                <w:rFonts w:hint="eastAsia" w:hAnsi="宋体" w:cs="宋体"/>
                <w:sz w:val="24"/>
                <w:szCs w:val="24"/>
              </w:rPr>
              <w:t>满足《中华人民共和国政府采购法》第二十二条规定;</w:t>
            </w:r>
          </w:p>
          <w:p w14:paraId="03931B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rPr>
            </w:pPr>
            <w:r>
              <w:rPr>
                <w:rFonts w:hint="eastAsia" w:hAnsi="宋体" w:cs="宋体"/>
                <w:i w:val="0"/>
                <w:iCs w:val="0"/>
                <w:caps w:val="0"/>
                <w:color w:val="auto"/>
                <w:spacing w:val="0"/>
                <w:sz w:val="24"/>
                <w:szCs w:val="24"/>
                <w:shd w:val="clear" w:fill="FFFFFF"/>
                <w:lang w:val="en-US" w:eastAsia="zh-CN"/>
              </w:rPr>
              <w:t>2</w:t>
            </w:r>
            <w:r>
              <w:rPr>
                <w:rFonts w:hint="eastAsia" w:hAnsi="宋体" w:cs="宋体"/>
                <w:b w:val="0"/>
                <w:bCs w:val="0"/>
                <w:i w:val="0"/>
                <w:iCs w:val="0"/>
                <w:caps w:val="0"/>
                <w:color w:val="auto"/>
                <w:spacing w:val="0"/>
                <w:sz w:val="24"/>
                <w:szCs w:val="24"/>
                <w:shd w:val="clear" w:fill="FFFFFF"/>
                <w:lang w:val="en-US" w:eastAsia="zh-CN"/>
              </w:rPr>
              <w:t>、特定资格要求：</w:t>
            </w:r>
            <w:r>
              <w:rPr>
                <w:rFonts w:hint="eastAsia"/>
              </w:rPr>
              <w:t>（1）投标供应商须为具有独立承担民事责任能力的法人、事业法人、其他组织。企业法人应提供有效存续的企业营业执照及2024年度企业年检报告或相关合法存续证明；事业单位法人应提供有效的事业单位法人证书；其他组织应提供依法登记的证明文件； 如投标人为分公司，除提供分公司营业执照外，还必须同时满足以下条件：</w:t>
            </w:r>
          </w:p>
          <w:p w14:paraId="2B0E1E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rPr>
            </w:pPr>
            <w:r>
              <w:rPr>
                <w:rFonts w:hint="eastAsia"/>
              </w:rPr>
              <w:t>1. 提供由总公司出具的有效授权书，明确授权其代表总公司参与本项目投标及履行合同；2. 提供总公司有效的营业执照副本复印件（加盖总公司公章）；3. 分公司不具备独立法人资格，其法律责任由总公司承担。</w:t>
            </w:r>
          </w:p>
          <w:p w14:paraId="6A9A396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2）财务状况报告：提供2024年度经审计赋码的财务审计报告（成立时间至提交响应文件截止时间不足一年的可提供成立后任一时段的现金流量表、资产负债表和利润表或其基本存款账户开户银行出具的资信证明）及基本存款账户信息；</w:t>
            </w:r>
          </w:p>
          <w:p w14:paraId="064596F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（3）社会保障资金缴纳证明：提供2025年01月至今已缴存的社会保障资金缴存单据或社保机构开具的社会保险参保缴费情况证明，依法不需要缴纳社会保障资金的单位应提供相关证明材料；</w:t>
            </w:r>
          </w:p>
          <w:p w14:paraId="112E27B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（4）税收缴纳证明：提供2025年01月至今已缴纳的至少一个月的纳税证明或完税证明，依法免税的单位应提供相关证明材料；</w:t>
            </w:r>
          </w:p>
          <w:p w14:paraId="0B54A76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（5）参加本次政府采购活动前3年内在经营活动中没有重大违纪，以及未被列入失信被执行人、重大税收违法案件当事人名单、政府采购严重违法失信行为记录名单的书面声明；</w:t>
            </w:r>
          </w:p>
          <w:p w14:paraId="7157379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（6）提供具有履行合同所必需的设备和专业技术能力的证明资料或承诺书；</w:t>
            </w:r>
          </w:p>
          <w:p w14:paraId="0500B5D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7）供应商不得为“信用中国”网站（www.creditchina.gov.cn）中列入失信被执行人、严重失信主体和重大税收违法失信主体，不得为中国政府采购网（www.ccgp.gov.cn）及信用中国网站政府采购严重违法失信行为记录名单中被财政部门禁止参加政府采购活动的企业（提供网页查询截图及信用中国信用报告(查询时间须从招标文件发出开始至投标截止时间内)）；</w:t>
            </w:r>
          </w:p>
          <w:p w14:paraId="0A49F93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8）提供榆林市政府采购服务类项目供应商信用承诺书、投标信用（保证金）承诺书等（格式详见招标文件）；供应商应在“信用中国（陕西榆林）”网站进行注册、登录、并提供截图，自主上报信用承诺书（网址：https://www.ylcredit.gov.cn/）；</w:t>
            </w:r>
          </w:p>
          <w:p w14:paraId="4D7BEDF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（9）法定代表人参加投标的，须提供本人身份证扫描件（附到资格证明文件中）；法定代表人授权他人参加投标的，须提供法定代表人委托授权书并出示被授权代表的身份证原件扫描件。</w:t>
            </w:r>
          </w:p>
          <w:p w14:paraId="27CE21C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（10）本项目非专门面向中小企业采购。</w:t>
            </w:r>
          </w:p>
          <w:p w14:paraId="76C040D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11）备注：（1）单位负责人为同一人或者存在直接控股、管理关系的不同投标人，不得参加同一合同项下的政府采购活动；（2）本项目不接受联合体投标，不允许分包。投标人提供非联合体、不分包投标声明，视为独立投标，不分包。（3）事业单位法人参与投标可不提供财务状况报告和社会保障资金缴纳证明及税收缴纳证明。</w:t>
            </w:r>
          </w:p>
          <w:p w14:paraId="0EB1DF9A">
            <w:pPr>
              <w:pStyle w:val="10"/>
              <w:numPr>
                <w:ilvl w:val="0"/>
                <w:numId w:val="0"/>
              </w:numPr>
              <w:spacing w:line="240" w:lineRule="auto"/>
              <w:ind w:firstLine="480" w:firstLineChars="200"/>
              <w:rPr>
                <w:rFonts w:hint="eastAsia"/>
              </w:rPr>
            </w:pPr>
            <w:r>
              <w:rPr>
                <w:rFonts w:hint="eastAsia"/>
                <w:sz w:val="24"/>
                <w:szCs w:val="24"/>
              </w:rPr>
              <w:t>注：以上为必备资格条件，缺一项或某项达不到要求，按无效投标处理。</w:t>
            </w:r>
          </w:p>
        </w:tc>
      </w:tr>
      <w:tr w14:paraId="18322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4" w:hRule="exact"/>
          <w:jc w:val="center"/>
        </w:trPr>
        <w:tc>
          <w:tcPr>
            <w:tcW w:w="651" w:type="dxa"/>
            <w:vAlign w:val="center"/>
          </w:tcPr>
          <w:p w14:paraId="125DDAF8">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p>
        </w:tc>
        <w:tc>
          <w:tcPr>
            <w:tcW w:w="1932" w:type="dxa"/>
            <w:vAlign w:val="center"/>
          </w:tcPr>
          <w:p w14:paraId="497C9D46">
            <w:pPr>
              <w:spacing w:line="288" w:lineRule="auto"/>
              <w:jc w:val="left"/>
              <w:rPr>
                <w:rFonts w:hint="eastAsia" w:ascii="宋体" w:hAnsi="宋体" w:eastAsia="宋体" w:cs="宋体"/>
                <w:sz w:val="24"/>
                <w:szCs w:val="24"/>
                <w:lang w:eastAsia="zh-CN"/>
              </w:rPr>
            </w:pPr>
            <w:r>
              <w:rPr>
                <w:rFonts w:hint="eastAsia" w:hAnsi="宋体" w:cs="宋体"/>
                <w:sz w:val="24"/>
                <w:szCs w:val="24"/>
                <w:lang w:eastAsia="zh-CN"/>
              </w:rPr>
              <w:t>服务期</w:t>
            </w:r>
          </w:p>
        </w:tc>
        <w:tc>
          <w:tcPr>
            <w:tcW w:w="6735" w:type="dxa"/>
            <w:vAlign w:val="center"/>
          </w:tcPr>
          <w:p w14:paraId="4AAED2F8">
            <w:pPr>
              <w:spacing w:line="288" w:lineRule="auto"/>
              <w:rPr>
                <w:rFonts w:hint="eastAsia" w:ascii="宋体" w:hAnsi="宋体" w:eastAsia="宋体" w:cs="宋体"/>
                <w:sz w:val="24"/>
                <w:szCs w:val="24"/>
                <w:lang w:eastAsia="zh-CN"/>
              </w:rPr>
            </w:pPr>
            <w:r>
              <w:rPr>
                <w:rFonts w:hint="eastAsia" w:ascii="宋体" w:hAnsi="宋体" w:eastAsia="宋体" w:cs="宋体"/>
                <w:color w:val="auto"/>
                <w:spacing w:val="6"/>
                <w:sz w:val="24"/>
                <w:szCs w:val="24"/>
                <w:lang w:val="en-US" w:eastAsia="zh-CN"/>
              </w:rPr>
              <w:t>包含项目建设期、运维期、质保期。建设期为</w:t>
            </w:r>
            <w:r>
              <w:rPr>
                <w:rFonts w:hint="eastAsia" w:ascii="宋体" w:hAnsi="宋体" w:eastAsia="宋体" w:cs="宋体"/>
                <w:color w:val="auto"/>
                <w:spacing w:val="6"/>
                <w:sz w:val="24"/>
                <w:szCs w:val="24"/>
                <w:lang w:eastAsia="zh-CN"/>
              </w:rPr>
              <w:t>合同签订后</w:t>
            </w:r>
            <w:r>
              <w:rPr>
                <w:rFonts w:hint="eastAsia" w:ascii="宋体" w:hAnsi="宋体" w:eastAsia="宋体" w:cs="宋体"/>
                <w:color w:val="auto"/>
                <w:spacing w:val="6"/>
                <w:sz w:val="24"/>
                <w:szCs w:val="24"/>
                <w:lang w:val="en-US" w:eastAsia="zh-CN"/>
              </w:rPr>
              <w:t>90天</w:t>
            </w:r>
            <w:r>
              <w:rPr>
                <w:rFonts w:hint="eastAsia" w:ascii="宋体" w:hAnsi="宋体" w:cs="宋体"/>
                <w:color w:val="auto"/>
                <w:spacing w:val="6"/>
                <w:sz w:val="24"/>
                <w:szCs w:val="24"/>
                <w:lang w:val="en-US" w:eastAsia="zh-CN"/>
              </w:rPr>
              <w:t>内</w:t>
            </w:r>
            <w:r>
              <w:rPr>
                <w:rFonts w:hint="eastAsia" w:hAnsi="宋体" w:cs="宋体"/>
                <w:color w:val="auto"/>
                <w:sz w:val="24"/>
                <w:szCs w:val="24"/>
                <w:lang w:eastAsia="zh-CN"/>
              </w:rPr>
              <w:t>（</w:t>
            </w:r>
            <w:r>
              <w:rPr>
                <w:rFonts w:hint="eastAsia" w:hAnsi="宋体" w:cs="宋体"/>
                <w:color w:val="auto"/>
                <w:sz w:val="24"/>
                <w:szCs w:val="24"/>
                <w:lang w:val="en-US" w:eastAsia="zh-CN"/>
              </w:rPr>
              <w:t>含系统调试</w:t>
            </w:r>
            <w:r>
              <w:rPr>
                <w:rFonts w:hint="eastAsia" w:hAnsi="宋体" w:cs="宋体"/>
                <w:color w:val="auto"/>
                <w:sz w:val="24"/>
                <w:szCs w:val="24"/>
                <w:lang w:eastAsia="zh-CN"/>
              </w:rPr>
              <w:t>）</w:t>
            </w:r>
            <w:r>
              <w:rPr>
                <w:rFonts w:hint="eastAsia" w:ascii="宋体" w:hAnsi="宋体" w:eastAsia="宋体" w:cs="宋体"/>
                <w:color w:val="auto"/>
                <w:spacing w:val="6"/>
                <w:sz w:val="24"/>
                <w:szCs w:val="24"/>
                <w:lang w:eastAsia="zh-CN"/>
              </w:rPr>
              <w:t>。</w:t>
            </w:r>
            <w:r>
              <w:rPr>
                <w:rFonts w:hint="eastAsia" w:ascii="宋体" w:hAnsi="宋体" w:eastAsia="宋体" w:cs="宋体"/>
                <w:color w:val="auto"/>
                <w:spacing w:val="6"/>
                <w:sz w:val="24"/>
                <w:szCs w:val="24"/>
                <w:lang w:val="en-US" w:eastAsia="zh-CN"/>
              </w:rPr>
              <w:t>运维期</w:t>
            </w:r>
            <w:r>
              <w:rPr>
                <w:rFonts w:hint="eastAsia" w:ascii="宋体" w:hAnsi="宋体" w:cs="宋体"/>
                <w:color w:val="auto"/>
                <w:spacing w:val="6"/>
                <w:sz w:val="24"/>
                <w:szCs w:val="24"/>
                <w:lang w:val="en-US" w:eastAsia="zh-CN"/>
              </w:rPr>
              <w:t>为项目通过终验收后两年内免费提供运维服务。</w:t>
            </w:r>
            <w:r>
              <w:rPr>
                <w:rFonts w:hint="eastAsia" w:ascii="宋体" w:hAnsi="宋体" w:eastAsia="宋体" w:cs="宋体"/>
                <w:color w:val="auto"/>
                <w:spacing w:val="6"/>
                <w:sz w:val="24"/>
                <w:szCs w:val="24"/>
                <w:lang w:eastAsia="zh-CN"/>
              </w:rPr>
              <w:t>质保期</w:t>
            </w:r>
            <w:r>
              <w:rPr>
                <w:rFonts w:hint="eastAsia" w:ascii="宋体" w:hAnsi="宋体" w:cs="宋体"/>
                <w:color w:val="auto"/>
                <w:spacing w:val="6"/>
                <w:sz w:val="24"/>
                <w:szCs w:val="24"/>
                <w:lang w:val="en-US" w:eastAsia="zh-CN"/>
              </w:rPr>
              <w:t>为</w:t>
            </w:r>
            <w:r>
              <w:rPr>
                <w:rFonts w:hint="eastAsia" w:ascii="宋体" w:hAnsi="宋体" w:eastAsia="宋体" w:cs="宋体"/>
                <w:color w:val="auto"/>
                <w:spacing w:val="6"/>
                <w:sz w:val="24"/>
                <w:szCs w:val="24"/>
                <w:lang w:eastAsia="zh-CN"/>
              </w:rPr>
              <w:t>验收合格之日起所有</w:t>
            </w:r>
            <w:r>
              <w:rPr>
                <w:rFonts w:hint="eastAsia" w:ascii="宋体" w:hAnsi="宋体" w:eastAsia="宋体" w:cs="宋体"/>
                <w:color w:val="auto"/>
                <w:spacing w:val="6"/>
                <w:sz w:val="24"/>
                <w:szCs w:val="24"/>
                <w:lang w:val="en-US" w:eastAsia="zh-CN"/>
              </w:rPr>
              <w:t>硬件</w:t>
            </w:r>
            <w:r>
              <w:rPr>
                <w:rFonts w:hint="eastAsia" w:ascii="宋体" w:hAnsi="宋体" w:eastAsia="宋体" w:cs="宋体"/>
                <w:color w:val="auto"/>
                <w:spacing w:val="6"/>
                <w:sz w:val="24"/>
                <w:szCs w:val="24"/>
                <w:lang w:eastAsia="zh-CN"/>
              </w:rPr>
              <w:t>产品必须提供</w:t>
            </w:r>
            <w:r>
              <w:rPr>
                <w:rFonts w:hint="eastAsia" w:ascii="宋体" w:hAnsi="宋体" w:eastAsia="宋体" w:cs="宋体"/>
                <w:color w:val="auto"/>
                <w:spacing w:val="6"/>
                <w:sz w:val="24"/>
                <w:szCs w:val="24"/>
                <w:lang w:val="en-US" w:eastAsia="zh-CN"/>
              </w:rPr>
              <w:t>3年</w:t>
            </w:r>
            <w:r>
              <w:rPr>
                <w:rFonts w:hint="eastAsia" w:ascii="宋体" w:hAnsi="宋体" w:eastAsia="宋体" w:cs="宋体"/>
                <w:color w:val="auto"/>
                <w:spacing w:val="6"/>
                <w:sz w:val="24"/>
                <w:szCs w:val="24"/>
                <w:lang w:eastAsia="zh-CN"/>
              </w:rPr>
              <w:t>免费保修服务</w:t>
            </w:r>
            <w:r>
              <w:rPr>
                <w:rFonts w:hint="eastAsia" w:ascii="宋体" w:hAnsi="宋体" w:cs="宋体"/>
                <w:color w:val="auto"/>
                <w:spacing w:val="6"/>
                <w:sz w:val="24"/>
                <w:szCs w:val="24"/>
                <w:lang w:eastAsia="zh-CN"/>
              </w:rPr>
              <w:t>，</w:t>
            </w:r>
            <w:r>
              <w:rPr>
                <w:rFonts w:hint="eastAsia" w:ascii="宋体" w:hAnsi="宋体" w:cs="宋体"/>
                <w:color w:val="auto"/>
                <w:spacing w:val="6"/>
                <w:sz w:val="24"/>
                <w:szCs w:val="24"/>
                <w:lang w:val="en-US" w:eastAsia="zh-CN"/>
              </w:rPr>
              <w:t>所有软件长期提供免费升级</w:t>
            </w:r>
            <w:r>
              <w:rPr>
                <w:rFonts w:hint="eastAsia" w:hAnsi="宋体" w:cs="宋体"/>
                <w:color w:val="000000" w:themeColor="text1"/>
                <w:sz w:val="24"/>
                <w:szCs w:val="24"/>
                <w:lang w:eastAsia="zh-CN"/>
                <w14:textFill>
                  <w14:solidFill>
                    <w14:schemeClr w14:val="tx1"/>
                  </w14:solidFill>
                </w14:textFill>
              </w:rPr>
              <w:t>；</w:t>
            </w:r>
          </w:p>
        </w:tc>
      </w:tr>
      <w:tr w14:paraId="61F2A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574F1A27">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p>
        </w:tc>
        <w:tc>
          <w:tcPr>
            <w:tcW w:w="1932" w:type="dxa"/>
            <w:vAlign w:val="center"/>
          </w:tcPr>
          <w:p w14:paraId="608E71F4">
            <w:pPr>
              <w:spacing w:line="288" w:lineRule="auto"/>
              <w:rPr>
                <w:rFonts w:hint="eastAsia" w:ascii="宋体" w:hAnsi="宋体" w:eastAsia="宋体" w:cs="宋体"/>
                <w:sz w:val="24"/>
                <w:szCs w:val="24"/>
              </w:rPr>
            </w:pPr>
            <w:r>
              <w:rPr>
                <w:rFonts w:hint="eastAsia" w:ascii="宋体" w:hAnsi="宋体" w:eastAsia="宋体" w:cs="宋体"/>
                <w:sz w:val="24"/>
                <w:szCs w:val="24"/>
              </w:rPr>
              <w:t>投标文件数量和提交截止时间</w:t>
            </w:r>
          </w:p>
        </w:tc>
        <w:tc>
          <w:tcPr>
            <w:tcW w:w="6735" w:type="dxa"/>
          </w:tcPr>
          <w:p w14:paraId="7FF3BCB9">
            <w:pPr>
              <w:topLinePunct/>
              <w:spacing w:line="240" w:lineRule="auto"/>
              <w:rPr>
                <w:rFonts w:hint="eastAsia" w:ascii="宋体" w:hAnsi="宋体" w:eastAsia="宋体" w:cs="宋体"/>
                <w:sz w:val="24"/>
                <w:szCs w:val="24"/>
              </w:rPr>
            </w:pPr>
            <w:r>
              <w:rPr>
                <w:rFonts w:hint="eastAsia" w:ascii="宋体" w:hAnsi="宋体" w:eastAsia="宋体" w:cs="宋体"/>
                <w:sz w:val="24"/>
                <w:szCs w:val="24"/>
              </w:rPr>
              <w:t>投标文件数量：</w:t>
            </w:r>
            <w:r>
              <w:rPr>
                <w:rFonts w:hint="eastAsia" w:ascii="宋体" w:hAnsi="宋体" w:eastAsia="宋体" w:cs="宋体"/>
                <w:sz w:val="24"/>
                <w:szCs w:val="24"/>
                <w:lang w:val="en-US" w:eastAsia="zh-CN"/>
              </w:rPr>
              <w:t>上传</w:t>
            </w:r>
            <w:r>
              <w:rPr>
                <w:rFonts w:hint="eastAsia" w:ascii="宋体" w:hAnsi="宋体" w:eastAsia="宋体" w:cs="宋体"/>
                <w:sz w:val="24"/>
                <w:szCs w:val="24"/>
              </w:rPr>
              <w:t>电子投标文件</w:t>
            </w:r>
            <w:r>
              <w:rPr>
                <w:rFonts w:hint="eastAsia" w:ascii="宋体" w:hAnsi="宋体" w:eastAsia="宋体" w:cs="宋体"/>
                <w:sz w:val="24"/>
                <w:szCs w:val="24"/>
                <w:u w:val="single"/>
              </w:rPr>
              <w:t xml:space="preserve"> 壹 </w:t>
            </w:r>
            <w:r>
              <w:rPr>
                <w:rFonts w:hint="eastAsia" w:ascii="宋体" w:hAnsi="宋体" w:eastAsia="宋体" w:cs="宋体"/>
                <w:sz w:val="24"/>
                <w:szCs w:val="24"/>
              </w:rPr>
              <w:t>份，后缀为（*.SXSTF）；</w:t>
            </w:r>
          </w:p>
          <w:p w14:paraId="0ADEE910">
            <w:pPr>
              <w:topLinePunct/>
              <w:spacing w:line="240" w:lineRule="auto"/>
              <w:rPr>
                <w:rFonts w:hint="eastAsia" w:ascii="宋体" w:hAnsi="宋体" w:eastAsia="宋体" w:cs="宋体"/>
                <w:color w:val="C00000"/>
                <w:sz w:val="24"/>
                <w:szCs w:val="24"/>
              </w:rPr>
            </w:pPr>
            <w:r>
              <w:rPr>
                <w:rFonts w:hint="eastAsia" w:ascii="宋体" w:hAnsi="宋体" w:eastAsia="宋体" w:cs="宋体"/>
                <w:sz w:val="24"/>
                <w:szCs w:val="24"/>
              </w:rPr>
              <w:t>提交</w:t>
            </w:r>
            <w:r>
              <w:rPr>
                <w:rFonts w:hint="eastAsia" w:ascii="宋体" w:hAnsi="宋体" w:eastAsia="宋体" w:cs="宋体"/>
                <w:color w:val="auto"/>
                <w:sz w:val="24"/>
                <w:szCs w:val="24"/>
              </w:rPr>
              <w:t>截止时间：</w:t>
            </w:r>
            <w:r>
              <w:rPr>
                <w:rFonts w:hint="eastAsia" w:ascii="宋体" w:hAnsi="宋体" w:eastAsia="宋体" w:cs="宋体"/>
                <w:color w:val="auto"/>
                <w:sz w:val="24"/>
                <w:szCs w:val="24"/>
                <w:u w:val="none"/>
              </w:rPr>
              <w:t>202</w:t>
            </w:r>
            <w:r>
              <w:rPr>
                <w:rFonts w:hint="eastAsia" w:hAnsi="宋体" w:cs="宋体"/>
                <w:color w:val="auto"/>
                <w:sz w:val="24"/>
                <w:szCs w:val="24"/>
                <w:u w:val="none"/>
                <w:lang w:val="en-US" w:eastAsia="zh-CN"/>
              </w:rPr>
              <w:t>5</w:t>
            </w:r>
            <w:r>
              <w:rPr>
                <w:rFonts w:hint="eastAsia" w:ascii="宋体" w:hAnsi="宋体" w:eastAsia="宋体" w:cs="宋体"/>
                <w:color w:val="auto"/>
                <w:sz w:val="24"/>
                <w:szCs w:val="24"/>
                <w:u w:val="none"/>
              </w:rPr>
              <w:t>-</w:t>
            </w:r>
            <w:r>
              <w:rPr>
                <w:rFonts w:hint="eastAsia" w:hAnsi="宋体" w:cs="宋体"/>
                <w:color w:val="auto"/>
                <w:sz w:val="24"/>
                <w:szCs w:val="24"/>
                <w:u w:val="none"/>
                <w:lang w:val="en-US" w:eastAsia="zh-CN"/>
              </w:rPr>
              <w:t>11</w:t>
            </w:r>
            <w:r>
              <w:rPr>
                <w:rFonts w:hint="eastAsia" w:ascii="宋体" w:hAnsi="宋体" w:eastAsia="宋体" w:cs="宋体"/>
                <w:color w:val="auto"/>
                <w:sz w:val="24"/>
                <w:szCs w:val="24"/>
                <w:u w:val="none"/>
              </w:rPr>
              <w:t>-</w:t>
            </w:r>
            <w:r>
              <w:rPr>
                <w:rFonts w:hint="eastAsia" w:hAnsi="宋体" w:cs="宋体"/>
                <w:color w:val="auto"/>
                <w:sz w:val="24"/>
                <w:szCs w:val="24"/>
                <w:u w:val="none"/>
                <w:lang w:val="en-US" w:eastAsia="zh-CN"/>
              </w:rPr>
              <w:t>20</w:t>
            </w:r>
            <w:r>
              <w:rPr>
                <w:rFonts w:hint="eastAsia" w:ascii="宋体" w:hAnsi="宋体" w:eastAsia="宋体" w:cs="宋体"/>
                <w:color w:val="auto"/>
                <w:sz w:val="24"/>
                <w:szCs w:val="24"/>
                <w:u w:val="none"/>
              </w:rPr>
              <w:t xml:space="preserve"> </w:t>
            </w:r>
            <w:r>
              <w:rPr>
                <w:rFonts w:hint="eastAsia" w:hAnsi="宋体" w:cs="宋体"/>
                <w:color w:val="auto"/>
                <w:sz w:val="24"/>
                <w:szCs w:val="24"/>
                <w:u w:val="none"/>
                <w:lang w:val="en-US" w:eastAsia="zh-CN"/>
              </w:rPr>
              <w:t>09</w:t>
            </w:r>
            <w:r>
              <w:rPr>
                <w:rFonts w:hint="eastAsia" w:ascii="宋体" w:hAnsi="宋体" w:eastAsia="宋体" w:cs="宋体"/>
                <w:color w:val="auto"/>
                <w:sz w:val="24"/>
                <w:szCs w:val="24"/>
                <w:u w:val="none"/>
              </w:rPr>
              <w:t>:30:00</w:t>
            </w:r>
          </w:p>
          <w:p w14:paraId="04167FC0">
            <w:pPr>
              <w:tabs>
                <w:tab w:val="left" w:pos="610"/>
              </w:tabs>
              <w:spacing w:line="240" w:lineRule="auto"/>
              <w:rPr>
                <w:rFonts w:hint="eastAsia" w:ascii="宋体" w:hAnsi="宋体" w:eastAsia="宋体" w:cs="宋体"/>
                <w:b/>
                <w:bCs/>
                <w:sz w:val="24"/>
                <w:szCs w:val="24"/>
              </w:rPr>
            </w:pPr>
            <w:r>
              <w:rPr>
                <w:rFonts w:hint="eastAsia" w:ascii="宋体" w:hAnsi="宋体" w:eastAsia="宋体" w:cs="宋体"/>
                <w:b/>
                <w:bCs/>
                <w:sz w:val="24"/>
                <w:szCs w:val="24"/>
              </w:rPr>
              <w:t>注：</w:t>
            </w:r>
          </w:p>
          <w:p w14:paraId="312D8B87">
            <w:pPr>
              <w:numPr>
                <w:ilvl w:val="0"/>
                <w:numId w:val="0"/>
              </w:numPr>
              <w:tabs>
                <w:tab w:val="left" w:pos="610"/>
              </w:tabs>
              <w:spacing w:line="24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电子投标文件应于投标文件提交截止时间前任意时段登录全国公共资源交易中心平台（陕西省）提交电子投标文件，逾期提交系统将拒绝接收。</w:t>
            </w:r>
          </w:p>
          <w:p w14:paraId="0F702F3F">
            <w:pPr>
              <w:numPr>
                <w:ilvl w:val="0"/>
                <w:numId w:val="0"/>
              </w:numPr>
              <w:tabs>
                <w:tab w:val="left" w:pos="610"/>
              </w:tabs>
              <w:spacing w:line="24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2.纸质版投标文件</w:t>
            </w:r>
            <w:r>
              <w:rPr>
                <w:rFonts w:hint="eastAsia" w:ascii="宋体" w:hAnsi="宋体" w:eastAsia="宋体" w:cs="宋体"/>
                <w:b w:val="0"/>
                <w:bCs w:val="0"/>
                <w:sz w:val="24"/>
                <w:szCs w:val="24"/>
              </w:rPr>
              <w:t>正本份数：壹份；副本份数：</w:t>
            </w:r>
            <w:r>
              <w:rPr>
                <w:rFonts w:hint="eastAsia" w:hAnsi="宋体" w:cs="宋体"/>
                <w:b w:val="0"/>
                <w:bCs w:val="0"/>
                <w:sz w:val="24"/>
                <w:szCs w:val="24"/>
                <w:lang w:val="en-US" w:eastAsia="zh-CN"/>
              </w:rPr>
              <w:t>壹</w:t>
            </w:r>
            <w:r>
              <w:rPr>
                <w:rFonts w:hint="eastAsia" w:hAnsi="宋体" w:cs="宋体"/>
                <w:b w:val="0"/>
                <w:bCs w:val="0"/>
                <w:sz w:val="24"/>
                <w:szCs w:val="24"/>
                <w:lang w:eastAsia="zh-CN"/>
              </w:rPr>
              <w:t>份</w:t>
            </w:r>
            <w:r>
              <w:rPr>
                <w:rFonts w:hint="eastAsia" w:ascii="宋体" w:hAnsi="宋体" w:eastAsia="宋体" w:cs="宋体"/>
                <w:b w:val="0"/>
                <w:bCs w:val="0"/>
                <w:sz w:val="24"/>
                <w:szCs w:val="24"/>
              </w:rPr>
              <w:t>。投标文件装订要求：胶装</w:t>
            </w:r>
            <w:r>
              <w:rPr>
                <w:rFonts w:hint="eastAsia" w:ascii="宋体" w:hAnsi="宋体" w:eastAsia="宋体" w:cs="宋体"/>
                <w:b w:val="0"/>
                <w:bCs w:val="0"/>
                <w:sz w:val="24"/>
                <w:szCs w:val="24"/>
                <w:lang w:val="en-US" w:eastAsia="zh-CN"/>
              </w:rPr>
              <w:t>成册。</w:t>
            </w:r>
          </w:p>
          <w:p w14:paraId="5B5C007C">
            <w:pPr>
              <w:topLinePunct/>
              <w:spacing w:line="240" w:lineRule="auto"/>
              <w:rPr>
                <w:rFonts w:hint="eastAsia" w:ascii="宋体" w:hAnsi="宋体" w:eastAsia="宋体" w:cs="宋体"/>
                <w:b w:val="0"/>
                <w:bCs w:val="0"/>
                <w:color w:val="auto"/>
                <w:sz w:val="24"/>
                <w:szCs w:val="24"/>
              </w:rPr>
            </w:pPr>
            <w:r>
              <w:rPr>
                <w:rFonts w:hint="eastAsia" w:hAnsi="宋体" w:cs="宋体"/>
                <w:b w:val="0"/>
                <w:bCs w:val="0"/>
                <w:color w:val="auto"/>
                <w:sz w:val="24"/>
                <w:szCs w:val="24"/>
                <w:lang w:val="en-US" w:eastAsia="zh-CN"/>
              </w:rPr>
              <w:t>中</w:t>
            </w:r>
            <w:r>
              <w:rPr>
                <w:rFonts w:hint="eastAsia" w:ascii="宋体" w:hAnsi="宋体" w:eastAsia="宋体" w:cs="宋体"/>
                <w:b w:val="0"/>
                <w:bCs w:val="0"/>
                <w:color w:val="auto"/>
                <w:sz w:val="24"/>
                <w:szCs w:val="24"/>
              </w:rPr>
              <w:t>标</w:t>
            </w:r>
            <w:r>
              <w:rPr>
                <w:rFonts w:hint="eastAsia" w:hAnsi="宋体" w:cs="宋体"/>
                <w:b w:val="0"/>
                <w:bCs w:val="0"/>
                <w:color w:val="auto"/>
                <w:sz w:val="24"/>
                <w:szCs w:val="24"/>
                <w:lang w:val="en-US" w:eastAsia="zh-CN"/>
              </w:rPr>
              <w:t>单位</w:t>
            </w:r>
            <w:r>
              <w:rPr>
                <w:rFonts w:hint="eastAsia" w:ascii="宋体" w:hAnsi="宋体" w:eastAsia="宋体" w:cs="宋体"/>
                <w:b w:val="0"/>
                <w:bCs w:val="0"/>
                <w:color w:val="auto"/>
                <w:sz w:val="24"/>
                <w:szCs w:val="24"/>
              </w:rPr>
              <w:t>在</w:t>
            </w:r>
            <w:r>
              <w:rPr>
                <w:rFonts w:hint="eastAsia" w:hAnsi="宋体" w:cs="宋体"/>
                <w:b w:val="0"/>
                <w:bCs w:val="0"/>
                <w:color w:val="auto"/>
                <w:sz w:val="24"/>
                <w:szCs w:val="24"/>
                <w:lang w:val="en-US" w:eastAsia="zh-CN"/>
              </w:rPr>
              <w:t>成交结果公告发布后</w:t>
            </w:r>
            <w:r>
              <w:rPr>
                <w:rFonts w:hint="eastAsia" w:ascii="宋体" w:hAnsi="宋体" w:eastAsia="宋体" w:cs="宋体"/>
                <w:b w:val="0"/>
                <w:bCs w:val="0"/>
                <w:color w:val="auto"/>
                <w:sz w:val="24"/>
                <w:szCs w:val="24"/>
              </w:rPr>
              <w:t>将</w:t>
            </w:r>
            <w:r>
              <w:rPr>
                <w:rFonts w:hint="eastAsia" w:hAnsi="宋体" w:cs="宋体"/>
                <w:b w:val="0"/>
                <w:bCs w:val="0"/>
                <w:color w:val="auto"/>
                <w:sz w:val="24"/>
                <w:szCs w:val="24"/>
                <w:lang w:eastAsia="zh-CN"/>
              </w:rPr>
              <w:t>一正</w:t>
            </w:r>
            <w:r>
              <w:rPr>
                <w:rFonts w:hint="eastAsia" w:hAnsi="宋体" w:cs="宋体"/>
                <w:b w:val="0"/>
                <w:bCs w:val="0"/>
                <w:color w:val="auto"/>
                <w:sz w:val="24"/>
                <w:szCs w:val="24"/>
                <w:lang w:val="en-US" w:eastAsia="zh-CN"/>
              </w:rPr>
              <w:t>一</w:t>
            </w:r>
            <w:r>
              <w:rPr>
                <w:rFonts w:hint="eastAsia" w:hAnsi="宋体" w:cs="宋体"/>
                <w:b w:val="0"/>
                <w:bCs w:val="0"/>
                <w:color w:val="auto"/>
                <w:sz w:val="24"/>
                <w:szCs w:val="24"/>
                <w:lang w:eastAsia="zh-CN"/>
              </w:rPr>
              <w:t>副</w:t>
            </w:r>
            <w:r>
              <w:rPr>
                <w:rFonts w:hint="eastAsia" w:ascii="宋体" w:hAnsi="宋体" w:eastAsia="宋体" w:cs="宋体"/>
                <w:b w:val="0"/>
                <w:bCs w:val="0"/>
                <w:color w:val="auto"/>
                <w:sz w:val="24"/>
                <w:szCs w:val="24"/>
              </w:rPr>
              <w:t>纸质投标文件</w:t>
            </w:r>
            <w:r>
              <w:rPr>
                <w:rFonts w:hint="eastAsia" w:ascii="宋体" w:hAnsi="宋体" w:eastAsia="宋体" w:cs="宋体"/>
                <w:b w:val="0"/>
                <w:bCs w:val="0"/>
                <w:color w:val="auto"/>
                <w:sz w:val="24"/>
                <w:szCs w:val="24"/>
                <w:lang w:val="en-US" w:eastAsia="zh-CN"/>
              </w:rPr>
              <w:t>送达至代理公司</w:t>
            </w:r>
            <w:r>
              <w:rPr>
                <w:rFonts w:hint="eastAsia" w:ascii="宋体" w:hAnsi="宋体" w:eastAsia="宋体" w:cs="宋体"/>
                <w:b w:val="0"/>
                <w:bCs w:val="0"/>
                <w:color w:val="auto"/>
                <w:sz w:val="24"/>
                <w:szCs w:val="24"/>
              </w:rPr>
              <w:t>（备案用）</w:t>
            </w:r>
          </w:p>
          <w:p w14:paraId="2D72082C">
            <w:pPr>
              <w:topLinePunct/>
              <w:spacing w:line="240" w:lineRule="auto"/>
              <w:rPr>
                <w:rFonts w:hint="eastAsia" w:ascii="宋体" w:hAnsi="宋体" w:eastAsia="宋体" w:cs="宋体"/>
                <w:b w:val="0"/>
                <w:bCs w:val="0"/>
                <w:sz w:val="24"/>
                <w:szCs w:val="24"/>
              </w:rPr>
            </w:pPr>
            <w:r>
              <w:rPr>
                <w:rFonts w:hint="eastAsia" w:ascii="宋体" w:hAnsi="宋体" w:eastAsia="宋体" w:cs="宋体"/>
                <w:b w:val="0"/>
                <w:bCs w:val="0"/>
                <w:sz w:val="24"/>
                <w:szCs w:val="24"/>
              </w:rPr>
              <w:t>（邮寄地址：陕西省榆林市明珠大道榆商大厦A座5楼，</w:t>
            </w:r>
          </w:p>
          <w:p w14:paraId="6D2CF32E">
            <w:pPr>
              <w:topLinePunct/>
              <w:spacing w:line="240" w:lineRule="auto"/>
              <w:rPr>
                <w:rFonts w:hint="eastAsia" w:ascii="宋体" w:hAnsi="宋体" w:eastAsia="宋体" w:cs="宋体"/>
                <w:sz w:val="24"/>
                <w:szCs w:val="24"/>
                <w:lang w:val="en-US" w:eastAsia="zh-CN"/>
              </w:rPr>
            </w:pPr>
            <w:r>
              <w:rPr>
                <w:rFonts w:hint="eastAsia" w:ascii="宋体" w:hAnsi="宋体" w:eastAsia="宋体" w:cs="宋体"/>
                <w:b w:val="0"/>
                <w:bCs w:val="0"/>
                <w:sz w:val="24"/>
                <w:szCs w:val="24"/>
              </w:rPr>
              <w:t>联系人：</w:t>
            </w:r>
            <w:r>
              <w:rPr>
                <w:rFonts w:hint="eastAsia" w:hAnsi="宋体" w:cs="宋体"/>
                <w:b w:val="0"/>
                <w:bCs w:val="0"/>
                <w:sz w:val="24"/>
                <w:szCs w:val="24"/>
                <w:lang w:val="en-US" w:eastAsia="zh-CN"/>
              </w:rPr>
              <w:t>白总</w:t>
            </w:r>
            <w:r>
              <w:rPr>
                <w:rFonts w:hint="eastAsia" w:ascii="宋体" w:hAnsi="宋体" w:eastAsia="宋体" w:cs="宋体"/>
                <w:b w:val="0"/>
                <w:bCs w:val="0"/>
                <w:sz w:val="24"/>
                <w:szCs w:val="24"/>
              </w:rPr>
              <w:t xml:space="preserve"> 联系电话：</w:t>
            </w:r>
            <w:r>
              <w:rPr>
                <w:rFonts w:hint="eastAsia" w:hAnsi="宋体" w:cs="宋体"/>
                <w:b w:val="0"/>
                <w:bCs w:val="0"/>
                <w:kern w:val="0"/>
                <w:sz w:val="24"/>
                <w:szCs w:val="24"/>
                <w:lang w:val="en-US" w:eastAsia="zh-CN" w:bidi="ar-SA"/>
              </w:rPr>
              <w:t>0912-3891169</w:t>
            </w:r>
            <w:r>
              <w:rPr>
                <w:rFonts w:hint="eastAsia" w:ascii="宋体" w:hAnsi="宋体" w:eastAsia="宋体" w:cs="宋体"/>
                <w:b w:val="0"/>
                <w:bCs w:val="0"/>
                <w:sz w:val="24"/>
                <w:szCs w:val="24"/>
              </w:rPr>
              <w:t>）</w:t>
            </w:r>
          </w:p>
        </w:tc>
      </w:tr>
      <w:tr w14:paraId="78830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651" w:type="dxa"/>
            <w:vAlign w:val="center"/>
          </w:tcPr>
          <w:p w14:paraId="4C78641D">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0</w:t>
            </w:r>
          </w:p>
        </w:tc>
        <w:tc>
          <w:tcPr>
            <w:tcW w:w="1932" w:type="dxa"/>
            <w:vAlign w:val="center"/>
          </w:tcPr>
          <w:p w14:paraId="26524183">
            <w:pPr>
              <w:spacing w:line="288"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投标文件开启时间和地点</w:t>
            </w:r>
          </w:p>
        </w:tc>
        <w:tc>
          <w:tcPr>
            <w:tcW w:w="6735" w:type="dxa"/>
            <w:vAlign w:val="center"/>
          </w:tcPr>
          <w:p w14:paraId="0264E346">
            <w:pPr>
              <w:topLinePunct/>
              <w:spacing w:line="288" w:lineRule="auto"/>
              <w:rPr>
                <w:rFonts w:hint="eastAsia" w:ascii="宋体" w:hAnsi="宋体" w:eastAsia="宋体" w:cs="宋体"/>
                <w:color w:val="auto"/>
                <w:sz w:val="24"/>
                <w:szCs w:val="24"/>
              </w:rPr>
            </w:pPr>
            <w:r>
              <w:rPr>
                <w:rFonts w:hint="eastAsia" w:ascii="宋体" w:hAnsi="宋体" w:eastAsia="宋体" w:cs="宋体"/>
                <w:color w:val="000000" w:themeColor="text1"/>
                <w:sz w:val="24"/>
                <w:szCs w:val="24"/>
                <w14:textFill>
                  <w14:solidFill>
                    <w14:schemeClr w14:val="tx1"/>
                  </w14:solidFill>
                </w14:textFill>
              </w:rPr>
              <w:t>开启</w:t>
            </w:r>
            <w:r>
              <w:rPr>
                <w:rFonts w:hint="eastAsia" w:ascii="宋体" w:hAnsi="宋体" w:eastAsia="宋体" w:cs="宋体"/>
                <w:color w:val="auto"/>
                <w:sz w:val="24"/>
                <w:szCs w:val="24"/>
              </w:rPr>
              <w:t>时间：</w:t>
            </w:r>
            <w:r>
              <w:rPr>
                <w:rFonts w:hint="eastAsia" w:ascii="宋体" w:hAnsi="宋体" w:eastAsia="宋体" w:cs="宋体"/>
                <w:color w:val="auto"/>
                <w:sz w:val="24"/>
                <w:szCs w:val="24"/>
                <w:u w:val="none"/>
              </w:rPr>
              <w:t>202</w:t>
            </w:r>
            <w:r>
              <w:rPr>
                <w:rFonts w:hint="eastAsia" w:hAnsi="宋体" w:cs="宋体"/>
                <w:color w:val="auto"/>
                <w:sz w:val="24"/>
                <w:szCs w:val="24"/>
                <w:u w:val="none"/>
                <w:lang w:val="en-US" w:eastAsia="zh-CN"/>
              </w:rPr>
              <w:t>5</w:t>
            </w:r>
            <w:r>
              <w:rPr>
                <w:rFonts w:hint="eastAsia" w:ascii="宋体" w:hAnsi="宋体" w:eastAsia="宋体" w:cs="宋体"/>
                <w:color w:val="auto"/>
                <w:sz w:val="24"/>
                <w:szCs w:val="24"/>
                <w:u w:val="none"/>
              </w:rPr>
              <w:t>-</w:t>
            </w:r>
            <w:r>
              <w:rPr>
                <w:rFonts w:hint="eastAsia" w:hAnsi="宋体" w:cs="宋体"/>
                <w:color w:val="auto"/>
                <w:sz w:val="24"/>
                <w:szCs w:val="24"/>
                <w:u w:val="none"/>
                <w:lang w:val="en-US" w:eastAsia="zh-CN"/>
              </w:rPr>
              <w:t>11</w:t>
            </w:r>
            <w:r>
              <w:rPr>
                <w:rFonts w:hint="eastAsia" w:ascii="宋体" w:hAnsi="宋体" w:eastAsia="宋体" w:cs="宋体"/>
                <w:color w:val="auto"/>
                <w:sz w:val="24"/>
                <w:szCs w:val="24"/>
                <w:u w:val="none"/>
              </w:rPr>
              <w:t>-</w:t>
            </w:r>
            <w:r>
              <w:rPr>
                <w:rFonts w:hint="eastAsia" w:hAnsi="宋体" w:cs="宋体"/>
                <w:color w:val="auto"/>
                <w:sz w:val="24"/>
                <w:szCs w:val="24"/>
                <w:u w:val="none"/>
                <w:lang w:val="en-US" w:eastAsia="zh-CN"/>
              </w:rPr>
              <w:t>20</w:t>
            </w:r>
            <w:r>
              <w:rPr>
                <w:rFonts w:hint="eastAsia" w:ascii="宋体" w:hAnsi="宋体" w:eastAsia="宋体" w:cs="宋体"/>
                <w:color w:val="auto"/>
                <w:sz w:val="24"/>
                <w:szCs w:val="24"/>
                <w:u w:val="none"/>
              </w:rPr>
              <w:t xml:space="preserve"> </w:t>
            </w:r>
            <w:r>
              <w:rPr>
                <w:rFonts w:hint="eastAsia" w:hAnsi="宋体" w:cs="宋体"/>
                <w:color w:val="auto"/>
                <w:sz w:val="24"/>
                <w:szCs w:val="24"/>
                <w:u w:val="none"/>
                <w:lang w:val="en-US" w:eastAsia="zh-CN"/>
              </w:rPr>
              <w:t>09</w:t>
            </w:r>
            <w:r>
              <w:rPr>
                <w:rFonts w:hint="eastAsia" w:ascii="宋体" w:hAnsi="宋体" w:eastAsia="宋体" w:cs="宋体"/>
                <w:color w:val="auto"/>
                <w:sz w:val="24"/>
                <w:szCs w:val="24"/>
                <w:u w:val="none"/>
              </w:rPr>
              <w:t>:30:00</w:t>
            </w:r>
            <w:r>
              <w:rPr>
                <w:rFonts w:hint="eastAsia" w:ascii="宋体" w:hAnsi="宋体" w:eastAsia="宋体" w:cs="宋体"/>
                <w:color w:val="auto"/>
                <w:sz w:val="24"/>
                <w:szCs w:val="24"/>
              </w:rPr>
              <w:t>（同投标截止时间）</w:t>
            </w:r>
          </w:p>
          <w:p w14:paraId="0BFE9291">
            <w:pPr>
              <w:spacing w:line="288" w:lineRule="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auto"/>
                <w:sz w:val="24"/>
                <w:szCs w:val="24"/>
              </w:rPr>
              <w:t>开启地点：榆林市公共资源交易中心十楼</w:t>
            </w:r>
            <w:r>
              <w:rPr>
                <w:rFonts w:hint="eastAsia" w:hAnsi="宋体" w:cs="宋体"/>
                <w:color w:val="auto"/>
                <w:sz w:val="24"/>
                <w:szCs w:val="24"/>
                <w:lang w:eastAsia="zh-CN"/>
              </w:rPr>
              <w:t>不见面开标</w:t>
            </w:r>
            <w:r>
              <w:rPr>
                <w:rFonts w:hint="eastAsia" w:hAnsi="宋体" w:cs="宋体"/>
                <w:color w:val="auto"/>
                <w:sz w:val="24"/>
                <w:szCs w:val="24"/>
                <w:lang w:val="en-US" w:eastAsia="zh-CN"/>
              </w:rPr>
              <w:t>6</w:t>
            </w:r>
            <w:r>
              <w:rPr>
                <w:rFonts w:hint="eastAsia" w:hAnsi="宋体" w:cs="宋体"/>
                <w:color w:val="auto"/>
                <w:sz w:val="24"/>
                <w:szCs w:val="24"/>
                <w:lang w:eastAsia="zh-CN"/>
              </w:rPr>
              <w:t>室</w:t>
            </w:r>
          </w:p>
        </w:tc>
      </w:tr>
      <w:tr w14:paraId="1C826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651" w:type="dxa"/>
            <w:vAlign w:val="center"/>
          </w:tcPr>
          <w:p w14:paraId="1D0390E0">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p>
        </w:tc>
        <w:tc>
          <w:tcPr>
            <w:tcW w:w="1932" w:type="dxa"/>
            <w:vAlign w:val="center"/>
          </w:tcPr>
          <w:p w14:paraId="0AC8B17D">
            <w:pPr>
              <w:spacing w:line="288" w:lineRule="auto"/>
              <w:rPr>
                <w:rFonts w:hint="eastAsia" w:ascii="宋体" w:hAnsi="宋体" w:eastAsia="宋体" w:cs="宋体"/>
                <w:sz w:val="24"/>
                <w:szCs w:val="24"/>
              </w:rPr>
            </w:pPr>
            <w:r>
              <w:rPr>
                <w:rFonts w:hint="eastAsia" w:ascii="宋体" w:hAnsi="宋体" w:eastAsia="宋体" w:cs="宋体"/>
                <w:sz w:val="24"/>
                <w:szCs w:val="24"/>
              </w:rPr>
              <w:t>投标有效期</w:t>
            </w:r>
          </w:p>
        </w:tc>
        <w:tc>
          <w:tcPr>
            <w:tcW w:w="6735" w:type="dxa"/>
            <w:vAlign w:val="center"/>
          </w:tcPr>
          <w:p w14:paraId="7944AB45">
            <w:pPr>
              <w:spacing w:line="288" w:lineRule="auto"/>
              <w:rPr>
                <w:rFonts w:hint="eastAsia" w:ascii="宋体" w:hAnsi="宋体" w:eastAsia="宋体" w:cs="宋体"/>
                <w:sz w:val="24"/>
                <w:szCs w:val="24"/>
              </w:rPr>
            </w:pPr>
            <w:r>
              <w:rPr>
                <w:rFonts w:hint="eastAsia" w:ascii="宋体" w:hAnsi="宋体" w:eastAsia="宋体" w:cs="宋体"/>
                <w:sz w:val="24"/>
                <w:szCs w:val="24"/>
              </w:rPr>
              <w:t>自提交投标文件截止之日起不少于90个日历日</w:t>
            </w:r>
          </w:p>
        </w:tc>
      </w:tr>
      <w:tr w14:paraId="587B7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651" w:type="dxa"/>
            <w:vAlign w:val="center"/>
          </w:tcPr>
          <w:p w14:paraId="47CFAA2A">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2</w:t>
            </w:r>
          </w:p>
        </w:tc>
        <w:tc>
          <w:tcPr>
            <w:tcW w:w="1932" w:type="dxa"/>
            <w:vAlign w:val="center"/>
          </w:tcPr>
          <w:p w14:paraId="6E2C2AE4">
            <w:pPr>
              <w:spacing w:line="288" w:lineRule="auto"/>
              <w:rPr>
                <w:rFonts w:hint="eastAsia" w:ascii="宋体" w:hAnsi="宋体" w:eastAsia="宋体" w:cs="宋体"/>
                <w:sz w:val="24"/>
                <w:szCs w:val="24"/>
              </w:rPr>
            </w:pPr>
            <w:r>
              <w:rPr>
                <w:rFonts w:hint="eastAsia" w:ascii="宋体" w:hAnsi="宋体" w:eastAsia="宋体" w:cs="宋体"/>
                <w:sz w:val="24"/>
                <w:szCs w:val="24"/>
              </w:rPr>
              <w:t>联合体投标</w:t>
            </w:r>
          </w:p>
        </w:tc>
        <w:tc>
          <w:tcPr>
            <w:tcW w:w="6735" w:type="dxa"/>
            <w:vAlign w:val="center"/>
          </w:tcPr>
          <w:p w14:paraId="244C2033">
            <w:pPr>
              <w:rPr>
                <w:rFonts w:hint="eastAsia" w:ascii="宋体" w:hAnsi="宋体" w:eastAsia="宋体" w:cs="宋体"/>
                <w:sz w:val="24"/>
                <w:szCs w:val="24"/>
              </w:rPr>
            </w:pPr>
            <w:r>
              <w:rPr>
                <w:rFonts w:hint="eastAsia" w:ascii="宋体" w:hAnsi="宋体" w:eastAsia="宋体" w:cs="宋体"/>
                <w:sz w:val="24"/>
                <w:szCs w:val="24"/>
              </w:rPr>
              <w:sym w:font="Wingdings" w:char="00FE"/>
            </w:r>
            <w:r>
              <w:rPr>
                <w:rFonts w:hint="eastAsia" w:ascii="宋体" w:hAnsi="宋体" w:eastAsia="宋体" w:cs="宋体"/>
                <w:sz w:val="24"/>
                <w:szCs w:val="24"/>
              </w:rPr>
              <w:t xml:space="preserve">不接受   </w:t>
            </w:r>
            <w:sdt>
              <w:sdtPr>
                <w:rPr>
                  <w:rFonts w:hint="eastAsia" w:ascii="宋体" w:hAnsi="宋体" w:eastAsia="宋体" w:cs="宋体"/>
                  <w:sz w:val="24"/>
                  <w:szCs w:val="24"/>
                </w:rPr>
                <w:id w:val="1073164831"/>
                <w15:appearance w15:val="hidden"/>
                <w14:checkbox>
                  <w14:checked w14:val="0"/>
                  <w14:checkedState w14:val="0052" w14:font="Wingdings 2"/>
                  <w14:uncheckedState w14:val="2610" w14:font="MS Gothic"/>
                </w14:checkbox>
              </w:sdtPr>
              <w:sdtEndPr>
                <w:rPr>
                  <w:rFonts w:hint="eastAsia" w:ascii="宋体" w:hAnsi="宋体" w:eastAsia="宋体" w:cs="宋体"/>
                  <w:sz w:val="24"/>
                  <w:szCs w:val="24"/>
                </w:rPr>
              </w:sdtEndPr>
              <w:sdtContent>
                <w:r>
                  <w:rPr>
                    <w:rFonts w:hint="eastAsia" w:ascii="宋体" w:hAnsi="宋体" w:eastAsia="宋体" w:cs="宋体"/>
                    <w:sz w:val="24"/>
                    <w:szCs w:val="24"/>
                    <w:lang w:val="en-US" w:eastAsia="zh-CN" w:bidi="ar-SA"/>
                  </w:rPr>
                  <w:t>☐</w:t>
                </w:r>
              </w:sdtContent>
            </w:sdt>
            <w:r>
              <w:rPr>
                <w:rFonts w:hint="eastAsia" w:ascii="宋体" w:hAnsi="宋体" w:eastAsia="宋体" w:cs="宋体"/>
                <w:sz w:val="24"/>
                <w:szCs w:val="24"/>
              </w:rPr>
              <w:t>接受</w:t>
            </w:r>
          </w:p>
        </w:tc>
      </w:tr>
      <w:tr w14:paraId="111D3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51" w:type="dxa"/>
            <w:vAlign w:val="center"/>
          </w:tcPr>
          <w:p w14:paraId="7FC50C0F">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p>
        </w:tc>
        <w:tc>
          <w:tcPr>
            <w:tcW w:w="1932" w:type="dxa"/>
            <w:vAlign w:val="center"/>
          </w:tcPr>
          <w:p w14:paraId="1249A6D6">
            <w:pPr>
              <w:spacing w:line="288" w:lineRule="auto"/>
              <w:rPr>
                <w:rFonts w:hint="eastAsia" w:ascii="宋体" w:hAnsi="宋体" w:eastAsia="宋体" w:cs="宋体"/>
                <w:sz w:val="24"/>
                <w:szCs w:val="24"/>
              </w:rPr>
            </w:pPr>
            <w:r>
              <w:rPr>
                <w:rFonts w:hint="eastAsia" w:ascii="宋体" w:hAnsi="宋体" w:eastAsia="宋体" w:cs="宋体"/>
                <w:sz w:val="24"/>
                <w:szCs w:val="24"/>
              </w:rPr>
              <w:t>现场勘查、标前答疑会</w:t>
            </w:r>
          </w:p>
        </w:tc>
        <w:tc>
          <w:tcPr>
            <w:tcW w:w="6735" w:type="dxa"/>
            <w:vAlign w:val="center"/>
          </w:tcPr>
          <w:p w14:paraId="2FFDD373">
            <w:pPr>
              <w:spacing w:line="288" w:lineRule="auto"/>
              <w:rPr>
                <w:rFonts w:hint="eastAsia" w:ascii="宋体" w:hAnsi="宋体" w:eastAsia="宋体" w:cs="宋体"/>
                <w:sz w:val="24"/>
                <w:szCs w:val="24"/>
              </w:rPr>
            </w:pPr>
            <w:r>
              <w:rPr>
                <w:rFonts w:hint="eastAsia" w:ascii="宋体" w:hAnsi="宋体" w:eastAsia="宋体" w:cs="宋体"/>
                <w:sz w:val="24"/>
                <w:szCs w:val="24"/>
              </w:rPr>
              <w:sym w:font="Wingdings" w:char="00FE"/>
            </w:r>
            <w:r>
              <w:rPr>
                <w:rFonts w:hint="eastAsia" w:ascii="宋体" w:hAnsi="宋体" w:eastAsia="宋体" w:cs="宋体"/>
                <w:sz w:val="24"/>
                <w:szCs w:val="24"/>
              </w:rPr>
              <w:t xml:space="preserve">不组织   </w:t>
            </w:r>
            <w:sdt>
              <w:sdtPr>
                <w:rPr>
                  <w:rFonts w:hint="eastAsia" w:ascii="宋体" w:hAnsi="宋体" w:eastAsia="宋体" w:cs="宋体"/>
                  <w:sz w:val="24"/>
                  <w:szCs w:val="24"/>
                </w:rPr>
                <w:id w:val="345065148"/>
                <w14:checkbox>
                  <w14:checked w14:val="0"/>
                  <w14:checkedState w14:val="0052" w14:font="Wingdings 2"/>
                  <w14:uncheckedState w14:val="2610" w14:font="MS Gothic"/>
                </w14:checkbox>
              </w:sdtPr>
              <w:sdtEndPr>
                <w:rPr>
                  <w:rFonts w:hint="eastAsia" w:ascii="宋体" w:hAnsi="宋体" w:eastAsia="宋体" w:cs="宋体"/>
                  <w:sz w:val="24"/>
                  <w:szCs w:val="24"/>
                </w:rPr>
              </w:sdtEndPr>
              <w:sdtContent>
                <w:r>
                  <w:rPr>
                    <w:rFonts w:hint="eastAsia" w:ascii="宋体" w:hAnsi="宋体" w:eastAsia="宋体" w:cs="宋体"/>
                    <w:sz w:val="24"/>
                    <w:szCs w:val="24"/>
                    <w:lang w:val="en-US" w:eastAsia="zh-CN" w:bidi="ar-SA"/>
                  </w:rPr>
                  <w:t>☐</w:t>
                </w:r>
              </w:sdtContent>
            </w:sdt>
            <w:r>
              <w:rPr>
                <w:rFonts w:hint="eastAsia" w:ascii="宋体" w:hAnsi="宋体" w:eastAsia="宋体" w:cs="宋体"/>
                <w:sz w:val="24"/>
                <w:szCs w:val="24"/>
              </w:rPr>
              <w:t>组织</w:t>
            </w:r>
          </w:p>
          <w:p w14:paraId="4AE53F41">
            <w:pPr>
              <w:spacing w:line="288" w:lineRule="auto"/>
              <w:rPr>
                <w:rFonts w:hint="eastAsia" w:ascii="宋体" w:hAnsi="宋体" w:eastAsia="宋体" w:cs="宋体"/>
                <w:sz w:val="24"/>
                <w:szCs w:val="24"/>
              </w:rPr>
            </w:pPr>
            <w:r>
              <w:rPr>
                <w:rFonts w:hint="eastAsia" w:ascii="宋体" w:hAnsi="宋体" w:eastAsia="宋体" w:cs="宋体"/>
                <w:sz w:val="24"/>
                <w:szCs w:val="24"/>
              </w:rPr>
              <w:t>投标人可自行安排勘察现场，由此产生的费用、不良后果、相关责任均由投标人自行承担。</w:t>
            </w:r>
          </w:p>
        </w:tc>
      </w:tr>
      <w:tr w14:paraId="2D998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651" w:type="dxa"/>
            <w:vAlign w:val="center"/>
          </w:tcPr>
          <w:p w14:paraId="4E33C8DB">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4</w:t>
            </w:r>
          </w:p>
        </w:tc>
        <w:tc>
          <w:tcPr>
            <w:tcW w:w="1932" w:type="dxa"/>
            <w:vAlign w:val="center"/>
          </w:tcPr>
          <w:p w14:paraId="56E54850">
            <w:pPr>
              <w:spacing w:line="288" w:lineRule="auto"/>
              <w:rPr>
                <w:rFonts w:hint="eastAsia" w:ascii="宋体" w:hAnsi="宋体" w:eastAsia="宋体" w:cs="宋体"/>
                <w:sz w:val="24"/>
                <w:szCs w:val="24"/>
              </w:rPr>
            </w:pPr>
            <w:r>
              <w:rPr>
                <w:rFonts w:hint="eastAsia" w:ascii="宋体" w:hAnsi="宋体" w:eastAsia="宋体" w:cs="宋体"/>
                <w:sz w:val="24"/>
                <w:szCs w:val="24"/>
              </w:rPr>
              <w:t>投标人对招标文件提出质疑的时间</w:t>
            </w:r>
          </w:p>
        </w:tc>
        <w:tc>
          <w:tcPr>
            <w:tcW w:w="6735" w:type="dxa"/>
            <w:vAlign w:val="center"/>
          </w:tcPr>
          <w:p w14:paraId="4F650639">
            <w:pPr>
              <w:spacing w:line="288" w:lineRule="auto"/>
              <w:rPr>
                <w:rFonts w:hint="eastAsia" w:ascii="宋体" w:hAnsi="宋体" w:eastAsia="宋体" w:cs="宋体"/>
                <w:sz w:val="24"/>
                <w:szCs w:val="24"/>
              </w:rPr>
            </w:pPr>
            <w:r>
              <w:rPr>
                <w:rFonts w:hint="eastAsia" w:ascii="宋体" w:hAnsi="宋体" w:eastAsia="宋体" w:cs="宋体"/>
                <w:sz w:val="24"/>
                <w:szCs w:val="24"/>
              </w:rPr>
              <w:t>投标人已依法获取其可质疑的招标文件的，可以对该文件提出质疑。对招标文件提出质疑的，应当在获取招标文件或者招标文件公告期限届满之日起7个工作日内提出，逾期提出的无效。</w:t>
            </w:r>
          </w:p>
        </w:tc>
      </w:tr>
      <w:tr w14:paraId="1D181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0CC3DC25">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5</w:t>
            </w:r>
          </w:p>
        </w:tc>
        <w:tc>
          <w:tcPr>
            <w:tcW w:w="1932" w:type="dxa"/>
            <w:vAlign w:val="center"/>
          </w:tcPr>
          <w:p w14:paraId="4C63DB99">
            <w:pPr>
              <w:spacing w:line="288" w:lineRule="auto"/>
              <w:jc w:val="left"/>
              <w:rPr>
                <w:rFonts w:hint="eastAsia" w:ascii="宋体" w:hAnsi="宋体" w:eastAsia="宋体" w:cs="宋体"/>
                <w:sz w:val="24"/>
                <w:szCs w:val="24"/>
              </w:rPr>
            </w:pPr>
            <w:r>
              <w:rPr>
                <w:rFonts w:hint="eastAsia" w:ascii="宋体" w:hAnsi="宋体" w:eastAsia="宋体" w:cs="宋体"/>
                <w:sz w:val="24"/>
                <w:szCs w:val="24"/>
              </w:rPr>
              <w:t>构成招标文件的其他文件</w:t>
            </w:r>
          </w:p>
        </w:tc>
        <w:tc>
          <w:tcPr>
            <w:tcW w:w="6735" w:type="dxa"/>
            <w:vAlign w:val="center"/>
          </w:tcPr>
          <w:p w14:paraId="4788B90F">
            <w:pPr>
              <w:spacing w:line="288" w:lineRule="auto"/>
              <w:rPr>
                <w:rFonts w:hint="eastAsia" w:ascii="宋体" w:hAnsi="宋体" w:eastAsia="宋体" w:cs="宋体"/>
                <w:sz w:val="24"/>
                <w:szCs w:val="24"/>
              </w:rPr>
            </w:pPr>
            <w:r>
              <w:rPr>
                <w:rFonts w:hint="eastAsia" w:ascii="宋体" w:hAnsi="宋体" w:eastAsia="宋体" w:cs="宋体"/>
                <w:sz w:val="24"/>
                <w:szCs w:val="24"/>
              </w:rPr>
              <w:t>招标文件的澄清、修改书及有关补充通知均为招标文件的有效组成部分。</w:t>
            </w:r>
          </w:p>
          <w:p w14:paraId="734EB2A2">
            <w:pPr>
              <w:pStyle w:val="19"/>
              <w:spacing w:after="0" w:line="288" w:lineRule="auto"/>
              <w:ind w:firstLine="0" w:firstLineChars="0"/>
              <w:rPr>
                <w:rFonts w:hint="eastAsia" w:ascii="宋体" w:hAnsi="宋体" w:eastAsia="宋体" w:cs="宋体"/>
                <w:sz w:val="24"/>
                <w:szCs w:val="24"/>
              </w:rPr>
            </w:pPr>
            <w:r>
              <w:rPr>
                <w:rFonts w:hint="eastAsia" w:ascii="宋体" w:hAnsi="宋体" w:eastAsia="宋体" w:cs="宋体"/>
                <w:b/>
                <w:bCs/>
                <w:sz w:val="24"/>
                <w:szCs w:val="24"/>
              </w:rPr>
              <w:t>注意事项：</w:t>
            </w:r>
            <w:r>
              <w:rPr>
                <w:rFonts w:hint="eastAsia" w:ascii="宋体" w:hAnsi="宋体" w:eastAsia="宋体" w:cs="宋体"/>
                <w:sz w:val="24"/>
                <w:szCs w:val="24"/>
              </w:rPr>
              <w:t>投标人应随时留意可能发布的变更公告，当澄清或修改的内容影响投标文件编制时，将在全国公共资源交易中心平台（陕西省）上同步发布答疑文件，此时投标人应从“项目流程·〉答疑文件下载”下载最新发布的答疑文件后缀为（*.SXSCF），并使用该文件重新编制电子投标文件后缀为（*.SXSTF），使用旧版电子招标文件或旧版答疑文件制作的电子投标文件，系统将拒绝接收。</w:t>
            </w:r>
          </w:p>
        </w:tc>
      </w:tr>
      <w:tr w14:paraId="4EA59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51" w:type="dxa"/>
            <w:vAlign w:val="center"/>
          </w:tcPr>
          <w:p w14:paraId="518DBB73">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6</w:t>
            </w:r>
          </w:p>
        </w:tc>
        <w:tc>
          <w:tcPr>
            <w:tcW w:w="1932" w:type="dxa"/>
            <w:vAlign w:val="center"/>
          </w:tcPr>
          <w:p w14:paraId="3B4F95AC">
            <w:pPr>
              <w:spacing w:line="288" w:lineRule="auto"/>
              <w:jc w:val="left"/>
              <w:rPr>
                <w:rFonts w:hint="eastAsia" w:ascii="宋体" w:hAnsi="宋体" w:eastAsia="宋体" w:cs="宋体"/>
                <w:sz w:val="24"/>
                <w:szCs w:val="24"/>
              </w:rPr>
            </w:pPr>
            <w:r>
              <w:rPr>
                <w:rFonts w:hint="eastAsia" w:ascii="宋体" w:hAnsi="宋体" w:eastAsia="宋体" w:cs="宋体"/>
                <w:sz w:val="24"/>
                <w:szCs w:val="24"/>
              </w:rPr>
              <w:t xml:space="preserve">投标保证金 </w:t>
            </w:r>
          </w:p>
        </w:tc>
        <w:tc>
          <w:tcPr>
            <w:tcW w:w="6735" w:type="dxa"/>
            <w:vAlign w:val="center"/>
          </w:tcPr>
          <w:p w14:paraId="3349978A">
            <w:pPr>
              <w:pageBreakBefore w:val="0"/>
              <w:numPr>
                <w:ilvl w:val="0"/>
                <w:numId w:val="0"/>
              </w:numPr>
              <w:kinsoku/>
              <w:wordWrap/>
              <w:overflowPunct/>
              <w:autoSpaceDE/>
              <w:autoSpaceDN/>
              <w:bidi w:val="0"/>
              <w:adjustRightInd w:val="0"/>
              <w:snapToGrid w:val="0"/>
              <w:spacing w:before="120" w:line="288" w:lineRule="auto"/>
              <w:rPr>
                <w:rFonts w:hint="eastAsia" w:ascii="宋体" w:hAnsi="宋体" w:eastAsia="宋体" w:cs="宋体"/>
                <w:sz w:val="24"/>
                <w:szCs w:val="24"/>
              </w:rPr>
            </w:pPr>
            <w:r>
              <w:rPr>
                <w:rFonts w:hint="eastAsia" w:hAnsi="宋体" w:cs="宋体"/>
                <w:sz w:val="24"/>
                <w:szCs w:val="24"/>
                <w:lang w:val="en-US" w:eastAsia="zh-CN"/>
              </w:rPr>
              <w:t>1、</w:t>
            </w:r>
            <w:r>
              <w:rPr>
                <w:rFonts w:hint="eastAsia" w:ascii="宋体" w:hAnsi="宋体" w:eastAsia="宋体" w:cs="宋体"/>
                <w:sz w:val="24"/>
                <w:szCs w:val="24"/>
                <w:lang w:eastAsia="zh-CN"/>
              </w:rPr>
              <w:t>投标</w:t>
            </w:r>
            <w:r>
              <w:rPr>
                <w:rFonts w:hint="eastAsia" w:ascii="宋体" w:hAnsi="宋体" w:eastAsia="宋体" w:cs="宋体"/>
                <w:sz w:val="24"/>
                <w:szCs w:val="24"/>
              </w:rPr>
              <w:t>保证金</w:t>
            </w:r>
            <w:r>
              <w:rPr>
                <w:rFonts w:hint="eastAsia" w:ascii="宋体" w:hAnsi="宋体" w:eastAsia="宋体" w:cs="宋体"/>
                <w:sz w:val="24"/>
                <w:szCs w:val="24"/>
                <w:lang w:val="en-US" w:eastAsia="zh-CN"/>
              </w:rPr>
              <w:t>数</w:t>
            </w:r>
            <w:r>
              <w:rPr>
                <w:rFonts w:hint="eastAsia" w:ascii="宋体" w:hAnsi="宋体" w:eastAsia="宋体" w:cs="宋体"/>
                <w:sz w:val="24"/>
                <w:szCs w:val="24"/>
              </w:rPr>
              <w:t>额：</w:t>
            </w:r>
            <w:r>
              <w:rPr>
                <w:rFonts w:hint="eastAsia" w:ascii="宋体" w:hAnsi="宋体" w:eastAsia="宋体" w:cs="宋体"/>
                <w:sz w:val="24"/>
                <w:szCs w:val="24"/>
                <w:lang w:val="en-US" w:eastAsia="zh-CN"/>
              </w:rPr>
              <w:t>/（本项目不适用于保证金）</w:t>
            </w:r>
          </w:p>
          <w:p w14:paraId="1905E87E">
            <w:pPr>
              <w:spacing w:line="240" w:lineRule="auto"/>
              <w:rPr>
                <w:rFonts w:hint="eastAsia" w:ascii="宋体" w:hAnsi="宋体" w:eastAsia="宋体" w:cs="宋体"/>
                <w:sz w:val="24"/>
                <w:szCs w:val="24"/>
                <w:lang w:val="en-US" w:eastAsia="zh-CN"/>
              </w:rPr>
            </w:pPr>
            <w:r>
              <w:rPr>
                <w:rFonts w:hint="eastAsia" w:ascii="宋体" w:hAnsi="宋体" w:eastAsia="宋体" w:cs="宋体"/>
                <w:kern w:val="0"/>
                <w:sz w:val="24"/>
                <w:szCs w:val="24"/>
                <w:highlight w:val="none"/>
                <w:lang w:val="en-US" w:eastAsia="zh-CN" w:bidi="ar-SA"/>
              </w:rPr>
              <w:t>2、根据榆政财采发【2023】8号文件实行投标保证金信用承诺制，本项目采用信用承诺代替投标保证金（格式详见</w:t>
            </w:r>
            <w:r>
              <w:rPr>
                <w:rFonts w:hint="eastAsia" w:hAnsi="宋体" w:cs="宋体"/>
                <w:kern w:val="0"/>
                <w:sz w:val="24"/>
                <w:szCs w:val="24"/>
                <w:highlight w:val="none"/>
                <w:lang w:val="en-US" w:eastAsia="zh-CN" w:bidi="ar-SA"/>
              </w:rPr>
              <w:t>招标文件</w:t>
            </w:r>
            <w:r>
              <w:rPr>
                <w:rFonts w:hint="eastAsia" w:ascii="宋体" w:hAnsi="宋体" w:eastAsia="宋体" w:cs="宋体"/>
                <w:kern w:val="0"/>
                <w:sz w:val="24"/>
                <w:szCs w:val="24"/>
                <w:highlight w:val="none"/>
                <w:lang w:val="en-US" w:eastAsia="zh-CN" w:bidi="ar-SA"/>
              </w:rPr>
              <w:t>）</w:t>
            </w:r>
          </w:p>
        </w:tc>
      </w:tr>
      <w:tr w14:paraId="4FFC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651" w:type="dxa"/>
            <w:vAlign w:val="center"/>
          </w:tcPr>
          <w:p w14:paraId="66994787">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7</w:t>
            </w:r>
          </w:p>
        </w:tc>
        <w:tc>
          <w:tcPr>
            <w:tcW w:w="1932" w:type="dxa"/>
            <w:vAlign w:val="center"/>
          </w:tcPr>
          <w:p w14:paraId="6243AD40">
            <w:pPr>
              <w:spacing w:line="288" w:lineRule="auto"/>
              <w:jc w:val="left"/>
              <w:rPr>
                <w:rFonts w:hint="eastAsia" w:ascii="宋体" w:hAnsi="宋体" w:eastAsia="宋体" w:cs="宋体"/>
                <w:sz w:val="24"/>
                <w:szCs w:val="24"/>
              </w:rPr>
            </w:pPr>
            <w:r>
              <w:rPr>
                <w:rFonts w:hint="eastAsia" w:ascii="宋体" w:hAnsi="宋体" w:eastAsia="宋体" w:cs="宋体"/>
                <w:sz w:val="24"/>
                <w:szCs w:val="24"/>
              </w:rPr>
              <w:t>是否允许递交备选投标方案</w:t>
            </w:r>
          </w:p>
        </w:tc>
        <w:tc>
          <w:tcPr>
            <w:tcW w:w="6735" w:type="dxa"/>
            <w:vAlign w:val="center"/>
          </w:tcPr>
          <w:p w14:paraId="595DE214">
            <w:pPr>
              <w:tabs>
                <w:tab w:val="left" w:pos="7013"/>
              </w:tabs>
              <w:spacing w:line="288" w:lineRule="auto"/>
              <w:rPr>
                <w:rFonts w:hint="eastAsia" w:ascii="宋体" w:hAnsi="宋体" w:eastAsia="宋体" w:cs="宋体"/>
                <w:sz w:val="24"/>
                <w:szCs w:val="24"/>
              </w:rPr>
            </w:pPr>
            <w:r>
              <w:rPr>
                <w:rFonts w:hint="eastAsia" w:ascii="宋体" w:hAnsi="宋体" w:eastAsia="宋体" w:cs="宋体"/>
                <w:sz w:val="24"/>
                <w:szCs w:val="24"/>
              </w:rPr>
              <w:sym w:font="Wingdings" w:char="00FE"/>
            </w:r>
            <w:r>
              <w:rPr>
                <w:rFonts w:hint="eastAsia" w:ascii="宋体" w:hAnsi="宋体" w:eastAsia="宋体" w:cs="宋体"/>
                <w:sz w:val="24"/>
                <w:szCs w:val="24"/>
              </w:rPr>
              <w:t xml:space="preserve">不接受   </w:t>
            </w:r>
            <w:sdt>
              <w:sdtPr>
                <w:rPr>
                  <w:rFonts w:hint="eastAsia" w:ascii="宋体" w:hAnsi="宋体" w:eastAsia="宋体" w:cs="宋体"/>
                  <w:sz w:val="24"/>
                  <w:szCs w:val="24"/>
                </w:rPr>
                <w:id w:val="1362165626"/>
                <w14:checkbox>
                  <w14:checked w14:val="0"/>
                  <w14:checkedState w14:val="0052" w14:font="Wingdings 2"/>
                  <w14:uncheckedState w14:val="2610" w14:font="MS Gothic"/>
                </w14:checkbox>
              </w:sdtPr>
              <w:sdtEndPr>
                <w:rPr>
                  <w:rFonts w:hint="eastAsia" w:ascii="宋体" w:hAnsi="宋体" w:eastAsia="宋体" w:cs="宋体"/>
                  <w:sz w:val="24"/>
                  <w:szCs w:val="24"/>
                </w:rPr>
              </w:sdtEndPr>
              <w:sdtContent>
                <w:r>
                  <w:rPr>
                    <w:rFonts w:hint="eastAsia" w:ascii="宋体" w:hAnsi="宋体" w:eastAsia="宋体" w:cs="宋体"/>
                    <w:sz w:val="24"/>
                    <w:szCs w:val="24"/>
                  </w:rPr>
                  <w:t>☐</w:t>
                </w:r>
              </w:sdtContent>
            </w:sdt>
            <w:r>
              <w:rPr>
                <w:rFonts w:hint="eastAsia" w:ascii="宋体" w:hAnsi="宋体" w:eastAsia="宋体" w:cs="宋体"/>
                <w:sz w:val="24"/>
                <w:szCs w:val="24"/>
              </w:rPr>
              <w:t>接受</w:t>
            </w:r>
          </w:p>
          <w:p w14:paraId="444F41B1">
            <w:pPr>
              <w:tabs>
                <w:tab w:val="left" w:pos="7013"/>
              </w:tabs>
              <w:spacing w:line="288" w:lineRule="auto"/>
              <w:rPr>
                <w:rFonts w:hint="eastAsia" w:ascii="宋体" w:hAnsi="宋体" w:eastAsia="宋体" w:cs="宋体"/>
                <w:sz w:val="24"/>
                <w:szCs w:val="24"/>
              </w:rPr>
            </w:pPr>
            <w:r>
              <w:rPr>
                <w:rFonts w:hint="eastAsia" w:ascii="宋体" w:hAnsi="宋体" w:eastAsia="宋体" w:cs="宋体"/>
                <w:sz w:val="24"/>
                <w:szCs w:val="24"/>
              </w:rPr>
              <w:t>不接受备选投标方案和投标文件中出现多个报价。</w:t>
            </w:r>
          </w:p>
        </w:tc>
      </w:tr>
      <w:tr w14:paraId="38229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651" w:type="dxa"/>
            <w:vAlign w:val="center"/>
          </w:tcPr>
          <w:p w14:paraId="545F9AD5">
            <w:pPr>
              <w:spacing w:line="288"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w:t>
            </w:r>
          </w:p>
        </w:tc>
        <w:tc>
          <w:tcPr>
            <w:tcW w:w="1932" w:type="dxa"/>
            <w:vAlign w:val="center"/>
          </w:tcPr>
          <w:p w14:paraId="4EEEA875">
            <w:pPr>
              <w:spacing w:line="288" w:lineRule="auto"/>
              <w:jc w:val="left"/>
              <w:rPr>
                <w:rFonts w:hint="eastAsia" w:ascii="宋体" w:hAnsi="宋体" w:eastAsia="宋体" w:cs="宋体"/>
                <w:sz w:val="24"/>
                <w:szCs w:val="24"/>
              </w:rPr>
            </w:pPr>
            <w:r>
              <w:rPr>
                <w:rFonts w:hint="eastAsia" w:ascii="宋体" w:hAnsi="宋体" w:eastAsia="宋体" w:cs="宋体"/>
                <w:sz w:val="24"/>
                <w:szCs w:val="24"/>
              </w:rPr>
              <w:t>电子投标文件签字和盖章要求</w:t>
            </w:r>
          </w:p>
        </w:tc>
        <w:tc>
          <w:tcPr>
            <w:tcW w:w="6735" w:type="dxa"/>
            <w:vAlign w:val="center"/>
          </w:tcPr>
          <w:p w14:paraId="3C151F18">
            <w:pPr>
              <w:tabs>
                <w:tab w:val="left" w:pos="7013"/>
              </w:tabs>
              <w:spacing w:line="288" w:lineRule="auto"/>
              <w:rPr>
                <w:rFonts w:hint="eastAsia" w:ascii="宋体" w:hAnsi="宋体" w:eastAsia="宋体" w:cs="宋体"/>
                <w:bCs/>
                <w:sz w:val="24"/>
                <w:szCs w:val="24"/>
              </w:rPr>
            </w:pPr>
            <w:r>
              <w:rPr>
                <w:rFonts w:hint="eastAsia" w:ascii="宋体" w:hAnsi="宋体" w:eastAsia="宋体" w:cs="宋体"/>
                <w:bCs/>
                <w:sz w:val="24"/>
                <w:szCs w:val="24"/>
              </w:rPr>
              <w:t>后缀为“*.SXSTF”格式的电子投标文件须逐页进行电子签章，法定代表人或其委托代理人签字和盖章以所发布的投标</w:t>
            </w:r>
            <w:r>
              <w:rPr>
                <w:rFonts w:hint="eastAsia" w:ascii="宋体" w:hAnsi="宋体" w:eastAsia="宋体" w:cs="宋体"/>
                <w:sz w:val="24"/>
                <w:szCs w:val="24"/>
              </w:rPr>
              <w:t>文件构成及格式</w:t>
            </w:r>
            <w:r>
              <w:rPr>
                <w:rFonts w:hint="eastAsia" w:ascii="宋体" w:hAnsi="宋体" w:eastAsia="宋体" w:cs="宋体"/>
                <w:bCs/>
                <w:sz w:val="24"/>
                <w:szCs w:val="24"/>
              </w:rPr>
              <w:t>为准。</w:t>
            </w:r>
          </w:p>
          <w:p w14:paraId="5CBBCB2C">
            <w:pPr>
              <w:tabs>
                <w:tab w:val="left" w:pos="7013"/>
              </w:tabs>
              <w:spacing w:line="288" w:lineRule="auto"/>
              <w:rPr>
                <w:rFonts w:hint="eastAsia" w:ascii="宋体" w:hAnsi="宋体" w:eastAsia="宋体" w:cs="宋体"/>
                <w:b/>
                <w:sz w:val="24"/>
                <w:szCs w:val="24"/>
              </w:rPr>
            </w:pPr>
            <w:r>
              <w:rPr>
                <w:rFonts w:hint="eastAsia" w:ascii="宋体" w:hAnsi="宋体" w:eastAsia="宋体" w:cs="宋体"/>
                <w:b/>
                <w:sz w:val="24"/>
                <w:szCs w:val="24"/>
              </w:rPr>
              <w:t>注：</w:t>
            </w:r>
            <w:r>
              <w:rPr>
                <w:rFonts w:hint="eastAsia" w:ascii="宋体" w:hAnsi="宋体" w:eastAsia="宋体" w:cs="宋体"/>
                <w:bCs/>
                <w:sz w:val="24"/>
                <w:szCs w:val="24"/>
              </w:rPr>
              <w:t>未作格式要求的除外，擅自修改签字盖章指定格式将否决投标。</w:t>
            </w:r>
          </w:p>
        </w:tc>
      </w:tr>
      <w:tr w14:paraId="46817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51" w:type="dxa"/>
            <w:vAlign w:val="center"/>
          </w:tcPr>
          <w:p w14:paraId="7EF14B5D">
            <w:pPr>
              <w:spacing w:line="288"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w:t>
            </w:r>
          </w:p>
        </w:tc>
        <w:tc>
          <w:tcPr>
            <w:tcW w:w="1932" w:type="dxa"/>
            <w:vAlign w:val="center"/>
          </w:tcPr>
          <w:p w14:paraId="17423087">
            <w:pPr>
              <w:spacing w:line="288" w:lineRule="auto"/>
              <w:jc w:val="left"/>
              <w:rPr>
                <w:rFonts w:hint="eastAsia" w:ascii="宋体" w:hAnsi="宋体" w:eastAsia="宋体" w:cs="宋体"/>
                <w:sz w:val="24"/>
                <w:szCs w:val="24"/>
              </w:rPr>
            </w:pPr>
            <w:r>
              <w:rPr>
                <w:rFonts w:hint="eastAsia" w:ascii="宋体" w:hAnsi="宋体" w:eastAsia="宋体" w:cs="宋体"/>
                <w:sz w:val="24"/>
                <w:szCs w:val="24"/>
              </w:rPr>
              <w:t>投标报价</w:t>
            </w:r>
          </w:p>
        </w:tc>
        <w:tc>
          <w:tcPr>
            <w:tcW w:w="6735" w:type="dxa"/>
            <w:vAlign w:val="center"/>
          </w:tcPr>
          <w:p w14:paraId="5E351B3B">
            <w:pPr>
              <w:spacing w:line="288" w:lineRule="auto"/>
              <w:rPr>
                <w:rFonts w:hint="eastAsia" w:ascii="宋体" w:hAnsi="宋体" w:eastAsia="宋体" w:cs="宋体"/>
                <w:sz w:val="24"/>
                <w:szCs w:val="24"/>
              </w:rPr>
            </w:pPr>
            <w:r>
              <w:rPr>
                <w:rFonts w:hint="eastAsia" w:ascii="宋体" w:hAnsi="宋体" w:eastAsia="宋体" w:cs="宋体"/>
                <w:sz w:val="24"/>
                <w:szCs w:val="24"/>
              </w:rPr>
              <w:t>投标报价是投标人响应采购项目要求的全部工作内容的价格体现，包括完成采购项目所需的直接费、间接费、利润、税金及其它相关的一切费用。投标人在报价时应充分考虑所有可能发生的费用，招标文件未列明，而投标人认为应当计取的费用均应列入报价中。报价时不论是否计取，采购人均按已计取对待。</w:t>
            </w:r>
          </w:p>
          <w:p w14:paraId="68D22EF4">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1.投标人应严格按照第六章《投标文件构成及格式》中《开标一览表》中的相关要求填写分类报价及其他需要响应的内容。</w:t>
            </w:r>
          </w:p>
          <w:p w14:paraId="290A558E">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2.投标报价货币：人民币；单位：元。</w:t>
            </w:r>
          </w:p>
          <w:p w14:paraId="362A4445">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3.投标报价只能提交唯一报价，并且在合同履行过程中是固定不变的，任何有选择的报价将不予接受，按无效投标处理。</w:t>
            </w:r>
          </w:p>
          <w:p w14:paraId="1F05CC4B">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4.投标报价应遵守《中华人民共和国价格法》，投标人不得以低于成本的报价参与投标。</w:t>
            </w:r>
          </w:p>
        </w:tc>
      </w:tr>
      <w:tr w14:paraId="2EA92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651" w:type="dxa"/>
            <w:vAlign w:val="center"/>
          </w:tcPr>
          <w:p w14:paraId="07213A98">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0</w:t>
            </w:r>
          </w:p>
        </w:tc>
        <w:tc>
          <w:tcPr>
            <w:tcW w:w="1932" w:type="dxa"/>
            <w:vAlign w:val="center"/>
          </w:tcPr>
          <w:p w14:paraId="3168AB7E">
            <w:pPr>
              <w:spacing w:line="288" w:lineRule="auto"/>
              <w:jc w:val="left"/>
              <w:rPr>
                <w:rFonts w:hint="eastAsia" w:ascii="宋体" w:hAnsi="宋体" w:eastAsia="宋体" w:cs="宋体"/>
                <w:sz w:val="24"/>
                <w:szCs w:val="24"/>
              </w:rPr>
            </w:pPr>
            <w:r>
              <w:rPr>
                <w:rFonts w:hint="eastAsia" w:ascii="宋体" w:hAnsi="宋体" w:eastAsia="宋体" w:cs="宋体"/>
                <w:sz w:val="24"/>
                <w:szCs w:val="24"/>
              </w:rPr>
              <w:t>最高限价</w:t>
            </w:r>
          </w:p>
        </w:tc>
        <w:tc>
          <w:tcPr>
            <w:tcW w:w="6735" w:type="dxa"/>
            <w:vAlign w:val="center"/>
          </w:tcPr>
          <w:p w14:paraId="7C80154B">
            <w:pPr>
              <w:spacing w:line="288" w:lineRule="auto"/>
              <w:rPr>
                <w:rFonts w:hint="eastAsia" w:ascii="宋体" w:hAnsi="宋体" w:eastAsia="宋体" w:cs="宋体"/>
                <w:sz w:val="24"/>
                <w:szCs w:val="24"/>
              </w:rPr>
            </w:pPr>
            <w:sdt>
              <w:sdtPr>
                <w:rPr>
                  <w:rFonts w:hint="eastAsia" w:ascii="宋体" w:hAnsi="宋体" w:eastAsia="宋体" w:cs="宋体"/>
                  <w:sz w:val="24"/>
                  <w:szCs w:val="24"/>
                </w:rPr>
                <w:id w:val="-1669703242"/>
                <w14:checkbox>
                  <w14:checked w14:val="0"/>
                  <w14:checkedState w14:val="0052" w14:font="Wingdings 2"/>
                  <w14:uncheckedState w14:val="2610" w14:font="MS Gothic"/>
                </w14:checkbox>
              </w:sdtPr>
              <w:sdtEndPr>
                <w:rPr>
                  <w:rFonts w:hint="eastAsia" w:ascii="宋体" w:hAnsi="宋体" w:eastAsia="宋体" w:cs="宋体"/>
                  <w:sz w:val="24"/>
                  <w:szCs w:val="24"/>
                </w:rPr>
              </w:sdtEndPr>
              <w:sdtContent>
                <w:r>
                  <w:rPr>
                    <w:rFonts w:hint="eastAsia" w:ascii="宋体" w:hAnsi="宋体" w:eastAsia="宋体" w:cs="宋体"/>
                    <w:sz w:val="24"/>
                    <w:szCs w:val="24"/>
                  </w:rPr>
                  <w:t>☐</w:t>
                </w:r>
              </w:sdtContent>
            </w:sdt>
            <w:r>
              <w:rPr>
                <w:rFonts w:hint="eastAsia" w:ascii="宋体" w:hAnsi="宋体" w:eastAsia="宋体" w:cs="宋体"/>
                <w:sz w:val="24"/>
                <w:szCs w:val="24"/>
              </w:rPr>
              <w:t xml:space="preserve">无  </w:t>
            </w:r>
            <w:r>
              <w:rPr>
                <w:rFonts w:hint="eastAsia" w:ascii="宋体" w:hAnsi="宋体" w:eastAsia="宋体" w:cs="宋体"/>
                <w:sz w:val="24"/>
                <w:szCs w:val="24"/>
              </w:rPr>
              <w:sym w:font="Wingdings" w:char="00FE"/>
            </w:r>
            <w:r>
              <w:rPr>
                <w:rFonts w:hint="eastAsia" w:ascii="宋体" w:hAnsi="宋体" w:eastAsia="宋体" w:cs="宋体"/>
                <w:sz w:val="24"/>
                <w:szCs w:val="24"/>
              </w:rPr>
              <w:t>有</w:t>
            </w:r>
          </w:p>
          <w:p w14:paraId="19921644">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default" w:hAnsi="宋体" w:cs="宋体"/>
                <w:color w:val="auto"/>
                <w:sz w:val="24"/>
                <w:szCs w:val="24"/>
                <w:lang w:val="en-US" w:eastAsia="zh-CN"/>
              </w:rPr>
            </w:pPr>
            <w:bookmarkStart w:id="4" w:name="6449-1520584968142"/>
            <w:bookmarkEnd w:id="4"/>
            <w:r>
              <w:rPr>
                <w:rFonts w:hint="eastAsia" w:ascii="宋体" w:hAnsi="宋体" w:eastAsia="宋体" w:cs="宋体"/>
                <w:sz w:val="24"/>
                <w:szCs w:val="24"/>
              </w:rPr>
              <w:t>最高限价为人民币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w:t>
            </w:r>
            <w:r>
              <w:rPr>
                <w:rFonts w:hint="eastAsia" w:hAnsi="宋体" w:cs="宋体"/>
                <w:color w:val="auto"/>
                <w:sz w:val="24"/>
                <w:szCs w:val="24"/>
                <w:lang w:val="en-US" w:eastAsia="zh-CN"/>
              </w:rPr>
              <w:t>4401200</w:t>
            </w:r>
            <w:r>
              <w:rPr>
                <w:rFonts w:hint="eastAsia" w:hAnsi="宋体" w:cs="宋体"/>
                <w:color w:val="auto"/>
                <w:sz w:val="24"/>
                <w:szCs w:val="24"/>
                <w:lang w:eastAsia="zh-CN"/>
              </w:rPr>
              <w:t>.00</w:t>
            </w:r>
            <w:r>
              <w:rPr>
                <w:rFonts w:hint="eastAsia" w:ascii="宋体" w:hAnsi="宋体" w:eastAsia="宋体" w:cs="宋体"/>
                <w:color w:val="auto"/>
                <w:sz w:val="24"/>
                <w:szCs w:val="24"/>
                <w:lang w:val="en-US" w:eastAsia="zh-CN"/>
              </w:rPr>
              <w:t>元</w:t>
            </w:r>
            <w:r>
              <w:rPr>
                <w:rFonts w:hint="eastAsia" w:hAnsi="宋体" w:cs="宋体"/>
                <w:color w:val="auto"/>
                <w:sz w:val="24"/>
                <w:szCs w:val="24"/>
                <w:lang w:val="en-US" w:eastAsia="zh-CN"/>
              </w:rPr>
              <w:t>（大写：肆佰肆拾万零壹仟贰佰元整）</w:t>
            </w:r>
          </w:p>
          <w:p w14:paraId="55D76228">
            <w:pPr>
              <w:spacing w:line="288" w:lineRule="auto"/>
              <w:rPr>
                <w:rFonts w:hint="eastAsia" w:ascii="宋体" w:hAnsi="宋体" w:eastAsia="宋体" w:cs="宋体"/>
                <w:b/>
                <w:sz w:val="24"/>
                <w:szCs w:val="24"/>
              </w:rPr>
            </w:pPr>
            <w:r>
              <w:rPr>
                <w:rFonts w:hint="eastAsia" w:ascii="宋体" w:hAnsi="宋体" w:eastAsia="宋体" w:cs="宋体"/>
                <w:b/>
                <w:bCs/>
                <w:sz w:val="24"/>
                <w:szCs w:val="24"/>
              </w:rPr>
              <w:t>注：</w:t>
            </w:r>
            <w:r>
              <w:rPr>
                <w:rFonts w:hint="eastAsia" w:ascii="宋体" w:hAnsi="宋体" w:eastAsia="宋体" w:cs="宋体"/>
                <w:sz w:val="24"/>
                <w:szCs w:val="24"/>
              </w:rPr>
              <w:t>投标人投标总报价高于最高限价者将被否决投标。</w:t>
            </w:r>
          </w:p>
        </w:tc>
      </w:tr>
      <w:tr w14:paraId="6D070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dxa"/>
            <w:vAlign w:val="center"/>
          </w:tcPr>
          <w:p w14:paraId="031E7227">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p>
        </w:tc>
        <w:tc>
          <w:tcPr>
            <w:tcW w:w="1932" w:type="dxa"/>
            <w:vAlign w:val="center"/>
          </w:tcPr>
          <w:p w14:paraId="439D18FC">
            <w:pPr>
              <w:spacing w:line="288" w:lineRule="auto"/>
              <w:jc w:val="left"/>
              <w:rPr>
                <w:rFonts w:hint="eastAsia" w:ascii="宋体" w:hAnsi="宋体" w:eastAsia="宋体" w:cs="宋体"/>
                <w:sz w:val="24"/>
                <w:szCs w:val="24"/>
              </w:rPr>
            </w:pPr>
            <w:r>
              <w:rPr>
                <w:rFonts w:hint="eastAsia" w:ascii="宋体" w:hAnsi="宋体" w:eastAsia="宋体" w:cs="宋体"/>
                <w:sz w:val="24"/>
                <w:szCs w:val="24"/>
              </w:rPr>
              <w:t>评审办法及标准</w:t>
            </w:r>
          </w:p>
        </w:tc>
        <w:tc>
          <w:tcPr>
            <w:tcW w:w="6735" w:type="dxa"/>
            <w:vAlign w:val="center"/>
          </w:tcPr>
          <w:p w14:paraId="712024D8">
            <w:pPr>
              <w:spacing w:line="288" w:lineRule="auto"/>
              <w:rPr>
                <w:rFonts w:hint="eastAsia" w:ascii="宋体" w:hAnsi="宋体" w:eastAsia="宋体" w:cs="宋体"/>
                <w:sz w:val="24"/>
                <w:szCs w:val="24"/>
              </w:rPr>
            </w:pPr>
            <w:r>
              <w:rPr>
                <w:rFonts w:hint="eastAsia" w:ascii="宋体" w:hAnsi="宋体" w:eastAsia="宋体" w:cs="宋体"/>
                <w:sz w:val="24"/>
                <w:szCs w:val="24"/>
              </w:rPr>
              <w:t>采用综合评分法；综合评分法，是指投标文件满足招标文件全部实质性要求，且按照评审因素的量化指标评审得分最高的投标人为中标候选人的评标方法。评审方法、评审标准、评审因素等内容详见招标文件第三章评审办法及标准。</w:t>
            </w:r>
          </w:p>
        </w:tc>
      </w:tr>
      <w:tr w14:paraId="47A24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651" w:type="dxa"/>
            <w:vAlign w:val="center"/>
          </w:tcPr>
          <w:p w14:paraId="6788216B">
            <w:pPr>
              <w:spacing w:line="288" w:lineRule="auto"/>
              <w:jc w:val="center"/>
              <w:rPr>
                <w:rFonts w:hint="eastAsia"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p>
        </w:tc>
        <w:tc>
          <w:tcPr>
            <w:tcW w:w="1932" w:type="dxa"/>
            <w:vAlign w:val="center"/>
          </w:tcPr>
          <w:p w14:paraId="7583F03B">
            <w:pPr>
              <w:spacing w:line="288" w:lineRule="auto"/>
              <w:jc w:val="left"/>
              <w:rPr>
                <w:rFonts w:hint="eastAsia" w:ascii="宋体" w:hAnsi="宋体" w:eastAsia="宋体" w:cs="宋体"/>
                <w:sz w:val="24"/>
                <w:szCs w:val="24"/>
              </w:rPr>
            </w:pPr>
            <w:r>
              <w:rPr>
                <w:rFonts w:hint="eastAsia" w:ascii="宋体" w:hAnsi="宋体" w:eastAsia="宋体" w:cs="宋体"/>
                <w:sz w:val="24"/>
                <w:szCs w:val="24"/>
              </w:rPr>
              <w:t>其它事项</w:t>
            </w:r>
          </w:p>
        </w:tc>
        <w:tc>
          <w:tcPr>
            <w:tcW w:w="6735" w:type="dxa"/>
            <w:vAlign w:val="center"/>
          </w:tcPr>
          <w:p w14:paraId="5892F14D">
            <w:pPr>
              <w:pStyle w:val="38"/>
              <w:spacing w:line="288" w:lineRule="auto"/>
              <w:rPr>
                <w:rFonts w:hint="eastAsia" w:ascii="宋体" w:hAnsi="宋体" w:eastAsia="宋体" w:cs="宋体"/>
                <w:sz w:val="24"/>
                <w:szCs w:val="24"/>
              </w:rPr>
            </w:pPr>
            <w:r>
              <w:rPr>
                <w:rFonts w:hint="eastAsia" w:ascii="宋体" w:hAnsi="宋体" w:eastAsia="宋体" w:cs="宋体"/>
                <w:sz w:val="24"/>
                <w:szCs w:val="24"/>
              </w:rPr>
              <w:t>本次采购项目、投标报价、评审和合同授予均以项目为单位，投标人必须就一个完整项目进行响应。中标人与采购人在成交通知书发出10日内签订合同，不及时签订视为自动放弃。非经采购人同意，本项目不允许中标后另行转包或者分包。中标人无正当理由不得放弃中标。因自身原因拒绝签订政府采购合同的或者未按合同约定进行履约的中标人不得参加对该项目重新开展的采购活动。</w:t>
            </w:r>
          </w:p>
        </w:tc>
      </w:tr>
      <w:tr w14:paraId="3416A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51" w:type="dxa"/>
            <w:vAlign w:val="center"/>
          </w:tcPr>
          <w:p w14:paraId="195C7D89">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3</w:t>
            </w:r>
          </w:p>
        </w:tc>
        <w:tc>
          <w:tcPr>
            <w:tcW w:w="1932" w:type="dxa"/>
            <w:vAlign w:val="center"/>
          </w:tcPr>
          <w:p w14:paraId="40E9256E">
            <w:pPr>
              <w:spacing w:line="288" w:lineRule="auto"/>
              <w:jc w:val="left"/>
              <w:rPr>
                <w:rFonts w:hint="eastAsia" w:ascii="宋体" w:hAnsi="宋体" w:eastAsia="宋体" w:cs="宋体"/>
                <w:sz w:val="24"/>
                <w:szCs w:val="24"/>
              </w:rPr>
            </w:pPr>
            <w:r>
              <w:rPr>
                <w:rFonts w:hint="eastAsia" w:ascii="宋体" w:hAnsi="宋体" w:eastAsia="宋体" w:cs="宋体"/>
                <w:sz w:val="24"/>
                <w:szCs w:val="24"/>
              </w:rPr>
              <w:t>招标代理服务费</w:t>
            </w:r>
          </w:p>
        </w:tc>
        <w:tc>
          <w:tcPr>
            <w:tcW w:w="6735" w:type="dxa"/>
            <w:vAlign w:val="center"/>
          </w:tcPr>
          <w:p w14:paraId="56C645C2">
            <w:pPr>
              <w:pageBreakBefore w:val="0"/>
              <w:numPr>
                <w:ilvl w:val="0"/>
                <w:numId w:val="0"/>
              </w:numPr>
              <w:kinsoku/>
              <w:wordWrap/>
              <w:overflowPunct/>
              <w:autoSpaceDE/>
              <w:autoSpaceDN/>
              <w:bidi w:val="0"/>
              <w:adjustRightInd w:val="0"/>
              <w:snapToGrid w:val="0"/>
              <w:spacing w:before="120" w:line="288"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招标代理服务收费：</w:t>
            </w:r>
            <w:r>
              <w:rPr>
                <w:rFonts w:hint="eastAsia" w:ascii="宋体" w:hAnsi="宋体" w:eastAsia="宋体" w:cs="宋体"/>
                <w:color w:val="auto"/>
                <w:sz w:val="24"/>
                <w:szCs w:val="24"/>
                <w:lang w:val="en-US" w:eastAsia="zh-CN"/>
              </w:rPr>
              <w:t>招标代理</w:t>
            </w:r>
            <w:r>
              <w:rPr>
                <w:rFonts w:hint="eastAsia" w:ascii="宋体" w:hAnsi="宋体" w:eastAsia="宋体" w:cs="宋体"/>
                <w:color w:val="auto"/>
                <w:sz w:val="24"/>
                <w:szCs w:val="24"/>
                <w:lang w:val="zh-CN"/>
              </w:rPr>
              <w:t>费由</w:t>
            </w:r>
            <w:r>
              <w:rPr>
                <w:rFonts w:hint="eastAsia" w:hAnsi="宋体" w:cs="宋体"/>
                <w:color w:val="auto"/>
                <w:sz w:val="24"/>
                <w:szCs w:val="24"/>
                <w:lang w:val="en-US" w:eastAsia="zh-CN"/>
              </w:rPr>
              <w:t>采购人</w:t>
            </w:r>
            <w:r>
              <w:rPr>
                <w:rFonts w:hint="eastAsia" w:ascii="宋体" w:hAnsi="宋体" w:eastAsia="宋体" w:cs="宋体"/>
                <w:color w:val="auto"/>
                <w:sz w:val="24"/>
                <w:szCs w:val="24"/>
                <w:lang w:val="zh-CN"/>
              </w:rPr>
              <w:t>支付，</w:t>
            </w:r>
            <w:r>
              <w:rPr>
                <w:rFonts w:hint="eastAsia" w:hAnsi="宋体" w:cs="宋体"/>
                <w:color w:val="auto"/>
                <w:sz w:val="24"/>
                <w:szCs w:val="24"/>
                <w:lang w:val="en-US" w:eastAsia="zh-CN"/>
              </w:rPr>
              <w:t>采购人</w:t>
            </w:r>
            <w:r>
              <w:rPr>
                <w:rFonts w:hint="eastAsia" w:ascii="宋体" w:hAnsi="宋体" w:eastAsia="宋体" w:cs="宋体"/>
                <w:color w:val="auto"/>
                <w:sz w:val="24"/>
                <w:szCs w:val="24"/>
                <w:lang w:val="en-US" w:eastAsia="zh-CN"/>
              </w:rPr>
              <w:t>在</w:t>
            </w:r>
            <w:r>
              <w:rPr>
                <w:rFonts w:hint="eastAsia" w:ascii="宋体" w:hAnsi="宋体" w:eastAsia="宋体" w:cs="宋体"/>
                <w:color w:val="auto"/>
                <w:sz w:val="24"/>
                <w:szCs w:val="24"/>
              </w:rPr>
              <w:t>招标代理</w:t>
            </w:r>
            <w:r>
              <w:rPr>
                <w:rFonts w:hint="eastAsia" w:hAnsi="宋体" w:cs="宋体"/>
                <w:color w:val="auto"/>
                <w:sz w:val="24"/>
                <w:szCs w:val="24"/>
                <w:lang w:val="en-US" w:eastAsia="zh-CN"/>
              </w:rPr>
              <w:t>服务完成后</w:t>
            </w:r>
            <w:r>
              <w:rPr>
                <w:rFonts w:hint="eastAsia" w:ascii="宋体" w:hAnsi="宋体" w:eastAsia="宋体" w:cs="宋体"/>
                <w:color w:val="auto"/>
                <w:sz w:val="24"/>
                <w:szCs w:val="24"/>
                <w:lang w:val="en-US" w:eastAsia="zh-CN"/>
              </w:rPr>
              <w:t>，须向采购代理机构支付代理服务费。</w:t>
            </w:r>
          </w:p>
          <w:p w14:paraId="4C8AFBD0">
            <w:pPr>
              <w:spacing w:line="288" w:lineRule="auto"/>
              <w:rPr>
                <w:rFonts w:hint="eastAsia" w:ascii="宋体" w:hAnsi="宋体" w:eastAsia="宋体" w:cs="宋体"/>
                <w:sz w:val="24"/>
                <w:szCs w:val="24"/>
              </w:rPr>
            </w:pPr>
            <w:r>
              <w:rPr>
                <w:rFonts w:hint="eastAsia" w:ascii="宋体" w:hAnsi="宋体" w:eastAsia="宋体" w:cs="宋体"/>
                <w:color w:val="000000" w:themeColor="text1"/>
                <w:sz w:val="24"/>
                <w:szCs w:val="24"/>
                <w:lang w:val="en-US" w:eastAsia="zh-CN"/>
                <w14:textFill>
                  <w14:solidFill>
                    <w14:schemeClr w14:val="tx1"/>
                  </w14:solidFill>
                </w14:textFill>
              </w:rPr>
              <w:t>2、招标代理服务</w:t>
            </w:r>
            <w:r>
              <w:rPr>
                <w:rFonts w:hint="eastAsia" w:ascii="宋体" w:hAnsi="宋体" w:eastAsia="宋体" w:cs="宋体"/>
                <w:color w:val="000000" w:themeColor="text1"/>
                <w:sz w:val="24"/>
                <w:szCs w:val="24"/>
                <w14:textFill>
                  <w14:solidFill>
                    <w14:schemeClr w14:val="tx1"/>
                  </w14:solidFill>
                </w14:textFill>
              </w:rPr>
              <w:t>费参考《国家计委关于印发&lt;招标代理服务收费管理暂行办法&gt;的通知》（计价格[2002]1980号）和国家发展改革委员会办公厅颁发的《关于招标代理服务收费有关问题的通知》（发改办价格『2003』857号）文件规定</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服务类</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执行；</w:t>
            </w:r>
          </w:p>
        </w:tc>
      </w:tr>
      <w:tr w14:paraId="5EE5B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51" w:type="dxa"/>
            <w:vAlign w:val="center"/>
          </w:tcPr>
          <w:p w14:paraId="3A1AAAE5">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4</w:t>
            </w:r>
          </w:p>
        </w:tc>
        <w:tc>
          <w:tcPr>
            <w:tcW w:w="1932" w:type="dxa"/>
            <w:vAlign w:val="center"/>
          </w:tcPr>
          <w:p w14:paraId="6AD9C592">
            <w:pPr>
              <w:spacing w:line="288" w:lineRule="auto"/>
              <w:jc w:val="left"/>
              <w:rPr>
                <w:rFonts w:hint="eastAsia" w:ascii="宋体" w:hAnsi="宋体" w:eastAsia="宋体" w:cs="宋体"/>
                <w:sz w:val="24"/>
                <w:szCs w:val="24"/>
              </w:rPr>
            </w:pPr>
            <w:r>
              <w:rPr>
                <w:rFonts w:hint="eastAsia" w:ascii="宋体" w:hAnsi="宋体" w:eastAsia="宋体" w:cs="宋体"/>
                <w:sz w:val="24"/>
                <w:szCs w:val="24"/>
              </w:rPr>
              <w:t>不见面开标说明</w:t>
            </w:r>
          </w:p>
        </w:tc>
        <w:tc>
          <w:tcPr>
            <w:tcW w:w="6735" w:type="dxa"/>
            <w:vAlign w:val="center"/>
          </w:tcPr>
          <w:p w14:paraId="07F8C203">
            <w:pPr>
              <w:spacing w:line="288" w:lineRule="auto"/>
              <w:rPr>
                <w:rFonts w:hint="eastAsia" w:ascii="宋体" w:hAnsi="宋体" w:eastAsia="宋体" w:cs="宋体"/>
                <w:sz w:val="24"/>
                <w:szCs w:val="24"/>
              </w:rPr>
            </w:pPr>
            <w:r>
              <w:rPr>
                <w:rFonts w:hint="eastAsia" w:ascii="宋体" w:hAnsi="宋体" w:eastAsia="宋体" w:cs="宋体"/>
                <w:sz w:val="24"/>
                <w:szCs w:val="24"/>
              </w:rPr>
              <w:t>该项目将采取“不见面”开标的形式，投标人无须到达开标现场，即可在网上直接参与投标活动。相关注意事项如下：</w:t>
            </w:r>
          </w:p>
          <w:p w14:paraId="799EE5CC">
            <w:pPr>
              <w:spacing w:line="288" w:lineRule="auto"/>
              <w:rPr>
                <w:rFonts w:hint="eastAsia" w:ascii="宋体" w:hAnsi="宋体" w:eastAsia="宋体" w:cs="宋体"/>
                <w:sz w:val="24"/>
                <w:szCs w:val="24"/>
              </w:rPr>
            </w:pPr>
            <w:r>
              <w:rPr>
                <w:rFonts w:hint="eastAsia" w:ascii="宋体" w:hAnsi="宋体" w:eastAsia="宋体" w:cs="宋体"/>
                <w:sz w:val="24"/>
                <w:szCs w:val="24"/>
              </w:rPr>
              <w:t>1.开标当日，请各投标人在投标截止时间前至少提前半小时登录“不见面”开标系统登录方式有以下几种：</w:t>
            </w:r>
          </w:p>
          <w:p w14:paraId="527A4F0F">
            <w:pPr>
              <w:spacing w:line="288" w:lineRule="auto"/>
              <w:ind w:firstLine="240" w:firstLineChars="100"/>
              <w:rPr>
                <w:rStyle w:val="31"/>
                <w:rFonts w:hint="eastAsia" w:ascii="宋体" w:hAnsi="宋体" w:eastAsia="宋体" w:cs="宋体"/>
                <w:color w:val="auto"/>
                <w:sz w:val="24"/>
                <w:szCs w:val="24"/>
              </w:rPr>
            </w:pPr>
            <w:r>
              <w:rPr>
                <w:rFonts w:hint="eastAsia" w:ascii="宋体" w:hAnsi="宋体" w:eastAsia="宋体" w:cs="宋体"/>
                <w:sz w:val="24"/>
                <w:szCs w:val="24"/>
              </w:rPr>
              <w:t>1）IE浏览器输入网址：</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"http://219.145.120.168:8082/BidOpeningHall/bidhall/default/login），" </w:instrText>
            </w:r>
            <w:r>
              <w:rPr>
                <w:rFonts w:hint="eastAsia" w:ascii="宋体" w:hAnsi="宋体" w:eastAsia="宋体" w:cs="宋体"/>
                <w:sz w:val="24"/>
                <w:szCs w:val="24"/>
              </w:rPr>
              <w:fldChar w:fldCharType="separate"/>
            </w:r>
            <w:r>
              <w:rPr>
                <w:rStyle w:val="31"/>
                <w:rFonts w:hint="eastAsia" w:ascii="宋体" w:hAnsi="宋体" w:eastAsia="宋体" w:cs="宋体"/>
                <w:color w:val="auto"/>
                <w:sz w:val="24"/>
                <w:szCs w:val="24"/>
              </w:rPr>
              <w:t>http://111.20.184.126:8081/BidOpeningHallC</w:t>
            </w:r>
          </w:p>
          <w:p w14:paraId="35AB7995">
            <w:pPr>
              <w:spacing w:line="288" w:lineRule="auto"/>
              <w:rPr>
                <w:rFonts w:hint="eastAsia" w:ascii="宋体" w:hAnsi="宋体" w:eastAsia="宋体" w:cs="宋体"/>
                <w:sz w:val="24"/>
                <w:szCs w:val="24"/>
              </w:rPr>
            </w:pPr>
            <w:r>
              <w:rPr>
                <w:rStyle w:val="31"/>
                <w:rFonts w:hint="eastAsia" w:ascii="宋体" w:hAnsi="宋体" w:eastAsia="宋体" w:cs="宋体"/>
                <w:color w:val="auto"/>
                <w:sz w:val="24"/>
                <w:szCs w:val="24"/>
              </w:rPr>
              <w:t>S/bidhall/default/login</w:t>
            </w:r>
            <w:r>
              <w:rPr>
                <w:rStyle w:val="31"/>
                <w:rFonts w:hint="eastAsia" w:ascii="宋体" w:hAnsi="宋体" w:eastAsia="宋体" w:cs="宋体"/>
                <w:color w:val="auto"/>
                <w:sz w:val="24"/>
                <w:szCs w:val="24"/>
                <w:u w:val="none"/>
              </w:rPr>
              <w:t>；</w:t>
            </w:r>
            <w:r>
              <w:rPr>
                <w:rFonts w:hint="eastAsia" w:ascii="宋体" w:hAnsi="宋体" w:eastAsia="宋体" w:cs="宋体"/>
                <w:sz w:val="24"/>
                <w:szCs w:val="24"/>
              </w:rPr>
              <w:fldChar w:fldCharType="end"/>
            </w:r>
          </w:p>
          <w:p w14:paraId="602C10EA">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2）在【全国公共资源交易平台（陕西省·榆林市）】网站首页点击不见面开标模块进入；</w:t>
            </w:r>
          </w:p>
          <w:p w14:paraId="22B0BE05">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3）在【全国公共资源交易平台（陕西省）】网站首页点击不见面开标模块选择榆林市进入。</w:t>
            </w:r>
          </w:p>
          <w:p w14:paraId="171B948E">
            <w:pPr>
              <w:spacing w:line="288" w:lineRule="auto"/>
              <w:rPr>
                <w:rFonts w:hint="eastAsia" w:ascii="宋体" w:hAnsi="宋体" w:eastAsia="宋体" w:cs="宋体"/>
                <w:b/>
                <w:bCs/>
                <w:sz w:val="24"/>
                <w:szCs w:val="24"/>
              </w:rPr>
            </w:pPr>
            <w:r>
              <w:rPr>
                <w:rFonts w:hint="eastAsia" w:ascii="宋体" w:hAnsi="宋体" w:eastAsia="宋体" w:cs="宋体"/>
                <w:b/>
                <w:bCs/>
                <w:sz w:val="24"/>
                <w:szCs w:val="24"/>
              </w:rPr>
              <w:t>注：</w:t>
            </w:r>
            <w:r>
              <w:rPr>
                <w:rFonts w:hint="eastAsia" w:ascii="宋体" w:hAnsi="宋体" w:eastAsia="宋体" w:cs="宋体"/>
                <w:sz w:val="24"/>
                <w:szCs w:val="24"/>
              </w:rPr>
              <w:t>登录不见面开标系统请选择IE11浏览器</w:t>
            </w:r>
          </w:p>
          <w:p w14:paraId="42BC38B8">
            <w:pPr>
              <w:spacing w:line="288" w:lineRule="auto"/>
              <w:rPr>
                <w:rFonts w:hint="eastAsia" w:ascii="宋体" w:hAnsi="宋体" w:eastAsia="宋体" w:cs="宋体"/>
                <w:sz w:val="24"/>
                <w:szCs w:val="24"/>
              </w:rPr>
            </w:pPr>
            <w:r>
              <w:rPr>
                <w:rFonts w:hint="eastAsia" w:ascii="宋体" w:hAnsi="宋体" w:eastAsia="宋体" w:cs="宋体"/>
                <w:sz w:val="24"/>
                <w:szCs w:val="24"/>
              </w:rPr>
              <w:t>2.投标人应按要求及时签到</w:t>
            </w:r>
            <w:r>
              <w:rPr>
                <w:rFonts w:hint="eastAsia" w:ascii="宋体" w:hAnsi="宋体" w:eastAsia="宋体" w:cs="宋体"/>
                <w:b w:val="0"/>
                <w:bCs w:val="0"/>
                <w:sz w:val="24"/>
                <w:szCs w:val="24"/>
              </w:rPr>
              <w:t>（签到时间为投标截止时间前1小时内，如果未签到将视为放弃投标资格），</w:t>
            </w:r>
            <w:r>
              <w:rPr>
                <w:rFonts w:hint="eastAsia" w:ascii="宋体" w:hAnsi="宋体" w:eastAsia="宋体" w:cs="宋体"/>
                <w:sz w:val="24"/>
                <w:szCs w:val="24"/>
              </w:rPr>
              <w:t>评审过程中，评标委员会可能会就某些问题要求投标人进行在线澄清，请各投标人提前熟悉有关不见面询标操作手册，以便在需要评标委员会询标时第一时间进行答复，如拒不对或未按评标委员会要求进行有关澄清答复说明的评标委员会可以否决其投标；请各投标人保持在线直到评审结束。</w:t>
            </w:r>
          </w:p>
          <w:p w14:paraId="69C38B2F">
            <w:pPr>
              <w:spacing w:line="288" w:lineRule="auto"/>
              <w:rPr>
                <w:rFonts w:hint="eastAsia" w:ascii="宋体" w:hAnsi="宋体" w:eastAsia="宋体" w:cs="宋体"/>
                <w:sz w:val="24"/>
                <w:szCs w:val="24"/>
              </w:rPr>
            </w:pPr>
            <w:r>
              <w:rPr>
                <w:rFonts w:hint="eastAsia" w:ascii="宋体" w:hAnsi="宋体" w:eastAsia="宋体" w:cs="宋体"/>
                <w:sz w:val="24"/>
                <w:szCs w:val="24"/>
              </w:rPr>
              <w:t>3.不见面开标过程中，投标人在收到工作人员“开始解密”指令后，请及时使用CA对电子投标文件进行解密。解密时所用CA应与加密投标文件时所用CA相同。</w:t>
            </w:r>
          </w:p>
          <w:p w14:paraId="6B9F8A01">
            <w:pPr>
              <w:spacing w:line="288" w:lineRule="auto"/>
              <w:rPr>
                <w:rFonts w:hint="eastAsia" w:ascii="宋体" w:hAnsi="宋体" w:eastAsia="宋体" w:cs="宋体"/>
                <w:sz w:val="24"/>
                <w:szCs w:val="24"/>
              </w:rPr>
            </w:pPr>
            <w:r>
              <w:rPr>
                <w:rFonts w:hint="eastAsia" w:ascii="宋体" w:hAnsi="宋体" w:eastAsia="宋体" w:cs="宋体"/>
                <w:b/>
                <w:bCs/>
                <w:sz w:val="24"/>
                <w:szCs w:val="24"/>
              </w:rPr>
              <w:t>注：</w:t>
            </w:r>
            <w:r>
              <w:rPr>
                <w:rFonts w:hint="eastAsia" w:ascii="宋体" w:hAnsi="宋体" w:eastAsia="宋体" w:cs="宋体"/>
                <w:sz w:val="24"/>
                <w:szCs w:val="24"/>
              </w:rPr>
              <w:t>系统默认解密时间为30分钟，在解密时间内投标人全部解密完成后，可提前进入开标下一阶段。</w:t>
            </w:r>
          </w:p>
          <w:p w14:paraId="770091D2">
            <w:pPr>
              <w:spacing w:line="288" w:lineRule="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.相关技术问题，请咨询软件开发商：</w:t>
            </w:r>
          </w:p>
          <w:p w14:paraId="4967DE9A">
            <w:pPr>
              <w:spacing w:line="288" w:lineRule="auto"/>
              <w:rPr>
                <w:rFonts w:hint="eastAsia" w:ascii="宋体" w:hAnsi="宋体" w:eastAsia="宋体" w:cs="宋体"/>
                <w:sz w:val="24"/>
                <w:szCs w:val="24"/>
              </w:rPr>
            </w:pPr>
            <w:r>
              <w:rPr>
                <w:rFonts w:hint="eastAsia" w:ascii="宋体" w:hAnsi="宋体" w:eastAsia="宋体" w:cs="宋体"/>
                <w:sz w:val="24"/>
                <w:szCs w:val="24"/>
              </w:rPr>
              <w:t>（1）技术支持热线：400-998-0000/400-928-0095</w:t>
            </w:r>
          </w:p>
          <w:p w14:paraId="65647C10">
            <w:pPr>
              <w:spacing w:line="288" w:lineRule="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.榆林不见面开标系统操作手册下载方式：登录【全国公共资源交易平台（陕西省·榆林市）】网站首页选择【服务指南】-【下载专区】-点击【</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"http://yl.sxggzyjy.cn/BigFileUpLoadStorage/temp/2021-12-10/2583610f-1c5d-49b2-a314-0c1c4faeec6a/%E6%A6%86%E6%9E%97%E4%B8%8D%E8%A7%81%E9%9D%A2%E5%BC%80%E6%A0%87%E5%A4%A7%E5%8E%85%E6%93%8D%E4%BD%9C%E6%89%8B%E5%86%8C%EF%BC%88%E6%8A%95%E6%A0%87%E4%BA%BA%EF%BC%89.docx" \t "http://yl.sxggzyjy.cn/fwzn/_blank" \o "榆林不见面开标系统操作手册（投标人）" </w:instrText>
            </w:r>
            <w:r>
              <w:rPr>
                <w:rFonts w:hint="eastAsia" w:ascii="宋体" w:hAnsi="宋体" w:eastAsia="宋体" w:cs="宋体"/>
                <w:sz w:val="24"/>
                <w:szCs w:val="24"/>
              </w:rPr>
              <w:fldChar w:fldCharType="separate"/>
            </w:r>
            <w:r>
              <w:rPr>
                <w:rFonts w:hint="eastAsia" w:ascii="宋体" w:hAnsi="宋体" w:eastAsia="宋体" w:cs="宋体"/>
                <w:sz w:val="24"/>
                <w:szCs w:val="24"/>
              </w:rPr>
              <w:t>榆林不见面开标系统操作手册（投标人）</w:t>
            </w:r>
            <w:r>
              <w:rPr>
                <w:rFonts w:hint="eastAsia" w:ascii="宋体" w:hAnsi="宋体" w:eastAsia="宋体" w:cs="宋体"/>
                <w:sz w:val="24"/>
                <w:szCs w:val="24"/>
              </w:rPr>
              <w:fldChar w:fldCharType="end"/>
            </w:r>
            <w:r>
              <w:rPr>
                <w:rFonts w:hint="eastAsia" w:ascii="宋体" w:hAnsi="宋体" w:eastAsia="宋体" w:cs="宋体"/>
                <w:sz w:val="24"/>
                <w:szCs w:val="24"/>
              </w:rPr>
              <w:t>】进行下载。</w:t>
            </w:r>
          </w:p>
        </w:tc>
      </w:tr>
      <w:tr w14:paraId="437D9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651" w:type="dxa"/>
            <w:vAlign w:val="center"/>
          </w:tcPr>
          <w:p w14:paraId="53C5C087">
            <w:pPr>
              <w:spacing w:line="288" w:lineRule="auto"/>
              <w:jc w:val="center"/>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5</w:t>
            </w:r>
          </w:p>
        </w:tc>
        <w:tc>
          <w:tcPr>
            <w:tcW w:w="1932" w:type="dxa"/>
            <w:vAlign w:val="center"/>
          </w:tcPr>
          <w:p w14:paraId="2301B3B5">
            <w:pPr>
              <w:spacing w:line="288" w:lineRule="auto"/>
              <w:jc w:val="left"/>
              <w:rPr>
                <w:rFonts w:hint="eastAsia" w:ascii="宋体" w:hAnsi="宋体" w:eastAsia="宋体" w:cs="宋体"/>
                <w:sz w:val="24"/>
                <w:szCs w:val="24"/>
              </w:rPr>
            </w:pPr>
            <w:r>
              <w:rPr>
                <w:rFonts w:hint="eastAsia" w:ascii="宋体" w:hAnsi="宋体" w:eastAsia="宋体" w:cs="宋体"/>
                <w:sz w:val="24"/>
                <w:szCs w:val="24"/>
              </w:rPr>
              <w:t>关于自主上报信用承诺书说明</w:t>
            </w:r>
          </w:p>
        </w:tc>
        <w:tc>
          <w:tcPr>
            <w:tcW w:w="6735" w:type="dxa"/>
            <w:vAlign w:val="center"/>
          </w:tcPr>
          <w:p w14:paraId="06AF3BDE">
            <w:pPr>
              <w:pageBreakBefore w:val="0"/>
              <w:kinsoku/>
              <w:wordWrap/>
              <w:overflowPunct/>
              <w:autoSpaceDE/>
              <w:autoSpaceDN/>
              <w:bidi w:val="0"/>
              <w:adjustRightInd w:val="0"/>
              <w:snapToGrid w:val="0"/>
              <w:spacing w:before="120"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所有响应供应商按照《榆林市公共资源交易中心关于公共资源交易信用承诺网上公示的通知》（榆交易函〔2021〕19号）文件要求，于响应文件递交截止时间前自主申报信用承诺，具体操作流程详见</w:t>
            </w:r>
            <w:r>
              <w:rPr>
                <w:rFonts w:hint="eastAsia" w:hAnsi="宋体" w:cs="宋体"/>
                <w:b w:val="0"/>
                <w:bCs w:val="0"/>
                <w:sz w:val="24"/>
                <w:szCs w:val="24"/>
                <w:lang w:val="en-US" w:eastAsia="zh-CN"/>
              </w:rPr>
              <w:t>招标文件</w:t>
            </w:r>
            <w:r>
              <w:rPr>
                <w:rFonts w:hint="eastAsia" w:ascii="宋体" w:hAnsi="宋体" w:eastAsia="宋体" w:cs="宋体"/>
                <w:b w:val="0"/>
                <w:bCs w:val="0"/>
                <w:sz w:val="24"/>
                <w:szCs w:val="24"/>
                <w:lang w:val="en-US" w:eastAsia="zh-CN"/>
              </w:rPr>
              <w:t>附件1。自主上报信用承诺书具体事项如下：</w:t>
            </w:r>
          </w:p>
          <w:p w14:paraId="1B145211">
            <w:pPr>
              <w:pageBreakBefore w:val="0"/>
              <w:kinsoku/>
              <w:wordWrap/>
              <w:overflowPunct/>
              <w:autoSpaceDE/>
              <w:autoSpaceDN/>
              <w:bidi w:val="0"/>
              <w:adjustRightInd w:val="0"/>
              <w:snapToGrid w:val="0"/>
              <w:spacing w:before="120"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1.承诺事项名称：选择《榆林市政府采购服务类/货物类/工程类项目供应商信用承诺书》；承诺事由</w:t>
            </w:r>
            <w:r>
              <w:rPr>
                <w:rFonts w:hint="eastAsia" w:ascii="宋体" w:hAnsi="宋体" w:eastAsia="宋体" w:cs="宋体"/>
                <w:b w:val="0"/>
                <w:bCs w:val="0"/>
                <w:color w:val="000000" w:themeColor="text1"/>
                <w:sz w:val="24"/>
                <w:szCs w:val="24"/>
                <w:lang w:val="en-US" w:eastAsia="zh-CN"/>
                <w14:textFill>
                  <w14:solidFill>
                    <w14:schemeClr w14:val="tx1"/>
                  </w14:solidFill>
                </w14:textFill>
              </w:rPr>
              <w:t>填写：项目名称</w:t>
            </w:r>
            <w:r>
              <w:rPr>
                <w:rFonts w:hint="eastAsia" w:ascii="宋体" w:hAnsi="宋体" w:cs="宋体"/>
                <w:b w:val="0"/>
                <w:bCs w:val="0"/>
                <w:color w:val="000000" w:themeColor="text1"/>
                <w:sz w:val="24"/>
                <w:szCs w:val="24"/>
                <w:lang w:val="en-US" w:eastAsia="zh-CN"/>
                <w14:textFill>
                  <w14:solidFill>
                    <w14:schemeClr w14:val="tx1"/>
                  </w14:solidFill>
                </w14:textFill>
              </w:rPr>
              <w:t>+项目编号</w:t>
            </w:r>
            <w:r>
              <w:rPr>
                <w:rFonts w:hint="eastAsia" w:ascii="宋体" w:hAnsi="宋体" w:eastAsia="宋体" w:cs="宋体"/>
                <w:b w:val="0"/>
                <w:bCs w:val="0"/>
                <w:sz w:val="24"/>
                <w:szCs w:val="24"/>
                <w:lang w:val="en-US" w:eastAsia="zh-CN"/>
              </w:rPr>
              <w:t>；承诺附件：按</w:t>
            </w:r>
            <w:r>
              <w:rPr>
                <w:rFonts w:hint="eastAsia" w:hAnsi="宋体" w:cs="宋体"/>
                <w:b w:val="0"/>
                <w:bCs w:val="0"/>
                <w:sz w:val="24"/>
                <w:szCs w:val="24"/>
                <w:lang w:val="en-US" w:eastAsia="zh-CN"/>
              </w:rPr>
              <w:t>招标文件</w:t>
            </w:r>
            <w:r>
              <w:rPr>
                <w:rFonts w:hint="eastAsia" w:ascii="宋体" w:hAnsi="宋体" w:eastAsia="宋体" w:cs="宋体"/>
                <w:b w:val="0"/>
                <w:bCs w:val="0"/>
                <w:sz w:val="24"/>
                <w:szCs w:val="24"/>
                <w:lang w:val="en-US" w:eastAsia="zh-CN"/>
              </w:rPr>
              <w:t>第六章第三部分给定的格式填写，需上传至承诺附件；受理部门为榆林市财政局采购科；承诺有效期为1年。</w:t>
            </w:r>
          </w:p>
          <w:p w14:paraId="55C89713">
            <w:pPr>
              <w:pageBreakBefore w:val="0"/>
              <w:kinsoku/>
              <w:wordWrap/>
              <w:overflowPunct/>
              <w:autoSpaceDE/>
              <w:autoSpaceDN/>
              <w:bidi w:val="0"/>
              <w:adjustRightInd w:val="0"/>
              <w:snapToGrid w:val="0"/>
              <w:spacing w:before="120"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2.承诺事项名称：选择《投标人信用承诺》；承诺事由</w:t>
            </w:r>
            <w:r>
              <w:rPr>
                <w:rFonts w:hint="eastAsia" w:ascii="宋体" w:hAnsi="宋体" w:eastAsia="宋体" w:cs="宋体"/>
                <w:b w:val="0"/>
                <w:bCs w:val="0"/>
                <w:color w:val="000000" w:themeColor="text1"/>
                <w:sz w:val="24"/>
                <w:szCs w:val="24"/>
                <w:lang w:val="en-US" w:eastAsia="zh-CN"/>
                <w14:textFill>
                  <w14:solidFill>
                    <w14:schemeClr w14:val="tx1"/>
                  </w14:solidFill>
                </w14:textFill>
              </w:rPr>
              <w:t>填写</w:t>
            </w:r>
            <w:r>
              <w:rPr>
                <w:rFonts w:hint="eastAsia" w:ascii="宋体" w:hAnsi="宋体" w:eastAsia="宋体" w:cs="宋体"/>
                <w:b w:val="0"/>
                <w:bCs w:val="0"/>
                <w:sz w:val="24"/>
                <w:szCs w:val="24"/>
                <w:lang w:val="en-US" w:eastAsia="zh-CN"/>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项目名称</w:t>
            </w:r>
            <w:r>
              <w:rPr>
                <w:rFonts w:hint="eastAsia" w:hAnsi="宋体" w:cs="宋体"/>
                <w:b w:val="0"/>
                <w:bCs w:val="0"/>
                <w:color w:val="000000" w:themeColor="text1"/>
                <w:sz w:val="24"/>
                <w:szCs w:val="24"/>
                <w:lang w:val="en-US" w:eastAsia="zh-CN"/>
                <w14:textFill>
                  <w14:solidFill>
                    <w14:schemeClr w14:val="tx1"/>
                  </w14:solidFill>
                </w14:textFill>
              </w:rPr>
              <w:t>+</w:t>
            </w:r>
            <w:r>
              <w:rPr>
                <w:rFonts w:hint="eastAsia" w:ascii="宋体" w:hAnsi="宋体" w:cs="宋体"/>
                <w:b w:val="0"/>
                <w:bCs w:val="0"/>
                <w:color w:val="000000" w:themeColor="text1"/>
                <w:sz w:val="24"/>
                <w:szCs w:val="24"/>
                <w:lang w:val="en-US" w:eastAsia="zh-CN"/>
                <w14:textFill>
                  <w14:solidFill>
                    <w14:schemeClr w14:val="tx1"/>
                  </w14:solidFill>
                </w14:textFill>
              </w:rPr>
              <w:t>项目编号</w:t>
            </w:r>
            <w:r>
              <w:rPr>
                <w:rFonts w:hint="eastAsia" w:ascii="宋体" w:hAnsi="宋体" w:eastAsia="宋体" w:cs="宋体"/>
                <w:b w:val="0"/>
                <w:bCs w:val="0"/>
                <w:sz w:val="24"/>
                <w:szCs w:val="24"/>
                <w:lang w:val="en-US" w:eastAsia="zh-CN"/>
              </w:rPr>
              <w:t>；承诺附件：按</w:t>
            </w:r>
            <w:r>
              <w:rPr>
                <w:rFonts w:hint="eastAsia" w:hAnsi="宋体" w:cs="宋体"/>
                <w:b w:val="0"/>
                <w:bCs w:val="0"/>
                <w:sz w:val="24"/>
                <w:szCs w:val="24"/>
                <w:lang w:val="en-US" w:eastAsia="zh-CN"/>
              </w:rPr>
              <w:t>招标文件</w:t>
            </w:r>
            <w:r>
              <w:rPr>
                <w:rFonts w:hint="eastAsia" w:ascii="宋体" w:hAnsi="宋体" w:eastAsia="宋体" w:cs="宋体"/>
                <w:b w:val="0"/>
                <w:bCs w:val="0"/>
                <w:sz w:val="24"/>
                <w:szCs w:val="24"/>
                <w:lang w:val="en-US" w:eastAsia="zh-CN"/>
              </w:rPr>
              <w:t>第六章第三部分给定的格式填写，需上传至承诺附件；受理部门为榆林市公共资源交易中心；承诺有效期同</w:t>
            </w:r>
            <w:r>
              <w:rPr>
                <w:rFonts w:hint="eastAsia" w:hAnsi="宋体" w:cs="宋体"/>
                <w:b w:val="0"/>
                <w:bCs w:val="0"/>
                <w:sz w:val="24"/>
                <w:szCs w:val="24"/>
                <w:lang w:val="en-US" w:eastAsia="zh-CN"/>
              </w:rPr>
              <w:t>投标</w:t>
            </w:r>
            <w:r>
              <w:rPr>
                <w:rFonts w:hint="eastAsia" w:ascii="宋体" w:hAnsi="宋体" w:eastAsia="宋体" w:cs="宋体"/>
                <w:b w:val="0"/>
                <w:bCs w:val="0"/>
                <w:sz w:val="24"/>
                <w:szCs w:val="24"/>
                <w:lang w:val="en-US" w:eastAsia="zh-CN"/>
              </w:rPr>
              <w:t>有效期。</w:t>
            </w:r>
          </w:p>
          <w:p w14:paraId="17D16A25">
            <w:pPr>
              <w:pageBreakBefore w:val="0"/>
              <w:kinsoku/>
              <w:wordWrap/>
              <w:overflowPunct/>
              <w:autoSpaceDE/>
              <w:autoSpaceDN/>
              <w:bidi w:val="0"/>
              <w:adjustRightInd w:val="0"/>
              <w:snapToGrid w:val="0"/>
              <w:spacing w:before="120" w:line="360" w:lineRule="auto"/>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3.承诺事项名称：《投标人委托代理人员信用承诺书》；承诺事由</w:t>
            </w:r>
            <w:r>
              <w:rPr>
                <w:rFonts w:hint="eastAsia" w:ascii="宋体" w:hAnsi="宋体" w:eastAsia="宋体" w:cs="宋体"/>
                <w:b w:val="0"/>
                <w:bCs w:val="0"/>
                <w:color w:val="000000" w:themeColor="text1"/>
                <w:sz w:val="24"/>
                <w:szCs w:val="24"/>
                <w:lang w:val="en-US" w:eastAsia="zh-CN"/>
                <w14:textFill>
                  <w14:solidFill>
                    <w14:schemeClr w14:val="tx1"/>
                  </w14:solidFill>
                </w14:textFill>
              </w:rPr>
              <w:t>填写</w:t>
            </w:r>
            <w:r>
              <w:rPr>
                <w:rFonts w:hint="eastAsia" w:ascii="宋体" w:hAnsi="宋体" w:eastAsia="宋体" w:cs="宋体"/>
                <w:b w:val="0"/>
                <w:bCs w:val="0"/>
                <w:sz w:val="24"/>
                <w:szCs w:val="24"/>
                <w:lang w:val="en-US" w:eastAsia="zh-CN"/>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项目名称</w:t>
            </w:r>
            <w:r>
              <w:rPr>
                <w:rFonts w:hint="eastAsia" w:hAnsi="宋体" w:cs="宋体"/>
                <w:b w:val="0"/>
                <w:bCs w:val="0"/>
                <w:color w:val="000000" w:themeColor="text1"/>
                <w:sz w:val="24"/>
                <w:szCs w:val="24"/>
                <w:lang w:val="en-US" w:eastAsia="zh-CN"/>
                <w14:textFill>
                  <w14:solidFill>
                    <w14:schemeClr w14:val="tx1"/>
                  </w14:solidFill>
                </w14:textFill>
              </w:rPr>
              <w:t>+</w:t>
            </w:r>
            <w:r>
              <w:rPr>
                <w:rFonts w:hint="eastAsia" w:ascii="宋体" w:hAnsi="宋体" w:cs="宋体"/>
                <w:b w:val="0"/>
                <w:bCs w:val="0"/>
                <w:color w:val="000000" w:themeColor="text1"/>
                <w:sz w:val="24"/>
                <w:szCs w:val="24"/>
                <w:lang w:val="en-US" w:eastAsia="zh-CN"/>
                <w14:textFill>
                  <w14:solidFill>
                    <w14:schemeClr w14:val="tx1"/>
                  </w14:solidFill>
                </w14:textFill>
              </w:rPr>
              <w:t>项目编号</w:t>
            </w:r>
            <w:r>
              <w:rPr>
                <w:rFonts w:hint="eastAsia" w:ascii="宋体" w:hAnsi="宋体" w:eastAsia="宋体" w:cs="宋体"/>
                <w:b w:val="0"/>
                <w:bCs w:val="0"/>
                <w:sz w:val="24"/>
                <w:szCs w:val="24"/>
                <w:lang w:val="en-US" w:eastAsia="zh-CN"/>
              </w:rPr>
              <w:t>；承诺附件：按</w:t>
            </w:r>
            <w:r>
              <w:rPr>
                <w:rFonts w:hint="eastAsia" w:hAnsi="宋体" w:cs="宋体"/>
                <w:b w:val="0"/>
                <w:bCs w:val="0"/>
                <w:sz w:val="24"/>
                <w:szCs w:val="24"/>
                <w:lang w:val="en-US" w:eastAsia="zh-CN"/>
              </w:rPr>
              <w:t>招标文件</w:t>
            </w:r>
            <w:r>
              <w:rPr>
                <w:rFonts w:hint="eastAsia" w:ascii="宋体" w:hAnsi="宋体" w:eastAsia="宋体" w:cs="宋体"/>
                <w:b w:val="0"/>
                <w:bCs w:val="0"/>
                <w:sz w:val="24"/>
                <w:szCs w:val="24"/>
                <w:lang w:val="en-US" w:eastAsia="zh-CN"/>
              </w:rPr>
              <w:t>第六章第三部分给定的格式填写，需上传至承诺附件；受理部门为榆林市公共资源交易中心；承诺有效期同</w:t>
            </w:r>
            <w:r>
              <w:rPr>
                <w:rFonts w:hint="eastAsia" w:hAnsi="宋体" w:cs="宋体"/>
                <w:b w:val="0"/>
                <w:bCs w:val="0"/>
                <w:sz w:val="24"/>
                <w:szCs w:val="24"/>
                <w:lang w:val="en-US" w:eastAsia="zh-CN"/>
              </w:rPr>
              <w:t>投标</w:t>
            </w:r>
            <w:r>
              <w:rPr>
                <w:rFonts w:hint="eastAsia" w:ascii="宋体" w:hAnsi="宋体" w:eastAsia="宋体" w:cs="宋体"/>
                <w:b w:val="0"/>
                <w:bCs w:val="0"/>
                <w:sz w:val="24"/>
                <w:szCs w:val="24"/>
                <w:lang w:val="en-US" w:eastAsia="zh-CN"/>
              </w:rPr>
              <w:t>有效期。</w:t>
            </w:r>
          </w:p>
          <w:p w14:paraId="39485973">
            <w:pPr>
              <w:pStyle w:val="10"/>
              <w:spacing w:after="0" w:line="288" w:lineRule="auto"/>
              <w:rPr>
                <w:rFonts w:hint="eastAsia" w:ascii="宋体" w:hAnsi="宋体" w:eastAsia="宋体" w:cs="宋体"/>
                <w:kern w:val="0"/>
                <w:sz w:val="24"/>
                <w:szCs w:val="24"/>
              </w:rPr>
            </w:pPr>
            <w:r>
              <w:rPr>
                <w:rFonts w:hint="eastAsia" w:ascii="宋体" w:hAnsi="宋体" w:eastAsia="宋体" w:cs="宋体"/>
                <w:b w:val="0"/>
                <w:bCs w:val="0"/>
                <w:sz w:val="24"/>
                <w:szCs w:val="24"/>
                <w:lang w:val="en-US" w:eastAsia="zh-CN"/>
              </w:rPr>
              <w:t>4、承诺事项名称：《投标信用（保证金）承诺书》；承诺事由</w:t>
            </w:r>
            <w:r>
              <w:rPr>
                <w:rFonts w:hint="eastAsia" w:ascii="宋体" w:hAnsi="宋体" w:eastAsia="宋体" w:cs="宋体"/>
                <w:b w:val="0"/>
                <w:bCs w:val="0"/>
                <w:color w:val="000000" w:themeColor="text1"/>
                <w:sz w:val="24"/>
                <w:szCs w:val="24"/>
                <w:lang w:val="en-US" w:eastAsia="zh-CN"/>
                <w14:textFill>
                  <w14:solidFill>
                    <w14:schemeClr w14:val="tx1"/>
                  </w14:solidFill>
                </w14:textFill>
              </w:rPr>
              <w:t>填写</w:t>
            </w:r>
            <w:r>
              <w:rPr>
                <w:rFonts w:hint="eastAsia" w:ascii="宋体" w:hAnsi="宋体" w:eastAsia="宋体" w:cs="宋体"/>
                <w:b w:val="0"/>
                <w:bCs w:val="0"/>
                <w:sz w:val="24"/>
                <w:szCs w:val="24"/>
                <w:lang w:val="en-US" w:eastAsia="zh-CN"/>
              </w:rPr>
              <w:t>：</w:t>
            </w:r>
            <w:r>
              <w:rPr>
                <w:rFonts w:hint="eastAsia" w:ascii="宋体" w:hAnsi="宋体" w:eastAsia="宋体" w:cs="宋体"/>
                <w:b w:val="0"/>
                <w:bCs w:val="0"/>
                <w:color w:val="000000" w:themeColor="text1"/>
                <w:sz w:val="24"/>
                <w:szCs w:val="24"/>
                <w:lang w:val="en-US" w:eastAsia="zh-CN"/>
                <w14:textFill>
                  <w14:solidFill>
                    <w14:schemeClr w14:val="tx1"/>
                  </w14:solidFill>
                </w14:textFill>
              </w:rPr>
              <w:t>项目名称</w:t>
            </w:r>
            <w:r>
              <w:rPr>
                <w:rFonts w:hint="eastAsia" w:hAnsi="宋体" w:cs="宋体"/>
                <w:b w:val="0"/>
                <w:bCs w:val="0"/>
                <w:color w:val="000000" w:themeColor="text1"/>
                <w:sz w:val="24"/>
                <w:szCs w:val="24"/>
                <w:lang w:val="en-US" w:eastAsia="zh-CN"/>
                <w14:textFill>
                  <w14:solidFill>
                    <w14:schemeClr w14:val="tx1"/>
                  </w14:solidFill>
                </w14:textFill>
              </w:rPr>
              <w:t>+</w:t>
            </w:r>
            <w:r>
              <w:rPr>
                <w:rFonts w:hint="eastAsia" w:ascii="宋体" w:hAnsi="宋体" w:cs="宋体"/>
                <w:b w:val="0"/>
                <w:bCs w:val="0"/>
                <w:color w:val="000000" w:themeColor="text1"/>
                <w:sz w:val="24"/>
                <w:szCs w:val="24"/>
                <w:lang w:val="en-US" w:eastAsia="zh-CN"/>
                <w14:textFill>
                  <w14:solidFill>
                    <w14:schemeClr w14:val="tx1"/>
                  </w14:solidFill>
                </w14:textFill>
              </w:rPr>
              <w:t>项目编号</w:t>
            </w:r>
            <w:r>
              <w:rPr>
                <w:rFonts w:hint="eastAsia" w:ascii="宋体" w:hAnsi="宋体" w:eastAsia="宋体" w:cs="宋体"/>
                <w:b w:val="0"/>
                <w:bCs w:val="0"/>
                <w:sz w:val="24"/>
                <w:szCs w:val="24"/>
                <w:lang w:val="en-US" w:eastAsia="zh-CN"/>
              </w:rPr>
              <w:t>；承诺附件：按</w:t>
            </w:r>
            <w:r>
              <w:rPr>
                <w:rFonts w:hint="eastAsia" w:ascii="宋体" w:hAnsi="宋体" w:cs="宋体"/>
                <w:b w:val="0"/>
                <w:bCs w:val="0"/>
                <w:sz w:val="24"/>
                <w:szCs w:val="24"/>
                <w:lang w:val="en-US" w:eastAsia="zh-CN"/>
              </w:rPr>
              <w:t>招标文件</w:t>
            </w:r>
            <w:r>
              <w:rPr>
                <w:rFonts w:hint="eastAsia" w:ascii="宋体" w:hAnsi="宋体" w:eastAsia="宋体" w:cs="宋体"/>
                <w:b w:val="0"/>
                <w:bCs w:val="0"/>
                <w:sz w:val="24"/>
                <w:szCs w:val="24"/>
                <w:lang w:val="en-US" w:eastAsia="zh-CN"/>
              </w:rPr>
              <w:t>第六章第三部分给定的格式填写，需上传至承诺附件；受理部门为榆林市公共资源交易中心；承诺有效期同</w:t>
            </w:r>
            <w:r>
              <w:rPr>
                <w:rFonts w:hint="eastAsia" w:ascii="宋体" w:hAnsi="宋体" w:cs="宋体"/>
                <w:b w:val="0"/>
                <w:bCs w:val="0"/>
                <w:sz w:val="24"/>
                <w:szCs w:val="24"/>
                <w:lang w:val="en-US" w:eastAsia="zh-CN"/>
              </w:rPr>
              <w:t>投标</w:t>
            </w:r>
            <w:r>
              <w:rPr>
                <w:rFonts w:hint="eastAsia" w:ascii="宋体" w:hAnsi="宋体" w:eastAsia="宋体" w:cs="宋体"/>
                <w:b w:val="0"/>
                <w:bCs w:val="0"/>
                <w:sz w:val="24"/>
                <w:szCs w:val="24"/>
                <w:lang w:val="en-US" w:eastAsia="zh-CN"/>
              </w:rPr>
              <w:t>有效期。</w:t>
            </w:r>
          </w:p>
          <w:p w14:paraId="00150E11">
            <w:pPr>
              <w:pStyle w:val="10"/>
              <w:spacing w:after="0" w:line="288" w:lineRule="auto"/>
              <w:rPr>
                <w:rFonts w:hint="eastAsia" w:ascii="宋体" w:hAnsi="宋体" w:eastAsia="宋体" w:cs="宋体"/>
                <w:kern w:val="0"/>
                <w:sz w:val="24"/>
                <w:szCs w:val="24"/>
              </w:rPr>
            </w:pPr>
            <w:r>
              <w:rPr>
                <w:rFonts w:hint="eastAsia" w:ascii="宋体" w:hAnsi="宋体" w:eastAsia="宋体" w:cs="宋体"/>
                <w:b/>
                <w:bCs/>
                <w:kern w:val="0"/>
                <w:sz w:val="24"/>
                <w:szCs w:val="24"/>
              </w:rPr>
              <w:t>注：</w:t>
            </w:r>
            <w:r>
              <w:rPr>
                <w:rFonts w:hint="eastAsia" w:ascii="宋体" w:hAnsi="宋体" w:eastAsia="宋体" w:cs="宋体"/>
                <w:kern w:val="0"/>
                <w:sz w:val="24"/>
                <w:szCs w:val="24"/>
              </w:rPr>
              <w:t>①法定代表人直接参与投标的无须上报</w:t>
            </w:r>
            <w:r>
              <w:rPr>
                <w:rFonts w:hint="eastAsia" w:ascii="宋体" w:hAnsi="宋体" w:eastAsia="宋体" w:cs="宋体"/>
                <w:kern w:val="0"/>
                <w:sz w:val="24"/>
                <w:szCs w:val="24"/>
                <w:lang w:val="en-US" w:eastAsia="zh-CN"/>
              </w:rPr>
              <w:t>但需</w:t>
            </w:r>
            <w:r>
              <w:rPr>
                <w:rFonts w:hint="eastAsia" w:ascii="宋体" w:hAnsi="宋体" w:eastAsia="宋体" w:cs="宋体"/>
                <w:kern w:val="0"/>
                <w:sz w:val="24"/>
                <w:szCs w:val="24"/>
              </w:rPr>
              <w:t>提供《投标人委托代理人员信用承诺书》。</w:t>
            </w:r>
          </w:p>
          <w:p w14:paraId="3DD61E68">
            <w:pPr>
              <w:pStyle w:val="10"/>
              <w:spacing w:after="0" w:line="288"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②不见面开标结束后由采购代理机构通过平台进行核实查验，未按上述要求在“信用中国（陕西榆林）”网站进行上报或投标文件中所附内容与上报内容不符的将否决投标。</w:t>
            </w:r>
          </w:p>
        </w:tc>
      </w:tr>
      <w:tr w14:paraId="21FB0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651" w:type="dxa"/>
            <w:vAlign w:val="center"/>
          </w:tcPr>
          <w:p w14:paraId="312492B1">
            <w:pPr>
              <w:spacing w:line="288"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w:t>
            </w:r>
          </w:p>
        </w:tc>
        <w:tc>
          <w:tcPr>
            <w:tcW w:w="1932" w:type="dxa"/>
            <w:vAlign w:val="center"/>
          </w:tcPr>
          <w:p w14:paraId="1B00E724">
            <w:pPr>
              <w:spacing w:line="288" w:lineRule="auto"/>
              <w:jc w:val="left"/>
              <w:rPr>
                <w:rFonts w:hint="eastAsia" w:ascii="宋体" w:hAnsi="宋体" w:eastAsia="宋体" w:cs="宋体"/>
                <w:sz w:val="24"/>
                <w:szCs w:val="24"/>
              </w:rPr>
            </w:pPr>
            <w:r>
              <w:rPr>
                <w:rFonts w:hint="eastAsia" w:ascii="宋体" w:hAnsi="宋体" w:eastAsia="宋体" w:cs="宋体"/>
                <w:sz w:val="24"/>
                <w:szCs w:val="24"/>
              </w:rPr>
              <w:t>特别提示</w:t>
            </w:r>
          </w:p>
        </w:tc>
        <w:tc>
          <w:tcPr>
            <w:tcW w:w="6735" w:type="dxa"/>
            <w:vAlign w:val="center"/>
          </w:tcPr>
          <w:p w14:paraId="6C0944BA">
            <w:pPr>
              <w:topLinePunct/>
              <w:spacing w:line="288" w:lineRule="auto"/>
              <w:rPr>
                <w:rFonts w:hint="eastAsia" w:ascii="宋体" w:hAnsi="宋体" w:eastAsia="宋体" w:cs="宋体"/>
                <w:sz w:val="24"/>
                <w:szCs w:val="24"/>
              </w:rPr>
            </w:pPr>
            <w:r>
              <w:rPr>
                <w:rFonts w:hint="eastAsia" w:ascii="宋体" w:hAnsi="宋体" w:eastAsia="宋体" w:cs="宋体"/>
                <w:sz w:val="24"/>
                <w:szCs w:val="24"/>
              </w:rPr>
              <w:t>1.本项目采用电子化不见面开标方式，投标人使用数字认证证书（CA锁）对投标文件进行签章、加密、上传、签到、解密；投标人应在全国公共资源交易平台（陕西省˙榆林市）（http://yl.sxggzyjy.cn/），选择“服务指南”，点击“下载专区”；提前熟知“政府采购投标单位手册”、“榆林不见面开标系统操作手册（投标人）”、“榆林不见面开标大厅投标人询标操作手册V1.0”。请投标人仔细阅读操作手册，了解操作流程，熟练掌握不见面开标、不见面询标操作相关事宜，若无法正常投标，投标人自行承担责任。电子投标文件制作软件技术支持热线：400-998-0000。</w:t>
            </w:r>
          </w:p>
          <w:p w14:paraId="41DE8289">
            <w:pPr>
              <w:topLinePunct/>
              <w:spacing w:line="288" w:lineRule="auto"/>
              <w:rPr>
                <w:rFonts w:hint="eastAsia" w:ascii="宋体" w:hAnsi="宋体" w:eastAsia="宋体" w:cs="宋体"/>
                <w:sz w:val="24"/>
                <w:szCs w:val="24"/>
              </w:rPr>
            </w:pPr>
            <w:r>
              <w:rPr>
                <w:rFonts w:hint="eastAsia" w:ascii="宋体" w:hAnsi="宋体" w:eastAsia="宋体" w:cs="宋体"/>
                <w:sz w:val="24"/>
                <w:szCs w:val="24"/>
              </w:rPr>
              <w:t>2.关于制作电子投标文件，投标人须在“全国公共资源交易中心平台（陕西省）（http://www.sxggzyjy.cn/）”的“服务指南”栏目“下载专区”中，下载“陕西省公共资源交易平台政府采购电子标书制作工具”，并升级至最新版本，使用该客户端制作电子投标文件，制作后缀为“.SXSTF”的电子投标文件。</w:t>
            </w:r>
          </w:p>
          <w:p w14:paraId="3CFFE734">
            <w:pPr>
              <w:topLinePunct/>
              <w:spacing w:line="288" w:lineRule="auto"/>
              <w:rPr>
                <w:rFonts w:hint="eastAsia" w:ascii="宋体" w:hAnsi="宋体" w:eastAsia="宋体" w:cs="宋体"/>
                <w:sz w:val="24"/>
                <w:szCs w:val="24"/>
              </w:rPr>
            </w:pPr>
            <w:r>
              <w:rPr>
                <w:rFonts w:hint="eastAsia" w:ascii="宋体" w:hAnsi="宋体" w:eastAsia="宋体" w:cs="宋体"/>
                <w:sz w:val="24"/>
                <w:szCs w:val="24"/>
              </w:rPr>
              <w:t>3.提交电子投标文件的方法，登录全国公共资源交易中心平台（陕西省）（http://www.sxggzyjy.cn/），选择“电子交易平台—政府采购交易系统（企业端）”进行登录，登录后进入菜单“采购业务—我的项目—项目流程—上传电子投标文件”。上传成功后，电子化平台将予以记录，逾期系统将拒绝接收。</w:t>
            </w:r>
          </w:p>
        </w:tc>
      </w:tr>
      <w:tr w14:paraId="5954E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8" w:hRule="atLeast"/>
          <w:jc w:val="center"/>
        </w:trPr>
        <w:tc>
          <w:tcPr>
            <w:tcW w:w="651" w:type="dxa"/>
            <w:vAlign w:val="center"/>
          </w:tcPr>
          <w:p w14:paraId="58BEF9F2">
            <w:pPr>
              <w:spacing w:line="288" w:lineRule="auto"/>
              <w:jc w:val="center"/>
              <w:rPr>
                <w:rFonts w:hint="eastAsia"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7</w:t>
            </w:r>
          </w:p>
        </w:tc>
        <w:tc>
          <w:tcPr>
            <w:tcW w:w="1932" w:type="dxa"/>
            <w:vAlign w:val="center"/>
          </w:tcPr>
          <w:p w14:paraId="3F6324CE">
            <w:pPr>
              <w:keepNext w:val="0"/>
              <w:keepLines w:val="0"/>
              <w:pageBreakBefore w:val="0"/>
              <w:kinsoku/>
              <w:wordWrap/>
              <w:overflowPunct/>
              <w:autoSpaceDE/>
              <w:autoSpaceDN/>
              <w:bidi w:val="0"/>
              <w:adjustRightInd/>
              <w:snapToGrid/>
              <w:spacing w:line="240" w:lineRule="auto"/>
              <w:ind w:right="0" w:rightChars="0"/>
              <w:jc w:val="left"/>
              <w:textAlignment w:val="auto"/>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关于支持</w:t>
            </w:r>
            <w:r>
              <w:rPr>
                <w:rFonts w:hint="eastAsia" w:ascii="宋体" w:hAnsi="宋体" w:cs="宋体"/>
                <w:b w:val="0"/>
                <w:bCs w:val="0"/>
                <w:color w:val="auto"/>
                <w:sz w:val="24"/>
                <w:szCs w:val="24"/>
                <w:lang w:val="en-US" w:eastAsia="zh-CN"/>
              </w:rPr>
              <w:t>中小</w:t>
            </w:r>
            <w:r>
              <w:rPr>
                <w:rFonts w:hint="eastAsia" w:ascii="宋体" w:hAnsi="宋体" w:eastAsia="宋体" w:cs="宋体"/>
                <w:b w:val="0"/>
                <w:bCs w:val="0"/>
                <w:color w:val="auto"/>
                <w:sz w:val="24"/>
                <w:szCs w:val="24"/>
                <w:lang w:val="en-US" w:eastAsia="zh-CN"/>
              </w:rPr>
              <w:t>企业发展的说明</w:t>
            </w:r>
          </w:p>
        </w:tc>
        <w:tc>
          <w:tcPr>
            <w:tcW w:w="6735" w:type="dxa"/>
            <w:vAlign w:val="center"/>
          </w:tcPr>
          <w:p w14:paraId="5E1DF03F">
            <w:pPr>
              <w:keepNext w:val="0"/>
              <w:keepLines w:val="0"/>
              <w:pageBreakBefore w:val="0"/>
              <w:kinsoku/>
              <w:wordWrap/>
              <w:overflowPunct/>
              <w:topLinePunct/>
              <w:autoSpaceDE/>
              <w:autoSpaceDN/>
              <w:bidi w:val="0"/>
              <w:adjustRightInd/>
              <w:snapToGrid/>
              <w:spacing w:line="240" w:lineRule="auto"/>
              <w:ind w:right="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sym w:font="Wingdings" w:char="00A8"/>
            </w:r>
            <w:r>
              <w:rPr>
                <w:rFonts w:hint="eastAsia" w:ascii="宋体" w:hAnsi="宋体" w:eastAsia="宋体" w:cs="宋体"/>
                <w:b w:val="0"/>
                <w:bCs w:val="0"/>
                <w:color w:val="auto"/>
                <w:sz w:val="24"/>
                <w:szCs w:val="24"/>
              </w:rPr>
              <w:t>专门面向</w:t>
            </w:r>
            <w:r>
              <w:rPr>
                <w:rFonts w:hint="eastAsia" w:ascii="宋体" w:hAnsi="宋体" w:cs="宋体"/>
                <w:b w:val="0"/>
                <w:bCs w:val="0"/>
                <w:color w:val="auto"/>
                <w:sz w:val="24"/>
                <w:szCs w:val="24"/>
                <w:lang w:val="en-US" w:eastAsia="zh-CN"/>
              </w:rPr>
              <w:t>中小</w:t>
            </w:r>
            <w:r>
              <w:rPr>
                <w:rFonts w:hint="eastAsia" w:ascii="宋体" w:hAnsi="宋体" w:eastAsia="宋体" w:cs="宋体"/>
                <w:b w:val="0"/>
                <w:bCs w:val="0"/>
                <w:color w:val="auto"/>
                <w:sz w:val="24"/>
                <w:szCs w:val="24"/>
              </w:rPr>
              <w:t>企业采购</w:t>
            </w:r>
          </w:p>
          <w:p w14:paraId="024C1586">
            <w:pPr>
              <w:pStyle w:val="19"/>
              <w:spacing w:line="24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投标人应为</w:t>
            </w:r>
            <w:r>
              <w:rPr>
                <w:rFonts w:hint="eastAsia" w:ascii="宋体" w:hAnsi="宋体" w:cs="宋体"/>
                <w:b w:val="0"/>
                <w:bCs/>
                <w:color w:val="auto"/>
                <w:sz w:val="24"/>
                <w:szCs w:val="24"/>
                <w:lang w:val="en-US" w:eastAsia="zh-CN"/>
              </w:rPr>
              <w:t>中型、</w:t>
            </w:r>
            <w:r>
              <w:rPr>
                <w:rFonts w:hint="eastAsia" w:ascii="宋体" w:hAnsi="宋体" w:eastAsia="宋体" w:cs="宋体"/>
                <w:b w:val="0"/>
                <w:bCs/>
                <w:color w:val="auto"/>
                <w:sz w:val="24"/>
                <w:szCs w:val="24"/>
              </w:rPr>
              <w:t>小型、微型企业/监狱企业/残疾人福利性单位。投标人为</w:t>
            </w:r>
            <w:r>
              <w:rPr>
                <w:rFonts w:hint="eastAsia" w:ascii="宋体" w:hAnsi="宋体" w:cs="宋体"/>
                <w:b w:val="0"/>
                <w:bCs/>
                <w:color w:val="auto"/>
                <w:sz w:val="24"/>
                <w:szCs w:val="24"/>
                <w:lang w:val="en-US" w:eastAsia="zh-CN"/>
              </w:rPr>
              <w:t>中型、</w:t>
            </w:r>
            <w:r>
              <w:rPr>
                <w:rFonts w:hint="eastAsia" w:ascii="宋体" w:hAnsi="宋体" w:eastAsia="宋体" w:cs="宋体"/>
                <w:b w:val="0"/>
                <w:bCs/>
                <w:color w:val="auto"/>
                <w:sz w:val="24"/>
                <w:szCs w:val="24"/>
              </w:rPr>
              <w:t>小型、微型企业的，提供《</w:t>
            </w:r>
            <w:r>
              <w:rPr>
                <w:rFonts w:hint="eastAsia" w:ascii="宋体" w:hAnsi="宋体" w:cs="宋体"/>
                <w:b w:val="0"/>
                <w:bCs/>
                <w:color w:val="auto"/>
                <w:sz w:val="24"/>
                <w:szCs w:val="24"/>
                <w:lang w:val="en-US" w:eastAsia="zh-CN"/>
              </w:rPr>
              <w:t>中小</w:t>
            </w:r>
            <w:r>
              <w:rPr>
                <w:rFonts w:hint="eastAsia" w:ascii="宋体" w:hAnsi="宋体" w:eastAsia="宋体" w:cs="宋体"/>
                <w:b w:val="0"/>
                <w:bCs/>
                <w:color w:val="auto"/>
                <w:sz w:val="24"/>
                <w:szCs w:val="24"/>
              </w:rPr>
              <w:t>企业声明函》；投标人为监狱企业的，应提供监狱企业的证明文件；投标人为残疾人福利性单位的，应提供《残疾人福利性单位声明函》。监狱企业/残疾人福利性单位均视同</w:t>
            </w:r>
            <w:r>
              <w:rPr>
                <w:rFonts w:hint="eastAsia" w:ascii="宋体" w:hAnsi="宋体" w:cs="宋体"/>
                <w:b w:val="0"/>
                <w:bCs/>
                <w:color w:val="auto"/>
                <w:sz w:val="24"/>
                <w:szCs w:val="24"/>
                <w:lang w:val="en-US" w:eastAsia="zh-CN"/>
              </w:rPr>
              <w:t>中型、</w:t>
            </w:r>
            <w:r>
              <w:rPr>
                <w:rFonts w:hint="eastAsia" w:ascii="宋体" w:hAnsi="宋体" w:eastAsia="宋体" w:cs="宋体"/>
                <w:b w:val="0"/>
                <w:bCs/>
                <w:color w:val="auto"/>
                <w:sz w:val="24"/>
                <w:szCs w:val="24"/>
              </w:rPr>
              <w:t>小型、微型企业。</w:t>
            </w:r>
          </w:p>
          <w:p w14:paraId="07AB577A">
            <w:pPr>
              <w:keepNext w:val="0"/>
              <w:keepLines w:val="0"/>
              <w:pageBreakBefore w:val="0"/>
              <w:kinsoku/>
              <w:wordWrap/>
              <w:overflowPunct/>
              <w:topLinePunct/>
              <w:autoSpaceDE/>
              <w:autoSpaceDN/>
              <w:bidi w:val="0"/>
              <w:adjustRightInd/>
              <w:snapToGrid/>
              <w:spacing w:line="240" w:lineRule="auto"/>
              <w:ind w:right="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sym w:font="Wingdings" w:char="00FE"/>
            </w:r>
            <w:r>
              <w:rPr>
                <w:rFonts w:hint="eastAsia" w:ascii="宋体" w:hAnsi="宋体" w:eastAsia="宋体" w:cs="宋体"/>
                <w:b w:val="0"/>
                <w:bCs w:val="0"/>
                <w:color w:val="auto"/>
                <w:sz w:val="24"/>
                <w:szCs w:val="24"/>
                <w:lang w:eastAsia="zh-CN"/>
              </w:rPr>
              <w:t>非</w:t>
            </w:r>
            <w:r>
              <w:rPr>
                <w:rFonts w:hint="eastAsia" w:ascii="宋体" w:hAnsi="宋体" w:eastAsia="宋体" w:cs="宋体"/>
                <w:b w:val="0"/>
                <w:bCs w:val="0"/>
                <w:color w:val="auto"/>
                <w:sz w:val="24"/>
                <w:szCs w:val="24"/>
              </w:rPr>
              <w:t>专门面向</w:t>
            </w:r>
            <w:r>
              <w:rPr>
                <w:rFonts w:hint="eastAsia" w:ascii="宋体" w:hAnsi="宋体" w:cs="宋体"/>
                <w:b w:val="0"/>
                <w:bCs w:val="0"/>
                <w:color w:val="auto"/>
                <w:sz w:val="24"/>
                <w:szCs w:val="24"/>
                <w:lang w:val="en-US" w:eastAsia="zh-CN"/>
              </w:rPr>
              <w:t>中小</w:t>
            </w:r>
            <w:r>
              <w:rPr>
                <w:rFonts w:hint="eastAsia" w:ascii="宋体" w:hAnsi="宋体" w:eastAsia="宋体" w:cs="宋体"/>
                <w:b w:val="0"/>
                <w:bCs w:val="0"/>
                <w:color w:val="auto"/>
                <w:sz w:val="24"/>
                <w:szCs w:val="24"/>
              </w:rPr>
              <w:t>企业采购</w:t>
            </w:r>
          </w:p>
          <w:p w14:paraId="5B322AA3">
            <w:pPr>
              <w:topLinePunct/>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投标人属于</w:t>
            </w:r>
            <w:r>
              <w:rPr>
                <w:rFonts w:hint="eastAsia" w:ascii="宋体" w:hAnsi="宋体" w:cs="宋体"/>
                <w:b w:val="0"/>
                <w:bCs/>
                <w:color w:val="auto"/>
                <w:sz w:val="24"/>
                <w:szCs w:val="24"/>
                <w:lang w:val="en-US" w:eastAsia="zh-CN"/>
              </w:rPr>
              <w:t>中型、</w:t>
            </w:r>
            <w:r>
              <w:rPr>
                <w:rFonts w:hint="eastAsia" w:ascii="宋体" w:hAnsi="宋体" w:eastAsia="宋体" w:cs="宋体"/>
                <w:color w:val="auto"/>
                <w:sz w:val="24"/>
                <w:szCs w:val="24"/>
              </w:rPr>
              <w:t>小型、微型企业的应提供《</w:t>
            </w:r>
            <w:r>
              <w:rPr>
                <w:rFonts w:hint="eastAsia" w:ascii="宋体" w:hAnsi="宋体" w:cs="宋体"/>
                <w:color w:val="auto"/>
                <w:sz w:val="24"/>
                <w:szCs w:val="24"/>
                <w:lang w:val="en-US" w:eastAsia="zh-CN"/>
              </w:rPr>
              <w:t>中小</w:t>
            </w:r>
            <w:r>
              <w:rPr>
                <w:rFonts w:hint="eastAsia" w:ascii="宋体" w:hAnsi="宋体" w:eastAsia="宋体" w:cs="宋体"/>
                <w:color w:val="auto"/>
                <w:sz w:val="24"/>
                <w:szCs w:val="24"/>
              </w:rPr>
              <w:t>企业声明函》；投标人为监狱企业的，应提供监狱企业的证明文件；投标人为残疾人福利性单位的，应提供《残疾人福利性单位声明函》。监狱企业/残疾人福利性单位均视同</w:t>
            </w:r>
            <w:r>
              <w:rPr>
                <w:rFonts w:hint="eastAsia" w:ascii="宋体" w:hAnsi="宋体" w:cs="宋体"/>
                <w:b w:val="0"/>
                <w:bCs/>
                <w:color w:val="auto"/>
                <w:sz w:val="24"/>
                <w:szCs w:val="24"/>
                <w:lang w:val="en-US" w:eastAsia="zh-CN"/>
              </w:rPr>
              <w:t>中型、</w:t>
            </w:r>
            <w:r>
              <w:rPr>
                <w:rFonts w:hint="eastAsia" w:ascii="宋体" w:hAnsi="宋体" w:eastAsia="宋体" w:cs="宋体"/>
                <w:color w:val="auto"/>
                <w:sz w:val="24"/>
                <w:szCs w:val="24"/>
              </w:rPr>
              <w:t>小型、微型企业。对</w:t>
            </w:r>
            <w:r>
              <w:rPr>
                <w:rFonts w:hint="eastAsia" w:ascii="宋体" w:hAnsi="宋体" w:cs="宋体"/>
                <w:b w:val="0"/>
                <w:bCs/>
                <w:color w:val="auto"/>
                <w:sz w:val="24"/>
                <w:szCs w:val="24"/>
                <w:lang w:val="en-US" w:eastAsia="zh-CN"/>
              </w:rPr>
              <w:t>中型、</w:t>
            </w:r>
            <w:r>
              <w:rPr>
                <w:rFonts w:hint="eastAsia" w:ascii="宋体" w:hAnsi="宋体" w:eastAsia="宋体" w:cs="宋体"/>
                <w:color w:val="auto"/>
                <w:sz w:val="24"/>
                <w:szCs w:val="24"/>
              </w:rPr>
              <w:t>小型、微型企业的价格执行评审优惠如下：</w:t>
            </w:r>
          </w:p>
          <w:p w14:paraId="219AF78B">
            <w:pPr>
              <w:numPr>
                <w:ilvl w:val="0"/>
                <w:numId w:val="2"/>
              </w:numPr>
              <w:topLinePunct/>
              <w:spacing w:line="240" w:lineRule="auto"/>
              <w:rPr>
                <w:rFonts w:hint="eastAsia" w:hAnsi="宋体" w:cs="宋体"/>
                <w:color w:val="auto"/>
                <w:sz w:val="24"/>
                <w:szCs w:val="24"/>
                <w:lang w:eastAsia="zh-CN"/>
              </w:rPr>
            </w:pPr>
            <w:r>
              <w:rPr>
                <w:rFonts w:hint="eastAsia" w:ascii="宋体" w:hAnsi="宋体" w:eastAsia="宋体" w:cs="宋体"/>
                <w:color w:val="auto"/>
                <w:sz w:val="24"/>
                <w:szCs w:val="24"/>
              </w:rPr>
              <w:t>对被认定为</w:t>
            </w:r>
            <w:r>
              <w:rPr>
                <w:rFonts w:hint="eastAsia" w:ascii="宋体" w:hAnsi="宋体" w:cs="宋体"/>
                <w:b w:val="0"/>
                <w:bCs/>
                <w:color w:val="auto"/>
                <w:sz w:val="24"/>
                <w:szCs w:val="24"/>
                <w:lang w:val="en-US" w:eastAsia="zh-CN"/>
              </w:rPr>
              <w:t>中型/</w:t>
            </w:r>
            <w:r>
              <w:rPr>
                <w:rFonts w:hint="eastAsia" w:ascii="宋体" w:hAnsi="宋体" w:eastAsia="宋体" w:cs="宋体"/>
                <w:color w:val="auto"/>
                <w:sz w:val="24"/>
                <w:szCs w:val="24"/>
              </w:rPr>
              <w:t>小型/微型企业投标人的投标报价</w:t>
            </w:r>
            <w:r>
              <w:rPr>
                <w:rFonts w:hint="eastAsia" w:hAnsi="宋体" w:cs="宋体"/>
                <w:color w:val="auto"/>
                <w:sz w:val="24"/>
                <w:szCs w:val="24"/>
                <w:lang w:val="en-US" w:eastAsia="zh-CN"/>
              </w:rPr>
              <w:t>给与</w:t>
            </w:r>
            <w:r>
              <w:rPr>
                <w:rFonts w:hint="eastAsia" w:ascii="宋体" w:hAnsi="宋体" w:eastAsia="宋体" w:cs="宋体"/>
                <w:color w:val="auto"/>
                <w:sz w:val="24"/>
                <w:szCs w:val="24"/>
              </w:rPr>
              <w:t>20%的扣除，用扣除后的价格参与评审。</w:t>
            </w:r>
          </w:p>
          <w:p w14:paraId="78BE8F18">
            <w:pPr>
              <w:numPr>
                <w:ilvl w:val="0"/>
                <w:numId w:val="2"/>
              </w:numPr>
              <w:topLinePunct/>
              <w:spacing w:line="240" w:lineRule="auto"/>
              <w:rPr>
                <w:rFonts w:hint="default" w:hAnsi="宋体" w:cs="宋体"/>
                <w:color w:val="auto"/>
                <w:sz w:val="24"/>
                <w:szCs w:val="24"/>
                <w:lang w:val="en-US" w:eastAsia="zh-CN"/>
              </w:rPr>
            </w:pPr>
            <w:r>
              <w:rPr>
                <w:rFonts w:hint="eastAsia" w:ascii="宋体" w:hAnsi="宋体" w:eastAsia="宋体" w:cs="宋体"/>
                <w:color w:val="auto"/>
                <w:sz w:val="24"/>
                <w:szCs w:val="24"/>
              </w:rPr>
              <w:t>若本项目接受联合体投标的，联合协议或者分包意向协议约定小微企业的合同份额占到合同总金额30%以上的，则投标报价按6%扣除，用扣除后的价格参与评审</w:t>
            </w:r>
            <w:r>
              <w:rPr>
                <w:rFonts w:hint="eastAsia" w:hAnsi="宋体" w:cs="宋体"/>
                <w:color w:val="auto"/>
                <w:sz w:val="24"/>
                <w:szCs w:val="24"/>
                <w:lang w:eastAsia="zh-CN"/>
              </w:rPr>
              <w:t>。</w:t>
            </w:r>
          </w:p>
        </w:tc>
      </w:tr>
      <w:tr w14:paraId="57506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651" w:type="dxa"/>
            <w:vAlign w:val="center"/>
          </w:tcPr>
          <w:p w14:paraId="6F176B5A">
            <w:pPr>
              <w:spacing w:line="288" w:lineRule="auto"/>
              <w:jc w:val="center"/>
              <w:rPr>
                <w:rFonts w:hint="default" w:ascii="宋体" w:hAnsi="宋体" w:eastAsia="宋体" w:cs="宋体"/>
                <w:sz w:val="24"/>
                <w:szCs w:val="24"/>
                <w:lang w:val="en-US" w:eastAsia="zh-CN"/>
              </w:rPr>
            </w:pPr>
            <w:r>
              <w:rPr>
                <w:rFonts w:hint="eastAsia" w:hAnsi="宋体" w:cs="宋体"/>
                <w:sz w:val="24"/>
                <w:szCs w:val="24"/>
                <w:lang w:val="en-US" w:eastAsia="zh-CN"/>
              </w:rPr>
              <w:t>28</w:t>
            </w:r>
          </w:p>
        </w:tc>
        <w:tc>
          <w:tcPr>
            <w:tcW w:w="1932" w:type="dxa"/>
            <w:vAlign w:val="center"/>
          </w:tcPr>
          <w:p w14:paraId="7EBF9057">
            <w:pPr>
              <w:pStyle w:val="13"/>
              <w:snapToGrid/>
              <w:spacing w:line="288" w:lineRule="auto"/>
              <w:rPr>
                <w:rFonts w:hint="eastAsia" w:ascii="宋体" w:hAnsi="宋体" w:eastAsia="宋体" w:cs="宋体"/>
                <w:sz w:val="24"/>
                <w:szCs w:val="24"/>
                <w:lang w:val="en-US" w:eastAsia="zh-CN" w:bidi="ar-SA"/>
              </w:rPr>
            </w:pPr>
            <w:r>
              <w:rPr>
                <w:rFonts w:hint="eastAsia" w:ascii="宋体" w:hAnsi="宋体" w:eastAsia="宋体" w:cs="宋体"/>
                <w:sz w:val="24"/>
                <w:szCs w:val="24"/>
              </w:rPr>
              <w:t>合同价款形式</w:t>
            </w:r>
          </w:p>
        </w:tc>
        <w:tc>
          <w:tcPr>
            <w:tcW w:w="6735" w:type="dxa"/>
            <w:vAlign w:val="center"/>
          </w:tcPr>
          <w:p w14:paraId="30523A5D">
            <w:pPr>
              <w:pStyle w:val="13"/>
              <w:snapToGrid/>
              <w:spacing w:line="288" w:lineRule="auto"/>
              <w:rPr>
                <w:rFonts w:hint="eastAsia" w:ascii="宋体" w:hAnsi="宋体" w:eastAsia="宋体" w:cs="宋体"/>
                <w:sz w:val="24"/>
                <w:szCs w:val="24"/>
                <w:lang w:val="en-US" w:eastAsia="zh-CN" w:bidi="ar-SA"/>
              </w:rPr>
            </w:pPr>
            <w:r>
              <w:rPr>
                <w:rFonts w:hint="eastAsia" w:ascii="宋体" w:hAnsi="宋体" w:eastAsia="宋体" w:cs="宋体"/>
                <w:sz w:val="24"/>
                <w:szCs w:val="24"/>
              </w:rPr>
              <w:t>本采购项目签订固定总价合同。</w:t>
            </w:r>
          </w:p>
        </w:tc>
      </w:tr>
      <w:tr w14:paraId="6C604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651" w:type="dxa"/>
            <w:vAlign w:val="center"/>
          </w:tcPr>
          <w:p w14:paraId="5FE8D122">
            <w:pPr>
              <w:spacing w:line="288" w:lineRule="auto"/>
              <w:jc w:val="center"/>
              <w:rPr>
                <w:rFonts w:hint="default" w:ascii="宋体" w:hAnsi="宋体" w:eastAsia="宋体" w:cs="宋体"/>
                <w:sz w:val="24"/>
                <w:szCs w:val="24"/>
                <w:lang w:val="en-US" w:eastAsia="zh-CN"/>
              </w:rPr>
            </w:pPr>
            <w:bookmarkStart w:id="5" w:name="_Toc2552"/>
            <w:r>
              <w:rPr>
                <w:rFonts w:hint="eastAsia" w:hAnsi="宋体" w:cs="宋体"/>
                <w:sz w:val="24"/>
                <w:szCs w:val="24"/>
                <w:lang w:val="en-US" w:eastAsia="zh-CN"/>
              </w:rPr>
              <w:t>29</w:t>
            </w:r>
          </w:p>
        </w:tc>
        <w:tc>
          <w:tcPr>
            <w:tcW w:w="1932" w:type="dxa"/>
            <w:vAlign w:val="center"/>
          </w:tcPr>
          <w:p w14:paraId="58FAC426">
            <w:pPr>
              <w:pageBreakBefore w:val="0"/>
              <w:kinsoku/>
              <w:wordWrap/>
              <w:overflowPunct/>
              <w:autoSpaceDE/>
              <w:autoSpaceDN/>
              <w:bidi w:val="0"/>
              <w:adjustRightInd w:val="0"/>
              <w:snapToGrid w:val="0"/>
              <w:spacing w:before="120" w:line="360" w:lineRule="auto"/>
              <w:jc w:val="center"/>
              <w:rPr>
                <w:rFonts w:hint="eastAsia" w:ascii="宋体" w:hAnsi="宋体" w:eastAsia="宋体" w:cs="宋体"/>
                <w:sz w:val="24"/>
                <w:szCs w:val="24"/>
                <w:lang w:val="en-US" w:eastAsia="zh-CN" w:bidi="ar-SA"/>
              </w:rPr>
            </w:pPr>
            <w:r>
              <w:rPr>
                <w:rFonts w:hint="eastAsia" w:ascii="宋体" w:hAnsi="宋体" w:eastAsia="宋体" w:cs="宋体"/>
                <w:b w:val="0"/>
                <w:bCs w:val="0"/>
                <w:sz w:val="24"/>
                <w:szCs w:val="24"/>
                <w:highlight w:val="none"/>
                <w:lang w:val="en-US" w:eastAsia="zh-CN"/>
              </w:rPr>
              <w:t>政采贷政策</w:t>
            </w:r>
          </w:p>
        </w:tc>
        <w:tc>
          <w:tcPr>
            <w:tcW w:w="6735" w:type="dxa"/>
            <w:vAlign w:val="center"/>
          </w:tcPr>
          <w:tbl>
            <w:tblPr>
              <w:tblStyle w:val="21"/>
              <w:tblpPr w:leftFromText="180" w:rightFromText="180" w:vertAnchor="page" w:horzAnchor="page" w:tblpX="166" w:tblpY="1420"/>
              <w:tblOverlap w:val="never"/>
              <w:tblW w:w="67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7"/>
              <w:gridCol w:w="747"/>
              <w:gridCol w:w="756"/>
              <w:gridCol w:w="779"/>
              <w:gridCol w:w="787"/>
              <w:gridCol w:w="970"/>
              <w:gridCol w:w="779"/>
              <w:gridCol w:w="1414"/>
            </w:tblGrid>
            <w:tr w14:paraId="07669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3" w:hRule="atLeast"/>
                <w:jc w:val="center"/>
              </w:trPr>
              <w:tc>
                <w:tcPr>
                  <w:tcW w:w="507" w:type="dxa"/>
                  <w:tcBorders>
                    <w:top w:val="nil"/>
                    <w:left w:val="nil"/>
                    <w:bottom w:val="nil"/>
                    <w:right w:val="nil"/>
                  </w:tcBorders>
                  <w:noWrap/>
                  <w:vAlign w:val="center"/>
                </w:tcPr>
                <w:p w14:paraId="5BA562BD">
                  <w:pPr>
                    <w:keepNext w:val="0"/>
                    <w:keepLines w:val="0"/>
                    <w:widowControl/>
                    <w:suppressLineNumbers w:val="0"/>
                    <w:spacing w:line="240" w:lineRule="auto"/>
                    <w:jc w:val="both"/>
                    <w:textAlignment w:val="center"/>
                    <w:rPr>
                      <w:rFonts w:hint="eastAsia" w:ascii="宋体" w:hAnsi="宋体" w:eastAsia="宋体" w:cs="宋体"/>
                      <w:b w:val="0"/>
                      <w:bCs w:val="0"/>
                      <w:i w:val="0"/>
                      <w:iCs w:val="0"/>
                      <w:color w:val="000000"/>
                      <w:kern w:val="0"/>
                      <w:sz w:val="24"/>
                      <w:szCs w:val="24"/>
                      <w:u w:val="none"/>
                      <w:lang w:val="en-US" w:eastAsia="zh-CN" w:bidi="ar"/>
                    </w:rPr>
                  </w:pPr>
                </w:p>
              </w:tc>
              <w:tc>
                <w:tcPr>
                  <w:tcW w:w="6232" w:type="dxa"/>
                  <w:gridSpan w:val="7"/>
                  <w:tcBorders>
                    <w:top w:val="nil"/>
                    <w:left w:val="nil"/>
                    <w:bottom w:val="nil"/>
                    <w:right w:val="nil"/>
                  </w:tcBorders>
                  <w:noWrap/>
                  <w:vAlign w:val="center"/>
                </w:tcPr>
                <w:p w14:paraId="1F70CF51">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榆林市“政采贷”业务办理银行联系表</w:t>
                  </w:r>
                </w:p>
              </w:tc>
            </w:tr>
            <w:tr w14:paraId="47111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jc w:val="center"/>
              </w:trPr>
              <w:tc>
                <w:tcPr>
                  <w:tcW w:w="507" w:type="dxa"/>
                  <w:tcBorders>
                    <w:top w:val="single" w:color="000000" w:sz="4" w:space="0"/>
                    <w:left w:val="single" w:color="000000" w:sz="4" w:space="0"/>
                    <w:bottom w:val="single" w:color="000000" w:sz="4" w:space="0"/>
                    <w:right w:val="single" w:color="000000" w:sz="4" w:space="0"/>
                  </w:tcBorders>
                  <w:noWrap/>
                  <w:vAlign w:val="center"/>
                </w:tcPr>
                <w:p w14:paraId="6747B75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序号</w:t>
                  </w:r>
                </w:p>
              </w:tc>
              <w:tc>
                <w:tcPr>
                  <w:tcW w:w="747" w:type="dxa"/>
                  <w:tcBorders>
                    <w:top w:val="single" w:color="000000" w:sz="4" w:space="0"/>
                    <w:left w:val="single" w:color="000000" w:sz="4" w:space="0"/>
                    <w:bottom w:val="single" w:color="000000" w:sz="4" w:space="0"/>
                    <w:right w:val="single" w:color="000000" w:sz="4" w:space="0"/>
                  </w:tcBorders>
                  <w:noWrap/>
                  <w:vAlign w:val="center"/>
                </w:tcPr>
                <w:p w14:paraId="67B6DB1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银行名称</w:t>
                  </w: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63CE167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产品名称</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105A697A">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贷款额度</w:t>
                  </w: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4341BEC4">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贷款期限</w:t>
                  </w:r>
                </w:p>
              </w:tc>
              <w:tc>
                <w:tcPr>
                  <w:tcW w:w="970" w:type="dxa"/>
                  <w:tcBorders>
                    <w:top w:val="single" w:color="000000" w:sz="4" w:space="0"/>
                    <w:left w:val="single" w:color="000000" w:sz="4" w:space="0"/>
                    <w:bottom w:val="single" w:color="000000" w:sz="4" w:space="0"/>
                    <w:right w:val="single" w:color="000000" w:sz="4" w:space="0"/>
                  </w:tcBorders>
                  <w:noWrap/>
                  <w:vAlign w:val="center"/>
                </w:tcPr>
                <w:p w14:paraId="162D7DC9">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贷款利率</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1300B1C3">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办理时效</w:t>
                  </w:r>
                </w:p>
              </w:tc>
              <w:tc>
                <w:tcPr>
                  <w:tcW w:w="1414" w:type="dxa"/>
                  <w:tcBorders>
                    <w:top w:val="single" w:color="000000" w:sz="4" w:space="0"/>
                    <w:left w:val="single" w:color="000000" w:sz="4" w:space="0"/>
                    <w:bottom w:val="single" w:color="000000" w:sz="4" w:space="0"/>
                    <w:right w:val="single" w:color="000000" w:sz="4" w:space="0"/>
                  </w:tcBorders>
                  <w:noWrap/>
                  <w:vAlign w:val="center"/>
                </w:tcPr>
                <w:p w14:paraId="5EE6E9C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联系人</w:t>
                  </w:r>
                </w:p>
              </w:tc>
            </w:tr>
            <w:tr w14:paraId="4CC6B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jc w:val="center"/>
              </w:trPr>
              <w:tc>
                <w:tcPr>
                  <w:tcW w:w="507" w:type="dxa"/>
                  <w:tcBorders>
                    <w:top w:val="single" w:color="000000" w:sz="4" w:space="0"/>
                    <w:left w:val="single" w:color="000000" w:sz="4" w:space="0"/>
                    <w:bottom w:val="single" w:color="000000" w:sz="4" w:space="0"/>
                    <w:right w:val="single" w:color="000000" w:sz="4" w:space="0"/>
                  </w:tcBorders>
                  <w:noWrap/>
                  <w:vAlign w:val="center"/>
                </w:tcPr>
                <w:p w14:paraId="031FCC88">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1</w:t>
                  </w:r>
                </w:p>
              </w:tc>
              <w:tc>
                <w:tcPr>
                  <w:tcW w:w="747" w:type="dxa"/>
                  <w:tcBorders>
                    <w:top w:val="single" w:color="000000" w:sz="4" w:space="0"/>
                    <w:left w:val="single" w:color="000000" w:sz="4" w:space="0"/>
                    <w:bottom w:val="single" w:color="000000" w:sz="4" w:space="0"/>
                    <w:right w:val="single" w:color="000000" w:sz="4" w:space="0"/>
                  </w:tcBorders>
                  <w:noWrap/>
                  <w:vAlign w:val="center"/>
                </w:tcPr>
                <w:p w14:paraId="0FC1778A">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长安银行</w:t>
                  </w: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1CD57D5E">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政采贷</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1620221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1000万元</w:t>
                  </w: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6A1A927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1-3年</w:t>
                  </w:r>
                </w:p>
              </w:tc>
              <w:tc>
                <w:tcPr>
                  <w:tcW w:w="970" w:type="dxa"/>
                  <w:tcBorders>
                    <w:top w:val="single" w:color="000000" w:sz="4" w:space="0"/>
                    <w:left w:val="single" w:color="000000" w:sz="4" w:space="0"/>
                    <w:bottom w:val="single" w:color="000000" w:sz="4" w:space="0"/>
                    <w:right w:val="single" w:color="000000" w:sz="4" w:space="0"/>
                  </w:tcBorders>
                  <w:noWrap/>
                  <w:vAlign w:val="center"/>
                </w:tcPr>
                <w:p w14:paraId="1E6526D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3.45%</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1B76750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72小时</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14:paraId="0875DBFC">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魏众15109123951</w:t>
                  </w:r>
                </w:p>
              </w:tc>
            </w:tr>
            <w:tr w14:paraId="7F475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jc w:val="center"/>
              </w:trPr>
              <w:tc>
                <w:tcPr>
                  <w:tcW w:w="507" w:type="dxa"/>
                  <w:tcBorders>
                    <w:top w:val="single" w:color="000000" w:sz="4" w:space="0"/>
                    <w:left w:val="single" w:color="000000" w:sz="4" w:space="0"/>
                    <w:bottom w:val="single" w:color="000000" w:sz="4" w:space="0"/>
                    <w:right w:val="single" w:color="000000" w:sz="4" w:space="0"/>
                  </w:tcBorders>
                  <w:noWrap/>
                  <w:vAlign w:val="center"/>
                </w:tcPr>
                <w:p w14:paraId="5E01676C">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2</w:t>
                  </w:r>
                </w:p>
              </w:tc>
              <w:tc>
                <w:tcPr>
                  <w:tcW w:w="747" w:type="dxa"/>
                  <w:tcBorders>
                    <w:top w:val="single" w:color="000000" w:sz="4" w:space="0"/>
                    <w:left w:val="single" w:color="000000" w:sz="4" w:space="0"/>
                    <w:bottom w:val="single" w:color="000000" w:sz="4" w:space="0"/>
                    <w:right w:val="single" w:color="000000" w:sz="4" w:space="0"/>
                  </w:tcBorders>
                  <w:noWrap/>
                  <w:vAlign w:val="center"/>
                </w:tcPr>
                <w:p w14:paraId="21CCD44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中信银行</w:t>
                  </w: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13AC032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政采E贷</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2BA5A258">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1000万元</w:t>
                  </w: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4D714F11">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1-3年</w:t>
                  </w:r>
                </w:p>
              </w:tc>
              <w:tc>
                <w:tcPr>
                  <w:tcW w:w="970" w:type="dxa"/>
                  <w:tcBorders>
                    <w:top w:val="single" w:color="000000" w:sz="4" w:space="0"/>
                    <w:left w:val="single" w:color="000000" w:sz="4" w:space="0"/>
                    <w:bottom w:val="single" w:color="000000" w:sz="4" w:space="0"/>
                    <w:right w:val="single" w:color="000000" w:sz="4" w:space="0"/>
                  </w:tcBorders>
                  <w:noWrap/>
                  <w:vAlign w:val="center"/>
                </w:tcPr>
                <w:p w14:paraId="76CCEB5E">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3.45%起</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44A56F33">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24小时</w:t>
                  </w:r>
                </w:p>
              </w:tc>
              <w:tc>
                <w:tcPr>
                  <w:tcW w:w="1414" w:type="dxa"/>
                  <w:tcBorders>
                    <w:top w:val="single" w:color="000000" w:sz="4" w:space="0"/>
                    <w:left w:val="single" w:color="000000" w:sz="4" w:space="0"/>
                    <w:bottom w:val="single" w:color="000000" w:sz="4" w:space="0"/>
                    <w:right w:val="single" w:color="000000" w:sz="4" w:space="0"/>
                  </w:tcBorders>
                  <w:noWrap/>
                  <w:vAlign w:val="center"/>
                </w:tcPr>
                <w:p w14:paraId="219568E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李靖15509125117</w:t>
                  </w:r>
                </w:p>
              </w:tc>
            </w:tr>
            <w:tr w14:paraId="6E980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jc w:val="center"/>
              </w:trPr>
              <w:tc>
                <w:tcPr>
                  <w:tcW w:w="507" w:type="dxa"/>
                  <w:tcBorders>
                    <w:top w:val="single" w:color="000000" w:sz="4" w:space="0"/>
                    <w:left w:val="single" w:color="000000" w:sz="4" w:space="0"/>
                    <w:bottom w:val="single" w:color="000000" w:sz="4" w:space="0"/>
                    <w:right w:val="single" w:color="000000" w:sz="4" w:space="0"/>
                  </w:tcBorders>
                  <w:noWrap/>
                  <w:vAlign w:val="center"/>
                </w:tcPr>
                <w:p w14:paraId="0F2E0BD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3</w:t>
                  </w:r>
                </w:p>
              </w:tc>
              <w:tc>
                <w:tcPr>
                  <w:tcW w:w="747" w:type="dxa"/>
                  <w:tcBorders>
                    <w:top w:val="single" w:color="000000" w:sz="4" w:space="0"/>
                    <w:left w:val="single" w:color="000000" w:sz="4" w:space="0"/>
                    <w:bottom w:val="single" w:color="000000" w:sz="4" w:space="0"/>
                    <w:right w:val="single" w:color="000000" w:sz="4" w:space="0"/>
                  </w:tcBorders>
                  <w:noWrap/>
                  <w:vAlign w:val="center"/>
                </w:tcPr>
                <w:p w14:paraId="06921D79">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光大银行</w:t>
                  </w: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14005509">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政采贷</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62340DBD">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1000万元</w:t>
                  </w: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3FA56599">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1-3年</w:t>
                  </w:r>
                </w:p>
              </w:tc>
              <w:tc>
                <w:tcPr>
                  <w:tcW w:w="970" w:type="dxa"/>
                  <w:tcBorders>
                    <w:top w:val="single" w:color="000000" w:sz="4" w:space="0"/>
                    <w:left w:val="single" w:color="000000" w:sz="4" w:space="0"/>
                    <w:bottom w:val="single" w:color="000000" w:sz="4" w:space="0"/>
                    <w:right w:val="single" w:color="000000" w:sz="4" w:space="0"/>
                  </w:tcBorders>
                  <w:noWrap/>
                  <w:vAlign w:val="center"/>
                </w:tcPr>
                <w:p w14:paraId="0A00ADFA">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3.45%</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15999CAC">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72小时</w:t>
                  </w:r>
                </w:p>
              </w:tc>
              <w:tc>
                <w:tcPr>
                  <w:tcW w:w="1414" w:type="dxa"/>
                  <w:tcBorders>
                    <w:top w:val="single" w:color="000000" w:sz="4" w:space="0"/>
                    <w:left w:val="single" w:color="000000" w:sz="4" w:space="0"/>
                    <w:bottom w:val="single" w:color="000000" w:sz="4" w:space="0"/>
                    <w:right w:val="single" w:color="000000" w:sz="4" w:space="0"/>
                  </w:tcBorders>
                  <w:noWrap/>
                  <w:vAlign w:val="center"/>
                </w:tcPr>
                <w:p w14:paraId="27DBDCA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刘波18809125468</w:t>
                  </w:r>
                </w:p>
              </w:tc>
            </w:tr>
            <w:tr w14:paraId="4B943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jc w:val="center"/>
              </w:trPr>
              <w:tc>
                <w:tcPr>
                  <w:tcW w:w="507" w:type="dxa"/>
                  <w:tcBorders>
                    <w:top w:val="single" w:color="000000" w:sz="4" w:space="0"/>
                    <w:left w:val="single" w:color="000000" w:sz="4" w:space="0"/>
                    <w:bottom w:val="single" w:color="000000" w:sz="4" w:space="0"/>
                    <w:right w:val="single" w:color="000000" w:sz="4" w:space="0"/>
                  </w:tcBorders>
                  <w:noWrap/>
                  <w:vAlign w:val="center"/>
                </w:tcPr>
                <w:p w14:paraId="69A57BCA">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4</w:t>
                  </w:r>
                </w:p>
              </w:tc>
              <w:tc>
                <w:tcPr>
                  <w:tcW w:w="747" w:type="dxa"/>
                  <w:tcBorders>
                    <w:top w:val="single" w:color="000000" w:sz="4" w:space="0"/>
                    <w:left w:val="single" w:color="000000" w:sz="4" w:space="0"/>
                    <w:bottom w:val="single" w:color="000000" w:sz="4" w:space="0"/>
                    <w:right w:val="single" w:color="000000" w:sz="4" w:space="0"/>
                  </w:tcBorders>
                  <w:noWrap/>
                  <w:vAlign w:val="center"/>
                </w:tcPr>
                <w:p w14:paraId="4E3EFF55">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交通银行</w:t>
                  </w: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458FEF25">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秦政贷</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755656D9">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1000万元</w:t>
                  </w: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0541CD0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1年</w:t>
                  </w:r>
                </w:p>
              </w:tc>
              <w:tc>
                <w:tcPr>
                  <w:tcW w:w="970" w:type="dxa"/>
                  <w:tcBorders>
                    <w:top w:val="single" w:color="000000" w:sz="4" w:space="0"/>
                    <w:left w:val="single" w:color="000000" w:sz="4" w:space="0"/>
                    <w:bottom w:val="single" w:color="000000" w:sz="4" w:space="0"/>
                    <w:right w:val="single" w:color="000000" w:sz="4" w:space="0"/>
                  </w:tcBorders>
                  <w:noWrap/>
                  <w:vAlign w:val="center"/>
                </w:tcPr>
                <w:p w14:paraId="57438EB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3.45%</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62EB578A">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24小时</w:t>
                  </w:r>
                </w:p>
              </w:tc>
              <w:tc>
                <w:tcPr>
                  <w:tcW w:w="1414" w:type="dxa"/>
                  <w:tcBorders>
                    <w:top w:val="single" w:color="000000" w:sz="4" w:space="0"/>
                    <w:left w:val="single" w:color="000000" w:sz="4" w:space="0"/>
                    <w:bottom w:val="single" w:color="000000" w:sz="4" w:space="0"/>
                    <w:right w:val="single" w:color="000000" w:sz="4" w:space="0"/>
                  </w:tcBorders>
                  <w:noWrap/>
                  <w:vAlign w:val="center"/>
                </w:tcPr>
                <w:p w14:paraId="3A589237">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张飞15291296886</w:t>
                  </w:r>
                </w:p>
              </w:tc>
            </w:tr>
            <w:tr w14:paraId="5CEBB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jc w:val="center"/>
              </w:trPr>
              <w:tc>
                <w:tcPr>
                  <w:tcW w:w="507" w:type="dxa"/>
                  <w:tcBorders>
                    <w:top w:val="single" w:color="000000" w:sz="4" w:space="0"/>
                    <w:left w:val="single" w:color="000000" w:sz="4" w:space="0"/>
                    <w:bottom w:val="single" w:color="000000" w:sz="4" w:space="0"/>
                    <w:right w:val="single" w:color="000000" w:sz="4" w:space="0"/>
                  </w:tcBorders>
                  <w:noWrap/>
                  <w:vAlign w:val="center"/>
                </w:tcPr>
                <w:p w14:paraId="44F9550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5</w:t>
                  </w:r>
                </w:p>
              </w:tc>
              <w:tc>
                <w:tcPr>
                  <w:tcW w:w="747" w:type="dxa"/>
                  <w:tcBorders>
                    <w:top w:val="single" w:color="000000" w:sz="4" w:space="0"/>
                    <w:left w:val="single" w:color="000000" w:sz="4" w:space="0"/>
                    <w:bottom w:val="single" w:color="000000" w:sz="4" w:space="0"/>
                    <w:right w:val="single" w:color="000000" w:sz="4" w:space="0"/>
                  </w:tcBorders>
                  <w:noWrap/>
                  <w:vAlign w:val="center"/>
                </w:tcPr>
                <w:p w14:paraId="2D4AE6E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中国银行</w:t>
                  </w: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0A1A8891">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政采贷</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15C3AEDC">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1000万元</w:t>
                  </w: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4D3F7D41">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1-3年</w:t>
                  </w:r>
                </w:p>
              </w:tc>
              <w:tc>
                <w:tcPr>
                  <w:tcW w:w="970" w:type="dxa"/>
                  <w:tcBorders>
                    <w:top w:val="single" w:color="000000" w:sz="4" w:space="0"/>
                    <w:left w:val="single" w:color="000000" w:sz="4" w:space="0"/>
                    <w:bottom w:val="single" w:color="000000" w:sz="4" w:space="0"/>
                    <w:right w:val="single" w:color="000000" w:sz="4" w:space="0"/>
                  </w:tcBorders>
                  <w:noWrap/>
                  <w:vAlign w:val="center"/>
                </w:tcPr>
                <w:p w14:paraId="4F046298">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3.45%</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2914EF7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72小时</w:t>
                  </w:r>
                </w:p>
              </w:tc>
              <w:tc>
                <w:tcPr>
                  <w:tcW w:w="1414" w:type="dxa"/>
                  <w:tcBorders>
                    <w:top w:val="single" w:color="000000" w:sz="4" w:space="0"/>
                    <w:left w:val="single" w:color="000000" w:sz="4" w:space="0"/>
                    <w:bottom w:val="single" w:color="000000" w:sz="4" w:space="0"/>
                    <w:right w:val="single" w:color="000000" w:sz="4" w:space="0"/>
                  </w:tcBorders>
                  <w:noWrap w:val="0"/>
                  <w:vAlign w:val="center"/>
                </w:tcPr>
                <w:p w14:paraId="45AF5BD7">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李浩18691230007</w:t>
                  </w:r>
                </w:p>
              </w:tc>
            </w:tr>
            <w:tr w14:paraId="2C7BD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jc w:val="center"/>
              </w:trPr>
              <w:tc>
                <w:tcPr>
                  <w:tcW w:w="507" w:type="dxa"/>
                  <w:tcBorders>
                    <w:top w:val="single" w:color="000000" w:sz="4" w:space="0"/>
                    <w:left w:val="single" w:color="000000" w:sz="4" w:space="0"/>
                    <w:bottom w:val="single" w:color="000000" w:sz="4" w:space="0"/>
                    <w:right w:val="single" w:color="000000" w:sz="4" w:space="0"/>
                  </w:tcBorders>
                  <w:noWrap/>
                  <w:vAlign w:val="center"/>
                </w:tcPr>
                <w:p w14:paraId="35E73301">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6</w:t>
                  </w:r>
                </w:p>
              </w:tc>
              <w:tc>
                <w:tcPr>
                  <w:tcW w:w="747" w:type="dxa"/>
                  <w:tcBorders>
                    <w:top w:val="single" w:color="000000" w:sz="4" w:space="0"/>
                    <w:left w:val="single" w:color="000000" w:sz="4" w:space="0"/>
                    <w:bottom w:val="single" w:color="000000" w:sz="4" w:space="0"/>
                    <w:right w:val="single" w:color="000000" w:sz="4" w:space="0"/>
                  </w:tcBorders>
                  <w:noWrap/>
                  <w:vAlign w:val="center"/>
                </w:tcPr>
                <w:p w14:paraId="15A4ED71">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招商银行</w:t>
                  </w: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75473109">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政采贷</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5C8255B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3000万元</w:t>
                  </w: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12CD6573">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1-3年</w:t>
                  </w:r>
                </w:p>
              </w:tc>
              <w:tc>
                <w:tcPr>
                  <w:tcW w:w="970" w:type="dxa"/>
                  <w:tcBorders>
                    <w:top w:val="single" w:color="000000" w:sz="4" w:space="0"/>
                    <w:left w:val="single" w:color="000000" w:sz="4" w:space="0"/>
                    <w:bottom w:val="single" w:color="000000" w:sz="4" w:space="0"/>
                    <w:right w:val="single" w:color="000000" w:sz="4" w:space="0"/>
                  </w:tcBorders>
                  <w:noWrap/>
                  <w:vAlign w:val="center"/>
                </w:tcPr>
                <w:p w14:paraId="7A34E367">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3.45%起</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00FF88B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24小时</w:t>
                  </w:r>
                </w:p>
              </w:tc>
              <w:tc>
                <w:tcPr>
                  <w:tcW w:w="1414" w:type="dxa"/>
                  <w:tcBorders>
                    <w:top w:val="single" w:color="000000" w:sz="4" w:space="0"/>
                    <w:left w:val="single" w:color="000000" w:sz="4" w:space="0"/>
                    <w:bottom w:val="single" w:color="000000" w:sz="4" w:space="0"/>
                    <w:right w:val="single" w:color="000000" w:sz="4" w:space="0"/>
                  </w:tcBorders>
                  <w:noWrap/>
                  <w:vAlign w:val="center"/>
                </w:tcPr>
                <w:p w14:paraId="61AF6FF5">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马烨15596100007</w:t>
                  </w:r>
                </w:p>
              </w:tc>
            </w:tr>
            <w:tr w14:paraId="23D45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jc w:val="center"/>
              </w:trPr>
              <w:tc>
                <w:tcPr>
                  <w:tcW w:w="507" w:type="dxa"/>
                  <w:tcBorders>
                    <w:top w:val="single" w:color="000000" w:sz="4" w:space="0"/>
                    <w:left w:val="single" w:color="000000" w:sz="4" w:space="0"/>
                    <w:bottom w:val="single" w:color="000000" w:sz="4" w:space="0"/>
                    <w:right w:val="single" w:color="000000" w:sz="4" w:space="0"/>
                  </w:tcBorders>
                  <w:noWrap/>
                  <w:vAlign w:val="center"/>
                </w:tcPr>
                <w:p w14:paraId="427E0F0A">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7</w:t>
                  </w:r>
                </w:p>
              </w:tc>
              <w:tc>
                <w:tcPr>
                  <w:tcW w:w="747" w:type="dxa"/>
                  <w:tcBorders>
                    <w:top w:val="single" w:color="000000" w:sz="4" w:space="0"/>
                    <w:left w:val="single" w:color="000000" w:sz="4" w:space="0"/>
                    <w:bottom w:val="single" w:color="000000" w:sz="4" w:space="0"/>
                    <w:right w:val="single" w:color="000000" w:sz="4" w:space="0"/>
                  </w:tcBorders>
                  <w:noWrap/>
                  <w:vAlign w:val="center"/>
                </w:tcPr>
                <w:p w14:paraId="2B3C9BE1">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浦发银行</w:t>
                  </w: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1E97336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政采E贷</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7F419B05">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2000万元</w:t>
                  </w: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1E39B99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1年</w:t>
                  </w:r>
                </w:p>
              </w:tc>
              <w:tc>
                <w:tcPr>
                  <w:tcW w:w="970" w:type="dxa"/>
                  <w:tcBorders>
                    <w:top w:val="single" w:color="000000" w:sz="4" w:space="0"/>
                    <w:left w:val="single" w:color="000000" w:sz="4" w:space="0"/>
                    <w:bottom w:val="single" w:color="000000" w:sz="4" w:space="0"/>
                    <w:right w:val="single" w:color="000000" w:sz="4" w:space="0"/>
                  </w:tcBorders>
                  <w:noWrap/>
                  <w:vAlign w:val="center"/>
                </w:tcPr>
                <w:p w14:paraId="352439EF">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lang w:val="en-US"/>
                    </w:rPr>
                  </w:pPr>
                  <w:r>
                    <w:rPr>
                      <w:rFonts w:hint="eastAsia" w:ascii="宋体" w:hAnsi="宋体" w:eastAsia="宋体" w:cs="宋体"/>
                      <w:b w:val="0"/>
                      <w:bCs w:val="0"/>
                      <w:i w:val="0"/>
                      <w:iCs w:val="0"/>
                      <w:color w:val="000000"/>
                      <w:kern w:val="0"/>
                      <w:sz w:val="24"/>
                      <w:szCs w:val="24"/>
                      <w:u w:val="none"/>
                      <w:lang w:val="en-US" w:eastAsia="zh-CN" w:bidi="ar"/>
                    </w:rPr>
                    <w:t>3.8%</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0A1BDC5D">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72小时</w:t>
                  </w:r>
                </w:p>
              </w:tc>
              <w:tc>
                <w:tcPr>
                  <w:tcW w:w="1414" w:type="dxa"/>
                  <w:tcBorders>
                    <w:top w:val="single" w:color="000000" w:sz="4" w:space="0"/>
                    <w:left w:val="single" w:color="000000" w:sz="4" w:space="0"/>
                    <w:bottom w:val="single" w:color="000000" w:sz="4" w:space="0"/>
                    <w:right w:val="single" w:color="000000" w:sz="4" w:space="0"/>
                  </w:tcBorders>
                  <w:noWrap/>
                  <w:vAlign w:val="center"/>
                </w:tcPr>
                <w:p w14:paraId="7EF76413">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朱君15629169158</w:t>
                  </w:r>
                </w:p>
              </w:tc>
            </w:tr>
            <w:tr w14:paraId="3C6EC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jc w:val="center"/>
              </w:trPr>
              <w:tc>
                <w:tcPr>
                  <w:tcW w:w="507" w:type="dxa"/>
                  <w:tcBorders>
                    <w:top w:val="single" w:color="000000" w:sz="4" w:space="0"/>
                    <w:left w:val="single" w:color="000000" w:sz="4" w:space="0"/>
                    <w:bottom w:val="single" w:color="000000" w:sz="4" w:space="0"/>
                    <w:right w:val="single" w:color="000000" w:sz="4" w:space="0"/>
                  </w:tcBorders>
                  <w:noWrap/>
                  <w:vAlign w:val="center"/>
                </w:tcPr>
                <w:p w14:paraId="76C5A047">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8</w:t>
                  </w:r>
                </w:p>
              </w:tc>
              <w:tc>
                <w:tcPr>
                  <w:tcW w:w="747" w:type="dxa"/>
                  <w:tcBorders>
                    <w:top w:val="single" w:color="000000" w:sz="4" w:space="0"/>
                    <w:left w:val="single" w:color="000000" w:sz="4" w:space="0"/>
                    <w:bottom w:val="single" w:color="000000" w:sz="4" w:space="0"/>
                    <w:right w:val="single" w:color="000000" w:sz="4" w:space="0"/>
                  </w:tcBorders>
                  <w:noWrap/>
                  <w:vAlign w:val="center"/>
                </w:tcPr>
                <w:p w14:paraId="38F20201">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农商银行</w:t>
                  </w: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0D202BEC">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政采贷</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2FC1E56C">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1000万元</w:t>
                  </w: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765A19A9">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1-2年</w:t>
                  </w:r>
                </w:p>
              </w:tc>
              <w:tc>
                <w:tcPr>
                  <w:tcW w:w="970" w:type="dxa"/>
                  <w:tcBorders>
                    <w:top w:val="single" w:color="000000" w:sz="4" w:space="0"/>
                    <w:left w:val="single" w:color="000000" w:sz="4" w:space="0"/>
                    <w:bottom w:val="single" w:color="000000" w:sz="4" w:space="0"/>
                    <w:right w:val="single" w:color="000000" w:sz="4" w:space="0"/>
                  </w:tcBorders>
                  <w:noWrap/>
                  <w:vAlign w:val="center"/>
                </w:tcPr>
                <w:p w14:paraId="585703FE">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3.45%-5.8%</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1F597DDA">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24小时</w:t>
                  </w:r>
                </w:p>
              </w:tc>
              <w:tc>
                <w:tcPr>
                  <w:tcW w:w="1414" w:type="dxa"/>
                  <w:tcBorders>
                    <w:top w:val="single" w:color="000000" w:sz="4" w:space="0"/>
                    <w:left w:val="single" w:color="000000" w:sz="4" w:space="0"/>
                    <w:bottom w:val="single" w:color="000000" w:sz="4" w:space="0"/>
                    <w:right w:val="single" w:color="000000" w:sz="4" w:space="0"/>
                  </w:tcBorders>
                  <w:noWrap/>
                  <w:vAlign w:val="center"/>
                </w:tcPr>
                <w:p w14:paraId="0AB80BDD">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王璐15529875056</w:t>
                  </w:r>
                </w:p>
              </w:tc>
            </w:tr>
            <w:tr w14:paraId="73844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jc w:val="center"/>
              </w:trPr>
              <w:tc>
                <w:tcPr>
                  <w:tcW w:w="507" w:type="dxa"/>
                  <w:tcBorders>
                    <w:top w:val="single" w:color="000000" w:sz="4" w:space="0"/>
                    <w:left w:val="single" w:color="000000" w:sz="4" w:space="0"/>
                    <w:bottom w:val="single" w:color="000000" w:sz="4" w:space="0"/>
                    <w:right w:val="single" w:color="000000" w:sz="4" w:space="0"/>
                  </w:tcBorders>
                  <w:noWrap/>
                  <w:vAlign w:val="center"/>
                </w:tcPr>
                <w:p w14:paraId="0F4EA031">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9</w:t>
                  </w:r>
                </w:p>
              </w:tc>
              <w:tc>
                <w:tcPr>
                  <w:tcW w:w="747" w:type="dxa"/>
                  <w:tcBorders>
                    <w:top w:val="single" w:color="000000" w:sz="4" w:space="0"/>
                    <w:left w:val="single" w:color="000000" w:sz="4" w:space="0"/>
                    <w:bottom w:val="single" w:color="000000" w:sz="4" w:space="0"/>
                    <w:right w:val="single" w:color="000000" w:sz="4" w:space="0"/>
                  </w:tcBorders>
                  <w:noWrap/>
                  <w:vAlign w:val="center"/>
                </w:tcPr>
                <w:p w14:paraId="656D3E09">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农业银行</w:t>
                  </w: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45375652">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政采贷</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4A453935">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3000万元</w:t>
                  </w: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7165C50E">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1年</w:t>
                  </w:r>
                </w:p>
              </w:tc>
              <w:tc>
                <w:tcPr>
                  <w:tcW w:w="970" w:type="dxa"/>
                  <w:tcBorders>
                    <w:top w:val="single" w:color="000000" w:sz="4" w:space="0"/>
                    <w:left w:val="single" w:color="000000" w:sz="4" w:space="0"/>
                    <w:bottom w:val="single" w:color="000000" w:sz="4" w:space="0"/>
                    <w:right w:val="single" w:color="000000" w:sz="4" w:space="0"/>
                  </w:tcBorders>
                  <w:noWrap/>
                  <w:vAlign w:val="center"/>
                </w:tcPr>
                <w:p w14:paraId="75FD6CFD">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3.45%-3.85%</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7251CFF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24小时</w:t>
                  </w:r>
                </w:p>
              </w:tc>
              <w:tc>
                <w:tcPr>
                  <w:tcW w:w="1414" w:type="dxa"/>
                  <w:tcBorders>
                    <w:top w:val="single" w:color="000000" w:sz="4" w:space="0"/>
                    <w:left w:val="single" w:color="000000" w:sz="4" w:space="0"/>
                    <w:bottom w:val="single" w:color="000000" w:sz="4" w:space="0"/>
                    <w:right w:val="single" w:color="000000" w:sz="4" w:space="0"/>
                  </w:tcBorders>
                  <w:noWrap/>
                  <w:vAlign w:val="center"/>
                </w:tcPr>
                <w:p w14:paraId="7D75AFC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杨尧13325409313</w:t>
                  </w:r>
                </w:p>
              </w:tc>
            </w:tr>
            <w:tr w14:paraId="05E80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2" w:hRule="atLeast"/>
                <w:jc w:val="center"/>
              </w:trPr>
              <w:tc>
                <w:tcPr>
                  <w:tcW w:w="507" w:type="dxa"/>
                  <w:tcBorders>
                    <w:top w:val="single" w:color="000000" w:sz="4" w:space="0"/>
                    <w:left w:val="single" w:color="000000" w:sz="4" w:space="0"/>
                    <w:bottom w:val="single" w:color="000000" w:sz="4" w:space="0"/>
                    <w:right w:val="single" w:color="000000" w:sz="4" w:space="0"/>
                  </w:tcBorders>
                  <w:noWrap/>
                  <w:vAlign w:val="center"/>
                </w:tcPr>
                <w:p w14:paraId="696BD08C">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10</w:t>
                  </w:r>
                </w:p>
              </w:tc>
              <w:tc>
                <w:tcPr>
                  <w:tcW w:w="747" w:type="dxa"/>
                  <w:tcBorders>
                    <w:top w:val="single" w:color="000000" w:sz="4" w:space="0"/>
                    <w:left w:val="single" w:color="000000" w:sz="4" w:space="0"/>
                    <w:bottom w:val="single" w:color="000000" w:sz="4" w:space="0"/>
                    <w:right w:val="single" w:color="000000" w:sz="4" w:space="0"/>
                  </w:tcBorders>
                  <w:noWrap/>
                  <w:vAlign w:val="center"/>
                </w:tcPr>
                <w:p w14:paraId="0229A7EC">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民生银行</w:t>
                  </w: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13DB6F4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政采E贷</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0463BC4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3000万元</w:t>
                  </w:r>
                </w:p>
              </w:tc>
              <w:tc>
                <w:tcPr>
                  <w:tcW w:w="787" w:type="dxa"/>
                  <w:tcBorders>
                    <w:top w:val="single" w:color="000000" w:sz="4" w:space="0"/>
                    <w:left w:val="single" w:color="000000" w:sz="4" w:space="0"/>
                    <w:bottom w:val="single" w:color="000000" w:sz="4" w:space="0"/>
                    <w:right w:val="single" w:color="000000" w:sz="4" w:space="0"/>
                  </w:tcBorders>
                  <w:noWrap/>
                  <w:vAlign w:val="center"/>
                </w:tcPr>
                <w:p w14:paraId="13228F9D">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1年</w:t>
                  </w:r>
                </w:p>
              </w:tc>
              <w:tc>
                <w:tcPr>
                  <w:tcW w:w="970" w:type="dxa"/>
                  <w:tcBorders>
                    <w:top w:val="single" w:color="000000" w:sz="4" w:space="0"/>
                    <w:left w:val="single" w:color="000000" w:sz="4" w:space="0"/>
                    <w:bottom w:val="single" w:color="000000" w:sz="4" w:space="0"/>
                    <w:right w:val="single" w:color="000000" w:sz="4" w:space="0"/>
                  </w:tcBorders>
                  <w:noWrap/>
                  <w:vAlign w:val="center"/>
                </w:tcPr>
                <w:p w14:paraId="3C2B347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3.45%起</w:t>
                  </w:r>
                </w:p>
              </w:tc>
              <w:tc>
                <w:tcPr>
                  <w:tcW w:w="779" w:type="dxa"/>
                  <w:tcBorders>
                    <w:top w:val="single" w:color="000000" w:sz="4" w:space="0"/>
                    <w:left w:val="single" w:color="000000" w:sz="4" w:space="0"/>
                    <w:bottom w:val="single" w:color="000000" w:sz="4" w:space="0"/>
                    <w:right w:val="single" w:color="000000" w:sz="4" w:space="0"/>
                  </w:tcBorders>
                  <w:noWrap/>
                  <w:vAlign w:val="center"/>
                </w:tcPr>
                <w:p w14:paraId="6E3AE0C5">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24小时</w:t>
                  </w:r>
                </w:p>
              </w:tc>
              <w:tc>
                <w:tcPr>
                  <w:tcW w:w="1414" w:type="dxa"/>
                  <w:tcBorders>
                    <w:top w:val="single" w:color="000000" w:sz="4" w:space="0"/>
                    <w:left w:val="single" w:color="000000" w:sz="4" w:space="0"/>
                    <w:bottom w:val="single" w:color="000000" w:sz="4" w:space="0"/>
                    <w:right w:val="single" w:color="000000" w:sz="4" w:space="0"/>
                  </w:tcBorders>
                  <w:noWrap/>
                  <w:vAlign w:val="center"/>
                </w:tcPr>
                <w:p w14:paraId="5D99C563">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郝双双15991225850</w:t>
                  </w:r>
                </w:p>
              </w:tc>
            </w:tr>
          </w:tbl>
          <w:p w14:paraId="4BAD5619">
            <w:pPr>
              <w:ind w:firstLine="480" w:firstLineChars="200"/>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sz w:val="24"/>
                <w:szCs w:val="24"/>
              </w:rPr>
              <w:t>为了进一步推动金融支持政策更好适应市场主体的需要，扎实落实国务院关于支持中小企业发展的政策措施，积极发挥政府采购政策功能，有效缓解中小企业融资难、融资贵问题，根据中办</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国办《关于促进中小企业健康发展的指导意见》、财政部</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工信部《政府采购促进中小企业发展</w:t>
            </w:r>
            <w:r>
              <w:rPr>
                <w:rFonts w:hint="eastAsia" w:ascii="宋体" w:hAnsi="宋体" w:eastAsia="宋体" w:cs="宋体"/>
                <w:b w:val="0"/>
                <w:bCs w:val="0"/>
                <w:sz w:val="24"/>
                <w:szCs w:val="24"/>
                <w:lang w:val="en-US" w:eastAsia="zh-CN"/>
              </w:rPr>
              <w:t>管理</w:t>
            </w:r>
            <w:r>
              <w:rPr>
                <w:rFonts w:hint="eastAsia" w:ascii="宋体" w:hAnsi="宋体" w:eastAsia="宋体" w:cs="宋体"/>
                <w:b w:val="0"/>
                <w:bCs w:val="0"/>
                <w:sz w:val="24"/>
                <w:szCs w:val="24"/>
              </w:rPr>
              <w:t>办法》（财库〔20</w:t>
            </w:r>
            <w:r>
              <w:rPr>
                <w:rFonts w:hint="eastAsia" w:ascii="宋体" w:hAnsi="宋体" w:eastAsia="宋体" w:cs="宋体"/>
                <w:b w:val="0"/>
                <w:bCs w:val="0"/>
                <w:sz w:val="24"/>
                <w:szCs w:val="24"/>
                <w:lang w:val="en-US" w:eastAsia="zh-CN"/>
              </w:rPr>
              <w:t>20</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46</w:t>
            </w:r>
            <w:r>
              <w:rPr>
                <w:rFonts w:hint="eastAsia" w:ascii="宋体" w:hAnsi="宋体" w:eastAsia="宋体" w:cs="宋体"/>
                <w:b w:val="0"/>
                <w:bCs w:val="0"/>
                <w:sz w:val="24"/>
                <w:szCs w:val="24"/>
              </w:rPr>
              <w:t>号）、《陕西省中小企业政府采购信用融资办法》（陕财办采〔2018〕23号）、《陕西省财政厅关于加快推进我省中小企业政府采购信用融资工作的通知》（陕财办采〔2020〕15号）</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《陕西省财政厅 中国人民银行西安分行关于深入推进政府采购信用融资业务的通知》</w:t>
            </w:r>
            <w:r>
              <w:rPr>
                <w:rFonts w:hint="eastAsia" w:ascii="宋体" w:hAnsi="宋体" w:eastAsia="宋体" w:cs="宋体"/>
                <w:b w:val="0"/>
                <w:bCs w:val="0"/>
                <w:sz w:val="24"/>
                <w:szCs w:val="24"/>
              </w:rPr>
              <w:t>（陕财办采〔202</w:t>
            </w:r>
            <w:r>
              <w:rPr>
                <w:rFonts w:hint="eastAsia" w:ascii="宋体" w:hAnsi="宋体" w:eastAsia="宋体" w:cs="宋体"/>
                <w:b w:val="0"/>
                <w:bCs w:val="0"/>
                <w:sz w:val="24"/>
                <w:szCs w:val="24"/>
                <w:lang w:val="en-US" w:eastAsia="zh-CN"/>
              </w:rPr>
              <w:t>3</w:t>
            </w:r>
            <w:r>
              <w:rPr>
                <w:rFonts w:hint="eastAsia" w:ascii="宋体" w:hAnsi="宋体" w:eastAsia="宋体" w:cs="宋体"/>
                <w:b w:val="0"/>
                <w:bCs w:val="0"/>
                <w:sz w:val="24"/>
                <w:szCs w:val="24"/>
              </w:rPr>
              <w:t>〕5号）等有关规定，按照</w:t>
            </w:r>
            <w:r>
              <w:rPr>
                <w:rFonts w:hint="eastAsia" w:ascii="宋体" w:hAnsi="宋体" w:eastAsia="宋体" w:cs="宋体"/>
                <w:b w:val="0"/>
                <w:bCs w:val="0"/>
                <w:sz w:val="24"/>
                <w:szCs w:val="24"/>
                <w:lang w:val="en-US" w:eastAsia="zh-CN"/>
              </w:rPr>
              <w:t>政府</w:t>
            </w:r>
            <w:r>
              <w:rPr>
                <w:rFonts w:hint="eastAsia" w:ascii="宋体" w:hAnsi="宋体" w:eastAsia="宋体" w:cs="宋体"/>
                <w:b w:val="0"/>
                <w:bCs w:val="0"/>
                <w:sz w:val="24"/>
                <w:szCs w:val="24"/>
              </w:rPr>
              <w:t>引导、</w:t>
            </w:r>
            <w:r>
              <w:rPr>
                <w:rFonts w:hint="eastAsia" w:ascii="宋体" w:hAnsi="宋体" w:eastAsia="宋体" w:cs="宋体"/>
                <w:b w:val="0"/>
                <w:bCs w:val="0"/>
                <w:sz w:val="24"/>
                <w:szCs w:val="24"/>
                <w:lang w:val="en-US" w:eastAsia="zh-CN"/>
              </w:rPr>
              <w:t>市场运作、银企</w:t>
            </w:r>
            <w:r>
              <w:rPr>
                <w:rFonts w:hint="eastAsia" w:ascii="宋体" w:hAnsi="宋体" w:eastAsia="宋体" w:cs="宋体"/>
                <w:b w:val="0"/>
                <w:bCs w:val="0"/>
                <w:sz w:val="24"/>
                <w:szCs w:val="24"/>
              </w:rPr>
              <w:t>自愿、风险自担的原则，中标（成交）供应商可根据自身资金需求，登录陕西省政府采购信用融资平台</w:t>
            </w:r>
            <w:r>
              <w:rPr>
                <w:rFonts w:hint="eastAsia" w:ascii="宋体" w:hAnsi="宋体" w:eastAsia="宋体" w:cs="宋体"/>
                <w:b w:val="0"/>
                <w:bCs w:val="0"/>
                <w:spacing w:val="-6"/>
                <w:sz w:val="24"/>
                <w:szCs w:val="24"/>
              </w:rPr>
              <w:t>（http://www.ccgp-shaanxi.gov.cn/zcdservice/zcd/shanxi/）</w:t>
            </w:r>
            <w:r>
              <w:rPr>
                <w:rFonts w:hint="eastAsia" w:ascii="宋体" w:hAnsi="宋体" w:eastAsia="宋体" w:cs="宋体"/>
                <w:b w:val="0"/>
                <w:bCs w:val="0"/>
                <w:sz w:val="24"/>
                <w:szCs w:val="24"/>
                <w:lang w:val="en-US" w:eastAsia="zh-CN"/>
              </w:rPr>
              <w:t>或中征平台（https://www.crcrfsp.com）</w:t>
            </w:r>
            <w:r>
              <w:rPr>
                <w:rFonts w:hint="eastAsia" w:ascii="宋体" w:hAnsi="宋体" w:eastAsia="宋体" w:cs="宋体"/>
                <w:b w:val="0"/>
                <w:bCs w:val="0"/>
                <w:sz w:val="24"/>
                <w:szCs w:val="24"/>
              </w:rPr>
              <w:t>在线申请，依法参加政府采购信用融资活动。</w:t>
            </w:r>
          </w:p>
          <w:p w14:paraId="405AD825">
            <w:pPr>
              <w:pageBreakBefore w:val="0"/>
              <w:kinsoku/>
              <w:wordWrap/>
              <w:overflowPunct/>
              <w:autoSpaceDE/>
              <w:autoSpaceDN/>
              <w:bidi w:val="0"/>
              <w:adjustRightInd w:val="0"/>
              <w:snapToGrid w:val="0"/>
              <w:spacing w:before="120" w:line="240" w:lineRule="auto"/>
              <w:jc w:val="left"/>
              <w:rPr>
                <w:rFonts w:hint="eastAsia" w:ascii="宋体" w:hAnsi="宋体" w:eastAsia="宋体" w:cs="宋体"/>
                <w:sz w:val="24"/>
                <w:szCs w:val="24"/>
                <w:lang w:val="en-US" w:eastAsia="zh-CN" w:bidi="ar-SA"/>
              </w:rPr>
            </w:pPr>
            <w:r>
              <w:rPr>
                <w:rFonts w:hint="eastAsia" w:ascii="宋体" w:hAnsi="宋体" w:eastAsia="宋体" w:cs="宋体"/>
                <w:b w:val="0"/>
                <w:bCs w:val="0"/>
                <w:i w:val="0"/>
                <w:iCs w:val="0"/>
                <w:color w:val="000000"/>
                <w:kern w:val="0"/>
                <w:sz w:val="24"/>
                <w:szCs w:val="24"/>
                <w:u w:val="none"/>
                <w:lang w:val="en-US" w:eastAsia="zh-CN" w:bidi="ar"/>
              </w:rPr>
              <w:t>备注：银行排名不分先后。如产品额度、期限、利率等内容发生改变，以银行解释为准。</w:t>
            </w:r>
          </w:p>
        </w:tc>
      </w:tr>
    </w:tbl>
    <w:p w14:paraId="67F38C92">
      <w:pPr>
        <w:widowControl/>
        <w:jc w:val="left"/>
        <w:rPr>
          <w:rFonts w:hAnsi="宋体" w:cs="宋体"/>
          <w:b/>
          <w:kern w:val="2"/>
          <w:sz w:val="21"/>
          <w:szCs w:val="21"/>
        </w:rPr>
      </w:pPr>
      <w:r>
        <w:rPr>
          <w:rFonts w:hAnsi="宋体" w:cs="宋体"/>
          <w:b/>
          <w:sz w:val="21"/>
          <w:szCs w:val="21"/>
        </w:rPr>
        <w:br w:type="page"/>
      </w:r>
    </w:p>
    <w:p w14:paraId="3C387EF9">
      <w:pPr>
        <w:pStyle w:val="19"/>
        <w:spacing w:after="0" w:line="288" w:lineRule="auto"/>
        <w:ind w:firstLine="602" w:firstLineChars="200"/>
        <w:jc w:val="center"/>
        <w:outlineLvl w:val="1"/>
        <w:rPr>
          <w:rFonts w:ascii="宋体" w:hAnsi="宋体" w:cs="宋体"/>
          <w:b/>
          <w:sz w:val="21"/>
          <w:szCs w:val="21"/>
        </w:rPr>
      </w:pPr>
      <w:r>
        <w:rPr>
          <w:rFonts w:hint="eastAsia" w:ascii="宋体" w:hAnsi="宋体" w:cs="宋体"/>
          <w:b/>
          <w:sz w:val="30"/>
          <w:szCs w:val="30"/>
        </w:rPr>
        <w:t>总则</w:t>
      </w:r>
      <w:bookmarkEnd w:id="5"/>
    </w:p>
    <w:p w14:paraId="3FD37BE2">
      <w:pPr>
        <w:pStyle w:val="19"/>
        <w:spacing w:after="0" w:line="288" w:lineRule="auto"/>
        <w:ind w:firstLine="0" w:firstLineChars="0"/>
        <w:jc w:val="left"/>
        <w:outlineLvl w:val="1"/>
        <w:rPr>
          <w:rFonts w:hint="eastAsia" w:ascii="宋体" w:hAnsi="宋体" w:eastAsia="宋体" w:cs="宋体"/>
          <w:b/>
          <w:sz w:val="24"/>
          <w:szCs w:val="24"/>
        </w:rPr>
      </w:pPr>
      <w:bookmarkStart w:id="6" w:name="_Toc32004"/>
      <w:r>
        <w:rPr>
          <w:rFonts w:hint="eastAsia" w:ascii="宋体" w:hAnsi="宋体" w:eastAsia="宋体" w:cs="宋体"/>
          <w:b/>
          <w:sz w:val="24"/>
          <w:szCs w:val="24"/>
        </w:rPr>
        <w:t>一、定义</w:t>
      </w:r>
      <w:bookmarkEnd w:id="6"/>
    </w:p>
    <w:p w14:paraId="6C1013F8">
      <w:pPr>
        <w:ind w:firstLine="240" w:firstLineChars="100"/>
        <w:rPr>
          <w:rFonts w:hint="eastAsia" w:ascii="宋体" w:hAnsi="宋体" w:eastAsia="宋体" w:cs="宋体"/>
          <w:sz w:val="24"/>
          <w:szCs w:val="24"/>
          <w:lang w:eastAsia="zh-CN"/>
        </w:rPr>
      </w:pPr>
      <w:bookmarkStart w:id="7" w:name="_Toc17787"/>
      <w:r>
        <w:rPr>
          <w:rFonts w:hint="eastAsia" w:ascii="宋体" w:hAnsi="宋体" w:eastAsia="宋体" w:cs="宋体"/>
          <w:sz w:val="24"/>
          <w:szCs w:val="24"/>
        </w:rPr>
        <w:t>（一）采购人：</w:t>
      </w:r>
      <w:bookmarkEnd w:id="7"/>
      <w:r>
        <w:rPr>
          <w:rFonts w:hint="eastAsia" w:hAnsi="宋体" w:cs="宋体"/>
          <w:sz w:val="24"/>
          <w:szCs w:val="24"/>
          <w:lang w:eastAsia="zh-CN"/>
        </w:rPr>
        <w:t>榆林市交通运输局</w:t>
      </w:r>
    </w:p>
    <w:p w14:paraId="3DF9AA1F">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（二）监管部门：</w:t>
      </w:r>
      <w:r>
        <w:rPr>
          <w:rFonts w:hint="eastAsia" w:hAnsi="宋体" w:cs="宋体"/>
          <w:sz w:val="24"/>
          <w:szCs w:val="24"/>
          <w:lang w:val="en-US" w:eastAsia="zh-CN"/>
        </w:rPr>
        <w:t>榆林市财政局</w:t>
      </w:r>
    </w:p>
    <w:p w14:paraId="7C766DFF">
      <w:pPr>
        <w:spacing w:line="288"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rPr>
        <w:t>（三）采购代理机构：</w:t>
      </w:r>
      <w:r>
        <w:rPr>
          <w:rFonts w:hint="eastAsia" w:hAnsi="宋体" w:cs="宋体"/>
          <w:sz w:val="24"/>
          <w:szCs w:val="24"/>
          <w:lang w:eastAsia="zh-CN"/>
        </w:rPr>
        <w:t>榆林市恒博</w:t>
      </w:r>
      <w:r>
        <w:rPr>
          <w:rFonts w:hint="eastAsia" w:hAnsi="宋体" w:cs="宋体"/>
          <w:sz w:val="24"/>
          <w:szCs w:val="24"/>
          <w:lang w:val="en-US" w:eastAsia="zh-CN"/>
        </w:rPr>
        <w:t>工程</w:t>
      </w:r>
      <w:r>
        <w:rPr>
          <w:rFonts w:hint="eastAsia" w:hAnsi="宋体" w:cs="宋体"/>
          <w:sz w:val="24"/>
          <w:szCs w:val="24"/>
          <w:lang w:eastAsia="zh-CN"/>
        </w:rPr>
        <w:t>咨询有限公司</w:t>
      </w:r>
    </w:p>
    <w:p w14:paraId="026A2294">
      <w:pPr>
        <w:spacing w:line="288" w:lineRule="auto"/>
        <w:ind w:firstLine="240" w:firstLineChars="100"/>
        <w:rPr>
          <w:rFonts w:hint="eastAsia" w:ascii="宋体" w:hAnsi="宋体" w:eastAsia="宋体" w:cs="宋体"/>
          <w:sz w:val="24"/>
          <w:szCs w:val="24"/>
          <w:lang w:eastAsia="zh-CN"/>
        </w:rPr>
      </w:pPr>
      <w:r>
        <w:rPr>
          <w:rFonts w:hint="eastAsia" w:ascii="宋体" w:hAnsi="宋体" w:eastAsia="宋体" w:cs="宋体"/>
          <w:sz w:val="24"/>
          <w:szCs w:val="24"/>
        </w:rPr>
        <w:t>（四）投标人：拟向采购人提供货物、工程或者服务的法人、其他组织</w:t>
      </w:r>
      <w:r>
        <w:rPr>
          <w:rFonts w:hint="eastAsia" w:hAnsi="宋体" w:cs="宋体"/>
          <w:sz w:val="24"/>
          <w:szCs w:val="24"/>
          <w:lang w:eastAsia="zh-CN"/>
        </w:rPr>
        <w:t>。</w:t>
      </w:r>
    </w:p>
    <w:p w14:paraId="513ACBEE">
      <w:pPr>
        <w:pStyle w:val="19"/>
        <w:spacing w:after="0" w:line="288" w:lineRule="auto"/>
        <w:ind w:firstLine="0" w:firstLineChars="0"/>
        <w:outlineLvl w:val="1"/>
        <w:rPr>
          <w:rFonts w:hint="eastAsia" w:ascii="宋体" w:hAnsi="宋体" w:eastAsia="宋体" w:cs="宋体"/>
          <w:b/>
          <w:sz w:val="24"/>
          <w:szCs w:val="24"/>
        </w:rPr>
      </w:pPr>
      <w:bookmarkStart w:id="8" w:name="_Toc1840"/>
      <w:bookmarkStart w:id="9" w:name="_Toc48834157"/>
      <w:bookmarkStart w:id="10" w:name="_Toc48834446"/>
      <w:bookmarkStart w:id="11" w:name="_Toc48834525"/>
      <w:bookmarkStart w:id="12" w:name="_Toc48834087"/>
      <w:bookmarkStart w:id="13" w:name="_Toc14453"/>
      <w:bookmarkStart w:id="14" w:name="_Toc48834284"/>
      <w:r>
        <w:rPr>
          <w:rFonts w:hint="eastAsia" w:ascii="宋体" w:hAnsi="宋体" w:eastAsia="宋体" w:cs="宋体"/>
          <w:b/>
          <w:sz w:val="24"/>
          <w:szCs w:val="24"/>
        </w:rPr>
        <w:t>二、投标人注意事项</w:t>
      </w:r>
      <w:bookmarkEnd w:id="8"/>
      <w:bookmarkEnd w:id="9"/>
      <w:bookmarkEnd w:id="10"/>
      <w:bookmarkEnd w:id="11"/>
      <w:bookmarkEnd w:id="12"/>
      <w:bookmarkEnd w:id="13"/>
      <w:bookmarkEnd w:id="14"/>
      <w:bookmarkStart w:id="15" w:name="_Toc24852"/>
      <w:bookmarkStart w:id="16" w:name="_Toc30368"/>
      <w:bookmarkStart w:id="17" w:name="_Toc23045"/>
      <w:bookmarkStart w:id="18" w:name="_Toc734"/>
    </w:p>
    <w:p w14:paraId="510EFE64">
      <w:pPr>
        <w:spacing w:line="288" w:lineRule="auto"/>
        <w:ind w:firstLine="241" w:firstLineChars="100"/>
        <w:rPr>
          <w:rFonts w:hint="eastAsia" w:ascii="宋体" w:hAnsi="宋体" w:eastAsia="宋体" w:cs="宋体"/>
          <w:b/>
          <w:bCs/>
          <w:sz w:val="24"/>
          <w:szCs w:val="24"/>
        </w:rPr>
      </w:pPr>
      <w:bookmarkStart w:id="19" w:name="_Toc9942"/>
      <w:r>
        <w:rPr>
          <w:rFonts w:hint="eastAsia" w:ascii="宋体" w:hAnsi="宋体" w:eastAsia="宋体" w:cs="宋体"/>
          <w:b/>
          <w:bCs/>
          <w:sz w:val="24"/>
          <w:szCs w:val="24"/>
        </w:rPr>
        <w:t>（一）询问</w:t>
      </w:r>
      <w:bookmarkEnd w:id="15"/>
      <w:bookmarkEnd w:id="16"/>
      <w:bookmarkEnd w:id="17"/>
      <w:bookmarkEnd w:id="18"/>
      <w:bookmarkEnd w:id="19"/>
    </w:p>
    <w:p w14:paraId="30151B26">
      <w:pPr>
        <w:spacing w:line="288" w:lineRule="auto"/>
        <w:ind w:firstLine="480" w:firstLineChars="200"/>
        <w:rPr>
          <w:rFonts w:hint="eastAsia" w:ascii="宋体" w:hAnsi="宋体" w:eastAsia="宋体" w:cs="宋体"/>
          <w:sz w:val="24"/>
          <w:szCs w:val="24"/>
        </w:rPr>
      </w:pPr>
      <w:bookmarkStart w:id="20" w:name="_Toc7423"/>
      <w:bookmarkStart w:id="21" w:name="_Toc11418"/>
      <w:bookmarkStart w:id="22" w:name="_Toc26397"/>
      <w:bookmarkStart w:id="23" w:name="_Toc16663"/>
      <w:r>
        <w:rPr>
          <w:rFonts w:hint="eastAsia" w:ascii="宋体" w:hAnsi="宋体" w:eastAsia="宋体" w:cs="宋体"/>
          <w:sz w:val="24"/>
          <w:szCs w:val="24"/>
        </w:rPr>
        <w:t>投标人对政府采购活动事项有疑问的，可以向采购人提出询问，采购人应当及时作出答复，但答复的内容不得涉及商业秘密。</w:t>
      </w:r>
    </w:p>
    <w:p w14:paraId="04BB8468">
      <w:pPr>
        <w:spacing w:line="288"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（二）</w:t>
      </w:r>
      <w:bookmarkEnd w:id="20"/>
      <w:bookmarkEnd w:id="21"/>
      <w:bookmarkEnd w:id="22"/>
      <w:bookmarkEnd w:id="23"/>
      <w:r>
        <w:rPr>
          <w:rFonts w:hint="eastAsia" w:ascii="宋体" w:hAnsi="宋体" w:eastAsia="宋体" w:cs="宋体"/>
          <w:b/>
          <w:sz w:val="24"/>
          <w:szCs w:val="24"/>
        </w:rPr>
        <w:t>质疑和投诉</w:t>
      </w:r>
    </w:p>
    <w:p w14:paraId="2F085BD7">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投标人如果认为招标文件中涉及的采购需求（包括投标人资格条件、评审要素及分值设置、采购内容和要求、合同条款等）使自身的合法权益受到损害，可以在招标文件公告期限届满之日起7个工作日内，以书面形式向</w:t>
      </w:r>
      <w:r>
        <w:rPr>
          <w:rFonts w:hint="eastAsia" w:ascii="宋体" w:hAnsi="宋体" w:eastAsia="宋体" w:cs="宋体"/>
          <w:kern w:val="2"/>
          <w:sz w:val="24"/>
          <w:szCs w:val="24"/>
        </w:rPr>
        <w:t>采购人</w:t>
      </w:r>
      <w:r>
        <w:rPr>
          <w:rFonts w:hint="eastAsia" w:ascii="宋体" w:hAnsi="宋体" w:eastAsia="宋体" w:cs="宋体"/>
          <w:bCs/>
          <w:kern w:val="2"/>
          <w:sz w:val="24"/>
          <w:szCs w:val="24"/>
        </w:rPr>
        <w:t>提出质疑；</w:t>
      </w:r>
    </w:p>
    <w:p w14:paraId="15B9600E">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投标人如果认为采购程序、采购过程或成交结果使自身的合法权益受到损害，可以在知道或应知其权益受到损害之日起7个工作日内，以书面形式向采购代理机构提出质疑。</w:t>
      </w:r>
    </w:p>
    <w:p w14:paraId="7382CF67">
      <w:pPr>
        <w:pStyle w:val="18"/>
        <w:spacing w:beforeAutospacing="0" w:afterAutospacing="0" w:line="288" w:lineRule="auto"/>
        <w:jc w:val="both"/>
        <w:rPr>
          <w:rFonts w:hint="eastAsia" w:ascii="宋体" w:hAnsi="宋体" w:eastAsia="宋体" w:cs="宋体"/>
          <w:bCs/>
          <w:spacing w:val="-10"/>
          <w:kern w:val="2"/>
          <w:sz w:val="24"/>
          <w:szCs w:val="24"/>
        </w:rPr>
      </w:pPr>
      <w:r>
        <w:rPr>
          <w:rFonts w:hint="eastAsia" w:ascii="宋体" w:hAnsi="宋体" w:eastAsia="宋体" w:cs="宋体"/>
          <w:bCs/>
          <w:kern w:val="2"/>
          <w:sz w:val="24"/>
          <w:szCs w:val="24"/>
        </w:rPr>
        <w:t xml:space="preserve">    </w:t>
      </w:r>
      <w:r>
        <w:rPr>
          <w:rFonts w:hint="eastAsia" w:ascii="宋体" w:hAnsi="宋体" w:eastAsia="宋体" w:cs="宋体"/>
          <w:bCs/>
          <w:spacing w:val="-10"/>
          <w:kern w:val="2"/>
          <w:sz w:val="24"/>
          <w:szCs w:val="24"/>
        </w:rPr>
        <w:t>采购人、采购代理机构将在收到书面质疑后7个工作日内做出答复，并以书面形式通知质疑人和其他有关投标人。</w:t>
      </w:r>
    </w:p>
    <w:p w14:paraId="4E33AE56">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1、投标人提出质疑应当提交质疑函和必要的证明材料，并按财政部《质疑函范本》给定的格式进行填写，范本下载详见【财政部国库司（gks.mof.gov.cn）】网站〖首页•〉政府采购管理〗栏目中的《政府采购投标人质疑函范本》。</w:t>
      </w:r>
    </w:p>
    <w:p w14:paraId="2B34AA8B">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《政府采购投标人质疑函范本》链接地址：</w:t>
      </w:r>
    </w:p>
    <w:p w14:paraId="0E82E1F5">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http://gks.mof.gov.cn/zhengfucaigouguanli/201802/t20180201_2804589.html</w:t>
      </w:r>
    </w:p>
    <w:p w14:paraId="7415D957">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2、质疑人为法人或者其他组织的，应当由法定代表人、主要负责人，或者其授权代表</w:t>
      </w:r>
      <w:r>
        <w:rPr>
          <w:rFonts w:hint="eastAsia" w:ascii="宋体" w:hAnsi="宋体" w:eastAsia="宋体" w:cs="宋体"/>
          <w:bCs/>
          <w:spacing w:val="-10"/>
          <w:kern w:val="2"/>
          <w:sz w:val="24"/>
          <w:szCs w:val="24"/>
        </w:rPr>
        <w:t>在《质疑函》上</w:t>
      </w:r>
      <w:r>
        <w:rPr>
          <w:rFonts w:hint="eastAsia" w:ascii="宋体" w:hAnsi="宋体" w:eastAsia="宋体" w:cs="宋体"/>
          <w:bCs/>
          <w:kern w:val="2"/>
          <w:sz w:val="24"/>
          <w:szCs w:val="24"/>
        </w:rPr>
        <w:t>签字或者盖章，并加盖公章。授权代表办理质疑事项时，除提交《质疑函》外，还应当提交《授权委托书》及授权代表的有效身份证明，《授权委托书》应当载明委托代理的具体权限和事项。</w:t>
      </w:r>
    </w:p>
    <w:p w14:paraId="520A2ABC">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在法定质疑期内，针对同一采购程序环节的质疑应当一次性提出。</w:t>
      </w:r>
    </w:p>
    <w:p w14:paraId="5F2B9893">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3、有下列情形之一的，属于无效质疑，采购人、采购代理机构不予受理：</w:t>
      </w:r>
    </w:p>
    <w:p w14:paraId="2AFE5287">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（1）质疑人不是参与本次采购项目的投标人或潜在投标人；</w:t>
      </w:r>
    </w:p>
    <w:p w14:paraId="32BF1B03">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（2）质疑人与质疑事项不存在利害关系的；</w:t>
      </w:r>
    </w:p>
    <w:p w14:paraId="37FB2D6E">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（3）未在法定期限内提出质疑的；</w:t>
      </w:r>
    </w:p>
    <w:p w14:paraId="2AAED39B">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（4）质疑未以书面形式提出，或《质疑函》主要内容构成不完整的，或缺乏必要的证明材料及证明材料不完整的；</w:t>
      </w:r>
    </w:p>
    <w:p w14:paraId="5690C4CD">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（5）《质疑函》没有合法有效的签字、盖章或授权的；</w:t>
      </w:r>
    </w:p>
    <w:p w14:paraId="75DADEBE">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（6）以非法手段取得证据、材料的；</w:t>
      </w:r>
    </w:p>
    <w:p w14:paraId="7949992B">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（7）质疑答复后，同一质疑人就同一事项再次提出质疑的；</w:t>
      </w:r>
    </w:p>
    <w:p w14:paraId="23612252">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4、质疑人对采购代理机构或采购人的答复不满意，以及采购人、采购代理机构未在规定时间内做出答复的，可以在答复期满后15个工作日内向</w:t>
      </w:r>
      <w:r>
        <w:rPr>
          <w:rFonts w:hint="eastAsia" w:hAnsi="宋体" w:cs="宋体"/>
          <w:bCs/>
          <w:kern w:val="2"/>
          <w:sz w:val="24"/>
          <w:szCs w:val="24"/>
          <w:lang w:val="en-US" w:eastAsia="zh-CN"/>
        </w:rPr>
        <w:t>榆林市财政局</w:t>
      </w:r>
      <w:r>
        <w:rPr>
          <w:rFonts w:hint="eastAsia" w:ascii="宋体" w:hAnsi="宋体" w:eastAsia="宋体" w:cs="宋体"/>
          <w:bCs/>
          <w:kern w:val="2"/>
          <w:sz w:val="24"/>
          <w:szCs w:val="24"/>
        </w:rPr>
        <w:t>提出投诉。</w:t>
      </w:r>
    </w:p>
    <w:p w14:paraId="07D7A473">
      <w:pPr>
        <w:pStyle w:val="18"/>
        <w:spacing w:beforeAutospacing="0" w:afterAutospacing="0" w:line="288" w:lineRule="auto"/>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5、投标人投诉的事项不得超出已质疑事项的范围。</w:t>
      </w:r>
    </w:p>
    <w:p w14:paraId="7C456528">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6、对捏造事实、提供虚假材料进行质疑、投诉的行为予以严肃处理。</w:t>
      </w:r>
    </w:p>
    <w:p w14:paraId="759BADBD">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①《中华人民共和国政府采购法》《中华人民共和国政府采购法实施条例》《中华人民共和国招标投标法》《中华人民共和国招标投标法实施条例》《政府采购质疑和投诉办法》等法律法规的规定，投标人质疑、投诉应当有明确的请求和必要的证明材料。</w:t>
      </w:r>
    </w:p>
    <w:p w14:paraId="74D290A8">
      <w:pPr>
        <w:spacing w:line="288"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②</w:t>
      </w:r>
      <w:r>
        <w:rPr>
          <w:rFonts w:hint="eastAsia" w:ascii="宋体" w:hAnsi="宋体" w:eastAsia="宋体" w:cs="宋体"/>
          <w:bCs/>
          <w:sz w:val="24"/>
          <w:szCs w:val="24"/>
        </w:rPr>
        <w:t>投诉人在全国范围内十二个月内三次以上投诉查无实据的，由财政部门列入不良行为记录名单。</w:t>
      </w:r>
    </w:p>
    <w:p w14:paraId="707DA072">
      <w:pPr>
        <w:spacing w:line="288"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③</w:t>
      </w:r>
      <w:r>
        <w:rPr>
          <w:rFonts w:hint="eastAsia" w:ascii="宋体" w:hAnsi="宋体" w:eastAsia="宋体" w:cs="宋体"/>
          <w:sz w:val="24"/>
          <w:szCs w:val="24"/>
        </w:rPr>
        <w:t>捏造事实、提供虚假材料或者以非法手段取得证明材料的投诉将被驳回，并将提出投诉的投标人列入不良行为记录名单，禁止其一至三年内参加政府采购活动。</w:t>
      </w:r>
    </w:p>
    <w:p w14:paraId="18CA11AF">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7、依法严惩捏造事实诬告陷害、诽谤他人的行为。</w:t>
      </w:r>
    </w:p>
    <w:p w14:paraId="0F3222BC">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①《中华人民共和国刑法》第243条【诬告陷害罪】捏造事实诬告陷害他人，意图使他人受刑事追究，情节严重的，处三年以下有期徒刑、拘役或者管制；造成严重后果的，处三年以上十年以下有期徒刑。</w:t>
      </w:r>
    </w:p>
    <w:p w14:paraId="66EAAA0C">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②《中华人民共和国刑法》第246条【侮辱罪、诽谤罪】以暴力或者其他方法公然侮辱他人或者捏造事实诽谤他人，情节严重的，处三年以下有期徒刑、拘役、管制或者剥夺政治权利。</w:t>
      </w:r>
    </w:p>
    <w:p w14:paraId="4CFE1C6A">
      <w:pPr>
        <w:spacing w:line="288" w:lineRule="auto"/>
        <w:ind w:firstLine="480" w:firstLineChars="200"/>
        <w:rPr>
          <w:rFonts w:hint="eastAsia" w:ascii="宋体" w:hAnsi="宋体" w:eastAsia="宋体" w:cs="宋体"/>
          <w:sz w:val="24"/>
          <w:szCs w:val="24"/>
        </w:rPr>
      </w:pPr>
      <w:bookmarkStart w:id="24" w:name="_Toc26247"/>
      <w:bookmarkStart w:id="25" w:name="_Toc13334"/>
      <w:bookmarkStart w:id="26" w:name="_Toc16384"/>
      <w:bookmarkStart w:id="27" w:name="_Toc32437"/>
      <w:r>
        <w:rPr>
          <w:rFonts w:hint="eastAsia" w:ascii="宋体" w:hAnsi="宋体" w:eastAsia="宋体" w:cs="宋体"/>
          <w:sz w:val="24"/>
          <w:szCs w:val="24"/>
        </w:rPr>
        <w:t>8、质疑函递交地址：</w:t>
      </w:r>
    </w:p>
    <w:p w14:paraId="15BEF93E">
      <w:pPr>
        <w:spacing w:line="288" w:lineRule="auto"/>
        <w:ind w:firstLine="880" w:firstLineChars="400"/>
        <w:rPr>
          <w:rFonts w:hint="default" w:ascii="宋体" w:hAnsi="宋体" w:eastAsia="宋体" w:cs="宋体"/>
          <w:spacing w:val="-10"/>
          <w:sz w:val="24"/>
          <w:szCs w:val="24"/>
          <w:lang w:val="en-US"/>
        </w:rPr>
      </w:pPr>
      <w:r>
        <w:rPr>
          <w:rFonts w:hint="eastAsia" w:ascii="宋体" w:hAnsi="宋体" w:eastAsia="宋体" w:cs="宋体"/>
          <w:spacing w:val="-10"/>
          <w:sz w:val="24"/>
          <w:szCs w:val="24"/>
        </w:rPr>
        <w:t>采购代理机构：</w:t>
      </w:r>
      <w:r>
        <w:rPr>
          <w:rFonts w:hint="eastAsia" w:hAnsi="宋体" w:cs="宋体"/>
          <w:spacing w:val="-10"/>
          <w:sz w:val="24"/>
          <w:szCs w:val="24"/>
          <w:lang w:eastAsia="zh-CN"/>
        </w:rPr>
        <w:t>榆林市恒博</w:t>
      </w:r>
      <w:r>
        <w:rPr>
          <w:rFonts w:hint="eastAsia" w:hAnsi="宋体" w:cs="宋体"/>
          <w:spacing w:val="-10"/>
          <w:sz w:val="24"/>
          <w:szCs w:val="24"/>
          <w:lang w:val="en-US" w:eastAsia="zh-CN"/>
        </w:rPr>
        <w:t>工程</w:t>
      </w:r>
      <w:r>
        <w:rPr>
          <w:rFonts w:hint="eastAsia" w:hAnsi="宋体" w:cs="宋体"/>
          <w:spacing w:val="-10"/>
          <w:sz w:val="24"/>
          <w:szCs w:val="24"/>
          <w:lang w:eastAsia="zh-CN"/>
        </w:rPr>
        <w:t>咨询有限公司</w:t>
      </w:r>
      <w:r>
        <w:rPr>
          <w:rFonts w:hint="eastAsia" w:ascii="宋体" w:hAnsi="宋体" w:eastAsia="宋体" w:cs="宋体"/>
          <w:spacing w:val="-10"/>
          <w:sz w:val="24"/>
          <w:szCs w:val="24"/>
        </w:rPr>
        <w:t xml:space="preserve">         联系电话：</w:t>
      </w:r>
      <w:r>
        <w:rPr>
          <w:rFonts w:hint="eastAsia" w:hAnsi="宋体" w:cs="宋体"/>
          <w:b w:val="0"/>
          <w:bCs w:val="0"/>
          <w:kern w:val="0"/>
          <w:sz w:val="24"/>
          <w:szCs w:val="24"/>
          <w:lang w:val="en-US" w:eastAsia="zh-CN" w:bidi="ar-SA"/>
        </w:rPr>
        <w:t>0912-3891169</w:t>
      </w:r>
    </w:p>
    <w:p w14:paraId="229CB8F0">
      <w:pPr>
        <w:spacing w:line="288" w:lineRule="auto"/>
        <w:ind w:firstLine="820" w:firstLineChars="342"/>
        <w:rPr>
          <w:rFonts w:hint="eastAsia" w:hAnsi="宋体" w:cs="宋体"/>
          <w:spacing w:val="-10"/>
          <w:sz w:val="24"/>
          <w:szCs w:val="24"/>
          <w:lang w:val="en-US" w:eastAsia="zh-CN"/>
        </w:rPr>
      </w:pPr>
      <w:r>
        <w:rPr>
          <w:rFonts w:hint="eastAsia" w:hAnsi="宋体" w:cs="宋体"/>
          <w:sz w:val="24"/>
          <w:szCs w:val="24"/>
          <w:lang w:val="en-US" w:eastAsia="zh-CN"/>
        </w:rPr>
        <w:t>邮箱：</w:t>
      </w:r>
      <w:r>
        <w:rPr>
          <w:rFonts w:hint="eastAsia" w:hAnsi="宋体" w:cs="宋体"/>
          <w:spacing w:val="-10"/>
          <w:sz w:val="24"/>
          <w:szCs w:val="24"/>
          <w:lang w:val="en-US" w:eastAsia="zh-CN"/>
        </w:rPr>
        <w:t>736344138@qq.com</w:t>
      </w:r>
    </w:p>
    <w:p w14:paraId="680CFFEC">
      <w:pPr>
        <w:spacing w:line="288" w:lineRule="auto"/>
        <w:ind w:firstLine="820" w:firstLineChars="342"/>
        <w:rPr>
          <w:rFonts w:hint="eastAsia" w:ascii="宋体" w:hAnsi="宋体" w:eastAsia="宋体" w:cs="宋体"/>
          <w:spacing w:val="-10"/>
          <w:sz w:val="24"/>
          <w:szCs w:val="24"/>
        </w:rPr>
      </w:pPr>
      <w:r>
        <w:rPr>
          <w:rFonts w:hint="eastAsia" w:ascii="宋体" w:hAnsi="宋体" w:eastAsia="宋体" w:cs="宋体"/>
          <w:sz w:val="24"/>
          <w:szCs w:val="24"/>
        </w:rPr>
        <w:t>递交</w:t>
      </w:r>
      <w:r>
        <w:rPr>
          <w:rFonts w:hint="eastAsia" w:ascii="宋体" w:hAnsi="宋体" w:eastAsia="宋体" w:cs="宋体"/>
          <w:spacing w:val="-10"/>
          <w:sz w:val="24"/>
          <w:szCs w:val="24"/>
        </w:rPr>
        <w:t>地址：陕西省榆林市明珠大道榆商大厦A座5楼</w:t>
      </w:r>
    </w:p>
    <w:p w14:paraId="7AF80BCB">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9、投诉书递交地址：</w:t>
      </w:r>
      <w:r>
        <w:rPr>
          <w:rFonts w:hint="eastAsia" w:hAnsi="宋体" w:cs="宋体"/>
          <w:sz w:val="24"/>
          <w:szCs w:val="24"/>
          <w:lang w:val="en-US" w:eastAsia="zh-CN"/>
        </w:rPr>
        <w:t>榆林市财政局</w:t>
      </w:r>
    </w:p>
    <w:p w14:paraId="5D9B0FE5">
      <w:pPr>
        <w:spacing w:line="288" w:lineRule="auto"/>
        <w:ind w:firstLine="960" w:firstLineChars="400"/>
        <w:rPr>
          <w:rFonts w:hint="eastAsia" w:ascii="宋体" w:hAnsi="宋体" w:eastAsia="宋体" w:cs="宋体"/>
          <w:sz w:val="24"/>
          <w:szCs w:val="24"/>
        </w:rPr>
      </w:pPr>
      <w:r>
        <w:rPr>
          <w:rFonts w:hint="eastAsia" w:ascii="宋体" w:hAnsi="宋体" w:eastAsia="宋体" w:cs="宋体"/>
          <w:sz w:val="24"/>
          <w:szCs w:val="24"/>
        </w:rPr>
        <w:t>监督机构：</w:t>
      </w:r>
      <w:r>
        <w:rPr>
          <w:rFonts w:hint="eastAsia" w:hAnsi="宋体" w:cs="宋体"/>
          <w:sz w:val="24"/>
          <w:szCs w:val="24"/>
          <w:lang w:val="en-US" w:eastAsia="zh-CN"/>
        </w:rPr>
        <w:t>榆林市财政局</w:t>
      </w:r>
    </w:p>
    <w:p w14:paraId="6917E49F">
      <w:pPr>
        <w:spacing w:line="288"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（三）关于信用记录的查询和使用</w:t>
      </w:r>
    </w:p>
    <w:p w14:paraId="1BA41301">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1、采购人、采购代理机构在资格审查阶段通过【信用中国（www.creditchina.gov.cn）】、【中国政府采购网（www.ccgp.gov.cn）】网站对投标人的信用情况进行甄别。对列入</w:t>
      </w:r>
      <w:r>
        <w:rPr>
          <w:rFonts w:hint="eastAsia" w:ascii="宋体" w:hAnsi="宋体" w:eastAsia="宋体" w:cs="宋体"/>
          <w:i w:val="0"/>
          <w:iCs w:val="0"/>
          <w:caps w:val="0"/>
          <w:color w:val="auto"/>
          <w:spacing w:val="0"/>
          <w:sz w:val="24"/>
          <w:szCs w:val="24"/>
          <w:shd w:val="clear" w:fill="FFFFFF"/>
        </w:rPr>
        <w:t>失信被执行人</w:t>
      </w:r>
      <w:r>
        <w:rPr>
          <w:rFonts w:hint="eastAsia" w:ascii="宋体" w:hAnsi="宋体" w:eastAsia="宋体" w:cs="宋体"/>
          <w:sz w:val="24"/>
          <w:szCs w:val="24"/>
        </w:rPr>
        <w:t>、</w:t>
      </w:r>
      <w:r>
        <w:rPr>
          <w:rFonts w:hint="eastAsia" w:ascii="宋体" w:hAnsi="宋体" w:eastAsia="宋体" w:cs="宋体"/>
          <w:i w:val="0"/>
          <w:iCs w:val="0"/>
          <w:caps w:val="0"/>
          <w:color w:val="auto"/>
          <w:spacing w:val="0"/>
          <w:sz w:val="24"/>
          <w:szCs w:val="24"/>
          <w:shd w:val="clear" w:fill="FFFFFF"/>
        </w:rPr>
        <w:t>严重失信主体和</w:t>
      </w:r>
      <w:r>
        <w:rPr>
          <w:rFonts w:hint="eastAsia" w:ascii="宋体" w:hAnsi="宋体" w:eastAsia="宋体" w:cs="宋体"/>
          <w:sz w:val="24"/>
          <w:szCs w:val="24"/>
        </w:rPr>
        <w:t>重大税收违法失信主体、政府采购严重违法失信行为记录名单及其他不符合《中华人民共和国政府采购法》第二十二条规定条件的投标人，拒绝其参本次投标活动。</w:t>
      </w:r>
    </w:p>
    <w:p w14:paraId="7A1DB9B6">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2、投标人在参加政府采购活动前3年内因违法经营被禁止在一定期限内参加政府采购活动，期限届满的，可以参加政府采购活动的，但投标人应提供相关证明材料。</w:t>
      </w:r>
    </w:p>
    <w:p w14:paraId="6A49A186">
      <w:pPr>
        <w:spacing w:line="288" w:lineRule="auto"/>
        <w:ind w:firstLine="480" w:firstLineChars="200"/>
        <w:rPr>
          <w:rFonts w:hint="eastAsia" w:ascii="宋体" w:hAnsi="宋体" w:eastAsia="宋体" w:cs="宋体"/>
          <w:spacing w:val="-10"/>
          <w:sz w:val="24"/>
          <w:szCs w:val="24"/>
        </w:rPr>
      </w:pPr>
      <w:r>
        <w:rPr>
          <w:rFonts w:hint="eastAsia" w:ascii="宋体" w:hAnsi="宋体" w:eastAsia="宋体" w:cs="宋体"/>
          <w:sz w:val="24"/>
          <w:szCs w:val="24"/>
        </w:rPr>
        <w:t>3、投标人信用记录查询的时间段为“招标公告发布之日（含当日）至提交投标文件截止之日（不含当日）”。信用记录查询的结果，将以纸质截图或将截图保存至电子介质的形式留存。投标人未如实填报《书面声明函》的，视为“投标人提供虚假材料谋取中标、成交的”行为，</w:t>
      </w:r>
      <w:r>
        <w:rPr>
          <w:rFonts w:hint="eastAsia" w:ascii="宋体" w:hAnsi="宋体" w:eastAsia="宋体" w:cs="宋体"/>
          <w:spacing w:val="-10"/>
          <w:sz w:val="24"/>
          <w:szCs w:val="24"/>
        </w:rPr>
        <w:t>拒绝其参本次投标活动。</w:t>
      </w:r>
      <w:bookmarkEnd w:id="24"/>
      <w:bookmarkEnd w:id="25"/>
      <w:bookmarkEnd w:id="26"/>
      <w:bookmarkEnd w:id="27"/>
      <w:bookmarkStart w:id="28" w:name="_Toc30404"/>
      <w:bookmarkStart w:id="29" w:name="_Toc15976"/>
      <w:bookmarkStart w:id="30" w:name="_Toc4945"/>
      <w:bookmarkStart w:id="31" w:name="_Toc4661"/>
    </w:p>
    <w:p w14:paraId="42633420">
      <w:pPr>
        <w:spacing w:line="288" w:lineRule="auto"/>
        <w:ind w:firstLine="241" w:firstLineChars="100"/>
        <w:rPr>
          <w:rFonts w:hint="eastAsia" w:ascii="宋体" w:hAnsi="宋体" w:eastAsia="宋体" w:cs="宋体"/>
          <w:b/>
          <w:bCs/>
          <w:sz w:val="24"/>
          <w:szCs w:val="24"/>
        </w:rPr>
      </w:pPr>
      <w:r>
        <w:rPr>
          <w:rFonts w:hint="eastAsia" w:ascii="宋体" w:hAnsi="宋体" w:eastAsia="宋体" w:cs="宋体"/>
          <w:b/>
          <w:bCs/>
          <w:sz w:val="24"/>
          <w:szCs w:val="24"/>
        </w:rPr>
        <w:t>（四）执行优惠政策</w:t>
      </w:r>
    </w:p>
    <w:p w14:paraId="1BBD7F6E">
      <w:pPr>
        <w:spacing w:line="288"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对于</w:t>
      </w:r>
      <w:r>
        <w:rPr>
          <w:rFonts w:hint="eastAsia" w:ascii="宋体" w:hAnsi="宋体" w:cs="宋体"/>
          <w:bCs/>
          <w:sz w:val="24"/>
          <w:szCs w:val="24"/>
          <w:highlight w:val="none"/>
          <w:lang w:val="en-US" w:eastAsia="zh-CN"/>
        </w:rPr>
        <w:t>中小</w:t>
      </w:r>
      <w:r>
        <w:rPr>
          <w:rFonts w:hint="eastAsia" w:ascii="宋体" w:hAnsi="宋体" w:eastAsia="宋体" w:cs="宋体"/>
          <w:bCs/>
          <w:sz w:val="24"/>
          <w:szCs w:val="24"/>
          <w:highlight w:val="none"/>
        </w:rPr>
        <w:t>企业（含</w:t>
      </w:r>
      <w:r>
        <w:rPr>
          <w:rFonts w:hint="eastAsia" w:ascii="宋体" w:hAnsi="宋体" w:cs="宋体"/>
          <w:bCs/>
          <w:sz w:val="24"/>
          <w:szCs w:val="24"/>
          <w:highlight w:val="none"/>
          <w:lang w:val="en-US" w:eastAsia="zh-CN"/>
        </w:rPr>
        <w:t>中型、</w:t>
      </w:r>
      <w:r>
        <w:rPr>
          <w:rFonts w:hint="eastAsia" w:ascii="宋体" w:hAnsi="宋体" w:eastAsia="宋体" w:cs="宋体"/>
          <w:bCs/>
          <w:sz w:val="24"/>
          <w:szCs w:val="24"/>
          <w:highlight w:val="none"/>
        </w:rPr>
        <w:t>小型、微型企业）</w:t>
      </w:r>
      <w:r>
        <w:rPr>
          <w:rFonts w:hint="eastAsia" w:ascii="宋体" w:hAnsi="宋体" w:eastAsia="宋体" w:cs="宋体"/>
          <w:bCs/>
          <w:sz w:val="24"/>
          <w:szCs w:val="24"/>
        </w:rPr>
        <w:t>、监狱企业、残疾人福利性单位参与本次投标，以及节能产品、环保产品的采购，执行国务院办公厅以及国家部委有关文件。</w:t>
      </w:r>
    </w:p>
    <w:p w14:paraId="27317D0A">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1、《政府采购促进中小企业发展管理办法》财库〔2020〕46号、《关于政府采购支持监狱企业发展有关问题的通知》财库〔2014〕68号、《关于促进残疾人就业政府采购政策的通知》财库〔2017〕141号。</w:t>
      </w:r>
    </w:p>
    <w:p w14:paraId="51CBDF15">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w:t>
      </w:r>
    </w:p>
    <w:bookmarkEnd w:id="28"/>
    <w:bookmarkEnd w:id="29"/>
    <w:bookmarkEnd w:id="30"/>
    <w:bookmarkEnd w:id="31"/>
    <w:p w14:paraId="0C7F51BE">
      <w:pPr>
        <w:spacing w:line="288" w:lineRule="auto"/>
        <w:ind w:firstLine="241" w:firstLineChars="100"/>
        <w:rPr>
          <w:rFonts w:hint="eastAsia" w:ascii="宋体" w:hAnsi="宋体" w:eastAsia="宋体" w:cs="宋体"/>
          <w:b/>
          <w:bCs/>
          <w:color w:val="1F497D"/>
          <w:sz w:val="24"/>
          <w:szCs w:val="24"/>
        </w:rPr>
      </w:pPr>
      <w:bookmarkStart w:id="32" w:name="_Toc16749"/>
      <w:bookmarkStart w:id="33" w:name="_Toc16492"/>
      <w:bookmarkStart w:id="34" w:name="_Toc22982"/>
      <w:bookmarkStart w:id="35" w:name="_Toc1993"/>
      <w:r>
        <w:rPr>
          <w:rFonts w:hint="eastAsia" w:ascii="宋体" w:hAnsi="宋体" w:eastAsia="宋体" w:cs="宋体"/>
          <w:b/>
          <w:sz w:val="24"/>
          <w:szCs w:val="24"/>
        </w:rPr>
        <w:t>（五）关于知识产权与保密事项</w:t>
      </w:r>
      <w:bookmarkEnd w:id="32"/>
      <w:bookmarkEnd w:id="33"/>
      <w:bookmarkEnd w:id="34"/>
      <w:bookmarkEnd w:id="35"/>
    </w:p>
    <w:p w14:paraId="7EA55706">
      <w:pPr>
        <w:spacing w:line="288"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1、所有涉及知识产权的产品及设计，投标人必须确保采购人拥有其合法的、不受限制的无偿使用权，并免受任何侵权诉讼或索偿，否则，由此产生的一切经济损失和法律责任由投标人承担。</w:t>
      </w:r>
    </w:p>
    <w:p w14:paraId="71842197">
      <w:pPr>
        <w:spacing w:line="288"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由采购人向投标人提供的所有资料，投标人不得向第三方透露或将其用于本次投标以外的任何用途。开标后，若采购人有要求，投标人须归还采购人认为需保密的文件和资料，并销毁所有相应的备份文件及资料。</w:t>
      </w:r>
    </w:p>
    <w:p w14:paraId="4DD18325">
      <w:pPr>
        <w:spacing w:line="288" w:lineRule="auto"/>
        <w:ind w:firstLine="241" w:firstLineChars="100"/>
        <w:rPr>
          <w:rFonts w:hint="eastAsia" w:ascii="宋体" w:hAnsi="宋体" w:eastAsia="宋体" w:cs="宋体"/>
          <w:b/>
          <w:bCs/>
          <w:sz w:val="24"/>
          <w:szCs w:val="24"/>
        </w:rPr>
      </w:pPr>
      <w:r>
        <w:rPr>
          <w:rFonts w:hint="eastAsia" w:ascii="宋体" w:hAnsi="宋体" w:eastAsia="宋体" w:cs="宋体"/>
          <w:b/>
          <w:bCs/>
          <w:sz w:val="24"/>
          <w:szCs w:val="24"/>
        </w:rPr>
        <w:t>（六）政采贷业务</w:t>
      </w:r>
    </w:p>
    <w:p w14:paraId="1DC1758F">
      <w:pPr>
        <w:spacing w:line="500" w:lineRule="exact"/>
        <w:ind w:firstLine="480" w:firstLineChars="200"/>
        <w:rPr>
          <w:rFonts w:hint="eastAsia" w:ascii="宋体" w:hAnsi="宋体" w:eastAsia="宋体" w:cs="宋体"/>
          <w:bCs/>
          <w:sz w:val="24"/>
          <w:szCs w:val="24"/>
        </w:rPr>
      </w:pPr>
      <w:bookmarkStart w:id="36" w:name="_Toc24866"/>
      <w:bookmarkStart w:id="37" w:name="_Toc2340"/>
      <w:bookmarkStart w:id="38" w:name="_Toc19023"/>
      <w:bookmarkStart w:id="39" w:name="_Toc18387"/>
      <w:r>
        <w:rPr>
          <w:rFonts w:hint="eastAsia" w:ascii="宋体" w:hAnsi="宋体" w:eastAsia="宋体" w:cs="宋体"/>
          <w:bCs/>
          <w:sz w:val="24"/>
          <w:szCs w:val="24"/>
        </w:rPr>
        <w:t>为了进一步推动金融支持政策更好适应市场主体的需要，扎实落实国务院关于支持中小企业发展的政策措施，积极发挥政府采购政策功能，有效缓解中小企业融资难、融资贵问题，根据中办</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国办《关于促进中小企业健康发展的指导意见》、财政部</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工信部《政府采购促进中小企业发展</w:t>
      </w:r>
      <w:r>
        <w:rPr>
          <w:rFonts w:hint="eastAsia" w:ascii="宋体" w:hAnsi="宋体" w:eastAsia="宋体" w:cs="宋体"/>
          <w:bCs/>
          <w:sz w:val="24"/>
          <w:szCs w:val="24"/>
          <w:lang w:val="en-US" w:eastAsia="zh-CN"/>
        </w:rPr>
        <w:t>管理</w:t>
      </w:r>
      <w:r>
        <w:rPr>
          <w:rFonts w:hint="eastAsia" w:ascii="宋体" w:hAnsi="宋体" w:eastAsia="宋体" w:cs="宋体"/>
          <w:bCs/>
          <w:sz w:val="24"/>
          <w:szCs w:val="24"/>
        </w:rPr>
        <w:t>办法》（财库〔20</w:t>
      </w:r>
      <w:r>
        <w:rPr>
          <w:rFonts w:hint="eastAsia" w:ascii="宋体" w:hAnsi="宋体" w:eastAsia="宋体" w:cs="宋体"/>
          <w:bCs/>
          <w:sz w:val="24"/>
          <w:szCs w:val="24"/>
          <w:lang w:val="en-US" w:eastAsia="zh-CN"/>
        </w:rPr>
        <w:t>20</w:t>
      </w:r>
      <w:r>
        <w:rPr>
          <w:rFonts w:hint="eastAsia" w:ascii="宋体" w:hAnsi="宋体" w:eastAsia="宋体" w:cs="宋体"/>
          <w:bCs/>
          <w:sz w:val="24"/>
          <w:szCs w:val="24"/>
        </w:rPr>
        <w:t>〕</w:t>
      </w:r>
      <w:r>
        <w:rPr>
          <w:rFonts w:hint="eastAsia" w:ascii="宋体" w:hAnsi="宋体" w:eastAsia="宋体" w:cs="宋体"/>
          <w:bCs/>
          <w:sz w:val="24"/>
          <w:szCs w:val="24"/>
          <w:lang w:val="en-US" w:eastAsia="zh-CN"/>
        </w:rPr>
        <w:t>46</w:t>
      </w:r>
      <w:r>
        <w:rPr>
          <w:rFonts w:hint="eastAsia" w:ascii="宋体" w:hAnsi="宋体" w:eastAsia="宋体" w:cs="宋体"/>
          <w:bCs/>
          <w:sz w:val="24"/>
          <w:szCs w:val="24"/>
        </w:rPr>
        <w:t>号）、《陕西省中小企业政府采购信用融资办法》（陕财办采〔2018〕23号）、《陕西省财政厅关于加快推进我省中小企业政府采购信用融资工作的通知》（陕财办采〔2020〕15号）</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《陕西省财政厅 中国人民银行西安分行关于深入推进政府采购信用融资业务</w:t>
      </w:r>
      <w:r>
        <w:rPr>
          <w:rFonts w:hint="default" w:ascii="宋体" w:hAnsi="宋体" w:eastAsia="宋体" w:cs="宋体"/>
          <w:bCs/>
          <w:sz w:val="24"/>
          <w:szCs w:val="24"/>
          <w:lang w:val="en-US" w:eastAsia="zh-CN"/>
        </w:rPr>
        <w:t>的通知</w:t>
      </w:r>
      <w:r>
        <w:rPr>
          <w:rFonts w:hint="eastAsia" w:ascii="宋体" w:hAnsi="宋体" w:eastAsia="宋体" w:cs="宋体"/>
          <w:bCs/>
          <w:sz w:val="24"/>
          <w:szCs w:val="24"/>
          <w:lang w:val="en-US" w:eastAsia="zh-CN"/>
        </w:rPr>
        <w:t>》</w:t>
      </w:r>
      <w:r>
        <w:rPr>
          <w:rFonts w:hint="eastAsia" w:ascii="宋体" w:hAnsi="宋体" w:eastAsia="宋体" w:cs="宋体"/>
          <w:bCs/>
          <w:sz w:val="24"/>
          <w:szCs w:val="24"/>
        </w:rPr>
        <w:t>（陕财办采〔202</w:t>
      </w:r>
      <w:r>
        <w:rPr>
          <w:rFonts w:hint="eastAsia" w:ascii="宋体" w:hAnsi="宋体" w:eastAsia="宋体" w:cs="宋体"/>
          <w:bCs/>
          <w:sz w:val="24"/>
          <w:szCs w:val="24"/>
          <w:lang w:val="en-US" w:eastAsia="zh-CN"/>
        </w:rPr>
        <w:t>3</w:t>
      </w:r>
      <w:r>
        <w:rPr>
          <w:rFonts w:hint="eastAsia" w:ascii="宋体" w:hAnsi="宋体" w:eastAsia="宋体" w:cs="宋体"/>
          <w:bCs/>
          <w:sz w:val="24"/>
          <w:szCs w:val="24"/>
        </w:rPr>
        <w:t>〕5号）等有关规定，按照</w:t>
      </w:r>
      <w:r>
        <w:rPr>
          <w:rFonts w:hint="eastAsia" w:ascii="宋体" w:hAnsi="宋体" w:eastAsia="宋体" w:cs="宋体"/>
          <w:bCs/>
          <w:sz w:val="24"/>
          <w:szCs w:val="24"/>
          <w:lang w:val="en-US" w:eastAsia="zh-CN"/>
        </w:rPr>
        <w:t>政府</w:t>
      </w:r>
      <w:r>
        <w:rPr>
          <w:rFonts w:hint="eastAsia" w:ascii="宋体" w:hAnsi="宋体" w:eastAsia="宋体" w:cs="宋体"/>
          <w:bCs/>
          <w:sz w:val="24"/>
          <w:szCs w:val="24"/>
        </w:rPr>
        <w:t>引导、</w:t>
      </w:r>
      <w:r>
        <w:rPr>
          <w:rFonts w:hint="eastAsia" w:ascii="宋体" w:hAnsi="宋体" w:eastAsia="宋体" w:cs="宋体"/>
          <w:bCs/>
          <w:sz w:val="24"/>
          <w:szCs w:val="24"/>
          <w:lang w:val="en-US" w:eastAsia="zh-CN"/>
        </w:rPr>
        <w:t>市场运作、银企</w:t>
      </w:r>
      <w:r>
        <w:rPr>
          <w:rFonts w:hint="eastAsia" w:ascii="宋体" w:hAnsi="宋体" w:eastAsia="宋体" w:cs="宋体"/>
          <w:bCs/>
          <w:sz w:val="24"/>
          <w:szCs w:val="24"/>
        </w:rPr>
        <w:t>自愿、风险自担的原则，中标（成交）供应商可根据自身资金需求，登录陕西省政府采购信用融资平台（http://www.ccgp-shaanxi.gov.cn/zcdservice/zcd/shanxi/）</w:t>
      </w:r>
      <w:r>
        <w:rPr>
          <w:rFonts w:hint="eastAsia" w:ascii="宋体" w:hAnsi="宋体" w:eastAsia="宋体" w:cs="宋体"/>
          <w:bCs/>
          <w:sz w:val="24"/>
          <w:szCs w:val="24"/>
          <w:lang w:val="en-US" w:eastAsia="zh-CN"/>
        </w:rPr>
        <w:t>或中征平台（https://www.crcrfsp.com）</w:t>
      </w:r>
      <w:r>
        <w:rPr>
          <w:rFonts w:hint="eastAsia" w:ascii="宋体" w:hAnsi="宋体" w:eastAsia="宋体" w:cs="宋体"/>
          <w:bCs/>
          <w:sz w:val="24"/>
          <w:szCs w:val="24"/>
        </w:rPr>
        <w:t>在线申请，依法参加政府采购信用融资活动。</w:t>
      </w:r>
    </w:p>
    <w:tbl>
      <w:tblPr>
        <w:tblStyle w:val="21"/>
        <w:tblpPr w:leftFromText="180" w:rightFromText="180" w:vertAnchor="page" w:horzAnchor="page" w:tblpXSpec="center" w:tblpY="3248"/>
        <w:tblOverlap w:val="never"/>
        <w:tblW w:w="95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40"/>
        <w:gridCol w:w="1176"/>
        <w:gridCol w:w="1153"/>
        <w:gridCol w:w="1104"/>
        <w:gridCol w:w="1116"/>
        <w:gridCol w:w="1392"/>
        <w:gridCol w:w="1104"/>
        <w:gridCol w:w="1782"/>
      </w:tblGrid>
      <w:tr w14:paraId="60668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jc w:val="center"/>
        </w:trPr>
        <w:tc>
          <w:tcPr>
            <w:tcW w:w="740" w:type="dxa"/>
            <w:tcBorders>
              <w:top w:val="nil"/>
              <w:left w:val="nil"/>
              <w:bottom w:val="nil"/>
              <w:right w:val="nil"/>
            </w:tcBorders>
            <w:noWrap/>
            <w:vAlign w:val="center"/>
          </w:tcPr>
          <w:p w14:paraId="596335EF">
            <w:pPr>
              <w:keepNext w:val="0"/>
              <w:keepLines w:val="0"/>
              <w:widowControl/>
              <w:suppressLineNumbers w:val="0"/>
              <w:jc w:val="both"/>
              <w:textAlignment w:val="center"/>
              <w:rPr>
                <w:rFonts w:hint="eastAsia" w:ascii="宋体" w:hAnsi="宋体" w:eastAsia="宋体" w:cs="宋体"/>
                <w:i w:val="0"/>
                <w:iCs w:val="0"/>
                <w:color w:val="000000"/>
                <w:kern w:val="0"/>
                <w:sz w:val="32"/>
                <w:szCs w:val="32"/>
                <w:u w:val="none"/>
                <w:lang w:val="en-US" w:eastAsia="zh-CN" w:bidi="ar"/>
              </w:rPr>
            </w:pPr>
          </w:p>
        </w:tc>
        <w:tc>
          <w:tcPr>
            <w:tcW w:w="8827" w:type="dxa"/>
            <w:gridSpan w:val="7"/>
            <w:tcBorders>
              <w:top w:val="nil"/>
              <w:left w:val="nil"/>
              <w:bottom w:val="nil"/>
              <w:right w:val="nil"/>
            </w:tcBorders>
            <w:noWrap/>
            <w:vAlign w:val="center"/>
          </w:tcPr>
          <w:p w14:paraId="59E46836">
            <w:pPr>
              <w:keepNext w:val="0"/>
              <w:keepLines w:val="0"/>
              <w:widowControl/>
              <w:suppressLineNumbers w:val="0"/>
              <w:jc w:val="center"/>
              <w:textAlignment w:val="center"/>
              <w:rPr>
                <w:rFonts w:hint="eastAsia" w:ascii="宋体" w:hAnsi="宋体" w:eastAsia="宋体" w:cs="宋体"/>
                <w:i w:val="0"/>
                <w:iCs w:val="0"/>
                <w:color w:val="000000"/>
                <w:sz w:val="52"/>
                <w:szCs w:val="52"/>
                <w:u w:val="none"/>
              </w:rPr>
            </w:pPr>
            <w:r>
              <w:rPr>
                <w:rFonts w:hint="eastAsia" w:ascii="宋体" w:hAnsi="宋体" w:eastAsia="宋体" w:cs="宋体"/>
                <w:i w:val="0"/>
                <w:iCs w:val="0"/>
                <w:color w:val="000000"/>
                <w:kern w:val="0"/>
                <w:sz w:val="32"/>
                <w:szCs w:val="32"/>
                <w:u w:val="none"/>
                <w:lang w:val="en-US" w:eastAsia="zh-CN" w:bidi="ar"/>
              </w:rPr>
              <w:t>榆林市“政采贷”业务办理银行联系表</w:t>
            </w:r>
          </w:p>
        </w:tc>
      </w:tr>
      <w:tr w14:paraId="28BC9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40" w:type="dxa"/>
            <w:tcBorders>
              <w:top w:val="single" w:color="000000" w:sz="4" w:space="0"/>
              <w:left w:val="single" w:color="000000" w:sz="4" w:space="0"/>
              <w:bottom w:val="single" w:color="000000" w:sz="4" w:space="0"/>
              <w:right w:val="single" w:color="000000" w:sz="4" w:space="0"/>
            </w:tcBorders>
            <w:noWrap/>
            <w:vAlign w:val="center"/>
          </w:tcPr>
          <w:p w14:paraId="4F51BF5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序号</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45424B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银行名称</w:t>
            </w:r>
          </w:p>
        </w:tc>
        <w:tc>
          <w:tcPr>
            <w:tcW w:w="1153" w:type="dxa"/>
            <w:tcBorders>
              <w:top w:val="single" w:color="000000" w:sz="4" w:space="0"/>
              <w:left w:val="single" w:color="000000" w:sz="4" w:space="0"/>
              <w:bottom w:val="single" w:color="000000" w:sz="4" w:space="0"/>
              <w:right w:val="single" w:color="000000" w:sz="4" w:space="0"/>
            </w:tcBorders>
            <w:noWrap/>
            <w:vAlign w:val="center"/>
          </w:tcPr>
          <w:p w14:paraId="04F8B9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产品名称</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27ECF4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贷款额度</w:t>
            </w:r>
          </w:p>
        </w:tc>
        <w:tc>
          <w:tcPr>
            <w:tcW w:w="1116" w:type="dxa"/>
            <w:tcBorders>
              <w:top w:val="single" w:color="000000" w:sz="4" w:space="0"/>
              <w:left w:val="single" w:color="000000" w:sz="4" w:space="0"/>
              <w:bottom w:val="single" w:color="000000" w:sz="4" w:space="0"/>
              <w:right w:val="single" w:color="000000" w:sz="4" w:space="0"/>
            </w:tcBorders>
            <w:noWrap/>
            <w:vAlign w:val="center"/>
          </w:tcPr>
          <w:p w14:paraId="52904A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贷款期限</w:t>
            </w:r>
          </w:p>
        </w:tc>
        <w:tc>
          <w:tcPr>
            <w:tcW w:w="1392" w:type="dxa"/>
            <w:tcBorders>
              <w:top w:val="single" w:color="000000" w:sz="4" w:space="0"/>
              <w:left w:val="single" w:color="000000" w:sz="4" w:space="0"/>
              <w:bottom w:val="single" w:color="000000" w:sz="4" w:space="0"/>
              <w:right w:val="single" w:color="000000" w:sz="4" w:space="0"/>
            </w:tcBorders>
            <w:noWrap/>
            <w:vAlign w:val="center"/>
          </w:tcPr>
          <w:p w14:paraId="5D36D1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贷款利率</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18D4A0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办理时效</w:t>
            </w:r>
          </w:p>
        </w:tc>
        <w:tc>
          <w:tcPr>
            <w:tcW w:w="1782" w:type="dxa"/>
            <w:tcBorders>
              <w:top w:val="single" w:color="000000" w:sz="4" w:space="0"/>
              <w:left w:val="single" w:color="000000" w:sz="4" w:space="0"/>
              <w:bottom w:val="single" w:color="000000" w:sz="4" w:space="0"/>
              <w:right w:val="single" w:color="000000" w:sz="4" w:space="0"/>
            </w:tcBorders>
            <w:noWrap/>
            <w:vAlign w:val="center"/>
          </w:tcPr>
          <w:p w14:paraId="3905FF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联系人</w:t>
            </w:r>
          </w:p>
        </w:tc>
      </w:tr>
      <w:tr w14:paraId="1CEA7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40" w:type="dxa"/>
            <w:tcBorders>
              <w:top w:val="single" w:color="000000" w:sz="4" w:space="0"/>
              <w:left w:val="single" w:color="000000" w:sz="4" w:space="0"/>
              <w:bottom w:val="single" w:color="000000" w:sz="4" w:space="0"/>
              <w:right w:val="single" w:color="000000" w:sz="4" w:space="0"/>
            </w:tcBorders>
            <w:noWrap/>
            <w:vAlign w:val="center"/>
          </w:tcPr>
          <w:p w14:paraId="7987613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015DF7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长安银行</w:t>
            </w:r>
          </w:p>
        </w:tc>
        <w:tc>
          <w:tcPr>
            <w:tcW w:w="1153" w:type="dxa"/>
            <w:tcBorders>
              <w:top w:val="single" w:color="000000" w:sz="4" w:space="0"/>
              <w:left w:val="single" w:color="000000" w:sz="4" w:space="0"/>
              <w:bottom w:val="single" w:color="000000" w:sz="4" w:space="0"/>
              <w:right w:val="single" w:color="000000" w:sz="4" w:space="0"/>
            </w:tcBorders>
            <w:noWrap/>
            <w:vAlign w:val="center"/>
          </w:tcPr>
          <w:p w14:paraId="18C628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政采贷</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49F21F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1000万元</w:t>
            </w:r>
          </w:p>
        </w:tc>
        <w:tc>
          <w:tcPr>
            <w:tcW w:w="1116" w:type="dxa"/>
            <w:tcBorders>
              <w:top w:val="single" w:color="000000" w:sz="4" w:space="0"/>
              <w:left w:val="single" w:color="000000" w:sz="4" w:space="0"/>
              <w:bottom w:val="single" w:color="000000" w:sz="4" w:space="0"/>
              <w:right w:val="single" w:color="000000" w:sz="4" w:space="0"/>
            </w:tcBorders>
            <w:noWrap/>
            <w:vAlign w:val="center"/>
          </w:tcPr>
          <w:p w14:paraId="52BFA8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1-3年</w:t>
            </w:r>
          </w:p>
        </w:tc>
        <w:tc>
          <w:tcPr>
            <w:tcW w:w="1392" w:type="dxa"/>
            <w:tcBorders>
              <w:top w:val="single" w:color="000000" w:sz="4" w:space="0"/>
              <w:left w:val="single" w:color="000000" w:sz="4" w:space="0"/>
              <w:bottom w:val="single" w:color="000000" w:sz="4" w:space="0"/>
              <w:right w:val="single" w:color="000000" w:sz="4" w:space="0"/>
            </w:tcBorders>
            <w:noWrap/>
            <w:vAlign w:val="center"/>
          </w:tcPr>
          <w:p w14:paraId="576277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3.45%</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42FE59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72小时</w:t>
            </w:r>
          </w:p>
        </w:tc>
        <w:tc>
          <w:tcPr>
            <w:tcW w:w="1782" w:type="dxa"/>
            <w:tcBorders>
              <w:top w:val="single" w:color="000000" w:sz="4" w:space="0"/>
              <w:left w:val="single" w:color="000000" w:sz="4" w:space="0"/>
              <w:bottom w:val="single" w:color="000000" w:sz="4" w:space="0"/>
              <w:right w:val="single" w:color="000000" w:sz="4" w:space="0"/>
            </w:tcBorders>
            <w:noWrap w:val="0"/>
            <w:vAlign w:val="center"/>
          </w:tcPr>
          <w:p w14:paraId="6A9ED0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魏  众15109123951</w:t>
            </w:r>
          </w:p>
        </w:tc>
      </w:tr>
      <w:tr w14:paraId="55D97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40" w:type="dxa"/>
            <w:tcBorders>
              <w:top w:val="single" w:color="000000" w:sz="4" w:space="0"/>
              <w:left w:val="single" w:color="000000" w:sz="4" w:space="0"/>
              <w:bottom w:val="single" w:color="000000" w:sz="4" w:space="0"/>
              <w:right w:val="single" w:color="000000" w:sz="4" w:space="0"/>
            </w:tcBorders>
            <w:noWrap/>
            <w:vAlign w:val="center"/>
          </w:tcPr>
          <w:p w14:paraId="1EBB5C2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59088CF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中信银行</w:t>
            </w:r>
          </w:p>
        </w:tc>
        <w:tc>
          <w:tcPr>
            <w:tcW w:w="1153" w:type="dxa"/>
            <w:tcBorders>
              <w:top w:val="single" w:color="000000" w:sz="4" w:space="0"/>
              <w:left w:val="single" w:color="000000" w:sz="4" w:space="0"/>
              <w:bottom w:val="single" w:color="000000" w:sz="4" w:space="0"/>
              <w:right w:val="single" w:color="000000" w:sz="4" w:space="0"/>
            </w:tcBorders>
            <w:noWrap/>
            <w:vAlign w:val="center"/>
          </w:tcPr>
          <w:p w14:paraId="193BCC7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政采E贷</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04E7749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1000万元</w:t>
            </w:r>
          </w:p>
        </w:tc>
        <w:tc>
          <w:tcPr>
            <w:tcW w:w="1116" w:type="dxa"/>
            <w:tcBorders>
              <w:top w:val="single" w:color="000000" w:sz="4" w:space="0"/>
              <w:left w:val="single" w:color="000000" w:sz="4" w:space="0"/>
              <w:bottom w:val="single" w:color="000000" w:sz="4" w:space="0"/>
              <w:right w:val="single" w:color="000000" w:sz="4" w:space="0"/>
            </w:tcBorders>
            <w:noWrap/>
            <w:vAlign w:val="center"/>
          </w:tcPr>
          <w:p w14:paraId="70C8AD0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1-3年</w:t>
            </w:r>
          </w:p>
        </w:tc>
        <w:tc>
          <w:tcPr>
            <w:tcW w:w="1392" w:type="dxa"/>
            <w:tcBorders>
              <w:top w:val="single" w:color="000000" w:sz="4" w:space="0"/>
              <w:left w:val="single" w:color="000000" w:sz="4" w:space="0"/>
              <w:bottom w:val="single" w:color="000000" w:sz="4" w:space="0"/>
              <w:right w:val="single" w:color="000000" w:sz="4" w:space="0"/>
            </w:tcBorders>
            <w:noWrap/>
            <w:vAlign w:val="center"/>
          </w:tcPr>
          <w:p w14:paraId="7E1049A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3.45%起</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574C792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24小时</w:t>
            </w:r>
          </w:p>
        </w:tc>
        <w:tc>
          <w:tcPr>
            <w:tcW w:w="1782" w:type="dxa"/>
            <w:tcBorders>
              <w:top w:val="single" w:color="000000" w:sz="4" w:space="0"/>
              <w:left w:val="single" w:color="000000" w:sz="4" w:space="0"/>
              <w:bottom w:val="single" w:color="000000" w:sz="4" w:space="0"/>
              <w:right w:val="single" w:color="000000" w:sz="4" w:space="0"/>
            </w:tcBorders>
            <w:noWrap/>
            <w:vAlign w:val="center"/>
          </w:tcPr>
          <w:p w14:paraId="3BD02E9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李  靖15509125117</w:t>
            </w:r>
          </w:p>
        </w:tc>
      </w:tr>
      <w:tr w14:paraId="6C24E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40" w:type="dxa"/>
            <w:tcBorders>
              <w:top w:val="single" w:color="000000" w:sz="4" w:space="0"/>
              <w:left w:val="single" w:color="000000" w:sz="4" w:space="0"/>
              <w:bottom w:val="single" w:color="000000" w:sz="4" w:space="0"/>
              <w:right w:val="single" w:color="000000" w:sz="4" w:space="0"/>
            </w:tcBorders>
            <w:noWrap/>
            <w:vAlign w:val="center"/>
          </w:tcPr>
          <w:p w14:paraId="4266CCA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31DAE1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光大银行</w:t>
            </w:r>
          </w:p>
        </w:tc>
        <w:tc>
          <w:tcPr>
            <w:tcW w:w="1153" w:type="dxa"/>
            <w:tcBorders>
              <w:top w:val="single" w:color="000000" w:sz="4" w:space="0"/>
              <w:left w:val="single" w:color="000000" w:sz="4" w:space="0"/>
              <w:bottom w:val="single" w:color="000000" w:sz="4" w:space="0"/>
              <w:right w:val="single" w:color="000000" w:sz="4" w:space="0"/>
            </w:tcBorders>
            <w:noWrap/>
            <w:vAlign w:val="center"/>
          </w:tcPr>
          <w:p w14:paraId="5854B1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政采贷</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0892ED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1000万元</w:t>
            </w:r>
          </w:p>
        </w:tc>
        <w:tc>
          <w:tcPr>
            <w:tcW w:w="1116" w:type="dxa"/>
            <w:tcBorders>
              <w:top w:val="single" w:color="000000" w:sz="4" w:space="0"/>
              <w:left w:val="single" w:color="000000" w:sz="4" w:space="0"/>
              <w:bottom w:val="single" w:color="000000" w:sz="4" w:space="0"/>
              <w:right w:val="single" w:color="000000" w:sz="4" w:space="0"/>
            </w:tcBorders>
            <w:noWrap/>
            <w:vAlign w:val="center"/>
          </w:tcPr>
          <w:p w14:paraId="0028BA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1-3年</w:t>
            </w:r>
          </w:p>
        </w:tc>
        <w:tc>
          <w:tcPr>
            <w:tcW w:w="1392" w:type="dxa"/>
            <w:tcBorders>
              <w:top w:val="single" w:color="000000" w:sz="4" w:space="0"/>
              <w:left w:val="single" w:color="000000" w:sz="4" w:space="0"/>
              <w:bottom w:val="single" w:color="000000" w:sz="4" w:space="0"/>
              <w:right w:val="single" w:color="000000" w:sz="4" w:space="0"/>
            </w:tcBorders>
            <w:noWrap/>
            <w:vAlign w:val="center"/>
          </w:tcPr>
          <w:p w14:paraId="11265B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3.45%</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3E68E7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72小时</w:t>
            </w:r>
          </w:p>
        </w:tc>
        <w:tc>
          <w:tcPr>
            <w:tcW w:w="1782" w:type="dxa"/>
            <w:tcBorders>
              <w:top w:val="single" w:color="000000" w:sz="4" w:space="0"/>
              <w:left w:val="single" w:color="000000" w:sz="4" w:space="0"/>
              <w:bottom w:val="single" w:color="000000" w:sz="4" w:space="0"/>
              <w:right w:val="single" w:color="000000" w:sz="4" w:space="0"/>
            </w:tcBorders>
            <w:noWrap/>
            <w:vAlign w:val="center"/>
          </w:tcPr>
          <w:p w14:paraId="75CDDF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  波18809125468</w:t>
            </w:r>
          </w:p>
        </w:tc>
      </w:tr>
      <w:tr w14:paraId="6A556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40" w:type="dxa"/>
            <w:tcBorders>
              <w:top w:val="single" w:color="000000" w:sz="4" w:space="0"/>
              <w:left w:val="single" w:color="000000" w:sz="4" w:space="0"/>
              <w:bottom w:val="single" w:color="000000" w:sz="4" w:space="0"/>
              <w:right w:val="single" w:color="000000" w:sz="4" w:space="0"/>
            </w:tcBorders>
            <w:noWrap/>
            <w:vAlign w:val="center"/>
          </w:tcPr>
          <w:p w14:paraId="7615A7A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25FACE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交通银行</w:t>
            </w:r>
          </w:p>
        </w:tc>
        <w:tc>
          <w:tcPr>
            <w:tcW w:w="1153" w:type="dxa"/>
            <w:tcBorders>
              <w:top w:val="single" w:color="000000" w:sz="4" w:space="0"/>
              <w:left w:val="single" w:color="000000" w:sz="4" w:space="0"/>
              <w:bottom w:val="single" w:color="000000" w:sz="4" w:space="0"/>
              <w:right w:val="single" w:color="000000" w:sz="4" w:space="0"/>
            </w:tcBorders>
            <w:noWrap/>
            <w:vAlign w:val="center"/>
          </w:tcPr>
          <w:p w14:paraId="1BBAC1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秦政贷</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6EA7EB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1000万元</w:t>
            </w:r>
          </w:p>
        </w:tc>
        <w:tc>
          <w:tcPr>
            <w:tcW w:w="1116" w:type="dxa"/>
            <w:tcBorders>
              <w:top w:val="single" w:color="000000" w:sz="4" w:space="0"/>
              <w:left w:val="single" w:color="000000" w:sz="4" w:space="0"/>
              <w:bottom w:val="single" w:color="000000" w:sz="4" w:space="0"/>
              <w:right w:val="single" w:color="000000" w:sz="4" w:space="0"/>
            </w:tcBorders>
            <w:noWrap/>
            <w:vAlign w:val="center"/>
          </w:tcPr>
          <w:p w14:paraId="3A1028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1年</w:t>
            </w:r>
          </w:p>
        </w:tc>
        <w:tc>
          <w:tcPr>
            <w:tcW w:w="1392" w:type="dxa"/>
            <w:tcBorders>
              <w:top w:val="single" w:color="000000" w:sz="4" w:space="0"/>
              <w:left w:val="single" w:color="000000" w:sz="4" w:space="0"/>
              <w:bottom w:val="single" w:color="000000" w:sz="4" w:space="0"/>
              <w:right w:val="single" w:color="000000" w:sz="4" w:space="0"/>
            </w:tcBorders>
            <w:noWrap/>
            <w:vAlign w:val="center"/>
          </w:tcPr>
          <w:p w14:paraId="7C0B1A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3.45%</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25FBA0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24小时</w:t>
            </w:r>
          </w:p>
        </w:tc>
        <w:tc>
          <w:tcPr>
            <w:tcW w:w="1782" w:type="dxa"/>
            <w:tcBorders>
              <w:top w:val="single" w:color="000000" w:sz="4" w:space="0"/>
              <w:left w:val="single" w:color="000000" w:sz="4" w:space="0"/>
              <w:bottom w:val="single" w:color="000000" w:sz="4" w:space="0"/>
              <w:right w:val="single" w:color="000000" w:sz="4" w:space="0"/>
            </w:tcBorders>
            <w:noWrap/>
            <w:vAlign w:val="center"/>
          </w:tcPr>
          <w:p w14:paraId="3ADBD8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  飞15291296886</w:t>
            </w:r>
          </w:p>
        </w:tc>
      </w:tr>
      <w:tr w14:paraId="4E8A1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40" w:type="dxa"/>
            <w:tcBorders>
              <w:top w:val="single" w:color="000000" w:sz="4" w:space="0"/>
              <w:left w:val="single" w:color="000000" w:sz="4" w:space="0"/>
              <w:bottom w:val="single" w:color="000000" w:sz="4" w:space="0"/>
              <w:right w:val="single" w:color="000000" w:sz="4" w:space="0"/>
            </w:tcBorders>
            <w:noWrap/>
            <w:vAlign w:val="center"/>
          </w:tcPr>
          <w:p w14:paraId="2C0FB49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274FB8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中国银行</w:t>
            </w:r>
          </w:p>
        </w:tc>
        <w:tc>
          <w:tcPr>
            <w:tcW w:w="1153" w:type="dxa"/>
            <w:tcBorders>
              <w:top w:val="single" w:color="000000" w:sz="4" w:space="0"/>
              <w:left w:val="single" w:color="000000" w:sz="4" w:space="0"/>
              <w:bottom w:val="single" w:color="000000" w:sz="4" w:space="0"/>
              <w:right w:val="single" w:color="000000" w:sz="4" w:space="0"/>
            </w:tcBorders>
            <w:noWrap/>
            <w:vAlign w:val="center"/>
          </w:tcPr>
          <w:p w14:paraId="2401AB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政采贷</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26452D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1000万元</w:t>
            </w:r>
          </w:p>
        </w:tc>
        <w:tc>
          <w:tcPr>
            <w:tcW w:w="1116" w:type="dxa"/>
            <w:tcBorders>
              <w:top w:val="single" w:color="000000" w:sz="4" w:space="0"/>
              <w:left w:val="single" w:color="000000" w:sz="4" w:space="0"/>
              <w:bottom w:val="single" w:color="000000" w:sz="4" w:space="0"/>
              <w:right w:val="single" w:color="000000" w:sz="4" w:space="0"/>
            </w:tcBorders>
            <w:noWrap/>
            <w:vAlign w:val="center"/>
          </w:tcPr>
          <w:p w14:paraId="27C73E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1-3年</w:t>
            </w:r>
          </w:p>
        </w:tc>
        <w:tc>
          <w:tcPr>
            <w:tcW w:w="1392" w:type="dxa"/>
            <w:tcBorders>
              <w:top w:val="single" w:color="000000" w:sz="4" w:space="0"/>
              <w:left w:val="single" w:color="000000" w:sz="4" w:space="0"/>
              <w:bottom w:val="single" w:color="000000" w:sz="4" w:space="0"/>
              <w:right w:val="single" w:color="000000" w:sz="4" w:space="0"/>
            </w:tcBorders>
            <w:noWrap/>
            <w:vAlign w:val="center"/>
          </w:tcPr>
          <w:p w14:paraId="43B707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3.45%</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46E8C2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72小时</w:t>
            </w:r>
          </w:p>
        </w:tc>
        <w:tc>
          <w:tcPr>
            <w:tcW w:w="1782" w:type="dxa"/>
            <w:tcBorders>
              <w:top w:val="single" w:color="000000" w:sz="4" w:space="0"/>
              <w:left w:val="single" w:color="000000" w:sz="4" w:space="0"/>
              <w:bottom w:val="single" w:color="000000" w:sz="4" w:space="0"/>
              <w:right w:val="single" w:color="000000" w:sz="4" w:space="0"/>
            </w:tcBorders>
            <w:noWrap w:val="0"/>
            <w:vAlign w:val="center"/>
          </w:tcPr>
          <w:p w14:paraId="5DF837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  浩18691230007</w:t>
            </w:r>
          </w:p>
        </w:tc>
      </w:tr>
      <w:tr w14:paraId="739C4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40" w:type="dxa"/>
            <w:tcBorders>
              <w:top w:val="single" w:color="000000" w:sz="4" w:space="0"/>
              <w:left w:val="single" w:color="000000" w:sz="4" w:space="0"/>
              <w:bottom w:val="single" w:color="000000" w:sz="4" w:space="0"/>
              <w:right w:val="single" w:color="000000" w:sz="4" w:space="0"/>
            </w:tcBorders>
            <w:noWrap/>
            <w:vAlign w:val="center"/>
          </w:tcPr>
          <w:p w14:paraId="6505BCC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6DD77B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招商银行</w:t>
            </w:r>
          </w:p>
        </w:tc>
        <w:tc>
          <w:tcPr>
            <w:tcW w:w="1153" w:type="dxa"/>
            <w:tcBorders>
              <w:top w:val="single" w:color="000000" w:sz="4" w:space="0"/>
              <w:left w:val="single" w:color="000000" w:sz="4" w:space="0"/>
              <w:bottom w:val="single" w:color="000000" w:sz="4" w:space="0"/>
              <w:right w:val="single" w:color="000000" w:sz="4" w:space="0"/>
            </w:tcBorders>
            <w:noWrap/>
            <w:vAlign w:val="center"/>
          </w:tcPr>
          <w:p w14:paraId="69931D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政采贷</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600950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3000万元</w:t>
            </w:r>
          </w:p>
        </w:tc>
        <w:tc>
          <w:tcPr>
            <w:tcW w:w="1116" w:type="dxa"/>
            <w:tcBorders>
              <w:top w:val="single" w:color="000000" w:sz="4" w:space="0"/>
              <w:left w:val="single" w:color="000000" w:sz="4" w:space="0"/>
              <w:bottom w:val="single" w:color="000000" w:sz="4" w:space="0"/>
              <w:right w:val="single" w:color="000000" w:sz="4" w:space="0"/>
            </w:tcBorders>
            <w:noWrap/>
            <w:vAlign w:val="center"/>
          </w:tcPr>
          <w:p w14:paraId="00DF39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1-3年</w:t>
            </w:r>
          </w:p>
        </w:tc>
        <w:tc>
          <w:tcPr>
            <w:tcW w:w="1392" w:type="dxa"/>
            <w:tcBorders>
              <w:top w:val="single" w:color="000000" w:sz="4" w:space="0"/>
              <w:left w:val="single" w:color="000000" w:sz="4" w:space="0"/>
              <w:bottom w:val="single" w:color="000000" w:sz="4" w:space="0"/>
              <w:right w:val="single" w:color="000000" w:sz="4" w:space="0"/>
            </w:tcBorders>
            <w:noWrap/>
            <w:vAlign w:val="center"/>
          </w:tcPr>
          <w:p w14:paraId="35781F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3.45%起</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6F0A34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24小时</w:t>
            </w:r>
          </w:p>
        </w:tc>
        <w:tc>
          <w:tcPr>
            <w:tcW w:w="1782" w:type="dxa"/>
            <w:tcBorders>
              <w:top w:val="single" w:color="000000" w:sz="4" w:space="0"/>
              <w:left w:val="single" w:color="000000" w:sz="4" w:space="0"/>
              <w:bottom w:val="single" w:color="000000" w:sz="4" w:space="0"/>
              <w:right w:val="single" w:color="000000" w:sz="4" w:space="0"/>
            </w:tcBorders>
            <w:noWrap/>
            <w:vAlign w:val="center"/>
          </w:tcPr>
          <w:p w14:paraId="1667E8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马  烨15596100007</w:t>
            </w:r>
          </w:p>
        </w:tc>
      </w:tr>
      <w:tr w14:paraId="04873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40" w:type="dxa"/>
            <w:tcBorders>
              <w:top w:val="single" w:color="000000" w:sz="4" w:space="0"/>
              <w:left w:val="single" w:color="000000" w:sz="4" w:space="0"/>
              <w:bottom w:val="single" w:color="000000" w:sz="4" w:space="0"/>
              <w:right w:val="single" w:color="000000" w:sz="4" w:space="0"/>
            </w:tcBorders>
            <w:noWrap/>
            <w:vAlign w:val="center"/>
          </w:tcPr>
          <w:p w14:paraId="73EEA19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74E0ED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浦发银行</w:t>
            </w:r>
          </w:p>
        </w:tc>
        <w:tc>
          <w:tcPr>
            <w:tcW w:w="1153" w:type="dxa"/>
            <w:tcBorders>
              <w:top w:val="single" w:color="000000" w:sz="4" w:space="0"/>
              <w:left w:val="single" w:color="000000" w:sz="4" w:space="0"/>
              <w:bottom w:val="single" w:color="000000" w:sz="4" w:space="0"/>
              <w:right w:val="single" w:color="000000" w:sz="4" w:space="0"/>
            </w:tcBorders>
            <w:noWrap/>
            <w:vAlign w:val="center"/>
          </w:tcPr>
          <w:p w14:paraId="6B407D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政采E贷</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0500B7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2000万元</w:t>
            </w:r>
          </w:p>
        </w:tc>
        <w:tc>
          <w:tcPr>
            <w:tcW w:w="1116" w:type="dxa"/>
            <w:tcBorders>
              <w:top w:val="single" w:color="000000" w:sz="4" w:space="0"/>
              <w:left w:val="single" w:color="000000" w:sz="4" w:space="0"/>
              <w:bottom w:val="single" w:color="000000" w:sz="4" w:space="0"/>
              <w:right w:val="single" w:color="000000" w:sz="4" w:space="0"/>
            </w:tcBorders>
            <w:noWrap/>
            <w:vAlign w:val="center"/>
          </w:tcPr>
          <w:p w14:paraId="597BBD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1年</w:t>
            </w:r>
          </w:p>
        </w:tc>
        <w:tc>
          <w:tcPr>
            <w:tcW w:w="1392" w:type="dxa"/>
            <w:tcBorders>
              <w:top w:val="single" w:color="000000" w:sz="4" w:space="0"/>
              <w:left w:val="single" w:color="000000" w:sz="4" w:space="0"/>
              <w:bottom w:val="single" w:color="000000" w:sz="4" w:space="0"/>
              <w:right w:val="single" w:color="000000" w:sz="4" w:space="0"/>
            </w:tcBorders>
            <w:noWrap/>
            <w:vAlign w:val="center"/>
          </w:tcPr>
          <w:p w14:paraId="374BBE49">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3.8%</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3674B2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72小时</w:t>
            </w:r>
          </w:p>
        </w:tc>
        <w:tc>
          <w:tcPr>
            <w:tcW w:w="1782" w:type="dxa"/>
            <w:tcBorders>
              <w:top w:val="single" w:color="000000" w:sz="4" w:space="0"/>
              <w:left w:val="single" w:color="000000" w:sz="4" w:space="0"/>
              <w:bottom w:val="single" w:color="000000" w:sz="4" w:space="0"/>
              <w:right w:val="single" w:color="000000" w:sz="4" w:space="0"/>
            </w:tcBorders>
            <w:noWrap/>
            <w:vAlign w:val="center"/>
          </w:tcPr>
          <w:p w14:paraId="23247F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朱  君15629169158</w:t>
            </w:r>
          </w:p>
        </w:tc>
      </w:tr>
      <w:tr w14:paraId="3EB6E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40" w:type="dxa"/>
            <w:tcBorders>
              <w:top w:val="single" w:color="000000" w:sz="4" w:space="0"/>
              <w:left w:val="single" w:color="000000" w:sz="4" w:space="0"/>
              <w:bottom w:val="single" w:color="000000" w:sz="4" w:space="0"/>
              <w:right w:val="single" w:color="000000" w:sz="4" w:space="0"/>
            </w:tcBorders>
            <w:noWrap/>
            <w:vAlign w:val="center"/>
          </w:tcPr>
          <w:p w14:paraId="70F9119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4E9EB7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农商银行</w:t>
            </w:r>
          </w:p>
        </w:tc>
        <w:tc>
          <w:tcPr>
            <w:tcW w:w="1153" w:type="dxa"/>
            <w:tcBorders>
              <w:top w:val="single" w:color="000000" w:sz="4" w:space="0"/>
              <w:left w:val="single" w:color="000000" w:sz="4" w:space="0"/>
              <w:bottom w:val="single" w:color="000000" w:sz="4" w:space="0"/>
              <w:right w:val="single" w:color="000000" w:sz="4" w:space="0"/>
            </w:tcBorders>
            <w:noWrap/>
            <w:vAlign w:val="center"/>
          </w:tcPr>
          <w:p w14:paraId="33E25B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政采贷</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2F004F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1000万元</w:t>
            </w:r>
          </w:p>
        </w:tc>
        <w:tc>
          <w:tcPr>
            <w:tcW w:w="1116" w:type="dxa"/>
            <w:tcBorders>
              <w:top w:val="single" w:color="000000" w:sz="4" w:space="0"/>
              <w:left w:val="single" w:color="000000" w:sz="4" w:space="0"/>
              <w:bottom w:val="single" w:color="000000" w:sz="4" w:space="0"/>
              <w:right w:val="single" w:color="000000" w:sz="4" w:space="0"/>
            </w:tcBorders>
            <w:noWrap/>
            <w:vAlign w:val="center"/>
          </w:tcPr>
          <w:p w14:paraId="3116D2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1-2年</w:t>
            </w:r>
          </w:p>
        </w:tc>
        <w:tc>
          <w:tcPr>
            <w:tcW w:w="1392" w:type="dxa"/>
            <w:tcBorders>
              <w:top w:val="single" w:color="000000" w:sz="4" w:space="0"/>
              <w:left w:val="single" w:color="000000" w:sz="4" w:space="0"/>
              <w:bottom w:val="single" w:color="000000" w:sz="4" w:space="0"/>
              <w:right w:val="single" w:color="000000" w:sz="4" w:space="0"/>
            </w:tcBorders>
            <w:noWrap/>
            <w:vAlign w:val="center"/>
          </w:tcPr>
          <w:p w14:paraId="6C0D7B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3.45%-5.8%</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38C773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24小时</w:t>
            </w:r>
          </w:p>
        </w:tc>
        <w:tc>
          <w:tcPr>
            <w:tcW w:w="1782" w:type="dxa"/>
            <w:tcBorders>
              <w:top w:val="single" w:color="000000" w:sz="4" w:space="0"/>
              <w:left w:val="single" w:color="000000" w:sz="4" w:space="0"/>
              <w:bottom w:val="single" w:color="000000" w:sz="4" w:space="0"/>
              <w:right w:val="single" w:color="000000" w:sz="4" w:space="0"/>
            </w:tcBorders>
            <w:noWrap/>
            <w:vAlign w:val="center"/>
          </w:tcPr>
          <w:p w14:paraId="3191F7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  璐15529875056</w:t>
            </w:r>
          </w:p>
        </w:tc>
      </w:tr>
      <w:tr w14:paraId="45520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40" w:type="dxa"/>
            <w:tcBorders>
              <w:top w:val="single" w:color="000000" w:sz="4" w:space="0"/>
              <w:left w:val="single" w:color="000000" w:sz="4" w:space="0"/>
              <w:bottom w:val="single" w:color="000000" w:sz="4" w:space="0"/>
              <w:right w:val="single" w:color="000000" w:sz="4" w:space="0"/>
            </w:tcBorders>
            <w:noWrap/>
            <w:vAlign w:val="center"/>
          </w:tcPr>
          <w:p w14:paraId="3881364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3D90CF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农业银行</w:t>
            </w:r>
          </w:p>
        </w:tc>
        <w:tc>
          <w:tcPr>
            <w:tcW w:w="1153" w:type="dxa"/>
            <w:tcBorders>
              <w:top w:val="single" w:color="000000" w:sz="4" w:space="0"/>
              <w:left w:val="single" w:color="000000" w:sz="4" w:space="0"/>
              <w:bottom w:val="single" w:color="000000" w:sz="4" w:space="0"/>
              <w:right w:val="single" w:color="000000" w:sz="4" w:space="0"/>
            </w:tcBorders>
            <w:noWrap/>
            <w:vAlign w:val="center"/>
          </w:tcPr>
          <w:p w14:paraId="4B6433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政采贷</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2F4F0E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3000万元</w:t>
            </w:r>
          </w:p>
        </w:tc>
        <w:tc>
          <w:tcPr>
            <w:tcW w:w="1116" w:type="dxa"/>
            <w:tcBorders>
              <w:top w:val="single" w:color="000000" w:sz="4" w:space="0"/>
              <w:left w:val="single" w:color="000000" w:sz="4" w:space="0"/>
              <w:bottom w:val="single" w:color="000000" w:sz="4" w:space="0"/>
              <w:right w:val="single" w:color="000000" w:sz="4" w:space="0"/>
            </w:tcBorders>
            <w:noWrap/>
            <w:vAlign w:val="center"/>
          </w:tcPr>
          <w:p w14:paraId="7F1E26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1年</w:t>
            </w:r>
          </w:p>
        </w:tc>
        <w:tc>
          <w:tcPr>
            <w:tcW w:w="1392" w:type="dxa"/>
            <w:tcBorders>
              <w:top w:val="single" w:color="000000" w:sz="4" w:space="0"/>
              <w:left w:val="single" w:color="000000" w:sz="4" w:space="0"/>
              <w:bottom w:val="single" w:color="000000" w:sz="4" w:space="0"/>
              <w:right w:val="single" w:color="000000" w:sz="4" w:space="0"/>
            </w:tcBorders>
            <w:noWrap/>
            <w:vAlign w:val="center"/>
          </w:tcPr>
          <w:p w14:paraId="410AD7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3.45%-3.85%</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4835A1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24小时</w:t>
            </w:r>
          </w:p>
        </w:tc>
        <w:tc>
          <w:tcPr>
            <w:tcW w:w="1782" w:type="dxa"/>
            <w:tcBorders>
              <w:top w:val="single" w:color="000000" w:sz="4" w:space="0"/>
              <w:left w:val="single" w:color="000000" w:sz="4" w:space="0"/>
              <w:bottom w:val="single" w:color="000000" w:sz="4" w:space="0"/>
              <w:right w:val="single" w:color="000000" w:sz="4" w:space="0"/>
            </w:tcBorders>
            <w:noWrap/>
            <w:vAlign w:val="center"/>
          </w:tcPr>
          <w:p w14:paraId="11134D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杨  尧13325409313</w:t>
            </w:r>
          </w:p>
        </w:tc>
      </w:tr>
      <w:tr w14:paraId="2FC45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40" w:type="dxa"/>
            <w:tcBorders>
              <w:top w:val="single" w:color="000000" w:sz="4" w:space="0"/>
              <w:left w:val="single" w:color="000000" w:sz="4" w:space="0"/>
              <w:bottom w:val="single" w:color="000000" w:sz="4" w:space="0"/>
              <w:right w:val="single" w:color="000000" w:sz="4" w:space="0"/>
            </w:tcBorders>
            <w:noWrap/>
            <w:vAlign w:val="center"/>
          </w:tcPr>
          <w:p w14:paraId="58EB059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1176" w:type="dxa"/>
            <w:tcBorders>
              <w:top w:val="single" w:color="000000" w:sz="4" w:space="0"/>
              <w:left w:val="single" w:color="000000" w:sz="4" w:space="0"/>
              <w:bottom w:val="single" w:color="000000" w:sz="4" w:space="0"/>
              <w:right w:val="single" w:color="000000" w:sz="4" w:space="0"/>
            </w:tcBorders>
            <w:noWrap/>
            <w:vAlign w:val="center"/>
          </w:tcPr>
          <w:p w14:paraId="0E9E1D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民生银行</w:t>
            </w:r>
          </w:p>
        </w:tc>
        <w:tc>
          <w:tcPr>
            <w:tcW w:w="1153" w:type="dxa"/>
            <w:tcBorders>
              <w:top w:val="single" w:color="000000" w:sz="4" w:space="0"/>
              <w:left w:val="single" w:color="000000" w:sz="4" w:space="0"/>
              <w:bottom w:val="single" w:color="000000" w:sz="4" w:space="0"/>
              <w:right w:val="single" w:color="000000" w:sz="4" w:space="0"/>
            </w:tcBorders>
            <w:noWrap/>
            <w:vAlign w:val="center"/>
          </w:tcPr>
          <w:p w14:paraId="6BA568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政采E贷</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13602B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3000万元</w:t>
            </w:r>
          </w:p>
        </w:tc>
        <w:tc>
          <w:tcPr>
            <w:tcW w:w="1116" w:type="dxa"/>
            <w:tcBorders>
              <w:top w:val="single" w:color="000000" w:sz="4" w:space="0"/>
              <w:left w:val="single" w:color="000000" w:sz="4" w:space="0"/>
              <w:bottom w:val="single" w:color="000000" w:sz="4" w:space="0"/>
              <w:right w:val="single" w:color="000000" w:sz="4" w:space="0"/>
            </w:tcBorders>
            <w:noWrap/>
            <w:vAlign w:val="center"/>
          </w:tcPr>
          <w:p w14:paraId="30B048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1年</w:t>
            </w:r>
          </w:p>
        </w:tc>
        <w:tc>
          <w:tcPr>
            <w:tcW w:w="1392" w:type="dxa"/>
            <w:tcBorders>
              <w:top w:val="single" w:color="000000" w:sz="4" w:space="0"/>
              <w:left w:val="single" w:color="000000" w:sz="4" w:space="0"/>
              <w:bottom w:val="single" w:color="000000" w:sz="4" w:space="0"/>
              <w:right w:val="single" w:color="000000" w:sz="4" w:space="0"/>
            </w:tcBorders>
            <w:noWrap/>
            <w:vAlign w:val="center"/>
          </w:tcPr>
          <w:p w14:paraId="265654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3.45%起</w:t>
            </w:r>
          </w:p>
        </w:tc>
        <w:tc>
          <w:tcPr>
            <w:tcW w:w="1104" w:type="dxa"/>
            <w:tcBorders>
              <w:top w:val="single" w:color="000000" w:sz="4" w:space="0"/>
              <w:left w:val="single" w:color="000000" w:sz="4" w:space="0"/>
              <w:bottom w:val="single" w:color="000000" w:sz="4" w:space="0"/>
              <w:right w:val="single" w:color="000000" w:sz="4" w:space="0"/>
            </w:tcBorders>
            <w:noWrap/>
            <w:vAlign w:val="center"/>
          </w:tcPr>
          <w:p w14:paraId="50A932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24小时</w:t>
            </w:r>
          </w:p>
        </w:tc>
        <w:tc>
          <w:tcPr>
            <w:tcW w:w="1782" w:type="dxa"/>
            <w:tcBorders>
              <w:top w:val="single" w:color="000000" w:sz="4" w:space="0"/>
              <w:left w:val="single" w:color="000000" w:sz="4" w:space="0"/>
              <w:bottom w:val="single" w:color="000000" w:sz="4" w:space="0"/>
              <w:right w:val="single" w:color="000000" w:sz="4" w:space="0"/>
            </w:tcBorders>
            <w:noWrap/>
            <w:vAlign w:val="center"/>
          </w:tcPr>
          <w:p w14:paraId="3E6004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郝双双15991225850</w:t>
            </w:r>
          </w:p>
        </w:tc>
      </w:tr>
    </w:tbl>
    <w:p w14:paraId="4F888421">
      <w:pPr>
        <w:spacing w:line="500" w:lineRule="exact"/>
        <w:rPr>
          <w:rFonts w:hint="eastAsia" w:ascii="宋体" w:hAnsi="宋体" w:eastAsia="宋体" w:cs="宋体"/>
          <w:b/>
          <w:sz w:val="24"/>
          <w:szCs w:val="24"/>
          <w:lang w:eastAsia="zh-CN"/>
        </w:rPr>
      </w:pPr>
      <w:r>
        <w:rPr>
          <w:rFonts w:hint="eastAsia" w:ascii="宋体" w:hAnsi="宋体" w:eastAsia="宋体" w:cs="宋体"/>
          <w:bCs/>
          <w:sz w:val="24"/>
          <w:szCs w:val="24"/>
          <w:lang w:val="en-US" w:eastAsia="zh-CN"/>
        </w:rPr>
        <w:t>备注：银行排名不分先后。如产品额度、期限、利率等内容发生改变，以银行解释为准。</w:t>
      </w:r>
    </w:p>
    <w:p w14:paraId="3D948F4A">
      <w:pPr>
        <w:spacing w:line="288" w:lineRule="auto"/>
        <w:ind w:firstLine="480" w:firstLineChars="200"/>
        <w:rPr>
          <w:rFonts w:hint="eastAsia" w:ascii="宋体" w:hAnsi="宋体" w:eastAsia="宋体" w:cs="宋体"/>
          <w:bCs/>
          <w:sz w:val="24"/>
          <w:szCs w:val="24"/>
        </w:rPr>
      </w:pPr>
    </w:p>
    <w:p w14:paraId="4C43002B">
      <w:pPr>
        <w:ind w:firstLine="241" w:firstLineChars="100"/>
        <w:rPr>
          <w:rFonts w:hint="eastAsia" w:ascii="宋体" w:hAnsi="宋体" w:eastAsia="宋体" w:cs="宋体"/>
          <w:b/>
          <w:bCs/>
          <w:sz w:val="24"/>
          <w:szCs w:val="24"/>
          <w:lang w:eastAsia="zh-CN"/>
        </w:rPr>
      </w:pPr>
      <w:r>
        <w:rPr>
          <w:rFonts w:hint="eastAsia" w:ascii="宋体" w:hAnsi="宋体" w:eastAsia="宋体" w:cs="宋体"/>
          <w:b/>
          <w:bCs/>
          <w:sz w:val="24"/>
          <w:szCs w:val="24"/>
        </w:rPr>
        <w:t>（七）投标人的投标费用自理</w:t>
      </w:r>
      <w:bookmarkEnd w:id="36"/>
      <w:bookmarkEnd w:id="37"/>
      <w:bookmarkEnd w:id="38"/>
      <w:bookmarkEnd w:id="39"/>
      <w:r>
        <w:rPr>
          <w:rFonts w:hint="eastAsia" w:ascii="宋体" w:hAnsi="宋体" w:eastAsia="宋体" w:cs="宋体"/>
          <w:b/>
          <w:bCs/>
          <w:sz w:val="24"/>
          <w:szCs w:val="24"/>
          <w:lang w:eastAsia="zh-CN"/>
        </w:rPr>
        <w:t>。</w:t>
      </w:r>
    </w:p>
    <w:p w14:paraId="794B5BFD">
      <w:pPr>
        <w:pStyle w:val="19"/>
        <w:spacing w:after="0" w:line="288" w:lineRule="auto"/>
        <w:ind w:firstLine="0" w:firstLineChars="0"/>
        <w:outlineLvl w:val="1"/>
        <w:rPr>
          <w:rFonts w:hint="eastAsia" w:ascii="宋体" w:hAnsi="宋体" w:eastAsia="宋体" w:cs="宋体"/>
          <w:b/>
          <w:sz w:val="24"/>
          <w:szCs w:val="24"/>
        </w:rPr>
      </w:pPr>
      <w:bookmarkStart w:id="40" w:name="_Toc48834447"/>
      <w:bookmarkStart w:id="41" w:name="_Toc48834526"/>
      <w:bookmarkStart w:id="42" w:name="_Toc48834088"/>
      <w:bookmarkStart w:id="43" w:name="_Toc48834285"/>
      <w:bookmarkStart w:id="44" w:name="_Toc16501"/>
      <w:bookmarkStart w:id="45" w:name="_Toc25185"/>
      <w:bookmarkStart w:id="46" w:name="_Toc48834158"/>
      <w:r>
        <w:rPr>
          <w:rFonts w:hint="eastAsia" w:ascii="宋体" w:hAnsi="宋体" w:eastAsia="宋体" w:cs="宋体"/>
          <w:b/>
          <w:sz w:val="24"/>
          <w:szCs w:val="24"/>
        </w:rPr>
        <w:t>三、招标文件</w:t>
      </w:r>
      <w:bookmarkEnd w:id="40"/>
      <w:bookmarkEnd w:id="41"/>
      <w:bookmarkEnd w:id="42"/>
      <w:bookmarkEnd w:id="43"/>
      <w:bookmarkEnd w:id="44"/>
      <w:bookmarkEnd w:id="45"/>
      <w:bookmarkEnd w:id="46"/>
    </w:p>
    <w:p w14:paraId="0F86889C">
      <w:pPr>
        <w:spacing w:line="288" w:lineRule="auto"/>
        <w:ind w:firstLine="241" w:firstLineChars="100"/>
        <w:rPr>
          <w:rFonts w:hint="eastAsia" w:ascii="宋体" w:hAnsi="宋体" w:eastAsia="宋体" w:cs="宋体"/>
          <w:b/>
          <w:sz w:val="24"/>
          <w:szCs w:val="24"/>
        </w:rPr>
      </w:pPr>
      <w:bookmarkStart w:id="47" w:name="_Toc7620"/>
      <w:bookmarkStart w:id="48" w:name="_Toc5972"/>
      <w:bookmarkStart w:id="49" w:name="_Toc19555"/>
      <w:bookmarkStart w:id="50" w:name="_Toc20323"/>
      <w:r>
        <w:rPr>
          <w:rFonts w:hint="eastAsia" w:ascii="宋体" w:hAnsi="宋体" w:eastAsia="宋体" w:cs="宋体"/>
          <w:b/>
          <w:sz w:val="24"/>
          <w:szCs w:val="24"/>
        </w:rPr>
        <w:t>（一）招标文件包括下列内容</w:t>
      </w:r>
      <w:bookmarkEnd w:id="47"/>
      <w:bookmarkEnd w:id="48"/>
      <w:bookmarkEnd w:id="49"/>
      <w:bookmarkEnd w:id="50"/>
    </w:p>
    <w:p w14:paraId="529836FF">
      <w:pPr>
        <w:spacing w:line="288"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第一章 招标公告</w:t>
      </w:r>
    </w:p>
    <w:p w14:paraId="075F90E0">
      <w:pPr>
        <w:spacing w:line="288"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第二章 投标人须知</w:t>
      </w:r>
    </w:p>
    <w:p w14:paraId="1AE8B1E5">
      <w:pPr>
        <w:spacing w:line="288" w:lineRule="auto"/>
        <w:ind w:firstLine="720" w:firstLineChars="300"/>
        <w:rPr>
          <w:rFonts w:hint="eastAsia" w:ascii="宋体" w:hAnsi="宋体" w:eastAsia="宋体" w:cs="宋体"/>
          <w:sz w:val="24"/>
          <w:szCs w:val="24"/>
        </w:rPr>
      </w:pPr>
      <w:bookmarkStart w:id="51" w:name="_Toc7448"/>
      <w:bookmarkStart w:id="52" w:name="_Toc18777"/>
      <w:bookmarkStart w:id="53" w:name="_Toc32645"/>
      <w:bookmarkStart w:id="54" w:name="_Toc4199"/>
      <w:r>
        <w:rPr>
          <w:rFonts w:hint="eastAsia" w:ascii="宋体" w:hAnsi="宋体" w:eastAsia="宋体" w:cs="宋体"/>
          <w:sz w:val="24"/>
          <w:szCs w:val="24"/>
        </w:rPr>
        <w:t>第三章 评审办法及标准</w:t>
      </w:r>
    </w:p>
    <w:p w14:paraId="3EF74AC1">
      <w:pPr>
        <w:spacing w:line="288" w:lineRule="auto"/>
        <w:ind w:firstLine="720" w:firstLineChars="300"/>
        <w:rPr>
          <w:rFonts w:hint="default" w:ascii="宋体" w:hAnsi="宋体" w:eastAsia="宋体" w:cs="宋体"/>
          <w:sz w:val="24"/>
          <w:szCs w:val="24"/>
          <w:lang w:val="en-US" w:eastAsia="zh-CN"/>
        </w:rPr>
      </w:pPr>
      <w:r>
        <w:rPr>
          <w:rFonts w:hint="eastAsia" w:ascii="宋体" w:hAnsi="宋体" w:eastAsia="宋体" w:cs="宋体"/>
          <w:sz w:val="24"/>
          <w:szCs w:val="24"/>
        </w:rPr>
        <w:t xml:space="preserve">第四章 </w:t>
      </w:r>
      <w:r>
        <w:rPr>
          <w:rFonts w:hint="eastAsia" w:hAnsi="宋体" w:cs="宋体"/>
          <w:sz w:val="24"/>
          <w:szCs w:val="24"/>
          <w:lang w:val="en-US" w:eastAsia="zh-CN"/>
        </w:rPr>
        <w:t>服务内容及要求</w:t>
      </w:r>
    </w:p>
    <w:p w14:paraId="71EA2177">
      <w:pPr>
        <w:spacing w:line="288" w:lineRule="auto"/>
        <w:ind w:firstLine="720" w:firstLineChars="300"/>
        <w:rPr>
          <w:rFonts w:hint="default" w:ascii="宋体" w:hAnsi="宋体" w:eastAsia="宋体" w:cs="宋体"/>
          <w:sz w:val="24"/>
          <w:szCs w:val="24"/>
          <w:lang w:val="en-US" w:eastAsia="zh-CN"/>
        </w:rPr>
      </w:pPr>
      <w:r>
        <w:rPr>
          <w:rFonts w:hint="eastAsia" w:ascii="宋体" w:hAnsi="宋体" w:eastAsia="宋体" w:cs="宋体"/>
          <w:sz w:val="24"/>
          <w:szCs w:val="24"/>
        </w:rPr>
        <w:t xml:space="preserve">第五章 </w:t>
      </w:r>
      <w:r>
        <w:rPr>
          <w:rFonts w:hint="eastAsia" w:hAnsi="宋体" w:cs="宋体"/>
          <w:sz w:val="24"/>
          <w:szCs w:val="24"/>
          <w:lang w:val="en-US" w:eastAsia="zh-CN"/>
        </w:rPr>
        <w:t>商务要求</w:t>
      </w:r>
    </w:p>
    <w:p w14:paraId="0CF4C002">
      <w:pPr>
        <w:spacing w:line="288"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第六章 投标文件构成及格式</w:t>
      </w:r>
    </w:p>
    <w:p w14:paraId="7587861C">
      <w:pPr>
        <w:spacing w:line="288"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（二）招标文件的检查及阅读</w:t>
      </w:r>
      <w:bookmarkEnd w:id="51"/>
      <w:bookmarkEnd w:id="52"/>
      <w:bookmarkEnd w:id="53"/>
      <w:bookmarkEnd w:id="54"/>
    </w:p>
    <w:p w14:paraId="1E90E08C">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投标人下载招标文件后应仔细阅读检查招标文件中的所有内容，按照招标文件中所列事项、条款、规范要求及格式，在投标文件中对招标文件做出全面的响应，并按招标文件的要求提交全部资料。</w:t>
      </w:r>
    </w:p>
    <w:p w14:paraId="6EE06D6A">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如本项目废标后需重新组织招标，采购代理机构将重新编制、发布新版招标文件，投标人应按新版招标文件重新编制投标文件。原招标文件及投标文件失效。</w:t>
      </w:r>
    </w:p>
    <w:p w14:paraId="5F837B7D">
      <w:pPr>
        <w:spacing w:line="288"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投标文件封面、投标函以及法定代表人授权委托书三处的项目名称、项目编号、标段（如有）应当与最新发布的招标文件保持一致，否则将被视为无效投标文件。</w:t>
      </w:r>
    </w:p>
    <w:p w14:paraId="7CC11B13">
      <w:pPr>
        <w:spacing w:line="288" w:lineRule="auto"/>
        <w:ind w:firstLine="241" w:firstLineChars="100"/>
        <w:rPr>
          <w:rFonts w:hint="eastAsia" w:ascii="宋体" w:hAnsi="宋体" w:eastAsia="宋体" w:cs="宋体"/>
          <w:b/>
          <w:sz w:val="24"/>
          <w:szCs w:val="24"/>
        </w:rPr>
      </w:pPr>
      <w:bookmarkStart w:id="55" w:name="_Toc21665"/>
      <w:bookmarkStart w:id="56" w:name="_Toc6302"/>
      <w:bookmarkStart w:id="57" w:name="_Toc25748"/>
      <w:bookmarkStart w:id="58" w:name="_Toc27301"/>
      <w:r>
        <w:rPr>
          <w:rFonts w:hint="eastAsia" w:ascii="宋体" w:hAnsi="宋体" w:eastAsia="宋体" w:cs="宋体"/>
          <w:b/>
          <w:sz w:val="24"/>
          <w:szCs w:val="24"/>
        </w:rPr>
        <w:t>（三）招标文件的修改、澄清</w:t>
      </w:r>
      <w:bookmarkEnd w:id="55"/>
      <w:bookmarkEnd w:id="56"/>
      <w:bookmarkEnd w:id="57"/>
      <w:bookmarkEnd w:id="58"/>
    </w:p>
    <w:p w14:paraId="386CD837">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1、采购代理可以对已发出的招标文件进行必要的澄清或者修改，</w:t>
      </w:r>
      <w:r>
        <w:rPr>
          <w:rFonts w:hint="eastAsia" w:ascii="宋体" w:hAnsi="宋体" w:eastAsia="宋体" w:cs="宋体"/>
          <w:bCs/>
          <w:sz w:val="24"/>
          <w:szCs w:val="24"/>
        </w:rPr>
        <w:t>但不得改变采购标的资格条件。</w:t>
      </w:r>
      <w:r>
        <w:rPr>
          <w:rFonts w:hint="eastAsia" w:ascii="宋体" w:hAnsi="宋体" w:eastAsia="宋体" w:cs="宋体"/>
          <w:sz w:val="24"/>
          <w:szCs w:val="24"/>
        </w:rPr>
        <w:t>澄清或者修改应将在原公告发布媒体上发布澄清公告，其内容为招标文件的组成部分。</w:t>
      </w:r>
    </w:p>
    <w:p w14:paraId="48C6E678">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2、澄清或者修改的内容可能影响投标文件编制的，采购代理机构将在投标截止时间至少15日前，在</w:t>
      </w:r>
      <w:r>
        <w:rPr>
          <w:rFonts w:hint="eastAsia" w:ascii="宋体" w:hAnsi="宋体" w:eastAsia="宋体" w:cs="宋体"/>
          <w:spacing w:val="-10"/>
          <w:sz w:val="24"/>
          <w:szCs w:val="24"/>
        </w:rPr>
        <w:t>原公告</w:t>
      </w:r>
      <w:r>
        <w:rPr>
          <w:rFonts w:hint="eastAsia" w:ascii="宋体" w:hAnsi="宋体" w:eastAsia="宋体" w:cs="宋体"/>
          <w:sz w:val="24"/>
          <w:szCs w:val="24"/>
        </w:rPr>
        <w:t>发布媒体上</w:t>
      </w:r>
      <w:r>
        <w:rPr>
          <w:rFonts w:hint="eastAsia" w:ascii="宋体" w:hAnsi="宋体" w:eastAsia="宋体" w:cs="宋体"/>
          <w:bCs/>
          <w:sz w:val="24"/>
          <w:szCs w:val="24"/>
        </w:rPr>
        <w:t>发布更正公告；</w:t>
      </w:r>
      <w:r>
        <w:rPr>
          <w:rFonts w:hint="eastAsia" w:ascii="宋体" w:hAnsi="宋体" w:eastAsia="宋体" w:cs="宋体"/>
          <w:sz w:val="24"/>
          <w:szCs w:val="24"/>
        </w:rPr>
        <w:t>不足15日，采购代理机构将顺延提交投标文件的截止时间。</w:t>
      </w:r>
    </w:p>
    <w:p w14:paraId="3CBAF85F">
      <w:pPr>
        <w:spacing w:line="288" w:lineRule="auto"/>
        <w:ind w:firstLine="480" w:firstLineChars="200"/>
        <w:rPr>
          <w:rFonts w:hint="eastAsia" w:ascii="宋体" w:hAnsi="宋体" w:eastAsia="宋体" w:cs="宋体"/>
          <w:color w:val="FF0000"/>
          <w:sz w:val="24"/>
          <w:szCs w:val="24"/>
        </w:rPr>
      </w:pPr>
      <w:r>
        <w:rPr>
          <w:rFonts w:hint="eastAsia" w:ascii="宋体" w:hAnsi="宋体" w:eastAsia="宋体" w:cs="宋体"/>
          <w:sz w:val="24"/>
          <w:szCs w:val="24"/>
        </w:rPr>
        <w:t>3、投标人对招标文件提出质疑的，应在招标文件公告期限届满之日起7个工作日内以书面形式提出，采购人或采购代理机构以书面形式予以答复；在此之后提出的针对招标文件的质疑为无效质疑。答复的内容可能影响投标文件编制的，采购代理机构将在财政部门指定的政府采购信息发布媒体上</w:t>
      </w:r>
      <w:r>
        <w:rPr>
          <w:rFonts w:hint="eastAsia" w:ascii="宋体" w:hAnsi="宋体" w:eastAsia="宋体" w:cs="宋体"/>
          <w:bCs/>
          <w:sz w:val="24"/>
          <w:szCs w:val="24"/>
        </w:rPr>
        <w:t>发布更正公告。</w:t>
      </w:r>
    </w:p>
    <w:p w14:paraId="52CF3213">
      <w:pPr>
        <w:spacing w:line="288"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4、各投标人在提交投标文件截止时间之前，应随时关注下列地址发布的变更公告，也可登录全国公共资源交易平台（陕西省）政府采购交易系统查看左上角的信息提醒，采购代理机构</w:t>
      </w:r>
      <w:r>
        <w:rPr>
          <w:rFonts w:hint="eastAsia" w:ascii="宋体" w:hAnsi="宋体" w:eastAsia="宋体" w:cs="宋体"/>
          <w:bCs/>
          <w:sz w:val="24"/>
          <w:szCs w:val="24"/>
        </w:rPr>
        <w:t>不再单独通知，因投标人未及时关注所造成的一切后果由投标人自行承担：</w:t>
      </w:r>
    </w:p>
    <w:p w14:paraId="29BC1A30">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"http://www.ccgp-shaanxi.gov.cn" </w:instrText>
      </w:r>
      <w:r>
        <w:rPr>
          <w:rFonts w:hint="eastAsia" w:ascii="宋体" w:hAnsi="宋体" w:eastAsia="宋体" w:cs="宋体"/>
          <w:sz w:val="24"/>
          <w:szCs w:val="24"/>
        </w:rPr>
        <w:fldChar w:fldCharType="separate"/>
      </w:r>
      <w:r>
        <w:rPr>
          <w:rStyle w:val="31"/>
          <w:rFonts w:hint="eastAsia" w:ascii="宋体" w:hAnsi="宋体" w:eastAsia="宋体" w:cs="宋体"/>
          <w:color w:val="auto"/>
          <w:sz w:val="24"/>
          <w:szCs w:val="24"/>
          <w:u w:val="none"/>
        </w:rPr>
        <w:t>陕西省政府采购网</w:t>
      </w:r>
      <w:r>
        <w:rPr>
          <w:rStyle w:val="31"/>
          <w:rFonts w:hint="eastAsia" w:ascii="宋体" w:hAnsi="宋体" w:eastAsia="宋体" w:cs="宋体"/>
          <w:color w:val="auto"/>
          <w:sz w:val="24"/>
          <w:szCs w:val="24"/>
          <w:u w:val="none"/>
        </w:rPr>
        <w:fldChar w:fldCharType="end"/>
      </w:r>
      <w:r>
        <w:rPr>
          <w:rFonts w:hint="eastAsia" w:ascii="宋体" w:hAnsi="宋体" w:eastAsia="宋体" w:cs="宋体"/>
          <w:sz w:val="24"/>
          <w:szCs w:val="24"/>
        </w:rPr>
        <w:t>（www.ccgp-shaanxi.gov.cn）】中的〖首页·〉省级公告·〉更正公告〗；</w:t>
      </w:r>
    </w:p>
    <w:p w14:paraId="54E9371D">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（2）【全国公共资源交易平台（陕西省）（http://www.sxggzyjy.cn/）】中的〖首页·〉交易大厅·〉政府采购〗。</w:t>
      </w:r>
    </w:p>
    <w:p w14:paraId="25C41D8A">
      <w:pPr>
        <w:spacing w:line="360" w:lineRule="auto"/>
        <w:ind w:firstLine="241" w:firstLineChars="100"/>
        <w:rPr>
          <w:rFonts w:hint="eastAsia" w:ascii="宋体" w:hAnsi="宋体" w:eastAsia="宋体" w:cs="宋体"/>
          <w:b/>
          <w:sz w:val="24"/>
          <w:szCs w:val="24"/>
        </w:rPr>
      </w:pPr>
      <w:bookmarkStart w:id="59" w:name="_Toc9044"/>
      <w:bookmarkStart w:id="60" w:name="_Toc6095"/>
      <w:bookmarkStart w:id="61" w:name="_Toc27379"/>
      <w:bookmarkStart w:id="62" w:name="_Toc4045"/>
      <w:r>
        <w:rPr>
          <w:rFonts w:hint="eastAsia" w:ascii="宋体" w:hAnsi="宋体" w:eastAsia="宋体" w:cs="宋体"/>
          <w:b/>
          <w:sz w:val="24"/>
          <w:szCs w:val="24"/>
        </w:rPr>
        <w:t>（四）招标文件的解释权归采购代理机构。</w:t>
      </w:r>
      <w:bookmarkEnd w:id="59"/>
      <w:bookmarkEnd w:id="60"/>
      <w:bookmarkEnd w:id="61"/>
      <w:bookmarkEnd w:id="62"/>
    </w:p>
    <w:p w14:paraId="1BDFB254">
      <w:pPr>
        <w:pStyle w:val="19"/>
        <w:spacing w:after="0" w:line="360" w:lineRule="auto"/>
        <w:ind w:left="0" w:leftChars="0" w:firstLine="0" w:firstLineChars="0"/>
        <w:outlineLvl w:val="1"/>
        <w:rPr>
          <w:rFonts w:hint="default" w:ascii="宋体" w:hAnsi="宋体" w:eastAsia="宋体" w:cs="宋体"/>
          <w:b/>
          <w:sz w:val="24"/>
          <w:szCs w:val="24"/>
          <w:lang w:val="en-US" w:eastAsia="zh-CN"/>
        </w:rPr>
      </w:pPr>
      <w:bookmarkStart w:id="63" w:name="_Toc48834089"/>
      <w:bookmarkStart w:id="64" w:name="_Toc48834448"/>
      <w:bookmarkStart w:id="65" w:name="_Toc48834286"/>
      <w:bookmarkStart w:id="66" w:name="_Toc48834159"/>
      <w:bookmarkStart w:id="67" w:name="_Toc48834527"/>
      <w:bookmarkStart w:id="68" w:name="_Toc21823"/>
      <w:bookmarkStart w:id="69" w:name="_Toc23774"/>
      <w:r>
        <w:rPr>
          <w:rFonts w:hint="eastAsia" w:ascii="宋体" w:hAnsi="宋体" w:eastAsia="宋体" w:cs="宋体"/>
          <w:b/>
          <w:sz w:val="24"/>
          <w:szCs w:val="24"/>
        </w:rPr>
        <w:t>四、投标保证金</w:t>
      </w:r>
      <w:bookmarkEnd w:id="63"/>
      <w:bookmarkEnd w:id="64"/>
      <w:bookmarkEnd w:id="65"/>
      <w:bookmarkEnd w:id="66"/>
      <w:bookmarkEnd w:id="67"/>
      <w:bookmarkEnd w:id="68"/>
      <w:bookmarkEnd w:id="69"/>
      <w:r>
        <w:rPr>
          <w:rFonts w:hint="eastAsia" w:ascii="宋体" w:hAnsi="宋体" w:cs="宋体"/>
          <w:b/>
          <w:sz w:val="24"/>
          <w:szCs w:val="24"/>
          <w:lang w:eastAsia="zh-CN"/>
        </w:rPr>
        <w:t>（</w:t>
      </w:r>
      <w:r>
        <w:rPr>
          <w:rFonts w:hint="eastAsia" w:ascii="宋体" w:hAnsi="宋体" w:cs="宋体"/>
          <w:b/>
          <w:sz w:val="24"/>
          <w:szCs w:val="24"/>
          <w:lang w:val="en-US" w:eastAsia="zh-CN"/>
        </w:rPr>
        <w:t>不适用）</w:t>
      </w:r>
    </w:p>
    <w:p w14:paraId="3C1FD062">
      <w:pPr>
        <w:pageBreakBefore w:val="0"/>
        <w:numPr>
          <w:ilvl w:val="0"/>
          <w:numId w:val="0"/>
        </w:numPr>
        <w:kinsoku/>
        <w:wordWrap/>
        <w:overflowPunct/>
        <w:autoSpaceDE/>
        <w:autoSpaceDN/>
        <w:bidi w:val="0"/>
        <w:adjustRightInd w:val="0"/>
        <w:snapToGrid w:val="0"/>
        <w:spacing w:before="120" w:line="360" w:lineRule="auto"/>
        <w:ind w:firstLine="480" w:firstLineChars="200"/>
        <w:rPr>
          <w:rFonts w:hint="eastAsia" w:ascii="宋体" w:hAnsi="宋体" w:eastAsia="宋体" w:cs="宋体"/>
          <w:sz w:val="24"/>
          <w:szCs w:val="24"/>
        </w:rPr>
      </w:pPr>
      <w:r>
        <w:rPr>
          <w:rFonts w:hint="eastAsia" w:hAnsi="宋体" w:cs="宋体"/>
          <w:sz w:val="24"/>
          <w:szCs w:val="24"/>
          <w:lang w:val="en-US" w:eastAsia="zh-CN"/>
        </w:rPr>
        <w:t>1、</w:t>
      </w:r>
      <w:r>
        <w:rPr>
          <w:rFonts w:hint="eastAsia" w:ascii="宋体" w:hAnsi="宋体" w:eastAsia="宋体" w:cs="宋体"/>
          <w:sz w:val="24"/>
          <w:szCs w:val="24"/>
          <w:lang w:eastAsia="zh-CN"/>
        </w:rPr>
        <w:t>投标</w:t>
      </w:r>
      <w:r>
        <w:rPr>
          <w:rFonts w:hint="eastAsia" w:ascii="宋体" w:hAnsi="宋体" w:eastAsia="宋体" w:cs="宋体"/>
          <w:sz w:val="24"/>
          <w:szCs w:val="24"/>
        </w:rPr>
        <w:t>保证金</w:t>
      </w:r>
      <w:r>
        <w:rPr>
          <w:rFonts w:hint="eastAsia" w:ascii="宋体" w:hAnsi="宋体" w:eastAsia="宋体" w:cs="宋体"/>
          <w:sz w:val="24"/>
          <w:szCs w:val="24"/>
          <w:lang w:val="en-US" w:eastAsia="zh-CN"/>
        </w:rPr>
        <w:t>数</w:t>
      </w:r>
      <w:r>
        <w:rPr>
          <w:rFonts w:hint="eastAsia" w:ascii="宋体" w:hAnsi="宋体" w:eastAsia="宋体" w:cs="宋体"/>
          <w:sz w:val="24"/>
          <w:szCs w:val="24"/>
        </w:rPr>
        <w:t>额：</w:t>
      </w:r>
      <w:r>
        <w:rPr>
          <w:rFonts w:hint="eastAsia" w:ascii="宋体" w:hAnsi="宋体" w:eastAsia="宋体" w:cs="宋体"/>
          <w:sz w:val="24"/>
          <w:szCs w:val="24"/>
          <w:lang w:val="en-US" w:eastAsia="zh-CN"/>
        </w:rPr>
        <w:t>/（本项目不适用于保证金）</w:t>
      </w:r>
    </w:p>
    <w:p w14:paraId="2C0F8B7E">
      <w:pPr>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highlight w:val="none"/>
          <w:lang w:val="en-US" w:eastAsia="zh-CN" w:bidi="ar-SA"/>
        </w:rPr>
        <w:t>2、根据榆政财采发【2023】8号文件实行投标保证金信用承诺制，本项目采用信用承诺代替投标保证金（格式详见</w:t>
      </w:r>
      <w:r>
        <w:rPr>
          <w:rFonts w:hint="eastAsia" w:hAnsi="宋体" w:cs="宋体"/>
          <w:kern w:val="0"/>
          <w:sz w:val="24"/>
          <w:szCs w:val="24"/>
          <w:highlight w:val="none"/>
          <w:lang w:val="en-US" w:eastAsia="zh-CN" w:bidi="ar-SA"/>
        </w:rPr>
        <w:t>招标文件</w:t>
      </w:r>
      <w:r>
        <w:rPr>
          <w:rFonts w:hint="eastAsia" w:ascii="宋体" w:hAnsi="宋体" w:eastAsia="宋体" w:cs="宋体"/>
          <w:kern w:val="0"/>
          <w:sz w:val="24"/>
          <w:szCs w:val="24"/>
          <w:highlight w:val="none"/>
          <w:lang w:val="en-US" w:eastAsia="zh-CN" w:bidi="ar-SA"/>
        </w:rPr>
        <w:t>）</w:t>
      </w:r>
    </w:p>
    <w:p w14:paraId="4A3A8239">
      <w:pPr>
        <w:pStyle w:val="19"/>
        <w:spacing w:after="0" w:line="360" w:lineRule="auto"/>
        <w:ind w:left="0" w:leftChars="0" w:firstLine="0" w:firstLineChars="0"/>
        <w:outlineLvl w:val="1"/>
        <w:rPr>
          <w:rFonts w:hint="eastAsia" w:ascii="宋体" w:hAnsi="宋体" w:eastAsia="宋体" w:cs="宋体"/>
          <w:b/>
          <w:sz w:val="24"/>
          <w:szCs w:val="24"/>
        </w:rPr>
      </w:pPr>
      <w:bookmarkStart w:id="70" w:name="_Toc16421"/>
      <w:bookmarkStart w:id="71" w:name="_Toc48834528"/>
      <w:bookmarkStart w:id="72" w:name="_Toc48834090"/>
      <w:bookmarkStart w:id="73" w:name="_Toc48834160"/>
      <w:bookmarkStart w:id="74" w:name="_Toc48834449"/>
      <w:bookmarkStart w:id="75" w:name="_Toc48834287"/>
      <w:bookmarkStart w:id="76" w:name="_Toc542"/>
      <w:r>
        <w:rPr>
          <w:rFonts w:hint="eastAsia" w:ascii="宋体" w:hAnsi="宋体" w:eastAsia="宋体" w:cs="宋体"/>
          <w:b/>
          <w:sz w:val="24"/>
          <w:szCs w:val="24"/>
        </w:rPr>
        <w:t>五、投标报价</w:t>
      </w:r>
      <w:bookmarkEnd w:id="70"/>
      <w:bookmarkEnd w:id="71"/>
      <w:bookmarkEnd w:id="72"/>
      <w:bookmarkEnd w:id="73"/>
      <w:bookmarkEnd w:id="74"/>
      <w:bookmarkEnd w:id="75"/>
      <w:bookmarkEnd w:id="76"/>
    </w:p>
    <w:p w14:paraId="7D39706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报价是投标人响应招标项目要求的全部工作内容的价格体现，包括完成采购内容所需的直接费、间接费、利润、税金及其它相关的一切费用，还需包含管理服务人员的工资、社会保险和按规定提取的福利费等，投入的机械设备应包含燃油费、维修保养、配件更换及车辆保险费用等一切有关的费用。投标人在报价时应充分考虑所有可能发生的费用，招标文件未列明，而投标人认为应当计取的费用均应列入报价中。报价时不论是否计取，采购人均按已计取对待。</w:t>
      </w:r>
    </w:p>
    <w:p w14:paraId="2C20842E">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（一）投标人应严格按照《投标文件构成及格式》中《开标一览表》中的相关要求填写分类报价及其他需要响应的内容。</w:t>
      </w:r>
    </w:p>
    <w:p w14:paraId="509F8D5F">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（二）投标报价货币：人民币；单位：元。</w:t>
      </w:r>
    </w:p>
    <w:p w14:paraId="4F9842BB">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（三）投标报价只能提交唯一报价，并且在合同履行过程中是固定不变的，任何有选择的报价将不予接受，按无效投标处理。</w:t>
      </w:r>
    </w:p>
    <w:p w14:paraId="6028FAB4">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（四）投标报价应遵守《中华人民共和国价格法》，投标人不得以低于成本的报价参与投标。</w:t>
      </w:r>
    </w:p>
    <w:p w14:paraId="78A1B0DF">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（五）投标文件报价出现前后不一致的，除招标文件另有规定外，按照下列规定修正：</w:t>
      </w:r>
    </w:p>
    <w:p w14:paraId="2C034B57">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1、投标文件中开标一览表内容与投标文件中相应内容不一致的，以开标一览表为准；</w:t>
      </w:r>
    </w:p>
    <w:p w14:paraId="6D404B2C">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2、大写金额和小写金额不一致的，以大写金额为准；</w:t>
      </w:r>
    </w:p>
    <w:p w14:paraId="7286B791">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3、单价金额小数点或者百分比有明显错位的，以开标一览表的总价为准，并修改单价；</w:t>
      </w:r>
    </w:p>
    <w:p w14:paraId="0AE8EEA6">
      <w:pPr>
        <w:spacing w:line="288"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4、总价金额与按单价汇总金额不一致的，以单价金额计算结果为准；同时出现两种以上不一致的，按照前款规定的顺序修正。</w:t>
      </w:r>
      <w:r>
        <w:rPr>
          <w:rFonts w:hint="eastAsia" w:ascii="宋体" w:hAnsi="宋体" w:eastAsia="宋体" w:cs="宋体"/>
          <w:bCs/>
          <w:sz w:val="24"/>
          <w:szCs w:val="24"/>
        </w:rPr>
        <w:t>修正后的报价经投标人确认后产生约束力，投标人不确认的，其投标无效。</w:t>
      </w:r>
    </w:p>
    <w:p w14:paraId="526243A3">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（六）因投标人对招标文件理解不透、误解、疏漏或对市场行情了解不清造成的后果和风险，均由投标人自己负责。</w:t>
      </w:r>
    </w:p>
    <w:p w14:paraId="261EDD36">
      <w:pPr>
        <w:spacing w:line="288" w:lineRule="auto"/>
        <w:outlineLvl w:val="1"/>
        <w:rPr>
          <w:rFonts w:hint="eastAsia" w:ascii="宋体" w:hAnsi="宋体" w:eastAsia="宋体" w:cs="宋体"/>
          <w:b/>
          <w:sz w:val="24"/>
          <w:szCs w:val="24"/>
        </w:rPr>
      </w:pPr>
      <w:bookmarkStart w:id="77" w:name="_Toc48834288"/>
      <w:bookmarkStart w:id="78" w:name="_Toc18746"/>
      <w:bookmarkStart w:id="79" w:name="_Toc48834529"/>
      <w:bookmarkStart w:id="80" w:name="_Toc48834450"/>
      <w:bookmarkStart w:id="81" w:name="_Toc48834091"/>
      <w:bookmarkStart w:id="82" w:name="_Toc48834161"/>
      <w:bookmarkStart w:id="83" w:name="_Toc31048"/>
      <w:r>
        <w:rPr>
          <w:rFonts w:hint="eastAsia" w:ascii="宋体" w:hAnsi="宋体" w:eastAsia="宋体" w:cs="宋体"/>
          <w:b/>
          <w:sz w:val="24"/>
          <w:szCs w:val="24"/>
        </w:rPr>
        <w:t>六、投标文件</w:t>
      </w:r>
      <w:bookmarkEnd w:id="77"/>
      <w:bookmarkEnd w:id="78"/>
      <w:bookmarkEnd w:id="79"/>
      <w:bookmarkEnd w:id="80"/>
      <w:bookmarkEnd w:id="81"/>
      <w:bookmarkEnd w:id="82"/>
      <w:bookmarkEnd w:id="83"/>
    </w:p>
    <w:p w14:paraId="7737E152">
      <w:pPr>
        <w:spacing w:line="288"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（一）投标文件的式样</w:t>
      </w:r>
    </w:p>
    <w:p w14:paraId="5AE47813">
      <w:pPr>
        <w:tabs>
          <w:tab w:val="left" w:pos="3544"/>
        </w:tabs>
        <w:wordWrap w:val="0"/>
        <w:spacing w:line="360" w:lineRule="auto"/>
        <w:rPr>
          <w:rFonts w:hint="eastAsia" w:ascii="宋体" w:hAnsi="宋体" w:eastAsia="宋体" w:cs="宋体"/>
          <w:b/>
          <w:sz w:val="24"/>
          <w:szCs w:val="24"/>
        </w:rPr>
      </w:pPr>
      <w:r>
        <w:rPr>
          <w:rFonts w:hint="eastAsia" w:ascii="宋体" w:hAnsi="宋体" w:eastAsia="宋体" w:cs="宋体"/>
          <w:b/>
          <w:sz w:val="24"/>
          <w:szCs w:val="24"/>
        </w:rPr>
        <w:t>1、</w:t>
      </w:r>
      <w:r>
        <w:rPr>
          <w:rFonts w:hint="eastAsia" w:ascii="宋体" w:hAnsi="宋体" w:eastAsia="宋体" w:cs="宋体"/>
          <w:b/>
          <w:sz w:val="24"/>
          <w:szCs w:val="24"/>
          <w:lang w:eastAsia="zh-CN"/>
        </w:rPr>
        <w:t>投标文件</w:t>
      </w:r>
      <w:r>
        <w:rPr>
          <w:rFonts w:hint="eastAsia" w:ascii="宋体" w:hAnsi="宋体" w:eastAsia="宋体" w:cs="宋体"/>
          <w:b/>
          <w:sz w:val="24"/>
          <w:szCs w:val="24"/>
        </w:rPr>
        <w:t>的语言和计量单位</w:t>
      </w:r>
    </w:p>
    <w:p w14:paraId="21A4B1D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1.1供应商提交的资格证明文件、商务技术文件，包括技术资料等中的说明以及供应商与</w:t>
      </w:r>
      <w:r>
        <w:rPr>
          <w:rFonts w:hint="eastAsia" w:ascii="宋体" w:hAnsi="宋体" w:cs="宋体"/>
          <w:sz w:val="24"/>
          <w:szCs w:val="24"/>
          <w:lang w:eastAsia="zh-CN"/>
        </w:rPr>
        <w:t>采购</w:t>
      </w:r>
      <w:r>
        <w:rPr>
          <w:rFonts w:hint="eastAsia" w:ascii="宋体" w:hAnsi="宋体" w:eastAsia="宋体" w:cs="宋体"/>
          <w:sz w:val="24"/>
          <w:szCs w:val="24"/>
        </w:rPr>
        <w:t>代理机构就有关</w:t>
      </w:r>
      <w:r>
        <w:rPr>
          <w:rFonts w:hint="eastAsia" w:ascii="宋体" w:hAnsi="宋体" w:cs="宋体"/>
          <w:sz w:val="24"/>
          <w:szCs w:val="24"/>
          <w:lang w:val="en-US" w:eastAsia="zh-CN"/>
        </w:rPr>
        <w:t>招标</w:t>
      </w:r>
      <w:r>
        <w:rPr>
          <w:rFonts w:hint="eastAsia" w:ascii="宋体" w:hAnsi="宋体" w:eastAsia="宋体" w:cs="宋体"/>
          <w:sz w:val="24"/>
          <w:szCs w:val="24"/>
        </w:rPr>
        <w:t>的所有来往函电，均应使用中文简体字。</w:t>
      </w:r>
    </w:p>
    <w:p w14:paraId="510C9EB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lang w:eastAsia="zh-CN"/>
        </w:rPr>
        <w:t>投标文件</w:t>
      </w:r>
      <w:r>
        <w:rPr>
          <w:rFonts w:hint="eastAsia" w:ascii="宋体" w:hAnsi="宋体" w:eastAsia="宋体" w:cs="宋体"/>
          <w:sz w:val="24"/>
          <w:szCs w:val="24"/>
        </w:rPr>
        <w:t>所使用的计量单位，必须使用国家法定计量单位。</w:t>
      </w:r>
    </w:p>
    <w:p w14:paraId="3D06A6CA">
      <w:pPr>
        <w:adjustRightInd w:val="0"/>
        <w:snapToGrid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2、编制要求</w:t>
      </w:r>
    </w:p>
    <w:p w14:paraId="6EAA050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b w:val="0"/>
          <w:bCs w:val="0"/>
          <w:sz w:val="24"/>
          <w:szCs w:val="24"/>
        </w:rPr>
        <w:t>2.1</w:t>
      </w:r>
      <w:r>
        <w:rPr>
          <w:rFonts w:hint="eastAsia" w:ascii="宋体" w:hAnsi="宋体" w:eastAsia="宋体" w:cs="宋体"/>
          <w:sz w:val="24"/>
          <w:szCs w:val="24"/>
        </w:rPr>
        <w:t>供应商应认真阅读</w:t>
      </w:r>
      <w:r>
        <w:rPr>
          <w:rFonts w:hint="eastAsia" w:ascii="宋体" w:hAnsi="宋体" w:eastAsia="宋体" w:cs="宋体"/>
          <w:sz w:val="24"/>
          <w:szCs w:val="24"/>
          <w:lang w:eastAsia="zh-CN"/>
        </w:rPr>
        <w:t>招标文件</w:t>
      </w:r>
      <w:r>
        <w:rPr>
          <w:rFonts w:hint="eastAsia" w:ascii="宋体" w:hAnsi="宋体" w:eastAsia="宋体" w:cs="宋体"/>
          <w:sz w:val="24"/>
          <w:szCs w:val="24"/>
        </w:rPr>
        <w:t>的所有内容，严格按照</w:t>
      </w:r>
      <w:r>
        <w:rPr>
          <w:rFonts w:hint="eastAsia" w:ascii="宋体" w:hAnsi="宋体" w:eastAsia="宋体" w:cs="宋体"/>
          <w:sz w:val="24"/>
          <w:szCs w:val="24"/>
          <w:lang w:eastAsia="zh-CN"/>
        </w:rPr>
        <w:t>招标文件</w:t>
      </w:r>
      <w:r>
        <w:rPr>
          <w:rFonts w:hint="eastAsia" w:ascii="宋体" w:hAnsi="宋体" w:eastAsia="宋体" w:cs="宋体"/>
          <w:sz w:val="24"/>
          <w:szCs w:val="24"/>
        </w:rPr>
        <w:t>的要求编制和提供</w:t>
      </w:r>
      <w:r>
        <w:rPr>
          <w:rFonts w:hint="eastAsia" w:ascii="宋体" w:hAnsi="宋体" w:eastAsia="宋体" w:cs="宋体"/>
          <w:sz w:val="24"/>
          <w:szCs w:val="24"/>
          <w:lang w:eastAsia="zh-CN"/>
        </w:rPr>
        <w:t>投标文件</w:t>
      </w:r>
      <w:r>
        <w:rPr>
          <w:rFonts w:hint="eastAsia" w:ascii="宋体" w:hAnsi="宋体" w:eastAsia="宋体" w:cs="宋体"/>
          <w:sz w:val="24"/>
          <w:szCs w:val="24"/>
        </w:rPr>
        <w:t>，并保证所提供的全部资料的真实性，使</w:t>
      </w:r>
      <w:r>
        <w:rPr>
          <w:rFonts w:hint="eastAsia" w:ascii="宋体" w:hAnsi="宋体" w:eastAsia="宋体" w:cs="宋体"/>
          <w:sz w:val="24"/>
          <w:szCs w:val="24"/>
          <w:lang w:eastAsia="zh-CN"/>
        </w:rPr>
        <w:t>投标文件</w:t>
      </w:r>
      <w:r>
        <w:rPr>
          <w:rFonts w:hint="eastAsia" w:ascii="宋体" w:hAnsi="宋体" w:eastAsia="宋体" w:cs="宋体"/>
          <w:sz w:val="24"/>
          <w:szCs w:val="24"/>
        </w:rPr>
        <w:t>对</w:t>
      </w:r>
      <w:r>
        <w:rPr>
          <w:rFonts w:hint="eastAsia" w:ascii="宋体" w:hAnsi="宋体" w:eastAsia="宋体" w:cs="宋体"/>
          <w:sz w:val="24"/>
          <w:szCs w:val="24"/>
          <w:lang w:eastAsia="zh-CN"/>
        </w:rPr>
        <w:t>招标文件</w:t>
      </w:r>
      <w:r>
        <w:rPr>
          <w:rFonts w:hint="eastAsia" w:ascii="宋体" w:hAnsi="宋体" w:eastAsia="宋体" w:cs="宋体"/>
          <w:sz w:val="24"/>
          <w:szCs w:val="24"/>
        </w:rPr>
        <w:t>作出实质性响应。如果供应商在</w:t>
      </w:r>
      <w:r>
        <w:rPr>
          <w:rFonts w:hint="eastAsia" w:ascii="宋体" w:hAnsi="宋体" w:eastAsia="宋体" w:cs="宋体"/>
          <w:sz w:val="24"/>
          <w:szCs w:val="24"/>
          <w:lang w:eastAsia="zh-CN"/>
        </w:rPr>
        <w:t>投标文件</w:t>
      </w:r>
      <w:r>
        <w:rPr>
          <w:rFonts w:hint="eastAsia" w:ascii="宋体" w:hAnsi="宋体" w:eastAsia="宋体" w:cs="宋体"/>
          <w:sz w:val="24"/>
          <w:szCs w:val="24"/>
        </w:rPr>
        <w:t>中没有按照</w:t>
      </w:r>
      <w:r>
        <w:rPr>
          <w:rFonts w:hint="eastAsia" w:ascii="宋体" w:hAnsi="宋体" w:eastAsia="宋体" w:cs="宋体"/>
          <w:sz w:val="24"/>
          <w:szCs w:val="24"/>
          <w:lang w:eastAsia="zh-CN"/>
        </w:rPr>
        <w:t>招标文件</w:t>
      </w:r>
      <w:r>
        <w:rPr>
          <w:rFonts w:hint="eastAsia" w:ascii="宋体" w:hAnsi="宋体" w:eastAsia="宋体" w:cs="宋体"/>
          <w:sz w:val="24"/>
          <w:szCs w:val="24"/>
        </w:rPr>
        <w:t>要求提交全部资料或者</w:t>
      </w:r>
      <w:r>
        <w:rPr>
          <w:rFonts w:hint="eastAsia" w:ascii="宋体" w:hAnsi="宋体" w:eastAsia="宋体" w:cs="宋体"/>
          <w:sz w:val="24"/>
          <w:szCs w:val="24"/>
          <w:lang w:eastAsia="zh-CN"/>
        </w:rPr>
        <w:t>投标文件</w:t>
      </w:r>
      <w:r>
        <w:rPr>
          <w:rFonts w:hint="eastAsia" w:ascii="宋体" w:hAnsi="宋体" w:eastAsia="宋体" w:cs="宋体"/>
          <w:sz w:val="24"/>
          <w:szCs w:val="24"/>
        </w:rPr>
        <w:t>没有对</w:t>
      </w:r>
      <w:r>
        <w:rPr>
          <w:rFonts w:hint="eastAsia" w:ascii="宋体" w:hAnsi="宋体" w:eastAsia="宋体" w:cs="宋体"/>
          <w:sz w:val="24"/>
          <w:szCs w:val="24"/>
          <w:lang w:eastAsia="zh-CN"/>
        </w:rPr>
        <w:t>招标文件</w:t>
      </w:r>
      <w:r>
        <w:rPr>
          <w:rFonts w:hint="eastAsia" w:ascii="宋体" w:hAnsi="宋体" w:eastAsia="宋体" w:cs="宋体"/>
          <w:sz w:val="24"/>
          <w:szCs w:val="24"/>
        </w:rPr>
        <w:t>在各方面都做出实质性响应，其</w:t>
      </w:r>
      <w:r>
        <w:rPr>
          <w:rFonts w:hint="eastAsia" w:ascii="宋体" w:hAnsi="宋体" w:cs="宋体"/>
          <w:sz w:val="24"/>
          <w:szCs w:val="24"/>
          <w:lang w:eastAsia="zh-CN"/>
        </w:rPr>
        <w:t>投标</w:t>
      </w:r>
      <w:r>
        <w:rPr>
          <w:rFonts w:hint="eastAsia" w:ascii="宋体" w:hAnsi="宋体" w:eastAsia="宋体" w:cs="宋体"/>
          <w:sz w:val="24"/>
          <w:szCs w:val="24"/>
        </w:rPr>
        <w:t>将被拒绝。</w:t>
      </w:r>
    </w:p>
    <w:p w14:paraId="015A5D1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b w:val="0"/>
          <w:bCs w:val="0"/>
          <w:sz w:val="24"/>
          <w:szCs w:val="24"/>
        </w:rPr>
        <w:t>2.2</w:t>
      </w:r>
      <w:r>
        <w:rPr>
          <w:rFonts w:hint="eastAsia" w:ascii="宋体" w:hAnsi="宋体" w:eastAsia="宋体" w:cs="宋体"/>
          <w:sz w:val="24"/>
          <w:szCs w:val="24"/>
        </w:rPr>
        <w:t>供应商提交的</w:t>
      </w:r>
      <w:r>
        <w:rPr>
          <w:rFonts w:hint="eastAsia" w:ascii="宋体" w:hAnsi="宋体" w:eastAsia="宋体" w:cs="宋体"/>
          <w:sz w:val="24"/>
          <w:szCs w:val="24"/>
          <w:lang w:eastAsia="zh-CN"/>
        </w:rPr>
        <w:t>投标文件</w:t>
      </w:r>
      <w:r>
        <w:rPr>
          <w:rFonts w:hint="eastAsia" w:ascii="宋体" w:hAnsi="宋体" w:eastAsia="宋体" w:cs="宋体"/>
          <w:sz w:val="24"/>
          <w:szCs w:val="24"/>
        </w:rPr>
        <w:t>以及供应商与</w:t>
      </w:r>
      <w:r>
        <w:rPr>
          <w:rFonts w:hint="eastAsia" w:ascii="宋体" w:hAnsi="宋体" w:cs="宋体"/>
          <w:sz w:val="24"/>
          <w:szCs w:val="24"/>
          <w:lang w:eastAsia="zh-CN"/>
        </w:rPr>
        <w:t>采购</w:t>
      </w:r>
      <w:r>
        <w:rPr>
          <w:rFonts w:hint="eastAsia" w:ascii="宋体" w:hAnsi="宋体" w:eastAsia="宋体" w:cs="宋体"/>
          <w:sz w:val="24"/>
          <w:szCs w:val="24"/>
        </w:rPr>
        <w:t>招标代理机构就有关</w:t>
      </w:r>
      <w:r>
        <w:rPr>
          <w:rFonts w:hint="eastAsia" w:ascii="宋体" w:hAnsi="宋体" w:eastAsia="宋体" w:cs="宋体"/>
          <w:sz w:val="24"/>
          <w:szCs w:val="24"/>
          <w:lang w:eastAsia="zh-CN"/>
        </w:rPr>
        <w:t>招标</w:t>
      </w:r>
      <w:r>
        <w:rPr>
          <w:rFonts w:hint="eastAsia" w:ascii="宋体" w:hAnsi="宋体" w:eastAsia="宋体" w:cs="宋体"/>
          <w:sz w:val="24"/>
          <w:szCs w:val="24"/>
        </w:rPr>
        <w:t>的所有来往函电均应以中文书写。</w:t>
      </w:r>
    </w:p>
    <w:p w14:paraId="4FA00B21">
      <w:pPr>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2.3文件的制作和签署</w:t>
      </w:r>
    </w:p>
    <w:p w14:paraId="661C4CBD">
      <w:pPr>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2.3.1本项目采用电子</w:t>
      </w:r>
      <w:r>
        <w:rPr>
          <w:rFonts w:hint="eastAsia" w:ascii="宋体" w:hAnsi="宋体" w:cs="宋体"/>
          <w:color w:val="auto"/>
          <w:sz w:val="24"/>
          <w:szCs w:val="24"/>
          <w:lang w:eastAsia="zh-CN"/>
        </w:rPr>
        <w:t>化招投标与纸质留档的方式进行</w:t>
      </w:r>
      <w:r>
        <w:rPr>
          <w:rFonts w:hint="eastAsia" w:ascii="宋体" w:hAnsi="宋体" w:eastAsia="宋体" w:cs="宋体"/>
          <w:color w:val="auto"/>
          <w:sz w:val="24"/>
          <w:szCs w:val="24"/>
        </w:rPr>
        <w:t>。</w:t>
      </w:r>
    </w:p>
    <w:p w14:paraId="3505D0FD">
      <w:pPr>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rPr>
        <w:t>2.3.2编制电子</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时，应使用最新发布的政府采购电子标书制作工具进行编制。并使用数字认证证书（CA）对电子</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进行签署、加密、递交及开标时解密等相关操作。</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中需要加盖法定代表人私章的地方，请使用“法人CA”进行</w:t>
      </w:r>
      <w:r>
        <w:rPr>
          <w:rFonts w:hint="eastAsia" w:ascii="宋体" w:hAnsi="宋体" w:cs="宋体"/>
          <w:color w:val="auto"/>
          <w:sz w:val="24"/>
          <w:szCs w:val="24"/>
          <w:lang w:val="en-US" w:eastAsia="zh-CN"/>
        </w:rPr>
        <w:t>盖</w:t>
      </w:r>
      <w:r>
        <w:rPr>
          <w:rFonts w:hint="eastAsia" w:ascii="宋体" w:hAnsi="宋体" w:eastAsia="宋体" w:cs="宋体"/>
          <w:color w:val="auto"/>
          <w:sz w:val="24"/>
          <w:szCs w:val="24"/>
        </w:rPr>
        <w:t>章；需要加盖供应商公章的地方，请使用“企业 CA”进行盖章</w:t>
      </w:r>
      <w:r>
        <w:rPr>
          <w:rFonts w:hint="eastAsia" w:ascii="宋体" w:hAnsi="宋体" w:cs="宋体"/>
          <w:color w:val="auto"/>
          <w:sz w:val="24"/>
          <w:szCs w:val="24"/>
          <w:lang w:eastAsia="zh-CN"/>
        </w:rPr>
        <w:t>，投标文件需逐页加盖供应商公章</w:t>
      </w:r>
      <w:r>
        <w:rPr>
          <w:rFonts w:hint="eastAsia" w:ascii="宋体" w:hAnsi="宋体" w:eastAsia="宋体" w:cs="宋体"/>
          <w:color w:val="auto"/>
          <w:sz w:val="24"/>
          <w:szCs w:val="24"/>
        </w:rPr>
        <w:t>。加密和解密应当使用同一CA，否则将会导致解密失败。</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要求</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中法定代表人签字处由法定代表人签署，要求授权代表签字处由授权代表签署</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若由授权代表签署，须按</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规定的格式出具的“法人授权委托书”附在</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中</w:t>
      </w:r>
      <w:r>
        <w:rPr>
          <w:rFonts w:hint="eastAsia" w:ascii="宋体" w:hAnsi="宋体" w:eastAsia="宋体" w:cs="宋体"/>
          <w:color w:val="auto"/>
          <w:sz w:val="24"/>
          <w:szCs w:val="24"/>
          <w:highlight w:val="none"/>
          <w:lang w:eastAsia="zh-CN"/>
        </w:rPr>
        <w:t>）。</w:t>
      </w:r>
    </w:p>
    <w:p w14:paraId="603A561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（1）电子</w:t>
      </w:r>
      <w:r>
        <w:rPr>
          <w:rFonts w:hint="eastAsia" w:ascii="宋体" w:hAnsi="宋体" w:cs="宋体"/>
          <w:sz w:val="24"/>
          <w:szCs w:val="24"/>
          <w:lang w:val="en-US" w:eastAsia="zh-CN"/>
        </w:rPr>
        <w:t>招标文件</w:t>
      </w:r>
      <w:r>
        <w:rPr>
          <w:rFonts w:hint="eastAsia" w:ascii="宋体" w:hAnsi="宋体" w:eastAsia="宋体" w:cs="宋体"/>
          <w:sz w:val="24"/>
          <w:szCs w:val="24"/>
        </w:rPr>
        <w:t>下载</w:t>
      </w:r>
    </w:p>
    <w:p w14:paraId="38171FB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供应商登录全国公共资源交易平台（陕西省）网站〖首页·〉电子交易平台·〉企业端〗后，在〖</w:t>
      </w:r>
      <w:r>
        <w:rPr>
          <w:rFonts w:hint="eastAsia" w:ascii="宋体" w:hAnsi="宋体" w:eastAsia="宋体" w:cs="宋体"/>
          <w:sz w:val="24"/>
          <w:szCs w:val="24"/>
          <w:lang w:eastAsia="zh-CN"/>
        </w:rPr>
        <w:t>招标</w:t>
      </w:r>
      <w:r>
        <w:rPr>
          <w:rFonts w:hint="eastAsia" w:ascii="宋体" w:hAnsi="宋体" w:eastAsia="宋体" w:cs="宋体"/>
          <w:sz w:val="24"/>
          <w:szCs w:val="24"/>
        </w:rPr>
        <w:t>公告/出让公告〗 模块中选择项目点击“我要投标”，参与投标活动。然后即可在〖我的项目〗中点击“项目流程&gt;交易文件下载”下载电子</w:t>
      </w:r>
      <w:r>
        <w:rPr>
          <w:rFonts w:hint="eastAsia" w:ascii="宋体" w:hAnsi="宋体" w:cs="宋体"/>
          <w:sz w:val="24"/>
          <w:szCs w:val="24"/>
          <w:lang w:val="en-US" w:eastAsia="zh-CN"/>
        </w:rPr>
        <w:t>招标文件</w:t>
      </w:r>
      <w:r>
        <w:rPr>
          <w:rFonts w:hint="eastAsia" w:ascii="宋体" w:hAnsi="宋体" w:eastAsia="宋体" w:cs="宋体"/>
          <w:sz w:val="24"/>
          <w:szCs w:val="24"/>
        </w:rPr>
        <w:t>（*.SXSZF）；</w:t>
      </w:r>
    </w:p>
    <w:p w14:paraId="6A6DB38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注意：该项目如有变更文件，则应点击“项目流程&gt;答疑文件下载”下载更新后的电子</w:t>
      </w:r>
      <w:r>
        <w:rPr>
          <w:rFonts w:hint="eastAsia" w:ascii="宋体" w:hAnsi="宋体" w:cs="宋体"/>
          <w:sz w:val="24"/>
          <w:szCs w:val="24"/>
          <w:lang w:val="en-US" w:eastAsia="zh-CN"/>
        </w:rPr>
        <w:t>招标文件</w:t>
      </w:r>
      <w:r>
        <w:rPr>
          <w:rFonts w:hint="eastAsia" w:ascii="宋体" w:hAnsi="宋体" w:eastAsia="宋体" w:cs="宋体"/>
          <w:sz w:val="24"/>
          <w:szCs w:val="24"/>
        </w:rPr>
        <w:t>（*.SXSCF），使用旧版电子</w:t>
      </w:r>
      <w:r>
        <w:rPr>
          <w:rFonts w:hint="eastAsia" w:ascii="宋体" w:hAnsi="宋体" w:cs="宋体"/>
          <w:sz w:val="24"/>
          <w:szCs w:val="24"/>
          <w:lang w:val="en-US" w:eastAsia="zh-CN"/>
        </w:rPr>
        <w:t>招标文件</w:t>
      </w:r>
      <w:r>
        <w:rPr>
          <w:rFonts w:hint="eastAsia" w:ascii="宋体" w:hAnsi="宋体" w:eastAsia="宋体" w:cs="宋体"/>
          <w:sz w:val="24"/>
          <w:szCs w:val="24"/>
        </w:rPr>
        <w:t>制作的电子</w:t>
      </w:r>
      <w:r>
        <w:rPr>
          <w:rFonts w:hint="eastAsia" w:ascii="宋体" w:hAnsi="宋体" w:eastAsia="宋体" w:cs="宋体"/>
          <w:sz w:val="24"/>
          <w:szCs w:val="24"/>
          <w:lang w:eastAsia="zh-CN"/>
        </w:rPr>
        <w:t>投标文件</w:t>
      </w:r>
      <w:r>
        <w:rPr>
          <w:rFonts w:hint="eastAsia" w:ascii="宋体" w:hAnsi="宋体" w:eastAsia="宋体" w:cs="宋体"/>
          <w:sz w:val="24"/>
          <w:szCs w:val="24"/>
        </w:rPr>
        <w:t>，系统将拒绝接收。</w:t>
      </w:r>
    </w:p>
    <w:p w14:paraId="2388259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（2）电子</w:t>
      </w:r>
      <w:r>
        <w:rPr>
          <w:rFonts w:hint="eastAsia" w:ascii="宋体" w:hAnsi="宋体" w:cs="宋体"/>
          <w:sz w:val="24"/>
          <w:szCs w:val="24"/>
          <w:lang w:val="en-US" w:eastAsia="zh-CN"/>
        </w:rPr>
        <w:t>招标文件</w:t>
      </w:r>
      <w:r>
        <w:rPr>
          <w:rFonts w:hint="eastAsia" w:ascii="宋体" w:hAnsi="宋体" w:eastAsia="宋体" w:cs="宋体"/>
          <w:sz w:val="24"/>
          <w:szCs w:val="24"/>
        </w:rPr>
        <w:t>需要使用专用软件打开、浏览</w:t>
      </w:r>
    </w:p>
    <w:p w14:paraId="68F5B78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供应商登录全国公共资源交易平台（陕西省）网站〖首页·〉服务指南·〉下载专区〗免费下载</w:t>
      </w:r>
      <w:r>
        <w:rPr>
          <w:rFonts w:hint="eastAsia" w:ascii="宋体" w:hAnsi="宋体" w:cs="宋体"/>
          <w:sz w:val="24"/>
          <w:szCs w:val="24"/>
          <w:lang w:eastAsia="zh-CN"/>
        </w:rPr>
        <w:t>“</w:t>
      </w:r>
      <w:r>
        <w:rPr>
          <w:rFonts w:hint="eastAsia" w:ascii="宋体" w:hAnsi="宋体" w:eastAsia="宋体" w:cs="宋体"/>
          <w:sz w:val="24"/>
          <w:szCs w:val="24"/>
        </w:rPr>
        <w:t>陕西省公共资源交易平台政府采购电子标书制作工具(V8.0.0.</w:t>
      </w:r>
      <w:r>
        <w:rPr>
          <w:rFonts w:hint="eastAsia" w:ascii="宋体" w:hAnsi="宋体" w:cs="宋体"/>
          <w:sz w:val="24"/>
          <w:szCs w:val="24"/>
          <w:lang w:val="en-US" w:eastAsia="zh-CN"/>
        </w:rPr>
        <w:t>40</w:t>
      </w:r>
      <w:r>
        <w:rPr>
          <w:rFonts w:hint="eastAsia" w:ascii="宋体" w:hAnsi="宋体" w:eastAsia="宋体" w:cs="宋体"/>
          <w:sz w:val="24"/>
          <w:szCs w:val="24"/>
        </w:rPr>
        <w:t>)</w:t>
      </w:r>
      <w:r>
        <w:rPr>
          <w:rFonts w:hint="eastAsia" w:ascii="宋体" w:hAnsi="宋体" w:cs="宋体"/>
          <w:sz w:val="24"/>
          <w:szCs w:val="24"/>
          <w:lang w:eastAsia="zh-CN"/>
        </w:rPr>
        <w:t>”</w:t>
      </w:r>
      <w:r>
        <w:rPr>
          <w:rFonts w:hint="eastAsia" w:ascii="宋体" w:hAnsi="宋体" w:eastAsia="宋体" w:cs="宋体"/>
          <w:sz w:val="24"/>
          <w:szCs w:val="24"/>
        </w:rPr>
        <w:t>，，使用该客户端可以打开电子</w:t>
      </w:r>
      <w:r>
        <w:rPr>
          <w:rFonts w:hint="eastAsia" w:ascii="宋体" w:hAnsi="宋体" w:cs="宋体"/>
          <w:sz w:val="24"/>
          <w:szCs w:val="24"/>
          <w:lang w:val="en-US" w:eastAsia="zh-CN"/>
        </w:rPr>
        <w:t>招标文件</w:t>
      </w:r>
      <w:r>
        <w:rPr>
          <w:rFonts w:hint="eastAsia" w:ascii="宋体" w:hAnsi="宋体" w:eastAsia="宋体" w:cs="宋体"/>
          <w:sz w:val="24"/>
          <w:szCs w:val="24"/>
        </w:rPr>
        <w:t>。软件操作手册详见全国公共资源交易平台（陕西省）网站〖首页·〉服务指南·〉下载专区〗中的《陕西省公共资源交易（政府采购类）响应文件制作软件操作手册》。</w:t>
      </w:r>
    </w:p>
    <w:p w14:paraId="7BD9CA5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（3）制作电子</w:t>
      </w:r>
      <w:r>
        <w:rPr>
          <w:rFonts w:hint="eastAsia" w:ascii="宋体" w:hAnsi="宋体" w:eastAsia="宋体" w:cs="宋体"/>
          <w:sz w:val="24"/>
          <w:szCs w:val="24"/>
          <w:lang w:eastAsia="zh-CN"/>
        </w:rPr>
        <w:t>投标文件</w:t>
      </w:r>
    </w:p>
    <w:p w14:paraId="4BD64B72">
      <w:pPr>
        <w:adjustRightInd w:val="0"/>
        <w:snapToGrid w:val="0"/>
        <w:spacing w:line="360" w:lineRule="auto"/>
        <w:ind w:firstLine="480" w:firstLineChars="200"/>
        <w:rPr>
          <w:rFonts w:hint="eastAsia" w:ascii="宋体" w:hAnsi="宋体" w:cs="宋体"/>
          <w:sz w:val="24"/>
          <w:szCs w:val="24"/>
          <w:lang w:eastAsia="zh-CN"/>
        </w:rPr>
      </w:pPr>
      <w:r>
        <w:rPr>
          <w:rFonts w:hint="eastAsia" w:ascii="宋体" w:hAnsi="宋体" w:eastAsia="宋体" w:cs="宋体"/>
          <w:sz w:val="24"/>
          <w:szCs w:val="24"/>
        </w:rPr>
        <w:t>电子</w:t>
      </w:r>
      <w:r>
        <w:rPr>
          <w:rFonts w:hint="eastAsia" w:ascii="宋体" w:hAnsi="宋体" w:eastAsia="宋体" w:cs="宋体"/>
          <w:sz w:val="24"/>
          <w:szCs w:val="24"/>
          <w:lang w:eastAsia="zh-CN"/>
        </w:rPr>
        <w:t>投标文件</w:t>
      </w:r>
      <w:r>
        <w:rPr>
          <w:rFonts w:hint="eastAsia" w:ascii="宋体" w:hAnsi="宋体" w:eastAsia="宋体" w:cs="宋体"/>
          <w:sz w:val="24"/>
          <w:szCs w:val="24"/>
        </w:rPr>
        <w:t>同样需要使用上述专用软件进行编制</w:t>
      </w:r>
      <w:r>
        <w:rPr>
          <w:rFonts w:hint="eastAsia" w:ascii="宋体" w:hAnsi="宋体" w:cs="宋体"/>
          <w:sz w:val="24"/>
          <w:szCs w:val="24"/>
          <w:lang w:eastAsia="zh-CN"/>
        </w:rPr>
        <w:t>，</w:t>
      </w:r>
      <w:r>
        <w:rPr>
          <w:rFonts w:hint="eastAsia" w:ascii="宋体" w:hAnsi="宋体" w:eastAsia="宋体" w:cs="宋体"/>
          <w:sz w:val="24"/>
          <w:szCs w:val="24"/>
        </w:rPr>
        <w:t>在编制过程中，如有技术性问题，请先翻阅操作手册或致电软件开发商</w:t>
      </w:r>
      <w:r>
        <w:rPr>
          <w:rFonts w:hint="eastAsia" w:ascii="宋体" w:hAnsi="宋体" w:cs="宋体"/>
          <w:sz w:val="24"/>
          <w:szCs w:val="24"/>
          <w:lang w:eastAsia="zh-CN"/>
        </w:rPr>
        <w:t>。</w:t>
      </w:r>
    </w:p>
    <w:p w14:paraId="5E00800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技术支持热线：4009280095、4009980000。</w:t>
      </w:r>
    </w:p>
    <w:p w14:paraId="3522A89F">
      <w:pPr>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3、</w:t>
      </w:r>
      <w:r>
        <w:rPr>
          <w:rFonts w:hint="eastAsia" w:ascii="宋体" w:hAnsi="宋体" w:eastAsia="宋体" w:cs="宋体"/>
          <w:b/>
          <w:bCs/>
          <w:sz w:val="24"/>
          <w:szCs w:val="24"/>
          <w:lang w:eastAsia="zh-CN"/>
        </w:rPr>
        <w:t>投标文件</w:t>
      </w:r>
      <w:r>
        <w:rPr>
          <w:rFonts w:hint="eastAsia" w:ascii="宋体" w:hAnsi="宋体" w:eastAsia="宋体" w:cs="宋体"/>
          <w:b/>
          <w:bCs/>
          <w:sz w:val="24"/>
          <w:szCs w:val="24"/>
        </w:rPr>
        <w:t>构成和格式</w:t>
      </w:r>
    </w:p>
    <w:p w14:paraId="0BBE921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3.1 </w:t>
      </w:r>
      <w:bookmarkStart w:id="84" w:name="_Hlk34128952"/>
      <w:bookmarkEnd w:id="84"/>
      <w:r>
        <w:rPr>
          <w:rFonts w:hint="eastAsia" w:ascii="宋体" w:hAnsi="宋体" w:eastAsia="宋体" w:cs="宋体"/>
          <w:sz w:val="24"/>
          <w:szCs w:val="24"/>
        </w:rPr>
        <w:t>本项目采用电子化评审系统，</w:t>
      </w:r>
      <w:r>
        <w:rPr>
          <w:rFonts w:hint="eastAsia" w:hAnsi="宋体" w:cs="宋体"/>
          <w:color w:val="000000" w:themeColor="text1"/>
          <w:sz w:val="24"/>
          <w:szCs w:val="24"/>
          <w:lang w:val="en-US" w:eastAsia="zh-CN"/>
          <w14:textFill>
            <w14:solidFill>
              <w14:schemeClr w14:val="tx1"/>
            </w14:solidFill>
          </w14:textFill>
        </w:rPr>
        <w:t>中标企业备案用</w:t>
      </w:r>
      <w:r>
        <w:rPr>
          <w:rFonts w:hint="eastAsia" w:ascii="宋体" w:hAnsi="宋体" w:eastAsia="宋体" w:cs="宋体"/>
          <w:sz w:val="24"/>
          <w:szCs w:val="24"/>
        </w:rPr>
        <w:t>其纸质</w:t>
      </w:r>
      <w:r>
        <w:rPr>
          <w:rFonts w:hint="eastAsia" w:ascii="宋体" w:hAnsi="宋体" w:eastAsia="宋体" w:cs="宋体"/>
          <w:sz w:val="24"/>
          <w:szCs w:val="24"/>
          <w:lang w:eastAsia="zh-CN"/>
        </w:rPr>
        <w:t>投标文件</w:t>
      </w:r>
      <w:r>
        <w:rPr>
          <w:rFonts w:hint="eastAsia" w:hAnsi="宋体" w:cs="宋体"/>
          <w:sz w:val="24"/>
          <w:szCs w:val="24"/>
          <w:lang w:val="en-US" w:eastAsia="zh-CN"/>
        </w:rPr>
        <w:t>可</w:t>
      </w:r>
      <w:r>
        <w:rPr>
          <w:rFonts w:hint="eastAsia" w:ascii="宋体" w:hAnsi="宋体" w:eastAsia="宋体" w:cs="宋体"/>
          <w:sz w:val="24"/>
          <w:szCs w:val="24"/>
        </w:rPr>
        <w:t>从政府采购项目</w:t>
      </w:r>
      <w:r>
        <w:rPr>
          <w:rFonts w:hint="eastAsia" w:ascii="宋体" w:hAnsi="宋体" w:eastAsia="宋体" w:cs="宋体"/>
          <w:sz w:val="24"/>
          <w:szCs w:val="24"/>
          <w:lang w:eastAsia="zh-CN"/>
        </w:rPr>
        <w:t>投标文件</w:t>
      </w:r>
      <w:r>
        <w:rPr>
          <w:rFonts w:hint="eastAsia" w:ascii="宋体" w:hAnsi="宋体" w:eastAsia="宋体" w:cs="宋体"/>
          <w:sz w:val="24"/>
          <w:szCs w:val="24"/>
        </w:rPr>
        <w:t>制作软件中导出</w:t>
      </w:r>
      <w:r>
        <w:rPr>
          <w:rFonts w:hint="eastAsia" w:ascii="宋体" w:hAnsi="宋体" w:cs="宋体"/>
          <w:sz w:val="24"/>
          <w:szCs w:val="24"/>
          <w:lang w:eastAsia="zh-CN"/>
        </w:rPr>
        <w:t>，</w:t>
      </w:r>
      <w:r>
        <w:rPr>
          <w:rFonts w:hint="eastAsia" w:ascii="宋体" w:hAnsi="宋体" w:eastAsia="宋体" w:cs="宋体"/>
          <w:sz w:val="24"/>
          <w:szCs w:val="24"/>
        </w:rPr>
        <w:t>以电子</w:t>
      </w:r>
      <w:r>
        <w:rPr>
          <w:rFonts w:hint="eastAsia" w:ascii="宋体" w:hAnsi="宋体" w:eastAsia="宋体" w:cs="宋体"/>
          <w:sz w:val="24"/>
          <w:szCs w:val="24"/>
          <w:lang w:eastAsia="zh-CN"/>
        </w:rPr>
        <w:t>投标文件</w:t>
      </w:r>
      <w:r>
        <w:rPr>
          <w:rFonts w:hint="eastAsia" w:ascii="宋体" w:hAnsi="宋体" w:eastAsia="宋体" w:cs="宋体"/>
          <w:sz w:val="24"/>
          <w:szCs w:val="24"/>
        </w:rPr>
        <w:t>为准。</w:t>
      </w:r>
    </w:p>
    <w:p w14:paraId="380AAA1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3.2供应商应按照</w:t>
      </w:r>
      <w:r>
        <w:rPr>
          <w:rFonts w:hint="eastAsia" w:ascii="宋体" w:hAnsi="宋体" w:cs="宋体"/>
          <w:color w:val="auto"/>
          <w:sz w:val="24"/>
          <w:szCs w:val="24"/>
          <w:lang w:eastAsia="zh-CN"/>
        </w:rPr>
        <w:t>“</w:t>
      </w:r>
      <w:r>
        <w:rPr>
          <w:rFonts w:hint="eastAsia" w:ascii="宋体" w:hAnsi="宋体" w:eastAsia="宋体" w:cs="宋体"/>
          <w:color w:val="auto"/>
          <w:sz w:val="24"/>
          <w:szCs w:val="24"/>
        </w:rPr>
        <w:t>第六</w:t>
      </w:r>
      <w:r>
        <w:rPr>
          <w:rFonts w:hint="eastAsia" w:ascii="宋体" w:hAnsi="宋体" w:eastAsia="宋体" w:cs="宋体"/>
          <w:color w:val="auto"/>
          <w:sz w:val="24"/>
          <w:szCs w:val="24"/>
          <w:lang w:eastAsia="zh-CN"/>
        </w:rPr>
        <w:t>章</w:t>
      </w:r>
      <w:r>
        <w:rPr>
          <w:rFonts w:hint="eastAsia" w:ascii="宋体" w:hAnsi="宋体" w:eastAsia="宋体" w:cs="宋体"/>
          <w:color w:val="auto"/>
          <w:sz w:val="24"/>
          <w:szCs w:val="24"/>
          <w:lang w:val="en-US" w:eastAsia="zh-CN"/>
        </w:rPr>
        <w:t xml:space="preserve"> </w:t>
      </w:r>
      <w:r>
        <w:rPr>
          <w:rFonts w:hint="eastAsia" w:ascii="宋体" w:hAnsi="宋体" w:cs="宋体"/>
          <w:color w:val="auto"/>
          <w:sz w:val="24"/>
          <w:szCs w:val="24"/>
          <w:lang w:val="en-US" w:eastAsia="zh-CN"/>
        </w:rPr>
        <w:t>投标文件</w:t>
      </w:r>
      <w:r>
        <w:rPr>
          <w:rFonts w:hint="eastAsia" w:ascii="宋体" w:hAnsi="宋体" w:eastAsia="宋体" w:cs="宋体"/>
          <w:color w:val="auto"/>
          <w:sz w:val="24"/>
          <w:szCs w:val="24"/>
        </w:rPr>
        <w:t>构成及格式</w:t>
      </w:r>
      <w:r>
        <w:rPr>
          <w:rFonts w:hint="eastAsia" w:ascii="宋体" w:hAnsi="宋体" w:cs="宋体"/>
          <w:color w:val="auto"/>
          <w:sz w:val="24"/>
          <w:szCs w:val="24"/>
          <w:lang w:eastAsia="zh-CN"/>
        </w:rPr>
        <w:t>”</w:t>
      </w:r>
      <w:r>
        <w:rPr>
          <w:rFonts w:hint="eastAsia" w:ascii="宋体" w:hAnsi="宋体" w:eastAsia="宋体" w:cs="宋体"/>
          <w:color w:val="auto"/>
          <w:sz w:val="24"/>
          <w:szCs w:val="24"/>
        </w:rPr>
        <w:t>提供的格式编写，</w:t>
      </w:r>
      <w:r>
        <w:rPr>
          <w:rFonts w:hint="eastAsia" w:ascii="宋体" w:hAnsi="宋体" w:eastAsia="宋体" w:cs="宋体"/>
          <w:sz w:val="24"/>
          <w:szCs w:val="24"/>
        </w:rPr>
        <w:t>不得缺少</w:t>
      </w:r>
      <w:r>
        <w:rPr>
          <w:rFonts w:hint="eastAsia" w:ascii="宋体" w:hAnsi="宋体" w:eastAsia="宋体" w:cs="宋体"/>
          <w:sz w:val="24"/>
          <w:szCs w:val="24"/>
          <w:lang w:eastAsia="zh-CN"/>
        </w:rPr>
        <w:t>招标文件</w:t>
      </w:r>
      <w:r>
        <w:rPr>
          <w:rFonts w:hint="eastAsia" w:ascii="宋体" w:hAnsi="宋体" w:eastAsia="宋体" w:cs="宋体"/>
          <w:sz w:val="24"/>
          <w:szCs w:val="24"/>
        </w:rPr>
        <w:t>要求填写的表格或提交的资料。</w:t>
      </w:r>
    </w:p>
    <w:p w14:paraId="7F59DDC5">
      <w:pPr>
        <w:pStyle w:val="19"/>
        <w:spacing w:after="0" w:line="288"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3.3</w:t>
      </w:r>
      <w:bookmarkStart w:id="85" w:name="_Hlk34129040"/>
      <w:bookmarkEnd w:id="85"/>
      <w:r>
        <w:rPr>
          <w:rFonts w:hint="eastAsia" w:ascii="宋体" w:hAnsi="宋体" w:eastAsia="宋体" w:cs="宋体"/>
          <w:sz w:val="24"/>
          <w:szCs w:val="24"/>
        </w:rPr>
        <w:t>纸质</w:t>
      </w:r>
      <w:r>
        <w:rPr>
          <w:rFonts w:hint="eastAsia" w:ascii="宋体" w:hAnsi="宋体" w:eastAsia="宋体" w:cs="宋体"/>
          <w:sz w:val="24"/>
          <w:szCs w:val="24"/>
          <w:lang w:eastAsia="zh-CN"/>
        </w:rPr>
        <w:t>投标文件</w:t>
      </w:r>
      <w:r>
        <w:rPr>
          <w:rFonts w:hint="eastAsia" w:ascii="宋体" w:hAnsi="宋体" w:eastAsia="宋体" w:cs="宋体"/>
          <w:sz w:val="24"/>
          <w:szCs w:val="24"/>
        </w:rPr>
        <w:t>的正本和全部的副本均须打印或用蓝（黑）色墨水书写，</w:t>
      </w:r>
      <w:r>
        <w:rPr>
          <w:rFonts w:hint="eastAsia" w:ascii="宋体" w:hAnsi="宋体" w:cs="宋体"/>
          <w:sz w:val="24"/>
          <w:szCs w:val="24"/>
          <w:lang w:val="en-US" w:eastAsia="zh-CN"/>
        </w:rPr>
        <w:t>按要求编制目录，正下方编制连续页码，</w:t>
      </w:r>
      <w:r>
        <w:rPr>
          <w:rFonts w:hint="eastAsia" w:ascii="宋体" w:hAnsi="宋体" w:eastAsia="宋体" w:cs="宋体"/>
          <w:sz w:val="24"/>
          <w:szCs w:val="24"/>
        </w:rPr>
        <w:t>将</w:t>
      </w:r>
      <w:r>
        <w:rPr>
          <w:rFonts w:hint="eastAsia" w:ascii="宋体" w:hAnsi="宋体" w:eastAsia="宋体" w:cs="宋体"/>
          <w:sz w:val="24"/>
          <w:szCs w:val="24"/>
          <w:lang w:eastAsia="zh-CN"/>
        </w:rPr>
        <w:t>投标文件</w:t>
      </w:r>
      <w:r>
        <w:rPr>
          <w:rFonts w:hint="eastAsia" w:ascii="宋体" w:hAnsi="宋体" w:eastAsia="宋体" w:cs="宋体"/>
          <w:sz w:val="24"/>
          <w:szCs w:val="24"/>
        </w:rPr>
        <w:t>采用左侧胶装方式装订成册，因字迹潦草或编排混乱导致的不利后果，由供应商自行承担。</w:t>
      </w:r>
      <w:r>
        <w:rPr>
          <w:rFonts w:hint="eastAsia" w:ascii="宋体" w:hAnsi="宋体" w:cs="宋体"/>
          <w:sz w:val="24"/>
          <w:szCs w:val="24"/>
          <w:lang w:eastAsia="zh-CN"/>
        </w:rPr>
        <w:t>（</w:t>
      </w:r>
      <w:r>
        <w:rPr>
          <w:rFonts w:hint="eastAsia" w:ascii="宋体" w:hAnsi="宋体" w:cs="宋体"/>
          <w:sz w:val="24"/>
          <w:szCs w:val="24"/>
          <w:lang w:val="en-US" w:eastAsia="zh-CN"/>
        </w:rPr>
        <w:t>可双面打印</w:t>
      </w:r>
      <w:r>
        <w:rPr>
          <w:rFonts w:hint="eastAsia" w:ascii="宋体" w:hAnsi="宋体" w:cs="宋体"/>
          <w:sz w:val="24"/>
          <w:szCs w:val="24"/>
          <w:lang w:eastAsia="zh-CN"/>
        </w:rPr>
        <w:t>）</w:t>
      </w:r>
    </w:p>
    <w:p w14:paraId="1FD2A247">
      <w:pPr>
        <w:spacing w:line="288"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（二）投标文件有效期</w:t>
      </w:r>
    </w:p>
    <w:p w14:paraId="45B8C0E0">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投标文件有效期为</w:t>
      </w:r>
      <w:r>
        <w:rPr>
          <w:rFonts w:hint="eastAsia" w:ascii="宋体" w:hAnsi="宋体" w:eastAsia="宋体" w:cs="宋体"/>
          <w:bCs/>
          <w:sz w:val="24"/>
          <w:szCs w:val="24"/>
        </w:rPr>
        <w:t>自开标之日起90个日历日</w:t>
      </w:r>
      <w:r>
        <w:rPr>
          <w:rFonts w:hint="eastAsia" w:ascii="宋体" w:hAnsi="宋体" w:eastAsia="宋体" w:cs="宋体"/>
          <w:sz w:val="24"/>
          <w:szCs w:val="24"/>
        </w:rPr>
        <w:t>。如中标，延长至合同执行完毕时止。供应商的</w:t>
      </w:r>
      <w:r>
        <w:rPr>
          <w:rFonts w:hint="eastAsia" w:ascii="宋体" w:hAnsi="宋体" w:eastAsia="宋体" w:cs="宋体"/>
          <w:sz w:val="24"/>
          <w:szCs w:val="24"/>
          <w:lang w:val="en-US" w:eastAsia="zh-CN"/>
        </w:rPr>
        <w:t>投标</w:t>
      </w:r>
      <w:r>
        <w:rPr>
          <w:rFonts w:hint="eastAsia" w:ascii="宋体" w:hAnsi="宋体" w:eastAsia="宋体" w:cs="宋体"/>
          <w:sz w:val="24"/>
          <w:szCs w:val="24"/>
        </w:rPr>
        <w:t>文件有效期比</w:t>
      </w:r>
      <w:r>
        <w:rPr>
          <w:rFonts w:hint="eastAsia" w:ascii="宋体" w:hAnsi="宋体" w:eastAsia="宋体" w:cs="宋体"/>
          <w:sz w:val="24"/>
          <w:szCs w:val="24"/>
          <w:lang w:val="en-US" w:eastAsia="zh-CN"/>
        </w:rPr>
        <w:t>招标文件</w:t>
      </w:r>
      <w:r>
        <w:rPr>
          <w:rFonts w:hint="eastAsia" w:ascii="宋体" w:hAnsi="宋体" w:eastAsia="宋体" w:cs="宋体"/>
          <w:sz w:val="24"/>
          <w:szCs w:val="24"/>
        </w:rPr>
        <w:t>规定短</w:t>
      </w:r>
      <w:r>
        <w:rPr>
          <w:rFonts w:hint="eastAsia" w:ascii="宋体" w:hAnsi="宋体" w:cs="宋体"/>
          <w:sz w:val="24"/>
          <w:szCs w:val="24"/>
          <w:lang w:val="en-US" w:eastAsia="zh-CN"/>
        </w:rPr>
        <w:t>或者无投标有效期</w:t>
      </w:r>
      <w:r>
        <w:rPr>
          <w:rFonts w:hint="eastAsia" w:ascii="宋体" w:hAnsi="宋体" w:eastAsia="宋体" w:cs="宋体"/>
          <w:sz w:val="24"/>
          <w:szCs w:val="24"/>
        </w:rPr>
        <w:t>的将被视为非实质性响应而予以拒绝。</w:t>
      </w:r>
    </w:p>
    <w:p w14:paraId="413A149B">
      <w:pPr>
        <w:spacing w:line="288"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（三）投标文件的提交</w:t>
      </w:r>
    </w:p>
    <w:p w14:paraId="5B6A7EFD">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电子投标文件可于提交投标文件截止时间前任意时段登录全国公共资源交易平台（陕西省）网站“电子交易平台&gt;企业端”进行提交，逾期系统将拒绝接收。提交时，投标人应登录全国公共资源交易中心平台（陕西省），选择“首页&gt;电子交易平台&gt;企业端&gt;我的项目”，点击“项目流程”，在打开的“项目管理”对话框中选择“上传投标文件”，上传加密的电子投标文件。上传成功后，电子化平台将予以记录。</w:t>
      </w:r>
    </w:p>
    <w:p w14:paraId="7FD04EA9">
      <w:pPr>
        <w:pStyle w:val="10"/>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2、纸质版文件递交</w:t>
      </w:r>
    </w:p>
    <w:p w14:paraId="71599E87">
      <w:pPr>
        <w:spacing w:line="360" w:lineRule="auto"/>
        <w:ind w:firstLine="480" w:firstLineChars="200"/>
        <w:rPr>
          <w:rFonts w:hint="eastAsia" w:ascii="宋体" w:hAnsi="宋体" w:eastAsia="宋体" w:cs="宋体"/>
          <w:b w:val="0"/>
          <w:bCs w:val="0"/>
          <w:sz w:val="24"/>
          <w:szCs w:val="24"/>
          <w:lang w:val="en-US" w:eastAsia="zh-CN"/>
        </w:rPr>
      </w:pPr>
      <w:r>
        <w:rPr>
          <w:rFonts w:hint="eastAsia" w:hAnsi="宋体" w:cs="宋体"/>
          <w:b w:val="0"/>
          <w:bCs w:val="0"/>
          <w:color w:val="000000" w:themeColor="text1"/>
          <w:sz w:val="24"/>
          <w:szCs w:val="24"/>
          <w:lang w:val="en-US" w:eastAsia="zh-CN"/>
          <w14:textFill>
            <w14:solidFill>
              <w14:schemeClr w14:val="tx1"/>
            </w14:solidFill>
          </w14:textFill>
        </w:rPr>
        <w:t>中</w:t>
      </w:r>
      <w:r>
        <w:rPr>
          <w:rFonts w:hint="eastAsia" w:ascii="宋体" w:hAnsi="宋体" w:eastAsia="宋体" w:cs="宋体"/>
          <w:b w:val="0"/>
          <w:bCs w:val="0"/>
          <w:color w:val="000000" w:themeColor="text1"/>
          <w:sz w:val="24"/>
          <w:szCs w:val="24"/>
          <w14:textFill>
            <w14:solidFill>
              <w14:schemeClr w14:val="tx1"/>
            </w14:solidFill>
          </w14:textFill>
        </w:rPr>
        <w:t>标</w:t>
      </w:r>
      <w:r>
        <w:rPr>
          <w:rFonts w:hint="eastAsia" w:hAnsi="宋体" w:cs="宋体"/>
          <w:b w:val="0"/>
          <w:bCs w:val="0"/>
          <w:color w:val="000000" w:themeColor="text1"/>
          <w:sz w:val="24"/>
          <w:szCs w:val="24"/>
          <w:lang w:val="en-US" w:eastAsia="zh-CN"/>
          <w14:textFill>
            <w14:solidFill>
              <w14:schemeClr w14:val="tx1"/>
            </w14:solidFill>
          </w14:textFill>
        </w:rPr>
        <w:t>单位</w:t>
      </w:r>
      <w:r>
        <w:rPr>
          <w:rFonts w:hint="eastAsia" w:ascii="宋体" w:hAnsi="宋体" w:eastAsia="宋体" w:cs="宋体"/>
          <w:b w:val="0"/>
          <w:bCs w:val="0"/>
          <w:color w:val="000000" w:themeColor="text1"/>
          <w:sz w:val="24"/>
          <w:szCs w:val="24"/>
          <w14:textFill>
            <w14:solidFill>
              <w14:schemeClr w14:val="tx1"/>
            </w14:solidFill>
          </w14:textFill>
        </w:rPr>
        <w:t>在</w:t>
      </w:r>
      <w:r>
        <w:rPr>
          <w:rFonts w:hint="eastAsia" w:hAnsi="宋体" w:cs="宋体"/>
          <w:b w:val="0"/>
          <w:bCs w:val="0"/>
          <w:color w:val="000000" w:themeColor="text1"/>
          <w:sz w:val="24"/>
          <w:szCs w:val="24"/>
          <w:lang w:val="en-US" w:eastAsia="zh-CN"/>
          <w14:textFill>
            <w14:solidFill>
              <w14:schemeClr w14:val="tx1"/>
            </w14:solidFill>
          </w14:textFill>
        </w:rPr>
        <w:t>成交结果公告发布后</w:t>
      </w:r>
      <w:r>
        <w:rPr>
          <w:rFonts w:hint="eastAsia" w:ascii="宋体" w:hAnsi="宋体" w:eastAsia="宋体" w:cs="宋体"/>
          <w:b w:val="0"/>
          <w:bCs w:val="0"/>
          <w:color w:val="000000" w:themeColor="text1"/>
          <w:sz w:val="24"/>
          <w:szCs w:val="24"/>
          <w14:textFill>
            <w14:solidFill>
              <w14:schemeClr w14:val="tx1"/>
            </w14:solidFill>
          </w14:textFill>
        </w:rPr>
        <w:t>将</w:t>
      </w:r>
      <w:r>
        <w:rPr>
          <w:rFonts w:hint="eastAsia" w:hAnsi="宋体" w:cs="宋体"/>
          <w:b w:val="0"/>
          <w:bCs w:val="0"/>
          <w:sz w:val="24"/>
          <w:szCs w:val="24"/>
          <w:lang w:eastAsia="zh-CN"/>
        </w:rPr>
        <w:t>一正</w:t>
      </w:r>
      <w:r>
        <w:rPr>
          <w:rFonts w:hint="eastAsia" w:hAnsi="宋体" w:cs="宋体"/>
          <w:b w:val="0"/>
          <w:bCs w:val="0"/>
          <w:sz w:val="24"/>
          <w:szCs w:val="24"/>
          <w:lang w:val="en-US" w:eastAsia="zh-CN"/>
        </w:rPr>
        <w:t>一</w:t>
      </w:r>
      <w:r>
        <w:rPr>
          <w:rFonts w:hint="eastAsia" w:hAnsi="宋体" w:cs="宋体"/>
          <w:b w:val="0"/>
          <w:bCs w:val="0"/>
          <w:sz w:val="24"/>
          <w:szCs w:val="24"/>
          <w:lang w:eastAsia="zh-CN"/>
        </w:rPr>
        <w:t>副</w:t>
      </w:r>
      <w:r>
        <w:rPr>
          <w:rFonts w:hint="eastAsia" w:ascii="宋体" w:hAnsi="宋体" w:eastAsia="宋体" w:cs="宋体"/>
          <w:b w:val="0"/>
          <w:bCs w:val="0"/>
          <w:sz w:val="24"/>
          <w:szCs w:val="24"/>
        </w:rPr>
        <w:t>纸质投标文件</w:t>
      </w:r>
      <w:r>
        <w:rPr>
          <w:rFonts w:hint="eastAsia" w:ascii="宋体" w:hAnsi="宋体" w:eastAsia="宋体" w:cs="宋体"/>
          <w:b w:val="0"/>
          <w:bCs w:val="0"/>
          <w:sz w:val="24"/>
          <w:szCs w:val="24"/>
          <w:lang w:val="en-US" w:eastAsia="zh-CN"/>
        </w:rPr>
        <w:t>邮寄或送达至代理公司</w:t>
      </w:r>
      <w:r>
        <w:rPr>
          <w:rFonts w:hint="eastAsia" w:ascii="宋体" w:hAnsi="宋体" w:eastAsia="宋体" w:cs="宋体"/>
          <w:b w:val="0"/>
          <w:bCs w:val="0"/>
          <w:sz w:val="24"/>
          <w:szCs w:val="24"/>
        </w:rPr>
        <w:t>（备案用）（邮寄地址：陕西省榆林市明珠大道榆商大厦A座5楼，联系人：</w:t>
      </w:r>
      <w:r>
        <w:rPr>
          <w:rFonts w:hint="eastAsia" w:hAnsi="宋体" w:cs="宋体"/>
          <w:b w:val="0"/>
          <w:bCs w:val="0"/>
          <w:sz w:val="24"/>
          <w:szCs w:val="24"/>
          <w:lang w:val="en-US" w:eastAsia="zh-CN"/>
        </w:rPr>
        <w:t>榆林市恒博工程咨询有限公司</w:t>
      </w:r>
      <w:r>
        <w:rPr>
          <w:rFonts w:hint="eastAsia" w:ascii="宋体" w:hAnsi="宋体" w:eastAsia="宋体" w:cs="宋体"/>
          <w:b w:val="0"/>
          <w:bCs w:val="0"/>
          <w:sz w:val="24"/>
          <w:szCs w:val="24"/>
        </w:rPr>
        <w:t xml:space="preserve"> 联系电话：</w:t>
      </w:r>
      <w:r>
        <w:rPr>
          <w:rFonts w:hint="eastAsia" w:hAnsi="宋体" w:cs="宋体"/>
          <w:b w:val="0"/>
          <w:bCs w:val="0"/>
          <w:kern w:val="0"/>
          <w:sz w:val="24"/>
          <w:szCs w:val="24"/>
          <w:lang w:val="en-US" w:eastAsia="zh-CN" w:bidi="ar-SA"/>
        </w:rPr>
        <w:t>0912-3891169</w:t>
      </w:r>
      <w:r>
        <w:rPr>
          <w:rFonts w:hint="eastAsia" w:ascii="宋体" w:hAnsi="宋体" w:eastAsia="宋体" w:cs="宋体"/>
          <w:b w:val="0"/>
          <w:bCs w:val="0"/>
          <w:sz w:val="24"/>
          <w:szCs w:val="24"/>
        </w:rPr>
        <w:t>）</w:t>
      </w:r>
    </w:p>
    <w:p w14:paraId="289005EA">
      <w:pPr>
        <w:spacing w:line="288"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（四）投标文件的补充、修改和撤回</w:t>
      </w:r>
    </w:p>
    <w:p w14:paraId="18FF8E95">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1、投标人在上传投标文件后，且在提交投标文件截止时间前，可以对所提交的投标文件进行补充、修改或撤回。</w:t>
      </w:r>
    </w:p>
    <w:p w14:paraId="64BC559B">
      <w:pPr>
        <w:pStyle w:val="40"/>
        <w:numPr>
          <w:ilvl w:val="0"/>
          <w:numId w:val="3"/>
        </w:numPr>
        <w:spacing w:line="288" w:lineRule="auto"/>
        <w:ind w:firstLine="420"/>
        <w:rPr>
          <w:rFonts w:hint="eastAsia" w:ascii="宋体" w:hAnsi="宋体" w:eastAsia="宋体" w:cs="宋体"/>
          <w:sz w:val="24"/>
          <w:szCs w:val="24"/>
        </w:rPr>
      </w:pPr>
      <w:r>
        <w:rPr>
          <w:rFonts w:hint="eastAsia" w:ascii="宋体" w:hAnsi="宋体" w:eastAsia="宋体" w:cs="宋体"/>
          <w:sz w:val="24"/>
          <w:szCs w:val="24"/>
        </w:rPr>
        <w:t>对电子投标文件进行补充、修改的，应先从电子交易平台上撤回旧版，再重新提交新版的同时提供与新版电子投标文件内容一致的纸质投标文件。</w:t>
      </w:r>
    </w:p>
    <w:p w14:paraId="4E53238F">
      <w:pPr>
        <w:pStyle w:val="40"/>
        <w:numPr>
          <w:ilvl w:val="0"/>
          <w:numId w:val="3"/>
        </w:numPr>
        <w:spacing w:line="288" w:lineRule="auto"/>
        <w:ind w:firstLine="420"/>
        <w:rPr>
          <w:rFonts w:hint="eastAsia" w:ascii="宋体" w:hAnsi="宋体" w:eastAsia="宋体" w:cs="宋体"/>
          <w:sz w:val="24"/>
          <w:szCs w:val="24"/>
        </w:rPr>
      </w:pPr>
      <w:r>
        <w:rPr>
          <w:rFonts w:hint="eastAsia" w:ascii="宋体" w:hAnsi="宋体" w:eastAsia="宋体" w:cs="宋体"/>
          <w:sz w:val="24"/>
          <w:szCs w:val="24"/>
        </w:rPr>
        <w:t>投标文件提交截止时间后，投标人不得对其投标文件做任何修改。</w:t>
      </w:r>
    </w:p>
    <w:p w14:paraId="454FE8D3">
      <w:pPr>
        <w:pStyle w:val="19"/>
        <w:spacing w:after="0" w:line="288" w:lineRule="auto"/>
        <w:ind w:firstLineChars="200"/>
        <w:rPr>
          <w:rFonts w:hint="eastAsia" w:ascii="宋体" w:hAnsi="宋体" w:eastAsia="宋体" w:cs="宋体"/>
          <w:sz w:val="24"/>
          <w:szCs w:val="24"/>
        </w:rPr>
      </w:pPr>
      <w:r>
        <w:rPr>
          <w:rFonts w:hint="eastAsia" w:ascii="宋体" w:hAnsi="宋体" w:eastAsia="宋体" w:cs="宋体"/>
          <w:sz w:val="24"/>
          <w:szCs w:val="24"/>
        </w:rPr>
        <w:t>4、投标人在提交投标文件截止时间后撤回投标文件的，投标保证金不予退还。</w:t>
      </w:r>
    </w:p>
    <w:p w14:paraId="54A9EBA9">
      <w:pPr>
        <w:pStyle w:val="19"/>
        <w:spacing w:after="0" w:line="288" w:lineRule="auto"/>
        <w:ind w:firstLine="211"/>
        <w:rPr>
          <w:rFonts w:hint="eastAsia" w:ascii="宋体" w:hAnsi="宋体" w:eastAsia="宋体" w:cs="宋体"/>
          <w:b/>
          <w:sz w:val="24"/>
          <w:szCs w:val="24"/>
        </w:rPr>
      </w:pPr>
      <w:r>
        <w:rPr>
          <w:rFonts w:hint="eastAsia" w:ascii="宋体" w:hAnsi="宋体" w:eastAsia="宋体" w:cs="宋体"/>
          <w:b/>
          <w:sz w:val="24"/>
          <w:szCs w:val="24"/>
        </w:rPr>
        <w:t>（五）投标人出现下列情况之一的，其投标文件视为无效文件：</w:t>
      </w:r>
    </w:p>
    <w:p w14:paraId="656FFABD">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1、逾期提交电子投标文件；</w:t>
      </w:r>
    </w:p>
    <w:p w14:paraId="745A2AEE">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2、提交的投标文件与本项目不相符；</w:t>
      </w:r>
    </w:p>
    <w:p w14:paraId="367C3995">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3、投标人拒绝对电子投标文件进行解密；</w:t>
      </w:r>
    </w:p>
    <w:p w14:paraId="126579CB">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4、因投标人自身原因（如未带CA锁、或所带CA锁与制作电子投标文件使用的CA锁不一致、或沿用旧版招标文件编制投标文件等情形），导致在规定时间内无法解密投标文件；</w:t>
      </w:r>
    </w:p>
    <w:p w14:paraId="2323E416">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5、上传的电子投标文件无法打开。</w:t>
      </w:r>
    </w:p>
    <w:p w14:paraId="145D173B">
      <w:pPr>
        <w:pStyle w:val="19"/>
        <w:spacing w:after="0" w:line="288" w:lineRule="auto"/>
        <w:ind w:firstLine="0" w:firstLineChars="0"/>
        <w:outlineLvl w:val="1"/>
        <w:rPr>
          <w:rFonts w:hint="eastAsia" w:ascii="宋体" w:hAnsi="宋体" w:eastAsia="宋体" w:cs="宋体"/>
          <w:b/>
          <w:sz w:val="24"/>
          <w:szCs w:val="24"/>
        </w:rPr>
      </w:pPr>
      <w:bookmarkStart w:id="86" w:name="_Toc48834092"/>
      <w:bookmarkStart w:id="87" w:name="_Toc7276"/>
      <w:bookmarkStart w:id="88" w:name="_Toc21349"/>
      <w:bookmarkStart w:id="89" w:name="_Toc48834451"/>
      <w:bookmarkStart w:id="90" w:name="_Toc48834530"/>
      <w:bookmarkStart w:id="91" w:name="_Toc48834162"/>
      <w:bookmarkStart w:id="92" w:name="_Toc14082125"/>
      <w:bookmarkStart w:id="93" w:name="_Toc48834289"/>
      <w:r>
        <w:rPr>
          <w:rFonts w:hint="eastAsia" w:ascii="宋体" w:hAnsi="宋体" w:eastAsia="宋体" w:cs="宋体"/>
          <w:b/>
          <w:sz w:val="24"/>
          <w:szCs w:val="24"/>
        </w:rPr>
        <w:t>七、组织开标</w:t>
      </w:r>
      <w:bookmarkEnd w:id="86"/>
      <w:bookmarkEnd w:id="87"/>
      <w:bookmarkEnd w:id="88"/>
      <w:bookmarkEnd w:id="89"/>
      <w:bookmarkEnd w:id="90"/>
      <w:bookmarkEnd w:id="91"/>
      <w:bookmarkEnd w:id="92"/>
      <w:bookmarkEnd w:id="93"/>
    </w:p>
    <w:p w14:paraId="5092B7B1">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（一）采购代理机构组织招标、开标、评标工作，整个过程受政府采购监管机构的监督、管理。</w:t>
      </w:r>
    </w:p>
    <w:p w14:paraId="227F7F4E">
      <w:pPr>
        <w:spacing w:line="288" w:lineRule="auto"/>
        <w:ind w:firstLine="240" w:firstLineChars="100"/>
        <w:rPr>
          <w:rFonts w:hint="eastAsia" w:ascii="宋体" w:hAnsi="宋体" w:eastAsia="宋体" w:cs="宋体"/>
          <w:b/>
          <w:bCs/>
          <w:sz w:val="24"/>
          <w:szCs w:val="24"/>
        </w:rPr>
      </w:pPr>
      <w:r>
        <w:rPr>
          <w:rFonts w:hint="eastAsia" w:ascii="宋体" w:hAnsi="宋体" w:eastAsia="宋体" w:cs="宋体"/>
          <w:sz w:val="24"/>
          <w:szCs w:val="24"/>
        </w:rPr>
        <w:t>（二）采购代理机构在招标文件规定的时间和地点组织开标，投标人必须按时签到。</w:t>
      </w:r>
    </w:p>
    <w:p w14:paraId="47FB3B4F">
      <w:pPr>
        <w:spacing w:line="288"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 xml:space="preserve">    投标人不足3家的，不得开标。</w:t>
      </w:r>
    </w:p>
    <w:p w14:paraId="4DF13E6C">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（三）开标时，投标人应在规定时间内，使用电子投标文件加密时所用的数字认证证书（CA锁）在不见面开标会议中自行解密电子投标文件。</w:t>
      </w:r>
    </w:p>
    <w:p w14:paraId="60C9496D">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（四）开标会议记录由采购代理机构工作人员记录，参加开标的采购人及采购代理机构工作人员签到，所有资料随招标文件一并存档。</w:t>
      </w:r>
    </w:p>
    <w:p w14:paraId="49DD0C0E">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（五）投标人对不见面开标过程和开标记录有疑义，以及认为采购人、采购代理机构相关工作人员有需要回避情形的，应在不见面开标会议中及时提出询问或回避申请，采购人、采购代理机构应当及时处理。</w:t>
      </w:r>
    </w:p>
    <w:p w14:paraId="4FA898B2">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（六）投标人未参加开标的，视同认可开标结果。</w:t>
      </w:r>
    </w:p>
    <w:p w14:paraId="551A0048">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（七）特殊情形下的应急处置：</w:t>
      </w:r>
    </w:p>
    <w:p w14:paraId="2C8BDA67">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在开标、评审过程中，如因停电、断网、电子化系统故障等特殊原因导致电子化开、评标无法正常进行时，视具体情况确定是否停止开评标活动。 </w:t>
      </w:r>
    </w:p>
    <w:p w14:paraId="5505A603">
      <w:pPr>
        <w:pStyle w:val="19"/>
        <w:spacing w:after="0" w:line="288" w:lineRule="auto"/>
        <w:ind w:firstLine="0" w:firstLineChars="0"/>
        <w:outlineLvl w:val="1"/>
        <w:rPr>
          <w:rFonts w:hint="eastAsia" w:ascii="宋体" w:hAnsi="宋体" w:eastAsia="宋体" w:cs="宋体"/>
          <w:b/>
          <w:sz w:val="24"/>
          <w:szCs w:val="24"/>
          <w:lang w:eastAsia="zh-CN"/>
        </w:rPr>
      </w:pPr>
      <w:bookmarkStart w:id="94" w:name="_Toc48834290"/>
      <w:bookmarkStart w:id="95" w:name="_Toc13365"/>
      <w:bookmarkStart w:id="96" w:name="_Toc14082126"/>
      <w:bookmarkStart w:id="97" w:name="_Toc26927"/>
      <w:bookmarkStart w:id="98" w:name="_Toc48834093"/>
      <w:bookmarkStart w:id="99" w:name="_Toc48834163"/>
      <w:bookmarkStart w:id="100" w:name="_Toc48834531"/>
      <w:bookmarkStart w:id="101" w:name="_Toc48834452"/>
      <w:bookmarkStart w:id="102" w:name="_Toc14917"/>
      <w:bookmarkStart w:id="103" w:name="_Toc48834454"/>
      <w:bookmarkStart w:id="104" w:name="_Toc48834533"/>
      <w:bookmarkStart w:id="105" w:name="_Toc48834292"/>
      <w:bookmarkStart w:id="106" w:name="_Toc48834165"/>
      <w:bookmarkStart w:id="107" w:name="_Toc48834095"/>
      <w:r>
        <w:rPr>
          <w:rFonts w:hint="eastAsia" w:ascii="宋体" w:hAnsi="宋体" w:eastAsia="宋体" w:cs="宋体"/>
          <w:b/>
          <w:sz w:val="24"/>
          <w:szCs w:val="24"/>
        </w:rPr>
        <w:t>八、资格审查</w:t>
      </w:r>
      <w:bookmarkEnd w:id="94"/>
      <w:bookmarkEnd w:id="95"/>
      <w:bookmarkEnd w:id="96"/>
      <w:bookmarkEnd w:id="97"/>
      <w:bookmarkEnd w:id="98"/>
      <w:bookmarkEnd w:id="99"/>
      <w:bookmarkEnd w:id="100"/>
      <w:bookmarkEnd w:id="101"/>
    </w:p>
    <w:p w14:paraId="4E9221E1">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开标结束后，按《政府采购货物和服务招标投标管理办法》（财政部令第87号），由采购人依法对投标人的资格证明文件进行审查。未通过资格审查的投标人其投标文件将被视为无效。</w:t>
      </w:r>
    </w:p>
    <w:p w14:paraId="271A656F">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1、满足《中华人民共和国政府采购法》第二十二条规定。</w:t>
      </w:r>
    </w:p>
    <w:p w14:paraId="5941A43F">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2、本项目的特定资格要求：</w:t>
      </w:r>
    </w:p>
    <w:p w14:paraId="5AC7A9CA">
      <w:pPr>
        <w:spacing w:line="288"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以下资格要求由资格审查人在现场</w:t>
      </w:r>
      <w:r>
        <w:rPr>
          <w:rFonts w:hint="eastAsia" w:hAnsi="宋体" w:cs="宋体"/>
          <w:sz w:val="24"/>
          <w:szCs w:val="24"/>
          <w:lang w:val="en-US" w:eastAsia="zh-CN"/>
        </w:rPr>
        <w:t>进行审查</w:t>
      </w:r>
      <w:r>
        <w:rPr>
          <w:rFonts w:hint="eastAsia" w:ascii="宋体" w:hAnsi="宋体" w:eastAsia="宋体" w:cs="宋体"/>
          <w:sz w:val="24"/>
          <w:szCs w:val="24"/>
          <w:lang w:val="zh-CN"/>
        </w:rPr>
        <w:t>：</w:t>
      </w:r>
    </w:p>
    <w:p w14:paraId="7299C9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rPr>
      </w:pPr>
      <w:r>
        <w:rPr>
          <w:rFonts w:hint="eastAsia"/>
        </w:rPr>
        <w:t>（1）投标供应商须为具有独立承担民事责任能力的法人、事业法人、其他组织。企业法人应提供有效存续的企业营业执照及2024年度企业年检报告或相关合法存续证明；事业单位法人应提供有效的事业单位法人证书；其他组织应提供依法登记的证明文件； 如投标人为分公司，除提供分公司营业执照外，还必须同时满足以下条件：</w:t>
      </w:r>
    </w:p>
    <w:p w14:paraId="2B456C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rPr>
      </w:pPr>
      <w:r>
        <w:rPr>
          <w:rFonts w:hint="eastAsia"/>
        </w:rPr>
        <w:t>1. 提供由总公司出具的有效授权书，明确授权其代表总公司参与本项目投标及履行合同；2. 提供总公司有效的营业执照副本复印件（加盖总公司公章）；3. 分公司不具备独立法人资格，其法律责任由总公司承担。</w:t>
      </w:r>
    </w:p>
    <w:p w14:paraId="156AA6A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2）财务状况报告：提供2024年度经审计赋码的财务审计报告（成立时间至提交响应文件截止时间不足一年的可提供成立后任一时段的现金流量表、资产负债表和利润表或其基本存款账户开户银行出具的资信证明）及基本存款账户信息；</w:t>
      </w:r>
    </w:p>
    <w:p w14:paraId="6F3AFB2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（3）社会保障资金缴纳证明：提供2025年01月至今已缴存的社会保障资金缴存单据或社保机构开具的社会保险参保缴费情况证明，依法不需要缴纳社会保障资金的单位应提供相关证明材料；</w:t>
      </w:r>
    </w:p>
    <w:p w14:paraId="175C2E7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（4）税收缴纳证明：提供2025年01月至今已缴纳的至少一个月的纳税证明或完税证明，依法免税的单位应提供相关证明材料；</w:t>
      </w:r>
    </w:p>
    <w:p w14:paraId="024F7B7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（5）参加本次政府采购活动前3年内在经营活动中没有重大违纪，以及未被列入失信被执行人、重大税收违法案件当事人名单、政府采购严重违法失信行为记录名单的书面声明；</w:t>
      </w:r>
    </w:p>
    <w:p w14:paraId="1861F63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（6）提供具有履行合同所必需的设备和专业技术能力的证明资料或承诺书；</w:t>
      </w:r>
    </w:p>
    <w:p w14:paraId="45EED8B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7）供应商不得为“信用中国”网站（www.creditchina.gov.cn）中列入失信被执行人、严重失信主体和重大税收违法失信主体，不得为中国政府采购网（www.ccgp.gov.cn）及信用中国网站政府采购严重违法失信行为记录名单中被财政部门禁止参加政府采购活动的企业（提供网页查询截图及信用中国信用报告(查询时间须从招标文件发出开始至投标截止时间内)）；</w:t>
      </w:r>
    </w:p>
    <w:p w14:paraId="39EE643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8）提供榆林市政府采购服务类项目供应商信用承诺书、投标信用（保证金）承诺书等（格式详见招标文件）；供应商应在“信用中国（陕西榆林）”网站进行注册、登录、并提供截图，自主上报信用承诺书（网址：https://www.ylcredit.gov.cn/）；</w:t>
      </w:r>
    </w:p>
    <w:p w14:paraId="67CFF8A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（9）法定代表人参加投标的，须提供本人身份证扫描件（附到资格证明文件中）；法定代表人授权他人参加投标的，须提供法定代表人委托授权书并出示被授权代表的身份证原件扫描件。</w:t>
      </w:r>
    </w:p>
    <w:p w14:paraId="70151A6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（10）本项目非专门面向中小企业采购。</w:t>
      </w:r>
    </w:p>
    <w:p w14:paraId="13A170E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r>
        <w:rPr>
          <w:rFonts w:hint="eastAsia"/>
        </w:rPr>
        <w:t>（11）备注：（1）单位负责人为同一人或者存在直接控股、管理关系的不同投标人，不得参加同一合同项下的政府采购活动；（2）本项目不接受联合体投标，不允许分包。投标人提供非联合体、不分包投标声明，视为独立投标，不分包。（3）事业单位法人参与投标可不提供财务状况报告和社会保障资金缴纳证明及税收缴纳证明。</w:t>
      </w:r>
    </w:p>
    <w:p w14:paraId="3CAC575B">
      <w:pPr>
        <w:pStyle w:val="10"/>
        <w:numPr>
          <w:ilvl w:val="0"/>
          <w:numId w:val="0"/>
        </w:numPr>
        <w:spacing w:line="240" w:lineRule="auto"/>
        <w:ind w:firstLine="480" w:firstLineChars="200"/>
        <w:rPr>
          <w:rFonts w:hint="eastAsia"/>
          <w:sz w:val="24"/>
          <w:szCs w:val="24"/>
        </w:rPr>
      </w:pPr>
      <w:r>
        <w:rPr>
          <w:rFonts w:hint="eastAsia"/>
          <w:sz w:val="24"/>
          <w:szCs w:val="24"/>
        </w:rPr>
        <w:t>注：以上为必备资格条件，缺一项或某项达不到要求，按无效投标处理。</w:t>
      </w:r>
    </w:p>
    <w:p w14:paraId="59977356">
      <w:pPr>
        <w:spacing w:line="288"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通过资格审查的投标人不足3家的，不得评标。</w:t>
      </w:r>
    </w:p>
    <w:p w14:paraId="70971695">
      <w:pPr>
        <w:pStyle w:val="19"/>
        <w:spacing w:after="0" w:line="288" w:lineRule="auto"/>
        <w:ind w:firstLine="0" w:firstLineChars="0"/>
        <w:outlineLvl w:val="1"/>
        <w:rPr>
          <w:rFonts w:hint="eastAsia" w:ascii="宋体" w:hAnsi="宋体" w:eastAsia="宋体" w:cs="宋体"/>
          <w:b/>
          <w:sz w:val="24"/>
          <w:szCs w:val="24"/>
        </w:rPr>
      </w:pPr>
      <w:bookmarkStart w:id="108" w:name="_Toc23906"/>
      <w:bookmarkStart w:id="109" w:name="_Toc48834453"/>
      <w:bookmarkStart w:id="110" w:name="_Toc22512"/>
      <w:bookmarkStart w:id="111" w:name="_Toc48834164"/>
      <w:bookmarkStart w:id="112" w:name="_Toc48834094"/>
      <w:bookmarkStart w:id="113" w:name="_Toc48834532"/>
      <w:bookmarkStart w:id="114" w:name="_Toc48834291"/>
      <w:r>
        <w:rPr>
          <w:rFonts w:hint="eastAsia" w:ascii="宋体" w:hAnsi="宋体" w:eastAsia="宋体" w:cs="宋体"/>
          <w:b/>
          <w:sz w:val="24"/>
          <w:szCs w:val="24"/>
        </w:rPr>
        <w:t>九、组织评标</w:t>
      </w:r>
      <w:bookmarkEnd w:id="108"/>
      <w:bookmarkEnd w:id="109"/>
      <w:bookmarkEnd w:id="110"/>
      <w:bookmarkEnd w:id="111"/>
      <w:bookmarkEnd w:id="112"/>
      <w:bookmarkEnd w:id="113"/>
      <w:bookmarkEnd w:id="114"/>
    </w:p>
    <w:p w14:paraId="386E3B8D">
      <w:pPr>
        <w:spacing w:line="288" w:lineRule="auto"/>
        <w:ind w:firstLine="241" w:firstLineChars="100"/>
        <w:rPr>
          <w:rFonts w:hint="eastAsia" w:ascii="宋体" w:hAnsi="宋体" w:eastAsia="宋体" w:cs="宋体"/>
          <w:b/>
          <w:sz w:val="24"/>
          <w:szCs w:val="24"/>
        </w:rPr>
      </w:pPr>
      <w:bookmarkStart w:id="115" w:name="_Toc30503"/>
      <w:bookmarkStart w:id="116" w:name="_Toc9950"/>
      <w:bookmarkStart w:id="117" w:name="_Toc31809"/>
      <w:bookmarkStart w:id="118" w:name="_Toc19349"/>
      <w:r>
        <w:rPr>
          <w:rFonts w:hint="eastAsia" w:ascii="宋体" w:hAnsi="宋体" w:eastAsia="宋体" w:cs="宋体"/>
          <w:b/>
          <w:sz w:val="24"/>
          <w:szCs w:val="24"/>
        </w:rPr>
        <w:t>（一）采购代理机构负责组织评标工作，并履行下列职责：</w:t>
      </w:r>
      <w:bookmarkEnd w:id="115"/>
      <w:bookmarkEnd w:id="116"/>
      <w:bookmarkEnd w:id="117"/>
      <w:bookmarkEnd w:id="118"/>
    </w:p>
    <w:p w14:paraId="598C3C91">
      <w:pPr>
        <w:spacing w:line="288" w:lineRule="auto"/>
        <w:ind w:firstLine="480" w:firstLineChars="200"/>
        <w:rPr>
          <w:rFonts w:hint="eastAsia" w:ascii="宋体" w:hAnsi="宋体" w:eastAsia="宋体" w:cs="宋体"/>
          <w:sz w:val="24"/>
          <w:szCs w:val="24"/>
        </w:rPr>
      </w:pPr>
      <w:bookmarkStart w:id="119" w:name="_Toc6679"/>
      <w:bookmarkStart w:id="120" w:name="_Toc21732"/>
      <w:bookmarkStart w:id="121" w:name="_Toc27001"/>
      <w:bookmarkStart w:id="122" w:name="_Toc14136"/>
      <w:r>
        <w:rPr>
          <w:rFonts w:hint="eastAsia" w:ascii="宋体" w:hAnsi="宋体" w:eastAsia="宋体" w:cs="宋体"/>
          <w:sz w:val="24"/>
          <w:szCs w:val="24"/>
        </w:rPr>
        <w:t>1、核对评审专家身份和采购人代表授权函，对评审专家在政府采购活动中的职责履行情况予以记录；</w:t>
      </w:r>
    </w:p>
    <w:p w14:paraId="3B351014">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2、宣布评标纪律；</w:t>
      </w:r>
    </w:p>
    <w:p w14:paraId="2A721115">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3、公布投标人名单，告知评审专家应当回避的情形；</w:t>
      </w:r>
    </w:p>
    <w:p w14:paraId="52BF39BC">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4、组织评标委员会推选评标组长，采购人代表不得担任组长；</w:t>
      </w:r>
    </w:p>
    <w:p w14:paraId="632A3069">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5、在评标期间采取必要的通讯管理措施，保证评标活动不受外界干扰；</w:t>
      </w:r>
    </w:p>
    <w:p w14:paraId="5CC1BB73">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6、根据评标委员会的要求介绍政府采购相关政策法规、招标文件；</w:t>
      </w:r>
    </w:p>
    <w:p w14:paraId="7A6C262E">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7、维护评标秩序，监督评标委员会依照招标文件规定的评标程序、方法和标准进行独立评审，及时制止和纠正采购人代表、评审专家的倾向性言论或者违法违规行为；</w:t>
      </w:r>
    </w:p>
    <w:p w14:paraId="7E7F651A">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8、核对评标结果；</w:t>
      </w:r>
    </w:p>
    <w:p w14:paraId="07F3E9BD">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9、评审工作完成后，按照规定向评审专家支付劳务报酬和异地评审差旅费，不得向评审专家以外的其他人员支付评审劳务报酬；</w:t>
      </w:r>
    </w:p>
    <w:p w14:paraId="77EBD66E">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10、处理与评标有关的其他事项。</w:t>
      </w:r>
    </w:p>
    <w:p w14:paraId="5AFFBE9E">
      <w:pPr>
        <w:spacing w:line="288" w:lineRule="auto"/>
        <w:ind w:firstLine="241" w:firstLineChars="100"/>
        <w:rPr>
          <w:rFonts w:hint="eastAsia" w:ascii="宋体" w:hAnsi="宋体" w:eastAsia="宋体" w:cs="宋体"/>
          <w:sz w:val="24"/>
          <w:szCs w:val="24"/>
        </w:rPr>
      </w:pPr>
      <w:r>
        <w:rPr>
          <w:rFonts w:hint="eastAsia" w:ascii="宋体" w:hAnsi="宋体" w:eastAsia="宋体" w:cs="宋体"/>
          <w:b/>
          <w:sz w:val="24"/>
          <w:szCs w:val="24"/>
        </w:rPr>
        <w:t>（二）评标委员会负责具体评标事务，并独立履行下列职责：</w:t>
      </w:r>
      <w:bookmarkEnd w:id="119"/>
      <w:bookmarkEnd w:id="120"/>
      <w:bookmarkEnd w:id="121"/>
      <w:bookmarkEnd w:id="122"/>
    </w:p>
    <w:p w14:paraId="01D2C34E">
      <w:pPr>
        <w:pStyle w:val="18"/>
        <w:spacing w:beforeAutospacing="0" w:afterAutospacing="0" w:line="288" w:lineRule="auto"/>
        <w:ind w:firstLine="480" w:firstLineChars="200"/>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1、严格遵守评审工作纪律，按照客观、公正、审慎的原则，根据招标文件规定的评审程序、评审方法和评审标准进行独立评审；</w:t>
      </w:r>
    </w:p>
    <w:p w14:paraId="15273AB8">
      <w:pPr>
        <w:pStyle w:val="18"/>
        <w:spacing w:beforeAutospacing="0" w:afterAutospacing="0" w:line="288" w:lineRule="auto"/>
        <w:ind w:firstLine="480" w:firstLineChars="200"/>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2、发现招标文件内容违反国家有关强制性规定或者招标文件存在歧义、重大缺陷导致评审工作无法进行时，应当停止评审并向采购人或者采购代理机构书面说明情况；</w:t>
      </w:r>
    </w:p>
    <w:p w14:paraId="44ACF5D8">
      <w:pPr>
        <w:pStyle w:val="18"/>
        <w:spacing w:beforeAutospacing="0" w:afterAutospacing="0" w:line="288" w:lineRule="auto"/>
        <w:ind w:firstLine="480" w:firstLineChars="200"/>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3、审查、评价投标文件是否符合招标文件的商务、技术等实质性要求；</w:t>
      </w:r>
    </w:p>
    <w:p w14:paraId="11D5B3BA">
      <w:pPr>
        <w:pStyle w:val="18"/>
        <w:spacing w:beforeAutospacing="0" w:afterAutospacing="0" w:line="288" w:lineRule="auto"/>
        <w:ind w:firstLine="480" w:firstLineChars="200"/>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4、要求投标人对投标文件有关事项做出澄清或者说明；</w:t>
      </w:r>
    </w:p>
    <w:p w14:paraId="727B8170">
      <w:pPr>
        <w:pStyle w:val="18"/>
        <w:spacing w:beforeAutospacing="0" w:afterAutospacing="0" w:line="288" w:lineRule="auto"/>
        <w:ind w:firstLine="480" w:firstLineChars="200"/>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5、对投标文件进行比较和评价；</w:t>
      </w:r>
    </w:p>
    <w:p w14:paraId="6B9FDAE4">
      <w:pPr>
        <w:pStyle w:val="18"/>
        <w:spacing w:beforeAutospacing="0" w:afterAutospacing="0" w:line="288" w:lineRule="auto"/>
        <w:ind w:firstLine="480" w:firstLineChars="200"/>
        <w:jc w:val="both"/>
        <w:rPr>
          <w:rFonts w:hint="eastAsia" w:ascii="宋体" w:hAnsi="宋体" w:eastAsia="宋体" w:cs="宋体"/>
          <w:sz w:val="24"/>
          <w:szCs w:val="24"/>
          <w:highlight w:val="yellow"/>
          <w:shd w:val="clear" w:color="auto" w:fill="FFFFFF"/>
        </w:rPr>
      </w:pPr>
      <w:r>
        <w:rPr>
          <w:rFonts w:hint="eastAsia" w:ascii="宋体" w:hAnsi="宋体" w:eastAsia="宋体" w:cs="宋体"/>
          <w:sz w:val="24"/>
          <w:szCs w:val="24"/>
          <w:shd w:val="clear" w:color="auto" w:fill="FFFFFF"/>
        </w:rPr>
        <w:t>6、确定中标候选人名单；</w:t>
      </w:r>
    </w:p>
    <w:p w14:paraId="08AB4F5A">
      <w:pPr>
        <w:pStyle w:val="18"/>
        <w:spacing w:beforeAutospacing="0" w:afterAutospacing="0" w:line="288" w:lineRule="auto"/>
        <w:ind w:firstLine="480" w:firstLineChars="200"/>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7、配合答复投标人的询问、质疑和投诉等事项,不得泄露评审文件、评审情况和在评审过程中获悉的商业秘密；</w:t>
      </w:r>
    </w:p>
    <w:p w14:paraId="288CA746">
      <w:pPr>
        <w:pStyle w:val="18"/>
        <w:spacing w:beforeAutospacing="0" w:afterAutospacing="0" w:line="288" w:lineRule="auto"/>
        <w:ind w:firstLine="480" w:firstLineChars="200"/>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8、向采购人、采购代理机构或者有关部门报告评标中发现的违法行为。审查、评价投标文件是否符合招标文件的商务、技术等实质性要求。</w:t>
      </w:r>
    </w:p>
    <w:p w14:paraId="1171BF24">
      <w:pPr>
        <w:pStyle w:val="18"/>
        <w:spacing w:beforeAutospacing="0" w:afterAutospacing="0" w:line="288" w:lineRule="auto"/>
        <w:ind w:firstLine="480" w:firstLineChars="200"/>
        <w:jc w:val="both"/>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9、编写评标报告。</w:t>
      </w:r>
      <w:bookmarkStart w:id="123" w:name="_Toc29039"/>
      <w:bookmarkStart w:id="124" w:name="_Toc4951"/>
      <w:bookmarkStart w:id="125" w:name="_Toc932"/>
      <w:bookmarkStart w:id="126" w:name="_Toc4434"/>
    </w:p>
    <w:p w14:paraId="75BC8E96">
      <w:pPr>
        <w:ind w:firstLine="241" w:firstLineChars="100"/>
        <w:rPr>
          <w:rFonts w:hint="eastAsia" w:ascii="宋体" w:hAnsi="宋体" w:eastAsia="宋体" w:cs="宋体"/>
          <w:b/>
          <w:bCs/>
          <w:sz w:val="24"/>
          <w:szCs w:val="24"/>
        </w:rPr>
      </w:pPr>
      <w:r>
        <w:rPr>
          <w:rFonts w:hint="eastAsia" w:ascii="宋体" w:hAnsi="宋体" w:eastAsia="宋体" w:cs="宋体"/>
          <w:b/>
          <w:bCs/>
          <w:sz w:val="24"/>
          <w:szCs w:val="24"/>
        </w:rPr>
        <w:t>（三）组建评标委员会</w:t>
      </w:r>
      <w:bookmarkEnd w:id="123"/>
      <w:bookmarkEnd w:id="124"/>
      <w:bookmarkEnd w:id="125"/>
      <w:bookmarkEnd w:id="126"/>
    </w:p>
    <w:p w14:paraId="4DCA4DC7">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1、为了确保评标工作的公平、公正，依据政府采购法和政府采购相关法规、规章，成立评标委员会。</w:t>
      </w:r>
    </w:p>
    <w:p w14:paraId="22DEB5C9">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评标专家从政府采购评审专家库内相关专业的专家名单中随机抽取。评标委员会由采购人代表和评审专家组成，成员人数应当为5人以上单数（符合下列情形之一的，评标委员会成员人数应当为7人以上单数，采购预算金额在1000万元以上；技术复杂；社会影响较大。）其中采购人代表须持有专家授权函。评标委员会按照招标文件规定的评标方法独立进行评标工作。</w:t>
      </w:r>
    </w:p>
    <w:p w14:paraId="2136E68B">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评标中因评标委员会成员缺席、回避或者健康等特殊原因导致评标委员会组成不符合规定的，采购代理机构应当依法补足后继续评标。被更换的评标委员会成员所做出的评标意见无效。无法及时补足评标委员会成员的，采购代理机构应当停止评标活动，封存所有投标文件和开标、评标资料，依法重新组建评标委员会进行评标。原评标委员会所做出的评标意见无效。</w:t>
      </w:r>
    </w:p>
    <w:p w14:paraId="4D59BFC4">
      <w:pPr>
        <w:spacing w:line="288" w:lineRule="auto"/>
        <w:ind w:firstLine="241" w:firstLineChars="100"/>
        <w:rPr>
          <w:rFonts w:hint="eastAsia" w:ascii="宋体" w:hAnsi="宋体" w:eastAsia="宋体" w:cs="宋体"/>
          <w:sz w:val="24"/>
          <w:szCs w:val="24"/>
        </w:rPr>
      </w:pPr>
      <w:bookmarkStart w:id="127" w:name="_Toc23735"/>
      <w:bookmarkStart w:id="128" w:name="_Toc19340"/>
      <w:bookmarkStart w:id="129" w:name="_Toc21681"/>
      <w:bookmarkStart w:id="130" w:name="_Toc3980"/>
      <w:r>
        <w:rPr>
          <w:rFonts w:hint="eastAsia" w:ascii="宋体" w:hAnsi="宋体" w:eastAsia="宋体" w:cs="宋体"/>
          <w:b/>
          <w:sz w:val="24"/>
          <w:szCs w:val="24"/>
        </w:rPr>
        <w:t>（四）评标方法：本次评审采用综合评分法</w:t>
      </w:r>
      <w:bookmarkEnd w:id="127"/>
      <w:bookmarkEnd w:id="128"/>
      <w:bookmarkEnd w:id="129"/>
      <w:bookmarkEnd w:id="130"/>
    </w:p>
    <w:p w14:paraId="42C223E7">
      <w:pPr>
        <w:spacing w:line="288"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综合评分法</w:t>
      </w:r>
      <w:r>
        <w:rPr>
          <w:rFonts w:hint="eastAsia" w:ascii="宋体" w:hAnsi="宋体" w:eastAsia="宋体" w:cs="宋体"/>
          <w:sz w:val="24"/>
          <w:szCs w:val="24"/>
        </w:rPr>
        <w:t>，是指</w:t>
      </w:r>
      <w:r>
        <w:rPr>
          <w:rFonts w:hint="eastAsia" w:ascii="宋体" w:hAnsi="宋体" w:eastAsia="宋体" w:cs="宋体"/>
          <w:spacing w:val="-10"/>
          <w:sz w:val="24"/>
          <w:szCs w:val="24"/>
        </w:rPr>
        <w:t>即</w:t>
      </w:r>
      <w:r>
        <w:rPr>
          <w:rFonts w:hint="eastAsia" w:ascii="宋体" w:hAnsi="宋体" w:eastAsia="宋体" w:cs="宋体"/>
          <w:sz w:val="24"/>
          <w:szCs w:val="24"/>
        </w:rPr>
        <w:t>投标文件满足招标文件全部实质性要求，且按照评审因素的量化指标评审得分最高的投标人为中标候选人的评标方法。</w:t>
      </w:r>
    </w:p>
    <w:p w14:paraId="19EE5702">
      <w:pPr>
        <w:spacing w:line="288" w:lineRule="auto"/>
        <w:ind w:firstLine="241" w:firstLineChars="100"/>
        <w:rPr>
          <w:rFonts w:hint="eastAsia" w:ascii="宋体" w:hAnsi="宋体" w:eastAsia="宋体" w:cs="宋体"/>
          <w:b/>
          <w:sz w:val="24"/>
          <w:szCs w:val="24"/>
        </w:rPr>
      </w:pPr>
      <w:bookmarkStart w:id="131" w:name="_Toc27146"/>
      <w:bookmarkStart w:id="132" w:name="_Toc15709"/>
      <w:bookmarkStart w:id="133" w:name="_Toc52"/>
      <w:bookmarkStart w:id="134" w:name="_Toc25401"/>
      <w:r>
        <w:rPr>
          <w:rFonts w:hint="eastAsia" w:ascii="宋体" w:hAnsi="宋体" w:eastAsia="宋体" w:cs="宋体"/>
          <w:b/>
          <w:sz w:val="24"/>
          <w:szCs w:val="24"/>
        </w:rPr>
        <w:t>（五）评标程序</w:t>
      </w:r>
      <w:bookmarkEnd w:id="131"/>
      <w:bookmarkEnd w:id="132"/>
      <w:bookmarkEnd w:id="133"/>
      <w:bookmarkEnd w:id="134"/>
    </w:p>
    <w:p w14:paraId="74E4D6F5">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分步评审，每一步评审不符合招标文件要求者，不得进入下一步评审，全部评审合格的投标人，进入最后的打分，最后按得分由高向低排序，推荐中标候选投标人。</w:t>
      </w:r>
    </w:p>
    <w:p w14:paraId="78C6C954">
      <w:pPr>
        <w:spacing w:line="28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1、投标文件的符合性审查</w:t>
      </w:r>
    </w:p>
    <w:p w14:paraId="755FF6A9">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评标委员会应依据招标文件的规定，对投标文件的有效性、完整性和对招标文件的响应程度进行审查，以确定是否对招标文件的全部实质性要求做出响应。</w:t>
      </w:r>
    </w:p>
    <w:p w14:paraId="03CFAB8F">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评标委员会应审查每份投标文件是否实质上响应了招标文件的要求。实质上没有响应招标文件要求的投标作无效投标处理。评标委员会应告知有关投标人未通过审查的原因，投标人不得通过修正或撤销不符之处而使其成为实质上响应。</w:t>
      </w:r>
    </w:p>
    <w:p w14:paraId="29C988E6">
      <w:pPr>
        <w:spacing w:line="28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2、投标文件的澄清</w:t>
      </w:r>
    </w:p>
    <w:p w14:paraId="655DE62E">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（1）评标委员会在对投标文件的有效性、完整性和响应程度进行审查时，可以要求投标人对投标文件中含义不明确、同类问题表述不一致或者有明显文字和计算错误的内容等做出必要的澄清、说明或者补正。</w:t>
      </w:r>
    </w:p>
    <w:p w14:paraId="1509ABAA">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（2）依照民法中的过失责任原则，澄清、说明或补正前评标委员会将按最不利于投标投标人的原则对投标文件做出评判。</w:t>
      </w:r>
    </w:p>
    <w:p w14:paraId="01F06946">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评标委员会要求投标人澄清、说明或者补正投标文件应通过书面形式做出。投标人应当在规定的澄清时限内按评标委员会要求的方式提交，投标人的澄清、说明或者补正应当由法定代表人或其授权代表签字或者加盖公章。</w:t>
      </w:r>
    </w:p>
    <w:p w14:paraId="0CE772FF">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（4）投标人的澄清、说明或者补正不得超出投标文件的范围或者改变投标文件的实质性内容。澄清、说明或者补正的内容将作为合同履行的重要依据。</w:t>
      </w:r>
    </w:p>
    <w:p w14:paraId="41C73A02">
      <w:pPr>
        <w:spacing w:line="28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3、综合比较与评价</w:t>
      </w:r>
    </w:p>
    <w:p w14:paraId="48422F84">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评标委员会应按“评审要素及分值一览表”中规定的评标标准，对通过符合性和响应性审查的投标文件进行商务和技术评估，综合比较与评价。</w:t>
      </w:r>
    </w:p>
    <w:p w14:paraId="117637FD">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对被认定为</w:t>
      </w:r>
      <w:r>
        <w:rPr>
          <w:rFonts w:hint="eastAsia" w:ascii="宋体" w:hAnsi="宋体" w:eastAsia="宋体" w:cs="宋体"/>
          <w:bCs/>
          <w:sz w:val="24"/>
          <w:szCs w:val="24"/>
        </w:rPr>
        <w:t>小微企业（含小型、微型企业）、监狱企业、残疾人福利性单位</w:t>
      </w:r>
      <w:r>
        <w:rPr>
          <w:rFonts w:hint="eastAsia" w:ascii="宋体" w:hAnsi="宋体" w:eastAsia="宋体" w:cs="宋体"/>
          <w:sz w:val="24"/>
          <w:szCs w:val="24"/>
        </w:rPr>
        <w:t xml:space="preserve">（参照本章（四）执行优惠政策）提供的投标报价给予20%的价格扣除，用扣除后的价格参与评审排序，除此之外的其他情形均不适用本款规定。 </w:t>
      </w:r>
    </w:p>
    <w:p w14:paraId="6D9297DF">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评标委员会应审查投标人是否具备“落实政府采购政策”的资格，如不符合相关文件要求或投标人未提供相关声明或证明材料，投标人不可以享受价格折扣优惠政策。</w:t>
      </w:r>
    </w:p>
    <w:p w14:paraId="15B8BFC6">
      <w:pPr>
        <w:spacing w:line="28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4、推荐中标候选投标人</w:t>
      </w:r>
    </w:p>
    <w:p w14:paraId="6CD3BC9E">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638B341C">
      <w:pPr>
        <w:spacing w:line="28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5、编写评标报告</w:t>
      </w:r>
    </w:p>
    <w:p w14:paraId="3DCEFC93">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（1）评标委员会应根据全体评标成员签字的原始评标记录和评标结果编写评标报告。</w:t>
      </w:r>
    </w:p>
    <w:p w14:paraId="5EBC4D8B">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（2）评标委员会成员对需要共同认定的事项存在争议的，应当按照少数服从多数的原则做出结论。持不同意见的评标委员会成员应当在评标报告上签署不同意见及理由，否则视为同意评标报告。</w:t>
      </w:r>
    </w:p>
    <w:p w14:paraId="50E3FFC8">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除出现分值汇总计算错误、分项评分超出评分标准范围、评标委员会成员对客观评审因素评分不一致、经评标委员会认定评分畸高畸低的四种情况之一的以外，任何人不得修改评标结果。出现上述情形的处理方法：</w:t>
      </w:r>
    </w:p>
    <w:p w14:paraId="01106971">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评标结果汇总完成，评标报告签署前，评标委员会应当当场修改评标结果，并在评标报告中记载。</w:t>
      </w:r>
    </w:p>
    <w:p w14:paraId="04B56A22">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评标结果汇总完成，评标报告签署后，应当组织原评标委员会进行重新评审，重新评审改变评标结果的，书面报告</w:t>
      </w:r>
      <w:r>
        <w:rPr>
          <w:rFonts w:hint="eastAsia" w:ascii="宋体" w:hAnsi="宋体" w:eastAsia="宋体" w:cs="宋体"/>
          <w:sz w:val="24"/>
          <w:szCs w:val="24"/>
          <w:lang w:val="en-US" w:eastAsia="zh-CN"/>
        </w:rPr>
        <w:t>至</w:t>
      </w:r>
      <w:r>
        <w:rPr>
          <w:rFonts w:hint="eastAsia" w:ascii="宋体" w:hAnsi="宋体" w:eastAsia="宋体" w:cs="宋体"/>
          <w:sz w:val="24"/>
          <w:szCs w:val="24"/>
        </w:rPr>
        <w:t xml:space="preserve">财政局。 </w:t>
      </w:r>
    </w:p>
    <w:p w14:paraId="73A79119">
      <w:pPr>
        <w:spacing w:line="288" w:lineRule="auto"/>
        <w:outlineLvl w:val="1"/>
        <w:rPr>
          <w:rFonts w:hint="eastAsia" w:ascii="宋体" w:hAnsi="宋体" w:eastAsia="宋体" w:cs="宋体"/>
          <w:b/>
          <w:sz w:val="24"/>
          <w:szCs w:val="24"/>
        </w:rPr>
      </w:pPr>
      <w:bookmarkStart w:id="135" w:name="_Toc3564"/>
      <w:r>
        <w:rPr>
          <w:rFonts w:hint="eastAsia" w:ascii="宋体" w:hAnsi="宋体" w:eastAsia="宋体" w:cs="宋体"/>
          <w:b/>
          <w:sz w:val="24"/>
          <w:szCs w:val="24"/>
        </w:rPr>
        <w:t>十、无效投标情形</w:t>
      </w:r>
      <w:bookmarkEnd w:id="135"/>
    </w:p>
    <w:p w14:paraId="076FDFE9">
      <w:pPr>
        <w:spacing w:line="288"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（一）投标人存在下列情况之一的，投标无效:</w:t>
      </w:r>
    </w:p>
    <w:p w14:paraId="542C19BA">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1、未按照招标文件的规定提交投标保证金；</w:t>
      </w:r>
    </w:p>
    <w:p w14:paraId="7CA2BC46">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2、投标文件未按招标文件要求签署、盖章；</w:t>
      </w:r>
    </w:p>
    <w:p w14:paraId="3D87BB95">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3、不具备招标文件中规定的资格要求；</w:t>
      </w:r>
    </w:p>
    <w:p w14:paraId="2FB12A89">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4、报价超过招标文件中规定的预算金额或者最高限价；</w:t>
      </w:r>
    </w:p>
    <w:p w14:paraId="14B4B191">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5、投标文件含有采购人不能接受的附加条件；</w:t>
      </w:r>
    </w:p>
    <w:p w14:paraId="23F97EBC">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6、有选择的报价将不予接受，按无效投标处理；</w:t>
      </w:r>
    </w:p>
    <w:p w14:paraId="4C79A200">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7、按《政府采购货物和服务招标投标管理办法》（财政部令第87号）修正后的报价经投标人确认后产生约束力，投标人不确认的，其投标无效；</w:t>
      </w:r>
    </w:p>
    <w:p w14:paraId="322E795F">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8、为本采购项目提供</w:t>
      </w:r>
      <w:r>
        <w:rPr>
          <w:rFonts w:hint="eastAsia" w:ascii="宋体" w:hAnsi="宋体" w:eastAsia="宋体" w:cs="宋体"/>
          <w:sz w:val="24"/>
          <w:szCs w:val="24"/>
          <w:lang w:val="en-US" w:eastAsia="zh-CN"/>
        </w:rPr>
        <w:t>前期</w:t>
      </w:r>
      <w:r>
        <w:rPr>
          <w:rFonts w:hint="eastAsia" w:ascii="宋体" w:hAnsi="宋体" w:eastAsia="宋体" w:cs="宋体"/>
          <w:sz w:val="24"/>
          <w:szCs w:val="24"/>
        </w:rPr>
        <w:t>整体设计、规范编制或者项目管理、监理、检测等服务的投标人。</w:t>
      </w:r>
    </w:p>
    <w:p w14:paraId="356752D1">
      <w:pPr>
        <w:spacing w:line="288"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（二）投标人存在下列情形之一的，视为串通投标，其投标无效：</w:t>
      </w:r>
    </w:p>
    <w:p w14:paraId="0351C3A9">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1、不同投标人的投标文件由同一单位或者个人编制；</w:t>
      </w:r>
    </w:p>
    <w:p w14:paraId="75305A27">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2、不同投标人委托同一单位或者个人办理投标事宜；</w:t>
      </w:r>
    </w:p>
    <w:p w14:paraId="2D69CCC1">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3、不同投标人的投标文件载明的项目管理成员或者联系人员为同一人；</w:t>
      </w:r>
    </w:p>
    <w:p w14:paraId="57B5DDDA">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4、不同投标人的投标文件异常一致或者投标报价呈规律性差异；</w:t>
      </w:r>
    </w:p>
    <w:p w14:paraId="75E05C65">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5、不同投标人的投标文件相互混装；</w:t>
      </w:r>
    </w:p>
    <w:p w14:paraId="02449F24">
      <w:pPr>
        <w:spacing w:line="28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6、不同投标人的投标保证金从同一单位或者个人的账户转出。</w:t>
      </w:r>
    </w:p>
    <w:p w14:paraId="2F6983F5">
      <w:pPr>
        <w:spacing w:line="288" w:lineRule="auto"/>
        <w:ind w:firstLine="241" w:firstLineChars="100"/>
        <w:rPr>
          <w:rFonts w:hint="eastAsia" w:ascii="宋体" w:hAnsi="宋体" w:eastAsia="宋体" w:cs="宋体"/>
          <w:b/>
          <w:sz w:val="24"/>
          <w:szCs w:val="24"/>
        </w:rPr>
      </w:pPr>
      <w:r>
        <w:rPr>
          <w:rFonts w:hint="eastAsia" w:ascii="宋体" w:hAnsi="宋体" w:eastAsia="宋体" w:cs="宋体"/>
          <w:b/>
          <w:sz w:val="24"/>
          <w:szCs w:val="24"/>
        </w:rPr>
        <w:t>（三）投标人不得以低于成本的报价参加本次采购项目。</w:t>
      </w:r>
    </w:p>
    <w:p w14:paraId="4AD4518C">
      <w:pPr>
        <w:spacing w:line="288"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41BD268">
      <w:pPr>
        <w:pStyle w:val="19"/>
        <w:spacing w:after="0" w:line="288" w:lineRule="auto"/>
        <w:ind w:firstLine="0" w:firstLineChars="0"/>
        <w:outlineLvl w:val="1"/>
        <w:rPr>
          <w:rFonts w:hint="eastAsia" w:ascii="宋体" w:hAnsi="宋体" w:eastAsia="宋体" w:cs="宋体"/>
          <w:b/>
          <w:sz w:val="24"/>
          <w:szCs w:val="24"/>
        </w:rPr>
      </w:pPr>
      <w:bookmarkStart w:id="136" w:name="_Toc8479"/>
      <w:r>
        <w:rPr>
          <w:rFonts w:hint="eastAsia" w:ascii="宋体" w:hAnsi="宋体" w:eastAsia="宋体" w:cs="宋体"/>
          <w:b/>
          <w:sz w:val="24"/>
          <w:szCs w:val="24"/>
        </w:rPr>
        <w:t>十一、中</w:t>
      </w:r>
      <w:r>
        <w:rPr>
          <w:rFonts w:hint="eastAsia" w:ascii="宋体" w:hAnsi="宋体" w:cs="宋体"/>
          <w:b/>
          <w:sz w:val="24"/>
          <w:szCs w:val="24"/>
          <w:lang w:val="en-US" w:eastAsia="zh-CN"/>
        </w:rPr>
        <w:t xml:space="preserve"> </w:t>
      </w:r>
      <w:r>
        <w:rPr>
          <w:rFonts w:hint="eastAsia" w:ascii="宋体" w:hAnsi="宋体" w:eastAsia="宋体" w:cs="宋体"/>
          <w:b/>
          <w:sz w:val="24"/>
          <w:szCs w:val="24"/>
        </w:rPr>
        <w:t>标</w:t>
      </w:r>
      <w:bookmarkEnd w:id="102"/>
      <w:bookmarkEnd w:id="103"/>
      <w:bookmarkEnd w:id="104"/>
      <w:bookmarkEnd w:id="105"/>
      <w:bookmarkEnd w:id="106"/>
      <w:bookmarkEnd w:id="107"/>
      <w:bookmarkEnd w:id="136"/>
    </w:p>
    <w:p w14:paraId="65E0D898">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（一）采购代理机构在评标工作结束后2个工作日内将评标报告送采购人。</w:t>
      </w:r>
    </w:p>
    <w:p w14:paraId="516D2F56">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（二）采购人在收到评标报告之日起5个工作日内，在评标报告确定的中标候选人名单中按顺序确定</w:t>
      </w:r>
      <w:r>
        <w:rPr>
          <w:rFonts w:hint="eastAsia" w:hAnsi="宋体" w:cs="宋体"/>
          <w:sz w:val="24"/>
          <w:szCs w:val="24"/>
          <w:lang w:eastAsia="zh-CN"/>
        </w:rPr>
        <w:t>中标人</w:t>
      </w:r>
      <w:r>
        <w:rPr>
          <w:rFonts w:hint="eastAsia" w:ascii="宋体" w:hAnsi="宋体" w:eastAsia="宋体" w:cs="宋体"/>
          <w:sz w:val="24"/>
          <w:szCs w:val="24"/>
        </w:rPr>
        <w:t>。（采购人在收到评标报告5个工作日内未按评标报告推荐的中标候选人顺序确定</w:t>
      </w:r>
      <w:r>
        <w:rPr>
          <w:rFonts w:hint="eastAsia" w:hAnsi="宋体" w:cs="宋体"/>
          <w:sz w:val="24"/>
          <w:szCs w:val="24"/>
          <w:lang w:eastAsia="zh-CN"/>
        </w:rPr>
        <w:t>中标人</w:t>
      </w:r>
      <w:r>
        <w:rPr>
          <w:rFonts w:hint="eastAsia" w:ascii="宋体" w:hAnsi="宋体" w:eastAsia="宋体" w:cs="宋体"/>
          <w:sz w:val="24"/>
          <w:szCs w:val="24"/>
        </w:rPr>
        <w:t>，又不能说明合法理由的，视同按评标报告推荐的顺序确定</w:t>
      </w:r>
      <w:r>
        <w:rPr>
          <w:rFonts w:hint="eastAsia" w:hAnsi="宋体" w:cs="宋体"/>
          <w:sz w:val="24"/>
          <w:szCs w:val="24"/>
          <w:lang w:eastAsia="zh-CN"/>
        </w:rPr>
        <w:t>中标人</w:t>
      </w:r>
      <w:r>
        <w:rPr>
          <w:rFonts w:hint="eastAsia" w:ascii="宋体" w:hAnsi="宋体" w:eastAsia="宋体" w:cs="宋体"/>
          <w:sz w:val="24"/>
          <w:szCs w:val="24"/>
        </w:rPr>
        <w:t>，采购代理机构将发布中标公告。）</w:t>
      </w:r>
    </w:p>
    <w:p w14:paraId="7E5DD3FC">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（三）采购代理机构将在</w:t>
      </w:r>
      <w:r>
        <w:rPr>
          <w:rFonts w:hint="eastAsia" w:hAnsi="宋体" w:cs="宋体"/>
          <w:sz w:val="24"/>
          <w:szCs w:val="24"/>
          <w:lang w:eastAsia="zh-CN"/>
        </w:rPr>
        <w:t>中标人</w:t>
      </w:r>
      <w:r>
        <w:rPr>
          <w:rFonts w:hint="eastAsia" w:ascii="宋体" w:hAnsi="宋体" w:eastAsia="宋体" w:cs="宋体"/>
          <w:sz w:val="24"/>
          <w:szCs w:val="24"/>
        </w:rPr>
        <w:t>确定之日起2个工作日内，发布媒体为【</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"http://www.ccgp-shaanxi.gov.cn" </w:instrText>
      </w:r>
      <w:r>
        <w:rPr>
          <w:rFonts w:hint="eastAsia" w:ascii="宋体" w:hAnsi="宋体" w:eastAsia="宋体" w:cs="宋体"/>
          <w:sz w:val="24"/>
          <w:szCs w:val="24"/>
        </w:rPr>
        <w:fldChar w:fldCharType="separate"/>
      </w:r>
      <w:r>
        <w:rPr>
          <w:rFonts w:hint="eastAsia" w:ascii="宋体" w:hAnsi="宋体" w:eastAsia="宋体" w:cs="宋体"/>
          <w:sz w:val="24"/>
          <w:szCs w:val="24"/>
        </w:rPr>
        <w:t>陕西省政府采购网</w:t>
      </w:r>
      <w:r>
        <w:rPr>
          <w:rFonts w:hint="eastAsia" w:ascii="宋体" w:hAnsi="宋体" w:eastAsia="宋体" w:cs="宋体"/>
          <w:sz w:val="24"/>
          <w:szCs w:val="24"/>
        </w:rPr>
        <w:fldChar w:fldCharType="end"/>
      </w:r>
      <w:r>
        <w:rPr>
          <w:rFonts w:hint="eastAsia" w:ascii="宋体" w:hAnsi="宋体" w:eastAsia="宋体" w:cs="宋体"/>
          <w:sz w:val="24"/>
          <w:szCs w:val="24"/>
        </w:rPr>
        <w:t>（www.ccgp-shaanxi.gov.cn）】</w:t>
      </w:r>
      <w:r>
        <w:rPr>
          <w:rStyle w:val="31"/>
          <w:rFonts w:hint="eastAsia" w:ascii="宋体" w:hAnsi="宋体" w:eastAsia="宋体" w:cs="宋体"/>
          <w:color w:val="auto"/>
          <w:sz w:val="24"/>
          <w:szCs w:val="24"/>
          <w:u w:val="none"/>
        </w:rPr>
        <w:t>、</w:t>
      </w:r>
      <w:r>
        <w:rPr>
          <w:rFonts w:hint="eastAsia" w:ascii="宋体" w:hAnsi="宋体" w:eastAsia="宋体" w:cs="宋体"/>
          <w:sz w:val="24"/>
          <w:szCs w:val="24"/>
        </w:rPr>
        <w:t>【</w:t>
      </w:r>
      <w:r>
        <w:rPr>
          <w:rFonts w:hint="eastAsia" w:ascii="宋体" w:hAnsi="宋体" w:eastAsia="宋体" w:cs="宋体"/>
          <w:bCs/>
          <w:sz w:val="24"/>
          <w:szCs w:val="24"/>
        </w:rPr>
        <w:t>全国公共资源交易平台（陕西省）（http://www.sxggzyjy.cn/）</w:t>
      </w:r>
      <w:r>
        <w:rPr>
          <w:rFonts w:hint="eastAsia" w:ascii="宋体" w:hAnsi="宋体" w:eastAsia="宋体" w:cs="宋体"/>
          <w:sz w:val="24"/>
          <w:szCs w:val="24"/>
        </w:rPr>
        <w:t>】上公告中标结果。中标公告期限为1个工作日。</w:t>
      </w:r>
    </w:p>
    <w:p w14:paraId="2215C437">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（四）在公告中标结果的同时，采购代理机构向</w:t>
      </w:r>
      <w:r>
        <w:rPr>
          <w:rFonts w:hint="eastAsia" w:hAnsi="宋体" w:cs="宋体"/>
          <w:sz w:val="24"/>
          <w:szCs w:val="24"/>
          <w:lang w:eastAsia="zh-CN"/>
        </w:rPr>
        <w:t>中标人</w:t>
      </w:r>
      <w:r>
        <w:rPr>
          <w:rFonts w:hint="eastAsia" w:ascii="宋体" w:hAnsi="宋体" w:eastAsia="宋体" w:cs="宋体"/>
          <w:sz w:val="24"/>
          <w:szCs w:val="24"/>
        </w:rPr>
        <w:t>发出中标通知书。</w:t>
      </w:r>
    </w:p>
    <w:p w14:paraId="3A5BE021">
      <w:pPr>
        <w:spacing w:line="288" w:lineRule="auto"/>
        <w:ind w:firstLine="240" w:firstLineChars="100"/>
        <w:rPr>
          <w:rFonts w:hint="eastAsia" w:ascii="宋体" w:hAnsi="宋体" w:eastAsia="宋体" w:cs="宋体"/>
          <w:b/>
          <w:sz w:val="24"/>
          <w:szCs w:val="24"/>
        </w:rPr>
      </w:pPr>
      <w:r>
        <w:rPr>
          <w:rFonts w:hint="eastAsia" w:ascii="宋体" w:hAnsi="宋体" w:eastAsia="宋体" w:cs="宋体"/>
          <w:sz w:val="24"/>
          <w:szCs w:val="24"/>
        </w:rPr>
        <w:t>（五）中标通知书发出后，采购人不得违法改变中标结果，</w:t>
      </w:r>
      <w:r>
        <w:rPr>
          <w:rFonts w:hint="eastAsia" w:hAnsi="宋体" w:cs="宋体"/>
          <w:sz w:val="24"/>
          <w:szCs w:val="24"/>
          <w:lang w:eastAsia="zh-CN"/>
        </w:rPr>
        <w:t>中标人</w:t>
      </w:r>
      <w:r>
        <w:rPr>
          <w:rFonts w:hint="eastAsia" w:ascii="宋体" w:hAnsi="宋体" w:eastAsia="宋体" w:cs="宋体"/>
          <w:sz w:val="24"/>
          <w:szCs w:val="24"/>
        </w:rPr>
        <w:t>无正当理由不得放弃中标。</w:t>
      </w:r>
      <w:bookmarkStart w:id="137" w:name="_Toc48834534"/>
      <w:bookmarkStart w:id="138" w:name="_Toc48834166"/>
      <w:bookmarkStart w:id="139" w:name="_Toc48834096"/>
      <w:bookmarkStart w:id="140" w:name="_Toc48834293"/>
      <w:bookmarkStart w:id="141" w:name="_Toc10388"/>
      <w:bookmarkStart w:id="142" w:name="_Toc48834455"/>
    </w:p>
    <w:p w14:paraId="4AC1768F">
      <w:pPr>
        <w:spacing w:line="360" w:lineRule="auto"/>
        <w:jc w:val="left"/>
        <w:outlineLvl w:val="1"/>
        <w:rPr>
          <w:rFonts w:hint="eastAsia" w:ascii="宋体" w:hAnsi="宋体" w:eastAsia="宋体" w:cs="宋体"/>
          <w:b/>
          <w:sz w:val="24"/>
          <w:szCs w:val="24"/>
        </w:rPr>
      </w:pPr>
      <w:bookmarkStart w:id="143" w:name="_Toc15879"/>
      <w:r>
        <w:rPr>
          <w:rFonts w:hint="eastAsia" w:ascii="宋体" w:hAnsi="宋体" w:cs="宋体"/>
          <w:b/>
          <w:sz w:val="24"/>
          <w:szCs w:val="24"/>
          <w:lang w:val="en-US" w:eastAsia="zh-CN"/>
        </w:rPr>
        <w:t>十二、</w:t>
      </w:r>
      <w:r>
        <w:rPr>
          <w:rFonts w:hint="eastAsia" w:ascii="宋体" w:hAnsi="宋体" w:eastAsia="宋体" w:cs="宋体"/>
          <w:b/>
          <w:sz w:val="24"/>
          <w:szCs w:val="24"/>
        </w:rPr>
        <w:t>成交服务费</w:t>
      </w:r>
    </w:p>
    <w:p w14:paraId="35B5E530">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w:t>
      </w:r>
      <w:r>
        <w:rPr>
          <w:rFonts w:hint="eastAsia" w:hAnsi="宋体" w:cs="宋体"/>
          <w:sz w:val="24"/>
          <w:szCs w:val="24"/>
          <w:lang w:val="en-US" w:eastAsia="zh-CN"/>
        </w:rPr>
        <w:t>一</w:t>
      </w:r>
      <w:r>
        <w:rPr>
          <w:rFonts w:hint="eastAsia" w:ascii="宋体" w:hAnsi="宋体" w:eastAsia="宋体" w:cs="宋体"/>
          <w:sz w:val="24"/>
          <w:szCs w:val="24"/>
        </w:rPr>
        <w:t>）成交服务费按约定由</w:t>
      </w:r>
      <w:r>
        <w:rPr>
          <w:rFonts w:hint="eastAsia" w:hAnsi="宋体" w:cs="宋体"/>
          <w:sz w:val="24"/>
          <w:szCs w:val="24"/>
          <w:lang w:val="en-US" w:eastAsia="zh-CN"/>
        </w:rPr>
        <w:t>采购人</w:t>
      </w:r>
      <w:r>
        <w:rPr>
          <w:rFonts w:hint="eastAsia" w:ascii="宋体" w:hAnsi="宋体" w:eastAsia="宋体" w:cs="宋体"/>
          <w:sz w:val="24"/>
          <w:szCs w:val="24"/>
        </w:rPr>
        <w:t>支付。</w:t>
      </w:r>
    </w:p>
    <w:p w14:paraId="524A935D">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w:t>
      </w:r>
      <w:r>
        <w:rPr>
          <w:rFonts w:hint="eastAsia" w:hAnsi="宋体" w:cs="宋体"/>
          <w:sz w:val="24"/>
          <w:szCs w:val="24"/>
          <w:lang w:val="en-US" w:eastAsia="zh-CN"/>
        </w:rPr>
        <w:t>二</w:t>
      </w:r>
      <w:r>
        <w:rPr>
          <w:rFonts w:hint="eastAsia" w:ascii="宋体" w:hAnsi="宋体" w:eastAsia="宋体" w:cs="宋体"/>
          <w:sz w:val="24"/>
          <w:szCs w:val="24"/>
        </w:rPr>
        <w:t>）成交服务费参考《国家计委关于印发&lt;招标代理服务收费管理暂行办法&gt;的通知》（计价格[2002]1980号）和国家发展改革委员会办公厅颁发的《关于招标代理服务收费有关问题的通知》（发改办价格『2003』857号）文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服务类</w:t>
      </w:r>
      <w:r>
        <w:rPr>
          <w:rFonts w:hint="eastAsia" w:ascii="宋体" w:hAnsi="宋体" w:eastAsia="宋体" w:cs="宋体"/>
          <w:sz w:val="24"/>
          <w:szCs w:val="24"/>
          <w:lang w:eastAsia="zh-CN"/>
        </w:rPr>
        <w:t>）</w:t>
      </w:r>
      <w:r>
        <w:rPr>
          <w:rFonts w:hint="eastAsia" w:ascii="宋体" w:hAnsi="宋体" w:eastAsia="宋体" w:cs="宋体"/>
          <w:sz w:val="24"/>
          <w:szCs w:val="24"/>
        </w:rPr>
        <w:t>规定标准计取。招标代理服务收费按差额定率累进法计算。</w:t>
      </w:r>
    </w:p>
    <w:p w14:paraId="3B46BE2C">
      <w:pPr>
        <w:spacing w:line="288" w:lineRule="auto"/>
        <w:ind w:firstLine="240" w:firstLineChars="100"/>
        <w:rPr>
          <w:rFonts w:hint="default" w:ascii="宋体" w:hAnsi="宋体" w:eastAsia="宋体" w:cs="宋体"/>
          <w:b/>
          <w:sz w:val="24"/>
          <w:szCs w:val="24"/>
          <w:lang w:val="en-US" w:eastAsia="zh-CN"/>
        </w:rPr>
      </w:pPr>
      <w:r>
        <w:rPr>
          <w:rFonts w:hint="eastAsia" w:ascii="宋体" w:hAnsi="宋体" w:eastAsia="宋体" w:cs="宋体"/>
          <w:sz w:val="24"/>
          <w:szCs w:val="24"/>
        </w:rPr>
        <w:t>（</w:t>
      </w:r>
      <w:r>
        <w:rPr>
          <w:rFonts w:hint="eastAsia" w:hAnsi="宋体" w:cs="宋体"/>
          <w:sz w:val="24"/>
          <w:szCs w:val="24"/>
          <w:lang w:val="en-US" w:eastAsia="zh-CN"/>
        </w:rPr>
        <w:t>三</w:t>
      </w:r>
      <w:r>
        <w:rPr>
          <w:rFonts w:hint="eastAsia" w:ascii="宋体" w:hAnsi="宋体" w:eastAsia="宋体" w:cs="宋体"/>
          <w:sz w:val="24"/>
          <w:szCs w:val="24"/>
        </w:rPr>
        <w:t>）本项目代理服务费按</w:t>
      </w:r>
      <w:r>
        <w:rPr>
          <w:rFonts w:hint="eastAsia" w:ascii="宋体" w:hAnsi="宋体" w:eastAsia="宋体" w:cs="宋体"/>
          <w:sz w:val="24"/>
          <w:szCs w:val="24"/>
          <w:lang w:val="en-US" w:eastAsia="zh-CN"/>
        </w:rPr>
        <w:t>服务类招标</w:t>
      </w:r>
      <w:r>
        <w:rPr>
          <w:rFonts w:hint="eastAsia" w:ascii="宋体" w:hAnsi="宋体" w:eastAsia="宋体" w:cs="宋体"/>
          <w:sz w:val="24"/>
          <w:szCs w:val="24"/>
        </w:rPr>
        <w:t>计取。</w:t>
      </w:r>
    </w:p>
    <w:p w14:paraId="798BDEFB">
      <w:pPr>
        <w:pStyle w:val="19"/>
        <w:spacing w:after="0" w:line="288" w:lineRule="auto"/>
        <w:ind w:firstLine="0" w:firstLineChars="0"/>
        <w:outlineLvl w:val="1"/>
        <w:rPr>
          <w:rFonts w:hint="eastAsia" w:ascii="宋体" w:hAnsi="宋体" w:eastAsia="宋体" w:cs="宋体"/>
          <w:b/>
          <w:sz w:val="24"/>
          <w:szCs w:val="24"/>
        </w:rPr>
      </w:pPr>
      <w:r>
        <w:rPr>
          <w:rFonts w:hint="eastAsia" w:ascii="宋体" w:hAnsi="宋体" w:eastAsia="宋体" w:cs="宋体"/>
          <w:b/>
          <w:sz w:val="24"/>
          <w:szCs w:val="24"/>
        </w:rPr>
        <w:t>十</w:t>
      </w:r>
      <w:r>
        <w:rPr>
          <w:rFonts w:hint="eastAsia" w:ascii="宋体" w:hAnsi="宋体" w:cs="宋体"/>
          <w:b/>
          <w:sz w:val="24"/>
          <w:szCs w:val="24"/>
          <w:lang w:val="en-US" w:eastAsia="zh-CN"/>
        </w:rPr>
        <w:t>三</w:t>
      </w:r>
      <w:r>
        <w:rPr>
          <w:rFonts w:hint="eastAsia" w:ascii="宋体" w:hAnsi="宋体" w:eastAsia="宋体" w:cs="宋体"/>
          <w:b/>
          <w:sz w:val="24"/>
          <w:szCs w:val="24"/>
        </w:rPr>
        <w:t>、签订政府采购合同</w:t>
      </w:r>
      <w:bookmarkEnd w:id="137"/>
      <w:bookmarkEnd w:id="138"/>
      <w:bookmarkEnd w:id="139"/>
      <w:bookmarkEnd w:id="140"/>
      <w:bookmarkEnd w:id="141"/>
      <w:bookmarkEnd w:id="142"/>
      <w:bookmarkEnd w:id="143"/>
    </w:p>
    <w:p w14:paraId="3BC2338A">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（一）自中标通知书发出之日起10日内，采购人与</w:t>
      </w:r>
      <w:r>
        <w:rPr>
          <w:rFonts w:hint="eastAsia" w:hAnsi="宋体" w:cs="宋体"/>
          <w:sz w:val="24"/>
          <w:szCs w:val="24"/>
          <w:lang w:eastAsia="zh-CN"/>
        </w:rPr>
        <w:t>中标人</w:t>
      </w:r>
      <w:r>
        <w:rPr>
          <w:rFonts w:hint="eastAsia" w:ascii="宋体" w:hAnsi="宋体" w:eastAsia="宋体" w:cs="宋体"/>
          <w:sz w:val="24"/>
          <w:szCs w:val="24"/>
        </w:rPr>
        <w:t>应按招标文件和</w:t>
      </w:r>
      <w:r>
        <w:rPr>
          <w:rFonts w:hint="eastAsia" w:hAnsi="宋体" w:cs="宋体"/>
          <w:sz w:val="24"/>
          <w:szCs w:val="24"/>
          <w:lang w:eastAsia="zh-CN"/>
        </w:rPr>
        <w:t>中标人</w:t>
      </w:r>
      <w:r>
        <w:rPr>
          <w:rFonts w:hint="eastAsia" w:ascii="宋体" w:hAnsi="宋体" w:eastAsia="宋体" w:cs="宋体"/>
          <w:sz w:val="24"/>
          <w:szCs w:val="24"/>
        </w:rPr>
        <w:t>投标文件的规定，签订书面合同。所签订的政府采购合同不得对招标文件和</w:t>
      </w:r>
      <w:r>
        <w:rPr>
          <w:rFonts w:hint="eastAsia" w:hAnsi="宋体" w:cs="宋体"/>
          <w:sz w:val="24"/>
          <w:szCs w:val="24"/>
          <w:lang w:eastAsia="zh-CN"/>
        </w:rPr>
        <w:t>中标人</w:t>
      </w:r>
      <w:r>
        <w:rPr>
          <w:rFonts w:hint="eastAsia" w:ascii="宋体" w:hAnsi="宋体" w:eastAsia="宋体" w:cs="宋体"/>
          <w:sz w:val="24"/>
          <w:szCs w:val="24"/>
        </w:rPr>
        <w:t>的投标文件内容作实质性修改。（采购人不得向</w:t>
      </w:r>
      <w:r>
        <w:rPr>
          <w:rFonts w:hint="eastAsia" w:hAnsi="宋体" w:cs="宋体"/>
          <w:sz w:val="24"/>
          <w:szCs w:val="24"/>
          <w:lang w:eastAsia="zh-CN"/>
        </w:rPr>
        <w:t>中标人</w:t>
      </w:r>
      <w:r>
        <w:rPr>
          <w:rFonts w:hint="eastAsia" w:ascii="宋体" w:hAnsi="宋体" w:eastAsia="宋体" w:cs="宋体"/>
          <w:sz w:val="24"/>
          <w:szCs w:val="24"/>
        </w:rPr>
        <w:t>提出任何不合理的要求作为签订合同的条件。）</w:t>
      </w:r>
    </w:p>
    <w:p w14:paraId="060A301A">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（二）</w:t>
      </w:r>
      <w:r>
        <w:rPr>
          <w:rFonts w:hint="eastAsia" w:hAnsi="宋体" w:cs="宋体"/>
          <w:sz w:val="24"/>
          <w:szCs w:val="24"/>
          <w:lang w:eastAsia="zh-CN"/>
        </w:rPr>
        <w:t>中标人</w:t>
      </w:r>
      <w:r>
        <w:rPr>
          <w:rFonts w:hint="eastAsia" w:ascii="宋体" w:hAnsi="宋体" w:eastAsia="宋体" w:cs="宋体"/>
          <w:sz w:val="24"/>
          <w:szCs w:val="24"/>
        </w:rPr>
        <w:t>拒绝与采购人签订合同的，采购人可以按照评标报告推荐的中标候选人名单排序，确定下一候选人为</w:t>
      </w:r>
      <w:r>
        <w:rPr>
          <w:rFonts w:hint="eastAsia" w:hAnsi="宋体" w:cs="宋体"/>
          <w:sz w:val="24"/>
          <w:szCs w:val="24"/>
          <w:lang w:eastAsia="zh-CN"/>
        </w:rPr>
        <w:t>中标人</w:t>
      </w:r>
      <w:r>
        <w:rPr>
          <w:rFonts w:hint="eastAsia" w:ascii="宋体" w:hAnsi="宋体" w:eastAsia="宋体" w:cs="宋体"/>
          <w:sz w:val="24"/>
          <w:szCs w:val="24"/>
        </w:rPr>
        <w:t>，也可以重新开展政府采购活动。</w:t>
      </w:r>
    </w:p>
    <w:p w14:paraId="41D7911E">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（三）招标文件、</w:t>
      </w:r>
      <w:r>
        <w:rPr>
          <w:rFonts w:hint="eastAsia" w:hAnsi="宋体" w:cs="宋体"/>
          <w:sz w:val="24"/>
          <w:szCs w:val="24"/>
          <w:lang w:eastAsia="zh-CN"/>
        </w:rPr>
        <w:t>中标人</w:t>
      </w:r>
      <w:r>
        <w:rPr>
          <w:rFonts w:hint="eastAsia" w:ascii="宋体" w:hAnsi="宋体" w:eastAsia="宋体" w:cs="宋体"/>
          <w:sz w:val="24"/>
          <w:szCs w:val="24"/>
        </w:rPr>
        <w:t>的投标文件、《中标通知书》及其澄清、说明文件、承诺等，均为签订采购合同的依据，作为采购合同的组成部分。</w:t>
      </w:r>
    </w:p>
    <w:p w14:paraId="7718D4A1">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（四）政府采购合同应当包括采购人与</w:t>
      </w:r>
      <w:r>
        <w:rPr>
          <w:rFonts w:hint="eastAsia" w:hAnsi="宋体" w:cs="宋体"/>
          <w:sz w:val="24"/>
          <w:szCs w:val="24"/>
          <w:lang w:eastAsia="zh-CN"/>
        </w:rPr>
        <w:t>中标人</w:t>
      </w:r>
      <w:r>
        <w:rPr>
          <w:rFonts w:hint="eastAsia" w:ascii="宋体" w:hAnsi="宋体" w:eastAsia="宋体" w:cs="宋体"/>
          <w:sz w:val="24"/>
          <w:szCs w:val="24"/>
        </w:rPr>
        <w:t>的名称和住所、标的、数量、质量、价款或者报酬、履行期限及地点和方式、验收要求、违约责任、解决争议的方法等内容。</w:t>
      </w:r>
    </w:p>
    <w:p w14:paraId="30B5FD78">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（五）采购人与</w:t>
      </w:r>
      <w:r>
        <w:rPr>
          <w:rFonts w:hint="eastAsia" w:hAnsi="宋体" w:cs="宋体"/>
          <w:sz w:val="24"/>
          <w:szCs w:val="24"/>
          <w:lang w:eastAsia="zh-CN"/>
        </w:rPr>
        <w:t>中标人</w:t>
      </w:r>
      <w:r>
        <w:rPr>
          <w:rFonts w:hint="eastAsia" w:ascii="宋体" w:hAnsi="宋体" w:eastAsia="宋体" w:cs="宋体"/>
          <w:sz w:val="24"/>
          <w:szCs w:val="24"/>
        </w:rPr>
        <w:t>应当根据合同的约定依法履行合同义务。政府采购合同的履行、违约责任和解决争议的方法等适用《中华人民共和国民法典》。</w:t>
      </w:r>
    </w:p>
    <w:p w14:paraId="2E40C7D9">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（六）采购人应及时对采购项目进行验收。采购人可以邀请参加本项目的其他投标投标人或者第三方机构参与验收。参与验收的投标投标人或者第三方机构的意见作为验收书的参考资料一并存档。</w:t>
      </w:r>
    </w:p>
    <w:p w14:paraId="79B60BCD">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（七）采购人应当加强对</w:t>
      </w:r>
      <w:r>
        <w:rPr>
          <w:rFonts w:hint="eastAsia" w:hAnsi="宋体" w:cs="宋体"/>
          <w:sz w:val="24"/>
          <w:szCs w:val="24"/>
          <w:lang w:eastAsia="zh-CN"/>
        </w:rPr>
        <w:t>中标人</w:t>
      </w:r>
      <w:r>
        <w:rPr>
          <w:rFonts w:hint="eastAsia" w:ascii="宋体" w:hAnsi="宋体" w:eastAsia="宋体" w:cs="宋体"/>
          <w:sz w:val="24"/>
          <w:szCs w:val="24"/>
        </w:rPr>
        <w:t>的履约管理，并按照采购合同约定，及时向</w:t>
      </w:r>
      <w:r>
        <w:rPr>
          <w:rFonts w:hint="eastAsia" w:hAnsi="宋体" w:cs="宋体"/>
          <w:sz w:val="24"/>
          <w:szCs w:val="24"/>
          <w:lang w:eastAsia="zh-CN"/>
        </w:rPr>
        <w:t>中标人</w:t>
      </w:r>
      <w:r>
        <w:rPr>
          <w:rFonts w:hint="eastAsia" w:ascii="宋体" w:hAnsi="宋体" w:eastAsia="宋体" w:cs="宋体"/>
          <w:sz w:val="24"/>
          <w:szCs w:val="24"/>
        </w:rPr>
        <w:t>支付采购资金。对于</w:t>
      </w:r>
      <w:r>
        <w:rPr>
          <w:rFonts w:hint="eastAsia" w:hAnsi="宋体" w:cs="宋体"/>
          <w:sz w:val="24"/>
          <w:szCs w:val="24"/>
          <w:lang w:eastAsia="zh-CN"/>
        </w:rPr>
        <w:t>中标人</w:t>
      </w:r>
      <w:r>
        <w:rPr>
          <w:rFonts w:hint="eastAsia" w:ascii="宋体" w:hAnsi="宋体" w:eastAsia="宋体" w:cs="宋体"/>
          <w:sz w:val="24"/>
          <w:szCs w:val="24"/>
        </w:rPr>
        <w:t>违反采购合同约定的行为，采购人应当及时处理，依法追究其违约责任。</w:t>
      </w:r>
    </w:p>
    <w:p w14:paraId="4895DB79">
      <w:pPr>
        <w:pStyle w:val="19"/>
        <w:spacing w:after="0" w:line="288" w:lineRule="auto"/>
        <w:ind w:firstLine="0" w:firstLineChars="0"/>
        <w:outlineLvl w:val="1"/>
        <w:rPr>
          <w:rFonts w:hint="eastAsia" w:ascii="宋体" w:hAnsi="宋体" w:eastAsia="宋体" w:cs="宋体"/>
          <w:b/>
          <w:sz w:val="24"/>
          <w:szCs w:val="24"/>
        </w:rPr>
      </w:pPr>
      <w:bookmarkStart w:id="144" w:name="_Toc48834456"/>
      <w:bookmarkStart w:id="145" w:name="_Toc48834294"/>
      <w:bookmarkStart w:id="146" w:name="_Toc48834167"/>
      <w:bookmarkStart w:id="147" w:name="_Toc48834097"/>
      <w:bookmarkStart w:id="148" w:name="_Toc48834535"/>
      <w:bookmarkStart w:id="149" w:name="_Toc31345"/>
      <w:bookmarkStart w:id="150" w:name="_Toc16889"/>
      <w:r>
        <w:rPr>
          <w:rFonts w:hint="eastAsia" w:ascii="宋体" w:hAnsi="宋体" w:eastAsia="宋体" w:cs="宋体"/>
          <w:b/>
          <w:sz w:val="24"/>
          <w:szCs w:val="24"/>
        </w:rPr>
        <w:t>十</w:t>
      </w:r>
      <w:r>
        <w:rPr>
          <w:rFonts w:hint="eastAsia" w:ascii="宋体" w:hAnsi="宋体" w:cs="宋体"/>
          <w:b/>
          <w:sz w:val="24"/>
          <w:szCs w:val="24"/>
          <w:lang w:val="en-US" w:eastAsia="zh-CN"/>
        </w:rPr>
        <w:t>四</w:t>
      </w:r>
      <w:r>
        <w:rPr>
          <w:rFonts w:hint="eastAsia" w:ascii="宋体" w:hAnsi="宋体" w:eastAsia="宋体" w:cs="宋体"/>
          <w:b/>
          <w:sz w:val="24"/>
          <w:szCs w:val="24"/>
        </w:rPr>
        <w:t>、</w:t>
      </w:r>
      <w:bookmarkEnd w:id="144"/>
      <w:bookmarkEnd w:id="145"/>
      <w:bookmarkEnd w:id="146"/>
      <w:bookmarkEnd w:id="147"/>
      <w:bookmarkEnd w:id="148"/>
      <w:bookmarkEnd w:id="149"/>
      <w:r>
        <w:rPr>
          <w:rFonts w:hint="eastAsia" w:ascii="宋体" w:hAnsi="宋体" w:eastAsia="宋体" w:cs="宋体"/>
          <w:b/>
          <w:sz w:val="24"/>
          <w:szCs w:val="24"/>
        </w:rPr>
        <w:t>废标情形</w:t>
      </w:r>
      <w:bookmarkEnd w:id="150"/>
    </w:p>
    <w:p w14:paraId="093C90BA">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一）评标委员会发现招标文件存在歧义、重大缺陷导致评标工作无法进行，或者招标文件内容违反国家有关强制性规定的，应当停止评标工作，与采购人或者市采购代理机构沟通并作书面记录。采购人或者采购代理机构确认后，应当修改招标文件，重新组织采购活动。</w:t>
      </w:r>
    </w:p>
    <w:p w14:paraId="2DB97940">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（二）根据《政府采购法》第三十六条规定，在招标采购中，出现下列情形之一的，本项目按废标处理：</w:t>
      </w:r>
    </w:p>
    <w:p w14:paraId="10C6FDAB">
      <w:pPr>
        <w:spacing w:line="288"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1、</w:t>
      </w:r>
      <w:r>
        <w:rPr>
          <w:rFonts w:hint="eastAsia" w:hAnsi="宋体" w:cs="宋体"/>
          <w:sz w:val="24"/>
          <w:szCs w:val="24"/>
          <w:lang w:val="en-US" w:eastAsia="zh-CN"/>
        </w:rPr>
        <w:t>报名供应商不足3家的；</w:t>
      </w:r>
    </w:p>
    <w:p w14:paraId="65E97B38">
      <w:pPr>
        <w:spacing w:line="288" w:lineRule="auto"/>
        <w:ind w:firstLine="480" w:firstLineChars="200"/>
        <w:rPr>
          <w:rFonts w:hint="eastAsia" w:ascii="宋体" w:hAnsi="宋体" w:eastAsia="宋体" w:cs="宋体"/>
          <w:sz w:val="24"/>
          <w:szCs w:val="24"/>
        </w:rPr>
      </w:pPr>
      <w:r>
        <w:rPr>
          <w:rFonts w:hint="eastAsia" w:hAnsi="宋体" w:cs="宋体"/>
          <w:sz w:val="24"/>
          <w:szCs w:val="24"/>
          <w:lang w:val="en-US" w:eastAsia="zh-CN"/>
        </w:rPr>
        <w:t>2、</w:t>
      </w:r>
      <w:r>
        <w:rPr>
          <w:rFonts w:hint="eastAsia" w:ascii="宋体" w:hAnsi="宋体" w:eastAsia="宋体" w:cs="宋体"/>
          <w:sz w:val="24"/>
          <w:szCs w:val="24"/>
        </w:rPr>
        <w:t>出现影响采购公正的违法、违规行为；</w:t>
      </w:r>
    </w:p>
    <w:p w14:paraId="688A1879">
      <w:pPr>
        <w:spacing w:line="288" w:lineRule="auto"/>
        <w:ind w:firstLine="480" w:firstLineChars="200"/>
        <w:rPr>
          <w:rFonts w:hint="eastAsia" w:ascii="宋体" w:hAnsi="宋体" w:eastAsia="宋体" w:cs="宋体"/>
          <w:sz w:val="24"/>
          <w:szCs w:val="24"/>
        </w:rPr>
      </w:pPr>
      <w:r>
        <w:rPr>
          <w:rFonts w:hint="eastAsia" w:hAnsi="宋体" w:cs="宋体"/>
          <w:sz w:val="24"/>
          <w:szCs w:val="24"/>
          <w:lang w:val="en-US" w:eastAsia="zh-CN"/>
        </w:rPr>
        <w:t>3</w:t>
      </w:r>
      <w:r>
        <w:rPr>
          <w:rFonts w:hint="eastAsia" w:ascii="宋体" w:hAnsi="宋体" w:eastAsia="宋体" w:cs="宋体"/>
          <w:sz w:val="24"/>
          <w:szCs w:val="24"/>
        </w:rPr>
        <w:t>、投标人的报价均超过了采购预算，采购人不能支付；</w:t>
      </w:r>
    </w:p>
    <w:p w14:paraId="0561ECC2">
      <w:pPr>
        <w:spacing w:line="288" w:lineRule="auto"/>
        <w:ind w:firstLine="480" w:firstLineChars="200"/>
        <w:rPr>
          <w:rFonts w:hint="eastAsia" w:ascii="宋体" w:hAnsi="宋体" w:eastAsia="宋体" w:cs="宋体"/>
          <w:sz w:val="24"/>
          <w:szCs w:val="24"/>
        </w:rPr>
      </w:pPr>
      <w:r>
        <w:rPr>
          <w:rFonts w:hint="eastAsia" w:hAnsi="宋体" w:cs="宋体"/>
          <w:sz w:val="24"/>
          <w:szCs w:val="24"/>
          <w:lang w:val="en-US" w:eastAsia="zh-CN"/>
        </w:rPr>
        <w:t>4</w:t>
      </w:r>
      <w:r>
        <w:rPr>
          <w:rFonts w:hint="eastAsia" w:ascii="宋体" w:hAnsi="宋体" w:eastAsia="宋体" w:cs="宋体"/>
          <w:sz w:val="24"/>
          <w:szCs w:val="24"/>
        </w:rPr>
        <w:t>、因重大变故，采购任务取消。</w:t>
      </w:r>
    </w:p>
    <w:p w14:paraId="6471E735">
      <w:pPr>
        <w:spacing w:line="288" w:lineRule="auto"/>
        <w:ind w:firstLine="480" w:firstLineChars="200"/>
        <w:rPr>
          <w:rFonts w:hAnsi="宋体" w:cs="宋体"/>
          <w:color w:val="1F497D"/>
          <w:sz w:val="21"/>
          <w:szCs w:val="21"/>
        </w:rPr>
      </w:pPr>
      <w:r>
        <w:rPr>
          <w:rFonts w:hint="eastAsia" w:ascii="宋体" w:hAnsi="宋体" w:eastAsia="宋体" w:cs="宋体"/>
          <w:sz w:val="24"/>
          <w:szCs w:val="24"/>
        </w:rPr>
        <w:t>废标后，由采购代理机构发布废标公告。</w:t>
      </w:r>
    </w:p>
    <w:p w14:paraId="283D5676">
      <w:pPr>
        <w:pStyle w:val="3"/>
        <w:spacing w:line="240" w:lineRule="auto"/>
        <w:ind w:left="0"/>
        <w:jc w:val="both"/>
        <w:rPr>
          <w:rFonts w:hint="eastAsia" w:ascii="宋体" w:hAnsi="宋体" w:eastAsia="宋体" w:cs="宋体"/>
          <w:bCs w:val="0"/>
          <w:sz w:val="24"/>
          <w:szCs w:val="24"/>
          <w:lang w:val="en-US" w:eastAsia="zh-CN"/>
        </w:rPr>
      </w:pPr>
      <w:r>
        <w:rPr>
          <w:rFonts w:hint="eastAsia" w:ascii="宋体" w:hAnsi="宋体" w:eastAsia="宋体" w:cs="宋体"/>
          <w:b/>
          <w:kern w:val="2"/>
          <w:sz w:val="24"/>
          <w:szCs w:val="24"/>
          <w:lang w:val="en-US" w:eastAsia="zh-CN" w:bidi="ar-SA"/>
        </w:rPr>
        <w:t>十五、其他</w:t>
      </w:r>
    </w:p>
    <w:p w14:paraId="38A615F2">
      <w:pPr>
        <w:spacing w:line="288" w:lineRule="auto"/>
        <w:ind w:firstLine="240" w:firstLineChars="100"/>
        <w:rPr>
          <w:rFonts w:hint="eastAsia" w:ascii="宋体" w:hAnsi="宋体" w:eastAsia="宋体" w:cs="宋体"/>
          <w:sz w:val="24"/>
          <w:szCs w:val="24"/>
        </w:rPr>
      </w:pPr>
      <w:r>
        <w:rPr>
          <w:rFonts w:hint="eastAsia" w:hAnsi="宋体" w:cs="宋体"/>
          <w:sz w:val="24"/>
          <w:szCs w:val="24"/>
          <w:lang w:eastAsia="zh-CN"/>
        </w:rPr>
        <w:t>（</w:t>
      </w:r>
      <w:r>
        <w:rPr>
          <w:rFonts w:hint="eastAsia" w:hAnsi="宋体" w:cs="宋体"/>
          <w:sz w:val="24"/>
          <w:szCs w:val="24"/>
          <w:lang w:val="en-US" w:eastAsia="zh-CN"/>
        </w:rPr>
        <w:t>一</w:t>
      </w:r>
      <w:r>
        <w:rPr>
          <w:rFonts w:hint="eastAsia" w:hAnsi="宋体" w:cs="宋体"/>
          <w:sz w:val="24"/>
          <w:szCs w:val="24"/>
          <w:lang w:eastAsia="zh-CN"/>
        </w:rPr>
        <w:t>）</w:t>
      </w:r>
      <w:r>
        <w:rPr>
          <w:rFonts w:hint="eastAsia" w:ascii="宋体" w:hAnsi="宋体" w:eastAsia="宋体" w:cs="宋体"/>
          <w:sz w:val="24"/>
          <w:szCs w:val="24"/>
        </w:rPr>
        <w:t>成交</w:t>
      </w:r>
      <w:r>
        <w:rPr>
          <w:rFonts w:hint="eastAsia" w:ascii="宋体" w:hAnsi="宋体" w:eastAsia="宋体" w:cs="宋体"/>
          <w:sz w:val="24"/>
          <w:szCs w:val="24"/>
          <w:lang w:val="en-US" w:eastAsia="zh-CN"/>
        </w:rPr>
        <w:t>供应商</w:t>
      </w:r>
      <w:r>
        <w:rPr>
          <w:rFonts w:hint="eastAsia" w:ascii="宋体" w:hAnsi="宋体" w:eastAsia="宋体" w:cs="宋体"/>
          <w:sz w:val="24"/>
          <w:szCs w:val="24"/>
        </w:rPr>
        <w:t>确定后，若成交人未按照上述“</w:t>
      </w:r>
      <w:r>
        <w:rPr>
          <w:rFonts w:hint="eastAsia" w:hAnsi="宋体" w:cs="宋体"/>
          <w:sz w:val="24"/>
          <w:szCs w:val="24"/>
          <w:lang w:val="en-US" w:eastAsia="zh-CN"/>
        </w:rPr>
        <w:t>签订政府采购</w:t>
      </w:r>
      <w:r>
        <w:rPr>
          <w:rFonts w:hint="eastAsia" w:ascii="宋体" w:hAnsi="宋体" w:eastAsia="宋体" w:cs="宋体"/>
          <w:sz w:val="24"/>
          <w:szCs w:val="24"/>
        </w:rPr>
        <w:t>合同”中任何一项规定执行，采购</w:t>
      </w:r>
      <w:r>
        <w:rPr>
          <w:rFonts w:hint="eastAsia" w:ascii="宋体" w:hAnsi="宋体" w:eastAsia="宋体" w:cs="宋体"/>
          <w:sz w:val="24"/>
          <w:szCs w:val="24"/>
          <w:lang w:val="en-US" w:eastAsia="zh-CN"/>
        </w:rPr>
        <w:t>人</w:t>
      </w:r>
      <w:r>
        <w:rPr>
          <w:rFonts w:hint="eastAsia" w:ascii="宋体" w:hAnsi="宋体" w:eastAsia="宋体" w:cs="宋体"/>
          <w:sz w:val="24"/>
          <w:szCs w:val="24"/>
        </w:rPr>
        <w:t>有权取消其成交资格，并按评审顺序重新确定成交</w:t>
      </w:r>
      <w:r>
        <w:rPr>
          <w:rFonts w:hint="eastAsia" w:ascii="宋体" w:hAnsi="宋体" w:eastAsia="宋体" w:cs="宋体"/>
          <w:sz w:val="24"/>
          <w:szCs w:val="24"/>
          <w:lang w:val="en-US" w:eastAsia="zh-CN"/>
        </w:rPr>
        <w:t>供应商</w:t>
      </w:r>
      <w:r>
        <w:rPr>
          <w:rFonts w:hint="eastAsia" w:ascii="宋体" w:hAnsi="宋体" w:eastAsia="宋体" w:cs="宋体"/>
          <w:sz w:val="24"/>
          <w:szCs w:val="24"/>
        </w:rPr>
        <w:t>或者重新组织</w:t>
      </w:r>
      <w:r>
        <w:rPr>
          <w:rFonts w:hint="eastAsia" w:hAnsi="宋体" w:cs="宋体"/>
          <w:sz w:val="24"/>
          <w:szCs w:val="24"/>
          <w:lang w:val="en-US" w:eastAsia="zh-CN"/>
        </w:rPr>
        <w:t>采购</w:t>
      </w:r>
      <w:r>
        <w:rPr>
          <w:rFonts w:hint="eastAsia" w:ascii="宋体" w:hAnsi="宋体" w:eastAsia="宋体" w:cs="宋体"/>
          <w:sz w:val="24"/>
          <w:szCs w:val="24"/>
        </w:rPr>
        <w:t>。同时报请监督机构予以通报，禁止其进入政府采购市场，给采购</w:t>
      </w:r>
      <w:r>
        <w:rPr>
          <w:rFonts w:hint="eastAsia" w:ascii="宋体" w:hAnsi="宋体" w:eastAsia="宋体" w:cs="宋体"/>
          <w:sz w:val="24"/>
          <w:szCs w:val="24"/>
          <w:lang w:val="en-US" w:eastAsia="zh-CN"/>
        </w:rPr>
        <w:t>人</w:t>
      </w:r>
      <w:r>
        <w:rPr>
          <w:rFonts w:hint="eastAsia" w:ascii="宋体" w:hAnsi="宋体" w:eastAsia="宋体" w:cs="宋体"/>
          <w:sz w:val="24"/>
          <w:szCs w:val="24"/>
        </w:rPr>
        <w:t>造成损失的，还应当予以赔偿，并依法承担相应法律责任。</w:t>
      </w:r>
    </w:p>
    <w:p w14:paraId="473F9245">
      <w:pPr>
        <w:spacing w:line="288" w:lineRule="auto"/>
        <w:ind w:firstLine="240" w:firstLineChars="100"/>
        <w:rPr>
          <w:rFonts w:hint="eastAsia" w:ascii="宋体" w:hAnsi="宋体" w:eastAsia="宋体" w:cs="宋体"/>
          <w:sz w:val="24"/>
          <w:szCs w:val="24"/>
        </w:rPr>
      </w:pPr>
      <w:r>
        <w:rPr>
          <w:rFonts w:hint="eastAsia" w:hAnsi="宋体" w:cs="宋体"/>
          <w:sz w:val="24"/>
          <w:szCs w:val="24"/>
          <w:lang w:eastAsia="zh-CN"/>
        </w:rPr>
        <w:t>（</w:t>
      </w:r>
      <w:r>
        <w:rPr>
          <w:rFonts w:hint="eastAsia" w:hAnsi="宋体" w:cs="宋体"/>
          <w:sz w:val="24"/>
          <w:szCs w:val="24"/>
          <w:lang w:val="en-US" w:eastAsia="zh-CN"/>
        </w:rPr>
        <w:t>二</w:t>
      </w:r>
      <w:r>
        <w:rPr>
          <w:rFonts w:hint="eastAsia" w:hAnsi="宋体" w:cs="宋体"/>
          <w:sz w:val="24"/>
          <w:szCs w:val="24"/>
          <w:lang w:eastAsia="zh-CN"/>
        </w:rPr>
        <w:t>）</w:t>
      </w:r>
      <w:r>
        <w:rPr>
          <w:rFonts w:hint="eastAsia" w:hAnsi="宋体" w:cs="宋体"/>
          <w:sz w:val="24"/>
          <w:szCs w:val="24"/>
          <w:lang w:val="en-US" w:eastAsia="zh-CN"/>
        </w:rPr>
        <w:t>开标后</w:t>
      </w:r>
      <w:r>
        <w:rPr>
          <w:rFonts w:hint="eastAsia" w:ascii="宋体" w:hAnsi="宋体" w:eastAsia="宋体" w:cs="宋体"/>
          <w:sz w:val="24"/>
          <w:szCs w:val="24"/>
        </w:rPr>
        <w:t>，如果发生有效响应供应商不足三家(（财库〔2015〕124号）规定的情形外)或所有供应商的报价均超过财政预算限额，采购人不能支付的情况，可决定废标或报请</w:t>
      </w:r>
      <w:r>
        <w:rPr>
          <w:rFonts w:hint="eastAsia" w:hAnsi="宋体" w:cs="宋体"/>
          <w:sz w:val="24"/>
          <w:szCs w:val="24"/>
          <w:lang w:val="en-US" w:eastAsia="zh-CN"/>
        </w:rPr>
        <w:t>榆阳区</w:t>
      </w:r>
      <w:r>
        <w:rPr>
          <w:rFonts w:hint="eastAsia" w:ascii="宋体" w:hAnsi="宋体" w:eastAsia="宋体" w:cs="宋体"/>
          <w:sz w:val="24"/>
          <w:szCs w:val="24"/>
          <w:lang w:val="en-US" w:eastAsia="zh-CN"/>
        </w:rPr>
        <w:t>财政局</w:t>
      </w:r>
      <w:r>
        <w:rPr>
          <w:rFonts w:hint="eastAsia" w:ascii="宋体" w:hAnsi="宋体" w:eastAsia="宋体" w:cs="宋体"/>
          <w:sz w:val="24"/>
          <w:szCs w:val="24"/>
        </w:rPr>
        <w:t>批准后，选用其它采购方式进行采购。</w:t>
      </w:r>
    </w:p>
    <w:p w14:paraId="5D14C62E">
      <w:pPr>
        <w:spacing w:line="288" w:lineRule="auto"/>
        <w:ind w:firstLine="240" w:firstLineChars="100"/>
        <w:rPr>
          <w:rFonts w:hint="eastAsia" w:ascii="宋体" w:hAnsi="宋体" w:eastAsia="宋体" w:cs="宋体"/>
          <w:sz w:val="24"/>
          <w:szCs w:val="24"/>
        </w:rPr>
      </w:pPr>
      <w:r>
        <w:rPr>
          <w:rFonts w:hint="eastAsia" w:hAnsi="宋体" w:cs="宋体"/>
          <w:sz w:val="24"/>
          <w:szCs w:val="24"/>
          <w:lang w:eastAsia="zh-CN"/>
        </w:rPr>
        <w:t>（</w:t>
      </w:r>
      <w:r>
        <w:rPr>
          <w:rFonts w:hint="eastAsia" w:hAnsi="宋体" w:cs="宋体"/>
          <w:sz w:val="24"/>
          <w:szCs w:val="24"/>
          <w:lang w:val="en-US" w:eastAsia="zh-CN"/>
        </w:rPr>
        <w:t>三</w:t>
      </w:r>
      <w:r>
        <w:rPr>
          <w:rFonts w:hint="eastAsia" w:hAnsi="宋体" w:cs="宋体"/>
          <w:sz w:val="24"/>
          <w:szCs w:val="24"/>
          <w:lang w:eastAsia="zh-CN"/>
        </w:rPr>
        <w:t>）</w:t>
      </w:r>
      <w:r>
        <w:rPr>
          <w:rFonts w:hint="eastAsia" w:ascii="宋体" w:hAnsi="宋体" w:eastAsia="宋体" w:cs="宋体"/>
          <w:sz w:val="24"/>
          <w:szCs w:val="24"/>
        </w:rPr>
        <w:t>拒绝商业贿赂</w:t>
      </w:r>
    </w:p>
    <w:p w14:paraId="41F15E86">
      <w:pPr>
        <w:spacing w:line="288" w:lineRule="auto"/>
        <w:ind w:firstLine="240" w:firstLineChars="100"/>
        <w:rPr>
          <w:rFonts w:hint="eastAsia" w:ascii="宋体" w:hAnsi="宋体" w:eastAsia="宋体" w:cs="宋体"/>
          <w:sz w:val="24"/>
          <w:szCs w:val="24"/>
        </w:rPr>
      </w:pPr>
      <w:r>
        <w:rPr>
          <w:rFonts w:hint="eastAsia" w:ascii="宋体" w:hAnsi="宋体" w:eastAsia="宋体" w:cs="宋体"/>
          <w:sz w:val="24"/>
          <w:szCs w:val="24"/>
        </w:rPr>
        <w:t>采购</w:t>
      </w:r>
      <w:r>
        <w:rPr>
          <w:rFonts w:hint="eastAsia" w:ascii="宋体" w:hAnsi="宋体" w:eastAsia="宋体" w:cs="宋体"/>
          <w:sz w:val="24"/>
          <w:szCs w:val="24"/>
          <w:lang w:eastAsia="zh-CN"/>
        </w:rPr>
        <w:t>人</w:t>
      </w:r>
      <w:r>
        <w:rPr>
          <w:rFonts w:hint="eastAsia" w:ascii="宋体" w:hAnsi="宋体" w:eastAsia="宋体" w:cs="宋体"/>
          <w:sz w:val="24"/>
          <w:szCs w:val="24"/>
        </w:rPr>
        <w:t>、采购代理机构、供应商和</w:t>
      </w:r>
      <w:r>
        <w:rPr>
          <w:rFonts w:hint="eastAsia" w:hAnsi="宋体" w:cs="宋体"/>
          <w:sz w:val="24"/>
          <w:szCs w:val="24"/>
          <w:lang w:val="en-US" w:eastAsia="zh-CN"/>
        </w:rPr>
        <w:t>评审</w:t>
      </w:r>
      <w:r>
        <w:rPr>
          <w:rFonts w:hint="eastAsia" w:ascii="宋体" w:hAnsi="宋体" w:eastAsia="宋体" w:cs="宋体"/>
          <w:sz w:val="24"/>
          <w:szCs w:val="24"/>
        </w:rPr>
        <w:t>小组在</w:t>
      </w:r>
      <w:r>
        <w:rPr>
          <w:rFonts w:hint="eastAsia" w:hAnsi="宋体" w:cs="宋体"/>
          <w:sz w:val="24"/>
          <w:szCs w:val="24"/>
          <w:lang w:eastAsia="zh-CN"/>
        </w:rPr>
        <w:t>投标</w:t>
      </w:r>
      <w:r>
        <w:rPr>
          <w:rFonts w:hint="eastAsia" w:ascii="宋体" w:hAnsi="宋体" w:eastAsia="宋体" w:cs="宋体"/>
          <w:sz w:val="24"/>
          <w:szCs w:val="24"/>
        </w:rPr>
        <w:t>活动中，都要</w:t>
      </w:r>
      <w:r>
        <w:rPr>
          <w:rFonts w:hint="eastAsia" w:ascii="宋体" w:hAnsi="宋体" w:eastAsia="宋体" w:cs="宋体"/>
          <w:sz w:val="24"/>
          <w:szCs w:val="24"/>
          <w:lang w:val="en-US" w:eastAsia="zh-CN"/>
        </w:rPr>
        <w:t>遵循</w:t>
      </w:r>
      <w:r>
        <w:rPr>
          <w:rFonts w:hint="eastAsia" w:ascii="宋体" w:hAnsi="宋体" w:eastAsia="宋体" w:cs="宋体"/>
          <w:sz w:val="24"/>
          <w:szCs w:val="24"/>
        </w:rPr>
        <w:t>相应的《拒绝政府采购领域商业贿赂承诺</w:t>
      </w:r>
      <w:r>
        <w:rPr>
          <w:rFonts w:hint="eastAsia" w:ascii="宋体" w:hAnsi="宋体" w:eastAsia="宋体" w:cs="宋体"/>
          <w:sz w:val="24"/>
          <w:szCs w:val="24"/>
          <w:lang w:val="en-US" w:eastAsia="zh-CN"/>
        </w:rPr>
        <w:t>管理办法</w:t>
      </w:r>
      <w:r>
        <w:rPr>
          <w:rFonts w:hint="eastAsia" w:ascii="宋体" w:hAnsi="宋体" w:eastAsia="宋体" w:cs="宋体"/>
          <w:sz w:val="24"/>
          <w:szCs w:val="24"/>
        </w:rPr>
        <w:t>》，并对违反承诺的行为承担全部责任；</w:t>
      </w:r>
    </w:p>
    <w:p w14:paraId="43D52D56">
      <w:pPr>
        <w:spacing w:line="288" w:lineRule="auto"/>
        <w:ind w:firstLine="240" w:firstLineChars="100"/>
      </w:pPr>
      <w:r>
        <w:rPr>
          <w:rFonts w:hint="eastAsia" w:hAnsi="宋体" w:cs="宋体"/>
          <w:sz w:val="24"/>
          <w:szCs w:val="24"/>
          <w:lang w:eastAsia="zh-CN"/>
        </w:rPr>
        <w:t>（</w:t>
      </w:r>
      <w:r>
        <w:rPr>
          <w:rFonts w:hint="eastAsia" w:hAnsi="宋体" w:cs="宋体"/>
          <w:sz w:val="24"/>
          <w:szCs w:val="24"/>
          <w:lang w:val="en-US" w:eastAsia="zh-CN"/>
        </w:rPr>
        <w:t>四</w:t>
      </w:r>
      <w:r>
        <w:rPr>
          <w:rFonts w:hint="eastAsia" w:hAnsi="宋体" w:cs="宋体"/>
          <w:sz w:val="24"/>
          <w:szCs w:val="24"/>
          <w:lang w:eastAsia="zh-CN"/>
        </w:rPr>
        <w:t>）</w:t>
      </w:r>
      <w:r>
        <w:rPr>
          <w:rFonts w:hint="eastAsia" w:ascii="宋体" w:hAnsi="宋体" w:eastAsia="宋体" w:cs="宋体"/>
          <w:sz w:val="24"/>
          <w:szCs w:val="24"/>
        </w:rPr>
        <w:t>踏勘现场/答疑：采购人不统一组织现场踏勘。</w:t>
      </w:r>
      <w:r>
        <w:rPr>
          <w:rFonts w:hint="eastAsia"/>
        </w:rPr>
        <w:br w:type="page"/>
      </w:r>
    </w:p>
    <w:p w14:paraId="4758C16C">
      <w:pPr>
        <w:pStyle w:val="2"/>
      </w:pPr>
      <w:bookmarkStart w:id="151" w:name="_Toc19346"/>
      <w:r>
        <w:rPr>
          <w:rFonts w:hint="eastAsia"/>
          <w:sz w:val="32"/>
          <w:szCs w:val="32"/>
        </w:rPr>
        <w:t>第三章 评审办法及标准</w:t>
      </w:r>
      <w:bookmarkEnd w:id="151"/>
    </w:p>
    <w:p w14:paraId="5D8936B0">
      <w:pPr>
        <w:outlineLvl w:val="1"/>
        <w:rPr>
          <w:b/>
          <w:bCs/>
          <w:sz w:val="28"/>
          <w:szCs w:val="28"/>
        </w:rPr>
      </w:pPr>
      <w:bookmarkStart w:id="152" w:name="_Toc48834298"/>
      <w:bookmarkStart w:id="153" w:name="_Toc48834460"/>
      <w:bookmarkStart w:id="154" w:name="_Toc15911"/>
      <w:bookmarkStart w:id="155" w:name="_Toc48834101"/>
      <w:bookmarkStart w:id="156" w:name="_Toc48834171"/>
      <w:bookmarkStart w:id="157" w:name="_Toc48834539"/>
      <w:r>
        <w:rPr>
          <w:rFonts w:hint="eastAsia"/>
          <w:b/>
          <w:bCs/>
          <w:sz w:val="28"/>
          <w:szCs w:val="28"/>
        </w:rPr>
        <w:t>一</w:t>
      </w:r>
      <w:r>
        <w:rPr>
          <w:b/>
          <w:bCs/>
          <w:sz w:val="28"/>
          <w:szCs w:val="28"/>
        </w:rPr>
        <w:t>、符合性审查</w:t>
      </w:r>
      <w:bookmarkEnd w:id="152"/>
      <w:bookmarkEnd w:id="153"/>
      <w:bookmarkEnd w:id="154"/>
      <w:bookmarkEnd w:id="155"/>
      <w:bookmarkEnd w:id="156"/>
      <w:bookmarkEnd w:id="157"/>
    </w:p>
    <w:p w14:paraId="5C788002">
      <w:pPr>
        <w:spacing w:after="163" w:afterLines="50"/>
        <w:jc w:val="center"/>
        <w:rPr>
          <w:b/>
          <w:bCs/>
          <w:sz w:val="21"/>
          <w:szCs w:val="21"/>
        </w:rPr>
      </w:pPr>
      <w:bookmarkStart w:id="158" w:name="_Toc2363"/>
      <w:r>
        <w:rPr>
          <w:b/>
          <w:bCs/>
          <w:sz w:val="28"/>
          <w:szCs w:val="28"/>
        </w:rPr>
        <w:t>符合性审查表</w:t>
      </w:r>
      <w:bookmarkEnd w:id="158"/>
    </w:p>
    <w:tbl>
      <w:tblPr>
        <w:tblStyle w:val="21"/>
        <w:tblW w:w="95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3165"/>
        <w:gridCol w:w="5730"/>
      </w:tblGrid>
      <w:tr w14:paraId="5EEFF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615" w:type="dxa"/>
            <w:tcBorders>
              <w:top w:val="single" w:color="auto" w:sz="4" w:space="0"/>
              <w:left w:val="single" w:color="auto" w:sz="4" w:space="0"/>
              <w:bottom w:val="single" w:color="auto" w:sz="4" w:space="0"/>
              <w:right w:val="single" w:color="auto" w:sz="4" w:space="0"/>
            </w:tcBorders>
            <w:shd w:val="clear" w:color="auto" w:fill="CFCECE" w:themeFill="background2" w:themeFillShade="E5"/>
            <w:vAlign w:val="center"/>
          </w:tcPr>
          <w:p w14:paraId="5CCB63D9">
            <w:pPr>
              <w:adjustRightInd w:val="0"/>
              <w:snapToGrid w:val="0"/>
              <w:jc w:val="center"/>
              <w:rPr>
                <w:b/>
                <w:bCs/>
                <w:sz w:val="24"/>
                <w:szCs w:val="24"/>
              </w:rPr>
            </w:pPr>
            <w:r>
              <w:rPr>
                <w:b/>
                <w:bCs/>
                <w:sz w:val="24"/>
                <w:szCs w:val="24"/>
              </w:rPr>
              <w:t>序号</w:t>
            </w:r>
          </w:p>
        </w:tc>
        <w:tc>
          <w:tcPr>
            <w:tcW w:w="3165" w:type="dxa"/>
            <w:tcBorders>
              <w:top w:val="single" w:color="auto" w:sz="4" w:space="0"/>
              <w:left w:val="single" w:color="auto" w:sz="4" w:space="0"/>
              <w:bottom w:val="single" w:color="auto" w:sz="4" w:space="0"/>
              <w:right w:val="single" w:color="auto" w:sz="4" w:space="0"/>
            </w:tcBorders>
            <w:shd w:val="clear" w:color="auto" w:fill="CFCECE" w:themeFill="background2" w:themeFillShade="E5"/>
            <w:vAlign w:val="center"/>
          </w:tcPr>
          <w:p w14:paraId="4D299DC9">
            <w:pPr>
              <w:adjustRightInd w:val="0"/>
              <w:snapToGrid w:val="0"/>
              <w:jc w:val="center"/>
              <w:rPr>
                <w:b/>
                <w:bCs/>
                <w:sz w:val="24"/>
                <w:szCs w:val="24"/>
              </w:rPr>
            </w:pPr>
            <w:r>
              <w:rPr>
                <w:b/>
                <w:bCs/>
                <w:sz w:val="24"/>
                <w:szCs w:val="24"/>
              </w:rPr>
              <w:t>符合性审查项</w:t>
            </w:r>
          </w:p>
        </w:tc>
        <w:tc>
          <w:tcPr>
            <w:tcW w:w="5730" w:type="dxa"/>
            <w:tcBorders>
              <w:top w:val="single" w:color="auto" w:sz="4" w:space="0"/>
              <w:left w:val="single" w:color="auto" w:sz="4" w:space="0"/>
              <w:bottom w:val="single" w:color="auto" w:sz="4" w:space="0"/>
              <w:right w:val="single" w:color="auto" w:sz="4" w:space="0"/>
            </w:tcBorders>
            <w:shd w:val="clear" w:color="auto" w:fill="CFCECE" w:themeFill="background2" w:themeFillShade="E5"/>
            <w:vAlign w:val="center"/>
          </w:tcPr>
          <w:p w14:paraId="455B7042">
            <w:pPr>
              <w:adjustRightInd w:val="0"/>
              <w:snapToGrid w:val="0"/>
              <w:jc w:val="center"/>
              <w:rPr>
                <w:b/>
                <w:bCs/>
                <w:sz w:val="24"/>
                <w:szCs w:val="24"/>
              </w:rPr>
            </w:pPr>
            <w:r>
              <w:rPr>
                <w:b/>
                <w:bCs/>
                <w:sz w:val="24"/>
                <w:szCs w:val="24"/>
              </w:rPr>
              <w:t>通过条件</w:t>
            </w:r>
          </w:p>
        </w:tc>
      </w:tr>
      <w:tr w14:paraId="75692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615" w:type="dxa"/>
            <w:tcBorders>
              <w:top w:val="single" w:color="auto" w:sz="4" w:space="0"/>
              <w:left w:val="single" w:color="auto" w:sz="4" w:space="0"/>
              <w:bottom w:val="single" w:color="auto" w:sz="4" w:space="0"/>
              <w:right w:val="single" w:color="auto" w:sz="4" w:space="0"/>
            </w:tcBorders>
            <w:vAlign w:val="center"/>
          </w:tcPr>
          <w:p w14:paraId="0A6B0D32">
            <w:pPr>
              <w:spacing w:line="288" w:lineRule="auto"/>
              <w:jc w:val="center"/>
              <w:rPr>
                <w:rFonts w:hint="eastAsia" w:hAnsi="宋体" w:cs="宋体"/>
                <w:sz w:val="24"/>
                <w:szCs w:val="24"/>
              </w:rPr>
            </w:pPr>
            <w:r>
              <w:rPr>
                <w:rFonts w:hint="eastAsia" w:hAnsi="宋体" w:cs="宋体"/>
                <w:sz w:val="24"/>
                <w:szCs w:val="24"/>
              </w:rPr>
              <w:t>1</w:t>
            </w:r>
          </w:p>
        </w:tc>
        <w:tc>
          <w:tcPr>
            <w:tcW w:w="3165" w:type="dxa"/>
            <w:tcBorders>
              <w:top w:val="single" w:color="auto" w:sz="4" w:space="0"/>
              <w:left w:val="single" w:color="auto" w:sz="4" w:space="0"/>
              <w:bottom w:val="single" w:color="auto" w:sz="4" w:space="0"/>
              <w:right w:val="single" w:color="auto" w:sz="4" w:space="0"/>
            </w:tcBorders>
            <w:vAlign w:val="center"/>
          </w:tcPr>
          <w:p w14:paraId="53D125E6">
            <w:pPr>
              <w:spacing w:line="288" w:lineRule="auto"/>
              <w:rPr>
                <w:rFonts w:hint="default" w:hAnsi="宋体" w:eastAsia="宋体" w:cs="宋体"/>
                <w:sz w:val="24"/>
                <w:szCs w:val="24"/>
                <w:lang w:val="en-US" w:eastAsia="zh-CN"/>
              </w:rPr>
            </w:pPr>
            <w:r>
              <w:rPr>
                <w:rFonts w:hint="eastAsia" w:hAnsi="宋体" w:cs="宋体"/>
                <w:sz w:val="24"/>
                <w:szCs w:val="24"/>
              </w:rPr>
              <w:t>投标文件项目名称、项目编号、标段（未分标段的除外）</w:t>
            </w:r>
          </w:p>
        </w:tc>
        <w:tc>
          <w:tcPr>
            <w:tcW w:w="5730" w:type="dxa"/>
            <w:tcBorders>
              <w:top w:val="single" w:color="auto" w:sz="4" w:space="0"/>
              <w:left w:val="single" w:color="auto" w:sz="4" w:space="0"/>
              <w:bottom w:val="single" w:color="auto" w:sz="4" w:space="0"/>
              <w:right w:val="single" w:color="auto" w:sz="4" w:space="0"/>
            </w:tcBorders>
            <w:vAlign w:val="center"/>
          </w:tcPr>
          <w:p w14:paraId="58A6F4C3">
            <w:pPr>
              <w:spacing w:line="288" w:lineRule="auto"/>
              <w:rPr>
                <w:rFonts w:hint="default" w:hAnsi="宋体" w:eastAsia="宋体" w:cs="宋体"/>
                <w:sz w:val="24"/>
                <w:szCs w:val="24"/>
                <w:lang w:val="en-US" w:eastAsia="zh-CN"/>
              </w:rPr>
            </w:pPr>
            <w:r>
              <w:rPr>
                <w:rFonts w:hint="eastAsia" w:hAnsi="宋体" w:cs="宋体"/>
                <w:sz w:val="24"/>
                <w:szCs w:val="24"/>
              </w:rPr>
              <w:t>投标文件中（含封皮）的项目名称、项目编号、标段与本项目完全一致，且无遗漏。</w:t>
            </w:r>
          </w:p>
        </w:tc>
      </w:tr>
      <w:tr w14:paraId="60F22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615" w:type="dxa"/>
            <w:tcBorders>
              <w:top w:val="single" w:color="auto" w:sz="4" w:space="0"/>
              <w:left w:val="single" w:color="auto" w:sz="4" w:space="0"/>
              <w:bottom w:val="single" w:color="auto" w:sz="4" w:space="0"/>
              <w:right w:val="single" w:color="auto" w:sz="4" w:space="0"/>
            </w:tcBorders>
            <w:vAlign w:val="center"/>
          </w:tcPr>
          <w:p w14:paraId="29DCDC4D">
            <w:pPr>
              <w:spacing w:line="288" w:lineRule="auto"/>
              <w:jc w:val="center"/>
              <w:rPr>
                <w:rFonts w:hAnsi="宋体" w:cs="宋体"/>
                <w:sz w:val="24"/>
                <w:szCs w:val="24"/>
              </w:rPr>
            </w:pPr>
            <w:r>
              <w:rPr>
                <w:rFonts w:hint="eastAsia" w:hAnsi="宋体" w:cs="宋体"/>
                <w:sz w:val="24"/>
                <w:szCs w:val="24"/>
              </w:rPr>
              <w:t>2</w:t>
            </w:r>
          </w:p>
        </w:tc>
        <w:tc>
          <w:tcPr>
            <w:tcW w:w="3165" w:type="dxa"/>
            <w:tcBorders>
              <w:top w:val="single" w:color="auto" w:sz="4" w:space="0"/>
              <w:left w:val="single" w:color="auto" w:sz="4" w:space="0"/>
              <w:bottom w:val="single" w:color="auto" w:sz="4" w:space="0"/>
              <w:right w:val="single" w:color="auto" w:sz="4" w:space="0"/>
            </w:tcBorders>
            <w:vAlign w:val="center"/>
          </w:tcPr>
          <w:p w14:paraId="7B2A353D">
            <w:pPr>
              <w:spacing w:line="288" w:lineRule="auto"/>
              <w:rPr>
                <w:rFonts w:hAnsi="宋体" w:cs="宋体"/>
                <w:sz w:val="24"/>
                <w:szCs w:val="24"/>
              </w:rPr>
            </w:pPr>
            <w:r>
              <w:rPr>
                <w:rFonts w:hint="eastAsia" w:hAnsi="宋体" w:cs="宋体"/>
                <w:sz w:val="24"/>
                <w:szCs w:val="24"/>
              </w:rPr>
              <w:t>投标文件组成</w:t>
            </w:r>
          </w:p>
        </w:tc>
        <w:tc>
          <w:tcPr>
            <w:tcW w:w="5730" w:type="dxa"/>
            <w:tcBorders>
              <w:top w:val="single" w:color="auto" w:sz="4" w:space="0"/>
              <w:left w:val="single" w:color="auto" w:sz="4" w:space="0"/>
              <w:bottom w:val="single" w:color="auto" w:sz="4" w:space="0"/>
              <w:right w:val="single" w:color="auto" w:sz="4" w:space="0"/>
            </w:tcBorders>
            <w:vAlign w:val="center"/>
          </w:tcPr>
          <w:p w14:paraId="5438102E">
            <w:pPr>
              <w:spacing w:line="288" w:lineRule="auto"/>
              <w:rPr>
                <w:rFonts w:hAnsi="宋体" w:cs="宋体"/>
                <w:sz w:val="24"/>
                <w:szCs w:val="24"/>
              </w:rPr>
            </w:pPr>
            <w:r>
              <w:rPr>
                <w:rFonts w:hint="eastAsia" w:hAnsi="宋体" w:cs="宋体"/>
                <w:sz w:val="24"/>
                <w:szCs w:val="24"/>
              </w:rPr>
              <w:t>投标文件应包含以下内容</w:t>
            </w:r>
            <w:r>
              <w:rPr>
                <w:rFonts w:hint="eastAsia" w:asciiTheme="minorEastAsia" w:hAnsiTheme="minorEastAsia" w:eastAsiaTheme="minorEastAsia" w:cstheme="minorEastAsia"/>
                <w:sz w:val="24"/>
                <w:szCs w:val="24"/>
                <w:lang w:val="en-US" w:eastAsia="zh-CN"/>
              </w:rPr>
              <w:t>且无遗漏，且不得对招标文件中格式做任何改动</w:t>
            </w:r>
            <w:r>
              <w:rPr>
                <w:rFonts w:hint="eastAsia" w:asciiTheme="minorEastAsia" w:hAnsiTheme="minorEastAsia" w:eastAsiaTheme="minorEastAsia" w:cstheme="minorEastAsia"/>
                <w:sz w:val="24"/>
                <w:szCs w:val="24"/>
              </w:rPr>
              <w:t>：</w:t>
            </w:r>
          </w:p>
          <w:p w14:paraId="17458A7D">
            <w:pPr>
              <w:spacing w:line="320" w:lineRule="exact"/>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封面及目录；</w:t>
            </w:r>
          </w:p>
          <w:p w14:paraId="4DFF22AA">
            <w:pPr>
              <w:spacing w:line="3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）响应函；</w:t>
            </w:r>
          </w:p>
          <w:p w14:paraId="187CAA14">
            <w:pPr>
              <w:spacing w:line="3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投标</w:t>
            </w:r>
            <w:r>
              <w:rPr>
                <w:rFonts w:hint="eastAsia" w:asciiTheme="minorEastAsia" w:hAnsiTheme="minorEastAsia" w:eastAsiaTheme="minorEastAsia" w:cstheme="minorEastAsia"/>
                <w:sz w:val="24"/>
                <w:szCs w:val="24"/>
              </w:rPr>
              <w:t>报价表、分项报价</w:t>
            </w:r>
            <w:r>
              <w:rPr>
                <w:rFonts w:hint="eastAsia" w:asciiTheme="minorEastAsia" w:hAnsiTheme="minorEastAsia" w:eastAsiaTheme="minorEastAsia" w:cstheme="minorEastAsia"/>
                <w:sz w:val="24"/>
                <w:szCs w:val="24"/>
                <w:lang w:val="en-US" w:eastAsia="zh-CN"/>
              </w:rPr>
              <w:t>清单</w:t>
            </w:r>
            <w:r>
              <w:rPr>
                <w:rFonts w:hint="eastAsia" w:asciiTheme="minorEastAsia" w:hAnsiTheme="minorEastAsia" w:eastAsiaTheme="minorEastAsia" w:cstheme="minorEastAsia"/>
                <w:sz w:val="24"/>
                <w:szCs w:val="24"/>
              </w:rPr>
              <w:t>；</w:t>
            </w:r>
          </w:p>
          <w:p w14:paraId="29B746EC">
            <w:pPr>
              <w:spacing w:line="3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）资格证明文件；</w:t>
            </w:r>
          </w:p>
          <w:p w14:paraId="3139A2D6">
            <w:pPr>
              <w:spacing w:line="3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）供应商概况；</w:t>
            </w:r>
          </w:p>
          <w:p w14:paraId="5DCDDA9B">
            <w:pPr>
              <w:spacing w:line="3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）供应商参加政府采购活动承诺书；</w:t>
            </w:r>
          </w:p>
          <w:p w14:paraId="0541EB98">
            <w:pPr>
              <w:spacing w:line="288" w:lineRule="auto"/>
              <w:rPr>
                <w:rFonts w:hAnsi="宋体" w:cs="宋体"/>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响应</w:t>
            </w:r>
            <w:r>
              <w:rPr>
                <w:rFonts w:hint="eastAsia" w:asciiTheme="minorEastAsia" w:hAnsiTheme="minorEastAsia" w:eastAsiaTheme="minorEastAsia" w:cstheme="minorEastAsia"/>
                <w:sz w:val="24"/>
                <w:szCs w:val="24"/>
              </w:rPr>
              <w:t>方案。</w:t>
            </w:r>
          </w:p>
        </w:tc>
      </w:tr>
      <w:tr w14:paraId="3E8F6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5" w:type="dxa"/>
            <w:tcBorders>
              <w:top w:val="single" w:color="auto" w:sz="4" w:space="0"/>
              <w:left w:val="single" w:color="auto" w:sz="4" w:space="0"/>
              <w:bottom w:val="single" w:color="auto" w:sz="4" w:space="0"/>
              <w:right w:val="single" w:color="auto" w:sz="4" w:space="0"/>
            </w:tcBorders>
            <w:vAlign w:val="center"/>
          </w:tcPr>
          <w:p w14:paraId="7B6D024C">
            <w:pPr>
              <w:spacing w:line="288" w:lineRule="auto"/>
              <w:jc w:val="center"/>
              <w:rPr>
                <w:rFonts w:hAnsi="宋体" w:cs="宋体"/>
                <w:sz w:val="24"/>
                <w:szCs w:val="24"/>
              </w:rPr>
            </w:pPr>
            <w:r>
              <w:rPr>
                <w:rFonts w:hint="eastAsia" w:hAnsi="宋体" w:cs="宋体"/>
                <w:sz w:val="24"/>
                <w:szCs w:val="24"/>
              </w:rPr>
              <w:t>3</w:t>
            </w:r>
          </w:p>
        </w:tc>
        <w:tc>
          <w:tcPr>
            <w:tcW w:w="3165" w:type="dxa"/>
            <w:tcBorders>
              <w:top w:val="single" w:color="auto" w:sz="4" w:space="0"/>
              <w:left w:val="single" w:color="auto" w:sz="4" w:space="0"/>
              <w:bottom w:val="single" w:color="auto" w:sz="4" w:space="0"/>
              <w:right w:val="single" w:color="auto" w:sz="4" w:space="0"/>
            </w:tcBorders>
            <w:vAlign w:val="center"/>
          </w:tcPr>
          <w:p w14:paraId="01CF40F9">
            <w:pPr>
              <w:spacing w:line="288" w:lineRule="auto"/>
              <w:rPr>
                <w:rFonts w:hAnsi="宋体" w:cs="宋体"/>
                <w:sz w:val="24"/>
                <w:szCs w:val="24"/>
              </w:rPr>
            </w:pPr>
            <w:r>
              <w:rPr>
                <w:rFonts w:hint="eastAsia" w:hAnsi="宋体" w:cs="宋体"/>
                <w:sz w:val="24"/>
                <w:szCs w:val="24"/>
              </w:rPr>
              <w:t>投标文件的签署、盖章</w:t>
            </w:r>
          </w:p>
        </w:tc>
        <w:tc>
          <w:tcPr>
            <w:tcW w:w="5730" w:type="dxa"/>
            <w:tcBorders>
              <w:top w:val="single" w:color="auto" w:sz="4" w:space="0"/>
              <w:left w:val="single" w:color="auto" w:sz="4" w:space="0"/>
              <w:bottom w:val="single" w:color="auto" w:sz="4" w:space="0"/>
              <w:right w:val="single" w:color="auto" w:sz="4" w:space="0"/>
            </w:tcBorders>
            <w:vAlign w:val="center"/>
          </w:tcPr>
          <w:p w14:paraId="3E8ACB28">
            <w:pPr>
              <w:spacing w:line="288" w:lineRule="auto"/>
              <w:rPr>
                <w:rFonts w:hAnsi="宋体" w:cs="宋体"/>
                <w:sz w:val="24"/>
                <w:szCs w:val="24"/>
              </w:rPr>
            </w:pPr>
            <w:r>
              <w:rPr>
                <w:rFonts w:hint="eastAsia" w:hAnsi="宋体" w:cs="宋体"/>
                <w:sz w:val="24"/>
                <w:szCs w:val="24"/>
              </w:rPr>
              <w:t>签署、盖章均符合招标文件要求，且无遗漏。</w:t>
            </w:r>
          </w:p>
        </w:tc>
      </w:tr>
      <w:tr w14:paraId="091B9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5" w:type="dxa"/>
            <w:tcBorders>
              <w:top w:val="single" w:color="auto" w:sz="4" w:space="0"/>
              <w:left w:val="single" w:color="auto" w:sz="4" w:space="0"/>
              <w:bottom w:val="single" w:color="auto" w:sz="4" w:space="0"/>
              <w:right w:val="single" w:color="auto" w:sz="4" w:space="0"/>
            </w:tcBorders>
            <w:vAlign w:val="center"/>
          </w:tcPr>
          <w:p w14:paraId="327D5BAF">
            <w:pPr>
              <w:spacing w:line="288" w:lineRule="auto"/>
              <w:jc w:val="center"/>
              <w:rPr>
                <w:rFonts w:hAnsi="宋体" w:cs="宋体"/>
                <w:sz w:val="24"/>
                <w:szCs w:val="24"/>
              </w:rPr>
            </w:pPr>
            <w:r>
              <w:rPr>
                <w:rFonts w:hint="eastAsia" w:hAnsi="宋体" w:cs="宋体"/>
                <w:sz w:val="24"/>
                <w:szCs w:val="24"/>
              </w:rPr>
              <w:t>4</w:t>
            </w:r>
          </w:p>
        </w:tc>
        <w:tc>
          <w:tcPr>
            <w:tcW w:w="3165" w:type="dxa"/>
            <w:tcBorders>
              <w:top w:val="single" w:color="auto" w:sz="4" w:space="0"/>
              <w:left w:val="single" w:color="auto" w:sz="4" w:space="0"/>
              <w:bottom w:val="single" w:color="auto" w:sz="4" w:space="0"/>
              <w:right w:val="single" w:color="auto" w:sz="4" w:space="0"/>
            </w:tcBorders>
            <w:vAlign w:val="center"/>
          </w:tcPr>
          <w:p w14:paraId="5C7FD805">
            <w:pPr>
              <w:spacing w:line="288" w:lineRule="auto"/>
              <w:rPr>
                <w:rFonts w:hAnsi="宋体" w:cs="宋体"/>
                <w:sz w:val="24"/>
                <w:szCs w:val="24"/>
              </w:rPr>
            </w:pPr>
            <w:r>
              <w:rPr>
                <w:rFonts w:hint="eastAsia" w:hAnsi="宋体" w:cs="宋体"/>
                <w:sz w:val="24"/>
                <w:szCs w:val="24"/>
              </w:rPr>
              <w:t>投标文件的语言及计量单位</w:t>
            </w:r>
          </w:p>
        </w:tc>
        <w:tc>
          <w:tcPr>
            <w:tcW w:w="5730" w:type="dxa"/>
            <w:tcBorders>
              <w:top w:val="single" w:color="auto" w:sz="4" w:space="0"/>
              <w:left w:val="single" w:color="auto" w:sz="4" w:space="0"/>
              <w:bottom w:val="single" w:color="auto" w:sz="4" w:space="0"/>
              <w:right w:val="single" w:color="auto" w:sz="4" w:space="0"/>
            </w:tcBorders>
            <w:vAlign w:val="center"/>
          </w:tcPr>
          <w:p w14:paraId="2F3B4A5D">
            <w:pPr>
              <w:spacing w:line="288" w:lineRule="auto"/>
              <w:rPr>
                <w:rFonts w:hAnsi="宋体" w:cs="宋体"/>
                <w:sz w:val="24"/>
                <w:szCs w:val="24"/>
              </w:rPr>
            </w:pPr>
            <w:r>
              <w:rPr>
                <w:rFonts w:hint="eastAsia" w:asciiTheme="minorEastAsia" w:hAnsiTheme="minorEastAsia" w:eastAsiaTheme="minorEastAsia" w:cstheme="minorEastAsia"/>
                <w:bCs/>
                <w:kern w:val="0"/>
                <w:sz w:val="24"/>
                <w:szCs w:val="24"/>
              </w:rPr>
              <w:t>符合</w:t>
            </w:r>
            <w:r>
              <w:rPr>
                <w:rFonts w:hint="eastAsia" w:asciiTheme="minorEastAsia" w:hAnsiTheme="minorEastAsia" w:eastAsiaTheme="minorEastAsia" w:cstheme="minorEastAsia"/>
                <w:sz w:val="24"/>
                <w:szCs w:val="24"/>
                <w:lang w:val="en-US" w:eastAsia="zh-CN"/>
              </w:rPr>
              <w:t>招标</w:t>
            </w:r>
            <w:r>
              <w:rPr>
                <w:rFonts w:hint="eastAsia" w:asciiTheme="minorEastAsia" w:hAnsiTheme="minorEastAsia" w:eastAsiaTheme="minorEastAsia" w:cstheme="minorEastAsia"/>
                <w:bCs/>
                <w:kern w:val="0"/>
                <w:sz w:val="24"/>
                <w:szCs w:val="24"/>
              </w:rPr>
              <w:t>文件的要求</w:t>
            </w:r>
            <w:r>
              <w:rPr>
                <w:rFonts w:hint="eastAsia" w:asciiTheme="minorEastAsia" w:hAnsiTheme="minorEastAsia" w:eastAsiaTheme="minorEastAsia" w:cstheme="minorEastAsia"/>
                <w:bCs/>
                <w:kern w:val="0"/>
                <w:sz w:val="24"/>
                <w:szCs w:val="24"/>
                <w:lang w:eastAsia="zh-CN"/>
              </w:rPr>
              <w:t>，</w:t>
            </w:r>
            <w:r>
              <w:rPr>
                <w:rFonts w:hint="eastAsia" w:asciiTheme="minorEastAsia" w:hAnsiTheme="minorEastAsia" w:eastAsiaTheme="minorEastAsia" w:cstheme="minorEastAsia"/>
                <w:bCs/>
                <w:kern w:val="0"/>
                <w:sz w:val="24"/>
                <w:szCs w:val="24"/>
                <w:lang w:val="en-US" w:eastAsia="zh-CN"/>
              </w:rPr>
              <w:t>报价及分项报价计量单位明确</w:t>
            </w:r>
            <w:r>
              <w:rPr>
                <w:rFonts w:hint="eastAsia" w:asciiTheme="minorEastAsia" w:hAnsiTheme="minorEastAsia" w:eastAsiaTheme="minorEastAsia" w:cstheme="minorEastAsia"/>
                <w:bCs/>
                <w:kern w:val="0"/>
                <w:sz w:val="24"/>
                <w:szCs w:val="24"/>
              </w:rPr>
              <w:t>。</w:t>
            </w:r>
          </w:p>
        </w:tc>
      </w:tr>
      <w:tr w14:paraId="38FDF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5" w:type="dxa"/>
            <w:tcBorders>
              <w:top w:val="single" w:color="auto" w:sz="4" w:space="0"/>
              <w:left w:val="single" w:color="auto" w:sz="4" w:space="0"/>
              <w:bottom w:val="single" w:color="auto" w:sz="4" w:space="0"/>
              <w:right w:val="single" w:color="auto" w:sz="4" w:space="0"/>
            </w:tcBorders>
            <w:vAlign w:val="center"/>
          </w:tcPr>
          <w:p w14:paraId="7C57288D">
            <w:pPr>
              <w:spacing w:line="288" w:lineRule="auto"/>
              <w:jc w:val="center"/>
              <w:rPr>
                <w:rFonts w:hAnsi="宋体" w:cs="宋体"/>
                <w:sz w:val="24"/>
                <w:szCs w:val="24"/>
              </w:rPr>
            </w:pPr>
            <w:r>
              <w:rPr>
                <w:rFonts w:hint="eastAsia" w:hAnsi="宋体" w:cs="宋体"/>
                <w:sz w:val="24"/>
                <w:szCs w:val="24"/>
              </w:rPr>
              <w:t>5</w:t>
            </w:r>
          </w:p>
        </w:tc>
        <w:tc>
          <w:tcPr>
            <w:tcW w:w="3165" w:type="dxa"/>
            <w:tcBorders>
              <w:top w:val="single" w:color="auto" w:sz="4" w:space="0"/>
              <w:left w:val="single" w:color="auto" w:sz="4" w:space="0"/>
              <w:bottom w:val="single" w:color="auto" w:sz="4" w:space="0"/>
              <w:right w:val="single" w:color="auto" w:sz="4" w:space="0"/>
            </w:tcBorders>
            <w:vAlign w:val="center"/>
          </w:tcPr>
          <w:p w14:paraId="3C82367A">
            <w:pPr>
              <w:spacing w:line="288" w:lineRule="auto"/>
              <w:rPr>
                <w:rFonts w:hAnsi="宋体" w:cs="宋体"/>
                <w:sz w:val="24"/>
                <w:szCs w:val="24"/>
              </w:rPr>
            </w:pPr>
            <w:r>
              <w:rPr>
                <w:rFonts w:hint="eastAsia" w:hAnsi="宋体" w:cs="宋体"/>
                <w:sz w:val="24"/>
                <w:szCs w:val="24"/>
              </w:rPr>
              <w:t>投标有效期</w:t>
            </w:r>
          </w:p>
        </w:tc>
        <w:tc>
          <w:tcPr>
            <w:tcW w:w="5730" w:type="dxa"/>
            <w:tcBorders>
              <w:top w:val="single" w:color="auto" w:sz="4" w:space="0"/>
              <w:left w:val="single" w:color="auto" w:sz="4" w:space="0"/>
              <w:bottom w:val="single" w:color="auto" w:sz="4" w:space="0"/>
              <w:right w:val="single" w:color="auto" w:sz="4" w:space="0"/>
            </w:tcBorders>
            <w:vAlign w:val="center"/>
          </w:tcPr>
          <w:p w14:paraId="1E549C21">
            <w:pPr>
              <w:spacing w:line="288" w:lineRule="auto"/>
              <w:rPr>
                <w:rFonts w:hAnsi="宋体" w:cs="宋体"/>
                <w:sz w:val="24"/>
                <w:szCs w:val="24"/>
              </w:rPr>
            </w:pPr>
            <w:r>
              <w:rPr>
                <w:rFonts w:hint="eastAsia" w:hAnsi="宋体" w:cs="宋体"/>
                <w:sz w:val="24"/>
                <w:szCs w:val="24"/>
              </w:rPr>
              <w:t>符合招标文件的要求。</w:t>
            </w:r>
          </w:p>
        </w:tc>
      </w:tr>
      <w:tr w14:paraId="2ADFB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5" w:type="dxa"/>
            <w:tcBorders>
              <w:top w:val="single" w:color="auto" w:sz="4" w:space="0"/>
              <w:left w:val="single" w:color="auto" w:sz="4" w:space="0"/>
              <w:bottom w:val="single" w:color="auto" w:sz="4" w:space="0"/>
              <w:right w:val="single" w:color="auto" w:sz="4" w:space="0"/>
            </w:tcBorders>
            <w:vAlign w:val="center"/>
          </w:tcPr>
          <w:p w14:paraId="6C4C5FF6">
            <w:pPr>
              <w:spacing w:line="288" w:lineRule="auto"/>
              <w:jc w:val="center"/>
              <w:rPr>
                <w:rFonts w:hAnsi="宋体" w:cs="宋体"/>
                <w:sz w:val="24"/>
                <w:szCs w:val="24"/>
              </w:rPr>
            </w:pPr>
            <w:r>
              <w:rPr>
                <w:rFonts w:hint="eastAsia" w:hAnsi="宋体" w:cs="宋体"/>
                <w:sz w:val="24"/>
                <w:szCs w:val="24"/>
              </w:rPr>
              <w:t>6</w:t>
            </w:r>
          </w:p>
        </w:tc>
        <w:tc>
          <w:tcPr>
            <w:tcW w:w="3165" w:type="dxa"/>
            <w:tcBorders>
              <w:top w:val="single" w:color="auto" w:sz="4" w:space="0"/>
              <w:left w:val="single" w:color="auto" w:sz="4" w:space="0"/>
              <w:bottom w:val="single" w:color="auto" w:sz="4" w:space="0"/>
              <w:right w:val="single" w:color="auto" w:sz="4" w:space="0"/>
            </w:tcBorders>
            <w:vAlign w:val="center"/>
          </w:tcPr>
          <w:p w14:paraId="6AF6DD0F">
            <w:pPr>
              <w:spacing w:line="288" w:lineRule="auto"/>
              <w:rPr>
                <w:rFonts w:hAnsi="宋体" w:cs="宋体"/>
                <w:sz w:val="24"/>
                <w:szCs w:val="24"/>
              </w:rPr>
            </w:pPr>
            <w:r>
              <w:rPr>
                <w:rFonts w:hint="eastAsia" w:hAnsi="宋体" w:cs="宋体"/>
                <w:sz w:val="24"/>
                <w:szCs w:val="24"/>
              </w:rPr>
              <w:t>投标报价</w:t>
            </w:r>
          </w:p>
        </w:tc>
        <w:tc>
          <w:tcPr>
            <w:tcW w:w="5730" w:type="dxa"/>
            <w:tcBorders>
              <w:top w:val="single" w:color="auto" w:sz="4" w:space="0"/>
              <w:left w:val="single" w:color="auto" w:sz="4" w:space="0"/>
              <w:bottom w:val="single" w:color="auto" w:sz="4" w:space="0"/>
              <w:right w:val="single" w:color="auto" w:sz="4" w:space="0"/>
            </w:tcBorders>
            <w:vAlign w:val="center"/>
          </w:tcPr>
          <w:p w14:paraId="63702620">
            <w:pPr>
              <w:spacing w:line="288" w:lineRule="auto"/>
              <w:rPr>
                <w:rFonts w:hAnsi="宋体" w:cs="宋体"/>
                <w:sz w:val="24"/>
                <w:szCs w:val="24"/>
              </w:rPr>
            </w:pPr>
            <w:r>
              <w:rPr>
                <w:rFonts w:hint="eastAsia" w:hAnsi="宋体" w:cs="宋体"/>
                <w:sz w:val="24"/>
                <w:szCs w:val="24"/>
              </w:rPr>
              <w:t>同时满足以下条款：</w:t>
            </w:r>
          </w:p>
          <w:p w14:paraId="06FA00D5">
            <w:pPr>
              <w:spacing w:line="288" w:lineRule="auto"/>
              <w:rPr>
                <w:rFonts w:hAnsi="宋体" w:cs="宋体"/>
                <w:sz w:val="24"/>
                <w:szCs w:val="24"/>
              </w:rPr>
            </w:pPr>
            <w:r>
              <w:rPr>
                <w:rFonts w:hint="eastAsia" w:hAnsi="宋体" w:cs="宋体"/>
                <w:sz w:val="24"/>
                <w:szCs w:val="24"/>
              </w:rPr>
              <w:t>（1）投标报价符合唯一性要求；</w:t>
            </w:r>
          </w:p>
          <w:p w14:paraId="74FEC502">
            <w:pPr>
              <w:spacing w:line="288" w:lineRule="auto"/>
              <w:rPr>
                <w:rFonts w:hAnsi="宋体" w:cs="宋体"/>
                <w:sz w:val="24"/>
                <w:szCs w:val="24"/>
              </w:rPr>
            </w:pPr>
            <w:r>
              <w:rPr>
                <w:rFonts w:hint="eastAsia" w:hAnsi="宋体" w:cs="宋体"/>
                <w:sz w:val="24"/>
                <w:szCs w:val="24"/>
              </w:rPr>
              <w:t>（2）开标一览表填写符合要求；</w:t>
            </w:r>
          </w:p>
          <w:p w14:paraId="56C76F10">
            <w:pPr>
              <w:spacing w:line="288" w:lineRule="auto"/>
              <w:rPr>
                <w:rFonts w:hAnsi="宋体" w:cs="宋体"/>
                <w:sz w:val="24"/>
                <w:szCs w:val="24"/>
              </w:rPr>
            </w:pPr>
            <w:r>
              <w:rPr>
                <w:rFonts w:hint="eastAsia" w:hAnsi="宋体" w:cs="宋体"/>
                <w:sz w:val="24"/>
                <w:szCs w:val="24"/>
              </w:rPr>
              <w:t>（3）报价货币符合招标文件要求；</w:t>
            </w:r>
          </w:p>
          <w:p w14:paraId="7C26D036">
            <w:pPr>
              <w:spacing w:line="288" w:lineRule="auto"/>
              <w:rPr>
                <w:rFonts w:hAnsi="宋体" w:cs="宋体"/>
                <w:sz w:val="24"/>
                <w:szCs w:val="24"/>
              </w:rPr>
            </w:pPr>
            <w:r>
              <w:rPr>
                <w:rFonts w:hint="eastAsia" w:hAnsi="宋体" w:cs="宋体"/>
                <w:sz w:val="24"/>
                <w:szCs w:val="24"/>
              </w:rPr>
              <w:t>（4）未超出采购预算或招标文件规定的最高限价。</w:t>
            </w:r>
          </w:p>
        </w:tc>
      </w:tr>
      <w:tr w14:paraId="1E2A2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5" w:type="dxa"/>
            <w:tcBorders>
              <w:top w:val="single" w:color="auto" w:sz="4" w:space="0"/>
              <w:left w:val="single" w:color="auto" w:sz="4" w:space="0"/>
              <w:bottom w:val="single" w:color="auto" w:sz="4" w:space="0"/>
              <w:right w:val="single" w:color="auto" w:sz="4" w:space="0"/>
            </w:tcBorders>
            <w:vAlign w:val="center"/>
          </w:tcPr>
          <w:p w14:paraId="6ABF562C">
            <w:pPr>
              <w:spacing w:line="288" w:lineRule="auto"/>
              <w:jc w:val="center"/>
              <w:rPr>
                <w:rFonts w:hAnsi="宋体" w:cs="宋体"/>
                <w:sz w:val="24"/>
                <w:szCs w:val="24"/>
              </w:rPr>
            </w:pPr>
            <w:r>
              <w:rPr>
                <w:rFonts w:hint="eastAsia" w:hAnsi="宋体" w:cs="宋体"/>
                <w:sz w:val="24"/>
                <w:szCs w:val="24"/>
              </w:rPr>
              <w:t>7</w:t>
            </w:r>
          </w:p>
        </w:tc>
        <w:tc>
          <w:tcPr>
            <w:tcW w:w="3165" w:type="dxa"/>
            <w:tcBorders>
              <w:top w:val="single" w:color="auto" w:sz="4" w:space="0"/>
              <w:left w:val="single" w:color="auto" w:sz="4" w:space="0"/>
              <w:bottom w:val="single" w:color="auto" w:sz="4" w:space="0"/>
              <w:right w:val="single" w:color="auto" w:sz="4" w:space="0"/>
            </w:tcBorders>
            <w:vAlign w:val="center"/>
          </w:tcPr>
          <w:p w14:paraId="4E2809AC">
            <w:pPr>
              <w:spacing w:line="288" w:lineRule="auto"/>
              <w:rPr>
                <w:rFonts w:hAnsi="宋体" w:cs="宋体"/>
                <w:sz w:val="24"/>
                <w:szCs w:val="24"/>
              </w:rPr>
            </w:pPr>
            <w:r>
              <w:rPr>
                <w:rFonts w:hint="eastAsia" w:hAnsi="宋体" w:cs="宋体"/>
                <w:sz w:val="24"/>
                <w:szCs w:val="24"/>
              </w:rPr>
              <w:t>实质性条款响应</w:t>
            </w:r>
          </w:p>
        </w:tc>
        <w:tc>
          <w:tcPr>
            <w:tcW w:w="5730" w:type="dxa"/>
            <w:tcBorders>
              <w:top w:val="single" w:color="auto" w:sz="4" w:space="0"/>
              <w:left w:val="single" w:color="auto" w:sz="4" w:space="0"/>
              <w:bottom w:val="single" w:color="auto" w:sz="4" w:space="0"/>
              <w:right w:val="single" w:color="auto" w:sz="4" w:space="0"/>
            </w:tcBorders>
            <w:vAlign w:val="center"/>
          </w:tcPr>
          <w:p w14:paraId="59D87811">
            <w:pPr>
              <w:spacing w:line="288" w:lineRule="auto"/>
              <w:rPr>
                <w:rFonts w:hAnsi="宋体" w:cs="宋体"/>
                <w:sz w:val="24"/>
                <w:szCs w:val="24"/>
              </w:rPr>
            </w:pPr>
            <w:r>
              <w:rPr>
                <w:rFonts w:hAnsi="宋体" w:cs="宋体"/>
                <w:sz w:val="24"/>
                <w:szCs w:val="24"/>
              </w:rPr>
              <w:t>完全响应招标文件要求的各项技术/服务/商务实质性条款。（实质性条款以★标识，未设置实质性条款时可忽略此项）</w:t>
            </w:r>
          </w:p>
        </w:tc>
      </w:tr>
      <w:tr w14:paraId="0061A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5" w:type="dxa"/>
            <w:tcBorders>
              <w:top w:val="single" w:color="auto" w:sz="4" w:space="0"/>
              <w:left w:val="single" w:color="auto" w:sz="4" w:space="0"/>
              <w:bottom w:val="single" w:color="auto" w:sz="4" w:space="0"/>
              <w:right w:val="single" w:color="auto" w:sz="4" w:space="0"/>
            </w:tcBorders>
            <w:vAlign w:val="center"/>
          </w:tcPr>
          <w:p w14:paraId="470C80B2">
            <w:pPr>
              <w:spacing w:line="288" w:lineRule="auto"/>
              <w:jc w:val="center"/>
              <w:rPr>
                <w:rFonts w:hAnsi="宋体" w:cs="宋体"/>
                <w:sz w:val="24"/>
                <w:szCs w:val="24"/>
              </w:rPr>
            </w:pPr>
            <w:r>
              <w:rPr>
                <w:rFonts w:hint="eastAsia" w:hAnsi="宋体" w:cs="宋体"/>
                <w:sz w:val="24"/>
                <w:szCs w:val="24"/>
              </w:rPr>
              <w:t>8</w:t>
            </w:r>
          </w:p>
        </w:tc>
        <w:tc>
          <w:tcPr>
            <w:tcW w:w="3165" w:type="dxa"/>
            <w:tcBorders>
              <w:top w:val="single" w:color="auto" w:sz="4" w:space="0"/>
              <w:left w:val="single" w:color="auto" w:sz="4" w:space="0"/>
              <w:bottom w:val="single" w:color="auto" w:sz="4" w:space="0"/>
              <w:right w:val="single" w:color="auto" w:sz="4" w:space="0"/>
            </w:tcBorders>
            <w:vAlign w:val="center"/>
          </w:tcPr>
          <w:p w14:paraId="5A5FD2EE">
            <w:pPr>
              <w:spacing w:line="288" w:lineRule="auto"/>
              <w:rPr>
                <w:rFonts w:hAnsi="宋体" w:cs="宋体"/>
                <w:sz w:val="24"/>
                <w:szCs w:val="24"/>
              </w:rPr>
            </w:pPr>
            <w:r>
              <w:rPr>
                <w:rFonts w:hint="eastAsia" w:hAnsi="宋体" w:cs="宋体"/>
                <w:sz w:val="24"/>
                <w:szCs w:val="24"/>
              </w:rPr>
              <w:t>合同文本</w:t>
            </w:r>
          </w:p>
        </w:tc>
        <w:tc>
          <w:tcPr>
            <w:tcW w:w="5730" w:type="dxa"/>
            <w:tcBorders>
              <w:top w:val="single" w:color="auto" w:sz="4" w:space="0"/>
              <w:left w:val="single" w:color="auto" w:sz="4" w:space="0"/>
              <w:bottom w:val="single" w:color="auto" w:sz="4" w:space="0"/>
              <w:right w:val="single" w:color="auto" w:sz="4" w:space="0"/>
            </w:tcBorders>
            <w:vAlign w:val="center"/>
          </w:tcPr>
          <w:p w14:paraId="2E220509">
            <w:pPr>
              <w:spacing w:line="288" w:lineRule="auto"/>
              <w:rPr>
                <w:rFonts w:hAnsi="宋体" w:cs="宋体"/>
                <w:sz w:val="24"/>
                <w:szCs w:val="24"/>
              </w:rPr>
            </w:pPr>
            <w:r>
              <w:rPr>
                <w:rFonts w:hint="eastAsia" w:hAnsi="宋体" w:cs="宋体"/>
                <w:sz w:val="24"/>
                <w:szCs w:val="24"/>
              </w:rPr>
              <w:t>完全理解并接受招标文件合同基本条款及格式的要求。</w:t>
            </w:r>
          </w:p>
        </w:tc>
      </w:tr>
      <w:tr w14:paraId="4F812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15" w:type="dxa"/>
            <w:tcBorders>
              <w:top w:val="single" w:color="auto" w:sz="4" w:space="0"/>
              <w:left w:val="single" w:color="auto" w:sz="4" w:space="0"/>
              <w:bottom w:val="single" w:color="auto" w:sz="4" w:space="0"/>
              <w:right w:val="single" w:color="auto" w:sz="4" w:space="0"/>
            </w:tcBorders>
            <w:vAlign w:val="center"/>
          </w:tcPr>
          <w:p w14:paraId="61895196">
            <w:pPr>
              <w:spacing w:line="288" w:lineRule="auto"/>
              <w:jc w:val="center"/>
              <w:rPr>
                <w:rFonts w:hint="eastAsia" w:hAnsi="宋体" w:eastAsia="宋体" w:cs="宋体"/>
                <w:sz w:val="24"/>
                <w:szCs w:val="24"/>
                <w:lang w:eastAsia="zh-CN"/>
              </w:rPr>
            </w:pPr>
            <w:r>
              <w:rPr>
                <w:rFonts w:hint="eastAsia" w:hAnsi="宋体" w:cs="宋体"/>
                <w:sz w:val="24"/>
                <w:szCs w:val="24"/>
                <w:lang w:val="en-US" w:eastAsia="zh-CN"/>
              </w:rPr>
              <w:t>9</w:t>
            </w:r>
          </w:p>
        </w:tc>
        <w:tc>
          <w:tcPr>
            <w:tcW w:w="3165" w:type="dxa"/>
            <w:tcBorders>
              <w:top w:val="single" w:color="auto" w:sz="4" w:space="0"/>
              <w:left w:val="single" w:color="auto" w:sz="4" w:space="0"/>
              <w:bottom w:val="single" w:color="auto" w:sz="4" w:space="0"/>
              <w:right w:val="single" w:color="auto" w:sz="4" w:space="0"/>
            </w:tcBorders>
            <w:vAlign w:val="center"/>
          </w:tcPr>
          <w:p w14:paraId="4CC90489">
            <w:pPr>
              <w:spacing w:line="288" w:lineRule="auto"/>
              <w:rPr>
                <w:rFonts w:hAnsi="宋体" w:cs="宋体"/>
                <w:sz w:val="24"/>
                <w:szCs w:val="24"/>
              </w:rPr>
            </w:pPr>
            <w:r>
              <w:rPr>
                <w:rFonts w:hint="eastAsia" w:hAnsi="宋体" w:cs="宋体"/>
                <w:sz w:val="24"/>
                <w:szCs w:val="24"/>
              </w:rPr>
              <w:t>其他</w:t>
            </w:r>
          </w:p>
        </w:tc>
        <w:tc>
          <w:tcPr>
            <w:tcW w:w="5730" w:type="dxa"/>
            <w:tcBorders>
              <w:top w:val="single" w:color="auto" w:sz="4" w:space="0"/>
              <w:left w:val="single" w:color="auto" w:sz="4" w:space="0"/>
              <w:bottom w:val="single" w:color="auto" w:sz="4" w:space="0"/>
              <w:right w:val="single" w:color="auto" w:sz="4" w:space="0"/>
            </w:tcBorders>
            <w:vAlign w:val="center"/>
          </w:tcPr>
          <w:p w14:paraId="771E8180">
            <w:pPr>
              <w:spacing w:line="288" w:lineRule="auto"/>
              <w:rPr>
                <w:rFonts w:hAnsi="宋体" w:cs="宋体"/>
                <w:sz w:val="24"/>
                <w:szCs w:val="24"/>
              </w:rPr>
            </w:pPr>
            <w:r>
              <w:rPr>
                <w:rFonts w:hint="eastAsia" w:hAnsi="宋体" w:cs="宋体"/>
                <w:sz w:val="24"/>
                <w:szCs w:val="24"/>
              </w:rPr>
              <w:t>完全理解并接受法律法规和招标文件对投标人的各项须知、规约要求和责任义务，没有出现法律法规或招标文件明确规定的其他被视为“无效投标”的情形。</w:t>
            </w:r>
          </w:p>
        </w:tc>
      </w:tr>
      <w:tr w14:paraId="6256E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5" w:type="dxa"/>
            <w:tcBorders>
              <w:top w:val="single" w:color="auto" w:sz="4" w:space="0"/>
              <w:left w:val="single" w:color="auto" w:sz="4" w:space="0"/>
              <w:bottom w:val="single" w:color="auto" w:sz="4" w:space="0"/>
              <w:right w:val="single" w:color="auto" w:sz="4" w:space="0"/>
            </w:tcBorders>
            <w:vAlign w:val="center"/>
          </w:tcPr>
          <w:p w14:paraId="577DF751">
            <w:pPr>
              <w:spacing w:line="288" w:lineRule="auto"/>
              <w:jc w:val="center"/>
              <w:rPr>
                <w:rFonts w:hint="default" w:hAnsi="宋体" w:eastAsia="宋体" w:cs="宋体"/>
                <w:sz w:val="24"/>
                <w:szCs w:val="24"/>
                <w:lang w:val="en-US" w:eastAsia="zh-CN"/>
              </w:rPr>
            </w:pPr>
            <w:r>
              <w:rPr>
                <w:rFonts w:hint="eastAsia" w:hAnsi="宋体" w:cs="宋体"/>
                <w:sz w:val="24"/>
                <w:szCs w:val="24"/>
                <w:lang w:val="en-US" w:eastAsia="zh-CN"/>
              </w:rPr>
              <w:t>10</w:t>
            </w:r>
          </w:p>
        </w:tc>
        <w:tc>
          <w:tcPr>
            <w:tcW w:w="3165" w:type="dxa"/>
            <w:tcBorders>
              <w:top w:val="single" w:color="auto" w:sz="4" w:space="0"/>
              <w:left w:val="single" w:color="auto" w:sz="4" w:space="0"/>
              <w:bottom w:val="single" w:color="auto" w:sz="4" w:space="0"/>
              <w:right w:val="single" w:color="auto" w:sz="4" w:space="0"/>
            </w:tcBorders>
            <w:vAlign w:val="center"/>
          </w:tcPr>
          <w:p w14:paraId="560CB69C">
            <w:pPr>
              <w:spacing w:line="288" w:lineRule="auto"/>
              <w:rPr>
                <w:rFonts w:hint="default" w:hAnsi="宋体" w:eastAsia="宋体" w:cs="宋体"/>
                <w:sz w:val="24"/>
                <w:szCs w:val="24"/>
                <w:lang w:val="en-US" w:eastAsia="zh-CN"/>
              </w:rPr>
            </w:pPr>
            <w:r>
              <w:rPr>
                <w:rFonts w:hint="eastAsia" w:hAnsi="宋体" w:cs="宋体"/>
                <w:sz w:val="24"/>
                <w:szCs w:val="24"/>
                <w:lang w:val="en-US" w:eastAsia="zh-CN"/>
              </w:rPr>
              <w:t>商务要求</w:t>
            </w:r>
          </w:p>
        </w:tc>
        <w:tc>
          <w:tcPr>
            <w:tcW w:w="5730" w:type="dxa"/>
            <w:tcBorders>
              <w:top w:val="single" w:color="auto" w:sz="4" w:space="0"/>
              <w:left w:val="single" w:color="auto" w:sz="4" w:space="0"/>
              <w:bottom w:val="single" w:color="auto" w:sz="4" w:space="0"/>
              <w:right w:val="single" w:color="auto" w:sz="4" w:space="0"/>
            </w:tcBorders>
            <w:vAlign w:val="center"/>
          </w:tcPr>
          <w:p w14:paraId="29256A07">
            <w:pPr>
              <w:spacing w:line="288" w:lineRule="auto"/>
              <w:rPr>
                <w:rFonts w:hint="default" w:hAnsi="宋体" w:eastAsia="宋体" w:cs="宋体"/>
                <w:sz w:val="24"/>
                <w:szCs w:val="24"/>
                <w:lang w:val="en-US" w:eastAsia="zh-CN"/>
              </w:rPr>
            </w:pPr>
            <w:r>
              <w:rPr>
                <w:rFonts w:hint="eastAsia" w:hAnsi="宋体" w:cs="宋体"/>
                <w:sz w:val="24"/>
                <w:szCs w:val="24"/>
                <w:lang w:val="en-US" w:eastAsia="zh-CN"/>
              </w:rPr>
              <w:t>商务要求逐条响应并满足招标文件要求</w:t>
            </w:r>
          </w:p>
        </w:tc>
      </w:tr>
    </w:tbl>
    <w:p w14:paraId="64EC99CC">
      <w:r>
        <w:br w:type="page"/>
      </w:r>
    </w:p>
    <w:p w14:paraId="4A16BDEE">
      <w:pPr>
        <w:spacing w:line="288" w:lineRule="auto"/>
        <w:outlineLvl w:val="1"/>
        <w:rPr>
          <w:b/>
          <w:bCs/>
          <w:sz w:val="21"/>
          <w:szCs w:val="21"/>
        </w:rPr>
      </w:pPr>
      <w:bookmarkStart w:id="159" w:name="_Toc3258"/>
      <w:r>
        <w:rPr>
          <w:rFonts w:hint="eastAsia"/>
          <w:b/>
          <w:bCs/>
          <w:sz w:val="28"/>
          <w:szCs w:val="28"/>
        </w:rPr>
        <w:t>二、综合比较与评价</w:t>
      </w:r>
      <w:bookmarkEnd w:id="159"/>
    </w:p>
    <w:p w14:paraId="646D6118">
      <w:pPr>
        <w:tabs>
          <w:tab w:val="left" w:pos="0"/>
        </w:tabs>
        <w:spacing w:after="163" w:afterLines="50"/>
        <w:jc w:val="center"/>
      </w:pPr>
      <w:bookmarkStart w:id="160" w:name="_Hlk49237229"/>
      <w:bookmarkStart w:id="161" w:name="_Toc11385"/>
      <w:r>
        <w:rPr>
          <w:rFonts w:hint="eastAsia"/>
          <w:b/>
          <w:bCs/>
          <w:sz w:val="28"/>
          <w:szCs w:val="28"/>
        </w:rPr>
        <w:t>评审要素及分值一览表</w:t>
      </w:r>
      <w:bookmarkEnd w:id="160"/>
      <w:bookmarkEnd w:id="161"/>
    </w:p>
    <w:tbl>
      <w:tblPr>
        <w:tblStyle w:val="21"/>
        <w:tblW w:w="9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1532"/>
        <w:gridCol w:w="7427"/>
      </w:tblGrid>
      <w:tr w14:paraId="6CB4B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43" w:type="dxa"/>
            <w:vAlign w:val="center"/>
          </w:tcPr>
          <w:p w14:paraId="2D7B8F69">
            <w:pPr>
              <w:spacing w:line="240" w:lineRule="auto"/>
              <w:jc w:val="center"/>
              <w:rPr>
                <w:rFonts w:hint="eastAsia" w:ascii="宋体" w:hAnsi="宋体" w:eastAsia="宋体" w:cs="宋体"/>
                <w:b/>
                <w:bCs w:val="0"/>
                <w:sz w:val="24"/>
                <w:szCs w:val="24"/>
              </w:rPr>
            </w:pPr>
            <w:r>
              <w:rPr>
                <w:rFonts w:hint="eastAsia" w:ascii="宋体" w:hAnsi="宋体" w:eastAsia="宋体" w:cs="宋体"/>
                <w:b/>
                <w:bCs w:val="0"/>
                <w:sz w:val="24"/>
                <w:szCs w:val="24"/>
              </w:rPr>
              <w:t>序号</w:t>
            </w:r>
          </w:p>
        </w:tc>
        <w:tc>
          <w:tcPr>
            <w:tcW w:w="1532" w:type="dxa"/>
            <w:vAlign w:val="center"/>
          </w:tcPr>
          <w:p w14:paraId="05C26E6A">
            <w:pPr>
              <w:spacing w:line="240" w:lineRule="auto"/>
              <w:jc w:val="center"/>
              <w:rPr>
                <w:rFonts w:hint="eastAsia" w:ascii="宋体" w:hAnsi="宋体" w:eastAsia="宋体" w:cs="宋体"/>
                <w:b/>
                <w:bCs w:val="0"/>
                <w:sz w:val="24"/>
                <w:szCs w:val="24"/>
              </w:rPr>
            </w:pPr>
            <w:r>
              <w:rPr>
                <w:rFonts w:hint="eastAsia" w:ascii="宋体" w:hAnsi="宋体" w:eastAsia="宋体" w:cs="宋体"/>
                <w:b/>
                <w:bCs w:val="0"/>
                <w:sz w:val="24"/>
                <w:szCs w:val="24"/>
              </w:rPr>
              <w:t>评审要素</w:t>
            </w:r>
          </w:p>
        </w:tc>
        <w:tc>
          <w:tcPr>
            <w:tcW w:w="7427" w:type="dxa"/>
            <w:vAlign w:val="center"/>
          </w:tcPr>
          <w:p w14:paraId="037FD800">
            <w:pPr>
              <w:spacing w:line="240" w:lineRule="auto"/>
              <w:jc w:val="center"/>
              <w:rPr>
                <w:rFonts w:hint="eastAsia" w:ascii="宋体" w:hAnsi="宋体" w:eastAsia="宋体" w:cs="宋体"/>
                <w:b/>
                <w:bCs w:val="0"/>
                <w:sz w:val="24"/>
                <w:szCs w:val="24"/>
              </w:rPr>
            </w:pPr>
            <w:r>
              <w:rPr>
                <w:rFonts w:hint="eastAsia" w:ascii="宋体" w:hAnsi="宋体" w:eastAsia="宋体" w:cs="宋体"/>
                <w:b/>
                <w:bCs w:val="0"/>
                <w:sz w:val="24"/>
                <w:szCs w:val="24"/>
              </w:rPr>
              <w:t>评审因素</w:t>
            </w:r>
            <w:r>
              <w:rPr>
                <w:rFonts w:hint="eastAsia" w:ascii="宋体" w:hAnsi="宋体" w:cs="宋体"/>
                <w:b/>
                <w:bCs w:val="0"/>
                <w:sz w:val="24"/>
                <w:szCs w:val="24"/>
                <w:lang w:val="en-US" w:eastAsia="zh-CN"/>
              </w:rPr>
              <w:t>/</w:t>
            </w:r>
            <w:r>
              <w:rPr>
                <w:rFonts w:hint="eastAsia" w:ascii="宋体" w:hAnsi="宋体" w:eastAsia="宋体" w:cs="宋体"/>
                <w:b/>
                <w:bCs w:val="0"/>
                <w:sz w:val="24"/>
                <w:szCs w:val="24"/>
              </w:rPr>
              <w:t>评审标准</w:t>
            </w:r>
          </w:p>
        </w:tc>
      </w:tr>
      <w:tr w14:paraId="6B8A6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3" w:type="dxa"/>
            <w:vAlign w:val="center"/>
          </w:tcPr>
          <w:p w14:paraId="4C71D227">
            <w:pPr>
              <w:spacing w:line="240" w:lineRule="auto"/>
              <w:jc w:val="center"/>
              <w:rPr>
                <w:rFonts w:hint="eastAsia" w:ascii="宋体" w:hAnsi="宋体" w:eastAsia="宋体" w:cs="宋体"/>
                <w:b w:val="0"/>
                <w:bCs/>
                <w:sz w:val="24"/>
                <w:szCs w:val="24"/>
              </w:rPr>
            </w:pPr>
            <w:r>
              <w:rPr>
                <w:rFonts w:hint="eastAsia" w:ascii="宋体" w:hAnsi="宋体" w:cs="宋体"/>
                <w:b w:val="0"/>
                <w:bCs/>
                <w:sz w:val="24"/>
                <w:szCs w:val="24"/>
                <w:lang w:val="en-US" w:eastAsia="zh-CN"/>
              </w:rPr>
              <w:t>1</w:t>
            </w:r>
          </w:p>
        </w:tc>
        <w:tc>
          <w:tcPr>
            <w:tcW w:w="1532" w:type="dxa"/>
            <w:vAlign w:val="center"/>
          </w:tcPr>
          <w:p w14:paraId="04B5EDC6">
            <w:pPr>
              <w:spacing w:line="240" w:lineRule="auto"/>
              <w:jc w:val="center"/>
              <w:rPr>
                <w:rFonts w:hint="eastAsia" w:ascii="宋体" w:hAnsi="宋体" w:eastAsia="宋体" w:cs="宋体"/>
                <w:b w:val="0"/>
                <w:bCs/>
                <w:sz w:val="24"/>
                <w:szCs w:val="24"/>
              </w:rPr>
            </w:pPr>
            <w:r>
              <w:rPr>
                <w:rFonts w:hint="eastAsia" w:ascii="宋体" w:hAnsi="宋体" w:eastAsia="宋体" w:cs="宋体"/>
                <w:b/>
                <w:bCs w:val="0"/>
                <w:sz w:val="24"/>
                <w:szCs w:val="24"/>
                <w:lang w:val="en-US" w:eastAsia="zh-CN"/>
              </w:rPr>
              <w:t>报价得分</w:t>
            </w:r>
            <w:r>
              <w:rPr>
                <w:rFonts w:hint="eastAsia" w:ascii="宋体" w:hAnsi="宋体" w:eastAsia="宋体" w:cs="宋体"/>
                <w:b/>
                <w:bCs w:val="0"/>
                <w:sz w:val="24"/>
                <w:szCs w:val="24"/>
              </w:rPr>
              <w:t>（</w:t>
            </w:r>
            <w:r>
              <w:rPr>
                <w:rFonts w:hint="eastAsia" w:ascii="宋体" w:hAnsi="宋体" w:cs="宋体"/>
                <w:b/>
                <w:bCs w:val="0"/>
                <w:sz w:val="24"/>
                <w:szCs w:val="24"/>
                <w:lang w:val="en-US" w:eastAsia="zh-CN"/>
              </w:rPr>
              <w:t>2</w:t>
            </w:r>
            <w:r>
              <w:rPr>
                <w:rFonts w:hint="eastAsia" w:ascii="宋体" w:hAnsi="宋体" w:eastAsia="宋体" w:cs="宋体"/>
                <w:b/>
                <w:bCs w:val="0"/>
                <w:sz w:val="24"/>
                <w:szCs w:val="24"/>
              </w:rPr>
              <w:t>0分）</w:t>
            </w:r>
          </w:p>
        </w:tc>
        <w:tc>
          <w:tcPr>
            <w:tcW w:w="7427" w:type="dxa"/>
            <w:vAlign w:val="center"/>
          </w:tcPr>
          <w:p w14:paraId="376F421A">
            <w:pPr>
              <w:spacing w:line="240" w:lineRule="auto"/>
              <w:rPr>
                <w:rFonts w:hint="eastAsia" w:ascii="宋体" w:hAnsi="宋体" w:eastAsia="宋体" w:cs="宋体"/>
                <w:b w:val="0"/>
                <w:bCs/>
                <w:sz w:val="24"/>
                <w:szCs w:val="24"/>
                <w:lang w:eastAsia="zh-CN"/>
              </w:rPr>
            </w:pPr>
            <w:r>
              <w:rPr>
                <w:rFonts w:hint="eastAsia" w:ascii="宋体" w:hAnsi="宋体" w:eastAsia="宋体" w:cs="宋体"/>
                <w:b w:val="0"/>
                <w:bCs/>
                <w:sz w:val="24"/>
                <w:szCs w:val="24"/>
              </w:rPr>
              <w:t>1.经初审合格的</w:t>
            </w:r>
            <w:r>
              <w:rPr>
                <w:rFonts w:hint="eastAsia" w:ascii="宋体" w:hAnsi="宋体" w:eastAsia="宋体" w:cs="宋体"/>
                <w:b w:val="0"/>
                <w:bCs/>
                <w:sz w:val="24"/>
                <w:szCs w:val="24"/>
                <w:lang w:eastAsia="zh-CN"/>
              </w:rPr>
              <w:t>投标文件</w:t>
            </w:r>
            <w:r>
              <w:rPr>
                <w:rFonts w:hint="eastAsia" w:ascii="宋体" w:hAnsi="宋体" w:eastAsia="宋体" w:cs="宋体"/>
                <w:b w:val="0"/>
                <w:bCs/>
                <w:sz w:val="24"/>
                <w:szCs w:val="24"/>
              </w:rPr>
              <w:t>，其</w:t>
            </w:r>
            <w:r>
              <w:rPr>
                <w:rFonts w:hint="eastAsia" w:ascii="宋体" w:hAnsi="宋体" w:eastAsia="宋体" w:cs="宋体"/>
                <w:b w:val="0"/>
                <w:bCs/>
                <w:sz w:val="24"/>
                <w:szCs w:val="24"/>
                <w:lang w:eastAsia="zh-CN"/>
              </w:rPr>
              <w:t>投标报价</w:t>
            </w:r>
            <w:r>
              <w:rPr>
                <w:rFonts w:hint="eastAsia" w:ascii="宋体" w:hAnsi="宋体" w:eastAsia="宋体" w:cs="宋体"/>
                <w:b w:val="0"/>
                <w:bCs/>
                <w:sz w:val="24"/>
                <w:szCs w:val="24"/>
              </w:rPr>
              <w:t>为有效</w:t>
            </w:r>
            <w:r>
              <w:rPr>
                <w:rFonts w:hint="eastAsia" w:ascii="宋体" w:hAnsi="宋体" w:eastAsia="宋体" w:cs="宋体"/>
                <w:b w:val="0"/>
                <w:bCs/>
                <w:sz w:val="24"/>
                <w:szCs w:val="24"/>
                <w:lang w:eastAsia="zh-CN"/>
              </w:rPr>
              <w:t>投标报价</w:t>
            </w:r>
            <w:r>
              <w:rPr>
                <w:rFonts w:hint="eastAsia" w:ascii="宋体" w:hAnsi="宋体" w:eastAsia="宋体" w:cs="宋体"/>
                <w:b w:val="0"/>
                <w:bCs/>
                <w:sz w:val="24"/>
                <w:szCs w:val="24"/>
              </w:rPr>
              <w:t>，对符合政策性扣减的供应商的有效</w:t>
            </w:r>
            <w:r>
              <w:rPr>
                <w:rFonts w:hint="eastAsia" w:ascii="宋体" w:hAnsi="宋体" w:eastAsia="宋体" w:cs="宋体"/>
                <w:b w:val="0"/>
                <w:bCs/>
                <w:sz w:val="24"/>
                <w:szCs w:val="24"/>
                <w:lang w:val="en-US" w:eastAsia="zh-CN"/>
              </w:rPr>
              <w:t>投标报价</w:t>
            </w:r>
            <w:r>
              <w:rPr>
                <w:rFonts w:hint="eastAsia" w:ascii="宋体" w:hAnsi="宋体" w:eastAsia="宋体" w:cs="宋体"/>
                <w:b w:val="0"/>
                <w:bCs/>
                <w:sz w:val="24"/>
                <w:szCs w:val="24"/>
              </w:rPr>
              <w:t>进行政策性扣减，并依据扣减后的价格（评审价格）进行价格评审。</w:t>
            </w:r>
            <w:r>
              <w:rPr>
                <w:rFonts w:hint="eastAsia" w:ascii="宋体" w:hAnsi="宋体" w:cs="宋体"/>
                <w:b w:val="0"/>
                <w:bCs/>
                <w:sz w:val="24"/>
                <w:szCs w:val="24"/>
                <w:lang w:eastAsia="zh-CN"/>
              </w:rPr>
              <w:t>（</w:t>
            </w:r>
            <w:r>
              <w:rPr>
                <w:rFonts w:hint="eastAsia" w:ascii="宋体" w:hAnsi="宋体" w:cs="宋体"/>
                <w:b w:val="0"/>
                <w:bCs/>
                <w:sz w:val="24"/>
                <w:szCs w:val="24"/>
                <w:lang w:val="en-US" w:eastAsia="zh-CN"/>
              </w:rPr>
              <w:t>具体</w:t>
            </w:r>
            <w:r>
              <w:rPr>
                <w:rFonts w:hint="eastAsia" w:ascii="宋体" w:hAnsi="宋体" w:eastAsia="宋体" w:cs="宋体"/>
                <w:b w:val="0"/>
                <w:bCs/>
                <w:sz w:val="24"/>
                <w:szCs w:val="24"/>
              </w:rPr>
              <w:t>政策性扣减</w:t>
            </w:r>
            <w:r>
              <w:rPr>
                <w:rFonts w:hint="eastAsia" w:ascii="宋体" w:hAnsi="宋体" w:cs="宋体"/>
                <w:b w:val="0"/>
                <w:bCs/>
                <w:sz w:val="24"/>
                <w:szCs w:val="24"/>
                <w:lang w:val="en-US" w:eastAsia="zh-CN"/>
              </w:rPr>
              <w:t>详见</w:t>
            </w:r>
            <w:r>
              <w:rPr>
                <w:rFonts w:hint="eastAsia" w:ascii="宋体" w:hAnsi="宋体" w:cs="宋体"/>
                <w:b w:val="0"/>
                <w:bCs/>
                <w:sz w:val="24"/>
                <w:szCs w:val="24"/>
                <w:lang w:eastAsia="zh-CN"/>
              </w:rPr>
              <w:t>供应商须知前附表）</w:t>
            </w:r>
          </w:p>
          <w:p w14:paraId="316EF92E">
            <w:pPr>
              <w:spacing w:line="288" w:lineRule="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采用低价优先法计算，</w:t>
            </w:r>
            <w:r>
              <w:rPr>
                <w:rFonts w:hint="eastAsia" w:ascii="宋体" w:hAnsi="宋体" w:eastAsia="宋体" w:cs="宋体"/>
                <w:sz w:val="24"/>
                <w:szCs w:val="24"/>
              </w:rPr>
              <w:t>满足招标文件要求且投标价格最低的投标报价为评标基准价，其价格分为满分</w:t>
            </w:r>
            <w:r>
              <w:rPr>
                <w:rFonts w:hint="eastAsia" w:ascii="宋体" w:hAnsi="宋体" w:eastAsia="宋体" w:cs="宋体"/>
                <w:sz w:val="24"/>
                <w:szCs w:val="24"/>
                <w:lang w:eastAsia="zh-CN"/>
              </w:rPr>
              <w:t>（</w:t>
            </w:r>
            <w:r>
              <w:rPr>
                <w:rFonts w:hint="eastAsia" w:ascii="宋体" w:hAnsi="宋体" w:eastAsia="宋体" w:cs="宋体"/>
                <w:sz w:val="24"/>
                <w:szCs w:val="24"/>
              </w:rPr>
              <w:t>除低于成本价的投标报价被拒绝外</w:t>
            </w:r>
            <w:r>
              <w:rPr>
                <w:rFonts w:hint="eastAsia" w:ascii="宋体" w:hAnsi="宋体" w:eastAsia="宋体" w:cs="宋体"/>
                <w:sz w:val="24"/>
                <w:szCs w:val="24"/>
                <w:lang w:eastAsia="zh-CN"/>
              </w:rPr>
              <w:t>）</w:t>
            </w:r>
            <w:r>
              <w:rPr>
                <w:rFonts w:hint="eastAsia" w:ascii="宋体" w:hAnsi="宋体" w:eastAsia="宋体" w:cs="宋体"/>
                <w:sz w:val="24"/>
                <w:szCs w:val="24"/>
              </w:rPr>
              <w:t>。其他投标人的价格分统一按照下列公式计算：投标报价得分=（评标基准价/投标报价）×</w:t>
            </w:r>
            <w:r>
              <w:rPr>
                <w:rFonts w:hint="eastAsia" w:hAnsi="宋体" w:cs="宋体"/>
                <w:sz w:val="24"/>
                <w:szCs w:val="24"/>
                <w:lang w:val="en-US" w:eastAsia="zh-CN"/>
              </w:rPr>
              <w:t>2</w:t>
            </w:r>
            <w:r>
              <w:rPr>
                <w:rFonts w:hint="eastAsia" w:ascii="宋体" w:hAnsi="宋体" w:eastAsia="宋体" w:cs="宋体"/>
                <w:sz w:val="24"/>
                <w:szCs w:val="24"/>
                <w:lang w:val="en-US" w:eastAsia="zh-CN"/>
              </w:rPr>
              <w:t>0</w:t>
            </w:r>
          </w:p>
          <w:p w14:paraId="7EF69F7D">
            <w:pPr>
              <w:spacing w:line="240" w:lineRule="auto"/>
              <w:rPr>
                <w:rFonts w:hint="eastAsia" w:ascii="宋体" w:hAnsi="宋体" w:eastAsia="宋体" w:cs="宋体"/>
                <w:b w:val="0"/>
                <w:bCs/>
                <w:sz w:val="24"/>
                <w:szCs w:val="24"/>
              </w:rPr>
            </w:pPr>
            <w:r>
              <w:rPr>
                <w:rFonts w:hint="eastAsia" w:ascii="宋体" w:hAnsi="宋体" w:eastAsia="宋体" w:cs="宋体"/>
                <w:b/>
                <w:bCs/>
                <w:color w:val="000000"/>
                <w:kern w:val="0"/>
                <w:sz w:val="24"/>
                <w:szCs w:val="24"/>
                <w:lang w:val="en-US" w:eastAsia="zh-CN" w:bidi="ar"/>
              </w:rPr>
              <w:t>备注：</w:t>
            </w:r>
            <w:r>
              <w:rPr>
                <w:rFonts w:hint="eastAsia" w:ascii="宋体" w:hAnsi="宋体" w:eastAsia="宋体" w:cs="宋体"/>
                <w:color w:val="000000"/>
                <w:kern w:val="0"/>
                <w:sz w:val="24"/>
                <w:szCs w:val="24"/>
                <w:lang w:val="en-US" w:eastAsia="zh-CN" w:bidi="ar"/>
              </w:rPr>
              <w:t>计算分数时四舍五入取小数点后两位。评标委员会认为供应商的报价明显低于其他通过符合性审查供应商的报价，有可能影响产品</w:t>
            </w:r>
            <w:r>
              <w:rPr>
                <w:rFonts w:hint="eastAsia" w:hAnsi="宋体" w:cs="宋体"/>
                <w:color w:val="000000"/>
                <w:kern w:val="0"/>
                <w:sz w:val="24"/>
                <w:szCs w:val="24"/>
                <w:lang w:val="en-US" w:eastAsia="zh-CN" w:bidi="ar"/>
              </w:rPr>
              <w:t>计服务</w:t>
            </w:r>
            <w:r>
              <w:rPr>
                <w:rFonts w:hint="eastAsia" w:ascii="宋体" w:hAnsi="宋体" w:eastAsia="宋体" w:cs="宋体"/>
                <w:color w:val="000000"/>
                <w:kern w:val="0"/>
                <w:sz w:val="24"/>
                <w:szCs w:val="24"/>
                <w:lang w:val="en-US" w:eastAsia="zh-CN" w:bidi="ar"/>
              </w:rPr>
              <w:t>质量或者不能诚信履约的，应当要求其在评标现场合理的时间内提供书面说明，必要时递交相关证明材料；供应商不能证明其报价合理性的，评标委员会应当将其作为无效投标处理。</w:t>
            </w:r>
          </w:p>
        </w:tc>
      </w:tr>
      <w:tr w14:paraId="39ADF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743" w:type="dxa"/>
            <w:vMerge w:val="restart"/>
            <w:vAlign w:val="center"/>
          </w:tcPr>
          <w:p w14:paraId="37C53B4B">
            <w:pPr>
              <w:spacing w:line="240" w:lineRule="auto"/>
              <w:jc w:val="center"/>
              <w:rPr>
                <w:rFonts w:hint="eastAsia" w:ascii="宋体" w:hAnsi="宋体" w:eastAsia="宋体" w:cs="宋体"/>
                <w:b w:val="0"/>
                <w:bCs/>
                <w:sz w:val="24"/>
                <w:szCs w:val="24"/>
                <w:lang w:eastAsia="zh-CN"/>
              </w:rPr>
            </w:pPr>
            <w:r>
              <w:rPr>
                <w:rFonts w:hint="eastAsia" w:ascii="宋体" w:hAnsi="宋体" w:cs="宋体"/>
                <w:b w:val="0"/>
                <w:bCs/>
                <w:sz w:val="24"/>
                <w:szCs w:val="24"/>
                <w:lang w:val="en-US" w:eastAsia="zh-CN"/>
              </w:rPr>
              <w:t>2</w:t>
            </w:r>
          </w:p>
        </w:tc>
        <w:tc>
          <w:tcPr>
            <w:tcW w:w="1532" w:type="dxa"/>
            <w:vMerge w:val="restart"/>
            <w:vAlign w:val="center"/>
          </w:tcPr>
          <w:p w14:paraId="0AD7F444">
            <w:pPr>
              <w:spacing w:line="240" w:lineRule="auto"/>
              <w:jc w:val="center"/>
              <w:rPr>
                <w:rFonts w:hint="eastAsia" w:ascii="宋体" w:hAnsi="宋体" w:eastAsia="宋体" w:cs="宋体"/>
                <w:b w:val="0"/>
                <w:bCs/>
                <w:sz w:val="24"/>
                <w:szCs w:val="24"/>
              </w:rPr>
            </w:pPr>
          </w:p>
          <w:p w14:paraId="57C24A98">
            <w:pPr>
              <w:spacing w:line="240" w:lineRule="auto"/>
              <w:jc w:val="center"/>
              <w:rPr>
                <w:rFonts w:hint="eastAsia" w:ascii="宋体" w:hAnsi="宋体" w:eastAsia="宋体" w:cs="宋体"/>
                <w:b w:val="0"/>
                <w:bCs/>
                <w:sz w:val="24"/>
                <w:szCs w:val="24"/>
              </w:rPr>
            </w:pPr>
          </w:p>
          <w:p w14:paraId="2967A431">
            <w:pPr>
              <w:pStyle w:val="3"/>
              <w:spacing w:line="240" w:lineRule="auto"/>
              <w:rPr>
                <w:rFonts w:hint="eastAsia"/>
                <w:b w:val="0"/>
                <w:bCs/>
              </w:rPr>
            </w:pPr>
          </w:p>
          <w:p w14:paraId="509FD3B6">
            <w:pPr>
              <w:spacing w:line="240" w:lineRule="auto"/>
              <w:jc w:val="center"/>
              <w:rPr>
                <w:rFonts w:hint="eastAsia" w:ascii="宋体" w:hAnsi="宋体" w:eastAsia="宋体" w:cs="宋体"/>
                <w:b w:val="0"/>
                <w:bCs/>
                <w:sz w:val="24"/>
                <w:szCs w:val="24"/>
              </w:rPr>
            </w:pPr>
          </w:p>
          <w:p w14:paraId="33B63B71">
            <w:pPr>
              <w:spacing w:line="240" w:lineRule="auto"/>
              <w:jc w:val="center"/>
              <w:rPr>
                <w:rFonts w:hint="eastAsia" w:ascii="宋体" w:hAnsi="宋体" w:eastAsia="宋体" w:cs="宋体"/>
                <w:b w:val="0"/>
                <w:bCs/>
                <w:sz w:val="24"/>
                <w:szCs w:val="24"/>
              </w:rPr>
            </w:pPr>
          </w:p>
          <w:p w14:paraId="738C18C5">
            <w:pPr>
              <w:spacing w:line="240" w:lineRule="auto"/>
              <w:jc w:val="center"/>
              <w:rPr>
                <w:rFonts w:hint="eastAsia" w:ascii="宋体" w:hAnsi="宋体" w:eastAsia="宋体" w:cs="宋体"/>
                <w:b w:val="0"/>
                <w:bCs/>
                <w:sz w:val="24"/>
                <w:szCs w:val="24"/>
              </w:rPr>
            </w:pPr>
          </w:p>
          <w:p w14:paraId="5B05E9BD">
            <w:pPr>
              <w:spacing w:line="240" w:lineRule="auto"/>
              <w:jc w:val="center"/>
              <w:rPr>
                <w:rFonts w:hint="eastAsia" w:ascii="宋体" w:hAnsi="宋体" w:eastAsia="宋体" w:cs="宋体"/>
                <w:b w:val="0"/>
                <w:bCs/>
                <w:sz w:val="24"/>
                <w:szCs w:val="24"/>
              </w:rPr>
            </w:pPr>
            <w:r>
              <w:rPr>
                <w:rFonts w:hint="eastAsia" w:ascii="宋体" w:hAnsi="宋体" w:cs="宋体"/>
                <w:b/>
                <w:bCs w:val="0"/>
                <w:sz w:val="24"/>
                <w:szCs w:val="24"/>
                <w:lang w:val="en-US" w:eastAsia="zh-CN"/>
              </w:rPr>
              <w:t>服务方案</w:t>
            </w:r>
            <w:r>
              <w:rPr>
                <w:rFonts w:hint="eastAsia" w:ascii="宋体" w:hAnsi="宋体" w:eastAsia="宋体" w:cs="宋体"/>
                <w:b/>
                <w:bCs w:val="0"/>
                <w:sz w:val="24"/>
                <w:szCs w:val="24"/>
              </w:rPr>
              <w:t>（</w:t>
            </w:r>
            <w:r>
              <w:rPr>
                <w:rFonts w:hint="eastAsia" w:ascii="宋体" w:hAnsi="宋体" w:cs="宋体"/>
                <w:b/>
                <w:bCs w:val="0"/>
                <w:sz w:val="24"/>
                <w:szCs w:val="24"/>
                <w:lang w:val="en-US" w:eastAsia="zh-CN"/>
              </w:rPr>
              <w:t>70</w:t>
            </w:r>
            <w:r>
              <w:rPr>
                <w:rFonts w:hint="eastAsia" w:ascii="宋体" w:hAnsi="宋体" w:eastAsia="宋体" w:cs="宋体"/>
                <w:b/>
                <w:bCs w:val="0"/>
                <w:sz w:val="24"/>
                <w:szCs w:val="24"/>
              </w:rPr>
              <w:t>分）</w:t>
            </w:r>
          </w:p>
          <w:p w14:paraId="6A395EAC">
            <w:pPr>
              <w:spacing w:line="240" w:lineRule="auto"/>
              <w:jc w:val="center"/>
              <w:rPr>
                <w:rFonts w:hint="eastAsia" w:ascii="宋体" w:hAnsi="宋体" w:eastAsia="宋体" w:cs="宋体"/>
                <w:b w:val="0"/>
                <w:bCs/>
                <w:sz w:val="24"/>
                <w:szCs w:val="24"/>
              </w:rPr>
            </w:pPr>
            <w:r>
              <w:rPr>
                <w:rFonts w:hint="eastAsia" w:ascii="宋体" w:hAnsi="宋体" w:eastAsia="宋体" w:cs="宋体"/>
                <w:b w:val="0"/>
                <w:bCs/>
                <w:sz w:val="24"/>
                <w:szCs w:val="24"/>
              </w:rPr>
              <w:t>（有缺项或严重错误的，该项不得分）</w:t>
            </w:r>
          </w:p>
        </w:tc>
        <w:tc>
          <w:tcPr>
            <w:tcW w:w="7427" w:type="dxa"/>
            <w:vAlign w:val="center"/>
          </w:tcPr>
          <w:p w14:paraId="0C7B71BB">
            <w:pPr>
              <w:spacing w:line="240" w:lineRule="auto"/>
              <w:jc w:val="both"/>
              <w:rPr>
                <w:rFonts w:hint="eastAsia" w:ascii="宋体" w:hAnsi="宋体" w:eastAsia="宋体" w:cs="宋体"/>
                <w:b/>
                <w:bCs w:val="0"/>
                <w:sz w:val="24"/>
                <w:szCs w:val="24"/>
              </w:rPr>
            </w:pPr>
            <w:r>
              <w:rPr>
                <w:rFonts w:hint="eastAsia" w:ascii="宋体" w:hAnsi="宋体" w:eastAsia="宋体" w:cs="宋体"/>
                <w:b/>
                <w:bCs w:val="0"/>
                <w:sz w:val="24"/>
                <w:szCs w:val="24"/>
              </w:rPr>
              <w:t>主要</w:t>
            </w:r>
            <w:r>
              <w:rPr>
                <w:rFonts w:hint="eastAsia" w:ascii="宋体" w:hAnsi="宋体" w:cs="宋体"/>
                <w:b/>
                <w:bCs w:val="0"/>
                <w:sz w:val="24"/>
                <w:szCs w:val="24"/>
                <w:lang w:val="en-US" w:eastAsia="zh-CN"/>
              </w:rPr>
              <w:t>服务</w:t>
            </w:r>
            <w:r>
              <w:rPr>
                <w:rFonts w:hint="eastAsia" w:ascii="宋体" w:hAnsi="宋体" w:eastAsia="宋体" w:cs="宋体"/>
                <w:b/>
                <w:bCs w:val="0"/>
                <w:sz w:val="24"/>
                <w:szCs w:val="24"/>
              </w:rPr>
              <w:t>方案与</w:t>
            </w:r>
            <w:r>
              <w:rPr>
                <w:rFonts w:hint="eastAsia" w:ascii="宋体" w:hAnsi="宋体" w:cs="宋体"/>
                <w:b/>
                <w:bCs w:val="0"/>
                <w:sz w:val="24"/>
                <w:szCs w:val="24"/>
                <w:lang w:val="en-US" w:eastAsia="zh-CN"/>
              </w:rPr>
              <w:t>服务水平</w:t>
            </w:r>
            <w:r>
              <w:rPr>
                <w:rFonts w:hint="eastAsia" w:ascii="宋体" w:hAnsi="宋体" w:eastAsia="宋体" w:cs="宋体"/>
                <w:b/>
                <w:bCs w:val="0"/>
                <w:sz w:val="24"/>
                <w:szCs w:val="24"/>
                <w:highlight w:val="none"/>
                <w:lang w:val="en-US" w:eastAsia="zh-CN"/>
              </w:rPr>
              <w:t>(总</w:t>
            </w:r>
            <w:r>
              <w:rPr>
                <w:rFonts w:hint="eastAsia" w:ascii="宋体" w:hAnsi="宋体" w:cs="宋体"/>
                <w:b/>
                <w:bCs w:val="0"/>
                <w:sz w:val="24"/>
                <w:szCs w:val="24"/>
                <w:highlight w:val="none"/>
                <w:lang w:val="en-US" w:eastAsia="zh-CN"/>
              </w:rPr>
              <w:t>20</w:t>
            </w:r>
            <w:r>
              <w:rPr>
                <w:rFonts w:hint="eastAsia" w:ascii="宋体" w:hAnsi="宋体" w:eastAsia="宋体" w:cs="宋体"/>
                <w:b/>
                <w:bCs w:val="0"/>
                <w:sz w:val="24"/>
                <w:szCs w:val="24"/>
                <w:highlight w:val="none"/>
                <w:lang w:val="en-US" w:eastAsia="zh-CN"/>
              </w:rPr>
              <w:t>分)</w:t>
            </w:r>
          </w:p>
          <w:p w14:paraId="2FC3CB68">
            <w:pPr>
              <w:spacing w:line="240" w:lineRule="auto"/>
              <w:rPr>
                <w:rFonts w:hint="eastAsia" w:ascii="宋体" w:hAnsi="宋体" w:eastAsia="宋体" w:cs="宋体"/>
              </w:rPr>
            </w:pPr>
            <w:r>
              <w:rPr>
                <w:rFonts w:hint="eastAsia" w:hAnsi="宋体" w:cs="宋体"/>
                <w:lang w:val="en-US" w:eastAsia="zh-CN"/>
              </w:rPr>
              <w:t>1.</w:t>
            </w:r>
            <w:r>
              <w:rPr>
                <w:rFonts w:hint="eastAsia" w:ascii="宋体" w:hAnsi="宋体" w:eastAsia="宋体" w:cs="宋体"/>
              </w:rPr>
              <w:t>对项目需求理解全面，根据采购人的实际需求和项目具体内容并结合自身情况提供切实可行的服务方案。根据服务工作流程、服务进度控制措施等方面提供完整、可行的服务计划、措施、人员及服务承诺，</w:t>
            </w:r>
            <w:r>
              <w:rPr>
                <w:rFonts w:hint="eastAsia" w:hAnsi="宋体" w:cs="宋体"/>
                <w:lang w:val="en-US" w:eastAsia="zh-CN"/>
              </w:rPr>
              <w:t>得1-10分</w:t>
            </w:r>
            <w:r>
              <w:rPr>
                <w:rFonts w:hint="eastAsia" w:ascii="宋体" w:hAnsi="宋体" w:cs="宋体"/>
                <w:lang w:val="en-US" w:eastAsia="zh-CN"/>
              </w:rPr>
              <w:t>，</w:t>
            </w:r>
            <w:r>
              <w:rPr>
                <w:rFonts w:hint="eastAsia" w:ascii="宋体" w:hAnsi="宋体" w:eastAsia="宋体" w:cs="宋体"/>
              </w:rPr>
              <w:t>未提供的</w:t>
            </w:r>
            <w:r>
              <w:rPr>
                <w:rFonts w:hint="eastAsia" w:ascii="宋体" w:hAnsi="宋体" w:eastAsia="宋体" w:cs="宋体"/>
                <w:lang w:val="en-US" w:eastAsia="zh-CN"/>
              </w:rPr>
              <w:t>该项</w:t>
            </w:r>
            <w:r>
              <w:rPr>
                <w:rFonts w:hint="eastAsia" w:ascii="宋体" w:hAnsi="宋体" w:eastAsia="宋体" w:cs="宋体"/>
              </w:rPr>
              <w:t>不计分；</w:t>
            </w:r>
          </w:p>
          <w:p w14:paraId="51493AA8">
            <w:pPr>
              <w:spacing w:line="240" w:lineRule="auto"/>
              <w:rPr>
                <w:rFonts w:hint="default" w:ascii="宋体" w:hAnsi="宋体" w:eastAsia="宋体" w:cs="宋体"/>
                <w:lang w:val="en-US" w:eastAsia="zh-CN"/>
              </w:rPr>
            </w:pPr>
            <w:r>
              <w:rPr>
                <w:rFonts w:hint="eastAsia" w:hAnsi="宋体" w:cs="宋体"/>
                <w:lang w:val="en-US" w:eastAsia="zh-CN"/>
              </w:rPr>
              <w:t>2.</w:t>
            </w:r>
            <w:r>
              <w:rPr>
                <w:rFonts w:hint="eastAsia" w:ascii="宋体" w:hAnsi="宋体" w:eastAsia="宋体" w:cs="宋体"/>
              </w:rPr>
              <w:t>依据</w:t>
            </w:r>
            <w:r>
              <w:rPr>
                <w:rFonts w:hint="eastAsia" w:ascii="宋体" w:hAnsi="宋体" w:eastAsia="宋体" w:cs="宋体"/>
                <w:lang w:val="en-US" w:eastAsia="zh-CN"/>
              </w:rPr>
              <w:t>项目</w:t>
            </w:r>
            <w:r>
              <w:rPr>
                <w:rFonts w:hint="eastAsia" w:ascii="宋体" w:hAnsi="宋体" w:eastAsia="宋体" w:cs="宋体"/>
              </w:rPr>
              <w:t>总体</w:t>
            </w:r>
            <w:r>
              <w:rPr>
                <w:rFonts w:hint="eastAsia" w:ascii="宋体" w:hAnsi="宋体" w:eastAsia="宋体" w:cs="宋体"/>
                <w:lang w:val="en-US" w:eastAsia="zh-CN"/>
              </w:rPr>
              <w:t>实施计划</w:t>
            </w:r>
            <w:r>
              <w:rPr>
                <w:rFonts w:hint="eastAsia" w:ascii="宋体" w:hAnsi="宋体" w:eastAsia="宋体" w:cs="宋体"/>
              </w:rPr>
              <w:t>及技术内容，提供合理安全的实施方案，</w:t>
            </w:r>
            <w:r>
              <w:rPr>
                <w:rFonts w:hint="eastAsia" w:hAnsi="宋体" w:cs="宋体"/>
                <w:lang w:eastAsia="zh-CN"/>
              </w:rPr>
              <w:t>评审小组</w:t>
            </w:r>
            <w:r>
              <w:rPr>
                <w:rFonts w:hint="eastAsia" w:ascii="宋体" w:hAnsi="宋体" w:eastAsia="宋体" w:cs="宋体"/>
              </w:rPr>
              <w:t>针对整个方案的完整性、全面性、可行性、技术能力、服务能力、信息网络安全保障、故障应急处理等进行综合评定</w:t>
            </w:r>
            <w:r>
              <w:rPr>
                <w:rFonts w:hint="eastAsia" w:ascii="宋体" w:hAnsi="宋体" w:eastAsia="宋体" w:cs="宋体"/>
                <w:lang w:val="en-US" w:eastAsia="zh-CN"/>
              </w:rPr>
              <w:t>得1-</w:t>
            </w:r>
            <w:r>
              <w:rPr>
                <w:rFonts w:hint="eastAsia" w:hAnsi="宋体" w:cs="宋体"/>
                <w:lang w:val="en-US" w:eastAsia="zh-CN"/>
              </w:rPr>
              <w:t>10</w:t>
            </w:r>
            <w:r>
              <w:rPr>
                <w:rFonts w:hint="eastAsia" w:ascii="宋体" w:hAnsi="宋体" w:eastAsia="宋体" w:cs="宋体"/>
                <w:lang w:val="en-US" w:eastAsia="zh-CN"/>
              </w:rPr>
              <w:t>分</w:t>
            </w:r>
            <w:r>
              <w:rPr>
                <w:rFonts w:hint="eastAsia" w:ascii="宋体" w:hAnsi="宋体" w:eastAsia="宋体" w:cs="宋体"/>
              </w:rPr>
              <w:t>，未提供的不计分；</w:t>
            </w:r>
          </w:p>
        </w:tc>
      </w:tr>
      <w:tr w14:paraId="4A6E0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743" w:type="dxa"/>
            <w:vMerge w:val="continue"/>
            <w:vAlign w:val="center"/>
          </w:tcPr>
          <w:p w14:paraId="0CFD38D6">
            <w:pPr>
              <w:spacing w:line="240" w:lineRule="auto"/>
              <w:jc w:val="center"/>
              <w:rPr>
                <w:rFonts w:hint="eastAsia" w:ascii="宋体" w:hAnsi="宋体" w:cs="宋体"/>
                <w:b w:val="0"/>
                <w:bCs/>
                <w:sz w:val="24"/>
                <w:szCs w:val="24"/>
                <w:lang w:val="en-US" w:eastAsia="zh-CN"/>
              </w:rPr>
            </w:pPr>
          </w:p>
        </w:tc>
        <w:tc>
          <w:tcPr>
            <w:tcW w:w="1532" w:type="dxa"/>
            <w:vMerge w:val="continue"/>
            <w:vAlign w:val="center"/>
          </w:tcPr>
          <w:p w14:paraId="0900E969">
            <w:pPr>
              <w:spacing w:line="240" w:lineRule="auto"/>
              <w:jc w:val="center"/>
              <w:rPr>
                <w:rFonts w:hint="eastAsia" w:ascii="宋体" w:hAnsi="宋体" w:eastAsia="宋体" w:cs="宋体"/>
                <w:b w:val="0"/>
                <w:bCs/>
                <w:sz w:val="24"/>
                <w:szCs w:val="24"/>
              </w:rPr>
            </w:pPr>
          </w:p>
        </w:tc>
        <w:tc>
          <w:tcPr>
            <w:tcW w:w="7427" w:type="dxa"/>
            <w:vAlign w:val="center"/>
          </w:tcPr>
          <w:p w14:paraId="37BE2544">
            <w:pPr>
              <w:spacing w:line="240" w:lineRule="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技术指标评审（</w:t>
            </w:r>
            <w:r>
              <w:rPr>
                <w:rFonts w:hint="eastAsia" w:ascii="宋体" w:hAnsi="宋体" w:cs="宋体"/>
                <w:b/>
                <w:bCs/>
                <w:color w:val="auto"/>
                <w:sz w:val="24"/>
                <w:szCs w:val="24"/>
                <w:lang w:val="en-US" w:eastAsia="zh-CN"/>
              </w:rPr>
              <w:t>20</w:t>
            </w:r>
            <w:r>
              <w:rPr>
                <w:rFonts w:hint="eastAsia" w:ascii="宋体" w:hAnsi="宋体" w:eastAsia="宋体" w:cs="宋体"/>
                <w:b/>
                <w:bCs/>
                <w:color w:val="auto"/>
                <w:sz w:val="24"/>
                <w:szCs w:val="24"/>
                <w:lang w:val="en-US" w:eastAsia="zh-CN"/>
              </w:rPr>
              <w:t>分）</w:t>
            </w:r>
          </w:p>
          <w:p w14:paraId="573E57E1">
            <w:pPr>
              <w:spacing w:line="240" w:lineRule="auto"/>
              <w:rPr>
                <w:rFonts w:hint="eastAsia" w:ascii="宋体" w:hAnsi="宋体" w:eastAsia="宋体" w:cs="宋体"/>
                <w:b w:val="0"/>
                <w:bCs w:val="0"/>
                <w:color w:val="auto"/>
                <w:kern w:val="2"/>
                <w:sz w:val="24"/>
                <w:szCs w:val="24"/>
                <w:lang w:val="en-US" w:eastAsia="zh-CN" w:bidi="ar-SA"/>
              </w:rPr>
            </w:pPr>
            <w:r>
              <w:rPr>
                <w:rFonts w:hint="eastAsia" w:hAnsi="宋体" w:cs="宋体"/>
                <w:b w:val="0"/>
                <w:bCs w:val="0"/>
                <w:color w:val="auto"/>
                <w:kern w:val="2"/>
                <w:sz w:val="24"/>
                <w:szCs w:val="24"/>
                <w:lang w:val="en-US" w:eastAsia="zh-CN" w:bidi="ar-SA"/>
              </w:rPr>
              <w:t>1.①软件定制开发提供必要的数据和技术支持</w:t>
            </w:r>
            <w:r>
              <w:rPr>
                <w:rFonts w:hint="eastAsia" w:ascii="宋体" w:hAnsi="宋体" w:eastAsia="宋体" w:cs="宋体"/>
                <w:b w:val="0"/>
                <w:bCs w:val="0"/>
                <w:color w:val="auto"/>
                <w:kern w:val="2"/>
                <w:sz w:val="24"/>
                <w:szCs w:val="24"/>
                <w:lang w:val="en-US" w:eastAsia="zh-CN" w:bidi="ar-SA"/>
              </w:rPr>
              <w:t>。</w:t>
            </w:r>
            <w:r>
              <w:rPr>
                <w:rFonts w:hint="eastAsia" w:hAnsi="宋体" w:cs="宋体"/>
                <w:b w:val="0"/>
                <w:bCs w:val="0"/>
                <w:color w:val="auto"/>
                <w:kern w:val="2"/>
                <w:sz w:val="24"/>
                <w:szCs w:val="24"/>
                <w:lang w:val="en-US" w:eastAsia="zh-CN" w:bidi="ar-SA"/>
              </w:rPr>
              <w:t>②数据资源建设提供必要的数据和技术支持；③系统集成服务提供必要的数据和技术支持</w:t>
            </w:r>
            <w:r>
              <w:rPr>
                <w:rFonts w:hint="eastAsia" w:ascii="宋体" w:hAnsi="宋体" w:eastAsia="宋体" w:cs="宋体"/>
                <w:b w:val="0"/>
                <w:bCs w:val="0"/>
                <w:color w:val="auto"/>
                <w:kern w:val="2"/>
                <w:sz w:val="24"/>
                <w:szCs w:val="24"/>
                <w:lang w:val="en-US" w:eastAsia="zh-CN" w:bidi="ar-SA"/>
              </w:rPr>
              <w:t>。</w:t>
            </w:r>
            <w:r>
              <w:rPr>
                <w:rFonts w:hint="eastAsia" w:hAnsi="宋体" w:cs="宋体"/>
                <w:b w:val="0"/>
                <w:bCs w:val="0"/>
                <w:color w:val="auto"/>
                <w:kern w:val="2"/>
                <w:sz w:val="24"/>
                <w:szCs w:val="24"/>
                <w:lang w:val="en-US" w:eastAsia="zh-CN" w:bidi="ar-SA"/>
              </w:rPr>
              <w:t>④硬件设备购置提供厂家资质和售后服务说明</w:t>
            </w:r>
            <w:r>
              <w:rPr>
                <w:rFonts w:hint="eastAsia" w:ascii="宋体" w:hAnsi="宋体" w:eastAsia="宋体" w:cs="宋体"/>
                <w:b w:val="0"/>
                <w:bCs w:val="0"/>
                <w:color w:val="auto"/>
                <w:kern w:val="2"/>
                <w:sz w:val="24"/>
                <w:szCs w:val="24"/>
                <w:lang w:val="en-US" w:eastAsia="zh-CN" w:bidi="ar-SA"/>
              </w:rPr>
              <w:t>。</w:t>
            </w:r>
            <w:r>
              <w:rPr>
                <w:rFonts w:hint="eastAsia" w:hAnsi="宋体" w:cs="宋体"/>
                <w:b w:val="0"/>
                <w:bCs w:val="0"/>
                <w:color w:val="auto"/>
                <w:kern w:val="2"/>
                <w:sz w:val="24"/>
                <w:szCs w:val="24"/>
                <w:lang w:val="en-US" w:eastAsia="zh-CN" w:bidi="ar-SA"/>
              </w:rPr>
              <w:t>⑤网络链路租赁提供合同、数据等资料</w:t>
            </w:r>
            <w:r>
              <w:rPr>
                <w:rFonts w:hint="eastAsia" w:ascii="宋体" w:hAnsi="宋体" w:eastAsia="宋体" w:cs="宋体"/>
                <w:b w:val="0"/>
                <w:bCs w:val="0"/>
                <w:color w:val="auto"/>
                <w:kern w:val="2"/>
                <w:sz w:val="24"/>
                <w:szCs w:val="24"/>
                <w:lang w:val="en-US" w:eastAsia="zh-CN" w:bidi="ar-SA"/>
              </w:rPr>
              <w:t>。（</w:t>
            </w:r>
            <w:r>
              <w:rPr>
                <w:rFonts w:hint="eastAsia" w:hAnsi="宋体" w:cs="宋体"/>
                <w:b w:val="0"/>
                <w:bCs w:val="0"/>
                <w:color w:val="auto"/>
                <w:kern w:val="2"/>
                <w:sz w:val="24"/>
                <w:szCs w:val="24"/>
                <w:lang w:val="en-US" w:eastAsia="zh-CN" w:bidi="ar-SA"/>
              </w:rPr>
              <w:t>以上每</w:t>
            </w:r>
            <w:r>
              <w:rPr>
                <w:rFonts w:hint="eastAsia" w:ascii="宋体" w:hAnsi="宋体" w:eastAsia="宋体" w:cs="宋体"/>
                <w:b w:val="0"/>
                <w:bCs w:val="0"/>
                <w:color w:val="auto"/>
                <w:kern w:val="2"/>
                <w:sz w:val="24"/>
                <w:szCs w:val="24"/>
                <w:lang w:val="en-US" w:eastAsia="zh-CN" w:bidi="ar-SA"/>
              </w:rPr>
              <w:t>满足1项得</w:t>
            </w:r>
            <w:r>
              <w:rPr>
                <w:rFonts w:hint="eastAsia" w:hAnsi="宋体" w:cs="宋体"/>
                <w:b w:val="0"/>
                <w:bCs w:val="0"/>
                <w:color w:val="auto"/>
                <w:kern w:val="2"/>
                <w:sz w:val="24"/>
                <w:szCs w:val="24"/>
                <w:lang w:val="en-US" w:eastAsia="zh-CN" w:bidi="ar-SA"/>
              </w:rPr>
              <w:t>2</w:t>
            </w:r>
            <w:r>
              <w:rPr>
                <w:rFonts w:hint="eastAsia" w:ascii="宋体" w:hAnsi="宋体" w:eastAsia="宋体" w:cs="宋体"/>
                <w:b w:val="0"/>
                <w:bCs w:val="0"/>
                <w:color w:val="auto"/>
                <w:kern w:val="2"/>
                <w:sz w:val="24"/>
                <w:szCs w:val="24"/>
                <w:lang w:val="en-US" w:eastAsia="zh-CN" w:bidi="ar-SA"/>
              </w:rPr>
              <w:t>分，</w:t>
            </w:r>
            <w:r>
              <w:rPr>
                <w:rFonts w:hint="eastAsia" w:hAnsi="宋体" w:cs="宋体"/>
                <w:b w:val="0"/>
                <w:bCs w:val="0"/>
                <w:color w:val="auto"/>
                <w:kern w:val="2"/>
                <w:sz w:val="24"/>
                <w:szCs w:val="24"/>
                <w:lang w:val="en-US" w:eastAsia="zh-CN" w:bidi="ar-SA"/>
              </w:rPr>
              <w:t>累计最高</w:t>
            </w:r>
            <w:r>
              <w:rPr>
                <w:rFonts w:hint="eastAsia" w:ascii="宋体" w:hAnsi="宋体" w:eastAsia="宋体" w:cs="宋体"/>
                <w:b w:val="0"/>
                <w:bCs w:val="0"/>
                <w:color w:val="auto"/>
                <w:kern w:val="2"/>
                <w:sz w:val="24"/>
                <w:szCs w:val="24"/>
                <w:lang w:val="en-US" w:eastAsia="zh-CN" w:bidi="ar-SA"/>
              </w:rPr>
              <w:t>1</w:t>
            </w:r>
            <w:r>
              <w:rPr>
                <w:rFonts w:hint="eastAsia" w:hAnsi="宋体" w:cs="宋体"/>
                <w:b w:val="0"/>
                <w:bCs w:val="0"/>
                <w:color w:val="auto"/>
                <w:kern w:val="2"/>
                <w:sz w:val="24"/>
                <w:szCs w:val="24"/>
                <w:lang w:val="en-US" w:eastAsia="zh-CN" w:bidi="ar-SA"/>
              </w:rPr>
              <w:t>0</w:t>
            </w:r>
            <w:r>
              <w:rPr>
                <w:rFonts w:hint="eastAsia" w:ascii="宋体" w:hAnsi="宋体" w:eastAsia="宋体" w:cs="宋体"/>
                <w:b w:val="0"/>
                <w:bCs w:val="0"/>
                <w:color w:val="auto"/>
                <w:kern w:val="2"/>
                <w:sz w:val="24"/>
                <w:szCs w:val="24"/>
                <w:lang w:val="en-US" w:eastAsia="zh-CN" w:bidi="ar-SA"/>
              </w:rPr>
              <w:t>分，需提供证明材料或功能截图，并加盖公章，不提供不得分。）</w:t>
            </w:r>
          </w:p>
          <w:p w14:paraId="2D085995">
            <w:pPr>
              <w:spacing w:line="240" w:lineRule="auto"/>
              <w:rPr>
                <w:rFonts w:hint="eastAsia" w:hAnsi="宋体" w:cs="宋体"/>
                <w:b w:val="0"/>
                <w:bCs w:val="0"/>
                <w:color w:val="auto"/>
                <w:kern w:val="2"/>
                <w:sz w:val="24"/>
                <w:szCs w:val="24"/>
                <w:lang w:val="en-US" w:eastAsia="zh-CN" w:bidi="ar-SA"/>
              </w:rPr>
            </w:pPr>
            <w:r>
              <w:rPr>
                <w:rFonts w:hint="eastAsia" w:hAnsi="宋体" w:cs="宋体"/>
                <w:lang w:val="en-US" w:eastAsia="zh-CN"/>
              </w:rPr>
              <w:t>2</w:t>
            </w:r>
            <w:r>
              <w:rPr>
                <w:rFonts w:hint="eastAsia" w:ascii="宋体" w:hAnsi="宋体" w:eastAsia="宋体" w:cs="宋体"/>
                <w:lang w:val="en-US" w:eastAsia="zh-CN"/>
              </w:rPr>
              <w:t>.</w:t>
            </w:r>
            <w:r>
              <w:rPr>
                <w:rFonts w:hint="eastAsia" w:ascii="宋体" w:hAnsi="宋体" w:eastAsia="宋体" w:cs="宋体"/>
                <w:b w:val="0"/>
                <w:bCs w:val="0"/>
                <w:color w:val="auto"/>
                <w:kern w:val="2"/>
                <w:sz w:val="24"/>
                <w:szCs w:val="24"/>
                <w:lang w:val="en-US" w:eastAsia="zh-CN" w:bidi="ar-SA"/>
              </w:rPr>
              <w:t>投标人提供有效的网络</w:t>
            </w:r>
            <w:r>
              <w:rPr>
                <w:rFonts w:hint="eastAsia" w:hAnsi="宋体" w:cs="宋体"/>
                <w:b w:val="0"/>
                <w:bCs w:val="0"/>
                <w:color w:val="auto"/>
                <w:kern w:val="2"/>
                <w:sz w:val="24"/>
                <w:szCs w:val="24"/>
                <w:lang w:val="en-US" w:eastAsia="zh-CN" w:bidi="ar-SA"/>
              </w:rPr>
              <w:t>空间安全管理体系（CSSMS）、</w:t>
            </w:r>
            <w:r>
              <w:rPr>
                <w:rFonts w:hint="eastAsia" w:ascii="宋体" w:hAnsi="宋体" w:eastAsia="宋体" w:cs="宋体"/>
                <w:b w:val="0"/>
                <w:bCs w:val="0"/>
                <w:color w:val="auto"/>
                <w:kern w:val="2"/>
                <w:sz w:val="24"/>
                <w:szCs w:val="24"/>
                <w:lang w:val="en-US" w:eastAsia="zh-CN" w:bidi="ar-SA"/>
              </w:rPr>
              <w:t>信息</w:t>
            </w:r>
            <w:r>
              <w:rPr>
                <w:rFonts w:hint="eastAsia" w:hAnsi="宋体" w:cs="宋体"/>
                <w:b w:val="0"/>
                <w:bCs w:val="0"/>
                <w:color w:val="auto"/>
                <w:kern w:val="2"/>
                <w:sz w:val="24"/>
                <w:szCs w:val="24"/>
                <w:lang w:val="en-US" w:eastAsia="zh-CN" w:bidi="ar-SA"/>
              </w:rPr>
              <w:t>技术服务管理体系认证证书（IS020000）、CMMI五级国际认证、</w:t>
            </w:r>
            <w:r>
              <w:rPr>
                <w:rFonts w:hint="eastAsia" w:ascii="宋体" w:hAnsi="宋体" w:eastAsia="宋体" w:cs="宋体"/>
                <w:b w:val="0"/>
                <w:bCs w:val="0"/>
                <w:color w:val="auto"/>
                <w:kern w:val="2"/>
                <w:sz w:val="24"/>
                <w:szCs w:val="24"/>
                <w:lang w:val="en-US" w:eastAsia="zh-CN" w:bidi="ar-SA"/>
              </w:rPr>
              <w:t>信息安全管理体系认证证书、质量管理体系认证证书</w:t>
            </w:r>
            <w:r>
              <w:rPr>
                <w:rFonts w:hint="eastAsia" w:hAnsi="宋体" w:cs="宋体"/>
                <w:b w:val="0"/>
                <w:bCs w:val="0"/>
                <w:color w:val="auto"/>
                <w:kern w:val="2"/>
                <w:sz w:val="24"/>
                <w:szCs w:val="24"/>
                <w:lang w:val="en-US" w:eastAsia="zh-CN" w:bidi="ar-SA"/>
              </w:rPr>
              <w:t>（IS09001）</w:t>
            </w:r>
          </w:p>
          <w:p w14:paraId="54593B8D">
            <w:pPr>
              <w:spacing w:line="240" w:lineRule="auto"/>
              <w:rPr>
                <w:rFonts w:hint="default" w:hAnsi="宋体" w:cs="宋体"/>
                <w:b w:val="0"/>
                <w:bCs w:val="0"/>
                <w:color w:val="auto"/>
                <w:kern w:val="2"/>
                <w:sz w:val="24"/>
                <w:szCs w:val="24"/>
                <w:lang w:val="en-US" w:eastAsia="zh-CN" w:bidi="ar-SA"/>
              </w:rPr>
            </w:pPr>
            <w:r>
              <w:rPr>
                <w:rFonts w:hint="eastAsia" w:hAnsi="宋体" w:cs="宋体"/>
                <w:b w:val="0"/>
                <w:bCs w:val="0"/>
                <w:color w:val="auto"/>
                <w:kern w:val="2"/>
                <w:sz w:val="24"/>
                <w:szCs w:val="24"/>
                <w:lang w:val="en-US" w:eastAsia="zh-CN" w:bidi="ar-SA"/>
              </w:rPr>
              <w:t>以上每满足1项得2分，累计最高10分，需提供清晰可见的彩色扫描件，不提供不得分。）</w:t>
            </w:r>
          </w:p>
          <w:p w14:paraId="58B1650F">
            <w:pPr>
              <w:spacing w:line="240" w:lineRule="auto"/>
              <w:rPr>
                <w:rFonts w:hint="eastAsia" w:hAnsi="宋体" w:cs="宋体"/>
                <w:lang w:val="en-US" w:eastAsia="zh-CN"/>
              </w:rPr>
            </w:pPr>
            <w:r>
              <w:rPr>
                <w:rFonts w:hint="eastAsia" w:ascii="宋体" w:hAnsi="宋体" w:eastAsia="宋体" w:cs="宋体"/>
                <w:b w:val="0"/>
                <w:bCs w:val="0"/>
                <w:color w:val="auto"/>
                <w:kern w:val="2"/>
                <w:sz w:val="24"/>
                <w:szCs w:val="24"/>
                <w:lang w:val="en-US" w:eastAsia="zh-CN" w:bidi="ar-SA"/>
              </w:rPr>
              <w:t>评审依据：提供以上资料清晰可见的彩色扫描件；</w:t>
            </w:r>
          </w:p>
        </w:tc>
      </w:tr>
      <w:tr w14:paraId="0EE70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jc w:val="center"/>
        </w:trPr>
        <w:tc>
          <w:tcPr>
            <w:tcW w:w="743" w:type="dxa"/>
            <w:vMerge w:val="continue"/>
            <w:vAlign w:val="center"/>
          </w:tcPr>
          <w:p w14:paraId="7D91F54D">
            <w:pPr>
              <w:spacing w:line="240" w:lineRule="auto"/>
              <w:jc w:val="center"/>
              <w:rPr>
                <w:rFonts w:hint="eastAsia" w:ascii="宋体" w:hAnsi="宋体" w:eastAsia="宋体" w:cs="宋体"/>
                <w:b w:val="0"/>
                <w:bCs/>
                <w:sz w:val="24"/>
                <w:szCs w:val="24"/>
              </w:rPr>
            </w:pPr>
          </w:p>
        </w:tc>
        <w:tc>
          <w:tcPr>
            <w:tcW w:w="1532" w:type="dxa"/>
            <w:vMerge w:val="continue"/>
            <w:vAlign w:val="center"/>
          </w:tcPr>
          <w:p w14:paraId="4148A29D">
            <w:pPr>
              <w:spacing w:line="240" w:lineRule="auto"/>
              <w:jc w:val="center"/>
              <w:rPr>
                <w:rFonts w:hint="eastAsia" w:ascii="宋体" w:hAnsi="宋体" w:eastAsia="宋体" w:cs="宋体"/>
                <w:b w:val="0"/>
                <w:bCs/>
                <w:sz w:val="24"/>
                <w:szCs w:val="24"/>
              </w:rPr>
            </w:pPr>
          </w:p>
        </w:tc>
        <w:tc>
          <w:tcPr>
            <w:tcW w:w="7427" w:type="dxa"/>
            <w:vAlign w:val="center"/>
          </w:tcPr>
          <w:p w14:paraId="181194ED">
            <w:pPr>
              <w:spacing w:line="240" w:lineRule="auto"/>
              <w:jc w:val="both"/>
              <w:rPr>
                <w:rFonts w:hint="eastAsia" w:ascii="宋体" w:hAnsi="宋体" w:eastAsia="宋体" w:cs="宋体"/>
                <w:sz w:val="24"/>
                <w:szCs w:val="24"/>
                <w:highlight w:val="none"/>
                <w:lang w:val="en-US" w:eastAsia="zh-CN"/>
              </w:rPr>
            </w:pPr>
            <w:r>
              <w:rPr>
                <w:rFonts w:hint="eastAsia" w:ascii="宋体" w:hAnsi="宋体" w:cs="宋体"/>
                <w:b/>
                <w:bCs/>
                <w:sz w:val="24"/>
                <w:szCs w:val="24"/>
                <w:highlight w:val="none"/>
                <w:lang w:val="en-US" w:eastAsia="zh-CN"/>
              </w:rPr>
              <w:t>服务期</w:t>
            </w:r>
            <w:r>
              <w:rPr>
                <w:rFonts w:hint="eastAsia" w:ascii="宋体" w:hAnsi="宋体" w:eastAsia="宋体" w:cs="宋体"/>
                <w:b/>
                <w:bCs/>
                <w:sz w:val="24"/>
                <w:szCs w:val="24"/>
                <w:highlight w:val="none"/>
                <w:lang w:val="en-US" w:eastAsia="zh-CN"/>
              </w:rPr>
              <w:t>、质量管理保证体系及保证措施(总</w:t>
            </w:r>
            <w:r>
              <w:rPr>
                <w:rFonts w:hint="eastAsia" w:ascii="宋体" w:hAnsi="宋体" w:cs="宋体"/>
                <w:b/>
                <w:bCs/>
                <w:sz w:val="24"/>
                <w:szCs w:val="24"/>
                <w:highlight w:val="none"/>
                <w:lang w:val="en-US" w:eastAsia="zh-CN"/>
              </w:rPr>
              <w:t>10</w:t>
            </w:r>
            <w:r>
              <w:rPr>
                <w:rFonts w:hint="eastAsia" w:ascii="宋体" w:hAnsi="宋体" w:eastAsia="宋体" w:cs="宋体"/>
                <w:b/>
                <w:bCs/>
                <w:sz w:val="24"/>
                <w:szCs w:val="24"/>
                <w:highlight w:val="none"/>
                <w:lang w:val="en-US" w:eastAsia="zh-CN"/>
              </w:rPr>
              <w:t>分)</w:t>
            </w:r>
          </w:p>
          <w:p w14:paraId="6EFA59BF">
            <w:pPr>
              <w:spacing w:line="240" w:lineRule="auto"/>
              <w:rPr>
                <w:rFonts w:hint="eastAsia" w:hAnsi="宋体" w:cs="宋体"/>
                <w:lang w:val="en-US" w:eastAsia="zh-CN"/>
              </w:rPr>
            </w:pPr>
            <w:r>
              <w:rPr>
                <w:rFonts w:hint="eastAsia" w:hAnsi="宋体" w:cs="宋体"/>
                <w:lang w:val="en-US" w:eastAsia="zh-CN"/>
              </w:rPr>
              <w:t>针对</w:t>
            </w:r>
            <w:r>
              <w:rPr>
                <w:rFonts w:hint="eastAsia" w:ascii="宋体" w:hAnsi="宋体" w:eastAsia="宋体" w:cs="宋体"/>
              </w:rPr>
              <w:t>本项目的</w:t>
            </w:r>
            <w:r>
              <w:rPr>
                <w:rFonts w:hint="eastAsia" w:ascii="宋体" w:hAnsi="宋体" w:eastAsia="宋体" w:cs="宋体"/>
                <w:lang w:val="en-US" w:eastAsia="zh-CN"/>
              </w:rPr>
              <w:t>实际</w:t>
            </w:r>
            <w:r>
              <w:rPr>
                <w:rFonts w:hint="eastAsia" w:ascii="宋体" w:hAnsi="宋体" w:eastAsia="宋体" w:cs="宋体"/>
              </w:rPr>
              <w:t>情况，有具体、可行的确保</w:t>
            </w:r>
            <w:r>
              <w:rPr>
                <w:rFonts w:hint="eastAsia" w:ascii="宋体" w:hAnsi="宋体" w:cs="宋体"/>
                <w:lang w:eastAsia="zh-CN"/>
              </w:rPr>
              <w:t>服务期</w:t>
            </w:r>
            <w:r>
              <w:rPr>
                <w:rFonts w:hint="eastAsia" w:ascii="宋体" w:hAnsi="宋体" w:cs="宋体"/>
                <w:lang w:val="en-US" w:eastAsia="zh-CN"/>
              </w:rPr>
              <w:t>内</w:t>
            </w:r>
            <w:r>
              <w:rPr>
                <w:rFonts w:hint="eastAsia" w:ascii="宋体" w:hAnsi="宋体" w:eastAsia="宋体" w:cs="宋体"/>
                <w:lang w:val="en-US" w:eastAsia="zh-CN"/>
              </w:rPr>
              <w:t>及质量</w:t>
            </w:r>
            <w:r>
              <w:rPr>
                <w:rFonts w:hint="eastAsia" w:ascii="宋体" w:hAnsi="宋体" w:eastAsia="宋体" w:cs="宋体"/>
              </w:rPr>
              <w:t>的技术组织措施。能够充分考虑计划，均衡资源，满足</w:t>
            </w:r>
            <w:r>
              <w:rPr>
                <w:rFonts w:hint="eastAsia" w:ascii="宋体" w:hAnsi="宋体" w:cs="宋体"/>
                <w:lang w:eastAsia="zh-CN"/>
              </w:rPr>
              <w:t>服务期</w:t>
            </w:r>
            <w:r>
              <w:rPr>
                <w:rFonts w:hint="eastAsia" w:ascii="宋体" w:hAnsi="宋体" w:eastAsia="宋体" w:cs="宋体"/>
              </w:rPr>
              <w:t>和质量</w:t>
            </w:r>
            <w:r>
              <w:rPr>
                <w:rFonts w:hint="eastAsia" w:ascii="宋体" w:hAnsi="宋体" w:cs="宋体"/>
                <w:lang w:val="en-US" w:eastAsia="zh-CN"/>
              </w:rPr>
              <w:t>保障</w:t>
            </w:r>
            <w:r>
              <w:rPr>
                <w:rFonts w:hint="eastAsia" w:ascii="宋体" w:hAnsi="宋体" w:eastAsia="宋体" w:cs="宋体"/>
              </w:rPr>
              <w:t>。</w:t>
            </w:r>
            <w:r>
              <w:rPr>
                <w:rFonts w:hint="eastAsia" w:hAnsi="宋体" w:cs="宋体"/>
                <w:lang w:val="en-US" w:eastAsia="zh-CN"/>
              </w:rPr>
              <w:t>1.服务期及</w:t>
            </w:r>
            <w:r>
              <w:rPr>
                <w:rFonts w:hint="eastAsia" w:ascii="宋体" w:hAnsi="宋体" w:eastAsia="宋体" w:cs="宋体"/>
                <w:b w:val="0"/>
                <w:bCs w:val="0"/>
                <w:color w:val="auto"/>
                <w:kern w:val="2"/>
                <w:sz w:val="24"/>
                <w:szCs w:val="24"/>
                <w:lang w:val="en-US" w:eastAsia="zh-CN" w:bidi="ar-SA"/>
              </w:rPr>
              <w:t>质量管理目标明确，质量管理层级责任清晰，质量考核体系健全，</w:t>
            </w:r>
            <w:r>
              <w:rPr>
                <w:rFonts w:hint="eastAsia" w:ascii="宋体" w:hAnsi="宋体" w:eastAsia="宋体" w:cs="宋体"/>
                <w:lang w:val="en-US" w:eastAsia="zh-CN"/>
              </w:rPr>
              <w:t>体系及措施编写完整，可行性较强，</w:t>
            </w:r>
            <w:r>
              <w:rPr>
                <w:rFonts w:hint="eastAsia" w:hAnsi="宋体" w:cs="宋体"/>
                <w:lang w:val="en-US" w:eastAsia="zh-CN"/>
              </w:rPr>
              <w:t>得5-10分；</w:t>
            </w:r>
          </w:p>
          <w:p w14:paraId="6047B8BE">
            <w:pPr>
              <w:spacing w:line="240" w:lineRule="auto"/>
              <w:rPr>
                <w:rFonts w:hint="default"/>
                <w:lang w:val="en-US"/>
              </w:rPr>
            </w:pPr>
            <w:r>
              <w:rPr>
                <w:rFonts w:hint="eastAsia" w:hAnsi="宋体" w:cs="宋体"/>
                <w:lang w:val="en-US" w:eastAsia="zh-CN"/>
              </w:rPr>
              <w:t>2.服务期及</w:t>
            </w:r>
            <w:r>
              <w:rPr>
                <w:rFonts w:hint="eastAsia" w:ascii="宋体" w:hAnsi="宋体" w:eastAsia="宋体" w:cs="宋体"/>
                <w:b w:val="0"/>
                <w:bCs w:val="0"/>
                <w:color w:val="auto"/>
                <w:kern w:val="2"/>
                <w:sz w:val="24"/>
                <w:szCs w:val="24"/>
                <w:lang w:val="en-US" w:eastAsia="zh-CN" w:bidi="ar-SA"/>
              </w:rPr>
              <w:t>质量管理目标</w:t>
            </w:r>
            <w:r>
              <w:rPr>
                <w:rFonts w:hint="eastAsia" w:hAnsi="宋体" w:cs="宋体"/>
                <w:b w:val="0"/>
                <w:bCs w:val="0"/>
                <w:color w:val="auto"/>
                <w:kern w:val="2"/>
                <w:sz w:val="24"/>
                <w:szCs w:val="24"/>
                <w:lang w:val="en-US" w:eastAsia="zh-CN" w:bidi="ar-SA"/>
              </w:rPr>
              <w:t>基本满足项目需求，方案针对性不明确，整体方案不全面得1-4.9分，</w:t>
            </w:r>
            <w:r>
              <w:rPr>
                <w:rFonts w:hint="eastAsia" w:ascii="宋体" w:hAnsi="宋体" w:eastAsia="宋体" w:cs="宋体"/>
              </w:rPr>
              <w:t>未提供的</w:t>
            </w:r>
            <w:r>
              <w:rPr>
                <w:rFonts w:hint="eastAsia" w:ascii="宋体" w:hAnsi="宋体" w:eastAsia="宋体" w:cs="宋体"/>
                <w:lang w:val="en-US" w:eastAsia="zh-CN"/>
              </w:rPr>
              <w:t>该项</w:t>
            </w:r>
            <w:r>
              <w:rPr>
                <w:rFonts w:hint="eastAsia" w:ascii="宋体" w:hAnsi="宋体" w:eastAsia="宋体" w:cs="宋体"/>
              </w:rPr>
              <w:t>不计分；</w:t>
            </w:r>
          </w:p>
        </w:tc>
      </w:tr>
      <w:tr w14:paraId="15685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3" w:type="dxa"/>
            <w:vMerge w:val="continue"/>
            <w:vAlign w:val="center"/>
          </w:tcPr>
          <w:p w14:paraId="73A5D327">
            <w:pPr>
              <w:spacing w:line="240" w:lineRule="auto"/>
              <w:jc w:val="center"/>
              <w:rPr>
                <w:rFonts w:hint="eastAsia" w:ascii="宋体" w:hAnsi="宋体" w:eastAsia="宋体" w:cs="宋体"/>
                <w:b w:val="0"/>
                <w:bCs/>
                <w:sz w:val="24"/>
                <w:szCs w:val="24"/>
              </w:rPr>
            </w:pPr>
          </w:p>
        </w:tc>
        <w:tc>
          <w:tcPr>
            <w:tcW w:w="1532" w:type="dxa"/>
            <w:vMerge w:val="continue"/>
            <w:vAlign w:val="center"/>
          </w:tcPr>
          <w:p w14:paraId="3D318FB3">
            <w:pPr>
              <w:spacing w:line="240" w:lineRule="auto"/>
              <w:jc w:val="center"/>
              <w:rPr>
                <w:rFonts w:hint="eastAsia" w:ascii="宋体" w:hAnsi="宋体" w:eastAsia="宋体" w:cs="宋体"/>
                <w:b w:val="0"/>
                <w:bCs/>
                <w:sz w:val="24"/>
                <w:szCs w:val="24"/>
              </w:rPr>
            </w:pPr>
          </w:p>
        </w:tc>
        <w:tc>
          <w:tcPr>
            <w:tcW w:w="7427" w:type="dxa"/>
            <w:vAlign w:val="center"/>
          </w:tcPr>
          <w:p w14:paraId="494D2DF8">
            <w:pPr>
              <w:spacing w:line="240" w:lineRule="auto"/>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安全</w:t>
            </w:r>
            <w:r>
              <w:rPr>
                <w:rFonts w:hint="eastAsia" w:ascii="宋体" w:hAnsi="宋体" w:cs="宋体"/>
                <w:b/>
                <w:bCs/>
                <w:sz w:val="24"/>
                <w:szCs w:val="24"/>
                <w:highlight w:val="none"/>
                <w:lang w:val="en-US" w:eastAsia="zh-CN"/>
              </w:rPr>
              <w:t>服务</w:t>
            </w:r>
            <w:r>
              <w:rPr>
                <w:rFonts w:hint="eastAsia" w:ascii="宋体" w:hAnsi="宋体" w:eastAsia="宋体" w:cs="宋体"/>
                <w:b/>
                <w:bCs/>
                <w:sz w:val="24"/>
                <w:szCs w:val="24"/>
                <w:highlight w:val="none"/>
                <w:lang w:val="en-US" w:eastAsia="zh-CN"/>
              </w:rPr>
              <w:t>保证体系及保证措施(总10分)</w:t>
            </w:r>
          </w:p>
          <w:p w14:paraId="464BFB73">
            <w:pPr>
              <w:spacing w:line="240" w:lineRule="auto"/>
              <w:rPr>
                <w:rFonts w:hint="eastAsia" w:ascii="宋体" w:hAnsi="宋体" w:eastAsia="宋体" w:cs="宋体"/>
                <w:b w:val="0"/>
                <w:bCs/>
                <w:sz w:val="24"/>
                <w:szCs w:val="24"/>
              </w:rPr>
            </w:pPr>
            <w:r>
              <w:rPr>
                <w:rFonts w:hint="eastAsia" w:ascii="宋体" w:hAnsi="宋体" w:eastAsia="宋体" w:cs="宋体"/>
                <w:b w:val="0"/>
                <w:bCs/>
                <w:sz w:val="24"/>
                <w:szCs w:val="24"/>
              </w:rPr>
              <w:t>针对本项目的</w:t>
            </w:r>
            <w:r>
              <w:rPr>
                <w:rFonts w:hint="eastAsia" w:ascii="宋体" w:hAnsi="宋体" w:cs="宋体"/>
                <w:b w:val="0"/>
                <w:bCs/>
                <w:sz w:val="24"/>
                <w:szCs w:val="24"/>
                <w:lang w:val="en-US" w:eastAsia="zh-CN"/>
              </w:rPr>
              <w:t>服务</w:t>
            </w:r>
            <w:r>
              <w:rPr>
                <w:rFonts w:hint="eastAsia" w:ascii="宋体" w:hAnsi="宋体" w:eastAsia="宋体" w:cs="宋体"/>
                <w:b w:val="0"/>
                <w:bCs/>
                <w:sz w:val="24"/>
                <w:szCs w:val="24"/>
              </w:rPr>
              <w:t>特点、不同的</w:t>
            </w:r>
            <w:r>
              <w:rPr>
                <w:rFonts w:hint="eastAsia" w:ascii="宋体" w:hAnsi="宋体" w:cs="宋体"/>
                <w:b w:val="0"/>
                <w:bCs/>
                <w:sz w:val="24"/>
                <w:szCs w:val="24"/>
                <w:lang w:val="en-US" w:eastAsia="zh-CN"/>
              </w:rPr>
              <w:t>服务内容</w:t>
            </w:r>
            <w:r>
              <w:rPr>
                <w:rFonts w:hint="eastAsia" w:ascii="宋体" w:hAnsi="宋体" w:eastAsia="宋体" w:cs="宋体"/>
                <w:b w:val="0"/>
                <w:bCs/>
                <w:sz w:val="24"/>
                <w:szCs w:val="24"/>
              </w:rPr>
              <w:t>、</w:t>
            </w:r>
            <w:r>
              <w:rPr>
                <w:rFonts w:hint="eastAsia" w:ascii="宋体" w:hAnsi="宋体" w:cs="宋体"/>
                <w:b w:val="0"/>
                <w:bCs/>
                <w:sz w:val="24"/>
                <w:szCs w:val="24"/>
                <w:lang w:val="en-US" w:eastAsia="zh-CN"/>
              </w:rPr>
              <w:t>服务</w:t>
            </w:r>
            <w:r>
              <w:rPr>
                <w:rFonts w:hint="eastAsia" w:ascii="宋体" w:hAnsi="宋体" w:eastAsia="宋体" w:cs="宋体"/>
                <w:b w:val="0"/>
                <w:bCs/>
                <w:sz w:val="24"/>
                <w:szCs w:val="24"/>
              </w:rPr>
              <w:t>场地及</w:t>
            </w:r>
            <w:r>
              <w:rPr>
                <w:rFonts w:hint="eastAsia" w:ascii="宋体" w:hAnsi="宋体" w:cs="宋体"/>
                <w:b w:val="0"/>
                <w:bCs/>
                <w:sz w:val="24"/>
                <w:szCs w:val="24"/>
                <w:lang w:val="en-US" w:eastAsia="zh-CN"/>
              </w:rPr>
              <w:t>实施</w:t>
            </w:r>
            <w:r>
              <w:rPr>
                <w:rFonts w:hint="eastAsia" w:ascii="宋体" w:hAnsi="宋体" w:eastAsia="宋体" w:cs="宋体"/>
                <w:b w:val="0"/>
                <w:bCs/>
                <w:sz w:val="24"/>
                <w:szCs w:val="24"/>
              </w:rPr>
              <w:t>环境等，编制具体、可行的安全</w:t>
            </w:r>
            <w:r>
              <w:rPr>
                <w:rFonts w:hint="eastAsia" w:ascii="宋体" w:hAnsi="宋体" w:cs="宋体"/>
                <w:b w:val="0"/>
                <w:bCs/>
                <w:sz w:val="24"/>
                <w:szCs w:val="24"/>
                <w:lang w:val="en-US" w:eastAsia="zh-CN"/>
              </w:rPr>
              <w:t>服务生</w:t>
            </w:r>
            <w:r>
              <w:rPr>
                <w:rFonts w:hint="eastAsia" w:ascii="宋体" w:hAnsi="宋体" w:eastAsia="宋体" w:cs="宋体"/>
                <w:b w:val="0"/>
                <w:bCs/>
                <w:sz w:val="24"/>
                <w:szCs w:val="24"/>
              </w:rPr>
              <w:t>产措施</w:t>
            </w:r>
            <w:r>
              <w:rPr>
                <w:rFonts w:hint="eastAsia" w:ascii="宋体" w:hAnsi="宋体" w:cs="宋体"/>
                <w:b w:val="0"/>
                <w:bCs/>
                <w:sz w:val="24"/>
                <w:szCs w:val="24"/>
                <w:lang w:eastAsia="zh-CN"/>
              </w:rPr>
              <w:t>、</w:t>
            </w:r>
            <w:r>
              <w:rPr>
                <w:rFonts w:hint="eastAsia" w:ascii="宋体" w:hAnsi="宋体" w:cs="宋体"/>
                <w:b w:val="0"/>
                <w:bCs/>
                <w:sz w:val="24"/>
                <w:szCs w:val="24"/>
                <w:lang w:val="en-US" w:eastAsia="zh-CN"/>
              </w:rPr>
              <w:t>安全安装保障措施</w:t>
            </w:r>
            <w:r>
              <w:rPr>
                <w:rFonts w:hint="eastAsia" w:ascii="宋体" w:hAnsi="宋体" w:eastAsia="宋体" w:cs="宋体"/>
                <w:b w:val="0"/>
                <w:bCs/>
                <w:sz w:val="24"/>
                <w:szCs w:val="24"/>
              </w:rPr>
              <w:t>。</w:t>
            </w:r>
          </w:p>
          <w:p w14:paraId="0D67E31C">
            <w:pPr>
              <w:spacing w:line="240" w:lineRule="auto"/>
              <w:rPr>
                <w:rFonts w:hint="eastAsia" w:hAnsi="宋体" w:cs="宋体"/>
                <w:lang w:val="en-US" w:eastAsia="zh-CN"/>
              </w:rPr>
            </w:pPr>
            <w:r>
              <w:rPr>
                <w:rFonts w:hint="eastAsia" w:hAnsi="宋体" w:cs="宋体"/>
                <w:sz w:val="24"/>
                <w:szCs w:val="24"/>
                <w:highlight w:val="none"/>
                <w:lang w:val="en-US" w:eastAsia="zh-CN"/>
              </w:rPr>
              <w:t>1.</w:t>
            </w:r>
            <w:r>
              <w:rPr>
                <w:rFonts w:hint="eastAsia" w:ascii="宋体" w:hAnsi="宋体" w:eastAsia="宋体" w:cs="宋体"/>
                <w:sz w:val="24"/>
                <w:szCs w:val="24"/>
                <w:highlight w:val="none"/>
                <w:lang w:val="en-US" w:eastAsia="zh-CN"/>
              </w:rPr>
              <w:t>安全</w:t>
            </w:r>
            <w:r>
              <w:rPr>
                <w:rFonts w:hint="eastAsia" w:ascii="宋体" w:hAnsi="宋体" w:cs="宋体"/>
                <w:sz w:val="24"/>
                <w:szCs w:val="24"/>
                <w:highlight w:val="none"/>
                <w:lang w:val="en-US" w:eastAsia="zh-CN"/>
              </w:rPr>
              <w:t>服务</w:t>
            </w:r>
            <w:r>
              <w:rPr>
                <w:rFonts w:hint="eastAsia" w:ascii="宋体" w:hAnsi="宋体" w:eastAsia="宋体" w:cs="宋体"/>
                <w:sz w:val="24"/>
                <w:szCs w:val="24"/>
                <w:highlight w:val="none"/>
                <w:lang w:val="en-US" w:eastAsia="zh-CN"/>
              </w:rPr>
              <w:t>保证计划全面周到、完整，保障措施得力，责任人具体，</w:t>
            </w:r>
            <w:r>
              <w:rPr>
                <w:rFonts w:hint="eastAsia" w:ascii="宋体" w:hAnsi="宋体" w:cs="宋体"/>
                <w:lang w:val="en-US" w:eastAsia="zh-CN"/>
              </w:rPr>
              <w:t>该项</w:t>
            </w:r>
            <w:r>
              <w:rPr>
                <w:rFonts w:hint="eastAsia" w:hAnsi="宋体" w:cs="宋体"/>
                <w:lang w:val="en-US" w:eastAsia="zh-CN"/>
              </w:rPr>
              <w:t>得5-10</w:t>
            </w:r>
            <w:r>
              <w:rPr>
                <w:rFonts w:hint="eastAsia" w:ascii="宋体" w:hAnsi="宋体" w:eastAsia="宋体" w:cs="宋体"/>
                <w:lang w:val="en-US" w:eastAsia="zh-CN"/>
              </w:rPr>
              <w:t>分</w:t>
            </w:r>
            <w:r>
              <w:rPr>
                <w:rFonts w:hint="eastAsia" w:hAnsi="宋体" w:cs="宋体"/>
                <w:lang w:val="en-US" w:eastAsia="zh-CN"/>
              </w:rPr>
              <w:t>；</w:t>
            </w:r>
          </w:p>
          <w:p w14:paraId="741942D2">
            <w:pPr>
              <w:spacing w:line="240" w:lineRule="auto"/>
              <w:rPr>
                <w:rFonts w:hint="eastAsia"/>
              </w:rPr>
            </w:pPr>
            <w:r>
              <w:rPr>
                <w:rFonts w:hint="eastAsia" w:hAnsi="宋体" w:cs="宋体"/>
                <w:sz w:val="24"/>
                <w:szCs w:val="24"/>
                <w:highlight w:val="none"/>
                <w:lang w:val="en-US" w:eastAsia="zh-CN"/>
              </w:rPr>
              <w:t>2.</w:t>
            </w:r>
            <w:r>
              <w:rPr>
                <w:rFonts w:hint="eastAsia" w:ascii="宋体" w:hAnsi="宋体" w:eastAsia="宋体" w:cs="宋体"/>
                <w:sz w:val="24"/>
                <w:szCs w:val="24"/>
                <w:highlight w:val="none"/>
                <w:lang w:val="en-US" w:eastAsia="zh-CN"/>
              </w:rPr>
              <w:t>安全</w:t>
            </w:r>
            <w:r>
              <w:rPr>
                <w:rFonts w:hint="eastAsia" w:ascii="宋体" w:hAnsi="宋体" w:cs="宋体"/>
                <w:sz w:val="24"/>
                <w:szCs w:val="24"/>
                <w:highlight w:val="none"/>
                <w:lang w:val="en-US" w:eastAsia="zh-CN"/>
              </w:rPr>
              <w:t>服务</w:t>
            </w:r>
            <w:r>
              <w:rPr>
                <w:rFonts w:hint="eastAsia" w:ascii="宋体" w:hAnsi="宋体" w:eastAsia="宋体" w:cs="宋体"/>
                <w:sz w:val="24"/>
                <w:szCs w:val="24"/>
                <w:highlight w:val="none"/>
                <w:lang w:val="en-US" w:eastAsia="zh-CN"/>
              </w:rPr>
              <w:t>保证计划</w:t>
            </w:r>
            <w:r>
              <w:rPr>
                <w:rFonts w:hint="eastAsia" w:hAnsi="宋体" w:cs="宋体"/>
                <w:sz w:val="24"/>
                <w:szCs w:val="24"/>
                <w:highlight w:val="none"/>
                <w:lang w:val="en-US" w:eastAsia="zh-CN"/>
              </w:rPr>
              <w:t>基础可行但不全面，保证措施欠妥，责任划分不明确，</w:t>
            </w:r>
            <w:r>
              <w:rPr>
                <w:rFonts w:hint="eastAsia" w:ascii="宋体" w:hAnsi="宋体" w:cs="宋体"/>
                <w:lang w:val="en-US" w:eastAsia="zh-CN"/>
              </w:rPr>
              <w:t>该项</w:t>
            </w:r>
            <w:r>
              <w:rPr>
                <w:rFonts w:hint="eastAsia" w:hAnsi="宋体" w:cs="宋体"/>
                <w:lang w:val="en-US" w:eastAsia="zh-CN"/>
              </w:rPr>
              <w:t>得1-4.9</w:t>
            </w:r>
            <w:r>
              <w:rPr>
                <w:rFonts w:hint="eastAsia" w:ascii="宋体" w:hAnsi="宋体" w:eastAsia="宋体" w:cs="宋体"/>
                <w:lang w:val="en-US" w:eastAsia="zh-CN"/>
              </w:rPr>
              <w:t>分</w:t>
            </w:r>
            <w:r>
              <w:rPr>
                <w:rFonts w:hint="eastAsia" w:hAnsi="宋体" w:cs="宋体"/>
                <w:lang w:val="en-US" w:eastAsia="zh-CN"/>
              </w:rPr>
              <w:t>；</w:t>
            </w:r>
            <w:r>
              <w:rPr>
                <w:rFonts w:hint="eastAsia" w:ascii="宋体" w:hAnsi="宋体" w:eastAsia="宋体" w:cs="宋体"/>
              </w:rPr>
              <w:t>未提供的</w:t>
            </w:r>
            <w:r>
              <w:rPr>
                <w:rFonts w:hint="eastAsia" w:ascii="宋体" w:hAnsi="宋体" w:eastAsia="宋体" w:cs="宋体"/>
                <w:lang w:val="en-US" w:eastAsia="zh-CN"/>
              </w:rPr>
              <w:t>该项</w:t>
            </w:r>
            <w:r>
              <w:rPr>
                <w:rFonts w:hint="eastAsia" w:ascii="宋体" w:hAnsi="宋体" w:eastAsia="宋体" w:cs="宋体"/>
              </w:rPr>
              <w:t>不计分；</w:t>
            </w:r>
          </w:p>
        </w:tc>
      </w:tr>
      <w:tr w14:paraId="6197B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743" w:type="dxa"/>
            <w:vMerge w:val="continue"/>
            <w:vAlign w:val="center"/>
          </w:tcPr>
          <w:p w14:paraId="604F30B7">
            <w:pPr>
              <w:spacing w:line="240" w:lineRule="auto"/>
              <w:jc w:val="center"/>
              <w:rPr>
                <w:rFonts w:hint="eastAsia" w:ascii="宋体" w:hAnsi="宋体" w:eastAsia="宋体" w:cs="宋体"/>
                <w:b w:val="0"/>
                <w:bCs/>
                <w:sz w:val="24"/>
                <w:szCs w:val="24"/>
              </w:rPr>
            </w:pPr>
          </w:p>
        </w:tc>
        <w:tc>
          <w:tcPr>
            <w:tcW w:w="1532" w:type="dxa"/>
            <w:vMerge w:val="continue"/>
            <w:vAlign w:val="center"/>
          </w:tcPr>
          <w:p w14:paraId="7727D4B1">
            <w:pPr>
              <w:spacing w:line="240" w:lineRule="auto"/>
              <w:jc w:val="center"/>
              <w:rPr>
                <w:rFonts w:hint="eastAsia" w:ascii="宋体" w:hAnsi="宋体" w:eastAsia="宋体" w:cs="宋体"/>
                <w:b w:val="0"/>
                <w:bCs/>
                <w:sz w:val="24"/>
                <w:szCs w:val="24"/>
              </w:rPr>
            </w:pPr>
          </w:p>
        </w:tc>
        <w:tc>
          <w:tcPr>
            <w:tcW w:w="7427" w:type="dxa"/>
            <w:vAlign w:val="center"/>
          </w:tcPr>
          <w:p w14:paraId="3158E866">
            <w:pPr>
              <w:keepNext w:val="0"/>
              <w:keepLines w:val="0"/>
              <w:widowControl/>
              <w:suppressLineNumbers w:val="0"/>
              <w:jc w:val="left"/>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售后服务及应急保障方案</w:t>
            </w:r>
            <w:r>
              <w:rPr>
                <w:rFonts w:hint="eastAsia" w:ascii="宋体" w:hAnsi="宋体" w:eastAsia="宋体" w:cs="宋体"/>
                <w:b/>
                <w:bCs/>
                <w:sz w:val="24"/>
                <w:szCs w:val="24"/>
                <w:highlight w:val="none"/>
                <w:lang w:val="en-US" w:eastAsia="zh-CN"/>
              </w:rPr>
              <w:t>(</w:t>
            </w:r>
            <w:r>
              <w:rPr>
                <w:rFonts w:hint="eastAsia" w:ascii="宋体" w:hAnsi="宋体" w:cs="宋体"/>
                <w:b/>
                <w:bCs/>
                <w:sz w:val="24"/>
                <w:szCs w:val="24"/>
                <w:highlight w:val="none"/>
                <w:lang w:val="en-US" w:eastAsia="zh-CN"/>
              </w:rPr>
              <w:t>10</w:t>
            </w:r>
            <w:r>
              <w:rPr>
                <w:rFonts w:hint="eastAsia" w:ascii="宋体" w:hAnsi="宋体" w:eastAsia="宋体" w:cs="宋体"/>
                <w:b/>
                <w:bCs/>
                <w:sz w:val="24"/>
                <w:szCs w:val="24"/>
                <w:highlight w:val="none"/>
                <w:lang w:val="en-US" w:eastAsia="zh-CN"/>
              </w:rPr>
              <w:t>分)</w:t>
            </w:r>
          </w:p>
          <w:p w14:paraId="1DACD9B0">
            <w:pPr>
              <w:spacing w:line="240" w:lineRule="auto"/>
              <w:rPr>
                <w:rFonts w:hint="eastAsia" w:ascii="宋体" w:hAnsi="宋体" w:eastAsia="宋体" w:cs="宋体"/>
                <w:b w:val="0"/>
                <w:bCs w:val="0"/>
                <w:color w:val="auto"/>
                <w:kern w:val="2"/>
                <w:sz w:val="24"/>
                <w:szCs w:val="24"/>
                <w:lang w:val="en-US" w:eastAsia="zh-CN" w:bidi="ar-SA"/>
              </w:rPr>
            </w:pPr>
            <w:r>
              <w:rPr>
                <w:rFonts w:hint="eastAsia" w:hAnsi="宋体" w:cs="宋体"/>
                <w:b w:val="0"/>
                <w:bCs w:val="0"/>
                <w:color w:val="auto"/>
                <w:kern w:val="2"/>
                <w:sz w:val="24"/>
                <w:szCs w:val="24"/>
                <w:lang w:val="en-US" w:eastAsia="zh-CN" w:bidi="ar-SA"/>
              </w:rPr>
              <w:t>1.</w:t>
            </w:r>
            <w:r>
              <w:rPr>
                <w:rFonts w:hint="eastAsia" w:ascii="宋体" w:hAnsi="宋体" w:eastAsia="宋体" w:cs="宋体"/>
                <w:b w:val="0"/>
                <w:bCs w:val="0"/>
                <w:color w:val="auto"/>
                <w:kern w:val="2"/>
                <w:sz w:val="24"/>
                <w:szCs w:val="24"/>
                <w:lang w:val="en-US" w:eastAsia="zh-CN" w:bidi="ar-SA"/>
              </w:rPr>
              <w:t>针对本项目服务特点，有具体可行的售后服务响应方案及售后服务承诺，</w:t>
            </w:r>
            <w:r>
              <w:rPr>
                <w:rFonts w:hint="eastAsia" w:hAnsi="宋体" w:cs="宋体"/>
                <w:b w:val="0"/>
                <w:bCs w:val="0"/>
                <w:color w:val="auto"/>
                <w:kern w:val="2"/>
                <w:sz w:val="24"/>
                <w:szCs w:val="24"/>
                <w:lang w:val="en-US" w:eastAsia="zh-CN" w:bidi="ar-SA"/>
              </w:rPr>
              <w:t>软件、硬件、网络</w:t>
            </w:r>
            <w:r>
              <w:rPr>
                <w:rFonts w:hint="eastAsia" w:ascii="宋体" w:hAnsi="宋体" w:eastAsia="宋体" w:cs="宋体"/>
                <w:b w:val="0"/>
                <w:bCs w:val="0"/>
                <w:color w:val="auto"/>
                <w:kern w:val="2"/>
                <w:sz w:val="24"/>
                <w:szCs w:val="24"/>
                <w:lang w:val="en-US" w:eastAsia="zh-CN" w:bidi="ar-SA"/>
              </w:rPr>
              <w:t>保障能力；具有相应的财力、人力、物力保障，并保证网络正常运转</w:t>
            </w:r>
            <w:r>
              <w:rPr>
                <w:rFonts w:hint="eastAsia" w:hAnsi="宋体" w:cs="宋体"/>
                <w:lang w:val="en-US" w:eastAsia="zh-CN"/>
              </w:rPr>
              <w:t>得1-5分</w:t>
            </w:r>
            <w:r>
              <w:rPr>
                <w:rFonts w:hint="eastAsia" w:ascii="宋体" w:hAnsi="宋体" w:cs="宋体"/>
                <w:lang w:val="en-US" w:eastAsia="zh-CN"/>
              </w:rPr>
              <w:t>，</w:t>
            </w:r>
            <w:r>
              <w:rPr>
                <w:rFonts w:hint="eastAsia" w:ascii="宋体" w:hAnsi="宋体" w:eastAsia="宋体" w:cs="宋体"/>
              </w:rPr>
              <w:t>未提供</w:t>
            </w:r>
            <w:r>
              <w:rPr>
                <w:rFonts w:hint="eastAsia" w:ascii="宋体" w:hAnsi="宋体" w:eastAsia="宋体" w:cs="宋体"/>
                <w:lang w:val="en-US" w:eastAsia="zh-CN"/>
              </w:rPr>
              <w:t>售后方案</w:t>
            </w:r>
            <w:r>
              <w:rPr>
                <w:rFonts w:hint="eastAsia" w:ascii="宋体" w:hAnsi="宋体" w:eastAsia="宋体" w:cs="宋体"/>
              </w:rPr>
              <w:t>的</w:t>
            </w:r>
            <w:r>
              <w:rPr>
                <w:rFonts w:hint="eastAsia" w:ascii="宋体" w:hAnsi="宋体" w:eastAsia="宋体" w:cs="宋体"/>
                <w:lang w:val="en-US" w:eastAsia="zh-CN"/>
              </w:rPr>
              <w:t>该项</w:t>
            </w:r>
            <w:r>
              <w:rPr>
                <w:rFonts w:hint="eastAsia" w:ascii="宋体" w:hAnsi="宋体" w:eastAsia="宋体" w:cs="宋体"/>
              </w:rPr>
              <w:t>不计分；</w:t>
            </w:r>
          </w:p>
          <w:p w14:paraId="4D0770C0">
            <w:pPr>
              <w:spacing w:line="240" w:lineRule="auto"/>
              <w:rPr>
                <w:rFonts w:hint="eastAsia" w:ascii="宋体" w:hAnsi="宋体" w:eastAsia="宋体" w:cs="宋体"/>
                <w:b w:val="0"/>
                <w:bCs/>
                <w:sz w:val="24"/>
                <w:szCs w:val="24"/>
              </w:rPr>
            </w:pPr>
            <w:r>
              <w:rPr>
                <w:rFonts w:hint="eastAsia" w:hAnsi="宋体" w:cs="宋体"/>
                <w:b w:val="0"/>
                <w:bCs w:val="0"/>
                <w:color w:val="auto"/>
                <w:kern w:val="2"/>
                <w:sz w:val="24"/>
                <w:szCs w:val="24"/>
                <w:lang w:val="en-US" w:eastAsia="zh-CN" w:bidi="ar-SA"/>
              </w:rPr>
              <w:t>2.</w:t>
            </w:r>
            <w:r>
              <w:rPr>
                <w:rFonts w:hint="eastAsia" w:ascii="宋体" w:hAnsi="宋体" w:eastAsia="宋体" w:cs="宋体"/>
                <w:b w:val="0"/>
                <w:bCs w:val="0"/>
                <w:color w:val="auto"/>
                <w:kern w:val="2"/>
                <w:sz w:val="24"/>
                <w:szCs w:val="24"/>
                <w:lang w:val="en-US" w:eastAsia="zh-CN" w:bidi="ar-SA"/>
              </w:rPr>
              <w:t>提供的</w:t>
            </w:r>
            <w:r>
              <w:rPr>
                <w:rFonts w:hint="eastAsia" w:hAnsi="宋体" w:cs="宋体"/>
                <w:b w:val="0"/>
                <w:bCs w:val="0"/>
                <w:color w:val="auto"/>
                <w:kern w:val="2"/>
                <w:sz w:val="24"/>
                <w:szCs w:val="24"/>
                <w:lang w:val="en-US" w:eastAsia="zh-CN" w:bidi="ar-SA"/>
              </w:rPr>
              <w:t>软件、硬件、网络有</w:t>
            </w:r>
            <w:r>
              <w:rPr>
                <w:rFonts w:hint="eastAsia" w:ascii="宋体" w:hAnsi="宋体" w:eastAsia="宋体" w:cs="宋体"/>
                <w:b w:val="0"/>
                <w:bCs w:val="0"/>
                <w:color w:val="auto"/>
                <w:kern w:val="2"/>
                <w:sz w:val="24"/>
                <w:szCs w:val="24"/>
                <w:lang w:val="en-US" w:eastAsia="zh-CN" w:bidi="ar-SA"/>
              </w:rPr>
              <w:t>使用应急方案及计划，保证使用单位能正常使用并提供应急解决问题的承诺，应急</w:t>
            </w:r>
            <w:r>
              <w:rPr>
                <w:rFonts w:hint="eastAsia" w:hAnsi="宋体" w:cs="宋体"/>
                <w:b w:val="0"/>
                <w:bCs w:val="0"/>
                <w:color w:val="auto"/>
                <w:kern w:val="2"/>
                <w:sz w:val="24"/>
                <w:szCs w:val="24"/>
                <w:lang w:val="en-US" w:eastAsia="zh-CN" w:bidi="ar-SA"/>
              </w:rPr>
              <w:t>系统</w:t>
            </w:r>
            <w:r>
              <w:rPr>
                <w:rFonts w:hint="eastAsia" w:ascii="宋体" w:hAnsi="宋体" w:eastAsia="宋体" w:cs="宋体"/>
                <w:b w:val="0"/>
                <w:bCs w:val="0"/>
                <w:color w:val="auto"/>
                <w:kern w:val="2"/>
                <w:sz w:val="24"/>
                <w:szCs w:val="24"/>
                <w:lang w:val="en-US" w:eastAsia="zh-CN" w:bidi="ar-SA"/>
              </w:rPr>
              <w:t>保障能力、具备应急保障组织架构和保障流程等多种保障手段和相应能力</w:t>
            </w:r>
            <w:r>
              <w:rPr>
                <w:rFonts w:hint="eastAsia" w:hAnsi="宋体" w:cs="宋体"/>
                <w:lang w:val="en-US" w:eastAsia="zh-CN"/>
              </w:rPr>
              <w:t>得1-5分</w:t>
            </w:r>
            <w:r>
              <w:rPr>
                <w:rFonts w:hint="eastAsia" w:ascii="宋体" w:hAnsi="宋体" w:cs="宋体"/>
                <w:lang w:val="en-US" w:eastAsia="zh-CN"/>
              </w:rPr>
              <w:t>，</w:t>
            </w:r>
            <w:r>
              <w:rPr>
                <w:rFonts w:hint="eastAsia" w:ascii="宋体" w:hAnsi="宋体" w:eastAsia="宋体" w:cs="宋体"/>
              </w:rPr>
              <w:t>未提供</w:t>
            </w:r>
            <w:r>
              <w:rPr>
                <w:rFonts w:hint="eastAsia" w:ascii="宋体" w:hAnsi="宋体" w:eastAsia="宋体" w:cs="宋体"/>
                <w:lang w:val="en-US" w:eastAsia="zh-CN"/>
              </w:rPr>
              <w:t>售后方案</w:t>
            </w:r>
            <w:r>
              <w:rPr>
                <w:rFonts w:hint="eastAsia" w:ascii="宋体" w:hAnsi="宋体" w:eastAsia="宋体" w:cs="宋体"/>
              </w:rPr>
              <w:t>的</w:t>
            </w:r>
            <w:r>
              <w:rPr>
                <w:rFonts w:hint="eastAsia" w:ascii="宋体" w:hAnsi="宋体" w:eastAsia="宋体" w:cs="宋体"/>
                <w:lang w:val="en-US" w:eastAsia="zh-CN"/>
              </w:rPr>
              <w:t>该项</w:t>
            </w:r>
            <w:r>
              <w:rPr>
                <w:rFonts w:hint="eastAsia" w:ascii="宋体" w:hAnsi="宋体" w:eastAsia="宋体" w:cs="宋体"/>
              </w:rPr>
              <w:t>不计分；</w:t>
            </w:r>
          </w:p>
        </w:tc>
      </w:tr>
      <w:tr w14:paraId="6164B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743" w:type="dxa"/>
            <w:vAlign w:val="center"/>
          </w:tcPr>
          <w:p w14:paraId="20AFECF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kern w:val="2"/>
                <w:sz w:val="24"/>
                <w:szCs w:val="24"/>
                <w:lang w:val="en-US" w:eastAsia="zh-CN" w:bidi="ar-SA"/>
              </w:rPr>
            </w:pPr>
            <w:r>
              <w:rPr>
                <w:rFonts w:hint="eastAsia" w:ascii="宋体" w:hAnsi="宋体" w:cs="宋体"/>
                <w:b w:val="0"/>
                <w:bCs/>
                <w:sz w:val="24"/>
                <w:szCs w:val="24"/>
                <w:lang w:val="en-US" w:eastAsia="zh-CN"/>
              </w:rPr>
              <w:t>3</w:t>
            </w:r>
          </w:p>
        </w:tc>
        <w:tc>
          <w:tcPr>
            <w:tcW w:w="1532" w:type="dxa"/>
            <w:vAlign w:val="center"/>
          </w:tcPr>
          <w:p w14:paraId="30F76E61">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企业业绩</w:t>
            </w:r>
          </w:p>
          <w:p w14:paraId="2946A047">
            <w:pPr>
              <w:pStyle w:val="10"/>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sz w:val="24"/>
                <w:szCs w:val="24"/>
                <w:lang w:val="en-US" w:eastAsia="zh-CN"/>
              </w:rPr>
              <w:t>（</w:t>
            </w:r>
            <w:r>
              <w:rPr>
                <w:rFonts w:hint="eastAsia" w:ascii="宋体" w:hAnsi="宋体" w:cs="宋体"/>
                <w:b/>
                <w:bCs w:val="0"/>
                <w:sz w:val="24"/>
                <w:szCs w:val="24"/>
                <w:lang w:val="en-US" w:eastAsia="zh-CN"/>
              </w:rPr>
              <w:t>5</w:t>
            </w:r>
            <w:r>
              <w:rPr>
                <w:rFonts w:hint="eastAsia" w:ascii="宋体" w:hAnsi="宋体" w:eastAsia="宋体" w:cs="宋体"/>
                <w:b/>
                <w:bCs w:val="0"/>
                <w:sz w:val="24"/>
                <w:szCs w:val="24"/>
                <w:lang w:val="en-US" w:eastAsia="zh-CN"/>
              </w:rPr>
              <w:t>分）</w:t>
            </w:r>
          </w:p>
        </w:tc>
        <w:tc>
          <w:tcPr>
            <w:tcW w:w="7427" w:type="dxa"/>
            <w:vAlign w:val="center"/>
          </w:tcPr>
          <w:p w14:paraId="2E22F36D">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bCs/>
                <w:kern w:val="2"/>
                <w:sz w:val="24"/>
                <w:szCs w:val="24"/>
                <w:lang w:val="en-US" w:eastAsia="zh-CN" w:bidi="ar-SA"/>
              </w:rPr>
            </w:pP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lang w:val="zh-CN" w:eastAsia="zh-CN"/>
              </w:rPr>
              <w:t>自</w:t>
            </w:r>
            <w:r>
              <w:rPr>
                <w:rFonts w:hint="eastAsia" w:ascii="宋体" w:hAnsi="宋体" w:eastAsia="宋体" w:cs="宋体"/>
                <w:sz w:val="24"/>
                <w:szCs w:val="24"/>
                <w:highlight w:val="none"/>
                <w:lang w:val="en-US" w:eastAsia="zh-CN"/>
              </w:rPr>
              <w:t>202</w:t>
            </w:r>
            <w:r>
              <w:rPr>
                <w:rFonts w:hint="eastAsia" w:hAnsi="宋体" w:cs="宋体"/>
                <w:sz w:val="24"/>
                <w:szCs w:val="24"/>
                <w:highlight w:val="none"/>
                <w:lang w:val="en-US" w:eastAsia="zh-CN"/>
              </w:rPr>
              <w:t>2</w:t>
            </w:r>
            <w:r>
              <w:rPr>
                <w:rFonts w:hint="eastAsia" w:ascii="宋体" w:hAnsi="宋体" w:eastAsia="宋体" w:cs="宋体"/>
                <w:sz w:val="24"/>
                <w:szCs w:val="24"/>
                <w:highlight w:val="none"/>
                <w:lang w:val="en-US" w:eastAsia="zh-CN"/>
              </w:rPr>
              <w:t>年1月至今</w:t>
            </w:r>
            <w:r>
              <w:rPr>
                <w:rFonts w:hint="eastAsia" w:ascii="宋体" w:hAnsi="宋体" w:eastAsia="宋体" w:cs="宋体"/>
                <w:sz w:val="24"/>
                <w:szCs w:val="24"/>
                <w:highlight w:val="none"/>
                <w:lang w:val="zh-CN" w:eastAsia="zh-CN"/>
              </w:rPr>
              <w:t>投标人类似</w:t>
            </w:r>
            <w:r>
              <w:rPr>
                <w:rFonts w:hint="eastAsia" w:ascii="宋体" w:hAnsi="宋体" w:cs="宋体"/>
                <w:sz w:val="24"/>
                <w:szCs w:val="24"/>
                <w:highlight w:val="none"/>
                <w:lang w:val="en-US" w:eastAsia="zh-CN"/>
              </w:rPr>
              <w:t>项目</w:t>
            </w:r>
            <w:r>
              <w:rPr>
                <w:rFonts w:hint="eastAsia" w:ascii="宋体" w:hAnsi="宋体" w:eastAsia="宋体" w:cs="宋体"/>
                <w:sz w:val="24"/>
                <w:szCs w:val="24"/>
                <w:highlight w:val="none"/>
                <w:lang w:val="zh-CN" w:eastAsia="zh-CN"/>
              </w:rPr>
              <w:t>业绩</w:t>
            </w:r>
            <w:r>
              <w:rPr>
                <w:rFonts w:hint="eastAsia" w:ascii="宋体" w:hAnsi="宋体" w:cs="宋体"/>
                <w:sz w:val="24"/>
                <w:szCs w:val="24"/>
                <w:highlight w:val="none"/>
                <w:lang w:val="en-US" w:eastAsia="zh-CN"/>
              </w:rPr>
              <w:t>合同</w:t>
            </w:r>
            <w:r>
              <w:rPr>
                <w:rFonts w:hint="eastAsia" w:ascii="宋体" w:hAnsi="宋体" w:eastAsia="宋体" w:cs="宋体"/>
                <w:sz w:val="24"/>
                <w:szCs w:val="24"/>
                <w:highlight w:val="none"/>
                <w:lang w:val="zh-CN" w:eastAsia="zh-CN"/>
              </w:rPr>
              <w:t>，提供加盖公章的</w:t>
            </w:r>
            <w:r>
              <w:rPr>
                <w:rFonts w:hint="eastAsia" w:ascii="宋体" w:hAnsi="宋体" w:eastAsia="宋体" w:cs="宋体"/>
                <w:sz w:val="24"/>
                <w:szCs w:val="24"/>
                <w:highlight w:val="none"/>
                <w:lang w:val="en-US" w:eastAsia="zh-CN"/>
              </w:rPr>
              <w:t>类似</w:t>
            </w:r>
            <w:r>
              <w:rPr>
                <w:rFonts w:hint="eastAsia" w:ascii="宋体" w:hAnsi="宋体" w:eastAsia="宋体" w:cs="宋体"/>
                <w:sz w:val="24"/>
                <w:szCs w:val="24"/>
                <w:highlight w:val="none"/>
                <w:lang w:val="zh-CN" w:eastAsia="zh-CN"/>
              </w:rPr>
              <w:t>合同复印件</w:t>
            </w:r>
            <w:r>
              <w:rPr>
                <w:rFonts w:hint="eastAsia" w:ascii="宋体" w:hAnsi="宋体" w:eastAsia="宋体" w:cs="宋体"/>
                <w:sz w:val="24"/>
                <w:szCs w:val="24"/>
                <w:highlight w:val="none"/>
                <w:lang w:val="en-US" w:eastAsia="zh-CN"/>
              </w:rPr>
              <w:t>及中标通知书，每提供一份得</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.5分，最高得</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en-US" w:eastAsia="zh-CN"/>
              </w:rPr>
              <w:t>分，没有</w:t>
            </w:r>
            <w:r>
              <w:rPr>
                <w:rFonts w:hint="eastAsia" w:ascii="宋体" w:hAnsi="宋体" w:cs="宋体"/>
                <w:sz w:val="24"/>
                <w:szCs w:val="24"/>
                <w:highlight w:val="none"/>
                <w:lang w:val="en-US" w:eastAsia="zh-CN"/>
              </w:rPr>
              <w:t>或缺项则</w:t>
            </w:r>
            <w:r>
              <w:rPr>
                <w:rFonts w:hint="eastAsia" w:ascii="宋体" w:hAnsi="宋体" w:eastAsia="宋体" w:cs="宋体"/>
                <w:sz w:val="24"/>
                <w:szCs w:val="24"/>
                <w:highlight w:val="none"/>
                <w:lang w:val="en-US" w:eastAsia="zh-CN"/>
              </w:rPr>
              <w:t>不得分。</w:t>
            </w:r>
          </w:p>
        </w:tc>
      </w:tr>
      <w:tr w14:paraId="08DFC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Align w:val="center"/>
          </w:tcPr>
          <w:p w14:paraId="6A92BA17">
            <w:pPr>
              <w:spacing w:line="240" w:lineRule="auto"/>
              <w:jc w:val="center"/>
              <w:rPr>
                <w:rFonts w:hint="eastAsia" w:ascii="宋体" w:hAnsi="宋体" w:eastAsia="宋体" w:cs="宋体"/>
                <w:b w:val="0"/>
                <w:bCs/>
                <w:sz w:val="24"/>
                <w:szCs w:val="24"/>
                <w:lang w:val="en-US" w:eastAsia="zh-CN"/>
              </w:rPr>
            </w:pPr>
            <w:r>
              <w:rPr>
                <w:rFonts w:hint="eastAsia" w:ascii="宋体" w:hAnsi="宋体" w:cs="宋体"/>
                <w:b w:val="0"/>
                <w:bCs/>
                <w:sz w:val="24"/>
                <w:szCs w:val="24"/>
                <w:lang w:val="en-US" w:eastAsia="zh-CN"/>
              </w:rPr>
              <w:t>4</w:t>
            </w:r>
          </w:p>
        </w:tc>
        <w:tc>
          <w:tcPr>
            <w:tcW w:w="1532" w:type="dxa"/>
            <w:vAlign w:val="center"/>
          </w:tcPr>
          <w:p w14:paraId="19942BFB">
            <w:pPr>
              <w:snapToGrid w:val="0"/>
              <w:spacing w:line="240" w:lineRule="auto"/>
              <w:jc w:val="center"/>
              <w:rPr>
                <w:rFonts w:hint="eastAsia" w:ascii="宋体" w:hAnsi="宋体" w:cs="宋体"/>
                <w:b/>
                <w:bCs w:val="0"/>
                <w:sz w:val="24"/>
                <w:szCs w:val="24"/>
                <w:lang w:val="en-US" w:eastAsia="zh-CN"/>
              </w:rPr>
            </w:pPr>
            <w:r>
              <w:rPr>
                <w:rFonts w:hint="eastAsia" w:ascii="宋体" w:hAnsi="宋体" w:cs="宋体"/>
                <w:b/>
                <w:bCs w:val="0"/>
                <w:sz w:val="24"/>
                <w:szCs w:val="24"/>
                <w:lang w:val="en-US" w:eastAsia="zh-CN"/>
              </w:rPr>
              <w:t>信用状况</w:t>
            </w:r>
          </w:p>
          <w:p w14:paraId="6861E664">
            <w:pPr>
              <w:snapToGrid w:val="0"/>
              <w:spacing w:line="240" w:lineRule="auto"/>
              <w:jc w:val="center"/>
              <w:rPr>
                <w:rFonts w:hint="default" w:ascii="宋体" w:hAnsi="宋体" w:eastAsia="宋体" w:cs="宋体"/>
                <w:b/>
                <w:bCs w:val="0"/>
                <w:sz w:val="24"/>
                <w:szCs w:val="24"/>
                <w:lang w:val="en-US" w:eastAsia="zh-CN"/>
              </w:rPr>
            </w:pPr>
            <w:r>
              <w:rPr>
                <w:rFonts w:hint="eastAsia" w:ascii="宋体" w:hAnsi="宋体" w:cs="宋体"/>
                <w:b/>
                <w:bCs w:val="0"/>
                <w:sz w:val="24"/>
                <w:szCs w:val="24"/>
                <w:lang w:val="en-US" w:eastAsia="zh-CN"/>
              </w:rPr>
              <w:t>（5分）</w:t>
            </w:r>
          </w:p>
        </w:tc>
        <w:tc>
          <w:tcPr>
            <w:tcW w:w="7427" w:type="dxa"/>
            <w:vAlign w:val="center"/>
          </w:tcPr>
          <w:p w14:paraId="6178E21C">
            <w:pPr>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无不良信用记录的得</w:t>
            </w:r>
            <w:r>
              <w:rPr>
                <w:rFonts w:hint="eastAsia" w:ascii="宋体" w:hAnsi="宋体" w:eastAsia="宋体" w:cs="宋体"/>
                <w:b w:val="0"/>
                <w:bCs/>
                <w:sz w:val="24"/>
                <w:szCs w:val="24"/>
                <w:lang w:val="en-US" w:eastAsia="zh-CN"/>
              </w:rPr>
              <w:t>5</w:t>
            </w:r>
            <w:r>
              <w:rPr>
                <w:rFonts w:hint="eastAsia" w:ascii="宋体" w:hAnsi="宋体" w:eastAsia="宋体" w:cs="宋体"/>
                <w:b w:val="0"/>
                <w:bCs/>
                <w:sz w:val="24"/>
                <w:szCs w:val="24"/>
              </w:rPr>
              <w:t>分，被行政部门实施行政处罚但未限制其投标资格的，每有一项扣</w:t>
            </w: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rPr>
              <w:t>分，最低得0分。</w:t>
            </w:r>
          </w:p>
          <w:p w14:paraId="086B96F4">
            <w:pPr>
              <w:snapToGrid w:val="0"/>
              <w:spacing w:line="240" w:lineRule="auto"/>
              <w:rPr>
                <w:rFonts w:hint="eastAsia" w:ascii="宋体" w:hAnsi="宋体" w:eastAsia="宋体" w:cs="宋体"/>
                <w:b w:val="0"/>
                <w:bCs/>
                <w:sz w:val="24"/>
                <w:szCs w:val="24"/>
              </w:rPr>
            </w:pPr>
            <w:r>
              <w:rPr>
                <w:rFonts w:hint="eastAsia" w:ascii="宋体" w:hAnsi="宋体" w:eastAsia="宋体" w:cs="宋体"/>
                <w:b w:val="0"/>
                <w:bCs/>
                <w:sz w:val="24"/>
                <w:szCs w:val="24"/>
              </w:rPr>
              <w:t>评审依据：提供信用报告</w:t>
            </w:r>
            <w:r>
              <w:rPr>
                <w:rFonts w:hint="eastAsia" w:ascii="宋体" w:hAnsi="宋体" w:eastAsia="宋体" w:cs="宋体"/>
                <w:b w:val="0"/>
                <w:bCs/>
                <w:sz w:val="24"/>
                <w:szCs w:val="24"/>
                <w:lang w:val="en-US" w:eastAsia="zh-CN"/>
              </w:rPr>
              <w:t>及</w:t>
            </w:r>
            <w:r>
              <w:rPr>
                <w:rFonts w:hint="eastAsia" w:hAnsi="宋体" w:cs="宋体"/>
                <w:b w:val="0"/>
                <w:bCs/>
                <w:sz w:val="24"/>
                <w:szCs w:val="24"/>
                <w:lang w:val="en-US" w:eastAsia="zh-CN"/>
              </w:rPr>
              <w:t>网页</w:t>
            </w:r>
            <w:r>
              <w:rPr>
                <w:rFonts w:hint="eastAsia" w:ascii="宋体" w:hAnsi="宋体" w:eastAsia="宋体" w:cs="宋体"/>
                <w:b w:val="0"/>
                <w:bCs/>
                <w:sz w:val="24"/>
                <w:szCs w:val="24"/>
              </w:rPr>
              <w:t>截图。</w:t>
            </w:r>
          </w:p>
        </w:tc>
      </w:tr>
    </w:tbl>
    <w:p w14:paraId="24E32ED9">
      <w:pPr>
        <w:spacing w:line="288" w:lineRule="auto"/>
        <w:rPr>
          <w:rFonts w:hint="eastAsia" w:hAnsi="宋体" w:cs="宋体"/>
          <w:b/>
          <w:bCs/>
          <w:sz w:val="24"/>
          <w:szCs w:val="24"/>
        </w:rPr>
      </w:pPr>
    </w:p>
    <w:p w14:paraId="5E12E77D">
      <w:pPr>
        <w:spacing w:line="288" w:lineRule="auto"/>
        <w:rPr>
          <w:rFonts w:hAnsi="宋体" w:cs="宋体"/>
          <w:sz w:val="24"/>
          <w:szCs w:val="24"/>
        </w:rPr>
      </w:pPr>
      <w:r>
        <w:rPr>
          <w:rFonts w:hint="eastAsia" w:hAnsi="宋体" w:cs="宋体"/>
          <w:b/>
          <w:bCs/>
          <w:sz w:val="24"/>
          <w:szCs w:val="24"/>
        </w:rPr>
        <w:t>注：</w:t>
      </w:r>
      <w:r>
        <w:rPr>
          <w:rFonts w:hint="eastAsia" w:hAnsi="宋体" w:cs="宋体"/>
          <w:sz w:val="24"/>
          <w:szCs w:val="24"/>
        </w:rPr>
        <w:t>1.评委打分超过得分界限或未按本方法赋分时，该评委的打分按废票处理。</w:t>
      </w:r>
    </w:p>
    <w:p w14:paraId="503CE4F3">
      <w:pPr>
        <w:spacing w:line="288" w:lineRule="auto"/>
        <w:ind w:firstLine="480" w:firstLineChars="200"/>
        <w:rPr>
          <w:rFonts w:hAnsi="宋体" w:cs="宋体"/>
          <w:sz w:val="24"/>
          <w:szCs w:val="24"/>
        </w:rPr>
      </w:pPr>
      <w:r>
        <w:rPr>
          <w:rFonts w:hint="eastAsia" w:hAnsi="宋体" w:cs="宋体"/>
          <w:sz w:val="24"/>
          <w:szCs w:val="24"/>
        </w:rPr>
        <w:t>2.各种计算数字均保留两位小数，第三位“四舍五入”。</w:t>
      </w:r>
    </w:p>
    <w:p w14:paraId="4E16F2B5">
      <w:pPr>
        <w:spacing w:line="288" w:lineRule="auto"/>
        <w:ind w:firstLine="480" w:firstLineChars="200"/>
        <w:rPr>
          <w:rFonts w:hAnsi="宋体" w:cs="宋体"/>
          <w:sz w:val="24"/>
          <w:szCs w:val="24"/>
        </w:rPr>
      </w:pPr>
      <w:r>
        <w:rPr>
          <w:rFonts w:hint="eastAsia" w:hAnsi="宋体" w:cs="宋体"/>
          <w:sz w:val="24"/>
          <w:szCs w:val="24"/>
        </w:rPr>
        <w:t>3.特殊情况处理：</w:t>
      </w:r>
    </w:p>
    <w:p w14:paraId="1F463215">
      <w:pPr>
        <w:spacing w:line="288" w:lineRule="auto"/>
        <w:ind w:firstLine="480" w:firstLineChars="200"/>
        <w:rPr>
          <w:rFonts w:hAnsi="宋体" w:cs="宋体"/>
          <w:sz w:val="24"/>
          <w:szCs w:val="24"/>
        </w:rPr>
      </w:pPr>
      <w:r>
        <w:rPr>
          <w:rFonts w:hint="eastAsia" w:hAnsi="宋体" w:cs="宋体"/>
          <w:sz w:val="24"/>
          <w:szCs w:val="24"/>
        </w:rPr>
        <w:t>A.当投标人某评分项出现未报、漏报，该分项得零分，零报价时不参与投标报价分的计算。</w:t>
      </w:r>
    </w:p>
    <w:p w14:paraId="1C556A11">
      <w:pPr>
        <w:spacing w:line="288" w:lineRule="auto"/>
        <w:ind w:firstLine="480" w:firstLineChars="200"/>
        <w:rPr>
          <w:rFonts w:hAnsi="宋体" w:cs="宋体"/>
          <w:sz w:val="24"/>
          <w:szCs w:val="24"/>
        </w:rPr>
      </w:pPr>
      <w:r>
        <w:rPr>
          <w:rFonts w:hint="eastAsia" w:hAnsi="宋体" w:cs="宋体"/>
          <w:sz w:val="24"/>
          <w:szCs w:val="24"/>
        </w:rPr>
        <w:t>B.评标结果按评审后得分由高到低顺序排列。投标文件满足招标文件全部实质性要求，且按照评审因素的量化指标评审得分最高的投标人为排名第一的中标候选人。得分相同的，按投标报价由低到高顺序排列。</w:t>
      </w:r>
    </w:p>
    <w:p w14:paraId="2136A96C">
      <w:pPr>
        <w:adjustRightInd w:val="0"/>
        <w:snapToGrid w:val="0"/>
        <w:spacing w:line="440" w:lineRule="exact"/>
        <w:ind w:firstLine="480" w:firstLineChars="200"/>
        <w:rPr>
          <w:rFonts w:hint="eastAsia" w:hAnsi="宋体" w:cs="宋体"/>
          <w:sz w:val="24"/>
          <w:szCs w:val="24"/>
        </w:rPr>
      </w:pPr>
      <w:r>
        <w:rPr>
          <w:rFonts w:hint="eastAsia" w:hAnsi="宋体" w:cs="宋体"/>
          <w:sz w:val="24"/>
          <w:szCs w:val="24"/>
        </w:rPr>
        <w:t>C.评议过程中，若出现本评分方法以外的特殊情况时，将暂停评审，待评标委员会商榷后再进行复会。</w:t>
      </w:r>
    </w:p>
    <w:p w14:paraId="1336BD7C">
      <w:pPr>
        <w:adjustRightInd w:val="0"/>
        <w:snapToGrid w:val="0"/>
        <w:spacing w:line="440" w:lineRule="exact"/>
        <w:ind w:firstLine="480" w:firstLineChars="200"/>
        <w:rPr>
          <w:rFonts w:hint="default" w:ascii="宋体" w:hAnsi="宋体" w:cs="宋体"/>
          <w:sz w:val="24"/>
          <w:lang w:val="en-US" w:eastAsia="zh-CN"/>
        </w:rPr>
      </w:pPr>
      <w:r>
        <w:rPr>
          <w:rFonts w:hint="eastAsia" w:hAnsi="宋体" w:cs="宋体"/>
          <w:sz w:val="24"/>
          <w:lang w:val="en-US" w:eastAsia="zh-CN"/>
        </w:rPr>
        <w:t>4.</w:t>
      </w:r>
      <w:r>
        <w:rPr>
          <w:rFonts w:hint="eastAsia" w:ascii="宋体" w:hAnsi="宋体" w:cs="宋体"/>
          <w:sz w:val="24"/>
          <w:lang w:val="en-US" w:eastAsia="zh-CN"/>
        </w:rPr>
        <w:t>价格折扣</w:t>
      </w:r>
    </w:p>
    <w:p w14:paraId="398F1307">
      <w:pPr>
        <w:adjustRightInd w:val="0"/>
        <w:snapToGrid w:val="0"/>
        <w:spacing w:line="440" w:lineRule="exact"/>
        <w:ind w:firstLine="480" w:firstLineChars="200"/>
        <w:rPr>
          <w:rFonts w:hint="eastAsia" w:ascii="宋体" w:hAnsi="宋体" w:eastAsia="宋体" w:cs="宋体"/>
          <w:sz w:val="24"/>
        </w:rPr>
      </w:pPr>
      <w:r>
        <w:rPr>
          <w:rFonts w:hint="eastAsia" w:hAnsi="宋体" w:cs="宋体"/>
          <w:sz w:val="24"/>
          <w:lang w:val="en-US" w:eastAsia="zh-CN"/>
        </w:rPr>
        <w:t>4.</w:t>
      </w:r>
      <w:r>
        <w:rPr>
          <w:rFonts w:hint="eastAsia" w:ascii="宋体" w:hAnsi="宋体" w:cs="宋体"/>
          <w:sz w:val="24"/>
          <w:lang w:val="en-US" w:eastAsia="zh-CN"/>
        </w:rPr>
        <w:t>1</w:t>
      </w:r>
      <w:r>
        <w:rPr>
          <w:rFonts w:hint="eastAsia" w:ascii="宋体" w:hAnsi="宋体" w:eastAsia="宋体" w:cs="宋体"/>
          <w:sz w:val="24"/>
        </w:rPr>
        <w:t>对</w:t>
      </w:r>
      <w:r>
        <w:rPr>
          <w:rFonts w:hint="eastAsia" w:hAnsi="宋体" w:cs="宋体"/>
          <w:sz w:val="24"/>
          <w:lang w:val="en-US" w:eastAsia="zh-CN"/>
        </w:rPr>
        <w:t>中小</w:t>
      </w:r>
      <w:r>
        <w:rPr>
          <w:rFonts w:hint="eastAsia" w:ascii="宋体" w:hAnsi="宋体" w:eastAsia="宋体" w:cs="宋体"/>
          <w:sz w:val="24"/>
        </w:rPr>
        <w:t>企业（含</w:t>
      </w:r>
      <w:r>
        <w:rPr>
          <w:rFonts w:hint="eastAsia" w:hAnsi="宋体" w:cs="宋体"/>
          <w:sz w:val="24"/>
          <w:lang w:val="en-US" w:eastAsia="zh-CN"/>
        </w:rPr>
        <w:t>中型、</w:t>
      </w:r>
      <w:r>
        <w:rPr>
          <w:rFonts w:hint="eastAsia" w:ascii="宋体" w:hAnsi="宋体" w:eastAsia="宋体" w:cs="宋体"/>
          <w:sz w:val="24"/>
        </w:rPr>
        <w:t>小型、微型企业）、监狱企业、残疾人福利性单位</w:t>
      </w:r>
      <w:r>
        <w:rPr>
          <w:rFonts w:hint="eastAsia" w:ascii="宋体" w:hAnsi="宋体" w:eastAsia="宋体" w:cs="宋体"/>
          <w:color w:val="auto"/>
          <w:sz w:val="24"/>
        </w:rPr>
        <w:t>（落实的政府采购政策）</w:t>
      </w:r>
      <w:r>
        <w:rPr>
          <w:rFonts w:hint="eastAsia" w:ascii="宋体" w:hAnsi="宋体" w:eastAsia="宋体" w:cs="宋体"/>
          <w:sz w:val="24"/>
        </w:rPr>
        <w:t>提供的报价给予</w:t>
      </w:r>
      <w:r>
        <w:rPr>
          <w:rFonts w:hint="eastAsia" w:ascii="宋体" w:hAnsi="宋体" w:cs="宋体"/>
          <w:sz w:val="24"/>
          <w:lang w:val="en-US" w:eastAsia="zh-CN"/>
        </w:rPr>
        <w:t>20</w:t>
      </w:r>
      <w:r>
        <w:rPr>
          <w:rFonts w:hint="eastAsia" w:ascii="宋体" w:hAnsi="宋体" w:eastAsia="宋体" w:cs="宋体"/>
          <w:sz w:val="24"/>
        </w:rPr>
        <w:t>%的价格扣除，用扣除后的价格参与评审排序，除此之外的其他情形均不适用本款规定</w:t>
      </w:r>
      <w:r>
        <w:rPr>
          <w:rFonts w:hint="eastAsia" w:ascii="宋体" w:hAnsi="宋体" w:cs="宋体"/>
          <w:sz w:val="24"/>
          <w:lang w:eastAsia="zh-CN"/>
        </w:rPr>
        <w:t>（</w:t>
      </w:r>
      <w:r>
        <w:rPr>
          <w:rFonts w:hint="eastAsia" w:ascii="宋体" w:hAnsi="宋体" w:cs="宋体"/>
          <w:sz w:val="24"/>
          <w:lang w:val="en-US" w:eastAsia="zh-CN"/>
        </w:rPr>
        <w:t>经评审小组成员认定的小微企业享受该政策，计算方法：评审价格=供应商报价×（1-20%），评审价格作为</w:t>
      </w:r>
      <w:r>
        <w:rPr>
          <w:rFonts w:hint="eastAsia" w:hAnsi="宋体" w:cs="宋体"/>
          <w:sz w:val="24"/>
          <w:lang w:val="en-US" w:eastAsia="zh-CN"/>
        </w:rPr>
        <w:t>合同</w:t>
      </w:r>
      <w:r>
        <w:rPr>
          <w:rFonts w:hint="eastAsia" w:ascii="宋体" w:hAnsi="宋体" w:cs="宋体"/>
          <w:sz w:val="24"/>
          <w:lang w:val="en-US" w:eastAsia="zh-CN"/>
        </w:rPr>
        <w:t>价格，如中标，供应商报价不变，作为签订合同价格）</w:t>
      </w:r>
      <w:r>
        <w:rPr>
          <w:rFonts w:hint="eastAsia" w:ascii="宋体" w:hAnsi="宋体" w:eastAsia="宋体" w:cs="宋体"/>
          <w:sz w:val="24"/>
        </w:rPr>
        <w:t xml:space="preserve">。 </w:t>
      </w:r>
    </w:p>
    <w:p w14:paraId="2C227F26">
      <w:pPr>
        <w:spacing w:line="288" w:lineRule="auto"/>
        <w:ind w:firstLine="480" w:firstLineChars="200"/>
        <w:rPr>
          <w:rFonts w:hint="eastAsia" w:hAnsi="宋体" w:cs="宋体"/>
          <w:sz w:val="24"/>
          <w:szCs w:val="24"/>
        </w:rPr>
        <w:sectPr>
          <w:footerReference r:id="rId5" w:type="default"/>
          <w:pgSz w:w="11906" w:h="16838"/>
          <w:pgMar w:top="1417" w:right="1417" w:bottom="1417" w:left="1417" w:header="850" w:footer="850" w:gutter="0"/>
          <w:pgNumType w:fmt="numberInDash" w:start="1"/>
          <w:cols w:space="425" w:num="1"/>
          <w:docGrid w:type="lines" w:linePitch="326" w:charSpace="0"/>
        </w:sectPr>
      </w:pPr>
      <w:r>
        <w:rPr>
          <w:rFonts w:hint="eastAsia" w:hAnsi="宋体" w:cs="宋体"/>
          <w:sz w:val="24"/>
          <w:lang w:val="en-US" w:eastAsia="zh-CN"/>
        </w:rPr>
        <w:t>4</w:t>
      </w:r>
      <w:r>
        <w:rPr>
          <w:rFonts w:hint="eastAsia" w:ascii="宋体" w:hAnsi="宋体" w:cs="宋体"/>
          <w:sz w:val="24"/>
          <w:lang w:val="en-US" w:eastAsia="zh-CN"/>
        </w:rPr>
        <w:t>.2</w:t>
      </w:r>
      <w:r>
        <w:rPr>
          <w:rFonts w:hint="eastAsia" w:hAnsi="宋体" w:cs="宋体"/>
          <w:sz w:val="24"/>
          <w:lang w:val="en-US" w:eastAsia="zh-CN"/>
        </w:rPr>
        <w:t>评审</w:t>
      </w:r>
      <w:r>
        <w:rPr>
          <w:rFonts w:hint="eastAsia" w:ascii="宋体" w:hAnsi="宋体" w:eastAsia="宋体" w:cs="宋体"/>
          <w:sz w:val="24"/>
        </w:rPr>
        <w:t>小组应审查供应商是否具备“落实政府采购政策”的资格，如不符合相关文件要求或供应商未提供相关声明，供应商不可以享受价格折扣优惠政策。</w:t>
      </w:r>
    </w:p>
    <w:p w14:paraId="6C96C95B">
      <w:pPr>
        <w:pStyle w:val="2"/>
      </w:pPr>
      <w:bookmarkStart w:id="162" w:name="_Toc1331"/>
      <w:r>
        <w:rPr>
          <w:rFonts w:hint="eastAsia"/>
          <w:sz w:val="32"/>
          <w:szCs w:val="32"/>
        </w:rPr>
        <w:t xml:space="preserve">第四章 </w:t>
      </w:r>
      <w:r>
        <w:rPr>
          <w:rFonts w:hint="eastAsia"/>
          <w:sz w:val="32"/>
          <w:szCs w:val="32"/>
          <w:lang w:val="en-US" w:eastAsia="zh-CN"/>
        </w:rPr>
        <w:t>服务内容</w:t>
      </w:r>
      <w:r>
        <w:rPr>
          <w:sz w:val="32"/>
          <w:szCs w:val="32"/>
        </w:rPr>
        <w:t>及</w:t>
      </w:r>
      <w:bookmarkEnd w:id="162"/>
      <w:r>
        <w:rPr>
          <w:rFonts w:hint="eastAsia"/>
          <w:sz w:val="32"/>
          <w:szCs w:val="32"/>
        </w:rPr>
        <w:t>要求</w:t>
      </w:r>
    </w:p>
    <w:p w14:paraId="16D5A5FB">
      <w:pPr>
        <w:spacing w:line="288" w:lineRule="auto"/>
        <w:ind w:firstLine="480" w:firstLineChars="200"/>
        <w:jc w:val="left"/>
        <w:rPr>
          <w:rFonts w:hint="eastAsia"/>
          <w:sz w:val="24"/>
          <w:szCs w:val="24"/>
        </w:rPr>
      </w:pPr>
    </w:p>
    <w:p w14:paraId="6E020744">
      <w:pPr>
        <w:bidi w:val="0"/>
        <w:spacing w:line="360" w:lineRule="auto"/>
        <w:ind w:firstLine="480" w:firstLineChars="200"/>
        <w:outlineLvl w:val="9"/>
        <w:rPr>
          <w:rFonts w:hint="eastAsia"/>
          <w:lang w:val="en-US" w:eastAsia="zh-CN"/>
        </w:rPr>
      </w:pPr>
      <w:r>
        <w:rPr>
          <w:rFonts w:hint="eastAsia"/>
          <w:lang w:val="en-US" w:eastAsia="zh-CN"/>
        </w:rPr>
        <w:t>本次政府采购所有采购内容及项目，都必须符合国家对各项采购货物及服务行业质量标准要求，对有问题及质量无法达标的采购货物和服务，拒绝验收。本采购项目为榆林市综合交通信息服务平台建设（一期）工程项目管理服务，投标人必须对本项目进行整体响应，只对其中一部分内容进行的响应都被视为无效响应。投标报价应遵守《中华人民共和国价格法》，投标人不得以低于成本的报价参与投标。</w:t>
      </w:r>
    </w:p>
    <w:p w14:paraId="4C345807">
      <w:pPr>
        <w:bidi w:val="0"/>
        <w:spacing w:line="360" w:lineRule="auto"/>
        <w:ind w:firstLine="480" w:firstLineChars="200"/>
        <w:outlineLvl w:val="9"/>
        <w:rPr>
          <w:rFonts w:hint="eastAsia"/>
          <w:lang w:val="en-US" w:eastAsia="zh-CN"/>
        </w:rPr>
      </w:pPr>
      <w:r>
        <w:rPr>
          <w:rFonts w:hint="eastAsia"/>
          <w:lang w:val="en-US" w:eastAsia="zh-CN"/>
        </w:rPr>
        <w:t>服务期限：包含项目建设期、运维期、质保期。建设期为合同签订后90天内（含系统调试）。运维期为项目通过终验收后两年内免费提供运维服务。质保期为验收合格之日起所有硬件产品必须提供3年免费保修服务，所有软件长期提供免费升级。</w:t>
      </w:r>
    </w:p>
    <w:p w14:paraId="260FAD11">
      <w:pPr>
        <w:pStyle w:val="10"/>
        <w:ind w:firstLine="480" w:firstLineChars="200"/>
        <w:rPr>
          <w:rFonts w:hint="eastAsia" w:ascii="宋体" w:hAnsi="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招标范围：本项目</w:t>
      </w:r>
      <w:r>
        <w:rPr>
          <w:rFonts w:hint="eastAsia" w:hAnsi="宋体" w:cs="宋体"/>
          <w:b w:val="0"/>
          <w:kern w:val="2"/>
          <w:sz w:val="24"/>
          <w:szCs w:val="24"/>
          <w:lang w:val="en-US" w:eastAsia="zh-CN" w:bidi="ar-SA"/>
        </w:rPr>
        <w:t>采购需求</w:t>
      </w:r>
      <w:r>
        <w:rPr>
          <w:rFonts w:hint="eastAsia" w:ascii="宋体" w:hAnsi="宋体" w:eastAsia="宋体" w:cs="宋体"/>
          <w:b w:val="0"/>
          <w:kern w:val="2"/>
          <w:sz w:val="24"/>
          <w:szCs w:val="24"/>
          <w:lang w:val="en-US" w:eastAsia="zh-CN" w:bidi="ar-SA"/>
        </w:rPr>
        <w:t>范围内包含的</w:t>
      </w:r>
      <w:r>
        <w:rPr>
          <w:rFonts w:hint="eastAsia" w:hAnsi="宋体" w:cs="宋体"/>
          <w:b w:val="0"/>
          <w:kern w:val="2"/>
          <w:sz w:val="24"/>
          <w:szCs w:val="24"/>
          <w:lang w:val="en-US" w:eastAsia="zh-CN" w:bidi="ar-SA"/>
        </w:rPr>
        <w:t>全部</w:t>
      </w:r>
      <w:r>
        <w:rPr>
          <w:rFonts w:hint="eastAsia" w:ascii="宋体" w:hAnsi="宋体" w:eastAsia="宋体" w:cs="宋体"/>
          <w:b w:val="0"/>
          <w:kern w:val="2"/>
          <w:sz w:val="24"/>
          <w:szCs w:val="24"/>
          <w:lang w:val="en-US" w:eastAsia="zh-CN" w:bidi="ar-SA"/>
        </w:rPr>
        <w:t>内容</w:t>
      </w:r>
      <w:bookmarkStart w:id="163" w:name="_Toc5522"/>
      <w:r>
        <w:rPr>
          <w:rFonts w:hint="eastAsia" w:ascii="宋体" w:hAnsi="宋体" w:cs="宋体"/>
          <w:b w:val="0"/>
          <w:kern w:val="2"/>
          <w:sz w:val="24"/>
          <w:szCs w:val="24"/>
          <w:lang w:val="en-US" w:eastAsia="zh-CN" w:bidi="ar-SA"/>
        </w:rPr>
        <w:t>：</w:t>
      </w:r>
    </w:p>
    <w:p w14:paraId="4F0B3D3A">
      <w:pPr>
        <w:bidi w:val="0"/>
        <w:spacing w:line="360" w:lineRule="auto"/>
        <w:ind w:firstLine="482" w:firstLineChars="200"/>
        <w:outlineLvl w:val="1"/>
        <w:rPr>
          <w:rFonts w:hint="default"/>
          <w:b/>
          <w:bCs/>
          <w:lang w:val="en-US" w:eastAsia="zh-CN"/>
        </w:rPr>
      </w:pPr>
      <w:bookmarkStart w:id="164" w:name="_Toc8190"/>
      <w:r>
        <w:rPr>
          <w:rFonts w:hint="eastAsia"/>
          <w:b/>
          <w:bCs/>
          <w:lang w:val="en-US" w:eastAsia="zh-CN"/>
        </w:rPr>
        <w:t>一、项目概况</w:t>
      </w:r>
    </w:p>
    <w:p w14:paraId="4EF38C25">
      <w:pPr>
        <w:bidi w:val="0"/>
        <w:spacing w:line="360" w:lineRule="auto"/>
        <w:ind w:firstLine="480" w:firstLineChars="200"/>
        <w:outlineLvl w:val="9"/>
        <w:rPr>
          <w:rFonts w:hint="eastAsia"/>
          <w:b/>
          <w:bCs/>
          <w:lang w:val="en-US" w:eastAsia="zh-CN"/>
        </w:rPr>
      </w:pPr>
      <w:r>
        <w:rPr>
          <w:rFonts w:hint="eastAsia"/>
          <w:lang w:val="en-US" w:eastAsia="zh-CN"/>
        </w:rPr>
        <w:t>榆林</w:t>
      </w:r>
      <w:r>
        <w:rPr>
          <w:rFonts w:hint="eastAsia"/>
        </w:rPr>
        <w:t>市交通运输局承担着全市交通运行状况的监测工作。根据交通运行监测的需求，需要对车辆运行速度、路网运行状况进行监测，对地面公交、出租车运行情况等进行日常监测。因此，亟需通过建立综合交通运行监测系统，形成涵盖道路、国省干线、公路、地面公交、出租车等的综合交通运行监测体系，实现全市交通运行状况精细化监测。</w:t>
      </w:r>
    </w:p>
    <w:bookmarkEnd w:id="164"/>
    <w:p w14:paraId="04FBE98E">
      <w:pPr>
        <w:numPr>
          <w:ilvl w:val="0"/>
          <w:numId w:val="4"/>
        </w:numPr>
        <w:bidi w:val="0"/>
        <w:spacing w:line="360" w:lineRule="auto"/>
        <w:ind w:firstLine="482" w:firstLineChars="200"/>
        <w:outlineLvl w:val="1"/>
        <w:rPr>
          <w:rFonts w:hint="eastAsia"/>
          <w:b/>
          <w:bCs/>
        </w:rPr>
      </w:pPr>
      <w:r>
        <w:rPr>
          <w:rFonts w:hint="eastAsia"/>
          <w:b/>
          <w:bCs/>
          <w:lang w:val="en-US" w:eastAsia="zh-CN"/>
        </w:rPr>
        <w:t>技术部分</w:t>
      </w:r>
    </w:p>
    <w:p w14:paraId="6228FA20">
      <w:pPr>
        <w:pStyle w:val="3"/>
        <w:ind w:firstLine="241" w:firstLineChars="100"/>
        <w:rPr>
          <w:rFonts w:hint="eastAsia" w:ascii="宋体" w:hAnsi="Times New Roman" w:eastAsia="宋体" w:cs="Times New Roman"/>
          <w:b/>
          <w:bCs/>
          <w:sz w:val="24"/>
          <w:lang w:val="en-US" w:eastAsia="zh-CN" w:bidi="ar-SA"/>
        </w:rPr>
      </w:pPr>
      <w:r>
        <w:rPr>
          <w:rFonts w:hint="eastAsia" w:ascii="宋体" w:hAnsi="Times New Roman" w:cs="Times New Roman"/>
          <w:b/>
          <w:bCs/>
          <w:sz w:val="24"/>
          <w:lang w:val="en-US" w:eastAsia="zh-CN" w:bidi="ar-SA"/>
        </w:rPr>
        <w:t>1、</w:t>
      </w:r>
      <w:r>
        <w:rPr>
          <w:rFonts w:hint="eastAsia" w:ascii="宋体" w:hAnsi="Times New Roman" w:eastAsia="宋体" w:cs="Times New Roman"/>
          <w:b/>
          <w:bCs/>
          <w:sz w:val="24"/>
          <w:lang w:val="en-US" w:eastAsia="zh-CN" w:bidi="ar-SA"/>
        </w:rPr>
        <w:t>建设目标</w:t>
      </w:r>
    </w:p>
    <w:p w14:paraId="5910773D">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以加快建设交通强国为总要求，以先进信息技术赋能交通数字化、智慧化发展，制定全行业的信息资源共享互联标准规范体系，打造面向全市交通领域的市级综合交通信息服务平台。有效推进榆林市交通建设，使榆林市交通运输行业管理与服务现代化智能化水平提升到新的层面。具体目标包括：</w:t>
      </w:r>
    </w:p>
    <w:p w14:paraId="67BB424A">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实现榆林市交通行业数据资源的有效汇聚、充分治理。</w:t>
      </w:r>
    </w:p>
    <w:p w14:paraId="15EAF6A3">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结合榆林市特色，以需求为导向，在遵循和引用现有标准规范的基础上，完善榆林市交通数据资源目录、数据标准规范，建立数据接口和数据质量管理体系，在此基础上汇聚整合全省交通基础数据、业务数据、路网感知采集数据，通过对相关数据进行清洗治理、质量管控、交换共享与开放服务，形成交通行业数据“一数一源”的市交通数据仓。打通系统数据孤岛，提升数据管理规范化水平，有效解决自建自用、数据分散等现象，最终形成可面向各交通业务领域，提供多样化数据输出的能力。</w:t>
      </w:r>
    </w:p>
    <w:p w14:paraId="72049850">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搭建全市综合交通运行监测体系，提升行业监管水平。</w:t>
      </w:r>
    </w:p>
    <w:p w14:paraId="355431BF">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根据交通管理、交通运输行业监管应用需求，综合应用新技术，构建涵盖路网、国省干线、地面公交、出租汽车、轨道交通、公共自行车、道路客运、货运、交通管理等的综合交通智能监测体系，初步具备全面掌控榆林市交通态势及运行状态的能力，逐渐提升交通监测系统的现代化、智能化水平，为交通基础设施的科学规划、有序建设、先进的交通管理和全面的信息服务提供基础数据保障。</w:t>
      </w:r>
    </w:p>
    <w:p w14:paraId="7A052973">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构建全市智慧化交通信息决策支撑体系，提高政府决策科学化水平。</w:t>
      </w:r>
    </w:p>
    <w:p w14:paraId="33142268">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利用交通大数据和云计算技术，面向深层次挖掘、关联分析以及综合应用，在有效提高公共交通分担率、缓解交通拥堵和合理组织城市交通等方面提出合理建议，以优化交通流组织、道路网络及换乘中心等交通基础设施建设布局，辅助领导及相关部门做出科学决策。</w:t>
      </w:r>
    </w:p>
    <w:p w14:paraId="2678AC8D">
      <w:pPr>
        <w:pStyle w:val="4"/>
        <w:rPr>
          <w:rFonts w:hint="eastAsia"/>
        </w:rPr>
      </w:pPr>
      <w:r>
        <w:rPr>
          <w:rFonts w:hint="eastAsia"/>
        </w:rPr>
        <w:t>建设内容</w:t>
      </w:r>
    </w:p>
    <w:p w14:paraId="7E805C9C">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基础配套设施建设</w:t>
      </w:r>
    </w:p>
    <w:p w14:paraId="1D6DC024">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会商室</w:t>
      </w:r>
    </w:p>
    <w:p w14:paraId="1670D51C">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榆林市交通运输局构建交通会商室位于榆林市交通局2F，建设内容包括显示终端、扩声系统和视频会议系统等。</w:t>
      </w:r>
    </w:p>
    <w:p w14:paraId="01AC5736">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业务应用系统建设和支撑系统</w:t>
      </w:r>
    </w:p>
    <w:p w14:paraId="4B9A6365">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综合交通运行监测与预警系统</w:t>
      </w:r>
    </w:p>
    <w:p w14:paraId="7CE3FD0C">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综合交通辅助决策系统</w:t>
      </w:r>
    </w:p>
    <w:p w14:paraId="516FA0A8">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交通数据中台</w:t>
      </w:r>
    </w:p>
    <w:p w14:paraId="42732B11">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数据整合接入</w:t>
      </w:r>
    </w:p>
    <w:p w14:paraId="57480371">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接入整合榆林市交通相关业务数据和视频数据，包含但不限于公交、出租、公路、维修、驾培等部门，建立完善数据标准，提高数据质量和可靠性，满足信息服务、日常监测的应用需求。</w:t>
      </w:r>
    </w:p>
    <w:p w14:paraId="4A7FE6C2">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4.需详细描述交通局信息化建设的现状及面临的问题，以实现该项目的建设目标。</w:t>
      </w:r>
    </w:p>
    <w:p w14:paraId="72F2715A">
      <w:pPr>
        <w:bidi w:val="0"/>
        <w:spacing w:line="360" w:lineRule="auto"/>
        <w:ind w:firstLine="480" w:firstLineChars="200"/>
        <w:outlineLvl w:val="9"/>
        <w:rPr>
          <w:rFonts w:hint="eastAsia" w:ascii="宋体" w:eastAsia="宋体"/>
          <w:lang w:val="en-US" w:eastAsia="zh-CN"/>
        </w:rPr>
      </w:pPr>
    </w:p>
    <w:p w14:paraId="4F49C14F">
      <w:pPr>
        <w:pStyle w:val="4"/>
        <w:rPr>
          <w:rFonts w:hint="eastAsia" w:ascii="宋体" w:eastAsia="宋体"/>
          <w:lang w:val="en-US" w:eastAsia="zh-CN"/>
        </w:rPr>
      </w:pPr>
      <w:r>
        <w:rPr>
          <w:rFonts w:hint="eastAsia" w:ascii="宋体" w:eastAsia="宋体"/>
          <w:lang w:val="en-US" w:eastAsia="zh-CN"/>
        </w:rPr>
        <w:t>内容详情</w:t>
      </w:r>
    </w:p>
    <w:p w14:paraId="5B89E06C">
      <w:pPr>
        <w:bidi w:val="0"/>
        <w:spacing w:line="360" w:lineRule="auto"/>
        <w:ind w:firstLine="480" w:firstLineChars="200"/>
        <w:outlineLvl w:val="9"/>
        <w:rPr>
          <w:rFonts w:hint="eastAsia" w:ascii="宋体" w:eastAsia="宋体"/>
          <w:lang w:val="en-US" w:eastAsia="zh-CN"/>
        </w:rPr>
      </w:pPr>
      <w:r>
        <w:rPr>
          <w:rFonts w:hint="eastAsia" w:ascii="宋体" w:eastAsia="宋体"/>
          <w:lang w:val="en-US" w:eastAsia="zh-CN"/>
        </w:rPr>
        <w:t>本次项目建设内容主要包括基础配套设施等硬件设施和应用支撑系统、交通数据中台、数据资源服务、链路租赁和配套服务等。</w:t>
      </w:r>
    </w:p>
    <w:p w14:paraId="537363AD">
      <w:pPr>
        <w:pStyle w:val="5"/>
      </w:pPr>
      <w:r>
        <w:rPr>
          <w:rFonts w:hint="eastAsia"/>
        </w:rPr>
        <w:t>硬件设施具体内容</w:t>
      </w:r>
    </w:p>
    <w:p w14:paraId="0CC3D8E4">
      <w:pPr>
        <w:pStyle w:val="9"/>
      </w:pPr>
      <w:r>
        <w:rPr>
          <w:rFonts w:hint="eastAsia"/>
        </w:rPr>
        <w:t>表1-1 本次建设内容（硬件）</w:t>
      </w:r>
    </w:p>
    <w:tbl>
      <w:tblPr>
        <w:tblStyle w:val="21"/>
        <w:tblW w:w="8689" w:type="dxa"/>
        <w:tblInd w:w="0" w:type="dxa"/>
        <w:tblLayout w:type="fixed"/>
        <w:tblCellMar>
          <w:top w:w="0" w:type="dxa"/>
          <w:left w:w="108" w:type="dxa"/>
          <w:bottom w:w="0" w:type="dxa"/>
          <w:right w:w="108" w:type="dxa"/>
        </w:tblCellMar>
      </w:tblPr>
      <w:tblGrid>
        <w:gridCol w:w="845"/>
        <w:gridCol w:w="1066"/>
        <w:gridCol w:w="4014"/>
        <w:gridCol w:w="853"/>
        <w:gridCol w:w="667"/>
        <w:gridCol w:w="1244"/>
      </w:tblGrid>
      <w:tr w14:paraId="44C23FEE">
        <w:tblPrEx>
          <w:tblCellMar>
            <w:top w:w="0" w:type="dxa"/>
            <w:left w:w="108" w:type="dxa"/>
            <w:bottom w:w="0" w:type="dxa"/>
            <w:right w:w="108" w:type="dxa"/>
          </w:tblCellMar>
        </w:tblPrEx>
        <w:trPr>
          <w:trHeight w:val="336" w:hRule="atLeast"/>
          <w:tblHeader/>
        </w:trPr>
        <w:tc>
          <w:tcPr>
            <w:tcW w:w="845" w:type="dxa"/>
            <w:tcBorders>
              <w:top w:val="single" w:color="000000" w:sz="4" w:space="0"/>
              <w:left w:val="single" w:color="000000" w:sz="4" w:space="0"/>
              <w:bottom w:val="single" w:color="000000" w:sz="4" w:space="0"/>
              <w:right w:val="single" w:color="000000" w:sz="4" w:space="0"/>
            </w:tcBorders>
            <w:noWrap/>
            <w:vAlign w:val="center"/>
          </w:tcPr>
          <w:p w14:paraId="50644BAA">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序号</w:t>
            </w:r>
          </w:p>
        </w:tc>
        <w:tc>
          <w:tcPr>
            <w:tcW w:w="1066" w:type="dxa"/>
            <w:tcBorders>
              <w:top w:val="single" w:color="000000" w:sz="4" w:space="0"/>
              <w:left w:val="single" w:color="000000" w:sz="4" w:space="0"/>
              <w:bottom w:val="single" w:color="000000" w:sz="4" w:space="0"/>
              <w:right w:val="single" w:color="000000" w:sz="4" w:space="0"/>
            </w:tcBorders>
            <w:noWrap/>
            <w:vAlign w:val="center"/>
          </w:tcPr>
          <w:p w14:paraId="32B79260">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名称</w:t>
            </w:r>
          </w:p>
        </w:tc>
        <w:tc>
          <w:tcPr>
            <w:tcW w:w="4014" w:type="dxa"/>
            <w:tcBorders>
              <w:top w:val="single" w:color="000000" w:sz="4" w:space="0"/>
              <w:left w:val="single" w:color="000000" w:sz="4" w:space="0"/>
              <w:bottom w:val="single" w:color="000000" w:sz="4" w:space="0"/>
              <w:right w:val="single" w:color="000000" w:sz="4" w:space="0"/>
            </w:tcBorders>
          </w:tcPr>
          <w:p w14:paraId="477729A4">
            <w:pPr>
              <w:widowControl/>
              <w:jc w:val="center"/>
              <w:textAlignment w:val="top"/>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规格</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41855E55">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单位</w:t>
            </w:r>
          </w:p>
        </w:tc>
        <w:tc>
          <w:tcPr>
            <w:tcW w:w="667" w:type="dxa"/>
            <w:tcBorders>
              <w:top w:val="single" w:color="000000" w:sz="4" w:space="0"/>
              <w:left w:val="single" w:color="000000" w:sz="4" w:space="0"/>
              <w:bottom w:val="single" w:color="000000" w:sz="4" w:space="0"/>
              <w:right w:val="single" w:color="000000" w:sz="4" w:space="0"/>
            </w:tcBorders>
            <w:noWrap/>
            <w:vAlign w:val="center"/>
          </w:tcPr>
          <w:p w14:paraId="3480AFFB">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数量</w:t>
            </w:r>
          </w:p>
        </w:tc>
        <w:tc>
          <w:tcPr>
            <w:tcW w:w="1244" w:type="dxa"/>
            <w:tcBorders>
              <w:top w:val="single" w:color="000000" w:sz="4" w:space="0"/>
              <w:left w:val="single" w:color="000000" w:sz="4" w:space="0"/>
              <w:bottom w:val="single" w:color="000000" w:sz="4" w:space="0"/>
              <w:right w:val="single" w:color="000000" w:sz="4" w:space="0"/>
            </w:tcBorders>
            <w:vAlign w:val="center"/>
          </w:tcPr>
          <w:p w14:paraId="47EC0680">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备注</w:t>
            </w:r>
          </w:p>
        </w:tc>
      </w:tr>
      <w:tr w14:paraId="159AC912">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6B1B68B9">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一</w:t>
            </w:r>
          </w:p>
        </w:tc>
        <w:tc>
          <w:tcPr>
            <w:tcW w:w="1066" w:type="dxa"/>
            <w:tcBorders>
              <w:top w:val="single" w:color="000000" w:sz="4" w:space="0"/>
              <w:left w:val="single" w:color="000000" w:sz="4" w:space="0"/>
              <w:bottom w:val="single" w:color="000000" w:sz="4" w:space="0"/>
              <w:right w:val="single" w:color="000000" w:sz="4" w:space="0"/>
            </w:tcBorders>
            <w:vAlign w:val="center"/>
          </w:tcPr>
          <w:p w14:paraId="158D6431">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会商室</w:t>
            </w:r>
          </w:p>
        </w:tc>
        <w:tc>
          <w:tcPr>
            <w:tcW w:w="4014" w:type="dxa"/>
            <w:tcBorders>
              <w:top w:val="single" w:color="000000" w:sz="4" w:space="0"/>
              <w:left w:val="single" w:color="000000" w:sz="4" w:space="0"/>
              <w:bottom w:val="single" w:color="000000" w:sz="4" w:space="0"/>
              <w:right w:val="single" w:color="000000" w:sz="4" w:space="0"/>
            </w:tcBorders>
          </w:tcPr>
          <w:p w14:paraId="6C495D53">
            <w:pPr>
              <w:jc w:val="center"/>
              <w:rPr>
                <w:rFonts w:hint="eastAsia" w:ascii="宋体" w:hAnsi="宋体" w:eastAsia="宋体" w:cs="宋体"/>
                <w:b/>
                <w:bCs/>
                <w:color w:val="000000"/>
                <w:sz w:val="21"/>
                <w:szCs w:val="21"/>
              </w:rPr>
            </w:pP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558E3BD4">
            <w:pPr>
              <w:jc w:val="center"/>
              <w:rPr>
                <w:rFonts w:hint="eastAsia" w:ascii="宋体" w:hAnsi="宋体" w:eastAsia="宋体" w:cs="宋体"/>
                <w:b/>
                <w:bCs/>
                <w:color w:val="000000"/>
                <w:sz w:val="21"/>
                <w:szCs w:val="21"/>
              </w:rPr>
            </w:pPr>
          </w:p>
        </w:tc>
        <w:tc>
          <w:tcPr>
            <w:tcW w:w="667" w:type="dxa"/>
            <w:tcBorders>
              <w:top w:val="single" w:color="000000" w:sz="4" w:space="0"/>
              <w:left w:val="single" w:color="000000" w:sz="4" w:space="0"/>
              <w:bottom w:val="single" w:color="000000" w:sz="4" w:space="0"/>
              <w:right w:val="single" w:color="000000" w:sz="4" w:space="0"/>
            </w:tcBorders>
            <w:noWrap/>
            <w:vAlign w:val="center"/>
          </w:tcPr>
          <w:p w14:paraId="4C9A0576">
            <w:pPr>
              <w:jc w:val="center"/>
              <w:rPr>
                <w:rFonts w:hint="eastAsia" w:ascii="宋体" w:hAnsi="宋体" w:eastAsia="宋体" w:cs="宋体"/>
                <w:color w:val="000000"/>
                <w:sz w:val="21"/>
                <w:szCs w:val="21"/>
              </w:rPr>
            </w:pPr>
          </w:p>
        </w:tc>
        <w:tc>
          <w:tcPr>
            <w:tcW w:w="1244" w:type="dxa"/>
            <w:tcBorders>
              <w:top w:val="single" w:color="000000" w:sz="4" w:space="0"/>
              <w:left w:val="single" w:color="000000" w:sz="4" w:space="0"/>
              <w:bottom w:val="single" w:color="000000" w:sz="4" w:space="0"/>
              <w:right w:val="single" w:color="000000" w:sz="4" w:space="0"/>
            </w:tcBorders>
          </w:tcPr>
          <w:p w14:paraId="4BD06AB7">
            <w:pPr>
              <w:jc w:val="center"/>
              <w:rPr>
                <w:rFonts w:hint="eastAsia" w:ascii="宋体" w:hAnsi="宋体" w:eastAsia="宋体" w:cs="宋体"/>
                <w:color w:val="000000"/>
                <w:sz w:val="21"/>
                <w:szCs w:val="21"/>
              </w:rPr>
            </w:pPr>
          </w:p>
        </w:tc>
      </w:tr>
      <w:tr w14:paraId="35AF73E4">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6E20822A">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1.1</w:t>
            </w:r>
          </w:p>
        </w:tc>
        <w:tc>
          <w:tcPr>
            <w:tcW w:w="5080" w:type="dxa"/>
            <w:gridSpan w:val="2"/>
            <w:tcBorders>
              <w:top w:val="single" w:color="000000" w:sz="4" w:space="0"/>
              <w:left w:val="single" w:color="000000" w:sz="4" w:space="0"/>
              <w:bottom w:val="single" w:color="000000" w:sz="4" w:space="0"/>
              <w:right w:val="single" w:color="000000" w:sz="4" w:space="0"/>
            </w:tcBorders>
            <w:vAlign w:val="center"/>
          </w:tcPr>
          <w:p w14:paraId="702E8229">
            <w:pPr>
              <w:widowControl/>
              <w:jc w:val="left"/>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显示终端</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4344574E">
            <w:pPr>
              <w:jc w:val="center"/>
              <w:rPr>
                <w:rFonts w:hint="eastAsia" w:ascii="宋体" w:hAnsi="宋体" w:eastAsia="宋体" w:cs="宋体"/>
                <w:b/>
                <w:bCs/>
                <w:color w:val="000000"/>
                <w:sz w:val="21"/>
                <w:szCs w:val="21"/>
              </w:rPr>
            </w:pPr>
          </w:p>
        </w:tc>
        <w:tc>
          <w:tcPr>
            <w:tcW w:w="667" w:type="dxa"/>
            <w:tcBorders>
              <w:top w:val="single" w:color="000000" w:sz="4" w:space="0"/>
              <w:left w:val="single" w:color="000000" w:sz="4" w:space="0"/>
              <w:bottom w:val="single" w:color="000000" w:sz="4" w:space="0"/>
              <w:right w:val="single" w:color="000000" w:sz="4" w:space="0"/>
            </w:tcBorders>
            <w:noWrap/>
            <w:vAlign w:val="center"/>
          </w:tcPr>
          <w:p w14:paraId="2FD62148">
            <w:pPr>
              <w:jc w:val="center"/>
              <w:rPr>
                <w:rFonts w:hint="eastAsia" w:ascii="宋体" w:hAnsi="宋体" w:eastAsia="宋体" w:cs="宋体"/>
                <w:color w:val="000000"/>
                <w:sz w:val="21"/>
                <w:szCs w:val="21"/>
              </w:rPr>
            </w:pPr>
          </w:p>
        </w:tc>
        <w:tc>
          <w:tcPr>
            <w:tcW w:w="1244" w:type="dxa"/>
            <w:tcBorders>
              <w:top w:val="single" w:color="000000" w:sz="4" w:space="0"/>
              <w:left w:val="single" w:color="000000" w:sz="4" w:space="0"/>
              <w:bottom w:val="single" w:color="000000" w:sz="4" w:space="0"/>
              <w:right w:val="single" w:color="000000" w:sz="4" w:space="0"/>
            </w:tcBorders>
          </w:tcPr>
          <w:p w14:paraId="44C787BF">
            <w:pPr>
              <w:jc w:val="left"/>
              <w:rPr>
                <w:rFonts w:hint="eastAsia" w:ascii="宋体" w:hAnsi="宋体" w:eastAsia="宋体" w:cs="宋体"/>
                <w:color w:val="000000"/>
                <w:sz w:val="21"/>
                <w:szCs w:val="21"/>
              </w:rPr>
            </w:pPr>
          </w:p>
        </w:tc>
      </w:tr>
      <w:tr w14:paraId="6D636255">
        <w:tblPrEx>
          <w:tblCellMar>
            <w:top w:w="0" w:type="dxa"/>
            <w:left w:w="108" w:type="dxa"/>
            <w:bottom w:w="0" w:type="dxa"/>
            <w:right w:w="108" w:type="dxa"/>
          </w:tblCellMar>
        </w:tblPrEx>
        <w:trPr>
          <w:trHeight w:val="74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26FDD2F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1.1.1</w:t>
            </w:r>
          </w:p>
        </w:tc>
        <w:tc>
          <w:tcPr>
            <w:tcW w:w="1066" w:type="dxa"/>
            <w:tcBorders>
              <w:top w:val="single" w:color="000000" w:sz="4" w:space="0"/>
              <w:left w:val="single" w:color="000000" w:sz="4" w:space="0"/>
              <w:bottom w:val="single" w:color="000000" w:sz="4" w:space="0"/>
              <w:right w:val="single" w:color="000000" w:sz="4" w:space="0"/>
            </w:tcBorders>
            <w:vAlign w:val="center"/>
          </w:tcPr>
          <w:p w14:paraId="7292043F">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110英寸显示终端</w:t>
            </w:r>
          </w:p>
        </w:tc>
        <w:tc>
          <w:tcPr>
            <w:tcW w:w="4014" w:type="dxa"/>
            <w:tcBorders>
              <w:top w:val="single" w:color="000000" w:sz="4" w:space="0"/>
              <w:left w:val="single" w:color="000000" w:sz="4" w:space="0"/>
              <w:bottom w:val="single" w:color="000000" w:sz="4" w:space="0"/>
              <w:right w:val="single" w:color="000000" w:sz="4" w:space="0"/>
            </w:tcBorders>
            <w:vAlign w:val="center"/>
          </w:tcPr>
          <w:p w14:paraId="6D23AAD6">
            <w:pPr>
              <w:widowControl/>
              <w:jc w:val="left"/>
              <w:textAlignment w:val="center"/>
              <w:rPr>
                <w:rFonts w:ascii="宋体" w:hAnsi="宋体" w:eastAsia="宋体" w:cs="宋体"/>
                <w:color w:val="EE0000"/>
                <w:kern w:val="0"/>
                <w:sz w:val="21"/>
                <w:szCs w:val="21"/>
                <w:lang w:bidi="ar"/>
              </w:rPr>
            </w:pPr>
            <w:r>
              <w:rPr>
                <w:rFonts w:hint="eastAsia" w:ascii="宋体" w:hAnsi="宋体" w:eastAsia="宋体" w:cs="宋体"/>
                <w:color w:val="000000"/>
                <w:kern w:val="0"/>
                <w:sz w:val="21"/>
                <w:szCs w:val="21"/>
                <w:lang w:bidi="ar"/>
              </w:rPr>
              <w:t>显示参数: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液晶尺寸≥110英寸</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背光类型:D-LED</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分辨率≥3840*2160</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显示面积≥2436.5*1370.5mm（H×V）</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可视角度≥89/89/89/89</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显示亮度≥350cd</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颜色数量≥1.07B（8-bit）</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反应时间≤8MS</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工作频率≥60HZ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像素配置:RGB垂直条状</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显示模式:常黑显示，透射式</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机身参数: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边框材质:铝型材（氧化拉丝工艺）</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机身材质:镀锌板（金属喷涂工艺）</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表面材质:钢化玻璃（物理钢化工艺）</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壁挂支架:标配壁挂支架</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安装方式:支持壁挂/吊装/嵌入/支架/桌面等多种安装方式</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系统参数：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系统版本≥Android 9.0</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CPU≥Quad-Core A55 1.9GHz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GPU≥Mali-G31 MP2 GPU</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CPU频率≥1.9GHZ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GPU频率≥800MHz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运行内存≥2G</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存储内存≥16GB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RI45:自适应百兆网口</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功能简介：</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语言支持:支持中文、英文等众多国家语言</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网络通信:WiFi+以太网</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投屏功能:选配</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红外遥控:支持</w:t>
            </w:r>
          </w:p>
          <w:p w14:paraId="66B9D487">
            <w:pPr>
              <w:widowControl/>
              <w:jc w:val="left"/>
              <w:textAlignment w:val="center"/>
              <w:rPr>
                <w:rFonts w:hint="eastAsia" w:ascii="宋体" w:hAnsi="宋体" w:eastAsia="宋体" w:cs="宋体"/>
                <w:b/>
                <w:bCs/>
                <w:color w:val="000000"/>
                <w:sz w:val="21"/>
                <w:szCs w:val="21"/>
              </w:rPr>
            </w:pPr>
            <w:r>
              <w:rPr>
                <w:rFonts w:hint="eastAsia" w:ascii="宋体" w:hAnsi="宋体" w:eastAsia="宋体" w:cs="宋体"/>
                <w:color w:val="000000"/>
                <w:kern w:val="0"/>
                <w:sz w:val="21"/>
                <w:szCs w:val="21"/>
                <w:lang w:bidi="ar"/>
              </w:rPr>
              <w:t>USB功能:升级/媒体播放</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通电自启:支持</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音频功能:内置2路高音优质喇叭</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记忆通道:可自定义开机通道</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无信号待机:支持</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软件支持:支持第三方APK安装</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电气性能: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待机功率:≦1W</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使用寿命:</w:t>
            </w:r>
            <w:r>
              <w:rPr>
                <w:rFonts w:hint="eastAsia" w:ascii="宋体" w:hAnsi="宋体" w:eastAsia="宋体" w:cs="宋体"/>
                <w:color w:val="EE0000"/>
                <w:kern w:val="0"/>
                <w:sz w:val="21"/>
                <w:szCs w:val="21"/>
                <w:lang w:bidi="ar"/>
              </w:rPr>
              <w:t xml:space="preserve"> </w:t>
            </w:r>
            <w:r>
              <w:rPr>
                <w:rFonts w:hint="eastAsia" w:ascii="宋体" w:hAnsi="宋体" w:eastAsia="宋体" w:cs="宋体"/>
                <w:color w:val="auto"/>
                <w:kern w:val="0"/>
                <w:sz w:val="21"/>
                <w:szCs w:val="21"/>
                <w:lang w:val="en-US" w:eastAsia="zh-CN" w:bidi="ar"/>
              </w:rPr>
              <w:t>不小于5</w:t>
            </w:r>
            <w:r>
              <w:rPr>
                <w:rFonts w:hint="eastAsia" w:ascii="宋体" w:hAnsi="宋体" w:eastAsia="宋体" w:cs="宋体"/>
                <w:color w:val="000000"/>
                <w:kern w:val="0"/>
                <w:sz w:val="21"/>
                <w:szCs w:val="21"/>
                <w:lang w:bidi="ar"/>
              </w:rPr>
              <w:t>0000小时</w:t>
            </w:r>
          </w:p>
        </w:tc>
        <w:tc>
          <w:tcPr>
            <w:tcW w:w="853" w:type="dxa"/>
            <w:tcBorders>
              <w:top w:val="single" w:color="000000" w:sz="4" w:space="0"/>
              <w:left w:val="single" w:color="000000" w:sz="4" w:space="0"/>
              <w:bottom w:val="single" w:color="000000" w:sz="4" w:space="0"/>
              <w:right w:val="single" w:color="000000" w:sz="4" w:space="0"/>
            </w:tcBorders>
            <w:vAlign w:val="center"/>
          </w:tcPr>
          <w:p w14:paraId="021B31C3">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6850BCD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244" w:type="dxa"/>
            <w:tcBorders>
              <w:top w:val="single" w:color="000000" w:sz="4" w:space="0"/>
              <w:left w:val="single" w:color="000000" w:sz="4" w:space="0"/>
              <w:bottom w:val="single" w:color="000000" w:sz="4" w:space="0"/>
              <w:right w:val="single" w:color="000000" w:sz="4" w:space="0"/>
            </w:tcBorders>
            <w:vAlign w:val="center"/>
          </w:tcPr>
          <w:p w14:paraId="7C694405">
            <w:pPr>
              <w:jc w:val="left"/>
              <w:rPr>
                <w:rFonts w:hint="eastAsia" w:ascii="宋体" w:hAnsi="宋体" w:eastAsia="宋体" w:cs="宋体"/>
                <w:color w:val="000000"/>
                <w:sz w:val="21"/>
                <w:szCs w:val="21"/>
              </w:rPr>
            </w:pPr>
          </w:p>
        </w:tc>
      </w:tr>
      <w:tr w14:paraId="52B43FEA">
        <w:tblPrEx>
          <w:tblCellMar>
            <w:top w:w="0" w:type="dxa"/>
            <w:left w:w="108" w:type="dxa"/>
            <w:bottom w:w="0" w:type="dxa"/>
            <w:right w:w="108" w:type="dxa"/>
          </w:tblCellMar>
        </w:tblPrEx>
        <w:trPr>
          <w:trHeight w:val="282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18C0541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1.1.2</w:t>
            </w:r>
          </w:p>
        </w:tc>
        <w:tc>
          <w:tcPr>
            <w:tcW w:w="1066" w:type="dxa"/>
            <w:tcBorders>
              <w:top w:val="single" w:color="000000" w:sz="4" w:space="0"/>
              <w:left w:val="single" w:color="000000" w:sz="4" w:space="0"/>
              <w:bottom w:val="single" w:color="000000" w:sz="4" w:space="0"/>
              <w:right w:val="single" w:color="000000" w:sz="4" w:space="0"/>
            </w:tcBorders>
            <w:vAlign w:val="center"/>
          </w:tcPr>
          <w:p w14:paraId="2566978D">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8X8混合矩阵主机</w:t>
            </w:r>
          </w:p>
        </w:tc>
        <w:tc>
          <w:tcPr>
            <w:tcW w:w="4014" w:type="dxa"/>
            <w:tcBorders>
              <w:top w:val="single" w:color="000000" w:sz="4" w:space="0"/>
              <w:left w:val="single" w:color="000000" w:sz="4" w:space="0"/>
              <w:bottom w:val="single" w:color="000000" w:sz="4" w:space="0"/>
              <w:right w:val="single" w:color="000000" w:sz="4" w:space="0"/>
            </w:tcBorders>
            <w:vAlign w:val="center"/>
          </w:tcPr>
          <w:p w14:paraId="6BD0C19B">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高性能的音视频信号专业切换设备，可兼容不同信号类型输入/输出信号卡，用于多个信号输入输出交叉切换，提供独立的音视频信号输入、输出端子。可以与输入、输出信号卡任意搭配，可插入搭配的无缝信号卡包括：HDMI、DVI、VGA、SDI、HDBT、CVBS、光纤等无缝输入/输出信号卡，结合不同信号卡功能可以解决综合视听的问题</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功能特性:</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1.模块化设计，支持HDMI、DVI、VGA、SDI、HDBT、CVBS、光纤等任意无缝输入/输出信号卡，并可随意搭配，提高系统灵活性。</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2.控制方式灵活，RS232控制功能和红外控制功能，还可根据用户需求，在混合插卡矩阵系列后面板定制网络控制端口，方便客户与各种控制设备配合使用。</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3.任意搭配无缝板卡可实现无缝拼接显示。</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4.采用LCD显示屏和指示灯实时显示工作状态。</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5.支持10组场景保存与调用功能。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6.支持EDID学习功能</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42A038CA">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17AF835D">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434F426E">
            <w:pPr>
              <w:jc w:val="left"/>
              <w:rPr>
                <w:rFonts w:hint="eastAsia" w:ascii="宋体" w:hAnsi="宋体" w:eastAsia="宋体" w:cs="宋体"/>
                <w:color w:val="000000"/>
                <w:sz w:val="21"/>
                <w:szCs w:val="21"/>
              </w:rPr>
            </w:pPr>
          </w:p>
        </w:tc>
      </w:tr>
      <w:tr w14:paraId="4826326A">
        <w:tblPrEx>
          <w:tblCellMar>
            <w:top w:w="0" w:type="dxa"/>
            <w:left w:w="108" w:type="dxa"/>
            <w:bottom w:w="0" w:type="dxa"/>
            <w:right w:w="108" w:type="dxa"/>
          </w:tblCellMar>
        </w:tblPrEx>
        <w:trPr>
          <w:trHeight w:val="220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6804D88F">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1.1.3</w:t>
            </w:r>
          </w:p>
        </w:tc>
        <w:tc>
          <w:tcPr>
            <w:tcW w:w="1066" w:type="dxa"/>
            <w:tcBorders>
              <w:top w:val="single" w:color="000000" w:sz="4" w:space="0"/>
              <w:left w:val="single" w:color="000000" w:sz="4" w:space="0"/>
              <w:bottom w:val="single" w:color="000000" w:sz="4" w:space="0"/>
              <w:right w:val="single" w:color="000000" w:sz="4" w:space="0"/>
            </w:tcBorders>
            <w:vAlign w:val="center"/>
          </w:tcPr>
          <w:p w14:paraId="1CF4DD03">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HDMI无缝输入卡</w:t>
            </w:r>
          </w:p>
        </w:tc>
        <w:tc>
          <w:tcPr>
            <w:tcW w:w="4014" w:type="dxa"/>
            <w:tcBorders>
              <w:top w:val="single" w:color="000000" w:sz="4" w:space="0"/>
              <w:left w:val="single" w:color="000000" w:sz="4" w:space="0"/>
              <w:bottom w:val="single" w:color="000000" w:sz="4" w:space="0"/>
              <w:right w:val="single" w:color="000000" w:sz="4" w:space="0"/>
            </w:tcBorders>
            <w:vAlign w:val="center"/>
          </w:tcPr>
          <w:p w14:paraId="01ADB54F">
            <w:pPr>
              <w:widowControl/>
              <w:jc w:val="left"/>
              <w:textAlignment w:val="center"/>
              <w:rPr>
                <w:rFonts w:hint="eastAsia" w:ascii="宋体" w:hAnsi="宋体" w:eastAsia="宋体" w:cs="宋体"/>
                <w:color w:val="EE0000"/>
                <w:kern w:val="0"/>
                <w:sz w:val="21"/>
                <w:szCs w:val="21"/>
                <w:lang w:eastAsia="zh-CN" w:bidi="ar"/>
              </w:rPr>
            </w:pPr>
            <w:r>
              <w:rPr>
                <w:rFonts w:hint="eastAsia" w:ascii="宋体" w:hAnsi="宋体" w:eastAsia="宋体" w:cs="宋体"/>
                <w:color w:val="000000"/>
                <w:kern w:val="0"/>
                <w:sz w:val="21"/>
                <w:szCs w:val="21"/>
                <w:lang w:bidi="ar"/>
              </w:rPr>
              <w:t>1.输入信号卡：4路HDMI输入</w:t>
            </w:r>
            <w:r>
              <w:rPr>
                <w:rFonts w:hint="eastAsia" w:ascii="宋体" w:hAnsi="宋体" w:eastAsia="宋体" w:cs="宋体"/>
                <w:color w:val="000000"/>
                <w:kern w:val="0"/>
                <w:sz w:val="21"/>
                <w:szCs w:val="21"/>
                <w:lang w:eastAsia="zh-CN" w:bidi="ar"/>
              </w:rPr>
              <w:t>；</w:t>
            </w:r>
          </w:p>
          <w:p w14:paraId="78CF879D">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2.支持HDMI1.3标准，兼容DVI信号；</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3.最高分辨率支持1080P@60Hz；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4.输入信号卡具有字符叠加功能，可通过指令更改字符相关属性，相关指令详见指令表；</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5.输入信号卡与其他输出分辨率不可调信号卡配合使用时，也可通过指令调节每路输入对应输出分辨率：1360x768、1024x768、1280x720、1280x800、1920x1080、1920x1200、1600x1200；</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6.可通过指令选择输入音频为HDMI内嵌音频/外接模拟音频，默认为HDMI内嵌音频</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4C9295D5">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块</w:t>
            </w:r>
          </w:p>
        </w:tc>
        <w:tc>
          <w:tcPr>
            <w:tcW w:w="667" w:type="dxa"/>
            <w:tcBorders>
              <w:top w:val="single" w:color="000000" w:sz="4" w:space="0"/>
              <w:left w:val="single" w:color="000000" w:sz="4" w:space="0"/>
              <w:bottom w:val="single" w:color="000000" w:sz="4" w:space="0"/>
              <w:right w:val="single" w:color="000000" w:sz="4" w:space="0"/>
            </w:tcBorders>
            <w:vAlign w:val="center"/>
          </w:tcPr>
          <w:p w14:paraId="2E8AF9B3">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249A2265">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视频会议终端*2、摄像头*2、电脑*2</w:t>
            </w:r>
          </w:p>
        </w:tc>
      </w:tr>
      <w:tr w14:paraId="58E680FE">
        <w:tblPrEx>
          <w:tblCellMar>
            <w:top w:w="0" w:type="dxa"/>
            <w:left w:w="108" w:type="dxa"/>
            <w:bottom w:w="0" w:type="dxa"/>
            <w:right w:w="108" w:type="dxa"/>
          </w:tblCellMar>
        </w:tblPrEx>
        <w:trPr>
          <w:trHeight w:val="250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7C68EF6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1.1.4</w:t>
            </w:r>
          </w:p>
        </w:tc>
        <w:tc>
          <w:tcPr>
            <w:tcW w:w="1066" w:type="dxa"/>
            <w:tcBorders>
              <w:top w:val="single" w:color="000000" w:sz="4" w:space="0"/>
              <w:left w:val="single" w:color="000000" w:sz="4" w:space="0"/>
              <w:bottom w:val="single" w:color="000000" w:sz="4" w:space="0"/>
              <w:right w:val="single" w:color="000000" w:sz="4" w:space="0"/>
            </w:tcBorders>
            <w:vAlign w:val="center"/>
          </w:tcPr>
          <w:p w14:paraId="60B5865B">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4KHDMI无缝输出卡</w:t>
            </w:r>
          </w:p>
        </w:tc>
        <w:tc>
          <w:tcPr>
            <w:tcW w:w="4014" w:type="dxa"/>
            <w:tcBorders>
              <w:top w:val="single" w:color="000000" w:sz="4" w:space="0"/>
              <w:left w:val="single" w:color="000000" w:sz="4" w:space="0"/>
              <w:bottom w:val="single" w:color="000000" w:sz="4" w:space="0"/>
              <w:right w:val="single" w:color="000000" w:sz="4" w:space="0"/>
            </w:tcBorders>
            <w:vAlign w:val="center"/>
          </w:tcPr>
          <w:p w14:paraId="10DABE0C">
            <w:pPr>
              <w:widowControl/>
              <w:jc w:val="left"/>
              <w:textAlignment w:val="center"/>
              <w:rPr>
                <w:rFonts w:hint="eastAsia" w:ascii="宋体" w:hAnsi="宋体" w:eastAsia="宋体" w:cs="宋体"/>
                <w:color w:val="000000"/>
                <w:kern w:val="0"/>
                <w:sz w:val="21"/>
                <w:szCs w:val="21"/>
                <w:lang w:eastAsia="zh-CN" w:bidi="ar"/>
              </w:rPr>
            </w:pPr>
            <w:r>
              <w:rPr>
                <w:rFonts w:hint="eastAsia" w:ascii="宋体" w:hAnsi="宋体" w:eastAsia="宋体" w:cs="宋体"/>
                <w:color w:val="000000"/>
                <w:kern w:val="0"/>
                <w:sz w:val="21"/>
                <w:szCs w:val="21"/>
                <w:lang w:bidi="ar"/>
              </w:rPr>
              <w:t>输出信号卡：</w:t>
            </w:r>
            <w:r>
              <w:rPr>
                <w:rFonts w:hint="eastAsia" w:ascii="宋体" w:hAnsi="宋体" w:eastAsia="宋体" w:cs="宋体"/>
                <w:color w:val="000000"/>
                <w:kern w:val="0"/>
                <w:sz w:val="21"/>
                <w:szCs w:val="21"/>
                <w:lang w:val="en-US" w:eastAsia="zh-CN" w:bidi="ar"/>
              </w:rPr>
              <w:t>不少于</w:t>
            </w:r>
            <w:r>
              <w:rPr>
                <w:rFonts w:hint="eastAsia" w:ascii="宋体" w:hAnsi="宋体" w:eastAsia="宋体" w:cs="宋体"/>
                <w:color w:val="000000"/>
                <w:kern w:val="0"/>
                <w:sz w:val="21"/>
                <w:szCs w:val="21"/>
                <w:lang w:bidi="ar"/>
              </w:rPr>
              <w:t>4路HDMI输出</w:t>
            </w:r>
            <w:r>
              <w:rPr>
                <w:rFonts w:hint="eastAsia" w:ascii="宋体" w:hAnsi="宋体" w:eastAsia="宋体" w:cs="宋体"/>
                <w:color w:val="000000"/>
                <w:kern w:val="0"/>
                <w:sz w:val="21"/>
                <w:szCs w:val="21"/>
                <w:lang w:eastAsia="zh-CN" w:bidi="ar"/>
              </w:rPr>
              <w:t>；</w:t>
            </w:r>
          </w:p>
          <w:p w14:paraId="2EF02A99">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支持HDMI信号，兼容DVI-D；</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最高分辨率支持3840x2160P@30Hz;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输出支持立体声音频加嵌/解嵌；</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支持HDMI1.4标准，且支持HDCP2.2并向下兼容；</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输出信号卡与其他1080P无缝输入/输出卡搭配使用，通过拨码设置均可实现无缝切换，默认出厂拨码状态为（3840x2160P@30Hz）；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输出板卡支持8种分辨率调节：1024x768P@60Hz,1360x768P@60Hz,1280x720P@60Hz,1920x1080P@60Hz,3840x2160P@30Hz(默认分辨率)</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4E9F0BBE">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块</w:t>
            </w:r>
          </w:p>
        </w:tc>
        <w:tc>
          <w:tcPr>
            <w:tcW w:w="667" w:type="dxa"/>
            <w:tcBorders>
              <w:top w:val="single" w:color="000000" w:sz="4" w:space="0"/>
              <w:left w:val="single" w:color="000000" w:sz="4" w:space="0"/>
              <w:bottom w:val="single" w:color="000000" w:sz="4" w:space="0"/>
              <w:right w:val="single" w:color="000000" w:sz="4" w:space="0"/>
            </w:tcBorders>
            <w:vAlign w:val="center"/>
          </w:tcPr>
          <w:p w14:paraId="469261E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78C28147">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4k电视*2、视频会议终端*2</w:t>
            </w:r>
          </w:p>
        </w:tc>
      </w:tr>
      <w:tr w14:paraId="24061422">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1DEF8863">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1.2</w:t>
            </w:r>
          </w:p>
        </w:tc>
        <w:tc>
          <w:tcPr>
            <w:tcW w:w="5080" w:type="dxa"/>
            <w:gridSpan w:val="2"/>
            <w:tcBorders>
              <w:top w:val="single" w:color="000000" w:sz="4" w:space="0"/>
              <w:left w:val="single" w:color="000000" w:sz="4" w:space="0"/>
              <w:bottom w:val="single" w:color="000000" w:sz="4" w:space="0"/>
              <w:right w:val="single" w:color="000000" w:sz="4" w:space="0"/>
            </w:tcBorders>
            <w:vAlign w:val="center"/>
          </w:tcPr>
          <w:p w14:paraId="094FF7F7">
            <w:pPr>
              <w:widowControl/>
              <w:jc w:val="left"/>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扩声系统</w:t>
            </w:r>
          </w:p>
        </w:tc>
        <w:tc>
          <w:tcPr>
            <w:tcW w:w="853" w:type="dxa"/>
            <w:tcBorders>
              <w:top w:val="single" w:color="000000" w:sz="4" w:space="0"/>
              <w:left w:val="single" w:color="000000" w:sz="4" w:space="0"/>
              <w:bottom w:val="single" w:color="000000" w:sz="4" w:space="0"/>
              <w:right w:val="single" w:color="000000" w:sz="4" w:space="0"/>
            </w:tcBorders>
            <w:vAlign w:val="center"/>
          </w:tcPr>
          <w:p w14:paraId="5BE86278">
            <w:pPr>
              <w:jc w:val="center"/>
              <w:rPr>
                <w:rFonts w:hint="eastAsia" w:ascii="宋体" w:hAnsi="宋体" w:eastAsia="宋体" w:cs="宋体"/>
                <w:color w:val="000000"/>
                <w:sz w:val="21"/>
                <w:szCs w:val="21"/>
              </w:rPr>
            </w:pPr>
          </w:p>
        </w:tc>
        <w:tc>
          <w:tcPr>
            <w:tcW w:w="667" w:type="dxa"/>
            <w:tcBorders>
              <w:top w:val="single" w:color="000000" w:sz="4" w:space="0"/>
              <w:left w:val="single" w:color="000000" w:sz="4" w:space="0"/>
              <w:bottom w:val="single" w:color="000000" w:sz="4" w:space="0"/>
              <w:right w:val="single" w:color="000000" w:sz="4" w:space="0"/>
            </w:tcBorders>
            <w:noWrap/>
            <w:vAlign w:val="center"/>
          </w:tcPr>
          <w:p w14:paraId="7D168815">
            <w:pPr>
              <w:jc w:val="center"/>
              <w:rPr>
                <w:rFonts w:hint="eastAsia" w:ascii="宋体" w:hAnsi="宋体" w:eastAsia="宋体" w:cs="宋体"/>
                <w:color w:val="000000"/>
                <w:sz w:val="21"/>
                <w:szCs w:val="21"/>
              </w:rPr>
            </w:pPr>
          </w:p>
        </w:tc>
        <w:tc>
          <w:tcPr>
            <w:tcW w:w="1244" w:type="dxa"/>
            <w:tcBorders>
              <w:top w:val="single" w:color="000000" w:sz="4" w:space="0"/>
              <w:left w:val="single" w:color="000000" w:sz="4" w:space="0"/>
              <w:bottom w:val="single" w:color="000000" w:sz="4" w:space="0"/>
              <w:right w:val="single" w:color="000000" w:sz="4" w:space="0"/>
            </w:tcBorders>
          </w:tcPr>
          <w:p w14:paraId="646F7C72">
            <w:pPr>
              <w:jc w:val="left"/>
              <w:rPr>
                <w:rFonts w:hint="eastAsia" w:ascii="宋体" w:hAnsi="宋体" w:eastAsia="宋体" w:cs="宋体"/>
                <w:color w:val="000000"/>
                <w:sz w:val="21"/>
                <w:szCs w:val="21"/>
              </w:rPr>
            </w:pPr>
          </w:p>
        </w:tc>
      </w:tr>
      <w:tr w14:paraId="08CB1B36">
        <w:tblPrEx>
          <w:tblCellMar>
            <w:top w:w="0" w:type="dxa"/>
            <w:left w:w="108" w:type="dxa"/>
            <w:bottom w:w="0" w:type="dxa"/>
            <w:right w:w="108" w:type="dxa"/>
          </w:tblCellMar>
        </w:tblPrEx>
        <w:trPr>
          <w:trHeight w:val="1155"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183F135A">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1.2.1</w:t>
            </w:r>
          </w:p>
        </w:tc>
        <w:tc>
          <w:tcPr>
            <w:tcW w:w="1066" w:type="dxa"/>
            <w:tcBorders>
              <w:top w:val="single" w:color="000000" w:sz="4" w:space="0"/>
              <w:left w:val="single" w:color="000000" w:sz="4" w:space="0"/>
              <w:bottom w:val="single" w:color="000000" w:sz="4" w:space="0"/>
              <w:right w:val="single" w:color="000000" w:sz="4" w:space="0"/>
            </w:tcBorders>
            <w:vAlign w:val="center"/>
          </w:tcPr>
          <w:p w14:paraId="46D6239C">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专业音箱</w:t>
            </w:r>
          </w:p>
        </w:tc>
        <w:tc>
          <w:tcPr>
            <w:tcW w:w="4014" w:type="dxa"/>
            <w:tcBorders>
              <w:top w:val="single" w:color="000000" w:sz="4" w:space="0"/>
              <w:left w:val="single" w:color="000000" w:sz="4" w:space="0"/>
              <w:bottom w:val="single" w:color="000000" w:sz="4" w:space="0"/>
              <w:right w:val="single" w:color="000000" w:sz="4" w:space="0"/>
            </w:tcBorders>
            <w:vAlign w:val="center"/>
          </w:tcPr>
          <w:p w14:paraId="2020EF31">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无需供电的具备高中低音频效果输出的音箱，含有航天级钕磁钢高音压缩单元和10英寸航天级钕磁钢中低音单元，具有高灵敏度，中、高音通透清晰，低频力度震撼等声场特性。内置高斜率衰减的无源二分频分频器和扬声器保护电路，最大限度减少频段重叠和保护偶发性过载。运用扬声器高音减震和箱体无谐振技术，保护声波免受干扰。均匀的频响和清晰度表现，呈现出了高品质的音质，清晰柔和的声音效果为听众提供非常愉悦的音频体验。箱体有多个吊挂点，适用于流动平放、吊、挂固定式安装。</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技术参数：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单元组合：不低于10"中低音*1，1.</w:t>
            </w:r>
            <w:r>
              <w:rPr>
                <w:rFonts w:hint="eastAsia" w:ascii="宋体" w:hAnsi="宋体" w:eastAsia="宋体" w:cs="宋体"/>
                <w:color w:val="auto"/>
                <w:kern w:val="0"/>
                <w:sz w:val="21"/>
                <w:szCs w:val="21"/>
                <w:lang w:bidi="ar"/>
              </w:rPr>
              <w:t>0</w:t>
            </w:r>
            <w:r>
              <w:rPr>
                <w:rFonts w:hint="eastAsia" w:ascii="宋体" w:hAnsi="宋体" w:eastAsia="宋体" w:cs="宋体"/>
                <w:color w:val="000000"/>
                <w:kern w:val="0"/>
                <w:sz w:val="21"/>
                <w:szCs w:val="21"/>
                <w:lang w:bidi="ar"/>
              </w:rPr>
              <w:t>"高音*1</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频响范围：</w:t>
            </w:r>
            <w:r>
              <w:rPr>
                <w:rFonts w:hint="eastAsia" w:ascii="宋体" w:hAnsi="宋体" w:eastAsia="宋体" w:cs="宋体"/>
                <w:color w:val="auto"/>
                <w:kern w:val="0"/>
                <w:sz w:val="21"/>
                <w:szCs w:val="21"/>
                <w:lang w:bidi="ar"/>
              </w:rPr>
              <w:t>75</w:t>
            </w:r>
            <w:r>
              <w:rPr>
                <w:rFonts w:hint="eastAsia" w:ascii="宋体" w:hAnsi="宋体" w:eastAsia="宋体" w:cs="宋体"/>
                <w:color w:val="000000"/>
                <w:kern w:val="0"/>
                <w:sz w:val="21"/>
                <w:szCs w:val="21"/>
                <w:lang w:bidi="ar"/>
              </w:rPr>
              <w:t>Hz～20,000Hz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灵敏度（折算到1m，1W）：9</w:t>
            </w:r>
            <w:r>
              <w:rPr>
                <w:rFonts w:hint="eastAsia" w:ascii="宋体" w:hAnsi="宋体" w:eastAsia="宋体" w:cs="宋体"/>
                <w:color w:val="auto"/>
                <w:kern w:val="0"/>
                <w:sz w:val="21"/>
                <w:szCs w:val="21"/>
                <w:lang w:bidi="ar"/>
              </w:rPr>
              <w:t>6</w:t>
            </w:r>
            <w:r>
              <w:rPr>
                <w:rFonts w:hint="eastAsia" w:ascii="宋体" w:hAnsi="宋体" w:eastAsia="宋体" w:cs="宋体"/>
                <w:color w:val="000000"/>
                <w:kern w:val="0"/>
                <w:sz w:val="21"/>
                <w:szCs w:val="21"/>
                <w:lang w:bidi="ar"/>
              </w:rPr>
              <w:t>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最大声压级：120dBpeak,@1m.</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输入阻抗：8Ω</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额定功率：300W,最大功率：500W</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辐射角度(1KHz)(H*V)：100°*50°</w:t>
            </w:r>
          </w:p>
        </w:tc>
        <w:tc>
          <w:tcPr>
            <w:tcW w:w="853" w:type="dxa"/>
            <w:tcBorders>
              <w:top w:val="single" w:color="000000" w:sz="4" w:space="0"/>
              <w:left w:val="single" w:color="000000" w:sz="4" w:space="0"/>
              <w:bottom w:val="single" w:color="000000" w:sz="4" w:space="0"/>
              <w:right w:val="single" w:color="000000" w:sz="4" w:space="0"/>
            </w:tcBorders>
            <w:vAlign w:val="center"/>
          </w:tcPr>
          <w:p w14:paraId="2A84E44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只</w:t>
            </w:r>
          </w:p>
        </w:tc>
        <w:tc>
          <w:tcPr>
            <w:tcW w:w="667" w:type="dxa"/>
            <w:tcBorders>
              <w:top w:val="single" w:color="000000" w:sz="4" w:space="0"/>
              <w:left w:val="single" w:color="000000" w:sz="4" w:space="0"/>
              <w:bottom w:val="single" w:color="000000" w:sz="4" w:space="0"/>
              <w:right w:val="single" w:color="000000" w:sz="4" w:space="0"/>
            </w:tcBorders>
            <w:vAlign w:val="center"/>
          </w:tcPr>
          <w:p w14:paraId="4736111E">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003B94E1">
            <w:pPr>
              <w:rPr>
                <w:rFonts w:hint="eastAsia" w:ascii="宋体" w:hAnsi="宋体" w:eastAsia="宋体" w:cs="宋体"/>
                <w:color w:val="000000"/>
                <w:sz w:val="21"/>
                <w:szCs w:val="21"/>
              </w:rPr>
            </w:pPr>
          </w:p>
        </w:tc>
      </w:tr>
      <w:tr w14:paraId="75C14EF7">
        <w:tblPrEx>
          <w:tblCellMar>
            <w:top w:w="0" w:type="dxa"/>
            <w:left w:w="108" w:type="dxa"/>
            <w:bottom w:w="0" w:type="dxa"/>
            <w:right w:w="108" w:type="dxa"/>
          </w:tblCellMar>
        </w:tblPrEx>
        <w:trPr>
          <w:trHeight w:val="27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72DFA52E">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1.2.2</w:t>
            </w:r>
          </w:p>
        </w:tc>
        <w:tc>
          <w:tcPr>
            <w:tcW w:w="1066" w:type="dxa"/>
            <w:tcBorders>
              <w:top w:val="single" w:color="000000" w:sz="4" w:space="0"/>
              <w:left w:val="single" w:color="000000" w:sz="4" w:space="0"/>
              <w:bottom w:val="single" w:color="000000" w:sz="4" w:space="0"/>
              <w:right w:val="single" w:color="000000" w:sz="4" w:space="0"/>
            </w:tcBorders>
            <w:vAlign w:val="center"/>
          </w:tcPr>
          <w:p w14:paraId="08D0D7A2">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专业功放</w:t>
            </w:r>
          </w:p>
        </w:tc>
        <w:tc>
          <w:tcPr>
            <w:tcW w:w="4014" w:type="dxa"/>
            <w:tcBorders>
              <w:top w:val="single" w:color="000000" w:sz="4" w:space="0"/>
              <w:left w:val="single" w:color="000000" w:sz="4" w:space="0"/>
              <w:bottom w:val="single" w:color="000000" w:sz="4" w:space="0"/>
              <w:right w:val="single" w:color="000000" w:sz="4" w:space="0"/>
            </w:tcBorders>
            <w:vAlign w:val="center"/>
          </w:tcPr>
          <w:p w14:paraId="4EED04D8">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输出负载电阻恒定的二声道立体声功率放大设备。两路电压电流反馈回路设计，为功放提供尽可能宽的动态范围和频率响应，实现最小的失真，效率值高达91﹪以上。采用放大电路的增益自动随信号强度而调整技术，使音频信号时刻处于高保真输出状态，并能有效保护设备免受削波失真的冲击。当输入的音频信号低于正常值时，设备将开启自动待机状态，从而节省电量，当输入的音频信号恢复到正常值以上时，设备会被自动唤醒。</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设备具有开机软启动，欠压，过压，过热，过载，过流，直流保护等保护电路设计。</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设备平均无故障工作试验时长（MTBF）超过10000H。</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技术参数：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输出功率：（定阻模式）额定输出/立体声8Ω5</w:t>
            </w:r>
            <w:r>
              <w:rPr>
                <w:rFonts w:hint="eastAsia" w:ascii="宋体" w:hAnsi="宋体" w:eastAsia="宋体" w:cs="宋体"/>
                <w:color w:val="auto"/>
                <w:kern w:val="0"/>
                <w:sz w:val="21"/>
                <w:szCs w:val="21"/>
                <w:lang w:bidi="ar"/>
              </w:rPr>
              <w:t>0</w:t>
            </w:r>
            <w:r>
              <w:rPr>
                <w:rFonts w:hint="eastAsia" w:ascii="宋体" w:hAnsi="宋体" w:eastAsia="宋体" w:cs="宋体"/>
                <w:color w:val="000000"/>
                <w:kern w:val="0"/>
                <w:sz w:val="21"/>
                <w:szCs w:val="21"/>
                <w:lang w:bidi="ar"/>
              </w:rPr>
              <w:t>0W*2，额定输出/立体声4Ω</w:t>
            </w:r>
            <w:r>
              <w:rPr>
                <w:rFonts w:hint="eastAsia" w:ascii="宋体" w:hAnsi="宋体" w:eastAsia="宋体" w:cs="宋体"/>
                <w:color w:val="auto"/>
                <w:kern w:val="0"/>
                <w:sz w:val="21"/>
                <w:szCs w:val="21"/>
                <w:lang w:bidi="ar"/>
              </w:rPr>
              <w:t>765</w:t>
            </w:r>
            <w:r>
              <w:rPr>
                <w:rFonts w:hint="eastAsia" w:ascii="宋体" w:hAnsi="宋体" w:eastAsia="宋体" w:cs="宋体"/>
                <w:color w:val="000000"/>
                <w:kern w:val="0"/>
                <w:sz w:val="21"/>
                <w:szCs w:val="21"/>
                <w:lang w:bidi="ar"/>
              </w:rPr>
              <w:t>W*2，额定输出/桥接8Ω</w:t>
            </w:r>
            <w:r>
              <w:rPr>
                <w:rFonts w:hint="eastAsia" w:ascii="宋体" w:hAnsi="宋体" w:eastAsia="宋体" w:cs="宋体"/>
                <w:color w:val="auto"/>
                <w:kern w:val="0"/>
                <w:sz w:val="21"/>
                <w:szCs w:val="21"/>
                <w:lang w:bidi="ar"/>
              </w:rPr>
              <w:t>1530</w:t>
            </w:r>
            <w:r>
              <w:rPr>
                <w:rFonts w:hint="eastAsia" w:ascii="宋体" w:hAnsi="宋体" w:eastAsia="宋体" w:cs="宋体"/>
                <w:color w:val="000000"/>
                <w:kern w:val="0"/>
                <w:sz w:val="21"/>
                <w:szCs w:val="21"/>
                <w:lang w:bidi="ar"/>
              </w:rPr>
              <w:t>W</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频率响应：20Hz-20kHz（±0.3dB）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平衡输入阻抗：20kΩ/Balanced,10kΩ/un-Balanced</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信噪比：≥95dB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失真度：≤0.03%</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额定输出功率8ohm1KHz时分离度：＞70dB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阻尼系数f=1KHz8OHMS：＞240</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转换速率：15V/uS</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电源：AC220-230V50Hz/60Hz</w:t>
            </w:r>
          </w:p>
        </w:tc>
        <w:tc>
          <w:tcPr>
            <w:tcW w:w="853" w:type="dxa"/>
            <w:tcBorders>
              <w:top w:val="single" w:color="000000" w:sz="4" w:space="0"/>
              <w:left w:val="single" w:color="000000" w:sz="4" w:space="0"/>
              <w:bottom w:val="single" w:color="000000" w:sz="4" w:space="0"/>
              <w:right w:val="single" w:color="000000" w:sz="4" w:space="0"/>
            </w:tcBorders>
            <w:vAlign w:val="center"/>
          </w:tcPr>
          <w:p w14:paraId="75DFA5A3">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1FE24FE2">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481F59B5">
            <w:pPr>
              <w:rPr>
                <w:rFonts w:hint="eastAsia" w:ascii="宋体" w:hAnsi="宋体" w:eastAsia="宋体" w:cs="宋体"/>
                <w:color w:val="000000"/>
                <w:sz w:val="21"/>
                <w:szCs w:val="21"/>
              </w:rPr>
            </w:pPr>
          </w:p>
        </w:tc>
      </w:tr>
      <w:tr w14:paraId="0DC12B66">
        <w:tblPrEx>
          <w:tblCellMar>
            <w:top w:w="0" w:type="dxa"/>
            <w:left w:w="108" w:type="dxa"/>
            <w:bottom w:w="0" w:type="dxa"/>
            <w:right w:w="108" w:type="dxa"/>
          </w:tblCellMar>
        </w:tblPrEx>
        <w:trPr>
          <w:trHeight w:val="126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13FF4E3F">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1.2.3</w:t>
            </w:r>
          </w:p>
        </w:tc>
        <w:tc>
          <w:tcPr>
            <w:tcW w:w="1066" w:type="dxa"/>
            <w:tcBorders>
              <w:top w:val="single" w:color="000000" w:sz="4" w:space="0"/>
              <w:left w:val="single" w:color="000000" w:sz="4" w:space="0"/>
              <w:bottom w:val="single" w:color="000000" w:sz="4" w:space="0"/>
              <w:right w:val="single" w:color="000000" w:sz="4" w:space="0"/>
            </w:tcBorders>
            <w:vAlign w:val="center"/>
          </w:tcPr>
          <w:p w14:paraId="44698BBF">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支架</w:t>
            </w:r>
          </w:p>
        </w:tc>
        <w:tc>
          <w:tcPr>
            <w:tcW w:w="4014" w:type="dxa"/>
            <w:tcBorders>
              <w:top w:val="single" w:color="000000" w:sz="4" w:space="0"/>
              <w:left w:val="single" w:color="000000" w:sz="4" w:space="0"/>
              <w:bottom w:val="single" w:color="000000" w:sz="4" w:space="0"/>
              <w:right w:val="single" w:color="000000" w:sz="4" w:space="0"/>
            </w:tcBorders>
            <w:vAlign w:val="center"/>
          </w:tcPr>
          <w:p w14:paraId="2022F575">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功能特点：材料：金属+钢管</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承重：50kg</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长度：280-360mm</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特点：安装、使用方便</w:t>
            </w:r>
          </w:p>
        </w:tc>
        <w:tc>
          <w:tcPr>
            <w:tcW w:w="853" w:type="dxa"/>
            <w:tcBorders>
              <w:top w:val="single" w:color="000000" w:sz="4" w:space="0"/>
              <w:left w:val="single" w:color="000000" w:sz="4" w:space="0"/>
              <w:bottom w:val="single" w:color="000000" w:sz="4" w:space="0"/>
              <w:right w:val="single" w:color="000000" w:sz="4" w:space="0"/>
            </w:tcBorders>
            <w:vAlign w:val="center"/>
          </w:tcPr>
          <w:p w14:paraId="782F3F8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只</w:t>
            </w:r>
          </w:p>
        </w:tc>
        <w:tc>
          <w:tcPr>
            <w:tcW w:w="667" w:type="dxa"/>
            <w:tcBorders>
              <w:top w:val="single" w:color="000000" w:sz="4" w:space="0"/>
              <w:left w:val="single" w:color="000000" w:sz="4" w:space="0"/>
              <w:bottom w:val="single" w:color="000000" w:sz="4" w:space="0"/>
              <w:right w:val="single" w:color="000000" w:sz="4" w:space="0"/>
            </w:tcBorders>
            <w:vAlign w:val="center"/>
          </w:tcPr>
          <w:p w14:paraId="47A4F675">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1E8FCD3C">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实体墙壁挂支架</w:t>
            </w:r>
          </w:p>
        </w:tc>
      </w:tr>
      <w:tr w14:paraId="55C240DD">
        <w:tblPrEx>
          <w:tblCellMar>
            <w:top w:w="0" w:type="dxa"/>
            <w:left w:w="108" w:type="dxa"/>
            <w:bottom w:w="0" w:type="dxa"/>
            <w:right w:w="108" w:type="dxa"/>
          </w:tblCellMar>
        </w:tblPrEx>
        <w:trPr>
          <w:trHeight w:val="344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46AAAF2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1.2.4</w:t>
            </w:r>
          </w:p>
        </w:tc>
        <w:tc>
          <w:tcPr>
            <w:tcW w:w="1066" w:type="dxa"/>
            <w:tcBorders>
              <w:top w:val="single" w:color="000000" w:sz="4" w:space="0"/>
              <w:left w:val="single" w:color="000000" w:sz="4" w:space="0"/>
              <w:bottom w:val="single" w:color="000000" w:sz="4" w:space="0"/>
              <w:right w:val="single" w:color="000000" w:sz="4" w:space="0"/>
            </w:tcBorders>
            <w:vAlign w:val="center"/>
          </w:tcPr>
          <w:p w14:paraId="1D0EA032">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专业音箱</w:t>
            </w:r>
          </w:p>
        </w:tc>
        <w:tc>
          <w:tcPr>
            <w:tcW w:w="4014" w:type="dxa"/>
            <w:tcBorders>
              <w:top w:val="single" w:color="000000" w:sz="4" w:space="0"/>
              <w:left w:val="single" w:color="000000" w:sz="4" w:space="0"/>
              <w:bottom w:val="single" w:color="000000" w:sz="4" w:space="0"/>
              <w:right w:val="single" w:color="000000" w:sz="4" w:space="0"/>
            </w:tcBorders>
            <w:vAlign w:val="center"/>
          </w:tcPr>
          <w:p w14:paraId="55247202">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无需供电的具备高中低音频效果输出的音箱，含有航天级钕磁钢高音压缩单元和8英寸航天级钕磁钢中低音单元，具有高灵敏度，中、高音通透清晰，低频力度震撼等声场特性。内置高斜率衰减的无源二分频分频器和扬声器保护电路，最大限度减少频段重叠和保护偶发性过载。运用扬声器高音减震和箱体无谐振技术，保护声波免受干扰。均匀的频响和清晰度表现，呈现出了高品质的音质，清晰柔和的声音效果为听众提供非常愉悦的音频体验。箱体有多个吊挂点，适用于流动平放、吊、挂固定式安装。</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技术参数：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单元组合：不低于8"中低音*1，1.</w:t>
            </w:r>
            <w:r>
              <w:rPr>
                <w:rFonts w:hint="eastAsia" w:ascii="宋体" w:hAnsi="宋体" w:eastAsia="宋体" w:cs="宋体"/>
                <w:color w:val="auto"/>
                <w:kern w:val="0"/>
                <w:sz w:val="21"/>
                <w:szCs w:val="21"/>
                <w:lang w:bidi="ar"/>
              </w:rPr>
              <w:t>0"</w:t>
            </w:r>
            <w:r>
              <w:rPr>
                <w:rFonts w:hint="eastAsia" w:ascii="宋体" w:hAnsi="宋体" w:eastAsia="宋体" w:cs="宋体"/>
                <w:color w:val="000000"/>
                <w:kern w:val="0"/>
                <w:sz w:val="21"/>
                <w:szCs w:val="21"/>
                <w:lang w:bidi="ar"/>
              </w:rPr>
              <w:t>高音*1</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频响范围：</w:t>
            </w:r>
            <w:r>
              <w:rPr>
                <w:rFonts w:hint="eastAsia" w:ascii="宋体" w:hAnsi="宋体" w:eastAsia="宋体" w:cs="宋体"/>
                <w:color w:val="auto"/>
                <w:kern w:val="0"/>
                <w:sz w:val="21"/>
                <w:szCs w:val="21"/>
                <w:lang w:bidi="ar"/>
              </w:rPr>
              <w:t>76</w:t>
            </w:r>
            <w:r>
              <w:rPr>
                <w:rFonts w:hint="eastAsia" w:ascii="宋体" w:hAnsi="宋体" w:eastAsia="宋体" w:cs="宋体"/>
                <w:color w:val="000000"/>
                <w:kern w:val="0"/>
                <w:sz w:val="21"/>
                <w:szCs w:val="21"/>
                <w:lang w:bidi="ar"/>
              </w:rPr>
              <w:t>Hz～20,000Hz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灵敏度（折算到1m，1W）：96dB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最大声压级：120dBpeak,@1m.</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输入阻抗：8Ω</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额定功率：200W,最大功率300W</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辐射角度(1KHz)（H*V）：90°*40°</w:t>
            </w:r>
          </w:p>
        </w:tc>
        <w:tc>
          <w:tcPr>
            <w:tcW w:w="853" w:type="dxa"/>
            <w:tcBorders>
              <w:top w:val="single" w:color="000000" w:sz="4" w:space="0"/>
              <w:left w:val="single" w:color="000000" w:sz="4" w:space="0"/>
              <w:bottom w:val="single" w:color="000000" w:sz="4" w:space="0"/>
              <w:right w:val="single" w:color="000000" w:sz="4" w:space="0"/>
            </w:tcBorders>
            <w:vAlign w:val="center"/>
          </w:tcPr>
          <w:p w14:paraId="72369A6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只</w:t>
            </w:r>
          </w:p>
        </w:tc>
        <w:tc>
          <w:tcPr>
            <w:tcW w:w="667" w:type="dxa"/>
            <w:tcBorders>
              <w:top w:val="single" w:color="000000" w:sz="4" w:space="0"/>
              <w:left w:val="single" w:color="000000" w:sz="4" w:space="0"/>
              <w:bottom w:val="single" w:color="000000" w:sz="4" w:space="0"/>
              <w:right w:val="single" w:color="000000" w:sz="4" w:space="0"/>
            </w:tcBorders>
            <w:vAlign w:val="center"/>
          </w:tcPr>
          <w:p w14:paraId="33CD6B68">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6A9E4B79">
            <w:pPr>
              <w:rPr>
                <w:rFonts w:hint="eastAsia" w:ascii="宋体" w:hAnsi="宋体" w:eastAsia="宋体" w:cs="宋体"/>
                <w:color w:val="000000"/>
                <w:sz w:val="21"/>
                <w:szCs w:val="21"/>
              </w:rPr>
            </w:pPr>
          </w:p>
        </w:tc>
      </w:tr>
      <w:tr w14:paraId="24F9AAEA">
        <w:tblPrEx>
          <w:tblCellMar>
            <w:top w:w="0" w:type="dxa"/>
            <w:left w:w="108" w:type="dxa"/>
            <w:bottom w:w="0" w:type="dxa"/>
            <w:right w:w="108" w:type="dxa"/>
          </w:tblCellMar>
        </w:tblPrEx>
        <w:trPr>
          <w:trHeight w:val="9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183F4B4F">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1.2.5</w:t>
            </w:r>
          </w:p>
        </w:tc>
        <w:tc>
          <w:tcPr>
            <w:tcW w:w="1066" w:type="dxa"/>
            <w:tcBorders>
              <w:top w:val="single" w:color="000000" w:sz="4" w:space="0"/>
              <w:left w:val="single" w:color="000000" w:sz="4" w:space="0"/>
              <w:bottom w:val="single" w:color="000000" w:sz="4" w:space="0"/>
              <w:right w:val="single" w:color="000000" w:sz="4" w:space="0"/>
            </w:tcBorders>
            <w:vAlign w:val="center"/>
          </w:tcPr>
          <w:p w14:paraId="4F38D430">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专业功放</w:t>
            </w:r>
          </w:p>
        </w:tc>
        <w:tc>
          <w:tcPr>
            <w:tcW w:w="4014" w:type="dxa"/>
            <w:tcBorders>
              <w:top w:val="single" w:color="000000" w:sz="4" w:space="0"/>
              <w:left w:val="single" w:color="000000" w:sz="4" w:space="0"/>
              <w:bottom w:val="single" w:color="000000" w:sz="4" w:space="0"/>
              <w:right w:val="single" w:color="000000" w:sz="4" w:space="0"/>
            </w:tcBorders>
            <w:vAlign w:val="center"/>
          </w:tcPr>
          <w:p w14:paraId="52312202">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输出负载电阻恒定的二声道立体声功率放大设备。两路电压电流反馈回路设计，为功放提供尽可能宽的动态范围和频率响应，实现最小的失真，效率值高达91﹪以上。采用放大电路的增益自动随信号强度而调整技术，使音频信号时刻处于高保真输出状态，并能有效保护设备免受削波失真的冲击。当输入的音频信号低于正常值时，设备将开启自动待机状态，从而节省电量，当输入的音频信号恢复到正常值以上时，设备会被自动唤醒。</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设备具有开机软启动，欠压，过压，过热，过载，过流，直流保护等保护电路设计。</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设备平均无故障工作试验时长（MTBF）超过10000H。</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技术参数：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输出功率：（定阻模式）额定输出/立体声8Ω350W*2，额定输出/立体声4Ω600W*2，额定输出/桥接8Ω1060W</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频率响应：20Hz-20kHz（±0.3dB）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平衡输入阻抗：20kΩ/Balanced,10kΩ/un-Balanced</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信噪比：≥95dB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失真度：≤0.03%</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额定输出功率8ohm1KHz时分离度：＞70dB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阻尼系数f=1KHz8OHMS：＞240</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转换速率：15V/uS</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电源：AC:220-230V50Hz/60Hz</w:t>
            </w:r>
          </w:p>
        </w:tc>
        <w:tc>
          <w:tcPr>
            <w:tcW w:w="853" w:type="dxa"/>
            <w:tcBorders>
              <w:top w:val="single" w:color="000000" w:sz="4" w:space="0"/>
              <w:left w:val="single" w:color="000000" w:sz="4" w:space="0"/>
              <w:bottom w:val="single" w:color="000000" w:sz="4" w:space="0"/>
              <w:right w:val="single" w:color="000000" w:sz="4" w:space="0"/>
            </w:tcBorders>
            <w:vAlign w:val="center"/>
          </w:tcPr>
          <w:p w14:paraId="41F28822">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105D5F4A">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691D52AD">
            <w:pPr>
              <w:rPr>
                <w:rFonts w:hint="eastAsia" w:ascii="宋体" w:hAnsi="宋体" w:eastAsia="宋体" w:cs="宋体"/>
                <w:color w:val="000000"/>
                <w:sz w:val="21"/>
                <w:szCs w:val="21"/>
              </w:rPr>
            </w:pPr>
          </w:p>
        </w:tc>
      </w:tr>
      <w:tr w14:paraId="0D7DC6EF">
        <w:tblPrEx>
          <w:tblCellMar>
            <w:top w:w="0" w:type="dxa"/>
            <w:left w:w="108" w:type="dxa"/>
            <w:bottom w:w="0" w:type="dxa"/>
            <w:right w:w="108" w:type="dxa"/>
          </w:tblCellMar>
        </w:tblPrEx>
        <w:trPr>
          <w:trHeight w:val="162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191E945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1.2.6</w:t>
            </w:r>
          </w:p>
        </w:tc>
        <w:tc>
          <w:tcPr>
            <w:tcW w:w="1066" w:type="dxa"/>
            <w:tcBorders>
              <w:top w:val="single" w:color="000000" w:sz="4" w:space="0"/>
              <w:left w:val="single" w:color="000000" w:sz="4" w:space="0"/>
              <w:bottom w:val="single" w:color="000000" w:sz="4" w:space="0"/>
              <w:right w:val="single" w:color="000000" w:sz="4" w:space="0"/>
            </w:tcBorders>
            <w:vAlign w:val="center"/>
          </w:tcPr>
          <w:p w14:paraId="452DDCCB">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调音台</w:t>
            </w:r>
          </w:p>
        </w:tc>
        <w:tc>
          <w:tcPr>
            <w:tcW w:w="4014" w:type="dxa"/>
            <w:tcBorders>
              <w:top w:val="single" w:color="000000" w:sz="4" w:space="0"/>
              <w:left w:val="single" w:color="000000" w:sz="4" w:space="0"/>
              <w:bottom w:val="single" w:color="000000" w:sz="4" w:space="0"/>
              <w:right w:val="single" w:color="000000" w:sz="4" w:space="0"/>
            </w:tcBorders>
            <w:vAlign w:val="center"/>
          </w:tcPr>
          <w:p w14:paraId="2E58D896">
            <w:pPr>
              <w:widowControl/>
              <w:jc w:val="left"/>
              <w:textAlignment w:val="center"/>
              <w:rPr>
                <w:rFonts w:hint="eastAsia" w:ascii="宋体" w:hAnsi="宋体" w:eastAsia="宋体" w:cs="宋体"/>
                <w:color w:val="000000"/>
                <w:kern w:val="0"/>
                <w:sz w:val="21"/>
                <w:szCs w:val="21"/>
                <w:lang w:eastAsia="zh-CN" w:bidi="ar"/>
              </w:rPr>
            </w:pPr>
            <w:r>
              <w:rPr>
                <w:rFonts w:hint="eastAsia" w:ascii="宋体" w:hAnsi="宋体" w:eastAsia="宋体" w:cs="宋体"/>
                <w:color w:val="000000"/>
                <w:kern w:val="0"/>
                <w:sz w:val="21"/>
                <w:szCs w:val="21"/>
                <w:lang w:bidi="ar"/>
              </w:rPr>
              <w:t>十二路麦克风输入四编组信号输出的调音设备。</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2组立体声输入，2路RCA输入，可连接立体声音源设备。</w:t>
            </w:r>
            <w:r>
              <w:rPr>
                <w:rFonts w:hint="eastAsia" w:ascii="宋体" w:hAnsi="宋体" w:eastAsia="宋体" w:cs="宋体"/>
                <w:color w:val="000000"/>
                <w:kern w:val="0"/>
                <w:sz w:val="21"/>
                <w:szCs w:val="21"/>
                <w:lang w:bidi="ar"/>
              </w:rPr>
              <w:br w:type="textWrapping"/>
            </w:r>
            <w:r>
              <w:rPr>
                <w:rFonts w:hint="eastAsia" w:ascii="宋体" w:hAnsi="宋体" w:eastAsia="宋体" w:cs="宋体"/>
                <w:color w:val="auto"/>
                <w:kern w:val="0"/>
                <w:sz w:val="21"/>
                <w:szCs w:val="21"/>
                <w:lang w:bidi="ar"/>
              </w:rPr>
              <w:t>1</w:t>
            </w:r>
            <w:r>
              <w:rPr>
                <w:rFonts w:hint="eastAsia" w:ascii="宋体" w:hAnsi="宋体" w:eastAsia="宋体" w:cs="宋体"/>
                <w:color w:val="000000"/>
                <w:kern w:val="0"/>
                <w:sz w:val="21"/>
                <w:szCs w:val="21"/>
                <w:lang w:bidi="ar"/>
              </w:rPr>
              <w:t>路立体声主输出、4编组XLR平衡式输出、4路AUX辅助输出、1路耳机监听输出</w:t>
            </w:r>
            <w:r>
              <w:rPr>
                <w:rFonts w:hint="eastAsia" w:ascii="宋体" w:hAnsi="宋体" w:eastAsia="宋体" w:cs="宋体"/>
                <w:color w:val="000000"/>
                <w:kern w:val="0"/>
                <w:sz w:val="21"/>
                <w:szCs w:val="21"/>
                <w:lang w:eastAsia="zh-CN" w:bidi="ar"/>
              </w:rPr>
              <w:t>。</w:t>
            </w:r>
          </w:p>
          <w:p w14:paraId="0B7C3602">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每路输入支持四段均衡调节，输出支持双9段信号监听功能，实时监听输出信号的状态。</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内置麦克风音频信号放大器，可对音频进行压缩处理、均衡处理、DA转换等。</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每路XLR平衡式麦克风输入自带静音开关，带有48V幻象电源，支持一键开启幻象供电。</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内置MP3播放器，支持1路USB接口，外接U盘播放音乐，支持录音功能；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每个通道支持3路AUX辅助输出、1路效果FX发送输出。</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支持无线蓝牙播放，可连接移动终端蓝牙进行音乐的播放。</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技术参数：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通道灵敏度：MIC（-60dB）、立体声（-40dB）、效果发送（-20dB）、效果返回（-20dB）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总谐波失真：0.1%below(1KHzFullPower)</w:t>
            </w:r>
          </w:p>
        </w:tc>
        <w:tc>
          <w:tcPr>
            <w:tcW w:w="853" w:type="dxa"/>
            <w:tcBorders>
              <w:top w:val="single" w:color="000000" w:sz="4" w:space="0"/>
              <w:left w:val="single" w:color="000000" w:sz="4" w:space="0"/>
              <w:bottom w:val="single" w:color="000000" w:sz="4" w:space="0"/>
              <w:right w:val="single" w:color="000000" w:sz="4" w:space="0"/>
            </w:tcBorders>
            <w:vAlign w:val="center"/>
          </w:tcPr>
          <w:p w14:paraId="3730B18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6217A132">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3F8FDF7E">
            <w:pPr>
              <w:rPr>
                <w:rFonts w:hint="eastAsia" w:ascii="宋体" w:hAnsi="宋体" w:eastAsia="宋体" w:cs="宋体"/>
                <w:color w:val="000000"/>
                <w:sz w:val="21"/>
                <w:szCs w:val="21"/>
              </w:rPr>
            </w:pPr>
          </w:p>
        </w:tc>
      </w:tr>
      <w:tr w14:paraId="42621D9F">
        <w:tblPrEx>
          <w:tblCellMar>
            <w:top w:w="0" w:type="dxa"/>
            <w:left w:w="108" w:type="dxa"/>
            <w:bottom w:w="0" w:type="dxa"/>
            <w:right w:w="108" w:type="dxa"/>
          </w:tblCellMar>
        </w:tblPrEx>
        <w:trPr>
          <w:trHeight w:val="454"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2D45705A">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1.2.7</w:t>
            </w:r>
          </w:p>
        </w:tc>
        <w:tc>
          <w:tcPr>
            <w:tcW w:w="1066" w:type="dxa"/>
            <w:tcBorders>
              <w:top w:val="single" w:color="000000" w:sz="4" w:space="0"/>
              <w:left w:val="single" w:color="000000" w:sz="4" w:space="0"/>
              <w:bottom w:val="single" w:color="000000" w:sz="4" w:space="0"/>
              <w:right w:val="single" w:color="000000" w:sz="4" w:space="0"/>
            </w:tcBorders>
            <w:vAlign w:val="center"/>
          </w:tcPr>
          <w:p w14:paraId="5BF40901">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音频处理器</w:t>
            </w:r>
          </w:p>
        </w:tc>
        <w:tc>
          <w:tcPr>
            <w:tcW w:w="4014" w:type="dxa"/>
            <w:tcBorders>
              <w:top w:val="single" w:color="000000" w:sz="4" w:space="0"/>
              <w:left w:val="single" w:color="000000" w:sz="4" w:space="0"/>
              <w:bottom w:val="single" w:color="000000" w:sz="4" w:space="0"/>
              <w:right w:val="single" w:color="000000" w:sz="4" w:space="0"/>
            </w:tcBorders>
            <w:vAlign w:val="center"/>
          </w:tcPr>
          <w:p w14:paraId="3C0A632D">
            <w:pPr>
              <w:widowControl/>
              <w:jc w:val="left"/>
              <w:textAlignment w:val="center"/>
              <w:rPr>
                <w:rFonts w:hint="eastAsia" w:ascii="宋体" w:hAnsi="宋体" w:eastAsia="宋体" w:cs="宋体"/>
                <w:color w:val="EE0000"/>
                <w:kern w:val="0"/>
                <w:sz w:val="21"/>
                <w:szCs w:val="21"/>
                <w:lang w:bidi="ar"/>
              </w:rPr>
            </w:pPr>
            <w:r>
              <w:rPr>
                <w:rFonts w:hint="eastAsia" w:ascii="宋体" w:hAnsi="宋体" w:eastAsia="宋体" w:cs="宋体"/>
                <w:color w:val="000000"/>
                <w:kern w:val="0"/>
                <w:sz w:val="21"/>
                <w:szCs w:val="21"/>
                <w:lang w:bidi="ar"/>
              </w:rPr>
              <w:t>带有四进四出音频切换矩阵的数字音频处理设备；4路平衡式信号输入，带+48VDC10mA幻象电源，并提供0、10、20、30、48dB多级增益调节；4路平衡式信号输出。</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设备内嵌信号发生器、自动混音（AM）、自动控制增益（AGC）、反馈消除（AFC）、回声消除（AEC）、噪声消除（ANC）等主要算法。</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每路输入通道均具有：前级放大、信号发生器、扩展器、压缩器、5段参量均衡（支持类型包括PEO/High-Shelf/Low-Shelf/LP/HP等）AM自动混音功能、AFC自适应反馈消除、AEC回声消除、ANC噪声消除；</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每路输出通道均具有：31段图示均衡及8段全参量均衡切换选择、延时器、分频器、高低通滤波器、限幅器。支持多种音频格式的立体声播放；还可扩展USB多媒体存储录制功能。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具有双向串行RS232/485协议控制接口；可控制外部其它设备如：音视频矩阵、摄像机、幕布、灯光、电源时序器等设备。也可接受中控平台控制，内置中控代码生成器，无需自行套用公式编辑代码。</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内置自动摄像跟踪功能，并支持8种场景预设，断电自动保护记忆，轻松实现视频会议。</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支持断电自动保护记忆功能。支持通道拷贝、粘贴、联控功能。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设备可通过WiFi、USB、RJ45接口等连接方式，实现HarmonyOS、IOS、Android、Windows移动终端无线控制，以及电脑、中控平台、按键面板、触摸面板等有线方式控制。</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技术参数：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输入输出通道数量:4+4</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输入阻抗：平衡20KΩ，非平衡10KΩ输出阻抗：平衡100Ω，非平衡50Ω输入共模拟制比：≥78dB(1KHz)输出动态范围：112dBu</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幻象电源:+48VDC10mA</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输出电平:0/-6dB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采样频率/量化位数：48KHz/24bi</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DSP处理器：</w:t>
            </w:r>
            <w:r>
              <w:rPr>
                <w:rFonts w:hint="eastAsia" w:ascii="宋体" w:hAnsi="宋体" w:eastAsia="宋体" w:cs="宋体"/>
                <w:color w:val="auto"/>
                <w:kern w:val="0"/>
                <w:sz w:val="21"/>
                <w:szCs w:val="21"/>
                <w:lang w:bidi="ar"/>
              </w:rPr>
              <w:t>32-</w:t>
            </w:r>
            <w:r>
              <w:rPr>
                <w:rFonts w:hint="eastAsia" w:ascii="宋体" w:hAnsi="宋体" w:eastAsia="宋体" w:cs="宋体"/>
                <w:color w:val="000000"/>
                <w:kern w:val="0"/>
                <w:sz w:val="21"/>
                <w:szCs w:val="21"/>
                <w:lang w:bidi="ar"/>
              </w:rPr>
              <w:t>bit浮点运算引擎</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A/D及D/A转换器动态范围：≥117dB（带宽22KHz）频率响应：20Hz-20KHz(±0.5dB)信噪比：&gt;90dB@1KHz0dBu失真度：﹤0.002%OUTPUT=0dBu/1KHz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本底噪声(A-计权-模拟):-89dBu</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共模抑制比@60Hz:80dB信道分离度：&gt;100dB（1KHz）功耗：≤45W电源:AC110V/220V50/60Hz</w:t>
            </w:r>
          </w:p>
        </w:tc>
        <w:tc>
          <w:tcPr>
            <w:tcW w:w="853" w:type="dxa"/>
            <w:tcBorders>
              <w:top w:val="single" w:color="000000" w:sz="4" w:space="0"/>
              <w:left w:val="single" w:color="000000" w:sz="4" w:space="0"/>
              <w:bottom w:val="single" w:color="000000" w:sz="4" w:space="0"/>
              <w:right w:val="single" w:color="000000" w:sz="4" w:space="0"/>
            </w:tcBorders>
            <w:vAlign w:val="center"/>
          </w:tcPr>
          <w:p w14:paraId="758B79D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02CDBAF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298A86CD">
            <w:pPr>
              <w:rPr>
                <w:rFonts w:hint="eastAsia" w:ascii="宋体" w:hAnsi="宋体" w:eastAsia="宋体" w:cs="宋体"/>
                <w:color w:val="000000"/>
                <w:sz w:val="21"/>
                <w:szCs w:val="21"/>
              </w:rPr>
            </w:pPr>
          </w:p>
        </w:tc>
      </w:tr>
      <w:tr w14:paraId="5CA73DE2">
        <w:tblPrEx>
          <w:tblCellMar>
            <w:top w:w="0" w:type="dxa"/>
            <w:left w:w="108" w:type="dxa"/>
            <w:bottom w:w="0" w:type="dxa"/>
            <w:right w:w="108" w:type="dxa"/>
          </w:tblCellMar>
        </w:tblPrEx>
        <w:trPr>
          <w:trHeight w:val="1495"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4917419D">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1.2.8</w:t>
            </w:r>
          </w:p>
        </w:tc>
        <w:tc>
          <w:tcPr>
            <w:tcW w:w="1066" w:type="dxa"/>
            <w:tcBorders>
              <w:top w:val="single" w:color="000000" w:sz="4" w:space="0"/>
              <w:left w:val="single" w:color="000000" w:sz="4" w:space="0"/>
              <w:bottom w:val="single" w:color="000000" w:sz="4" w:space="0"/>
              <w:right w:val="single" w:color="000000" w:sz="4" w:space="0"/>
            </w:tcBorders>
            <w:vAlign w:val="center"/>
          </w:tcPr>
          <w:p w14:paraId="1C3D109C">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音频隔离器</w:t>
            </w:r>
          </w:p>
        </w:tc>
        <w:tc>
          <w:tcPr>
            <w:tcW w:w="4014" w:type="dxa"/>
            <w:tcBorders>
              <w:top w:val="single" w:color="000000" w:sz="4" w:space="0"/>
              <w:left w:val="single" w:color="000000" w:sz="4" w:space="0"/>
              <w:bottom w:val="single" w:color="000000" w:sz="4" w:space="0"/>
              <w:right w:val="single" w:color="000000" w:sz="4" w:space="0"/>
            </w:tcBorders>
            <w:vAlign w:val="center"/>
          </w:tcPr>
          <w:p w14:paraId="6DB2EBB7">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音频信号经过音频信号隔离器，可以完全隔离两个系统间的电位差，避免由于接地问题造成的交流声干扰，防止过高电位差对设备输入级的损坏。</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低底噪、无50Hz交流“嗡”声、无高频“嗞啦”干扰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实现音频信号的安全传输，去除音响设备连接产生的噪音，笔记本电脑接调音台产生的噪音。</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点对点平衡传输音频，可以选择前面板2个接口中的任意一个COMBO接口输入，从后面板对应COMBO接口输出；</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去除电子乐器连接调音台产生的噪音。</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去除设备和设备间经过长距离传输不共地产生的噪声。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去除设备与设备阻抗不匹配产生的噪声。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解决由于场地用电，走线，灯光干扰等原因而引起的交流声。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隔离滤波音频传输最远传输信号450－600米</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即插即用，支持热插拨；内置瞬态、浪涌抑制、抗静电保护电路。</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技术参数：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输入阻抗：600Ω（交流阻抗）</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输出阻抗：600Ω（交流阻抗）</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频率响应：20HZ—20KHZ（±＜0.3dbref1khz）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定损失：＜0.7db（ref1khz1Vrms）</w:t>
            </w:r>
          </w:p>
        </w:tc>
        <w:tc>
          <w:tcPr>
            <w:tcW w:w="853" w:type="dxa"/>
            <w:tcBorders>
              <w:top w:val="single" w:color="000000" w:sz="4" w:space="0"/>
              <w:left w:val="single" w:color="000000" w:sz="4" w:space="0"/>
              <w:bottom w:val="single" w:color="000000" w:sz="4" w:space="0"/>
              <w:right w:val="single" w:color="000000" w:sz="4" w:space="0"/>
            </w:tcBorders>
            <w:vAlign w:val="center"/>
          </w:tcPr>
          <w:p w14:paraId="0409AA6B">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67" w:type="dxa"/>
            <w:tcBorders>
              <w:top w:val="single" w:color="000000" w:sz="4" w:space="0"/>
              <w:left w:val="single" w:color="000000" w:sz="4" w:space="0"/>
              <w:bottom w:val="single" w:color="000000" w:sz="4" w:space="0"/>
              <w:right w:val="single" w:color="000000" w:sz="4" w:space="0"/>
            </w:tcBorders>
            <w:vAlign w:val="center"/>
          </w:tcPr>
          <w:p w14:paraId="01DB83BF">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5D59E4B1">
            <w:pPr>
              <w:rPr>
                <w:rFonts w:hint="eastAsia" w:ascii="宋体" w:hAnsi="宋体" w:eastAsia="宋体" w:cs="宋体"/>
                <w:color w:val="000000"/>
                <w:sz w:val="21"/>
                <w:szCs w:val="21"/>
              </w:rPr>
            </w:pPr>
          </w:p>
        </w:tc>
      </w:tr>
      <w:tr w14:paraId="1A96CFC9">
        <w:tblPrEx>
          <w:tblCellMar>
            <w:top w:w="0" w:type="dxa"/>
            <w:left w:w="108" w:type="dxa"/>
            <w:bottom w:w="0" w:type="dxa"/>
            <w:right w:w="108" w:type="dxa"/>
          </w:tblCellMar>
        </w:tblPrEx>
        <w:trPr>
          <w:trHeight w:val="2555"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16FDE0F2">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1.2.9</w:t>
            </w:r>
          </w:p>
        </w:tc>
        <w:tc>
          <w:tcPr>
            <w:tcW w:w="1066" w:type="dxa"/>
            <w:tcBorders>
              <w:top w:val="single" w:color="000000" w:sz="4" w:space="0"/>
              <w:left w:val="single" w:color="000000" w:sz="4" w:space="0"/>
              <w:bottom w:val="single" w:color="000000" w:sz="4" w:space="0"/>
              <w:right w:val="single" w:color="000000" w:sz="4" w:space="0"/>
            </w:tcBorders>
            <w:vAlign w:val="center"/>
          </w:tcPr>
          <w:p w14:paraId="24AB4F3A">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无线话筒</w:t>
            </w:r>
          </w:p>
        </w:tc>
        <w:tc>
          <w:tcPr>
            <w:tcW w:w="4014" w:type="dxa"/>
            <w:tcBorders>
              <w:top w:val="single" w:color="000000" w:sz="4" w:space="0"/>
              <w:left w:val="single" w:color="000000" w:sz="4" w:space="0"/>
              <w:bottom w:val="single" w:color="000000" w:sz="4" w:space="0"/>
              <w:right w:val="single" w:color="000000" w:sz="4" w:space="0"/>
            </w:tcBorders>
            <w:vAlign w:val="center"/>
          </w:tcPr>
          <w:p w14:paraId="5B0B1718">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UHF频段无线手持式麦克风设备套装，含一台无线信号接收主机和两支铝制无线手持麦克风。</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具有两通道接收信号,每通道</w:t>
            </w:r>
            <w:r>
              <w:rPr>
                <w:rFonts w:hint="eastAsia" w:ascii="宋体" w:hAnsi="宋体" w:eastAsia="宋体" w:cs="宋体"/>
                <w:color w:val="000000"/>
                <w:kern w:val="0"/>
                <w:sz w:val="21"/>
                <w:szCs w:val="21"/>
                <w:lang w:val="en-US" w:eastAsia="zh-CN" w:bidi="ar"/>
              </w:rPr>
              <w:t>不少</w:t>
            </w:r>
            <w:r>
              <w:rPr>
                <w:rFonts w:hint="eastAsia" w:ascii="宋体" w:hAnsi="宋体" w:eastAsia="宋体" w:cs="宋体"/>
                <w:color w:val="auto"/>
                <w:kern w:val="0"/>
                <w:sz w:val="21"/>
                <w:szCs w:val="21"/>
                <w:lang w:val="en-US" w:eastAsia="zh-CN" w:bidi="ar"/>
              </w:rPr>
              <w:t>于</w:t>
            </w:r>
            <w:r>
              <w:rPr>
                <w:rFonts w:hint="eastAsia" w:ascii="宋体" w:hAnsi="宋体" w:eastAsia="宋体" w:cs="宋体"/>
                <w:color w:val="auto"/>
                <w:kern w:val="0"/>
                <w:sz w:val="21"/>
                <w:szCs w:val="21"/>
                <w:lang w:bidi="ar"/>
              </w:rPr>
              <w:t>180</w:t>
            </w:r>
            <w:r>
              <w:rPr>
                <w:rFonts w:hint="eastAsia" w:ascii="宋体" w:hAnsi="宋体" w:eastAsia="宋体" w:cs="宋体"/>
                <w:color w:val="000000"/>
                <w:kern w:val="0"/>
                <w:sz w:val="21"/>
                <w:szCs w:val="21"/>
                <w:lang w:bidi="ar"/>
              </w:rPr>
              <w:t>个信道可选。</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设备采用稳定的PLL数位锁相环合成技术和智能数字线路，工作更加稳定。</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内置高效抑制噪声线路，最大限度的防止啸叫。</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采用稳定的数字身份验证（ID），高效收发技术防止断频，多级距离设定适应不同环境。</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自动红外搜索对频，空旷环境使用距离可达80-100米。</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接收主机设有2个平衡输出和1个混合非平衡输出，适合连接各种音频信号接收设备。</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手持麦克风耗电量为80mA，使用1.5V电池（2粒）供电，可连续使用</w:t>
            </w:r>
            <w:r>
              <w:rPr>
                <w:rFonts w:hint="eastAsia" w:ascii="宋体" w:hAnsi="宋体" w:eastAsia="宋体" w:cs="宋体"/>
                <w:color w:val="000000"/>
                <w:kern w:val="0"/>
                <w:sz w:val="21"/>
                <w:szCs w:val="21"/>
                <w:lang w:val="en-US" w:eastAsia="zh-CN" w:bidi="ar"/>
              </w:rPr>
              <w:t>不少于</w:t>
            </w:r>
            <w:r>
              <w:rPr>
                <w:rFonts w:hint="eastAsia" w:ascii="宋体" w:hAnsi="宋体" w:eastAsia="宋体" w:cs="宋体"/>
                <w:color w:val="auto"/>
                <w:kern w:val="0"/>
                <w:sz w:val="21"/>
                <w:szCs w:val="21"/>
                <w:lang w:bidi="ar"/>
              </w:rPr>
              <w:t>8</w:t>
            </w:r>
            <w:r>
              <w:rPr>
                <w:rFonts w:hint="eastAsia" w:ascii="宋体" w:hAnsi="宋体" w:eastAsia="宋体" w:cs="宋体"/>
                <w:color w:val="000000"/>
                <w:kern w:val="0"/>
                <w:sz w:val="21"/>
                <w:szCs w:val="21"/>
                <w:lang w:bidi="ar"/>
              </w:rPr>
              <w:t>小时。</w:t>
            </w:r>
            <w:r>
              <w:rPr>
                <w:rFonts w:hint="eastAsia" w:ascii="宋体" w:hAnsi="宋体" w:eastAsia="宋体" w:cs="宋体"/>
                <w:color w:val="EE0000"/>
                <w:kern w:val="0"/>
                <w:sz w:val="21"/>
                <w:szCs w:val="21"/>
                <w:lang w:bidi="ar"/>
              </w:rPr>
              <w:br w:type="textWrapping"/>
            </w:r>
            <w:r>
              <w:rPr>
                <w:rFonts w:hint="eastAsia" w:ascii="宋体" w:hAnsi="宋体" w:eastAsia="宋体" w:cs="宋体"/>
                <w:color w:val="000000"/>
                <w:kern w:val="0"/>
                <w:sz w:val="21"/>
                <w:szCs w:val="21"/>
                <w:lang w:bidi="ar"/>
              </w:rPr>
              <w:t>接收主机参数：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振荡方式：锁相环频率合成(PLLSyntheized)</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频率稳定性：±0.001%</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调制方式：FM</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信噪比：&gt;60dB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失真度：&lt;0.5%@1KHz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灵敏度：1.2/UV@S/N=12dB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电源供应：DC12V～17V</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音频独立输出(Freestanding)：0～400mV</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音频混合输出(Mixedstyle)：0～300mV</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无线手持麦克风参数：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电源供应：DC4.5V（1.5VAA*3）</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话筒耗电量：100mA</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载波频率UHF：500MHz～900MHz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频率稳定度：±0.001%</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最大频率偏：±30KHz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信噪比：&gt;60dB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邻频干扰比：&gt;80dB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动态范围：≥100dB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音头规格动圈式：心型指向</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频率响应：40Hz～20KHz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麦克风灵敏度：-43±3dB@1KHz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续用时间：8-12小时</w:t>
            </w:r>
          </w:p>
        </w:tc>
        <w:tc>
          <w:tcPr>
            <w:tcW w:w="853" w:type="dxa"/>
            <w:tcBorders>
              <w:top w:val="single" w:color="000000" w:sz="4" w:space="0"/>
              <w:left w:val="single" w:color="000000" w:sz="4" w:space="0"/>
              <w:bottom w:val="single" w:color="000000" w:sz="4" w:space="0"/>
              <w:right w:val="single" w:color="000000" w:sz="4" w:space="0"/>
            </w:tcBorders>
            <w:vAlign w:val="center"/>
          </w:tcPr>
          <w:p w14:paraId="5381E84E">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套</w:t>
            </w:r>
          </w:p>
        </w:tc>
        <w:tc>
          <w:tcPr>
            <w:tcW w:w="667" w:type="dxa"/>
            <w:tcBorders>
              <w:top w:val="single" w:color="000000" w:sz="4" w:space="0"/>
              <w:left w:val="single" w:color="000000" w:sz="4" w:space="0"/>
              <w:bottom w:val="single" w:color="000000" w:sz="4" w:space="0"/>
              <w:right w:val="single" w:color="000000" w:sz="4" w:space="0"/>
            </w:tcBorders>
            <w:vAlign w:val="center"/>
          </w:tcPr>
          <w:p w14:paraId="39B9EA7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vAlign w:val="center"/>
          </w:tcPr>
          <w:p w14:paraId="2C64301F">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一拖二无线手持话筒，设备有隔墙需增加话筒天线</w:t>
            </w:r>
          </w:p>
        </w:tc>
      </w:tr>
      <w:tr w14:paraId="3C029501">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26AE002D">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1.3</w:t>
            </w:r>
          </w:p>
        </w:tc>
        <w:tc>
          <w:tcPr>
            <w:tcW w:w="5080" w:type="dxa"/>
            <w:gridSpan w:val="2"/>
            <w:tcBorders>
              <w:top w:val="single" w:color="000000" w:sz="4" w:space="0"/>
              <w:left w:val="single" w:color="000000" w:sz="4" w:space="0"/>
              <w:bottom w:val="single" w:color="000000" w:sz="4" w:space="0"/>
              <w:right w:val="single" w:color="000000" w:sz="4" w:space="0"/>
            </w:tcBorders>
            <w:vAlign w:val="center"/>
          </w:tcPr>
          <w:p w14:paraId="7C4993FD">
            <w:pPr>
              <w:widowControl/>
              <w:jc w:val="left"/>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辅助线材</w:t>
            </w:r>
          </w:p>
        </w:tc>
        <w:tc>
          <w:tcPr>
            <w:tcW w:w="853" w:type="dxa"/>
            <w:tcBorders>
              <w:top w:val="single" w:color="000000" w:sz="4" w:space="0"/>
              <w:left w:val="single" w:color="000000" w:sz="4" w:space="0"/>
              <w:bottom w:val="single" w:color="000000" w:sz="4" w:space="0"/>
              <w:right w:val="single" w:color="000000" w:sz="4" w:space="0"/>
            </w:tcBorders>
            <w:vAlign w:val="center"/>
          </w:tcPr>
          <w:p w14:paraId="2DBF425A">
            <w:pPr>
              <w:jc w:val="center"/>
              <w:rPr>
                <w:rFonts w:hint="eastAsia" w:ascii="宋体" w:hAnsi="宋体" w:eastAsia="宋体" w:cs="宋体"/>
                <w:color w:val="000000"/>
                <w:sz w:val="21"/>
                <w:szCs w:val="21"/>
              </w:rPr>
            </w:pPr>
          </w:p>
        </w:tc>
        <w:tc>
          <w:tcPr>
            <w:tcW w:w="667" w:type="dxa"/>
            <w:tcBorders>
              <w:top w:val="single" w:color="000000" w:sz="4" w:space="0"/>
              <w:left w:val="single" w:color="000000" w:sz="4" w:space="0"/>
              <w:bottom w:val="single" w:color="000000" w:sz="4" w:space="0"/>
              <w:right w:val="single" w:color="000000" w:sz="4" w:space="0"/>
            </w:tcBorders>
            <w:noWrap/>
            <w:vAlign w:val="center"/>
          </w:tcPr>
          <w:p w14:paraId="1D6150D6">
            <w:pPr>
              <w:jc w:val="center"/>
              <w:rPr>
                <w:rFonts w:hint="eastAsia" w:ascii="宋体" w:hAnsi="宋体" w:eastAsia="宋体" w:cs="宋体"/>
                <w:color w:val="000000"/>
                <w:sz w:val="21"/>
                <w:szCs w:val="21"/>
              </w:rPr>
            </w:pP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3966E8ED">
            <w:pPr>
              <w:rPr>
                <w:rFonts w:hint="eastAsia" w:ascii="宋体" w:hAnsi="宋体" w:eastAsia="宋体" w:cs="宋体"/>
                <w:color w:val="000000"/>
                <w:sz w:val="21"/>
                <w:szCs w:val="21"/>
              </w:rPr>
            </w:pPr>
          </w:p>
        </w:tc>
      </w:tr>
      <w:tr w14:paraId="3B863179">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vAlign w:val="center"/>
          </w:tcPr>
          <w:p w14:paraId="4A1B171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1.3.1</w:t>
            </w:r>
          </w:p>
        </w:tc>
        <w:tc>
          <w:tcPr>
            <w:tcW w:w="1066" w:type="dxa"/>
            <w:tcBorders>
              <w:top w:val="single" w:color="000000" w:sz="4" w:space="0"/>
              <w:left w:val="single" w:color="000000" w:sz="4" w:space="0"/>
              <w:bottom w:val="single" w:color="000000" w:sz="4" w:space="0"/>
              <w:right w:val="single" w:color="000000" w:sz="4" w:space="0"/>
            </w:tcBorders>
            <w:vAlign w:val="center"/>
          </w:tcPr>
          <w:p w14:paraId="0C518B06">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音频连接线</w:t>
            </w:r>
          </w:p>
        </w:tc>
        <w:tc>
          <w:tcPr>
            <w:tcW w:w="4014" w:type="dxa"/>
            <w:tcBorders>
              <w:top w:val="single" w:color="000000" w:sz="4" w:space="0"/>
              <w:left w:val="single" w:color="000000" w:sz="4" w:space="0"/>
              <w:bottom w:val="single" w:color="000000" w:sz="4" w:space="0"/>
              <w:right w:val="single" w:color="000000" w:sz="4" w:space="0"/>
            </w:tcBorders>
            <w:vAlign w:val="center"/>
          </w:tcPr>
          <w:p w14:paraId="2F4F2B77">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1.5M卡侬头（母）-卡侬头（公）</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0B43363F">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根</w:t>
            </w:r>
          </w:p>
        </w:tc>
        <w:tc>
          <w:tcPr>
            <w:tcW w:w="667" w:type="dxa"/>
            <w:tcBorders>
              <w:top w:val="single" w:color="000000" w:sz="4" w:space="0"/>
              <w:left w:val="single" w:color="000000" w:sz="4" w:space="0"/>
              <w:bottom w:val="single" w:color="000000" w:sz="4" w:space="0"/>
              <w:right w:val="single" w:color="000000" w:sz="4" w:space="0"/>
            </w:tcBorders>
            <w:vAlign w:val="center"/>
          </w:tcPr>
          <w:p w14:paraId="2C84C357">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8</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7C4699C6">
            <w:pPr>
              <w:rPr>
                <w:rFonts w:hint="eastAsia" w:ascii="宋体" w:hAnsi="宋体" w:eastAsia="宋体" w:cs="宋体"/>
                <w:color w:val="000000"/>
                <w:sz w:val="21"/>
                <w:szCs w:val="21"/>
              </w:rPr>
            </w:pPr>
          </w:p>
        </w:tc>
      </w:tr>
      <w:tr w14:paraId="5EB6A6C7">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vAlign w:val="center"/>
          </w:tcPr>
          <w:p w14:paraId="2624C23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1.3.2</w:t>
            </w:r>
          </w:p>
        </w:tc>
        <w:tc>
          <w:tcPr>
            <w:tcW w:w="1066" w:type="dxa"/>
            <w:tcBorders>
              <w:top w:val="single" w:color="000000" w:sz="4" w:space="0"/>
              <w:left w:val="single" w:color="000000" w:sz="4" w:space="0"/>
              <w:bottom w:val="single" w:color="000000" w:sz="4" w:space="0"/>
              <w:right w:val="single" w:color="000000" w:sz="4" w:space="0"/>
            </w:tcBorders>
            <w:vAlign w:val="center"/>
          </w:tcPr>
          <w:p w14:paraId="6B3B1729">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音频连接线</w:t>
            </w:r>
          </w:p>
        </w:tc>
        <w:tc>
          <w:tcPr>
            <w:tcW w:w="4014" w:type="dxa"/>
            <w:tcBorders>
              <w:top w:val="single" w:color="000000" w:sz="4" w:space="0"/>
              <w:left w:val="single" w:color="000000" w:sz="4" w:space="0"/>
              <w:bottom w:val="single" w:color="000000" w:sz="4" w:space="0"/>
              <w:right w:val="single" w:color="000000" w:sz="4" w:space="0"/>
            </w:tcBorders>
            <w:vAlign w:val="center"/>
          </w:tcPr>
          <w:p w14:paraId="54F46AAB">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3米音频连接线：卡农头（母）*1，线径：0.3mm</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3FACF5D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根</w:t>
            </w:r>
          </w:p>
        </w:tc>
        <w:tc>
          <w:tcPr>
            <w:tcW w:w="667" w:type="dxa"/>
            <w:tcBorders>
              <w:top w:val="single" w:color="000000" w:sz="4" w:space="0"/>
              <w:left w:val="single" w:color="000000" w:sz="4" w:space="0"/>
              <w:bottom w:val="single" w:color="000000" w:sz="4" w:space="0"/>
              <w:right w:val="single" w:color="000000" w:sz="4" w:space="0"/>
            </w:tcBorders>
            <w:vAlign w:val="center"/>
          </w:tcPr>
          <w:p w14:paraId="695F28A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02A713FE">
            <w:pPr>
              <w:rPr>
                <w:rFonts w:hint="eastAsia" w:ascii="宋体" w:hAnsi="宋体" w:eastAsia="宋体" w:cs="宋体"/>
                <w:color w:val="000000"/>
                <w:sz w:val="21"/>
                <w:szCs w:val="21"/>
              </w:rPr>
            </w:pPr>
          </w:p>
        </w:tc>
      </w:tr>
      <w:tr w14:paraId="54474866">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vAlign w:val="center"/>
          </w:tcPr>
          <w:p w14:paraId="20290048">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1.3.3</w:t>
            </w:r>
          </w:p>
        </w:tc>
        <w:tc>
          <w:tcPr>
            <w:tcW w:w="1066" w:type="dxa"/>
            <w:tcBorders>
              <w:top w:val="single" w:color="000000" w:sz="4" w:space="0"/>
              <w:left w:val="single" w:color="000000" w:sz="4" w:space="0"/>
              <w:bottom w:val="single" w:color="000000" w:sz="4" w:space="0"/>
              <w:right w:val="single" w:color="000000" w:sz="4" w:space="0"/>
            </w:tcBorders>
            <w:vAlign w:val="center"/>
          </w:tcPr>
          <w:p w14:paraId="5FFC886C">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音频连接线</w:t>
            </w:r>
          </w:p>
        </w:tc>
        <w:tc>
          <w:tcPr>
            <w:tcW w:w="4014" w:type="dxa"/>
            <w:tcBorders>
              <w:top w:val="single" w:color="000000" w:sz="4" w:space="0"/>
              <w:left w:val="single" w:color="000000" w:sz="4" w:space="0"/>
              <w:bottom w:val="single" w:color="000000" w:sz="4" w:space="0"/>
              <w:right w:val="single" w:color="000000" w:sz="4" w:space="0"/>
            </w:tcBorders>
            <w:vAlign w:val="center"/>
          </w:tcPr>
          <w:p w14:paraId="760A6EE6">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1.8米音频连接线：卡农头（公）*1，线径：0.3mm</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094D5B5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根</w:t>
            </w:r>
          </w:p>
        </w:tc>
        <w:tc>
          <w:tcPr>
            <w:tcW w:w="667" w:type="dxa"/>
            <w:tcBorders>
              <w:top w:val="single" w:color="000000" w:sz="4" w:space="0"/>
              <w:left w:val="single" w:color="000000" w:sz="4" w:space="0"/>
              <w:bottom w:val="single" w:color="000000" w:sz="4" w:space="0"/>
              <w:right w:val="single" w:color="000000" w:sz="4" w:space="0"/>
            </w:tcBorders>
            <w:vAlign w:val="center"/>
          </w:tcPr>
          <w:p w14:paraId="77B55D0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03BF12F7">
            <w:pPr>
              <w:rPr>
                <w:rFonts w:hint="eastAsia" w:ascii="宋体" w:hAnsi="宋体" w:eastAsia="宋体" w:cs="宋体"/>
                <w:color w:val="000000"/>
                <w:sz w:val="21"/>
                <w:szCs w:val="21"/>
              </w:rPr>
            </w:pPr>
          </w:p>
        </w:tc>
      </w:tr>
      <w:tr w14:paraId="7E48BA5E">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vAlign w:val="center"/>
          </w:tcPr>
          <w:p w14:paraId="4DB15383">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1.3.4</w:t>
            </w:r>
          </w:p>
        </w:tc>
        <w:tc>
          <w:tcPr>
            <w:tcW w:w="1066" w:type="dxa"/>
            <w:tcBorders>
              <w:top w:val="single" w:color="000000" w:sz="4" w:space="0"/>
              <w:left w:val="single" w:color="000000" w:sz="4" w:space="0"/>
              <w:bottom w:val="single" w:color="000000" w:sz="4" w:space="0"/>
              <w:right w:val="single" w:color="000000" w:sz="4" w:space="0"/>
            </w:tcBorders>
            <w:vAlign w:val="center"/>
          </w:tcPr>
          <w:p w14:paraId="26DD95FE">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音频连接线</w:t>
            </w:r>
          </w:p>
        </w:tc>
        <w:tc>
          <w:tcPr>
            <w:tcW w:w="4014" w:type="dxa"/>
            <w:tcBorders>
              <w:top w:val="single" w:color="000000" w:sz="4" w:space="0"/>
              <w:left w:val="single" w:color="000000" w:sz="4" w:space="0"/>
              <w:bottom w:val="single" w:color="000000" w:sz="4" w:space="0"/>
              <w:right w:val="single" w:color="000000" w:sz="4" w:space="0"/>
            </w:tcBorders>
            <w:vAlign w:val="center"/>
          </w:tcPr>
          <w:p w14:paraId="1DCFFD1A">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1.8米音频连接线：6.35话筒插头*1，卡侬头（公）*1，线径：0.3mm</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4F2DA16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根</w:t>
            </w:r>
          </w:p>
        </w:tc>
        <w:tc>
          <w:tcPr>
            <w:tcW w:w="667" w:type="dxa"/>
            <w:tcBorders>
              <w:top w:val="single" w:color="000000" w:sz="4" w:space="0"/>
              <w:left w:val="single" w:color="000000" w:sz="4" w:space="0"/>
              <w:bottom w:val="single" w:color="000000" w:sz="4" w:space="0"/>
              <w:right w:val="single" w:color="000000" w:sz="4" w:space="0"/>
            </w:tcBorders>
            <w:vAlign w:val="center"/>
          </w:tcPr>
          <w:p w14:paraId="24955617">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10148541">
            <w:pPr>
              <w:rPr>
                <w:rFonts w:hint="eastAsia" w:ascii="宋体" w:hAnsi="宋体" w:eastAsia="宋体" w:cs="宋体"/>
                <w:color w:val="000000"/>
                <w:sz w:val="21"/>
                <w:szCs w:val="21"/>
              </w:rPr>
            </w:pPr>
          </w:p>
        </w:tc>
      </w:tr>
      <w:tr w14:paraId="7964E21E">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vAlign w:val="center"/>
          </w:tcPr>
          <w:p w14:paraId="4722AB5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1.3.5</w:t>
            </w:r>
          </w:p>
        </w:tc>
        <w:tc>
          <w:tcPr>
            <w:tcW w:w="1066" w:type="dxa"/>
            <w:tcBorders>
              <w:top w:val="single" w:color="000000" w:sz="4" w:space="0"/>
              <w:left w:val="single" w:color="000000" w:sz="4" w:space="0"/>
              <w:bottom w:val="single" w:color="000000" w:sz="4" w:space="0"/>
              <w:right w:val="single" w:color="000000" w:sz="4" w:space="0"/>
            </w:tcBorders>
            <w:vAlign w:val="center"/>
          </w:tcPr>
          <w:p w14:paraId="18145146">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音频连接线</w:t>
            </w:r>
          </w:p>
        </w:tc>
        <w:tc>
          <w:tcPr>
            <w:tcW w:w="4014" w:type="dxa"/>
            <w:tcBorders>
              <w:top w:val="single" w:color="000000" w:sz="4" w:space="0"/>
              <w:left w:val="single" w:color="000000" w:sz="4" w:space="0"/>
              <w:bottom w:val="single" w:color="000000" w:sz="4" w:space="0"/>
              <w:right w:val="single" w:color="000000" w:sz="4" w:space="0"/>
            </w:tcBorders>
            <w:vAlign w:val="center"/>
          </w:tcPr>
          <w:p w14:paraId="5E7E9909">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3米音频连接线：3.5（耳机插头）*1,6.35话筒插头*2,线径：0.3mm</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39C1C75C">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根</w:t>
            </w:r>
          </w:p>
        </w:tc>
        <w:tc>
          <w:tcPr>
            <w:tcW w:w="667" w:type="dxa"/>
            <w:tcBorders>
              <w:top w:val="single" w:color="000000" w:sz="4" w:space="0"/>
              <w:left w:val="single" w:color="000000" w:sz="4" w:space="0"/>
              <w:bottom w:val="single" w:color="000000" w:sz="4" w:space="0"/>
              <w:right w:val="single" w:color="000000" w:sz="4" w:space="0"/>
            </w:tcBorders>
            <w:vAlign w:val="center"/>
          </w:tcPr>
          <w:p w14:paraId="5A09ED23">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49DB33F4">
            <w:pPr>
              <w:rPr>
                <w:rFonts w:hint="eastAsia" w:ascii="宋体" w:hAnsi="宋体" w:eastAsia="宋体" w:cs="宋体"/>
                <w:color w:val="000000"/>
                <w:sz w:val="21"/>
                <w:szCs w:val="21"/>
              </w:rPr>
            </w:pPr>
          </w:p>
        </w:tc>
      </w:tr>
      <w:tr w14:paraId="7ACC851C">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2E4387DE">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1.4</w:t>
            </w:r>
          </w:p>
        </w:tc>
        <w:tc>
          <w:tcPr>
            <w:tcW w:w="5080" w:type="dxa"/>
            <w:gridSpan w:val="2"/>
            <w:tcBorders>
              <w:top w:val="single" w:color="000000" w:sz="4" w:space="0"/>
              <w:left w:val="single" w:color="000000" w:sz="4" w:space="0"/>
              <w:bottom w:val="single" w:color="000000" w:sz="4" w:space="0"/>
              <w:right w:val="single" w:color="000000" w:sz="4" w:space="0"/>
            </w:tcBorders>
            <w:vAlign w:val="center"/>
          </w:tcPr>
          <w:p w14:paraId="6FC029EF">
            <w:pPr>
              <w:widowControl/>
              <w:jc w:val="left"/>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数字会议系统</w:t>
            </w:r>
          </w:p>
        </w:tc>
        <w:tc>
          <w:tcPr>
            <w:tcW w:w="853" w:type="dxa"/>
            <w:tcBorders>
              <w:top w:val="single" w:color="000000" w:sz="4" w:space="0"/>
              <w:left w:val="single" w:color="000000" w:sz="4" w:space="0"/>
              <w:bottom w:val="single" w:color="000000" w:sz="4" w:space="0"/>
              <w:right w:val="single" w:color="000000" w:sz="4" w:space="0"/>
            </w:tcBorders>
            <w:vAlign w:val="center"/>
          </w:tcPr>
          <w:p w14:paraId="3A15B14F">
            <w:pPr>
              <w:jc w:val="center"/>
              <w:rPr>
                <w:rFonts w:hint="eastAsia" w:ascii="宋体" w:hAnsi="宋体" w:eastAsia="宋体" w:cs="宋体"/>
                <w:color w:val="000000"/>
                <w:sz w:val="21"/>
                <w:szCs w:val="21"/>
              </w:rPr>
            </w:pPr>
          </w:p>
        </w:tc>
        <w:tc>
          <w:tcPr>
            <w:tcW w:w="667" w:type="dxa"/>
            <w:tcBorders>
              <w:top w:val="single" w:color="000000" w:sz="4" w:space="0"/>
              <w:left w:val="single" w:color="000000" w:sz="4" w:space="0"/>
              <w:bottom w:val="single" w:color="000000" w:sz="4" w:space="0"/>
              <w:right w:val="single" w:color="000000" w:sz="4" w:space="0"/>
            </w:tcBorders>
            <w:noWrap/>
            <w:vAlign w:val="center"/>
          </w:tcPr>
          <w:p w14:paraId="6D3FE45C">
            <w:pPr>
              <w:jc w:val="center"/>
              <w:rPr>
                <w:rFonts w:hint="eastAsia" w:ascii="宋体" w:hAnsi="宋体" w:eastAsia="宋体" w:cs="宋体"/>
                <w:color w:val="000000"/>
                <w:sz w:val="21"/>
                <w:szCs w:val="21"/>
              </w:rPr>
            </w:pPr>
          </w:p>
        </w:tc>
        <w:tc>
          <w:tcPr>
            <w:tcW w:w="1244" w:type="dxa"/>
            <w:tcBorders>
              <w:top w:val="single" w:color="000000" w:sz="4" w:space="0"/>
              <w:left w:val="single" w:color="000000" w:sz="4" w:space="0"/>
              <w:bottom w:val="single" w:color="000000" w:sz="4" w:space="0"/>
              <w:right w:val="single" w:color="000000" w:sz="4" w:space="0"/>
            </w:tcBorders>
          </w:tcPr>
          <w:p w14:paraId="47289442">
            <w:pPr>
              <w:rPr>
                <w:rFonts w:hint="eastAsia" w:ascii="宋体" w:hAnsi="宋体" w:eastAsia="宋体" w:cs="宋体"/>
                <w:color w:val="000000"/>
                <w:sz w:val="21"/>
                <w:szCs w:val="21"/>
              </w:rPr>
            </w:pPr>
          </w:p>
        </w:tc>
      </w:tr>
      <w:tr w14:paraId="61C490FB">
        <w:tblPrEx>
          <w:tblCellMar>
            <w:top w:w="0" w:type="dxa"/>
            <w:left w:w="108" w:type="dxa"/>
            <w:bottom w:w="0" w:type="dxa"/>
            <w:right w:w="108" w:type="dxa"/>
          </w:tblCellMar>
        </w:tblPrEx>
        <w:trPr>
          <w:trHeight w:val="1405"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131B7AE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1.4.1</w:t>
            </w:r>
          </w:p>
        </w:tc>
        <w:tc>
          <w:tcPr>
            <w:tcW w:w="1066" w:type="dxa"/>
            <w:tcBorders>
              <w:top w:val="single" w:color="000000" w:sz="4" w:space="0"/>
              <w:left w:val="single" w:color="000000" w:sz="4" w:space="0"/>
              <w:bottom w:val="single" w:color="000000" w:sz="4" w:space="0"/>
              <w:right w:val="single" w:color="000000" w:sz="4" w:space="0"/>
            </w:tcBorders>
            <w:vAlign w:val="center"/>
          </w:tcPr>
          <w:p w14:paraId="2046FA50">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会议系统主机</w:t>
            </w:r>
          </w:p>
        </w:tc>
        <w:tc>
          <w:tcPr>
            <w:tcW w:w="4014" w:type="dxa"/>
            <w:tcBorders>
              <w:top w:val="single" w:color="000000" w:sz="4" w:space="0"/>
              <w:left w:val="single" w:color="000000" w:sz="4" w:space="0"/>
              <w:bottom w:val="single" w:color="000000" w:sz="4" w:space="0"/>
              <w:right w:val="single" w:color="000000" w:sz="4" w:space="0"/>
            </w:tcBorders>
            <w:vAlign w:val="center"/>
          </w:tcPr>
          <w:p w14:paraId="5413C2F8">
            <w:pPr>
              <w:widowControl/>
              <w:jc w:val="left"/>
              <w:textAlignment w:val="center"/>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功能特点：</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1、支持有线会议和无线会议。</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2、采用自适应躲避干扰技术，实现更强抗干扰能力，有24个信号可用。</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3、独创的数字环状网络技术音频时钟同步传输技术，音频延时小于5ms，采样率48K的非压缩音频传输。</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4、内置高性能DSP处理器，具有音频矩阵、EQ、延时器、音量等调节功能。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5、支持单台会议主机实现16个会议室音频独立分区控制与合并音频。</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6、音频输入接口包括有1路RCA、</w:t>
            </w:r>
            <w:r>
              <w:rPr>
                <w:rFonts w:hint="eastAsia" w:ascii="宋体" w:hAnsi="宋体" w:eastAsia="宋体" w:cs="宋体"/>
                <w:color w:val="auto"/>
                <w:kern w:val="0"/>
                <w:sz w:val="21"/>
                <w:szCs w:val="21"/>
                <w:lang w:bidi="ar"/>
              </w:rPr>
              <w:t>1</w:t>
            </w:r>
            <w:r>
              <w:rPr>
                <w:rFonts w:hint="eastAsia" w:ascii="宋体" w:hAnsi="宋体" w:eastAsia="宋体" w:cs="宋体"/>
                <w:color w:val="000000"/>
                <w:kern w:val="0"/>
                <w:sz w:val="21"/>
                <w:szCs w:val="21"/>
                <w:lang w:bidi="ar"/>
              </w:rPr>
              <w:t>路凤凰端子，1路卡侬头。音频输出接口包括有1路RCA、1路卡侬头、</w:t>
            </w:r>
            <w:r>
              <w:rPr>
                <w:rFonts w:hint="eastAsia" w:ascii="宋体" w:hAnsi="宋体" w:eastAsia="宋体" w:cs="宋体"/>
                <w:color w:val="auto"/>
                <w:kern w:val="0"/>
                <w:sz w:val="21"/>
                <w:szCs w:val="21"/>
                <w:lang w:bidi="ar"/>
              </w:rPr>
              <w:t>4路手拉手输入输出端子。</w:t>
            </w:r>
            <w:r>
              <w:rPr>
                <w:rFonts w:hint="eastAsia" w:ascii="宋体" w:hAnsi="宋体" w:eastAsia="宋体" w:cs="宋体"/>
                <w:color w:val="000000"/>
                <w:kern w:val="0"/>
                <w:sz w:val="21"/>
                <w:szCs w:val="21"/>
                <w:lang w:bidi="ar"/>
              </w:rPr>
              <w:t>每个输出通道都可以调节EQ、延时器，音量等参数。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7、16通道角色分离输出模式，有线或无线单元可以独立输出声音，并支持通过录音软件实现每个单元独立录音、同时支持语音转写设备对接实现角色分离。</w:t>
            </w:r>
          </w:p>
          <w:p w14:paraId="5DFD9558">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8、会议主机采用TCP/IP网络协议，且同时支持C/S、B/S架构，可供PC软件或浏览器控制。</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9、可控制音频矩阵参数（包括EQ、音量、话筒灵敏度等）、16通道输出模式切换、开关话筒同步、控制角色分离主机。</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10、系统最大支持</w:t>
            </w:r>
            <w:r>
              <w:rPr>
                <w:rFonts w:hint="eastAsia" w:ascii="宋体" w:hAnsi="宋体" w:eastAsia="宋体" w:cs="宋体"/>
                <w:color w:val="000000"/>
                <w:kern w:val="0"/>
                <w:sz w:val="21"/>
                <w:szCs w:val="21"/>
                <w:lang w:val="en-US" w:eastAsia="zh-CN" w:bidi="ar"/>
              </w:rPr>
              <w:t>不少于</w:t>
            </w:r>
            <w:r>
              <w:rPr>
                <w:rFonts w:hint="eastAsia" w:ascii="宋体" w:hAnsi="宋体" w:eastAsia="宋体" w:cs="宋体"/>
                <w:color w:val="auto"/>
                <w:kern w:val="0"/>
                <w:sz w:val="21"/>
                <w:szCs w:val="21"/>
                <w:lang w:bidi="ar"/>
              </w:rPr>
              <w:t>80</w:t>
            </w:r>
            <w:r>
              <w:rPr>
                <w:rFonts w:hint="eastAsia" w:ascii="宋体" w:hAnsi="宋体" w:eastAsia="宋体" w:cs="宋体"/>
                <w:color w:val="000000"/>
                <w:kern w:val="0"/>
                <w:sz w:val="21"/>
                <w:szCs w:val="21"/>
                <w:lang w:bidi="ar"/>
              </w:rPr>
              <w:t>台有线会议单元和</w:t>
            </w:r>
            <w:r>
              <w:rPr>
                <w:rFonts w:hint="eastAsia" w:ascii="宋体" w:hAnsi="宋体" w:eastAsia="宋体" w:cs="宋体"/>
                <w:color w:val="auto"/>
                <w:kern w:val="0"/>
                <w:sz w:val="21"/>
                <w:szCs w:val="21"/>
                <w:lang w:bidi="ar"/>
              </w:rPr>
              <w:t>80</w:t>
            </w:r>
            <w:r>
              <w:rPr>
                <w:rFonts w:hint="eastAsia" w:ascii="宋体" w:hAnsi="宋体" w:eastAsia="宋体" w:cs="宋体"/>
                <w:color w:val="000000"/>
                <w:kern w:val="0"/>
                <w:sz w:val="21"/>
                <w:szCs w:val="21"/>
                <w:lang w:bidi="ar"/>
              </w:rPr>
              <w:t>台无线会议单元。系统最大发言数量为8个有线话筒和6个无线话筒。</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11、可选配可实现环形手拉手功能，确保在其中的一条网线断开或者单元出问题时，会议能继续正常进行。</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12、支持RS232中控控制，实现话筒开关，优先权，音量大小，关机等控制。</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13、电脑软件可查看扫描无线单元的电池电量、WiFi信号等信息状态；支持一键关闭所有无线单元、单独开关某个无线单元。</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14、支持同声传译功能，系统最大可同时传输63+1的有线同声传译。</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15、支持PELCO-D、VISCA摄像机控制协议，可控制10台高清摄像跟踪画面设置，实现自动摄像跟踪。</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16、四种话筒管理模式:FIFO（先进先出）、NORMAL（普通模式）、VOICE（声控模式）、APPLY（申请模式）。</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17、系统具有发起会议签到、表决、选举、评级、满意度、自定义等功能。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18.具有4.3英寸全彩触摸屏，可实现对参数设置或查看，进行任意触摸操作。</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19、具备USB录音功能，面板实体按键可一键开启录音，并有录音状态指示灯提示。</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23、支持10段EQ调节功能，16路多功能输出通道与2路LINEOUT输出通道都具有10段EQ调节功能；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20、系统单元热插拔功能，再插上自动恢复原功能。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21、在脱离电脑的使用时，会议系统也能够实现，发言人数限制功能。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22、支持对接语音转写服务器，实现语音转写功能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23、可选配双机真备份功能，当一台主机断电当主机出现故障时，可自动切换至从机运行，实现双备份功能；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24、具有独立3.5耳机监听功能，可配常规功率40mW耳机直接使用；</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技术参数：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1.话筒容量：有线话筒</w:t>
            </w:r>
            <w:r>
              <w:rPr>
                <w:rFonts w:hint="eastAsia" w:ascii="宋体" w:hAnsi="宋体" w:eastAsia="宋体" w:cs="宋体"/>
                <w:color w:val="auto"/>
                <w:kern w:val="0"/>
                <w:sz w:val="21"/>
                <w:szCs w:val="21"/>
                <w:lang w:bidi="ar"/>
              </w:rPr>
              <w:t>≤80；无线话筒≤80</w:t>
            </w:r>
            <w:r>
              <w:rPr>
                <w:rFonts w:hint="eastAsia" w:ascii="宋体" w:hAnsi="宋体" w:eastAsia="宋体" w:cs="宋体"/>
                <w:color w:val="auto"/>
                <w:kern w:val="0"/>
                <w:sz w:val="21"/>
                <w:szCs w:val="21"/>
                <w:lang w:bidi="ar"/>
              </w:rPr>
              <w:br w:type="textWrapping"/>
            </w:r>
            <w:r>
              <w:rPr>
                <w:rFonts w:hint="eastAsia" w:ascii="宋体" w:hAnsi="宋体" w:eastAsia="宋体" w:cs="宋体"/>
                <w:color w:val="000000"/>
                <w:kern w:val="0"/>
                <w:sz w:val="21"/>
                <w:szCs w:val="21"/>
                <w:lang w:bidi="ar"/>
              </w:rPr>
              <w:t>2.同声传译通道：63+1通道</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3.频率响应：80~16KHz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4.信噪比：&gt;80dB(A)</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5.动态范围：&gt;80dB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6.总谐波失真：&lt;0.05%</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7.主电源：100-240VAC</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8.EXTENSION口：连接会议系统扩展设备</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9</w:t>
            </w:r>
            <w:r>
              <w:rPr>
                <w:rFonts w:hint="eastAsia" w:ascii="宋体" w:hAnsi="宋体" w:eastAsia="宋体" w:cs="宋体"/>
                <w:color w:val="000000"/>
                <w:kern w:val="0"/>
                <w:sz w:val="21"/>
                <w:szCs w:val="21"/>
                <w:lang w:bidi="ar"/>
              </w:rPr>
              <w:t>.PC网口：连接电脑</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0</w:t>
            </w:r>
            <w:r>
              <w:rPr>
                <w:rFonts w:hint="eastAsia" w:ascii="宋体" w:hAnsi="宋体" w:eastAsia="宋体" w:cs="宋体"/>
                <w:color w:val="000000"/>
                <w:kern w:val="0"/>
                <w:sz w:val="21"/>
                <w:szCs w:val="21"/>
                <w:lang w:bidi="ar"/>
              </w:rPr>
              <w:t>.静态功耗：30W</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bidi="ar"/>
              </w:rPr>
              <w:t>.输出功耗：350W</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bidi="ar"/>
              </w:rPr>
              <w:t>.有线话筒连接方式：专用电缆</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bidi="ar"/>
              </w:rPr>
              <w:t>.触屏控制：4.3英寸全彩触摸屏</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64573958">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013FBFC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vAlign w:val="center"/>
          </w:tcPr>
          <w:p w14:paraId="05AD3B32">
            <w:pPr>
              <w:rPr>
                <w:rFonts w:hint="eastAsia" w:ascii="宋体" w:hAnsi="宋体" w:eastAsia="宋体" w:cs="宋体"/>
                <w:color w:val="000000"/>
                <w:sz w:val="21"/>
                <w:szCs w:val="21"/>
              </w:rPr>
            </w:pPr>
          </w:p>
        </w:tc>
      </w:tr>
      <w:tr w14:paraId="26B7AA8A">
        <w:tblPrEx>
          <w:tblCellMar>
            <w:top w:w="0" w:type="dxa"/>
            <w:left w:w="108" w:type="dxa"/>
            <w:bottom w:w="0" w:type="dxa"/>
            <w:right w:w="108" w:type="dxa"/>
          </w:tblCellMar>
        </w:tblPrEx>
        <w:trPr>
          <w:trHeight w:val="3925"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4CFACBC7">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1.4.2</w:t>
            </w:r>
          </w:p>
        </w:tc>
        <w:tc>
          <w:tcPr>
            <w:tcW w:w="1066" w:type="dxa"/>
            <w:tcBorders>
              <w:top w:val="single" w:color="000000" w:sz="4" w:space="0"/>
              <w:left w:val="single" w:color="000000" w:sz="4" w:space="0"/>
              <w:bottom w:val="single" w:color="000000" w:sz="4" w:space="0"/>
              <w:right w:val="single" w:color="000000" w:sz="4" w:space="0"/>
            </w:tcBorders>
            <w:vAlign w:val="center"/>
          </w:tcPr>
          <w:p w14:paraId="4C685CAC">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会议话筒处理器</w:t>
            </w:r>
          </w:p>
        </w:tc>
        <w:tc>
          <w:tcPr>
            <w:tcW w:w="4014" w:type="dxa"/>
            <w:tcBorders>
              <w:top w:val="single" w:color="000000" w:sz="4" w:space="0"/>
              <w:left w:val="single" w:color="000000" w:sz="4" w:space="0"/>
              <w:bottom w:val="single" w:color="000000" w:sz="4" w:space="0"/>
              <w:right w:val="single" w:color="000000" w:sz="4" w:space="0"/>
            </w:tcBorders>
            <w:vAlign w:val="center"/>
          </w:tcPr>
          <w:p w14:paraId="5AB801FB">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功能特点：</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一款四通道的抑制音箱啸叫的音频处理设备；2路平衡式2路非平衡式信号输入，2路平衡式2路非平衡式信号输出。</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1、反馈加移频设计方案，移频4档可选；</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2、每通道设12个陷波器,工作频率20-20KHZ，自动扫描啸叫点并抑制；</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3、独特的噪声门功能可抑制系统微弱噪声干扰；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4、输入压缩功能，消除反馈同时更可扩展人声动态；</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5、配有专业的PC调试软件，USB免驱动即插即用，方便快捷；</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采用LCD显示屏显示功能和各种工作状态，中英文操作界面任意切换。</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模拟输入：2CH-XLR和1/4“TRS(母)输入,电子平衡/不平衡</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输入阻抗：平衡47Ω,不平衡20KΩ</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最大线路电平输入：+18dBu</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模拟输出：2CH-XLR和1/4“TRS(母)输入,电子平衡/不平衡</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输出阻抗：平衡&gt;120Ω,不平衡&gt;60Ω</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最大输出电平：+20dBu</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频率响应：20Hz-20KHz,±0.3db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信噪比：&gt;105db(A)</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动态范围：103db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总谐波失真+噪声0.005％,1KHz;20Hz-10KH,&lt;0.01％;10KHz-20KHz,&lt;0.025％</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工作电压：110V/220V/AC50Hz/60Hz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接口：输入3芯XLR母插座/6.3插咀输出3芯XLR公插座/6.3插咀USB接口电源插口3芯IEC插座电源90至240V50/60Hz，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耗电量：&lt;30瓦</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6030EFAB">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50676C2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vAlign w:val="center"/>
          </w:tcPr>
          <w:p w14:paraId="2AAC153E">
            <w:pPr>
              <w:rPr>
                <w:rFonts w:hint="eastAsia" w:ascii="宋体" w:hAnsi="宋体" w:eastAsia="宋体" w:cs="宋体"/>
                <w:color w:val="000000"/>
                <w:sz w:val="21"/>
                <w:szCs w:val="21"/>
              </w:rPr>
            </w:pPr>
          </w:p>
        </w:tc>
      </w:tr>
      <w:tr w14:paraId="5F22F5CD">
        <w:tblPrEx>
          <w:tblCellMar>
            <w:top w:w="0" w:type="dxa"/>
            <w:left w:w="108" w:type="dxa"/>
            <w:bottom w:w="0" w:type="dxa"/>
            <w:right w:w="108" w:type="dxa"/>
          </w:tblCellMar>
        </w:tblPrEx>
        <w:trPr>
          <w:trHeight w:val="64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6F1640C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1.4.3</w:t>
            </w:r>
          </w:p>
        </w:tc>
        <w:tc>
          <w:tcPr>
            <w:tcW w:w="1066" w:type="dxa"/>
            <w:tcBorders>
              <w:top w:val="single" w:color="000000" w:sz="4" w:space="0"/>
              <w:left w:val="single" w:color="000000" w:sz="4" w:space="0"/>
              <w:bottom w:val="single" w:color="000000" w:sz="4" w:space="0"/>
              <w:right w:val="single" w:color="000000" w:sz="4" w:space="0"/>
            </w:tcBorders>
            <w:vAlign w:val="center"/>
          </w:tcPr>
          <w:p w14:paraId="43BF1709">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连接线</w:t>
            </w:r>
          </w:p>
        </w:tc>
        <w:tc>
          <w:tcPr>
            <w:tcW w:w="4014" w:type="dxa"/>
            <w:tcBorders>
              <w:top w:val="single" w:color="000000" w:sz="4" w:space="0"/>
              <w:left w:val="single" w:color="000000" w:sz="4" w:space="0"/>
              <w:bottom w:val="single" w:color="000000" w:sz="4" w:space="0"/>
              <w:right w:val="single" w:color="000000" w:sz="4" w:space="0"/>
            </w:tcBorders>
            <w:vAlign w:val="center"/>
          </w:tcPr>
          <w:p w14:paraId="14E395E7">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功能特点：</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用于智能会议系统主机与会讨单元之间的连接；</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79FA8C6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根</w:t>
            </w:r>
          </w:p>
        </w:tc>
        <w:tc>
          <w:tcPr>
            <w:tcW w:w="667" w:type="dxa"/>
            <w:tcBorders>
              <w:top w:val="single" w:color="000000" w:sz="4" w:space="0"/>
              <w:left w:val="single" w:color="000000" w:sz="4" w:space="0"/>
              <w:bottom w:val="single" w:color="000000" w:sz="4" w:space="0"/>
              <w:right w:val="single" w:color="000000" w:sz="4" w:space="0"/>
            </w:tcBorders>
            <w:vAlign w:val="center"/>
          </w:tcPr>
          <w:p w14:paraId="1BE8D17D">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244" w:type="dxa"/>
            <w:tcBorders>
              <w:top w:val="single" w:color="000000" w:sz="4" w:space="0"/>
              <w:left w:val="single" w:color="000000" w:sz="4" w:space="0"/>
              <w:bottom w:val="single" w:color="000000" w:sz="4" w:space="0"/>
              <w:right w:val="single" w:color="000000" w:sz="4" w:space="0"/>
            </w:tcBorders>
            <w:vAlign w:val="center"/>
          </w:tcPr>
          <w:p w14:paraId="4DB9774F">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20米会议延长线，需根据现场实际情况深化</w:t>
            </w:r>
          </w:p>
        </w:tc>
      </w:tr>
      <w:tr w14:paraId="78E0A057">
        <w:tblPrEx>
          <w:tblCellMar>
            <w:top w:w="0" w:type="dxa"/>
            <w:left w:w="108" w:type="dxa"/>
            <w:bottom w:w="0" w:type="dxa"/>
            <w:right w:w="108" w:type="dxa"/>
          </w:tblCellMar>
        </w:tblPrEx>
        <w:trPr>
          <w:trHeight w:val="376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5B3CAD1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1.4.4</w:t>
            </w:r>
          </w:p>
        </w:tc>
        <w:tc>
          <w:tcPr>
            <w:tcW w:w="1066" w:type="dxa"/>
            <w:tcBorders>
              <w:top w:val="single" w:color="000000" w:sz="4" w:space="0"/>
              <w:left w:val="single" w:color="000000" w:sz="4" w:space="0"/>
              <w:bottom w:val="single" w:color="000000" w:sz="4" w:space="0"/>
              <w:right w:val="single" w:color="000000" w:sz="4" w:space="0"/>
            </w:tcBorders>
            <w:vAlign w:val="center"/>
          </w:tcPr>
          <w:p w14:paraId="41C9093F">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插座</w:t>
            </w:r>
          </w:p>
        </w:tc>
        <w:tc>
          <w:tcPr>
            <w:tcW w:w="4014" w:type="dxa"/>
            <w:tcBorders>
              <w:top w:val="single" w:color="000000" w:sz="4" w:space="0"/>
              <w:left w:val="single" w:color="000000" w:sz="4" w:space="0"/>
              <w:bottom w:val="single" w:color="000000" w:sz="4" w:space="0"/>
              <w:right w:val="single" w:color="000000" w:sz="4" w:space="0"/>
            </w:tcBorders>
            <w:vAlign w:val="center"/>
          </w:tcPr>
          <w:p w14:paraId="58749113">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产品特点</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1.采用地面嵌入式设计，自动弹起式锁定翻盖。</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2.一进一出连接单元，也可连接主机，实现网络功能。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3.采用100M/10M自适应网络传输，可以实现手拉手级联。</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4.支持一个网口输入，一个6芯航空输入，一个网口输出，一个6芯航空输出；双接口</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5.底盒具有防水泥功能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技术参数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1.网口规范:IEEE802.3、IEEE802.3u、IEEE802.3x</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2.供电方式:六芯口供电一个，1个RJ45网口</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3.颜色:金色</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4.安装方式:地面式</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5.工作温度:-10℃~+45℃</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0AEE61EB">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w:t>
            </w:r>
          </w:p>
        </w:tc>
        <w:tc>
          <w:tcPr>
            <w:tcW w:w="667" w:type="dxa"/>
            <w:tcBorders>
              <w:top w:val="single" w:color="000000" w:sz="4" w:space="0"/>
              <w:left w:val="single" w:color="000000" w:sz="4" w:space="0"/>
              <w:bottom w:val="single" w:color="000000" w:sz="4" w:space="0"/>
              <w:right w:val="single" w:color="000000" w:sz="4" w:space="0"/>
            </w:tcBorders>
            <w:vAlign w:val="center"/>
          </w:tcPr>
          <w:p w14:paraId="762F29F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0A68FDE3">
            <w:pPr>
              <w:rPr>
                <w:rFonts w:hint="eastAsia" w:ascii="宋体" w:hAnsi="宋体" w:eastAsia="宋体" w:cs="宋体"/>
                <w:color w:val="000000"/>
                <w:sz w:val="21"/>
                <w:szCs w:val="21"/>
              </w:rPr>
            </w:pPr>
          </w:p>
        </w:tc>
      </w:tr>
      <w:tr w14:paraId="666F7F02">
        <w:tblPrEx>
          <w:tblCellMar>
            <w:top w:w="0" w:type="dxa"/>
            <w:left w:w="108" w:type="dxa"/>
            <w:bottom w:w="0" w:type="dxa"/>
            <w:right w:w="108" w:type="dxa"/>
          </w:tblCellMar>
        </w:tblPrEx>
        <w:trPr>
          <w:trHeight w:val="819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5C74104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1.4.5</w:t>
            </w:r>
          </w:p>
        </w:tc>
        <w:tc>
          <w:tcPr>
            <w:tcW w:w="1066" w:type="dxa"/>
            <w:tcBorders>
              <w:top w:val="single" w:color="000000" w:sz="4" w:space="0"/>
              <w:left w:val="single" w:color="000000" w:sz="4" w:space="0"/>
              <w:bottom w:val="single" w:color="000000" w:sz="4" w:space="0"/>
              <w:right w:val="single" w:color="000000" w:sz="4" w:space="0"/>
            </w:tcBorders>
            <w:noWrap/>
            <w:vAlign w:val="center"/>
          </w:tcPr>
          <w:p w14:paraId="6BA0881E">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主席单元</w:t>
            </w:r>
          </w:p>
        </w:tc>
        <w:tc>
          <w:tcPr>
            <w:tcW w:w="4014" w:type="dxa"/>
            <w:tcBorders>
              <w:top w:val="single" w:color="000000" w:sz="4" w:space="0"/>
              <w:left w:val="single" w:color="000000" w:sz="4" w:space="0"/>
              <w:bottom w:val="single" w:color="000000" w:sz="4" w:space="0"/>
              <w:right w:val="single" w:color="000000" w:sz="4" w:space="0"/>
            </w:tcBorders>
            <w:vAlign w:val="center"/>
          </w:tcPr>
          <w:p w14:paraId="646C3197">
            <w:pPr>
              <w:widowControl/>
              <w:jc w:val="left"/>
              <w:textAlignment w:val="center"/>
              <w:rPr>
                <w:rFonts w:ascii="宋体" w:hAnsi="宋体" w:eastAsia="宋体" w:cs="宋体"/>
                <w:color w:val="EE0000"/>
                <w:kern w:val="0"/>
                <w:sz w:val="21"/>
                <w:szCs w:val="21"/>
                <w:lang w:bidi="ar"/>
              </w:rPr>
            </w:pPr>
            <w:r>
              <w:rPr>
                <w:rFonts w:hint="eastAsia" w:ascii="宋体" w:hAnsi="宋体" w:eastAsia="宋体" w:cs="宋体"/>
                <w:color w:val="000000"/>
                <w:kern w:val="0"/>
                <w:sz w:val="21"/>
                <w:szCs w:val="21"/>
                <w:lang w:bidi="ar"/>
              </w:rPr>
              <w:t>功能特点:</w:t>
            </w:r>
            <w:r>
              <w:rPr>
                <w:rFonts w:hint="eastAsia" w:ascii="宋体" w:hAnsi="宋体" w:eastAsia="宋体" w:cs="宋体"/>
                <w:color w:val="000000"/>
                <w:kern w:val="0"/>
                <w:sz w:val="21"/>
                <w:szCs w:val="21"/>
                <w:lang w:bidi="ar"/>
              </w:rPr>
              <w:br w:type="textWrapping"/>
            </w:r>
            <w:r>
              <w:rPr>
                <w:rFonts w:hint="eastAsia" w:ascii="宋体" w:hAnsi="宋体" w:eastAsia="宋体" w:cs="宋体"/>
                <w:color w:val="auto"/>
                <w:kern w:val="0"/>
                <w:sz w:val="21"/>
                <w:szCs w:val="21"/>
                <w:lang w:bidi="ar"/>
              </w:rPr>
              <w:t>1.采用航空头链接</w:t>
            </w:r>
            <w:r>
              <w:rPr>
                <w:rFonts w:hint="eastAsia" w:ascii="宋体" w:hAnsi="宋体" w:eastAsia="宋体" w:cs="宋体"/>
                <w:color w:val="auto"/>
                <w:kern w:val="0"/>
                <w:sz w:val="21"/>
                <w:szCs w:val="21"/>
                <w:lang w:val="en-US" w:eastAsia="zh-CN" w:bidi="ar"/>
              </w:rPr>
              <w:t>或RJ45链接头</w:t>
            </w:r>
            <w:r>
              <w:rPr>
                <w:rFonts w:hint="eastAsia" w:ascii="宋体" w:hAnsi="宋体" w:eastAsia="宋体" w:cs="宋体"/>
                <w:color w:val="auto"/>
                <w:kern w:val="0"/>
                <w:sz w:val="21"/>
                <w:szCs w:val="21"/>
                <w:lang w:bidi="ar"/>
              </w:rPr>
              <w:t>，48K采样率，80Hz-16KHz带宽完美音质。</w:t>
            </w:r>
          </w:p>
          <w:p w14:paraId="0D2313F9">
            <w:pPr>
              <w:widowControl/>
              <w:jc w:val="left"/>
              <w:textAlignment w:val="center"/>
              <w:rPr>
                <w:rFonts w:ascii="宋体" w:hAnsi="宋体" w:eastAsia="宋体" w:cs="宋体"/>
                <w:color w:val="EE0000"/>
                <w:kern w:val="0"/>
                <w:sz w:val="21"/>
                <w:szCs w:val="21"/>
                <w:lang w:bidi="ar"/>
              </w:rPr>
            </w:pP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bidi="ar"/>
              </w:rPr>
              <w:t>.支持PC软件控制话筒开关及EQ，支持声控功能。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bidi="ar"/>
              </w:rPr>
              <w:t>.主席单元具备关闭代表单元发言的优先权限。</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bidi="ar"/>
              </w:rPr>
              <w:t>.具有TCP/IP协议，支持ICMP、HTTP、UDP、TCP、IGMP等多种协议。</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bidi="ar"/>
              </w:rPr>
              <w:t>.单元支持PING包功能。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6</w:t>
            </w:r>
            <w:r>
              <w:rPr>
                <w:rFonts w:hint="eastAsia" w:ascii="宋体" w:hAnsi="宋体" w:eastAsia="宋体" w:cs="宋体"/>
                <w:color w:val="000000"/>
                <w:kern w:val="0"/>
                <w:sz w:val="21"/>
                <w:szCs w:val="21"/>
                <w:lang w:bidi="ar"/>
              </w:rPr>
              <w:t>.可选配内置5W高保真喇叭</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7</w:t>
            </w:r>
            <w:r>
              <w:rPr>
                <w:rFonts w:hint="eastAsia" w:ascii="宋体" w:hAnsi="宋体" w:eastAsia="宋体" w:cs="宋体"/>
                <w:color w:val="000000"/>
                <w:kern w:val="0"/>
                <w:sz w:val="21"/>
                <w:szCs w:val="21"/>
                <w:lang w:bidi="ar"/>
              </w:rPr>
              <w:t>.具有发言计时和定时发言功能，倒计时发言等。代表机具有申请发言功能。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8</w:t>
            </w:r>
            <w:r>
              <w:rPr>
                <w:rFonts w:hint="eastAsia" w:ascii="宋体" w:hAnsi="宋体" w:eastAsia="宋体" w:cs="宋体"/>
                <w:color w:val="000000"/>
                <w:kern w:val="0"/>
                <w:sz w:val="21"/>
                <w:szCs w:val="21"/>
                <w:lang w:bidi="ar"/>
              </w:rPr>
              <w:t>.具有声控功能，声控灵敏度可调。</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9</w:t>
            </w:r>
            <w:r>
              <w:rPr>
                <w:rFonts w:hint="eastAsia" w:ascii="宋体" w:hAnsi="宋体" w:eastAsia="宋体" w:cs="宋体"/>
                <w:color w:val="000000"/>
                <w:kern w:val="0"/>
                <w:sz w:val="21"/>
                <w:szCs w:val="21"/>
                <w:lang w:bidi="ar"/>
              </w:rPr>
              <w:t>.具有5段EQ调节功能，可针对发言者的声音特点调节不同的音效。</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0</w:t>
            </w:r>
            <w:r>
              <w:rPr>
                <w:rFonts w:hint="eastAsia" w:ascii="宋体" w:hAnsi="宋体" w:eastAsia="宋体" w:cs="宋体"/>
                <w:color w:val="000000"/>
                <w:kern w:val="0"/>
                <w:sz w:val="21"/>
                <w:szCs w:val="21"/>
                <w:lang w:bidi="ar"/>
              </w:rPr>
              <w:t>.支持签到功能，也可以通过PC软件禁止单元签到、控制单元签到等功能。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bidi="ar"/>
              </w:rPr>
              <w:t>、独创的数字环状网络技术，实现全数字信号传输与处理,抗来自手机等类似设备的RF干扰。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技术参数：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1.麦克风类型:驻极体电容式传声器</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2.咪芯指向性:心型</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3.频率响应:80Hz~16KHz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4.麦克风输入阻抗:</w:t>
            </w:r>
            <w:r>
              <w:rPr>
                <w:rFonts w:hint="eastAsia" w:ascii="宋体" w:hAnsi="宋体" w:eastAsia="宋体" w:cs="宋体"/>
                <w:color w:val="EE0000"/>
                <w:kern w:val="0"/>
                <w:sz w:val="21"/>
                <w:szCs w:val="21"/>
                <w:lang w:bidi="ar"/>
              </w:rPr>
              <w:t>2</w:t>
            </w:r>
            <w:r>
              <w:rPr>
                <w:rFonts w:hint="eastAsia" w:ascii="宋体" w:hAnsi="宋体" w:eastAsia="宋体" w:cs="宋体"/>
                <w:color w:val="000000"/>
                <w:kern w:val="0"/>
                <w:sz w:val="21"/>
                <w:szCs w:val="21"/>
                <w:lang w:bidi="ar"/>
              </w:rPr>
              <w:t>KΩ</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5.灵敏度:-40±2dB(0dB=1V/Pa,at1KHz)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6.最大SPL:120dB(THD&gt;3%)</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7.信噪比:&gt;80dB(A)</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8.串扰:&gt;70dB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9.动态范围:&gt;80dB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10.THD:&lt;0.3%</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11.最大功耗:2W</w:t>
            </w:r>
          </w:p>
          <w:p w14:paraId="0892E66E">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bidi="ar"/>
              </w:rPr>
              <w:t>.供电方式:会议主机供电</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bidi="ar"/>
              </w:rPr>
              <w:t>.颜色:银灰色</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bidi="ar"/>
              </w:rPr>
              <w:t>.咪杆长度及颜色:方咪杆2</w:t>
            </w:r>
            <w:r>
              <w:rPr>
                <w:rFonts w:hint="eastAsia" w:ascii="宋体" w:hAnsi="宋体" w:eastAsia="宋体" w:cs="宋体"/>
                <w:color w:val="auto"/>
                <w:kern w:val="0"/>
                <w:sz w:val="21"/>
                <w:szCs w:val="21"/>
                <w:lang w:bidi="ar"/>
              </w:rPr>
              <w:t>00</w:t>
            </w:r>
            <w:r>
              <w:rPr>
                <w:rFonts w:hint="eastAsia" w:ascii="宋体" w:hAnsi="宋体" w:eastAsia="宋体" w:cs="宋体"/>
                <w:color w:val="000000"/>
                <w:kern w:val="0"/>
                <w:sz w:val="21"/>
                <w:szCs w:val="21"/>
                <w:lang w:bidi="ar"/>
              </w:rPr>
              <w:t>mm黑色，长咪杆415mm</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bidi="ar"/>
              </w:rPr>
              <w:t>.安装方式:桌面式</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069EC36F">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13BC390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36E41111">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主席麦</w:t>
            </w:r>
          </w:p>
        </w:tc>
      </w:tr>
      <w:tr w14:paraId="0C1EFE24">
        <w:tblPrEx>
          <w:tblCellMar>
            <w:top w:w="0" w:type="dxa"/>
            <w:left w:w="108" w:type="dxa"/>
            <w:bottom w:w="0" w:type="dxa"/>
            <w:right w:w="108" w:type="dxa"/>
          </w:tblCellMar>
        </w:tblPrEx>
        <w:trPr>
          <w:trHeight w:val="101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5E6854A7">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1.4.6</w:t>
            </w:r>
          </w:p>
        </w:tc>
        <w:tc>
          <w:tcPr>
            <w:tcW w:w="1066" w:type="dxa"/>
            <w:tcBorders>
              <w:top w:val="single" w:color="000000" w:sz="4" w:space="0"/>
              <w:left w:val="single" w:color="000000" w:sz="4" w:space="0"/>
              <w:bottom w:val="single" w:color="000000" w:sz="4" w:space="0"/>
              <w:right w:val="single" w:color="000000" w:sz="4" w:space="0"/>
            </w:tcBorders>
            <w:noWrap/>
            <w:vAlign w:val="center"/>
          </w:tcPr>
          <w:p w14:paraId="63847E35">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代表单元</w:t>
            </w:r>
          </w:p>
        </w:tc>
        <w:tc>
          <w:tcPr>
            <w:tcW w:w="4014" w:type="dxa"/>
            <w:tcBorders>
              <w:top w:val="single" w:color="000000" w:sz="4" w:space="0"/>
              <w:left w:val="single" w:color="000000" w:sz="4" w:space="0"/>
              <w:bottom w:val="single" w:color="000000" w:sz="4" w:space="0"/>
              <w:right w:val="single" w:color="000000" w:sz="4" w:space="0"/>
            </w:tcBorders>
            <w:vAlign w:val="center"/>
          </w:tcPr>
          <w:p w14:paraId="6CEA948A">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功能特点:</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1. 1.</w:t>
            </w:r>
            <w:r>
              <w:rPr>
                <w:rFonts w:hint="eastAsia" w:ascii="宋体" w:hAnsi="宋体" w:eastAsia="宋体" w:cs="宋体"/>
                <w:color w:val="auto"/>
                <w:kern w:val="0"/>
                <w:sz w:val="21"/>
                <w:szCs w:val="21"/>
                <w:lang w:bidi="ar"/>
              </w:rPr>
              <w:t>采用航空头链接</w:t>
            </w:r>
            <w:r>
              <w:rPr>
                <w:rFonts w:hint="eastAsia" w:ascii="宋体" w:hAnsi="宋体" w:eastAsia="宋体" w:cs="宋体"/>
                <w:color w:val="auto"/>
                <w:kern w:val="0"/>
                <w:sz w:val="21"/>
                <w:szCs w:val="21"/>
                <w:lang w:val="en-US" w:eastAsia="zh-CN" w:bidi="ar"/>
              </w:rPr>
              <w:t>或RJ45链接头</w:t>
            </w:r>
            <w:r>
              <w:rPr>
                <w:rFonts w:hint="eastAsia" w:ascii="宋体" w:hAnsi="宋体" w:eastAsia="宋体" w:cs="宋体"/>
                <w:color w:val="000000"/>
                <w:kern w:val="0"/>
                <w:sz w:val="21"/>
                <w:szCs w:val="21"/>
                <w:lang w:bidi="ar"/>
              </w:rPr>
              <w:t>，48K采样率，80Hz-16KHz带宽完美音质。</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bidi="ar"/>
              </w:rPr>
              <w:t>.支持PC软件控制话筒开关及EQ，支持声控功能。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bidi="ar"/>
              </w:rPr>
              <w:t>.主席单元具备关闭代表单元发言的优先权限。</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bidi="ar"/>
              </w:rPr>
              <w:t>.具有TCP/IP协议，支持ICMP、HTTP、UDP、TCP、IGMP等多种协议。</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bidi="ar"/>
              </w:rPr>
              <w:t>.单元支持PING包功能。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6</w:t>
            </w:r>
            <w:r>
              <w:rPr>
                <w:rFonts w:hint="eastAsia" w:ascii="宋体" w:hAnsi="宋体" w:eastAsia="宋体" w:cs="宋体"/>
                <w:color w:val="000000"/>
                <w:kern w:val="0"/>
                <w:sz w:val="21"/>
                <w:szCs w:val="21"/>
                <w:lang w:bidi="ar"/>
              </w:rPr>
              <w:t>.可选配内置5W高保真喇叭</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7</w:t>
            </w:r>
            <w:r>
              <w:rPr>
                <w:rFonts w:hint="eastAsia" w:ascii="宋体" w:hAnsi="宋体" w:eastAsia="宋体" w:cs="宋体"/>
                <w:color w:val="000000"/>
                <w:kern w:val="0"/>
                <w:sz w:val="21"/>
                <w:szCs w:val="21"/>
                <w:lang w:bidi="ar"/>
              </w:rPr>
              <w:t>.具有发言计时和定时发言功能，倒计时发言等。代表机具有申请发言功能。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8</w:t>
            </w:r>
            <w:r>
              <w:rPr>
                <w:rFonts w:hint="eastAsia" w:ascii="宋体" w:hAnsi="宋体" w:eastAsia="宋体" w:cs="宋体"/>
                <w:color w:val="000000"/>
                <w:kern w:val="0"/>
                <w:sz w:val="21"/>
                <w:szCs w:val="21"/>
                <w:lang w:bidi="ar"/>
              </w:rPr>
              <w:t>.具有声控功能，声控灵敏度可调。</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val="en-US" w:eastAsia="zh-CN" w:bidi="ar"/>
              </w:rPr>
              <w:t>9</w:t>
            </w:r>
            <w:r>
              <w:rPr>
                <w:rFonts w:hint="eastAsia" w:ascii="宋体" w:hAnsi="宋体" w:eastAsia="宋体" w:cs="宋体"/>
                <w:color w:val="000000"/>
                <w:kern w:val="0"/>
                <w:sz w:val="21"/>
                <w:szCs w:val="21"/>
                <w:lang w:bidi="ar"/>
              </w:rPr>
              <w:t>.具有5段EQ调节功能，可针对发言者的声音特点调节不同的音效。</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0</w:t>
            </w:r>
            <w:r>
              <w:rPr>
                <w:rFonts w:hint="eastAsia" w:ascii="宋体" w:hAnsi="宋体" w:eastAsia="宋体" w:cs="宋体"/>
                <w:color w:val="000000"/>
                <w:kern w:val="0"/>
                <w:sz w:val="21"/>
                <w:szCs w:val="21"/>
                <w:lang w:bidi="ar"/>
              </w:rPr>
              <w:t>.支持签到功能，也可以通过PC软件禁止单元签到、控制单元签到等功能。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bidi="ar"/>
              </w:rPr>
              <w:t>.一个USB接口，可给手机提供充电。</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bidi="ar"/>
              </w:rPr>
              <w:t>、一个3.5耳机接口设计,二合一接口可输出监听与MIC输入，支持头戴麦克风或者线路输入功能，可以连接手机，笔记本等上传音频，进行电话，网络会议。</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bidi="ar"/>
              </w:rPr>
              <w:t>、独创的数字环状网络技术，实现全数字信号传输与处理,抗来自手机等类似设备的RF干扰。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技术参数：</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1.麦克风类型:驻极体电容式传声器</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2.咪芯指向性:心型</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3.频率响应:80Hz~16KHz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4.麦克风输入阻抗:1KΩ</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5.灵敏度:-40±2dB(0dB=1V/Pa,at1KHz)</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6.最大SPL:120dB(THD&gt;3%)</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7.信噪比:&gt;80dB(A)</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8.串扰:&gt;70dB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9.动态范围:&gt;80dB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10.THD:&lt;0.3%</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11.最大功耗:2W</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bidi="ar"/>
              </w:rPr>
              <w:t>.供电方式:会议主机供电</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bidi="ar"/>
              </w:rPr>
              <w:t>.颜色:银灰色</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bidi="ar"/>
              </w:rPr>
              <w:t>.咪杆长度及颜色:方咪杆2</w:t>
            </w:r>
            <w:r>
              <w:rPr>
                <w:rFonts w:hint="eastAsia" w:ascii="宋体" w:hAnsi="宋体" w:eastAsia="宋体" w:cs="宋体"/>
                <w:color w:val="auto"/>
                <w:kern w:val="0"/>
                <w:sz w:val="21"/>
                <w:szCs w:val="21"/>
                <w:lang w:bidi="ar"/>
              </w:rPr>
              <w:t>00m</w:t>
            </w:r>
            <w:r>
              <w:rPr>
                <w:rFonts w:hint="eastAsia" w:ascii="宋体" w:hAnsi="宋体" w:eastAsia="宋体" w:cs="宋体"/>
                <w:color w:val="000000"/>
                <w:kern w:val="0"/>
                <w:sz w:val="21"/>
                <w:szCs w:val="21"/>
                <w:lang w:bidi="ar"/>
              </w:rPr>
              <w:t>m黑色，长咪杆415mm</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bidi="ar"/>
              </w:rPr>
              <w:t>.安装方式:桌面式</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7E51517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10AE37B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069B3A7A">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代表麦</w:t>
            </w:r>
          </w:p>
        </w:tc>
      </w:tr>
      <w:tr w14:paraId="551C40E3">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1C0857D0">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1.5</w:t>
            </w:r>
          </w:p>
        </w:tc>
        <w:tc>
          <w:tcPr>
            <w:tcW w:w="5080" w:type="dxa"/>
            <w:gridSpan w:val="2"/>
            <w:tcBorders>
              <w:top w:val="single" w:color="000000" w:sz="4" w:space="0"/>
              <w:left w:val="single" w:color="000000" w:sz="4" w:space="0"/>
              <w:bottom w:val="single" w:color="000000" w:sz="4" w:space="0"/>
              <w:right w:val="single" w:color="000000" w:sz="4" w:space="0"/>
            </w:tcBorders>
            <w:vAlign w:val="center"/>
          </w:tcPr>
          <w:p w14:paraId="071D8AE7">
            <w:pPr>
              <w:widowControl/>
              <w:jc w:val="left"/>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集中控制系统</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13666636">
            <w:pPr>
              <w:jc w:val="center"/>
              <w:rPr>
                <w:rFonts w:hint="eastAsia" w:ascii="宋体" w:hAnsi="宋体" w:eastAsia="宋体" w:cs="宋体"/>
                <w:b/>
                <w:bCs/>
                <w:color w:val="000000"/>
                <w:sz w:val="21"/>
                <w:szCs w:val="21"/>
              </w:rPr>
            </w:pPr>
          </w:p>
        </w:tc>
        <w:tc>
          <w:tcPr>
            <w:tcW w:w="667" w:type="dxa"/>
            <w:tcBorders>
              <w:top w:val="single" w:color="000000" w:sz="4" w:space="0"/>
              <w:left w:val="single" w:color="000000" w:sz="4" w:space="0"/>
              <w:bottom w:val="single" w:color="000000" w:sz="4" w:space="0"/>
              <w:right w:val="single" w:color="000000" w:sz="4" w:space="0"/>
            </w:tcBorders>
            <w:noWrap/>
            <w:vAlign w:val="center"/>
          </w:tcPr>
          <w:p w14:paraId="5A6BD220">
            <w:pPr>
              <w:jc w:val="center"/>
              <w:rPr>
                <w:rFonts w:hint="eastAsia" w:ascii="宋体" w:hAnsi="宋体" w:eastAsia="宋体" w:cs="宋体"/>
                <w:color w:val="000000"/>
                <w:sz w:val="21"/>
                <w:szCs w:val="21"/>
              </w:rPr>
            </w:pPr>
          </w:p>
        </w:tc>
        <w:tc>
          <w:tcPr>
            <w:tcW w:w="1244" w:type="dxa"/>
            <w:tcBorders>
              <w:top w:val="single" w:color="000000" w:sz="4" w:space="0"/>
              <w:left w:val="single" w:color="000000" w:sz="4" w:space="0"/>
              <w:bottom w:val="single" w:color="000000" w:sz="4" w:space="0"/>
              <w:right w:val="single" w:color="000000" w:sz="4" w:space="0"/>
            </w:tcBorders>
            <w:vAlign w:val="center"/>
          </w:tcPr>
          <w:p w14:paraId="7568EB6A">
            <w:pPr>
              <w:rPr>
                <w:rFonts w:hint="eastAsia" w:ascii="宋体" w:hAnsi="宋体" w:eastAsia="宋体" w:cs="宋体"/>
                <w:color w:val="000000"/>
                <w:sz w:val="21"/>
                <w:szCs w:val="21"/>
              </w:rPr>
            </w:pPr>
          </w:p>
        </w:tc>
      </w:tr>
      <w:tr w14:paraId="54DC4D2E">
        <w:tblPrEx>
          <w:tblCellMar>
            <w:top w:w="0" w:type="dxa"/>
            <w:left w:w="108" w:type="dxa"/>
            <w:bottom w:w="0" w:type="dxa"/>
            <w:right w:w="108" w:type="dxa"/>
          </w:tblCellMar>
        </w:tblPrEx>
        <w:trPr>
          <w:trHeight w:val="376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37F2163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1.5.1</w:t>
            </w:r>
          </w:p>
        </w:tc>
        <w:tc>
          <w:tcPr>
            <w:tcW w:w="1066" w:type="dxa"/>
            <w:tcBorders>
              <w:top w:val="single" w:color="000000" w:sz="4" w:space="0"/>
              <w:left w:val="single" w:color="000000" w:sz="4" w:space="0"/>
              <w:bottom w:val="single" w:color="000000" w:sz="4" w:space="0"/>
              <w:right w:val="single" w:color="000000" w:sz="4" w:space="0"/>
            </w:tcBorders>
            <w:vAlign w:val="center"/>
          </w:tcPr>
          <w:p w14:paraId="5D4AF5F9">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网络中控主机</w:t>
            </w:r>
          </w:p>
        </w:tc>
        <w:tc>
          <w:tcPr>
            <w:tcW w:w="4014" w:type="dxa"/>
            <w:tcBorders>
              <w:top w:val="single" w:color="000000" w:sz="4" w:space="0"/>
              <w:left w:val="single" w:color="000000" w:sz="4" w:space="0"/>
              <w:bottom w:val="single" w:color="000000" w:sz="4" w:space="0"/>
              <w:right w:val="single" w:color="000000" w:sz="4" w:space="0"/>
            </w:tcBorders>
          </w:tcPr>
          <w:p w14:paraId="1FCB41ED">
            <w:pPr>
              <w:widowControl/>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1.支持红外控制、RS-232、RS-422、RS-485、UDP、TCP、telnet、http、MQTT以及SNMP等多种协议，兼容性强，可对接第三方设备；</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2.主机</w:t>
            </w:r>
            <w:r>
              <w:rPr>
                <w:rFonts w:hint="eastAsia" w:ascii="宋体" w:hAnsi="宋体" w:eastAsia="宋体" w:cs="宋体"/>
                <w:color w:val="000000"/>
                <w:kern w:val="0"/>
                <w:sz w:val="21"/>
                <w:szCs w:val="21"/>
                <w:lang w:val="en-US" w:eastAsia="zh-CN" w:bidi="ar"/>
              </w:rPr>
              <w:t>采用触摸彩屏</w:t>
            </w:r>
            <w:r>
              <w:rPr>
                <w:rFonts w:hint="eastAsia" w:ascii="宋体" w:hAnsi="宋体" w:eastAsia="宋体" w:cs="宋体"/>
                <w:color w:val="000000"/>
                <w:kern w:val="0"/>
                <w:sz w:val="21"/>
                <w:szCs w:val="21"/>
                <w:lang w:bidi="ar"/>
              </w:rPr>
              <w:t>、≥8路独立可编程串口、≥</w:t>
            </w:r>
            <w:r>
              <w:rPr>
                <w:rFonts w:hint="eastAsia" w:ascii="宋体" w:hAnsi="宋体" w:eastAsia="宋体" w:cs="宋体"/>
                <w:color w:val="auto"/>
                <w:kern w:val="0"/>
                <w:sz w:val="21"/>
                <w:szCs w:val="21"/>
                <w:lang w:bidi="ar"/>
              </w:rPr>
              <w:t>4</w:t>
            </w:r>
            <w:r>
              <w:rPr>
                <w:rFonts w:hint="eastAsia" w:ascii="宋体" w:hAnsi="宋体" w:eastAsia="宋体" w:cs="宋体"/>
                <w:color w:val="000000"/>
                <w:kern w:val="0"/>
                <w:sz w:val="21"/>
                <w:szCs w:val="21"/>
                <w:lang w:bidi="ar"/>
              </w:rPr>
              <w:t>路独立可编程IR红外发射口、≥</w:t>
            </w:r>
            <w:r>
              <w:rPr>
                <w:rFonts w:hint="eastAsia" w:ascii="宋体" w:hAnsi="宋体" w:eastAsia="宋体" w:cs="宋体"/>
                <w:color w:val="auto"/>
                <w:kern w:val="0"/>
                <w:sz w:val="21"/>
                <w:szCs w:val="21"/>
                <w:lang w:bidi="ar"/>
              </w:rPr>
              <w:t>4</w:t>
            </w:r>
            <w:r>
              <w:rPr>
                <w:rFonts w:hint="eastAsia" w:ascii="宋体" w:hAnsi="宋体" w:eastAsia="宋体" w:cs="宋体"/>
                <w:color w:val="000000"/>
                <w:kern w:val="0"/>
                <w:sz w:val="21"/>
                <w:szCs w:val="21"/>
                <w:lang w:bidi="ar"/>
              </w:rPr>
              <w:t>路数字I/0控制口、≥</w:t>
            </w:r>
            <w:r>
              <w:rPr>
                <w:rFonts w:hint="eastAsia" w:ascii="宋体" w:hAnsi="宋体" w:eastAsia="宋体" w:cs="宋体"/>
                <w:color w:val="auto"/>
                <w:kern w:val="0"/>
                <w:sz w:val="21"/>
                <w:szCs w:val="21"/>
                <w:lang w:bidi="ar"/>
              </w:rPr>
              <w:t>4</w:t>
            </w:r>
            <w:r>
              <w:rPr>
                <w:rFonts w:hint="eastAsia" w:ascii="宋体" w:hAnsi="宋体" w:eastAsia="宋体" w:cs="宋体"/>
                <w:color w:val="000000"/>
                <w:kern w:val="0"/>
                <w:sz w:val="21"/>
                <w:szCs w:val="21"/>
                <w:lang w:bidi="ar"/>
              </w:rPr>
              <w:t>路弱电继电器控制接口、≥1个NET网络控制接口、≥1路TF卡接口；</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3.支持双机热备份；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4.支持互联网控制；</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5.支持定时控制；</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6.支持视频、拼接矩阵可视化控制；</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7.支持电脑远程控制；</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8.软件内嵌于中央控制系统主机设备，实现系统控制逻辑、处理等功能；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9.编程软件支持添加与实际工程对应硬件的逻辑模块；</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10.实现串口代码数据、IR红外数据、继电器、I/O数据等的代码转发、逻辑算法处理等编程功能；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11.支持界面设计软件实现中控控制界面的制作及编辑，支持互锁模式，支持3D按键等灵活的按键设计模块；</w:t>
            </w:r>
          </w:p>
        </w:tc>
        <w:tc>
          <w:tcPr>
            <w:tcW w:w="853" w:type="dxa"/>
            <w:tcBorders>
              <w:top w:val="single" w:color="000000" w:sz="4" w:space="0"/>
              <w:left w:val="single" w:color="000000" w:sz="4" w:space="0"/>
              <w:bottom w:val="single" w:color="000000" w:sz="4" w:space="0"/>
              <w:right w:val="single" w:color="000000" w:sz="4" w:space="0"/>
            </w:tcBorders>
            <w:vAlign w:val="center"/>
          </w:tcPr>
          <w:p w14:paraId="53ACED3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2C159287">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vAlign w:val="center"/>
          </w:tcPr>
          <w:p w14:paraId="52A31152">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含软件</w:t>
            </w:r>
          </w:p>
        </w:tc>
      </w:tr>
      <w:tr w14:paraId="69936726">
        <w:tblPrEx>
          <w:tblCellMar>
            <w:top w:w="0" w:type="dxa"/>
            <w:left w:w="108" w:type="dxa"/>
            <w:bottom w:w="0" w:type="dxa"/>
            <w:right w:w="108" w:type="dxa"/>
          </w:tblCellMar>
        </w:tblPrEx>
        <w:trPr>
          <w:trHeight w:val="137"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2289C81C">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1.5.2</w:t>
            </w:r>
          </w:p>
        </w:tc>
        <w:tc>
          <w:tcPr>
            <w:tcW w:w="1066" w:type="dxa"/>
            <w:tcBorders>
              <w:top w:val="single" w:color="000000" w:sz="4" w:space="0"/>
              <w:left w:val="single" w:color="000000" w:sz="4" w:space="0"/>
              <w:bottom w:val="single" w:color="000000" w:sz="4" w:space="0"/>
              <w:right w:val="single" w:color="000000" w:sz="4" w:space="0"/>
            </w:tcBorders>
            <w:vAlign w:val="center"/>
          </w:tcPr>
          <w:p w14:paraId="1ACEB151">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控制器</w:t>
            </w:r>
          </w:p>
        </w:tc>
        <w:tc>
          <w:tcPr>
            <w:tcW w:w="4014" w:type="dxa"/>
            <w:tcBorders>
              <w:top w:val="single" w:color="000000" w:sz="4" w:space="0"/>
              <w:left w:val="single" w:color="000000" w:sz="4" w:space="0"/>
              <w:bottom w:val="single" w:color="000000" w:sz="4" w:space="0"/>
              <w:right w:val="single" w:color="000000" w:sz="4" w:space="0"/>
            </w:tcBorders>
          </w:tcPr>
          <w:p w14:paraId="06752D6C">
            <w:pPr>
              <w:widowControl/>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1.需具有≥8路自动、手动电源控制器，内置8个20A继电器，最大负载能力4400W/单路；</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2.每路继电器三连接点的接线柱,需具有常开与常闭的功能；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3.需具有复位按键，支持恢复到出厂的默认设置。具有1路网络接口，支持通过网络实现远程控制。</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4.需具有设备运行状态指示灯及8个继电器的开关状态指示灯。</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5.需具有键盘锁（LOCK）功能。</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6.需具备ID识别，通过中控主机网络控制多台时，可通过ID识别。</w:t>
            </w:r>
          </w:p>
        </w:tc>
        <w:tc>
          <w:tcPr>
            <w:tcW w:w="853" w:type="dxa"/>
            <w:tcBorders>
              <w:top w:val="single" w:color="000000" w:sz="4" w:space="0"/>
              <w:left w:val="single" w:color="000000" w:sz="4" w:space="0"/>
              <w:bottom w:val="single" w:color="000000" w:sz="4" w:space="0"/>
              <w:right w:val="single" w:color="000000" w:sz="4" w:space="0"/>
            </w:tcBorders>
            <w:vAlign w:val="center"/>
          </w:tcPr>
          <w:p w14:paraId="585C362A">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6496D05B">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vAlign w:val="center"/>
          </w:tcPr>
          <w:p w14:paraId="08C430DE">
            <w:pPr>
              <w:rPr>
                <w:rFonts w:hint="eastAsia" w:ascii="宋体" w:hAnsi="宋体" w:eastAsia="宋体" w:cs="宋体"/>
                <w:color w:val="000000"/>
                <w:sz w:val="21"/>
                <w:szCs w:val="21"/>
              </w:rPr>
            </w:pPr>
          </w:p>
        </w:tc>
      </w:tr>
      <w:tr w14:paraId="605DD007">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56E906FA">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1.5.3</w:t>
            </w:r>
          </w:p>
        </w:tc>
        <w:tc>
          <w:tcPr>
            <w:tcW w:w="1066" w:type="dxa"/>
            <w:tcBorders>
              <w:top w:val="single" w:color="000000" w:sz="4" w:space="0"/>
              <w:left w:val="single" w:color="000000" w:sz="4" w:space="0"/>
              <w:bottom w:val="single" w:color="000000" w:sz="4" w:space="0"/>
              <w:right w:val="single" w:color="000000" w:sz="4" w:space="0"/>
            </w:tcBorders>
            <w:vAlign w:val="center"/>
          </w:tcPr>
          <w:p w14:paraId="44BD8D6C">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安卓平板电脑</w:t>
            </w:r>
          </w:p>
        </w:tc>
        <w:tc>
          <w:tcPr>
            <w:tcW w:w="4014" w:type="dxa"/>
            <w:tcBorders>
              <w:top w:val="single" w:color="000000" w:sz="4" w:space="0"/>
              <w:left w:val="single" w:color="000000" w:sz="4" w:space="0"/>
              <w:bottom w:val="single" w:color="000000" w:sz="4" w:space="0"/>
              <w:right w:val="single" w:color="000000" w:sz="4" w:space="0"/>
            </w:tcBorders>
          </w:tcPr>
          <w:p w14:paraId="36E73197">
            <w:pPr>
              <w:widowControl/>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10.95英寸；120Hz高刷全面屏；不低于8+128GB</w:t>
            </w:r>
          </w:p>
        </w:tc>
        <w:tc>
          <w:tcPr>
            <w:tcW w:w="853" w:type="dxa"/>
            <w:tcBorders>
              <w:top w:val="single" w:color="000000" w:sz="4" w:space="0"/>
              <w:left w:val="single" w:color="000000" w:sz="4" w:space="0"/>
              <w:bottom w:val="single" w:color="000000" w:sz="4" w:space="0"/>
              <w:right w:val="single" w:color="000000" w:sz="4" w:space="0"/>
            </w:tcBorders>
            <w:vAlign w:val="center"/>
          </w:tcPr>
          <w:p w14:paraId="5E66410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13D974D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vAlign w:val="center"/>
          </w:tcPr>
          <w:p w14:paraId="1864715E">
            <w:pPr>
              <w:rPr>
                <w:rFonts w:hint="eastAsia" w:ascii="宋体" w:hAnsi="宋体" w:eastAsia="宋体" w:cs="宋体"/>
                <w:color w:val="000000"/>
                <w:sz w:val="21"/>
                <w:szCs w:val="21"/>
              </w:rPr>
            </w:pPr>
          </w:p>
        </w:tc>
      </w:tr>
      <w:tr w14:paraId="5980770A">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0A02952E">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1.5.4</w:t>
            </w:r>
          </w:p>
        </w:tc>
        <w:tc>
          <w:tcPr>
            <w:tcW w:w="1066" w:type="dxa"/>
            <w:tcBorders>
              <w:top w:val="single" w:color="000000" w:sz="4" w:space="0"/>
              <w:left w:val="single" w:color="000000" w:sz="4" w:space="0"/>
              <w:bottom w:val="single" w:color="000000" w:sz="4" w:space="0"/>
              <w:right w:val="single" w:color="000000" w:sz="4" w:space="0"/>
            </w:tcBorders>
            <w:noWrap/>
            <w:vAlign w:val="center"/>
          </w:tcPr>
          <w:p w14:paraId="2021CA1F">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路由器</w:t>
            </w:r>
          </w:p>
        </w:tc>
        <w:tc>
          <w:tcPr>
            <w:tcW w:w="4014" w:type="dxa"/>
            <w:tcBorders>
              <w:top w:val="single" w:color="000000" w:sz="4" w:space="0"/>
              <w:left w:val="single" w:color="000000" w:sz="4" w:space="0"/>
              <w:bottom w:val="single" w:color="000000" w:sz="4" w:space="0"/>
              <w:right w:val="single" w:color="000000" w:sz="4" w:space="0"/>
            </w:tcBorders>
          </w:tcPr>
          <w:p w14:paraId="4B53DAE2">
            <w:pPr>
              <w:widowControl/>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1500M高速双频wifi  5G双频智能千兆无线路由，支持2x2 MIMO</w:t>
            </w:r>
          </w:p>
        </w:tc>
        <w:tc>
          <w:tcPr>
            <w:tcW w:w="853" w:type="dxa"/>
            <w:tcBorders>
              <w:top w:val="single" w:color="000000" w:sz="4" w:space="0"/>
              <w:left w:val="single" w:color="000000" w:sz="4" w:space="0"/>
              <w:bottom w:val="single" w:color="000000" w:sz="4" w:space="0"/>
              <w:right w:val="single" w:color="000000" w:sz="4" w:space="0"/>
            </w:tcBorders>
            <w:vAlign w:val="center"/>
          </w:tcPr>
          <w:p w14:paraId="6B00DED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1B72275E">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vAlign w:val="center"/>
          </w:tcPr>
          <w:p w14:paraId="055CF06F">
            <w:pPr>
              <w:rPr>
                <w:rFonts w:hint="eastAsia" w:ascii="宋体" w:hAnsi="宋体" w:eastAsia="宋体" w:cs="宋体"/>
                <w:color w:val="000000"/>
                <w:sz w:val="21"/>
                <w:szCs w:val="21"/>
              </w:rPr>
            </w:pPr>
          </w:p>
        </w:tc>
      </w:tr>
      <w:tr w14:paraId="6CE634BA">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3063949F">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1.6</w:t>
            </w:r>
          </w:p>
        </w:tc>
        <w:tc>
          <w:tcPr>
            <w:tcW w:w="5080" w:type="dxa"/>
            <w:gridSpan w:val="2"/>
            <w:tcBorders>
              <w:top w:val="single" w:color="000000" w:sz="4" w:space="0"/>
              <w:left w:val="single" w:color="000000" w:sz="4" w:space="0"/>
              <w:bottom w:val="single" w:color="000000" w:sz="4" w:space="0"/>
              <w:right w:val="single" w:color="000000" w:sz="4" w:space="0"/>
            </w:tcBorders>
            <w:vAlign w:val="center"/>
          </w:tcPr>
          <w:p w14:paraId="7749775E">
            <w:pPr>
              <w:widowControl/>
              <w:jc w:val="left"/>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远程视频会议系统</w:t>
            </w:r>
          </w:p>
        </w:tc>
        <w:tc>
          <w:tcPr>
            <w:tcW w:w="853" w:type="dxa"/>
            <w:tcBorders>
              <w:top w:val="single" w:color="000000" w:sz="4" w:space="0"/>
              <w:left w:val="single" w:color="000000" w:sz="4" w:space="0"/>
              <w:bottom w:val="single" w:color="000000" w:sz="4" w:space="0"/>
              <w:right w:val="single" w:color="000000" w:sz="4" w:space="0"/>
            </w:tcBorders>
            <w:vAlign w:val="center"/>
          </w:tcPr>
          <w:p w14:paraId="587548A8">
            <w:pPr>
              <w:jc w:val="center"/>
              <w:rPr>
                <w:rFonts w:hint="eastAsia" w:ascii="宋体" w:hAnsi="宋体" w:eastAsia="宋体" w:cs="宋体"/>
                <w:color w:val="000000"/>
                <w:sz w:val="21"/>
                <w:szCs w:val="21"/>
              </w:rPr>
            </w:pPr>
          </w:p>
        </w:tc>
        <w:tc>
          <w:tcPr>
            <w:tcW w:w="667" w:type="dxa"/>
            <w:tcBorders>
              <w:top w:val="single" w:color="000000" w:sz="4" w:space="0"/>
              <w:left w:val="single" w:color="000000" w:sz="4" w:space="0"/>
              <w:bottom w:val="single" w:color="000000" w:sz="4" w:space="0"/>
              <w:right w:val="single" w:color="000000" w:sz="4" w:space="0"/>
            </w:tcBorders>
            <w:vAlign w:val="center"/>
          </w:tcPr>
          <w:p w14:paraId="26714A72">
            <w:pPr>
              <w:jc w:val="center"/>
              <w:rPr>
                <w:rFonts w:hint="eastAsia" w:ascii="宋体" w:hAnsi="宋体" w:eastAsia="宋体" w:cs="宋体"/>
                <w:color w:val="000000"/>
                <w:sz w:val="21"/>
                <w:szCs w:val="21"/>
              </w:rPr>
            </w:pPr>
          </w:p>
        </w:tc>
        <w:tc>
          <w:tcPr>
            <w:tcW w:w="1244" w:type="dxa"/>
            <w:tcBorders>
              <w:top w:val="single" w:color="000000" w:sz="4" w:space="0"/>
              <w:left w:val="single" w:color="000000" w:sz="4" w:space="0"/>
              <w:bottom w:val="single" w:color="000000" w:sz="4" w:space="0"/>
              <w:right w:val="single" w:color="000000" w:sz="4" w:space="0"/>
            </w:tcBorders>
            <w:vAlign w:val="center"/>
          </w:tcPr>
          <w:p w14:paraId="6341C317">
            <w:pPr>
              <w:rPr>
                <w:rFonts w:hint="eastAsia" w:ascii="宋体" w:hAnsi="宋体" w:eastAsia="宋体" w:cs="宋体"/>
                <w:color w:val="000000"/>
                <w:sz w:val="21"/>
                <w:szCs w:val="21"/>
              </w:rPr>
            </w:pPr>
          </w:p>
        </w:tc>
      </w:tr>
      <w:tr w14:paraId="05018E98">
        <w:tblPrEx>
          <w:tblCellMar>
            <w:top w:w="0" w:type="dxa"/>
            <w:left w:w="108" w:type="dxa"/>
            <w:bottom w:w="0" w:type="dxa"/>
            <w:right w:w="108" w:type="dxa"/>
          </w:tblCellMar>
        </w:tblPrEx>
        <w:trPr>
          <w:trHeight w:val="783"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5681A893">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1.6.1</w:t>
            </w:r>
          </w:p>
        </w:tc>
        <w:tc>
          <w:tcPr>
            <w:tcW w:w="1066" w:type="dxa"/>
            <w:tcBorders>
              <w:top w:val="single" w:color="000000" w:sz="4" w:space="0"/>
              <w:left w:val="single" w:color="000000" w:sz="4" w:space="0"/>
              <w:bottom w:val="single" w:color="000000" w:sz="4" w:space="0"/>
              <w:right w:val="single" w:color="000000" w:sz="4" w:space="0"/>
            </w:tcBorders>
            <w:vAlign w:val="center"/>
          </w:tcPr>
          <w:p w14:paraId="472CE38C">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高清视频终端</w:t>
            </w:r>
          </w:p>
        </w:tc>
        <w:tc>
          <w:tcPr>
            <w:tcW w:w="4014" w:type="dxa"/>
            <w:tcBorders>
              <w:top w:val="single" w:color="000000" w:sz="4" w:space="0"/>
              <w:left w:val="single" w:color="000000" w:sz="4" w:space="0"/>
              <w:bottom w:val="single" w:color="000000" w:sz="4" w:space="0"/>
              <w:right w:val="single" w:color="000000" w:sz="4" w:space="0"/>
            </w:tcBorders>
            <w:vAlign w:val="center"/>
          </w:tcPr>
          <w:p w14:paraId="7787267B">
            <w:pPr>
              <w:widowControl/>
              <w:jc w:val="left"/>
              <w:textAlignment w:val="center"/>
              <w:rPr>
                <w:rFonts w:ascii="宋体" w:hAnsi="宋体" w:eastAsia="宋体" w:cs="宋体"/>
                <w:color w:val="EE0000"/>
                <w:kern w:val="0"/>
                <w:sz w:val="21"/>
                <w:szCs w:val="21"/>
                <w:lang w:bidi="ar"/>
              </w:rPr>
            </w:pPr>
            <w:r>
              <w:rPr>
                <w:rFonts w:hint="eastAsia" w:ascii="宋体" w:hAnsi="宋体" w:eastAsia="宋体" w:cs="宋体"/>
                <w:color w:val="000000"/>
                <w:kern w:val="0"/>
                <w:sz w:val="21"/>
                <w:szCs w:val="21"/>
                <w:lang w:bidi="ar"/>
              </w:rPr>
              <w:t>分体式终端，采用嵌入式操作系统，具备多种音视频输入输出接口配置，集音视频交互、桌面共享、多媒体共享、录制等功能于一体。</w:t>
            </w:r>
          </w:p>
          <w:p w14:paraId="20224B07">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支持ITU-TH.323,IETFSIP多媒体框架协议</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支持G.722.1C*,AAC-LD,G.722,G.711A,G.711µ,G.726,SILK,G.722.1*音频编解码协议，采样率达到32~64K</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支持ITU-TH.239,BFCP双流协议</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呼叫带宽64kbps~</w:t>
            </w:r>
            <w:r>
              <w:rPr>
                <w:rFonts w:hint="eastAsia" w:ascii="宋体" w:hAnsi="宋体" w:eastAsia="宋体" w:cs="宋体"/>
                <w:color w:val="EE0000"/>
                <w:kern w:val="0"/>
                <w:sz w:val="21"/>
                <w:szCs w:val="21"/>
                <w:lang w:bidi="ar"/>
              </w:rPr>
              <w:t>16</w:t>
            </w:r>
            <w:r>
              <w:rPr>
                <w:rFonts w:hint="eastAsia" w:ascii="宋体" w:hAnsi="宋体" w:eastAsia="宋体" w:cs="宋体"/>
                <w:color w:val="000000"/>
                <w:kern w:val="0"/>
                <w:sz w:val="21"/>
                <w:szCs w:val="21"/>
                <w:lang w:bidi="ar"/>
              </w:rPr>
              <w:t>Mbps可调</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支持IPV4和IPV6协议</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语音支持中文,英文，支持镜像/倒装，画中画，二、三分屏显示</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支持通过遥控器、web、触控、鼠标键盘等方式来操控终端；</w:t>
            </w:r>
            <w:r>
              <w:rPr>
                <w:rFonts w:hint="eastAsia" w:ascii="宋体" w:hAnsi="宋体" w:eastAsia="宋体" w:cs="宋体"/>
                <w:color w:val="000000"/>
                <w:kern w:val="0"/>
                <w:sz w:val="21"/>
                <w:szCs w:val="21"/>
                <w:lang w:bidi="ar"/>
              </w:rPr>
              <w:br w:type="textWrapping"/>
            </w:r>
            <w:r>
              <w:rPr>
                <w:rFonts w:hint="eastAsia" w:ascii="宋体" w:hAnsi="宋体" w:eastAsia="宋体" w:cs="宋体"/>
                <w:color w:val="auto"/>
                <w:kern w:val="0"/>
                <w:sz w:val="21"/>
                <w:szCs w:val="21"/>
                <w:lang w:bidi="ar"/>
              </w:rPr>
              <w:t>1</w:t>
            </w:r>
            <w:r>
              <w:rPr>
                <w:rFonts w:hint="eastAsia" w:ascii="宋体" w:hAnsi="宋体" w:eastAsia="宋体" w:cs="宋体"/>
                <w:color w:val="000000"/>
                <w:kern w:val="0"/>
                <w:sz w:val="21"/>
                <w:szCs w:val="21"/>
                <w:lang w:bidi="ar"/>
              </w:rPr>
              <w:t>路3.5mm音频输入接口+1路3.5mm+HDMI音频输出接口,，视频输出接口支持2路HDMI同时输出。</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USB接口：2xUSB2.0Host；支持会议录制功能，可以直接录制会议过程中的视频和音频；</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网络接口：2xRJ45:10/100Base-T</w:t>
            </w:r>
          </w:p>
        </w:tc>
        <w:tc>
          <w:tcPr>
            <w:tcW w:w="853" w:type="dxa"/>
            <w:tcBorders>
              <w:top w:val="single" w:color="000000" w:sz="4" w:space="0"/>
              <w:left w:val="single" w:color="000000" w:sz="4" w:space="0"/>
              <w:bottom w:val="single" w:color="000000" w:sz="4" w:space="0"/>
              <w:right w:val="single" w:color="000000" w:sz="4" w:space="0"/>
            </w:tcBorders>
            <w:vAlign w:val="center"/>
          </w:tcPr>
          <w:p w14:paraId="5EA504DD">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7BB86A6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vAlign w:val="center"/>
          </w:tcPr>
          <w:p w14:paraId="6CD6BC45">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可通过H.323协议对接其他品牌视频会议，需对接测试</w:t>
            </w:r>
          </w:p>
        </w:tc>
      </w:tr>
      <w:tr w14:paraId="02232E73">
        <w:tblPrEx>
          <w:tblCellMar>
            <w:top w:w="0" w:type="dxa"/>
            <w:left w:w="108" w:type="dxa"/>
            <w:bottom w:w="0" w:type="dxa"/>
            <w:right w:w="108" w:type="dxa"/>
          </w:tblCellMar>
        </w:tblPrEx>
        <w:trPr>
          <w:trHeight w:val="438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27C80382">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1.6.2</w:t>
            </w:r>
          </w:p>
        </w:tc>
        <w:tc>
          <w:tcPr>
            <w:tcW w:w="1066" w:type="dxa"/>
            <w:tcBorders>
              <w:top w:val="single" w:color="000000" w:sz="4" w:space="0"/>
              <w:left w:val="single" w:color="000000" w:sz="4" w:space="0"/>
              <w:bottom w:val="single" w:color="000000" w:sz="4" w:space="0"/>
              <w:right w:val="single" w:color="000000" w:sz="4" w:space="0"/>
            </w:tcBorders>
            <w:vAlign w:val="center"/>
          </w:tcPr>
          <w:p w14:paraId="3F3B6519">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摄像机</w:t>
            </w:r>
          </w:p>
        </w:tc>
        <w:tc>
          <w:tcPr>
            <w:tcW w:w="4014" w:type="dxa"/>
            <w:tcBorders>
              <w:top w:val="single" w:color="000000" w:sz="4" w:space="0"/>
              <w:left w:val="single" w:color="000000" w:sz="4" w:space="0"/>
              <w:bottom w:val="single" w:color="000000" w:sz="4" w:space="0"/>
              <w:right w:val="single" w:color="000000" w:sz="4" w:space="0"/>
            </w:tcBorders>
            <w:vAlign w:val="center"/>
          </w:tcPr>
          <w:p w14:paraId="64A245DF">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为会议室（多功能报告厅）提供会议摄像跟踪或视频会议高清视频画面的采集。采用先进的图像传感器高速处理技术和算法，让图像效果接近实景、画面清晰均匀，色彩还原真实。</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高达1080P分辨率60帧/秒，即使在低带宽下也可获得流畅、清晰的画面。</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采用72.5°无畸变超广角自由曲面镜头，光学变焦达到12倍，并支持16倍数字变焦。</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采用1/2.8英寸、207万有效像素的高品质HDCMOS传感器，可实现最大1920x1080高分辨率的优质图像。</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超高性噪比的全新CMOS图像传感器可有效降低在低照度情况下的图像噪声，同时应用2D和3D降噪算法，大幅降低了图像噪声，即便是超低照度情况下，依然保持画面干净清晰，图像信噪比高达55dB以上。</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具有全功能USB接口：全功能USB接口，兼容USB3.0、USB2.0，支持音频，支持编码输出，支持UVCv1.1~1.5协议。</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有线网络支持PoE供电，控制、供电、视频和音频仅需一条网线即可完成。</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多种控制方式，使用RS232，RS485、网络以及USB，对摄像机进行控制。</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输出H.264码流支持Slice和SVC编码模式，适应高端USB会议视频应用。</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同时支持两路码流输出(YUY2、MJPEG、H.264任两路)，减轻主机编解码压力。</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支持HMDI(可选）、USB3.0、网络接口可同时输出1080P视频。</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同时支持USB5V供电，12V电源适配器供电和PoE供电。</w:t>
            </w:r>
          </w:p>
        </w:tc>
        <w:tc>
          <w:tcPr>
            <w:tcW w:w="853" w:type="dxa"/>
            <w:tcBorders>
              <w:top w:val="single" w:color="000000" w:sz="4" w:space="0"/>
              <w:left w:val="single" w:color="000000" w:sz="4" w:space="0"/>
              <w:bottom w:val="single" w:color="000000" w:sz="4" w:space="0"/>
              <w:right w:val="single" w:color="000000" w:sz="4" w:space="0"/>
            </w:tcBorders>
            <w:vAlign w:val="center"/>
          </w:tcPr>
          <w:p w14:paraId="405F7B6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2A0D7D1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62842242">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暂按壁挂安装</w:t>
            </w:r>
          </w:p>
        </w:tc>
      </w:tr>
      <w:tr w14:paraId="3C0AE59C">
        <w:tblPrEx>
          <w:tblCellMar>
            <w:top w:w="0" w:type="dxa"/>
            <w:left w:w="108" w:type="dxa"/>
            <w:bottom w:w="0" w:type="dxa"/>
            <w:right w:w="108" w:type="dxa"/>
          </w:tblCellMar>
        </w:tblPrEx>
        <w:trPr>
          <w:trHeight w:val="94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1AB9978B">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1.6.3</w:t>
            </w:r>
          </w:p>
        </w:tc>
        <w:tc>
          <w:tcPr>
            <w:tcW w:w="1066" w:type="dxa"/>
            <w:tcBorders>
              <w:top w:val="single" w:color="000000" w:sz="4" w:space="0"/>
              <w:left w:val="single" w:color="000000" w:sz="4" w:space="0"/>
              <w:bottom w:val="single" w:color="000000" w:sz="4" w:space="0"/>
              <w:right w:val="single" w:color="000000" w:sz="4" w:space="0"/>
            </w:tcBorders>
            <w:vAlign w:val="center"/>
          </w:tcPr>
          <w:p w14:paraId="5CF777F4">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交换机</w:t>
            </w:r>
          </w:p>
        </w:tc>
        <w:tc>
          <w:tcPr>
            <w:tcW w:w="4014" w:type="dxa"/>
            <w:tcBorders>
              <w:top w:val="single" w:color="000000" w:sz="4" w:space="0"/>
              <w:left w:val="single" w:color="000000" w:sz="4" w:space="0"/>
              <w:bottom w:val="single" w:color="000000" w:sz="4" w:space="0"/>
              <w:right w:val="single" w:color="000000" w:sz="4" w:space="0"/>
            </w:tcBorders>
          </w:tcPr>
          <w:p w14:paraId="1CC1AEEC">
            <w:pPr>
              <w:widowControl/>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交换容量：≥672Gbps</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包转发率：108Mpps</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固定端口:24个10/100/1000Base-T以太网端口，4 个万兆SFP+，支持 1+1 电源备份</w:t>
            </w:r>
          </w:p>
        </w:tc>
        <w:tc>
          <w:tcPr>
            <w:tcW w:w="853" w:type="dxa"/>
            <w:tcBorders>
              <w:top w:val="single" w:color="000000" w:sz="4" w:space="0"/>
              <w:left w:val="single" w:color="000000" w:sz="4" w:space="0"/>
              <w:bottom w:val="single" w:color="000000" w:sz="4" w:space="0"/>
              <w:right w:val="single" w:color="000000" w:sz="4" w:space="0"/>
            </w:tcBorders>
            <w:vAlign w:val="center"/>
          </w:tcPr>
          <w:p w14:paraId="4D60610F">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057867AD">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vAlign w:val="center"/>
          </w:tcPr>
          <w:p w14:paraId="772E088C">
            <w:pPr>
              <w:rPr>
                <w:rFonts w:hint="eastAsia" w:ascii="宋体" w:hAnsi="宋体" w:eastAsia="宋体" w:cs="宋体"/>
                <w:color w:val="000000"/>
                <w:sz w:val="21"/>
                <w:szCs w:val="21"/>
              </w:rPr>
            </w:pPr>
          </w:p>
        </w:tc>
      </w:tr>
      <w:tr w14:paraId="39D7FCF7">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09176A2A">
            <w:pPr>
              <w:widowControl/>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1.7</w:t>
            </w:r>
          </w:p>
        </w:tc>
        <w:tc>
          <w:tcPr>
            <w:tcW w:w="5080" w:type="dxa"/>
            <w:gridSpan w:val="2"/>
            <w:tcBorders>
              <w:top w:val="single" w:color="000000" w:sz="4" w:space="0"/>
              <w:left w:val="single" w:color="000000" w:sz="4" w:space="0"/>
              <w:bottom w:val="single" w:color="000000" w:sz="4" w:space="0"/>
              <w:right w:val="single" w:color="000000" w:sz="4" w:space="0"/>
            </w:tcBorders>
            <w:vAlign w:val="center"/>
          </w:tcPr>
          <w:p w14:paraId="62509496">
            <w:pPr>
              <w:widowControl/>
              <w:jc w:val="left"/>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周边配套设备</w:t>
            </w:r>
          </w:p>
        </w:tc>
        <w:tc>
          <w:tcPr>
            <w:tcW w:w="853" w:type="dxa"/>
            <w:tcBorders>
              <w:top w:val="single" w:color="000000" w:sz="4" w:space="0"/>
              <w:left w:val="single" w:color="000000" w:sz="4" w:space="0"/>
              <w:bottom w:val="single" w:color="000000" w:sz="4" w:space="0"/>
              <w:right w:val="single" w:color="000000" w:sz="4" w:space="0"/>
            </w:tcBorders>
            <w:vAlign w:val="center"/>
          </w:tcPr>
          <w:p w14:paraId="48613BB2">
            <w:pPr>
              <w:jc w:val="center"/>
              <w:rPr>
                <w:rFonts w:hint="eastAsia" w:ascii="宋体" w:hAnsi="宋体" w:eastAsia="宋体" w:cs="宋体"/>
                <w:color w:val="000000"/>
                <w:sz w:val="21"/>
                <w:szCs w:val="21"/>
              </w:rPr>
            </w:pPr>
          </w:p>
        </w:tc>
        <w:tc>
          <w:tcPr>
            <w:tcW w:w="667" w:type="dxa"/>
            <w:tcBorders>
              <w:top w:val="single" w:color="000000" w:sz="4" w:space="0"/>
              <w:left w:val="single" w:color="000000" w:sz="4" w:space="0"/>
              <w:bottom w:val="single" w:color="000000" w:sz="4" w:space="0"/>
              <w:right w:val="single" w:color="000000" w:sz="4" w:space="0"/>
            </w:tcBorders>
            <w:noWrap/>
            <w:vAlign w:val="center"/>
          </w:tcPr>
          <w:p w14:paraId="553C0982">
            <w:pPr>
              <w:jc w:val="center"/>
              <w:rPr>
                <w:rFonts w:hint="eastAsia" w:ascii="宋体" w:hAnsi="宋体" w:eastAsia="宋体" w:cs="宋体"/>
                <w:color w:val="000000"/>
                <w:sz w:val="21"/>
                <w:szCs w:val="21"/>
              </w:rPr>
            </w:pPr>
          </w:p>
        </w:tc>
        <w:tc>
          <w:tcPr>
            <w:tcW w:w="1244" w:type="dxa"/>
            <w:tcBorders>
              <w:top w:val="single" w:color="000000" w:sz="4" w:space="0"/>
              <w:left w:val="single" w:color="000000" w:sz="4" w:space="0"/>
              <w:bottom w:val="single" w:color="000000" w:sz="4" w:space="0"/>
              <w:right w:val="single" w:color="000000" w:sz="4" w:space="0"/>
            </w:tcBorders>
            <w:vAlign w:val="center"/>
          </w:tcPr>
          <w:p w14:paraId="7B45A500">
            <w:pPr>
              <w:rPr>
                <w:rFonts w:hint="eastAsia" w:ascii="宋体" w:hAnsi="宋体" w:eastAsia="宋体" w:cs="宋体"/>
                <w:color w:val="000000"/>
                <w:sz w:val="21"/>
                <w:szCs w:val="21"/>
              </w:rPr>
            </w:pPr>
          </w:p>
        </w:tc>
      </w:tr>
      <w:tr w14:paraId="32B5EF78">
        <w:tblPrEx>
          <w:tblCellMar>
            <w:top w:w="0" w:type="dxa"/>
            <w:left w:w="108" w:type="dxa"/>
            <w:bottom w:w="0" w:type="dxa"/>
            <w:right w:w="108" w:type="dxa"/>
          </w:tblCellMar>
        </w:tblPrEx>
        <w:trPr>
          <w:trHeight w:val="64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2E107542">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1.7.1</w:t>
            </w:r>
          </w:p>
        </w:tc>
        <w:tc>
          <w:tcPr>
            <w:tcW w:w="1066" w:type="dxa"/>
            <w:tcBorders>
              <w:top w:val="single" w:color="000000" w:sz="4" w:space="0"/>
              <w:left w:val="single" w:color="000000" w:sz="4" w:space="0"/>
              <w:bottom w:val="single" w:color="000000" w:sz="4" w:space="0"/>
              <w:right w:val="single" w:color="000000" w:sz="4" w:space="0"/>
            </w:tcBorders>
            <w:vAlign w:val="center"/>
          </w:tcPr>
          <w:p w14:paraId="486F4389">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机柜</w:t>
            </w:r>
          </w:p>
        </w:tc>
        <w:tc>
          <w:tcPr>
            <w:tcW w:w="4014" w:type="dxa"/>
            <w:tcBorders>
              <w:top w:val="single" w:color="000000" w:sz="4" w:space="0"/>
              <w:left w:val="single" w:color="000000" w:sz="4" w:space="0"/>
              <w:bottom w:val="single" w:color="000000" w:sz="4" w:space="0"/>
              <w:right w:val="single" w:color="000000" w:sz="4" w:space="0"/>
            </w:tcBorders>
          </w:tcPr>
          <w:p w14:paraId="6F7EC173">
            <w:pPr>
              <w:widowControl/>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42U机柜，600*600*2055mm；</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8口PDU国标电源插排×1，固定板部件×3,风扇×2,2"重型脚轮×4，M12支脚×4，M6方螺母螺钉×40，内六角扳手×1。</w:t>
            </w:r>
          </w:p>
        </w:tc>
        <w:tc>
          <w:tcPr>
            <w:tcW w:w="853" w:type="dxa"/>
            <w:tcBorders>
              <w:top w:val="single" w:color="000000" w:sz="4" w:space="0"/>
              <w:left w:val="single" w:color="000000" w:sz="4" w:space="0"/>
              <w:bottom w:val="single" w:color="000000" w:sz="4" w:space="0"/>
              <w:right w:val="single" w:color="000000" w:sz="4" w:space="0"/>
            </w:tcBorders>
            <w:vAlign w:val="center"/>
          </w:tcPr>
          <w:p w14:paraId="6CD03B15">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0B777A7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tcPr>
          <w:p w14:paraId="01A1AEA7">
            <w:pPr>
              <w:rPr>
                <w:rFonts w:hint="eastAsia" w:ascii="宋体" w:hAnsi="宋体" w:eastAsia="宋体" w:cs="宋体"/>
                <w:color w:val="000000"/>
                <w:sz w:val="21"/>
                <w:szCs w:val="21"/>
              </w:rPr>
            </w:pPr>
          </w:p>
        </w:tc>
      </w:tr>
      <w:tr w14:paraId="322ECD94">
        <w:tblPrEx>
          <w:tblCellMar>
            <w:top w:w="0" w:type="dxa"/>
            <w:left w:w="108" w:type="dxa"/>
            <w:bottom w:w="0" w:type="dxa"/>
            <w:right w:w="108" w:type="dxa"/>
          </w:tblCellMar>
        </w:tblPrEx>
        <w:trPr>
          <w:trHeight w:val="940"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08B0AE48">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1.7.2</w:t>
            </w:r>
          </w:p>
        </w:tc>
        <w:tc>
          <w:tcPr>
            <w:tcW w:w="1066" w:type="dxa"/>
            <w:tcBorders>
              <w:top w:val="single" w:color="000000" w:sz="4" w:space="0"/>
              <w:left w:val="single" w:color="000000" w:sz="4" w:space="0"/>
              <w:bottom w:val="single" w:color="000000" w:sz="4" w:space="0"/>
              <w:right w:val="single" w:color="000000" w:sz="4" w:space="0"/>
            </w:tcBorders>
            <w:vAlign w:val="center"/>
          </w:tcPr>
          <w:p w14:paraId="7D1ABD68">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交换机</w:t>
            </w:r>
          </w:p>
        </w:tc>
        <w:tc>
          <w:tcPr>
            <w:tcW w:w="4014" w:type="dxa"/>
            <w:tcBorders>
              <w:top w:val="single" w:color="000000" w:sz="4" w:space="0"/>
              <w:left w:val="single" w:color="000000" w:sz="4" w:space="0"/>
              <w:bottom w:val="single" w:color="000000" w:sz="4" w:space="0"/>
              <w:right w:val="single" w:color="000000" w:sz="4" w:space="0"/>
            </w:tcBorders>
          </w:tcPr>
          <w:p w14:paraId="05E13EA6">
            <w:pPr>
              <w:widowControl/>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交换容量：≥672Gbps</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包转发率：108Mpps</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固定端口:24个10/100/1000Base-T以太网端口，4 个万兆SFP+，支持 1+1 电源备份</w:t>
            </w:r>
          </w:p>
        </w:tc>
        <w:tc>
          <w:tcPr>
            <w:tcW w:w="853" w:type="dxa"/>
            <w:tcBorders>
              <w:top w:val="single" w:color="000000" w:sz="4" w:space="0"/>
              <w:left w:val="single" w:color="000000" w:sz="4" w:space="0"/>
              <w:bottom w:val="single" w:color="000000" w:sz="4" w:space="0"/>
              <w:right w:val="single" w:color="000000" w:sz="4" w:space="0"/>
            </w:tcBorders>
            <w:vAlign w:val="center"/>
          </w:tcPr>
          <w:p w14:paraId="2D2D2BEA">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38FA8008">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244" w:type="dxa"/>
            <w:tcBorders>
              <w:top w:val="single" w:color="000000" w:sz="4" w:space="0"/>
              <w:left w:val="single" w:color="000000" w:sz="4" w:space="0"/>
              <w:bottom w:val="single" w:color="000000" w:sz="4" w:space="0"/>
              <w:right w:val="single" w:color="000000" w:sz="4" w:space="0"/>
            </w:tcBorders>
          </w:tcPr>
          <w:p w14:paraId="7D0E8C71">
            <w:pPr>
              <w:rPr>
                <w:rFonts w:hint="eastAsia" w:ascii="宋体" w:hAnsi="宋体" w:eastAsia="宋体" w:cs="宋体"/>
                <w:color w:val="000000"/>
                <w:sz w:val="21"/>
                <w:szCs w:val="21"/>
              </w:rPr>
            </w:pPr>
          </w:p>
        </w:tc>
      </w:tr>
      <w:tr w14:paraId="7F0F59A9">
        <w:tblPrEx>
          <w:tblCellMar>
            <w:top w:w="0" w:type="dxa"/>
            <w:left w:w="108" w:type="dxa"/>
            <w:bottom w:w="0" w:type="dxa"/>
            <w:right w:w="108" w:type="dxa"/>
          </w:tblCellMar>
        </w:tblPrEx>
        <w:trPr>
          <w:trHeight w:val="467"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48916A6D">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1.7.3</w:t>
            </w:r>
          </w:p>
        </w:tc>
        <w:tc>
          <w:tcPr>
            <w:tcW w:w="1066" w:type="dxa"/>
            <w:tcBorders>
              <w:top w:val="single" w:color="000000" w:sz="4" w:space="0"/>
              <w:left w:val="single" w:color="000000" w:sz="4" w:space="0"/>
              <w:bottom w:val="single" w:color="000000" w:sz="4" w:space="0"/>
              <w:right w:val="single" w:color="000000" w:sz="4" w:space="0"/>
            </w:tcBorders>
            <w:vAlign w:val="center"/>
          </w:tcPr>
          <w:p w14:paraId="0DACB244">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电源管理器</w:t>
            </w:r>
          </w:p>
        </w:tc>
        <w:tc>
          <w:tcPr>
            <w:tcW w:w="4014" w:type="dxa"/>
            <w:tcBorders>
              <w:top w:val="single" w:color="000000" w:sz="4" w:space="0"/>
              <w:left w:val="single" w:color="000000" w:sz="4" w:space="0"/>
              <w:bottom w:val="single" w:color="000000" w:sz="4" w:space="0"/>
              <w:right w:val="single" w:color="000000" w:sz="4" w:space="0"/>
            </w:tcBorders>
            <w:vAlign w:val="center"/>
          </w:tcPr>
          <w:p w14:paraId="353F85F0">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1.支持10路设备接入（2路直通电源，8路可受软件控制）；</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2.支持RS232、RS485、LAN等控制方式；</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3.支持从USB接口进行固件升级;</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4.支持最大AC30A240V设备接入；</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5.支持LED屏幕实时现示设备状态；</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61021A9B">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28C3A505">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749E7C31">
            <w:pPr>
              <w:rPr>
                <w:rFonts w:hint="eastAsia" w:ascii="宋体" w:hAnsi="宋体" w:eastAsia="宋体" w:cs="宋体"/>
                <w:color w:val="000000"/>
                <w:sz w:val="21"/>
                <w:szCs w:val="21"/>
              </w:rPr>
            </w:pPr>
          </w:p>
        </w:tc>
      </w:tr>
      <w:tr w14:paraId="6ADDE60D">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0AEF9DF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1.5.4</w:t>
            </w:r>
          </w:p>
        </w:tc>
        <w:tc>
          <w:tcPr>
            <w:tcW w:w="1066" w:type="dxa"/>
            <w:tcBorders>
              <w:top w:val="single" w:color="000000" w:sz="4" w:space="0"/>
              <w:left w:val="single" w:color="000000" w:sz="4" w:space="0"/>
              <w:bottom w:val="single" w:color="000000" w:sz="4" w:space="0"/>
              <w:right w:val="single" w:color="000000" w:sz="4" w:space="0"/>
            </w:tcBorders>
            <w:noWrap/>
            <w:vAlign w:val="center"/>
          </w:tcPr>
          <w:p w14:paraId="258B99B2">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路由器</w:t>
            </w:r>
          </w:p>
        </w:tc>
        <w:tc>
          <w:tcPr>
            <w:tcW w:w="4014" w:type="dxa"/>
            <w:tcBorders>
              <w:top w:val="single" w:color="000000" w:sz="4" w:space="0"/>
              <w:left w:val="single" w:color="000000" w:sz="4" w:space="0"/>
              <w:bottom w:val="single" w:color="000000" w:sz="4" w:space="0"/>
              <w:right w:val="single" w:color="000000" w:sz="4" w:space="0"/>
            </w:tcBorders>
          </w:tcPr>
          <w:p w14:paraId="77940565">
            <w:pPr>
              <w:widowControl/>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1500M高速双频wifi  5G双频智能千兆无线路由，支持2x2 MIMO</w:t>
            </w:r>
          </w:p>
        </w:tc>
        <w:tc>
          <w:tcPr>
            <w:tcW w:w="853" w:type="dxa"/>
            <w:tcBorders>
              <w:top w:val="single" w:color="000000" w:sz="4" w:space="0"/>
              <w:left w:val="single" w:color="000000" w:sz="4" w:space="0"/>
              <w:bottom w:val="single" w:color="000000" w:sz="4" w:space="0"/>
              <w:right w:val="single" w:color="000000" w:sz="4" w:space="0"/>
            </w:tcBorders>
            <w:vAlign w:val="center"/>
          </w:tcPr>
          <w:p w14:paraId="049FFBB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08875C7E">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1244" w:type="dxa"/>
            <w:tcBorders>
              <w:top w:val="single" w:color="000000" w:sz="4" w:space="0"/>
              <w:left w:val="single" w:color="000000" w:sz="4" w:space="0"/>
              <w:bottom w:val="single" w:color="000000" w:sz="4" w:space="0"/>
              <w:right w:val="single" w:color="000000" w:sz="4" w:space="0"/>
            </w:tcBorders>
            <w:vAlign w:val="center"/>
          </w:tcPr>
          <w:p w14:paraId="4BF4012D">
            <w:pPr>
              <w:rPr>
                <w:rFonts w:hint="eastAsia" w:ascii="宋体" w:hAnsi="宋体" w:eastAsia="宋体" w:cs="宋体"/>
                <w:color w:val="000000"/>
                <w:sz w:val="21"/>
                <w:szCs w:val="21"/>
              </w:rPr>
            </w:pPr>
          </w:p>
        </w:tc>
      </w:tr>
      <w:tr w14:paraId="31094849">
        <w:tblPrEx>
          <w:tblCellMar>
            <w:top w:w="0" w:type="dxa"/>
            <w:left w:w="108" w:type="dxa"/>
            <w:bottom w:w="0" w:type="dxa"/>
            <w:right w:w="108" w:type="dxa"/>
          </w:tblCellMar>
        </w:tblPrEx>
        <w:trPr>
          <w:trHeight w:val="336" w:hRule="atLeast"/>
        </w:trPr>
        <w:tc>
          <w:tcPr>
            <w:tcW w:w="845" w:type="dxa"/>
            <w:tcBorders>
              <w:top w:val="single" w:color="000000" w:sz="4" w:space="0"/>
              <w:left w:val="single" w:color="000000" w:sz="4" w:space="0"/>
              <w:bottom w:val="single" w:color="000000" w:sz="4" w:space="0"/>
              <w:right w:val="single" w:color="000000" w:sz="4" w:space="0"/>
            </w:tcBorders>
            <w:noWrap/>
            <w:vAlign w:val="center"/>
          </w:tcPr>
          <w:p w14:paraId="5DCF5E3B">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1.7.5</w:t>
            </w:r>
          </w:p>
        </w:tc>
        <w:tc>
          <w:tcPr>
            <w:tcW w:w="1066" w:type="dxa"/>
            <w:tcBorders>
              <w:top w:val="single" w:color="000000" w:sz="4" w:space="0"/>
              <w:left w:val="single" w:color="000000" w:sz="4" w:space="0"/>
              <w:bottom w:val="single" w:color="000000" w:sz="4" w:space="0"/>
              <w:right w:val="single" w:color="000000" w:sz="4" w:space="0"/>
            </w:tcBorders>
            <w:vAlign w:val="center"/>
          </w:tcPr>
          <w:p w14:paraId="775EF1A5">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电脑</w:t>
            </w:r>
          </w:p>
        </w:tc>
        <w:tc>
          <w:tcPr>
            <w:tcW w:w="4014" w:type="dxa"/>
            <w:tcBorders>
              <w:top w:val="single" w:color="000000" w:sz="4" w:space="0"/>
              <w:left w:val="single" w:color="000000" w:sz="4" w:space="0"/>
              <w:bottom w:val="single" w:color="000000" w:sz="4" w:space="0"/>
              <w:right w:val="single" w:color="000000" w:sz="4" w:space="0"/>
            </w:tcBorders>
            <w:noWrap/>
            <w:vAlign w:val="center"/>
          </w:tcPr>
          <w:p w14:paraId="10693C95">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13代i7-13700台式机电脑主机全套升级款HT11C整机+23.8英寸高清显示器32G内存2T+512G固态4G独显</w:t>
            </w:r>
          </w:p>
        </w:tc>
        <w:tc>
          <w:tcPr>
            <w:tcW w:w="853" w:type="dxa"/>
            <w:tcBorders>
              <w:top w:val="single" w:color="000000" w:sz="4" w:space="0"/>
              <w:left w:val="single" w:color="000000" w:sz="4" w:space="0"/>
              <w:bottom w:val="single" w:color="000000" w:sz="4" w:space="0"/>
              <w:right w:val="single" w:color="000000" w:sz="4" w:space="0"/>
            </w:tcBorders>
            <w:noWrap/>
            <w:vAlign w:val="center"/>
          </w:tcPr>
          <w:p w14:paraId="3045DA8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台</w:t>
            </w:r>
          </w:p>
        </w:tc>
        <w:tc>
          <w:tcPr>
            <w:tcW w:w="667" w:type="dxa"/>
            <w:tcBorders>
              <w:top w:val="single" w:color="000000" w:sz="4" w:space="0"/>
              <w:left w:val="single" w:color="000000" w:sz="4" w:space="0"/>
              <w:bottom w:val="single" w:color="000000" w:sz="4" w:space="0"/>
              <w:right w:val="single" w:color="000000" w:sz="4" w:space="0"/>
            </w:tcBorders>
            <w:vAlign w:val="center"/>
          </w:tcPr>
          <w:p w14:paraId="02DC271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1244" w:type="dxa"/>
            <w:tcBorders>
              <w:top w:val="single" w:color="000000" w:sz="4" w:space="0"/>
              <w:left w:val="single" w:color="000000" w:sz="4" w:space="0"/>
              <w:bottom w:val="single" w:color="000000" w:sz="4" w:space="0"/>
              <w:right w:val="single" w:color="000000" w:sz="4" w:space="0"/>
            </w:tcBorders>
            <w:noWrap/>
            <w:vAlign w:val="center"/>
          </w:tcPr>
          <w:p w14:paraId="52D42E83">
            <w:pPr>
              <w:rPr>
                <w:rFonts w:hint="eastAsia" w:ascii="宋体" w:hAnsi="宋体" w:eastAsia="宋体" w:cs="宋体"/>
                <w:color w:val="000000"/>
                <w:sz w:val="21"/>
                <w:szCs w:val="21"/>
              </w:rPr>
            </w:pPr>
          </w:p>
        </w:tc>
      </w:tr>
    </w:tbl>
    <w:p w14:paraId="4C26EA31">
      <w:pPr>
        <w:pStyle w:val="61"/>
        <w:ind w:firstLine="0" w:firstLineChars="0"/>
        <w:rPr>
          <w:rFonts w:hint="eastAsia"/>
          <w:sz w:val="24"/>
          <w:szCs w:val="24"/>
        </w:rPr>
      </w:pPr>
    </w:p>
    <w:p w14:paraId="0BF33332">
      <w:pPr>
        <w:pStyle w:val="5"/>
      </w:pPr>
      <w:r>
        <w:rPr>
          <w:rFonts w:hint="eastAsia"/>
        </w:rPr>
        <w:t>软件系统具体内容</w:t>
      </w:r>
    </w:p>
    <w:p w14:paraId="0BFFAD08">
      <w:pPr>
        <w:ind w:firstLine="480" w:firstLineChars="200"/>
      </w:pPr>
      <w:r>
        <w:rPr>
          <w:rFonts w:hint="eastAsia"/>
        </w:rPr>
        <w:t>建成统一的TOCC服务平台即综合交通运行监测与预警系统、综合交通辅助决策支持系统，为加强榆林市全域路网运行状态监测能力，精准分析科学研判全市交通运输运行状况，为交通行业科学决策提供支撑。</w:t>
      </w:r>
    </w:p>
    <w:p w14:paraId="6A9DB14B">
      <w:pPr>
        <w:ind w:firstLine="480" w:firstLineChars="200"/>
      </w:pPr>
      <w:r>
        <w:rPr>
          <w:rFonts w:hint="eastAsia"/>
        </w:rPr>
        <w:t>构建榆林市交通局一体化应用支撑系统是整个系统不可缺少的基础平台，为应用系统提供交通数据中台基础支撑，利用市建综合交通GIS平台，自建指标体系、可视化平台、视频融合平台，对榆林市综合交通数据进行体系化的整合服务，构建数据接口服务以打通下辖8家单位2家公司的视频数据、业务数据的往来服务。软件系统详细内容如下：</w:t>
      </w:r>
    </w:p>
    <w:p w14:paraId="3EA77C96">
      <w:pPr>
        <w:pStyle w:val="9"/>
      </w:pPr>
      <w:r>
        <w:rPr>
          <w:rFonts w:hint="eastAsia"/>
        </w:rPr>
        <w:t>表1-2 本次建设内容（软件）</w:t>
      </w:r>
    </w:p>
    <w:tbl>
      <w:tblPr>
        <w:tblStyle w:val="21"/>
        <w:tblW w:w="0" w:type="auto"/>
        <w:jc w:val="center"/>
        <w:tblLayout w:type="autofit"/>
        <w:tblCellMar>
          <w:top w:w="32" w:type="dxa"/>
          <w:left w:w="64" w:type="dxa"/>
          <w:bottom w:w="32" w:type="dxa"/>
          <w:right w:w="64" w:type="dxa"/>
        </w:tblCellMar>
      </w:tblPr>
      <w:tblGrid>
        <w:gridCol w:w="550"/>
        <w:gridCol w:w="1189"/>
        <w:gridCol w:w="824"/>
        <w:gridCol w:w="951"/>
        <w:gridCol w:w="4586"/>
        <w:gridCol w:w="550"/>
        <w:gridCol w:w="550"/>
      </w:tblGrid>
      <w:tr w14:paraId="2612CE27">
        <w:tblPrEx>
          <w:tblCellMar>
            <w:top w:w="32" w:type="dxa"/>
            <w:left w:w="64" w:type="dxa"/>
            <w:bottom w:w="32" w:type="dxa"/>
            <w:right w:w="64" w:type="dxa"/>
          </w:tblCellMar>
        </w:tblPrEx>
        <w:trPr>
          <w:tblHeade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A636760">
            <w:pPr>
              <w:widowControl/>
              <w:snapToGrid w:val="0"/>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序号</w:t>
            </w:r>
          </w:p>
        </w:tc>
        <w:tc>
          <w:tcPr>
            <w:tcW w:w="0" w:type="auto"/>
            <w:tcBorders>
              <w:top w:val="single" w:color="000000" w:sz="4" w:space="0"/>
              <w:left w:val="single" w:color="000000" w:sz="4" w:space="0"/>
              <w:bottom w:val="single" w:color="000000" w:sz="4" w:space="0"/>
              <w:right w:val="single" w:color="000000" w:sz="4" w:space="0"/>
            </w:tcBorders>
            <w:vAlign w:val="center"/>
          </w:tcPr>
          <w:p w14:paraId="1281A266">
            <w:pPr>
              <w:widowControl/>
              <w:snapToGrid w:val="0"/>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系统名称</w:t>
            </w:r>
          </w:p>
        </w:tc>
        <w:tc>
          <w:tcPr>
            <w:tcW w:w="824" w:type="dxa"/>
            <w:tcBorders>
              <w:top w:val="single" w:color="000000" w:sz="4" w:space="0"/>
              <w:left w:val="single" w:color="000000" w:sz="4" w:space="0"/>
              <w:bottom w:val="single" w:color="000000" w:sz="4" w:space="0"/>
              <w:right w:val="single" w:color="000000" w:sz="4" w:space="0"/>
            </w:tcBorders>
            <w:vAlign w:val="center"/>
          </w:tcPr>
          <w:p w14:paraId="123FD256">
            <w:pPr>
              <w:widowControl/>
              <w:snapToGrid w:val="0"/>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一级功能模块</w:t>
            </w:r>
          </w:p>
        </w:tc>
        <w:tc>
          <w:tcPr>
            <w:tcW w:w="951" w:type="dxa"/>
            <w:tcBorders>
              <w:top w:val="single" w:color="000000" w:sz="4" w:space="0"/>
              <w:left w:val="single" w:color="000000" w:sz="4" w:space="0"/>
              <w:bottom w:val="single" w:color="000000" w:sz="4" w:space="0"/>
              <w:right w:val="single" w:color="000000" w:sz="4" w:space="0"/>
            </w:tcBorders>
            <w:vAlign w:val="center"/>
          </w:tcPr>
          <w:p w14:paraId="3574F852">
            <w:pPr>
              <w:widowControl/>
              <w:snapToGrid w:val="0"/>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二级功能模块</w:t>
            </w:r>
          </w:p>
        </w:tc>
        <w:tc>
          <w:tcPr>
            <w:tcW w:w="4586" w:type="dxa"/>
            <w:tcBorders>
              <w:top w:val="single" w:color="000000" w:sz="4" w:space="0"/>
              <w:left w:val="single" w:color="000000" w:sz="4" w:space="0"/>
              <w:bottom w:val="single" w:color="000000" w:sz="4" w:space="0"/>
              <w:right w:val="single" w:color="000000" w:sz="4" w:space="0"/>
            </w:tcBorders>
            <w:vAlign w:val="center"/>
          </w:tcPr>
          <w:p w14:paraId="63673BC7">
            <w:pPr>
              <w:widowControl/>
              <w:snapToGrid w:val="0"/>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功能描述</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A6D20E8">
            <w:pPr>
              <w:widowControl/>
              <w:snapToGrid w:val="0"/>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单位</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7940F11">
            <w:pPr>
              <w:widowControl/>
              <w:snapToGrid w:val="0"/>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数量</w:t>
            </w:r>
          </w:p>
        </w:tc>
      </w:tr>
      <w:tr w14:paraId="6F64D779">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A7B72E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14:paraId="2CF2EADF">
            <w:pPr>
              <w:widowControl/>
              <w:snapToGrid w:val="0"/>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综合交通运行监测与预警系统</w:t>
            </w:r>
          </w:p>
        </w:tc>
        <w:tc>
          <w:tcPr>
            <w:tcW w:w="824" w:type="dxa"/>
            <w:vMerge w:val="restart"/>
            <w:tcBorders>
              <w:top w:val="single" w:color="000000" w:sz="4" w:space="0"/>
              <w:left w:val="single" w:color="000000" w:sz="4" w:space="0"/>
              <w:bottom w:val="single" w:color="000000" w:sz="4" w:space="0"/>
              <w:right w:val="single" w:color="000000" w:sz="4" w:space="0"/>
            </w:tcBorders>
            <w:vAlign w:val="center"/>
          </w:tcPr>
          <w:p w14:paraId="7E292B4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综合监测首页</w:t>
            </w:r>
          </w:p>
        </w:tc>
        <w:tc>
          <w:tcPr>
            <w:tcW w:w="951" w:type="dxa"/>
            <w:tcBorders>
              <w:top w:val="single" w:color="000000" w:sz="4" w:space="0"/>
              <w:left w:val="single" w:color="000000" w:sz="4" w:space="0"/>
              <w:bottom w:val="single" w:color="000000" w:sz="4" w:space="0"/>
              <w:right w:val="single" w:color="000000" w:sz="4" w:space="0"/>
            </w:tcBorders>
            <w:vAlign w:val="center"/>
          </w:tcPr>
          <w:p w14:paraId="0C6E1A7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行业关键指标监测</w:t>
            </w:r>
          </w:p>
        </w:tc>
        <w:tc>
          <w:tcPr>
            <w:tcW w:w="4586" w:type="dxa"/>
            <w:tcBorders>
              <w:top w:val="single" w:color="000000" w:sz="4" w:space="0"/>
              <w:left w:val="single" w:color="000000" w:sz="4" w:space="0"/>
              <w:bottom w:val="single" w:color="000000" w:sz="4" w:space="0"/>
              <w:right w:val="single" w:color="000000" w:sz="4" w:space="0"/>
            </w:tcBorders>
            <w:vAlign w:val="center"/>
          </w:tcPr>
          <w:p w14:paraId="76F9E86C">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针对交通运输各行业关键指标进行概览展示，便于了解每日交通运行概况。</w:t>
            </w:r>
          </w:p>
        </w:tc>
        <w:tc>
          <w:tcPr>
            <w:tcW w:w="0" w:type="auto"/>
            <w:tcBorders>
              <w:top w:val="single" w:color="000000" w:sz="4" w:space="0"/>
              <w:left w:val="single" w:color="000000" w:sz="4" w:space="0"/>
              <w:bottom w:val="single" w:color="000000" w:sz="4" w:space="0"/>
              <w:right w:val="single" w:color="000000" w:sz="4" w:space="0"/>
            </w:tcBorders>
            <w:vAlign w:val="center"/>
          </w:tcPr>
          <w:p w14:paraId="6C5662F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92018D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642D785E">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AAB3D1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6533FD8">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22C52CEB">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0158F8FC">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交通地图监测</w:t>
            </w:r>
          </w:p>
        </w:tc>
        <w:tc>
          <w:tcPr>
            <w:tcW w:w="4586" w:type="dxa"/>
            <w:tcBorders>
              <w:top w:val="single" w:color="000000" w:sz="4" w:space="0"/>
              <w:left w:val="single" w:color="000000" w:sz="4" w:space="0"/>
              <w:bottom w:val="single" w:color="000000" w:sz="4" w:space="0"/>
              <w:right w:val="single" w:color="000000" w:sz="4" w:space="0"/>
            </w:tcBorders>
            <w:vAlign w:val="center"/>
          </w:tcPr>
          <w:p w14:paraId="4D548535">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集成运行监测系统中公交、巡游出租车、道路客运车辆、货运车辆等在一张图中展示，并融合执法车、执法记录仪、视频等执法资源，构建交通一张图。</w:t>
            </w:r>
          </w:p>
        </w:tc>
        <w:tc>
          <w:tcPr>
            <w:tcW w:w="0" w:type="auto"/>
            <w:tcBorders>
              <w:top w:val="single" w:color="000000" w:sz="4" w:space="0"/>
              <w:left w:val="single" w:color="000000" w:sz="4" w:space="0"/>
              <w:bottom w:val="single" w:color="000000" w:sz="4" w:space="0"/>
              <w:right w:val="single" w:color="000000" w:sz="4" w:space="0"/>
            </w:tcBorders>
            <w:vAlign w:val="center"/>
          </w:tcPr>
          <w:p w14:paraId="3E871BC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042225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7026C98A">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F6F908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60877D7">
            <w:pPr>
              <w:widowControl/>
              <w:snapToGrid w:val="0"/>
              <w:spacing w:line="240" w:lineRule="auto"/>
              <w:jc w:val="center"/>
              <w:rPr>
                <w:rFonts w:hint="eastAsia" w:ascii="宋体" w:hAnsi="宋体" w:eastAsia="宋体" w:cs="宋体"/>
                <w:b/>
                <w:bCs/>
                <w:color w:val="000000"/>
                <w:sz w:val="21"/>
                <w:szCs w:val="21"/>
              </w:rPr>
            </w:pPr>
          </w:p>
        </w:tc>
        <w:tc>
          <w:tcPr>
            <w:tcW w:w="824" w:type="dxa"/>
            <w:vMerge w:val="restart"/>
            <w:tcBorders>
              <w:top w:val="single" w:color="000000" w:sz="4" w:space="0"/>
              <w:left w:val="single" w:color="000000" w:sz="4" w:space="0"/>
              <w:bottom w:val="single" w:color="000000" w:sz="4" w:space="0"/>
              <w:right w:val="single" w:color="000000" w:sz="4" w:space="0"/>
            </w:tcBorders>
            <w:vAlign w:val="center"/>
          </w:tcPr>
          <w:p w14:paraId="7DEA430D">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路网监测</w:t>
            </w:r>
          </w:p>
        </w:tc>
        <w:tc>
          <w:tcPr>
            <w:tcW w:w="951" w:type="dxa"/>
            <w:tcBorders>
              <w:top w:val="single" w:color="000000" w:sz="4" w:space="0"/>
              <w:left w:val="single" w:color="000000" w:sz="4" w:space="0"/>
              <w:bottom w:val="single" w:color="000000" w:sz="4" w:space="0"/>
              <w:right w:val="single" w:color="000000" w:sz="4" w:space="0"/>
            </w:tcBorders>
            <w:vAlign w:val="center"/>
          </w:tcPr>
          <w:p w14:paraId="1F1B42A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高速公路</w:t>
            </w:r>
          </w:p>
        </w:tc>
        <w:tc>
          <w:tcPr>
            <w:tcW w:w="4586" w:type="dxa"/>
            <w:tcBorders>
              <w:top w:val="single" w:color="000000" w:sz="4" w:space="0"/>
              <w:left w:val="single" w:color="000000" w:sz="4" w:space="0"/>
              <w:bottom w:val="single" w:color="000000" w:sz="4" w:space="0"/>
              <w:right w:val="single" w:color="000000" w:sz="4" w:space="0"/>
            </w:tcBorders>
            <w:vAlign w:val="center"/>
          </w:tcPr>
          <w:p w14:paraId="73D90776">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基于公路基础信息、检测器数据、服务区数据、视频数据等，实现公路基础设施、实时路况、交通量、交通事件、视频等一体化监测。</w:t>
            </w:r>
          </w:p>
        </w:tc>
        <w:tc>
          <w:tcPr>
            <w:tcW w:w="0" w:type="auto"/>
            <w:tcBorders>
              <w:top w:val="single" w:color="000000" w:sz="4" w:space="0"/>
              <w:left w:val="single" w:color="000000" w:sz="4" w:space="0"/>
              <w:bottom w:val="single" w:color="000000" w:sz="4" w:space="0"/>
              <w:right w:val="single" w:color="000000" w:sz="4" w:space="0"/>
            </w:tcBorders>
            <w:vAlign w:val="center"/>
          </w:tcPr>
          <w:p w14:paraId="6800314D">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6A70457D">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6CDEDD9B">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B0E9A0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A3727B4">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50FAEA39">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44F871A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国省干线</w:t>
            </w:r>
          </w:p>
        </w:tc>
        <w:tc>
          <w:tcPr>
            <w:tcW w:w="4586" w:type="dxa"/>
            <w:tcBorders>
              <w:top w:val="single" w:color="000000" w:sz="4" w:space="0"/>
              <w:left w:val="single" w:color="000000" w:sz="4" w:space="0"/>
              <w:bottom w:val="single" w:color="000000" w:sz="4" w:space="0"/>
              <w:right w:val="single" w:color="000000" w:sz="4" w:space="0"/>
            </w:tcBorders>
            <w:vAlign w:val="center"/>
          </w:tcPr>
          <w:p w14:paraId="0A2C4765">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基于国省干线基础信息、检测器流量信息、视频数据等信息资源，实现国省干线基础设施（大桥、危桥、隧道、摄像头等）分布监测、实时路况监测、交通量监测、公路养护监测、路况评定监测等，并可调阅已接入的视频图像。</w:t>
            </w:r>
          </w:p>
        </w:tc>
        <w:tc>
          <w:tcPr>
            <w:tcW w:w="0" w:type="auto"/>
            <w:tcBorders>
              <w:top w:val="single" w:color="000000" w:sz="4" w:space="0"/>
              <w:left w:val="single" w:color="000000" w:sz="4" w:space="0"/>
              <w:bottom w:val="single" w:color="000000" w:sz="4" w:space="0"/>
              <w:right w:val="single" w:color="000000" w:sz="4" w:space="0"/>
            </w:tcBorders>
            <w:vAlign w:val="center"/>
          </w:tcPr>
          <w:p w14:paraId="5FBBA49D">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3CA6FA5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2A7FB511">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CE862C5">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A21E2ED">
            <w:pPr>
              <w:widowControl/>
              <w:snapToGrid w:val="0"/>
              <w:spacing w:line="240" w:lineRule="auto"/>
              <w:jc w:val="center"/>
              <w:rPr>
                <w:rFonts w:hint="eastAsia" w:ascii="宋体" w:hAnsi="宋体" w:eastAsia="宋体" w:cs="宋体"/>
                <w:b/>
                <w:bCs/>
                <w:color w:val="000000"/>
                <w:sz w:val="21"/>
                <w:szCs w:val="21"/>
              </w:rPr>
            </w:pPr>
          </w:p>
        </w:tc>
        <w:tc>
          <w:tcPr>
            <w:tcW w:w="824" w:type="dxa"/>
            <w:vMerge w:val="restart"/>
            <w:tcBorders>
              <w:top w:val="single" w:color="000000" w:sz="4" w:space="0"/>
              <w:left w:val="single" w:color="000000" w:sz="4" w:space="0"/>
              <w:bottom w:val="single" w:color="000000" w:sz="4" w:space="0"/>
              <w:right w:val="single" w:color="000000" w:sz="4" w:space="0"/>
            </w:tcBorders>
            <w:vAlign w:val="center"/>
          </w:tcPr>
          <w:p w14:paraId="410B8340">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市内交通</w:t>
            </w:r>
          </w:p>
        </w:tc>
        <w:tc>
          <w:tcPr>
            <w:tcW w:w="951" w:type="dxa"/>
            <w:tcBorders>
              <w:top w:val="single" w:color="000000" w:sz="4" w:space="0"/>
              <w:left w:val="single" w:color="000000" w:sz="4" w:space="0"/>
              <w:bottom w:val="single" w:color="000000" w:sz="4" w:space="0"/>
              <w:right w:val="single" w:color="000000" w:sz="4" w:space="0"/>
            </w:tcBorders>
            <w:vAlign w:val="center"/>
          </w:tcPr>
          <w:p w14:paraId="71B7105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地面公交</w:t>
            </w:r>
          </w:p>
        </w:tc>
        <w:tc>
          <w:tcPr>
            <w:tcW w:w="4586" w:type="dxa"/>
            <w:tcBorders>
              <w:top w:val="single" w:color="000000" w:sz="4" w:space="0"/>
              <w:left w:val="single" w:color="000000" w:sz="4" w:space="0"/>
              <w:bottom w:val="single" w:color="000000" w:sz="4" w:space="0"/>
              <w:right w:val="single" w:color="000000" w:sz="4" w:space="0"/>
            </w:tcBorders>
            <w:vAlign w:val="center"/>
          </w:tcPr>
          <w:p w14:paraId="16FA5DCE">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地面公交：基于公交基础数据、公交GPS数据、卡码数据、实时客流检测数据、公交调度数据等，实现地面公交总体监测、地面公交基础设施“一张图”、全线网公交运行监测、公交运送速度监测与预警、地面公交客流监测与预警、地面公交运力监测、地面公交服务水平监测、驾驶员驾驶行为监测和视频监控等。</w:t>
            </w:r>
          </w:p>
        </w:tc>
        <w:tc>
          <w:tcPr>
            <w:tcW w:w="0" w:type="auto"/>
            <w:tcBorders>
              <w:top w:val="single" w:color="000000" w:sz="4" w:space="0"/>
              <w:left w:val="single" w:color="000000" w:sz="4" w:space="0"/>
              <w:bottom w:val="single" w:color="000000" w:sz="4" w:space="0"/>
              <w:right w:val="single" w:color="000000" w:sz="4" w:space="0"/>
            </w:tcBorders>
            <w:vAlign w:val="center"/>
          </w:tcPr>
          <w:p w14:paraId="1DED61E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36D1D25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4A72CE09">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052160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823137B">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24AF3DD6">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71E40F0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巡游出租车运行监测</w:t>
            </w:r>
          </w:p>
        </w:tc>
        <w:tc>
          <w:tcPr>
            <w:tcW w:w="4586" w:type="dxa"/>
            <w:tcBorders>
              <w:top w:val="single" w:color="000000" w:sz="4" w:space="0"/>
              <w:left w:val="single" w:color="000000" w:sz="4" w:space="0"/>
              <w:bottom w:val="single" w:color="000000" w:sz="4" w:space="0"/>
              <w:right w:val="single" w:color="000000" w:sz="4" w:space="0"/>
            </w:tcBorders>
            <w:vAlign w:val="center"/>
          </w:tcPr>
          <w:p w14:paraId="5521B35F">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基于巡游出租车的车辆数据、GPS数据、计价器数据、车载视频数据等，实现巡游出租车总体监测、运行动态监测、重点区域监测、异常聚集监测、运营监测、出行热度监测和打车难区域监测、视频监控等，并能基于时空特性对出租车进行历史轨迹回放，在线调阅出租车视频。</w:t>
            </w:r>
          </w:p>
        </w:tc>
        <w:tc>
          <w:tcPr>
            <w:tcW w:w="0" w:type="auto"/>
            <w:tcBorders>
              <w:top w:val="single" w:color="000000" w:sz="4" w:space="0"/>
              <w:left w:val="single" w:color="000000" w:sz="4" w:space="0"/>
              <w:bottom w:val="single" w:color="000000" w:sz="4" w:space="0"/>
              <w:right w:val="single" w:color="000000" w:sz="4" w:space="0"/>
            </w:tcBorders>
            <w:vAlign w:val="center"/>
          </w:tcPr>
          <w:p w14:paraId="08EB1AF5">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3E75DB8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1C35514B">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15717D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753B8F5D">
            <w:pPr>
              <w:widowControl/>
              <w:snapToGrid w:val="0"/>
              <w:spacing w:line="240" w:lineRule="auto"/>
              <w:jc w:val="center"/>
              <w:rPr>
                <w:rFonts w:hint="eastAsia" w:ascii="宋体" w:hAnsi="宋体" w:eastAsia="宋体" w:cs="宋体"/>
                <w:b/>
                <w:bCs/>
                <w:color w:val="000000"/>
                <w:sz w:val="21"/>
                <w:szCs w:val="21"/>
              </w:rPr>
            </w:pPr>
          </w:p>
        </w:tc>
        <w:tc>
          <w:tcPr>
            <w:tcW w:w="824" w:type="dxa"/>
            <w:tcBorders>
              <w:top w:val="single" w:color="000000" w:sz="4" w:space="0"/>
              <w:left w:val="single" w:color="000000" w:sz="4" w:space="0"/>
              <w:bottom w:val="single" w:color="000000" w:sz="4" w:space="0"/>
              <w:right w:val="single" w:color="000000" w:sz="4" w:space="0"/>
            </w:tcBorders>
            <w:vAlign w:val="center"/>
          </w:tcPr>
          <w:p w14:paraId="08F7DC5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城际交通</w:t>
            </w:r>
          </w:p>
        </w:tc>
        <w:tc>
          <w:tcPr>
            <w:tcW w:w="951" w:type="dxa"/>
            <w:tcBorders>
              <w:top w:val="single" w:color="000000" w:sz="4" w:space="0"/>
              <w:left w:val="single" w:color="000000" w:sz="4" w:space="0"/>
              <w:bottom w:val="single" w:color="000000" w:sz="4" w:space="0"/>
              <w:right w:val="single" w:color="000000" w:sz="4" w:space="0"/>
            </w:tcBorders>
            <w:vAlign w:val="center"/>
          </w:tcPr>
          <w:p w14:paraId="27CC013E">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道路客运监测</w:t>
            </w:r>
          </w:p>
        </w:tc>
        <w:tc>
          <w:tcPr>
            <w:tcW w:w="4586" w:type="dxa"/>
            <w:tcBorders>
              <w:top w:val="single" w:color="000000" w:sz="4" w:space="0"/>
              <w:left w:val="single" w:color="000000" w:sz="4" w:space="0"/>
              <w:bottom w:val="single" w:color="000000" w:sz="4" w:space="0"/>
              <w:right w:val="single" w:color="000000" w:sz="4" w:space="0"/>
            </w:tcBorders>
            <w:vAlign w:val="center"/>
          </w:tcPr>
          <w:p w14:paraId="58587DFD">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基于道路客运基础信息、联网售票数据、客运量统计数据等，实现客运场站、客运班次的监测，掌握客运场站的发车和到站班次、客运量及其变化趋势。同时，还能对定制客运线路、客运量进行监测，掌握定制客运对班线客运的市场影响。包括：道路客运总体监测、客运场站监测、班线客运监测、定制客运监测、客运车辆监管、服务质量监管和预警信息等功能。</w:t>
            </w:r>
          </w:p>
        </w:tc>
        <w:tc>
          <w:tcPr>
            <w:tcW w:w="0" w:type="auto"/>
            <w:tcBorders>
              <w:top w:val="single" w:color="000000" w:sz="4" w:space="0"/>
              <w:left w:val="single" w:color="000000" w:sz="4" w:space="0"/>
              <w:bottom w:val="single" w:color="000000" w:sz="4" w:space="0"/>
              <w:right w:val="single" w:color="000000" w:sz="4" w:space="0"/>
            </w:tcBorders>
            <w:vAlign w:val="center"/>
          </w:tcPr>
          <w:p w14:paraId="55E6444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7DD62AC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4D3195CE">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47C7B1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8</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768B212E">
            <w:pPr>
              <w:widowControl/>
              <w:snapToGrid w:val="0"/>
              <w:spacing w:line="240" w:lineRule="auto"/>
              <w:jc w:val="center"/>
              <w:rPr>
                <w:rFonts w:hint="eastAsia" w:ascii="宋体" w:hAnsi="宋体" w:eastAsia="宋体" w:cs="宋体"/>
                <w:b/>
                <w:bCs/>
                <w:color w:val="000000"/>
                <w:sz w:val="21"/>
                <w:szCs w:val="21"/>
              </w:rPr>
            </w:pPr>
          </w:p>
        </w:tc>
        <w:tc>
          <w:tcPr>
            <w:tcW w:w="824" w:type="dxa"/>
            <w:tcBorders>
              <w:top w:val="single" w:color="000000" w:sz="4" w:space="0"/>
              <w:left w:val="single" w:color="000000" w:sz="4" w:space="0"/>
              <w:bottom w:val="single" w:color="000000" w:sz="4" w:space="0"/>
              <w:right w:val="single" w:color="000000" w:sz="4" w:space="0"/>
            </w:tcBorders>
            <w:vAlign w:val="center"/>
          </w:tcPr>
          <w:p w14:paraId="5284DD4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重点车辆</w:t>
            </w:r>
          </w:p>
        </w:tc>
        <w:tc>
          <w:tcPr>
            <w:tcW w:w="951" w:type="dxa"/>
            <w:tcBorders>
              <w:top w:val="single" w:color="000000" w:sz="4" w:space="0"/>
              <w:left w:val="single" w:color="000000" w:sz="4" w:space="0"/>
              <w:bottom w:val="single" w:color="000000" w:sz="4" w:space="0"/>
              <w:right w:val="single" w:color="000000" w:sz="4" w:space="0"/>
            </w:tcBorders>
            <w:vAlign w:val="center"/>
          </w:tcPr>
          <w:p w14:paraId="4E2967C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重点车辆</w:t>
            </w:r>
          </w:p>
        </w:tc>
        <w:tc>
          <w:tcPr>
            <w:tcW w:w="4586" w:type="dxa"/>
            <w:tcBorders>
              <w:top w:val="single" w:color="000000" w:sz="4" w:space="0"/>
              <w:left w:val="single" w:color="000000" w:sz="4" w:space="0"/>
              <w:bottom w:val="single" w:color="000000" w:sz="4" w:space="0"/>
              <w:right w:val="single" w:color="000000" w:sz="4" w:space="0"/>
            </w:tcBorders>
            <w:vAlign w:val="center"/>
          </w:tcPr>
          <w:p w14:paraId="257EEA40">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针对危险品运输的专题可视化展示，展示人员、车辆、企业专题分析数据；车辆在线数、车辆在线率等车辆实时动态数据展示；车辆超载趋势排行、车辆违规数据分析、车辆报警数据分析等。对危运车辆等移动目标的定位、跟踪，能对车辆驾驶人、在途运输等实时监控，对每个危化品运输车辆、重载车辆设置电子围。基于不同的时空维度对车辆运行规律、报警数、货运走廊交通流特征、危险品运输车辆OD等进行系统性分析。</w:t>
            </w:r>
          </w:p>
        </w:tc>
        <w:tc>
          <w:tcPr>
            <w:tcW w:w="0" w:type="auto"/>
            <w:tcBorders>
              <w:top w:val="single" w:color="000000" w:sz="4" w:space="0"/>
              <w:left w:val="single" w:color="000000" w:sz="4" w:space="0"/>
              <w:bottom w:val="single" w:color="000000" w:sz="4" w:space="0"/>
              <w:right w:val="single" w:color="000000" w:sz="4" w:space="0"/>
            </w:tcBorders>
            <w:vAlign w:val="center"/>
          </w:tcPr>
          <w:p w14:paraId="10ED727E">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004E0C1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01C5F02A">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24CF16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9</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CD6D8E8">
            <w:pPr>
              <w:widowControl/>
              <w:snapToGrid w:val="0"/>
              <w:spacing w:line="240" w:lineRule="auto"/>
              <w:jc w:val="center"/>
              <w:rPr>
                <w:rFonts w:hint="eastAsia" w:ascii="宋体" w:hAnsi="宋体" w:eastAsia="宋体" w:cs="宋体"/>
                <w:b/>
                <w:bCs/>
                <w:color w:val="000000"/>
                <w:sz w:val="21"/>
                <w:szCs w:val="21"/>
              </w:rPr>
            </w:pPr>
          </w:p>
        </w:tc>
        <w:tc>
          <w:tcPr>
            <w:tcW w:w="824" w:type="dxa"/>
            <w:tcBorders>
              <w:top w:val="single" w:color="000000" w:sz="4" w:space="0"/>
              <w:left w:val="single" w:color="000000" w:sz="4" w:space="0"/>
              <w:bottom w:val="single" w:color="000000" w:sz="4" w:space="0"/>
              <w:right w:val="single" w:color="000000" w:sz="4" w:space="0"/>
            </w:tcBorders>
            <w:vAlign w:val="center"/>
          </w:tcPr>
          <w:p w14:paraId="394C353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物流货运</w:t>
            </w:r>
          </w:p>
        </w:tc>
        <w:tc>
          <w:tcPr>
            <w:tcW w:w="951" w:type="dxa"/>
            <w:tcBorders>
              <w:top w:val="single" w:color="000000" w:sz="4" w:space="0"/>
              <w:left w:val="single" w:color="000000" w:sz="4" w:space="0"/>
              <w:bottom w:val="single" w:color="000000" w:sz="4" w:space="0"/>
              <w:right w:val="single" w:color="000000" w:sz="4" w:space="0"/>
            </w:tcBorders>
            <w:vAlign w:val="center"/>
          </w:tcPr>
          <w:p w14:paraId="3BA2764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物流货运</w:t>
            </w:r>
          </w:p>
        </w:tc>
        <w:tc>
          <w:tcPr>
            <w:tcW w:w="4586" w:type="dxa"/>
            <w:tcBorders>
              <w:top w:val="single" w:color="000000" w:sz="4" w:space="0"/>
              <w:left w:val="single" w:color="000000" w:sz="4" w:space="0"/>
              <w:bottom w:val="single" w:color="000000" w:sz="4" w:space="0"/>
              <w:right w:val="single" w:color="000000" w:sz="4" w:space="0"/>
            </w:tcBorders>
            <w:vAlign w:val="center"/>
          </w:tcPr>
          <w:p w14:paraId="629FEF22">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对公路交通量调查轴载检测等数据，实现货运通道运行效率、货车构成比例等指标计算，进一步扩充指标库；实现重点货运车辆、重点货运节点、检测设施、货运通道的分布监测和预警功能。</w:t>
            </w:r>
          </w:p>
        </w:tc>
        <w:tc>
          <w:tcPr>
            <w:tcW w:w="0" w:type="auto"/>
            <w:tcBorders>
              <w:top w:val="single" w:color="000000" w:sz="4" w:space="0"/>
              <w:left w:val="single" w:color="000000" w:sz="4" w:space="0"/>
              <w:bottom w:val="single" w:color="000000" w:sz="4" w:space="0"/>
              <w:right w:val="single" w:color="000000" w:sz="4" w:space="0"/>
            </w:tcBorders>
            <w:vAlign w:val="center"/>
          </w:tcPr>
          <w:p w14:paraId="2CA5E2CA">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72FA276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6A938E3F">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19B1DA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10</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6CD5175">
            <w:pPr>
              <w:widowControl/>
              <w:snapToGrid w:val="0"/>
              <w:spacing w:line="240" w:lineRule="auto"/>
              <w:jc w:val="center"/>
              <w:rPr>
                <w:rFonts w:hint="eastAsia" w:ascii="宋体" w:hAnsi="宋体" w:eastAsia="宋体" w:cs="宋体"/>
                <w:b/>
                <w:bCs/>
                <w:color w:val="000000"/>
                <w:sz w:val="21"/>
                <w:szCs w:val="21"/>
              </w:rPr>
            </w:pPr>
          </w:p>
        </w:tc>
        <w:tc>
          <w:tcPr>
            <w:tcW w:w="824" w:type="dxa"/>
            <w:tcBorders>
              <w:top w:val="single" w:color="000000" w:sz="4" w:space="0"/>
              <w:left w:val="single" w:color="000000" w:sz="4" w:space="0"/>
              <w:bottom w:val="single" w:color="000000" w:sz="4" w:space="0"/>
              <w:right w:val="single" w:color="000000" w:sz="4" w:space="0"/>
            </w:tcBorders>
            <w:vAlign w:val="center"/>
          </w:tcPr>
          <w:p w14:paraId="1DBAD26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预警管理</w:t>
            </w:r>
          </w:p>
        </w:tc>
        <w:tc>
          <w:tcPr>
            <w:tcW w:w="951" w:type="dxa"/>
            <w:tcBorders>
              <w:top w:val="single" w:color="000000" w:sz="4" w:space="0"/>
              <w:left w:val="single" w:color="000000" w:sz="4" w:space="0"/>
              <w:bottom w:val="single" w:color="000000" w:sz="4" w:space="0"/>
              <w:right w:val="single" w:color="000000" w:sz="4" w:space="0"/>
            </w:tcBorders>
            <w:vAlign w:val="center"/>
          </w:tcPr>
          <w:p w14:paraId="23270F5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预警管理</w:t>
            </w:r>
          </w:p>
        </w:tc>
        <w:tc>
          <w:tcPr>
            <w:tcW w:w="4586" w:type="dxa"/>
            <w:tcBorders>
              <w:top w:val="single" w:color="000000" w:sz="4" w:space="0"/>
              <w:left w:val="single" w:color="000000" w:sz="4" w:space="0"/>
              <w:bottom w:val="single" w:color="000000" w:sz="4" w:space="0"/>
              <w:right w:val="single" w:color="000000" w:sz="4" w:space="0"/>
            </w:tcBorders>
            <w:vAlign w:val="center"/>
          </w:tcPr>
          <w:p w14:paraId="2C84467C">
            <w:pPr>
              <w:widowControl/>
              <w:snapToGrid w:val="0"/>
              <w:spacing w:line="240" w:lineRule="auto"/>
              <w:jc w:val="left"/>
              <w:textAlignment w:val="top"/>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支持各事件预警模型的构建，达预警阈值后自动预警并定位展示，方便用户提前掌握交通风险，并及时采取解决措施。预警类型包括但不限于城市道路拥堵预警、交通大客流预警、出租车异常聚集预警、危货车辆驶入限制区域预警、长途客运异常情况预警、公交大间隔预警等。</w:t>
            </w:r>
          </w:p>
          <w:p w14:paraId="6990E0A1">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预警管理包括预警接口声明、预警插件、预警设置、预警执行引擎四个功能，实现预警规则可定制、预警流程可配置。</w:t>
            </w:r>
          </w:p>
        </w:tc>
        <w:tc>
          <w:tcPr>
            <w:tcW w:w="0" w:type="auto"/>
            <w:tcBorders>
              <w:top w:val="single" w:color="000000" w:sz="4" w:space="0"/>
              <w:left w:val="single" w:color="000000" w:sz="4" w:space="0"/>
              <w:bottom w:val="single" w:color="000000" w:sz="4" w:space="0"/>
              <w:right w:val="single" w:color="000000" w:sz="4" w:space="0"/>
            </w:tcBorders>
            <w:vAlign w:val="center"/>
          </w:tcPr>
          <w:p w14:paraId="76067BA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1C340A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028A5DBF">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9C4E96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11</w:t>
            </w: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14:paraId="523B823D">
            <w:pPr>
              <w:widowControl/>
              <w:snapToGrid w:val="0"/>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综合交通辅助决策系统</w:t>
            </w:r>
          </w:p>
        </w:tc>
        <w:tc>
          <w:tcPr>
            <w:tcW w:w="824" w:type="dxa"/>
            <w:tcBorders>
              <w:top w:val="single" w:color="000000" w:sz="4" w:space="0"/>
              <w:left w:val="single" w:color="000000" w:sz="4" w:space="0"/>
              <w:bottom w:val="single" w:color="000000" w:sz="4" w:space="0"/>
              <w:right w:val="single" w:color="000000" w:sz="4" w:space="0"/>
            </w:tcBorders>
            <w:vAlign w:val="center"/>
          </w:tcPr>
          <w:p w14:paraId="50004C3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领导视图</w:t>
            </w:r>
          </w:p>
        </w:tc>
        <w:tc>
          <w:tcPr>
            <w:tcW w:w="951" w:type="dxa"/>
            <w:tcBorders>
              <w:top w:val="single" w:color="000000" w:sz="4" w:space="0"/>
              <w:left w:val="single" w:color="000000" w:sz="4" w:space="0"/>
              <w:bottom w:val="single" w:color="000000" w:sz="4" w:space="0"/>
              <w:right w:val="single" w:color="000000" w:sz="4" w:space="0"/>
            </w:tcBorders>
            <w:vAlign w:val="center"/>
          </w:tcPr>
          <w:p w14:paraId="367946C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领导视图</w:t>
            </w:r>
          </w:p>
        </w:tc>
        <w:tc>
          <w:tcPr>
            <w:tcW w:w="4586" w:type="dxa"/>
            <w:tcBorders>
              <w:top w:val="single" w:color="000000" w:sz="4" w:space="0"/>
              <w:left w:val="single" w:color="000000" w:sz="4" w:space="0"/>
              <w:bottom w:val="single" w:color="000000" w:sz="4" w:space="0"/>
              <w:right w:val="single" w:color="000000" w:sz="4" w:space="0"/>
            </w:tcBorders>
            <w:vAlign w:val="center"/>
          </w:tcPr>
          <w:p w14:paraId="659C335A">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以过去一周为数据时间范围，将交通各方面的各类数据汇集整理，用图表的形式呈现，充分挖掘数据规律，方便管理人员剖析其变化原因，含：公路路网、地面交通、出租汽车、普通公路、省级客运等。</w:t>
            </w:r>
          </w:p>
        </w:tc>
        <w:tc>
          <w:tcPr>
            <w:tcW w:w="0" w:type="auto"/>
            <w:tcBorders>
              <w:top w:val="single" w:color="000000" w:sz="4" w:space="0"/>
              <w:left w:val="single" w:color="000000" w:sz="4" w:space="0"/>
              <w:bottom w:val="single" w:color="000000" w:sz="4" w:space="0"/>
              <w:right w:val="single" w:color="000000" w:sz="4" w:space="0"/>
            </w:tcBorders>
            <w:vAlign w:val="center"/>
          </w:tcPr>
          <w:p w14:paraId="346AEA5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04AD2C55">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4707E35B">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13B29F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5C526A6">
            <w:pPr>
              <w:widowControl/>
              <w:snapToGrid w:val="0"/>
              <w:spacing w:line="240" w:lineRule="auto"/>
              <w:jc w:val="center"/>
              <w:rPr>
                <w:rFonts w:hint="eastAsia" w:ascii="宋体" w:hAnsi="宋体" w:eastAsia="宋体" w:cs="宋体"/>
                <w:b/>
                <w:bCs/>
                <w:color w:val="000000"/>
                <w:sz w:val="21"/>
                <w:szCs w:val="21"/>
              </w:rPr>
            </w:pPr>
          </w:p>
        </w:tc>
        <w:tc>
          <w:tcPr>
            <w:tcW w:w="824" w:type="dxa"/>
            <w:vMerge w:val="restart"/>
            <w:tcBorders>
              <w:top w:val="single" w:color="000000" w:sz="4" w:space="0"/>
              <w:left w:val="single" w:color="000000" w:sz="4" w:space="0"/>
              <w:bottom w:val="single" w:color="000000" w:sz="4" w:space="0"/>
              <w:right w:val="single" w:color="000000" w:sz="4" w:space="0"/>
            </w:tcBorders>
            <w:vAlign w:val="center"/>
          </w:tcPr>
          <w:p w14:paraId="176870D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交通状况决策分析</w:t>
            </w:r>
          </w:p>
        </w:tc>
        <w:tc>
          <w:tcPr>
            <w:tcW w:w="951" w:type="dxa"/>
            <w:tcBorders>
              <w:top w:val="single" w:color="000000" w:sz="4" w:space="0"/>
              <w:left w:val="single" w:color="000000" w:sz="4" w:space="0"/>
              <w:bottom w:val="single" w:color="000000" w:sz="4" w:space="0"/>
              <w:right w:val="single" w:color="000000" w:sz="4" w:space="0"/>
            </w:tcBorders>
            <w:vAlign w:val="center"/>
          </w:tcPr>
          <w:p w14:paraId="1CBDCD5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交通路网运行分析</w:t>
            </w:r>
          </w:p>
        </w:tc>
        <w:tc>
          <w:tcPr>
            <w:tcW w:w="4586" w:type="dxa"/>
            <w:tcBorders>
              <w:top w:val="single" w:color="000000" w:sz="4" w:space="0"/>
              <w:left w:val="single" w:color="000000" w:sz="4" w:space="0"/>
              <w:bottom w:val="single" w:color="000000" w:sz="4" w:space="0"/>
              <w:right w:val="single" w:color="000000" w:sz="4" w:space="0"/>
            </w:tcBorders>
            <w:vAlign w:val="center"/>
          </w:tcPr>
          <w:p w14:paraId="387B1EEE">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①路网速度：早晚高峰及一天内各时段平均速度变化趋势分析；②道路交通：国省干道平均交通流量分析；③道路时间：道路工作日、休息日交通指数变化趋势分析；④道路空间：主要道路、热点区域、主境界线交通运行指数分析；⑤重点区域：各重点区域交通运行指数排名展示；⑥拥堵路段：展示重点拥堵路段交通指数及流量排名。</w:t>
            </w:r>
          </w:p>
        </w:tc>
        <w:tc>
          <w:tcPr>
            <w:tcW w:w="0" w:type="auto"/>
            <w:tcBorders>
              <w:top w:val="single" w:color="000000" w:sz="4" w:space="0"/>
              <w:left w:val="single" w:color="000000" w:sz="4" w:space="0"/>
              <w:bottom w:val="single" w:color="000000" w:sz="4" w:space="0"/>
              <w:right w:val="single" w:color="000000" w:sz="4" w:space="0"/>
            </w:tcBorders>
            <w:vAlign w:val="center"/>
          </w:tcPr>
          <w:p w14:paraId="665E5D4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4D2CB42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7C157C59">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4A9F3D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13</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6FBB05B">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10A97093">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4F505EE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市内交通出行特征</w:t>
            </w:r>
          </w:p>
        </w:tc>
        <w:tc>
          <w:tcPr>
            <w:tcW w:w="4586" w:type="dxa"/>
            <w:tcBorders>
              <w:top w:val="single" w:color="000000" w:sz="4" w:space="0"/>
              <w:left w:val="single" w:color="000000" w:sz="4" w:space="0"/>
              <w:bottom w:val="single" w:color="000000" w:sz="4" w:space="0"/>
              <w:right w:val="single" w:color="000000" w:sz="4" w:space="0"/>
            </w:tcBorders>
            <w:vAlign w:val="center"/>
          </w:tcPr>
          <w:p w14:paraId="5955201A">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①公交出行：支持选择指定时间段展现日、周、月三个维度公交日常出行运营班线数量、总里程、班次、运营量实载率，支持展示不同年份节假日公交客运量、发车辆、线路总量；②出租车出行：支持对指定月份出租车日常、节假日出行特征分析；③各交通方式占比：对指定时间段内各类公共交通方式占比情况分析。</w:t>
            </w:r>
          </w:p>
        </w:tc>
        <w:tc>
          <w:tcPr>
            <w:tcW w:w="0" w:type="auto"/>
            <w:tcBorders>
              <w:top w:val="single" w:color="000000" w:sz="4" w:space="0"/>
              <w:left w:val="single" w:color="000000" w:sz="4" w:space="0"/>
              <w:bottom w:val="single" w:color="000000" w:sz="4" w:space="0"/>
              <w:right w:val="single" w:color="000000" w:sz="4" w:space="0"/>
            </w:tcBorders>
            <w:vAlign w:val="center"/>
          </w:tcPr>
          <w:p w14:paraId="31BD660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49FFF98D">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055075A5">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F50524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14</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7712FA8">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3C3E0CE9">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3382080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城际交通出行特征</w:t>
            </w:r>
          </w:p>
        </w:tc>
        <w:tc>
          <w:tcPr>
            <w:tcW w:w="4586" w:type="dxa"/>
            <w:tcBorders>
              <w:top w:val="single" w:color="000000" w:sz="4" w:space="0"/>
              <w:left w:val="single" w:color="000000" w:sz="4" w:space="0"/>
              <w:bottom w:val="single" w:color="000000" w:sz="4" w:space="0"/>
              <w:right w:val="single" w:color="000000" w:sz="4" w:space="0"/>
            </w:tcBorders>
            <w:vAlign w:val="center"/>
          </w:tcPr>
          <w:p w14:paraId="1E7BF0E2">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①省际客运：展示省际客运进出旅客日变化趋势、客运站进出旅客数以及实载率排名情况；</w:t>
            </w:r>
          </w:p>
        </w:tc>
        <w:tc>
          <w:tcPr>
            <w:tcW w:w="0" w:type="auto"/>
            <w:tcBorders>
              <w:top w:val="single" w:color="000000" w:sz="4" w:space="0"/>
              <w:left w:val="single" w:color="000000" w:sz="4" w:space="0"/>
              <w:bottom w:val="single" w:color="000000" w:sz="4" w:space="0"/>
              <w:right w:val="single" w:color="000000" w:sz="4" w:space="0"/>
            </w:tcBorders>
            <w:vAlign w:val="center"/>
          </w:tcPr>
          <w:p w14:paraId="13D4C1E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641E9BE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76AA9BB0">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ABDE44C">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61EC4200">
            <w:pPr>
              <w:widowControl/>
              <w:snapToGrid w:val="0"/>
              <w:spacing w:line="240" w:lineRule="auto"/>
              <w:jc w:val="center"/>
              <w:rPr>
                <w:rFonts w:hint="eastAsia" w:ascii="宋体" w:hAnsi="宋体" w:eastAsia="宋体" w:cs="宋体"/>
                <w:b/>
                <w:bCs/>
                <w:color w:val="000000"/>
                <w:sz w:val="21"/>
                <w:szCs w:val="21"/>
              </w:rPr>
            </w:pPr>
          </w:p>
        </w:tc>
        <w:tc>
          <w:tcPr>
            <w:tcW w:w="824" w:type="dxa"/>
            <w:vMerge w:val="restart"/>
            <w:tcBorders>
              <w:top w:val="single" w:color="000000" w:sz="4" w:space="0"/>
              <w:left w:val="single" w:color="000000" w:sz="4" w:space="0"/>
              <w:bottom w:val="nil"/>
              <w:right w:val="single" w:color="000000" w:sz="4" w:space="0"/>
            </w:tcBorders>
            <w:vAlign w:val="center"/>
          </w:tcPr>
          <w:p w14:paraId="3FACE6B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城市客运市场分析</w:t>
            </w:r>
          </w:p>
        </w:tc>
        <w:tc>
          <w:tcPr>
            <w:tcW w:w="951" w:type="dxa"/>
            <w:tcBorders>
              <w:top w:val="single" w:color="000000" w:sz="4" w:space="0"/>
              <w:left w:val="single" w:color="000000" w:sz="4" w:space="0"/>
              <w:bottom w:val="single" w:color="000000" w:sz="4" w:space="0"/>
              <w:right w:val="single" w:color="000000" w:sz="4" w:space="0"/>
            </w:tcBorders>
            <w:vAlign w:val="center"/>
          </w:tcPr>
          <w:p w14:paraId="671C102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公交运营专题分析</w:t>
            </w:r>
          </w:p>
        </w:tc>
        <w:tc>
          <w:tcPr>
            <w:tcW w:w="4586" w:type="dxa"/>
            <w:tcBorders>
              <w:top w:val="single" w:color="000000" w:sz="4" w:space="0"/>
              <w:left w:val="single" w:color="000000" w:sz="4" w:space="0"/>
              <w:bottom w:val="single" w:color="000000" w:sz="4" w:space="0"/>
              <w:right w:val="single" w:color="000000" w:sz="4" w:space="0"/>
            </w:tcBorders>
            <w:vAlign w:val="center"/>
          </w:tcPr>
          <w:p w14:paraId="3AA5D821">
            <w:pPr>
              <w:widowControl/>
              <w:snapToGrid w:val="0"/>
              <w:spacing w:line="240" w:lineRule="auto"/>
              <w:jc w:val="left"/>
              <w:textAlignment w:val="top"/>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公交平均速度变化趋势分析：可查看当前、日、周、月四种时间维度的均速变化趋势。</w:t>
            </w:r>
          </w:p>
          <w:p w14:paraId="076149E6">
            <w:pPr>
              <w:widowControl/>
              <w:snapToGrid w:val="0"/>
              <w:spacing w:line="240" w:lineRule="auto"/>
              <w:jc w:val="left"/>
              <w:textAlignment w:val="top"/>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公交线路平均速度排名分析：由高到低展示公交线路平均速度排名，支持以日、周、月为周期进行历史信息查询，结果支持导出。</w:t>
            </w:r>
          </w:p>
          <w:p w14:paraId="3A5CC336">
            <w:pPr>
              <w:widowControl/>
              <w:snapToGrid w:val="0"/>
              <w:spacing w:line="240" w:lineRule="auto"/>
              <w:jc w:val="left"/>
              <w:textAlignment w:val="top"/>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线路运营里程分析：以列表的形式展现各线路营运里程总数、车队营运里程总数、全城营运里程总数。</w:t>
            </w:r>
          </w:p>
          <w:p w14:paraId="13B9D379">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线路数量分析：展示全城公交运营线路总数，并按照图表形式展示各车队营运线路总数。</w:t>
            </w:r>
          </w:p>
        </w:tc>
        <w:tc>
          <w:tcPr>
            <w:tcW w:w="0" w:type="auto"/>
            <w:tcBorders>
              <w:top w:val="single" w:color="000000" w:sz="4" w:space="0"/>
              <w:left w:val="single" w:color="000000" w:sz="4" w:space="0"/>
              <w:bottom w:val="single" w:color="000000" w:sz="4" w:space="0"/>
              <w:right w:val="single" w:color="000000" w:sz="4" w:space="0"/>
            </w:tcBorders>
            <w:vAlign w:val="center"/>
          </w:tcPr>
          <w:p w14:paraId="5AF28F2A">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266B1FA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4B7B6C5C">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A23B47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16</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16CEE0B8">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nil"/>
              <w:right w:val="single" w:color="000000" w:sz="4" w:space="0"/>
            </w:tcBorders>
            <w:vAlign w:val="center"/>
          </w:tcPr>
          <w:p w14:paraId="198FC21F">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3B16D97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出租车运营专题分析</w:t>
            </w:r>
          </w:p>
        </w:tc>
        <w:tc>
          <w:tcPr>
            <w:tcW w:w="4586" w:type="dxa"/>
            <w:tcBorders>
              <w:top w:val="single" w:color="000000" w:sz="4" w:space="0"/>
              <w:left w:val="single" w:color="000000" w:sz="4" w:space="0"/>
              <w:bottom w:val="single" w:color="000000" w:sz="4" w:space="0"/>
              <w:right w:val="single" w:color="000000" w:sz="4" w:space="0"/>
            </w:tcBorders>
            <w:vAlign w:val="center"/>
          </w:tcPr>
          <w:p w14:paraId="76A222B1">
            <w:pPr>
              <w:widowControl/>
              <w:snapToGrid w:val="0"/>
              <w:spacing w:line="240" w:lineRule="auto"/>
              <w:jc w:val="left"/>
              <w:textAlignment w:val="top"/>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平均速度变化趋势分析：可查看当前、日、周、月四种时间维度的均速变化趋势，可选择时间段（最小粒度到小时）。</w:t>
            </w:r>
          </w:p>
          <w:p w14:paraId="4519C66E">
            <w:pPr>
              <w:widowControl/>
              <w:snapToGrid w:val="0"/>
              <w:spacing w:line="240" w:lineRule="auto"/>
              <w:jc w:val="left"/>
              <w:textAlignment w:val="top"/>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乘车次数分析：展示全城各时段以及早晚高峰时段的乘车总次数。</w:t>
            </w:r>
          </w:p>
          <w:p w14:paraId="08DE339F">
            <w:pPr>
              <w:widowControl/>
              <w:snapToGrid w:val="0"/>
              <w:spacing w:line="240" w:lineRule="auto"/>
              <w:jc w:val="left"/>
              <w:textAlignment w:val="top"/>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平均乘车时长分析：展示全城各时段的乘车平均总时长，以列表形式展示不同区域的平均乘车时长，基于交通地图展示不同OD之间的平均乘车时长。</w:t>
            </w:r>
          </w:p>
          <w:p w14:paraId="4F6EFD14">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空重车占比分析：按公司、按早晚高峰展示统计空重车占比，并以0-24小时曲线形式展示空重车占比趋势</w:t>
            </w:r>
          </w:p>
        </w:tc>
        <w:tc>
          <w:tcPr>
            <w:tcW w:w="0" w:type="auto"/>
            <w:tcBorders>
              <w:top w:val="single" w:color="000000" w:sz="4" w:space="0"/>
              <w:left w:val="single" w:color="000000" w:sz="4" w:space="0"/>
              <w:bottom w:val="single" w:color="000000" w:sz="4" w:space="0"/>
              <w:right w:val="single" w:color="000000" w:sz="4" w:space="0"/>
            </w:tcBorders>
            <w:vAlign w:val="center"/>
          </w:tcPr>
          <w:p w14:paraId="6FEFC97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5D100ACE">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69E99B83">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8F8D1F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17</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C9D15E7">
            <w:pPr>
              <w:widowControl/>
              <w:snapToGrid w:val="0"/>
              <w:spacing w:line="240" w:lineRule="auto"/>
              <w:jc w:val="center"/>
              <w:rPr>
                <w:rFonts w:hint="eastAsia" w:ascii="宋体" w:hAnsi="宋体" w:eastAsia="宋体" w:cs="宋体"/>
                <w:b/>
                <w:bCs/>
                <w:color w:val="000000"/>
                <w:sz w:val="21"/>
                <w:szCs w:val="21"/>
              </w:rPr>
            </w:pPr>
          </w:p>
        </w:tc>
        <w:tc>
          <w:tcPr>
            <w:tcW w:w="824" w:type="dxa"/>
            <w:vMerge w:val="restart"/>
            <w:tcBorders>
              <w:top w:val="single" w:color="000000" w:sz="4" w:space="0"/>
              <w:left w:val="single" w:color="000000" w:sz="4" w:space="0"/>
              <w:bottom w:val="single" w:color="000000" w:sz="4" w:space="0"/>
              <w:right w:val="single" w:color="000000" w:sz="4" w:space="0"/>
            </w:tcBorders>
            <w:vAlign w:val="center"/>
          </w:tcPr>
          <w:p w14:paraId="115E18D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两客一危监管决策</w:t>
            </w:r>
          </w:p>
        </w:tc>
        <w:tc>
          <w:tcPr>
            <w:tcW w:w="951" w:type="dxa"/>
            <w:tcBorders>
              <w:top w:val="single" w:color="000000" w:sz="4" w:space="0"/>
              <w:left w:val="single" w:color="000000" w:sz="4" w:space="0"/>
              <w:bottom w:val="single" w:color="000000" w:sz="4" w:space="0"/>
              <w:right w:val="single" w:color="000000" w:sz="4" w:space="0"/>
            </w:tcBorders>
            <w:vAlign w:val="center"/>
          </w:tcPr>
          <w:p w14:paraId="61EB7C0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运输风险决策分析</w:t>
            </w:r>
          </w:p>
        </w:tc>
        <w:tc>
          <w:tcPr>
            <w:tcW w:w="4586" w:type="dxa"/>
            <w:tcBorders>
              <w:top w:val="single" w:color="000000" w:sz="4" w:space="0"/>
              <w:left w:val="single" w:color="000000" w:sz="4" w:space="0"/>
              <w:bottom w:val="single" w:color="000000" w:sz="4" w:space="0"/>
              <w:right w:val="single" w:color="000000" w:sz="4" w:space="0"/>
            </w:tcBorders>
            <w:vAlign w:val="center"/>
          </w:tcPr>
          <w:p w14:paraId="2201A116">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系统提供高危地理位置分析，能够根据历史关联警情，进行地理位置风险专项评估，支持根据车辆上报的安全报警（包括不限于急加速、急减速、急转弯、碰撞、侧翻、车道偏离、前向碰撞、车距过近、疲劳驾驶、分神驾驶、超速等）及对应地理位置，筛选出疑似高危地理位置。</w:t>
            </w:r>
          </w:p>
        </w:tc>
        <w:tc>
          <w:tcPr>
            <w:tcW w:w="0" w:type="auto"/>
            <w:tcBorders>
              <w:top w:val="single" w:color="000000" w:sz="4" w:space="0"/>
              <w:left w:val="single" w:color="000000" w:sz="4" w:space="0"/>
              <w:bottom w:val="single" w:color="000000" w:sz="4" w:space="0"/>
              <w:right w:val="single" w:color="000000" w:sz="4" w:space="0"/>
            </w:tcBorders>
            <w:vAlign w:val="center"/>
          </w:tcPr>
          <w:p w14:paraId="338D979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59FD6A7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5E3FD685">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1FFD35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18</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E5BC03F">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70EAEC3A">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7F7567E0">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安全监管考核</w:t>
            </w:r>
          </w:p>
        </w:tc>
        <w:tc>
          <w:tcPr>
            <w:tcW w:w="4586" w:type="dxa"/>
            <w:tcBorders>
              <w:top w:val="single" w:color="000000" w:sz="4" w:space="0"/>
              <w:left w:val="single" w:color="000000" w:sz="4" w:space="0"/>
              <w:bottom w:val="single" w:color="000000" w:sz="4" w:space="0"/>
              <w:right w:val="single" w:color="000000" w:sz="4" w:space="0"/>
            </w:tcBorders>
            <w:vAlign w:val="center"/>
          </w:tcPr>
          <w:p w14:paraId="561EF17D">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对数据合格率、轨迹完整率、车辆在线率、上线率进行一定周期统计，指导业务部门对下辖企业的有效监督。</w:t>
            </w:r>
          </w:p>
        </w:tc>
        <w:tc>
          <w:tcPr>
            <w:tcW w:w="0" w:type="auto"/>
            <w:tcBorders>
              <w:top w:val="single" w:color="000000" w:sz="4" w:space="0"/>
              <w:left w:val="single" w:color="000000" w:sz="4" w:space="0"/>
              <w:bottom w:val="single" w:color="000000" w:sz="4" w:space="0"/>
              <w:right w:val="single" w:color="000000" w:sz="4" w:space="0"/>
            </w:tcBorders>
            <w:vAlign w:val="center"/>
          </w:tcPr>
          <w:p w14:paraId="7C231EA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6A5BC92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0DA83264">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2159CDC">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19</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22F7705">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11F5BF27">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1BB307D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行业数据统计</w:t>
            </w:r>
          </w:p>
        </w:tc>
        <w:tc>
          <w:tcPr>
            <w:tcW w:w="4586" w:type="dxa"/>
            <w:tcBorders>
              <w:top w:val="single" w:color="000000" w:sz="4" w:space="0"/>
              <w:left w:val="single" w:color="000000" w:sz="4" w:space="0"/>
              <w:bottom w:val="single" w:color="000000" w:sz="4" w:space="0"/>
              <w:right w:val="single" w:color="000000" w:sz="4" w:space="0"/>
            </w:tcBorders>
            <w:vAlign w:val="center"/>
          </w:tcPr>
          <w:p w14:paraId="3E3FD629">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对企业报警处置率、企业按时处理率、警情数量与类型进行统计，指导业务部门对下辖企业的有效监督。</w:t>
            </w:r>
          </w:p>
        </w:tc>
        <w:tc>
          <w:tcPr>
            <w:tcW w:w="0" w:type="auto"/>
            <w:tcBorders>
              <w:top w:val="single" w:color="000000" w:sz="4" w:space="0"/>
              <w:left w:val="single" w:color="000000" w:sz="4" w:space="0"/>
              <w:bottom w:val="single" w:color="000000" w:sz="4" w:space="0"/>
              <w:right w:val="single" w:color="000000" w:sz="4" w:space="0"/>
            </w:tcBorders>
            <w:vAlign w:val="center"/>
          </w:tcPr>
          <w:p w14:paraId="3207B8B0">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vAlign w:val="center"/>
          </w:tcPr>
          <w:p w14:paraId="6D4510F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33D1258B">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8A1E06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52A7A21">
            <w:pPr>
              <w:widowControl/>
              <w:snapToGrid w:val="0"/>
              <w:spacing w:line="240" w:lineRule="auto"/>
              <w:jc w:val="center"/>
              <w:rPr>
                <w:rFonts w:hint="eastAsia" w:ascii="宋体" w:hAnsi="宋体" w:eastAsia="宋体" w:cs="宋体"/>
                <w:b/>
                <w:bCs/>
                <w:color w:val="000000"/>
                <w:sz w:val="21"/>
                <w:szCs w:val="21"/>
              </w:rPr>
            </w:pPr>
          </w:p>
        </w:tc>
        <w:tc>
          <w:tcPr>
            <w:tcW w:w="824" w:type="dxa"/>
            <w:tcBorders>
              <w:top w:val="single" w:color="000000" w:sz="4" w:space="0"/>
              <w:left w:val="single" w:color="000000" w:sz="4" w:space="0"/>
              <w:bottom w:val="nil"/>
              <w:right w:val="single" w:color="000000" w:sz="4" w:space="0"/>
            </w:tcBorders>
            <w:vAlign w:val="center"/>
          </w:tcPr>
          <w:p w14:paraId="099C0BF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疑似黑车识别分析</w:t>
            </w:r>
          </w:p>
        </w:tc>
        <w:tc>
          <w:tcPr>
            <w:tcW w:w="951" w:type="dxa"/>
            <w:tcBorders>
              <w:top w:val="single" w:color="000000" w:sz="4" w:space="0"/>
              <w:left w:val="single" w:color="000000" w:sz="4" w:space="0"/>
              <w:bottom w:val="single" w:color="000000" w:sz="4" w:space="0"/>
              <w:right w:val="single" w:color="000000" w:sz="4" w:space="0"/>
            </w:tcBorders>
            <w:vAlign w:val="center"/>
          </w:tcPr>
          <w:p w14:paraId="4284FE7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车辆属性分析</w:t>
            </w:r>
          </w:p>
        </w:tc>
        <w:tc>
          <w:tcPr>
            <w:tcW w:w="4586" w:type="dxa"/>
            <w:tcBorders>
              <w:top w:val="single" w:color="000000" w:sz="4" w:space="0"/>
              <w:left w:val="single" w:color="000000" w:sz="4" w:space="0"/>
              <w:bottom w:val="single" w:color="000000" w:sz="4" w:space="0"/>
              <w:right w:val="single" w:color="000000" w:sz="4" w:space="0"/>
            </w:tcBorders>
            <w:vAlign w:val="center"/>
          </w:tcPr>
          <w:p w14:paraId="03230A5A">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依据平台对前端视频监控中检出的机动车属性进行分析，按通行时间、通行区域、通行车道、通行方式（进入、离开）、品牌型号、车辆颜色、车辆类型（面包车、私家车等）、号牌类型、车辆号牌、目标特征进行分析。</w:t>
            </w:r>
          </w:p>
        </w:tc>
        <w:tc>
          <w:tcPr>
            <w:tcW w:w="0" w:type="auto"/>
            <w:tcBorders>
              <w:top w:val="single" w:color="000000" w:sz="4" w:space="0"/>
              <w:left w:val="single" w:color="000000" w:sz="4" w:space="0"/>
              <w:bottom w:val="single" w:color="000000" w:sz="4" w:space="0"/>
              <w:right w:val="single" w:color="000000" w:sz="4" w:space="0"/>
            </w:tcBorders>
            <w:vAlign w:val="center"/>
          </w:tcPr>
          <w:p w14:paraId="7250E07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3C0BAF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748681E5">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99A057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21</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24D14489">
            <w:pPr>
              <w:widowControl/>
              <w:snapToGrid w:val="0"/>
              <w:spacing w:line="240" w:lineRule="auto"/>
              <w:jc w:val="center"/>
              <w:rPr>
                <w:rFonts w:hint="eastAsia" w:ascii="宋体" w:hAnsi="宋体" w:eastAsia="宋体" w:cs="宋体"/>
                <w:b/>
                <w:bCs/>
                <w:color w:val="000000"/>
                <w:sz w:val="21"/>
                <w:szCs w:val="21"/>
              </w:rPr>
            </w:pPr>
          </w:p>
        </w:tc>
        <w:tc>
          <w:tcPr>
            <w:tcW w:w="824" w:type="dxa"/>
            <w:vMerge w:val="restart"/>
            <w:tcBorders>
              <w:top w:val="single" w:color="000000" w:sz="4" w:space="0"/>
              <w:left w:val="single" w:color="000000" w:sz="4" w:space="0"/>
              <w:bottom w:val="single" w:color="000000" w:sz="4" w:space="0"/>
              <w:right w:val="single" w:color="000000" w:sz="4" w:space="0"/>
            </w:tcBorders>
            <w:vAlign w:val="center"/>
          </w:tcPr>
          <w:p w14:paraId="0B3EF13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综合交通运行报告</w:t>
            </w:r>
          </w:p>
        </w:tc>
        <w:tc>
          <w:tcPr>
            <w:tcW w:w="951" w:type="dxa"/>
            <w:tcBorders>
              <w:top w:val="single" w:color="000000" w:sz="4" w:space="0"/>
              <w:left w:val="single" w:color="000000" w:sz="4" w:space="0"/>
              <w:bottom w:val="single" w:color="000000" w:sz="4" w:space="0"/>
              <w:right w:val="single" w:color="000000" w:sz="4" w:space="0"/>
            </w:tcBorders>
            <w:vAlign w:val="center"/>
          </w:tcPr>
          <w:p w14:paraId="08B7D23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标签管理</w:t>
            </w:r>
          </w:p>
        </w:tc>
        <w:tc>
          <w:tcPr>
            <w:tcW w:w="4586" w:type="dxa"/>
            <w:tcBorders>
              <w:top w:val="single" w:color="000000" w:sz="4" w:space="0"/>
              <w:left w:val="single" w:color="000000" w:sz="4" w:space="0"/>
              <w:bottom w:val="single" w:color="000000" w:sz="4" w:space="0"/>
              <w:right w:val="single" w:color="000000" w:sz="4" w:space="0"/>
            </w:tcBorders>
            <w:vAlign w:val="center"/>
          </w:tcPr>
          <w:p w14:paraId="0F07A980">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通过标签管理，可定义报告模板中需要的动态交通数据。系统在生成报告时，通过读取标签配置信息，自动将模板中的标签名称替换成可用的交通运行动态数据。系统提供标签的新增、修改、删除、浏览、检索等功能，并能通过标签编辑器功能设置标签。包括标签编辑器、标签管理、标签浏览、标签检索等功能。</w:t>
            </w:r>
          </w:p>
        </w:tc>
        <w:tc>
          <w:tcPr>
            <w:tcW w:w="0" w:type="auto"/>
            <w:tcBorders>
              <w:top w:val="single" w:color="000000" w:sz="4" w:space="0"/>
              <w:left w:val="single" w:color="000000" w:sz="4" w:space="0"/>
              <w:bottom w:val="single" w:color="000000" w:sz="4" w:space="0"/>
              <w:right w:val="single" w:color="000000" w:sz="4" w:space="0"/>
            </w:tcBorders>
            <w:vAlign w:val="center"/>
          </w:tcPr>
          <w:p w14:paraId="33FE451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CADD9BA">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0ECEC461">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732196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22</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805CEA7">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61D599A8">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5A74BCB0">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报告模板管理</w:t>
            </w:r>
          </w:p>
        </w:tc>
        <w:tc>
          <w:tcPr>
            <w:tcW w:w="4586" w:type="dxa"/>
            <w:tcBorders>
              <w:top w:val="single" w:color="000000" w:sz="4" w:space="0"/>
              <w:left w:val="single" w:color="000000" w:sz="4" w:space="0"/>
              <w:bottom w:val="single" w:color="000000" w:sz="4" w:space="0"/>
              <w:right w:val="single" w:color="000000" w:sz="4" w:space="0"/>
            </w:tcBorders>
            <w:vAlign w:val="center"/>
          </w:tcPr>
          <w:p w14:paraId="4B77930A">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模板由报告不带数据的文本内容、文本样式、图片以及标签名称构成，支持综合交通监测周报、月报、年报、行业运行分析报告、专题分析报告等报告模板的管理。用户通过模板管理中的模板标签编辑器新增、修改模板，建立模板与标签的关联，并实现报告模板的下载、浏览和检索等功能。</w:t>
            </w:r>
          </w:p>
        </w:tc>
        <w:tc>
          <w:tcPr>
            <w:tcW w:w="0" w:type="auto"/>
            <w:tcBorders>
              <w:top w:val="single" w:color="000000" w:sz="4" w:space="0"/>
              <w:left w:val="single" w:color="000000" w:sz="4" w:space="0"/>
              <w:bottom w:val="single" w:color="000000" w:sz="4" w:space="0"/>
              <w:right w:val="single" w:color="000000" w:sz="4" w:space="0"/>
            </w:tcBorders>
            <w:vAlign w:val="center"/>
          </w:tcPr>
          <w:p w14:paraId="4550BE1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598B7C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51E1F745">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D507F7A">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23</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43734AE">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54ECA404">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155D1F1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报告特征判断</w:t>
            </w:r>
          </w:p>
        </w:tc>
        <w:tc>
          <w:tcPr>
            <w:tcW w:w="4586" w:type="dxa"/>
            <w:tcBorders>
              <w:top w:val="single" w:color="000000" w:sz="4" w:space="0"/>
              <w:left w:val="single" w:color="000000" w:sz="4" w:space="0"/>
              <w:bottom w:val="single" w:color="000000" w:sz="4" w:space="0"/>
              <w:right w:val="single" w:color="000000" w:sz="4" w:space="0"/>
            </w:tcBorders>
            <w:vAlign w:val="center"/>
          </w:tcPr>
          <w:p w14:paraId="307FB0CB">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特征判断是对报告指标特征值、异常数据、运行走势规律的自动发现和提示。特征判断包括特征值设置管理、特征判断自动发现、特征判断自动提示、历史极值辅助查看和指标趋势变化等功能。</w:t>
            </w:r>
          </w:p>
        </w:tc>
        <w:tc>
          <w:tcPr>
            <w:tcW w:w="0" w:type="auto"/>
            <w:tcBorders>
              <w:top w:val="single" w:color="000000" w:sz="4" w:space="0"/>
              <w:left w:val="single" w:color="000000" w:sz="4" w:space="0"/>
              <w:bottom w:val="single" w:color="000000" w:sz="4" w:space="0"/>
              <w:right w:val="single" w:color="000000" w:sz="4" w:space="0"/>
            </w:tcBorders>
            <w:vAlign w:val="center"/>
          </w:tcPr>
          <w:p w14:paraId="2DAE2EFE">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E4D988C">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075E0ED3">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4D7E5A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24</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49935FB0">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35CAB91B">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3D2C164D">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报告编制</w:t>
            </w:r>
          </w:p>
        </w:tc>
        <w:tc>
          <w:tcPr>
            <w:tcW w:w="4586" w:type="dxa"/>
            <w:tcBorders>
              <w:top w:val="single" w:color="000000" w:sz="4" w:space="0"/>
              <w:left w:val="single" w:color="000000" w:sz="4" w:space="0"/>
              <w:bottom w:val="single" w:color="000000" w:sz="4" w:space="0"/>
              <w:right w:val="single" w:color="000000" w:sz="4" w:space="0"/>
            </w:tcBorders>
            <w:vAlign w:val="center"/>
          </w:tcPr>
          <w:p w14:paraId="5F606B7A">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实现报告初稿生成、初稿报送审核、审核后报告合稿、报告数据监测、特征值判断等功能。报告初稿可以按领域分别生成，适用于多人同时进行初稿编辑和审核；报送审核功能将报告发送给责任领导审核；合稿功能在报告审核修改完成之后，将报告合并成最终发布的报告。</w:t>
            </w:r>
          </w:p>
        </w:tc>
        <w:tc>
          <w:tcPr>
            <w:tcW w:w="0" w:type="auto"/>
            <w:tcBorders>
              <w:top w:val="single" w:color="000000" w:sz="4" w:space="0"/>
              <w:left w:val="single" w:color="000000" w:sz="4" w:space="0"/>
              <w:bottom w:val="single" w:color="000000" w:sz="4" w:space="0"/>
              <w:right w:val="single" w:color="000000" w:sz="4" w:space="0"/>
            </w:tcBorders>
            <w:vAlign w:val="center"/>
          </w:tcPr>
          <w:p w14:paraId="1108098E">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C63451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512AB727">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E6B6030">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25</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3855D95F">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5080D35F">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7939D6C0">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报告审核流程管理</w:t>
            </w:r>
          </w:p>
        </w:tc>
        <w:tc>
          <w:tcPr>
            <w:tcW w:w="4586" w:type="dxa"/>
            <w:tcBorders>
              <w:top w:val="single" w:color="000000" w:sz="4" w:space="0"/>
              <w:left w:val="single" w:color="000000" w:sz="4" w:space="0"/>
              <w:bottom w:val="single" w:color="000000" w:sz="4" w:space="0"/>
              <w:right w:val="single" w:color="000000" w:sz="4" w:space="0"/>
            </w:tcBorders>
            <w:vAlign w:val="center"/>
          </w:tcPr>
          <w:p w14:paraId="3AF06B87">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对报告审核流程的管理，能设置审核流程及各关键节点，定义审核用户和权限。</w:t>
            </w:r>
          </w:p>
        </w:tc>
        <w:tc>
          <w:tcPr>
            <w:tcW w:w="0" w:type="auto"/>
            <w:tcBorders>
              <w:top w:val="single" w:color="000000" w:sz="4" w:space="0"/>
              <w:left w:val="single" w:color="000000" w:sz="4" w:space="0"/>
              <w:bottom w:val="single" w:color="000000" w:sz="4" w:space="0"/>
              <w:right w:val="single" w:color="000000" w:sz="4" w:space="0"/>
            </w:tcBorders>
            <w:vAlign w:val="center"/>
          </w:tcPr>
          <w:p w14:paraId="3459E38C">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77B52F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0E5A56EF">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EC142E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26</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072FD1A4">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508A25AB">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5ED3E79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报告存档管理与日志管理</w:t>
            </w:r>
          </w:p>
        </w:tc>
        <w:tc>
          <w:tcPr>
            <w:tcW w:w="4586" w:type="dxa"/>
            <w:tcBorders>
              <w:top w:val="single" w:color="000000" w:sz="4" w:space="0"/>
              <w:left w:val="single" w:color="000000" w:sz="4" w:space="0"/>
              <w:bottom w:val="single" w:color="000000" w:sz="4" w:space="0"/>
              <w:right w:val="single" w:color="000000" w:sz="4" w:space="0"/>
            </w:tcBorders>
            <w:vAlign w:val="center"/>
          </w:tcPr>
          <w:p w14:paraId="026856DD">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针对审核通过的监测报告完本，进行报告报送和报告归档管理，包括报告的保存、修改、删除和调阅。</w:t>
            </w:r>
          </w:p>
        </w:tc>
        <w:tc>
          <w:tcPr>
            <w:tcW w:w="0" w:type="auto"/>
            <w:tcBorders>
              <w:top w:val="single" w:color="000000" w:sz="4" w:space="0"/>
              <w:left w:val="single" w:color="000000" w:sz="4" w:space="0"/>
              <w:bottom w:val="single" w:color="000000" w:sz="4" w:space="0"/>
              <w:right w:val="single" w:color="000000" w:sz="4" w:space="0"/>
            </w:tcBorders>
            <w:vAlign w:val="center"/>
          </w:tcPr>
          <w:p w14:paraId="77D908F0">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C38E94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003EADAB">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AC5D84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27</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14:paraId="53060FC0">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2A97264C">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03A4FA85">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报告报送</w:t>
            </w:r>
          </w:p>
        </w:tc>
        <w:tc>
          <w:tcPr>
            <w:tcW w:w="4586" w:type="dxa"/>
            <w:tcBorders>
              <w:top w:val="single" w:color="000000" w:sz="4" w:space="0"/>
              <w:left w:val="single" w:color="000000" w:sz="4" w:space="0"/>
              <w:bottom w:val="single" w:color="000000" w:sz="4" w:space="0"/>
              <w:right w:val="single" w:color="000000" w:sz="4" w:space="0"/>
            </w:tcBorders>
            <w:vAlign w:val="center"/>
          </w:tcPr>
          <w:p w14:paraId="6B2B69AD">
            <w:pPr>
              <w:widowControl/>
              <w:snapToGrid w:val="0"/>
              <w:spacing w:line="240" w:lineRule="auto"/>
              <w:jc w:val="left"/>
              <w:textAlignment w:val="top"/>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针对审核通过的监测报告完本，进行报告报送和报告归档管理。</w:t>
            </w:r>
          </w:p>
          <w:p w14:paraId="7B81F5E0">
            <w:pPr>
              <w:widowControl/>
              <w:snapToGrid w:val="0"/>
              <w:spacing w:line="240" w:lineRule="auto"/>
              <w:jc w:val="left"/>
              <w:textAlignment w:val="top"/>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报告报送，将审核通过的监测报告完本，通过系统发布、网站发布、邮件发布等多种手段，报送到相关单位。</w:t>
            </w:r>
          </w:p>
          <w:p w14:paraId="43C27F19">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报告归档，是对已经完结的监测报告进行归档操作，并能对报告的版本进行管控，可以对已存档的报告进行简单和复杂条件的查询。</w:t>
            </w:r>
          </w:p>
        </w:tc>
        <w:tc>
          <w:tcPr>
            <w:tcW w:w="0" w:type="auto"/>
            <w:tcBorders>
              <w:top w:val="single" w:color="000000" w:sz="4" w:space="0"/>
              <w:left w:val="single" w:color="000000" w:sz="4" w:space="0"/>
              <w:bottom w:val="single" w:color="000000" w:sz="4" w:space="0"/>
              <w:right w:val="single" w:color="000000" w:sz="4" w:space="0"/>
            </w:tcBorders>
            <w:vAlign w:val="center"/>
          </w:tcPr>
          <w:p w14:paraId="1792AB2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0BC3B5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63275C37">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F9919DC">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28</w:t>
            </w:r>
          </w:p>
        </w:tc>
        <w:tc>
          <w:tcPr>
            <w:tcW w:w="0" w:type="auto"/>
            <w:vMerge w:val="restart"/>
            <w:tcBorders>
              <w:top w:val="nil"/>
              <w:left w:val="single" w:color="000000" w:sz="4" w:space="0"/>
              <w:bottom w:val="single" w:color="000000" w:sz="4" w:space="0"/>
              <w:right w:val="nil"/>
            </w:tcBorders>
            <w:vAlign w:val="center"/>
          </w:tcPr>
          <w:p w14:paraId="2F821B97">
            <w:pPr>
              <w:widowControl/>
              <w:snapToGrid w:val="0"/>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交通数据中台</w:t>
            </w:r>
          </w:p>
        </w:tc>
        <w:tc>
          <w:tcPr>
            <w:tcW w:w="824" w:type="dxa"/>
            <w:vMerge w:val="restart"/>
            <w:tcBorders>
              <w:top w:val="single" w:color="000000" w:sz="4" w:space="0"/>
              <w:left w:val="single" w:color="000000" w:sz="4" w:space="0"/>
              <w:bottom w:val="single" w:color="000000" w:sz="4" w:space="0"/>
              <w:right w:val="single" w:color="000000" w:sz="4" w:space="0"/>
            </w:tcBorders>
            <w:vAlign w:val="center"/>
          </w:tcPr>
          <w:p w14:paraId="2D692BBA">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数据采集汇聚</w:t>
            </w:r>
          </w:p>
        </w:tc>
        <w:tc>
          <w:tcPr>
            <w:tcW w:w="951" w:type="dxa"/>
            <w:tcBorders>
              <w:top w:val="single" w:color="000000" w:sz="4" w:space="0"/>
              <w:left w:val="single" w:color="000000" w:sz="4" w:space="0"/>
              <w:bottom w:val="single" w:color="000000" w:sz="4" w:space="0"/>
              <w:right w:val="single" w:color="000000" w:sz="4" w:space="0"/>
            </w:tcBorders>
            <w:vAlign w:val="center"/>
          </w:tcPr>
          <w:p w14:paraId="36BF371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数据源管理</w:t>
            </w:r>
          </w:p>
        </w:tc>
        <w:tc>
          <w:tcPr>
            <w:tcW w:w="4586" w:type="dxa"/>
            <w:tcBorders>
              <w:top w:val="single" w:color="000000" w:sz="4" w:space="0"/>
              <w:left w:val="single" w:color="000000" w:sz="4" w:space="0"/>
              <w:bottom w:val="single" w:color="000000" w:sz="4" w:space="0"/>
              <w:right w:val="single" w:color="000000" w:sz="4" w:space="0"/>
            </w:tcBorders>
            <w:vAlign w:val="center"/>
          </w:tcPr>
          <w:p w14:paraId="60B05F5D">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支持多源异构数据库的数据解析、抽取工作；支持全量高速同步的在线数据归集方式；适配主流和国产数据库如：Oracle、MySQL、SQLServer、Db2、Sybase、PostgreSQL、TeraData、Redis、MongoDB、REST、达梦、南大通用GBase8t、HDFS、HBase、Hive、GreenPlum、华为Hive、华为 GaussDB等。</w:t>
            </w:r>
          </w:p>
        </w:tc>
        <w:tc>
          <w:tcPr>
            <w:tcW w:w="0" w:type="auto"/>
            <w:tcBorders>
              <w:top w:val="single" w:color="000000" w:sz="4" w:space="0"/>
              <w:left w:val="single" w:color="000000" w:sz="4" w:space="0"/>
              <w:bottom w:val="single" w:color="000000" w:sz="4" w:space="0"/>
              <w:right w:val="single" w:color="000000" w:sz="4" w:space="0"/>
            </w:tcBorders>
            <w:vAlign w:val="center"/>
          </w:tcPr>
          <w:p w14:paraId="69476AF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3DF936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310BB180">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8099CFE">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29</w:t>
            </w:r>
          </w:p>
        </w:tc>
        <w:tc>
          <w:tcPr>
            <w:tcW w:w="0" w:type="auto"/>
            <w:vMerge w:val="continue"/>
            <w:tcBorders>
              <w:top w:val="nil"/>
              <w:left w:val="single" w:color="000000" w:sz="4" w:space="0"/>
              <w:bottom w:val="single" w:color="000000" w:sz="4" w:space="0"/>
              <w:right w:val="nil"/>
            </w:tcBorders>
            <w:vAlign w:val="center"/>
          </w:tcPr>
          <w:p w14:paraId="23D8B582">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4BB8122B">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6F9DE29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数据表注册</w:t>
            </w:r>
          </w:p>
        </w:tc>
        <w:tc>
          <w:tcPr>
            <w:tcW w:w="4586" w:type="dxa"/>
            <w:tcBorders>
              <w:top w:val="single" w:color="000000" w:sz="4" w:space="0"/>
              <w:left w:val="single" w:color="000000" w:sz="4" w:space="0"/>
              <w:bottom w:val="single" w:color="000000" w:sz="4" w:space="0"/>
              <w:right w:val="single" w:color="000000" w:sz="4" w:space="0"/>
            </w:tcBorders>
            <w:vAlign w:val="center"/>
          </w:tcPr>
          <w:p w14:paraId="1709EAE9">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支持自动化建表，根据上游字段属性对数据表自定义注册至中台内部。</w:t>
            </w:r>
          </w:p>
        </w:tc>
        <w:tc>
          <w:tcPr>
            <w:tcW w:w="0" w:type="auto"/>
            <w:tcBorders>
              <w:top w:val="single" w:color="000000" w:sz="4" w:space="0"/>
              <w:left w:val="single" w:color="000000" w:sz="4" w:space="0"/>
              <w:bottom w:val="single" w:color="000000" w:sz="4" w:space="0"/>
              <w:right w:val="single" w:color="000000" w:sz="4" w:space="0"/>
            </w:tcBorders>
            <w:vAlign w:val="center"/>
          </w:tcPr>
          <w:p w14:paraId="7285A77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C764A4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5B123165">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8A5481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30</w:t>
            </w:r>
          </w:p>
        </w:tc>
        <w:tc>
          <w:tcPr>
            <w:tcW w:w="0" w:type="auto"/>
            <w:vMerge w:val="continue"/>
            <w:tcBorders>
              <w:top w:val="nil"/>
              <w:left w:val="single" w:color="000000" w:sz="4" w:space="0"/>
              <w:bottom w:val="single" w:color="000000" w:sz="4" w:space="0"/>
              <w:right w:val="nil"/>
            </w:tcBorders>
            <w:vAlign w:val="center"/>
          </w:tcPr>
          <w:p w14:paraId="67CAF32A">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6FDF9288">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6F056A6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任务管理</w:t>
            </w:r>
          </w:p>
        </w:tc>
        <w:tc>
          <w:tcPr>
            <w:tcW w:w="4586" w:type="dxa"/>
            <w:tcBorders>
              <w:top w:val="single" w:color="000000" w:sz="4" w:space="0"/>
              <w:left w:val="single" w:color="000000" w:sz="4" w:space="0"/>
              <w:bottom w:val="single" w:color="000000" w:sz="4" w:space="0"/>
              <w:right w:val="single" w:color="000000" w:sz="4" w:space="0"/>
            </w:tcBorders>
            <w:vAlign w:val="center"/>
          </w:tcPr>
          <w:p w14:paraId="3DD0137D">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支持任务管理，根据业务属性统一配置自定义调度周期，实现采集汇聚任务的周期化调度。</w:t>
            </w:r>
          </w:p>
        </w:tc>
        <w:tc>
          <w:tcPr>
            <w:tcW w:w="0" w:type="auto"/>
            <w:tcBorders>
              <w:top w:val="single" w:color="000000" w:sz="4" w:space="0"/>
              <w:left w:val="single" w:color="000000" w:sz="4" w:space="0"/>
              <w:bottom w:val="single" w:color="000000" w:sz="4" w:space="0"/>
              <w:right w:val="single" w:color="000000" w:sz="4" w:space="0"/>
            </w:tcBorders>
            <w:vAlign w:val="center"/>
          </w:tcPr>
          <w:p w14:paraId="7288780D">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8727C2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41636B4D">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3FDDD4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31</w:t>
            </w:r>
          </w:p>
        </w:tc>
        <w:tc>
          <w:tcPr>
            <w:tcW w:w="0" w:type="auto"/>
            <w:vMerge w:val="continue"/>
            <w:tcBorders>
              <w:top w:val="nil"/>
              <w:left w:val="single" w:color="000000" w:sz="4" w:space="0"/>
              <w:bottom w:val="single" w:color="000000" w:sz="4" w:space="0"/>
              <w:right w:val="nil"/>
            </w:tcBorders>
            <w:vAlign w:val="center"/>
          </w:tcPr>
          <w:p w14:paraId="1D2015F0">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72F663CA">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715F20C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增量同步</w:t>
            </w:r>
          </w:p>
        </w:tc>
        <w:tc>
          <w:tcPr>
            <w:tcW w:w="4586" w:type="dxa"/>
            <w:tcBorders>
              <w:top w:val="single" w:color="000000" w:sz="4" w:space="0"/>
              <w:left w:val="single" w:color="000000" w:sz="4" w:space="0"/>
              <w:bottom w:val="single" w:color="000000" w:sz="4" w:space="0"/>
              <w:right w:val="single" w:color="000000" w:sz="4" w:space="0"/>
            </w:tcBorders>
            <w:vAlign w:val="center"/>
          </w:tcPr>
          <w:p w14:paraId="6979A824">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同时支持对Oracle、SqlServer、MySql等数据库类型实时日志增量同步功能。</w:t>
            </w:r>
          </w:p>
        </w:tc>
        <w:tc>
          <w:tcPr>
            <w:tcW w:w="0" w:type="auto"/>
            <w:tcBorders>
              <w:top w:val="single" w:color="000000" w:sz="4" w:space="0"/>
              <w:left w:val="single" w:color="000000" w:sz="4" w:space="0"/>
              <w:bottom w:val="single" w:color="000000" w:sz="4" w:space="0"/>
              <w:right w:val="single" w:color="000000" w:sz="4" w:space="0"/>
            </w:tcBorders>
            <w:vAlign w:val="center"/>
          </w:tcPr>
          <w:p w14:paraId="7B34674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46B3F2D">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74505057">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E184D8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32</w:t>
            </w:r>
          </w:p>
        </w:tc>
        <w:tc>
          <w:tcPr>
            <w:tcW w:w="0" w:type="auto"/>
            <w:vMerge w:val="continue"/>
            <w:tcBorders>
              <w:top w:val="nil"/>
              <w:left w:val="single" w:color="000000" w:sz="4" w:space="0"/>
              <w:bottom w:val="single" w:color="000000" w:sz="4" w:space="0"/>
              <w:right w:val="nil"/>
            </w:tcBorders>
            <w:vAlign w:val="center"/>
          </w:tcPr>
          <w:p w14:paraId="256304BE">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62B9B88D">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09E9D6A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文件同步</w:t>
            </w:r>
          </w:p>
        </w:tc>
        <w:tc>
          <w:tcPr>
            <w:tcW w:w="4586" w:type="dxa"/>
            <w:tcBorders>
              <w:top w:val="single" w:color="000000" w:sz="4" w:space="0"/>
              <w:left w:val="single" w:color="000000" w:sz="4" w:space="0"/>
              <w:bottom w:val="single" w:color="000000" w:sz="4" w:space="0"/>
              <w:right w:val="single" w:color="000000" w:sz="4" w:space="0"/>
            </w:tcBorders>
            <w:vAlign w:val="center"/>
          </w:tcPr>
          <w:p w14:paraId="6ADCD846">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支持统一任务调度管理，通过自定义调度设置进行周期化任务调度；支持文件搬移与文件解析，FileServer协议支持SFTP、SMB、FTP、OBS、OSS等，文件解析支持诸如xml、txt、csv、Excel等格式，支持zip等。</w:t>
            </w:r>
          </w:p>
        </w:tc>
        <w:tc>
          <w:tcPr>
            <w:tcW w:w="0" w:type="auto"/>
            <w:tcBorders>
              <w:top w:val="single" w:color="000000" w:sz="4" w:space="0"/>
              <w:left w:val="single" w:color="000000" w:sz="4" w:space="0"/>
              <w:bottom w:val="single" w:color="000000" w:sz="4" w:space="0"/>
              <w:right w:val="single" w:color="000000" w:sz="4" w:space="0"/>
            </w:tcBorders>
            <w:vAlign w:val="center"/>
          </w:tcPr>
          <w:p w14:paraId="3561EF30">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921E4B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57DD5641">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827103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33</w:t>
            </w:r>
          </w:p>
        </w:tc>
        <w:tc>
          <w:tcPr>
            <w:tcW w:w="0" w:type="auto"/>
            <w:vMerge w:val="continue"/>
            <w:tcBorders>
              <w:top w:val="nil"/>
              <w:left w:val="single" w:color="000000" w:sz="4" w:space="0"/>
              <w:bottom w:val="single" w:color="000000" w:sz="4" w:space="0"/>
              <w:right w:val="nil"/>
            </w:tcBorders>
            <w:vAlign w:val="center"/>
          </w:tcPr>
          <w:p w14:paraId="1DA5FC81">
            <w:pPr>
              <w:widowControl/>
              <w:snapToGrid w:val="0"/>
              <w:spacing w:line="240" w:lineRule="auto"/>
              <w:jc w:val="center"/>
              <w:rPr>
                <w:rFonts w:hint="eastAsia" w:ascii="宋体" w:hAnsi="宋体" w:eastAsia="宋体" w:cs="宋体"/>
                <w:b/>
                <w:bCs/>
                <w:color w:val="000000"/>
                <w:sz w:val="21"/>
                <w:szCs w:val="21"/>
              </w:rPr>
            </w:pPr>
          </w:p>
        </w:tc>
        <w:tc>
          <w:tcPr>
            <w:tcW w:w="824" w:type="dxa"/>
            <w:vMerge w:val="restart"/>
            <w:tcBorders>
              <w:top w:val="single" w:color="000000" w:sz="4" w:space="0"/>
              <w:left w:val="single" w:color="000000" w:sz="4" w:space="0"/>
              <w:bottom w:val="single" w:color="000000" w:sz="4" w:space="0"/>
              <w:right w:val="single" w:color="000000" w:sz="4" w:space="0"/>
            </w:tcBorders>
            <w:vAlign w:val="center"/>
          </w:tcPr>
          <w:p w14:paraId="03D49145">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数据标准管理</w:t>
            </w:r>
          </w:p>
        </w:tc>
        <w:tc>
          <w:tcPr>
            <w:tcW w:w="951" w:type="dxa"/>
            <w:tcBorders>
              <w:top w:val="single" w:color="000000" w:sz="4" w:space="0"/>
              <w:left w:val="single" w:color="000000" w:sz="4" w:space="0"/>
              <w:bottom w:val="single" w:color="000000" w:sz="4" w:space="0"/>
              <w:right w:val="single" w:color="000000" w:sz="4" w:space="0"/>
            </w:tcBorders>
            <w:vAlign w:val="center"/>
          </w:tcPr>
          <w:p w14:paraId="0CD5C495">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数据管理基础系统</w:t>
            </w:r>
          </w:p>
        </w:tc>
        <w:tc>
          <w:tcPr>
            <w:tcW w:w="4586" w:type="dxa"/>
            <w:tcBorders>
              <w:top w:val="single" w:color="000000" w:sz="4" w:space="0"/>
              <w:left w:val="single" w:color="000000" w:sz="4" w:space="0"/>
              <w:bottom w:val="single" w:color="000000" w:sz="4" w:space="0"/>
              <w:right w:val="single" w:color="000000" w:sz="4" w:space="0"/>
            </w:tcBorders>
            <w:vAlign w:val="center"/>
          </w:tcPr>
          <w:p w14:paraId="7FE34AA9">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提供可视化的数据清洗转换组件，通过托拉拽操作实现过滤、清洗转换功能。数据过滤支持组件包括但不限于长度过滤、正则过滤、标准值域过滤、空值过滤、相等过滤、比较过滤等；质量清洗组件包括但不限于去除特定字符、大小写转换、数据脱敏、汉语转拼音、字典标准化和身份证校验转换等。支持通过标准数据元关联，智能生成数据字段清洗任务；支持全链路数据血缘生成、查看、分析，具有表级、字段级血缘解析功能，支持SQL语句解析生成血缘，可以根据数据库血缘，查看关联的库、表、字段血缘及涉及的表和任务详情，描述数据字段的加工过程。支持以目录形式对数据表进行管理，能对数据表进行收藏和标签化定义，便于数据表查找归类；支持按照多种条件组合查询数据表，查询条件包括但不限于目录名称、数据表名、数据表描述、业务标签、创建者、生命周期、大小、项目空间名称、分区表属性。</w:t>
            </w:r>
          </w:p>
        </w:tc>
        <w:tc>
          <w:tcPr>
            <w:tcW w:w="0" w:type="auto"/>
            <w:tcBorders>
              <w:top w:val="single" w:color="000000" w:sz="4" w:space="0"/>
              <w:left w:val="single" w:color="000000" w:sz="4" w:space="0"/>
              <w:bottom w:val="single" w:color="000000" w:sz="4" w:space="0"/>
              <w:right w:val="single" w:color="000000" w:sz="4" w:space="0"/>
            </w:tcBorders>
            <w:vAlign w:val="center"/>
          </w:tcPr>
          <w:p w14:paraId="4DB440FC">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72DECAD">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6D36C767">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142D84C">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34</w:t>
            </w:r>
          </w:p>
        </w:tc>
        <w:tc>
          <w:tcPr>
            <w:tcW w:w="0" w:type="auto"/>
            <w:vMerge w:val="continue"/>
            <w:tcBorders>
              <w:top w:val="nil"/>
              <w:left w:val="single" w:color="000000" w:sz="4" w:space="0"/>
              <w:bottom w:val="single" w:color="000000" w:sz="4" w:space="0"/>
              <w:right w:val="nil"/>
            </w:tcBorders>
            <w:vAlign w:val="center"/>
          </w:tcPr>
          <w:p w14:paraId="5C70CFE6">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6EE480CB">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4F2DEE9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标准文档管理</w:t>
            </w:r>
          </w:p>
        </w:tc>
        <w:tc>
          <w:tcPr>
            <w:tcW w:w="4586" w:type="dxa"/>
            <w:tcBorders>
              <w:top w:val="single" w:color="000000" w:sz="4" w:space="0"/>
              <w:left w:val="single" w:color="000000" w:sz="4" w:space="0"/>
              <w:bottom w:val="single" w:color="000000" w:sz="4" w:space="0"/>
              <w:right w:val="single" w:color="000000" w:sz="4" w:space="0"/>
            </w:tcBorders>
            <w:vAlign w:val="center"/>
          </w:tcPr>
          <w:p w14:paraId="30263693">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预制及编制行业数据标准体系，基于国家标准、部标准等标准，结合客户数据标准实际情况编制并完善各项信息标准，建设形成一套符合客户自身信息化建设需要的信息化标准管理体系，</w:t>
            </w:r>
          </w:p>
        </w:tc>
        <w:tc>
          <w:tcPr>
            <w:tcW w:w="0" w:type="auto"/>
            <w:tcBorders>
              <w:top w:val="single" w:color="000000" w:sz="4" w:space="0"/>
              <w:left w:val="single" w:color="000000" w:sz="4" w:space="0"/>
              <w:bottom w:val="single" w:color="000000" w:sz="4" w:space="0"/>
              <w:right w:val="single" w:color="000000" w:sz="4" w:space="0"/>
            </w:tcBorders>
            <w:vAlign w:val="center"/>
          </w:tcPr>
          <w:p w14:paraId="45086F95">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FAD7A3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16E34B03">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98CAD6E">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35</w:t>
            </w:r>
          </w:p>
        </w:tc>
        <w:tc>
          <w:tcPr>
            <w:tcW w:w="0" w:type="auto"/>
            <w:vMerge w:val="continue"/>
            <w:tcBorders>
              <w:top w:val="nil"/>
              <w:left w:val="single" w:color="000000" w:sz="4" w:space="0"/>
              <w:bottom w:val="single" w:color="000000" w:sz="4" w:space="0"/>
              <w:right w:val="nil"/>
            </w:tcBorders>
            <w:vAlign w:val="center"/>
          </w:tcPr>
          <w:p w14:paraId="54E64E45">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225589D4">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46955EE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数据元管理</w:t>
            </w:r>
          </w:p>
        </w:tc>
        <w:tc>
          <w:tcPr>
            <w:tcW w:w="4586" w:type="dxa"/>
            <w:tcBorders>
              <w:top w:val="single" w:color="000000" w:sz="4" w:space="0"/>
              <w:left w:val="single" w:color="000000" w:sz="4" w:space="0"/>
              <w:bottom w:val="single" w:color="000000" w:sz="4" w:space="0"/>
              <w:right w:val="single" w:color="000000" w:sz="4" w:space="0"/>
            </w:tcBorders>
            <w:vAlign w:val="center"/>
          </w:tcPr>
          <w:p w14:paraId="6B66E2C3">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支持根据业务系统生成提供对已梳理的基础标准数据元的管理维护功能，包括修改、提交、发布等基础维护功能</w:t>
            </w:r>
          </w:p>
        </w:tc>
        <w:tc>
          <w:tcPr>
            <w:tcW w:w="0" w:type="auto"/>
            <w:tcBorders>
              <w:top w:val="single" w:color="000000" w:sz="4" w:space="0"/>
              <w:left w:val="single" w:color="000000" w:sz="4" w:space="0"/>
              <w:bottom w:val="single" w:color="000000" w:sz="4" w:space="0"/>
              <w:right w:val="single" w:color="000000" w:sz="4" w:space="0"/>
            </w:tcBorders>
            <w:vAlign w:val="center"/>
          </w:tcPr>
          <w:p w14:paraId="6516560A">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4EF999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79A12079">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8C164D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36</w:t>
            </w:r>
          </w:p>
        </w:tc>
        <w:tc>
          <w:tcPr>
            <w:tcW w:w="0" w:type="auto"/>
            <w:vMerge w:val="continue"/>
            <w:tcBorders>
              <w:top w:val="nil"/>
              <w:left w:val="single" w:color="000000" w:sz="4" w:space="0"/>
              <w:bottom w:val="single" w:color="000000" w:sz="4" w:space="0"/>
              <w:right w:val="nil"/>
            </w:tcBorders>
            <w:vAlign w:val="center"/>
          </w:tcPr>
          <w:p w14:paraId="1E457EA5">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6B1835D0">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1AD55D6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限定词管理</w:t>
            </w:r>
          </w:p>
        </w:tc>
        <w:tc>
          <w:tcPr>
            <w:tcW w:w="4586" w:type="dxa"/>
            <w:tcBorders>
              <w:top w:val="single" w:color="000000" w:sz="4" w:space="0"/>
              <w:left w:val="single" w:color="000000" w:sz="4" w:space="0"/>
              <w:bottom w:val="single" w:color="000000" w:sz="4" w:space="0"/>
              <w:right w:val="single" w:color="000000" w:sz="4" w:space="0"/>
            </w:tcBorders>
            <w:vAlign w:val="center"/>
          </w:tcPr>
          <w:p w14:paraId="066D278A">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支持根据业务系统生成提供对已梳理的基础标准数据限定词的管理维护功能，包括修改、提交、发布等基础维护功能</w:t>
            </w:r>
          </w:p>
        </w:tc>
        <w:tc>
          <w:tcPr>
            <w:tcW w:w="0" w:type="auto"/>
            <w:tcBorders>
              <w:top w:val="single" w:color="000000" w:sz="4" w:space="0"/>
              <w:left w:val="single" w:color="000000" w:sz="4" w:space="0"/>
              <w:bottom w:val="single" w:color="000000" w:sz="4" w:space="0"/>
              <w:right w:val="single" w:color="000000" w:sz="4" w:space="0"/>
            </w:tcBorders>
            <w:vAlign w:val="center"/>
          </w:tcPr>
          <w:p w14:paraId="24929AEC">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74E15A5">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333B3326">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567B160">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37</w:t>
            </w:r>
          </w:p>
        </w:tc>
        <w:tc>
          <w:tcPr>
            <w:tcW w:w="0" w:type="auto"/>
            <w:vMerge w:val="continue"/>
            <w:tcBorders>
              <w:top w:val="nil"/>
              <w:left w:val="single" w:color="000000" w:sz="4" w:space="0"/>
              <w:bottom w:val="single" w:color="000000" w:sz="4" w:space="0"/>
              <w:right w:val="nil"/>
            </w:tcBorders>
            <w:vAlign w:val="center"/>
          </w:tcPr>
          <w:p w14:paraId="660C8D9C">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0AA17C6E">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702F4AD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数据项管理</w:t>
            </w:r>
          </w:p>
        </w:tc>
        <w:tc>
          <w:tcPr>
            <w:tcW w:w="4586" w:type="dxa"/>
            <w:tcBorders>
              <w:top w:val="single" w:color="000000" w:sz="4" w:space="0"/>
              <w:left w:val="single" w:color="000000" w:sz="4" w:space="0"/>
              <w:bottom w:val="single" w:color="000000" w:sz="4" w:space="0"/>
              <w:right w:val="single" w:color="000000" w:sz="4" w:space="0"/>
            </w:tcBorders>
            <w:vAlign w:val="center"/>
          </w:tcPr>
          <w:p w14:paraId="61582EB7">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支持根据业务系统生成提供对已梳理的基础标准数据项的管理维护功能，包括修改、提交、发布等基础维护功能</w:t>
            </w:r>
          </w:p>
        </w:tc>
        <w:tc>
          <w:tcPr>
            <w:tcW w:w="0" w:type="auto"/>
            <w:tcBorders>
              <w:top w:val="single" w:color="000000" w:sz="4" w:space="0"/>
              <w:left w:val="single" w:color="000000" w:sz="4" w:space="0"/>
              <w:bottom w:val="single" w:color="000000" w:sz="4" w:space="0"/>
              <w:right w:val="single" w:color="000000" w:sz="4" w:space="0"/>
            </w:tcBorders>
            <w:vAlign w:val="center"/>
          </w:tcPr>
          <w:p w14:paraId="0F051D4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2416E8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09970C1F">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126126C">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38</w:t>
            </w:r>
          </w:p>
        </w:tc>
        <w:tc>
          <w:tcPr>
            <w:tcW w:w="0" w:type="auto"/>
            <w:vMerge w:val="continue"/>
            <w:tcBorders>
              <w:top w:val="nil"/>
              <w:left w:val="single" w:color="000000" w:sz="4" w:space="0"/>
              <w:bottom w:val="single" w:color="000000" w:sz="4" w:space="0"/>
              <w:right w:val="nil"/>
            </w:tcBorders>
            <w:vAlign w:val="center"/>
          </w:tcPr>
          <w:p w14:paraId="2C9D7601">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2FC4C3C1">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2A969BB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字典管理</w:t>
            </w:r>
          </w:p>
        </w:tc>
        <w:tc>
          <w:tcPr>
            <w:tcW w:w="4586" w:type="dxa"/>
            <w:tcBorders>
              <w:top w:val="single" w:color="000000" w:sz="4" w:space="0"/>
              <w:left w:val="single" w:color="000000" w:sz="4" w:space="0"/>
              <w:bottom w:val="single" w:color="000000" w:sz="4" w:space="0"/>
              <w:right w:val="single" w:color="000000" w:sz="4" w:space="0"/>
            </w:tcBorders>
            <w:vAlign w:val="center"/>
          </w:tcPr>
          <w:p w14:paraId="6EE0A072">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支持根据业务系统生成提供对已梳理的基础标准字典表的管理维护功能，包括修改、提交、发布等基础维护功能</w:t>
            </w:r>
          </w:p>
        </w:tc>
        <w:tc>
          <w:tcPr>
            <w:tcW w:w="0" w:type="auto"/>
            <w:tcBorders>
              <w:top w:val="single" w:color="000000" w:sz="4" w:space="0"/>
              <w:left w:val="single" w:color="000000" w:sz="4" w:space="0"/>
              <w:bottom w:val="single" w:color="000000" w:sz="4" w:space="0"/>
              <w:right w:val="single" w:color="000000" w:sz="4" w:space="0"/>
            </w:tcBorders>
            <w:vAlign w:val="center"/>
          </w:tcPr>
          <w:p w14:paraId="3A78194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C6DC12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5BD669D0">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2B8C1C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39</w:t>
            </w:r>
          </w:p>
        </w:tc>
        <w:tc>
          <w:tcPr>
            <w:tcW w:w="0" w:type="auto"/>
            <w:vMerge w:val="continue"/>
            <w:tcBorders>
              <w:top w:val="nil"/>
              <w:left w:val="single" w:color="000000" w:sz="4" w:space="0"/>
              <w:bottom w:val="single" w:color="000000" w:sz="4" w:space="0"/>
              <w:right w:val="nil"/>
            </w:tcBorders>
            <w:vAlign w:val="center"/>
          </w:tcPr>
          <w:p w14:paraId="04EEB1D5">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5428F73F">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42A2059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元数据管理</w:t>
            </w:r>
          </w:p>
        </w:tc>
        <w:tc>
          <w:tcPr>
            <w:tcW w:w="4586" w:type="dxa"/>
            <w:tcBorders>
              <w:top w:val="single" w:color="000000" w:sz="4" w:space="0"/>
              <w:left w:val="single" w:color="000000" w:sz="4" w:space="0"/>
              <w:bottom w:val="single" w:color="000000" w:sz="4" w:space="0"/>
              <w:right w:val="single" w:color="000000" w:sz="4" w:space="0"/>
            </w:tcBorders>
            <w:vAlign w:val="center"/>
          </w:tcPr>
          <w:p w14:paraId="5CBC667D">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实现对标准数据元库及字典表等信息的统一管理和基于数据标准的质量稽核；可对数据标准进行全局检索和在线发布。支持导入、导出标准数据元/字典表，其中标准数据元可供数据建模时使用；可对不同版本的标准进行版本比对管理。</w:t>
            </w:r>
          </w:p>
        </w:tc>
        <w:tc>
          <w:tcPr>
            <w:tcW w:w="0" w:type="auto"/>
            <w:tcBorders>
              <w:top w:val="single" w:color="000000" w:sz="4" w:space="0"/>
              <w:left w:val="single" w:color="000000" w:sz="4" w:space="0"/>
              <w:bottom w:val="single" w:color="000000" w:sz="4" w:space="0"/>
              <w:right w:val="single" w:color="000000" w:sz="4" w:space="0"/>
            </w:tcBorders>
            <w:vAlign w:val="center"/>
          </w:tcPr>
          <w:p w14:paraId="42B4A8F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7C2161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043ABCC3">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4BA63B4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40</w:t>
            </w:r>
          </w:p>
        </w:tc>
        <w:tc>
          <w:tcPr>
            <w:tcW w:w="0" w:type="auto"/>
            <w:vMerge w:val="continue"/>
            <w:tcBorders>
              <w:top w:val="nil"/>
              <w:left w:val="single" w:color="000000" w:sz="4" w:space="0"/>
              <w:bottom w:val="single" w:color="000000" w:sz="4" w:space="0"/>
              <w:right w:val="nil"/>
            </w:tcBorders>
            <w:vAlign w:val="center"/>
          </w:tcPr>
          <w:p w14:paraId="433C45FE">
            <w:pPr>
              <w:widowControl/>
              <w:snapToGrid w:val="0"/>
              <w:spacing w:line="240" w:lineRule="auto"/>
              <w:jc w:val="center"/>
              <w:rPr>
                <w:rFonts w:hint="eastAsia" w:ascii="宋体" w:hAnsi="宋体" w:eastAsia="宋体" w:cs="宋体"/>
                <w:b/>
                <w:bCs/>
                <w:color w:val="000000"/>
                <w:sz w:val="21"/>
                <w:szCs w:val="21"/>
              </w:rPr>
            </w:pPr>
          </w:p>
        </w:tc>
        <w:tc>
          <w:tcPr>
            <w:tcW w:w="824" w:type="dxa"/>
            <w:vMerge w:val="restart"/>
            <w:tcBorders>
              <w:top w:val="single" w:color="000000" w:sz="4" w:space="0"/>
              <w:left w:val="single" w:color="000000" w:sz="4" w:space="0"/>
              <w:bottom w:val="single" w:color="000000" w:sz="4" w:space="0"/>
              <w:right w:val="single" w:color="000000" w:sz="4" w:space="0"/>
            </w:tcBorders>
            <w:vAlign w:val="center"/>
          </w:tcPr>
          <w:p w14:paraId="7A55F42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数据质量管理</w:t>
            </w:r>
          </w:p>
        </w:tc>
        <w:tc>
          <w:tcPr>
            <w:tcW w:w="951" w:type="dxa"/>
            <w:tcBorders>
              <w:top w:val="single" w:color="000000" w:sz="4" w:space="0"/>
              <w:left w:val="single" w:color="000000" w:sz="4" w:space="0"/>
              <w:bottom w:val="single" w:color="000000" w:sz="4" w:space="0"/>
              <w:right w:val="single" w:color="000000" w:sz="4" w:space="0"/>
            </w:tcBorders>
            <w:vAlign w:val="center"/>
          </w:tcPr>
          <w:p w14:paraId="4E84053C">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数据质量监控</w:t>
            </w:r>
          </w:p>
        </w:tc>
        <w:tc>
          <w:tcPr>
            <w:tcW w:w="4586" w:type="dxa"/>
            <w:tcBorders>
              <w:top w:val="single" w:color="000000" w:sz="4" w:space="0"/>
              <w:left w:val="single" w:color="000000" w:sz="4" w:space="0"/>
              <w:bottom w:val="single" w:color="000000" w:sz="4" w:space="0"/>
              <w:right w:val="single" w:color="000000" w:sz="4" w:space="0"/>
            </w:tcBorders>
            <w:vAlign w:val="center"/>
          </w:tcPr>
          <w:p w14:paraId="39C9A7E3">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支持对数据接入、处理、应用阶段的质量评估任务监控功能，包含空值核验、唯一性核验、值域核验、数据格式核验、注释完整性检测等。</w:t>
            </w:r>
          </w:p>
        </w:tc>
        <w:tc>
          <w:tcPr>
            <w:tcW w:w="0" w:type="auto"/>
            <w:tcBorders>
              <w:top w:val="single" w:color="000000" w:sz="4" w:space="0"/>
              <w:left w:val="single" w:color="000000" w:sz="4" w:space="0"/>
              <w:bottom w:val="single" w:color="000000" w:sz="4" w:space="0"/>
              <w:right w:val="single" w:color="000000" w:sz="4" w:space="0"/>
            </w:tcBorders>
            <w:vAlign w:val="center"/>
          </w:tcPr>
          <w:p w14:paraId="083A882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88728F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49486EBD">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5C682715">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41</w:t>
            </w:r>
          </w:p>
        </w:tc>
        <w:tc>
          <w:tcPr>
            <w:tcW w:w="0" w:type="auto"/>
            <w:vMerge w:val="continue"/>
            <w:tcBorders>
              <w:top w:val="nil"/>
              <w:left w:val="single" w:color="000000" w:sz="4" w:space="0"/>
              <w:bottom w:val="single" w:color="000000" w:sz="4" w:space="0"/>
              <w:right w:val="nil"/>
            </w:tcBorders>
            <w:vAlign w:val="center"/>
          </w:tcPr>
          <w:p w14:paraId="22B02AD8">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5B686E9E">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50688E8C">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数据治理问题发现</w:t>
            </w:r>
          </w:p>
        </w:tc>
        <w:tc>
          <w:tcPr>
            <w:tcW w:w="4586" w:type="dxa"/>
            <w:tcBorders>
              <w:top w:val="single" w:color="000000" w:sz="4" w:space="0"/>
              <w:left w:val="single" w:color="000000" w:sz="4" w:space="0"/>
              <w:bottom w:val="single" w:color="000000" w:sz="4" w:space="0"/>
              <w:right w:val="single" w:color="000000" w:sz="4" w:space="0"/>
            </w:tcBorders>
            <w:vAlign w:val="center"/>
          </w:tcPr>
          <w:p w14:paraId="563160F5">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支持对数据接入、处理、应用阶段的自定义质量检测规则，可自动执行系统预置规则、自定义规则，发现问题数据</w:t>
            </w:r>
          </w:p>
        </w:tc>
        <w:tc>
          <w:tcPr>
            <w:tcW w:w="0" w:type="auto"/>
            <w:tcBorders>
              <w:top w:val="single" w:color="000000" w:sz="4" w:space="0"/>
              <w:left w:val="single" w:color="000000" w:sz="4" w:space="0"/>
              <w:bottom w:val="single" w:color="000000" w:sz="4" w:space="0"/>
              <w:right w:val="single" w:color="000000" w:sz="4" w:space="0"/>
            </w:tcBorders>
            <w:vAlign w:val="center"/>
          </w:tcPr>
          <w:p w14:paraId="3F61778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932B4A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62D18CFA">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7ACD11DD">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42</w:t>
            </w:r>
          </w:p>
        </w:tc>
        <w:tc>
          <w:tcPr>
            <w:tcW w:w="0" w:type="auto"/>
            <w:vMerge w:val="continue"/>
            <w:tcBorders>
              <w:top w:val="nil"/>
              <w:left w:val="single" w:color="000000" w:sz="4" w:space="0"/>
              <w:bottom w:val="single" w:color="000000" w:sz="4" w:space="0"/>
              <w:right w:val="nil"/>
            </w:tcBorders>
            <w:vAlign w:val="center"/>
          </w:tcPr>
          <w:p w14:paraId="283336E2">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4FCD4FA5">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12755B1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数据治理问题修改</w:t>
            </w:r>
          </w:p>
        </w:tc>
        <w:tc>
          <w:tcPr>
            <w:tcW w:w="4586" w:type="dxa"/>
            <w:tcBorders>
              <w:top w:val="single" w:color="000000" w:sz="4" w:space="0"/>
              <w:left w:val="single" w:color="000000" w:sz="4" w:space="0"/>
              <w:bottom w:val="single" w:color="000000" w:sz="4" w:space="0"/>
              <w:right w:val="single" w:color="000000" w:sz="4" w:space="0"/>
            </w:tcBorders>
            <w:vAlign w:val="center"/>
          </w:tcPr>
          <w:p w14:paraId="3B343548">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支持对数据接入、处理、应用阶段的多个数据库、数据表、字段等进行评估，并提出整改计划，每个评估目标都可以指定不同的质量检测任务。</w:t>
            </w:r>
          </w:p>
        </w:tc>
        <w:tc>
          <w:tcPr>
            <w:tcW w:w="0" w:type="auto"/>
            <w:tcBorders>
              <w:top w:val="single" w:color="000000" w:sz="4" w:space="0"/>
              <w:left w:val="single" w:color="000000" w:sz="4" w:space="0"/>
              <w:bottom w:val="single" w:color="000000" w:sz="4" w:space="0"/>
              <w:right w:val="single" w:color="000000" w:sz="4" w:space="0"/>
            </w:tcBorders>
            <w:vAlign w:val="center"/>
          </w:tcPr>
          <w:p w14:paraId="5CECE04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664C47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788EBD2F">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C1A2FC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43</w:t>
            </w:r>
          </w:p>
        </w:tc>
        <w:tc>
          <w:tcPr>
            <w:tcW w:w="0" w:type="auto"/>
            <w:vMerge w:val="continue"/>
            <w:tcBorders>
              <w:top w:val="nil"/>
              <w:left w:val="single" w:color="000000" w:sz="4" w:space="0"/>
              <w:bottom w:val="single" w:color="000000" w:sz="4" w:space="0"/>
              <w:right w:val="nil"/>
            </w:tcBorders>
            <w:vAlign w:val="center"/>
          </w:tcPr>
          <w:p w14:paraId="33A8DBA3">
            <w:pPr>
              <w:widowControl/>
              <w:snapToGrid w:val="0"/>
              <w:spacing w:line="240" w:lineRule="auto"/>
              <w:jc w:val="center"/>
              <w:rPr>
                <w:rFonts w:hint="eastAsia" w:ascii="宋体" w:hAnsi="宋体" w:eastAsia="宋体" w:cs="宋体"/>
                <w:b/>
                <w:bCs/>
                <w:color w:val="000000"/>
                <w:sz w:val="21"/>
                <w:szCs w:val="21"/>
              </w:rPr>
            </w:pPr>
          </w:p>
        </w:tc>
        <w:tc>
          <w:tcPr>
            <w:tcW w:w="824" w:type="dxa"/>
            <w:tcBorders>
              <w:top w:val="single" w:color="000000" w:sz="4" w:space="0"/>
              <w:left w:val="single" w:color="000000" w:sz="4" w:space="0"/>
              <w:bottom w:val="single" w:color="000000" w:sz="4" w:space="0"/>
              <w:right w:val="single" w:color="000000" w:sz="4" w:space="0"/>
            </w:tcBorders>
            <w:vAlign w:val="center"/>
          </w:tcPr>
          <w:p w14:paraId="6FFEC1F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数据资产管理</w:t>
            </w:r>
          </w:p>
        </w:tc>
        <w:tc>
          <w:tcPr>
            <w:tcW w:w="951" w:type="dxa"/>
            <w:tcBorders>
              <w:top w:val="single" w:color="000000" w:sz="4" w:space="0"/>
              <w:left w:val="single" w:color="000000" w:sz="4" w:space="0"/>
              <w:bottom w:val="single" w:color="000000" w:sz="4" w:space="0"/>
              <w:right w:val="single" w:color="000000" w:sz="4" w:space="0"/>
            </w:tcBorders>
            <w:vAlign w:val="center"/>
          </w:tcPr>
          <w:p w14:paraId="1B644B6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数据资源目录管理</w:t>
            </w:r>
          </w:p>
        </w:tc>
        <w:tc>
          <w:tcPr>
            <w:tcW w:w="4586" w:type="dxa"/>
            <w:tcBorders>
              <w:top w:val="single" w:color="000000" w:sz="4" w:space="0"/>
              <w:left w:val="single" w:color="000000" w:sz="4" w:space="0"/>
              <w:bottom w:val="single" w:color="000000" w:sz="4" w:space="0"/>
              <w:right w:val="single" w:color="000000" w:sz="4" w:space="0"/>
            </w:tcBorders>
            <w:vAlign w:val="center"/>
          </w:tcPr>
          <w:p w14:paraId="71AE1951">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目录管理系统是对上述过程提供支持的应用系统，它提供公共资源核心元数据和交换服务资源核心元数据的编目、注册、管理与检索功能。</w:t>
            </w:r>
          </w:p>
        </w:tc>
        <w:tc>
          <w:tcPr>
            <w:tcW w:w="0" w:type="auto"/>
            <w:tcBorders>
              <w:top w:val="single" w:color="000000" w:sz="4" w:space="0"/>
              <w:left w:val="single" w:color="000000" w:sz="4" w:space="0"/>
              <w:bottom w:val="single" w:color="000000" w:sz="4" w:space="0"/>
              <w:right w:val="single" w:color="000000" w:sz="4" w:space="0"/>
            </w:tcBorders>
            <w:vAlign w:val="center"/>
          </w:tcPr>
          <w:p w14:paraId="3F0E234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C6C0F2C">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2DB06840">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16FCA8BE">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44</w:t>
            </w:r>
          </w:p>
        </w:tc>
        <w:tc>
          <w:tcPr>
            <w:tcW w:w="0" w:type="auto"/>
            <w:vMerge w:val="continue"/>
            <w:tcBorders>
              <w:top w:val="nil"/>
              <w:left w:val="single" w:color="000000" w:sz="4" w:space="0"/>
              <w:bottom w:val="single" w:color="000000" w:sz="4" w:space="0"/>
              <w:right w:val="nil"/>
            </w:tcBorders>
            <w:vAlign w:val="center"/>
          </w:tcPr>
          <w:p w14:paraId="75E22D74">
            <w:pPr>
              <w:widowControl/>
              <w:snapToGrid w:val="0"/>
              <w:spacing w:line="240" w:lineRule="auto"/>
              <w:jc w:val="center"/>
              <w:rPr>
                <w:rFonts w:hint="eastAsia" w:ascii="宋体" w:hAnsi="宋体" w:eastAsia="宋体" w:cs="宋体"/>
                <w:b/>
                <w:bCs/>
                <w:color w:val="000000"/>
                <w:sz w:val="21"/>
                <w:szCs w:val="21"/>
              </w:rPr>
            </w:pPr>
          </w:p>
        </w:tc>
        <w:tc>
          <w:tcPr>
            <w:tcW w:w="824" w:type="dxa"/>
            <w:vMerge w:val="restart"/>
            <w:tcBorders>
              <w:top w:val="single" w:color="000000" w:sz="4" w:space="0"/>
              <w:left w:val="single" w:color="000000" w:sz="4" w:space="0"/>
              <w:bottom w:val="single" w:color="000000" w:sz="4" w:space="0"/>
              <w:right w:val="single" w:color="000000" w:sz="4" w:space="0"/>
            </w:tcBorders>
            <w:vAlign w:val="center"/>
          </w:tcPr>
          <w:p w14:paraId="00F6B055">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数据共享交换</w:t>
            </w:r>
          </w:p>
        </w:tc>
        <w:tc>
          <w:tcPr>
            <w:tcW w:w="951" w:type="dxa"/>
            <w:tcBorders>
              <w:top w:val="single" w:color="000000" w:sz="4" w:space="0"/>
              <w:left w:val="single" w:color="000000" w:sz="4" w:space="0"/>
              <w:bottom w:val="single" w:color="000000" w:sz="4" w:space="0"/>
              <w:right w:val="single" w:color="000000" w:sz="4" w:space="0"/>
            </w:tcBorders>
            <w:vAlign w:val="center"/>
          </w:tcPr>
          <w:p w14:paraId="12D763A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数据资源展示</w:t>
            </w:r>
          </w:p>
        </w:tc>
        <w:tc>
          <w:tcPr>
            <w:tcW w:w="4586" w:type="dxa"/>
            <w:tcBorders>
              <w:top w:val="single" w:color="000000" w:sz="4" w:space="0"/>
              <w:left w:val="single" w:color="000000" w:sz="4" w:space="0"/>
              <w:bottom w:val="single" w:color="000000" w:sz="4" w:space="0"/>
              <w:right w:val="single" w:color="000000" w:sz="4" w:space="0"/>
            </w:tcBorders>
            <w:vAlign w:val="center"/>
          </w:tcPr>
          <w:p w14:paraId="6C16CF0A">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提供页面化的资源展示功能，具有资源检索机制，可以查看包括数据服务名称、服务类型、认证类型、状态、所属网关、创建人、历史版本和调用详情等一系列信息。</w:t>
            </w:r>
          </w:p>
        </w:tc>
        <w:tc>
          <w:tcPr>
            <w:tcW w:w="0" w:type="auto"/>
            <w:tcBorders>
              <w:top w:val="single" w:color="000000" w:sz="4" w:space="0"/>
              <w:left w:val="single" w:color="000000" w:sz="4" w:space="0"/>
              <w:bottom w:val="single" w:color="000000" w:sz="4" w:space="0"/>
              <w:right w:val="single" w:color="000000" w:sz="4" w:space="0"/>
            </w:tcBorders>
            <w:vAlign w:val="center"/>
          </w:tcPr>
          <w:p w14:paraId="4211A20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9813A90">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792C7CE7">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639C331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45</w:t>
            </w:r>
          </w:p>
        </w:tc>
        <w:tc>
          <w:tcPr>
            <w:tcW w:w="0" w:type="auto"/>
            <w:vMerge w:val="continue"/>
            <w:tcBorders>
              <w:top w:val="nil"/>
              <w:left w:val="single" w:color="000000" w:sz="4" w:space="0"/>
              <w:bottom w:val="single" w:color="000000" w:sz="4" w:space="0"/>
              <w:right w:val="nil"/>
            </w:tcBorders>
            <w:vAlign w:val="center"/>
          </w:tcPr>
          <w:p w14:paraId="7A61035F">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76CB43AD">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6EF040E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数据资源查询</w:t>
            </w:r>
          </w:p>
        </w:tc>
        <w:tc>
          <w:tcPr>
            <w:tcW w:w="4586" w:type="dxa"/>
            <w:tcBorders>
              <w:top w:val="single" w:color="000000" w:sz="4" w:space="0"/>
              <w:left w:val="single" w:color="000000" w:sz="4" w:space="0"/>
              <w:bottom w:val="single" w:color="000000" w:sz="4" w:space="0"/>
              <w:right w:val="single" w:color="000000" w:sz="4" w:space="0"/>
            </w:tcBorders>
            <w:vAlign w:val="center"/>
          </w:tcPr>
          <w:p w14:paraId="11F6BDE7">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提供资源搜索功能，基于数据服务的名称、描述、提供机构等信息的关键词搜索，为用户找到感兴趣的应用提供最快捷的支持。</w:t>
            </w:r>
          </w:p>
        </w:tc>
        <w:tc>
          <w:tcPr>
            <w:tcW w:w="0" w:type="auto"/>
            <w:tcBorders>
              <w:top w:val="single" w:color="000000" w:sz="4" w:space="0"/>
              <w:left w:val="single" w:color="000000" w:sz="4" w:space="0"/>
              <w:bottom w:val="single" w:color="000000" w:sz="4" w:space="0"/>
              <w:right w:val="single" w:color="000000" w:sz="4" w:space="0"/>
            </w:tcBorders>
            <w:vAlign w:val="center"/>
          </w:tcPr>
          <w:p w14:paraId="41E0149E">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C83D91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69840DDE">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AC0AE8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46</w:t>
            </w:r>
          </w:p>
        </w:tc>
        <w:tc>
          <w:tcPr>
            <w:tcW w:w="0" w:type="auto"/>
            <w:vMerge w:val="continue"/>
            <w:tcBorders>
              <w:top w:val="nil"/>
              <w:left w:val="single" w:color="000000" w:sz="4" w:space="0"/>
              <w:bottom w:val="single" w:color="000000" w:sz="4" w:space="0"/>
              <w:right w:val="nil"/>
            </w:tcBorders>
            <w:vAlign w:val="center"/>
          </w:tcPr>
          <w:p w14:paraId="0CF4D175">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27142982">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4B8915F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数据资源申请</w:t>
            </w:r>
          </w:p>
        </w:tc>
        <w:tc>
          <w:tcPr>
            <w:tcW w:w="4586" w:type="dxa"/>
            <w:tcBorders>
              <w:top w:val="single" w:color="000000" w:sz="4" w:space="0"/>
              <w:left w:val="single" w:color="000000" w:sz="4" w:space="0"/>
              <w:bottom w:val="single" w:color="000000" w:sz="4" w:space="0"/>
              <w:right w:val="single" w:color="000000" w:sz="4" w:space="0"/>
            </w:tcBorders>
            <w:vAlign w:val="center"/>
          </w:tcPr>
          <w:p w14:paraId="651BEE2E">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提供数据资源申请功能，可以在个人中心中查看资源审批状态，审批通过后，用户可以使用信息资源门户提供的资源和服务。</w:t>
            </w:r>
          </w:p>
        </w:tc>
        <w:tc>
          <w:tcPr>
            <w:tcW w:w="0" w:type="auto"/>
            <w:tcBorders>
              <w:top w:val="single" w:color="000000" w:sz="4" w:space="0"/>
              <w:left w:val="single" w:color="000000" w:sz="4" w:space="0"/>
              <w:bottom w:val="single" w:color="000000" w:sz="4" w:space="0"/>
              <w:right w:val="single" w:color="000000" w:sz="4" w:space="0"/>
            </w:tcBorders>
            <w:vAlign w:val="center"/>
          </w:tcPr>
          <w:p w14:paraId="7B8D51E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78CA43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13973257">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0A14F9A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47</w:t>
            </w:r>
          </w:p>
        </w:tc>
        <w:tc>
          <w:tcPr>
            <w:tcW w:w="0" w:type="auto"/>
            <w:vMerge w:val="continue"/>
            <w:tcBorders>
              <w:top w:val="nil"/>
              <w:left w:val="single" w:color="000000" w:sz="4" w:space="0"/>
              <w:bottom w:val="single" w:color="000000" w:sz="4" w:space="0"/>
              <w:right w:val="nil"/>
            </w:tcBorders>
            <w:vAlign w:val="center"/>
          </w:tcPr>
          <w:p w14:paraId="61BA6D1C">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47F8A529">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28E4F58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数据资源审核</w:t>
            </w:r>
          </w:p>
        </w:tc>
        <w:tc>
          <w:tcPr>
            <w:tcW w:w="4586" w:type="dxa"/>
            <w:tcBorders>
              <w:top w:val="single" w:color="000000" w:sz="4" w:space="0"/>
              <w:left w:val="single" w:color="000000" w:sz="4" w:space="0"/>
              <w:bottom w:val="single" w:color="000000" w:sz="4" w:space="0"/>
              <w:right w:val="single" w:color="000000" w:sz="4" w:space="0"/>
            </w:tcBorders>
            <w:vAlign w:val="center"/>
          </w:tcPr>
          <w:p w14:paraId="72AB2702">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提供数据资源审核功能柜，通过配置审核流程及审批人，通过申请表单填写，执行审核。</w:t>
            </w:r>
          </w:p>
        </w:tc>
        <w:tc>
          <w:tcPr>
            <w:tcW w:w="0" w:type="auto"/>
            <w:tcBorders>
              <w:top w:val="single" w:color="000000" w:sz="4" w:space="0"/>
              <w:left w:val="single" w:color="000000" w:sz="4" w:space="0"/>
              <w:bottom w:val="single" w:color="000000" w:sz="4" w:space="0"/>
              <w:right w:val="single" w:color="000000" w:sz="4" w:space="0"/>
            </w:tcBorders>
            <w:vAlign w:val="center"/>
          </w:tcPr>
          <w:p w14:paraId="2B046D1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3D8EA08">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30DA34EC">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A72E9A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48</w:t>
            </w:r>
          </w:p>
        </w:tc>
        <w:tc>
          <w:tcPr>
            <w:tcW w:w="0" w:type="auto"/>
            <w:vMerge w:val="continue"/>
            <w:tcBorders>
              <w:top w:val="nil"/>
              <w:left w:val="single" w:color="000000" w:sz="4" w:space="0"/>
              <w:bottom w:val="single" w:color="000000" w:sz="4" w:space="0"/>
              <w:right w:val="nil"/>
            </w:tcBorders>
            <w:vAlign w:val="center"/>
          </w:tcPr>
          <w:p w14:paraId="15799DE8">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75AB8DA4">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5165CDE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数据资源共享配置</w:t>
            </w:r>
          </w:p>
        </w:tc>
        <w:tc>
          <w:tcPr>
            <w:tcW w:w="4586" w:type="dxa"/>
            <w:tcBorders>
              <w:top w:val="single" w:color="000000" w:sz="4" w:space="0"/>
              <w:left w:val="single" w:color="000000" w:sz="4" w:space="0"/>
              <w:bottom w:val="single" w:color="000000" w:sz="4" w:space="0"/>
              <w:right w:val="single" w:color="000000" w:sz="4" w:space="0"/>
            </w:tcBorders>
            <w:vAlign w:val="center"/>
          </w:tcPr>
          <w:p w14:paraId="4999048A">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提供数据资源共享配置功能，支持页面配置、目录配置、流程配置、应用配置等功能。</w:t>
            </w:r>
          </w:p>
        </w:tc>
        <w:tc>
          <w:tcPr>
            <w:tcW w:w="0" w:type="auto"/>
            <w:tcBorders>
              <w:top w:val="single" w:color="000000" w:sz="4" w:space="0"/>
              <w:left w:val="single" w:color="000000" w:sz="4" w:space="0"/>
              <w:bottom w:val="single" w:color="000000" w:sz="4" w:space="0"/>
              <w:right w:val="single" w:color="000000" w:sz="4" w:space="0"/>
            </w:tcBorders>
            <w:vAlign w:val="center"/>
          </w:tcPr>
          <w:p w14:paraId="0E4FF20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C040255">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53102B0A">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3E2D047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49</w:t>
            </w:r>
          </w:p>
        </w:tc>
        <w:tc>
          <w:tcPr>
            <w:tcW w:w="0" w:type="auto"/>
            <w:vMerge w:val="continue"/>
            <w:tcBorders>
              <w:top w:val="nil"/>
              <w:left w:val="single" w:color="000000" w:sz="4" w:space="0"/>
              <w:bottom w:val="single" w:color="000000" w:sz="4" w:space="0"/>
              <w:right w:val="nil"/>
            </w:tcBorders>
            <w:vAlign w:val="center"/>
          </w:tcPr>
          <w:p w14:paraId="60124FE8">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399053F8">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70F21F0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数据资源共享关联</w:t>
            </w:r>
          </w:p>
        </w:tc>
        <w:tc>
          <w:tcPr>
            <w:tcW w:w="4586" w:type="dxa"/>
            <w:tcBorders>
              <w:top w:val="single" w:color="000000" w:sz="4" w:space="0"/>
              <w:left w:val="single" w:color="000000" w:sz="4" w:space="0"/>
              <w:bottom w:val="single" w:color="000000" w:sz="4" w:space="0"/>
              <w:right w:val="single" w:color="000000" w:sz="4" w:space="0"/>
            </w:tcBorders>
            <w:vAlign w:val="center"/>
          </w:tcPr>
          <w:p w14:paraId="139CD910">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提供通过目录关联数据服务的功能，通过设置目录，挂接相应的数据资源接口服务。</w:t>
            </w:r>
          </w:p>
        </w:tc>
        <w:tc>
          <w:tcPr>
            <w:tcW w:w="0" w:type="auto"/>
            <w:tcBorders>
              <w:top w:val="single" w:color="000000" w:sz="4" w:space="0"/>
              <w:left w:val="single" w:color="000000" w:sz="4" w:space="0"/>
              <w:bottom w:val="single" w:color="000000" w:sz="4" w:space="0"/>
              <w:right w:val="single" w:color="000000" w:sz="4" w:space="0"/>
            </w:tcBorders>
            <w:vAlign w:val="center"/>
          </w:tcPr>
          <w:p w14:paraId="033FF0FD">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70CD9E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384792D8">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E50115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50</w:t>
            </w:r>
          </w:p>
        </w:tc>
        <w:tc>
          <w:tcPr>
            <w:tcW w:w="0" w:type="auto"/>
            <w:vMerge w:val="continue"/>
            <w:tcBorders>
              <w:top w:val="nil"/>
              <w:left w:val="single" w:color="000000" w:sz="4" w:space="0"/>
              <w:bottom w:val="single" w:color="000000" w:sz="4" w:space="0"/>
              <w:right w:val="nil"/>
            </w:tcBorders>
            <w:vAlign w:val="center"/>
          </w:tcPr>
          <w:p w14:paraId="50B660B1">
            <w:pPr>
              <w:widowControl/>
              <w:snapToGrid w:val="0"/>
              <w:spacing w:line="240" w:lineRule="auto"/>
              <w:jc w:val="center"/>
              <w:rPr>
                <w:rFonts w:hint="eastAsia" w:ascii="宋体" w:hAnsi="宋体" w:eastAsia="宋体" w:cs="宋体"/>
                <w:b/>
                <w:bCs/>
                <w:color w:val="000000"/>
                <w:sz w:val="21"/>
                <w:szCs w:val="21"/>
              </w:rPr>
            </w:pPr>
          </w:p>
        </w:tc>
        <w:tc>
          <w:tcPr>
            <w:tcW w:w="824" w:type="dxa"/>
            <w:vMerge w:val="continue"/>
            <w:tcBorders>
              <w:top w:val="single" w:color="000000" w:sz="4" w:space="0"/>
              <w:left w:val="single" w:color="000000" w:sz="4" w:space="0"/>
              <w:bottom w:val="single" w:color="000000" w:sz="4" w:space="0"/>
              <w:right w:val="single" w:color="000000" w:sz="4" w:space="0"/>
            </w:tcBorders>
            <w:vAlign w:val="center"/>
          </w:tcPr>
          <w:p w14:paraId="7FA84C93">
            <w:pPr>
              <w:widowControl/>
              <w:snapToGrid w:val="0"/>
              <w:spacing w:line="240" w:lineRule="auto"/>
              <w:jc w:val="center"/>
              <w:rPr>
                <w:rFonts w:hint="eastAsia" w:ascii="宋体" w:hAnsi="宋体" w:eastAsia="宋体" w:cs="宋体"/>
                <w:color w:val="000000"/>
                <w:sz w:val="21"/>
                <w:szCs w:val="21"/>
              </w:rPr>
            </w:pPr>
          </w:p>
        </w:tc>
        <w:tc>
          <w:tcPr>
            <w:tcW w:w="951" w:type="dxa"/>
            <w:tcBorders>
              <w:top w:val="single" w:color="000000" w:sz="4" w:space="0"/>
              <w:left w:val="single" w:color="000000" w:sz="4" w:space="0"/>
              <w:bottom w:val="single" w:color="000000" w:sz="4" w:space="0"/>
              <w:right w:val="single" w:color="000000" w:sz="4" w:space="0"/>
            </w:tcBorders>
            <w:vAlign w:val="center"/>
          </w:tcPr>
          <w:p w14:paraId="768EA14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数据资源调用及查看</w:t>
            </w:r>
          </w:p>
        </w:tc>
        <w:tc>
          <w:tcPr>
            <w:tcW w:w="4586" w:type="dxa"/>
            <w:tcBorders>
              <w:top w:val="single" w:color="000000" w:sz="4" w:space="0"/>
              <w:left w:val="single" w:color="000000" w:sz="4" w:space="0"/>
              <w:bottom w:val="single" w:color="000000" w:sz="4" w:space="0"/>
              <w:right w:val="single" w:color="000000" w:sz="4" w:space="0"/>
            </w:tcBorders>
            <w:vAlign w:val="center"/>
          </w:tcPr>
          <w:p w14:paraId="58CE26FD">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支持通过实现数据和服务的发布、获取，以及整体的运维运营。</w:t>
            </w:r>
          </w:p>
        </w:tc>
        <w:tc>
          <w:tcPr>
            <w:tcW w:w="0" w:type="auto"/>
            <w:tcBorders>
              <w:top w:val="single" w:color="000000" w:sz="4" w:space="0"/>
              <w:left w:val="single" w:color="000000" w:sz="4" w:space="0"/>
              <w:bottom w:val="single" w:color="000000" w:sz="4" w:space="0"/>
              <w:right w:val="single" w:color="000000" w:sz="4" w:space="0"/>
            </w:tcBorders>
            <w:vAlign w:val="center"/>
          </w:tcPr>
          <w:p w14:paraId="77BA9E0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D4DAF3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2B6D7365">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CD9355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51</w:t>
            </w:r>
          </w:p>
        </w:tc>
        <w:tc>
          <w:tcPr>
            <w:tcW w:w="0" w:type="auto"/>
            <w:vMerge w:val="continue"/>
            <w:tcBorders>
              <w:top w:val="nil"/>
              <w:left w:val="single" w:color="000000" w:sz="4" w:space="0"/>
              <w:bottom w:val="single" w:color="000000" w:sz="4" w:space="0"/>
              <w:right w:val="nil"/>
            </w:tcBorders>
            <w:vAlign w:val="center"/>
          </w:tcPr>
          <w:p w14:paraId="23E058BF">
            <w:pPr>
              <w:widowControl/>
              <w:snapToGrid w:val="0"/>
              <w:spacing w:line="240" w:lineRule="auto"/>
              <w:jc w:val="center"/>
              <w:rPr>
                <w:rFonts w:hint="eastAsia" w:ascii="宋体" w:hAnsi="宋体" w:eastAsia="宋体" w:cs="宋体"/>
                <w:b/>
                <w:bCs/>
                <w:color w:val="000000"/>
                <w:sz w:val="21"/>
                <w:szCs w:val="21"/>
              </w:rPr>
            </w:pPr>
          </w:p>
        </w:tc>
        <w:tc>
          <w:tcPr>
            <w:tcW w:w="824" w:type="dxa"/>
            <w:tcBorders>
              <w:top w:val="single" w:color="000000" w:sz="4" w:space="0"/>
              <w:left w:val="single" w:color="000000" w:sz="4" w:space="0"/>
              <w:bottom w:val="single" w:color="000000" w:sz="4" w:space="0"/>
              <w:right w:val="single" w:color="000000" w:sz="4" w:space="0"/>
            </w:tcBorders>
            <w:vAlign w:val="center"/>
          </w:tcPr>
          <w:p w14:paraId="70B960D0">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数据运维管理</w:t>
            </w:r>
          </w:p>
        </w:tc>
        <w:tc>
          <w:tcPr>
            <w:tcW w:w="951" w:type="dxa"/>
            <w:tcBorders>
              <w:top w:val="single" w:color="000000" w:sz="4" w:space="0"/>
              <w:left w:val="single" w:color="000000" w:sz="4" w:space="0"/>
              <w:bottom w:val="single" w:color="000000" w:sz="4" w:space="0"/>
              <w:right w:val="single" w:color="000000" w:sz="4" w:space="0"/>
            </w:tcBorders>
            <w:vAlign w:val="center"/>
          </w:tcPr>
          <w:p w14:paraId="12C40C1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数据运维组件</w:t>
            </w:r>
          </w:p>
        </w:tc>
        <w:tc>
          <w:tcPr>
            <w:tcW w:w="4586" w:type="dxa"/>
            <w:tcBorders>
              <w:top w:val="single" w:color="000000" w:sz="4" w:space="0"/>
              <w:left w:val="single" w:color="000000" w:sz="4" w:space="0"/>
              <w:bottom w:val="single" w:color="000000" w:sz="4" w:space="0"/>
              <w:right w:val="single" w:color="000000" w:sz="4" w:space="0"/>
            </w:tcBorders>
            <w:vAlign w:val="center"/>
          </w:tcPr>
          <w:p w14:paraId="060FAF70">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提供主机、服务、应用、数据、日志等不同内容额度监控功能，通过一体化可视页面对以上内容进行监控，实现数据平台的整体运维管理。</w:t>
            </w:r>
          </w:p>
        </w:tc>
        <w:tc>
          <w:tcPr>
            <w:tcW w:w="0" w:type="auto"/>
            <w:tcBorders>
              <w:top w:val="single" w:color="000000" w:sz="4" w:space="0"/>
              <w:left w:val="single" w:color="000000" w:sz="4" w:space="0"/>
              <w:bottom w:val="single" w:color="000000" w:sz="4" w:space="0"/>
              <w:right w:val="single" w:color="000000" w:sz="4" w:space="0"/>
            </w:tcBorders>
            <w:vAlign w:val="center"/>
          </w:tcPr>
          <w:p w14:paraId="22CA0533">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B36412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r w14:paraId="172B2353">
        <w:tblPrEx>
          <w:tblCellMar>
            <w:top w:w="32" w:type="dxa"/>
            <w:left w:w="64" w:type="dxa"/>
            <w:bottom w:w="32" w:type="dxa"/>
            <w:right w:w="64"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14:paraId="20F0AC7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52</w:t>
            </w:r>
          </w:p>
        </w:tc>
        <w:tc>
          <w:tcPr>
            <w:tcW w:w="0" w:type="auto"/>
            <w:vMerge w:val="continue"/>
            <w:tcBorders>
              <w:top w:val="nil"/>
              <w:left w:val="single" w:color="000000" w:sz="4" w:space="0"/>
              <w:bottom w:val="single" w:color="000000" w:sz="4" w:space="0"/>
              <w:right w:val="nil"/>
            </w:tcBorders>
            <w:vAlign w:val="center"/>
          </w:tcPr>
          <w:p w14:paraId="4C14B1E9">
            <w:pPr>
              <w:widowControl/>
              <w:snapToGrid w:val="0"/>
              <w:spacing w:line="240" w:lineRule="auto"/>
              <w:jc w:val="center"/>
              <w:rPr>
                <w:rFonts w:hint="eastAsia" w:ascii="宋体" w:hAnsi="宋体" w:eastAsia="宋体" w:cs="宋体"/>
                <w:b/>
                <w:bCs/>
                <w:color w:val="000000"/>
                <w:sz w:val="21"/>
                <w:szCs w:val="21"/>
              </w:rPr>
            </w:pPr>
          </w:p>
        </w:tc>
        <w:tc>
          <w:tcPr>
            <w:tcW w:w="824" w:type="dxa"/>
            <w:tcBorders>
              <w:top w:val="single" w:color="000000" w:sz="4" w:space="0"/>
              <w:left w:val="single" w:color="000000" w:sz="4" w:space="0"/>
              <w:bottom w:val="single" w:color="000000" w:sz="4" w:space="0"/>
              <w:right w:val="single" w:color="000000" w:sz="4" w:space="0"/>
            </w:tcBorders>
            <w:vAlign w:val="center"/>
          </w:tcPr>
          <w:p w14:paraId="50FA1455">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数据开发管理</w:t>
            </w:r>
          </w:p>
        </w:tc>
        <w:tc>
          <w:tcPr>
            <w:tcW w:w="951" w:type="dxa"/>
            <w:tcBorders>
              <w:top w:val="single" w:color="000000" w:sz="4" w:space="0"/>
              <w:left w:val="single" w:color="000000" w:sz="4" w:space="0"/>
              <w:bottom w:val="single" w:color="000000" w:sz="4" w:space="0"/>
              <w:right w:val="single" w:color="000000" w:sz="4" w:space="0"/>
            </w:tcBorders>
            <w:vAlign w:val="center"/>
          </w:tcPr>
          <w:p w14:paraId="24EACECE">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数据开发系统</w:t>
            </w:r>
          </w:p>
        </w:tc>
        <w:tc>
          <w:tcPr>
            <w:tcW w:w="4586" w:type="dxa"/>
            <w:tcBorders>
              <w:top w:val="single" w:color="000000" w:sz="4" w:space="0"/>
              <w:left w:val="single" w:color="000000" w:sz="4" w:space="0"/>
              <w:bottom w:val="single" w:color="000000" w:sz="4" w:space="0"/>
              <w:right w:val="single" w:color="000000" w:sz="4" w:space="0"/>
            </w:tcBorders>
            <w:vAlign w:val="center"/>
          </w:tcPr>
          <w:p w14:paraId="5F0C8B14">
            <w:pPr>
              <w:widowControl/>
              <w:snapToGrid w:val="0"/>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面向业务场景开发主、专题数据模型，支持任务节点开发，可实现数据集成、清洗、转换、过滤；支持调度管理，包括一次性调度与周期性调度，其中周期性调度应支持按分钟、小时、日、周、月、年调度，工作流可跨周期依赖；具备启停功能，支持工作流重跑。</w:t>
            </w:r>
          </w:p>
        </w:tc>
        <w:tc>
          <w:tcPr>
            <w:tcW w:w="0" w:type="auto"/>
            <w:tcBorders>
              <w:top w:val="single" w:color="000000" w:sz="4" w:space="0"/>
              <w:left w:val="single" w:color="000000" w:sz="4" w:space="0"/>
              <w:bottom w:val="single" w:color="000000" w:sz="4" w:space="0"/>
              <w:right w:val="single" w:color="000000" w:sz="4" w:space="0"/>
            </w:tcBorders>
            <w:vAlign w:val="center"/>
          </w:tcPr>
          <w:p w14:paraId="7F405AB9">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2E570F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r>
    </w:tbl>
    <w:p w14:paraId="6CF6E318"/>
    <w:p w14:paraId="5672F58C">
      <w:pPr>
        <w:pStyle w:val="5"/>
      </w:pPr>
      <w:r>
        <w:rPr>
          <w:rFonts w:hint="eastAsia"/>
        </w:rPr>
        <w:t>数据服务具体内容</w:t>
      </w:r>
    </w:p>
    <w:p w14:paraId="1342D002">
      <w:pPr>
        <w:pStyle w:val="9"/>
      </w:pPr>
      <w:r>
        <w:rPr>
          <w:rFonts w:hint="eastAsia"/>
        </w:rPr>
        <w:t>表1-3 本次建设内容（服务）</w:t>
      </w:r>
    </w:p>
    <w:tbl>
      <w:tblPr>
        <w:tblStyle w:val="2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6" w:type="dxa"/>
          <w:left w:w="96" w:type="dxa"/>
          <w:bottom w:w="56" w:type="dxa"/>
          <w:right w:w="96" w:type="dxa"/>
        </w:tblCellMar>
      </w:tblPr>
      <w:tblGrid>
        <w:gridCol w:w="739"/>
        <w:gridCol w:w="1406"/>
        <w:gridCol w:w="1962"/>
        <w:gridCol w:w="5153"/>
      </w:tblGrid>
      <w:tr w14:paraId="7B79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tblHeader/>
          <w:jc w:val="center"/>
        </w:trPr>
        <w:tc>
          <w:tcPr>
            <w:tcW w:w="399" w:type="pct"/>
            <w:vAlign w:val="center"/>
          </w:tcPr>
          <w:p w14:paraId="05328F88">
            <w:pPr>
              <w:widowControl/>
              <w:snapToGrid w:val="0"/>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序号</w:t>
            </w:r>
          </w:p>
        </w:tc>
        <w:tc>
          <w:tcPr>
            <w:tcW w:w="759" w:type="pct"/>
            <w:vAlign w:val="center"/>
          </w:tcPr>
          <w:p w14:paraId="7FB90DB9">
            <w:pPr>
              <w:widowControl/>
              <w:snapToGrid w:val="0"/>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建设内容</w:t>
            </w:r>
          </w:p>
        </w:tc>
        <w:tc>
          <w:tcPr>
            <w:tcW w:w="1059" w:type="pct"/>
            <w:vAlign w:val="center"/>
          </w:tcPr>
          <w:p w14:paraId="795070AF">
            <w:pPr>
              <w:widowControl/>
              <w:snapToGrid w:val="0"/>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一级功能模块</w:t>
            </w:r>
          </w:p>
        </w:tc>
        <w:tc>
          <w:tcPr>
            <w:tcW w:w="2782" w:type="pct"/>
            <w:vAlign w:val="center"/>
          </w:tcPr>
          <w:p w14:paraId="1DFFDACB">
            <w:pPr>
              <w:widowControl/>
              <w:snapToGrid w:val="0"/>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二级功能模块</w:t>
            </w:r>
          </w:p>
        </w:tc>
      </w:tr>
      <w:tr w14:paraId="399F4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jc w:val="center"/>
        </w:trPr>
        <w:tc>
          <w:tcPr>
            <w:tcW w:w="399" w:type="pct"/>
            <w:vAlign w:val="center"/>
          </w:tcPr>
          <w:p w14:paraId="7AD42AD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759" w:type="pct"/>
            <w:vMerge w:val="restart"/>
            <w:vAlign w:val="center"/>
          </w:tcPr>
          <w:p w14:paraId="387D05FA">
            <w:pPr>
              <w:widowControl/>
              <w:snapToGrid w:val="0"/>
              <w:spacing w:line="24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数据治理服务(交通局下辖单位和第三方运营公司共计48个业务系统数据)</w:t>
            </w:r>
          </w:p>
        </w:tc>
        <w:tc>
          <w:tcPr>
            <w:tcW w:w="1059" w:type="pct"/>
            <w:vAlign w:val="center"/>
          </w:tcPr>
          <w:p w14:paraId="2F5B096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数据标准规范建设服务</w:t>
            </w:r>
          </w:p>
        </w:tc>
        <w:tc>
          <w:tcPr>
            <w:tcW w:w="2782" w:type="pct"/>
            <w:shd w:val="clear" w:color="auto" w:fill="FFFFFF"/>
            <w:vAlign w:val="center"/>
          </w:tcPr>
          <w:p w14:paraId="5283CBF8">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1.制定数据标准流程规范文档；</w:t>
            </w:r>
          </w:p>
          <w:p w14:paraId="2534BAFE">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2.制定数据标准管理流程；</w:t>
            </w:r>
          </w:p>
          <w:p w14:paraId="72F66A34">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3.制定数据交换标准和方式；</w:t>
            </w:r>
          </w:p>
          <w:p w14:paraId="7255351D">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4.制定输出各类标准规范；</w:t>
            </w:r>
          </w:p>
          <w:p w14:paraId="49E38CD9">
            <w:pPr>
              <w:widowControl/>
              <w:snapToGrid w:val="0"/>
              <w:spacing w:line="24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5.标准规范评审。</w:t>
            </w:r>
          </w:p>
        </w:tc>
      </w:tr>
      <w:tr w14:paraId="64172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jc w:val="center"/>
        </w:trPr>
        <w:tc>
          <w:tcPr>
            <w:tcW w:w="399" w:type="pct"/>
            <w:vAlign w:val="center"/>
          </w:tcPr>
          <w:p w14:paraId="2FBF85F2">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759" w:type="pct"/>
            <w:vMerge w:val="continue"/>
            <w:vAlign w:val="center"/>
          </w:tcPr>
          <w:p w14:paraId="61826B4E">
            <w:pPr>
              <w:widowControl/>
              <w:snapToGrid w:val="0"/>
              <w:spacing w:line="240" w:lineRule="auto"/>
              <w:jc w:val="left"/>
              <w:rPr>
                <w:rFonts w:hint="eastAsia" w:ascii="宋体" w:hAnsi="宋体" w:eastAsia="宋体" w:cs="宋体"/>
                <w:color w:val="000000"/>
                <w:sz w:val="21"/>
                <w:szCs w:val="21"/>
              </w:rPr>
            </w:pPr>
          </w:p>
        </w:tc>
        <w:tc>
          <w:tcPr>
            <w:tcW w:w="1059" w:type="pct"/>
            <w:vAlign w:val="center"/>
          </w:tcPr>
          <w:p w14:paraId="635B79BB">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数据调研实施服务</w:t>
            </w:r>
          </w:p>
        </w:tc>
        <w:tc>
          <w:tcPr>
            <w:tcW w:w="2782" w:type="pct"/>
            <w:shd w:val="clear" w:color="auto" w:fill="FFFFFF"/>
            <w:vAlign w:val="center"/>
          </w:tcPr>
          <w:p w14:paraId="4759F870">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1.数据调研计划</w:t>
            </w:r>
          </w:p>
          <w:p w14:paraId="619CC40A">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2.数据调研内容准备</w:t>
            </w:r>
          </w:p>
          <w:p w14:paraId="5619AE4A">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3.访问调研，记录调研内容</w:t>
            </w:r>
          </w:p>
          <w:p w14:paraId="324033FC">
            <w:pPr>
              <w:widowControl/>
              <w:snapToGrid w:val="0"/>
              <w:spacing w:line="24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4.整理调研资料，形成可以支撑后续归集、治理和共享的资料。</w:t>
            </w:r>
          </w:p>
        </w:tc>
      </w:tr>
      <w:tr w14:paraId="5B081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jc w:val="center"/>
        </w:trPr>
        <w:tc>
          <w:tcPr>
            <w:tcW w:w="399" w:type="pct"/>
            <w:vAlign w:val="center"/>
          </w:tcPr>
          <w:p w14:paraId="667FBFC6">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w:t>
            </w:r>
          </w:p>
        </w:tc>
        <w:tc>
          <w:tcPr>
            <w:tcW w:w="759" w:type="pct"/>
            <w:vMerge w:val="continue"/>
            <w:vAlign w:val="center"/>
          </w:tcPr>
          <w:p w14:paraId="4DECF91A">
            <w:pPr>
              <w:widowControl/>
              <w:snapToGrid w:val="0"/>
              <w:spacing w:line="240" w:lineRule="auto"/>
              <w:jc w:val="left"/>
              <w:rPr>
                <w:rFonts w:hint="eastAsia" w:ascii="宋体" w:hAnsi="宋体" w:eastAsia="宋体" w:cs="宋体"/>
                <w:color w:val="000000"/>
                <w:sz w:val="21"/>
                <w:szCs w:val="21"/>
              </w:rPr>
            </w:pPr>
          </w:p>
        </w:tc>
        <w:tc>
          <w:tcPr>
            <w:tcW w:w="1059" w:type="pct"/>
            <w:vAlign w:val="center"/>
          </w:tcPr>
          <w:p w14:paraId="171D430C">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数据归集实施服务</w:t>
            </w:r>
          </w:p>
        </w:tc>
        <w:tc>
          <w:tcPr>
            <w:tcW w:w="2782" w:type="pct"/>
            <w:shd w:val="clear" w:color="auto" w:fill="FFFFFF"/>
            <w:vAlign w:val="center"/>
          </w:tcPr>
          <w:p w14:paraId="58A1ECB7">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1.按照调研内容，接入各业务系统数据至数据采集平台</w:t>
            </w:r>
          </w:p>
          <w:p w14:paraId="5702FBA6">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2.根据数据表的情况（数据量大小、数据重要程度），对表进行全量、增量数据接入</w:t>
            </w:r>
          </w:p>
          <w:p w14:paraId="287D00F9">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3.数据分区的选择和设计</w:t>
            </w:r>
          </w:p>
          <w:p w14:paraId="5E9B18FC">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4.接入过程中的数据对比，减少数据接入时数据缺失的问题</w:t>
            </w:r>
          </w:p>
          <w:p w14:paraId="7F1A7527">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5.编写自动的数据接入脚本，以T+1、T+N的形式对数据进行接入</w:t>
            </w:r>
          </w:p>
          <w:p w14:paraId="350D51CE">
            <w:pPr>
              <w:widowControl/>
              <w:snapToGrid w:val="0"/>
              <w:spacing w:line="24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6.接入各种不同格式、不同源业务系统的数据</w:t>
            </w:r>
          </w:p>
        </w:tc>
      </w:tr>
      <w:tr w14:paraId="1656C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jc w:val="center"/>
        </w:trPr>
        <w:tc>
          <w:tcPr>
            <w:tcW w:w="399" w:type="pct"/>
            <w:vAlign w:val="center"/>
          </w:tcPr>
          <w:p w14:paraId="5F69D43F">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759" w:type="pct"/>
            <w:vMerge w:val="continue"/>
            <w:vAlign w:val="center"/>
          </w:tcPr>
          <w:p w14:paraId="7A0061C1">
            <w:pPr>
              <w:widowControl/>
              <w:snapToGrid w:val="0"/>
              <w:spacing w:line="240" w:lineRule="auto"/>
              <w:jc w:val="left"/>
              <w:rPr>
                <w:rFonts w:hint="eastAsia" w:ascii="宋体" w:hAnsi="宋体" w:eastAsia="宋体" w:cs="宋体"/>
                <w:color w:val="000000"/>
                <w:sz w:val="21"/>
                <w:szCs w:val="21"/>
              </w:rPr>
            </w:pPr>
          </w:p>
        </w:tc>
        <w:tc>
          <w:tcPr>
            <w:tcW w:w="1059" w:type="pct"/>
            <w:vAlign w:val="center"/>
          </w:tcPr>
          <w:p w14:paraId="7BB32664">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数据治理实施服务</w:t>
            </w:r>
          </w:p>
        </w:tc>
        <w:tc>
          <w:tcPr>
            <w:tcW w:w="2782" w:type="pct"/>
            <w:shd w:val="clear" w:color="auto" w:fill="FFFFFF"/>
            <w:vAlign w:val="center"/>
          </w:tcPr>
          <w:p w14:paraId="22D4BF25">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1.元数据治理；</w:t>
            </w:r>
          </w:p>
          <w:p w14:paraId="56B5A8CF">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2.基础库数据治理</w:t>
            </w:r>
          </w:p>
          <w:p w14:paraId="1219FA26">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3.主题库数据治理</w:t>
            </w:r>
          </w:p>
          <w:p w14:paraId="099E3B55">
            <w:pPr>
              <w:widowControl/>
              <w:snapToGrid w:val="0"/>
              <w:spacing w:line="24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4.专题库数据治理</w:t>
            </w:r>
          </w:p>
        </w:tc>
      </w:tr>
      <w:tr w14:paraId="3A10F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6" w:type="dxa"/>
            <w:left w:w="96" w:type="dxa"/>
            <w:bottom w:w="56" w:type="dxa"/>
            <w:right w:w="96" w:type="dxa"/>
          </w:tblCellMar>
        </w:tblPrEx>
        <w:trPr>
          <w:jc w:val="center"/>
        </w:trPr>
        <w:tc>
          <w:tcPr>
            <w:tcW w:w="399" w:type="pct"/>
            <w:vAlign w:val="center"/>
          </w:tcPr>
          <w:p w14:paraId="1B707281">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w:t>
            </w:r>
          </w:p>
        </w:tc>
        <w:tc>
          <w:tcPr>
            <w:tcW w:w="759" w:type="pct"/>
            <w:vMerge w:val="continue"/>
            <w:vAlign w:val="center"/>
          </w:tcPr>
          <w:p w14:paraId="43E57AF5">
            <w:pPr>
              <w:widowControl/>
              <w:snapToGrid w:val="0"/>
              <w:spacing w:line="240" w:lineRule="auto"/>
              <w:jc w:val="left"/>
              <w:rPr>
                <w:rFonts w:hint="eastAsia" w:ascii="宋体" w:hAnsi="宋体" w:eastAsia="宋体" w:cs="宋体"/>
                <w:color w:val="000000"/>
                <w:sz w:val="21"/>
                <w:szCs w:val="21"/>
              </w:rPr>
            </w:pPr>
          </w:p>
        </w:tc>
        <w:tc>
          <w:tcPr>
            <w:tcW w:w="1059" w:type="pct"/>
            <w:vAlign w:val="center"/>
          </w:tcPr>
          <w:p w14:paraId="55AAD667">
            <w:pPr>
              <w:widowControl/>
              <w:snapToGrid w:val="0"/>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数据共享实施服务</w:t>
            </w:r>
          </w:p>
        </w:tc>
        <w:tc>
          <w:tcPr>
            <w:tcW w:w="2782" w:type="pct"/>
            <w:shd w:val="clear" w:color="auto" w:fill="FFFFFF"/>
            <w:vAlign w:val="center"/>
          </w:tcPr>
          <w:p w14:paraId="15F01F9D">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1.目录设计实施服务</w:t>
            </w:r>
          </w:p>
          <w:p w14:paraId="37F9769E">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2.目录编制实施服务</w:t>
            </w:r>
          </w:p>
          <w:p w14:paraId="78486828">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3.目录挂载实施服务</w:t>
            </w:r>
          </w:p>
          <w:p w14:paraId="0CD0C1CB">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4.目录发布实施服务</w:t>
            </w:r>
          </w:p>
          <w:p w14:paraId="3FA73494">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5.目录维护更新服务</w:t>
            </w:r>
          </w:p>
          <w:p w14:paraId="0C98F593">
            <w:pPr>
              <w:widowControl/>
              <w:snapToGrid w:val="0"/>
              <w:spacing w:line="240" w:lineRule="auto"/>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6.协议配置实施服务</w:t>
            </w:r>
          </w:p>
          <w:p w14:paraId="6311B9C7">
            <w:pPr>
              <w:widowControl/>
              <w:snapToGrid w:val="0"/>
              <w:spacing w:line="24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7.目录管理实施服务</w:t>
            </w:r>
          </w:p>
        </w:tc>
      </w:tr>
    </w:tbl>
    <w:p w14:paraId="38A19899"/>
    <w:p w14:paraId="2A67E952">
      <w:pPr>
        <w:ind w:firstLine="482" w:firstLineChars="200"/>
        <w:rPr>
          <w:b/>
          <w:bCs/>
        </w:rPr>
      </w:pPr>
      <w:r>
        <w:rPr>
          <w:rFonts w:hint="eastAsia"/>
          <w:b/>
          <w:bCs/>
        </w:rPr>
        <w:t>一、数据接入任务</w:t>
      </w:r>
    </w:p>
    <w:p w14:paraId="6F6EAA0E">
      <w:pPr>
        <w:ind w:firstLine="480" w:firstLineChars="200"/>
      </w:pPr>
      <w:r>
        <w:rPr>
          <w:rFonts w:hint="eastAsia"/>
        </w:rPr>
        <w:t>本项目建设需要对榆林市交通局下属单位的数据进行统一接入收集，也涉及到省级系统和第三方公司的数据对接，对接任务表如下：</w:t>
      </w:r>
    </w:p>
    <w:p w14:paraId="037ECEEE">
      <w:pPr>
        <w:pStyle w:val="9"/>
      </w:pPr>
      <w:r>
        <w:rPr>
          <w:rFonts w:hint="eastAsia"/>
        </w:rPr>
        <w:t>表1-4</w:t>
      </w:r>
      <w:r>
        <w:t xml:space="preserve"> </w:t>
      </w:r>
      <w:r>
        <w:rPr>
          <w:rFonts w:hint="eastAsia"/>
        </w:rPr>
        <w:t>数据接入任务表</w:t>
      </w:r>
    </w:p>
    <w:tbl>
      <w:tblPr>
        <w:tblStyle w:val="21"/>
        <w:tblW w:w="4998" w:type="pct"/>
        <w:jc w:val="center"/>
        <w:tblLayout w:type="autofit"/>
        <w:tblCellMar>
          <w:top w:w="56" w:type="dxa"/>
          <w:left w:w="96" w:type="dxa"/>
          <w:bottom w:w="56" w:type="dxa"/>
          <w:right w:w="96" w:type="dxa"/>
        </w:tblCellMar>
      </w:tblPr>
      <w:tblGrid>
        <w:gridCol w:w="790"/>
        <w:gridCol w:w="1342"/>
        <w:gridCol w:w="1318"/>
        <w:gridCol w:w="1377"/>
        <w:gridCol w:w="3642"/>
        <w:gridCol w:w="791"/>
      </w:tblGrid>
      <w:tr w14:paraId="5D130C9F">
        <w:tblPrEx>
          <w:tblCellMar>
            <w:top w:w="56" w:type="dxa"/>
            <w:left w:w="96" w:type="dxa"/>
            <w:bottom w:w="56" w:type="dxa"/>
            <w:right w:w="96" w:type="dxa"/>
          </w:tblCellMar>
        </w:tblPrEx>
        <w:trPr>
          <w:tblHeader/>
          <w:jc w:val="center"/>
        </w:trPr>
        <w:tc>
          <w:tcPr>
            <w:tcW w:w="426" w:type="pct"/>
            <w:tcBorders>
              <w:top w:val="single" w:color="000000" w:sz="4" w:space="0"/>
              <w:left w:val="single" w:color="000000" w:sz="4" w:space="0"/>
              <w:bottom w:val="single" w:color="000000" w:sz="4" w:space="0"/>
              <w:right w:val="single" w:color="000000" w:sz="4" w:space="0"/>
            </w:tcBorders>
            <w:vAlign w:val="center"/>
          </w:tcPr>
          <w:p w14:paraId="32D52D0B">
            <w:pPr>
              <w:widowControl/>
              <w:snapToGrid w:val="0"/>
              <w:spacing w:line="240" w:lineRule="auto"/>
              <w:jc w:val="center"/>
              <w:rPr>
                <w:rFonts w:cs="宋体"/>
                <w:b/>
                <w:bCs/>
                <w:color w:val="000000"/>
                <w:kern w:val="0"/>
                <w:sz w:val="21"/>
                <w:szCs w:val="21"/>
              </w:rPr>
            </w:pPr>
            <w:r>
              <w:rPr>
                <w:rFonts w:hint="eastAsia" w:cs="宋体"/>
                <w:b/>
                <w:bCs/>
                <w:color w:val="000000"/>
                <w:kern w:val="0"/>
                <w:sz w:val="21"/>
                <w:szCs w:val="21"/>
              </w:rPr>
              <w:t>序号</w:t>
            </w:r>
          </w:p>
        </w:tc>
        <w:tc>
          <w:tcPr>
            <w:tcW w:w="724" w:type="pct"/>
            <w:tcBorders>
              <w:top w:val="single" w:color="000000" w:sz="4" w:space="0"/>
              <w:left w:val="single" w:color="000000" w:sz="4" w:space="0"/>
              <w:bottom w:val="single" w:color="000000" w:sz="4" w:space="0"/>
              <w:right w:val="single" w:color="000000" w:sz="4" w:space="0"/>
            </w:tcBorders>
            <w:vAlign w:val="center"/>
          </w:tcPr>
          <w:p w14:paraId="372DDBC2">
            <w:pPr>
              <w:widowControl/>
              <w:snapToGrid w:val="0"/>
              <w:spacing w:line="240" w:lineRule="auto"/>
              <w:jc w:val="center"/>
              <w:rPr>
                <w:rFonts w:cs="宋体"/>
                <w:b/>
                <w:bCs/>
                <w:color w:val="000000"/>
                <w:kern w:val="0"/>
                <w:sz w:val="21"/>
                <w:szCs w:val="21"/>
              </w:rPr>
            </w:pPr>
            <w:r>
              <w:rPr>
                <w:rFonts w:hint="eastAsia" w:cs="宋体"/>
                <w:b/>
                <w:bCs/>
                <w:color w:val="000000"/>
                <w:kern w:val="0"/>
                <w:sz w:val="21"/>
                <w:szCs w:val="21"/>
              </w:rPr>
              <w:t>所需数据名称</w:t>
            </w:r>
          </w:p>
        </w:tc>
        <w:tc>
          <w:tcPr>
            <w:tcW w:w="711" w:type="pct"/>
            <w:tcBorders>
              <w:top w:val="single" w:color="000000" w:sz="4" w:space="0"/>
              <w:left w:val="single" w:color="000000" w:sz="4" w:space="0"/>
              <w:bottom w:val="single" w:color="000000" w:sz="4" w:space="0"/>
              <w:right w:val="single" w:color="000000" w:sz="4" w:space="0"/>
            </w:tcBorders>
            <w:vAlign w:val="center"/>
          </w:tcPr>
          <w:p w14:paraId="7554765E">
            <w:pPr>
              <w:widowControl/>
              <w:snapToGrid w:val="0"/>
              <w:spacing w:line="240" w:lineRule="auto"/>
              <w:jc w:val="center"/>
              <w:rPr>
                <w:rFonts w:cs="宋体"/>
                <w:b/>
                <w:bCs/>
                <w:color w:val="000000"/>
                <w:kern w:val="0"/>
                <w:sz w:val="21"/>
                <w:szCs w:val="21"/>
              </w:rPr>
            </w:pPr>
            <w:r>
              <w:rPr>
                <w:rFonts w:hint="eastAsia" w:cs="宋体"/>
                <w:b/>
                <w:bCs/>
                <w:color w:val="000000"/>
                <w:kern w:val="0"/>
                <w:sz w:val="21"/>
                <w:szCs w:val="21"/>
              </w:rPr>
              <w:t>数据提供单位</w:t>
            </w:r>
          </w:p>
        </w:tc>
        <w:tc>
          <w:tcPr>
            <w:tcW w:w="743" w:type="pct"/>
            <w:tcBorders>
              <w:top w:val="single" w:color="000000" w:sz="4" w:space="0"/>
              <w:left w:val="single" w:color="000000" w:sz="4" w:space="0"/>
              <w:bottom w:val="single" w:color="000000" w:sz="4" w:space="0"/>
              <w:right w:val="single" w:color="000000" w:sz="4" w:space="0"/>
            </w:tcBorders>
            <w:vAlign w:val="center"/>
          </w:tcPr>
          <w:p w14:paraId="444DECA2">
            <w:pPr>
              <w:widowControl/>
              <w:snapToGrid w:val="0"/>
              <w:spacing w:line="240" w:lineRule="auto"/>
              <w:jc w:val="center"/>
              <w:rPr>
                <w:rFonts w:cs="宋体"/>
                <w:b/>
                <w:bCs/>
                <w:color w:val="000000"/>
                <w:kern w:val="0"/>
                <w:sz w:val="21"/>
                <w:szCs w:val="21"/>
              </w:rPr>
            </w:pPr>
            <w:r>
              <w:rPr>
                <w:rFonts w:hint="eastAsia" w:cs="宋体"/>
                <w:b/>
                <w:bCs/>
                <w:color w:val="000000"/>
                <w:kern w:val="0"/>
                <w:sz w:val="21"/>
                <w:szCs w:val="21"/>
              </w:rPr>
              <w:t>数据用途</w:t>
            </w:r>
          </w:p>
        </w:tc>
        <w:tc>
          <w:tcPr>
            <w:tcW w:w="1965" w:type="pct"/>
            <w:tcBorders>
              <w:top w:val="single" w:color="000000" w:sz="4" w:space="0"/>
              <w:left w:val="single" w:color="000000" w:sz="4" w:space="0"/>
              <w:bottom w:val="single" w:color="000000" w:sz="4" w:space="0"/>
              <w:right w:val="single" w:color="000000" w:sz="4" w:space="0"/>
            </w:tcBorders>
            <w:vAlign w:val="center"/>
          </w:tcPr>
          <w:p w14:paraId="7C7BDFAF">
            <w:pPr>
              <w:widowControl/>
              <w:snapToGrid w:val="0"/>
              <w:spacing w:line="240" w:lineRule="auto"/>
              <w:jc w:val="center"/>
              <w:rPr>
                <w:rFonts w:cs="宋体"/>
                <w:b/>
                <w:bCs/>
                <w:color w:val="000000"/>
                <w:kern w:val="0"/>
                <w:sz w:val="21"/>
                <w:szCs w:val="21"/>
              </w:rPr>
            </w:pPr>
            <w:r>
              <w:rPr>
                <w:rFonts w:hint="eastAsia" w:cs="宋体"/>
                <w:b/>
                <w:bCs/>
                <w:color w:val="000000"/>
                <w:kern w:val="0"/>
                <w:sz w:val="21"/>
                <w:szCs w:val="21"/>
              </w:rPr>
              <w:t>数据项</w:t>
            </w:r>
          </w:p>
        </w:tc>
        <w:tc>
          <w:tcPr>
            <w:tcW w:w="427" w:type="pct"/>
            <w:tcBorders>
              <w:top w:val="single" w:color="000000" w:sz="4" w:space="0"/>
              <w:left w:val="single" w:color="000000" w:sz="4" w:space="0"/>
              <w:bottom w:val="single" w:color="000000" w:sz="4" w:space="0"/>
              <w:right w:val="single" w:color="000000" w:sz="4" w:space="0"/>
            </w:tcBorders>
            <w:vAlign w:val="center"/>
          </w:tcPr>
          <w:p w14:paraId="37413ECD">
            <w:pPr>
              <w:widowControl/>
              <w:snapToGrid w:val="0"/>
              <w:spacing w:line="240" w:lineRule="auto"/>
              <w:jc w:val="center"/>
              <w:rPr>
                <w:rFonts w:cs="宋体"/>
                <w:b/>
                <w:bCs/>
                <w:color w:val="000000"/>
                <w:kern w:val="0"/>
                <w:sz w:val="21"/>
                <w:szCs w:val="21"/>
              </w:rPr>
            </w:pPr>
            <w:r>
              <w:rPr>
                <w:rFonts w:hint="eastAsia" w:cs="宋体"/>
                <w:b/>
                <w:bCs/>
                <w:color w:val="000000"/>
                <w:kern w:val="0"/>
                <w:sz w:val="21"/>
                <w:szCs w:val="21"/>
              </w:rPr>
              <w:t>备注</w:t>
            </w:r>
          </w:p>
        </w:tc>
      </w:tr>
      <w:tr w14:paraId="1B7A3BB5">
        <w:tblPrEx>
          <w:tblCellMar>
            <w:top w:w="56" w:type="dxa"/>
            <w:left w:w="96" w:type="dxa"/>
            <w:bottom w:w="56" w:type="dxa"/>
            <w:right w:w="96" w:type="dxa"/>
          </w:tblCellMar>
        </w:tblPrEx>
        <w:trPr>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3ED81AE9">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1</w:t>
            </w:r>
          </w:p>
        </w:tc>
        <w:tc>
          <w:tcPr>
            <w:tcW w:w="724" w:type="pct"/>
            <w:tcBorders>
              <w:top w:val="single" w:color="000000" w:sz="4" w:space="0"/>
              <w:left w:val="single" w:color="000000" w:sz="4" w:space="0"/>
              <w:bottom w:val="single" w:color="000000" w:sz="4" w:space="0"/>
              <w:right w:val="single" w:color="000000" w:sz="4" w:space="0"/>
            </w:tcBorders>
            <w:vAlign w:val="center"/>
          </w:tcPr>
          <w:p w14:paraId="038D2CBF">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路网信息</w:t>
            </w:r>
          </w:p>
        </w:tc>
        <w:tc>
          <w:tcPr>
            <w:tcW w:w="711" w:type="pct"/>
            <w:tcBorders>
              <w:top w:val="single" w:color="000000" w:sz="4" w:space="0"/>
              <w:left w:val="single" w:color="000000" w:sz="4" w:space="0"/>
              <w:bottom w:val="single" w:color="000000" w:sz="4" w:space="0"/>
              <w:right w:val="single" w:color="000000" w:sz="4" w:space="0"/>
            </w:tcBorders>
            <w:vAlign w:val="center"/>
          </w:tcPr>
          <w:p w14:paraId="59FA5588">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市公路局</w:t>
            </w:r>
          </w:p>
        </w:tc>
        <w:tc>
          <w:tcPr>
            <w:tcW w:w="743" w:type="pct"/>
            <w:tcBorders>
              <w:top w:val="single" w:color="000000" w:sz="4" w:space="0"/>
              <w:left w:val="single" w:color="000000" w:sz="4" w:space="0"/>
              <w:bottom w:val="single" w:color="000000" w:sz="4" w:space="0"/>
              <w:right w:val="single" w:color="000000" w:sz="4" w:space="0"/>
            </w:tcBorders>
            <w:vAlign w:val="center"/>
          </w:tcPr>
          <w:p w14:paraId="73B01A72">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用于展示城市整体路况信息</w:t>
            </w:r>
          </w:p>
        </w:tc>
        <w:tc>
          <w:tcPr>
            <w:tcW w:w="1965" w:type="pct"/>
            <w:tcBorders>
              <w:top w:val="single" w:color="000000" w:sz="4" w:space="0"/>
              <w:left w:val="single" w:color="000000" w:sz="4" w:space="0"/>
              <w:bottom w:val="single" w:color="000000" w:sz="4" w:space="0"/>
              <w:right w:val="single" w:color="000000" w:sz="4" w:space="0"/>
            </w:tcBorders>
            <w:vAlign w:val="center"/>
          </w:tcPr>
          <w:p w14:paraId="45F371AA">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交通事件信息、交通视频数据（重要路口、进出城主要通道、桥梁、涵洞、重要单位周边的视频，以及城市高点视频）、道路施工数据等</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275C501D">
            <w:pPr>
              <w:widowControl/>
              <w:snapToGrid w:val="0"/>
              <w:spacing w:line="240" w:lineRule="auto"/>
              <w:jc w:val="center"/>
              <w:rPr>
                <w:rFonts w:ascii="Calibri" w:cs="宋体"/>
                <w:color w:val="000000"/>
                <w:kern w:val="0"/>
                <w:sz w:val="21"/>
                <w:szCs w:val="21"/>
              </w:rPr>
            </w:pPr>
          </w:p>
        </w:tc>
      </w:tr>
      <w:tr w14:paraId="298FD4C7">
        <w:tblPrEx>
          <w:tblCellMar>
            <w:top w:w="56" w:type="dxa"/>
            <w:left w:w="96" w:type="dxa"/>
            <w:bottom w:w="56" w:type="dxa"/>
            <w:right w:w="96" w:type="dxa"/>
          </w:tblCellMar>
        </w:tblPrEx>
        <w:trPr>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3B515A0F">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2</w:t>
            </w:r>
          </w:p>
        </w:tc>
        <w:tc>
          <w:tcPr>
            <w:tcW w:w="724" w:type="pct"/>
            <w:tcBorders>
              <w:top w:val="single" w:color="000000" w:sz="4" w:space="0"/>
              <w:left w:val="single" w:color="000000" w:sz="4" w:space="0"/>
              <w:bottom w:val="single" w:color="000000" w:sz="4" w:space="0"/>
              <w:right w:val="single" w:color="000000" w:sz="4" w:space="0"/>
            </w:tcBorders>
            <w:vAlign w:val="center"/>
          </w:tcPr>
          <w:p w14:paraId="3AF8B9FB">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公路信息</w:t>
            </w:r>
          </w:p>
        </w:tc>
        <w:tc>
          <w:tcPr>
            <w:tcW w:w="711" w:type="pct"/>
            <w:tcBorders>
              <w:top w:val="single" w:color="000000" w:sz="4" w:space="0"/>
              <w:left w:val="single" w:color="000000" w:sz="4" w:space="0"/>
              <w:bottom w:val="single" w:color="000000" w:sz="4" w:space="0"/>
              <w:right w:val="single" w:color="000000" w:sz="4" w:space="0"/>
            </w:tcBorders>
            <w:vAlign w:val="center"/>
          </w:tcPr>
          <w:p w14:paraId="7303A56D">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省收费中心</w:t>
            </w:r>
          </w:p>
        </w:tc>
        <w:tc>
          <w:tcPr>
            <w:tcW w:w="743" w:type="pct"/>
            <w:tcBorders>
              <w:top w:val="single" w:color="000000" w:sz="4" w:space="0"/>
              <w:left w:val="single" w:color="000000" w:sz="4" w:space="0"/>
              <w:bottom w:val="single" w:color="000000" w:sz="4" w:space="0"/>
              <w:right w:val="single" w:color="000000" w:sz="4" w:space="0"/>
            </w:tcBorders>
            <w:vAlign w:val="center"/>
          </w:tcPr>
          <w:p w14:paraId="6DEE3F3B">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用于判断公路路况、事件等情况</w:t>
            </w:r>
          </w:p>
        </w:tc>
        <w:tc>
          <w:tcPr>
            <w:tcW w:w="1965" w:type="pct"/>
            <w:tcBorders>
              <w:top w:val="single" w:color="000000" w:sz="4" w:space="0"/>
              <w:left w:val="single" w:color="000000" w:sz="4" w:space="0"/>
              <w:bottom w:val="single" w:color="000000" w:sz="4" w:space="0"/>
              <w:right w:val="single" w:color="000000" w:sz="4" w:space="0"/>
            </w:tcBorders>
            <w:vAlign w:val="center"/>
          </w:tcPr>
          <w:p w14:paraId="67FCA55B">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榆林市管辖区域内的公路基础信息、收费站信息、交调站信息、路况信息、阻断信息、交调数据（车速、路面占有率、断面流量，数据频率）、出入口交通流数据、视频信息等</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626075B0">
            <w:pPr>
              <w:widowControl/>
              <w:snapToGrid w:val="0"/>
              <w:spacing w:line="240" w:lineRule="auto"/>
              <w:jc w:val="center"/>
              <w:rPr>
                <w:rFonts w:ascii="Calibri" w:cs="宋体"/>
                <w:color w:val="000000"/>
                <w:kern w:val="0"/>
                <w:sz w:val="21"/>
                <w:szCs w:val="21"/>
              </w:rPr>
            </w:pPr>
          </w:p>
        </w:tc>
      </w:tr>
      <w:tr w14:paraId="1E1D4D0D">
        <w:tblPrEx>
          <w:tblCellMar>
            <w:top w:w="56" w:type="dxa"/>
            <w:left w:w="96" w:type="dxa"/>
            <w:bottom w:w="56" w:type="dxa"/>
            <w:right w:w="96" w:type="dxa"/>
          </w:tblCellMar>
        </w:tblPrEx>
        <w:trPr>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0DE2A918">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3</w:t>
            </w:r>
          </w:p>
        </w:tc>
        <w:tc>
          <w:tcPr>
            <w:tcW w:w="724" w:type="pct"/>
            <w:tcBorders>
              <w:top w:val="single" w:color="000000" w:sz="4" w:space="0"/>
              <w:left w:val="single" w:color="000000" w:sz="4" w:space="0"/>
              <w:bottom w:val="single" w:color="000000" w:sz="4" w:space="0"/>
              <w:right w:val="single" w:color="000000" w:sz="4" w:space="0"/>
            </w:tcBorders>
            <w:vAlign w:val="center"/>
          </w:tcPr>
          <w:p w14:paraId="4B7DA62E">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巡游出租信息</w:t>
            </w:r>
          </w:p>
        </w:tc>
        <w:tc>
          <w:tcPr>
            <w:tcW w:w="711" w:type="pct"/>
            <w:tcBorders>
              <w:top w:val="single" w:color="000000" w:sz="4" w:space="0"/>
              <w:left w:val="single" w:color="000000" w:sz="4" w:space="0"/>
              <w:bottom w:val="single" w:color="000000" w:sz="4" w:space="0"/>
              <w:right w:val="single" w:color="000000" w:sz="4" w:space="0"/>
            </w:tcBorders>
            <w:vAlign w:val="center"/>
          </w:tcPr>
          <w:p w14:paraId="2E5D0FD9">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出租科</w:t>
            </w:r>
          </w:p>
        </w:tc>
        <w:tc>
          <w:tcPr>
            <w:tcW w:w="743" w:type="pct"/>
            <w:tcBorders>
              <w:top w:val="single" w:color="000000" w:sz="4" w:space="0"/>
              <w:left w:val="single" w:color="000000" w:sz="4" w:space="0"/>
              <w:bottom w:val="single" w:color="000000" w:sz="4" w:space="0"/>
              <w:right w:val="single" w:color="000000" w:sz="4" w:space="0"/>
            </w:tcBorders>
            <w:vAlign w:val="center"/>
          </w:tcPr>
          <w:p w14:paraId="4335C934">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用于判断城市整体出租车营运情况</w:t>
            </w:r>
          </w:p>
        </w:tc>
        <w:tc>
          <w:tcPr>
            <w:tcW w:w="1965" w:type="pct"/>
            <w:tcBorders>
              <w:top w:val="single" w:color="000000" w:sz="4" w:space="0"/>
              <w:left w:val="single" w:color="000000" w:sz="4" w:space="0"/>
              <w:bottom w:val="single" w:color="000000" w:sz="4" w:space="0"/>
              <w:right w:val="single" w:color="000000" w:sz="4" w:space="0"/>
            </w:tcBorders>
            <w:vAlign w:val="center"/>
          </w:tcPr>
          <w:p w14:paraId="0174B3C6">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出租汽车基础信息、从业人员信息、出租车企业基本信息、视频、出租汽车GPS数据、计价器数据</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75216B46">
            <w:pPr>
              <w:widowControl/>
              <w:snapToGrid w:val="0"/>
              <w:spacing w:line="240" w:lineRule="auto"/>
              <w:jc w:val="center"/>
              <w:rPr>
                <w:rFonts w:ascii="Calibri" w:cs="宋体"/>
                <w:color w:val="000000"/>
                <w:kern w:val="0"/>
                <w:sz w:val="21"/>
                <w:szCs w:val="21"/>
              </w:rPr>
            </w:pPr>
          </w:p>
        </w:tc>
      </w:tr>
      <w:tr w14:paraId="2DC29CA2">
        <w:tblPrEx>
          <w:tblCellMar>
            <w:top w:w="56" w:type="dxa"/>
            <w:left w:w="96" w:type="dxa"/>
            <w:bottom w:w="56" w:type="dxa"/>
            <w:right w:w="96" w:type="dxa"/>
          </w:tblCellMar>
        </w:tblPrEx>
        <w:trPr>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6521AB09">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4</w:t>
            </w:r>
          </w:p>
        </w:tc>
        <w:tc>
          <w:tcPr>
            <w:tcW w:w="724" w:type="pct"/>
            <w:tcBorders>
              <w:top w:val="single" w:color="000000" w:sz="4" w:space="0"/>
              <w:left w:val="single" w:color="000000" w:sz="4" w:space="0"/>
              <w:bottom w:val="single" w:color="000000" w:sz="4" w:space="0"/>
              <w:right w:val="single" w:color="000000" w:sz="4" w:space="0"/>
            </w:tcBorders>
            <w:vAlign w:val="center"/>
          </w:tcPr>
          <w:p w14:paraId="57AB64C4">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地面公交信息</w:t>
            </w:r>
          </w:p>
        </w:tc>
        <w:tc>
          <w:tcPr>
            <w:tcW w:w="711" w:type="pct"/>
            <w:tcBorders>
              <w:top w:val="single" w:color="000000" w:sz="4" w:space="0"/>
              <w:left w:val="single" w:color="000000" w:sz="4" w:space="0"/>
              <w:bottom w:val="single" w:color="000000" w:sz="4" w:space="0"/>
              <w:right w:val="single" w:color="000000" w:sz="4" w:space="0"/>
            </w:tcBorders>
            <w:vAlign w:val="center"/>
          </w:tcPr>
          <w:p w14:paraId="65458DA4">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榆林市公共交通总公司</w:t>
            </w:r>
          </w:p>
        </w:tc>
        <w:tc>
          <w:tcPr>
            <w:tcW w:w="743" w:type="pct"/>
            <w:tcBorders>
              <w:top w:val="single" w:color="000000" w:sz="4" w:space="0"/>
              <w:left w:val="single" w:color="000000" w:sz="4" w:space="0"/>
              <w:bottom w:val="single" w:color="000000" w:sz="4" w:space="0"/>
              <w:right w:val="single" w:color="000000" w:sz="4" w:space="0"/>
            </w:tcBorders>
            <w:vAlign w:val="center"/>
          </w:tcPr>
          <w:p w14:paraId="3857AFA2">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用于判断城市整体地面公交营运情况</w:t>
            </w:r>
          </w:p>
        </w:tc>
        <w:tc>
          <w:tcPr>
            <w:tcW w:w="1965" w:type="pct"/>
            <w:tcBorders>
              <w:top w:val="single" w:color="000000" w:sz="4" w:space="0"/>
              <w:left w:val="single" w:color="000000" w:sz="4" w:space="0"/>
              <w:bottom w:val="single" w:color="000000" w:sz="4" w:space="0"/>
              <w:right w:val="single" w:color="000000" w:sz="4" w:space="0"/>
            </w:tcBorders>
            <w:vAlign w:val="center"/>
          </w:tcPr>
          <w:p w14:paraId="16F9B8A4">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车辆基本信息、公交企业基本信息、公交线路基础信息、公交站点信息、场站基本信息、公交车辆基本信息、公交从业人员信息、电子站牌基础数据、调度信息、车次信息、车序对照信息、车组信息、电子路单信息、到离站信息、客流信息（刷卡数据）、公交GPS数据</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052D1671">
            <w:pPr>
              <w:widowControl/>
              <w:snapToGrid w:val="0"/>
              <w:spacing w:line="240" w:lineRule="auto"/>
              <w:jc w:val="center"/>
              <w:rPr>
                <w:rFonts w:ascii="Calibri" w:cs="宋体"/>
                <w:color w:val="000000"/>
                <w:kern w:val="0"/>
                <w:sz w:val="21"/>
                <w:szCs w:val="21"/>
              </w:rPr>
            </w:pPr>
          </w:p>
        </w:tc>
      </w:tr>
      <w:tr w14:paraId="4DC7A138">
        <w:tblPrEx>
          <w:tblCellMar>
            <w:top w:w="56" w:type="dxa"/>
            <w:left w:w="96" w:type="dxa"/>
            <w:bottom w:w="56" w:type="dxa"/>
            <w:right w:w="96" w:type="dxa"/>
          </w:tblCellMar>
        </w:tblPrEx>
        <w:trPr>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1DFFB371">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5</w:t>
            </w:r>
          </w:p>
        </w:tc>
        <w:tc>
          <w:tcPr>
            <w:tcW w:w="724" w:type="pct"/>
            <w:tcBorders>
              <w:top w:val="single" w:color="000000" w:sz="4" w:space="0"/>
              <w:left w:val="single" w:color="000000" w:sz="4" w:space="0"/>
              <w:bottom w:val="single" w:color="000000" w:sz="4" w:space="0"/>
              <w:right w:val="single" w:color="000000" w:sz="4" w:space="0"/>
            </w:tcBorders>
            <w:vAlign w:val="center"/>
          </w:tcPr>
          <w:p w14:paraId="7593BF8D">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长途客运信息</w:t>
            </w:r>
          </w:p>
        </w:tc>
        <w:tc>
          <w:tcPr>
            <w:tcW w:w="711" w:type="pct"/>
            <w:tcBorders>
              <w:top w:val="single" w:color="000000" w:sz="4" w:space="0"/>
              <w:left w:val="single" w:color="000000" w:sz="4" w:space="0"/>
              <w:bottom w:val="single" w:color="000000" w:sz="4" w:space="0"/>
              <w:right w:val="single" w:color="000000" w:sz="4" w:space="0"/>
            </w:tcBorders>
            <w:vAlign w:val="center"/>
          </w:tcPr>
          <w:p w14:paraId="40288BB1">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省厅</w:t>
            </w:r>
          </w:p>
        </w:tc>
        <w:tc>
          <w:tcPr>
            <w:tcW w:w="743" w:type="pct"/>
            <w:tcBorders>
              <w:top w:val="single" w:color="000000" w:sz="4" w:space="0"/>
              <w:left w:val="single" w:color="000000" w:sz="4" w:space="0"/>
              <w:bottom w:val="single" w:color="000000" w:sz="4" w:space="0"/>
              <w:right w:val="single" w:color="000000" w:sz="4" w:space="0"/>
            </w:tcBorders>
            <w:vAlign w:val="center"/>
          </w:tcPr>
          <w:p w14:paraId="6E83EEB9">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用于监管城市长途客运整体情况</w:t>
            </w:r>
          </w:p>
        </w:tc>
        <w:tc>
          <w:tcPr>
            <w:tcW w:w="1965" w:type="pct"/>
            <w:tcBorders>
              <w:top w:val="single" w:color="000000" w:sz="4" w:space="0"/>
              <w:left w:val="single" w:color="000000" w:sz="4" w:space="0"/>
              <w:bottom w:val="single" w:color="000000" w:sz="4" w:space="0"/>
              <w:right w:val="single" w:color="000000" w:sz="4" w:space="0"/>
            </w:tcBorders>
            <w:vAlign w:val="center"/>
          </w:tcPr>
          <w:p w14:paraId="566A1ED9">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客运站基本信息、网络订票信息、车辆基本信息、班次信息、线路信息、驾驶员信息、客运站视频、班次票价信息、班次检票信息</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402E5D8C">
            <w:pPr>
              <w:widowControl/>
              <w:snapToGrid w:val="0"/>
              <w:spacing w:line="240" w:lineRule="auto"/>
              <w:jc w:val="center"/>
              <w:rPr>
                <w:rFonts w:ascii="Calibri" w:cs="宋体"/>
                <w:color w:val="000000"/>
                <w:kern w:val="0"/>
                <w:sz w:val="21"/>
                <w:szCs w:val="21"/>
              </w:rPr>
            </w:pPr>
          </w:p>
        </w:tc>
      </w:tr>
      <w:tr w14:paraId="215B27DD">
        <w:tblPrEx>
          <w:tblCellMar>
            <w:top w:w="56" w:type="dxa"/>
            <w:left w:w="96" w:type="dxa"/>
            <w:bottom w:w="56" w:type="dxa"/>
            <w:right w:w="96" w:type="dxa"/>
          </w:tblCellMar>
        </w:tblPrEx>
        <w:trPr>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7E80C79E">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6</w:t>
            </w:r>
          </w:p>
        </w:tc>
        <w:tc>
          <w:tcPr>
            <w:tcW w:w="724" w:type="pct"/>
            <w:tcBorders>
              <w:top w:val="single" w:color="000000" w:sz="4" w:space="0"/>
              <w:left w:val="single" w:color="000000" w:sz="4" w:space="0"/>
              <w:bottom w:val="single" w:color="000000" w:sz="4" w:space="0"/>
              <w:right w:val="single" w:color="000000" w:sz="4" w:space="0"/>
            </w:tcBorders>
            <w:vAlign w:val="center"/>
          </w:tcPr>
          <w:p w14:paraId="2D76F648">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两客一危信息</w:t>
            </w:r>
          </w:p>
        </w:tc>
        <w:tc>
          <w:tcPr>
            <w:tcW w:w="711" w:type="pct"/>
            <w:tcBorders>
              <w:top w:val="single" w:color="000000" w:sz="4" w:space="0"/>
              <w:left w:val="single" w:color="000000" w:sz="4" w:space="0"/>
              <w:bottom w:val="single" w:color="000000" w:sz="4" w:space="0"/>
              <w:right w:val="single" w:color="000000" w:sz="4" w:space="0"/>
            </w:tcBorders>
            <w:vAlign w:val="center"/>
          </w:tcPr>
          <w:p w14:paraId="47D2E1A0">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省厅</w:t>
            </w:r>
          </w:p>
        </w:tc>
        <w:tc>
          <w:tcPr>
            <w:tcW w:w="743" w:type="pct"/>
            <w:tcBorders>
              <w:top w:val="single" w:color="000000" w:sz="4" w:space="0"/>
              <w:left w:val="single" w:color="000000" w:sz="4" w:space="0"/>
              <w:bottom w:val="single" w:color="000000" w:sz="4" w:space="0"/>
              <w:right w:val="single" w:color="000000" w:sz="4" w:space="0"/>
            </w:tcBorders>
            <w:vAlign w:val="center"/>
          </w:tcPr>
          <w:p w14:paraId="00269D2E">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用于监管城市两客一危车辆相关安全情况</w:t>
            </w:r>
          </w:p>
        </w:tc>
        <w:tc>
          <w:tcPr>
            <w:tcW w:w="1965" w:type="pct"/>
            <w:tcBorders>
              <w:top w:val="single" w:color="000000" w:sz="4" w:space="0"/>
              <w:left w:val="single" w:color="000000" w:sz="4" w:space="0"/>
              <w:bottom w:val="single" w:color="000000" w:sz="4" w:space="0"/>
              <w:right w:val="single" w:color="000000" w:sz="4" w:space="0"/>
            </w:tcBorders>
            <w:vAlign w:val="center"/>
          </w:tcPr>
          <w:p w14:paraId="6468B052">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车辆预警报警信息、车辆基本信息、企业基本信息、GPS数据、车辆基本信息、视频、业户基本信息</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1F4125FD">
            <w:pPr>
              <w:widowControl/>
              <w:snapToGrid w:val="0"/>
              <w:spacing w:line="240" w:lineRule="auto"/>
              <w:jc w:val="center"/>
              <w:rPr>
                <w:rFonts w:ascii="Calibri" w:cs="宋体"/>
                <w:color w:val="000000"/>
                <w:kern w:val="0"/>
                <w:sz w:val="21"/>
                <w:szCs w:val="21"/>
              </w:rPr>
            </w:pPr>
          </w:p>
        </w:tc>
      </w:tr>
      <w:tr w14:paraId="6EE3CE87">
        <w:tblPrEx>
          <w:tblCellMar>
            <w:top w:w="56" w:type="dxa"/>
            <w:left w:w="96" w:type="dxa"/>
            <w:bottom w:w="56" w:type="dxa"/>
            <w:right w:w="96" w:type="dxa"/>
          </w:tblCellMar>
        </w:tblPrEx>
        <w:trPr>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411511AB">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7</w:t>
            </w:r>
          </w:p>
        </w:tc>
        <w:tc>
          <w:tcPr>
            <w:tcW w:w="724" w:type="pct"/>
            <w:tcBorders>
              <w:top w:val="single" w:color="000000" w:sz="4" w:space="0"/>
              <w:left w:val="single" w:color="000000" w:sz="4" w:space="0"/>
              <w:bottom w:val="single" w:color="000000" w:sz="4" w:space="0"/>
              <w:right w:val="single" w:color="000000" w:sz="4" w:space="0"/>
            </w:tcBorders>
            <w:vAlign w:val="center"/>
          </w:tcPr>
          <w:p w14:paraId="6053926E">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普通货车信息</w:t>
            </w:r>
          </w:p>
        </w:tc>
        <w:tc>
          <w:tcPr>
            <w:tcW w:w="711" w:type="pct"/>
            <w:tcBorders>
              <w:top w:val="single" w:color="000000" w:sz="4" w:space="0"/>
              <w:left w:val="single" w:color="000000" w:sz="4" w:space="0"/>
              <w:bottom w:val="single" w:color="000000" w:sz="4" w:space="0"/>
              <w:right w:val="single" w:color="000000" w:sz="4" w:space="0"/>
            </w:tcBorders>
            <w:vAlign w:val="center"/>
          </w:tcPr>
          <w:p w14:paraId="0125607A">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省厅</w:t>
            </w:r>
          </w:p>
        </w:tc>
        <w:tc>
          <w:tcPr>
            <w:tcW w:w="743" w:type="pct"/>
            <w:tcBorders>
              <w:top w:val="single" w:color="000000" w:sz="4" w:space="0"/>
              <w:left w:val="single" w:color="000000" w:sz="4" w:space="0"/>
              <w:bottom w:val="single" w:color="000000" w:sz="4" w:space="0"/>
              <w:right w:val="single" w:color="000000" w:sz="4" w:space="0"/>
            </w:tcBorders>
            <w:vAlign w:val="center"/>
          </w:tcPr>
          <w:p w14:paraId="11F2EBFC">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用于监管普通货车基本情况</w:t>
            </w:r>
          </w:p>
        </w:tc>
        <w:tc>
          <w:tcPr>
            <w:tcW w:w="1965" w:type="pct"/>
            <w:tcBorders>
              <w:top w:val="single" w:color="000000" w:sz="4" w:space="0"/>
              <w:left w:val="single" w:color="000000" w:sz="4" w:space="0"/>
              <w:bottom w:val="single" w:color="000000" w:sz="4" w:space="0"/>
              <w:right w:val="single" w:color="000000" w:sz="4" w:space="0"/>
            </w:tcBorders>
            <w:vAlign w:val="center"/>
          </w:tcPr>
          <w:p w14:paraId="2F53D6D9">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车辆基本信息、GPS数据、企业基本信息、车辆基本信息、业户基本信息、车辆基础信息、业户基础信息、普货从业人员基础信息、车辆动态信息、外省车辆基础信息、外省车辆动态信息</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3E661FEE">
            <w:pPr>
              <w:widowControl/>
              <w:snapToGrid w:val="0"/>
              <w:spacing w:line="240" w:lineRule="auto"/>
              <w:jc w:val="center"/>
              <w:rPr>
                <w:rFonts w:ascii="Calibri" w:cs="宋体"/>
                <w:color w:val="000000"/>
                <w:kern w:val="0"/>
                <w:sz w:val="21"/>
                <w:szCs w:val="21"/>
              </w:rPr>
            </w:pPr>
          </w:p>
        </w:tc>
      </w:tr>
      <w:tr w14:paraId="067E98BA">
        <w:tblPrEx>
          <w:tblCellMar>
            <w:top w:w="56" w:type="dxa"/>
            <w:left w:w="96" w:type="dxa"/>
            <w:bottom w:w="56" w:type="dxa"/>
            <w:right w:w="96" w:type="dxa"/>
          </w:tblCellMar>
        </w:tblPrEx>
        <w:trPr>
          <w:jc w:val="center"/>
        </w:trPr>
        <w:tc>
          <w:tcPr>
            <w:tcW w:w="426" w:type="pct"/>
            <w:tcBorders>
              <w:top w:val="single" w:color="000000" w:sz="4" w:space="0"/>
              <w:left w:val="single" w:color="000000" w:sz="4" w:space="0"/>
              <w:bottom w:val="single" w:color="000000" w:sz="4" w:space="0"/>
              <w:right w:val="single" w:color="000000" w:sz="4" w:space="0"/>
            </w:tcBorders>
            <w:noWrap/>
            <w:vAlign w:val="center"/>
          </w:tcPr>
          <w:p w14:paraId="34770A21">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8</w:t>
            </w:r>
          </w:p>
        </w:tc>
        <w:tc>
          <w:tcPr>
            <w:tcW w:w="724" w:type="pct"/>
            <w:tcBorders>
              <w:top w:val="single" w:color="000000" w:sz="4" w:space="0"/>
              <w:left w:val="single" w:color="000000" w:sz="4" w:space="0"/>
              <w:bottom w:val="single" w:color="000000" w:sz="4" w:space="0"/>
              <w:right w:val="single" w:color="000000" w:sz="4" w:space="0"/>
            </w:tcBorders>
            <w:vAlign w:val="center"/>
          </w:tcPr>
          <w:p w14:paraId="55CC5BD8">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普通公路、国省干线信息</w:t>
            </w:r>
          </w:p>
        </w:tc>
        <w:tc>
          <w:tcPr>
            <w:tcW w:w="711" w:type="pct"/>
            <w:tcBorders>
              <w:top w:val="single" w:color="000000" w:sz="4" w:space="0"/>
              <w:left w:val="single" w:color="000000" w:sz="4" w:space="0"/>
              <w:bottom w:val="single" w:color="000000" w:sz="4" w:space="0"/>
              <w:right w:val="single" w:color="000000" w:sz="4" w:space="0"/>
            </w:tcBorders>
            <w:vAlign w:val="center"/>
          </w:tcPr>
          <w:p w14:paraId="1BEC4EBA">
            <w:pPr>
              <w:widowControl/>
              <w:snapToGrid w:val="0"/>
              <w:spacing w:line="240" w:lineRule="auto"/>
              <w:jc w:val="center"/>
              <w:rPr>
                <w:rFonts w:ascii="Calibri" w:cs="宋体"/>
                <w:color w:val="000000"/>
                <w:kern w:val="0"/>
                <w:sz w:val="21"/>
                <w:szCs w:val="21"/>
              </w:rPr>
            </w:pPr>
            <w:r>
              <w:rPr>
                <w:rFonts w:hint="eastAsia" w:ascii="Calibri" w:cs="宋体"/>
                <w:color w:val="000000"/>
                <w:kern w:val="0"/>
                <w:sz w:val="21"/>
                <w:szCs w:val="21"/>
              </w:rPr>
              <w:t>榆林市公路局</w:t>
            </w:r>
          </w:p>
        </w:tc>
        <w:tc>
          <w:tcPr>
            <w:tcW w:w="743" w:type="pct"/>
            <w:tcBorders>
              <w:top w:val="single" w:color="000000" w:sz="4" w:space="0"/>
              <w:left w:val="single" w:color="000000" w:sz="4" w:space="0"/>
              <w:bottom w:val="single" w:color="000000" w:sz="4" w:space="0"/>
              <w:right w:val="single" w:color="000000" w:sz="4" w:space="0"/>
            </w:tcBorders>
            <w:vAlign w:val="center"/>
          </w:tcPr>
          <w:p w14:paraId="53950691">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用于汇集普通公路、国省干线所有资产统计</w:t>
            </w:r>
          </w:p>
        </w:tc>
        <w:tc>
          <w:tcPr>
            <w:tcW w:w="1965" w:type="pct"/>
            <w:tcBorders>
              <w:top w:val="single" w:color="000000" w:sz="4" w:space="0"/>
              <w:left w:val="single" w:color="000000" w:sz="4" w:space="0"/>
              <w:bottom w:val="single" w:color="000000" w:sz="4" w:space="0"/>
              <w:right w:val="single" w:color="000000" w:sz="4" w:space="0"/>
            </w:tcBorders>
            <w:vAlign w:val="center"/>
          </w:tcPr>
          <w:p w14:paraId="1729D014">
            <w:pPr>
              <w:widowControl/>
              <w:snapToGrid w:val="0"/>
              <w:spacing w:line="240" w:lineRule="auto"/>
              <w:jc w:val="left"/>
              <w:rPr>
                <w:rFonts w:ascii="Calibri" w:cs="宋体"/>
                <w:color w:val="000000"/>
                <w:kern w:val="0"/>
                <w:sz w:val="21"/>
                <w:szCs w:val="21"/>
              </w:rPr>
            </w:pPr>
            <w:r>
              <w:rPr>
                <w:rFonts w:hint="eastAsia" w:ascii="Calibri" w:cs="宋体"/>
                <w:color w:val="000000"/>
                <w:kern w:val="0"/>
                <w:sz w:val="21"/>
                <w:szCs w:val="21"/>
              </w:rPr>
              <w:t>公路基础数据、公路事件、桥梁基础数据、公路基础数据、隧道基础数据</w:t>
            </w:r>
          </w:p>
        </w:tc>
        <w:tc>
          <w:tcPr>
            <w:tcW w:w="427" w:type="pct"/>
            <w:tcBorders>
              <w:top w:val="single" w:color="000000" w:sz="4" w:space="0"/>
              <w:left w:val="single" w:color="000000" w:sz="4" w:space="0"/>
              <w:bottom w:val="single" w:color="000000" w:sz="4" w:space="0"/>
              <w:right w:val="single" w:color="000000" w:sz="4" w:space="0"/>
            </w:tcBorders>
            <w:noWrap/>
            <w:vAlign w:val="center"/>
          </w:tcPr>
          <w:p w14:paraId="3A205C38">
            <w:pPr>
              <w:widowControl/>
              <w:snapToGrid w:val="0"/>
              <w:spacing w:line="240" w:lineRule="auto"/>
              <w:jc w:val="center"/>
              <w:rPr>
                <w:rFonts w:ascii="Calibri" w:cs="宋体"/>
                <w:color w:val="000000"/>
                <w:kern w:val="0"/>
                <w:sz w:val="21"/>
                <w:szCs w:val="21"/>
              </w:rPr>
            </w:pPr>
          </w:p>
        </w:tc>
      </w:tr>
    </w:tbl>
    <w:p w14:paraId="41B5DCE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b/>
          <w:bCs/>
        </w:rPr>
      </w:pPr>
      <w:r>
        <w:rPr>
          <w:rFonts w:hint="eastAsia"/>
          <w:b/>
          <w:bCs/>
        </w:rPr>
        <w:t>二、</w:t>
      </w:r>
      <w:r>
        <w:rPr>
          <w:b/>
          <w:bCs/>
        </w:rPr>
        <w:t>数据资源规划服务</w:t>
      </w:r>
    </w:p>
    <w:p w14:paraId="78E77E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综合交通管理和对外服务的高度，梳理支撑各条业务线信息化管理和对外服务时需要哪些数据，明确数据组织、采集和管理方式。具体包括：行业分类、业务分类、管理对象分类、主题分类、信息类别分类，其中汇聚库包含但不限于如下项：</w:t>
      </w:r>
    </w:p>
    <w:p w14:paraId="63E34746">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firstLine="480" w:firstLineChars="200"/>
        <w:textAlignment w:val="auto"/>
      </w:pPr>
      <w:r>
        <w:rPr>
          <w:rFonts w:hint="eastAsia"/>
        </w:rPr>
        <w:t>汇集数据库</w:t>
      </w:r>
    </w:p>
    <w:p w14:paraId="2132232C">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firstLine="480" w:firstLineChars="200"/>
        <w:textAlignment w:val="auto"/>
      </w:pPr>
      <w:r>
        <w:rPr>
          <w:rFonts w:hint="eastAsia"/>
        </w:rPr>
        <w:t>汇集数据库：普通公路汇集库（普通公路基础数据库、普通公路业务数据库）</w:t>
      </w:r>
    </w:p>
    <w:p w14:paraId="1B7C0130">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firstLine="480" w:firstLineChars="200"/>
        <w:textAlignment w:val="auto"/>
      </w:pPr>
      <w:r>
        <w:rPr>
          <w:rFonts w:hint="eastAsia"/>
        </w:rPr>
        <w:t>地面公交汇集库（地面公交基础数据库、地面公交业务数据库）</w:t>
      </w:r>
    </w:p>
    <w:p w14:paraId="7F465CBC">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firstLine="480" w:firstLineChars="200"/>
        <w:textAlignment w:val="auto"/>
      </w:pPr>
      <w:r>
        <w:rPr>
          <w:rFonts w:hint="eastAsia"/>
        </w:rPr>
        <w:t>出租汽车汇集库（巡游出租车基础数据库、）巡游出租车业务数据库</w:t>
      </w:r>
    </w:p>
    <w:p w14:paraId="49609161">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firstLine="480" w:firstLineChars="200"/>
        <w:textAlignment w:val="auto"/>
      </w:pPr>
      <w:r>
        <w:rPr>
          <w:rFonts w:hint="eastAsia"/>
        </w:rPr>
        <w:t>道路客运汇集库（道路客运基础数据库、道路客运业务数据库）</w:t>
      </w:r>
    </w:p>
    <w:p w14:paraId="18B62476">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firstLine="480" w:firstLineChars="200"/>
        <w:textAlignment w:val="auto"/>
      </w:pPr>
      <w:r>
        <w:rPr>
          <w:rFonts w:hint="eastAsia"/>
        </w:rPr>
        <w:t>危货运输数据库（危货运输基础数据库、危货运输业务数据库）</w:t>
      </w:r>
    </w:p>
    <w:p w14:paraId="1EA17DC3">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firstLine="480" w:firstLineChars="200"/>
        <w:textAlignment w:val="auto"/>
      </w:pPr>
      <w:r>
        <w:t>主题数据库</w:t>
      </w:r>
    </w:p>
    <w:p w14:paraId="346272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t>来源于业务数据库和基础数据库，采用面向主题的方式，对基础数据和业务数据分析与挖掘，形成针对某一主题的综合数据库</w:t>
      </w:r>
      <w:r>
        <w:rPr>
          <w:rFonts w:hint="eastAsia"/>
        </w:rPr>
        <w:t>。</w:t>
      </w:r>
    </w:p>
    <w:p w14:paraId="3FDC63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要求</w:t>
      </w:r>
      <w:r>
        <w:t>提供主题数据接入配置管理工具，采取可视化界面配置形式，对接入到行业数据中心的相关数据进行分类、清洗、过滤、版本控制、存储，形成</w:t>
      </w:r>
      <w:r>
        <w:rPr>
          <w:rFonts w:hint="eastAsia"/>
        </w:rPr>
        <w:t>对应</w:t>
      </w:r>
      <w:r>
        <w:t>主题库</w:t>
      </w:r>
      <w:r>
        <w:rPr>
          <w:rFonts w:hint="eastAsia"/>
        </w:rPr>
        <w:t>，主题库包含但不限于如下项：</w:t>
      </w:r>
    </w:p>
    <w:p w14:paraId="04D44F66">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firstLine="480" w:firstLineChars="200"/>
        <w:textAlignment w:val="auto"/>
      </w:pPr>
      <w:r>
        <w:t>人员主题库</w:t>
      </w:r>
    </w:p>
    <w:p w14:paraId="5FF69E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t>人员主题库主要是用于存储驾驶员信息，包括驾驶员基础信息、所属企业、关联车辆、驾驶证、违章记录、违法状况、事故情况、投诉信息等，为驾驶员信息的查询、知识图谱的建立提供数据支撑。</w:t>
      </w:r>
    </w:p>
    <w:p w14:paraId="131B0437">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firstLine="480" w:firstLineChars="200"/>
        <w:textAlignment w:val="auto"/>
      </w:pPr>
      <w:r>
        <w:t>车辆主题库</w:t>
      </w:r>
    </w:p>
    <w:p w14:paraId="0E7D66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t>车辆主题库主要是用于存储各类客运、货运车辆信息，包括车辆基础信息、车辆类型、所属企业、车牌号、车辆违章记录、车辆事故情况等，为车辆信息的查询、知识图谱的建立提供数据支撑。</w:t>
      </w:r>
    </w:p>
    <w:p w14:paraId="7BC3EA02">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firstLine="480" w:firstLineChars="200"/>
        <w:textAlignment w:val="auto"/>
      </w:pPr>
      <w:r>
        <w:t>业户主题库</w:t>
      </w:r>
    </w:p>
    <w:p w14:paraId="25F54F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t>业户主题库主要是用于存储各运输企业信息，包括企业基础信息、企业车辆情况、企业驾驶员情况、企业投诉信息等，为业户信息的查询、知识图谱的建立提供数据支撑。</w:t>
      </w:r>
    </w:p>
    <w:p w14:paraId="4F0170DC">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firstLine="480" w:firstLineChars="200"/>
        <w:textAlignment w:val="auto"/>
      </w:pPr>
      <w:r>
        <w:t>运行监测主题库</w:t>
      </w:r>
    </w:p>
    <w:p w14:paraId="055388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t>运行监测主题库主要是用于存储交通各领域交通实时运行状态数据，包括交通量、车辆运行动态、运力运量等，为综合交通运行监测提供数据支撑。</w:t>
      </w:r>
    </w:p>
    <w:p w14:paraId="709FFC42">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firstLine="480" w:firstLineChars="200"/>
        <w:textAlignment w:val="auto"/>
      </w:pPr>
      <w:r>
        <w:t>决策分析主题库</w:t>
      </w:r>
    </w:p>
    <w:p w14:paraId="449D62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t>决策分析主题库主要是用于存储各交通领域历史运行数据，包括公交分析数据、出租分析数据、公路分析数据、普通公路分析数据、停车分析数据等，为综合交通决策支持提供数据支撑。</w:t>
      </w:r>
    </w:p>
    <w:p w14:paraId="64D75E0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b/>
          <w:bCs/>
        </w:rPr>
      </w:pPr>
      <w:r>
        <w:rPr>
          <w:rFonts w:hint="eastAsia"/>
          <w:b/>
          <w:bCs/>
        </w:rPr>
        <w:t>三、交通数据治理服务</w:t>
      </w:r>
    </w:p>
    <w:p w14:paraId="353FE5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1、数据标准规范建设服务</w:t>
      </w:r>
    </w:p>
    <w:p w14:paraId="6F4107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根据交通业务体系，在现有国家及行业标准基础上，结合数据治理主流技术及发展趋势，制定一系列数据技术规范，构建“有标可依、依标可行、行而有效”的标准体系，用以指导数据汇总、处理及数据服务等工作，涉及输出《数据分类与编码规范》、《数据资源目录体系》、《数据库结构标准》、《数据元规范》、《数据治理规范》、《数据分级分类安全管理规范》、《数据治理运行管理规范》、《数据服务规范》。</w:t>
      </w:r>
    </w:p>
    <w:p w14:paraId="2CC571BA">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480" w:firstLineChars="200"/>
        <w:textAlignment w:val="auto"/>
      </w:pPr>
      <w:r>
        <w:rPr>
          <w:rFonts w:hint="eastAsia"/>
        </w:rPr>
        <w:t>数据调研实施服务</w:t>
      </w:r>
    </w:p>
    <w:p w14:paraId="2DA8C3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本次项目实施开始，需要对各业务系统进行系统的调研，摸清各业务系统数据家底情况，了解各业务系统里关于各主题数据分布情况。</w:t>
      </w:r>
    </w:p>
    <w:p w14:paraId="3E6900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围绕本期数据接入需求，针对不同数据原始层面的实际情况进行梳理，理清数据源基本情况，包括：具体有哪些表、每个表数据量大小、更新频率、存储位置、存储方式、存储大小、交换方式等，形成详细数据归集调研报告，明确具体的数据采集内容，为实施数据采集奠定基础。</w:t>
      </w:r>
    </w:p>
    <w:p w14:paraId="5D43F640">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480" w:firstLineChars="200"/>
        <w:textAlignment w:val="auto"/>
      </w:pPr>
      <w:r>
        <w:rPr>
          <w:rFonts w:hint="eastAsia"/>
        </w:rPr>
        <w:t>数据归集实施服务</w:t>
      </w:r>
    </w:p>
    <w:p w14:paraId="134ADC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使用数据采集软件对业务系统中包含各主题数据进行归集（ETL抽取），建立各业务系统的数据资源池，形成统一的数据中心库。在数据归集的过程中，为了提高采集数据的质量，通过软件可进行初步的数据清洗，数据清洗包括结构化数据清洗、离线数据清洗、数据整合等内容。</w:t>
      </w:r>
    </w:p>
    <w:p w14:paraId="39F44023">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480" w:firstLineChars="200"/>
        <w:textAlignment w:val="auto"/>
      </w:pPr>
      <w:r>
        <w:rPr>
          <w:rFonts w:hint="eastAsia"/>
        </w:rPr>
        <w:t>数据治理实施服务</w:t>
      </w:r>
    </w:p>
    <w:p w14:paraId="6A4D5794">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firstLine="480" w:firstLineChars="200"/>
        <w:textAlignment w:val="auto"/>
      </w:pPr>
      <w:r>
        <w:rPr>
          <w:rFonts w:hint="eastAsia"/>
        </w:rPr>
        <w:t>元数据治理</w:t>
      </w:r>
    </w:p>
    <w:p w14:paraId="3425B2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针对接入的数据范围内建设的公共基础库、主题库及标签库，开展元数据治理工作，以元数据为核心，对外提供统一元数据接口，智能驱动治理业务衔接，形成数据标准、质量标准、安全标准、服务标准。</w:t>
      </w:r>
    </w:p>
    <w:p w14:paraId="254E89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基于元数据管理工具，针对各系统数据建立元数据采集任务，配置采集策略，选择需要采集的数据库、数据表，支持整库采集或者按照名称和正则表达式指定需要采集的数据表。</w:t>
      </w:r>
    </w:p>
    <w:p w14:paraId="5108D3BD">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firstLine="480" w:firstLineChars="200"/>
        <w:textAlignment w:val="auto"/>
      </w:pPr>
      <w:r>
        <w:rPr>
          <w:rFonts w:hint="eastAsia"/>
        </w:rPr>
        <w:t>基础库数据治理</w:t>
      </w:r>
    </w:p>
    <w:p w14:paraId="5AAFCC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基础库的数据是由原始库的数据经过清洗、转换、关联、比对等数据处理过程后形成的标准数据。</w:t>
      </w:r>
    </w:p>
    <w:p w14:paraId="2551D2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基础库的设计包括数据结构设计、数据表结构设计和加工过程设计。在标准层的数据结构设计上，以贴源层数据结构为基础，补充必要的数据字段；在数据表设计上，将相同表结构的数据表进行适当的合并，并保留贴源层的表名以方便进行溯源；数据加工过程设计是标准层设计中最核心的部分，这部分要进行数据标准、数据元的设计，以及原始数据和标准数据元的关联设计，从而将标准层的数据处理成符合标准的数据。</w:t>
      </w:r>
    </w:p>
    <w:p w14:paraId="4F0C4C1B">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firstLine="480" w:firstLineChars="200"/>
        <w:textAlignment w:val="auto"/>
      </w:pPr>
      <w:r>
        <w:rPr>
          <w:rFonts w:hint="eastAsia"/>
        </w:rPr>
        <w:t>主题库数据治理</w:t>
      </w:r>
    </w:p>
    <w:p w14:paraId="25D07B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主题库是将分散在标准层各业务数据表中的要素提取出来，根据业务员对象要素、要素特征等进行搭建，主要用于对标准层的存储层中的数据进行深度关联整合。是从庞大的标准层中抽取共性的维度进行分析，形成高通用、易扩展和易使用的数据模型。</w:t>
      </w:r>
    </w:p>
    <w:p w14:paraId="4A0D9A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主题库是依据信息分类，基于面向对象的数据组织原则，以标准层为数据源，围绕某一主题对象进行数据分析和整理后形成的数据集合，是在较高层次对相关对象的完整数据描述，能刻画各个对象所涉及的各个维度、各个要素之间的关系。</w:t>
      </w:r>
    </w:p>
    <w:p w14:paraId="06E77F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构建主题库的目的是要打破数据表之间存在的数据壁垒，通过梳理数据之间的关联关系，从逻辑上打通各个业务数据表，采用关联查询方式，为专题库提供高效的数据支撑。</w:t>
      </w:r>
    </w:p>
    <w:p w14:paraId="7A1FE1FF">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firstLine="480" w:firstLineChars="200"/>
        <w:textAlignment w:val="auto"/>
      </w:pPr>
      <w:r>
        <w:rPr>
          <w:rFonts w:hint="eastAsia"/>
        </w:rPr>
        <w:t>专题库数据治理</w:t>
      </w:r>
    </w:p>
    <w:p w14:paraId="342DE8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专题库设计面向交通运行监测预警等业务场景需求，通过将基础库、主题库数据进行二次抽取装载的方法重新组织数据，并按照不同事件专题应用的需求重新整合形成专题库。</w:t>
      </w:r>
    </w:p>
    <w:p w14:paraId="6046E3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通过按照规范对数据进行加工、整理和入库，同时构建必要的数据应用的环境，不仅提供统一的数据访问服务，而且满足在数据分析、计算与可视化的需求，进而满足业务需求以及事件处置的数据应用需求，支撑业务应用。</w:t>
      </w:r>
    </w:p>
    <w:p w14:paraId="1AA563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专题库的建设，完全依托于实际应用，其根据应用的需要量身创建快速查询、快速搜索的HBase数据库和索引库。专题库要求伸缩性强，灵活快捷的被创建和加载，为用户业务系统提供最大程度、最快捷高效的数据支撑。</w:t>
      </w:r>
    </w:p>
    <w:p w14:paraId="55F002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专题库是基础库和主题库的延伸，专题库存储与专项业务相关的来自不同资源、不同主题的数据，服务于某一专门领域的业务应用。</w:t>
      </w:r>
    </w:p>
    <w:p w14:paraId="73A3AFD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b/>
          <w:bCs/>
        </w:rPr>
      </w:pPr>
      <w:r>
        <w:rPr>
          <w:rFonts w:hint="eastAsia"/>
          <w:b/>
          <w:bCs/>
        </w:rPr>
        <w:t>四、交通数据共享服务</w:t>
      </w:r>
    </w:p>
    <w:p w14:paraId="699CC043">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480" w:firstLineChars="200"/>
        <w:textAlignment w:val="auto"/>
      </w:pPr>
      <w:r>
        <w:rPr>
          <w:rFonts w:hint="eastAsia"/>
        </w:rPr>
        <w:t>目录设计实施服务</w:t>
      </w:r>
    </w:p>
    <w:p w14:paraId="3D88B4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按照《政务信息资源数据资源平台技术标准》、《政务信息资源数据资源平台数据标准》规范及城市管理服务实际工作需求，结合本部门“三定方案”确定的政务职权、工作依据、行使主体、运行流程、对应责任等，在梳理本部门权责清单的基础上，梳理部门政务信息资源，重点从政务信息资源“类”、“项”、“目”、“细目”分类的角度，制定本部门政务信息资源目录规划，从部门或者业务属性等维度完成资源目录设计工作。</w:t>
      </w:r>
    </w:p>
    <w:p w14:paraId="407C2E73">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480" w:firstLineChars="200"/>
        <w:textAlignment w:val="auto"/>
      </w:pPr>
      <w:r>
        <w:rPr>
          <w:rFonts w:hint="eastAsia"/>
        </w:rPr>
        <w:t>目录编制实施服务</w:t>
      </w:r>
    </w:p>
    <w:p w14:paraId="770EC3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目录编制实施服务通过摸清数据家底，对相关数据进行梳理，对数据进行统一的资源编目服务。主要实施过程涉及目录的元数据梳理工作、信息资源目录分类工作以及信息资源编码设计等。</w:t>
      </w:r>
    </w:p>
    <w:p w14:paraId="0C6A0C4D">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480" w:firstLineChars="200"/>
        <w:textAlignment w:val="auto"/>
      </w:pPr>
      <w:r>
        <w:rPr>
          <w:rFonts w:hint="eastAsia"/>
        </w:rPr>
        <w:t>目录挂载实施服务</w:t>
      </w:r>
    </w:p>
    <w:p w14:paraId="5B6691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遵循数据资产编目数据挂载管理要求，对已经形成编目的数据资源以接口/库表等方式进行挂载，为后续业务场景数据共享需求提供支撑。</w:t>
      </w:r>
    </w:p>
    <w:p w14:paraId="08FA2F63">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480" w:firstLineChars="200"/>
        <w:textAlignment w:val="auto"/>
      </w:pPr>
      <w:r>
        <w:rPr>
          <w:rFonts w:hint="eastAsia"/>
        </w:rPr>
        <w:t>目录发布实施服务</w:t>
      </w:r>
    </w:p>
    <w:p w14:paraId="00F8921B">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rPr>
        <w:t>与业务部门沟通协商确认可发布、应发布数据资源目录，并对目录的共享条件、共享范围、共享方式及开放属性等进行确定，发布的内容应包括信息资源目录的核心元数据、扩展元数据及自定义元数据。</w:t>
      </w:r>
    </w:p>
    <w:p w14:paraId="5B09BE91">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480" w:firstLineChars="200"/>
        <w:textAlignment w:val="auto"/>
      </w:pPr>
      <w:r>
        <w:rPr>
          <w:rFonts w:hint="eastAsia"/>
        </w:rPr>
        <w:t>目录维护更新服务</w:t>
      </w:r>
    </w:p>
    <w:p w14:paraId="1FE0B9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提供目录维护和更新服务。信息资源目录维护包括目录更新、撤销、删除、备份等。在维护时主要工作包括：</w:t>
      </w:r>
    </w:p>
    <w:p w14:paraId="0B40614B">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0" w:firstLine="480" w:firstLineChars="200"/>
        <w:textAlignment w:val="auto"/>
      </w:pPr>
      <w:r>
        <w:rPr>
          <w:rFonts w:hint="eastAsia"/>
        </w:rPr>
        <w:t>已发布的信息资源目录，由于业务调整等原因而导致需要对目录进行更新或撤销，信息资源提供方需提供正式的变更文件等依据，我司依据文件进行更新和撤销；</w:t>
      </w:r>
    </w:p>
    <w:p w14:paraId="3FE1313E">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0" w:firstLine="480" w:firstLineChars="200"/>
        <w:textAlignment w:val="auto"/>
      </w:pPr>
      <w:r>
        <w:rPr>
          <w:rFonts w:hint="eastAsia"/>
        </w:rPr>
        <w:t>在进行目录变更、撤销和删除时，应事先评估受影响范围及程度；</w:t>
      </w:r>
    </w:p>
    <w:p w14:paraId="3D2AFDCD">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0" w:firstLine="480" w:firstLineChars="200"/>
        <w:textAlignment w:val="auto"/>
      </w:pPr>
      <w:r>
        <w:rPr>
          <w:rFonts w:hint="eastAsia"/>
        </w:rPr>
        <w:t>信息资源目录中心管理员应对已发布的信息资源目录每周进行一次全量备份。</w:t>
      </w:r>
    </w:p>
    <w:p w14:paraId="355778FD">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480" w:firstLineChars="200"/>
        <w:textAlignment w:val="auto"/>
      </w:pPr>
      <w:r>
        <w:rPr>
          <w:rFonts w:hint="eastAsia"/>
        </w:rPr>
        <w:t>协议配置实施服务</w:t>
      </w:r>
    </w:p>
    <w:p w14:paraId="77C961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按照协议转换功能，提供将RESTfulAPI、Dubbo、自定义HTTP等当前主流协议转换为RESTful，将数据表转换为RESTful等服务。转换过程对用户透明，仅需要录入真实服务信息，录入后由平台自动完成转换，并生成相应的API文档。</w:t>
      </w:r>
    </w:p>
    <w:p w14:paraId="03B79C14">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480" w:firstLineChars="200"/>
        <w:textAlignment w:val="auto"/>
      </w:pPr>
      <w:r>
        <w:rPr>
          <w:rFonts w:hint="eastAsia"/>
        </w:rPr>
        <w:t>目录管理实施服务</w:t>
      </w:r>
    </w:p>
    <w:p w14:paraId="35EB6E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目录管理实施服务通过完善数据资源编目管理规范，并为各部门提供资源目录管理相关技术支持，包括资源目录的注册登记、发布查询、维护更新等日常管理工作。</w:t>
      </w:r>
    </w:p>
    <w:p w14:paraId="23E8D651">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480" w:firstLineChars="200"/>
        <w:textAlignment w:val="auto"/>
      </w:pPr>
      <w:r>
        <w:rPr>
          <w:rFonts w:hint="eastAsia"/>
        </w:rPr>
        <w:t>数据迁移</w:t>
      </w:r>
    </w:p>
    <w:p w14:paraId="367297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由于IT环境变化或其他原因，可以参照以下操作将一台数据治理平台的数据的数据迁移到新的设备：</w:t>
      </w:r>
    </w:p>
    <w:p w14:paraId="65346EAC">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left="0" w:firstLine="480" w:firstLineChars="200"/>
        <w:textAlignment w:val="auto"/>
      </w:pPr>
      <w:r>
        <w:rPr>
          <w:rFonts w:hint="eastAsia"/>
        </w:rPr>
        <w:t>按照前文的数据备份说明，将当前数据治理平台数据集成快手的配置信息保存并下载。</w:t>
      </w:r>
    </w:p>
    <w:p w14:paraId="2786B918">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left="0" w:firstLine="480" w:firstLineChars="200"/>
        <w:textAlignment w:val="auto"/>
      </w:pPr>
      <w:r>
        <w:rPr>
          <w:rFonts w:hint="eastAsia"/>
        </w:rPr>
        <w:t>按照前文的数据恢复说明，将下载的配置备份文件上传到新的数据治理平台数据集成快手上并恢复。</w:t>
      </w:r>
    </w:p>
    <w:p w14:paraId="767783D0">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480" w:firstLineChars="200"/>
        <w:textAlignment w:val="auto"/>
      </w:pPr>
      <w:r>
        <w:rPr>
          <w:rFonts w:hint="eastAsia"/>
        </w:rPr>
        <w:t>数据备份</w:t>
      </w:r>
    </w:p>
    <w:p w14:paraId="6208C8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数据平台底层运行的数据库系统主管单位应对数据库系统进行数据库备份，保证在数据库出现问题时正常恢复。数据备份的方式可以采用正常关闭数据库后进行备份的方式，以防止由于系统意外故障造成数据信息丢失。但是针对实时性要求很高的数据的特点，应采用实时备份方式，保证数据自动恢复。</w:t>
      </w:r>
    </w:p>
    <w:p w14:paraId="05F961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数据备份操作可以选择全盘备份或增量备份。全盘备份即将所有文件写入备份介质；增量备份只备份那些上次备份之后更改过的文件。数据库系统主管单位可以根据自身情况选择适合的数据备份操作方式。</w:t>
      </w:r>
    </w:p>
    <w:p w14:paraId="4B19A8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rPr>
        <w:t>数据平台备份方式：</w:t>
      </w:r>
    </w:p>
    <w:p w14:paraId="3263C253">
      <w:pPr>
        <w:keepNext w:val="0"/>
        <w:keepLines w:val="0"/>
        <w:pageBreakBefore w:val="0"/>
        <w:widowControl w:val="0"/>
        <w:numPr>
          <w:ilvl w:val="0"/>
          <w:numId w:val="13"/>
        </w:numPr>
        <w:kinsoku/>
        <w:wordWrap/>
        <w:overflowPunct/>
        <w:topLinePunct w:val="0"/>
        <w:autoSpaceDE/>
        <w:autoSpaceDN/>
        <w:bidi w:val="0"/>
        <w:adjustRightInd/>
        <w:snapToGrid/>
        <w:spacing w:line="360" w:lineRule="auto"/>
        <w:ind w:left="0" w:firstLine="480" w:firstLineChars="200"/>
        <w:textAlignment w:val="auto"/>
      </w:pPr>
      <w:r>
        <w:rPr>
          <w:rFonts w:hint="eastAsia"/>
        </w:rPr>
        <w:t>使用运维管理员帐号进入配置中的配置管理页面，单击保存配置，将用户的数据源、转换、作业等配置保存；</w:t>
      </w:r>
    </w:p>
    <w:p w14:paraId="3822BE39">
      <w:pPr>
        <w:keepNext w:val="0"/>
        <w:keepLines w:val="0"/>
        <w:pageBreakBefore w:val="0"/>
        <w:widowControl w:val="0"/>
        <w:numPr>
          <w:ilvl w:val="0"/>
          <w:numId w:val="13"/>
        </w:numPr>
        <w:kinsoku/>
        <w:wordWrap/>
        <w:overflowPunct/>
        <w:topLinePunct w:val="0"/>
        <w:autoSpaceDE/>
        <w:autoSpaceDN/>
        <w:bidi w:val="0"/>
        <w:adjustRightInd/>
        <w:snapToGrid/>
        <w:spacing w:line="360" w:lineRule="auto"/>
        <w:ind w:left="0" w:firstLine="480" w:firstLineChars="200"/>
        <w:textAlignment w:val="auto"/>
      </w:pPr>
      <w:r>
        <w:rPr>
          <w:rFonts w:hint="eastAsia"/>
        </w:rPr>
        <w:t>通过配置管理列表中操作列的下载按钮，将生成的备份文件下载；</w:t>
      </w:r>
    </w:p>
    <w:p w14:paraId="27E862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将下载好的备份文件保存在可靠位置。</w:t>
      </w:r>
    </w:p>
    <w:p w14:paraId="3D38DC17">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1"/>
        <w:rPr>
          <w:rFonts w:hint="eastAsia" w:hAnsi="宋体" w:cs="宋体"/>
          <w:b w:val="0"/>
          <w:bCs w:val="0"/>
          <w:color w:val="auto"/>
          <w:sz w:val="24"/>
          <w:szCs w:val="24"/>
          <w:lang w:val="en-US" w:eastAsia="zh-CN"/>
        </w:rPr>
      </w:pPr>
      <w:r>
        <w:rPr>
          <w:rFonts w:hint="eastAsia" w:hAnsi="宋体" w:cs="宋体"/>
          <w:b/>
          <w:bCs/>
          <w:color w:val="auto"/>
          <w:sz w:val="24"/>
          <w:szCs w:val="24"/>
          <w:lang w:val="en-US" w:eastAsia="zh-CN"/>
        </w:rPr>
        <w:t>五、质保期限及售后服务要求</w:t>
      </w:r>
    </w:p>
    <w:p w14:paraId="7885D911">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hAnsi="宋体" w:cs="宋体"/>
          <w:b w:val="0"/>
          <w:bCs w:val="0"/>
          <w:color w:val="auto"/>
          <w:sz w:val="24"/>
          <w:szCs w:val="24"/>
          <w:lang w:val="en-US" w:eastAsia="zh-CN"/>
        </w:rPr>
      </w:pPr>
      <w:r>
        <w:rPr>
          <w:rFonts w:hint="eastAsia" w:hAnsi="宋体" w:cs="宋体"/>
          <w:b w:val="0"/>
          <w:bCs w:val="0"/>
          <w:color w:val="auto"/>
          <w:sz w:val="24"/>
          <w:szCs w:val="24"/>
          <w:lang w:val="en-US" w:eastAsia="zh-CN"/>
        </w:rPr>
        <w:t>1.中标人对所有硬件产品提供3年原厂免费质保，对软件部分提供长期免费升级服务，对系统平台提供两年免费维运服务（自终验通过之日算起）。</w:t>
      </w:r>
    </w:p>
    <w:p w14:paraId="60C3C21D">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default" w:hAnsi="宋体" w:cs="宋体"/>
          <w:b w:val="0"/>
          <w:bCs w:val="0"/>
          <w:color w:val="auto"/>
          <w:sz w:val="24"/>
          <w:szCs w:val="24"/>
          <w:lang w:val="en-US" w:eastAsia="zh-CN"/>
        </w:rPr>
      </w:pPr>
      <w:r>
        <w:rPr>
          <w:rFonts w:hint="default" w:hAnsi="宋体" w:cs="宋体"/>
          <w:b w:val="0"/>
          <w:bCs w:val="0"/>
          <w:color w:val="auto"/>
          <w:sz w:val="24"/>
          <w:szCs w:val="24"/>
          <w:lang w:val="en-US" w:eastAsia="zh-CN"/>
        </w:rPr>
        <w:t>2.保修期内，中标人负责对其提供的产品提供现场服务。要求30分钟响应，2小时内到达现场处理现场故障，对超过8小时不能修复的，必须采取备件方式临时调换等措施，以保证用户的正常工作，在项目通过验收后，对设备终身免费维修，超出质保期后仅收取维修配件成本费且不得高于投标报价。</w:t>
      </w:r>
    </w:p>
    <w:p w14:paraId="1088C3CA">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default" w:hAnsi="宋体" w:cs="宋体"/>
          <w:b w:val="0"/>
          <w:bCs w:val="0"/>
          <w:color w:val="auto"/>
          <w:sz w:val="24"/>
          <w:szCs w:val="24"/>
          <w:lang w:val="en-US" w:eastAsia="zh-CN"/>
        </w:rPr>
      </w:pPr>
      <w:r>
        <w:rPr>
          <w:rFonts w:hint="default" w:hAnsi="宋体" w:cs="宋体"/>
          <w:b w:val="0"/>
          <w:bCs w:val="0"/>
          <w:color w:val="auto"/>
          <w:sz w:val="24"/>
          <w:szCs w:val="24"/>
          <w:lang w:val="en-US" w:eastAsia="zh-CN"/>
        </w:rPr>
        <w:t>3.系统故障排除:系统故障包括设备本身物理故障、系统运行故障。发生故障后当用户认为需中标人到场时，中标人必须及时到达用户现场，负责判断、分析故障原因，及时排除系统故障;如无法及时排除故障，且故障原因系本标段中标的软、硬件引起，或原因不清的情况下，必须由投标人提交应急方案，保证应用系统正常运行，并在最短时间内解决影响系统正常运行的任何故障、隐患。</w:t>
      </w:r>
    </w:p>
    <w:p w14:paraId="337040FF">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1"/>
        <w:rPr>
          <w:rFonts w:hint="default" w:hAnsi="宋体" w:cs="宋体"/>
          <w:b w:val="0"/>
          <w:bCs w:val="0"/>
          <w:color w:val="auto"/>
          <w:sz w:val="24"/>
          <w:szCs w:val="24"/>
          <w:lang w:val="en-US" w:eastAsia="zh-CN"/>
        </w:rPr>
      </w:pPr>
      <w:r>
        <w:rPr>
          <w:rFonts w:hint="eastAsia" w:hAnsi="宋体" w:cs="宋体"/>
          <w:b/>
          <w:bCs/>
          <w:color w:val="auto"/>
          <w:sz w:val="24"/>
          <w:szCs w:val="24"/>
          <w:lang w:val="en-US" w:eastAsia="zh-CN"/>
        </w:rPr>
        <w:t>六、</w:t>
      </w:r>
      <w:r>
        <w:rPr>
          <w:rFonts w:hint="default" w:hAnsi="宋体" w:cs="宋体"/>
          <w:b/>
          <w:bCs/>
          <w:color w:val="auto"/>
          <w:sz w:val="24"/>
          <w:szCs w:val="24"/>
          <w:lang w:val="en-US" w:eastAsia="zh-CN"/>
        </w:rPr>
        <w:t>数据安全要求</w:t>
      </w:r>
    </w:p>
    <w:p w14:paraId="4BFD10B9">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default" w:hAnsi="宋体" w:cs="宋体"/>
          <w:b w:val="0"/>
          <w:bCs w:val="0"/>
          <w:color w:val="auto"/>
          <w:sz w:val="24"/>
          <w:szCs w:val="24"/>
          <w:lang w:val="en-US" w:eastAsia="zh-CN"/>
        </w:rPr>
      </w:pPr>
      <w:r>
        <w:rPr>
          <w:rFonts w:hint="default" w:hAnsi="宋体" w:cs="宋体"/>
          <w:b w:val="0"/>
          <w:bCs w:val="0"/>
          <w:color w:val="auto"/>
          <w:sz w:val="24"/>
          <w:szCs w:val="24"/>
          <w:lang w:val="en-US" w:eastAsia="zh-CN"/>
        </w:rPr>
        <w:t>为保证数据的完整性、延伸性，所有上传到系统的数据必须按采购人要求做好存储备份，项目建设和运营过程中所用软件和产生的数据等所有权均归采购人所有。</w:t>
      </w:r>
    </w:p>
    <w:p w14:paraId="098C42CB">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1"/>
        <w:rPr>
          <w:rFonts w:hint="default" w:hAnsi="宋体" w:cs="宋体"/>
          <w:b w:val="0"/>
          <w:bCs w:val="0"/>
          <w:color w:val="auto"/>
          <w:sz w:val="24"/>
          <w:szCs w:val="24"/>
          <w:lang w:val="en-US" w:eastAsia="zh-CN"/>
        </w:rPr>
      </w:pPr>
      <w:r>
        <w:rPr>
          <w:rFonts w:hint="eastAsia" w:hAnsi="宋体" w:cs="宋体"/>
          <w:b/>
          <w:bCs/>
          <w:color w:val="auto"/>
          <w:sz w:val="24"/>
          <w:szCs w:val="24"/>
          <w:lang w:val="en-US" w:eastAsia="zh-CN"/>
        </w:rPr>
        <w:t>七、</w:t>
      </w:r>
      <w:r>
        <w:rPr>
          <w:rFonts w:hint="default" w:hAnsi="宋体" w:cs="宋体"/>
          <w:b/>
          <w:bCs/>
          <w:color w:val="auto"/>
          <w:sz w:val="24"/>
          <w:szCs w:val="24"/>
          <w:lang w:val="en-US" w:eastAsia="zh-CN"/>
        </w:rPr>
        <w:t>相关产权</w:t>
      </w:r>
    </w:p>
    <w:p w14:paraId="7317D6D6">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default" w:hAnsi="宋体" w:cs="宋体"/>
          <w:b w:val="0"/>
          <w:bCs w:val="0"/>
          <w:color w:val="auto"/>
          <w:sz w:val="24"/>
          <w:szCs w:val="24"/>
          <w:lang w:val="en-US" w:eastAsia="zh-CN"/>
        </w:rPr>
        <w:sectPr>
          <w:pgSz w:w="11906" w:h="16838"/>
          <w:pgMar w:top="1417" w:right="1417" w:bottom="1417" w:left="1417" w:header="850" w:footer="850" w:gutter="0"/>
          <w:pgNumType w:fmt="numberInDash"/>
          <w:cols w:space="425" w:num="1"/>
          <w:docGrid w:type="lines" w:linePitch="326" w:charSpace="0"/>
        </w:sectPr>
      </w:pPr>
      <w:r>
        <w:rPr>
          <w:rFonts w:hint="default" w:hAnsi="宋体" w:cs="宋体"/>
          <w:b w:val="0"/>
          <w:bCs w:val="0"/>
          <w:color w:val="auto"/>
          <w:sz w:val="24"/>
          <w:szCs w:val="24"/>
          <w:lang w:val="en-US" w:eastAsia="zh-CN"/>
        </w:rPr>
        <w:t>本项目知识产权归采购人所有。合同期满不再续约时，中标人须免费提供并向采购人移交该项目的所有数据</w:t>
      </w:r>
      <w:r>
        <w:rPr>
          <w:rFonts w:hint="eastAsia" w:hAnsi="宋体" w:cs="宋体"/>
          <w:b w:val="0"/>
          <w:bCs w:val="0"/>
          <w:color w:val="auto"/>
          <w:sz w:val="24"/>
          <w:szCs w:val="24"/>
          <w:lang w:val="en-US" w:eastAsia="zh-CN"/>
        </w:rPr>
        <w:t>。</w:t>
      </w:r>
    </w:p>
    <w:p w14:paraId="19271BBA">
      <w:pPr>
        <w:pStyle w:val="61"/>
        <w:ind w:firstLine="0" w:firstLineChars="0"/>
        <w:rPr>
          <w:rFonts w:hint="eastAsia"/>
          <w:sz w:val="24"/>
          <w:szCs w:val="24"/>
        </w:rPr>
      </w:pPr>
    </w:p>
    <w:p w14:paraId="0C5F5FF4">
      <w:pPr>
        <w:pStyle w:val="5"/>
      </w:pPr>
      <w:r>
        <w:rPr>
          <w:rFonts w:hint="eastAsia"/>
        </w:rPr>
        <w:t>链路租赁具体内容</w:t>
      </w:r>
    </w:p>
    <w:p w14:paraId="41F0BBA7">
      <w:pPr>
        <w:pStyle w:val="9"/>
      </w:pPr>
      <w:r>
        <w:rPr>
          <w:rFonts w:hint="eastAsia"/>
        </w:rPr>
        <w:t>表1-5 本次建设内容（链路）</w:t>
      </w:r>
    </w:p>
    <w:tbl>
      <w:tblPr>
        <w:tblStyle w:val="21"/>
        <w:tblW w:w="4997" w:type="pct"/>
        <w:tblInd w:w="0" w:type="dxa"/>
        <w:tblLayout w:type="autofit"/>
        <w:tblCellMar>
          <w:top w:w="0" w:type="dxa"/>
          <w:left w:w="108" w:type="dxa"/>
          <w:bottom w:w="0" w:type="dxa"/>
          <w:right w:w="108" w:type="dxa"/>
        </w:tblCellMar>
      </w:tblPr>
      <w:tblGrid>
        <w:gridCol w:w="986"/>
        <w:gridCol w:w="1241"/>
        <w:gridCol w:w="4417"/>
        <w:gridCol w:w="988"/>
        <w:gridCol w:w="908"/>
        <w:gridCol w:w="742"/>
      </w:tblGrid>
      <w:tr w14:paraId="10C46BA3">
        <w:tblPrEx>
          <w:tblCellMar>
            <w:top w:w="0" w:type="dxa"/>
            <w:left w:w="108" w:type="dxa"/>
            <w:bottom w:w="0" w:type="dxa"/>
            <w:right w:w="108" w:type="dxa"/>
          </w:tblCellMar>
        </w:tblPrEx>
        <w:trPr>
          <w:trHeight w:val="300" w:hRule="atLeast"/>
        </w:trPr>
        <w:tc>
          <w:tcPr>
            <w:tcW w:w="531" w:type="pct"/>
            <w:tcBorders>
              <w:top w:val="single" w:color="000000" w:sz="4" w:space="0"/>
              <w:left w:val="single" w:color="000000" w:sz="4" w:space="0"/>
              <w:bottom w:val="single" w:color="000000" w:sz="4" w:space="0"/>
              <w:right w:val="single" w:color="000000" w:sz="4" w:space="0"/>
            </w:tcBorders>
            <w:noWrap/>
            <w:vAlign w:val="center"/>
          </w:tcPr>
          <w:p w14:paraId="4B5BCF5B">
            <w:pPr>
              <w:widowControl/>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序号</w:t>
            </w:r>
          </w:p>
        </w:tc>
        <w:tc>
          <w:tcPr>
            <w:tcW w:w="668" w:type="pct"/>
            <w:tcBorders>
              <w:top w:val="single" w:color="000000" w:sz="4" w:space="0"/>
              <w:left w:val="single" w:color="000000" w:sz="4" w:space="0"/>
              <w:bottom w:val="single" w:color="000000" w:sz="4" w:space="0"/>
              <w:right w:val="single" w:color="000000" w:sz="4" w:space="0"/>
            </w:tcBorders>
            <w:noWrap/>
            <w:vAlign w:val="center"/>
          </w:tcPr>
          <w:p w14:paraId="1C2EC029">
            <w:pPr>
              <w:widowControl/>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名称</w:t>
            </w:r>
          </w:p>
        </w:tc>
        <w:tc>
          <w:tcPr>
            <w:tcW w:w="2378" w:type="pct"/>
            <w:tcBorders>
              <w:top w:val="single" w:color="000000" w:sz="4" w:space="0"/>
              <w:left w:val="single" w:color="000000" w:sz="4" w:space="0"/>
              <w:bottom w:val="single" w:color="000000" w:sz="4" w:space="0"/>
              <w:right w:val="single" w:color="000000" w:sz="4" w:space="0"/>
            </w:tcBorders>
          </w:tcPr>
          <w:p w14:paraId="488EA02A">
            <w:pPr>
              <w:widowControl/>
              <w:spacing w:line="240" w:lineRule="auto"/>
              <w:jc w:val="center"/>
              <w:textAlignment w:val="top"/>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规格</w:t>
            </w:r>
          </w:p>
        </w:tc>
        <w:tc>
          <w:tcPr>
            <w:tcW w:w="532" w:type="pct"/>
            <w:tcBorders>
              <w:top w:val="single" w:color="000000" w:sz="4" w:space="0"/>
              <w:left w:val="single" w:color="000000" w:sz="4" w:space="0"/>
              <w:bottom w:val="single" w:color="000000" w:sz="4" w:space="0"/>
              <w:right w:val="single" w:color="000000" w:sz="4" w:space="0"/>
            </w:tcBorders>
            <w:noWrap/>
            <w:vAlign w:val="center"/>
          </w:tcPr>
          <w:p w14:paraId="22A338BC">
            <w:pPr>
              <w:widowControl/>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单位</w:t>
            </w:r>
          </w:p>
        </w:tc>
        <w:tc>
          <w:tcPr>
            <w:tcW w:w="489" w:type="pct"/>
            <w:tcBorders>
              <w:top w:val="single" w:color="000000" w:sz="4" w:space="0"/>
              <w:left w:val="single" w:color="000000" w:sz="4" w:space="0"/>
              <w:bottom w:val="single" w:color="000000" w:sz="4" w:space="0"/>
              <w:right w:val="single" w:color="000000" w:sz="4" w:space="0"/>
            </w:tcBorders>
            <w:noWrap/>
            <w:vAlign w:val="center"/>
          </w:tcPr>
          <w:p w14:paraId="6AC45717">
            <w:pPr>
              <w:widowControl/>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数量</w:t>
            </w:r>
          </w:p>
        </w:tc>
        <w:tc>
          <w:tcPr>
            <w:tcW w:w="399" w:type="pct"/>
            <w:tcBorders>
              <w:top w:val="single" w:color="000000" w:sz="4" w:space="0"/>
              <w:left w:val="single" w:color="000000" w:sz="4" w:space="0"/>
              <w:bottom w:val="single" w:color="000000" w:sz="4" w:space="0"/>
              <w:right w:val="single" w:color="000000" w:sz="4" w:space="0"/>
            </w:tcBorders>
            <w:vAlign w:val="center"/>
          </w:tcPr>
          <w:p w14:paraId="094E028C">
            <w:pPr>
              <w:widowControl/>
              <w:spacing w:line="240" w:lineRule="auto"/>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备注</w:t>
            </w:r>
          </w:p>
        </w:tc>
      </w:tr>
      <w:tr w14:paraId="2DF0FF14">
        <w:tblPrEx>
          <w:tblCellMar>
            <w:top w:w="0" w:type="dxa"/>
            <w:left w:w="108" w:type="dxa"/>
            <w:bottom w:w="0" w:type="dxa"/>
            <w:right w:w="108" w:type="dxa"/>
          </w:tblCellMar>
        </w:tblPrEx>
        <w:trPr>
          <w:trHeight w:val="316" w:hRule="atLeast"/>
        </w:trPr>
        <w:tc>
          <w:tcPr>
            <w:tcW w:w="531" w:type="pct"/>
            <w:tcBorders>
              <w:top w:val="single" w:color="000000" w:sz="4" w:space="0"/>
              <w:left w:val="single" w:color="000000" w:sz="4" w:space="0"/>
              <w:bottom w:val="single" w:color="000000" w:sz="4" w:space="0"/>
              <w:right w:val="single" w:color="000000" w:sz="4" w:space="0"/>
            </w:tcBorders>
            <w:noWrap/>
            <w:vAlign w:val="center"/>
          </w:tcPr>
          <w:p w14:paraId="5A61F739">
            <w:pPr>
              <w:widowControl/>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668" w:type="pct"/>
            <w:tcBorders>
              <w:top w:val="single" w:color="000000" w:sz="4" w:space="0"/>
              <w:left w:val="single" w:color="000000" w:sz="4" w:space="0"/>
              <w:bottom w:val="single" w:color="000000" w:sz="4" w:space="0"/>
              <w:right w:val="single" w:color="000000" w:sz="4" w:space="0"/>
            </w:tcBorders>
            <w:vAlign w:val="center"/>
          </w:tcPr>
          <w:p w14:paraId="7B562995">
            <w:pPr>
              <w:widowControl/>
              <w:spacing w:line="24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1000M带宽链路</w:t>
            </w:r>
          </w:p>
        </w:tc>
        <w:tc>
          <w:tcPr>
            <w:tcW w:w="2378" w:type="pct"/>
            <w:tcBorders>
              <w:top w:val="single" w:color="000000" w:sz="4" w:space="0"/>
              <w:left w:val="single" w:color="000000" w:sz="4" w:space="0"/>
              <w:bottom w:val="single" w:color="000000" w:sz="4" w:space="0"/>
              <w:right w:val="single" w:color="000000" w:sz="4" w:space="0"/>
            </w:tcBorders>
          </w:tcPr>
          <w:p w14:paraId="33863E34">
            <w:pPr>
              <w:widowControl/>
              <w:spacing w:line="240" w:lineRule="auto"/>
              <w:jc w:val="left"/>
              <w:textAlignment w:val="top"/>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公路局监控视频传输（1条），客运站站务系统业务数据传输（1条），21家公交场站监控视频传输（21条），公交业务系统数据（1条）,榆林市南北客运站视频传输(2条)。</w:t>
            </w:r>
          </w:p>
        </w:tc>
        <w:tc>
          <w:tcPr>
            <w:tcW w:w="532" w:type="pct"/>
            <w:tcBorders>
              <w:top w:val="single" w:color="000000" w:sz="4" w:space="0"/>
              <w:left w:val="single" w:color="000000" w:sz="4" w:space="0"/>
              <w:bottom w:val="single" w:color="000000" w:sz="4" w:space="0"/>
              <w:right w:val="single" w:color="000000" w:sz="4" w:space="0"/>
            </w:tcBorders>
            <w:vAlign w:val="center"/>
          </w:tcPr>
          <w:p w14:paraId="400D1B25">
            <w:pPr>
              <w:widowControl/>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条/年</w:t>
            </w:r>
          </w:p>
        </w:tc>
        <w:tc>
          <w:tcPr>
            <w:tcW w:w="489" w:type="pct"/>
            <w:tcBorders>
              <w:top w:val="single" w:color="000000" w:sz="4" w:space="0"/>
              <w:left w:val="single" w:color="000000" w:sz="4" w:space="0"/>
              <w:bottom w:val="single" w:color="000000" w:sz="4" w:space="0"/>
              <w:right w:val="single" w:color="000000" w:sz="4" w:space="0"/>
            </w:tcBorders>
            <w:noWrap/>
            <w:vAlign w:val="center"/>
          </w:tcPr>
          <w:p w14:paraId="51D73481">
            <w:pPr>
              <w:widowControl/>
              <w:spacing w:line="24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26</w:t>
            </w:r>
          </w:p>
        </w:tc>
        <w:tc>
          <w:tcPr>
            <w:tcW w:w="399" w:type="pct"/>
            <w:tcBorders>
              <w:top w:val="single" w:color="000000" w:sz="4" w:space="0"/>
              <w:left w:val="single" w:color="000000" w:sz="4" w:space="0"/>
              <w:bottom w:val="single" w:color="000000" w:sz="4" w:space="0"/>
              <w:right w:val="single" w:color="000000" w:sz="4" w:space="0"/>
            </w:tcBorders>
            <w:noWrap/>
            <w:vAlign w:val="center"/>
          </w:tcPr>
          <w:p w14:paraId="48061F71">
            <w:pPr>
              <w:widowControl/>
              <w:spacing w:line="240" w:lineRule="auto"/>
              <w:rPr>
                <w:rFonts w:hint="eastAsia" w:ascii="宋体" w:hAnsi="宋体" w:eastAsia="宋体" w:cs="宋体"/>
                <w:color w:val="000000"/>
                <w:sz w:val="21"/>
                <w:szCs w:val="21"/>
              </w:rPr>
            </w:pPr>
          </w:p>
        </w:tc>
      </w:tr>
    </w:tbl>
    <w:p w14:paraId="1176719E"/>
    <w:p w14:paraId="07F17B97">
      <w:pPr>
        <w:pStyle w:val="4"/>
        <w:rPr>
          <w:rFonts w:hint="eastAsia"/>
          <w:color w:val="auto"/>
        </w:rPr>
      </w:pPr>
      <w:r>
        <w:rPr>
          <w:rFonts w:hint="eastAsia"/>
          <w:color w:val="auto"/>
        </w:rPr>
        <w:t>建设周期</w:t>
      </w:r>
    </w:p>
    <w:p w14:paraId="561F0461">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cs="宋体"/>
          <w:color w:val="auto"/>
        </w:rPr>
      </w:pPr>
      <w:r>
        <w:rPr>
          <w:rFonts w:hint="eastAsia" w:cs="宋体"/>
          <w:color w:val="auto"/>
        </w:rPr>
        <w:t>施工：由招标确定的承担单位对应用系统进行建设，包括软硬件产品采购、应用软件的开发部署和系统集成，整体计划历时</w:t>
      </w:r>
      <w:r>
        <w:rPr>
          <w:rFonts w:hint="eastAsia" w:cs="宋体"/>
          <w:color w:val="auto"/>
          <w:lang w:val="en-US" w:eastAsia="zh-CN"/>
        </w:rPr>
        <w:t>90天</w:t>
      </w:r>
      <w:r>
        <w:rPr>
          <w:rFonts w:hint="eastAsia" w:cs="宋体"/>
          <w:color w:val="auto"/>
        </w:rPr>
        <w:t>。</w:t>
      </w:r>
    </w:p>
    <w:p w14:paraId="7EF7E3BD">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cs="宋体"/>
          <w:color w:val="auto"/>
        </w:rPr>
      </w:pPr>
      <w:r>
        <w:rPr>
          <w:rFonts w:hint="eastAsia" w:cs="宋体"/>
          <w:color w:val="auto"/>
        </w:rPr>
        <w:t>系统测试及人员培训：系统开发工作完成以后，对系统功能进行逐项测试，同时进行人员培训工作。计划历时</w:t>
      </w:r>
      <w:r>
        <w:rPr>
          <w:rFonts w:hint="eastAsia" w:cs="宋体"/>
          <w:color w:val="auto"/>
          <w:lang w:val="en-US" w:eastAsia="zh-CN"/>
        </w:rPr>
        <w:t>15天</w:t>
      </w:r>
      <w:r>
        <w:rPr>
          <w:rFonts w:hint="eastAsia" w:cs="宋体"/>
          <w:color w:val="auto"/>
        </w:rPr>
        <w:t>。</w:t>
      </w:r>
    </w:p>
    <w:p w14:paraId="06E8B616">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cs="宋体"/>
          <w:color w:val="auto"/>
        </w:rPr>
      </w:pPr>
      <w:r>
        <w:rPr>
          <w:rFonts w:hint="eastAsia" w:cs="宋体"/>
          <w:color w:val="auto"/>
        </w:rPr>
        <w:t>项目初步验收与试运行：确认系统满足需求后，组织进行系统初验。初验完毕，系统投入试运行，在试运行期间，解决初验时的遗留问题和新出现的问题。计划历时</w:t>
      </w:r>
      <w:r>
        <w:rPr>
          <w:rFonts w:hint="eastAsia" w:cs="宋体"/>
          <w:color w:val="auto"/>
          <w:lang w:val="en-US" w:eastAsia="zh-CN"/>
        </w:rPr>
        <w:t>3</w:t>
      </w:r>
      <w:r>
        <w:rPr>
          <w:rFonts w:hint="eastAsia" w:cs="宋体"/>
          <w:color w:val="auto"/>
        </w:rPr>
        <w:t>个月。</w:t>
      </w:r>
    </w:p>
    <w:p w14:paraId="289E172D">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cs="宋体"/>
          <w:color w:val="auto"/>
        </w:rPr>
      </w:pPr>
      <w:r>
        <w:rPr>
          <w:rFonts w:hint="eastAsia" w:cs="宋体"/>
          <w:color w:val="auto"/>
        </w:rPr>
        <w:t>系统竣工验收：试运行期结束后，进行系统终验，终验收通过后，即可将系统移交给建设单位，正式投入运行。</w:t>
      </w:r>
    </w:p>
    <w:p w14:paraId="53EBE121">
      <w:pPr>
        <w:ind w:firstLine="480"/>
        <w:rPr>
          <w:rFonts w:cs="宋体"/>
        </w:rPr>
      </w:pPr>
    </w:p>
    <w:p w14:paraId="63AFAC9D">
      <w:pPr>
        <w:numPr>
          <w:ilvl w:val="0"/>
          <w:numId w:val="0"/>
        </w:numPr>
        <w:bidi w:val="0"/>
        <w:spacing w:line="360" w:lineRule="auto"/>
        <w:outlineLvl w:val="1"/>
        <w:rPr>
          <w:rFonts w:hint="eastAsia"/>
          <w:b/>
          <w:bCs/>
        </w:rPr>
      </w:pPr>
    </w:p>
    <w:p w14:paraId="088B1DA7">
      <w:pPr>
        <w:pStyle w:val="8"/>
        <w:spacing w:line="360" w:lineRule="auto"/>
        <w:ind w:left="0" w:leftChars="0" w:firstLine="482" w:firstLineChars="200"/>
        <w:outlineLvl w:val="1"/>
        <w:rPr>
          <w:rFonts w:hint="eastAsia" w:hAnsi="宋体" w:cs="宋体"/>
          <w:b/>
          <w:bCs/>
          <w:color w:val="auto"/>
          <w:sz w:val="24"/>
          <w:szCs w:val="24"/>
          <w:lang w:val="en-US" w:eastAsia="zh-CN"/>
        </w:rPr>
      </w:pPr>
    </w:p>
    <w:p w14:paraId="4BB14D57">
      <w:pPr>
        <w:pStyle w:val="8"/>
        <w:spacing w:line="360" w:lineRule="auto"/>
        <w:ind w:left="0" w:leftChars="0" w:firstLine="482" w:firstLineChars="200"/>
        <w:outlineLvl w:val="1"/>
        <w:rPr>
          <w:rFonts w:hint="eastAsia" w:hAnsi="宋体" w:cs="宋体"/>
          <w:b/>
          <w:bCs/>
          <w:color w:val="auto"/>
          <w:sz w:val="24"/>
          <w:szCs w:val="24"/>
          <w:lang w:val="en-US" w:eastAsia="zh-CN"/>
        </w:rPr>
      </w:pPr>
    </w:p>
    <w:p w14:paraId="36B9070B">
      <w:pPr>
        <w:pStyle w:val="8"/>
        <w:spacing w:line="360" w:lineRule="auto"/>
        <w:ind w:left="0" w:leftChars="0" w:firstLine="482" w:firstLineChars="200"/>
        <w:outlineLvl w:val="1"/>
        <w:rPr>
          <w:rFonts w:hint="eastAsia" w:hAnsi="宋体" w:cs="宋体"/>
          <w:b/>
          <w:bCs/>
          <w:color w:val="auto"/>
          <w:sz w:val="24"/>
          <w:szCs w:val="24"/>
          <w:lang w:val="en-US" w:eastAsia="zh-CN"/>
        </w:rPr>
      </w:pPr>
    </w:p>
    <w:p w14:paraId="25925AF5">
      <w:pPr>
        <w:rPr>
          <w:rFonts w:hint="eastAsia"/>
          <w:sz w:val="32"/>
          <w:szCs w:val="32"/>
        </w:rPr>
      </w:pPr>
    </w:p>
    <w:p w14:paraId="1CE0058D">
      <w:pPr>
        <w:rPr>
          <w:rFonts w:hint="eastAsia"/>
          <w:sz w:val="32"/>
          <w:szCs w:val="32"/>
        </w:rPr>
      </w:pPr>
    </w:p>
    <w:p w14:paraId="0C76AE6C">
      <w:pPr>
        <w:rPr>
          <w:rFonts w:hint="eastAsia"/>
          <w:sz w:val="32"/>
          <w:szCs w:val="32"/>
        </w:rPr>
      </w:pPr>
    </w:p>
    <w:p w14:paraId="300A821B">
      <w:pPr>
        <w:rPr>
          <w:rFonts w:hint="eastAsia"/>
          <w:sz w:val="32"/>
          <w:szCs w:val="32"/>
        </w:rPr>
      </w:pPr>
    </w:p>
    <w:p w14:paraId="17A296BA">
      <w:pPr>
        <w:pStyle w:val="2"/>
        <w:jc w:val="center"/>
        <w:rPr>
          <w:rFonts w:hint="default" w:eastAsia="宋体"/>
          <w:lang w:val="en-US" w:eastAsia="zh-CN"/>
        </w:rPr>
      </w:pPr>
      <w:r>
        <w:rPr>
          <w:rFonts w:hint="eastAsia"/>
          <w:sz w:val="32"/>
          <w:szCs w:val="32"/>
        </w:rPr>
        <w:t xml:space="preserve">第五章 </w:t>
      </w:r>
      <w:bookmarkEnd w:id="163"/>
      <w:r>
        <w:rPr>
          <w:rFonts w:hint="eastAsia"/>
          <w:sz w:val="32"/>
          <w:szCs w:val="32"/>
          <w:lang w:val="en-US" w:eastAsia="zh-CN"/>
        </w:rPr>
        <w:t>商务要求</w:t>
      </w:r>
    </w:p>
    <w:p w14:paraId="0B56C8CA">
      <w:pPr>
        <w:spacing w:line="288" w:lineRule="auto"/>
        <w:jc w:val="left"/>
        <w:rPr>
          <w:rFonts w:hint="eastAsia"/>
          <w:sz w:val="21"/>
          <w:szCs w:val="21"/>
          <w:lang w:eastAsia="zh-CN"/>
        </w:rPr>
      </w:pPr>
    </w:p>
    <w:tbl>
      <w:tblPr>
        <w:tblStyle w:val="21"/>
        <w:tblW w:w="91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5"/>
        <w:gridCol w:w="1243"/>
        <w:gridCol w:w="7011"/>
      </w:tblGrid>
      <w:tr w14:paraId="7CD8B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1" w:hRule="atLeast"/>
          <w:jc w:val="center"/>
        </w:trPr>
        <w:tc>
          <w:tcPr>
            <w:tcW w:w="875" w:type="dxa"/>
            <w:shd w:val="clear" w:color="auto" w:fill="FFFFFF"/>
            <w:noWrap w:val="0"/>
            <w:vAlign w:val="center"/>
          </w:tcPr>
          <w:p w14:paraId="5C6A5E84">
            <w:pPr>
              <w:spacing w:line="288" w:lineRule="auto"/>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条款号</w:t>
            </w:r>
          </w:p>
        </w:tc>
        <w:tc>
          <w:tcPr>
            <w:tcW w:w="1243" w:type="dxa"/>
            <w:shd w:val="clear" w:color="auto" w:fill="FFFFFF"/>
            <w:noWrap w:val="0"/>
            <w:vAlign w:val="center"/>
          </w:tcPr>
          <w:p w14:paraId="3E172FC6">
            <w:pPr>
              <w:spacing w:line="288" w:lineRule="auto"/>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条款名称</w:t>
            </w:r>
          </w:p>
        </w:tc>
        <w:tc>
          <w:tcPr>
            <w:tcW w:w="7011" w:type="dxa"/>
            <w:shd w:val="clear" w:color="auto" w:fill="FFFFFF"/>
            <w:noWrap w:val="0"/>
            <w:vAlign w:val="center"/>
          </w:tcPr>
          <w:p w14:paraId="486DA69B">
            <w:pPr>
              <w:spacing w:line="288" w:lineRule="auto"/>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内      容</w:t>
            </w:r>
          </w:p>
        </w:tc>
      </w:tr>
      <w:tr w14:paraId="23E4F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8" w:hRule="atLeast"/>
          <w:jc w:val="center"/>
        </w:trPr>
        <w:tc>
          <w:tcPr>
            <w:tcW w:w="875" w:type="dxa"/>
            <w:shd w:val="clear" w:color="auto" w:fill="FFFDFA"/>
            <w:noWrap w:val="0"/>
            <w:vAlign w:val="center"/>
          </w:tcPr>
          <w:p w14:paraId="0BD74F89">
            <w:pPr>
              <w:spacing w:line="288"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243" w:type="dxa"/>
            <w:shd w:val="clear" w:color="auto" w:fill="FFFDFA"/>
            <w:noWrap w:val="0"/>
            <w:vAlign w:val="center"/>
          </w:tcPr>
          <w:p w14:paraId="713CC196">
            <w:pPr>
              <w:spacing w:line="288"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项目概述</w:t>
            </w:r>
          </w:p>
        </w:tc>
        <w:tc>
          <w:tcPr>
            <w:tcW w:w="7011" w:type="dxa"/>
            <w:shd w:val="clear" w:color="auto" w:fill="FFFDFA"/>
            <w:noWrap w:val="0"/>
            <w:vAlign w:val="center"/>
          </w:tcPr>
          <w:p w14:paraId="33154FD3">
            <w:pPr>
              <w:spacing w:line="288"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采购人名称：</w:t>
            </w:r>
            <w:r>
              <w:rPr>
                <w:rFonts w:hint="eastAsia" w:hAnsi="宋体" w:cs="宋体"/>
                <w:sz w:val="24"/>
                <w:szCs w:val="24"/>
                <w:lang w:val="en-US" w:eastAsia="zh-CN"/>
              </w:rPr>
              <w:t>榆林市交通运输局</w:t>
            </w:r>
          </w:p>
          <w:p w14:paraId="424D9EB7">
            <w:pPr>
              <w:spacing w:line="288"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地    址：榆林市</w:t>
            </w:r>
            <w:r>
              <w:rPr>
                <w:rFonts w:hint="eastAsia" w:hAnsi="宋体" w:cs="宋体"/>
                <w:sz w:val="24"/>
                <w:szCs w:val="24"/>
                <w:lang w:val="en-US" w:eastAsia="zh-CN"/>
              </w:rPr>
              <w:t>航宇路</w:t>
            </w:r>
          </w:p>
          <w:p w14:paraId="0275824F">
            <w:pPr>
              <w:spacing w:line="288"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项目名称：</w:t>
            </w:r>
            <w:r>
              <w:rPr>
                <w:rFonts w:hint="eastAsia" w:hAnsi="宋体" w:cs="宋体"/>
                <w:sz w:val="24"/>
                <w:szCs w:val="24"/>
                <w:lang w:eastAsia="zh-CN"/>
              </w:rPr>
              <w:t>榆林市综合交通信息服务平台建设（一期）工程项目管理服务</w:t>
            </w:r>
          </w:p>
          <w:p w14:paraId="6EE88A9A">
            <w:pPr>
              <w:spacing w:line="288"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资金来源：财政资金</w:t>
            </w:r>
          </w:p>
        </w:tc>
      </w:tr>
      <w:tr w14:paraId="65148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56" w:hRule="atLeast"/>
          <w:jc w:val="center"/>
        </w:trPr>
        <w:tc>
          <w:tcPr>
            <w:tcW w:w="875" w:type="dxa"/>
            <w:shd w:val="clear" w:color="auto" w:fill="FFFFFF"/>
            <w:noWrap w:val="0"/>
            <w:vAlign w:val="center"/>
          </w:tcPr>
          <w:p w14:paraId="6F62C147">
            <w:pPr>
              <w:spacing w:line="288"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2</w:t>
            </w:r>
          </w:p>
        </w:tc>
        <w:tc>
          <w:tcPr>
            <w:tcW w:w="1243" w:type="dxa"/>
            <w:shd w:val="clear" w:color="auto" w:fill="FFFFFF"/>
            <w:noWrap w:val="0"/>
            <w:vAlign w:val="center"/>
          </w:tcPr>
          <w:p w14:paraId="5EE0D128">
            <w:pPr>
              <w:spacing w:line="288"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地点</w:t>
            </w:r>
          </w:p>
        </w:tc>
        <w:tc>
          <w:tcPr>
            <w:tcW w:w="7011" w:type="dxa"/>
            <w:shd w:val="clear" w:color="auto" w:fill="FFFFFF"/>
            <w:noWrap w:val="0"/>
            <w:vAlign w:val="center"/>
          </w:tcPr>
          <w:p w14:paraId="52AAA9A7">
            <w:pPr>
              <w:spacing w:line="288"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项目实施</w:t>
            </w:r>
            <w:r>
              <w:rPr>
                <w:rFonts w:hint="eastAsia" w:ascii="宋体" w:hAnsi="宋体" w:eastAsia="宋体" w:cs="宋体"/>
                <w:sz w:val="24"/>
                <w:szCs w:val="24"/>
                <w:lang w:eastAsia="zh-CN"/>
              </w:rPr>
              <w:t>地点：</w:t>
            </w:r>
            <w:r>
              <w:rPr>
                <w:rFonts w:hint="eastAsia" w:ascii="宋体" w:hAnsi="宋体" w:eastAsia="宋体" w:cs="宋体"/>
                <w:sz w:val="24"/>
                <w:szCs w:val="24"/>
                <w:lang w:val="en-US" w:eastAsia="zh-CN"/>
              </w:rPr>
              <w:t>采购人指定地点。</w:t>
            </w:r>
          </w:p>
        </w:tc>
      </w:tr>
      <w:tr w14:paraId="5E09B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6" w:hRule="atLeast"/>
          <w:jc w:val="center"/>
        </w:trPr>
        <w:tc>
          <w:tcPr>
            <w:tcW w:w="875" w:type="dxa"/>
            <w:shd w:val="clear" w:color="auto" w:fill="FFFDFA"/>
            <w:noWrap w:val="0"/>
            <w:vAlign w:val="center"/>
          </w:tcPr>
          <w:p w14:paraId="0D7B4720">
            <w:pPr>
              <w:spacing w:line="288"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3</w:t>
            </w:r>
          </w:p>
        </w:tc>
        <w:tc>
          <w:tcPr>
            <w:tcW w:w="1243" w:type="dxa"/>
            <w:shd w:val="clear" w:color="auto" w:fill="FFFDFA"/>
            <w:noWrap w:val="0"/>
            <w:vAlign w:val="center"/>
          </w:tcPr>
          <w:p w14:paraId="7DF559EB">
            <w:pPr>
              <w:spacing w:line="288" w:lineRule="auto"/>
              <w:jc w:val="left"/>
              <w:rPr>
                <w:rFonts w:hint="eastAsia" w:ascii="宋体" w:hAnsi="宋体" w:eastAsia="宋体" w:cs="宋体"/>
                <w:color w:val="auto"/>
                <w:sz w:val="24"/>
                <w:szCs w:val="24"/>
                <w:lang w:eastAsia="zh-CN"/>
              </w:rPr>
            </w:pPr>
            <w:r>
              <w:rPr>
                <w:rFonts w:hint="eastAsia" w:hAnsi="宋体" w:cs="宋体"/>
                <w:color w:val="auto"/>
                <w:sz w:val="24"/>
                <w:szCs w:val="24"/>
                <w:lang w:val="en-US" w:eastAsia="zh-CN"/>
              </w:rPr>
              <w:t>服务期</w:t>
            </w:r>
          </w:p>
        </w:tc>
        <w:tc>
          <w:tcPr>
            <w:tcW w:w="7011" w:type="dxa"/>
            <w:shd w:val="clear" w:color="auto" w:fill="FFFDFA"/>
            <w:noWrap w:val="0"/>
            <w:vAlign w:val="center"/>
          </w:tcPr>
          <w:p w14:paraId="1B5F6B25">
            <w:pPr>
              <w:pStyle w:val="1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包含项目建设期、运维期、质保期。建设期为合同签订后90天内（含系统调试）。运维期为项目通过终验收后两年内免费提供运维服务。质保期为验收合格之日起所有硬件产品必须提供3年免费保修服务，所有软件长期提供免费升级。</w:t>
            </w:r>
          </w:p>
        </w:tc>
      </w:tr>
      <w:tr w14:paraId="5C35E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1" w:hRule="atLeast"/>
          <w:jc w:val="center"/>
        </w:trPr>
        <w:tc>
          <w:tcPr>
            <w:tcW w:w="875" w:type="dxa"/>
            <w:shd w:val="clear" w:color="auto" w:fill="FFFFFF"/>
            <w:noWrap w:val="0"/>
            <w:vAlign w:val="center"/>
          </w:tcPr>
          <w:p w14:paraId="745CBA22">
            <w:pPr>
              <w:spacing w:line="288"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1243" w:type="dxa"/>
            <w:shd w:val="clear" w:color="auto" w:fill="FFFFFF"/>
            <w:noWrap w:val="0"/>
            <w:vAlign w:val="center"/>
          </w:tcPr>
          <w:p w14:paraId="4EB3FAB3">
            <w:pPr>
              <w:spacing w:line="288"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质量安全</w:t>
            </w:r>
          </w:p>
        </w:tc>
        <w:tc>
          <w:tcPr>
            <w:tcW w:w="7011" w:type="dxa"/>
            <w:shd w:val="clear" w:color="auto" w:fill="FFFFFF"/>
            <w:noWrap w:val="0"/>
            <w:vAlign w:val="center"/>
          </w:tcPr>
          <w:p w14:paraId="05EBA310">
            <w:pPr>
              <w:spacing w:line="288" w:lineRule="auto"/>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供应商提供的服务质量必须符合国家和行业相关规定的现行标准和</w:t>
            </w:r>
            <w:r>
              <w:rPr>
                <w:rFonts w:hint="eastAsia" w:hAnsi="宋体" w:cs="宋体"/>
                <w:color w:val="auto"/>
                <w:sz w:val="24"/>
                <w:szCs w:val="24"/>
                <w:lang w:val="en-US" w:eastAsia="zh-CN"/>
              </w:rPr>
              <w:t>招标文件</w:t>
            </w:r>
            <w:r>
              <w:rPr>
                <w:rFonts w:hint="eastAsia" w:ascii="宋体" w:hAnsi="宋体" w:eastAsia="宋体" w:cs="宋体"/>
                <w:color w:val="auto"/>
                <w:sz w:val="24"/>
                <w:szCs w:val="24"/>
                <w:lang w:val="en-US" w:eastAsia="zh-CN"/>
              </w:rPr>
              <w:t>规定的要求。</w:t>
            </w:r>
          </w:p>
        </w:tc>
      </w:tr>
      <w:tr w14:paraId="43EEB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151" w:hRule="atLeast"/>
          <w:jc w:val="center"/>
        </w:trPr>
        <w:tc>
          <w:tcPr>
            <w:tcW w:w="875" w:type="dxa"/>
            <w:vMerge w:val="restart"/>
            <w:shd w:val="clear" w:color="auto" w:fill="FFFDFA"/>
            <w:noWrap w:val="0"/>
            <w:vAlign w:val="center"/>
          </w:tcPr>
          <w:p w14:paraId="1D09A7DE">
            <w:pPr>
              <w:spacing w:line="288"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1243" w:type="dxa"/>
            <w:shd w:val="clear" w:color="auto" w:fill="FFFDFA"/>
            <w:noWrap w:val="0"/>
            <w:vAlign w:val="center"/>
          </w:tcPr>
          <w:p w14:paraId="0BACA6DD">
            <w:pPr>
              <w:spacing w:line="288"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合同价款</w:t>
            </w:r>
          </w:p>
        </w:tc>
        <w:tc>
          <w:tcPr>
            <w:tcW w:w="7011" w:type="dxa"/>
            <w:shd w:val="clear" w:color="auto" w:fill="FFFDFA"/>
            <w:noWrap w:val="0"/>
            <w:vAlign w:val="center"/>
          </w:tcPr>
          <w:p w14:paraId="09F7B8F8">
            <w:pPr>
              <w:pStyle w:val="13"/>
              <w:spacing w:line="36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合同价即</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价，</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应在</w:t>
            </w:r>
            <w:r>
              <w:rPr>
                <w:rFonts w:hint="eastAsia" w:hAnsi="宋体" w:cs="宋体"/>
                <w:color w:val="auto"/>
                <w:sz w:val="24"/>
                <w:szCs w:val="24"/>
                <w:lang w:eastAsia="zh-CN"/>
              </w:rPr>
              <w:t>投标</w:t>
            </w:r>
            <w:r>
              <w:rPr>
                <w:rFonts w:hint="eastAsia" w:ascii="宋体" w:hAnsi="宋体" w:eastAsia="宋体" w:cs="宋体"/>
                <w:color w:val="auto"/>
                <w:sz w:val="24"/>
                <w:szCs w:val="24"/>
              </w:rPr>
              <w:t>报价表中标明完成本次</w:t>
            </w:r>
            <w:r>
              <w:rPr>
                <w:rFonts w:hint="eastAsia" w:hAnsi="宋体" w:cs="宋体"/>
                <w:color w:val="auto"/>
                <w:sz w:val="24"/>
                <w:szCs w:val="24"/>
                <w:lang w:eastAsia="zh-CN"/>
              </w:rPr>
              <w:t>投标</w:t>
            </w:r>
            <w:r>
              <w:rPr>
                <w:rFonts w:hint="eastAsia" w:ascii="宋体" w:hAnsi="宋体" w:eastAsia="宋体" w:cs="宋体"/>
                <w:color w:val="auto"/>
                <w:sz w:val="24"/>
                <w:szCs w:val="24"/>
              </w:rPr>
              <w:t>所要求的</w:t>
            </w:r>
            <w:r>
              <w:rPr>
                <w:rFonts w:hint="eastAsia" w:ascii="宋体" w:hAnsi="宋体" w:cs="宋体"/>
                <w:color w:val="auto"/>
                <w:sz w:val="24"/>
                <w:szCs w:val="24"/>
                <w:lang w:val="en-US" w:eastAsia="zh-CN"/>
              </w:rPr>
              <w:t>施工/</w:t>
            </w:r>
            <w:r>
              <w:rPr>
                <w:rFonts w:hint="eastAsia" w:ascii="宋体" w:hAnsi="宋体" w:eastAsia="宋体" w:cs="宋体"/>
                <w:color w:val="auto"/>
                <w:sz w:val="24"/>
                <w:szCs w:val="24"/>
              </w:rPr>
              <w:t>货物</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服务</w:t>
            </w:r>
            <w:r>
              <w:rPr>
                <w:rFonts w:hint="eastAsia" w:ascii="宋体" w:hAnsi="宋体" w:cs="宋体"/>
                <w:color w:val="auto"/>
                <w:sz w:val="24"/>
                <w:szCs w:val="24"/>
                <w:lang w:eastAsia="zh-CN"/>
              </w:rPr>
              <w:t>项目</w:t>
            </w:r>
            <w:r>
              <w:rPr>
                <w:rFonts w:hint="eastAsia" w:ascii="宋体" w:hAnsi="宋体" w:eastAsia="宋体" w:cs="宋体"/>
                <w:color w:val="auto"/>
                <w:sz w:val="24"/>
                <w:szCs w:val="24"/>
              </w:rPr>
              <w:t>验收合格的所有费用，包括</w:t>
            </w:r>
            <w:r>
              <w:rPr>
                <w:rFonts w:hint="eastAsia" w:ascii="宋体" w:hAnsi="宋体" w:cs="宋体"/>
                <w:color w:val="auto"/>
                <w:sz w:val="24"/>
                <w:szCs w:val="24"/>
                <w:lang w:val="en-US" w:eastAsia="zh-CN"/>
              </w:rPr>
              <w:t>服务费、勘察费、材料费、</w:t>
            </w:r>
            <w:r>
              <w:rPr>
                <w:rFonts w:hint="eastAsia" w:ascii="宋体" w:hAnsi="宋体" w:eastAsia="宋体" w:cs="宋体"/>
                <w:color w:val="auto"/>
                <w:sz w:val="24"/>
                <w:szCs w:val="24"/>
              </w:rPr>
              <w:t>运杂费（含保险）、仓储保管费、</w:t>
            </w:r>
            <w:r>
              <w:rPr>
                <w:rFonts w:hint="eastAsia" w:ascii="宋体" w:hAnsi="宋体" w:eastAsia="宋体" w:cs="宋体"/>
                <w:color w:val="auto"/>
                <w:sz w:val="24"/>
                <w:szCs w:val="24"/>
                <w:lang w:eastAsia="zh-CN"/>
              </w:rPr>
              <w:t>税金</w:t>
            </w:r>
            <w:r>
              <w:rPr>
                <w:rFonts w:hint="eastAsia" w:ascii="宋体" w:hAnsi="宋体" w:eastAsia="宋体" w:cs="宋体"/>
                <w:color w:val="auto"/>
                <w:sz w:val="24"/>
                <w:szCs w:val="24"/>
              </w:rPr>
              <w:t>等其他一切相关费用。</w:t>
            </w:r>
            <w:r>
              <w:rPr>
                <w:rFonts w:hint="eastAsia" w:hAnsi="宋体" w:cs="宋体"/>
                <w:color w:val="auto"/>
                <w:sz w:val="24"/>
                <w:szCs w:val="24"/>
                <w:lang w:eastAsia="zh-CN"/>
              </w:rPr>
              <w:t>投标</w:t>
            </w:r>
            <w:r>
              <w:rPr>
                <w:rFonts w:hint="eastAsia" w:ascii="宋体" w:hAnsi="宋体" w:eastAsia="宋体" w:cs="宋体"/>
                <w:color w:val="auto"/>
                <w:sz w:val="24"/>
                <w:szCs w:val="24"/>
              </w:rPr>
              <w:t>报价表中标明本次</w:t>
            </w:r>
            <w:r>
              <w:rPr>
                <w:rFonts w:hint="eastAsia" w:ascii="宋体" w:hAnsi="宋体" w:cs="宋体"/>
                <w:color w:val="auto"/>
                <w:sz w:val="24"/>
                <w:szCs w:val="24"/>
                <w:lang w:val="en-US" w:eastAsia="zh-CN"/>
              </w:rPr>
              <w:t>工程/</w:t>
            </w:r>
            <w:r>
              <w:rPr>
                <w:rFonts w:hint="eastAsia" w:ascii="宋体" w:hAnsi="宋体" w:eastAsia="宋体" w:cs="宋体"/>
                <w:color w:val="auto"/>
                <w:sz w:val="24"/>
                <w:szCs w:val="24"/>
              </w:rPr>
              <w:t>货物</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服务所有单项价格和总价，任何有选择的报价将不予接受，按无效投标处理。</w:t>
            </w:r>
          </w:p>
          <w:p w14:paraId="3F3F150A">
            <w:pPr>
              <w:spacing w:line="288"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w:t>
            </w:r>
            <w:r>
              <w:rPr>
                <w:rFonts w:hint="eastAsia" w:ascii="宋体" w:hAnsi="宋体" w:cs="宋体"/>
                <w:color w:val="auto"/>
                <w:sz w:val="24"/>
                <w:szCs w:val="24"/>
                <w:lang w:val="en-US" w:eastAsia="zh-CN"/>
              </w:rPr>
              <w:t>本</w:t>
            </w:r>
            <w:r>
              <w:rPr>
                <w:rFonts w:hint="eastAsia" w:ascii="宋体" w:hAnsi="宋体" w:eastAsia="宋体" w:cs="宋体"/>
                <w:color w:val="auto"/>
                <w:sz w:val="24"/>
                <w:szCs w:val="24"/>
              </w:rPr>
              <w:t>合同</w:t>
            </w:r>
            <w:r>
              <w:rPr>
                <w:rFonts w:hint="eastAsia" w:ascii="宋体" w:hAnsi="宋体" w:eastAsia="宋体" w:cs="宋体"/>
                <w:color w:val="auto"/>
                <w:sz w:val="24"/>
                <w:szCs w:val="24"/>
                <w:lang w:eastAsia="zh-CN"/>
              </w:rPr>
              <w:t>采用</w:t>
            </w:r>
            <w:r>
              <w:rPr>
                <w:rFonts w:hint="eastAsia" w:ascii="宋体" w:hAnsi="宋体" w:cs="宋体"/>
                <w:color w:val="auto"/>
                <w:sz w:val="24"/>
                <w:szCs w:val="24"/>
                <w:lang w:val="en-US" w:eastAsia="zh-CN"/>
              </w:rPr>
              <w:t>固定总价承包法</w:t>
            </w:r>
            <w:r>
              <w:rPr>
                <w:rFonts w:hint="eastAsia" w:ascii="宋体" w:hAnsi="宋体" w:eastAsia="宋体" w:cs="宋体"/>
                <w:color w:val="auto"/>
                <w:sz w:val="24"/>
                <w:szCs w:val="24"/>
              </w:rPr>
              <w:t>，不受市场价变化的影响。</w:t>
            </w:r>
          </w:p>
        </w:tc>
      </w:tr>
      <w:tr w14:paraId="623A7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5" w:hRule="atLeast"/>
          <w:jc w:val="center"/>
        </w:trPr>
        <w:tc>
          <w:tcPr>
            <w:tcW w:w="875" w:type="dxa"/>
            <w:vMerge w:val="continue"/>
            <w:shd w:val="clear" w:color="auto" w:fill="FFFFFF"/>
            <w:noWrap w:val="0"/>
            <w:vAlign w:val="center"/>
          </w:tcPr>
          <w:p w14:paraId="1CD46532">
            <w:pPr>
              <w:spacing w:line="288" w:lineRule="auto"/>
              <w:jc w:val="left"/>
              <w:rPr>
                <w:rFonts w:hint="eastAsia" w:ascii="宋体" w:hAnsi="宋体" w:eastAsia="宋体" w:cs="宋体"/>
                <w:sz w:val="24"/>
                <w:szCs w:val="24"/>
                <w:lang w:val="en-US" w:eastAsia="zh-CN"/>
              </w:rPr>
            </w:pPr>
          </w:p>
        </w:tc>
        <w:tc>
          <w:tcPr>
            <w:tcW w:w="1243" w:type="dxa"/>
            <w:shd w:val="clear" w:color="auto" w:fill="FFFFFF"/>
            <w:noWrap w:val="0"/>
            <w:vAlign w:val="center"/>
          </w:tcPr>
          <w:p w14:paraId="384183F2">
            <w:pPr>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付款方式</w:t>
            </w:r>
          </w:p>
        </w:tc>
        <w:tc>
          <w:tcPr>
            <w:tcW w:w="7011" w:type="dxa"/>
            <w:shd w:val="clear" w:color="auto" w:fill="FFFFFF"/>
            <w:noWrap w:val="0"/>
            <w:vAlign w:val="center"/>
          </w:tcPr>
          <w:p w14:paraId="10C5023C">
            <w:pPr>
              <w:spacing w:line="288" w:lineRule="auto"/>
              <w:jc w:val="left"/>
              <w:rPr>
                <w:rFonts w:hint="default" w:ascii="宋体" w:hAnsi="宋体" w:eastAsia="宋体" w:cs="宋体"/>
                <w:color w:val="auto"/>
                <w:sz w:val="24"/>
                <w:szCs w:val="24"/>
                <w:lang w:val="en-US" w:eastAsia="zh-CN"/>
              </w:rPr>
            </w:pPr>
            <w:r>
              <w:rPr>
                <w:rFonts w:hint="eastAsia" w:hAnsi="宋体"/>
                <w:color w:val="auto"/>
                <w:sz w:val="24"/>
                <w:lang w:val="en-US" w:eastAsia="zh-CN"/>
              </w:rPr>
              <w:t>另行约定</w:t>
            </w:r>
          </w:p>
        </w:tc>
      </w:tr>
      <w:tr w14:paraId="4BE51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1" w:hRule="atLeast"/>
          <w:jc w:val="center"/>
        </w:trPr>
        <w:tc>
          <w:tcPr>
            <w:tcW w:w="875" w:type="dxa"/>
            <w:shd w:val="clear" w:color="auto" w:fill="FFFDFA"/>
            <w:noWrap w:val="0"/>
            <w:vAlign w:val="center"/>
          </w:tcPr>
          <w:p w14:paraId="1E4D7AFC">
            <w:pPr>
              <w:spacing w:line="288"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1243" w:type="dxa"/>
            <w:shd w:val="clear" w:color="auto" w:fill="FFFDFA"/>
            <w:noWrap w:val="0"/>
            <w:vAlign w:val="center"/>
          </w:tcPr>
          <w:p w14:paraId="04959C16">
            <w:pPr>
              <w:spacing w:line="288"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履约情况</w:t>
            </w:r>
          </w:p>
        </w:tc>
        <w:tc>
          <w:tcPr>
            <w:tcW w:w="7011" w:type="dxa"/>
            <w:shd w:val="clear" w:color="auto" w:fill="FFFDFA"/>
            <w:noWrap w:val="0"/>
            <w:vAlign w:val="center"/>
          </w:tcPr>
          <w:p w14:paraId="3EC8B855">
            <w:pPr>
              <w:spacing w:line="288"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履约情况：项目</w:t>
            </w:r>
            <w:r>
              <w:rPr>
                <w:rFonts w:hint="eastAsia" w:ascii="宋体" w:hAnsi="宋体" w:cs="宋体"/>
                <w:sz w:val="24"/>
                <w:szCs w:val="24"/>
                <w:lang w:val="en-US" w:eastAsia="zh-CN"/>
              </w:rPr>
              <w:t>服务过程中</w:t>
            </w:r>
            <w:r>
              <w:rPr>
                <w:rFonts w:hint="eastAsia" w:ascii="宋体" w:hAnsi="宋体" w:eastAsia="宋体" w:cs="宋体"/>
                <w:sz w:val="24"/>
                <w:szCs w:val="24"/>
                <w:lang w:val="en-US" w:eastAsia="zh-CN"/>
              </w:rPr>
              <w:t>，采购人组织相关部门及人员</w:t>
            </w:r>
            <w:r>
              <w:rPr>
                <w:rFonts w:hint="eastAsia" w:ascii="宋体" w:hAnsi="宋体" w:cs="宋体"/>
                <w:sz w:val="24"/>
                <w:szCs w:val="24"/>
                <w:lang w:val="en-US" w:eastAsia="zh-CN"/>
              </w:rPr>
              <w:t>不定期</w:t>
            </w:r>
            <w:r>
              <w:rPr>
                <w:rFonts w:hint="eastAsia" w:ascii="宋体" w:hAnsi="宋体" w:eastAsia="宋体" w:cs="宋体"/>
                <w:sz w:val="24"/>
                <w:szCs w:val="24"/>
                <w:lang w:val="en-US" w:eastAsia="zh-CN"/>
              </w:rPr>
              <w:t>进行</w:t>
            </w:r>
            <w:r>
              <w:rPr>
                <w:rFonts w:hint="eastAsia" w:hAnsi="宋体" w:cs="宋体"/>
                <w:sz w:val="24"/>
                <w:szCs w:val="24"/>
                <w:lang w:val="en-US" w:eastAsia="zh-CN"/>
              </w:rPr>
              <w:t>履约考核</w:t>
            </w:r>
            <w:r>
              <w:rPr>
                <w:rFonts w:hint="eastAsia" w:ascii="宋体" w:hAnsi="宋体" w:eastAsia="宋体" w:cs="宋体"/>
                <w:sz w:val="24"/>
                <w:szCs w:val="24"/>
                <w:lang w:val="en-US" w:eastAsia="zh-CN"/>
              </w:rPr>
              <w:t>，通过实地查验，造成返工的一切费用由供货商承担，并负担采购人的一切损失。</w:t>
            </w:r>
          </w:p>
        </w:tc>
      </w:tr>
      <w:tr w14:paraId="31C5A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8" w:hRule="atLeast"/>
          <w:jc w:val="center"/>
        </w:trPr>
        <w:tc>
          <w:tcPr>
            <w:tcW w:w="875" w:type="dxa"/>
            <w:shd w:val="clear" w:color="auto" w:fill="FFFFFF"/>
            <w:noWrap w:val="0"/>
            <w:vAlign w:val="center"/>
          </w:tcPr>
          <w:p w14:paraId="6F0116BE">
            <w:pPr>
              <w:spacing w:line="288"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1243" w:type="dxa"/>
            <w:shd w:val="clear" w:color="auto" w:fill="FFFFFF"/>
            <w:noWrap w:val="0"/>
            <w:vAlign w:val="center"/>
          </w:tcPr>
          <w:p w14:paraId="5564B5C8">
            <w:pPr>
              <w:spacing w:line="288"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技术支持</w:t>
            </w:r>
          </w:p>
        </w:tc>
        <w:tc>
          <w:tcPr>
            <w:tcW w:w="7011" w:type="dxa"/>
            <w:shd w:val="clear" w:color="auto" w:fill="FFFFFF"/>
            <w:noWrap w:val="0"/>
            <w:vAlign w:val="center"/>
          </w:tcPr>
          <w:p w14:paraId="7DC393B9">
            <w:pPr>
              <w:spacing w:line="288"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技术支持：</w:t>
            </w:r>
          </w:p>
          <w:p w14:paraId="684E209F">
            <w:pPr>
              <w:spacing w:line="288"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提供全年7×24小时的技术咨询服务。</w:t>
            </w:r>
          </w:p>
        </w:tc>
      </w:tr>
      <w:tr w14:paraId="3850A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8" w:hRule="atLeast"/>
          <w:jc w:val="center"/>
        </w:trPr>
        <w:tc>
          <w:tcPr>
            <w:tcW w:w="875" w:type="dxa"/>
            <w:shd w:val="clear" w:color="auto" w:fill="FFFDFA"/>
            <w:noWrap w:val="0"/>
            <w:vAlign w:val="center"/>
          </w:tcPr>
          <w:p w14:paraId="25E9C94A">
            <w:pPr>
              <w:spacing w:line="288" w:lineRule="auto"/>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p>
        </w:tc>
        <w:tc>
          <w:tcPr>
            <w:tcW w:w="1243" w:type="dxa"/>
            <w:shd w:val="clear" w:color="auto" w:fill="FFFDFA"/>
            <w:noWrap w:val="0"/>
            <w:vAlign w:val="center"/>
          </w:tcPr>
          <w:p w14:paraId="3A6E65BE">
            <w:pPr>
              <w:spacing w:line="288"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验收标准</w:t>
            </w:r>
          </w:p>
        </w:tc>
        <w:tc>
          <w:tcPr>
            <w:tcW w:w="7011" w:type="dxa"/>
            <w:shd w:val="clear" w:color="auto" w:fill="FFFDFA"/>
            <w:noWrap w:val="0"/>
            <w:vAlign w:val="center"/>
          </w:tcPr>
          <w:p w14:paraId="45B23069">
            <w:pPr>
              <w:spacing w:line="288" w:lineRule="auto"/>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验收标准</w:t>
            </w:r>
            <w:r>
              <w:rPr>
                <w:rFonts w:hint="eastAsia" w:ascii="宋体" w:hAnsi="宋体" w:eastAsia="宋体" w:cs="宋体"/>
                <w:sz w:val="24"/>
                <w:szCs w:val="24"/>
                <w:lang w:eastAsia="zh-CN"/>
              </w:rPr>
              <w:t>：</w:t>
            </w:r>
            <w:r>
              <w:rPr>
                <w:rFonts w:hint="eastAsia" w:ascii="宋体" w:hAnsi="宋体"/>
                <w:b w:val="0"/>
                <w:bCs w:val="0"/>
                <w:color w:val="000000"/>
                <w:sz w:val="24"/>
                <w:lang w:val="en-US" w:eastAsia="zh-CN"/>
              </w:rPr>
              <w:t>乙方按照合同约定完成服务内容的交付后，申请甲方组织相关人员进行验收。验收可通过抽样现场查验的方式，</w:t>
            </w:r>
            <w:r>
              <w:rPr>
                <w:rFonts w:hint="eastAsia" w:ascii="宋体" w:hAnsi="宋体" w:eastAsia="宋体" w:cs="宋体"/>
                <w:sz w:val="24"/>
                <w:szCs w:val="24"/>
                <w:lang w:eastAsia="zh-CN"/>
              </w:rPr>
              <w:t>如发生质量问题由供应商承担全部责任。对有问题及质量无法达标的服务，拒绝验收。</w:t>
            </w:r>
          </w:p>
        </w:tc>
      </w:tr>
      <w:tr w14:paraId="5AFE8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8" w:hRule="atLeast"/>
          <w:jc w:val="center"/>
        </w:trPr>
        <w:tc>
          <w:tcPr>
            <w:tcW w:w="875" w:type="dxa"/>
            <w:shd w:val="clear" w:color="auto" w:fill="FFFFFF"/>
            <w:noWrap w:val="0"/>
            <w:vAlign w:val="center"/>
          </w:tcPr>
          <w:p w14:paraId="67F858E9">
            <w:pPr>
              <w:spacing w:line="288"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w:t>
            </w:r>
          </w:p>
        </w:tc>
        <w:tc>
          <w:tcPr>
            <w:tcW w:w="1243" w:type="dxa"/>
            <w:shd w:val="clear" w:color="auto" w:fill="FFFFFF"/>
            <w:noWrap w:val="0"/>
            <w:vAlign w:val="center"/>
          </w:tcPr>
          <w:p w14:paraId="21E80875">
            <w:pPr>
              <w:spacing w:line="288" w:lineRule="auto"/>
              <w:jc w:val="left"/>
              <w:rPr>
                <w:rFonts w:hint="eastAsia" w:ascii="宋体" w:hAnsi="宋体" w:eastAsia="宋体" w:cs="宋体"/>
                <w:color w:val="auto"/>
                <w:sz w:val="24"/>
                <w:szCs w:val="24"/>
                <w:lang w:val="en-US" w:eastAsia="zh-CN"/>
              </w:rPr>
            </w:pPr>
            <w:r>
              <w:rPr>
                <w:rFonts w:hint="eastAsia" w:hAnsi="宋体" w:cs="宋体"/>
                <w:color w:val="auto"/>
                <w:sz w:val="24"/>
                <w:szCs w:val="24"/>
                <w:lang w:eastAsia="zh-CN"/>
              </w:rPr>
              <w:t>服务期</w:t>
            </w:r>
            <w:r>
              <w:rPr>
                <w:rFonts w:hint="eastAsia" w:ascii="宋体" w:hAnsi="宋体" w:eastAsia="宋体" w:cs="宋体"/>
                <w:color w:val="auto"/>
                <w:sz w:val="24"/>
                <w:szCs w:val="24"/>
                <w:lang w:eastAsia="zh-CN"/>
              </w:rPr>
              <w:t>延误</w:t>
            </w:r>
          </w:p>
        </w:tc>
        <w:tc>
          <w:tcPr>
            <w:tcW w:w="7011" w:type="dxa"/>
            <w:shd w:val="clear" w:color="auto" w:fill="FFFFFF"/>
            <w:noWrap w:val="0"/>
            <w:vAlign w:val="center"/>
          </w:tcPr>
          <w:p w14:paraId="1389991D">
            <w:pPr>
              <w:spacing w:line="288" w:lineRule="auto"/>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供应商应在合同规定期内完成该项工作</w:t>
            </w:r>
            <w:r>
              <w:rPr>
                <w:rFonts w:hint="eastAsia" w:ascii="宋体" w:hAnsi="宋体" w:eastAsia="宋体" w:cs="宋体"/>
                <w:color w:val="auto"/>
                <w:sz w:val="24"/>
                <w:szCs w:val="24"/>
                <w:lang w:val="en-US" w:eastAsia="zh-CN"/>
              </w:rPr>
              <w:t>的供应</w:t>
            </w:r>
            <w:r>
              <w:rPr>
                <w:rFonts w:hint="eastAsia" w:ascii="宋体" w:hAnsi="宋体" w:eastAsia="宋体" w:cs="宋体"/>
                <w:color w:val="auto"/>
                <w:sz w:val="24"/>
                <w:szCs w:val="24"/>
                <w:lang w:eastAsia="zh-CN"/>
              </w:rPr>
              <w:t>。如因供应商责任而造成延期，每超过一天按合同总价款的（1‰）支付采购人误期赔偿金，直至提供</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服务结束为止，所有因延期而产生的费用由供应商承担。</w:t>
            </w:r>
          </w:p>
        </w:tc>
      </w:tr>
      <w:tr w14:paraId="76063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8" w:hRule="atLeast"/>
          <w:jc w:val="center"/>
        </w:trPr>
        <w:tc>
          <w:tcPr>
            <w:tcW w:w="875" w:type="dxa"/>
            <w:shd w:val="clear" w:color="auto" w:fill="FFFFFF"/>
            <w:noWrap w:val="0"/>
            <w:vAlign w:val="center"/>
          </w:tcPr>
          <w:p w14:paraId="740EB781">
            <w:pPr>
              <w:spacing w:line="288" w:lineRule="auto"/>
              <w:jc w:val="left"/>
              <w:rPr>
                <w:rFonts w:hint="default" w:ascii="宋体" w:hAnsi="宋体" w:eastAsia="宋体" w:cs="宋体"/>
                <w:sz w:val="24"/>
                <w:szCs w:val="24"/>
                <w:lang w:val="en-US" w:eastAsia="zh-CN"/>
              </w:rPr>
            </w:pPr>
            <w:r>
              <w:rPr>
                <w:rFonts w:hint="eastAsia" w:hAnsi="宋体" w:cs="宋体"/>
                <w:sz w:val="24"/>
                <w:szCs w:val="24"/>
                <w:lang w:val="en-US" w:eastAsia="zh-CN"/>
              </w:rPr>
              <w:t>10</w:t>
            </w:r>
          </w:p>
        </w:tc>
        <w:tc>
          <w:tcPr>
            <w:tcW w:w="1243" w:type="dxa"/>
            <w:shd w:val="clear" w:color="auto" w:fill="FFFFFF"/>
            <w:noWrap w:val="0"/>
            <w:vAlign w:val="center"/>
          </w:tcPr>
          <w:p w14:paraId="7D0248C1">
            <w:pPr>
              <w:pStyle w:val="13"/>
              <w:spacing w:line="360" w:lineRule="auto"/>
              <w:jc w:val="center"/>
              <w:rPr>
                <w:rFonts w:hint="eastAsia" w:hAnsi="宋体" w:cs="宋体"/>
                <w:sz w:val="24"/>
                <w:szCs w:val="24"/>
                <w:lang w:eastAsia="zh-CN"/>
              </w:rPr>
            </w:pPr>
            <w:r>
              <w:rPr>
                <w:rFonts w:hint="eastAsia" w:ascii="宋体" w:hAnsi="宋体" w:cs="宋体"/>
                <w:sz w:val="24"/>
                <w:szCs w:val="24"/>
                <w:lang w:val="en-US" w:eastAsia="zh-CN"/>
              </w:rPr>
              <w:t>保险责任</w:t>
            </w:r>
          </w:p>
        </w:tc>
        <w:tc>
          <w:tcPr>
            <w:tcW w:w="7011" w:type="dxa"/>
            <w:shd w:val="clear" w:color="auto" w:fill="FFFFFF"/>
            <w:noWrap w:val="0"/>
            <w:vAlign w:val="center"/>
          </w:tcPr>
          <w:p w14:paraId="61F97060">
            <w:pPr>
              <w:pStyle w:val="13"/>
              <w:spacing w:line="360" w:lineRule="auto"/>
              <w:jc w:val="left"/>
              <w:rPr>
                <w:rFonts w:hint="eastAsia" w:ascii="宋体" w:hAnsi="宋体" w:eastAsia="宋体" w:cs="宋体"/>
                <w:sz w:val="24"/>
                <w:szCs w:val="24"/>
                <w:lang w:eastAsia="zh-CN"/>
              </w:rPr>
            </w:pPr>
            <w:r>
              <w:rPr>
                <w:rFonts w:hint="eastAsia" w:ascii="宋体" w:hAnsi="宋体" w:cs="宋体"/>
                <w:sz w:val="24"/>
                <w:szCs w:val="24"/>
                <w:lang w:val="en-US" w:eastAsia="zh-CN"/>
              </w:rPr>
              <w:t>项目服务期间，投标人承担因项目实施产生的全部保险责任。</w:t>
            </w:r>
          </w:p>
        </w:tc>
      </w:tr>
      <w:tr w14:paraId="4266A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8" w:hRule="atLeast"/>
          <w:jc w:val="center"/>
        </w:trPr>
        <w:tc>
          <w:tcPr>
            <w:tcW w:w="875" w:type="dxa"/>
            <w:shd w:val="clear" w:color="auto" w:fill="auto"/>
            <w:noWrap w:val="0"/>
            <w:vAlign w:val="center"/>
          </w:tcPr>
          <w:p w14:paraId="78669CD2">
            <w:pPr>
              <w:spacing w:line="288" w:lineRule="auto"/>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hAnsi="宋体" w:cs="宋体"/>
                <w:sz w:val="24"/>
                <w:szCs w:val="24"/>
                <w:lang w:val="en-US" w:eastAsia="zh-CN"/>
              </w:rPr>
              <w:t>1</w:t>
            </w:r>
          </w:p>
        </w:tc>
        <w:tc>
          <w:tcPr>
            <w:tcW w:w="1243" w:type="dxa"/>
            <w:shd w:val="clear" w:color="auto" w:fill="auto"/>
            <w:noWrap w:val="0"/>
            <w:vAlign w:val="center"/>
          </w:tcPr>
          <w:p w14:paraId="47E09F79">
            <w:pPr>
              <w:spacing w:line="288"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知识产权</w:t>
            </w:r>
          </w:p>
        </w:tc>
        <w:tc>
          <w:tcPr>
            <w:tcW w:w="7011" w:type="dxa"/>
            <w:shd w:val="clear" w:color="auto" w:fill="auto"/>
            <w:noWrap w:val="0"/>
            <w:vAlign w:val="center"/>
          </w:tcPr>
          <w:p w14:paraId="76940387">
            <w:pPr>
              <w:spacing w:line="288"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知识产权：</w:t>
            </w:r>
          </w:p>
          <w:p w14:paraId="4293C47A">
            <w:pPr>
              <w:spacing w:line="288"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供应商应保证投标</w:t>
            </w:r>
            <w:r>
              <w:rPr>
                <w:rFonts w:hint="eastAsia" w:ascii="宋体" w:hAnsi="宋体" w:eastAsia="宋体" w:cs="宋体"/>
                <w:sz w:val="24"/>
                <w:szCs w:val="24"/>
                <w:lang w:val="en-US" w:eastAsia="zh-CN"/>
              </w:rPr>
              <w:t>产品</w:t>
            </w:r>
            <w:r>
              <w:rPr>
                <w:rFonts w:hint="eastAsia" w:ascii="宋体" w:hAnsi="宋体" w:eastAsia="宋体" w:cs="宋体"/>
                <w:sz w:val="24"/>
                <w:szCs w:val="24"/>
                <w:lang w:eastAsia="zh-CN"/>
              </w:rPr>
              <w:t>及服务不会出现因第三方提出侵犯其专利权、商标权或其它知识产权而引发法律或经济纠纷，否则由供应商承担全部责任。任何被供应商用于未经授权的商业目的行为所造成的违约或侵权责任由供应商</w:t>
            </w:r>
            <w:r>
              <w:rPr>
                <w:rFonts w:hint="eastAsia" w:ascii="宋体" w:hAnsi="宋体" w:eastAsia="宋体" w:cs="宋体"/>
                <w:sz w:val="24"/>
                <w:szCs w:val="24"/>
                <w:lang w:val="en-US" w:eastAsia="zh-CN"/>
              </w:rPr>
              <w:t>承担</w:t>
            </w:r>
            <w:r>
              <w:rPr>
                <w:rFonts w:hint="eastAsia" w:ascii="宋体" w:hAnsi="宋体" w:eastAsia="宋体" w:cs="宋体"/>
                <w:sz w:val="24"/>
                <w:szCs w:val="24"/>
                <w:lang w:eastAsia="zh-CN"/>
              </w:rPr>
              <w:t>。</w:t>
            </w:r>
          </w:p>
        </w:tc>
      </w:tr>
      <w:tr w14:paraId="701AB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8" w:hRule="atLeast"/>
          <w:jc w:val="center"/>
        </w:trPr>
        <w:tc>
          <w:tcPr>
            <w:tcW w:w="875" w:type="dxa"/>
            <w:shd w:val="clear" w:color="auto" w:fill="auto"/>
            <w:noWrap w:val="0"/>
            <w:vAlign w:val="center"/>
          </w:tcPr>
          <w:p w14:paraId="784D605D">
            <w:pPr>
              <w:spacing w:line="288" w:lineRule="auto"/>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hAnsi="宋体" w:cs="宋体"/>
                <w:sz w:val="24"/>
                <w:szCs w:val="24"/>
                <w:lang w:val="en-US" w:eastAsia="zh-CN"/>
              </w:rPr>
              <w:t>2</w:t>
            </w:r>
          </w:p>
        </w:tc>
        <w:tc>
          <w:tcPr>
            <w:tcW w:w="1243" w:type="dxa"/>
            <w:shd w:val="clear" w:color="auto" w:fill="auto"/>
            <w:noWrap w:val="0"/>
            <w:vAlign w:val="center"/>
          </w:tcPr>
          <w:p w14:paraId="4EE25216">
            <w:pPr>
              <w:spacing w:line="288"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违约责任</w:t>
            </w:r>
          </w:p>
        </w:tc>
        <w:tc>
          <w:tcPr>
            <w:tcW w:w="7011" w:type="dxa"/>
            <w:shd w:val="clear" w:color="auto" w:fill="auto"/>
            <w:noWrap w:val="0"/>
            <w:vAlign w:val="center"/>
          </w:tcPr>
          <w:p w14:paraId="491B73BC">
            <w:pPr>
              <w:pStyle w:val="13"/>
              <w:spacing w:line="360" w:lineRule="auto"/>
              <w:jc w:val="left"/>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违约责任：</w:t>
            </w:r>
          </w:p>
          <w:p w14:paraId="6BDFCF5F">
            <w:pPr>
              <w:pStyle w:val="13"/>
              <w:spacing w:line="360" w:lineRule="auto"/>
              <w:jc w:val="left"/>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按《中华人民共和国民法典》、《中华人民共和国政府采购法》中的相关条款执行。</w:t>
            </w:r>
          </w:p>
          <w:p w14:paraId="6E9B8837">
            <w:pPr>
              <w:pStyle w:val="13"/>
              <w:spacing w:line="360" w:lineRule="auto"/>
              <w:jc w:val="left"/>
              <w:rPr>
                <w:rFonts w:hint="eastAsia" w:ascii="宋体" w:hAnsi="宋体" w:eastAsia="宋体" w:cs="宋体"/>
                <w:sz w:val="24"/>
                <w:szCs w:val="24"/>
                <w:lang w:val="en-US" w:eastAsia="zh-CN" w:bidi="ar-SA"/>
              </w:rPr>
            </w:pPr>
            <w:bookmarkStart w:id="165" w:name="bookmark32"/>
            <w:r>
              <w:rPr>
                <w:rFonts w:hint="eastAsia" w:ascii="宋体" w:hAnsi="宋体" w:eastAsia="宋体" w:cs="宋体"/>
                <w:sz w:val="24"/>
                <w:szCs w:val="24"/>
                <w:lang w:val="en-US" w:eastAsia="zh-CN" w:bidi="ar-SA"/>
              </w:rPr>
              <w:t>1</w:t>
            </w:r>
            <w:bookmarkEnd w:id="165"/>
            <w:r>
              <w:rPr>
                <w:rFonts w:hint="eastAsia" w:ascii="宋体" w:hAnsi="宋体" w:eastAsia="宋体" w:cs="宋体"/>
                <w:sz w:val="24"/>
                <w:szCs w:val="24"/>
                <w:lang w:val="en-US" w:eastAsia="zh-CN" w:bidi="ar-SA"/>
              </w:rPr>
              <w:t>、一方未按约定履行义务给对方造成直接损失的，应当承担赔偿责任。</w:t>
            </w:r>
          </w:p>
          <w:p w14:paraId="5019C4B0">
            <w:pPr>
              <w:pStyle w:val="13"/>
              <w:spacing w:line="360" w:lineRule="auto"/>
              <w:jc w:val="left"/>
              <w:rPr>
                <w:rFonts w:hint="eastAsia" w:ascii="宋体" w:hAnsi="宋体" w:eastAsia="宋体" w:cs="宋体"/>
                <w:sz w:val="24"/>
                <w:szCs w:val="24"/>
                <w:lang w:val="en-US" w:eastAsia="zh-CN" w:bidi="ar-SA"/>
              </w:rPr>
            </w:pPr>
            <w:bookmarkStart w:id="166" w:name="bookmark33"/>
            <w:r>
              <w:rPr>
                <w:rFonts w:hint="eastAsia" w:ascii="宋体" w:hAnsi="宋体" w:eastAsia="宋体" w:cs="宋体"/>
                <w:sz w:val="24"/>
                <w:szCs w:val="24"/>
                <w:lang w:val="en-US" w:eastAsia="zh-CN" w:bidi="ar-SA"/>
              </w:rPr>
              <w:t>2</w:t>
            </w:r>
            <w:bookmarkEnd w:id="166"/>
            <w:r>
              <w:rPr>
                <w:rFonts w:hint="eastAsia" w:ascii="宋体" w:hAnsi="宋体" w:eastAsia="宋体" w:cs="宋体"/>
                <w:sz w:val="24"/>
                <w:szCs w:val="24"/>
                <w:lang w:val="en-US" w:eastAsia="zh-CN" w:bidi="ar-SA"/>
              </w:rPr>
              <w:t>、一方无法继续履行合同的，应当及时通知另一方，并由责任方承担因合同解除而造成的损失。</w:t>
            </w:r>
          </w:p>
          <w:p w14:paraId="504EFDCC">
            <w:pPr>
              <w:pStyle w:val="13"/>
              <w:spacing w:line="360" w:lineRule="auto"/>
              <w:jc w:val="left"/>
              <w:rPr>
                <w:rFonts w:hint="eastAsia" w:ascii="宋体" w:hAnsi="宋体" w:eastAsia="宋体" w:cs="宋体"/>
                <w:sz w:val="24"/>
                <w:szCs w:val="24"/>
                <w:lang w:val="en-US" w:eastAsia="zh-CN" w:bidi="ar-SA"/>
              </w:rPr>
            </w:pPr>
            <w:bookmarkStart w:id="167" w:name="bookmark34"/>
            <w:r>
              <w:rPr>
                <w:rFonts w:hint="eastAsia" w:ascii="宋体" w:hAnsi="宋体" w:eastAsia="宋体" w:cs="宋体"/>
                <w:sz w:val="24"/>
                <w:szCs w:val="24"/>
                <w:lang w:val="en-US" w:eastAsia="zh-CN" w:bidi="ar-SA"/>
              </w:rPr>
              <w:t>3</w:t>
            </w:r>
            <w:bookmarkEnd w:id="167"/>
            <w:r>
              <w:rPr>
                <w:rFonts w:hint="eastAsia" w:ascii="宋体" w:hAnsi="宋体" w:eastAsia="宋体" w:cs="宋体"/>
                <w:sz w:val="24"/>
                <w:szCs w:val="24"/>
                <w:lang w:val="en-US" w:eastAsia="zh-CN" w:bidi="ar-SA"/>
              </w:rPr>
              <w:t>、如双方发生验收结果争议，依照采购人及相关部门查出具的结论，乙方施工过程中未达到国家、省、市级相关标准，甲方有权单方面无条件终止合同。</w:t>
            </w:r>
          </w:p>
          <w:p w14:paraId="62C99F4A">
            <w:pPr>
              <w:spacing w:line="288" w:lineRule="auto"/>
              <w:jc w:val="left"/>
              <w:rPr>
                <w:rFonts w:hint="eastAsia" w:ascii="宋体" w:hAnsi="宋体" w:eastAsia="宋体" w:cs="宋体"/>
                <w:sz w:val="24"/>
                <w:szCs w:val="24"/>
                <w:lang w:eastAsia="zh-CN"/>
              </w:rPr>
            </w:pPr>
            <w:bookmarkStart w:id="168" w:name="bookmark35"/>
            <w:r>
              <w:rPr>
                <w:rFonts w:hint="eastAsia" w:ascii="宋体" w:hAnsi="宋体" w:eastAsia="宋体" w:cs="宋体"/>
                <w:sz w:val="24"/>
                <w:szCs w:val="24"/>
                <w:lang w:val="en-US" w:eastAsia="zh-CN" w:bidi="ar-SA"/>
              </w:rPr>
              <w:t>4</w:t>
            </w:r>
            <w:bookmarkEnd w:id="168"/>
            <w:r>
              <w:rPr>
                <w:rFonts w:hint="eastAsia" w:ascii="宋体" w:hAnsi="宋体" w:eastAsia="宋体" w:cs="宋体"/>
                <w:sz w:val="24"/>
                <w:szCs w:val="24"/>
                <w:lang w:val="en-US" w:eastAsia="zh-CN" w:bidi="ar-SA"/>
              </w:rPr>
              <w:t>、该合同在履行过程中，如发生争议，首先双方协商解决，如协商未达成一致，经双方同意由签约地法院起诉解决。</w:t>
            </w:r>
          </w:p>
        </w:tc>
      </w:tr>
    </w:tbl>
    <w:p w14:paraId="334F283C">
      <w:pPr>
        <w:spacing w:line="288" w:lineRule="auto"/>
        <w:jc w:val="left"/>
        <w:rPr>
          <w:rFonts w:hint="default"/>
          <w:sz w:val="21"/>
          <w:szCs w:val="21"/>
          <w:lang w:val="en-US" w:eastAsia="zh-CN"/>
        </w:rPr>
      </w:pPr>
    </w:p>
    <w:p w14:paraId="43875713">
      <w:pPr>
        <w:spacing w:line="288" w:lineRule="auto"/>
        <w:rPr>
          <w:b/>
          <w:bCs/>
          <w:sz w:val="21"/>
          <w:szCs w:val="21"/>
        </w:rPr>
        <w:sectPr>
          <w:pgSz w:w="11906" w:h="16838"/>
          <w:pgMar w:top="1417" w:right="1417" w:bottom="1417" w:left="1417" w:header="850" w:footer="850" w:gutter="0"/>
          <w:pgNumType w:fmt="numberInDash"/>
          <w:cols w:space="425" w:num="1"/>
          <w:docGrid w:type="lines" w:linePitch="326" w:charSpace="0"/>
        </w:sectPr>
      </w:pPr>
    </w:p>
    <w:p w14:paraId="1AF09D43">
      <w:pPr>
        <w:spacing w:line="240" w:lineRule="auto"/>
        <w:rPr>
          <w:rFonts w:hint="eastAsia" w:eastAsia="宋体"/>
          <w:b/>
          <w:bCs/>
          <w:sz w:val="21"/>
          <w:szCs w:val="16"/>
          <w:lang w:eastAsia="zh-CN"/>
        </w:rPr>
      </w:pPr>
      <w:r>
        <w:rPr>
          <w:rFonts w:hint="eastAsia" w:ascii="宋体" w:hAnsi="宋体" w:eastAsia="宋体" w:cs="宋体"/>
          <w:b/>
          <w:bCs/>
          <w:sz w:val="32"/>
          <w:szCs w:val="32"/>
        </w:rPr>
        <w:t>合同</w:t>
      </w:r>
      <w:r>
        <w:rPr>
          <w:rFonts w:hint="eastAsia" w:ascii="宋体" w:hAnsi="宋体" w:eastAsia="宋体" w:cs="宋体"/>
          <w:b/>
          <w:bCs/>
          <w:sz w:val="32"/>
          <w:szCs w:val="32"/>
          <w:lang w:val="en-US" w:eastAsia="zh-CN"/>
        </w:rPr>
        <w:t>条款</w:t>
      </w:r>
    </w:p>
    <w:p w14:paraId="28820726">
      <w:pPr>
        <w:spacing w:line="240" w:lineRule="auto"/>
        <w:rPr>
          <w:rFonts w:hAnsi="宋体" w:cs="宋体"/>
          <w:b/>
          <w:bCs/>
          <w:sz w:val="36"/>
          <w:szCs w:val="36"/>
        </w:rPr>
      </w:pPr>
      <w:r>
        <w:rPr>
          <w:rFonts w:hint="eastAsia" w:ascii="宋体" w:hAnsi="宋体" w:eastAsia="宋体" w:cs="宋体"/>
          <w:b/>
          <w:bCs/>
          <w:sz w:val="32"/>
          <w:szCs w:val="32"/>
        </w:rPr>
        <w:t>合同编号：</w:t>
      </w:r>
      <w:r>
        <w:rPr>
          <w:rFonts w:hint="eastAsia" w:ascii="宋体" w:hAnsi="宋体" w:eastAsia="宋体" w:cs="宋体"/>
          <w:b/>
          <w:bCs/>
          <w:sz w:val="32"/>
          <w:szCs w:val="32"/>
          <w:u w:val="single"/>
        </w:rPr>
        <w:t xml:space="preserve">            </w:t>
      </w:r>
    </w:p>
    <w:p w14:paraId="23295151">
      <w:pPr>
        <w:spacing w:before="120" w:line="360" w:lineRule="auto"/>
        <w:jc w:val="center"/>
        <w:rPr>
          <w:rFonts w:hAnsi="宋体" w:cs="宋体"/>
          <w:b/>
          <w:bCs/>
          <w:sz w:val="36"/>
          <w:szCs w:val="36"/>
        </w:rPr>
      </w:pPr>
    </w:p>
    <w:p w14:paraId="1C4D0AA4">
      <w:pPr>
        <w:rPr>
          <w:rFonts w:hAnsi="宋体" w:cs="宋体"/>
          <w:b/>
          <w:bCs/>
          <w:sz w:val="36"/>
          <w:szCs w:val="36"/>
        </w:rPr>
      </w:pPr>
    </w:p>
    <w:p w14:paraId="18ABD104">
      <w:pPr>
        <w:pStyle w:val="10"/>
      </w:pPr>
    </w:p>
    <w:p w14:paraId="4B533983">
      <w:pPr>
        <w:spacing w:before="120" w:line="360" w:lineRule="auto"/>
        <w:jc w:val="center"/>
        <w:rPr>
          <w:rFonts w:hint="eastAsia" w:hAnsi="宋体" w:cs="宋体"/>
          <w:b/>
          <w:bCs/>
          <w:sz w:val="96"/>
          <w:szCs w:val="96"/>
        </w:rPr>
      </w:pPr>
      <w:r>
        <w:rPr>
          <w:rFonts w:hint="eastAsia" w:hAnsi="宋体" w:cs="宋体"/>
          <w:b/>
          <w:bCs/>
          <w:sz w:val="96"/>
          <w:szCs w:val="96"/>
          <w:lang w:val="en-US" w:eastAsia="zh-CN"/>
        </w:rPr>
        <w:t>服 务</w:t>
      </w:r>
      <w:r>
        <w:rPr>
          <w:rFonts w:hint="eastAsia" w:hAnsi="宋体" w:cs="宋体"/>
          <w:b/>
          <w:bCs/>
          <w:sz w:val="96"/>
          <w:szCs w:val="96"/>
        </w:rPr>
        <w:t xml:space="preserve"> 合 同</w:t>
      </w:r>
    </w:p>
    <w:p w14:paraId="0FE75EA5">
      <w:pPr>
        <w:spacing w:before="120" w:line="360" w:lineRule="auto"/>
        <w:jc w:val="center"/>
        <w:rPr>
          <w:rFonts w:hint="eastAsia" w:hAnsi="宋体" w:cs="宋体"/>
          <w:b/>
          <w:bCs/>
          <w:sz w:val="48"/>
          <w:szCs w:val="48"/>
          <w:lang w:eastAsia="zh-CN"/>
        </w:rPr>
      </w:pPr>
    </w:p>
    <w:p w14:paraId="13C181D3">
      <w:pPr>
        <w:spacing w:before="120" w:line="360" w:lineRule="auto"/>
        <w:jc w:val="center"/>
        <w:rPr>
          <w:rFonts w:hint="eastAsia" w:hAnsi="宋体" w:eastAsia="宋体" w:cs="宋体"/>
          <w:b/>
          <w:bCs/>
          <w:sz w:val="48"/>
          <w:szCs w:val="48"/>
          <w:lang w:eastAsia="zh-CN"/>
        </w:rPr>
      </w:pPr>
      <w:r>
        <w:rPr>
          <w:rFonts w:hint="eastAsia" w:hAnsi="宋体" w:cs="宋体"/>
          <w:b/>
          <w:bCs/>
          <w:sz w:val="48"/>
          <w:szCs w:val="48"/>
          <w:lang w:eastAsia="zh-CN"/>
        </w:rPr>
        <w:t>（</w:t>
      </w:r>
      <w:r>
        <w:rPr>
          <w:rFonts w:hint="eastAsia" w:hAnsi="宋体" w:cs="宋体"/>
          <w:b/>
          <w:bCs/>
          <w:sz w:val="48"/>
          <w:szCs w:val="48"/>
          <w:lang w:val="en-US" w:eastAsia="zh-CN"/>
        </w:rPr>
        <w:t>合同模板</w:t>
      </w:r>
      <w:r>
        <w:rPr>
          <w:rFonts w:hint="eastAsia" w:ascii="宋体" w:eastAsia="宋体"/>
          <w:b/>
          <w:bCs/>
          <w:sz w:val="48"/>
          <w:szCs w:val="48"/>
        </w:rPr>
        <w:t>仅供参考</w:t>
      </w:r>
      <w:r>
        <w:rPr>
          <w:rFonts w:hint="eastAsia" w:hAnsi="宋体" w:cs="宋体"/>
          <w:b/>
          <w:bCs/>
          <w:sz w:val="48"/>
          <w:szCs w:val="48"/>
          <w:lang w:eastAsia="zh-CN"/>
        </w:rPr>
        <w:t>）</w:t>
      </w:r>
    </w:p>
    <w:p w14:paraId="483793F2">
      <w:pPr>
        <w:pStyle w:val="43"/>
        <w:ind w:firstLine="0" w:firstLineChars="0"/>
        <w:rPr>
          <w:rFonts w:hAnsi="宋体" w:cs="宋体"/>
          <w:b/>
          <w:bCs/>
          <w:sz w:val="28"/>
          <w:szCs w:val="28"/>
        </w:rPr>
      </w:pPr>
      <w:bookmarkStart w:id="169" w:name="_Toc109542396"/>
      <w:bookmarkStart w:id="170" w:name="_Toc109543216"/>
    </w:p>
    <w:bookmarkEnd w:id="169"/>
    <w:bookmarkEnd w:id="170"/>
    <w:p w14:paraId="7FCFB30D">
      <w:pPr>
        <w:spacing w:before="120" w:line="360" w:lineRule="auto"/>
        <w:ind w:firstLine="562" w:firstLineChars="200"/>
        <w:outlineLvl w:val="9"/>
        <w:rPr>
          <w:rFonts w:hint="eastAsia" w:ascii="宋体" w:hAnsi="宋体" w:eastAsia="宋体" w:cs="宋体"/>
          <w:b/>
          <w:bCs/>
          <w:sz w:val="28"/>
          <w:szCs w:val="28"/>
        </w:rPr>
      </w:pPr>
    </w:p>
    <w:p w14:paraId="6AFF6FCE">
      <w:pPr>
        <w:spacing w:before="120" w:line="360" w:lineRule="auto"/>
        <w:outlineLvl w:val="9"/>
        <w:rPr>
          <w:rFonts w:hint="eastAsia" w:ascii="宋体" w:hAnsi="宋体" w:eastAsia="宋体" w:cs="宋体"/>
          <w:b/>
          <w:bCs/>
          <w:sz w:val="28"/>
          <w:szCs w:val="28"/>
        </w:rPr>
      </w:pPr>
    </w:p>
    <w:p w14:paraId="24CE1103">
      <w:pPr>
        <w:spacing w:before="120" w:line="360" w:lineRule="auto"/>
        <w:outlineLvl w:val="9"/>
        <w:rPr>
          <w:rFonts w:hint="eastAsia" w:ascii="宋体" w:hAnsi="宋体" w:eastAsia="宋体" w:cs="宋体"/>
          <w:b/>
          <w:bCs/>
          <w:sz w:val="28"/>
          <w:szCs w:val="28"/>
        </w:rPr>
      </w:pPr>
    </w:p>
    <w:p w14:paraId="2D302066">
      <w:pPr>
        <w:spacing w:before="120" w:line="360" w:lineRule="auto"/>
        <w:ind w:firstLine="562" w:firstLineChars="200"/>
        <w:outlineLvl w:val="9"/>
        <w:rPr>
          <w:rFonts w:hint="default" w:ascii="宋体" w:hAnsi="宋体" w:eastAsia="宋体" w:cs="宋体"/>
          <w:b/>
          <w:bCs/>
          <w:sz w:val="28"/>
          <w:szCs w:val="28"/>
          <w:u w:val="single"/>
          <w:lang w:val="en-US" w:eastAsia="zh-CN"/>
        </w:rPr>
      </w:pPr>
      <w:r>
        <w:rPr>
          <w:rFonts w:hint="eastAsia" w:ascii="宋体" w:hAnsi="宋体" w:eastAsia="宋体" w:cs="宋体"/>
          <w:b/>
          <w:bCs/>
          <w:sz w:val="28"/>
          <w:szCs w:val="28"/>
        </w:rPr>
        <w:t>项目名称：</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lang w:val="en-US" w:eastAsia="zh-CN"/>
        </w:rPr>
        <w:t xml:space="preserve"> </w:t>
      </w:r>
    </w:p>
    <w:p w14:paraId="1B6389E0">
      <w:pPr>
        <w:spacing w:before="120" w:line="360" w:lineRule="auto"/>
        <w:ind w:firstLine="562" w:firstLineChars="200"/>
        <w:outlineLvl w:val="9"/>
        <w:rPr>
          <w:rFonts w:hint="eastAsia" w:ascii="宋体" w:hAnsi="宋体" w:eastAsia="宋体" w:cs="宋体"/>
          <w:b/>
          <w:bCs/>
          <w:sz w:val="24"/>
          <w:szCs w:val="24"/>
          <w:u w:val="single"/>
        </w:rPr>
      </w:pPr>
      <w:r>
        <w:rPr>
          <w:rFonts w:hint="eastAsia" w:ascii="宋体" w:hAnsi="宋体" w:cs="宋体"/>
          <w:b/>
          <w:bCs/>
          <w:sz w:val="28"/>
          <w:szCs w:val="28"/>
          <w:lang w:val="en-US" w:eastAsia="zh-CN"/>
        </w:rPr>
        <w:t>采 购</w:t>
      </w:r>
      <w:r>
        <w:rPr>
          <w:rFonts w:hint="eastAsia" w:ascii="宋体" w:hAnsi="宋体" w:eastAsia="宋体" w:cs="宋体"/>
          <w:b/>
          <w:bCs/>
          <w:sz w:val="28"/>
          <w:szCs w:val="28"/>
        </w:rPr>
        <w:t xml:space="preserve"> 人：</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p>
    <w:p w14:paraId="3E917D4D">
      <w:pPr>
        <w:spacing w:before="120" w:line="360" w:lineRule="auto"/>
        <w:ind w:firstLine="562" w:firstLineChars="200"/>
        <w:outlineLvl w:val="9"/>
        <w:rPr>
          <w:rFonts w:hint="eastAsia" w:ascii="宋体" w:hAnsi="宋体" w:eastAsia="宋体" w:cs="宋体"/>
          <w:b/>
          <w:bCs/>
          <w:sz w:val="28"/>
          <w:szCs w:val="28"/>
          <w:u w:val="single"/>
        </w:rPr>
      </w:pPr>
      <w:r>
        <w:rPr>
          <w:rFonts w:hint="eastAsia" w:ascii="宋体" w:hAnsi="宋体" w:cs="宋体"/>
          <w:b/>
          <w:bCs/>
          <w:sz w:val="28"/>
          <w:szCs w:val="28"/>
          <w:lang w:val="en-US" w:eastAsia="zh-CN"/>
        </w:rPr>
        <w:t>供 应 商</w:t>
      </w:r>
      <w:r>
        <w:rPr>
          <w:rFonts w:hint="eastAsia" w:ascii="宋体" w:hAnsi="宋体" w:eastAsia="宋体" w:cs="宋体"/>
          <w:b/>
          <w:bCs/>
          <w:sz w:val="28"/>
          <w:szCs w:val="28"/>
        </w:rPr>
        <w:t>：</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4"/>
          <w:szCs w:val="24"/>
          <w:u w:val="single"/>
        </w:rPr>
        <w:t>　　　　　　　</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single"/>
        </w:rPr>
        <w:t>　　　　　</w:t>
      </w:r>
      <w:r>
        <w:rPr>
          <w:rFonts w:hint="eastAsia" w:ascii="宋体" w:hAnsi="宋体" w:cs="宋体"/>
          <w:b/>
          <w:bCs/>
          <w:sz w:val="24"/>
          <w:szCs w:val="24"/>
          <w:u w:val="single"/>
          <w:lang w:val="en-US" w:eastAsia="zh-CN"/>
        </w:rPr>
        <w:t xml:space="preserve">  </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u w:val="none"/>
        </w:rPr>
        <w:t xml:space="preserve">                       </w:t>
      </w:r>
      <w:r>
        <w:rPr>
          <w:rFonts w:hint="eastAsia" w:ascii="宋体" w:hAnsi="宋体" w:cs="宋体"/>
          <w:b/>
          <w:bCs/>
          <w:sz w:val="28"/>
          <w:szCs w:val="28"/>
          <w:u w:val="none"/>
          <w:lang w:val="en-US" w:eastAsia="zh-CN"/>
        </w:rPr>
        <w:t xml:space="preserve">  </w:t>
      </w:r>
      <w:r>
        <w:rPr>
          <w:rFonts w:hint="eastAsia" w:ascii="宋体" w:hAnsi="宋体" w:eastAsia="宋体" w:cs="宋体"/>
          <w:b/>
          <w:bCs/>
          <w:sz w:val="28"/>
          <w:szCs w:val="28"/>
          <w:u w:val="single"/>
        </w:rPr>
        <w:t xml:space="preserve">          </w:t>
      </w:r>
    </w:p>
    <w:p w14:paraId="7E70D821">
      <w:pPr>
        <w:spacing w:before="156" w:beforeLines="50" w:line="360" w:lineRule="auto"/>
        <w:ind w:firstLine="562" w:firstLineChars="200"/>
        <w:jc w:val="both"/>
        <w:outlineLvl w:val="9"/>
        <w:rPr>
          <w:rFonts w:hint="eastAsia" w:ascii="宋体" w:hAnsi="宋体" w:eastAsia="宋体" w:cs="宋体"/>
          <w:b/>
          <w:bCs/>
          <w:sz w:val="24"/>
          <w:szCs w:val="24"/>
          <w:u w:val="single"/>
        </w:rPr>
      </w:pPr>
      <w:r>
        <w:rPr>
          <w:rFonts w:hint="eastAsia" w:ascii="宋体" w:hAnsi="宋体" w:eastAsia="宋体" w:cs="宋体"/>
          <w:b/>
          <w:bCs/>
          <w:sz w:val="28"/>
          <w:szCs w:val="28"/>
        </w:rPr>
        <w:t>签署日期：</w:t>
      </w:r>
      <w:r>
        <w:rPr>
          <w:rFonts w:hint="eastAsia" w:ascii="宋体" w:hAnsi="宋体" w:eastAsia="宋体" w:cs="宋体"/>
          <w:b/>
          <w:bCs/>
          <w:sz w:val="24"/>
          <w:szCs w:val="24"/>
          <w:u w:val="single"/>
        </w:rPr>
        <w:t>　　　　　　　</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single"/>
        </w:rPr>
        <w:t xml:space="preserve">　　　　　　 </w:t>
      </w:r>
      <w:r>
        <w:rPr>
          <w:rFonts w:hint="eastAsia" w:ascii="宋体" w:hAnsi="宋体" w:cs="宋体"/>
          <w:b/>
          <w:bCs/>
          <w:sz w:val="24"/>
          <w:szCs w:val="24"/>
          <w:u w:val="single"/>
          <w:lang w:val="en-US" w:eastAsia="zh-CN"/>
        </w:rPr>
        <w:t xml:space="preserve"> </w:t>
      </w:r>
    </w:p>
    <w:p w14:paraId="7E3351C6">
      <w:pPr>
        <w:spacing w:after="100" w:afterAutospacing="1"/>
        <w:jc w:val="center"/>
        <w:rPr>
          <w:rFonts w:hint="eastAsia" w:ascii="宋体" w:hAnsi="宋体"/>
          <w:b/>
          <w:color w:val="000000"/>
          <w:sz w:val="32"/>
          <w:szCs w:val="32"/>
          <w:lang w:val="en-US" w:eastAsia="zh-CN"/>
        </w:rPr>
        <w:sectPr>
          <w:footerReference r:id="rId6" w:type="default"/>
          <w:pgSz w:w="11906" w:h="16838"/>
          <w:pgMar w:top="1417" w:right="1417" w:bottom="1417" w:left="1417" w:header="850" w:footer="850" w:gutter="0"/>
          <w:pgNumType w:fmt="numberInDash"/>
          <w:cols w:space="425" w:num="1"/>
          <w:docGrid w:type="lines" w:linePitch="326" w:charSpace="0"/>
        </w:sectPr>
      </w:pPr>
    </w:p>
    <w:p w14:paraId="3E93AC09">
      <w:pPr>
        <w:pStyle w:val="10"/>
        <w:spacing w:before="178" w:line="219" w:lineRule="auto"/>
        <w:ind w:left="3624"/>
        <w:rPr>
          <w:b/>
          <w:bCs/>
          <w:spacing w:val="-1"/>
          <w:sz w:val="32"/>
          <w:szCs w:val="32"/>
        </w:rPr>
      </w:pPr>
      <w:bookmarkStart w:id="171" w:name="_Toc20606"/>
    </w:p>
    <w:p w14:paraId="24989A2A">
      <w:pPr>
        <w:pStyle w:val="10"/>
        <w:spacing w:before="178" w:line="219" w:lineRule="auto"/>
        <w:ind w:left="3624"/>
        <w:rPr>
          <w:b/>
          <w:bCs/>
          <w:spacing w:val="-1"/>
          <w:sz w:val="32"/>
          <w:szCs w:val="32"/>
        </w:rPr>
      </w:pPr>
    </w:p>
    <w:p w14:paraId="1CB9EF5D">
      <w:pPr>
        <w:pStyle w:val="10"/>
        <w:spacing w:before="178" w:line="219" w:lineRule="auto"/>
        <w:ind w:left="3624"/>
        <w:rPr>
          <w:sz w:val="32"/>
          <w:szCs w:val="32"/>
        </w:rPr>
      </w:pPr>
      <w:r>
        <w:rPr>
          <w:b/>
          <w:bCs/>
          <w:spacing w:val="-1"/>
          <w:sz w:val="32"/>
          <w:szCs w:val="32"/>
        </w:rPr>
        <w:t>服务合作协议</w:t>
      </w:r>
    </w:p>
    <w:p w14:paraId="22D70CF1">
      <w:pPr>
        <w:spacing w:line="269" w:lineRule="auto"/>
        <w:rPr>
          <w:rFonts w:ascii="Arial"/>
          <w:sz w:val="21"/>
        </w:rPr>
      </w:pPr>
    </w:p>
    <w:p w14:paraId="41538F18">
      <w:pPr>
        <w:spacing w:line="270" w:lineRule="auto"/>
        <w:rPr>
          <w:rFonts w:ascii="Arial"/>
          <w:sz w:val="21"/>
        </w:rPr>
      </w:pPr>
    </w:p>
    <w:p w14:paraId="1D361177">
      <w:pPr>
        <w:pStyle w:val="10"/>
        <w:spacing w:before="69" w:line="221" w:lineRule="auto"/>
        <w:rPr>
          <w:rFonts w:hint="eastAsia" w:ascii="宋体" w:hAnsi="宋体" w:eastAsia="宋体" w:cs="宋体"/>
          <w:sz w:val="24"/>
          <w:szCs w:val="24"/>
        </w:rPr>
      </w:pPr>
      <w:r>
        <w:rPr>
          <w:rFonts w:hint="eastAsia" w:ascii="宋体" w:hAnsi="宋体" w:eastAsia="宋体" w:cs="宋体"/>
          <w:spacing w:val="-2"/>
          <w:sz w:val="24"/>
          <w:szCs w:val="24"/>
        </w:rPr>
        <w:t>甲方</w:t>
      </w:r>
      <w:r>
        <w:rPr>
          <w:rFonts w:hint="eastAsia" w:ascii="宋体" w:hAnsi="宋体" w:eastAsia="宋体" w:cs="宋体"/>
          <w:spacing w:val="-51"/>
          <w:sz w:val="24"/>
          <w:szCs w:val="24"/>
        </w:rPr>
        <w:t xml:space="preserve"> </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p>
    <w:p w14:paraId="33B86449">
      <w:pPr>
        <w:pStyle w:val="10"/>
        <w:spacing w:before="218" w:line="219" w:lineRule="auto"/>
        <w:rPr>
          <w:rFonts w:hint="eastAsia" w:ascii="宋体" w:hAnsi="宋体" w:eastAsia="宋体" w:cs="宋体"/>
          <w:sz w:val="24"/>
          <w:szCs w:val="24"/>
        </w:rPr>
      </w:pPr>
      <w:r>
        <w:rPr>
          <w:rFonts w:hint="eastAsia" w:ascii="宋体" w:hAnsi="宋体" w:eastAsia="宋体" w:cs="宋体"/>
          <w:spacing w:val="-3"/>
          <w:sz w:val="24"/>
          <w:szCs w:val="24"/>
        </w:rPr>
        <w:t>法定代表人/负责人：</w:t>
      </w:r>
      <w:r>
        <w:rPr>
          <w:rFonts w:hint="eastAsia" w:ascii="宋体" w:hAnsi="宋体" w:eastAsia="宋体" w:cs="宋体"/>
          <w:sz w:val="24"/>
          <w:szCs w:val="24"/>
          <w:u w:val="single" w:color="auto"/>
        </w:rPr>
        <w:t xml:space="preserve">                  </w:t>
      </w:r>
    </w:p>
    <w:p w14:paraId="388BF520">
      <w:pPr>
        <w:pStyle w:val="10"/>
        <w:spacing w:before="215" w:line="229" w:lineRule="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pacing w:val="-76"/>
          <w:sz w:val="24"/>
          <w:szCs w:val="24"/>
        </w:rPr>
        <w:t xml:space="preserve"> </w:t>
      </w:r>
      <w:r>
        <w:rPr>
          <w:rFonts w:hint="eastAsia" w:ascii="宋体" w:hAnsi="宋体" w:eastAsia="宋体" w:cs="宋体"/>
          <w:sz w:val="24"/>
          <w:szCs w:val="24"/>
          <w:u w:val="single" w:color="auto"/>
        </w:rPr>
        <w:t xml:space="preserve">                                </w:t>
      </w:r>
    </w:p>
    <w:p w14:paraId="71AEE01A">
      <w:pPr>
        <w:spacing w:line="311" w:lineRule="auto"/>
        <w:rPr>
          <w:rFonts w:hint="eastAsia" w:ascii="宋体" w:hAnsi="宋体" w:eastAsia="宋体" w:cs="宋体"/>
          <w:sz w:val="24"/>
          <w:szCs w:val="24"/>
        </w:rPr>
      </w:pPr>
    </w:p>
    <w:p w14:paraId="1096FBBA">
      <w:pPr>
        <w:spacing w:line="312" w:lineRule="auto"/>
        <w:rPr>
          <w:rFonts w:hint="eastAsia" w:ascii="宋体" w:hAnsi="宋体" w:eastAsia="宋体" w:cs="宋体"/>
          <w:sz w:val="24"/>
          <w:szCs w:val="24"/>
        </w:rPr>
      </w:pPr>
    </w:p>
    <w:p w14:paraId="0B4F2788">
      <w:pPr>
        <w:pStyle w:val="10"/>
        <w:spacing w:before="78" w:line="213" w:lineRule="auto"/>
        <w:ind w:left="35"/>
        <w:rPr>
          <w:rFonts w:hint="eastAsia" w:ascii="宋体" w:hAnsi="宋体" w:eastAsia="宋体" w:cs="宋体"/>
          <w:sz w:val="24"/>
          <w:szCs w:val="24"/>
        </w:rPr>
      </w:pPr>
      <w:r>
        <w:rPr>
          <w:rFonts w:hint="eastAsia" w:ascii="宋体" w:hAnsi="宋体" w:eastAsia="宋体" w:cs="宋体"/>
          <w:i w:val="0"/>
          <w:iCs w:val="0"/>
          <w:spacing w:val="-20"/>
          <w:sz w:val="24"/>
          <w:szCs w:val="24"/>
        </w:rPr>
        <w:t>乙方：</w:t>
      </w:r>
      <w:r>
        <w:rPr>
          <w:rFonts w:hint="eastAsia" w:ascii="宋体" w:hAnsi="宋体" w:eastAsia="宋体" w:cs="宋体"/>
          <w:spacing w:val="-67"/>
          <w:sz w:val="24"/>
          <w:szCs w:val="24"/>
        </w:rPr>
        <w:t xml:space="preserve"> </w:t>
      </w:r>
      <w:r>
        <w:rPr>
          <w:rFonts w:hint="eastAsia" w:ascii="宋体" w:hAnsi="宋体" w:eastAsia="宋体" w:cs="宋体"/>
          <w:sz w:val="24"/>
          <w:szCs w:val="24"/>
          <w:u w:val="single" w:color="auto"/>
        </w:rPr>
        <w:t xml:space="preserve">                               </w:t>
      </w:r>
    </w:p>
    <w:p w14:paraId="57845FAF">
      <w:pPr>
        <w:pStyle w:val="10"/>
        <w:spacing w:before="251" w:line="219" w:lineRule="auto"/>
        <w:rPr>
          <w:rFonts w:hint="eastAsia" w:ascii="宋体" w:hAnsi="宋体" w:eastAsia="宋体" w:cs="宋体"/>
          <w:sz w:val="24"/>
          <w:szCs w:val="24"/>
        </w:rPr>
      </w:pPr>
      <w:r>
        <w:rPr>
          <w:rFonts w:hint="eastAsia" w:ascii="宋体" w:hAnsi="宋体" w:eastAsia="宋体" w:cs="宋体"/>
          <w:spacing w:val="12"/>
          <w:sz w:val="24"/>
          <w:szCs w:val="24"/>
        </w:rPr>
        <w:t>法定代表人/负责人</w:t>
      </w:r>
      <w:r>
        <w:rPr>
          <w:rFonts w:hint="eastAsia" w:cs="宋体"/>
          <w:spacing w:val="12"/>
          <w:sz w:val="24"/>
          <w:szCs w:val="24"/>
          <w:lang w:eastAsia="zh-CN"/>
        </w:rPr>
        <w:t>：</w:t>
      </w:r>
      <w:r>
        <w:rPr>
          <w:rFonts w:hint="eastAsia" w:ascii="宋体" w:hAnsi="宋体" w:eastAsia="宋体" w:cs="宋体"/>
          <w:sz w:val="24"/>
          <w:szCs w:val="24"/>
          <w:u w:val="single" w:color="auto"/>
        </w:rPr>
        <w:t xml:space="preserve">                   </w:t>
      </w:r>
    </w:p>
    <w:p w14:paraId="2FFFBC5F">
      <w:pPr>
        <w:pStyle w:val="10"/>
        <w:spacing w:before="241" w:line="229" w:lineRule="auto"/>
        <w:rPr>
          <w:rFonts w:hint="eastAsia" w:ascii="宋体" w:hAnsi="宋体" w:eastAsia="宋体" w:cs="宋体"/>
          <w:sz w:val="24"/>
          <w:szCs w:val="24"/>
        </w:rPr>
      </w:pPr>
      <w:r>
        <w:rPr>
          <w:rFonts w:hint="eastAsia" w:ascii="宋体" w:hAnsi="宋体" w:eastAsia="宋体" w:cs="宋体"/>
          <w:spacing w:val="-1"/>
          <w:sz w:val="24"/>
          <w:szCs w:val="24"/>
        </w:rPr>
        <w:t xml:space="preserve">地址： </w:t>
      </w:r>
      <w:r>
        <w:rPr>
          <w:rFonts w:hint="eastAsia" w:ascii="宋体" w:hAnsi="宋体" w:eastAsia="宋体" w:cs="宋体"/>
          <w:spacing w:val="-1"/>
          <w:sz w:val="24"/>
          <w:szCs w:val="24"/>
          <w:u w:val="single" w:color="auto"/>
        </w:rPr>
        <w:t xml:space="preserve">                                   </w:t>
      </w:r>
    </w:p>
    <w:p w14:paraId="6214311C">
      <w:pPr>
        <w:pStyle w:val="10"/>
        <w:spacing w:before="218" w:line="379" w:lineRule="auto"/>
        <w:ind w:right="91" w:firstLine="479"/>
        <w:jc w:val="both"/>
        <w:rPr>
          <w:rFonts w:hint="eastAsia" w:ascii="宋体" w:hAnsi="宋体" w:eastAsia="宋体" w:cs="宋体"/>
          <w:sz w:val="24"/>
          <w:szCs w:val="24"/>
        </w:rPr>
      </w:pPr>
      <w:r>
        <w:rPr>
          <w:rFonts w:hint="eastAsia" w:ascii="宋体" w:hAnsi="宋体" w:eastAsia="宋体" w:cs="宋体"/>
          <w:spacing w:val="-1"/>
          <w:sz w:val="24"/>
          <w:szCs w:val="24"/>
        </w:rPr>
        <w:t>根据国家法律法规，为促进信息化服务的发展，甲、乙</w:t>
      </w:r>
      <w:r>
        <w:rPr>
          <w:rFonts w:hint="eastAsia" w:ascii="宋体" w:hAnsi="宋体" w:eastAsia="宋体" w:cs="宋体"/>
          <w:spacing w:val="-2"/>
          <w:sz w:val="24"/>
          <w:szCs w:val="24"/>
        </w:rPr>
        <w:t>双方本着互惠互利、互相支</w:t>
      </w:r>
      <w:r>
        <w:rPr>
          <w:rFonts w:hint="eastAsia" w:ascii="宋体" w:hAnsi="宋体" w:eastAsia="宋体" w:cs="宋体"/>
          <w:sz w:val="24"/>
          <w:szCs w:val="24"/>
        </w:rPr>
        <w:t xml:space="preserve"> </w:t>
      </w:r>
      <w:r>
        <w:rPr>
          <w:rFonts w:hint="eastAsia" w:ascii="宋体" w:hAnsi="宋体" w:eastAsia="宋体" w:cs="宋体"/>
          <w:spacing w:val="-1"/>
          <w:sz w:val="24"/>
          <w:szCs w:val="24"/>
        </w:rPr>
        <w:t>持的原则，经友好协商，就建立合作关系达成如下协议，并</w:t>
      </w:r>
      <w:r>
        <w:rPr>
          <w:rFonts w:hint="eastAsia" w:ascii="宋体" w:hAnsi="宋体" w:eastAsia="宋体" w:cs="宋体"/>
          <w:spacing w:val="-2"/>
          <w:sz w:val="24"/>
          <w:szCs w:val="24"/>
        </w:rPr>
        <w:t>承诺严格遵守和履行本协议</w:t>
      </w:r>
      <w:r>
        <w:rPr>
          <w:rFonts w:hint="eastAsia" w:ascii="宋体" w:hAnsi="宋体" w:eastAsia="宋体" w:cs="宋体"/>
          <w:sz w:val="24"/>
          <w:szCs w:val="24"/>
        </w:rPr>
        <w:t xml:space="preserve"> </w:t>
      </w:r>
      <w:r>
        <w:rPr>
          <w:rFonts w:hint="eastAsia" w:ascii="宋体" w:hAnsi="宋体" w:eastAsia="宋体" w:cs="宋体"/>
          <w:spacing w:val="-11"/>
          <w:sz w:val="24"/>
          <w:szCs w:val="24"/>
        </w:rPr>
        <w:t>中的各项条款：</w:t>
      </w:r>
    </w:p>
    <w:p w14:paraId="1D598462">
      <w:pPr>
        <w:pStyle w:val="10"/>
        <w:spacing w:before="31" w:line="219" w:lineRule="auto"/>
        <w:ind w:left="3"/>
        <w:outlineLvl w:val="3"/>
        <w:rPr>
          <w:sz w:val="24"/>
          <w:szCs w:val="24"/>
        </w:rPr>
      </w:pPr>
      <w:r>
        <w:rPr>
          <w:b/>
          <w:bCs/>
          <w:spacing w:val="-4"/>
          <w:sz w:val="24"/>
          <w:szCs w:val="24"/>
        </w:rPr>
        <w:t>一、项目概况</w:t>
      </w:r>
    </w:p>
    <w:p w14:paraId="7BB6BC52">
      <w:pPr>
        <w:pStyle w:val="10"/>
        <w:spacing w:before="238" w:line="219" w:lineRule="auto"/>
        <w:ind w:left="479"/>
        <w:rPr>
          <w:rFonts w:hint="default" w:eastAsia="宋体"/>
          <w:sz w:val="24"/>
          <w:szCs w:val="24"/>
          <w:u w:val="single"/>
          <w:lang w:val="en-US" w:eastAsia="zh-CN"/>
        </w:rPr>
      </w:pPr>
      <w:r>
        <w:rPr>
          <w:spacing w:val="-3"/>
          <w:sz w:val="24"/>
          <w:szCs w:val="24"/>
        </w:rPr>
        <w:t>1.</w:t>
      </w:r>
      <w:r>
        <w:rPr>
          <w:spacing w:val="38"/>
          <w:sz w:val="24"/>
          <w:szCs w:val="24"/>
        </w:rPr>
        <w:t xml:space="preserve"> </w:t>
      </w:r>
      <w:r>
        <w:rPr>
          <w:sz w:val="24"/>
          <w:szCs w:val="24"/>
        </w:rPr>
        <w:t>项目名称：</w:t>
      </w:r>
      <w:r>
        <w:rPr>
          <w:rFonts w:hint="eastAsia"/>
          <w:spacing w:val="-3"/>
          <w:sz w:val="24"/>
          <w:szCs w:val="24"/>
          <w:u w:val="single"/>
          <w:lang w:val="en-US" w:eastAsia="zh-CN"/>
        </w:rPr>
        <w:t xml:space="preserve">  </w:t>
      </w:r>
      <w:r>
        <w:rPr>
          <w:sz w:val="24"/>
          <w:szCs w:val="24"/>
          <w:u w:val="single" w:color="auto"/>
        </w:rPr>
        <w:t xml:space="preserve">              </w:t>
      </w:r>
      <w:r>
        <w:rPr>
          <w:spacing w:val="-1"/>
          <w:sz w:val="24"/>
          <w:szCs w:val="24"/>
          <w:u w:val="single" w:color="auto"/>
        </w:rPr>
        <w:t xml:space="preserve">   </w:t>
      </w:r>
      <w:r>
        <w:rPr>
          <w:spacing w:val="-80"/>
          <w:sz w:val="24"/>
          <w:szCs w:val="24"/>
        </w:rPr>
        <w:t xml:space="preserve"> </w:t>
      </w:r>
      <w:r>
        <w:rPr>
          <w:rFonts w:hint="eastAsia"/>
          <w:spacing w:val="-1"/>
          <w:sz w:val="24"/>
          <w:szCs w:val="24"/>
          <w:lang w:eastAsia="zh-CN"/>
        </w:rPr>
        <w:t>；</w:t>
      </w:r>
    </w:p>
    <w:p w14:paraId="66A1D705">
      <w:pPr>
        <w:pStyle w:val="10"/>
        <w:spacing w:before="222" w:line="220" w:lineRule="auto"/>
        <w:ind w:left="479"/>
        <w:rPr>
          <w:rFonts w:hint="eastAsia" w:eastAsia="宋体"/>
          <w:sz w:val="24"/>
          <w:szCs w:val="24"/>
          <w:lang w:eastAsia="zh-CN"/>
        </w:rPr>
      </w:pPr>
      <w:r>
        <w:rPr>
          <w:sz w:val="24"/>
          <w:szCs w:val="24"/>
        </w:rPr>
        <w:t>2.</w:t>
      </w:r>
      <w:r>
        <w:rPr>
          <w:spacing w:val="-18"/>
          <w:sz w:val="24"/>
          <w:szCs w:val="24"/>
        </w:rPr>
        <w:t xml:space="preserve"> </w:t>
      </w:r>
      <w:r>
        <w:rPr>
          <w:sz w:val="24"/>
          <w:szCs w:val="24"/>
        </w:rPr>
        <w:t>项目地点：</w:t>
      </w:r>
      <w:r>
        <w:rPr>
          <w:sz w:val="24"/>
          <w:szCs w:val="24"/>
          <w:u w:val="single" w:color="auto"/>
        </w:rPr>
        <w:t xml:space="preserve">              </w:t>
      </w:r>
      <w:r>
        <w:rPr>
          <w:rFonts w:hint="eastAsia"/>
          <w:sz w:val="24"/>
          <w:szCs w:val="24"/>
          <w:u w:val="single" w:color="auto"/>
          <w:lang w:val="en-US" w:eastAsia="zh-CN"/>
        </w:rPr>
        <w:t xml:space="preserve">  </w:t>
      </w:r>
      <w:r>
        <w:rPr>
          <w:spacing w:val="-1"/>
          <w:sz w:val="24"/>
          <w:szCs w:val="24"/>
          <w:u w:val="single" w:color="auto"/>
        </w:rPr>
        <w:t xml:space="preserve">   </w:t>
      </w:r>
      <w:r>
        <w:rPr>
          <w:spacing w:val="-80"/>
          <w:sz w:val="24"/>
          <w:szCs w:val="24"/>
        </w:rPr>
        <w:t xml:space="preserve"> </w:t>
      </w:r>
      <w:r>
        <w:rPr>
          <w:rFonts w:hint="eastAsia"/>
          <w:spacing w:val="-1"/>
          <w:sz w:val="24"/>
          <w:szCs w:val="24"/>
          <w:lang w:eastAsia="zh-CN"/>
        </w:rPr>
        <w:t>；</w:t>
      </w:r>
    </w:p>
    <w:p w14:paraId="5CEDADFC">
      <w:pPr>
        <w:pStyle w:val="10"/>
        <w:spacing w:before="198" w:line="219" w:lineRule="auto"/>
        <w:ind w:left="3"/>
        <w:outlineLvl w:val="3"/>
        <w:rPr>
          <w:sz w:val="24"/>
          <w:szCs w:val="24"/>
        </w:rPr>
      </w:pPr>
      <w:r>
        <w:rPr>
          <w:b/>
          <w:bCs/>
          <w:spacing w:val="-3"/>
          <w:sz w:val="24"/>
          <w:szCs w:val="24"/>
        </w:rPr>
        <w:t>二、组成本合同的文件</w:t>
      </w:r>
    </w:p>
    <w:p w14:paraId="3C3315BF">
      <w:pPr>
        <w:pStyle w:val="10"/>
        <w:spacing w:before="248" w:line="219" w:lineRule="auto"/>
        <w:ind w:left="479"/>
        <w:rPr>
          <w:sz w:val="24"/>
          <w:szCs w:val="24"/>
        </w:rPr>
      </w:pPr>
      <w:r>
        <w:rPr>
          <w:spacing w:val="6"/>
          <w:sz w:val="24"/>
          <w:szCs w:val="24"/>
        </w:rPr>
        <w:t>1.</w:t>
      </w:r>
      <w:r>
        <w:rPr>
          <w:spacing w:val="62"/>
          <w:sz w:val="24"/>
          <w:szCs w:val="24"/>
        </w:rPr>
        <w:t xml:space="preserve"> </w:t>
      </w:r>
      <w:r>
        <w:rPr>
          <w:spacing w:val="6"/>
          <w:sz w:val="24"/>
          <w:szCs w:val="24"/>
        </w:rPr>
        <w:t>协议书；</w:t>
      </w:r>
    </w:p>
    <w:p w14:paraId="6062C73D">
      <w:pPr>
        <w:pStyle w:val="10"/>
        <w:spacing w:before="222" w:line="219" w:lineRule="auto"/>
        <w:ind w:left="479"/>
        <w:rPr>
          <w:sz w:val="24"/>
          <w:szCs w:val="24"/>
        </w:rPr>
      </w:pPr>
      <w:r>
        <w:rPr>
          <w:spacing w:val="-2"/>
          <w:sz w:val="24"/>
          <w:szCs w:val="24"/>
        </w:rPr>
        <w:t>2. 招标文件响应文件、澄清、成交通知书；</w:t>
      </w:r>
    </w:p>
    <w:p w14:paraId="4FFCB4E8">
      <w:pPr>
        <w:pStyle w:val="10"/>
        <w:spacing w:before="215" w:line="219" w:lineRule="auto"/>
        <w:ind w:left="479"/>
        <w:rPr>
          <w:sz w:val="24"/>
          <w:szCs w:val="24"/>
        </w:rPr>
      </w:pPr>
      <w:r>
        <w:rPr>
          <w:spacing w:val="-4"/>
          <w:sz w:val="24"/>
          <w:szCs w:val="24"/>
        </w:rPr>
        <w:t>3. 相关服务建议书；</w:t>
      </w:r>
    </w:p>
    <w:p w14:paraId="3B42A481">
      <w:pPr>
        <w:pStyle w:val="10"/>
        <w:spacing w:before="236" w:line="219" w:lineRule="auto"/>
        <w:ind w:left="479"/>
        <w:rPr>
          <w:sz w:val="24"/>
          <w:szCs w:val="24"/>
        </w:rPr>
      </w:pPr>
      <w:r>
        <w:rPr>
          <w:sz w:val="24"/>
          <w:szCs w:val="24"/>
        </w:rPr>
        <w:t>本合同签订后，双方依法签订的补充协议、备忘录也是本合同文件的组成部</w:t>
      </w:r>
      <w:r>
        <w:rPr>
          <w:spacing w:val="-1"/>
          <w:sz w:val="24"/>
          <w:szCs w:val="24"/>
        </w:rPr>
        <w:t>分。</w:t>
      </w:r>
    </w:p>
    <w:p w14:paraId="42DEB4BA">
      <w:pPr>
        <w:pStyle w:val="10"/>
        <w:spacing w:before="198" w:line="219" w:lineRule="auto"/>
        <w:ind w:left="3"/>
        <w:outlineLvl w:val="3"/>
        <w:rPr>
          <w:rFonts w:ascii="宋体" w:hAnsi="宋体" w:eastAsia="宋体" w:cs="宋体"/>
          <w:b/>
          <w:bCs/>
          <w:spacing w:val="-3"/>
          <w:sz w:val="24"/>
          <w:szCs w:val="24"/>
        </w:rPr>
      </w:pPr>
      <w:r>
        <w:rPr>
          <w:rFonts w:ascii="宋体" w:hAnsi="宋体" w:eastAsia="宋体" w:cs="宋体"/>
          <w:b/>
          <w:bCs/>
          <w:spacing w:val="-3"/>
          <w:sz w:val="24"/>
          <w:szCs w:val="24"/>
        </w:rPr>
        <w:t>三、签约金额</w:t>
      </w:r>
    </w:p>
    <w:p w14:paraId="6EC96251">
      <w:pPr>
        <w:pStyle w:val="10"/>
        <w:spacing w:before="228" w:line="215" w:lineRule="auto"/>
        <w:ind w:left="479"/>
        <w:rPr>
          <w:sz w:val="24"/>
          <w:szCs w:val="24"/>
        </w:rPr>
      </w:pPr>
      <w:r>
        <w:rPr>
          <w:spacing w:val="16"/>
          <w:sz w:val="24"/>
          <w:szCs w:val="24"/>
        </w:rPr>
        <w:t>签约金额(大写)</w:t>
      </w:r>
      <w:r>
        <w:rPr>
          <w:rFonts w:hint="eastAsia"/>
          <w:spacing w:val="16"/>
          <w:sz w:val="24"/>
          <w:szCs w:val="24"/>
          <w:lang w:eastAsia="zh-CN"/>
        </w:rPr>
        <w:t>：</w:t>
      </w:r>
      <w:r>
        <w:rPr>
          <w:spacing w:val="-21"/>
          <w:sz w:val="24"/>
          <w:szCs w:val="24"/>
        </w:rPr>
        <w:t xml:space="preserve"> </w:t>
      </w:r>
      <w:r>
        <w:rPr>
          <w:sz w:val="24"/>
          <w:szCs w:val="24"/>
          <w:u w:val="single" w:color="auto"/>
        </w:rPr>
        <w:t xml:space="preserve">                 </w:t>
      </w:r>
      <w:r>
        <w:rPr>
          <w:spacing w:val="-10"/>
          <w:sz w:val="24"/>
          <w:szCs w:val="24"/>
        </w:rPr>
        <w:t xml:space="preserve"> </w:t>
      </w:r>
      <w:r>
        <w:rPr>
          <w:spacing w:val="16"/>
          <w:sz w:val="24"/>
          <w:szCs w:val="24"/>
        </w:rPr>
        <w:t>(¥</w:t>
      </w:r>
      <w:r>
        <w:rPr>
          <w:spacing w:val="-59"/>
          <w:sz w:val="24"/>
          <w:szCs w:val="24"/>
        </w:rPr>
        <w:t xml:space="preserve"> </w:t>
      </w:r>
      <w:r>
        <w:rPr>
          <w:position w:val="-3"/>
          <w:sz w:val="24"/>
          <w:szCs w:val="24"/>
        </w:rPr>
        <w:drawing>
          <wp:inline distT="0" distB="0" distL="0" distR="0">
            <wp:extent cx="1301750" cy="762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3"/>
                    <a:stretch>
                      <a:fillRect/>
                    </a:stretch>
                  </pic:blipFill>
                  <pic:spPr>
                    <a:xfrm>
                      <a:off x="0" y="0"/>
                      <a:ext cx="1301758" cy="7620"/>
                    </a:xfrm>
                    <a:prstGeom prst="rect">
                      <a:avLst/>
                    </a:prstGeom>
                  </pic:spPr>
                </pic:pic>
              </a:graphicData>
            </a:graphic>
          </wp:inline>
        </w:drawing>
      </w:r>
      <w:r>
        <w:rPr>
          <w:spacing w:val="16"/>
          <w:sz w:val="24"/>
          <w:szCs w:val="24"/>
        </w:rPr>
        <w:t>)。</w:t>
      </w:r>
    </w:p>
    <w:p w14:paraId="24277CC2">
      <w:pPr>
        <w:pStyle w:val="10"/>
        <w:spacing w:before="207" w:line="382" w:lineRule="auto"/>
        <w:ind w:right="46" w:firstLine="479"/>
        <w:rPr>
          <w:sz w:val="24"/>
          <w:szCs w:val="24"/>
        </w:rPr>
      </w:pPr>
      <w:r>
        <w:rPr>
          <w:spacing w:val="3"/>
          <w:sz w:val="24"/>
          <w:szCs w:val="24"/>
        </w:rPr>
        <w:t>合同签订金额为含税金额。增值税税率为</w:t>
      </w:r>
      <w:r>
        <w:rPr>
          <w:spacing w:val="-59"/>
          <w:sz w:val="24"/>
          <w:szCs w:val="24"/>
        </w:rPr>
        <w:t xml:space="preserve"> </w:t>
      </w:r>
      <w:r>
        <w:rPr>
          <w:spacing w:val="3"/>
          <w:sz w:val="24"/>
          <w:szCs w:val="24"/>
          <w:u w:val="single" w:color="auto"/>
        </w:rPr>
        <w:t xml:space="preserve">      </w:t>
      </w:r>
      <w:r>
        <w:rPr>
          <w:spacing w:val="-98"/>
          <w:sz w:val="24"/>
          <w:szCs w:val="24"/>
        </w:rPr>
        <w:t xml:space="preserve"> </w:t>
      </w:r>
      <w:r>
        <w:rPr>
          <w:spacing w:val="3"/>
          <w:sz w:val="24"/>
          <w:szCs w:val="24"/>
        </w:rPr>
        <w:t>%</w:t>
      </w:r>
      <w:r>
        <w:rPr>
          <w:rFonts w:hint="eastAsia"/>
          <w:spacing w:val="3"/>
          <w:sz w:val="24"/>
          <w:szCs w:val="24"/>
          <w:lang w:eastAsia="zh-CN"/>
        </w:rPr>
        <w:t>，</w:t>
      </w:r>
      <w:r>
        <w:rPr>
          <w:spacing w:val="3"/>
          <w:sz w:val="24"/>
          <w:szCs w:val="24"/>
        </w:rPr>
        <w:t>不含税金额</w:t>
      </w:r>
      <w:r>
        <w:rPr>
          <w:spacing w:val="-110"/>
          <w:sz w:val="24"/>
          <w:szCs w:val="24"/>
        </w:rPr>
        <w:t xml:space="preserve"> </w:t>
      </w:r>
      <w:r>
        <w:rPr>
          <w:spacing w:val="3"/>
          <w:sz w:val="24"/>
          <w:szCs w:val="24"/>
          <w:u w:val="single" w:color="auto"/>
        </w:rPr>
        <w:t xml:space="preserve">      </w:t>
      </w:r>
      <w:r>
        <w:rPr>
          <w:spacing w:val="-98"/>
          <w:sz w:val="24"/>
          <w:szCs w:val="24"/>
        </w:rPr>
        <w:t xml:space="preserve"> </w:t>
      </w:r>
      <w:r>
        <w:rPr>
          <w:spacing w:val="3"/>
          <w:sz w:val="24"/>
          <w:szCs w:val="24"/>
        </w:rPr>
        <w:t>元</w:t>
      </w:r>
      <w:r>
        <w:rPr>
          <w:spacing w:val="2"/>
          <w:sz w:val="24"/>
          <w:szCs w:val="24"/>
        </w:rPr>
        <w:t>，增值税</w:t>
      </w:r>
      <w:r>
        <w:rPr>
          <w:spacing w:val="-7"/>
          <w:sz w:val="24"/>
          <w:szCs w:val="24"/>
        </w:rPr>
        <w:t>税额为</w:t>
      </w:r>
      <w:r>
        <w:rPr>
          <w:spacing w:val="2"/>
          <w:sz w:val="24"/>
          <w:szCs w:val="24"/>
          <w:u w:val="single" w:color="auto"/>
        </w:rPr>
        <w:t xml:space="preserve">   </w:t>
      </w:r>
      <w:r>
        <w:rPr>
          <w:rFonts w:hint="eastAsia"/>
          <w:spacing w:val="2"/>
          <w:sz w:val="24"/>
          <w:szCs w:val="24"/>
          <w:u w:val="single" w:color="auto"/>
          <w:lang w:val="en-US" w:eastAsia="zh-CN"/>
        </w:rPr>
        <w:t xml:space="preserve">   </w:t>
      </w:r>
      <w:r>
        <w:rPr>
          <w:spacing w:val="2"/>
          <w:sz w:val="24"/>
          <w:szCs w:val="24"/>
          <w:u w:val="single" w:color="auto"/>
        </w:rPr>
        <w:t xml:space="preserve">  </w:t>
      </w:r>
      <w:r>
        <w:rPr>
          <w:spacing w:val="-110"/>
          <w:sz w:val="24"/>
          <w:szCs w:val="24"/>
        </w:rPr>
        <w:t xml:space="preserve"> </w:t>
      </w:r>
      <w:r>
        <w:rPr>
          <w:spacing w:val="-7"/>
          <w:sz w:val="24"/>
          <w:szCs w:val="24"/>
        </w:rPr>
        <w:t>元。</w:t>
      </w:r>
    </w:p>
    <w:p w14:paraId="22CA4222">
      <w:pPr>
        <w:pStyle w:val="10"/>
        <w:spacing w:before="28" w:line="440" w:lineRule="auto"/>
        <w:ind w:firstLine="479"/>
        <w:rPr>
          <w:sz w:val="24"/>
          <w:szCs w:val="24"/>
        </w:rPr>
      </w:pPr>
      <w:r>
        <w:rPr>
          <w:spacing w:val="24"/>
          <w:sz w:val="24"/>
          <w:szCs w:val="24"/>
        </w:rPr>
        <w:t>合同单价一次包死，不受市场价变化或实际工作量变化的影响，合同价格为含税价，</w:t>
      </w:r>
      <w:r>
        <w:rPr>
          <w:spacing w:val="6"/>
          <w:sz w:val="24"/>
          <w:szCs w:val="24"/>
        </w:rPr>
        <w:t xml:space="preserve"> </w:t>
      </w:r>
      <w:r>
        <w:rPr>
          <w:spacing w:val="33"/>
          <w:sz w:val="24"/>
          <w:szCs w:val="24"/>
        </w:rPr>
        <w:t>供应商(成交人)提供服务所发生的</w:t>
      </w:r>
      <w:r>
        <w:rPr>
          <w:rFonts w:hint="eastAsia"/>
          <w:spacing w:val="-44"/>
          <w:sz w:val="24"/>
          <w:szCs w:val="24"/>
          <w:lang w:val="en-US" w:eastAsia="zh-CN"/>
        </w:rPr>
        <w:t xml:space="preserve">一 切 </w:t>
      </w:r>
      <w:r>
        <w:rPr>
          <w:spacing w:val="33"/>
          <w:sz w:val="24"/>
          <w:szCs w:val="24"/>
        </w:rPr>
        <w:t>税(包括增值税)费等都已包含于合同价款中。</w:t>
      </w:r>
    </w:p>
    <w:p w14:paraId="33425898">
      <w:pPr>
        <w:pStyle w:val="10"/>
        <w:spacing w:before="198" w:line="219" w:lineRule="auto"/>
        <w:ind w:left="3"/>
        <w:outlineLvl w:val="3"/>
        <w:rPr>
          <w:rFonts w:ascii="宋体" w:hAnsi="宋体" w:eastAsia="宋体" w:cs="宋体"/>
          <w:b/>
          <w:bCs/>
          <w:spacing w:val="-3"/>
          <w:sz w:val="24"/>
          <w:szCs w:val="24"/>
        </w:rPr>
      </w:pPr>
      <w:r>
        <w:rPr>
          <w:rFonts w:ascii="宋体" w:hAnsi="宋体" w:eastAsia="宋体" w:cs="宋体"/>
          <w:b/>
          <w:bCs/>
          <w:spacing w:val="-3"/>
          <w:sz w:val="24"/>
          <w:szCs w:val="24"/>
        </w:rPr>
        <w:t>四 、结算方式：</w:t>
      </w:r>
    </w:p>
    <w:p w14:paraId="52C1174E">
      <w:pPr>
        <w:pStyle w:val="10"/>
        <w:spacing w:before="228" w:line="215" w:lineRule="auto"/>
        <w:ind w:left="479"/>
        <w:rPr>
          <w:rFonts w:ascii="宋体" w:hAnsi="宋体" w:eastAsia="宋体" w:cs="宋体"/>
          <w:spacing w:val="16"/>
          <w:sz w:val="24"/>
          <w:szCs w:val="24"/>
        </w:rPr>
      </w:pPr>
      <w:r>
        <w:rPr>
          <w:rFonts w:hint="eastAsia" w:ascii="宋体" w:hAnsi="宋体" w:eastAsia="宋体" w:cs="宋体"/>
          <w:spacing w:val="16"/>
          <w:sz w:val="24"/>
          <w:szCs w:val="24"/>
          <w:lang w:eastAsia="zh-CN"/>
        </w:rPr>
        <w:t>（</w:t>
      </w:r>
      <w:r>
        <w:rPr>
          <w:rFonts w:hint="eastAsia" w:ascii="宋体" w:hAnsi="宋体" w:eastAsia="宋体" w:cs="宋体"/>
          <w:spacing w:val="16"/>
          <w:sz w:val="24"/>
          <w:szCs w:val="24"/>
          <w:lang w:val="en-US" w:eastAsia="zh-CN"/>
        </w:rPr>
        <w:t>1</w:t>
      </w:r>
      <w:r>
        <w:rPr>
          <w:rFonts w:hint="eastAsia" w:ascii="宋体" w:hAnsi="宋体" w:eastAsia="宋体" w:cs="宋体"/>
          <w:spacing w:val="16"/>
          <w:sz w:val="24"/>
          <w:szCs w:val="24"/>
          <w:lang w:eastAsia="zh-CN"/>
        </w:rPr>
        <w:t>）</w:t>
      </w:r>
      <w:r>
        <w:rPr>
          <w:rFonts w:ascii="宋体" w:hAnsi="宋体" w:eastAsia="宋体" w:cs="宋体"/>
          <w:spacing w:val="16"/>
          <w:sz w:val="24"/>
          <w:szCs w:val="24"/>
        </w:rPr>
        <w:t>缴费方式：□银行转账</w:t>
      </w:r>
    </w:p>
    <w:p w14:paraId="759C6CD3">
      <w:pPr>
        <w:pStyle w:val="10"/>
        <w:spacing w:before="228" w:line="215" w:lineRule="auto"/>
        <w:ind w:left="479"/>
        <w:rPr>
          <w:rFonts w:hint="eastAsia" w:ascii="宋体" w:hAnsi="宋体" w:eastAsia="宋体" w:cs="宋体"/>
          <w:spacing w:val="16"/>
          <w:sz w:val="24"/>
          <w:szCs w:val="24"/>
        </w:rPr>
      </w:pPr>
      <w:r>
        <w:rPr>
          <w:rFonts w:hint="eastAsia" w:ascii="宋体" w:hAnsi="宋体" w:eastAsia="宋体" w:cs="宋体"/>
          <w:spacing w:val="16"/>
          <w:sz w:val="24"/>
          <w:szCs w:val="24"/>
          <w:lang w:eastAsia="zh-CN"/>
        </w:rPr>
        <w:t>（</w:t>
      </w:r>
      <w:r>
        <w:rPr>
          <w:rFonts w:hint="eastAsia" w:ascii="宋体" w:hAnsi="宋体" w:eastAsia="宋体" w:cs="宋体"/>
          <w:spacing w:val="16"/>
          <w:sz w:val="24"/>
          <w:szCs w:val="24"/>
          <w:lang w:val="en-US" w:eastAsia="zh-CN"/>
        </w:rPr>
        <w:t>2</w:t>
      </w:r>
      <w:r>
        <w:rPr>
          <w:rFonts w:hint="eastAsia" w:ascii="宋体" w:hAnsi="宋体" w:eastAsia="宋体" w:cs="宋体"/>
          <w:spacing w:val="16"/>
          <w:sz w:val="24"/>
          <w:szCs w:val="24"/>
          <w:lang w:eastAsia="zh-CN"/>
        </w:rPr>
        <w:t>）</w:t>
      </w:r>
      <w:r>
        <w:rPr>
          <w:rFonts w:hint="eastAsia" w:ascii="宋体" w:hAnsi="宋体" w:eastAsia="宋体" w:cs="宋体"/>
          <w:spacing w:val="16"/>
          <w:sz w:val="24"/>
          <w:szCs w:val="24"/>
        </w:rPr>
        <w:t>结算单位：由采购人以人民币负责结算，在付款前，供应商必须开具发票给 采购人。</w:t>
      </w:r>
    </w:p>
    <w:p w14:paraId="431EC1B5">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w:t>
      </w:r>
      <w:r>
        <w:rPr>
          <w:rFonts w:hint="eastAsia" w:ascii="宋体" w:hAnsi="宋体" w:eastAsia="宋体" w:cs="宋体"/>
          <w:spacing w:val="6"/>
          <w:sz w:val="24"/>
          <w:szCs w:val="24"/>
          <w:lang w:val="en-US" w:eastAsia="zh-CN"/>
        </w:rPr>
        <w:t>3</w:t>
      </w:r>
      <w:r>
        <w:rPr>
          <w:rFonts w:hint="eastAsia" w:ascii="宋体" w:hAnsi="宋体" w:eastAsia="宋体" w:cs="宋体"/>
          <w:spacing w:val="6"/>
          <w:sz w:val="24"/>
          <w:szCs w:val="24"/>
          <w:lang w:eastAsia="zh-CN"/>
        </w:rPr>
        <w:t>）</w:t>
      </w:r>
      <w:r>
        <w:rPr>
          <w:rFonts w:hint="eastAsia" w:ascii="宋体" w:hAnsi="宋体" w:eastAsia="宋体" w:cs="宋体"/>
          <w:spacing w:val="6"/>
          <w:sz w:val="24"/>
          <w:szCs w:val="24"/>
        </w:rPr>
        <w:t>付款方式：合同签订后15个工作日内支付合同价款的【】%,项目实施完成 后支付【】%,项目服务期满后支付合同价款的【】%</w:t>
      </w:r>
      <w:r>
        <w:rPr>
          <w:rFonts w:hint="eastAsia" w:ascii="宋体" w:hAnsi="宋体" w:eastAsia="宋体" w:cs="宋体"/>
          <w:spacing w:val="6"/>
          <w:sz w:val="24"/>
          <w:szCs w:val="24"/>
          <w:lang w:eastAsia="zh-CN"/>
        </w:rPr>
        <w:t>。</w:t>
      </w:r>
    </w:p>
    <w:p w14:paraId="2A9E5BBA">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(4)乙方的银行开户信息如下：</w:t>
      </w:r>
    </w:p>
    <w:p w14:paraId="27EA945A">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乙方账户名称：</w:t>
      </w:r>
    </w:p>
    <w:p w14:paraId="60AD4F81">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乙方开户行：</w:t>
      </w:r>
    </w:p>
    <w:p w14:paraId="33542ED9">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乙方账号：</w:t>
      </w:r>
    </w:p>
    <w:p w14:paraId="3AC20C19">
      <w:pPr>
        <w:pStyle w:val="10"/>
        <w:spacing w:before="198" w:line="219" w:lineRule="auto"/>
        <w:ind w:left="3"/>
        <w:outlineLvl w:val="3"/>
        <w:rPr>
          <w:rFonts w:ascii="宋体" w:hAnsi="宋体" w:eastAsia="宋体" w:cs="宋体"/>
          <w:b/>
          <w:bCs/>
          <w:spacing w:val="-3"/>
          <w:sz w:val="24"/>
          <w:szCs w:val="24"/>
        </w:rPr>
      </w:pPr>
      <w:r>
        <w:rPr>
          <w:rFonts w:ascii="宋体" w:hAnsi="宋体" w:eastAsia="宋体" w:cs="宋体"/>
          <w:b/>
          <w:bCs/>
          <w:spacing w:val="-3"/>
          <w:sz w:val="24"/>
          <w:szCs w:val="24"/>
        </w:rPr>
        <w:t>五 、期 限</w:t>
      </w:r>
    </w:p>
    <w:p w14:paraId="0FC16B2C">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firstLine="504" w:firstLineChars="200"/>
        <w:textAlignment w:val="baseline"/>
        <w:rPr>
          <w:rFonts w:hint="default" w:ascii="宋体" w:hAnsi="宋体" w:eastAsia="宋体" w:cs="宋体"/>
          <w:color w:val="auto"/>
          <w:spacing w:val="6"/>
          <w:sz w:val="24"/>
          <w:szCs w:val="24"/>
          <w:lang w:val="en-US" w:eastAsia="zh-CN"/>
        </w:rPr>
      </w:pPr>
      <w:r>
        <w:rPr>
          <w:rFonts w:hint="eastAsia" w:ascii="宋体" w:hAnsi="宋体" w:eastAsia="宋体" w:cs="宋体"/>
          <w:color w:val="auto"/>
          <w:spacing w:val="6"/>
          <w:sz w:val="24"/>
          <w:szCs w:val="24"/>
          <w:lang w:eastAsia="zh-CN"/>
        </w:rPr>
        <w:t>服务期：</w:t>
      </w:r>
      <w:r>
        <w:rPr>
          <w:rFonts w:hint="eastAsia" w:ascii="宋体" w:hAnsi="宋体" w:eastAsia="宋体" w:cs="宋体"/>
          <w:color w:val="auto"/>
          <w:spacing w:val="6"/>
          <w:sz w:val="24"/>
          <w:szCs w:val="24"/>
          <w:lang w:val="en-US" w:eastAsia="zh-CN"/>
        </w:rPr>
        <w:t>包含项目建设期、运维期、质保期。建设期为</w:t>
      </w:r>
      <w:r>
        <w:rPr>
          <w:rFonts w:hint="eastAsia" w:ascii="宋体" w:hAnsi="宋体" w:eastAsia="宋体" w:cs="宋体"/>
          <w:color w:val="auto"/>
          <w:spacing w:val="6"/>
          <w:sz w:val="24"/>
          <w:szCs w:val="24"/>
          <w:lang w:eastAsia="zh-CN"/>
        </w:rPr>
        <w:t>合同签订后</w:t>
      </w:r>
      <w:r>
        <w:rPr>
          <w:rFonts w:hint="eastAsia" w:ascii="宋体" w:hAnsi="宋体" w:eastAsia="宋体" w:cs="宋体"/>
          <w:color w:val="auto"/>
          <w:spacing w:val="6"/>
          <w:sz w:val="24"/>
          <w:szCs w:val="24"/>
          <w:lang w:val="en-US" w:eastAsia="zh-CN"/>
        </w:rPr>
        <w:t>90天</w:t>
      </w:r>
      <w:r>
        <w:rPr>
          <w:rFonts w:hint="eastAsia" w:ascii="宋体" w:hAnsi="宋体" w:cs="宋体"/>
          <w:color w:val="auto"/>
          <w:spacing w:val="6"/>
          <w:sz w:val="24"/>
          <w:szCs w:val="24"/>
          <w:lang w:val="en-US" w:eastAsia="zh-CN"/>
        </w:rPr>
        <w:t>内</w:t>
      </w:r>
      <w:r>
        <w:rPr>
          <w:rFonts w:hint="eastAsia" w:hAnsi="宋体" w:cs="宋体"/>
          <w:color w:val="auto"/>
          <w:sz w:val="24"/>
          <w:szCs w:val="24"/>
          <w:lang w:eastAsia="zh-CN"/>
        </w:rPr>
        <w:t>（</w:t>
      </w:r>
      <w:r>
        <w:rPr>
          <w:rFonts w:hint="eastAsia" w:hAnsi="宋体" w:cs="宋体"/>
          <w:color w:val="auto"/>
          <w:sz w:val="24"/>
          <w:szCs w:val="24"/>
          <w:lang w:val="en-US" w:eastAsia="zh-CN"/>
        </w:rPr>
        <w:t>含系统调试</w:t>
      </w:r>
      <w:r>
        <w:rPr>
          <w:rFonts w:hint="eastAsia" w:hAnsi="宋体" w:cs="宋体"/>
          <w:color w:val="auto"/>
          <w:sz w:val="24"/>
          <w:szCs w:val="24"/>
          <w:lang w:eastAsia="zh-CN"/>
        </w:rPr>
        <w:t>）</w:t>
      </w:r>
      <w:r>
        <w:rPr>
          <w:rFonts w:hint="eastAsia" w:ascii="宋体" w:hAnsi="宋体" w:eastAsia="宋体" w:cs="宋体"/>
          <w:color w:val="auto"/>
          <w:spacing w:val="6"/>
          <w:sz w:val="24"/>
          <w:szCs w:val="24"/>
          <w:lang w:eastAsia="zh-CN"/>
        </w:rPr>
        <w:t>。</w:t>
      </w:r>
      <w:r>
        <w:rPr>
          <w:rFonts w:hint="eastAsia" w:ascii="宋体" w:hAnsi="宋体" w:eastAsia="宋体" w:cs="宋体"/>
          <w:color w:val="auto"/>
          <w:spacing w:val="6"/>
          <w:sz w:val="24"/>
          <w:szCs w:val="24"/>
          <w:lang w:val="en-US" w:eastAsia="zh-CN"/>
        </w:rPr>
        <w:t>运维期</w:t>
      </w:r>
      <w:r>
        <w:rPr>
          <w:rFonts w:hint="eastAsia" w:ascii="宋体" w:hAnsi="宋体" w:cs="宋体"/>
          <w:color w:val="auto"/>
          <w:spacing w:val="6"/>
          <w:sz w:val="24"/>
          <w:szCs w:val="24"/>
          <w:lang w:val="en-US" w:eastAsia="zh-CN"/>
        </w:rPr>
        <w:t>为项目通过终验收后两年内免费提供运维服务。</w:t>
      </w:r>
      <w:r>
        <w:rPr>
          <w:rFonts w:hint="eastAsia" w:ascii="宋体" w:hAnsi="宋体" w:eastAsia="宋体" w:cs="宋体"/>
          <w:color w:val="auto"/>
          <w:spacing w:val="6"/>
          <w:sz w:val="24"/>
          <w:szCs w:val="24"/>
          <w:lang w:eastAsia="zh-CN"/>
        </w:rPr>
        <w:t>质保期</w:t>
      </w:r>
      <w:r>
        <w:rPr>
          <w:rFonts w:hint="eastAsia" w:ascii="宋体" w:hAnsi="宋体" w:cs="宋体"/>
          <w:color w:val="auto"/>
          <w:spacing w:val="6"/>
          <w:sz w:val="24"/>
          <w:szCs w:val="24"/>
          <w:lang w:val="en-US" w:eastAsia="zh-CN"/>
        </w:rPr>
        <w:t>为</w:t>
      </w:r>
      <w:r>
        <w:rPr>
          <w:rFonts w:hint="eastAsia" w:ascii="宋体" w:hAnsi="宋体" w:eastAsia="宋体" w:cs="宋体"/>
          <w:color w:val="auto"/>
          <w:spacing w:val="6"/>
          <w:sz w:val="24"/>
          <w:szCs w:val="24"/>
          <w:lang w:eastAsia="zh-CN"/>
        </w:rPr>
        <w:t>验收合格之日起所有</w:t>
      </w:r>
      <w:r>
        <w:rPr>
          <w:rFonts w:hint="eastAsia" w:ascii="宋体" w:hAnsi="宋体" w:eastAsia="宋体" w:cs="宋体"/>
          <w:color w:val="auto"/>
          <w:spacing w:val="6"/>
          <w:sz w:val="24"/>
          <w:szCs w:val="24"/>
          <w:lang w:val="en-US" w:eastAsia="zh-CN"/>
        </w:rPr>
        <w:t>硬件</w:t>
      </w:r>
      <w:r>
        <w:rPr>
          <w:rFonts w:hint="eastAsia" w:ascii="宋体" w:hAnsi="宋体" w:eastAsia="宋体" w:cs="宋体"/>
          <w:color w:val="auto"/>
          <w:spacing w:val="6"/>
          <w:sz w:val="24"/>
          <w:szCs w:val="24"/>
          <w:lang w:eastAsia="zh-CN"/>
        </w:rPr>
        <w:t>产品必须提供</w:t>
      </w:r>
      <w:r>
        <w:rPr>
          <w:rFonts w:hint="eastAsia" w:ascii="宋体" w:hAnsi="宋体" w:eastAsia="宋体" w:cs="宋体"/>
          <w:color w:val="auto"/>
          <w:spacing w:val="6"/>
          <w:sz w:val="24"/>
          <w:szCs w:val="24"/>
          <w:lang w:val="en-US" w:eastAsia="zh-CN"/>
        </w:rPr>
        <w:t>3年</w:t>
      </w:r>
      <w:r>
        <w:rPr>
          <w:rFonts w:hint="eastAsia" w:ascii="宋体" w:hAnsi="宋体" w:eastAsia="宋体" w:cs="宋体"/>
          <w:color w:val="auto"/>
          <w:spacing w:val="6"/>
          <w:sz w:val="24"/>
          <w:szCs w:val="24"/>
          <w:lang w:eastAsia="zh-CN"/>
        </w:rPr>
        <w:t>免费保修服务</w:t>
      </w:r>
      <w:r>
        <w:rPr>
          <w:rFonts w:hint="eastAsia" w:ascii="宋体" w:hAnsi="宋体" w:cs="宋体"/>
          <w:color w:val="auto"/>
          <w:spacing w:val="6"/>
          <w:sz w:val="24"/>
          <w:szCs w:val="24"/>
          <w:lang w:eastAsia="zh-CN"/>
        </w:rPr>
        <w:t>，</w:t>
      </w:r>
      <w:r>
        <w:rPr>
          <w:rFonts w:hint="eastAsia" w:ascii="宋体" w:hAnsi="宋体" w:cs="宋体"/>
          <w:color w:val="auto"/>
          <w:spacing w:val="6"/>
          <w:sz w:val="24"/>
          <w:szCs w:val="24"/>
          <w:lang w:val="en-US" w:eastAsia="zh-CN"/>
        </w:rPr>
        <w:t>所有软件长期提供免费升级</w:t>
      </w:r>
      <w:r>
        <w:rPr>
          <w:rFonts w:hint="eastAsia" w:ascii="宋体" w:hAnsi="宋体" w:eastAsia="宋体" w:cs="宋体"/>
          <w:color w:val="auto"/>
          <w:spacing w:val="6"/>
          <w:sz w:val="24"/>
          <w:szCs w:val="24"/>
          <w:lang w:eastAsia="zh-CN"/>
        </w:rPr>
        <w:t>。</w:t>
      </w:r>
    </w:p>
    <w:p w14:paraId="62259FBC">
      <w:pPr>
        <w:pStyle w:val="10"/>
        <w:spacing w:before="198" w:line="219" w:lineRule="auto"/>
        <w:ind w:left="3"/>
        <w:outlineLvl w:val="3"/>
        <w:rPr>
          <w:rFonts w:ascii="宋体" w:hAnsi="宋体" w:eastAsia="宋体" w:cs="宋体"/>
          <w:b/>
          <w:bCs/>
          <w:spacing w:val="-3"/>
          <w:sz w:val="24"/>
          <w:szCs w:val="24"/>
        </w:rPr>
      </w:pPr>
      <w:r>
        <w:rPr>
          <w:rFonts w:ascii="宋体" w:hAnsi="宋体" w:eastAsia="宋体" w:cs="宋体"/>
          <w:b/>
          <w:bCs/>
          <w:spacing w:val="-3"/>
          <w:sz w:val="24"/>
          <w:szCs w:val="24"/>
        </w:rPr>
        <w:t>六 、 税务条款</w:t>
      </w:r>
    </w:p>
    <w:p w14:paraId="73E72DB1">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firstLine="504" w:firstLineChars="20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合同双方将承担中国有关机构根据中国税务法律向其征收的所有与合同执行有关 的税款，在本合同履行过程中无偷漏税等违法行为，双方应各自承担其未按中华人民共 和国相关税务法规足额缴纳税款而产生的全部责任。乙方在甲方支付合同款项时，应向 甲方开具符合国家法律法规和标准的税务发票。不开具或开具不合格的，甲方有权迟延 支付应付款项直至乙方开具合格票据之日且不承担违约责任，且乙方的各项合同义务仍 应按合同约定履行。</w:t>
      </w:r>
    </w:p>
    <w:p w14:paraId="72DCA262">
      <w:pPr>
        <w:pStyle w:val="10"/>
        <w:spacing w:before="198" w:line="219" w:lineRule="auto"/>
        <w:ind w:left="3"/>
        <w:outlineLvl w:val="3"/>
        <w:rPr>
          <w:rFonts w:ascii="宋体" w:hAnsi="宋体" w:eastAsia="宋体" w:cs="宋体"/>
          <w:b/>
          <w:bCs/>
          <w:spacing w:val="-3"/>
          <w:sz w:val="24"/>
          <w:szCs w:val="24"/>
        </w:rPr>
      </w:pPr>
      <w:r>
        <w:rPr>
          <w:rFonts w:ascii="宋体" w:hAnsi="宋体" w:eastAsia="宋体" w:cs="宋体"/>
          <w:b/>
          <w:bCs/>
          <w:spacing w:val="-3"/>
          <w:sz w:val="24"/>
          <w:szCs w:val="24"/>
        </w:rPr>
        <w:t>七、协议的变更</w:t>
      </w:r>
    </w:p>
    <w:p w14:paraId="4A7CCC61">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firstLine="504" w:firstLineChars="20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在本协议执行期内，未经双方协商并形成书面协议，任何一方不得单方面变更或解 除协议，任何一方违约时均应承担违约责任。合同履行期内如有异议，由双方另行协商解决。</w:t>
      </w:r>
    </w:p>
    <w:p w14:paraId="67E7AF78">
      <w:pPr>
        <w:pStyle w:val="10"/>
        <w:spacing w:before="198" w:line="219" w:lineRule="auto"/>
        <w:ind w:left="3"/>
        <w:outlineLvl w:val="3"/>
        <w:rPr>
          <w:rFonts w:ascii="宋体" w:hAnsi="宋体" w:eastAsia="宋体" w:cs="宋体"/>
          <w:b/>
          <w:bCs/>
          <w:spacing w:val="-3"/>
          <w:sz w:val="24"/>
          <w:szCs w:val="24"/>
        </w:rPr>
      </w:pPr>
      <w:r>
        <w:rPr>
          <w:rFonts w:ascii="宋体" w:hAnsi="宋体" w:eastAsia="宋体" w:cs="宋体"/>
          <w:b/>
          <w:bCs/>
          <w:spacing w:val="-3"/>
          <w:sz w:val="24"/>
          <w:szCs w:val="24"/>
        </w:rPr>
        <w:t>八 、违约责任：</w:t>
      </w:r>
    </w:p>
    <w:p w14:paraId="3156E01E">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1. 任何一方违反本协议规定，均应承担相应的违约责任，违约方应承担因自己的违约 行为而给守约方造成的经济损失。</w:t>
      </w:r>
    </w:p>
    <w:p w14:paraId="707E2CFD">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2. 除另有约定外，本协议不得提前解除，如协议一方欲提前解除协议的视为违约。</w:t>
      </w:r>
    </w:p>
    <w:p w14:paraId="4D00DB1C">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3.</w:t>
      </w:r>
      <w:r>
        <w:rPr>
          <w:rFonts w:hint="eastAsia" w:ascii="宋体" w:hAnsi="宋体" w:eastAsia="宋体" w:cs="宋体"/>
          <w:spacing w:val="6"/>
          <w:sz w:val="24"/>
          <w:szCs w:val="24"/>
          <w:lang w:val="en-US" w:eastAsia="zh-CN"/>
        </w:rPr>
        <w:t xml:space="preserve"> </w:t>
      </w:r>
      <w:r>
        <w:rPr>
          <w:rFonts w:hint="eastAsia" w:ascii="宋体" w:hAnsi="宋体" w:eastAsia="宋体" w:cs="宋体"/>
          <w:spacing w:val="6"/>
          <w:sz w:val="24"/>
          <w:szCs w:val="24"/>
          <w:lang w:eastAsia="zh-CN"/>
        </w:rPr>
        <w:t>甲方因违反上述承诺，或者本协议因甲方原因未按约定被提前解除的，则乙方可取消已给予甲方的所有优惠，甲方应补交其所享受的优惠资费(包括工程投资建设费用)与正常资费之差额。</w:t>
      </w:r>
    </w:p>
    <w:p w14:paraId="4985569E">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547" w:leftChars="228" w:firstLine="0" w:firstLineChars="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4. 经核实为非甲方责任范围内的重大通信故障，并影响甲方用户通信时，乙方应酌情减免甲方当月的专用数据光纤线路使用费用。</w:t>
      </w:r>
    </w:p>
    <w:p w14:paraId="2B284C2C">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5. 任何一方违反本协议约定内容均视为违约。 一方违约，其他方有权依据本协议之条 款要求违约方限期纠正，否则守约方有权终止本协议，并可依法追究违约方法律责任和由此遭受损失的赔偿责任。</w:t>
      </w:r>
    </w:p>
    <w:p w14:paraId="4F9EF2C7">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6. 勘测后无法建设的部分，双方互不承担违约责任；若由此导致合同整体无法执行的， 本合同终止，双方互不承担违约责任。</w:t>
      </w:r>
    </w:p>
    <w:p w14:paraId="20033AD0">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textAlignment w:val="baseline"/>
        <w:rPr>
          <w:rFonts w:ascii="宋体" w:hAnsi="宋体" w:eastAsia="宋体" w:cs="宋体"/>
          <w:b/>
          <w:bCs/>
          <w:spacing w:val="6"/>
          <w:sz w:val="24"/>
          <w:szCs w:val="24"/>
        </w:rPr>
      </w:pPr>
      <w:r>
        <w:rPr>
          <w:rFonts w:ascii="宋体" w:hAnsi="宋体" w:eastAsia="宋体" w:cs="宋体"/>
          <w:b/>
          <w:bCs/>
          <w:spacing w:val="6"/>
          <w:sz w:val="24"/>
          <w:szCs w:val="24"/>
        </w:rPr>
        <w:t>九 、免责条款：</w:t>
      </w:r>
    </w:p>
    <w:p w14:paraId="1C5D142F">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1. 乙方在进行定期维护和系统升级改造时，须暂时中断通信服务时，如已提前通知甲方，不属于乙方违约。</w:t>
      </w:r>
    </w:p>
    <w:p w14:paraId="6989CEEC">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2. 遇到不可抗力事件造成的工期延误或通信中断，各方免于承担责任，但遭遇不可抗力事件的一方应在合理期限内提供有效证明。</w:t>
      </w:r>
    </w:p>
    <w:p w14:paraId="37856FCB">
      <w:pPr>
        <w:pStyle w:val="10"/>
        <w:spacing w:before="198" w:line="219" w:lineRule="auto"/>
        <w:ind w:left="3"/>
        <w:outlineLvl w:val="3"/>
        <w:rPr>
          <w:rFonts w:ascii="宋体" w:hAnsi="宋体" w:eastAsia="宋体" w:cs="宋体"/>
          <w:b/>
          <w:bCs/>
          <w:spacing w:val="-3"/>
          <w:sz w:val="24"/>
          <w:szCs w:val="24"/>
        </w:rPr>
      </w:pPr>
      <w:r>
        <w:rPr>
          <w:rFonts w:ascii="宋体" w:hAnsi="宋体" w:eastAsia="宋体" w:cs="宋体"/>
          <w:b/>
          <w:bCs/>
          <w:spacing w:val="-3"/>
          <w:sz w:val="24"/>
          <w:szCs w:val="24"/>
        </w:rPr>
        <w:t>十 、保密条款</w:t>
      </w:r>
    </w:p>
    <w:p w14:paraId="59ACB670">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1. 本合同拥有信息的一方(“提供方”)根据本合同向另一方(“接受方”)提供的 信息，以及接受方在合同履行过程中知悉的提供方的信息，包括但不限于技术性信 息、商业性信息、文件、程序、计划、技术、图表、模型、参数、数据、标准、专 有技术、业务或业务运作方法以及其他专有信息，本合同的条款和与本合同有关的 其他商业信息和技术信息(以下统称“保密信息”),只能由接受方及其人员为本合同目的而使用。除本合同另有规定外，对于提供方提供的任何保密信息，未经提供方的书面同意，接受方及其知悉保密信息的人员均不得直接或间接地以任何方式提供或披露给任何“第三方”。在本条中，“第三方”是指任何法人或其他组织，但不包括甲方关联公司。</w:t>
      </w:r>
    </w:p>
    <w:p w14:paraId="01BC6B99">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2. 保密资料提供方向接受方提供或披露的保密信息，仅可由接受方为执行本合同需要披露给指定的雇员，并且仅在为执行本合同所需的范围内进行该等披露；但是，接 受方在采取一切合理的预防措施之前，不得向其雇员披露任何保密信息，该等预防 措施包括但不限于告知该等雇员将要披露信息的保密性质，由该等雇员做出至少与本合同保密义务一样严格的保密承诺等，以防止该等雇员为个人利益使用保密信息或向任何第三方做出未经授权的任何披露。接受方雇员违反保密义务的，视为接受 方违反保密义务。</w:t>
      </w:r>
    </w:p>
    <w:p w14:paraId="4779312E">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3. 保密信息接受方的律师、会计师、承包商和顾问为提供专业协助而需要了解保密信 息时，接受方可向其披露保密信息，但是，其应要求上述人员签订保密协议或按照 有关职业道德标准履行保密义务。</w:t>
      </w:r>
    </w:p>
    <w:p w14:paraId="101DBEEB">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4. 如相关政府部门或监管机构要求接受方披露任何保密信息，接受方可在该政府部门 或机构要求的范围内做出披露而无需承担本合同项下的责任。但前提是，该接受方 应立即将需披露的信息书面通知提供方，以便提供方采取必要的保护措施，且该等 通知应尽可能在信息披露前做出，并且接受方应尽商业上合理的努力确保该等被披 露的信息获得有关政府机关或机构的保密待遇。</w:t>
      </w:r>
    </w:p>
    <w:p w14:paraId="5F3BE1BF">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5. 在任何情形下，本条所规定的保密义务应永久持续有效。</w:t>
      </w:r>
    </w:p>
    <w:p w14:paraId="6BC008A2">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6. 本协议规定的保密义务对以下信息不适用：在一方披露时，已经是公众所知的信息； 有书面证据证明在披露时已经由接受方掌握的信息，而且信息并非直接或间接来自 提供方；有书面证据证明第三方已向接受方披露的信息，而该第三方并不负有保密  义务，并且有权做出披露。</w:t>
      </w:r>
    </w:p>
    <w:p w14:paraId="3FFF0976">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7. 当本合同解除或终止时，接受方应立即停止使用且不得许可第三方使用提供方的保 密信息，同时，接受方应按照提供方的书面要求，将提供方提供的保密信息退还提 供方或予以删除或销毁。</w:t>
      </w:r>
    </w:p>
    <w:p w14:paraId="2A45EFBA">
      <w:pPr>
        <w:pStyle w:val="10"/>
        <w:spacing w:before="198" w:line="219" w:lineRule="auto"/>
        <w:ind w:left="3"/>
        <w:outlineLvl w:val="3"/>
        <w:rPr>
          <w:rFonts w:ascii="宋体" w:hAnsi="宋体" w:eastAsia="宋体" w:cs="宋体"/>
          <w:b/>
          <w:bCs/>
          <w:spacing w:val="-3"/>
          <w:sz w:val="24"/>
          <w:szCs w:val="24"/>
        </w:rPr>
      </w:pPr>
      <w:r>
        <w:rPr>
          <w:rFonts w:ascii="宋体" w:hAnsi="宋体" w:eastAsia="宋体" w:cs="宋体"/>
          <w:b/>
          <w:bCs/>
          <w:spacing w:val="-3"/>
          <w:sz w:val="24"/>
          <w:szCs w:val="24"/>
        </w:rPr>
        <w:t>十一、信息安全责任</w:t>
      </w:r>
    </w:p>
    <w:p w14:paraId="3B80B549">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为贯彻政府相关部门加强网络文化管理、坚决打击互联网络淫秽色情等违法行为的 精神和要求，确保向客户提供绿色健康的信息服务，营造健康网络环境，双方严格履行 信息安全责任。</w:t>
      </w:r>
    </w:p>
    <w:p w14:paraId="487A0CDC">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1. 甲方严格遵守国家有关法律、行政法规、行政规章和有关规定，严格执行信息安全管理规定。</w:t>
      </w:r>
    </w:p>
    <w:p w14:paraId="54CD86EA">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sectPr>
          <w:headerReference r:id="rId7" w:type="default"/>
          <w:footerReference r:id="rId8" w:type="default"/>
          <w:pgSz w:w="11900" w:h="16830"/>
          <w:pgMar w:top="400" w:right="1425" w:bottom="917" w:left="1370" w:header="0" w:footer="619" w:gutter="0"/>
          <w:pgNumType w:fmt="numberInDash"/>
          <w:cols w:space="720" w:num="1"/>
        </w:sectPr>
      </w:pPr>
    </w:p>
    <w:p w14:paraId="17F7A6F6">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textAlignment w:val="baseline"/>
        <w:rPr>
          <w:rFonts w:hint="eastAsia" w:ascii="宋体" w:hAnsi="宋体" w:eastAsia="宋体" w:cs="宋体"/>
          <w:spacing w:val="6"/>
          <w:sz w:val="24"/>
          <w:szCs w:val="24"/>
          <w:lang w:eastAsia="zh-CN"/>
        </w:rPr>
      </w:pPr>
    </w:p>
    <w:p w14:paraId="2EC8FEFA">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2. 甲方确保不利用在乙方接入的业务网站/平台，违规制作、复制、发布、传播任何含 有下列内容之一的信息：危害国家统一、主权和领土完整的；泄露国家秘密、危害 国家安全或者损害国家荣誉和利益的；煽动民族仇恨、民族歧视，破坏民族团结， 或者侵害民族风俗、习惯的；宣扬邪教、迷信、宗教极端思想的；散布谣言、涉暴恐音视频，扰乱社会秩序，破坏社会稳定的；宣扬淫秽、赌博、暴力或者传授暴恐 犯罪技能等教唆犯罪的；攻击党和政府，侮辱或者诽谤他人，侵害他人合法权益的； 危害社会公德或者民族优秀文化传统的；有法律、行政法规和国家规定禁止的其他 内容的。</w:t>
      </w:r>
    </w:p>
    <w:p w14:paraId="45A37EEF">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3. 甲方对接入乙方的业务网站、即时通信工具、网盘、视频等进行全面检查、逐一过 滤，彻底清理涉暴恐音视频等存量有害信息，关闭传播恐怖宣传视频的注册账户， 并建立清理暴恐音视频工作台账。</w:t>
      </w:r>
    </w:p>
    <w:p w14:paraId="5607C911">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4. 甲方在联网测试、试运行期间、业务正式开通以及合作业务推广过程中，遵守相关 管理规定，保证所提供业务内容的安全性与稳定性，不对通信网络、相关业务平台 造成危害。</w:t>
      </w:r>
    </w:p>
    <w:p w14:paraId="29435C73">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5. 乙方采取必要手段加强网站/平台内容监测、审核、拦截， 一经发现涉暴恐音视频等 有害信息，立即清理，并及时上报国家相关部门。</w:t>
      </w:r>
    </w:p>
    <w:p w14:paraId="28DBE710">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6. 乙方保证建立有效的信息安全管理制度和技术保障措施，并接受相关主管部门的管理、监督和检查，为相关主管部门提供技术支持。</w:t>
      </w:r>
    </w:p>
    <w:p w14:paraId="2CBAB1A1">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7. 甲方如出现任何违反上述信息安全条款的情况，将承担违约责任，包括但不限于乙 方在不通知甲方的情况下关停业务，直至单方面终止业务合作协议，并接受有关部 门的严肃处理，包括但不限于限期整改、公开曝光，追究甲方负责人法律责任等。</w:t>
      </w:r>
    </w:p>
    <w:p w14:paraId="38FA2F14">
      <w:pPr>
        <w:pStyle w:val="10"/>
        <w:spacing w:before="198" w:line="219" w:lineRule="auto"/>
        <w:outlineLvl w:val="3"/>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t>十二、争议的解决</w:t>
      </w:r>
    </w:p>
    <w:p w14:paraId="6987DFAD">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由于执行本协议所发生的或与本协议有关的一切争议，各方应本着友好的原则协商解决。协商未果时可提请甲方所在地仲裁委员会仲裁解决。</w:t>
      </w:r>
    </w:p>
    <w:p w14:paraId="274D582E">
      <w:pPr>
        <w:pStyle w:val="10"/>
        <w:spacing w:before="198" w:line="219" w:lineRule="auto"/>
        <w:ind w:left="3"/>
        <w:outlineLvl w:val="3"/>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t>十三、协议有效期</w:t>
      </w:r>
    </w:p>
    <w:p w14:paraId="488F5783">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1.  本协议自双方代表签字盖章之日生效，本协议有效期</w:t>
      </w:r>
      <w:r>
        <w:rPr>
          <w:rFonts w:hint="eastAsia" w:ascii="宋体" w:hAnsi="宋体" w:eastAsia="宋体" w:cs="宋体"/>
          <w:spacing w:val="6"/>
          <w:sz w:val="24"/>
          <w:szCs w:val="24"/>
          <w:u w:val="single"/>
          <w:lang w:eastAsia="zh-CN"/>
        </w:rPr>
        <w:t xml:space="preserve">     </w:t>
      </w:r>
      <w:r>
        <w:rPr>
          <w:rFonts w:hint="eastAsia" w:ascii="宋体" w:hAnsi="宋体" w:eastAsia="宋体" w:cs="宋体"/>
          <w:spacing w:val="6"/>
          <w:sz w:val="24"/>
          <w:szCs w:val="24"/>
          <w:lang w:eastAsia="zh-CN"/>
        </w:rPr>
        <w:t>年。</w:t>
      </w:r>
    </w:p>
    <w:p w14:paraId="2D306984">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2. 本协议一式</w:t>
      </w:r>
      <w:r>
        <w:rPr>
          <w:rFonts w:hint="eastAsia" w:ascii="宋体" w:hAnsi="宋体" w:eastAsia="宋体" w:cs="宋体"/>
          <w:spacing w:val="6"/>
          <w:sz w:val="24"/>
          <w:szCs w:val="24"/>
          <w:u w:val="single"/>
          <w:lang w:eastAsia="zh-CN"/>
        </w:rPr>
        <w:t xml:space="preserve"> 肆 </w:t>
      </w:r>
      <w:r>
        <w:rPr>
          <w:rFonts w:hint="eastAsia" w:ascii="宋体" w:hAnsi="宋体" w:eastAsia="宋体" w:cs="宋体"/>
          <w:spacing w:val="6"/>
          <w:sz w:val="24"/>
          <w:szCs w:val="24"/>
          <w:lang w:eastAsia="zh-CN"/>
        </w:rPr>
        <w:t>份，甲乙双方各</w:t>
      </w:r>
      <w:r>
        <w:rPr>
          <w:rFonts w:hint="eastAsia" w:ascii="宋体" w:hAnsi="宋体" w:eastAsia="宋体" w:cs="宋体"/>
          <w:spacing w:val="6"/>
          <w:sz w:val="24"/>
          <w:szCs w:val="24"/>
          <w:u w:val="single"/>
          <w:lang w:eastAsia="zh-CN"/>
        </w:rPr>
        <w:t xml:space="preserve"> 两 </w:t>
      </w:r>
      <w:r>
        <w:rPr>
          <w:rFonts w:hint="eastAsia" w:ascii="宋体" w:hAnsi="宋体" w:eastAsia="宋体" w:cs="宋体"/>
          <w:spacing w:val="6"/>
          <w:sz w:val="24"/>
          <w:szCs w:val="24"/>
          <w:lang w:eastAsia="zh-CN"/>
        </w:rPr>
        <w:t>份，具有同等法律效力。未尽事宜，双方可签 订补充协议解决，补充协议与本协议具有同等法律效力。</w:t>
      </w:r>
    </w:p>
    <w:p w14:paraId="25527EF3">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3. 本合同有效期届满时，双方对本合同条款无异议，协议有效期自动按年延续。顺延 期间，任何一方有权提出终止本合同，但须提前30天以书面形式通知对方，否则仍 需履行相应的法律责任</w:t>
      </w:r>
    </w:p>
    <w:p w14:paraId="463E45FD">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4. 为了保证日常业务联系的信息交流的畅通，各方安排业务联系人如下：</w:t>
      </w:r>
    </w:p>
    <w:p w14:paraId="0FE7E11D">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firstLine="504" w:firstLineChars="20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甲方联系人：</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lang w:eastAsia="zh-CN"/>
        </w:rPr>
        <w:t xml:space="preserve">                     </w:t>
      </w:r>
    </w:p>
    <w:p w14:paraId="0F3247A9">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部门：</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lang w:eastAsia="zh-CN"/>
        </w:rPr>
        <w:t xml:space="preserve">                         </w:t>
      </w:r>
    </w:p>
    <w:p w14:paraId="36DCC699">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联系电话：</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lang w:eastAsia="zh-CN"/>
        </w:rPr>
        <w:t xml:space="preserve">                         </w:t>
      </w:r>
    </w:p>
    <w:p w14:paraId="4DD22324">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乙方联系人：</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lang w:eastAsia="zh-CN"/>
        </w:rPr>
        <w:t xml:space="preserve">    </w:t>
      </w:r>
    </w:p>
    <w:p w14:paraId="3E723C7E">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 xml:space="preserve">部 门 ：  </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lang w:eastAsia="zh-CN"/>
        </w:rPr>
        <w:t xml:space="preserve">                      </w:t>
      </w:r>
    </w:p>
    <w:p w14:paraId="0186C528">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联系电话：</w:t>
      </w:r>
      <w:r>
        <w:rPr>
          <w:rFonts w:hint="eastAsia" w:ascii="宋体" w:hAnsi="宋体" w:eastAsia="宋体" w:cs="宋体"/>
          <w:spacing w:val="6"/>
          <w:sz w:val="24"/>
          <w:szCs w:val="24"/>
          <w:u w:val="single"/>
          <w:lang w:val="en-US" w:eastAsia="zh-CN"/>
        </w:rPr>
        <w:t xml:space="preserve">                         </w:t>
      </w:r>
      <w:r>
        <w:rPr>
          <w:rFonts w:hint="eastAsia" w:ascii="宋体" w:hAnsi="宋体" w:eastAsia="宋体" w:cs="宋体"/>
          <w:spacing w:val="6"/>
          <w:sz w:val="24"/>
          <w:szCs w:val="24"/>
          <w:lang w:eastAsia="zh-CN"/>
        </w:rPr>
        <w:t xml:space="preserve">  </w:t>
      </w:r>
    </w:p>
    <w:p w14:paraId="377BB35F">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jc w:val="center"/>
        <w:textAlignment w:val="baseline"/>
        <w:rPr>
          <w:rFonts w:hint="eastAsia" w:ascii="宋体" w:hAnsi="宋体" w:eastAsia="宋体" w:cs="宋体"/>
          <w:spacing w:val="6"/>
          <w:sz w:val="24"/>
          <w:szCs w:val="24"/>
          <w:lang w:eastAsia="zh-CN"/>
        </w:rPr>
      </w:pPr>
      <w:r>
        <w:rPr>
          <w:rFonts w:hint="eastAsia" w:ascii="宋体" w:hAnsi="宋体" w:eastAsia="宋体" w:cs="宋体"/>
          <w:b/>
          <w:bCs/>
          <w:spacing w:val="6"/>
          <w:sz w:val="24"/>
          <w:szCs w:val="24"/>
          <w:lang w:eastAsia="zh-CN"/>
        </w:rPr>
        <w:t>签字页</w:t>
      </w:r>
    </w:p>
    <w:tbl>
      <w:tblPr>
        <w:tblStyle w:val="62"/>
        <w:tblW w:w="7284" w:type="dxa"/>
        <w:tblInd w:w="29"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505"/>
        <w:gridCol w:w="3779"/>
      </w:tblGrid>
      <w:tr w14:paraId="4F16581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367" w:hRule="atLeast"/>
        </w:trPr>
        <w:tc>
          <w:tcPr>
            <w:tcW w:w="3505" w:type="dxa"/>
            <w:vAlign w:val="top"/>
          </w:tcPr>
          <w:p w14:paraId="2F68385A">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eastAsia="zh-CN"/>
              </w:rPr>
              <w:t>甲方 ：</w:t>
            </w:r>
            <w:r>
              <w:rPr>
                <w:rFonts w:hint="eastAsia" w:ascii="宋体" w:hAnsi="宋体" w:eastAsia="宋体" w:cs="宋体"/>
                <w:spacing w:val="6"/>
                <w:sz w:val="24"/>
                <w:szCs w:val="24"/>
                <w:lang w:val="en-US" w:eastAsia="zh-CN"/>
              </w:rPr>
              <w:t xml:space="preserve">       </w:t>
            </w:r>
          </w:p>
          <w:p w14:paraId="385A7100">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(盖章)</w:t>
            </w:r>
            <w:r>
              <w:rPr>
                <w:rFonts w:hint="eastAsia" w:ascii="宋体" w:hAnsi="宋体" w:eastAsia="宋体" w:cs="宋体"/>
                <w:spacing w:val="6"/>
                <w:sz w:val="24"/>
                <w:szCs w:val="24"/>
                <w:lang w:val="en-US" w:eastAsia="zh-CN"/>
              </w:rPr>
              <w:t xml:space="preserve"> </w:t>
            </w:r>
          </w:p>
          <w:p w14:paraId="2D62E1A4">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地址 ：</w:t>
            </w:r>
          </w:p>
          <w:p w14:paraId="43C36154">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法定代表人：</w:t>
            </w:r>
          </w:p>
        </w:tc>
        <w:tc>
          <w:tcPr>
            <w:tcW w:w="3779" w:type="dxa"/>
            <w:vAlign w:val="top"/>
          </w:tcPr>
          <w:p w14:paraId="03BF0527">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firstLine="756" w:firstLineChars="30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乙方 ：</w:t>
            </w:r>
          </w:p>
          <w:p w14:paraId="2CD91607">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firstLine="756" w:firstLineChars="30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(盖章)</w:t>
            </w:r>
          </w:p>
          <w:p w14:paraId="0E050E21">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firstLine="756" w:firstLineChars="30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地址 ：</w:t>
            </w:r>
          </w:p>
          <w:p w14:paraId="28A35802">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firstLine="756" w:firstLineChars="30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法定代表人：</w:t>
            </w:r>
          </w:p>
        </w:tc>
      </w:tr>
      <w:tr w14:paraId="3D68226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580" w:hRule="atLeast"/>
        </w:trPr>
        <w:tc>
          <w:tcPr>
            <w:tcW w:w="3505" w:type="dxa"/>
            <w:vAlign w:val="top"/>
          </w:tcPr>
          <w:p w14:paraId="3BEEDED7">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或授权代表： (签字)</w:t>
            </w:r>
          </w:p>
          <w:p w14:paraId="71164874">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联系电话：</w:t>
            </w:r>
          </w:p>
        </w:tc>
        <w:tc>
          <w:tcPr>
            <w:tcW w:w="3779" w:type="dxa"/>
            <w:vAlign w:val="top"/>
          </w:tcPr>
          <w:p w14:paraId="082AB509">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firstLine="1260" w:firstLineChars="50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或授权代表： (签字)</w:t>
            </w:r>
          </w:p>
          <w:p w14:paraId="01BB00F9">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firstLine="756" w:firstLineChars="30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联系电话：</w:t>
            </w:r>
          </w:p>
        </w:tc>
      </w:tr>
      <w:tr w14:paraId="3B41B6D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14" w:hRule="atLeast"/>
        </w:trPr>
        <w:tc>
          <w:tcPr>
            <w:tcW w:w="3505" w:type="dxa"/>
            <w:vAlign w:val="top"/>
          </w:tcPr>
          <w:p w14:paraId="563593F3">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日期：2025年  月  日</w:t>
            </w:r>
          </w:p>
        </w:tc>
        <w:tc>
          <w:tcPr>
            <w:tcW w:w="3779" w:type="dxa"/>
            <w:vAlign w:val="top"/>
          </w:tcPr>
          <w:p w14:paraId="400DEDCA">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firstLine="756" w:firstLineChars="30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t>日期：2025年   月    日</w:t>
            </w:r>
          </w:p>
        </w:tc>
      </w:tr>
    </w:tbl>
    <w:p w14:paraId="3D10DC64">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textAlignment w:val="baseline"/>
        <w:rPr>
          <w:rFonts w:hint="eastAsia" w:ascii="宋体" w:hAnsi="宋体" w:eastAsia="宋体" w:cs="宋体"/>
          <w:b/>
          <w:bCs/>
          <w:spacing w:val="6"/>
          <w:sz w:val="24"/>
          <w:szCs w:val="24"/>
          <w:lang w:eastAsia="zh-CN"/>
        </w:rPr>
      </w:pPr>
    </w:p>
    <w:p w14:paraId="2E33DFA9">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textAlignment w:val="baseline"/>
        <w:rPr>
          <w:rFonts w:ascii="宋体" w:hAnsi="宋体" w:eastAsia="宋体" w:cs="宋体"/>
          <w:b/>
          <w:bCs/>
          <w:spacing w:val="6"/>
          <w:sz w:val="24"/>
          <w:szCs w:val="24"/>
        </w:rPr>
      </w:pPr>
      <w:r>
        <w:rPr>
          <w:rFonts w:hint="eastAsia" w:ascii="宋体" w:hAnsi="宋体" w:eastAsia="宋体" w:cs="宋体"/>
          <w:b/>
          <w:bCs/>
          <w:spacing w:val="6"/>
          <w:sz w:val="24"/>
          <w:szCs w:val="24"/>
          <w:lang w:eastAsia="zh-CN"/>
        </w:rPr>
        <w:t>注：本合同为简易版本，仅作为参考，使用过程中，请结合具体项目，充实细化</w:t>
      </w:r>
      <w:r>
        <w:rPr>
          <w:rFonts w:ascii="宋体" w:hAnsi="宋体" w:eastAsia="宋体" w:cs="宋体"/>
          <w:b/>
          <w:bCs/>
          <w:spacing w:val="6"/>
          <w:sz w:val="24"/>
          <w:szCs w:val="24"/>
        </w:rPr>
        <w:t>。</w:t>
      </w:r>
    </w:p>
    <w:p w14:paraId="0B761AC0">
      <w:pPr>
        <w:pStyle w:val="10"/>
        <w:keepNext w:val="0"/>
        <w:keepLines w:val="0"/>
        <w:pageBreakBefore w:val="0"/>
        <w:widowControl/>
        <w:kinsoku w:val="0"/>
        <w:wordWrap/>
        <w:overflowPunct/>
        <w:topLinePunct w:val="0"/>
        <w:autoSpaceDE w:val="0"/>
        <w:autoSpaceDN w:val="0"/>
        <w:bidi w:val="0"/>
        <w:adjustRightInd w:val="0"/>
        <w:snapToGrid w:val="0"/>
        <w:spacing w:before="248" w:line="360" w:lineRule="auto"/>
        <w:ind w:left="476"/>
        <w:textAlignment w:val="baseline"/>
        <w:rPr>
          <w:rFonts w:hint="eastAsia" w:ascii="宋体" w:hAnsi="宋体" w:eastAsia="宋体" w:cs="宋体"/>
          <w:b/>
          <w:bCs/>
          <w:spacing w:val="6"/>
          <w:sz w:val="24"/>
          <w:szCs w:val="24"/>
          <w:lang w:eastAsia="zh-CN"/>
        </w:rPr>
        <w:sectPr>
          <w:headerReference r:id="rId9" w:type="default"/>
          <w:footerReference r:id="rId10" w:type="default"/>
          <w:pgSz w:w="11900" w:h="16830"/>
          <w:pgMar w:top="400" w:right="1334" w:bottom="883" w:left="1390" w:header="0" w:footer="636" w:gutter="0"/>
          <w:pgNumType w:fmt="numberInDash"/>
          <w:cols w:space="720" w:num="1"/>
        </w:sectPr>
      </w:pPr>
    </w:p>
    <w:p w14:paraId="43ECDED5">
      <w:pPr>
        <w:pStyle w:val="2"/>
      </w:pPr>
      <w:r>
        <w:rPr>
          <w:rFonts w:hint="eastAsia"/>
          <w:sz w:val="32"/>
          <w:szCs w:val="32"/>
        </w:rPr>
        <w:t>第六章  投标文件构成及格式</w:t>
      </w:r>
      <w:bookmarkEnd w:id="171"/>
    </w:p>
    <w:p w14:paraId="234D7564">
      <w:pPr>
        <w:spacing w:line="500" w:lineRule="exact"/>
        <w:rPr>
          <w:rFonts w:ascii="仿宋" w:hAnsi="仿宋" w:eastAsia="仿宋"/>
        </w:rPr>
      </w:pPr>
    </w:p>
    <w:p w14:paraId="6E85C0EB">
      <w:pPr>
        <w:pStyle w:val="17"/>
        <w:spacing w:line="500" w:lineRule="exact"/>
        <w:rPr>
          <w:rFonts w:ascii="仿宋" w:hAnsi="仿宋" w:eastAsia="仿宋" w:cs="Times New Roman"/>
        </w:rPr>
      </w:pPr>
    </w:p>
    <w:tbl>
      <w:tblPr>
        <w:tblStyle w:val="21"/>
        <w:tblW w:w="8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3B1A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8190" w:type="dxa"/>
          </w:tcPr>
          <w:p w14:paraId="0B276971">
            <w:pPr>
              <w:spacing w:line="288" w:lineRule="auto"/>
              <w:rPr>
                <w:rFonts w:hAnsi="宋体" w:cs="宋体"/>
                <w:sz w:val="21"/>
                <w:szCs w:val="21"/>
              </w:rPr>
            </w:pPr>
            <w:r>
              <w:rPr>
                <w:rFonts w:hint="eastAsia" w:hAnsi="宋体" w:cs="宋体"/>
                <w:sz w:val="21"/>
                <w:szCs w:val="21"/>
              </w:rPr>
              <w:t xml:space="preserve">注释： </w:t>
            </w:r>
          </w:p>
          <w:p w14:paraId="2D5F129F">
            <w:pPr>
              <w:spacing w:line="288" w:lineRule="auto"/>
              <w:ind w:firstLine="420" w:firstLineChars="200"/>
              <w:rPr>
                <w:rFonts w:hAnsi="宋体" w:cs="宋体"/>
                <w:sz w:val="21"/>
                <w:szCs w:val="21"/>
              </w:rPr>
            </w:pPr>
            <w:r>
              <w:rPr>
                <w:rFonts w:hint="eastAsia" w:hAnsi="宋体" w:cs="宋体"/>
                <w:sz w:val="21"/>
                <w:szCs w:val="21"/>
              </w:rPr>
              <w:t>1.本章分为六部分，是为方便投标人制作投标文件设计。第一、二、三、四、五部分应按要求或给定格式填报。</w:t>
            </w:r>
          </w:p>
          <w:p w14:paraId="49B06FEA">
            <w:pPr>
              <w:spacing w:line="288" w:lineRule="auto"/>
              <w:ind w:firstLine="420" w:firstLineChars="200"/>
              <w:rPr>
                <w:rFonts w:hAnsi="宋体" w:cs="宋体"/>
                <w:sz w:val="21"/>
                <w:szCs w:val="21"/>
              </w:rPr>
            </w:pPr>
            <w:r>
              <w:rPr>
                <w:rFonts w:hint="eastAsia" w:hAnsi="宋体" w:cs="宋体"/>
                <w:sz w:val="21"/>
                <w:szCs w:val="21"/>
              </w:rPr>
              <w:t>2.第六部分投标响应方案部分格式仅供参考，投标人应根据项目特点，结合本次采购要求，对有关表格进行补充或修改。但不得对实质性文件的相关条款做出变动。</w:t>
            </w:r>
          </w:p>
        </w:tc>
      </w:tr>
    </w:tbl>
    <w:p w14:paraId="24696FC8">
      <w:r>
        <w:br w:type="page"/>
      </w:r>
    </w:p>
    <w:p w14:paraId="56E00F1E">
      <w:pPr>
        <w:keepNext/>
        <w:keepLines/>
        <w:spacing w:line="288" w:lineRule="auto"/>
        <w:jc w:val="center"/>
        <w:rPr>
          <w:b/>
          <w:bCs/>
          <w:sz w:val="21"/>
          <w:szCs w:val="16"/>
        </w:rPr>
      </w:pPr>
      <w:bookmarkStart w:id="172" w:name="_Toc13182"/>
    </w:p>
    <w:p w14:paraId="6AF809C2">
      <w:pPr>
        <w:keepNext/>
        <w:keepLines/>
        <w:spacing w:line="288" w:lineRule="auto"/>
        <w:jc w:val="center"/>
        <w:rPr>
          <w:b/>
          <w:bCs/>
          <w:sz w:val="21"/>
          <w:szCs w:val="16"/>
        </w:rPr>
      </w:pPr>
      <w:r>
        <w:rPr>
          <w:b/>
          <w:bCs/>
          <w:sz w:val="21"/>
          <w:szCs w:val="16"/>
        </w:rPr>
        <w:t>封面及目录格式</w:t>
      </w:r>
      <w:bookmarkEnd w:id="172"/>
    </w:p>
    <w:p w14:paraId="28CB2EC8">
      <w:pPr>
        <w:pStyle w:val="42"/>
        <w:ind w:firstLine="0" w:firstLineChars="0"/>
        <w:rPr>
          <w:rFonts w:hint="eastAsia" w:hAnsi="宋体" w:cs="宋体"/>
          <w:b/>
          <w:bCs/>
          <w:color w:val="auto"/>
          <w:sz w:val="32"/>
          <w:szCs w:val="32"/>
          <w:highlight w:val="none"/>
          <w:shd w:val="clear" w:color="auto" w:fill="auto"/>
          <w:lang w:val="en-US" w:eastAsia="zh-CN"/>
        </w:rPr>
      </w:pPr>
      <w:r>
        <w:rPr>
          <w:rFonts w:hint="eastAsia" w:hAnsi="宋体" w:cs="宋体"/>
          <w:b/>
          <w:bCs/>
          <w:sz w:val="28"/>
          <w:szCs w:val="28"/>
        </w:rPr>
        <w:t>项目编号：</w:t>
      </w:r>
      <w:r>
        <w:rPr>
          <w:rFonts w:hint="eastAsia" w:hAnsi="宋体" w:cs="宋体"/>
          <w:b/>
          <w:bCs/>
          <w:color w:val="auto"/>
          <w:sz w:val="32"/>
          <w:szCs w:val="32"/>
          <w:highlight w:val="none"/>
          <w:shd w:val="clear" w:color="auto" w:fill="auto"/>
          <w:lang w:eastAsia="zh-CN"/>
        </w:rPr>
        <w:t>YLHB-2025-039</w:t>
      </w:r>
    </w:p>
    <w:p w14:paraId="62114C9C">
      <w:pPr>
        <w:pStyle w:val="42"/>
        <w:ind w:firstLine="0" w:firstLineChars="0"/>
        <w:jc w:val="center"/>
        <w:rPr>
          <w:rFonts w:hint="eastAsia" w:hAnsi="宋体" w:cs="宋体"/>
          <w:b/>
          <w:bCs/>
          <w:color w:val="auto"/>
          <w:sz w:val="72"/>
          <w:szCs w:val="72"/>
          <w:highlight w:val="none"/>
          <w:shd w:val="clear" w:color="auto" w:fill="auto"/>
          <w:lang w:val="en-US" w:eastAsia="zh-CN"/>
        </w:rPr>
      </w:pPr>
    </w:p>
    <w:p w14:paraId="69019A56">
      <w:pPr>
        <w:pStyle w:val="42"/>
        <w:ind w:firstLine="0" w:firstLineChars="0"/>
        <w:jc w:val="center"/>
        <w:rPr>
          <w:rFonts w:hint="eastAsia" w:hAnsi="宋体" w:cs="宋体"/>
          <w:b/>
          <w:bCs/>
          <w:color w:val="auto"/>
          <w:sz w:val="72"/>
          <w:szCs w:val="72"/>
          <w:highlight w:val="none"/>
          <w:shd w:val="clear" w:color="auto" w:fill="auto"/>
          <w:lang w:val="en-US" w:eastAsia="zh-CN"/>
        </w:rPr>
      </w:pPr>
      <w:r>
        <w:rPr>
          <w:rFonts w:hint="eastAsia" w:hAnsi="宋体" w:cs="宋体"/>
          <w:b/>
          <w:bCs/>
          <w:color w:val="auto"/>
          <w:sz w:val="72"/>
          <w:szCs w:val="72"/>
          <w:highlight w:val="none"/>
          <w:shd w:val="clear" w:color="auto" w:fill="auto"/>
          <w:lang w:val="en-US" w:eastAsia="zh-CN"/>
        </w:rPr>
        <w:t>榆林市综合交通信息服务平台建设（一期）工程项目</w:t>
      </w:r>
    </w:p>
    <w:p w14:paraId="1B59E314">
      <w:pPr>
        <w:pStyle w:val="42"/>
        <w:ind w:firstLine="0" w:firstLineChars="0"/>
        <w:jc w:val="center"/>
        <w:rPr>
          <w:rFonts w:hint="default" w:hAnsi="宋体" w:eastAsia="宋体" w:cs="宋体"/>
          <w:b/>
          <w:bCs/>
          <w:sz w:val="72"/>
          <w:szCs w:val="72"/>
          <w:lang w:val="en-US" w:eastAsia="zh-CN"/>
        </w:rPr>
      </w:pPr>
      <w:r>
        <w:rPr>
          <w:rFonts w:hint="eastAsia" w:hAnsi="宋体" w:cs="宋体"/>
          <w:b/>
          <w:bCs/>
          <w:color w:val="auto"/>
          <w:sz w:val="72"/>
          <w:szCs w:val="72"/>
          <w:highlight w:val="none"/>
          <w:shd w:val="clear" w:color="auto" w:fill="auto"/>
          <w:lang w:val="en-US" w:eastAsia="zh-CN"/>
        </w:rPr>
        <w:t>管理服务</w:t>
      </w:r>
    </w:p>
    <w:p w14:paraId="7E500DEC">
      <w:pPr>
        <w:pStyle w:val="42"/>
        <w:ind w:firstLine="0" w:firstLineChars="0"/>
        <w:rPr>
          <w:rFonts w:hAnsi="宋体" w:cs="宋体"/>
          <w:sz w:val="28"/>
          <w:szCs w:val="28"/>
        </w:rPr>
      </w:pPr>
    </w:p>
    <w:p w14:paraId="02DB2439">
      <w:pPr>
        <w:jc w:val="both"/>
        <w:rPr>
          <w:rFonts w:hAnsi="宋体" w:cs="宋体"/>
          <w:sz w:val="52"/>
          <w:szCs w:val="52"/>
        </w:rPr>
      </w:pPr>
    </w:p>
    <w:p w14:paraId="75024C35">
      <w:pPr>
        <w:pStyle w:val="10"/>
      </w:pPr>
    </w:p>
    <w:p w14:paraId="18B7EE7B">
      <w:pPr>
        <w:jc w:val="center"/>
        <w:rPr>
          <w:b/>
          <w:bCs/>
          <w:sz w:val="32"/>
          <w:szCs w:val="22"/>
        </w:rPr>
      </w:pPr>
      <w:r>
        <w:rPr>
          <w:rFonts w:hint="eastAsia" w:hAnsi="宋体" w:cs="宋体"/>
          <w:b/>
          <w:bCs/>
          <w:sz w:val="96"/>
          <w:szCs w:val="96"/>
        </w:rPr>
        <w:t>投标文件</w:t>
      </w:r>
    </w:p>
    <w:p w14:paraId="3830BF1B">
      <w:pPr>
        <w:pStyle w:val="42"/>
        <w:ind w:firstLine="0" w:firstLineChars="0"/>
        <w:rPr>
          <w:rFonts w:hAnsi="宋体" w:cs="宋体"/>
          <w:sz w:val="28"/>
          <w:szCs w:val="28"/>
        </w:rPr>
      </w:pPr>
    </w:p>
    <w:p w14:paraId="112911C7">
      <w:pPr>
        <w:pStyle w:val="42"/>
        <w:ind w:firstLine="560"/>
        <w:rPr>
          <w:rFonts w:hAnsi="宋体" w:cs="宋体"/>
          <w:sz w:val="28"/>
          <w:szCs w:val="28"/>
        </w:rPr>
      </w:pPr>
    </w:p>
    <w:p w14:paraId="4581D046">
      <w:pPr>
        <w:pStyle w:val="42"/>
        <w:ind w:firstLine="1400" w:firstLineChars="500"/>
        <w:rPr>
          <w:rFonts w:hint="eastAsia" w:hAnsi="宋体" w:cs="宋体"/>
          <w:sz w:val="28"/>
          <w:szCs w:val="28"/>
        </w:rPr>
      </w:pPr>
    </w:p>
    <w:p w14:paraId="70673BF4">
      <w:pPr>
        <w:pStyle w:val="42"/>
        <w:ind w:firstLine="1400" w:firstLineChars="500"/>
        <w:rPr>
          <w:rFonts w:hAnsi="宋体" w:cs="宋体"/>
          <w:sz w:val="28"/>
          <w:szCs w:val="28"/>
        </w:rPr>
      </w:pPr>
      <w:r>
        <w:rPr>
          <w:rFonts w:hint="eastAsia" w:hAnsi="宋体" w:cs="宋体"/>
          <w:sz w:val="28"/>
          <w:szCs w:val="28"/>
        </w:rPr>
        <w:t>投标人全称：</w:t>
      </w:r>
      <w:r>
        <w:rPr>
          <w:rFonts w:hint="eastAsia" w:hAnsi="宋体" w:cs="宋体"/>
          <w:sz w:val="28"/>
          <w:szCs w:val="28"/>
          <w:u w:val="single"/>
        </w:rPr>
        <w:t xml:space="preserve">                        </w:t>
      </w:r>
      <w:r>
        <w:rPr>
          <w:rFonts w:hint="eastAsia" w:hAnsi="宋体" w:cs="宋体"/>
          <w:sz w:val="28"/>
          <w:szCs w:val="28"/>
        </w:rPr>
        <w:t>（盖章）</w:t>
      </w:r>
    </w:p>
    <w:p w14:paraId="2C2E6FD4">
      <w:pPr>
        <w:pStyle w:val="10"/>
        <w:ind w:firstLine="1400" w:firstLineChars="500"/>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 xml:space="preserve">（签章）       </w:t>
      </w:r>
    </w:p>
    <w:p w14:paraId="1FCCE3E2">
      <w:pPr>
        <w:pStyle w:val="10"/>
        <w:ind w:firstLine="1400" w:firstLineChars="500"/>
        <w:rPr>
          <w:rFonts w:ascii="宋体" w:hAnsi="宋体" w:cs="宋体"/>
          <w:sz w:val="28"/>
          <w:szCs w:val="28"/>
        </w:rPr>
      </w:pPr>
      <w:r>
        <w:rPr>
          <w:rFonts w:hint="eastAsia" w:ascii="宋体" w:hAnsi="宋体" w:cs="宋体"/>
          <w:sz w:val="28"/>
          <w:szCs w:val="28"/>
        </w:rPr>
        <w:t>日    期：     年     月     日</w:t>
      </w:r>
      <w:r>
        <w:rPr>
          <w:rFonts w:hint="eastAsia" w:hAnsi="宋体" w:cs="宋体"/>
          <w:sz w:val="28"/>
          <w:szCs w:val="28"/>
        </w:rPr>
        <w:br w:type="page"/>
      </w:r>
    </w:p>
    <w:p w14:paraId="659FF84A">
      <w:pPr>
        <w:pStyle w:val="42"/>
        <w:ind w:firstLine="0" w:firstLineChars="0"/>
        <w:jc w:val="center"/>
        <w:rPr>
          <w:rFonts w:hAnsi="宋体" w:cs="宋体"/>
          <w:b/>
          <w:szCs w:val="24"/>
        </w:rPr>
      </w:pPr>
    </w:p>
    <w:p w14:paraId="711CD464">
      <w:pPr>
        <w:pStyle w:val="42"/>
        <w:ind w:firstLine="0" w:firstLineChars="0"/>
        <w:jc w:val="center"/>
        <w:rPr>
          <w:rFonts w:hAnsi="宋体" w:cs="宋体"/>
          <w:b/>
          <w:sz w:val="21"/>
          <w:szCs w:val="21"/>
        </w:rPr>
      </w:pPr>
      <w:r>
        <w:rPr>
          <w:rFonts w:hint="eastAsia" w:hAnsi="宋体" w:cs="宋体"/>
          <w:b/>
          <w:sz w:val="32"/>
          <w:szCs w:val="32"/>
        </w:rPr>
        <w:t>目 录</w:t>
      </w:r>
    </w:p>
    <w:p w14:paraId="67D3AE3C">
      <w:pPr>
        <w:tabs>
          <w:tab w:val="right" w:leader="hyphen" w:pos="9120"/>
        </w:tabs>
        <w:spacing w:line="480" w:lineRule="auto"/>
        <w:ind w:right="720" w:rightChars="300"/>
        <w:rPr>
          <w:rFonts w:hAnsi="宋体" w:cs="宋体"/>
          <w:sz w:val="24"/>
          <w:szCs w:val="24"/>
        </w:rPr>
      </w:pPr>
      <w:r>
        <w:rPr>
          <w:rFonts w:hint="eastAsia" w:hAnsi="宋体" w:cs="宋体"/>
          <w:sz w:val="24"/>
          <w:szCs w:val="24"/>
        </w:rPr>
        <w:t>第一部分  投标函</w:t>
      </w:r>
      <w:r>
        <w:rPr>
          <w:rFonts w:hint="eastAsia" w:hAnsi="宋体" w:cs="宋体"/>
          <w:sz w:val="24"/>
          <w:szCs w:val="24"/>
        </w:rPr>
        <w:tab/>
      </w:r>
      <w:r>
        <w:rPr>
          <w:rFonts w:hint="eastAsia" w:hAnsi="宋体" w:cs="宋体"/>
          <w:sz w:val="24"/>
          <w:szCs w:val="24"/>
        </w:rPr>
        <w:t>X</w:t>
      </w:r>
    </w:p>
    <w:p w14:paraId="1D5F5342">
      <w:pPr>
        <w:tabs>
          <w:tab w:val="right" w:leader="hyphen" w:pos="9120"/>
        </w:tabs>
        <w:spacing w:line="480" w:lineRule="auto"/>
        <w:ind w:right="720" w:rightChars="300"/>
        <w:rPr>
          <w:rFonts w:hAnsi="宋体" w:cs="宋体"/>
          <w:sz w:val="24"/>
          <w:szCs w:val="24"/>
        </w:rPr>
      </w:pPr>
      <w:r>
        <w:rPr>
          <w:rFonts w:hint="eastAsia" w:hAnsi="宋体" w:cs="宋体"/>
          <w:sz w:val="24"/>
          <w:szCs w:val="24"/>
        </w:rPr>
        <w:t>第二部分  开标一览表</w:t>
      </w:r>
      <w:r>
        <w:rPr>
          <w:rFonts w:hint="eastAsia" w:hAnsi="宋体" w:cs="宋体"/>
          <w:sz w:val="24"/>
          <w:szCs w:val="24"/>
        </w:rPr>
        <w:tab/>
      </w:r>
      <w:r>
        <w:rPr>
          <w:rFonts w:hint="eastAsia" w:hAnsi="宋体" w:cs="宋体"/>
          <w:sz w:val="24"/>
          <w:szCs w:val="24"/>
        </w:rPr>
        <w:t>X</w:t>
      </w:r>
    </w:p>
    <w:p w14:paraId="24F850AD">
      <w:pPr>
        <w:tabs>
          <w:tab w:val="right" w:leader="hyphen" w:pos="9120"/>
        </w:tabs>
        <w:spacing w:line="480" w:lineRule="auto"/>
        <w:ind w:right="720" w:rightChars="300" w:firstLine="720" w:firstLineChars="300"/>
        <w:rPr>
          <w:rFonts w:hAnsi="宋体" w:cs="宋体"/>
          <w:sz w:val="24"/>
          <w:szCs w:val="24"/>
        </w:rPr>
      </w:pPr>
      <w:r>
        <w:rPr>
          <w:rFonts w:hint="eastAsia" w:hAnsi="宋体" w:cs="宋体"/>
          <w:sz w:val="24"/>
          <w:szCs w:val="24"/>
        </w:rPr>
        <w:t>一、开标一览表</w:t>
      </w:r>
      <w:r>
        <w:rPr>
          <w:rFonts w:hint="eastAsia" w:hAnsi="宋体" w:cs="宋体"/>
          <w:sz w:val="24"/>
          <w:szCs w:val="24"/>
        </w:rPr>
        <w:tab/>
      </w:r>
      <w:r>
        <w:rPr>
          <w:rFonts w:hint="eastAsia" w:hAnsi="宋体" w:cs="宋体"/>
          <w:sz w:val="24"/>
          <w:szCs w:val="24"/>
        </w:rPr>
        <w:t>X</w:t>
      </w:r>
    </w:p>
    <w:p w14:paraId="77818D13">
      <w:pPr>
        <w:tabs>
          <w:tab w:val="right" w:leader="hyphen" w:pos="9120"/>
        </w:tabs>
        <w:spacing w:line="480" w:lineRule="auto"/>
        <w:ind w:right="720" w:rightChars="300" w:firstLine="720" w:firstLineChars="300"/>
        <w:rPr>
          <w:rFonts w:hAnsi="宋体" w:cs="宋体"/>
          <w:sz w:val="24"/>
          <w:szCs w:val="24"/>
        </w:rPr>
      </w:pPr>
      <w:r>
        <w:rPr>
          <w:rFonts w:hint="eastAsia" w:hAnsi="宋体" w:cs="宋体"/>
          <w:sz w:val="24"/>
          <w:szCs w:val="24"/>
        </w:rPr>
        <w:t>二、分项报价</w:t>
      </w:r>
      <w:r>
        <w:rPr>
          <w:rFonts w:hint="eastAsia" w:hAnsi="宋体" w:cs="宋体"/>
          <w:sz w:val="24"/>
          <w:szCs w:val="24"/>
        </w:rPr>
        <w:tab/>
      </w:r>
      <w:r>
        <w:rPr>
          <w:rFonts w:hint="eastAsia" w:hAnsi="宋体" w:cs="宋体"/>
          <w:sz w:val="24"/>
          <w:szCs w:val="24"/>
        </w:rPr>
        <w:t>X</w:t>
      </w:r>
    </w:p>
    <w:p w14:paraId="6B7174CB">
      <w:pPr>
        <w:tabs>
          <w:tab w:val="right" w:leader="hyphen" w:pos="9120"/>
        </w:tabs>
        <w:spacing w:line="480" w:lineRule="auto"/>
        <w:ind w:right="720" w:rightChars="300"/>
        <w:rPr>
          <w:rFonts w:hAnsi="宋体" w:cs="宋体"/>
          <w:sz w:val="24"/>
          <w:szCs w:val="24"/>
        </w:rPr>
      </w:pPr>
      <w:r>
        <w:rPr>
          <w:rFonts w:hint="eastAsia" w:hAnsi="宋体" w:cs="宋体"/>
          <w:sz w:val="24"/>
          <w:szCs w:val="24"/>
        </w:rPr>
        <w:t>第三部分  资格证明文件</w:t>
      </w:r>
      <w:r>
        <w:rPr>
          <w:rFonts w:hint="eastAsia" w:hAnsi="宋体" w:cs="宋体"/>
          <w:sz w:val="24"/>
          <w:szCs w:val="24"/>
        </w:rPr>
        <w:tab/>
      </w:r>
      <w:r>
        <w:rPr>
          <w:rFonts w:hint="eastAsia" w:hAnsi="宋体" w:cs="宋体"/>
          <w:sz w:val="24"/>
          <w:szCs w:val="24"/>
        </w:rPr>
        <w:t>X</w:t>
      </w:r>
    </w:p>
    <w:p w14:paraId="57A3A06D">
      <w:pPr>
        <w:tabs>
          <w:tab w:val="right" w:leader="hyphen" w:pos="9120"/>
        </w:tabs>
        <w:spacing w:line="480" w:lineRule="auto"/>
        <w:ind w:right="720" w:rightChars="300"/>
        <w:rPr>
          <w:rFonts w:hAnsi="宋体" w:cs="宋体"/>
          <w:sz w:val="24"/>
          <w:szCs w:val="24"/>
        </w:rPr>
      </w:pPr>
      <w:r>
        <w:rPr>
          <w:rFonts w:hint="eastAsia" w:hAnsi="宋体" w:cs="宋体"/>
          <w:sz w:val="24"/>
          <w:szCs w:val="24"/>
        </w:rPr>
        <w:t>第四部分  投标人基本信息及其概况</w:t>
      </w:r>
      <w:r>
        <w:rPr>
          <w:rFonts w:hint="eastAsia" w:hAnsi="宋体" w:cs="宋体"/>
          <w:sz w:val="24"/>
          <w:szCs w:val="24"/>
        </w:rPr>
        <w:tab/>
      </w:r>
      <w:r>
        <w:rPr>
          <w:rFonts w:hint="eastAsia" w:hAnsi="宋体" w:cs="宋体"/>
          <w:sz w:val="24"/>
          <w:szCs w:val="24"/>
        </w:rPr>
        <w:t>X</w:t>
      </w:r>
    </w:p>
    <w:p w14:paraId="55FBA0C7">
      <w:pPr>
        <w:tabs>
          <w:tab w:val="right" w:leader="hyphen" w:pos="9120"/>
        </w:tabs>
        <w:spacing w:line="480" w:lineRule="auto"/>
        <w:ind w:right="720" w:rightChars="300" w:firstLine="720" w:firstLineChars="300"/>
        <w:rPr>
          <w:rFonts w:hAnsi="宋体" w:cs="宋体"/>
          <w:sz w:val="24"/>
          <w:szCs w:val="24"/>
        </w:rPr>
      </w:pPr>
      <w:r>
        <w:rPr>
          <w:rFonts w:hint="eastAsia" w:hAnsi="宋体" w:cs="宋体"/>
          <w:sz w:val="24"/>
          <w:szCs w:val="24"/>
        </w:rPr>
        <w:t>一、投标人基本信息</w:t>
      </w:r>
      <w:r>
        <w:rPr>
          <w:rFonts w:hint="eastAsia" w:hAnsi="宋体" w:cs="宋体"/>
          <w:sz w:val="24"/>
          <w:szCs w:val="24"/>
        </w:rPr>
        <w:tab/>
      </w:r>
      <w:r>
        <w:rPr>
          <w:rFonts w:hint="eastAsia" w:hAnsi="宋体" w:cs="宋体"/>
          <w:sz w:val="24"/>
          <w:szCs w:val="24"/>
        </w:rPr>
        <w:t>X</w:t>
      </w:r>
    </w:p>
    <w:p w14:paraId="36315957">
      <w:pPr>
        <w:tabs>
          <w:tab w:val="right" w:leader="hyphen" w:pos="9120"/>
        </w:tabs>
        <w:spacing w:line="480" w:lineRule="auto"/>
        <w:ind w:right="720" w:rightChars="300" w:firstLine="720" w:firstLineChars="300"/>
        <w:rPr>
          <w:rFonts w:hAnsi="宋体" w:cs="宋体"/>
          <w:sz w:val="24"/>
          <w:szCs w:val="24"/>
        </w:rPr>
      </w:pPr>
      <w:r>
        <w:rPr>
          <w:rFonts w:hint="eastAsia" w:hAnsi="宋体" w:cs="宋体"/>
          <w:sz w:val="24"/>
          <w:szCs w:val="24"/>
        </w:rPr>
        <w:t>二、</w:t>
      </w:r>
      <w:r>
        <w:rPr>
          <w:rFonts w:hint="eastAsia" w:hAnsi="宋体" w:cs="宋体"/>
          <w:sz w:val="24"/>
          <w:szCs w:val="24"/>
          <w:lang w:val="zh-CN"/>
        </w:rPr>
        <w:t>企业关系关联</w:t>
      </w:r>
      <w:r>
        <w:rPr>
          <w:rFonts w:hint="eastAsia" w:hAnsi="宋体" w:cs="宋体"/>
          <w:sz w:val="24"/>
          <w:szCs w:val="24"/>
        </w:rPr>
        <w:t>说明</w:t>
      </w:r>
      <w:r>
        <w:rPr>
          <w:rFonts w:hint="eastAsia" w:hAnsi="宋体" w:cs="宋体"/>
          <w:sz w:val="24"/>
          <w:szCs w:val="24"/>
        </w:rPr>
        <w:tab/>
      </w:r>
      <w:r>
        <w:rPr>
          <w:rFonts w:hint="eastAsia" w:hAnsi="宋体" w:cs="宋体"/>
          <w:sz w:val="24"/>
          <w:szCs w:val="24"/>
        </w:rPr>
        <w:t>X</w:t>
      </w:r>
    </w:p>
    <w:p w14:paraId="16706478">
      <w:pPr>
        <w:tabs>
          <w:tab w:val="right" w:leader="hyphen" w:pos="9120"/>
        </w:tabs>
        <w:spacing w:line="480" w:lineRule="auto"/>
        <w:ind w:right="720" w:rightChars="300" w:firstLine="720" w:firstLineChars="300"/>
        <w:rPr>
          <w:rFonts w:hAnsi="宋体" w:cs="宋体"/>
          <w:sz w:val="24"/>
          <w:szCs w:val="24"/>
        </w:rPr>
      </w:pPr>
      <w:r>
        <w:rPr>
          <w:rFonts w:hint="eastAsia" w:hAnsi="宋体" w:cs="宋体"/>
          <w:sz w:val="24"/>
          <w:szCs w:val="24"/>
        </w:rPr>
        <w:t>三、投标人性质</w:t>
      </w:r>
      <w:r>
        <w:rPr>
          <w:rFonts w:hint="eastAsia" w:hAnsi="宋体" w:cs="宋体"/>
          <w:sz w:val="24"/>
          <w:szCs w:val="24"/>
        </w:rPr>
        <w:tab/>
      </w:r>
      <w:r>
        <w:rPr>
          <w:rFonts w:hint="eastAsia" w:hAnsi="宋体" w:cs="宋体"/>
          <w:sz w:val="24"/>
          <w:szCs w:val="24"/>
        </w:rPr>
        <w:t>X</w:t>
      </w:r>
    </w:p>
    <w:p w14:paraId="1E33263B">
      <w:pPr>
        <w:tabs>
          <w:tab w:val="right" w:leader="hyphen" w:pos="9120"/>
        </w:tabs>
        <w:spacing w:line="480" w:lineRule="auto"/>
        <w:ind w:right="720" w:rightChars="300"/>
        <w:rPr>
          <w:rFonts w:hAnsi="宋体" w:cs="宋体"/>
          <w:sz w:val="24"/>
          <w:szCs w:val="24"/>
        </w:rPr>
      </w:pPr>
      <w:r>
        <w:rPr>
          <w:rFonts w:hint="eastAsia" w:hAnsi="宋体" w:cs="宋体"/>
          <w:sz w:val="24"/>
          <w:szCs w:val="24"/>
        </w:rPr>
        <w:t>第五部分  投标人参加政府采购活动承诺书</w:t>
      </w:r>
      <w:r>
        <w:rPr>
          <w:rFonts w:hint="eastAsia" w:hAnsi="宋体" w:cs="宋体"/>
          <w:sz w:val="24"/>
          <w:szCs w:val="24"/>
        </w:rPr>
        <w:tab/>
      </w:r>
      <w:r>
        <w:rPr>
          <w:rFonts w:hint="eastAsia" w:hAnsi="宋体" w:cs="宋体"/>
          <w:sz w:val="24"/>
          <w:szCs w:val="24"/>
        </w:rPr>
        <w:t>X</w:t>
      </w:r>
    </w:p>
    <w:p w14:paraId="24328E87">
      <w:pPr>
        <w:tabs>
          <w:tab w:val="right" w:leader="hyphen" w:pos="9120"/>
        </w:tabs>
        <w:spacing w:line="480" w:lineRule="auto"/>
        <w:ind w:right="720" w:rightChars="300"/>
        <w:rPr>
          <w:rFonts w:hAnsi="宋体" w:cs="宋体"/>
          <w:sz w:val="24"/>
          <w:szCs w:val="24"/>
        </w:rPr>
      </w:pPr>
      <w:r>
        <w:rPr>
          <w:rFonts w:hint="eastAsia" w:hAnsi="宋体" w:cs="宋体"/>
          <w:sz w:val="24"/>
          <w:szCs w:val="24"/>
        </w:rPr>
        <w:t>第六部分  投标响应方案</w:t>
      </w:r>
      <w:r>
        <w:rPr>
          <w:rFonts w:hint="eastAsia" w:hAnsi="宋体" w:cs="宋体"/>
          <w:sz w:val="24"/>
          <w:szCs w:val="24"/>
        </w:rPr>
        <w:tab/>
      </w:r>
      <w:r>
        <w:rPr>
          <w:rFonts w:hint="eastAsia" w:hAnsi="宋体" w:cs="宋体"/>
          <w:sz w:val="24"/>
          <w:szCs w:val="24"/>
        </w:rPr>
        <w:t>X</w:t>
      </w:r>
    </w:p>
    <w:p w14:paraId="6E6447B5">
      <w:pPr>
        <w:tabs>
          <w:tab w:val="right" w:leader="hyphen" w:pos="9120"/>
        </w:tabs>
        <w:spacing w:line="480" w:lineRule="auto"/>
        <w:ind w:right="720" w:rightChars="300" w:firstLine="720" w:firstLineChars="300"/>
        <w:rPr>
          <w:rFonts w:hAnsi="宋体" w:cs="宋体"/>
          <w:sz w:val="24"/>
          <w:szCs w:val="24"/>
        </w:rPr>
      </w:pPr>
      <w:r>
        <w:rPr>
          <w:rFonts w:hint="eastAsia" w:hAnsi="宋体" w:cs="宋体"/>
          <w:sz w:val="24"/>
          <w:szCs w:val="24"/>
        </w:rPr>
        <w:t>一、</w:t>
      </w:r>
      <w:r>
        <w:rPr>
          <w:rFonts w:hint="eastAsia" w:hAnsi="宋体" w:cs="宋体"/>
          <w:sz w:val="24"/>
          <w:szCs w:val="24"/>
          <w:lang w:val="en-US" w:eastAsia="zh-CN"/>
        </w:rPr>
        <w:t>商务</w:t>
      </w:r>
      <w:r>
        <w:rPr>
          <w:rFonts w:hint="eastAsia" w:hAnsi="宋体" w:cs="宋体"/>
          <w:sz w:val="24"/>
          <w:szCs w:val="24"/>
        </w:rPr>
        <w:t>偏离表</w:t>
      </w:r>
      <w:r>
        <w:rPr>
          <w:rFonts w:hint="eastAsia" w:hAnsi="宋体" w:cs="宋体"/>
          <w:sz w:val="24"/>
          <w:szCs w:val="24"/>
        </w:rPr>
        <w:tab/>
      </w:r>
      <w:r>
        <w:rPr>
          <w:rFonts w:hint="eastAsia" w:hAnsi="宋体" w:cs="宋体"/>
          <w:sz w:val="24"/>
          <w:szCs w:val="24"/>
        </w:rPr>
        <w:t>X</w:t>
      </w:r>
    </w:p>
    <w:p w14:paraId="1EC996FE">
      <w:pPr>
        <w:tabs>
          <w:tab w:val="right" w:leader="hyphen" w:pos="9120"/>
        </w:tabs>
        <w:spacing w:line="480" w:lineRule="auto"/>
        <w:ind w:right="720" w:rightChars="300" w:firstLine="720" w:firstLineChars="300"/>
        <w:rPr>
          <w:rFonts w:hAnsi="宋体" w:cs="宋体"/>
          <w:sz w:val="24"/>
          <w:szCs w:val="24"/>
        </w:rPr>
      </w:pPr>
      <w:r>
        <w:rPr>
          <w:rFonts w:hint="eastAsia" w:hAnsi="宋体" w:cs="宋体"/>
          <w:sz w:val="24"/>
          <w:szCs w:val="24"/>
          <w:lang w:val="en-US" w:eastAsia="zh-CN"/>
        </w:rPr>
        <w:t>二</w:t>
      </w:r>
      <w:r>
        <w:rPr>
          <w:rFonts w:hint="eastAsia" w:hAnsi="宋体" w:cs="宋体"/>
          <w:sz w:val="24"/>
          <w:szCs w:val="24"/>
        </w:rPr>
        <w:t>、投标方案</w:t>
      </w:r>
      <w:r>
        <w:rPr>
          <w:rFonts w:hint="eastAsia" w:hAnsi="宋体" w:cs="宋体"/>
          <w:sz w:val="24"/>
          <w:szCs w:val="24"/>
        </w:rPr>
        <w:tab/>
      </w:r>
      <w:r>
        <w:rPr>
          <w:rFonts w:hint="eastAsia" w:hAnsi="宋体" w:cs="宋体"/>
          <w:sz w:val="24"/>
          <w:szCs w:val="24"/>
        </w:rPr>
        <w:t>X</w:t>
      </w:r>
    </w:p>
    <w:p w14:paraId="71896910">
      <w:pPr>
        <w:tabs>
          <w:tab w:val="right" w:leader="hyphen" w:pos="9120"/>
        </w:tabs>
        <w:spacing w:line="480" w:lineRule="auto"/>
        <w:ind w:right="720" w:rightChars="300" w:firstLine="720" w:firstLineChars="300"/>
        <w:rPr>
          <w:rFonts w:hAnsi="宋体" w:cs="宋体"/>
          <w:sz w:val="24"/>
          <w:szCs w:val="24"/>
        </w:rPr>
      </w:pPr>
      <w:r>
        <w:rPr>
          <w:rFonts w:hint="eastAsia" w:hAnsi="宋体" w:cs="宋体"/>
          <w:sz w:val="24"/>
          <w:szCs w:val="24"/>
          <w:lang w:val="en-US" w:eastAsia="zh-CN"/>
        </w:rPr>
        <w:t>三</w:t>
      </w:r>
      <w:r>
        <w:rPr>
          <w:rFonts w:hint="eastAsia" w:hAnsi="宋体" w:cs="宋体"/>
          <w:sz w:val="24"/>
          <w:szCs w:val="24"/>
        </w:rPr>
        <w:t>、同类业绩统计样表（仅供参考）</w:t>
      </w:r>
      <w:r>
        <w:rPr>
          <w:rFonts w:hint="eastAsia" w:hAnsi="宋体" w:cs="宋体"/>
          <w:sz w:val="24"/>
          <w:szCs w:val="24"/>
        </w:rPr>
        <w:tab/>
      </w:r>
      <w:r>
        <w:rPr>
          <w:rFonts w:hint="eastAsia" w:hAnsi="宋体" w:cs="宋体"/>
          <w:sz w:val="24"/>
          <w:szCs w:val="24"/>
        </w:rPr>
        <w:t>X</w:t>
      </w:r>
    </w:p>
    <w:p w14:paraId="5B667333">
      <w:pPr>
        <w:tabs>
          <w:tab w:val="right" w:leader="hyphen" w:pos="9120"/>
        </w:tabs>
        <w:spacing w:line="480" w:lineRule="auto"/>
        <w:ind w:right="720" w:rightChars="300" w:firstLine="720" w:firstLineChars="300"/>
        <w:rPr>
          <w:rFonts w:hAnsi="宋体" w:cs="宋体"/>
          <w:sz w:val="24"/>
          <w:szCs w:val="24"/>
        </w:rPr>
      </w:pPr>
      <w:r>
        <w:rPr>
          <w:rFonts w:hint="eastAsia" w:hAnsi="宋体" w:cs="宋体"/>
          <w:sz w:val="24"/>
          <w:szCs w:val="24"/>
          <w:lang w:val="en-US" w:eastAsia="zh-CN"/>
        </w:rPr>
        <w:t>四</w:t>
      </w:r>
      <w:r>
        <w:rPr>
          <w:rFonts w:hint="eastAsia" w:hAnsi="宋体" w:cs="宋体"/>
          <w:sz w:val="24"/>
          <w:szCs w:val="24"/>
        </w:rPr>
        <w:t>、投标人认为有利于成交的其他情况说明</w:t>
      </w:r>
      <w:r>
        <w:rPr>
          <w:rFonts w:hint="eastAsia" w:hAnsi="宋体" w:cs="宋体"/>
          <w:sz w:val="24"/>
          <w:szCs w:val="24"/>
        </w:rPr>
        <w:tab/>
      </w:r>
      <w:r>
        <w:rPr>
          <w:rFonts w:hint="eastAsia" w:hAnsi="宋体" w:cs="宋体"/>
          <w:sz w:val="24"/>
          <w:szCs w:val="24"/>
        </w:rPr>
        <w:t>X</w:t>
      </w:r>
    </w:p>
    <w:p w14:paraId="40478C8F">
      <w:r>
        <w:rPr>
          <w:rFonts w:hint="eastAsia"/>
        </w:rPr>
        <w:br w:type="page"/>
      </w:r>
    </w:p>
    <w:p w14:paraId="04B61C3E">
      <w:pPr>
        <w:jc w:val="center"/>
        <w:outlineLvl w:val="1"/>
        <w:rPr>
          <w:rFonts w:hAnsi="宋体" w:cs="宋体"/>
          <w:b/>
          <w:bCs/>
          <w:sz w:val="21"/>
          <w:szCs w:val="21"/>
        </w:rPr>
      </w:pPr>
      <w:bookmarkStart w:id="173" w:name="_Toc17094"/>
      <w:bookmarkStart w:id="174" w:name="_Toc29110"/>
      <w:bookmarkStart w:id="175" w:name="_Toc5071"/>
      <w:bookmarkStart w:id="176" w:name="_Toc9369"/>
      <w:bookmarkStart w:id="177" w:name="_Toc7762"/>
      <w:bookmarkStart w:id="178" w:name="_Toc22764"/>
      <w:r>
        <w:rPr>
          <w:rFonts w:hint="eastAsia" w:hAnsi="宋体" w:cs="宋体"/>
          <w:b/>
          <w:bCs/>
          <w:sz w:val="32"/>
          <w:szCs w:val="32"/>
        </w:rPr>
        <w:t xml:space="preserve">第一部分 </w:t>
      </w:r>
      <w:bookmarkEnd w:id="173"/>
      <w:bookmarkEnd w:id="174"/>
      <w:bookmarkEnd w:id="175"/>
      <w:bookmarkEnd w:id="176"/>
      <w:bookmarkEnd w:id="177"/>
      <w:bookmarkEnd w:id="178"/>
      <w:r>
        <w:rPr>
          <w:rFonts w:hint="eastAsia" w:hAnsi="宋体" w:cs="宋体"/>
          <w:b/>
          <w:bCs/>
          <w:sz w:val="32"/>
          <w:szCs w:val="32"/>
        </w:rPr>
        <w:t>投标函</w:t>
      </w:r>
      <w:bookmarkStart w:id="179" w:name="_Toc48834189"/>
      <w:bookmarkStart w:id="180" w:name="_Toc20063"/>
      <w:bookmarkStart w:id="181" w:name="_Toc4834"/>
      <w:bookmarkStart w:id="182" w:name="_Toc48834119"/>
      <w:bookmarkStart w:id="183" w:name="_Toc23035"/>
      <w:bookmarkStart w:id="184" w:name="_Toc17687"/>
      <w:bookmarkStart w:id="185" w:name="_Toc1167"/>
      <w:bookmarkStart w:id="186" w:name="_Toc4366"/>
      <w:bookmarkStart w:id="187" w:name="_Toc48834316"/>
    </w:p>
    <w:bookmarkEnd w:id="179"/>
    <w:bookmarkEnd w:id="180"/>
    <w:bookmarkEnd w:id="181"/>
    <w:bookmarkEnd w:id="182"/>
    <w:bookmarkEnd w:id="183"/>
    <w:bookmarkEnd w:id="184"/>
    <w:bookmarkEnd w:id="185"/>
    <w:bookmarkEnd w:id="186"/>
    <w:bookmarkEnd w:id="187"/>
    <w:p w14:paraId="0EEE367D">
      <w:pPr>
        <w:jc w:val="center"/>
        <w:rPr>
          <w:rFonts w:hAnsi="宋体" w:cs="宋体"/>
          <w:b/>
          <w:bCs/>
          <w:sz w:val="21"/>
          <w:szCs w:val="21"/>
        </w:rPr>
      </w:pPr>
    </w:p>
    <w:p w14:paraId="2E4F1F41">
      <w:pPr>
        <w:pStyle w:val="42"/>
        <w:spacing w:line="500" w:lineRule="exact"/>
        <w:ind w:firstLine="0" w:firstLineChars="0"/>
        <w:rPr>
          <w:rFonts w:hAnsi="宋体" w:cs="宋体"/>
          <w:sz w:val="24"/>
          <w:szCs w:val="24"/>
          <w:lang w:val="zh-CN"/>
        </w:rPr>
      </w:pPr>
      <w:r>
        <w:rPr>
          <w:rFonts w:hint="eastAsia" w:hAnsi="宋体" w:cs="宋体"/>
          <w:sz w:val="24"/>
          <w:szCs w:val="24"/>
          <w:lang w:eastAsia="zh-CN"/>
        </w:rPr>
        <w:t>榆林市恒博</w:t>
      </w:r>
      <w:r>
        <w:rPr>
          <w:rFonts w:hint="eastAsia" w:hAnsi="宋体" w:cs="宋体"/>
          <w:sz w:val="24"/>
          <w:szCs w:val="24"/>
          <w:lang w:val="en-US" w:eastAsia="zh-CN"/>
        </w:rPr>
        <w:t>工程</w:t>
      </w:r>
      <w:r>
        <w:rPr>
          <w:rFonts w:hint="eastAsia" w:hAnsi="宋体" w:cs="宋体"/>
          <w:sz w:val="24"/>
          <w:szCs w:val="24"/>
          <w:lang w:eastAsia="zh-CN"/>
        </w:rPr>
        <w:t>咨询有限公司</w:t>
      </w:r>
      <w:r>
        <w:rPr>
          <w:rFonts w:hint="eastAsia" w:hAnsi="宋体" w:cs="宋体"/>
          <w:sz w:val="24"/>
          <w:szCs w:val="24"/>
          <w:lang w:val="zh-CN"/>
        </w:rPr>
        <w:t>：</w:t>
      </w:r>
    </w:p>
    <w:p w14:paraId="6EE9515F">
      <w:pPr>
        <w:spacing w:line="500" w:lineRule="exact"/>
        <w:ind w:right="11" w:firstLine="480" w:firstLineChars="200"/>
        <w:rPr>
          <w:rFonts w:hAnsi="宋体" w:cs="宋体"/>
          <w:sz w:val="24"/>
          <w:szCs w:val="24"/>
        </w:rPr>
      </w:pPr>
      <w:r>
        <w:rPr>
          <w:rFonts w:hint="eastAsia" w:hAnsi="宋体" w:cs="宋体"/>
          <w:sz w:val="24"/>
          <w:szCs w:val="24"/>
        </w:rPr>
        <w:t>我方收到贵公司发布的《</w:t>
      </w:r>
      <w:r>
        <w:rPr>
          <w:rFonts w:hint="eastAsia" w:hAnsi="宋体" w:cs="宋体"/>
          <w:sz w:val="24"/>
          <w:szCs w:val="24"/>
          <w:u w:val="none"/>
        </w:rPr>
        <w:t>项目名称</w:t>
      </w:r>
      <w:r>
        <w:rPr>
          <w:rFonts w:hint="eastAsia" w:hAnsi="宋体" w:cs="宋体"/>
          <w:sz w:val="24"/>
          <w:szCs w:val="24"/>
        </w:rPr>
        <w:t>》（</w:t>
      </w:r>
      <w:r>
        <w:rPr>
          <w:rFonts w:hint="eastAsia" w:hAnsi="宋体" w:cs="宋体"/>
          <w:sz w:val="24"/>
          <w:szCs w:val="24"/>
          <w:u w:val="none"/>
        </w:rPr>
        <w:t>项目编号</w:t>
      </w:r>
      <w:r>
        <w:rPr>
          <w:rFonts w:hint="eastAsia" w:hAnsi="宋体" w:cs="宋体"/>
          <w:sz w:val="24"/>
          <w:szCs w:val="24"/>
        </w:rPr>
        <w:t>）招标文件，经详细研究，我方决定参加该项目招标活动。为此，我方郑重声明以下诸点，并负法律责任。</w:t>
      </w:r>
    </w:p>
    <w:p w14:paraId="325D1B58">
      <w:pPr>
        <w:pStyle w:val="42"/>
        <w:spacing w:line="500" w:lineRule="exact"/>
        <w:ind w:firstLine="420"/>
        <w:rPr>
          <w:rFonts w:hAnsi="宋体" w:cs="宋体"/>
          <w:sz w:val="24"/>
          <w:szCs w:val="24"/>
        </w:rPr>
      </w:pPr>
      <w:r>
        <w:rPr>
          <w:rFonts w:hint="eastAsia" w:hAnsi="宋体" w:cs="宋体"/>
          <w:sz w:val="24"/>
          <w:szCs w:val="24"/>
        </w:rPr>
        <w:t>一、我方已详细阅读了招标文件，完全理解并同意招标文件的所有事项及内容。</w:t>
      </w:r>
    </w:p>
    <w:p w14:paraId="0EB5F9B4">
      <w:pPr>
        <w:pStyle w:val="42"/>
        <w:spacing w:line="500" w:lineRule="exact"/>
        <w:ind w:firstLine="420"/>
        <w:rPr>
          <w:rFonts w:hAnsi="宋体" w:cs="宋体"/>
          <w:sz w:val="24"/>
          <w:szCs w:val="24"/>
        </w:rPr>
      </w:pPr>
      <w:r>
        <w:rPr>
          <w:rFonts w:hint="eastAsia" w:hAnsi="宋体" w:cs="宋体"/>
          <w:sz w:val="24"/>
          <w:szCs w:val="24"/>
        </w:rPr>
        <w:t>二、我方已悉知并关注了贵方在政府采购信息发布媒体上发布的关于本项目的有关变更公告（包括但不限于对招标文件做出的修改或澄清、答疑纪要，以及项目暂停、重启、延期、终止等）。</w:t>
      </w:r>
    </w:p>
    <w:p w14:paraId="7F90746D">
      <w:pPr>
        <w:pStyle w:val="42"/>
        <w:spacing w:line="500" w:lineRule="exact"/>
        <w:ind w:firstLine="420"/>
        <w:rPr>
          <w:rFonts w:hAnsi="宋体" w:cs="宋体"/>
          <w:sz w:val="24"/>
          <w:szCs w:val="24"/>
        </w:rPr>
      </w:pPr>
      <w:r>
        <w:rPr>
          <w:rFonts w:hint="eastAsia" w:hAnsi="宋体" w:cs="宋体"/>
          <w:sz w:val="24"/>
          <w:szCs w:val="24"/>
        </w:rPr>
        <w:t>三、我方同意向贵方提供与本投标有关的任何证明材料，保证所提交的证明材料真实、合法、有效。我</w:t>
      </w:r>
      <w:r>
        <w:rPr>
          <w:rFonts w:hint="eastAsia" w:ascii="宋体" w:hAnsi="宋体" w:eastAsia="宋体" w:cs="宋体"/>
          <w:sz w:val="24"/>
          <w:szCs w:val="24"/>
        </w:rPr>
        <w:t>方理解最低价不</w:t>
      </w:r>
      <w:r>
        <w:rPr>
          <w:rFonts w:hint="eastAsia" w:hAnsi="宋体" w:cs="宋体"/>
          <w:color w:val="auto"/>
          <w:sz w:val="24"/>
          <w:szCs w:val="24"/>
        </w:rPr>
        <w:t>是</w:t>
      </w:r>
      <w:r>
        <w:rPr>
          <w:rFonts w:hint="eastAsia" w:hAnsi="宋体" w:cs="宋体"/>
          <w:sz w:val="24"/>
          <w:szCs w:val="24"/>
        </w:rPr>
        <w:t>中标的唯一条件，并尊重评标委员会的评审结果。</w:t>
      </w:r>
    </w:p>
    <w:p w14:paraId="09CF368F">
      <w:pPr>
        <w:pStyle w:val="42"/>
        <w:spacing w:line="500" w:lineRule="exact"/>
        <w:ind w:firstLine="420"/>
        <w:rPr>
          <w:rFonts w:hAnsi="宋体" w:cs="宋体"/>
          <w:sz w:val="24"/>
          <w:szCs w:val="24"/>
        </w:rPr>
      </w:pPr>
      <w:r>
        <w:rPr>
          <w:rFonts w:hint="eastAsia" w:hAnsi="宋体" w:cs="宋体"/>
          <w:sz w:val="24"/>
          <w:szCs w:val="24"/>
        </w:rPr>
        <w:t>四、我方愿意按照招标文件中的一切要求，完成本项目合同责任和义务。</w:t>
      </w:r>
    </w:p>
    <w:p w14:paraId="42B3DD62">
      <w:pPr>
        <w:pStyle w:val="18"/>
        <w:spacing w:beforeAutospacing="0" w:afterAutospacing="0" w:line="500" w:lineRule="exact"/>
        <w:ind w:firstLine="480" w:firstLineChars="200"/>
        <w:jc w:val="both"/>
        <w:rPr>
          <w:rFonts w:hAnsi="宋体" w:cs="宋体"/>
          <w:kern w:val="2"/>
          <w:sz w:val="24"/>
          <w:szCs w:val="24"/>
        </w:rPr>
      </w:pPr>
      <w:r>
        <w:rPr>
          <w:rFonts w:hint="eastAsia" w:hAnsi="宋体" w:cs="宋体"/>
          <w:kern w:val="2"/>
          <w:sz w:val="24"/>
          <w:szCs w:val="24"/>
        </w:rPr>
        <w:t>五、我方</w:t>
      </w:r>
      <w:r>
        <w:rPr>
          <w:rFonts w:hint="eastAsia" w:ascii="宋体" w:hAnsi="宋体" w:eastAsia="宋体" w:cs="宋体"/>
          <w:sz w:val="24"/>
          <w:szCs w:val="24"/>
          <w:lang w:val="en-US" w:eastAsia="zh-CN" w:bidi="ar-SA"/>
        </w:rPr>
        <w:t>上传提交电子投标文件壹份</w:t>
      </w:r>
      <w:r>
        <w:rPr>
          <w:rFonts w:hint="eastAsia" w:hAnsi="宋体" w:cs="宋体"/>
          <w:kern w:val="2"/>
          <w:sz w:val="24"/>
          <w:szCs w:val="24"/>
        </w:rPr>
        <w:t>。</w:t>
      </w:r>
    </w:p>
    <w:p w14:paraId="1E693546">
      <w:pPr>
        <w:pStyle w:val="42"/>
        <w:spacing w:line="500" w:lineRule="exact"/>
        <w:ind w:firstLine="420"/>
        <w:rPr>
          <w:rFonts w:hAnsi="宋体" w:cs="宋体"/>
          <w:sz w:val="24"/>
          <w:szCs w:val="24"/>
        </w:rPr>
      </w:pPr>
      <w:r>
        <w:rPr>
          <w:rFonts w:hint="eastAsia" w:hAnsi="宋体" w:cs="宋体"/>
          <w:sz w:val="24"/>
          <w:szCs w:val="24"/>
        </w:rPr>
        <w:t>六、</w:t>
      </w:r>
      <w:r>
        <w:rPr>
          <w:rFonts w:hint="eastAsia" w:hAnsi="宋体" w:cs="宋体"/>
          <w:sz w:val="24"/>
          <w:szCs w:val="24"/>
          <w:lang w:val="zh-CN"/>
        </w:rPr>
        <w:t>开标后在规定的投标有效期内撤回投标，我们愿接受政府采购的有关处罚决定。</w:t>
      </w:r>
    </w:p>
    <w:p w14:paraId="57A3E8CD">
      <w:pPr>
        <w:autoSpaceDE w:val="0"/>
        <w:autoSpaceDN w:val="0"/>
        <w:adjustRightInd w:val="0"/>
        <w:spacing w:line="500" w:lineRule="exact"/>
        <w:ind w:firstLine="480" w:firstLineChars="200"/>
        <w:rPr>
          <w:rFonts w:hAnsi="宋体" w:cs="宋体"/>
          <w:sz w:val="24"/>
          <w:szCs w:val="24"/>
        </w:rPr>
      </w:pPr>
      <w:r>
        <w:rPr>
          <w:rFonts w:hint="eastAsia" w:hAnsi="宋体" w:cs="宋体"/>
          <w:sz w:val="24"/>
          <w:szCs w:val="24"/>
        </w:rPr>
        <w:t>七、我方的投标文件在开标之日起</w:t>
      </w:r>
      <w:r>
        <w:rPr>
          <w:rFonts w:hint="eastAsia" w:hAnsi="宋体" w:cs="宋体"/>
          <w:sz w:val="24"/>
          <w:szCs w:val="24"/>
          <w:lang w:val="en-US" w:eastAsia="zh-CN"/>
        </w:rPr>
        <w:t xml:space="preserve"> </w:t>
      </w:r>
      <w:r>
        <w:rPr>
          <w:rFonts w:hint="eastAsia" w:hAnsi="宋体" w:cs="宋体"/>
          <w:sz w:val="24"/>
          <w:szCs w:val="24"/>
        </w:rPr>
        <w:t>个日历日内有效，如中标，延长至合同执行完毕时止。</w:t>
      </w:r>
    </w:p>
    <w:p w14:paraId="1B425D44">
      <w:pPr>
        <w:pStyle w:val="42"/>
        <w:spacing w:line="500" w:lineRule="exact"/>
        <w:ind w:firstLine="420"/>
        <w:rPr>
          <w:rFonts w:hAnsi="宋体" w:cs="宋体"/>
          <w:sz w:val="24"/>
          <w:szCs w:val="24"/>
        </w:rPr>
      </w:pPr>
      <w:r>
        <w:rPr>
          <w:rFonts w:hint="eastAsia" w:hAnsi="宋体" w:cs="宋体"/>
          <w:sz w:val="24"/>
          <w:szCs w:val="24"/>
        </w:rPr>
        <w:t>八、所有关于此次招标活动的函电，请按下列地址联系：</w:t>
      </w:r>
    </w:p>
    <w:p w14:paraId="6D55527A">
      <w:pPr>
        <w:pStyle w:val="42"/>
        <w:spacing w:line="500" w:lineRule="exact"/>
        <w:ind w:firstLine="420"/>
        <w:rPr>
          <w:rFonts w:hAnsi="宋体" w:cs="宋体"/>
          <w:sz w:val="24"/>
          <w:szCs w:val="24"/>
        </w:rPr>
      </w:pPr>
      <w:r>
        <w:rPr>
          <w:rFonts w:hint="eastAsia" w:hAnsi="宋体" w:cs="宋体"/>
          <w:sz w:val="24"/>
          <w:szCs w:val="24"/>
        </w:rPr>
        <w:t>投标人：</w:t>
      </w:r>
      <w:r>
        <w:rPr>
          <w:rFonts w:hint="eastAsia" w:hAnsi="宋体" w:cs="宋体"/>
          <w:sz w:val="24"/>
          <w:szCs w:val="24"/>
          <w:u w:val="single"/>
        </w:rPr>
        <w:t>名称</w:t>
      </w:r>
      <w:r>
        <w:rPr>
          <w:rFonts w:hint="eastAsia" w:hAnsi="宋体" w:cs="宋体"/>
          <w:sz w:val="24"/>
          <w:szCs w:val="24"/>
        </w:rPr>
        <w:t>（加盖公章）</w:t>
      </w:r>
    </w:p>
    <w:p w14:paraId="62C433BE">
      <w:pPr>
        <w:pStyle w:val="42"/>
        <w:spacing w:line="500" w:lineRule="exact"/>
        <w:ind w:firstLine="420"/>
        <w:rPr>
          <w:rFonts w:hAnsi="宋体" w:cs="宋体"/>
          <w:sz w:val="24"/>
          <w:szCs w:val="24"/>
        </w:rPr>
      </w:pPr>
      <w:r>
        <w:rPr>
          <w:rFonts w:hint="eastAsia" w:hAnsi="宋体" w:cs="宋体"/>
          <w:sz w:val="24"/>
          <w:szCs w:val="24"/>
        </w:rPr>
        <w:t>地址：</w:t>
      </w:r>
    </w:p>
    <w:p w14:paraId="293FCEAE">
      <w:pPr>
        <w:pStyle w:val="42"/>
        <w:spacing w:line="500" w:lineRule="exact"/>
        <w:ind w:firstLine="420"/>
        <w:rPr>
          <w:rFonts w:hint="eastAsia" w:hAnsi="宋体" w:cs="宋体"/>
          <w:sz w:val="24"/>
          <w:szCs w:val="24"/>
        </w:rPr>
      </w:pPr>
      <w:r>
        <w:rPr>
          <w:rFonts w:hint="eastAsia" w:ascii="宋体" w:hAnsi="宋体" w:eastAsia="宋体" w:cs="宋体"/>
          <w:sz w:val="24"/>
          <w:szCs w:val="24"/>
        </w:rPr>
        <w:t>法定代表人</w:t>
      </w:r>
      <w:r>
        <w:rPr>
          <w:rFonts w:hint="eastAsia" w:ascii="宋体" w:hAnsi="宋体" w:cs="宋体"/>
          <w:sz w:val="24"/>
          <w:szCs w:val="24"/>
          <w:lang w:val="en-US" w:eastAsia="zh-CN"/>
        </w:rPr>
        <w:t>或授权委托人</w:t>
      </w:r>
      <w:r>
        <w:rPr>
          <w:rFonts w:hint="eastAsia" w:ascii="宋体" w:hAnsi="宋体" w:eastAsia="宋体" w:cs="宋体"/>
          <w:sz w:val="24"/>
          <w:szCs w:val="24"/>
        </w:rPr>
        <w:t>：（签章）</w:t>
      </w:r>
    </w:p>
    <w:p w14:paraId="080E49FB">
      <w:pPr>
        <w:pStyle w:val="42"/>
        <w:spacing w:line="500" w:lineRule="exact"/>
        <w:ind w:firstLine="420"/>
        <w:rPr>
          <w:rFonts w:hAnsi="宋体" w:cs="宋体"/>
          <w:sz w:val="24"/>
          <w:szCs w:val="24"/>
        </w:rPr>
      </w:pPr>
      <w:r>
        <w:rPr>
          <w:rFonts w:hint="eastAsia" w:hAnsi="宋体" w:cs="宋体"/>
          <w:sz w:val="24"/>
          <w:szCs w:val="24"/>
        </w:rPr>
        <w:t>电话：</w:t>
      </w:r>
    </w:p>
    <w:p w14:paraId="7F8C08AC">
      <w:pPr>
        <w:pStyle w:val="42"/>
        <w:spacing w:line="500" w:lineRule="exact"/>
        <w:ind w:firstLine="420"/>
        <w:rPr>
          <w:rFonts w:hAnsi="宋体" w:cs="宋体"/>
          <w:sz w:val="24"/>
          <w:szCs w:val="24"/>
        </w:rPr>
      </w:pPr>
      <w:r>
        <w:rPr>
          <w:rFonts w:hint="eastAsia" w:hAnsi="宋体" w:cs="宋体"/>
          <w:sz w:val="24"/>
          <w:szCs w:val="24"/>
        </w:rPr>
        <w:t>传真：</w:t>
      </w:r>
    </w:p>
    <w:p w14:paraId="7E28FB90">
      <w:pPr>
        <w:pStyle w:val="42"/>
        <w:spacing w:line="500" w:lineRule="exact"/>
        <w:ind w:firstLine="420"/>
        <w:rPr>
          <w:rFonts w:hAnsi="宋体" w:cs="宋体"/>
          <w:sz w:val="24"/>
          <w:szCs w:val="24"/>
        </w:rPr>
      </w:pPr>
      <w:r>
        <w:rPr>
          <w:rFonts w:hint="eastAsia" w:hAnsi="宋体" w:cs="宋体"/>
          <w:sz w:val="24"/>
          <w:szCs w:val="24"/>
        </w:rPr>
        <w:t>开户银行：</w:t>
      </w:r>
    </w:p>
    <w:p w14:paraId="6C436283">
      <w:pPr>
        <w:pStyle w:val="42"/>
        <w:spacing w:line="500" w:lineRule="exact"/>
        <w:ind w:firstLine="420"/>
        <w:rPr>
          <w:rFonts w:hAnsi="宋体" w:cs="宋体"/>
          <w:sz w:val="24"/>
          <w:szCs w:val="24"/>
        </w:rPr>
      </w:pPr>
      <w:r>
        <w:rPr>
          <w:rFonts w:hint="eastAsia" w:hAnsi="宋体" w:cs="宋体"/>
          <w:sz w:val="24"/>
          <w:szCs w:val="24"/>
        </w:rPr>
        <w:t>账号：</w:t>
      </w:r>
    </w:p>
    <w:p w14:paraId="7CE9BDBA">
      <w:pPr>
        <w:pStyle w:val="42"/>
        <w:spacing w:line="500" w:lineRule="exact"/>
        <w:ind w:firstLine="420"/>
        <w:rPr>
          <w:rFonts w:hAnsi="宋体" w:cs="宋体"/>
          <w:sz w:val="24"/>
          <w:szCs w:val="24"/>
        </w:rPr>
      </w:pPr>
      <w:r>
        <w:rPr>
          <w:rFonts w:hint="eastAsia" w:hAnsi="宋体" w:cs="宋体"/>
          <w:sz w:val="24"/>
          <w:szCs w:val="24"/>
        </w:rPr>
        <w:t xml:space="preserve">电子邮箱：          </w:t>
      </w:r>
      <w:r>
        <w:rPr>
          <w:rFonts w:hint="eastAsia" w:hAnsi="宋体" w:cs="宋体"/>
          <w:b/>
          <w:bCs/>
          <w:sz w:val="24"/>
          <w:szCs w:val="24"/>
        </w:rPr>
        <w:t>（专用邮箱）</w:t>
      </w:r>
    </w:p>
    <w:p w14:paraId="120C474A">
      <w:pPr>
        <w:pStyle w:val="42"/>
        <w:spacing w:line="500" w:lineRule="exact"/>
        <w:ind w:firstLine="420"/>
        <w:rPr>
          <w:rFonts w:ascii="宋体" w:hAnsi="宋体" w:cs="宋体"/>
          <w:szCs w:val="21"/>
        </w:rPr>
      </w:pPr>
      <w:r>
        <w:rPr>
          <w:rFonts w:hint="eastAsia" w:hAnsi="宋体" w:cs="宋体"/>
          <w:sz w:val="24"/>
          <w:szCs w:val="24"/>
        </w:rPr>
        <w:t>日期：　　年　月　日</w:t>
      </w:r>
    </w:p>
    <w:p w14:paraId="28B0107D">
      <w:pPr>
        <w:pStyle w:val="10"/>
        <w:rPr>
          <w:rFonts w:ascii="宋体" w:hAnsi="宋体" w:cs="宋体"/>
          <w:szCs w:val="21"/>
        </w:rPr>
      </w:pPr>
      <w:r>
        <w:rPr>
          <w:rFonts w:hint="eastAsia" w:ascii="宋体" w:hAnsi="宋体" w:cs="宋体"/>
          <w:b/>
          <w:bCs/>
          <w:szCs w:val="21"/>
        </w:rPr>
        <w:t>注：</w:t>
      </w:r>
      <w:r>
        <w:rPr>
          <w:rFonts w:hint="eastAsia" w:ascii="宋体" w:hAnsi="宋体" w:cs="宋体"/>
          <w:szCs w:val="21"/>
        </w:rPr>
        <w:t>1.除可填报项目外，对本投标函的任何实质性内容修改将被视为非实质性响应，在评审时将视其为无效投标。</w:t>
      </w:r>
      <w:r>
        <w:rPr>
          <w:rFonts w:hint="eastAsia" w:hAnsi="宋体" w:cs="宋体"/>
          <w:szCs w:val="21"/>
        </w:rPr>
        <w:br w:type="page"/>
      </w:r>
    </w:p>
    <w:p w14:paraId="1EE3503C"/>
    <w:p w14:paraId="50F80E3F">
      <w:pPr>
        <w:jc w:val="center"/>
        <w:outlineLvl w:val="1"/>
        <w:rPr>
          <w:b/>
          <w:bCs/>
          <w:sz w:val="21"/>
          <w:szCs w:val="16"/>
        </w:rPr>
      </w:pPr>
      <w:r>
        <w:rPr>
          <w:rFonts w:hint="eastAsia"/>
          <w:b/>
          <w:bCs/>
          <w:sz w:val="32"/>
          <w:szCs w:val="32"/>
        </w:rPr>
        <w:t>第二部分 开标一览表</w:t>
      </w:r>
    </w:p>
    <w:p w14:paraId="26295D59">
      <w:pPr>
        <w:spacing w:line="288" w:lineRule="auto"/>
        <w:jc w:val="left"/>
        <w:rPr>
          <w:rFonts w:hAnsi="宋体" w:cs="宋体"/>
          <w:b/>
          <w:sz w:val="24"/>
          <w:szCs w:val="24"/>
        </w:rPr>
      </w:pPr>
      <w:r>
        <w:rPr>
          <w:rFonts w:hint="eastAsia" w:hAnsi="宋体" w:cs="宋体"/>
          <w:b/>
          <w:sz w:val="28"/>
          <w:szCs w:val="28"/>
        </w:rPr>
        <w:t>一、开标一览表</w:t>
      </w:r>
    </w:p>
    <w:p w14:paraId="11AC410F">
      <w:pPr>
        <w:spacing w:line="288" w:lineRule="auto"/>
        <w:ind w:firstLine="480" w:firstLineChars="200"/>
        <w:rPr>
          <w:rFonts w:hint="eastAsia" w:hAnsi="宋体" w:cs="宋体"/>
          <w:sz w:val="24"/>
          <w:szCs w:val="24"/>
        </w:rPr>
      </w:pPr>
      <w:r>
        <w:rPr>
          <w:rFonts w:hint="eastAsia" w:hAnsi="宋体" w:cs="宋体"/>
          <w:sz w:val="24"/>
          <w:szCs w:val="24"/>
        </w:rPr>
        <w:t>项目编号：</w:t>
      </w:r>
    </w:p>
    <w:p w14:paraId="1126D29A">
      <w:pPr>
        <w:spacing w:line="288" w:lineRule="auto"/>
        <w:ind w:firstLine="480" w:firstLineChars="200"/>
        <w:rPr>
          <w:rFonts w:hAnsi="宋体" w:cs="宋体"/>
          <w:sz w:val="24"/>
          <w:szCs w:val="24"/>
        </w:rPr>
      </w:pPr>
      <w:r>
        <w:rPr>
          <w:rFonts w:hint="eastAsia" w:hAnsi="宋体" w:cs="宋体"/>
          <w:sz w:val="24"/>
          <w:szCs w:val="24"/>
        </w:rPr>
        <w:t>项目名称：</w:t>
      </w:r>
    </w:p>
    <w:p w14:paraId="79BD2D1B">
      <w:pPr>
        <w:spacing w:line="288" w:lineRule="auto"/>
        <w:ind w:firstLine="420" w:firstLineChars="200"/>
        <w:rPr>
          <w:rFonts w:hAnsi="宋体" w:cs="宋体"/>
          <w:sz w:val="21"/>
          <w:szCs w:val="21"/>
        </w:rPr>
      </w:pPr>
      <w:r>
        <w:rPr>
          <w:rFonts w:hint="eastAsia" w:hAnsi="宋体" w:cs="宋体"/>
          <w:sz w:val="21"/>
          <w:szCs w:val="21"/>
        </w:rPr>
        <w:t xml:space="preserve">      </w:t>
      </w:r>
    </w:p>
    <w:tbl>
      <w:tblPr>
        <w:tblStyle w:val="21"/>
        <w:tblW w:w="93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637"/>
        <w:gridCol w:w="4026"/>
        <w:gridCol w:w="2640"/>
        <w:gridCol w:w="1078"/>
      </w:tblGrid>
      <w:tr w14:paraId="68AEB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8" w:hRule="atLeast"/>
          <w:jc w:val="center"/>
        </w:trPr>
        <w:tc>
          <w:tcPr>
            <w:tcW w:w="1637" w:type="dxa"/>
            <w:vMerge w:val="restart"/>
            <w:vAlign w:val="center"/>
          </w:tcPr>
          <w:p w14:paraId="28D42482">
            <w:pPr>
              <w:pStyle w:val="8"/>
              <w:spacing w:line="360" w:lineRule="auto"/>
              <w:ind w:firstLine="0"/>
              <w:jc w:val="center"/>
              <w:rPr>
                <w:rFonts w:hAnsi="宋体" w:cs="宋体"/>
                <w:sz w:val="24"/>
                <w:szCs w:val="24"/>
              </w:rPr>
            </w:pPr>
            <w:r>
              <w:rPr>
                <w:rFonts w:hint="eastAsia" w:hAnsi="宋体" w:cs="宋体"/>
                <w:sz w:val="24"/>
                <w:szCs w:val="24"/>
              </w:rPr>
              <w:t>投标报价（元）</w:t>
            </w:r>
          </w:p>
        </w:tc>
        <w:tc>
          <w:tcPr>
            <w:tcW w:w="4026" w:type="dxa"/>
            <w:vAlign w:val="center"/>
          </w:tcPr>
          <w:p w14:paraId="73AAAB32">
            <w:pPr>
              <w:autoSpaceDE w:val="0"/>
              <w:autoSpaceDN w:val="0"/>
              <w:spacing w:line="360" w:lineRule="auto"/>
              <w:jc w:val="center"/>
              <w:rPr>
                <w:rFonts w:hAnsi="宋体" w:cs="宋体"/>
                <w:sz w:val="24"/>
                <w:szCs w:val="24"/>
                <w:lang w:val="zh-CN"/>
              </w:rPr>
            </w:pPr>
            <w:r>
              <w:rPr>
                <w:rFonts w:hint="eastAsia" w:hAnsi="宋体" w:cs="宋体"/>
                <w:sz w:val="24"/>
                <w:szCs w:val="24"/>
                <w:lang w:val="zh-CN"/>
              </w:rPr>
              <w:t>内容</w:t>
            </w:r>
          </w:p>
        </w:tc>
        <w:tc>
          <w:tcPr>
            <w:tcW w:w="2640" w:type="dxa"/>
            <w:vAlign w:val="center"/>
          </w:tcPr>
          <w:p w14:paraId="61B1E8F7">
            <w:pPr>
              <w:autoSpaceDE w:val="0"/>
              <w:autoSpaceDN w:val="0"/>
              <w:spacing w:line="360" w:lineRule="auto"/>
              <w:jc w:val="center"/>
              <w:rPr>
                <w:rFonts w:hint="eastAsia" w:hAnsi="宋体" w:eastAsia="宋体" w:cs="宋体"/>
                <w:sz w:val="24"/>
                <w:szCs w:val="24"/>
                <w:lang w:eastAsia="zh-CN"/>
              </w:rPr>
            </w:pPr>
            <w:r>
              <w:rPr>
                <w:rFonts w:hint="eastAsia" w:hAnsi="宋体" w:cs="宋体"/>
                <w:sz w:val="24"/>
                <w:szCs w:val="24"/>
                <w:lang w:eastAsia="zh-CN"/>
              </w:rPr>
              <w:t>服务期</w:t>
            </w:r>
          </w:p>
        </w:tc>
        <w:tc>
          <w:tcPr>
            <w:tcW w:w="1078" w:type="dxa"/>
            <w:vAlign w:val="center"/>
          </w:tcPr>
          <w:p w14:paraId="5D31BD1D">
            <w:pPr>
              <w:autoSpaceDE w:val="0"/>
              <w:autoSpaceDN w:val="0"/>
              <w:spacing w:line="360" w:lineRule="auto"/>
              <w:jc w:val="center"/>
              <w:rPr>
                <w:rFonts w:hAnsi="宋体" w:cs="宋体"/>
                <w:sz w:val="24"/>
                <w:szCs w:val="24"/>
              </w:rPr>
            </w:pPr>
            <w:r>
              <w:rPr>
                <w:rFonts w:hint="eastAsia" w:hAnsi="宋体" w:cs="宋体"/>
                <w:sz w:val="24"/>
                <w:szCs w:val="24"/>
              </w:rPr>
              <w:t>备注</w:t>
            </w:r>
          </w:p>
        </w:tc>
      </w:tr>
      <w:tr w14:paraId="7BF66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82" w:hRule="atLeast"/>
          <w:jc w:val="center"/>
        </w:trPr>
        <w:tc>
          <w:tcPr>
            <w:tcW w:w="1637" w:type="dxa"/>
            <w:vMerge w:val="continue"/>
            <w:vAlign w:val="center"/>
          </w:tcPr>
          <w:p w14:paraId="77C703CC">
            <w:pPr>
              <w:pStyle w:val="8"/>
              <w:spacing w:line="360" w:lineRule="auto"/>
              <w:ind w:firstLine="0"/>
              <w:jc w:val="center"/>
              <w:rPr>
                <w:rFonts w:hAnsi="宋体" w:cs="宋体"/>
                <w:sz w:val="24"/>
                <w:szCs w:val="24"/>
              </w:rPr>
            </w:pPr>
          </w:p>
        </w:tc>
        <w:tc>
          <w:tcPr>
            <w:tcW w:w="4026" w:type="dxa"/>
            <w:vAlign w:val="center"/>
          </w:tcPr>
          <w:p w14:paraId="1FEBC47D">
            <w:pPr>
              <w:autoSpaceDE w:val="0"/>
              <w:autoSpaceDN w:val="0"/>
              <w:spacing w:line="360" w:lineRule="auto"/>
              <w:rPr>
                <w:rFonts w:hAnsi="宋体" w:cs="宋体"/>
                <w:sz w:val="24"/>
                <w:szCs w:val="24"/>
                <w:lang w:val="zh-CN"/>
              </w:rPr>
            </w:pPr>
            <w:r>
              <w:rPr>
                <w:rFonts w:hint="eastAsia" w:hAnsi="宋体" w:cs="宋体"/>
                <w:sz w:val="24"/>
                <w:szCs w:val="24"/>
                <w:lang w:val="zh-CN"/>
              </w:rPr>
              <w:t>小写：</w:t>
            </w:r>
          </w:p>
          <w:p w14:paraId="518DEE0F">
            <w:pPr>
              <w:autoSpaceDE w:val="0"/>
              <w:autoSpaceDN w:val="0"/>
              <w:spacing w:line="360" w:lineRule="auto"/>
              <w:rPr>
                <w:rFonts w:hAnsi="宋体" w:cs="宋体"/>
                <w:sz w:val="24"/>
                <w:szCs w:val="24"/>
                <w:lang w:val="zh-CN"/>
              </w:rPr>
            </w:pPr>
            <w:r>
              <w:rPr>
                <w:rFonts w:hint="eastAsia" w:hAnsi="宋体" w:cs="宋体"/>
                <w:sz w:val="24"/>
                <w:szCs w:val="24"/>
                <w:lang w:val="zh-CN"/>
              </w:rPr>
              <w:t>大写：</w:t>
            </w:r>
          </w:p>
          <w:p w14:paraId="07AF820D">
            <w:pPr>
              <w:autoSpaceDE w:val="0"/>
              <w:autoSpaceDN w:val="0"/>
              <w:spacing w:line="360" w:lineRule="auto"/>
              <w:rPr>
                <w:rFonts w:hAnsi="宋体" w:cs="宋体"/>
                <w:sz w:val="24"/>
                <w:szCs w:val="24"/>
              </w:rPr>
            </w:pPr>
            <w:r>
              <w:rPr>
                <w:rFonts w:hint="eastAsia" w:hAnsi="宋体" w:cs="宋体"/>
                <w:sz w:val="24"/>
                <w:szCs w:val="24"/>
              </w:rPr>
              <w:t xml:space="preserve">              单位：元</w:t>
            </w:r>
          </w:p>
        </w:tc>
        <w:tc>
          <w:tcPr>
            <w:tcW w:w="2640" w:type="dxa"/>
            <w:vAlign w:val="center"/>
          </w:tcPr>
          <w:p w14:paraId="30C37DCC">
            <w:pPr>
              <w:autoSpaceDE w:val="0"/>
              <w:autoSpaceDN w:val="0"/>
              <w:spacing w:line="360" w:lineRule="auto"/>
              <w:jc w:val="center"/>
              <w:rPr>
                <w:rFonts w:hAnsi="宋体" w:cs="宋体"/>
                <w:sz w:val="24"/>
                <w:szCs w:val="24"/>
              </w:rPr>
            </w:pPr>
          </w:p>
        </w:tc>
        <w:tc>
          <w:tcPr>
            <w:tcW w:w="1078" w:type="dxa"/>
            <w:vAlign w:val="center"/>
          </w:tcPr>
          <w:p w14:paraId="5964FC7F">
            <w:pPr>
              <w:autoSpaceDE w:val="0"/>
              <w:autoSpaceDN w:val="0"/>
              <w:spacing w:line="360" w:lineRule="auto"/>
              <w:ind w:firstLine="960" w:firstLineChars="400"/>
              <w:rPr>
                <w:rFonts w:hAnsi="宋体" w:cs="宋体"/>
                <w:sz w:val="24"/>
                <w:szCs w:val="24"/>
              </w:rPr>
            </w:pPr>
          </w:p>
        </w:tc>
      </w:tr>
    </w:tbl>
    <w:p w14:paraId="1970B963">
      <w:pPr>
        <w:autoSpaceDE w:val="0"/>
        <w:autoSpaceDN w:val="0"/>
        <w:spacing w:before="163" w:beforeLines="50" w:line="500" w:lineRule="exact"/>
        <w:ind w:firstLine="4180" w:firstLineChars="1900"/>
        <w:rPr>
          <w:rFonts w:hAnsi="宋体" w:cs="宋体"/>
          <w:sz w:val="24"/>
          <w:szCs w:val="24"/>
        </w:rPr>
      </w:pPr>
      <w:r>
        <w:rPr>
          <w:rFonts w:hint="eastAsia" w:hAnsi="宋体" w:cs="宋体"/>
          <w:color w:val="1F497D"/>
          <w:spacing w:val="-10"/>
          <w:szCs w:val="24"/>
        </w:rPr>
        <w:t xml:space="preserve">    </w:t>
      </w:r>
      <w:r>
        <w:rPr>
          <w:rFonts w:hint="eastAsia" w:hAnsi="宋体" w:cs="宋体"/>
          <w:color w:val="1F497D"/>
          <w:spacing w:val="-10"/>
          <w:szCs w:val="24"/>
          <w:lang w:val="en-US" w:eastAsia="zh-CN"/>
        </w:rPr>
        <w:t xml:space="preserve">      </w:t>
      </w:r>
      <w:r>
        <w:rPr>
          <w:rFonts w:hint="eastAsia" w:hAnsi="宋体" w:cs="宋体"/>
          <w:color w:val="1F497D"/>
          <w:spacing w:val="-10"/>
          <w:sz w:val="21"/>
          <w:szCs w:val="21"/>
        </w:rPr>
        <w:t xml:space="preserve"> </w:t>
      </w:r>
      <w:r>
        <w:rPr>
          <w:rFonts w:hint="eastAsia" w:hAnsi="宋体" w:cs="宋体"/>
          <w:spacing w:val="-10"/>
          <w:sz w:val="24"/>
          <w:szCs w:val="24"/>
          <w:u w:val="single"/>
        </w:rPr>
        <w:t>投标人名称</w:t>
      </w:r>
      <w:r>
        <w:rPr>
          <w:rFonts w:hint="eastAsia" w:hAnsi="宋体" w:cs="宋体"/>
          <w:sz w:val="24"/>
          <w:szCs w:val="24"/>
        </w:rPr>
        <w:t>（加盖公章）</w:t>
      </w:r>
    </w:p>
    <w:p w14:paraId="795E717E">
      <w:pPr>
        <w:spacing w:line="500" w:lineRule="exact"/>
        <w:ind w:firstLine="4800" w:firstLineChars="2000"/>
        <w:rPr>
          <w:rFonts w:hAnsi="宋体" w:cs="宋体"/>
          <w:sz w:val="24"/>
          <w:szCs w:val="24"/>
        </w:rPr>
      </w:pPr>
      <w:r>
        <w:rPr>
          <w:rFonts w:hint="eastAsia" w:hAnsi="宋体" w:cs="宋体"/>
          <w:sz w:val="24"/>
          <w:szCs w:val="24"/>
        </w:rPr>
        <w:t>　  法定代表人：（签章）</w:t>
      </w:r>
    </w:p>
    <w:p w14:paraId="6E93CB0A">
      <w:pPr>
        <w:spacing w:line="500" w:lineRule="exact"/>
        <w:ind w:firstLine="5280" w:firstLineChars="2200"/>
        <w:rPr>
          <w:rFonts w:hAnsi="宋体" w:cs="宋体"/>
          <w:sz w:val="24"/>
          <w:szCs w:val="24"/>
        </w:rPr>
      </w:pPr>
      <w:r>
        <w:rPr>
          <w:rFonts w:hint="eastAsia" w:hAnsi="宋体" w:cs="宋体"/>
          <w:sz w:val="24"/>
          <w:szCs w:val="24"/>
        </w:rPr>
        <w:t>年　月　日</w:t>
      </w:r>
    </w:p>
    <w:p w14:paraId="20DB8885">
      <w:pPr>
        <w:autoSpaceDE w:val="0"/>
        <w:autoSpaceDN w:val="0"/>
        <w:rPr>
          <w:rFonts w:hAnsi="宋体" w:cs="宋体"/>
          <w:b/>
          <w:bCs/>
          <w:sz w:val="21"/>
          <w:szCs w:val="21"/>
        </w:rPr>
      </w:pPr>
    </w:p>
    <w:p w14:paraId="5534E064">
      <w:pPr>
        <w:autoSpaceDE w:val="0"/>
        <w:autoSpaceDN w:val="0"/>
        <w:rPr>
          <w:rFonts w:hAnsi="宋体" w:cs="宋体"/>
          <w:b/>
          <w:bCs/>
          <w:sz w:val="21"/>
          <w:szCs w:val="21"/>
        </w:rPr>
      </w:pPr>
    </w:p>
    <w:p w14:paraId="7D39A765">
      <w:pPr>
        <w:autoSpaceDE w:val="0"/>
        <w:autoSpaceDN w:val="0"/>
        <w:rPr>
          <w:rFonts w:hAnsi="宋体" w:cs="宋体"/>
          <w:b/>
          <w:bCs/>
          <w:sz w:val="21"/>
          <w:szCs w:val="21"/>
        </w:rPr>
      </w:pPr>
    </w:p>
    <w:p w14:paraId="3E6D2105">
      <w:pPr>
        <w:autoSpaceDE w:val="0"/>
        <w:autoSpaceDN w:val="0"/>
        <w:rPr>
          <w:rFonts w:hAnsi="宋体" w:cs="宋体"/>
          <w:b/>
          <w:bCs/>
          <w:sz w:val="21"/>
          <w:szCs w:val="21"/>
        </w:rPr>
      </w:pPr>
    </w:p>
    <w:p w14:paraId="22E45762">
      <w:pPr>
        <w:autoSpaceDE w:val="0"/>
        <w:autoSpaceDN w:val="0"/>
        <w:rPr>
          <w:rFonts w:hAnsi="宋体" w:cs="宋体"/>
          <w:b/>
          <w:bCs/>
          <w:sz w:val="21"/>
          <w:szCs w:val="21"/>
        </w:rPr>
      </w:pPr>
    </w:p>
    <w:p w14:paraId="76845196">
      <w:pPr>
        <w:autoSpaceDE w:val="0"/>
        <w:autoSpaceDN w:val="0"/>
        <w:rPr>
          <w:rFonts w:hAnsi="宋体" w:cs="宋体"/>
          <w:b/>
          <w:bCs/>
          <w:sz w:val="21"/>
          <w:szCs w:val="21"/>
        </w:rPr>
      </w:pPr>
    </w:p>
    <w:p w14:paraId="7065B885">
      <w:pPr>
        <w:autoSpaceDE w:val="0"/>
        <w:autoSpaceDN w:val="0"/>
        <w:rPr>
          <w:rFonts w:hAnsi="宋体" w:cs="宋体"/>
          <w:b/>
          <w:bCs/>
          <w:sz w:val="21"/>
          <w:szCs w:val="21"/>
        </w:rPr>
      </w:pPr>
    </w:p>
    <w:p w14:paraId="4979E9FC">
      <w:pPr>
        <w:autoSpaceDE w:val="0"/>
        <w:autoSpaceDN w:val="0"/>
        <w:rPr>
          <w:rFonts w:hAnsi="宋体" w:cs="宋体"/>
          <w:b/>
          <w:bCs/>
          <w:sz w:val="21"/>
          <w:szCs w:val="21"/>
        </w:rPr>
      </w:pPr>
    </w:p>
    <w:p w14:paraId="18C02159">
      <w:pPr>
        <w:autoSpaceDE w:val="0"/>
        <w:autoSpaceDN w:val="0"/>
        <w:rPr>
          <w:rFonts w:hAnsi="宋体" w:cs="宋体"/>
          <w:b/>
          <w:bCs/>
          <w:sz w:val="21"/>
          <w:szCs w:val="21"/>
        </w:rPr>
      </w:pPr>
    </w:p>
    <w:p w14:paraId="3F81CD33">
      <w:pPr>
        <w:autoSpaceDE w:val="0"/>
        <w:autoSpaceDN w:val="0"/>
        <w:rPr>
          <w:rFonts w:hAnsi="宋体" w:cs="宋体"/>
          <w:b/>
          <w:bCs/>
          <w:sz w:val="21"/>
          <w:szCs w:val="21"/>
        </w:rPr>
      </w:pPr>
    </w:p>
    <w:p w14:paraId="3499CC93">
      <w:pPr>
        <w:autoSpaceDE w:val="0"/>
        <w:autoSpaceDN w:val="0"/>
        <w:rPr>
          <w:rFonts w:hAnsi="宋体" w:cs="宋体"/>
          <w:b/>
          <w:bCs/>
          <w:sz w:val="21"/>
          <w:szCs w:val="21"/>
        </w:rPr>
      </w:pPr>
    </w:p>
    <w:p w14:paraId="0DD65DD0">
      <w:pPr>
        <w:autoSpaceDE w:val="0"/>
        <w:autoSpaceDN w:val="0"/>
        <w:rPr>
          <w:rFonts w:hAnsi="宋体" w:cs="宋体"/>
          <w:b/>
          <w:bCs/>
          <w:sz w:val="21"/>
          <w:szCs w:val="21"/>
        </w:rPr>
      </w:pPr>
    </w:p>
    <w:p w14:paraId="0AD99134">
      <w:pPr>
        <w:autoSpaceDE w:val="0"/>
        <w:autoSpaceDN w:val="0"/>
        <w:rPr>
          <w:rFonts w:hAnsi="宋体" w:cs="宋体"/>
          <w:sz w:val="21"/>
          <w:szCs w:val="21"/>
          <w:lang w:val="zh-CN"/>
        </w:rPr>
      </w:pPr>
      <w:r>
        <w:rPr>
          <w:rFonts w:hint="eastAsia" w:hAnsi="宋体" w:cs="宋体"/>
          <w:b/>
          <w:bCs/>
          <w:sz w:val="21"/>
          <w:szCs w:val="21"/>
        </w:rPr>
        <w:t>注</w:t>
      </w:r>
      <w:r>
        <w:rPr>
          <w:rFonts w:hint="eastAsia" w:hAnsi="宋体" w:cs="宋体"/>
          <w:b/>
          <w:bCs/>
          <w:sz w:val="21"/>
          <w:szCs w:val="21"/>
          <w:lang w:val="zh-CN"/>
        </w:rPr>
        <w:t>：</w:t>
      </w:r>
      <w:r>
        <w:rPr>
          <w:rFonts w:hint="eastAsia" w:hAnsi="宋体" w:cs="宋体"/>
          <w:sz w:val="21"/>
          <w:szCs w:val="21"/>
        </w:rPr>
        <w:t>1.</w:t>
      </w:r>
      <w:r>
        <w:rPr>
          <w:rFonts w:hint="eastAsia" w:hAnsi="宋体" w:cs="宋体"/>
          <w:sz w:val="21"/>
          <w:szCs w:val="21"/>
          <w:lang w:val="zh-CN"/>
        </w:rPr>
        <w:t>“投标报价”为投标总价。投标报价必须包括：</w:t>
      </w:r>
      <w:bookmarkStart w:id="188" w:name="_Hlk48720282"/>
      <w:r>
        <w:rPr>
          <w:rFonts w:hint="eastAsia" w:hAnsi="宋体" w:cs="宋体"/>
          <w:sz w:val="21"/>
          <w:szCs w:val="21"/>
        </w:rPr>
        <w:t>完成采购内容所需的直接费、间接费、利润、税金及其它相关的一切费用</w:t>
      </w:r>
      <w:r>
        <w:rPr>
          <w:rFonts w:hint="eastAsia" w:hAnsi="宋体" w:cs="宋体"/>
          <w:sz w:val="21"/>
          <w:szCs w:val="21"/>
          <w:lang w:val="zh-CN"/>
        </w:rPr>
        <w:t>，以及合同实施过程中的应预见及不可预见费用等完成合同规定责任和义务、达到合同目的的一切费用</w:t>
      </w:r>
      <w:bookmarkEnd w:id="188"/>
      <w:r>
        <w:rPr>
          <w:rFonts w:hint="eastAsia" w:hAnsi="宋体" w:cs="宋体"/>
          <w:sz w:val="21"/>
          <w:szCs w:val="21"/>
          <w:lang w:val="zh-CN"/>
        </w:rPr>
        <w:t>。</w:t>
      </w:r>
    </w:p>
    <w:p w14:paraId="1C09B9D0">
      <w:pPr>
        <w:pStyle w:val="10"/>
        <w:ind w:firstLine="420" w:firstLineChars="200"/>
        <w:rPr>
          <w:rFonts w:ascii="宋体" w:hAnsi="宋体" w:cs="宋体"/>
          <w:kern w:val="0"/>
          <w:szCs w:val="21"/>
        </w:rPr>
      </w:pPr>
      <w:r>
        <w:rPr>
          <w:rFonts w:hint="eastAsia" w:ascii="宋体" w:hAnsi="宋体" w:cs="宋体"/>
          <w:kern w:val="0"/>
          <w:szCs w:val="21"/>
        </w:rPr>
        <w:t>2.以上费用均为含税。</w:t>
      </w:r>
      <w:r>
        <w:rPr>
          <w:rFonts w:hint="eastAsia" w:hAnsi="宋体" w:cs="宋体"/>
          <w:szCs w:val="21"/>
        </w:rPr>
        <w:br w:type="page"/>
      </w:r>
    </w:p>
    <w:p w14:paraId="602400D7">
      <w:pPr>
        <w:spacing w:after="163" w:afterLines="50"/>
        <w:rPr>
          <w:b/>
          <w:bCs/>
          <w:sz w:val="21"/>
          <w:szCs w:val="16"/>
        </w:rPr>
      </w:pPr>
      <w:r>
        <w:rPr>
          <w:rFonts w:hint="eastAsia"/>
          <w:b/>
          <w:bCs/>
          <w:sz w:val="28"/>
          <w:szCs w:val="28"/>
        </w:rPr>
        <w:t>二、分项报价（样表</w:t>
      </w:r>
      <w:r>
        <w:rPr>
          <w:rFonts w:hint="eastAsia"/>
          <w:b/>
          <w:bCs/>
          <w:sz w:val="28"/>
          <w:szCs w:val="28"/>
          <w:lang w:eastAsia="zh-CN"/>
        </w:rPr>
        <w:t>，</w:t>
      </w:r>
      <w:r>
        <w:rPr>
          <w:rFonts w:hint="eastAsia"/>
          <w:b/>
          <w:bCs/>
          <w:sz w:val="28"/>
          <w:szCs w:val="28"/>
          <w:lang w:val="en-US" w:eastAsia="zh-CN"/>
        </w:rPr>
        <w:t>格式可自拟</w:t>
      </w:r>
      <w:r>
        <w:rPr>
          <w:rFonts w:hint="eastAsia"/>
          <w:b/>
          <w:bCs/>
          <w:sz w:val="28"/>
          <w:szCs w:val="28"/>
        </w:rPr>
        <w:t>）</w:t>
      </w:r>
    </w:p>
    <w:p w14:paraId="24652F38">
      <w:pPr>
        <w:tabs>
          <w:tab w:val="right" w:pos="9072"/>
        </w:tabs>
        <w:rPr>
          <w:rFonts w:hAnsi="宋体" w:cs="宋体"/>
          <w:sz w:val="21"/>
          <w:szCs w:val="21"/>
        </w:rPr>
      </w:pPr>
    </w:p>
    <w:p w14:paraId="181BA1ED">
      <w:pPr>
        <w:tabs>
          <w:tab w:val="right" w:pos="9072"/>
        </w:tabs>
        <w:ind w:firstLine="840" w:firstLineChars="400"/>
        <w:rPr>
          <w:rFonts w:hAnsi="宋体" w:cs="宋体"/>
          <w:sz w:val="21"/>
          <w:szCs w:val="21"/>
        </w:rPr>
      </w:pPr>
      <w:r>
        <w:rPr>
          <w:rFonts w:hint="eastAsia" w:hAnsi="宋体" w:cs="宋体"/>
          <w:sz w:val="21"/>
          <w:szCs w:val="21"/>
        </w:rPr>
        <w:t xml:space="preserve">                                     </w:t>
      </w:r>
    </w:p>
    <w:p w14:paraId="7D82F816">
      <w:pPr>
        <w:tabs>
          <w:tab w:val="left" w:pos="5670"/>
        </w:tabs>
        <w:spacing w:line="360" w:lineRule="auto"/>
        <w:ind w:firstLine="6960" w:firstLineChars="2900"/>
        <w:rPr>
          <w:rFonts w:hAnsi="宋体" w:cs="宋体"/>
          <w:sz w:val="24"/>
          <w:szCs w:val="24"/>
        </w:rPr>
      </w:pPr>
      <w:r>
        <w:rPr>
          <w:rFonts w:hint="eastAsia" w:hAnsi="宋体" w:cs="宋体"/>
          <w:sz w:val="24"/>
          <w:szCs w:val="24"/>
          <w:u w:val="single"/>
        </w:rPr>
        <w:t>投标人名称</w:t>
      </w:r>
      <w:r>
        <w:rPr>
          <w:rFonts w:hint="eastAsia" w:hAnsi="宋体" w:cs="宋体"/>
          <w:sz w:val="24"/>
          <w:szCs w:val="24"/>
        </w:rPr>
        <w:t>（盖章）</w:t>
      </w:r>
    </w:p>
    <w:p w14:paraId="05F3421C">
      <w:pPr>
        <w:tabs>
          <w:tab w:val="right" w:pos="9072"/>
        </w:tabs>
        <w:spacing w:line="360" w:lineRule="auto"/>
        <w:rPr>
          <w:rFonts w:hAnsi="宋体" w:cs="宋体"/>
          <w:b/>
          <w:bCs/>
          <w:sz w:val="21"/>
          <w:szCs w:val="21"/>
        </w:rPr>
      </w:pPr>
      <w:r>
        <w:rPr>
          <w:rFonts w:hint="eastAsia" w:hAnsi="宋体" w:cs="宋体"/>
          <w:sz w:val="24"/>
          <w:szCs w:val="24"/>
        </w:rPr>
        <w:t xml:space="preserve">                                    　　            </w:t>
      </w:r>
      <w:r>
        <w:rPr>
          <w:rFonts w:hAnsi="宋体" w:cs="宋体"/>
          <w:sz w:val="24"/>
          <w:szCs w:val="24"/>
        </w:rPr>
        <w:t xml:space="preserve">          </w:t>
      </w:r>
      <w:r>
        <w:rPr>
          <w:rFonts w:hint="eastAsia" w:hAnsi="宋体" w:cs="宋体"/>
          <w:sz w:val="24"/>
          <w:szCs w:val="24"/>
        </w:rPr>
        <w:t>年　月　日</w:t>
      </w:r>
    </w:p>
    <w:p w14:paraId="5D1E9037">
      <w:pPr>
        <w:tabs>
          <w:tab w:val="right" w:pos="9072"/>
        </w:tabs>
        <w:rPr>
          <w:rFonts w:hAnsi="宋体" w:cs="宋体"/>
          <w:b/>
          <w:bCs/>
          <w:sz w:val="21"/>
          <w:szCs w:val="21"/>
        </w:rPr>
      </w:pPr>
    </w:p>
    <w:p w14:paraId="504412FC">
      <w:pPr>
        <w:tabs>
          <w:tab w:val="right" w:pos="9072"/>
        </w:tabs>
        <w:rPr>
          <w:rFonts w:hAnsi="宋体" w:cs="宋体"/>
          <w:b/>
          <w:bCs/>
          <w:sz w:val="21"/>
          <w:szCs w:val="21"/>
        </w:rPr>
      </w:pPr>
    </w:p>
    <w:p w14:paraId="613FBD55">
      <w:pPr>
        <w:tabs>
          <w:tab w:val="right" w:pos="9072"/>
        </w:tabs>
        <w:rPr>
          <w:rFonts w:hAnsi="宋体" w:cs="宋体"/>
          <w:b/>
          <w:bCs/>
          <w:sz w:val="21"/>
          <w:szCs w:val="21"/>
        </w:rPr>
      </w:pPr>
    </w:p>
    <w:p w14:paraId="785720EB">
      <w:pPr>
        <w:tabs>
          <w:tab w:val="right" w:pos="9072"/>
        </w:tabs>
        <w:rPr>
          <w:rFonts w:hAnsi="宋体" w:cs="宋体"/>
          <w:b/>
          <w:bCs/>
          <w:sz w:val="21"/>
          <w:szCs w:val="21"/>
        </w:rPr>
      </w:pPr>
    </w:p>
    <w:p w14:paraId="179796A4">
      <w:pPr>
        <w:tabs>
          <w:tab w:val="right" w:pos="9072"/>
        </w:tabs>
        <w:rPr>
          <w:rFonts w:hAnsi="宋体" w:cs="宋体"/>
          <w:b/>
          <w:bCs/>
          <w:sz w:val="21"/>
          <w:szCs w:val="21"/>
        </w:rPr>
      </w:pPr>
    </w:p>
    <w:p w14:paraId="732DBE3C">
      <w:pPr>
        <w:pStyle w:val="19"/>
        <w:ind w:firstLine="180"/>
      </w:pPr>
    </w:p>
    <w:p w14:paraId="73AA25B8">
      <w:pPr>
        <w:tabs>
          <w:tab w:val="right" w:pos="9072"/>
        </w:tabs>
        <w:rPr>
          <w:rFonts w:hAnsi="宋体" w:cs="宋体"/>
          <w:b/>
          <w:bCs/>
          <w:sz w:val="21"/>
          <w:szCs w:val="21"/>
        </w:rPr>
      </w:pPr>
    </w:p>
    <w:p w14:paraId="79F3B416">
      <w:pPr>
        <w:tabs>
          <w:tab w:val="right" w:pos="9072"/>
        </w:tabs>
        <w:rPr>
          <w:rFonts w:hAnsi="宋体" w:cs="宋体"/>
          <w:b/>
          <w:bCs/>
          <w:sz w:val="21"/>
          <w:szCs w:val="21"/>
        </w:rPr>
      </w:pPr>
    </w:p>
    <w:p w14:paraId="675A70F0">
      <w:pPr>
        <w:tabs>
          <w:tab w:val="right" w:pos="9072"/>
        </w:tabs>
        <w:rPr>
          <w:rFonts w:hAnsi="宋体" w:cs="宋体"/>
          <w:b/>
          <w:bCs/>
          <w:sz w:val="21"/>
          <w:szCs w:val="21"/>
        </w:rPr>
      </w:pPr>
    </w:p>
    <w:p w14:paraId="6A6E75DC">
      <w:pPr>
        <w:tabs>
          <w:tab w:val="right" w:pos="9072"/>
        </w:tabs>
        <w:rPr>
          <w:rFonts w:hAnsi="宋体" w:cs="宋体"/>
          <w:b/>
          <w:bCs/>
          <w:sz w:val="21"/>
          <w:szCs w:val="21"/>
        </w:rPr>
      </w:pPr>
    </w:p>
    <w:p w14:paraId="3F087582">
      <w:pPr>
        <w:tabs>
          <w:tab w:val="right" w:pos="9072"/>
        </w:tabs>
        <w:rPr>
          <w:rFonts w:hAnsi="宋体" w:cs="宋体"/>
          <w:sz w:val="21"/>
          <w:szCs w:val="21"/>
        </w:rPr>
      </w:pPr>
      <w:r>
        <w:rPr>
          <w:rFonts w:hint="eastAsia" w:hAnsi="宋体" w:cs="宋体"/>
          <w:b/>
          <w:bCs/>
          <w:sz w:val="21"/>
          <w:szCs w:val="21"/>
        </w:rPr>
        <w:t>注：</w:t>
      </w:r>
      <w:r>
        <w:rPr>
          <w:rFonts w:hint="eastAsia" w:hAnsi="宋体" w:cs="宋体"/>
          <w:sz w:val="21"/>
          <w:szCs w:val="21"/>
        </w:rPr>
        <w:t>1.本分项报价金额应与“开标一览表”中的“投标报价”一致。</w:t>
      </w:r>
      <w:bookmarkStart w:id="189" w:name="_Toc23724"/>
      <w:bookmarkStart w:id="190" w:name="_Toc31186"/>
      <w:bookmarkStart w:id="191" w:name="_Toc23725"/>
      <w:bookmarkStart w:id="192" w:name="_Toc5992"/>
      <w:bookmarkStart w:id="193" w:name="_Toc17145"/>
    </w:p>
    <w:p w14:paraId="50269DFD">
      <w:pPr>
        <w:tabs>
          <w:tab w:val="right" w:pos="9072"/>
        </w:tabs>
        <w:ind w:firstLine="420" w:firstLineChars="200"/>
        <w:rPr>
          <w:rFonts w:hAnsi="宋体" w:cs="宋体"/>
          <w:sz w:val="21"/>
          <w:szCs w:val="21"/>
        </w:rPr>
      </w:pPr>
      <w:r>
        <w:rPr>
          <w:rFonts w:hint="eastAsia" w:hAnsi="宋体" w:cs="宋体"/>
          <w:sz w:val="21"/>
          <w:szCs w:val="21"/>
        </w:rPr>
        <w:t>2</w:t>
      </w:r>
      <w:r>
        <w:rPr>
          <w:rFonts w:hAnsi="宋体" w:cs="宋体"/>
          <w:sz w:val="21"/>
          <w:szCs w:val="21"/>
        </w:rPr>
        <w:t>.</w:t>
      </w:r>
      <w:r>
        <w:rPr>
          <w:rFonts w:hint="eastAsia" w:hAnsi="宋体" w:cs="宋体"/>
          <w:sz w:val="21"/>
          <w:szCs w:val="21"/>
        </w:rPr>
        <w:t>本表为样表，仅供参考，投标人根据项目实际需求进行填写。</w:t>
      </w:r>
      <w:r>
        <w:rPr>
          <w:b/>
          <w:bCs/>
          <w:sz w:val="21"/>
          <w:szCs w:val="16"/>
        </w:rPr>
        <w:br w:type="page"/>
      </w:r>
    </w:p>
    <w:p w14:paraId="45DCF180">
      <w:pPr>
        <w:jc w:val="center"/>
        <w:rPr>
          <w:b/>
          <w:bCs/>
          <w:sz w:val="21"/>
          <w:szCs w:val="16"/>
        </w:rPr>
      </w:pPr>
    </w:p>
    <w:p w14:paraId="080D58D7">
      <w:pPr>
        <w:jc w:val="center"/>
        <w:outlineLvl w:val="1"/>
        <w:rPr>
          <w:b/>
          <w:bCs/>
          <w:sz w:val="21"/>
          <w:szCs w:val="16"/>
        </w:rPr>
      </w:pPr>
      <w:r>
        <w:rPr>
          <w:rFonts w:hint="eastAsia"/>
          <w:b/>
          <w:bCs/>
          <w:sz w:val="32"/>
          <w:szCs w:val="32"/>
        </w:rPr>
        <w:t>第三部分  资格证明文件</w:t>
      </w:r>
      <w:bookmarkEnd w:id="189"/>
      <w:bookmarkEnd w:id="190"/>
      <w:bookmarkEnd w:id="191"/>
      <w:bookmarkEnd w:id="192"/>
      <w:bookmarkEnd w:id="193"/>
    </w:p>
    <w:p w14:paraId="0F3574A1">
      <w:pPr>
        <w:spacing w:line="288" w:lineRule="auto"/>
        <w:ind w:firstLine="420" w:firstLineChars="200"/>
        <w:rPr>
          <w:rFonts w:hAnsi="宋体" w:cs="宋体"/>
          <w:sz w:val="21"/>
          <w:szCs w:val="21"/>
        </w:rPr>
      </w:pPr>
    </w:p>
    <w:p w14:paraId="2FFDF08C">
      <w:pPr>
        <w:spacing w:line="288" w:lineRule="auto"/>
        <w:ind w:firstLine="480" w:firstLineChars="200"/>
        <w:rPr>
          <w:rFonts w:hAnsi="宋体" w:cs="宋体"/>
          <w:sz w:val="21"/>
          <w:szCs w:val="21"/>
        </w:rPr>
      </w:pPr>
      <w:r>
        <w:rPr>
          <w:rFonts w:hint="eastAsia" w:hAnsi="宋体" w:cs="宋体"/>
          <w:sz w:val="24"/>
          <w:szCs w:val="24"/>
          <w:lang w:val="en-US" w:eastAsia="zh-CN"/>
        </w:rPr>
        <w:t>投标人</w:t>
      </w:r>
      <w:r>
        <w:rPr>
          <w:rFonts w:hint="eastAsia" w:ascii="宋体" w:hAnsi="宋体" w:eastAsia="宋体" w:cs="宋体"/>
          <w:sz w:val="24"/>
          <w:szCs w:val="24"/>
        </w:rPr>
        <w:t>按</w:t>
      </w:r>
      <w:r>
        <w:rPr>
          <w:rFonts w:hint="eastAsia" w:hAnsi="宋体" w:cs="宋体"/>
          <w:sz w:val="24"/>
          <w:szCs w:val="24"/>
          <w:lang w:val="en-US" w:eastAsia="zh-CN"/>
        </w:rPr>
        <w:t>招标文件</w:t>
      </w:r>
      <w:r>
        <w:rPr>
          <w:rFonts w:hint="eastAsia" w:ascii="宋体" w:hAnsi="宋体" w:cs="宋体"/>
          <w:sz w:val="24"/>
          <w:szCs w:val="24"/>
          <w:lang w:val="en-US" w:eastAsia="zh-CN"/>
        </w:rPr>
        <w:t>资格审查要求</w:t>
      </w:r>
      <w:r>
        <w:rPr>
          <w:rFonts w:hint="eastAsia" w:ascii="宋体" w:hAnsi="宋体" w:eastAsia="宋体" w:cs="宋体"/>
          <w:sz w:val="24"/>
          <w:szCs w:val="24"/>
        </w:rPr>
        <w:t>逐一提供全部资料，缺少其中任何一项，</w:t>
      </w:r>
      <w:r>
        <w:rPr>
          <w:rFonts w:hint="eastAsia" w:hAnsi="宋体" w:cs="宋体"/>
          <w:sz w:val="24"/>
          <w:szCs w:val="24"/>
        </w:rPr>
        <w:t>其投标文件将被视</w:t>
      </w:r>
      <w:r>
        <w:rPr>
          <w:rFonts w:hint="eastAsia" w:hAnsi="宋体" w:cs="宋体"/>
          <w:b w:val="0"/>
          <w:bCs w:val="0"/>
          <w:sz w:val="24"/>
          <w:szCs w:val="24"/>
        </w:rPr>
        <w:t>为无效文件。其中，《法定代表人证明书》、《法定代表人授权委托书》（如有）、《书面声明函》、《榆林市政府采购货物类项目供应商信用承诺书》、《投标人信用承诺》、《投标人委托代理人员信用承诺书》（如有）应按下文给定格式填写，否则按无效处理。</w:t>
      </w:r>
    </w:p>
    <w:p w14:paraId="399869FF">
      <w:r>
        <w:rPr>
          <w:rFonts w:hint="eastAsia" w:ascii="宋体" w:hAnsi="宋体" w:cs="宋体"/>
          <w:b w:val="0"/>
          <w:bCs w:val="0"/>
          <w:sz w:val="24"/>
          <w:szCs w:val="24"/>
          <w:lang w:eastAsia="zh-CN"/>
        </w:rPr>
        <w:t>说明：关于“（</w:t>
      </w:r>
      <w:r>
        <w:rPr>
          <w:rFonts w:hint="eastAsia" w:ascii="宋体" w:hAnsi="宋体" w:cs="宋体"/>
          <w:b w:val="0"/>
          <w:bCs w:val="0"/>
          <w:sz w:val="24"/>
          <w:szCs w:val="24"/>
          <w:lang w:val="en-US" w:eastAsia="zh-CN"/>
        </w:rPr>
        <w:t>8</w:t>
      </w:r>
      <w:r>
        <w:rPr>
          <w:rFonts w:hint="eastAsia" w:ascii="宋体" w:hAnsi="宋体" w:cs="宋体"/>
          <w:b w:val="0"/>
          <w:bCs w:val="0"/>
          <w:sz w:val="24"/>
          <w:szCs w:val="24"/>
          <w:lang w:eastAsia="zh-CN"/>
        </w:rPr>
        <w:t>）</w:t>
      </w:r>
      <w:r>
        <w:rPr>
          <w:rFonts w:hint="eastAsia" w:ascii="宋体" w:hAnsi="宋体" w:cs="宋体"/>
          <w:i w:val="0"/>
          <w:iCs w:val="0"/>
          <w:caps w:val="0"/>
          <w:color w:val="auto"/>
          <w:spacing w:val="0"/>
          <w:sz w:val="24"/>
          <w:szCs w:val="24"/>
          <w:shd w:val="clear" w:fill="FFFFFF"/>
          <w:lang w:val="en-US" w:eastAsia="zh-CN"/>
        </w:rPr>
        <w:t>提供榆林市政府采购服务类项目供应商信用承诺书、投标信用（保证金）承诺书（格式详见</w:t>
      </w:r>
      <w:r>
        <w:rPr>
          <w:rFonts w:hint="eastAsia" w:hAnsi="宋体" w:cs="宋体"/>
          <w:i w:val="0"/>
          <w:iCs w:val="0"/>
          <w:caps w:val="0"/>
          <w:color w:val="auto"/>
          <w:spacing w:val="0"/>
          <w:sz w:val="24"/>
          <w:szCs w:val="24"/>
          <w:shd w:val="clear" w:fill="FFFFFF"/>
          <w:lang w:val="en-US" w:eastAsia="zh-CN"/>
        </w:rPr>
        <w:t>招标文件</w:t>
      </w:r>
      <w:r>
        <w:rPr>
          <w:rFonts w:hint="eastAsia" w:ascii="宋体" w:hAnsi="宋体" w:cs="宋体"/>
          <w:i w:val="0"/>
          <w:iCs w:val="0"/>
          <w:caps w:val="0"/>
          <w:color w:val="auto"/>
          <w:spacing w:val="0"/>
          <w:sz w:val="24"/>
          <w:szCs w:val="24"/>
          <w:shd w:val="clear" w:fill="FFFFFF"/>
          <w:lang w:val="en-US" w:eastAsia="zh-CN"/>
        </w:rPr>
        <w:t>）；供应商应在“信用中国（陕西榆林）”网站进行注册、登录、并提供截图，自主上报信用承诺书（网址：https://www.ylcredit.gov.cn/），开标现场由工作人员登录网站查询；</w:t>
      </w:r>
      <w:r>
        <w:rPr>
          <w:rFonts w:hint="eastAsia" w:ascii="宋体" w:hAnsi="宋体" w:cs="宋体"/>
          <w:b w:val="0"/>
          <w:bCs w:val="0"/>
          <w:sz w:val="24"/>
          <w:szCs w:val="24"/>
          <w:lang w:eastAsia="zh-CN"/>
        </w:rPr>
        <w:t>”此项需提供</w:t>
      </w:r>
      <w:r>
        <w:rPr>
          <w:rFonts w:hint="eastAsia" w:ascii="宋体" w:hAnsi="宋体" w:cs="宋体"/>
          <w:b w:val="0"/>
          <w:bCs w:val="0"/>
          <w:sz w:val="24"/>
          <w:szCs w:val="24"/>
          <w:lang w:val="en-US" w:eastAsia="zh-CN"/>
        </w:rPr>
        <w:t>供应商信用承诺公示、</w:t>
      </w:r>
      <w:r>
        <w:rPr>
          <w:rFonts w:hint="eastAsia" w:ascii="宋体" w:hAnsi="宋体" w:cs="宋体"/>
          <w:i w:val="0"/>
          <w:iCs w:val="0"/>
          <w:caps w:val="0"/>
          <w:color w:val="auto"/>
          <w:spacing w:val="0"/>
          <w:sz w:val="24"/>
          <w:szCs w:val="24"/>
          <w:shd w:val="clear" w:fill="FFFFFF"/>
          <w:lang w:val="en-US" w:eastAsia="zh-CN"/>
        </w:rPr>
        <w:t>投标信用（保证金）承诺书、</w:t>
      </w:r>
      <w:r>
        <w:rPr>
          <w:rFonts w:hint="eastAsia" w:ascii="宋体" w:hAnsi="宋体" w:cs="宋体"/>
          <w:b w:val="0"/>
          <w:bCs w:val="0"/>
          <w:sz w:val="24"/>
          <w:szCs w:val="24"/>
          <w:lang w:val="en-US" w:eastAsia="zh-CN"/>
        </w:rPr>
        <w:t>投标人法定代表人/委托代理人员信用承诺公示、网页截图。</w:t>
      </w:r>
      <w:r>
        <w:rPr>
          <w:rFonts w:hint="eastAsia"/>
        </w:rPr>
        <w:br w:type="page"/>
      </w:r>
    </w:p>
    <w:p w14:paraId="60659A2F">
      <w:pPr>
        <w:jc w:val="center"/>
        <w:rPr>
          <w:b/>
          <w:bCs/>
          <w:sz w:val="21"/>
          <w:szCs w:val="16"/>
        </w:rPr>
      </w:pPr>
      <w:r>
        <w:rPr>
          <w:rFonts w:hint="eastAsia"/>
          <w:b/>
          <w:bCs/>
          <w:sz w:val="28"/>
          <w:szCs w:val="28"/>
        </w:rPr>
        <w:t>书面声明函</w:t>
      </w:r>
    </w:p>
    <w:p w14:paraId="4D6A8530">
      <w:pPr>
        <w:jc w:val="left"/>
        <w:rPr>
          <w:rFonts w:hAnsi="宋体" w:cs="宋体"/>
          <w:color w:val="000000"/>
          <w:sz w:val="21"/>
          <w:szCs w:val="21"/>
        </w:rPr>
      </w:pPr>
    </w:p>
    <w:p w14:paraId="56D4E3DD">
      <w:pPr>
        <w:spacing w:line="360" w:lineRule="auto"/>
        <w:jc w:val="left"/>
        <w:rPr>
          <w:rFonts w:hAnsi="宋体" w:cs="宋体"/>
          <w:color w:val="000000"/>
          <w:sz w:val="24"/>
          <w:szCs w:val="24"/>
        </w:rPr>
      </w:pPr>
      <w:r>
        <w:rPr>
          <w:rFonts w:hint="eastAsia" w:hAnsi="宋体" w:cs="宋体"/>
          <w:color w:val="000000"/>
          <w:sz w:val="24"/>
          <w:szCs w:val="24"/>
          <w:lang w:eastAsia="zh-CN"/>
        </w:rPr>
        <w:t>榆林市交通运输局</w:t>
      </w:r>
      <w:r>
        <w:rPr>
          <w:rFonts w:hint="eastAsia" w:hAnsi="宋体" w:cs="宋体"/>
          <w:color w:val="000000"/>
          <w:sz w:val="24"/>
          <w:szCs w:val="24"/>
        </w:rPr>
        <w:t>：</w:t>
      </w:r>
    </w:p>
    <w:p w14:paraId="16F881B3">
      <w:pPr>
        <w:spacing w:line="360" w:lineRule="auto"/>
        <w:ind w:firstLine="480" w:firstLineChars="200"/>
        <w:jc w:val="left"/>
        <w:rPr>
          <w:rFonts w:hAnsi="宋体" w:cs="宋体"/>
          <w:color w:val="000000"/>
          <w:sz w:val="24"/>
          <w:szCs w:val="24"/>
        </w:rPr>
      </w:pPr>
      <w:r>
        <w:rPr>
          <w:rFonts w:hint="eastAsia" w:hAnsi="宋体" w:cs="宋体"/>
          <w:color w:val="000000"/>
          <w:sz w:val="24"/>
          <w:szCs w:val="24"/>
        </w:rPr>
        <w:t>我方作为项目</w:t>
      </w:r>
      <w:r>
        <w:rPr>
          <w:rFonts w:hint="eastAsia" w:hAnsi="宋体" w:cs="宋体"/>
          <w:sz w:val="24"/>
          <w:szCs w:val="24"/>
          <w:lang w:val="en-US" w:eastAsia="zh-CN"/>
        </w:rPr>
        <w:t>名称：</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color w:val="000000"/>
          <w:sz w:val="24"/>
          <w:szCs w:val="24"/>
        </w:rPr>
        <w:t>（项目编号：</w:t>
      </w:r>
      <w:r>
        <w:rPr>
          <w:rFonts w:hint="eastAsia" w:hAnsi="宋体" w:cs="宋体"/>
          <w:sz w:val="24"/>
          <w:szCs w:val="24"/>
          <w:u w:val="single"/>
        </w:rPr>
        <w:t xml:space="preserve">     </w:t>
      </w:r>
      <w:r>
        <w:rPr>
          <w:rFonts w:hint="eastAsia" w:hAnsi="宋体" w:cs="宋体"/>
          <w:color w:val="000000"/>
          <w:sz w:val="24"/>
          <w:szCs w:val="24"/>
        </w:rPr>
        <w:t>）的投标人，在此郑重声明：</w:t>
      </w:r>
    </w:p>
    <w:p w14:paraId="32F64629">
      <w:pPr>
        <w:spacing w:line="360" w:lineRule="auto"/>
        <w:ind w:firstLine="480" w:firstLineChars="200"/>
        <w:jc w:val="left"/>
        <w:rPr>
          <w:rFonts w:hAnsi="宋体" w:cs="宋体"/>
          <w:color w:val="000000"/>
          <w:sz w:val="24"/>
          <w:szCs w:val="24"/>
        </w:rPr>
      </w:pPr>
      <w:r>
        <w:rPr>
          <w:rFonts w:hint="eastAsia" w:hAnsi="宋体" w:cs="宋体"/>
          <w:color w:val="000000"/>
          <w:sz w:val="24"/>
          <w:szCs w:val="24"/>
        </w:rPr>
        <w:t>1.在参加本次政府采购活动前3年内的经营活动中</w:t>
      </w:r>
      <w:r>
        <w:rPr>
          <w:rFonts w:hint="eastAsia" w:hAnsi="宋体" w:cs="宋体"/>
          <w:color w:val="000000"/>
          <w:sz w:val="24"/>
          <w:szCs w:val="24"/>
          <w:u w:val="single"/>
        </w:rPr>
        <w:t xml:space="preserve">       </w:t>
      </w:r>
      <w:r>
        <w:rPr>
          <w:rFonts w:hint="eastAsia" w:hAnsi="宋体" w:cs="宋体"/>
          <w:color w:val="000000"/>
          <w:sz w:val="24"/>
          <w:szCs w:val="24"/>
        </w:rPr>
        <w:t>（填“没有”或“有”）重大违法记录。（投标人在参加政府采购活动前3年内因违法经营被禁止在一定期限内参加政府采购活动，期限届满的，可以参加政府采购活动，但应提供期限届满的证明材料。）</w:t>
      </w:r>
    </w:p>
    <w:p w14:paraId="09546AB1">
      <w:pPr>
        <w:spacing w:line="360" w:lineRule="auto"/>
        <w:ind w:firstLine="480" w:firstLineChars="200"/>
        <w:jc w:val="left"/>
        <w:rPr>
          <w:rFonts w:hAnsi="宋体" w:cs="宋体"/>
          <w:color w:val="000000"/>
          <w:sz w:val="24"/>
          <w:szCs w:val="24"/>
        </w:rPr>
      </w:pPr>
      <w:r>
        <w:rPr>
          <w:rFonts w:hint="eastAsia" w:hAnsi="宋体" w:cs="宋体"/>
          <w:color w:val="000000"/>
          <w:sz w:val="24"/>
          <w:szCs w:val="24"/>
        </w:rPr>
        <w:t>2.我方</w:t>
      </w:r>
      <w:r>
        <w:rPr>
          <w:rFonts w:hint="eastAsia" w:hAnsi="宋体" w:cs="宋体"/>
          <w:color w:val="000000"/>
          <w:sz w:val="24"/>
          <w:szCs w:val="24"/>
          <w:u w:val="single"/>
        </w:rPr>
        <w:t xml:space="preserve">        </w:t>
      </w:r>
      <w:r>
        <w:rPr>
          <w:rFonts w:hint="eastAsia" w:hAnsi="宋体" w:cs="宋体"/>
          <w:color w:val="000000"/>
          <w:sz w:val="24"/>
          <w:szCs w:val="24"/>
        </w:rPr>
        <w:t>（填“未被列入”或“被列入”）严重失信主体名单。</w:t>
      </w:r>
    </w:p>
    <w:p w14:paraId="5430CA53">
      <w:pPr>
        <w:spacing w:line="360" w:lineRule="auto"/>
        <w:ind w:firstLine="480" w:firstLineChars="200"/>
        <w:jc w:val="left"/>
        <w:rPr>
          <w:rFonts w:hAnsi="宋体" w:cs="宋体"/>
          <w:color w:val="000000"/>
          <w:sz w:val="24"/>
          <w:szCs w:val="24"/>
        </w:rPr>
      </w:pPr>
      <w:r>
        <w:rPr>
          <w:rFonts w:hint="eastAsia" w:hAnsi="宋体" w:cs="宋体"/>
          <w:color w:val="000000"/>
          <w:sz w:val="24"/>
          <w:szCs w:val="24"/>
        </w:rPr>
        <w:t>3.我方</w:t>
      </w:r>
      <w:r>
        <w:rPr>
          <w:rFonts w:hint="eastAsia" w:hAnsi="宋体" w:cs="宋体"/>
          <w:color w:val="000000"/>
          <w:sz w:val="24"/>
          <w:szCs w:val="24"/>
          <w:u w:val="single"/>
        </w:rPr>
        <w:t xml:space="preserve">        </w:t>
      </w:r>
      <w:r>
        <w:rPr>
          <w:rFonts w:hint="eastAsia" w:hAnsi="宋体" w:cs="宋体"/>
          <w:color w:val="000000"/>
          <w:sz w:val="24"/>
          <w:szCs w:val="24"/>
        </w:rPr>
        <w:t>（填“未被列入”或“被列入”）重大税收违法失信主体名单。</w:t>
      </w:r>
    </w:p>
    <w:p w14:paraId="02A63D60">
      <w:pPr>
        <w:spacing w:line="360" w:lineRule="auto"/>
        <w:ind w:firstLine="480" w:firstLineChars="200"/>
        <w:jc w:val="left"/>
        <w:rPr>
          <w:rFonts w:hAnsi="宋体" w:cs="宋体"/>
          <w:color w:val="000000"/>
          <w:sz w:val="24"/>
          <w:szCs w:val="24"/>
        </w:rPr>
      </w:pPr>
      <w:r>
        <w:rPr>
          <w:rFonts w:hint="eastAsia" w:hAnsi="宋体" w:cs="宋体"/>
          <w:color w:val="000000"/>
          <w:sz w:val="24"/>
          <w:szCs w:val="24"/>
        </w:rPr>
        <w:t>4.我方</w:t>
      </w:r>
      <w:r>
        <w:rPr>
          <w:rFonts w:hint="eastAsia" w:hAnsi="宋体" w:cs="宋体"/>
          <w:color w:val="000000"/>
          <w:sz w:val="24"/>
          <w:szCs w:val="24"/>
          <w:u w:val="single"/>
        </w:rPr>
        <w:t xml:space="preserve">        </w:t>
      </w:r>
      <w:r>
        <w:rPr>
          <w:rFonts w:hint="eastAsia" w:hAnsi="宋体" w:cs="宋体"/>
          <w:color w:val="000000"/>
          <w:sz w:val="24"/>
          <w:szCs w:val="24"/>
        </w:rPr>
        <w:t>（填“未被列入”或“被列入”）政府采购严重违法失信行为记录名单。</w:t>
      </w:r>
    </w:p>
    <w:p w14:paraId="37206BD8">
      <w:pPr>
        <w:spacing w:line="360" w:lineRule="auto"/>
        <w:ind w:firstLine="480" w:firstLineChars="200"/>
        <w:jc w:val="left"/>
        <w:rPr>
          <w:rFonts w:hAnsi="宋体" w:cs="宋体"/>
          <w:color w:val="000000"/>
          <w:sz w:val="24"/>
          <w:szCs w:val="24"/>
        </w:rPr>
      </w:pPr>
      <w:r>
        <w:rPr>
          <w:rFonts w:hint="eastAsia" w:hAnsi="宋体" w:cs="宋体"/>
          <w:color w:val="000000"/>
          <w:sz w:val="24"/>
          <w:szCs w:val="24"/>
        </w:rPr>
        <w:t>如有不实，我方将无条件地退出本项目的采购活动，并遵照《政府采购法》有关“提供虚假材料的规定”接受处罚。</w:t>
      </w:r>
    </w:p>
    <w:p w14:paraId="28B6EA6E">
      <w:pPr>
        <w:spacing w:line="360" w:lineRule="auto"/>
        <w:ind w:firstLine="480" w:firstLineChars="200"/>
        <w:jc w:val="left"/>
        <w:rPr>
          <w:rFonts w:hAnsi="宋体" w:cs="宋体"/>
          <w:color w:val="000000"/>
          <w:sz w:val="24"/>
          <w:szCs w:val="24"/>
        </w:rPr>
      </w:pPr>
      <w:r>
        <w:rPr>
          <w:rFonts w:hint="eastAsia" w:hAnsi="宋体" w:cs="宋体"/>
          <w:color w:val="000000"/>
          <w:sz w:val="24"/>
          <w:szCs w:val="24"/>
        </w:rPr>
        <w:t>特此声明。</w:t>
      </w:r>
    </w:p>
    <w:p w14:paraId="6E2F1851">
      <w:pPr>
        <w:spacing w:line="288" w:lineRule="auto"/>
        <w:ind w:firstLine="480" w:firstLineChars="200"/>
        <w:jc w:val="left"/>
        <w:rPr>
          <w:rFonts w:hAnsi="宋体" w:cs="宋体"/>
          <w:color w:val="000000"/>
          <w:sz w:val="24"/>
          <w:szCs w:val="24"/>
        </w:rPr>
      </w:pPr>
    </w:p>
    <w:p w14:paraId="093F0FA0">
      <w:pPr>
        <w:spacing w:line="288" w:lineRule="auto"/>
        <w:ind w:firstLine="480" w:firstLineChars="200"/>
        <w:jc w:val="left"/>
        <w:rPr>
          <w:rFonts w:hAnsi="宋体" w:cs="宋体"/>
          <w:color w:val="000000"/>
          <w:sz w:val="24"/>
          <w:szCs w:val="24"/>
        </w:rPr>
      </w:pPr>
    </w:p>
    <w:p w14:paraId="0D40039A">
      <w:pPr>
        <w:spacing w:line="288" w:lineRule="auto"/>
        <w:ind w:firstLine="5520" w:firstLineChars="2300"/>
        <w:jc w:val="left"/>
        <w:rPr>
          <w:rFonts w:hAnsi="宋体" w:cs="宋体"/>
          <w:color w:val="000000"/>
          <w:sz w:val="24"/>
          <w:szCs w:val="24"/>
        </w:rPr>
      </w:pPr>
      <w:r>
        <w:rPr>
          <w:rFonts w:hint="eastAsia" w:hAnsi="宋体" w:cs="宋体"/>
          <w:color w:val="000000"/>
          <w:sz w:val="24"/>
          <w:szCs w:val="24"/>
        </w:rPr>
        <w:t>投标人：</w:t>
      </w:r>
      <w:r>
        <w:rPr>
          <w:rFonts w:hint="eastAsia" w:hAnsi="宋体" w:cs="宋体"/>
          <w:color w:val="000000"/>
          <w:sz w:val="24"/>
          <w:szCs w:val="24"/>
          <w:u w:val="single"/>
        </w:rPr>
        <w:t>名称</w:t>
      </w:r>
      <w:r>
        <w:rPr>
          <w:rFonts w:hint="eastAsia" w:hAnsi="宋体" w:cs="宋体"/>
          <w:color w:val="000000"/>
          <w:sz w:val="24"/>
          <w:szCs w:val="24"/>
        </w:rPr>
        <w:t>（盖章）</w:t>
      </w:r>
    </w:p>
    <w:p w14:paraId="552B9DC1">
      <w:pPr>
        <w:spacing w:line="288" w:lineRule="auto"/>
        <w:ind w:firstLine="5520" w:firstLineChars="2300"/>
        <w:jc w:val="left"/>
        <w:rPr>
          <w:rFonts w:hAnsi="宋体" w:cs="宋体"/>
          <w:color w:val="000000"/>
          <w:sz w:val="24"/>
          <w:szCs w:val="24"/>
        </w:rPr>
      </w:pPr>
      <w:r>
        <w:rPr>
          <w:rFonts w:hint="eastAsia" w:hAnsi="宋体" w:cs="宋体"/>
          <w:color w:val="000000"/>
          <w:sz w:val="24"/>
          <w:szCs w:val="24"/>
        </w:rPr>
        <w:t>法定代表人：（签章）</w:t>
      </w:r>
    </w:p>
    <w:p w14:paraId="7E1DBA18">
      <w:pPr>
        <w:spacing w:line="288" w:lineRule="auto"/>
        <w:ind w:firstLine="5520" w:firstLineChars="2300"/>
        <w:jc w:val="left"/>
        <w:rPr>
          <w:rFonts w:hAnsi="宋体" w:cs="宋体"/>
          <w:color w:val="000000"/>
          <w:sz w:val="24"/>
          <w:szCs w:val="24"/>
        </w:rPr>
      </w:pPr>
      <w:r>
        <w:rPr>
          <w:rFonts w:hint="eastAsia" w:hAnsi="宋体" w:cs="宋体"/>
          <w:color w:val="000000"/>
          <w:sz w:val="24"/>
          <w:szCs w:val="24"/>
        </w:rPr>
        <w:t>日期：　　年　月　日</w:t>
      </w:r>
    </w:p>
    <w:p w14:paraId="128A52DB">
      <w:pPr>
        <w:rPr>
          <w:rFonts w:hAnsi="宋体" w:cs="宋体"/>
          <w:b/>
          <w:szCs w:val="24"/>
        </w:rPr>
      </w:pPr>
      <w:r>
        <w:rPr>
          <w:rFonts w:hint="eastAsia" w:hAnsi="宋体" w:cs="宋体"/>
          <w:b/>
          <w:szCs w:val="24"/>
        </w:rPr>
        <w:br w:type="page"/>
      </w:r>
    </w:p>
    <w:p w14:paraId="7F7038C1">
      <w:pPr>
        <w:jc w:val="center"/>
        <w:rPr>
          <w:rFonts w:hAnsi="宋体" w:cs="宋体"/>
          <w:b/>
          <w:sz w:val="21"/>
          <w:szCs w:val="21"/>
        </w:rPr>
      </w:pPr>
    </w:p>
    <w:p w14:paraId="2141B68F">
      <w:pPr>
        <w:jc w:val="center"/>
        <w:rPr>
          <w:rFonts w:hAnsi="宋体" w:cs="宋体"/>
          <w:szCs w:val="24"/>
        </w:rPr>
      </w:pPr>
      <w:r>
        <w:rPr>
          <w:rFonts w:hint="eastAsia" w:hAnsi="宋体" w:cs="宋体"/>
          <w:b/>
          <w:sz w:val="28"/>
          <w:szCs w:val="28"/>
        </w:rPr>
        <w:t>榆林市政府采购</w:t>
      </w:r>
      <w:r>
        <w:rPr>
          <w:rFonts w:hint="eastAsia" w:hAnsi="宋体" w:cs="宋体"/>
          <w:b/>
          <w:sz w:val="28"/>
          <w:szCs w:val="28"/>
          <w:lang w:val="en-US" w:eastAsia="zh-CN"/>
        </w:rPr>
        <w:t>服务类</w:t>
      </w:r>
      <w:r>
        <w:rPr>
          <w:rFonts w:hint="eastAsia" w:hAnsi="宋体" w:cs="宋体"/>
          <w:b/>
          <w:sz w:val="28"/>
          <w:szCs w:val="28"/>
        </w:rPr>
        <w:t>项目供应商信用承诺书</w:t>
      </w:r>
    </w:p>
    <w:p w14:paraId="59510CED">
      <w:pPr>
        <w:spacing w:line="288" w:lineRule="auto"/>
        <w:ind w:firstLine="480" w:firstLineChars="200"/>
        <w:rPr>
          <w:rFonts w:hAnsi="宋体" w:cs="宋体"/>
          <w:sz w:val="24"/>
          <w:szCs w:val="24"/>
        </w:rPr>
      </w:pPr>
      <w:r>
        <w:rPr>
          <w:rFonts w:hint="eastAsia" w:hAnsi="宋体" w:cs="宋体"/>
          <w:sz w:val="24"/>
          <w:szCs w:val="24"/>
        </w:rPr>
        <w:t>市场主体名称：</w:t>
      </w:r>
    </w:p>
    <w:p w14:paraId="3FDCE09D">
      <w:pPr>
        <w:spacing w:line="288" w:lineRule="auto"/>
        <w:ind w:firstLine="480" w:firstLineChars="200"/>
        <w:rPr>
          <w:rFonts w:hAnsi="宋体" w:cs="宋体"/>
          <w:sz w:val="24"/>
          <w:szCs w:val="24"/>
        </w:rPr>
      </w:pPr>
      <w:r>
        <w:rPr>
          <w:rFonts w:hint="eastAsia" w:hAnsi="宋体" w:cs="宋体"/>
          <w:sz w:val="24"/>
          <w:szCs w:val="24"/>
        </w:rPr>
        <w:t>证件类型：统一社会信用代码</w:t>
      </w:r>
    </w:p>
    <w:p w14:paraId="37100DC0">
      <w:pPr>
        <w:spacing w:line="288" w:lineRule="auto"/>
        <w:ind w:firstLine="480" w:firstLineChars="200"/>
        <w:rPr>
          <w:rFonts w:hAnsi="宋体" w:cs="宋体"/>
          <w:sz w:val="24"/>
          <w:szCs w:val="24"/>
        </w:rPr>
      </w:pPr>
      <w:r>
        <w:rPr>
          <w:rFonts w:hint="eastAsia" w:hAnsi="宋体" w:cs="宋体"/>
          <w:sz w:val="24"/>
          <w:szCs w:val="24"/>
        </w:rPr>
        <w:t>证件号码：</w:t>
      </w:r>
    </w:p>
    <w:p w14:paraId="699553D4">
      <w:pPr>
        <w:spacing w:line="288" w:lineRule="auto"/>
        <w:ind w:firstLine="480" w:firstLineChars="200"/>
        <w:rPr>
          <w:rFonts w:hAnsi="宋体" w:cs="宋体"/>
          <w:sz w:val="24"/>
          <w:szCs w:val="24"/>
        </w:rPr>
      </w:pPr>
      <w:r>
        <w:rPr>
          <w:rFonts w:hint="eastAsia" w:hAnsi="宋体" w:cs="宋体"/>
          <w:sz w:val="24"/>
          <w:szCs w:val="24"/>
        </w:rPr>
        <w:t>法人代表：</w:t>
      </w:r>
    </w:p>
    <w:p w14:paraId="7B1DB35F">
      <w:pPr>
        <w:spacing w:line="288" w:lineRule="auto"/>
        <w:ind w:firstLine="480" w:firstLineChars="200"/>
        <w:rPr>
          <w:rFonts w:hAnsi="宋体" w:cs="宋体"/>
          <w:sz w:val="24"/>
          <w:szCs w:val="24"/>
        </w:rPr>
      </w:pPr>
      <w:r>
        <w:rPr>
          <w:rFonts w:hint="eastAsia" w:hAnsi="宋体" w:cs="宋体"/>
          <w:sz w:val="24"/>
          <w:szCs w:val="24"/>
        </w:rPr>
        <w:t>承诺有效期限：    年    月    日—    年    月    日</w:t>
      </w:r>
    </w:p>
    <w:p w14:paraId="6BD9DA4C">
      <w:pPr>
        <w:spacing w:line="288" w:lineRule="auto"/>
        <w:ind w:firstLine="480" w:firstLineChars="200"/>
        <w:rPr>
          <w:rFonts w:hAnsi="宋体" w:cs="宋体"/>
          <w:sz w:val="24"/>
          <w:szCs w:val="24"/>
        </w:rPr>
      </w:pPr>
      <w:r>
        <w:rPr>
          <w:rFonts w:hint="eastAsia" w:hAnsi="宋体" w:cs="宋体"/>
          <w:sz w:val="24"/>
          <w:szCs w:val="24"/>
        </w:rPr>
        <w:t>承诺内容：</w:t>
      </w:r>
    </w:p>
    <w:p w14:paraId="57EE97AE">
      <w:pPr>
        <w:spacing w:line="288" w:lineRule="auto"/>
        <w:ind w:firstLine="480" w:firstLineChars="200"/>
        <w:rPr>
          <w:rFonts w:hAnsi="宋体" w:cs="宋体"/>
          <w:sz w:val="24"/>
          <w:szCs w:val="24"/>
        </w:rPr>
      </w:pPr>
      <w:r>
        <w:rPr>
          <w:rFonts w:hint="eastAsia" w:hAnsi="宋体" w:cs="宋体"/>
          <w:sz w:val="24"/>
          <w:szCs w:val="24"/>
        </w:rPr>
        <w:t>为维护公开、公平、公正的政府采购市场秩序，树立诚实守信的政府采购供应商形象，本单位</w:t>
      </w:r>
      <w:r>
        <w:rPr>
          <w:rFonts w:hint="eastAsia" w:hAnsi="宋体" w:cs="宋体"/>
          <w:sz w:val="24"/>
          <w:szCs w:val="24"/>
          <w:lang w:val="en-US" w:eastAsia="zh-CN"/>
        </w:rPr>
        <w:t>参与（项目名称）</w:t>
      </w:r>
      <w:r>
        <w:rPr>
          <w:rFonts w:hint="eastAsia" w:hAnsi="宋体" w:cs="宋体"/>
          <w:sz w:val="24"/>
          <w:szCs w:val="24"/>
        </w:rPr>
        <w:t>自愿做出以下承诺：</w:t>
      </w:r>
    </w:p>
    <w:p w14:paraId="5D885A8E">
      <w:pPr>
        <w:spacing w:line="288" w:lineRule="auto"/>
        <w:ind w:firstLine="480" w:firstLineChars="200"/>
        <w:rPr>
          <w:rFonts w:hAnsi="宋体" w:cs="宋体"/>
          <w:sz w:val="24"/>
          <w:szCs w:val="24"/>
        </w:rPr>
      </w:pPr>
      <w:r>
        <w:rPr>
          <w:rFonts w:hint="eastAsia" w:hAnsi="宋体" w:cs="宋体"/>
          <w:sz w:val="24"/>
          <w:szCs w:val="24"/>
        </w:rPr>
        <w:t>一、承诺本单位严格遵守国家法律、法规和规章，全面履行应尽的责任和义务，全面做到履约守信，具备《政府采购法》第二十二条第一款规定的条件;</w:t>
      </w:r>
    </w:p>
    <w:p w14:paraId="60BBB0ED">
      <w:pPr>
        <w:overflowPunct w:val="0"/>
        <w:topLinePunct/>
        <w:spacing w:line="288" w:lineRule="auto"/>
        <w:ind w:firstLine="480" w:firstLineChars="200"/>
        <w:jc w:val="left"/>
        <w:rPr>
          <w:rFonts w:hAnsi="宋体" w:cs="宋体"/>
          <w:sz w:val="24"/>
          <w:szCs w:val="24"/>
        </w:rPr>
      </w:pPr>
      <w:r>
        <w:rPr>
          <w:rFonts w:hint="eastAsia" w:hAnsi="宋体" w:cs="宋体"/>
          <w:sz w:val="24"/>
          <w:szCs w:val="24"/>
        </w:rPr>
        <w:t>二、承诺本单位提供给注册登记部门、行业管理部门、司法部门、行业组织以及在政府采购活动中提交的所有资料均合法、真实、有效，无任何伪造、修改、虚假成份，并对所提供资料的真实性负责；</w:t>
      </w:r>
    </w:p>
    <w:p w14:paraId="31B4A6F0">
      <w:pPr>
        <w:overflowPunct w:val="0"/>
        <w:topLinePunct/>
        <w:spacing w:line="288" w:lineRule="auto"/>
        <w:ind w:firstLine="480" w:firstLineChars="200"/>
        <w:jc w:val="left"/>
        <w:rPr>
          <w:rFonts w:hAnsi="宋体" w:cs="宋体"/>
          <w:sz w:val="24"/>
          <w:szCs w:val="24"/>
        </w:rPr>
      </w:pPr>
      <w:r>
        <w:rPr>
          <w:rFonts w:hint="eastAsia" w:hAnsi="宋体" w:cs="宋体"/>
          <w:sz w:val="24"/>
          <w:szCs w:val="24"/>
        </w:rPr>
        <w:t>三、承诺本单位严格依法开展生产经营活动，主动接受行业监管，自愿接受依法开展的日常检查；违法失信经营后将自愿接受约束和惩戒，并依法承担相应责任；</w:t>
      </w:r>
    </w:p>
    <w:p w14:paraId="1C6C1551">
      <w:pPr>
        <w:overflowPunct w:val="0"/>
        <w:topLinePunct/>
        <w:spacing w:line="288" w:lineRule="auto"/>
        <w:ind w:firstLine="480" w:firstLineChars="200"/>
        <w:jc w:val="left"/>
        <w:rPr>
          <w:rFonts w:hAnsi="宋体" w:cs="宋体"/>
          <w:sz w:val="24"/>
          <w:szCs w:val="24"/>
        </w:rPr>
      </w:pPr>
      <w:r>
        <w:rPr>
          <w:rFonts w:hint="eastAsia" w:hAnsi="宋体" w:cs="宋体"/>
          <w:sz w:val="24"/>
          <w:szCs w:val="24"/>
        </w:rPr>
        <w:t>四、承诺本单位自觉接受行政管理部门、行业组织、社会公众、新闻舆论的监督；</w:t>
      </w:r>
    </w:p>
    <w:p w14:paraId="64204A5B">
      <w:pPr>
        <w:overflowPunct w:val="0"/>
        <w:topLinePunct/>
        <w:spacing w:line="288" w:lineRule="auto"/>
        <w:ind w:firstLine="480" w:firstLineChars="200"/>
        <w:jc w:val="left"/>
        <w:rPr>
          <w:rFonts w:hAnsi="宋体" w:cs="宋体"/>
          <w:sz w:val="24"/>
          <w:szCs w:val="24"/>
        </w:rPr>
      </w:pPr>
      <w:r>
        <w:rPr>
          <w:rFonts w:hint="eastAsia" w:hAnsi="宋体" w:cs="宋体"/>
          <w:sz w:val="24"/>
          <w:szCs w:val="24"/>
        </w:rPr>
        <w:t>五、承诺本单位自我约束、自我管理，重合同、守信用，不制假售假、商标侵权、虚假宣传、违约毁约、恶意逃债、偷税漏税、价格欺诈、垄断和不正当竞争，维护经营者、消费者的合法权益；</w:t>
      </w:r>
    </w:p>
    <w:p w14:paraId="49064A2B">
      <w:pPr>
        <w:overflowPunct w:val="0"/>
        <w:topLinePunct/>
        <w:spacing w:line="288" w:lineRule="auto"/>
        <w:ind w:firstLine="480" w:firstLineChars="200"/>
        <w:jc w:val="left"/>
        <w:rPr>
          <w:rFonts w:hAnsi="宋体" w:cs="宋体"/>
          <w:sz w:val="24"/>
          <w:szCs w:val="24"/>
        </w:rPr>
      </w:pPr>
      <w:r>
        <w:rPr>
          <w:rFonts w:hint="eastAsia" w:hAnsi="宋体" w:cs="宋体"/>
          <w:sz w:val="24"/>
          <w:szCs w:val="24"/>
        </w:rPr>
        <w:t>六、承诺本单位提出政府采购质疑和投诉坚持依法依规、诚实信用原则，在全国范围12个月内没有三次以上查无实据的政府采购投诉；</w:t>
      </w:r>
    </w:p>
    <w:p w14:paraId="5569CBE4">
      <w:pPr>
        <w:overflowPunct w:val="0"/>
        <w:topLinePunct/>
        <w:spacing w:line="288" w:lineRule="auto"/>
        <w:ind w:firstLine="480" w:firstLineChars="200"/>
        <w:jc w:val="left"/>
        <w:rPr>
          <w:rFonts w:hAnsi="宋体" w:cs="宋体"/>
          <w:sz w:val="24"/>
          <w:szCs w:val="24"/>
        </w:rPr>
      </w:pPr>
      <w:r>
        <w:rPr>
          <w:rFonts w:hint="eastAsia" w:hAnsi="宋体" w:cs="宋体"/>
          <w:sz w:val="24"/>
          <w:szCs w:val="24"/>
        </w:rPr>
        <w:t>七、根据政府采购相关法律法规的规定需要作出的其他</w:t>
      </w:r>
      <w:r>
        <w:rPr>
          <w:rFonts w:hint="eastAsia" w:hAnsi="宋体" w:cs="宋体"/>
          <w:sz w:val="24"/>
          <w:szCs w:val="24"/>
          <w:lang w:val="en-US" w:eastAsia="zh-CN"/>
        </w:rPr>
        <w:t>承</w:t>
      </w:r>
      <w:r>
        <w:rPr>
          <w:rFonts w:hint="eastAsia" w:hAnsi="宋体" w:cs="宋体"/>
          <w:sz w:val="24"/>
          <w:szCs w:val="24"/>
        </w:rPr>
        <w:t>诺：</w:t>
      </w:r>
      <w:r>
        <w:rPr>
          <w:rFonts w:hint="eastAsia" w:hAnsi="宋体" w:cs="宋体"/>
          <w:sz w:val="24"/>
          <w:szCs w:val="24"/>
          <w:u w:val="single"/>
        </w:rPr>
        <w:t>       </w:t>
      </w:r>
      <w:r>
        <w:rPr>
          <w:rFonts w:hint="eastAsia" w:hAnsi="宋体" w:cs="宋体"/>
          <w:sz w:val="24"/>
          <w:szCs w:val="24"/>
        </w:rPr>
        <w:t>。</w:t>
      </w:r>
    </w:p>
    <w:p w14:paraId="69CBF47E">
      <w:pPr>
        <w:overflowPunct w:val="0"/>
        <w:topLinePunct/>
        <w:spacing w:line="288" w:lineRule="auto"/>
        <w:ind w:firstLine="480" w:firstLineChars="200"/>
        <w:jc w:val="left"/>
        <w:rPr>
          <w:rFonts w:hAnsi="宋体" w:cs="宋体"/>
          <w:sz w:val="24"/>
          <w:szCs w:val="24"/>
        </w:rPr>
      </w:pPr>
      <w:r>
        <w:rPr>
          <w:rFonts w:hint="eastAsia" w:hAnsi="宋体" w:cs="宋体"/>
          <w:sz w:val="24"/>
          <w:szCs w:val="24"/>
        </w:rPr>
        <w:t>八、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35F36566">
      <w:pPr>
        <w:overflowPunct w:val="0"/>
        <w:topLinePunct/>
        <w:spacing w:line="288" w:lineRule="auto"/>
        <w:ind w:firstLine="480" w:firstLineChars="200"/>
        <w:jc w:val="left"/>
        <w:rPr>
          <w:rFonts w:hAnsi="宋体" w:cs="宋体"/>
          <w:sz w:val="24"/>
          <w:szCs w:val="24"/>
        </w:rPr>
      </w:pPr>
      <w:r>
        <w:rPr>
          <w:rFonts w:hint="eastAsia" w:hAnsi="宋体" w:cs="宋体"/>
          <w:sz w:val="24"/>
          <w:szCs w:val="24"/>
        </w:rPr>
        <w:t>       承诺单位（盖章）：</w:t>
      </w:r>
    </w:p>
    <w:p w14:paraId="209DC699">
      <w:pPr>
        <w:overflowPunct w:val="0"/>
        <w:topLinePunct/>
        <w:spacing w:line="288" w:lineRule="auto"/>
        <w:ind w:firstLine="480" w:firstLineChars="200"/>
        <w:jc w:val="left"/>
        <w:rPr>
          <w:rFonts w:hAnsi="宋体" w:cs="宋体"/>
          <w:sz w:val="24"/>
          <w:szCs w:val="24"/>
        </w:rPr>
      </w:pPr>
      <w:r>
        <w:rPr>
          <w:rFonts w:hint="eastAsia" w:hAnsi="宋体" w:cs="宋体"/>
          <w:sz w:val="24"/>
          <w:szCs w:val="24"/>
        </w:rPr>
        <w:t>       法定代表人（</w:t>
      </w:r>
      <w:r>
        <w:rPr>
          <w:rFonts w:hint="eastAsia" w:hAnsi="宋体" w:cs="宋体"/>
          <w:sz w:val="24"/>
          <w:szCs w:val="24"/>
          <w:lang w:val="en-US" w:eastAsia="zh-CN"/>
        </w:rPr>
        <w:t>签字</w:t>
      </w:r>
      <w:r>
        <w:rPr>
          <w:rFonts w:hint="eastAsia" w:hAnsi="宋体" w:cs="宋体"/>
          <w:sz w:val="24"/>
          <w:szCs w:val="24"/>
        </w:rPr>
        <w:t>）：</w:t>
      </w:r>
    </w:p>
    <w:p w14:paraId="260DC313">
      <w:pPr>
        <w:overflowPunct w:val="0"/>
        <w:topLinePunct/>
        <w:spacing w:line="288" w:lineRule="auto"/>
        <w:ind w:firstLine="480" w:firstLineChars="200"/>
        <w:jc w:val="left"/>
        <w:rPr>
          <w:rFonts w:hAnsi="宋体" w:cs="宋体"/>
          <w:sz w:val="24"/>
          <w:szCs w:val="24"/>
        </w:rPr>
      </w:pPr>
      <w:r>
        <w:rPr>
          <w:rFonts w:hint="eastAsia" w:hAnsi="宋体" w:cs="宋体"/>
          <w:sz w:val="24"/>
          <w:szCs w:val="24"/>
        </w:rPr>
        <w:t xml:space="preserve">              法定代表人（负责人）身份证号：</w:t>
      </w:r>
    </w:p>
    <w:p w14:paraId="4115C37F">
      <w:pPr>
        <w:overflowPunct w:val="0"/>
        <w:topLinePunct/>
        <w:spacing w:line="288" w:lineRule="auto"/>
        <w:ind w:firstLine="480" w:firstLineChars="200"/>
        <w:jc w:val="left"/>
        <w:rPr>
          <w:rFonts w:hAnsi="宋体" w:cs="宋体"/>
          <w:sz w:val="21"/>
          <w:szCs w:val="21"/>
        </w:rPr>
      </w:pPr>
      <w:r>
        <w:rPr>
          <w:rFonts w:hint="eastAsia" w:hAnsi="宋体" w:cs="宋体"/>
          <w:sz w:val="24"/>
          <w:szCs w:val="24"/>
        </w:rPr>
        <w:t>       承诺日期：</w:t>
      </w:r>
    </w:p>
    <w:p w14:paraId="0EBB1F94">
      <w:pPr>
        <w:pStyle w:val="42"/>
        <w:ind w:firstLine="0" w:firstLineChars="0"/>
        <w:rPr>
          <w:rFonts w:hAnsi="宋体" w:cs="宋体"/>
          <w:sz w:val="21"/>
          <w:szCs w:val="21"/>
        </w:rPr>
      </w:pPr>
      <w:r>
        <w:rPr>
          <w:rFonts w:hint="eastAsia" w:hAnsi="宋体" w:cs="宋体"/>
          <w:b/>
          <w:bCs/>
          <w:sz w:val="21"/>
          <w:szCs w:val="21"/>
        </w:rPr>
        <w:t>注：</w:t>
      </w:r>
      <w:r>
        <w:rPr>
          <w:rFonts w:hint="eastAsia" w:hAnsi="宋体" w:cs="宋体"/>
          <w:sz w:val="21"/>
          <w:szCs w:val="21"/>
        </w:rPr>
        <w:t>此承诺书除附在投标文件中外还须上传至“信用中国（陕西榆林）”网站投标人自主上报信用承诺书附件。（承诺有效期为1年，承诺起始时间为提交投标文件截止之日，须后附截图。）法定代表人或负责人、主体名称发生变更的应当重新做出承诺。</w:t>
      </w:r>
      <w:r>
        <w:rPr>
          <w:rFonts w:hint="eastAsia" w:hAnsi="宋体" w:cs="宋体"/>
          <w:szCs w:val="24"/>
        </w:rPr>
        <w:br w:type="page"/>
      </w:r>
    </w:p>
    <w:p w14:paraId="52806927">
      <w:pPr>
        <w:spacing w:line="560" w:lineRule="exact"/>
        <w:ind w:right="-2"/>
        <w:jc w:val="center"/>
        <w:rPr>
          <w:rFonts w:hAnsi="宋体" w:cs="宋体"/>
          <w:sz w:val="21"/>
          <w:szCs w:val="21"/>
        </w:rPr>
      </w:pPr>
      <w:r>
        <w:rPr>
          <w:rFonts w:hint="eastAsia" w:hAnsi="宋体" w:cs="宋体"/>
          <w:b/>
          <w:bCs/>
          <w:sz w:val="28"/>
          <w:szCs w:val="28"/>
        </w:rPr>
        <w:t>投标人信用承诺</w:t>
      </w:r>
    </w:p>
    <w:p w14:paraId="2F8C687B">
      <w:pPr>
        <w:widowControl/>
        <w:spacing w:line="360" w:lineRule="auto"/>
        <w:jc w:val="left"/>
        <w:rPr>
          <w:rFonts w:hAnsi="宋体" w:cs="宋体"/>
          <w:sz w:val="24"/>
          <w:szCs w:val="24"/>
          <w:u w:val="single"/>
        </w:rPr>
      </w:pPr>
      <w:r>
        <w:rPr>
          <w:rFonts w:hint="eastAsia" w:hAnsi="宋体" w:cs="宋体"/>
          <w:sz w:val="24"/>
          <w:szCs w:val="24"/>
        </w:rPr>
        <w:t>投标人：</w:t>
      </w:r>
      <w:r>
        <w:rPr>
          <w:rFonts w:hint="eastAsia" w:hAnsi="宋体" w:cs="宋体"/>
          <w:sz w:val="24"/>
          <w:szCs w:val="24"/>
          <w:u w:val="single"/>
        </w:rPr>
        <w:t xml:space="preserve">                                                               </w:t>
      </w:r>
    </w:p>
    <w:p w14:paraId="498CE4EC">
      <w:pPr>
        <w:widowControl/>
        <w:spacing w:line="360" w:lineRule="auto"/>
        <w:jc w:val="left"/>
        <w:rPr>
          <w:rFonts w:hAnsi="宋体" w:cs="宋体"/>
          <w:sz w:val="24"/>
          <w:szCs w:val="24"/>
          <w:u w:val="single"/>
        </w:rPr>
      </w:pPr>
      <w:r>
        <w:rPr>
          <w:rFonts w:hint="eastAsia" w:hAnsi="宋体" w:cs="宋体"/>
          <w:sz w:val="24"/>
          <w:szCs w:val="24"/>
        </w:rPr>
        <w:t>统一社会信用代码：</w:t>
      </w:r>
      <w:r>
        <w:rPr>
          <w:rFonts w:hint="eastAsia" w:hAnsi="宋体" w:cs="宋体"/>
          <w:sz w:val="24"/>
          <w:szCs w:val="24"/>
          <w:u w:val="single"/>
        </w:rPr>
        <w:t xml:space="preserve">                             </w:t>
      </w:r>
      <w:r>
        <w:rPr>
          <w:rFonts w:hint="eastAsia" w:hAnsi="宋体" w:cs="宋体"/>
          <w:sz w:val="24"/>
          <w:szCs w:val="24"/>
        </w:rPr>
        <w:t>法人代表：</w:t>
      </w:r>
      <w:r>
        <w:rPr>
          <w:rFonts w:hint="eastAsia" w:hAnsi="宋体" w:cs="宋体"/>
          <w:sz w:val="24"/>
          <w:szCs w:val="24"/>
          <w:u w:val="single"/>
        </w:rPr>
        <w:t xml:space="preserve">              </w:t>
      </w:r>
    </w:p>
    <w:p w14:paraId="548AF666">
      <w:pPr>
        <w:widowControl/>
        <w:spacing w:line="360" w:lineRule="auto"/>
        <w:jc w:val="left"/>
        <w:rPr>
          <w:rFonts w:hAnsi="宋体" w:cs="宋体"/>
          <w:sz w:val="24"/>
          <w:szCs w:val="24"/>
          <w:u w:val="single"/>
        </w:rPr>
      </w:pPr>
      <w:r>
        <w:rPr>
          <w:rFonts w:hint="eastAsia" w:hAnsi="宋体" w:cs="宋体"/>
          <w:sz w:val="24"/>
          <w:szCs w:val="24"/>
        </w:rPr>
        <w:t>承诺有效期限：</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p>
    <w:p w14:paraId="283328C1">
      <w:pPr>
        <w:widowControl/>
        <w:spacing w:line="360" w:lineRule="auto"/>
        <w:ind w:firstLine="480" w:firstLineChars="200"/>
        <w:jc w:val="left"/>
        <w:rPr>
          <w:rFonts w:hAnsi="宋体" w:cs="宋体"/>
          <w:sz w:val="24"/>
          <w:szCs w:val="24"/>
        </w:rPr>
      </w:pPr>
      <w:r>
        <w:rPr>
          <w:rFonts w:hint="eastAsia" w:hAnsi="宋体" w:cs="宋体"/>
          <w:sz w:val="24"/>
          <w:szCs w:val="24"/>
        </w:rPr>
        <w:t>在</w:t>
      </w:r>
      <w:r>
        <w:rPr>
          <w:rFonts w:hint="eastAsia" w:hAnsi="宋体" w:cs="宋体"/>
          <w:sz w:val="24"/>
          <w:szCs w:val="24"/>
          <w:u w:val="single"/>
        </w:rPr>
        <w:t xml:space="preserve">               </w:t>
      </w:r>
      <w:r>
        <w:rPr>
          <w:rFonts w:hint="eastAsia" w:hAnsi="宋体" w:cs="宋体"/>
          <w:sz w:val="24"/>
          <w:szCs w:val="24"/>
        </w:rPr>
        <w:t>项目招投标活动中，我公司（单位）郑重作出以下信用承诺：</w:t>
      </w:r>
    </w:p>
    <w:p w14:paraId="6411FB1D">
      <w:pPr>
        <w:widowControl/>
        <w:spacing w:line="360" w:lineRule="auto"/>
        <w:ind w:firstLine="480"/>
        <w:jc w:val="left"/>
        <w:rPr>
          <w:rFonts w:hAnsi="宋体" w:cs="宋体"/>
          <w:sz w:val="24"/>
          <w:szCs w:val="24"/>
        </w:rPr>
      </w:pPr>
      <w:r>
        <w:rPr>
          <w:rFonts w:hint="eastAsia" w:hAnsi="宋体" w:cs="宋体"/>
          <w:sz w:val="24"/>
          <w:szCs w:val="24"/>
        </w:rPr>
        <w:t>（一）能严格遵守法律法规、职业道德和行业规范，具有独立承担民事责任的能力；符合依法依规应当具备的相关资质（资格）条件；具有独立承担中标项目的履约能力；具有良好的商业信誉和健全的财务会计制度；有依法缴纳税收和社会保障资金的良好记录；无法律法规规定禁止开展从业活动情形。所递交文件资料合法、真实、准确、完整、有效。</w:t>
      </w:r>
    </w:p>
    <w:p w14:paraId="304E12C1">
      <w:pPr>
        <w:widowControl/>
        <w:spacing w:line="360" w:lineRule="auto"/>
        <w:ind w:firstLine="480"/>
        <w:jc w:val="left"/>
        <w:rPr>
          <w:rFonts w:hAnsi="宋体" w:cs="宋体"/>
          <w:sz w:val="24"/>
          <w:szCs w:val="24"/>
        </w:rPr>
      </w:pPr>
      <w:r>
        <w:rPr>
          <w:rFonts w:hint="eastAsia" w:hAnsi="宋体" w:cs="宋体"/>
          <w:sz w:val="24"/>
          <w:szCs w:val="24"/>
        </w:rPr>
        <w:t>（二）不得有以下违法违规行为：1.围标串标；以他人名义或者其他方式弄虚作假投标；出让出租资格、资质证书供他人投标；恶意竞标、强揽工程；以暴力、威胁、利诱等手段阻止或者控制其他潜在投标人参与招投标活动。2.向招投标监督部门、交易中心、招标人、招标代理机构、评审委员会及其成员等当事主体赠送财物。3.投标截止后至中标人确定前，修改或者撤销投标文件。4.在被确定为中标人后无正当理由：不按照招标文件和投标文件与招标人签订合同；在签订合同时向招标人提出附加条件、或者改变投标文件的实质性内容；放弃中标；不按照招标文件的规定提交履约保证金。5.招投标法规定的其它违法违规行为。</w:t>
      </w:r>
    </w:p>
    <w:p w14:paraId="36B251C6">
      <w:pPr>
        <w:spacing w:line="360" w:lineRule="auto"/>
        <w:ind w:firstLine="480" w:firstLineChars="200"/>
        <w:rPr>
          <w:sz w:val="24"/>
          <w:szCs w:val="24"/>
        </w:rPr>
      </w:pPr>
      <w:bookmarkStart w:id="194" w:name="_Toc14973"/>
      <w:r>
        <w:rPr>
          <w:rFonts w:hint="eastAsia"/>
          <w:sz w:val="24"/>
          <w:szCs w:val="24"/>
        </w:rPr>
        <w:t>（三）自愿接受招投标监督部门和有关行政监督部门的依法检查。</w:t>
      </w:r>
      <w:bookmarkEnd w:id="194"/>
    </w:p>
    <w:p w14:paraId="32518CD8">
      <w:pPr>
        <w:widowControl/>
        <w:spacing w:line="360" w:lineRule="auto"/>
        <w:ind w:firstLine="480" w:firstLineChars="200"/>
        <w:jc w:val="left"/>
        <w:rPr>
          <w:rFonts w:hAnsi="宋体" w:cs="宋体"/>
          <w:sz w:val="24"/>
          <w:szCs w:val="24"/>
        </w:rPr>
      </w:pPr>
      <w:r>
        <w:rPr>
          <w:rFonts w:hint="eastAsia" w:hAnsi="宋体" w:cs="宋体"/>
          <w:sz w:val="24"/>
          <w:szCs w:val="24"/>
        </w:rPr>
        <w:t>（四）同意将此信用承诺纳入陕西省公共信用信息平台和榆林市公共信用信息共享平台，并上网公示，接受社会监督。</w:t>
      </w:r>
    </w:p>
    <w:p w14:paraId="294119AA">
      <w:pPr>
        <w:widowControl/>
        <w:spacing w:line="360" w:lineRule="auto"/>
        <w:ind w:firstLine="480"/>
        <w:jc w:val="left"/>
        <w:rPr>
          <w:rFonts w:hAnsi="宋体" w:cs="宋体"/>
          <w:sz w:val="24"/>
          <w:szCs w:val="24"/>
        </w:rPr>
      </w:pPr>
      <w:r>
        <w:rPr>
          <w:rFonts w:hint="eastAsia" w:hAnsi="宋体" w:cs="宋体"/>
          <w:sz w:val="24"/>
          <w:szCs w:val="24"/>
        </w:rPr>
        <w:t>（五）若我公司（单位）及相关参与人员违背以上承诺事项，即被视为失信企业（法人），依据《关于对公共资源交易领域严重失信主体开展联合惩戒的备忘录》（发改法规[2018]457号），自愿接受失信联合惩戒和依法给予的行政处罚（处理），并依法承担赔偿责任和刑事责任。</w:t>
      </w:r>
    </w:p>
    <w:p w14:paraId="50FB0415">
      <w:pPr>
        <w:widowControl/>
        <w:tabs>
          <w:tab w:val="left" w:pos="4395"/>
        </w:tabs>
        <w:adjustRightInd w:val="0"/>
        <w:snapToGrid w:val="0"/>
        <w:spacing w:line="360" w:lineRule="auto"/>
        <w:ind w:firstLine="480" w:firstLineChars="200"/>
        <w:jc w:val="left"/>
        <w:rPr>
          <w:rFonts w:hAnsi="宋体" w:cs="宋体"/>
          <w:sz w:val="24"/>
          <w:szCs w:val="24"/>
        </w:rPr>
      </w:pPr>
      <w:r>
        <w:rPr>
          <w:rFonts w:hint="eastAsia" w:hAnsi="宋体" w:cs="宋体"/>
          <w:sz w:val="24"/>
          <w:szCs w:val="24"/>
        </w:rPr>
        <w:t>法定代表人（签章）：                    投标人（盖章）：</w:t>
      </w:r>
    </w:p>
    <w:p w14:paraId="17696E02">
      <w:pPr>
        <w:adjustRightInd w:val="0"/>
        <w:snapToGrid w:val="0"/>
        <w:spacing w:line="360" w:lineRule="auto"/>
        <w:jc w:val="center"/>
        <w:rPr>
          <w:rFonts w:hAnsi="宋体" w:cs="宋体"/>
          <w:b/>
          <w:bCs/>
          <w:sz w:val="21"/>
          <w:szCs w:val="21"/>
        </w:rPr>
      </w:pPr>
      <w:r>
        <w:rPr>
          <w:rFonts w:hint="eastAsia" w:hAnsi="宋体" w:cs="宋体"/>
          <w:sz w:val="24"/>
          <w:szCs w:val="24"/>
        </w:rPr>
        <w:t xml:space="preserve">                             承诺时间：</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p>
    <w:p w14:paraId="1148D6BA">
      <w:pPr>
        <w:rPr>
          <w:rFonts w:ascii="方正小标宋简体" w:hAnsi="方正小标宋简体" w:eastAsia="方正小标宋简体" w:cs="方正小标宋简体"/>
          <w:sz w:val="40"/>
          <w:szCs w:val="40"/>
        </w:rPr>
      </w:pPr>
      <w:r>
        <w:rPr>
          <w:rFonts w:hint="eastAsia" w:hAnsi="宋体" w:cs="宋体"/>
          <w:b/>
          <w:bCs/>
          <w:sz w:val="21"/>
          <w:szCs w:val="21"/>
        </w:rPr>
        <w:t>注：</w:t>
      </w:r>
      <w:r>
        <w:rPr>
          <w:rFonts w:hint="eastAsia" w:hAnsi="宋体" w:cs="宋体"/>
          <w:sz w:val="21"/>
          <w:szCs w:val="21"/>
        </w:rPr>
        <w:t>此承诺书除附在投标文件中外还须上传至“信用中国（陕西榆林）”网站投标人自主上报信用承诺书附件。（承诺有效期同投标有效期，承诺起始时间为提交投标文件截止之日，须后附截图。）</w:t>
      </w:r>
      <w:r>
        <w:rPr>
          <w:rFonts w:hint="eastAsia" w:ascii="方正小标宋简体" w:hAnsi="方正小标宋简体" w:eastAsia="方正小标宋简体" w:cs="方正小标宋简体"/>
          <w:sz w:val="40"/>
          <w:szCs w:val="40"/>
        </w:rPr>
        <w:br w:type="page"/>
      </w:r>
    </w:p>
    <w:p w14:paraId="58AA35CB">
      <w:pPr>
        <w:spacing w:line="560" w:lineRule="exact"/>
        <w:ind w:right="-2"/>
        <w:jc w:val="center"/>
        <w:rPr>
          <w:rFonts w:hAnsi="宋体" w:cs="宋体"/>
          <w:b/>
          <w:bCs/>
          <w:sz w:val="21"/>
          <w:szCs w:val="21"/>
        </w:rPr>
      </w:pPr>
      <w:r>
        <w:rPr>
          <w:rFonts w:hint="eastAsia" w:hAnsi="宋体" w:cs="宋体"/>
          <w:b/>
          <w:bCs/>
          <w:sz w:val="28"/>
          <w:szCs w:val="28"/>
        </w:rPr>
        <w:t>投标人委托代理人员信用承诺书</w:t>
      </w:r>
    </w:p>
    <w:p w14:paraId="11866256">
      <w:pPr>
        <w:widowControl/>
        <w:spacing w:line="540" w:lineRule="exact"/>
        <w:ind w:firstLine="420" w:firstLineChars="200"/>
        <w:jc w:val="left"/>
        <w:rPr>
          <w:rFonts w:hAnsi="宋体" w:cs="宋体"/>
          <w:sz w:val="21"/>
          <w:szCs w:val="21"/>
        </w:rPr>
      </w:pPr>
    </w:p>
    <w:p w14:paraId="75D34F79">
      <w:pPr>
        <w:widowControl/>
        <w:spacing w:line="360" w:lineRule="auto"/>
        <w:ind w:firstLine="480" w:firstLineChars="200"/>
        <w:jc w:val="left"/>
        <w:rPr>
          <w:rFonts w:hAnsi="宋体" w:cs="宋体"/>
          <w:sz w:val="24"/>
          <w:szCs w:val="24"/>
        </w:rPr>
      </w:pPr>
      <w:r>
        <w:rPr>
          <w:rFonts w:hint="eastAsia" w:hAnsi="宋体" w:cs="宋体"/>
          <w:sz w:val="24"/>
          <w:szCs w:val="24"/>
        </w:rPr>
        <w:t>在</w:t>
      </w:r>
      <w:r>
        <w:rPr>
          <w:rFonts w:hint="eastAsia" w:hAnsi="宋体" w:cs="宋体"/>
          <w:sz w:val="24"/>
          <w:szCs w:val="24"/>
          <w:u w:val="single"/>
        </w:rPr>
        <w:t xml:space="preserve">                    </w:t>
      </w:r>
      <w:r>
        <w:rPr>
          <w:rFonts w:hint="eastAsia" w:hAnsi="宋体" w:cs="宋体"/>
          <w:sz w:val="24"/>
          <w:szCs w:val="24"/>
        </w:rPr>
        <w:t>项目招投标活动中，我个人郑重作出以下信用承诺：</w:t>
      </w:r>
    </w:p>
    <w:p w14:paraId="265B68B1">
      <w:pPr>
        <w:widowControl/>
        <w:spacing w:line="360" w:lineRule="auto"/>
        <w:ind w:firstLine="480"/>
        <w:jc w:val="left"/>
        <w:rPr>
          <w:rFonts w:hAnsi="宋体" w:cs="宋体"/>
          <w:sz w:val="24"/>
          <w:szCs w:val="24"/>
        </w:rPr>
      </w:pPr>
      <w:r>
        <w:rPr>
          <w:rFonts w:hint="eastAsia" w:hAnsi="宋体" w:cs="宋体"/>
          <w:sz w:val="24"/>
          <w:szCs w:val="24"/>
        </w:rPr>
        <w:t>（一）能严格遵守法律法规、职业道德和行业规范，具有独立承担民事责任的能力；无法律法规规定禁止开展从业活动情形。我所递交的文件资料合法、真实、准确、完整、有效，无弄虚作假等情形。</w:t>
      </w:r>
    </w:p>
    <w:p w14:paraId="3EF4E672">
      <w:pPr>
        <w:widowControl/>
        <w:spacing w:line="360" w:lineRule="auto"/>
        <w:ind w:firstLine="480"/>
        <w:jc w:val="left"/>
        <w:rPr>
          <w:rFonts w:hAnsi="宋体" w:cs="宋体"/>
          <w:sz w:val="24"/>
          <w:szCs w:val="24"/>
        </w:rPr>
      </w:pPr>
      <w:r>
        <w:rPr>
          <w:rFonts w:hint="eastAsia" w:hAnsi="宋体" w:cs="宋体"/>
          <w:sz w:val="24"/>
          <w:szCs w:val="24"/>
        </w:rPr>
        <w:t>（二）不得有以下违法违规行为：1.围标串标；以他人名义或者其他方式弄虚作假投标；出让出租资格、资质证书供他人投标；恶意竞标、强揽工程；以暴力、威胁、利诱等手段阻止或者控制其他潜在投标人参与招投标活动。2.向招投标监督部门、交易中心、招标人、招标代理机构、评审委员会及其成员等当事主体赠送财物。3.投标截止后至中标人确定前，修改或者撤销投标文件。4.在被确定为中标人后无正当理由：不按照招标文件和投标文件与招标人签订合同；在签订合同时向招标人提出附加条件、或者改变投标文件的实质性内容；放弃中标；不按照招标文件的规定提交履约保证金。5.招投标法规定的其它违法违规行为。</w:t>
      </w:r>
    </w:p>
    <w:p w14:paraId="44E09A36">
      <w:pPr>
        <w:spacing w:line="360" w:lineRule="auto"/>
        <w:ind w:firstLine="480" w:firstLineChars="200"/>
        <w:rPr>
          <w:sz w:val="24"/>
          <w:szCs w:val="24"/>
        </w:rPr>
      </w:pPr>
      <w:bookmarkStart w:id="195" w:name="_Toc14892"/>
      <w:r>
        <w:rPr>
          <w:rFonts w:hint="eastAsia"/>
          <w:sz w:val="24"/>
          <w:szCs w:val="24"/>
        </w:rPr>
        <w:t>（三）自愿接受招投标监督部门和有关行政监督部门的依法检查。</w:t>
      </w:r>
      <w:bookmarkEnd w:id="195"/>
    </w:p>
    <w:p w14:paraId="7922AB0A">
      <w:pPr>
        <w:widowControl/>
        <w:spacing w:line="360" w:lineRule="auto"/>
        <w:ind w:firstLine="480" w:firstLineChars="200"/>
        <w:jc w:val="left"/>
        <w:rPr>
          <w:rFonts w:hAnsi="宋体" w:cs="宋体"/>
          <w:sz w:val="24"/>
          <w:szCs w:val="24"/>
        </w:rPr>
      </w:pPr>
      <w:r>
        <w:rPr>
          <w:rFonts w:hint="eastAsia" w:hAnsi="宋体" w:cs="宋体"/>
          <w:sz w:val="24"/>
          <w:szCs w:val="24"/>
        </w:rPr>
        <w:t>（四）同意将此信用承诺纳入陕西省公共信用信息平台和榆林市公共信用信息共享平台，并接受社会监督。</w:t>
      </w:r>
    </w:p>
    <w:p w14:paraId="19A25A89">
      <w:pPr>
        <w:widowControl/>
        <w:spacing w:line="360" w:lineRule="auto"/>
        <w:ind w:firstLine="480"/>
        <w:jc w:val="left"/>
        <w:rPr>
          <w:rFonts w:hAnsi="宋体" w:cs="宋体"/>
          <w:sz w:val="24"/>
          <w:szCs w:val="24"/>
        </w:rPr>
      </w:pPr>
      <w:r>
        <w:rPr>
          <w:rFonts w:hint="eastAsia" w:hAnsi="宋体" w:cs="宋体"/>
          <w:sz w:val="24"/>
          <w:szCs w:val="24"/>
        </w:rPr>
        <w:t>（五）若我违背以上承诺事项，即被视为失信人，依据《关于对公共资源交易领域严重失信主体开展联合惩戒的备忘录》（发改法规[2018]457号），自愿接受失信联合惩戒和依法给予的行政处罚（处理），并依法承担赔偿责任和刑事责任。</w:t>
      </w:r>
    </w:p>
    <w:p w14:paraId="657EC8D0">
      <w:pPr>
        <w:widowControl/>
        <w:spacing w:line="320" w:lineRule="exact"/>
        <w:ind w:firstLine="482"/>
        <w:jc w:val="left"/>
        <w:rPr>
          <w:rFonts w:hAnsi="宋体" w:cs="宋体"/>
          <w:sz w:val="24"/>
          <w:szCs w:val="24"/>
        </w:rPr>
      </w:pPr>
    </w:p>
    <w:p w14:paraId="3A814409">
      <w:pPr>
        <w:widowControl/>
        <w:spacing w:line="480" w:lineRule="auto"/>
        <w:ind w:firstLine="482"/>
        <w:jc w:val="left"/>
        <w:rPr>
          <w:rFonts w:hAnsi="宋体" w:cs="宋体"/>
          <w:sz w:val="24"/>
          <w:szCs w:val="24"/>
          <w:u w:val="single"/>
        </w:rPr>
      </w:pPr>
      <w:r>
        <w:rPr>
          <w:rFonts w:hint="eastAsia" w:hAnsi="宋体" w:cs="宋体"/>
          <w:sz w:val="24"/>
          <w:szCs w:val="24"/>
        </w:rPr>
        <w:t>承诺有效期限：</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p>
    <w:p w14:paraId="5D475DD5">
      <w:pPr>
        <w:widowControl/>
        <w:spacing w:line="480" w:lineRule="auto"/>
        <w:ind w:firstLine="482"/>
        <w:jc w:val="left"/>
        <w:rPr>
          <w:rFonts w:hAnsi="宋体" w:cs="宋体"/>
          <w:sz w:val="24"/>
          <w:szCs w:val="24"/>
        </w:rPr>
      </w:pPr>
      <w:r>
        <w:rPr>
          <w:rFonts w:hint="eastAsia" w:hAnsi="宋体" w:cs="宋体"/>
          <w:sz w:val="24"/>
          <w:szCs w:val="24"/>
        </w:rPr>
        <w:t>投标人：</w:t>
      </w:r>
      <w:r>
        <w:rPr>
          <w:rFonts w:hint="eastAsia" w:hAnsi="宋体" w:cs="宋体"/>
          <w:sz w:val="24"/>
          <w:szCs w:val="24"/>
          <w:u w:val="single"/>
        </w:rPr>
        <w:t xml:space="preserve">                        </w:t>
      </w:r>
    </w:p>
    <w:p w14:paraId="39D87357">
      <w:pPr>
        <w:widowControl/>
        <w:spacing w:line="480" w:lineRule="auto"/>
        <w:ind w:firstLine="482"/>
        <w:jc w:val="left"/>
        <w:rPr>
          <w:rFonts w:hAnsi="宋体" w:cs="宋体"/>
          <w:sz w:val="24"/>
          <w:szCs w:val="24"/>
          <w:u w:val="single"/>
        </w:rPr>
      </w:pPr>
      <w:r>
        <w:rPr>
          <w:rFonts w:hint="eastAsia" w:hAnsi="宋体" w:cs="宋体"/>
          <w:sz w:val="24"/>
          <w:szCs w:val="24"/>
        </w:rPr>
        <w:t>承诺人（签字）：</w:t>
      </w:r>
      <w:r>
        <w:rPr>
          <w:rFonts w:hint="eastAsia" w:hAnsi="宋体" w:cs="宋体"/>
          <w:sz w:val="24"/>
          <w:szCs w:val="24"/>
          <w:u w:val="single"/>
        </w:rPr>
        <w:t xml:space="preserve">                 </w:t>
      </w:r>
    </w:p>
    <w:p w14:paraId="324E8C75">
      <w:pPr>
        <w:widowControl/>
        <w:spacing w:line="480" w:lineRule="auto"/>
        <w:ind w:firstLine="482"/>
        <w:jc w:val="left"/>
        <w:rPr>
          <w:rFonts w:hAnsi="宋体" w:cs="宋体"/>
          <w:b/>
          <w:bCs/>
          <w:sz w:val="21"/>
          <w:szCs w:val="21"/>
        </w:rPr>
      </w:pPr>
      <w:r>
        <w:rPr>
          <w:rFonts w:hint="eastAsia" w:hAnsi="宋体" w:cs="宋体"/>
          <w:sz w:val="24"/>
          <w:szCs w:val="24"/>
        </w:rPr>
        <w:t>承诺时间：</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p>
    <w:p w14:paraId="2E44C7D7">
      <w:pPr>
        <w:rPr>
          <w:rFonts w:hint="eastAsia" w:hAnsi="宋体" w:cs="宋体"/>
          <w:sz w:val="21"/>
          <w:szCs w:val="21"/>
        </w:rPr>
        <w:sectPr>
          <w:footerReference r:id="rId11" w:type="default"/>
          <w:pgSz w:w="11906" w:h="16838"/>
          <w:pgMar w:top="1417" w:right="1417" w:bottom="1417" w:left="1417" w:header="850" w:footer="850" w:gutter="0"/>
          <w:pgNumType w:fmt="numberInDash"/>
          <w:cols w:space="425" w:num="1"/>
          <w:docGrid w:type="lines" w:linePitch="326" w:charSpace="0"/>
        </w:sectPr>
      </w:pPr>
      <w:r>
        <w:rPr>
          <w:rFonts w:hint="eastAsia" w:hAnsi="宋体" w:cs="宋体"/>
          <w:b/>
          <w:bCs/>
          <w:sz w:val="21"/>
          <w:szCs w:val="21"/>
        </w:rPr>
        <w:t>注：</w:t>
      </w:r>
      <w:r>
        <w:rPr>
          <w:rFonts w:hint="eastAsia" w:hAnsi="宋体" w:cs="宋体"/>
          <w:sz w:val="21"/>
          <w:szCs w:val="21"/>
        </w:rPr>
        <w:t>此承诺书除附在投标文件中外还须上传至“信用中国（陕西榆林）”网站授权委托人自主上报信用承诺书附件。（承诺有效期同投标有效期，承诺起始时间为提交投标文件截止之日，须后附截图。）</w:t>
      </w:r>
    </w:p>
    <w:p w14:paraId="10226BD8">
      <w:pPr>
        <w:spacing w:line="560" w:lineRule="exact"/>
        <w:ind w:right="-2"/>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投标信用（保证金）承诺书</w:t>
      </w:r>
    </w:p>
    <w:p w14:paraId="249AE68D">
      <w:pPr>
        <w:widowControl/>
        <w:spacing w:line="540" w:lineRule="exact"/>
        <w:jc w:val="left"/>
        <w:outlineLvl w:val="9"/>
        <w:rPr>
          <w:rFonts w:hint="eastAsia" w:ascii="新宋体" w:hAnsi="新宋体" w:eastAsia="新宋体" w:cs="新宋体"/>
          <w:kern w:val="0"/>
          <w:sz w:val="24"/>
        </w:rPr>
      </w:pPr>
    </w:p>
    <w:p w14:paraId="63BB409A">
      <w:pPr>
        <w:widowControl/>
        <w:spacing w:line="540" w:lineRule="exact"/>
        <w:jc w:val="left"/>
        <w:outlineLvl w:val="9"/>
        <w:rPr>
          <w:rFonts w:hint="eastAsia" w:ascii="新宋体" w:hAnsi="新宋体" w:eastAsia="新宋体" w:cs="新宋体"/>
          <w:kern w:val="0"/>
          <w:sz w:val="24"/>
          <w:u w:val="single"/>
        </w:rPr>
      </w:pPr>
      <w:r>
        <w:rPr>
          <w:rFonts w:hint="eastAsia" w:ascii="新宋体" w:hAnsi="新宋体" w:eastAsia="新宋体" w:cs="新宋体"/>
          <w:kern w:val="0"/>
          <w:sz w:val="24"/>
        </w:rPr>
        <w:t>项目</w:t>
      </w:r>
      <w:r>
        <w:rPr>
          <w:rFonts w:hint="eastAsia" w:ascii="新宋体" w:hAnsi="新宋体" w:eastAsia="新宋体" w:cs="新宋体"/>
          <w:kern w:val="0"/>
          <w:sz w:val="24"/>
          <w:lang w:val="en-US" w:eastAsia="zh-CN"/>
        </w:rPr>
        <w:t>名称</w:t>
      </w:r>
      <w:r>
        <w:rPr>
          <w:rFonts w:hint="eastAsia" w:ascii="新宋体" w:hAnsi="新宋体" w:eastAsia="新宋体" w:cs="新宋体"/>
          <w:kern w:val="0"/>
          <w:sz w:val="24"/>
        </w:rPr>
        <w:t>：</w:t>
      </w:r>
      <w:r>
        <w:rPr>
          <w:rFonts w:hint="eastAsia" w:ascii="新宋体" w:hAnsi="新宋体" w:eastAsia="新宋体" w:cs="新宋体"/>
          <w:kern w:val="0"/>
          <w:sz w:val="24"/>
          <w:u w:val="single"/>
        </w:rPr>
        <w:t xml:space="preserve">  </w:t>
      </w:r>
      <w:r>
        <w:rPr>
          <w:rFonts w:hint="eastAsia" w:ascii="新宋体" w:hAnsi="新宋体" w:eastAsia="新宋体" w:cs="新宋体"/>
          <w:kern w:val="0"/>
          <w:sz w:val="24"/>
          <w:u w:val="single"/>
          <w:lang w:val="en-US" w:eastAsia="zh-CN"/>
        </w:rPr>
        <w:t xml:space="preserve">                               </w:t>
      </w:r>
      <w:r>
        <w:rPr>
          <w:rFonts w:hint="eastAsia" w:ascii="新宋体" w:hAnsi="新宋体" w:eastAsia="新宋体" w:cs="新宋体"/>
          <w:kern w:val="0"/>
          <w:sz w:val="24"/>
          <w:u w:val="single"/>
        </w:rPr>
        <w:t xml:space="preserve">  </w:t>
      </w:r>
    </w:p>
    <w:p w14:paraId="316EA3C7">
      <w:pPr>
        <w:widowControl/>
        <w:spacing w:line="540" w:lineRule="exact"/>
        <w:jc w:val="left"/>
        <w:outlineLvl w:val="9"/>
        <w:rPr>
          <w:rFonts w:hint="eastAsia" w:ascii="新宋体" w:hAnsi="新宋体" w:eastAsia="新宋体" w:cs="新宋体"/>
          <w:kern w:val="0"/>
          <w:sz w:val="24"/>
          <w:u w:val="single"/>
        </w:rPr>
      </w:pPr>
      <w:r>
        <w:rPr>
          <w:rFonts w:hint="eastAsia" w:ascii="新宋体" w:hAnsi="新宋体" w:eastAsia="新宋体" w:cs="新宋体"/>
          <w:kern w:val="0"/>
          <w:sz w:val="24"/>
          <w:lang w:val="en-US" w:eastAsia="zh-CN"/>
        </w:rPr>
        <w:t>投标人</w:t>
      </w:r>
      <w:r>
        <w:rPr>
          <w:rFonts w:hint="eastAsia" w:ascii="新宋体" w:hAnsi="新宋体" w:eastAsia="新宋体" w:cs="新宋体"/>
          <w:kern w:val="0"/>
          <w:sz w:val="24"/>
        </w:rPr>
        <w:t>：</w:t>
      </w:r>
      <w:r>
        <w:rPr>
          <w:rFonts w:hint="eastAsia" w:ascii="新宋体" w:hAnsi="新宋体" w:eastAsia="新宋体" w:cs="新宋体"/>
          <w:kern w:val="0"/>
          <w:sz w:val="24"/>
          <w:u w:val="single"/>
        </w:rPr>
        <w:t xml:space="preserve">                                      </w:t>
      </w:r>
    </w:p>
    <w:p w14:paraId="188A7112">
      <w:pPr>
        <w:widowControl/>
        <w:spacing w:line="540" w:lineRule="exact"/>
        <w:jc w:val="left"/>
        <w:outlineLvl w:val="9"/>
        <w:rPr>
          <w:rFonts w:hint="eastAsia" w:ascii="新宋体" w:hAnsi="新宋体" w:eastAsia="新宋体" w:cs="新宋体"/>
          <w:kern w:val="0"/>
          <w:sz w:val="24"/>
          <w:u w:val="single"/>
        </w:rPr>
      </w:pPr>
      <w:r>
        <w:rPr>
          <w:rFonts w:hint="eastAsia" w:ascii="新宋体" w:hAnsi="新宋体" w:eastAsia="新宋体" w:cs="新宋体"/>
          <w:kern w:val="0"/>
          <w:sz w:val="24"/>
        </w:rPr>
        <w:t>统一社会信用代码：</w:t>
      </w:r>
      <w:r>
        <w:rPr>
          <w:rFonts w:hint="eastAsia" w:ascii="新宋体" w:hAnsi="新宋体" w:eastAsia="新宋体" w:cs="新宋体"/>
          <w:kern w:val="0"/>
          <w:sz w:val="24"/>
          <w:u w:val="single"/>
        </w:rPr>
        <w:t xml:space="preserve">                               </w:t>
      </w:r>
      <w:r>
        <w:rPr>
          <w:rFonts w:hint="eastAsia" w:ascii="新宋体" w:hAnsi="新宋体" w:eastAsia="新宋体" w:cs="新宋体"/>
          <w:kern w:val="0"/>
          <w:sz w:val="24"/>
        </w:rPr>
        <w:t>法人代表：</w:t>
      </w:r>
      <w:r>
        <w:rPr>
          <w:rFonts w:hint="eastAsia" w:ascii="新宋体" w:hAnsi="新宋体" w:eastAsia="新宋体" w:cs="新宋体"/>
          <w:kern w:val="0"/>
          <w:sz w:val="24"/>
          <w:u w:val="single"/>
        </w:rPr>
        <w:t xml:space="preserve">                 </w:t>
      </w:r>
    </w:p>
    <w:p w14:paraId="5ED30911">
      <w:pPr>
        <w:widowControl/>
        <w:adjustRightInd w:val="0"/>
        <w:snapToGrid w:val="0"/>
        <w:spacing w:line="540" w:lineRule="exact"/>
        <w:ind w:firstLine="480" w:firstLineChars="200"/>
        <w:jc w:val="left"/>
        <w:outlineLvl w:val="9"/>
        <w:rPr>
          <w:rFonts w:hint="eastAsia" w:ascii="新宋体" w:hAnsi="新宋体" w:eastAsia="新宋体" w:cs="新宋体"/>
          <w:kern w:val="0"/>
          <w:sz w:val="24"/>
        </w:rPr>
      </w:pPr>
      <w:r>
        <w:rPr>
          <w:rFonts w:hint="eastAsia" w:ascii="新宋体" w:hAnsi="新宋体" w:eastAsia="新宋体" w:cs="新宋体"/>
          <w:kern w:val="0"/>
          <w:sz w:val="24"/>
        </w:rPr>
        <w:t>在</w:t>
      </w:r>
      <w:r>
        <w:rPr>
          <w:rFonts w:hint="eastAsia" w:ascii="新宋体" w:hAnsi="新宋体" w:eastAsia="新宋体" w:cs="新宋体"/>
          <w:kern w:val="0"/>
          <w:sz w:val="24"/>
          <w:u w:val="single"/>
        </w:rPr>
        <w:t>本项目标段</w:t>
      </w:r>
      <w:r>
        <w:rPr>
          <w:rFonts w:hint="eastAsia" w:ascii="新宋体" w:hAnsi="新宋体" w:eastAsia="新宋体" w:cs="新宋体"/>
          <w:kern w:val="0"/>
          <w:sz w:val="24"/>
          <w:lang w:eastAsia="zh-CN"/>
        </w:rPr>
        <w:t>招标采购活动</w:t>
      </w:r>
      <w:r>
        <w:rPr>
          <w:rFonts w:hint="eastAsia" w:ascii="新宋体" w:hAnsi="新宋体" w:eastAsia="新宋体" w:cs="新宋体"/>
          <w:kern w:val="0"/>
          <w:sz w:val="24"/>
        </w:rPr>
        <w:t>中，我公司（单位）自愿作出以下</w:t>
      </w:r>
      <w:r>
        <w:rPr>
          <w:rFonts w:hint="eastAsia" w:ascii="新宋体" w:hAnsi="新宋体" w:eastAsia="新宋体" w:cs="新宋体"/>
          <w:kern w:val="0"/>
          <w:sz w:val="24"/>
          <w:lang w:val="en-US" w:eastAsia="zh-CN"/>
        </w:rPr>
        <w:t>投标</w:t>
      </w:r>
      <w:r>
        <w:rPr>
          <w:rFonts w:hint="eastAsia" w:ascii="新宋体" w:hAnsi="新宋体" w:eastAsia="新宋体" w:cs="新宋体"/>
          <w:kern w:val="0"/>
          <w:sz w:val="24"/>
        </w:rPr>
        <w:t>信用承诺：</w:t>
      </w:r>
    </w:p>
    <w:p w14:paraId="30653944">
      <w:pPr>
        <w:widowControl/>
        <w:adjustRightInd w:val="0"/>
        <w:snapToGrid w:val="0"/>
        <w:spacing w:line="540" w:lineRule="exact"/>
        <w:ind w:firstLine="480" w:firstLineChars="200"/>
        <w:jc w:val="left"/>
        <w:outlineLvl w:val="9"/>
        <w:rPr>
          <w:rFonts w:hint="eastAsia" w:ascii="新宋体" w:hAnsi="新宋体" w:eastAsia="新宋体" w:cs="新宋体"/>
          <w:kern w:val="0"/>
          <w:sz w:val="24"/>
        </w:rPr>
      </w:pPr>
      <w:r>
        <w:rPr>
          <w:rFonts w:hint="eastAsia" w:ascii="新宋体" w:hAnsi="新宋体" w:eastAsia="新宋体" w:cs="新宋体"/>
          <w:kern w:val="0"/>
          <w:sz w:val="24"/>
        </w:rPr>
        <w:t>（一）能严格遵守法律法规、职业道德和行业规范。</w:t>
      </w:r>
    </w:p>
    <w:p w14:paraId="0BD172D8">
      <w:pPr>
        <w:widowControl/>
        <w:adjustRightInd w:val="0"/>
        <w:snapToGrid w:val="0"/>
        <w:spacing w:line="540" w:lineRule="exact"/>
        <w:ind w:firstLine="480" w:firstLineChars="200"/>
        <w:jc w:val="left"/>
        <w:outlineLvl w:val="9"/>
        <w:rPr>
          <w:rFonts w:hint="eastAsia" w:ascii="新宋体" w:hAnsi="新宋体" w:eastAsia="新宋体" w:cs="新宋体"/>
          <w:kern w:val="0"/>
          <w:sz w:val="24"/>
        </w:rPr>
      </w:pPr>
      <w:r>
        <w:rPr>
          <w:rFonts w:hint="eastAsia" w:ascii="新宋体" w:hAnsi="新宋体" w:eastAsia="新宋体" w:cs="新宋体"/>
          <w:kern w:val="0"/>
          <w:sz w:val="24"/>
        </w:rPr>
        <w:t>（二）不得有以下违法违规行为：不得有以下违法违规行为：1.围标串标；以他人名义或者其他方式弄虚作假投标；出让出租资格、资质证书供他人投标；恶意竞标、强揽工程；以暴力、威胁、利诱等手段阻止或者控制其他潜在</w:t>
      </w:r>
      <w:r>
        <w:rPr>
          <w:rFonts w:hint="eastAsia" w:ascii="新宋体" w:hAnsi="新宋体" w:eastAsia="新宋体" w:cs="新宋体"/>
          <w:kern w:val="0"/>
          <w:sz w:val="24"/>
          <w:lang w:val="en-US" w:eastAsia="zh-CN"/>
        </w:rPr>
        <w:t>申请人</w:t>
      </w:r>
      <w:r>
        <w:rPr>
          <w:rFonts w:hint="eastAsia" w:ascii="新宋体" w:hAnsi="新宋体" w:eastAsia="新宋体" w:cs="新宋体"/>
          <w:kern w:val="0"/>
          <w:sz w:val="24"/>
        </w:rPr>
        <w:t>参与</w:t>
      </w:r>
      <w:r>
        <w:rPr>
          <w:rFonts w:hint="eastAsia" w:ascii="新宋体" w:hAnsi="新宋体" w:eastAsia="新宋体" w:cs="新宋体"/>
          <w:kern w:val="0"/>
          <w:sz w:val="24"/>
          <w:lang w:eastAsia="zh-CN"/>
        </w:rPr>
        <w:t>招标采购活动</w:t>
      </w:r>
      <w:r>
        <w:rPr>
          <w:rFonts w:hint="eastAsia" w:ascii="新宋体" w:hAnsi="新宋体" w:eastAsia="新宋体" w:cs="新宋体"/>
          <w:kern w:val="0"/>
          <w:sz w:val="24"/>
        </w:rPr>
        <w:t>。2.向招投标监督部门、交易中心、</w:t>
      </w:r>
      <w:r>
        <w:rPr>
          <w:rFonts w:hint="eastAsia" w:ascii="新宋体" w:hAnsi="新宋体" w:eastAsia="新宋体" w:cs="新宋体"/>
          <w:kern w:val="0"/>
          <w:sz w:val="24"/>
          <w:lang w:eastAsia="zh-CN"/>
        </w:rPr>
        <w:t>发包</w:t>
      </w:r>
      <w:r>
        <w:rPr>
          <w:rFonts w:hint="eastAsia" w:ascii="新宋体" w:hAnsi="新宋体" w:eastAsia="新宋体" w:cs="新宋体"/>
          <w:kern w:val="0"/>
          <w:sz w:val="24"/>
        </w:rPr>
        <w:t>人、招标代理机构、</w:t>
      </w:r>
      <w:r>
        <w:rPr>
          <w:rFonts w:hint="eastAsia" w:ascii="新宋体" w:hAnsi="新宋体" w:eastAsia="新宋体" w:cs="新宋体"/>
          <w:kern w:val="0"/>
          <w:sz w:val="24"/>
          <w:lang w:eastAsia="zh-CN"/>
        </w:rPr>
        <w:t>评审小组</w:t>
      </w:r>
      <w:r>
        <w:rPr>
          <w:rFonts w:hint="eastAsia" w:ascii="新宋体" w:hAnsi="新宋体" w:eastAsia="新宋体" w:cs="新宋体"/>
          <w:kern w:val="0"/>
          <w:sz w:val="24"/>
        </w:rPr>
        <w:t>及其成员等当事主体赠送财物。3.</w:t>
      </w:r>
      <w:r>
        <w:rPr>
          <w:rFonts w:hint="eastAsia" w:ascii="新宋体" w:hAnsi="新宋体" w:eastAsia="新宋体" w:cs="新宋体"/>
          <w:kern w:val="0"/>
          <w:sz w:val="24"/>
          <w:lang w:eastAsia="zh-CN"/>
        </w:rPr>
        <w:t>投标</w:t>
      </w:r>
      <w:r>
        <w:rPr>
          <w:rFonts w:hint="eastAsia" w:ascii="新宋体" w:hAnsi="新宋体" w:eastAsia="新宋体" w:cs="新宋体"/>
          <w:kern w:val="0"/>
          <w:sz w:val="24"/>
        </w:rPr>
        <w:t>截止后至</w:t>
      </w:r>
      <w:r>
        <w:rPr>
          <w:rFonts w:hint="eastAsia" w:ascii="新宋体" w:hAnsi="新宋体" w:eastAsia="新宋体" w:cs="新宋体"/>
          <w:kern w:val="0"/>
          <w:sz w:val="24"/>
          <w:lang w:eastAsia="zh-CN"/>
        </w:rPr>
        <w:t>成交</w:t>
      </w:r>
      <w:r>
        <w:rPr>
          <w:rFonts w:hint="eastAsia" w:ascii="新宋体" w:hAnsi="新宋体" w:eastAsia="新宋体" w:cs="新宋体"/>
          <w:kern w:val="0"/>
          <w:sz w:val="24"/>
        </w:rPr>
        <w:t>人确定前，修改或者撤销</w:t>
      </w:r>
      <w:r>
        <w:rPr>
          <w:rFonts w:hint="eastAsia" w:ascii="新宋体" w:hAnsi="新宋体" w:eastAsia="新宋体" w:cs="新宋体"/>
          <w:kern w:val="0"/>
          <w:sz w:val="24"/>
          <w:lang w:eastAsia="zh-CN"/>
        </w:rPr>
        <w:t>响应文件</w:t>
      </w:r>
      <w:r>
        <w:rPr>
          <w:rFonts w:hint="eastAsia" w:ascii="新宋体" w:hAnsi="新宋体" w:eastAsia="新宋体" w:cs="新宋体"/>
          <w:kern w:val="0"/>
          <w:sz w:val="24"/>
        </w:rPr>
        <w:t>。4.在被确定为</w:t>
      </w:r>
      <w:r>
        <w:rPr>
          <w:rFonts w:hint="eastAsia" w:ascii="新宋体" w:hAnsi="新宋体" w:eastAsia="新宋体" w:cs="新宋体"/>
          <w:kern w:val="0"/>
          <w:sz w:val="24"/>
          <w:lang w:eastAsia="zh-CN"/>
        </w:rPr>
        <w:t>成交</w:t>
      </w:r>
      <w:r>
        <w:rPr>
          <w:rFonts w:hint="eastAsia" w:ascii="新宋体" w:hAnsi="新宋体" w:eastAsia="新宋体" w:cs="新宋体"/>
          <w:kern w:val="0"/>
          <w:sz w:val="24"/>
        </w:rPr>
        <w:t>人后无正当理由：不按照</w:t>
      </w:r>
      <w:r>
        <w:rPr>
          <w:rFonts w:hint="eastAsia" w:ascii="新宋体" w:hAnsi="新宋体" w:eastAsia="新宋体" w:cs="新宋体"/>
          <w:kern w:val="0"/>
          <w:sz w:val="24"/>
          <w:lang w:eastAsia="zh-CN"/>
        </w:rPr>
        <w:t>招标文件</w:t>
      </w:r>
      <w:r>
        <w:rPr>
          <w:rFonts w:hint="eastAsia" w:ascii="新宋体" w:hAnsi="新宋体" w:eastAsia="新宋体" w:cs="新宋体"/>
          <w:kern w:val="0"/>
          <w:sz w:val="24"/>
        </w:rPr>
        <w:t>和</w:t>
      </w:r>
      <w:r>
        <w:rPr>
          <w:rFonts w:hint="eastAsia" w:ascii="新宋体" w:hAnsi="新宋体" w:eastAsia="新宋体" w:cs="新宋体"/>
          <w:kern w:val="0"/>
          <w:sz w:val="24"/>
          <w:lang w:eastAsia="zh-CN"/>
        </w:rPr>
        <w:t>响应文件</w:t>
      </w:r>
      <w:r>
        <w:rPr>
          <w:rFonts w:hint="eastAsia" w:ascii="新宋体" w:hAnsi="新宋体" w:eastAsia="新宋体" w:cs="新宋体"/>
          <w:kern w:val="0"/>
          <w:sz w:val="24"/>
        </w:rPr>
        <w:t>与</w:t>
      </w:r>
      <w:r>
        <w:rPr>
          <w:rFonts w:hint="eastAsia" w:ascii="新宋体" w:hAnsi="新宋体" w:eastAsia="新宋体" w:cs="新宋体"/>
          <w:kern w:val="0"/>
          <w:sz w:val="24"/>
          <w:lang w:eastAsia="zh-CN"/>
        </w:rPr>
        <w:t>发包</w:t>
      </w:r>
      <w:r>
        <w:rPr>
          <w:rFonts w:hint="eastAsia" w:ascii="新宋体" w:hAnsi="新宋体" w:eastAsia="新宋体" w:cs="新宋体"/>
          <w:kern w:val="0"/>
          <w:sz w:val="24"/>
        </w:rPr>
        <w:t>人签订合同；在签订合同时向</w:t>
      </w:r>
      <w:r>
        <w:rPr>
          <w:rFonts w:hint="eastAsia" w:ascii="新宋体" w:hAnsi="新宋体" w:eastAsia="新宋体" w:cs="新宋体"/>
          <w:kern w:val="0"/>
          <w:sz w:val="24"/>
          <w:lang w:eastAsia="zh-CN"/>
        </w:rPr>
        <w:t>发包</w:t>
      </w:r>
      <w:r>
        <w:rPr>
          <w:rFonts w:hint="eastAsia" w:ascii="新宋体" w:hAnsi="新宋体" w:eastAsia="新宋体" w:cs="新宋体"/>
          <w:kern w:val="0"/>
          <w:sz w:val="24"/>
        </w:rPr>
        <w:t>人提出附加条件、或者改变</w:t>
      </w:r>
      <w:r>
        <w:rPr>
          <w:rFonts w:hint="eastAsia" w:ascii="新宋体" w:hAnsi="新宋体" w:eastAsia="新宋体" w:cs="新宋体"/>
          <w:kern w:val="0"/>
          <w:sz w:val="24"/>
          <w:lang w:eastAsia="zh-CN"/>
        </w:rPr>
        <w:t>响应文件</w:t>
      </w:r>
      <w:r>
        <w:rPr>
          <w:rFonts w:hint="eastAsia" w:ascii="新宋体" w:hAnsi="新宋体" w:eastAsia="新宋体" w:cs="新宋体"/>
          <w:kern w:val="0"/>
          <w:sz w:val="24"/>
        </w:rPr>
        <w:t>的实质性内容；放弃</w:t>
      </w:r>
      <w:r>
        <w:rPr>
          <w:rFonts w:hint="eastAsia" w:ascii="新宋体" w:hAnsi="新宋体" w:eastAsia="新宋体" w:cs="新宋体"/>
          <w:kern w:val="0"/>
          <w:sz w:val="24"/>
          <w:lang w:eastAsia="zh-CN"/>
        </w:rPr>
        <w:t>成交</w:t>
      </w:r>
      <w:r>
        <w:rPr>
          <w:rFonts w:hint="eastAsia" w:ascii="新宋体" w:hAnsi="新宋体" w:eastAsia="新宋体" w:cs="新宋体"/>
          <w:kern w:val="0"/>
          <w:sz w:val="24"/>
        </w:rPr>
        <w:t>；不按照</w:t>
      </w:r>
      <w:r>
        <w:rPr>
          <w:rFonts w:hint="eastAsia" w:ascii="新宋体" w:hAnsi="新宋体" w:eastAsia="新宋体" w:cs="新宋体"/>
          <w:kern w:val="0"/>
          <w:sz w:val="24"/>
          <w:lang w:eastAsia="zh-CN"/>
        </w:rPr>
        <w:t>招标文件</w:t>
      </w:r>
      <w:r>
        <w:rPr>
          <w:rFonts w:hint="eastAsia" w:ascii="新宋体" w:hAnsi="新宋体" w:eastAsia="新宋体" w:cs="新宋体"/>
          <w:kern w:val="0"/>
          <w:sz w:val="24"/>
        </w:rPr>
        <w:t>的规定提交履约保证金。5.招投标法规定的其它违法违规行为。</w:t>
      </w:r>
    </w:p>
    <w:p w14:paraId="0915AFF0">
      <w:pPr>
        <w:widowControl/>
        <w:adjustRightInd w:val="0"/>
        <w:snapToGrid w:val="0"/>
        <w:spacing w:line="540" w:lineRule="exact"/>
        <w:ind w:firstLine="480" w:firstLineChars="200"/>
        <w:jc w:val="left"/>
        <w:outlineLvl w:val="9"/>
        <w:rPr>
          <w:rFonts w:hint="eastAsia" w:ascii="新宋体" w:hAnsi="新宋体" w:eastAsia="新宋体" w:cs="新宋体"/>
          <w:kern w:val="0"/>
          <w:sz w:val="24"/>
        </w:rPr>
      </w:pPr>
      <w:r>
        <w:rPr>
          <w:rFonts w:hint="eastAsia" w:ascii="新宋体" w:hAnsi="新宋体" w:eastAsia="新宋体" w:cs="新宋体"/>
          <w:kern w:val="0"/>
          <w:sz w:val="24"/>
        </w:rPr>
        <w:t>（三）若我公司（单位）及相关参与人员违背以上承诺事项，即被视为失信企业（法人），依据《关于对公共资源交易领域严重失信主体开展联合惩戒的备忘录》（发改法规[2018]457号），自愿接受1至3年内限制参与公共资源交易活动。</w:t>
      </w:r>
    </w:p>
    <w:p w14:paraId="325B7417">
      <w:pPr>
        <w:widowControl/>
        <w:adjustRightInd w:val="0"/>
        <w:snapToGrid w:val="0"/>
        <w:spacing w:line="540" w:lineRule="exact"/>
        <w:ind w:firstLine="480" w:firstLineChars="200"/>
        <w:jc w:val="left"/>
        <w:outlineLvl w:val="9"/>
        <w:rPr>
          <w:rFonts w:hint="eastAsia" w:ascii="新宋体" w:hAnsi="新宋体" w:eastAsia="新宋体" w:cs="新宋体"/>
          <w:kern w:val="0"/>
          <w:sz w:val="24"/>
        </w:rPr>
      </w:pPr>
    </w:p>
    <w:p w14:paraId="6D528067">
      <w:pPr>
        <w:widowControl/>
        <w:tabs>
          <w:tab w:val="left" w:pos="4395"/>
        </w:tabs>
        <w:adjustRightInd w:val="0"/>
        <w:snapToGrid w:val="0"/>
        <w:spacing w:line="500" w:lineRule="exact"/>
        <w:ind w:firstLine="480" w:firstLineChars="200"/>
        <w:jc w:val="left"/>
        <w:outlineLvl w:val="9"/>
        <w:rPr>
          <w:rFonts w:hint="eastAsia" w:ascii="新宋体" w:hAnsi="新宋体" w:eastAsia="新宋体" w:cs="新宋体"/>
          <w:b/>
          <w:kern w:val="0"/>
          <w:sz w:val="24"/>
        </w:rPr>
      </w:pPr>
      <w:r>
        <w:rPr>
          <w:rFonts w:hint="eastAsia" w:ascii="新宋体" w:hAnsi="新宋体" w:eastAsia="新宋体" w:cs="新宋体"/>
          <w:kern w:val="0"/>
          <w:sz w:val="24"/>
        </w:rPr>
        <w:t>法</w:t>
      </w:r>
      <w:r>
        <w:rPr>
          <w:rFonts w:hint="eastAsia" w:ascii="新宋体" w:hAnsi="新宋体" w:eastAsia="新宋体" w:cs="新宋体"/>
          <w:kern w:val="0"/>
          <w:sz w:val="24"/>
          <w:lang w:val="en-US" w:eastAsia="zh-CN"/>
        </w:rPr>
        <w:t>人</w:t>
      </w:r>
      <w:r>
        <w:rPr>
          <w:rFonts w:hint="eastAsia" w:ascii="新宋体" w:hAnsi="新宋体" w:eastAsia="新宋体" w:cs="新宋体"/>
          <w:kern w:val="0"/>
          <w:sz w:val="24"/>
        </w:rPr>
        <w:t xml:space="preserve">代表（签章）：            </w:t>
      </w:r>
      <w:r>
        <w:rPr>
          <w:rFonts w:hint="eastAsia" w:ascii="新宋体" w:hAnsi="新宋体" w:eastAsia="新宋体" w:cs="新宋体"/>
          <w:kern w:val="0"/>
          <w:sz w:val="24"/>
          <w:lang w:val="en-US" w:eastAsia="zh-CN"/>
        </w:rPr>
        <w:t>投标人</w:t>
      </w:r>
      <w:r>
        <w:rPr>
          <w:rFonts w:hint="eastAsia" w:ascii="新宋体" w:hAnsi="新宋体" w:eastAsia="新宋体" w:cs="新宋体"/>
          <w:kern w:val="0"/>
          <w:sz w:val="24"/>
        </w:rPr>
        <w:t>（盖章）：</w:t>
      </w:r>
    </w:p>
    <w:p w14:paraId="22F7BE46">
      <w:pPr>
        <w:adjustRightInd w:val="0"/>
        <w:snapToGrid w:val="0"/>
        <w:spacing w:line="500" w:lineRule="exact"/>
        <w:ind w:firstLine="4440" w:firstLineChars="1850"/>
        <w:outlineLvl w:val="9"/>
        <w:rPr>
          <w:rFonts w:hint="eastAsia" w:ascii="新宋体" w:hAnsi="新宋体" w:eastAsia="新宋体" w:cs="新宋体"/>
          <w:kern w:val="0"/>
          <w:sz w:val="24"/>
        </w:rPr>
      </w:pPr>
      <w:r>
        <w:rPr>
          <w:rFonts w:hint="eastAsia" w:ascii="新宋体" w:hAnsi="新宋体" w:eastAsia="新宋体" w:cs="新宋体"/>
          <w:kern w:val="0"/>
          <w:sz w:val="24"/>
        </w:rPr>
        <w:t>承诺时间：</w:t>
      </w:r>
      <w:r>
        <w:rPr>
          <w:rFonts w:hint="eastAsia" w:ascii="新宋体" w:hAnsi="新宋体" w:eastAsia="新宋体" w:cs="新宋体"/>
          <w:kern w:val="0"/>
          <w:sz w:val="24"/>
          <w:u w:val="single"/>
        </w:rPr>
        <w:t xml:space="preserve"> </w:t>
      </w:r>
      <w:r>
        <w:rPr>
          <w:rFonts w:hint="eastAsia" w:ascii="新宋体" w:hAnsi="新宋体" w:eastAsia="新宋体" w:cs="新宋体"/>
          <w:kern w:val="0"/>
          <w:sz w:val="24"/>
          <w:u w:val="single"/>
          <w:lang w:val="en-US" w:eastAsia="zh-CN"/>
        </w:rPr>
        <w:t xml:space="preserve">   </w:t>
      </w:r>
      <w:r>
        <w:rPr>
          <w:rFonts w:hint="eastAsia" w:ascii="新宋体" w:hAnsi="新宋体" w:eastAsia="新宋体" w:cs="新宋体"/>
          <w:kern w:val="0"/>
          <w:sz w:val="24"/>
          <w:u w:val="single"/>
        </w:rPr>
        <w:t xml:space="preserve"> </w:t>
      </w:r>
      <w:r>
        <w:rPr>
          <w:rFonts w:hint="eastAsia" w:ascii="新宋体" w:hAnsi="新宋体" w:eastAsia="新宋体" w:cs="新宋体"/>
          <w:kern w:val="0"/>
          <w:sz w:val="24"/>
        </w:rPr>
        <w:t>年</w:t>
      </w:r>
      <w:r>
        <w:rPr>
          <w:rFonts w:hint="eastAsia" w:ascii="新宋体" w:hAnsi="新宋体" w:eastAsia="新宋体" w:cs="新宋体"/>
          <w:kern w:val="0"/>
          <w:sz w:val="24"/>
          <w:u w:val="single"/>
        </w:rPr>
        <w:t xml:space="preserve">  </w:t>
      </w:r>
      <w:r>
        <w:rPr>
          <w:rFonts w:hint="eastAsia" w:ascii="新宋体" w:hAnsi="新宋体" w:eastAsia="新宋体" w:cs="新宋体"/>
          <w:kern w:val="0"/>
          <w:sz w:val="24"/>
          <w:u w:val="single"/>
          <w:lang w:val="en-US" w:eastAsia="zh-CN"/>
        </w:rPr>
        <w:t xml:space="preserve">  </w:t>
      </w:r>
      <w:r>
        <w:rPr>
          <w:rFonts w:hint="eastAsia" w:ascii="新宋体" w:hAnsi="新宋体" w:eastAsia="新宋体" w:cs="新宋体"/>
          <w:kern w:val="0"/>
          <w:sz w:val="24"/>
          <w:u w:val="single"/>
        </w:rPr>
        <w:t xml:space="preserve">  </w:t>
      </w:r>
      <w:r>
        <w:rPr>
          <w:rFonts w:hint="eastAsia" w:ascii="新宋体" w:hAnsi="新宋体" w:eastAsia="新宋体" w:cs="新宋体"/>
          <w:kern w:val="0"/>
          <w:sz w:val="24"/>
        </w:rPr>
        <w:t>月</w:t>
      </w:r>
      <w:r>
        <w:rPr>
          <w:rFonts w:hint="eastAsia" w:ascii="新宋体" w:hAnsi="新宋体" w:eastAsia="新宋体" w:cs="新宋体"/>
          <w:kern w:val="0"/>
          <w:sz w:val="24"/>
          <w:u w:val="single"/>
        </w:rPr>
        <w:t xml:space="preserve"> </w:t>
      </w:r>
      <w:r>
        <w:rPr>
          <w:rFonts w:hint="eastAsia" w:ascii="新宋体" w:hAnsi="新宋体" w:eastAsia="新宋体" w:cs="新宋体"/>
          <w:kern w:val="0"/>
          <w:sz w:val="24"/>
          <w:u w:val="single"/>
          <w:lang w:val="en-US" w:eastAsia="zh-CN"/>
        </w:rPr>
        <w:t xml:space="preserve">  </w:t>
      </w:r>
      <w:r>
        <w:rPr>
          <w:rFonts w:hint="eastAsia" w:ascii="新宋体" w:hAnsi="新宋体" w:eastAsia="新宋体" w:cs="新宋体"/>
          <w:kern w:val="0"/>
          <w:sz w:val="24"/>
          <w:u w:val="single"/>
        </w:rPr>
        <w:t xml:space="preserve"> </w:t>
      </w:r>
      <w:r>
        <w:rPr>
          <w:rFonts w:hint="eastAsia" w:ascii="新宋体" w:hAnsi="新宋体" w:eastAsia="新宋体" w:cs="新宋体"/>
          <w:kern w:val="0"/>
          <w:sz w:val="24"/>
        </w:rPr>
        <w:t>日</w:t>
      </w:r>
    </w:p>
    <w:p w14:paraId="12B54442">
      <w:pPr>
        <w:adjustRightInd w:val="0"/>
        <w:snapToGrid w:val="0"/>
        <w:spacing w:line="500" w:lineRule="exact"/>
        <w:outlineLvl w:val="9"/>
        <w:rPr>
          <w:rFonts w:hint="eastAsia" w:ascii="新宋体" w:hAnsi="新宋体" w:eastAsia="新宋体" w:cs="新宋体"/>
          <w:b/>
          <w:kern w:val="0"/>
          <w:sz w:val="24"/>
        </w:rPr>
      </w:pPr>
    </w:p>
    <w:p w14:paraId="5E96C608">
      <w:pPr>
        <w:rPr>
          <w:rFonts w:hint="eastAsia" w:hAnsi="宋体" w:cs="宋体"/>
          <w:sz w:val="21"/>
          <w:szCs w:val="21"/>
        </w:rPr>
        <w:sectPr>
          <w:pgSz w:w="11906" w:h="16838"/>
          <w:pgMar w:top="1417" w:right="1417" w:bottom="1417" w:left="1417" w:header="850" w:footer="850" w:gutter="0"/>
          <w:pgNumType w:fmt="numberInDash"/>
          <w:cols w:space="425" w:num="1"/>
          <w:docGrid w:type="lines" w:linePitch="326" w:charSpace="0"/>
        </w:sectPr>
      </w:pPr>
      <w:r>
        <w:rPr>
          <w:rFonts w:hint="eastAsia" w:ascii="宋体" w:hAnsi="宋体" w:eastAsia="宋体" w:cs="宋体"/>
          <w:b w:val="0"/>
          <w:bCs/>
          <w:kern w:val="0"/>
          <w:sz w:val="24"/>
          <w:szCs w:val="24"/>
        </w:rPr>
        <w:t>说明：本承诺书效力和作用等同</w:t>
      </w:r>
      <w:r>
        <w:rPr>
          <w:rFonts w:hint="eastAsia" w:ascii="宋体" w:hAnsi="宋体" w:eastAsia="宋体" w:cs="宋体"/>
          <w:b w:val="0"/>
          <w:bCs/>
          <w:kern w:val="0"/>
          <w:sz w:val="24"/>
          <w:szCs w:val="24"/>
          <w:lang w:val="en-US" w:eastAsia="zh-CN"/>
        </w:rPr>
        <w:t>于</w:t>
      </w:r>
      <w:r>
        <w:rPr>
          <w:rFonts w:hint="eastAsia" w:hAnsi="宋体" w:cs="宋体"/>
          <w:b w:val="0"/>
          <w:bCs/>
          <w:kern w:val="0"/>
          <w:sz w:val="24"/>
          <w:szCs w:val="24"/>
          <w:lang w:val="en-US" w:eastAsia="zh-CN"/>
        </w:rPr>
        <w:t>投标</w:t>
      </w:r>
      <w:r>
        <w:rPr>
          <w:rFonts w:hint="eastAsia" w:ascii="宋体" w:hAnsi="宋体" w:eastAsia="宋体" w:cs="宋体"/>
          <w:b w:val="0"/>
          <w:bCs/>
          <w:kern w:val="0"/>
          <w:sz w:val="24"/>
          <w:szCs w:val="24"/>
        </w:rPr>
        <w:t>保证金，其有效期与</w:t>
      </w:r>
      <w:r>
        <w:rPr>
          <w:rFonts w:hint="eastAsia" w:hAnsi="宋体" w:cs="宋体"/>
          <w:b w:val="0"/>
          <w:bCs/>
          <w:kern w:val="0"/>
          <w:sz w:val="24"/>
          <w:szCs w:val="24"/>
          <w:lang w:val="en-US" w:eastAsia="zh-CN"/>
        </w:rPr>
        <w:t>投标</w:t>
      </w:r>
      <w:r>
        <w:rPr>
          <w:rFonts w:hint="eastAsia" w:ascii="宋体" w:hAnsi="宋体" w:eastAsia="宋体" w:cs="宋体"/>
          <w:b w:val="0"/>
          <w:bCs/>
          <w:kern w:val="0"/>
          <w:sz w:val="24"/>
          <w:szCs w:val="24"/>
        </w:rPr>
        <w:t>有效期一致。</w:t>
      </w:r>
    </w:p>
    <w:p w14:paraId="5F246868">
      <w:pPr>
        <w:jc w:val="center"/>
        <w:rPr>
          <w:b/>
          <w:bCs/>
          <w:sz w:val="21"/>
          <w:szCs w:val="16"/>
        </w:rPr>
      </w:pPr>
      <w:bookmarkStart w:id="196" w:name="_Toc24541"/>
      <w:bookmarkStart w:id="197" w:name="_Toc30545"/>
      <w:bookmarkStart w:id="198" w:name="_Toc5789"/>
      <w:bookmarkStart w:id="199" w:name="_Toc32424"/>
      <w:bookmarkStart w:id="200" w:name="_Toc20419"/>
      <w:bookmarkStart w:id="201" w:name="_Toc19809"/>
      <w:bookmarkStart w:id="202" w:name="_Toc12113"/>
      <w:bookmarkStart w:id="203" w:name="_Toc5982"/>
      <w:bookmarkStart w:id="204" w:name="_Toc14516"/>
      <w:bookmarkStart w:id="205" w:name="_Toc528596085"/>
      <w:bookmarkStart w:id="206" w:name="_Toc9321"/>
      <w:bookmarkStart w:id="207" w:name="_Toc18571"/>
      <w:bookmarkStart w:id="208" w:name="_Toc16287"/>
      <w:bookmarkStart w:id="209" w:name="_Toc18338"/>
      <w:bookmarkStart w:id="210" w:name="_Toc16358"/>
      <w:r>
        <w:rPr>
          <w:rFonts w:hint="eastAsia"/>
          <w:b/>
          <w:bCs/>
          <w:sz w:val="28"/>
          <w:szCs w:val="28"/>
        </w:rPr>
        <w:t>法定代表人证明书</w:t>
      </w:r>
      <w:bookmarkEnd w:id="196"/>
      <w:bookmarkEnd w:id="197"/>
      <w:bookmarkEnd w:id="198"/>
      <w:bookmarkEnd w:id="199"/>
      <w:bookmarkEnd w:id="200"/>
      <w:bookmarkEnd w:id="201"/>
      <w:bookmarkEnd w:id="202"/>
      <w:bookmarkEnd w:id="203"/>
      <w:bookmarkEnd w:id="204"/>
    </w:p>
    <w:p w14:paraId="55B200FE"/>
    <w:tbl>
      <w:tblPr>
        <w:tblStyle w:val="21"/>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1904"/>
        <w:gridCol w:w="2307"/>
        <w:gridCol w:w="178"/>
        <w:gridCol w:w="2104"/>
        <w:gridCol w:w="2109"/>
      </w:tblGrid>
      <w:tr w14:paraId="58A1A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9480" w:type="dxa"/>
            <w:gridSpan w:val="6"/>
            <w:vAlign w:val="center"/>
          </w:tcPr>
          <w:p w14:paraId="67D0309B">
            <w:pPr>
              <w:snapToGrid w:val="0"/>
              <w:jc w:val="left"/>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hAnsi="宋体" w:cs="宋体"/>
                <w:sz w:val="24"/>
                <w:szCs w:val="24"/>
                <w:lang w:eastAsia="zh-CN"/>
              </w:rPr>
              <w:t>榆林市交通运输局</w:t>
            </w:r>
          </w:p>
        </w:tc>
      </w:tr>
      <w:tr w14:paraId="10E40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878" w:type="dxa"/>
            <w:vMerge w:val="restart"/>
            <w:vAlign w:val="center"/>
          </w:tcPr>
          <w:p w14:paraId="68F0C282">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企</w:t>
            </w:r>
          </w:p>
          <w:p w14:paraId="2D18F06D">
            <w:pPr>
              <w:tabs>
                <w:tab w:val="left" w:pos="210"/>
              </w:tabs>
              <w:spacing w:line="320" w:lineRule="exact"/>
              <w:jc w:val="center"/>
              <w:rPr>
                <w:rFonts w:hint="eastAsia" w:ascii="宋体" w:hAnsi="宋体" w:eastAsia="宋体" w:cs="宋体"/>
                <w:sz w:val="24"/>
                <w:szCs w:val="24"/>
              </w:rPr>
            </w:pPr>
          </w:p>
          <w:p w14:paraId="798BEBFA">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业</w:t>
            </w:r>
          </w:p>
          <w:p w14:paraId="30BB888D">
            <w:pPr>
              <w:tabs>
                <w:tab w:val="left" w:pos="210"/>
              </w:tabs>
              <w:spacing w:line="320" w:lineRule="exact"/>
              <w:jc w:val="center"/>
              <w:rPr>
                <w:rFonts w:hint="eastAsia" w:ascii="宋体" w:hAnsi="宋体" w:eastAsia="宋体" w:cs="宋体"/>
                <w:sz w:val="24"/>
                <w:szCs w:val="24"/>
              </w:rPr>
            </w:pPr>
          </w:p>
          <w:p w14:paraId="53A7B24D">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法</w:t>
            </w:r>
          </w:p>
          <w:p w14:paraId="0A9AEF21">
            <w:pPr>
              <w:tabs>
                <w:tab w:val="left" w:pos="210"/>
              </w:tabs>
              <w:spacing w:line="320" w:lineRule="exact"/>
              <w:jc w:val="center"/>
              <w:rPr>
                <w:rFonts w:hint="eastAsia" w:ascii="宋体" w:hAnsi="宋体" w:eastAsia="宋体" w:cs="宋体"/>
                <w:sz w:val="24"/>
                <w:szCs w:val="24"/>
              </w:rPr>
            </w:pPr>
          </w:p>
          <w:p w14:paraId="2E42EB3E">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人</w:t>
            </w:r>
          </w:p>
        </w:tc>
        <w:tc>
          <w:tcPr>
            <w:tcW w:w="1904" w:type="dxa"/>
            <w:vAlign w:val="center"/>
          </w:tcPr>
          <w:p w14:paraId="3B2EEE4E">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企业名称</w:t>
            </w:r>
          </w:p>
        </w:tc>
        <w:tc>
          <w:tcPr>
            <w:tcW w:w="6698" w:type="dxa"/>
            <w:gridSpan w:val="4"/>
            <w:vAlign w:val="center"/>
          </w:tcPr>
          <w:p w14:paraId="07B5763F">
            <w:pPr>
              <w:tabs>
                <w:tab w:val="left" w:pos="210"/>
              </w:tabs>
              <w:spacing w:line="320" w:lineRule="exact"/>
              <w:jc w:val="center"/>
              <w:rPr>
                <w:rFonts w:hint="eastAsia" w:ascii="宋体" w:hAnsi="宋体" w:eastAsia="宋体" w:cs="宋体"/>
                <w:sz w:val="24"/>
                <w:szCs w:val="24"/>
              </w:rPr>
            </w:pPr>
          </w:p>
        </w:tc>
      </w:tr>
      <w:tr w14:paraId="26823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878" w:type="dxa"/>
            <w:vMerge w:val="continue"/>
            <w:vAlign w:val="center"/>
          </w:tcPr>
          <w:p w14:paraId="1EE09614">
            <w:pPr>
              <w:tabs>
                <w:tab w:val="left" w:pos="210"/>
              </w:tabs>
              <w:spacing w:line="320" w:lineRule="exact"/>
              <w:jc w:val="center"/>
              <w:rPr>
                <w:rFonts w:hint="eastAsia" w:ascii="宋体" w:hAnsi="宋体" w:eastAsia="宋体" w:cs="宋体"/>
                <w:sz w:val="24"/>
                <w:szCs w:val="24"/>
              </w:rPr>
            </w:pPr>
          </w:p>
        </w:tc>
        <w:tc>
          <w:tcPr>
            <w:tcW w:w="1904" w:type="dxa"/>
            <w:vAlign w:val="center"/>
          </w:tcPr>
          <w:p w14:paraId="0F41040A">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法定地址</w:t>
            </w:r>
          </w:p>
        </w:tc>
        <w:tc>
          <w:tcPr>
            <w:tcW w:w="6698" w:type="dxa"/>
            <w:gridSpan w:val="4"/>
            <w:vAlign w:val="center"/>
          </w:tcPr>
          <w:p w14:paraId="48E0021D">
            <w:pPr>
              <w:tabs>
                <w:tab w:val="left" w:pos="210"/>
              </w:tabs>
              <w:spacing w:line="320" w:lineRule="exact"/>
              <w:jc w:val="center"/>
              <w:rPr>
                <w:rFonts w:hint="eastAsia" w:ascii="宋体" w:hAnsi="宋体" w:eastAsia="宋体" w:cs="宋体"/>
                <w:sz w:val="24"/>
                <w:szCs w:val="24"/>
              </w:rPr>
            </w:pPr>
          </w:p>
        </w:tc>
      </w:tr>
      <w:tr w14:paraId="7021B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878" w:type="dxa"/>
            <w:vMerge w:val="continue"/>
            <w:vAlign w:val="center"/>
          </w:tcPr>
          <w:p w14:paraId="3BED0D53">
            <w:pPr>
              <w:tabs>
                <w:tab w:val="left" w:pos="210"/>
              </w:tabs>
              <w:spacing w:line="320" w:lineRule="exact"/>
              <w:jc w:val="center"/>
              <w:rPr>
                <w:rFonts w:hint="eastAsia" w:ascii="宋体" w:hAnsi="宋体" w:eastAsia="宋体" w:cs="宋体"/>
                <w:sz w:val="24"/>
                <w:szCs w:val="24"/>
              </w:rPr>
            </w:pPr>
          </w:p>
        </w:tc>
        <w:tc>
          <w:tcPr>
            <w:tcW w:w="1904" w:type="dxa"/>
            <w:vAlign w:val="center"/>
          </w:tcPr>
          <w:p w14:paraId="1169CA9F">
            <w:pPr>
              <w:tabs>
                <w:tab w:val="left" w:pos="210"/>
              </w:tabs>
              <w:spacing w:line="320" w:lineRule="exact"/>
              <w:jc w:val="center"/>
              <w:rPr>
                <w:rFonts w:hint="default" w:ascii="宋体" w:hAnsi="宋体" w:eastAsia="宋体" w:cs="宋体"/>
                <w:sz w:val="24"/>
                <w:szCs w:val="24"/>
                <w:lang w:val="en-US" w:eastAsia="zh-CN"/>
              </w:rPr>
            </w:pPr>
            <w:r>
              <w:rPr>
                <w:rFonts w:hint="eastAsia" w:hAnsi="宋体" w:cs="宋体"/>
                <w:sz w:val="24"/>
                <w:szCs w:val="24"/>
                <w:lang w:val="en-US" w:eastAsia="zh-CN"/>
              </w:rPr>
              <w:t>注册时间</w:t>
            </w:r>
          </w:p>
        </w:tc>
        <w:tc>
          <w:tcPr>
            <w:tcW w:w="6698" w:type="dxa"/>
            <w:gridSpan w:val="4"/>
            <w:vAlign w:val="center"/>
          </w:tcPr>
          <w:p w14:paraId="68576A8D">
            <w:pPr>
              <w:tabs>
                <w:tab w:val="left" w:pos="210"/>
              </w:tabs>
              <w:spacing w:line="320" w:lineRule="exact"/>
              <w:jc w:val="center"/>
              <w:rPr>
                <w:rFonts w:hint="eastAsia" w:ascii="宋体" w:hAnsi="宋体" w:eastAsia="宋体" w:cs="宋体"/>
                <w:sz w:val="24"/>
                <w:szCs w:val="24"/>
              </w:rPr>
            </w:pPr>
          </w:p>
        </w:tc>
      </w:tr>
      <w:tr w14:paraId="0640E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78" w:type="dxa"/>
            <w:vMerge w:val="continue"/>
            <w:vAlign w:val="center"/>
          </w:tcPr>
          <w:p w14:paraId="188CD371">
            <w:pPr>
              <w:tabs>
                <w:tab w:val="left" w:pos="210"/>
              </w:tabs>
              <w:spacing w:line="320" w:lineRule="exact"/>
              <w:jc w:val="center"/>
              <w:rPr>
                <w:rFonts w:hint="eastAsia" w:ascii="宋体" w:hAnsi="宋体" w:eastAsia="宋体" w:cs="宋体"/>
                <w:sz w:val="24"/>
                <w:szCs w:val="24"/>
              </w:rPr>
            </w:pPr>
          </w:p>
        </w:tc>
        <w:tc>
          <w:tcPr>
            <w:tcW w:w="1904" w:type="dxa"/>
            <w:vAlign w:val="center"/>
          </w:tcPr>
          <w:p w14:paraId="5040F442">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工商登记机关</w:t>
            </w:r>
          </w:p>
        </w:tc>
        <w:tc>
          <w:tcPr>
            <w:tcW w:w="6698" w:type="dxa"/>
            <w:gridSpan w:val="4"/>
            <w:vAlign w:val="center"/>
          </w:tcPr>
          <w:p w14:paraId="02A587B9">
            <w:pPr>
              <w:tabs>
                <w:tab w:val="left" w:pos="210"/>
              </w:tabs>
              <w:spacing w:line="320" w:lineRule="exact"/>
              <w:jc w:val="center"/>
              <w:rPr>
                <w:rFonts w:hint="eastAsia" w:ascii="宋体" w:hAnsi="宋体" w:eastAsia="宋体" w:cs="宋体"/>
                <w:sz w:val="24"/>
                <w:szCs w:val="24"/>
              </w:rPr>
            </w:pPr>
          </w:p>
        </w:tc>
      </w:tr>
      <w:tr w14:paraId="76810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878" w:type="dxa"/>
            <w:vMerge w:val="continue"/>
            <w:vAlign w:val="center"/>
          </w:tcPr>
          <w:p w14:paraId="030048F8">
            <w:pPr>
              <w:tabs>
                <w:tab w:val="left" w:pos="210"/>
              </w:tabs>
              <w:spacing w:line="320" w:lineRule="exact"/>
              <w:jc w:val="center"/>
              <w:rPr>
                <w:rFonts w:hint="eastAsia" w:ascii="宋体" w:hAnsi="宋体" w:eastAsia="宋体" w:cs="宋体"/>
                <w:sz w:val="24"/>
                <w:szCs w:val="24"/>
              </w:rPr>
            </w:pPr>
          </w:p>
        </w:tc>
        <w:tc>
          <w:tcPr>
            <w:tcW w:w="1904" w:type="dxa"/>
            <w:vAlign w:val="center"/>
          </w:tcPr>
          <w:p w14:paraId="051EED23">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税务登记机关</w:t>
            </w:r>
          </w:p>
        </w:tc>
        <w:tc>
          <w:tcPr>
            <w:tcW w:w="6698" w:type="dxa"/>
            <w:gridSpan w:val="4"/>
            <w:vAlign w:val="center"/>
          </w:tcPr>
          <w:p w14:paraId="4812B349">
            <w:pPr>
              <w:tabs>
                <w:tab w:val="left" w:pos="210"/>
              </w:tabs>
              <w:spacing w:line="320" w:lineRule="exact"/>
              <w:jc w:val="center"/>
              <w:rPr>
                <w:rFonts w:hint="eastAsia" w:ascii="宋体" w:hAnsi="宋体" w:eastAsia="宋体" w:cs="宋体"/>
                <w:sz w:val="24"/>
                <w:szCs w:val="24"/>
              </w:rPr>
            </w:pPr>
          </w:p>
        </w:tc>
      </w:tr>
      <w:tr w14:paraId="78AF2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78" w:type="dxa"/>
            <w:vMerge w:val="continue"/>
            <w:vAlign w:val="center"/>
          </w:tcPr>
          <w:p w14:paraId="1A9B5EC8">
            <w:pPr>
              <w:tabs>
                <w:tab w:val="left" w:pos="210"/>
              </w:tabs>
              <w:spacing w:line="320" w:lineRule="exact"/>
              <w:jc w:val="center"/>
              <w:rPr>
                <w:rFonts w:hint="eastAsia" w:ascii="宋体" w:hAnsi="宋体" w:eastAsia="宋体" w:cs="宋体"/>
                <w:sz w:val="24"/>
                <w:szCs w:val="24"/>
              </w:rPr>
            </w:pPr>
          </w:p>
        </w:tc>
        <w:tc>
          <w:tcPr>
            <w:tcW w:w="1904" w:type="dxa"/>
            <w:vAlign w:val="center"/>
          </w:tcPr>
          <w:p w14:paraId="3BEF084E">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机构代码证号</w:t>
            </w:r>
          </w:p>
        </w:tc>
        <w:tc>
          <w:tcPr>
            <w:tcW w:w="6698" w:type="dxa"/>
            <w:gridSpan w:val="4"/>
            <w:vAlign w:val="center"/>
          </w:tcPr>
          <w:p w14:paraId="1DDBC19E">
            <w:pPr>
              <w:tabs>
                <w:tab w:val="left" w:pos="210"/>
              </w:tabs>
              <w:spacing w:line="320" w:lineRule="exact"/>
              <w:jc w:val="center"/>
              <w:rPr>
                <w:rFonts w:hint="eastAsia" w:ascii="宋体" w:hAnsi="宋体" w:eastAsia="宋体" w:cs="宋体"/>
                <w:sz w:val="24"/>
                <w:szCs w:val="24"/>
              </w:rPr>
            </w:pPr>
          </w:p>
        </w:tc>
      </w:tr>
      <w:tr w14:paraId="330D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878" w:type="dxa"/>
            <w:vMerge w:val="restart"/>
            <w:vAlign w:val="center"/>
          </w:tcPr>
          <w:p w14:paraId="4072996D">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904" w:type="dxa"/>
            <w:vAlign w:val="center"/>
          </w:tcPr>
          <w:p w14:paraId="0E73F4F1">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姓名</w:t>
            </w:r>
          </w:p>
        </w:tc>
        <w:tc>
          <w:tcPr>
            <w:tcW w:w="2485" w:type="dxa"/>
            <w:gridSpan w:val="2"/>
            <w:vAlign w:val="center"/>
          </w:tcPr>
          <w:p w14:paraId="1DE84C9C">
            <w:pPr>
              <w:tabs>
                <w:tab w:val="left" w:pos="210"/>
              </w:tabs>
              <w:spacing w:line="320" w:lineRule="exact"/>
              <w:jc w:val="center"/>
              <w:rPr>
                <w:rFonts w:hint="eastAsia" w:ascii="宋体" w:hAnsi="宋体" w:eastAsia="宋体" w:cs="宋体"/>
                <w:sz w:val="24"/>
                <w:szCs w:val="24"/>
              </w:rPr>
            </w:pPr>
          </w:p>
        </w:tc>
        <w:tc>
          <w:tcPr>
            <w:tcW w:w="2104" w:type="dxa"/>
            <w:vAlign w:val="center"/>
          </w:tcPr>
          <w:p w14:paraId="5D663758">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性别</w:t>
            </w:r>
          </w:p>
        </w:tc>
        <w:tc>
          <w:tcPr>
            <w:tcW w:w="2109" w:type="dxa"/>
            <w:vAlign w:val="center"/>
          </w:tcPr>
          <w:p w14:paraId="10D0FDBD">
            <w:pPr>
              <w:tabs>
                <w:tab w:val="left" w:pos="210"/>
              </w:tabs>
              <w:spacing w:line="320" w:lineRule="exact"/>
              <w:jc w:val="center"/>
              <w:rPr>
                <w:rFonts w:hint="eastAsia" w:ascii="宋体" w:hAnsi="宋体" w:eastAsia="宋体" w:cs="宋体"/>
                <w:sz w:val="24"/>
                <w:szCs w:val="24"/>
              </w:rPr>
            </w:pPr>
          </w:p>
        </w:tc>
      </w:tr>
      <w:tr w14:paraId="50EEB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878" w:type="dxa"/>
            <w:vMerge w:val="continue"/>
            <w:vAlign w:val="center"/>
          </w:tcPr>
          <w:p w14:paraId="547A2B3F">
            <w:pPr>
              <w:tabs>
                <w:tab w:val="left" w:pos="210"/>
              </w:tabs>
              <w:spacing w:line="320" w:lineRule="exact"/>
              <w:jc w:val="center"/>
              <w:rPr>
                <w:rFonts w:hint="eastAsia" w:ascii="宋体" w:hAnsi="宋体" w:eastAsia="宋体" w:cs="宋体"/>
                <w:sz w:val="24"/>
                <w:szCs w:val="24"/>
              </w:rPr>
            </w:pPr>
          </w:p>
        </w:tc>
        <w:tc>
          <w:tcPr>
            <w:tcW w:w="1904" w:type="dxa"/>
            <w:vAlign w:val="center"/>
          </w:tcPr>
          <w:p w14:paraId="2D2EF550">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职务</w:t>
            </w:r>
          </w:p>
        </w:tc>
        <w:tc>
          <w:tcPr>
            <w:tcW w:w="2485" w:type="dxa"/>
            <w:gridSpan w:val="2"/>
            <w:vAlign w:val="center"/>
          </w:tcPr>
          <w:p w14:paraId="1326BDEF">
            <w:pPr>
              <w:tabs>
                <w:tab w:val="left" w:pos="210"/>
              </w:tabs>
              <w:spacing w:line="320" w:lineRule="exact"/>
              <w:jc w:val="center"/>
              <w:rPr>
                <w:rFonts w:hint="eastAsia" w:ascii="宋体" w:hAnsi="宋体" w:eastAsia="宋体" w:cs="宋体"/>
                <w:sz w:val="24"/>
                <w:szCs w:val="24"/>
              </w:rPr>
            </w:pPr>
          </w:p>
        </w:tc>
        <w:tc>
          <w:tcPr>
            <w:tcW w:w="2104" w:type="dxa"/>
            <w:vAlign w:val="center"/>
          </w:tcPr>
          <w:p w14:paraId="0CD7951F">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2109" w:type="dxa"/>
            <w:vAlign w:val="center"/>
          </w:tcPr>
          <w:p w14:paraId="3A2E193B">
            <w:pPr>
              <w:tabs>
                <w:tab w:val="left" w:pos="210"/>
              </w:tabs>
              <w:spacing w:line="320" w:lineRule="exact"/>
              <w:jc w:val="center"/>
              <w:rPr>
                <w:rFonts w:hint="eastAsia" w:ascii="宋体" w:hAnsi="宋体" w:eastAsia="宋体" w:cs="宋体"/>
                <w:sz w:val="24"/>
                <w:szCs w:val="24"/>
              </w:rPr>
            </w:pPr>
          </w:p>
        </w:tc>
      </w:tr>
      <w:tr w14:paraId="6E60F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78" w:type="dxa"/>
            <w:vMerge w:val="continue"/>
            <w:vAlign w:val="center"/>
          </w:tcPr>
          <w:p w14:paraId="1BC935B9">
            <w:pPr>
              <w:tabs>
                <w:tab w:val="left" w:pos="210"/>
              </w:tabs>
              <w:spacing w:line="320" w:lineRule="exact"/>
              <w:jc w:val="center"/>
              <w:rPr>
                <w:rFonts w:hint="eastAsia" w:ascii="宋体" w:hAnsi="宋体" w:eastAsia="宋体" w:cs="宋体"/>
                <w:sz w:val="24"/>
                <w:szCs w:val="24"/>
              </w:rPr>
            </w:pPr>
          </w:p>
        </w:tc>
        <w:tc>
          <w:tcPr>
            <w:tcW w:w="1904" w:type="dxa"/>
            <w:vAlign w:val="center"/>
          </w:tcPr>
          <w:p w14:paraId="1790C67B">
            <w:pPr>
              <w:tabs>
                <w:tab w:val="left" w:pos="210"/>
              </w:tabs>
              <w:spacing w:line="320" w:lineRule="exact"/>
              <w:jc w:val="center"/>
              <w:rPr>
                <w:rFonts w:hint="default" w:ascii="宋体" w:hAnsi="宋体" w:eastAsia="宋体" w:cs="宋体"/>
                <w:sz w:val="24"/>
                <w:szCs w:val="24"/>
                <w:lang w:val="en-US" w:eastAsia="zh-CN"/>
              </w:rPr>
            </w:pPr>
            <w:r>
              <w:rPr>
                <w:rFonts w:hint="eastAsia" w:hAnsi="宋体" w:cs="宋体"/>
                <w:sz w:val="24"/>
                <w:szCs w:val="24"/>
                <w:lang w:val="en-US" w:eastAsia="zh-CN"/>
              </w:rPr>
              <w:t>身份证号码</w:t>
            </w:r>
          </w:p>
        </w:tc>
        <w:tc>
          <w:tcPr>
            <w:tcW w:w="6698" w:type="dxa"/>
            <w:gridSpan w:val="4"/>
            <w:vAlign w:val="center"/>
          </w:tcPr>
          <w:p w14:paraId="61A278C8">
            <w:pPr>
              <w:tabs>
                <w:tab w:val="left" w:pos="210"/>
              </w:tabs>
              <w:spacing w:line="320" w:lineRule="exact"/>
              <w:jc w:val="center"/>
              <w:rPr>
                <w:rFonts w:hint="eastAsia" w:ascii="宋体" w:hAnsi="宋体" w:eastAsia="宋体" w:cs="宋体"/>
                <w:sz w:val="24"/>
                <w:szCs w:val="24"/>
              </w:rPr>
            </w:pPr>
          </w:p>
        </w:tc>
      </w:tr>
      <w:tr w14:paraId="50321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9" w:hRule="atLeast"/>
          <w:jc w:val="center"/>
        </w:trPr>
        <w:tc>
          <w:tcPr>
            <w:tcW w:w="878" w:type="dxa"/>
            <w:vMerge w:val="restart"/>
            <w:vAlign w:val="center"/>
          </w:tcPr>
          <w:p w14:paraId="5733D408">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tc>
        <w:tc>
          <w:tcPr>
            <w:tcW w:w="4211" w:type="dxa"/>
            <w:gridSpan w:val="2"/>
            <w:vMerge w:val="restart"/>
            <w:vAlign w:val="center"/>
          </w:tcPr>
          <w:p w14:paraId="2FEB602A">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（粘贴处）</w:t>
            </w:r>
          </w:p>
        </w:tc>
        <w:tc>
          <w:tcPr>
            <w:tcW w:w="4391" w:type="dxa"/>
            <w:gridSpan w:val="3"/>
            <w:vAlign w:val="center"/>
          </w:tcPr>
          <w:p w14:paraId="256ACEA4">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法定代表人（签章）</w:t>
            </w:r>
          </w:p>
        </w:tc>
      </w:tr>
      <w:tr w14:paraId="32570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3" w:hRule="atLeast"/>
          <w:jc w:val="center"/>
        </w:trPr>
        <w:tc>
          <w:tcPr>
            <w:tcW w:w="878" w:type="dxa"/>
            <w:vMerge w:val="continue"/>
            <w:vAlign w:val="center"/>
          </w:tcPr>
          <w:p w14:paraId="2B4518D7">
            <w:pPr>
              <w:tabs>
                <w:tab w:val="left" w:pos="210"/>
              </w:tabs>
              <w:spacing w:line="320" w:lineRule="exact"/>
              <w:jc w:val="center"/>
              <w:rPr>
                <w:rFonts w:hint="eastAsia" w:ascii="宋体" w:hAnsi="宋体" w:eastAsia="宋体" w:cs="宋体"/>
                <w:sz w:val="24"/>
                <w:szCs w:val="24"/>
              </w:rPr>
            </w:pPr>
          </w:p>
        </w:tc>
        <w:tc>
          <w:tcPr>
            <w:tcW w:w="4211" w:type="dxa"/>
            <w:gridSpan w:val="2"/>
            <w:vMerge w:val="continue"/>
            <w:vAlign w:val="center"/>
          </w:tcPr>
          <w:p w14:paraId="24AB3097">
            <w:pPr>
              <w:tabs>
                <w:tab w:val="left" w:pos="210"/>
              </w:tabs>
              <w:spacing w:line="320" w:lineRule="exact"/>
              <w:jc w:val="center"/>
              <w:rPr>
                <w:rFonts w:hint="eastAsia" w:ascii="宋体" w:hAnsi="宋体" w:eastAsia="宋体" w:cs="宋体"/>
                <w:sz w:val="24"/>
                <w:szCs w:val="24"/>
              </w:rPr>
            </w:pPr>
          </w:p>
        </w:tc>
        <w:tc>
          <w:tcPr>
            <w:tcW w:w="4391" w:type="dxa"/>
            <w:gridSpan w:val="3"/>
            <w:vAlign w:val="bottom"/>
          </w:tcPr>
          <w:p w14:paraId="47E66F7D">
            <w:pPr>
              <w:tabs>
                <w:tab w:val="left" w:pos="210"/>
              </w:tabs>
              <w:spacing w:line="320" w:lineRule="exact"/>
              <w:jc w:val="center"/>
              <w:rPr>
                <w:rFonts w:hint="eastAsia" w:ascii="宋体" w:hAnsi="宋体" w:eastAsia="宋体" w:cs="宋体"/>
                <w:sz w:val="24"/>
                <w:szCs w:val="24"/>
              </w:rPr>
            </w:pPr>
            <w:r>
              <w:rPr>
                <w:rFonts w:hint="eastAsia" w:ascii="宋体" w:hAnsi="宋体" w:eastAsia="宋体" w:cs="宋体"/>
                <w:sz w:val="24"/>
                <w:szCs w:val="24"/>
              </w:rPr>
              <w:t>（投标人公章）</w:t>
            </w:r>
          </w:p>
          <w:p w14:paraId="620B0168">
            <w:pPr>
              <w:tabs>
                <w:tab w:val="left" w:pos="210"/>
              </w:tabs>
              <w:spacing w:line="320" w:lineRule="exact"/>
              <w:jc w:val="center"/>
              <w:rPr>
                <w:rFonts w:hint="eastAsia" w:ascii="宋体" w:hAnsi="宋体" w:eastAsia="宋体" w:cs="宋体"/>
                <w:sz w:val="24"/>
                <w:szCs w:val="24"/>
              </w:rPr>
            </w:pPr>
          </w:p>
          <w:p w14:paraId="10B4D028">
            <w:pPr>
              <w:tabs>
                <w:tab w:val="left" w:pos="210"/>
              </w:tabs>
              <w:spacing w:line="320" w:lineRule="exact"/>
              <w:jc w:val="center"/>
              <w:rPr>
                <w:rFonts w:hint="eastAsia" w:ascii="宋体" w:hAnsi="宋体" w:eastAsia="宋体" w:cs="宋体"/>
                <w:sz w:val="24"/>
                <w:szCs w:val="24"/>
              </w:rPr>
            </w:pPr>
          </w:p>
          <w:p w14:paraId="5D9D613B">
            <w:pPr>
              <w:tabs>
                <w:tab w:val="left" w:pos="210"/>
              </w:tabs>
              <w:spacing w:line="320" w:lineRule="exact"/>
              <w:jc w:val="center"/>
              <w:rPr>
                <w:rFonts w:hint="eastAsia" w:ascii="宋体" w:hAnsi="宋体" w:eastAsia="宋体" w:cs="宋体"/>
                <w:sz w:val="24"/>
                <w:szCs w:val="24"/>
              </w:rPr>
            </w:pPr>
          </w:p>
          <w:p w14:paraId="5F852124">
            <w:pPr>
              <w:tabs>
                <w:tab w:val="left" w:pos="210"/>
              </w:tabs>
              <w:spacing w:line="320" w:lineRule="exact"/>
              <w:jc w:val="right"/>
              <w:rPr>
                <w:rFonts w:hint="eastAsia" w:ascii="宋体" w:hAnsi="宋体" w:eastAsia="宋体" w:cs="宋体"/>
                <w:sz w:val="24"/>
                <w:szCs w:val="24"/>
              </w:rPr>
            </w:pPr>
            <w:r>
              <w:rPr>
                <w:rFonts w:hint="eastAsia" w:ascii="宋体" w:hAnsi="宋体" w:eastAsia="宋体" w:cs="宋体"/>
                <w:sz w:val="24"/>
                <w:szCs w:val="24"/>
              </w:rPr>
              <w:t xml:space="preserve">年  月  日 </w:t>
            </w:r>
          </w:p>
        </w:tc>
      </w:tr>
    </w:tbl>
    <w:p w14:paraId="280C1B5A">
      <w:pPr>
        <w:widowControl/>
        <w:spacing w:line="240" w:lineRule="auto"/>
        <w:jc w:val="left"/>
        <w:outlineLvl w:val="9"/>
        <w:rPr>
          <w:rFonts w:ascii="宋体" w:hAnsi="宋体"/>
          <w:bCs/>
          <w:szCs w:val="21"/>
        </w:rPr>
      </w:pPr>
      <w:bookmarkStart w:id="211" w:name="_Toc8496"/>
      <w:bookmarkStart w:id="212" w:name="_Toc12471"/>
      <w:bookmarkStart w:id="213" w:name="_Toc9702"/>
      <w:bookmarkStart w:id="214" w:name="_Toc20051"/>
      <w:bookmarkStart w:id="215" w:name="_Toc25506"/>
    </w:p>
    <w:p w14:paraId="4F8D8E70">
      <w:pPr>
        <w:outlineLvl w:val="9"/>
        <w:rPr>
          <w:b/>
          <w:bCs/>
          <w:sz w:val="22"/>
          <w:szCs w:val="18"/>
        </w:rPr>
      </w:pPr>
      <w:bookmarkStart w:id="216" w:name="_Toc21733"/>
      <w:bookmarkStart w:id="217" w:name="_Toc26339"/>
      <w:bookmarkStart w:id="218" w:name="_Toc22283"/>
    </w:p>
    <w:p w14:paraId="4F7D8FD0">
      <w:pPr>
        <w:outlineLvl w:val="9"/>
        <w:rPr>
          <w:sz w:val="21"/>
          <w:szCs w:val="16"/>
        </w:rPr>
      </w:pPr>
      <w:r>
        <w:rPr>
          <w:rFonts w:hint="eastAsia"/>
          <w:b/>
          <w:bCs/>
          <w:sz w:val="21"/>
          <w:szCs w:val="16"/>
        </w:rPr>
        <w:t>注：</w:t>
      </w:r>
      <w:bookmarkEnd w:id="211"/>
      <w:bookmarkEnd w:id="212"/>
      <w:bookmarkEnd w:id="213"/>
      <w:bookmarkEnd w:id="214"/>
      <w:bookmarkEnd w:id="215"/>
      <w:bookmarkEnd w:id="216"/>
      <w:bookmarkEnd w:id="217"/>
      <w:bookmarkEnd w:id="218"/>
      <w:r>
        <w:rPr>
          <w:rFonts w:hint="eastAsia"/>
          <w:sz w:val="21"/>
          <w:szCs w:val="16"/>
        </w:rPr>
        <w:t>投标人须认真填写此表，如填写不属实将被作无效处理。</w:t>
      </w:r>
      <w:r>
        <w:rPr>
          <w:rFonts w:hint="eastAsia" w:hAnsi="宋体" w:cs="宋体"/>
          <w:szCs w:val="24"/>
        </w:rPr>
        <w:br w:type="page"/>
      </w:r>
    </w:p>
    <w:p w14:paraId="6BEB9D86">
      <w:pPr>
        <w:jc w:val="center"/>
        <w:rPr>
          <w:rFonts w:hAnsi="宋体" w:cs="宋体"/>
          <w:b/>
          <w:bCs/>
          <w:sz w:val="21"/>
          <w:szCs w:val="21"/>
        </w:rPr>
      </w:pPr>
      <w:r>
        <w:rPr>
          <w:rFonts w:hint="eastAsia" w:hAnsi="宋体" w:cs="宋体"/>
          <w:b/>
          <w:sz w:val="28"/>
          <w:szCs w:val="28"/>
        </w:rPr>
        <w:t>法定代表人</w:t>
      </w:r>
      <w:r>
        <w:rPr>
          <w:rFonts w:hint="eastAsia" w:hAnsi="宋体" w:cs="宋体"/>
          <w:b/>
          <w:sz w:val="28"/>
          <w:szCs w:val="28"/>
          <w:lang w:val="en-US" w:eastAsia="zh-CN"/>
        </w:rPr>
        <w:t>/负责人</w:t>
      </w:r>
      <w:r>
        <w:rPr>
          <w:rFonts w:hint="eastAsia" w:hAnsi="宋体" w:cs="宋体"/>
          <w:b/>
          <w:sz w:val="28"/>
          <w:szCs w:val="28"/>
        </w:rPr>
        <w:t>授权委托书</w:t>
      </w:r>
      <w:bookmarkEnd w:id="205"/>
      <w:bookmarkEnd w:id="206"/>
      <w:bookmarkEnd w:id="207"/>
      <w:bookmarkEnd w:id="208"/>
      <w:bookmarkEnd w:id="209"/>
      <w:bookmarkEnd w:id="210"/>
    </w:p>
    <w:p w14:paraId="12E47486">
      <w:pPr>
        <w:snapToGrid w:val="0"/>
        <w:spacing w:line="240" w:lineRule="auto"/>
        <w:rPr>
          <w:rFonts w:hAnsi="宋体" w:cs="宋体"/>
          <w:sz w:val="24"/>
          <w:szCs w:val="24"/>
        </w:rPr>
      </w:pPr>
      <w:r>
        <w:rPr>
          <w:rFonts w:hint="eastAsia" w:hAnsi="宋体" w:cs="宋体"/>
          <w:sz w:val="24"/>
          <w:szCs w:val="24"/>
          <w:lang w:eastAsia="zh-CN"/>
        </w:rPr>
        <w:t>榆林市交通运输局</w:t>
      </w:r>
      <w:r>
        <w:rPr>
          <w:rFonts w:hint="eastAsia" w:hAnsi="宋体" w:cs="宋体"/>
          <w:sz w:val="24"/>
          <w:szCs w:val="24"/>
        </w:rPr>
        <w:t>：</w:t>
      </w:r>
    </w:p>
    <w:p w14:paraId="1E00C308">
      <w:pPr>
        <w:spacing w:line="460" w:lineRule="exact"/>
        <w:ind w:right="11" w:firstLine="480" w:firstLineChars="200"/>
        <w:rPr>
          <w:rFonts w:hAnsi="宋体" w:cs="宋体"/>
          <w:sz w:val="24"/>
          <w:szCs w:val="24"/>
        </w:rPr>
      </w:pPr>
      <w:r>
        <w:rPr>
          <w:rFonts w:hint="eastAsia" w:ascii="宋体" w:hAnsi="宋体" w:eastAsia="宋体" w:cs="宋体"/>
          <w:color w:val="000000"/>
          <w:sz w:val="24"/>
        </w:rPr>
        <w:t>本授权委托书声明：我</w:t>
      </w:r>
      <w:r>
        <w:rPr>
          <w:rFonts w:hint="eastAsia" w:ascii="宋体" w:hAnsi="宋体" w:eastAsia="宋体" w:cs="宋体"/>
          <w:color w:val="000000"/>
          <w:sz w:val="24"/>
          <w:u w:val="single"/>
        </w:rPr>
        <w:t>（法人代表</w:t>
      </w:r>
      <w:r>
        <w:rPr>
          <w:rFonts w:hint="eastAsia" w:hAnsi="宋体" w:cs="宋体"/>
          <w:color w:val="000000"/>
          <w:sz w:val="24"/>
          <w:u w:val="single"/>
          <w:lang w:val="en-US" w:eastAsia="zh-CN"/>
        </w:rPr>
        <w:t>/负责人</w:t>
      </w:r>
      <w:r>
        <w:rPr>
          <w:rFonts w:hint="eastAsia" w:ascii="宋体" w:hAnsi="宋体" w:eastAsia="宋体" w:cs="宋体"/>
          <w:color w:val="000000"/>
          <w:sz w:val="24"/>
          <w:u w:val="single"/>
        </w:rPr>
        <w:t>姓名）</w:t>
      </w:r>
      <w:r>
        <w:rPr>
          <w:rFonts w:hint="eastAsia" w:ascii="宋体" w:hAnsi="宋体" w:eastAsia="宋体" w:cs="宋体"/>
          <w:color w:val="000000"/>
          <w:sz w:val="24"/>
        </w:rPr>
        <w:t>系注册于</w:t>
      </w:r>
      <w:r>
        <w:rPr>
          <w:rFonts w:hint="eastAsia" w:ascii="宋体" w:hAnsi="宋体" w:eastAsia="宋体" w:cs="宋体"/>
          <w:color w:val="000000"/>
          <w:sz w:val="24"/>
          <w:u w:val="single"/>
        </w:rPr>
        <w:t>（供应商地址）</w:t>
      </w:r>
      <w:r>
        <w:rPr>
          <w:rFonts w:hint="eastAsia" w:ascii="宋体" w:hAnsi="宋体" w:eastAsia="宋体" w:cs="宋体"/>
          <w:color w:val="000000"/>
          <w:sz w:val="24"/>
        </w:rPr>
        <w:t>的</w:t>
      </w:r>
      <w:r>
        <w:rPr>
          <w:rFonts w:hint="eastAsia" w:ascii="宋体" w:hAnsi="宋体" w:eastAsia="宋体" w:cs="宋体"/>
          <w:color w:val="000000"/>
          <w:sz w:val="24"/>
          <w:u w:val="single"/>
        </w:rPr>
        <w:t>（供应商名称）</w:t>
      </w:r>
      <w:r>
        <w:rPr>
          <w:rFonts w:hint="eastAsia" w:ascii="宋体" w:hAnsi="宋体" w:eastAsia="宋体" w:cs="宋体"/>
          <w:color w:val="000000"/>
          <w:sz w:val="24"/>
        </w:rPr>
        <w:t>的法人代表，现代表公司授权下面签字的</w:t>
      </w:r>
      <w:r>
        <w:rPr>
          <w:rFonts w:hint="eastAsia" w:ascii="宋体" w:hAnsi="宋体" w:eastAsia="宋体" w:cs="宋体"/>
          <w:color w:val="000000"/>
          <w:sz w:val="24"/>
          <w:u w:val="single"/>
        </w:rPr>
        <w:t>（被授权人的姓名、职务）</w:t>
      </w:r>
      <w:r>
        <w:rPr>
          <w:rFonts w:hint="eastAsia" w:ascii="宋体" w:hAnsi="宋体" w:eastAsia="宋体" w:cs="宋体"/>
          <w:color w:val="000000"/>
          <w:sz w:val="24"/>
        </w:rPr>
        <w:t>为我公司合法代理人，代表本公司参加</w:t>
      </w:r>
      <w:r>
        <w:rPr>
          <w:rFonts w:hint="eastAsia" w:ascii="宋体" w:hAnsi="宋体" w:eastAsia="宋体" w:cs="宋体"/>
          <w:color w:val="000000"/>
          <w:sz w:val="24"/>
          <w:u w:val="none"/>
        </w:rPr>
        <w:t>（采购项目名称）(采购项目编号)</w:t>
      </w:r>
      <w:r>
        <w:rPr>
          <w:rFonts w:hint="eastAsia" w:ascii="宋体" w:hAnsi="宋体" w:eastAsia="宋体" w:cs="宋体"/>
          <w:color w:val="000000"/>
          <w:sz w:val="24"/>
        </w:rPr>
        <w:t>的</w:t>
      </w:r>
      <w:r>
        <w:rPr>
          <w:rFonts w:hint="eastAsia" w:ascii="宋体" w:hAnsi="宋体" w:cs="宋体"/>
          <w:color w:val="000000"/>
          <w:sz w:val="24"/>
          <w:lang w:val="en-US" w:eastAsia="zh-CN"/>
        </w:rPr>
        <w:t>政府采购</w:t>
      </w:r>
      <w:r>
        <w:rPr>
          <w:rFonts w:hint="eastAsia" w:ascii="宋体" w:hAnsi="宋体" w:eastAsia="宋体" w:cs="宋体"/>
          <w:color w:val="000000"/>
          <w:sz w:val="24"/>
        </w:rPr>
        <w:t>活动。代理人在本次</w:t>
      </w:r>
      <w:r>
        <w:rPr>
          <w:rFonts w:hint="eastAsia" w:hAnsi="宋体" w:cs="宋体"/>
          <w:color w:val="000000"/>
          <w:sz w:val="24"/>
          <w:lang w:eastAsia="zh-CN"/>
        </w:rPr>
        <w:t>投标</w:t>
      </w:r>
      <w:r>
        <w:rPr>
          <w:rFonts w:hint="eastAsia" w:ascii="宋体" w:hAnsi="宋体" w:eastAsia="宋体" w:cs="宋体"/>
          <w:color w:val="000000"/>
          <w:sz w:val="24"/>
        </w:rPr>
        <w:t>中所签署的一切文件和处理的一切有关事物，我公司均予承认。</w:t>
      </w:r>
    </w:p>
    <w:p w14:paraId="28A25F63">
      <w:pPr>
        <w:tabs>
          <w:tab w:val="left" w:pos="5245"/>
        </w:tabs>
        <w:snapToGrid w:val="0"/>
        <w:spacing w:line="500" w:lineRule="exact"/>
        <w:ind w:firstLine="480" w:firstLineChars="200"/>
        <w:rPr>
          <w:rFonts w:hAnsi="宋体" w:cs="宋体"/>
          <w:sz w:val="24"/>
          <w:szCs w:val="24"/>
        </w:rPr>
      </w:pPr>
      <w:r>
        <w:rPr>
          <w:rFonts w:hint="eastAsia" w:hAnsi="宋体" w:cs="宋体"/>
          <w:sz w:val="24"/>
          <w:szCs w:val="24"/>
        </w:rPr>
        <w:t>授权代表姓名</w:t>
      </w:r>
      <w:r>
        <w:rPr>
          <w:rFonts w:hint="eastAsia" w:ascii="宋体" w:hAnsi="宋体" w:cs="宋体"/>
          <w:sz w:val="24"/>
          <w:szCs w:val="24"/>
          <w:lang w:eastAsia="zh-CN"/>
        </w:rPr>
        <w:t>（</w:t>
      </w:r>
      <w:r>
        <w:rPr>
          <w:rFonts w:hint="eastAsia" w:ascii="宋体" w:hAnsi="宋体" w:cs="宋体"/>
          <w:sz w:val="24"/>
          <w:szCs w:val="24"/>
          <w:lang w:val="en-US" w:eastAsia="zh-CN"/>
        </w:rPr>
        <w:t>签字</w:t>
      </w:r>
      <w:r>
        <w:rPr>
          <w:rFonts w:hint="eastAsia" w:ascii="宋体" w:hAnsi="宋体" w:cs="宋体"/>
          <w:sz w:val="24"/>
          <w:szCs w:val="24"/>
          <w:lang w:eastAsia="zh-CN"/>
        </w:rPr>
        <w:t>）</w:t>
      </w:r>
      <w:r>
        <w:rPr>
          <w:rFonts w:hint="eastAsia" w:hAnsi="宋体" w:cs="宋体"/>
          <w:sz w:val="24"/>
          <w:szCs w:val="24"/>
        </w:rPr>
        <w:t>：</w:t>
      </w:r>
      <w:r>
        <w:rPr>
          <w:rFonts w:hint="eastAsia" w:hAnsi="宋体" w:cs="宋体"/>
          <w:sz w:val="24"/>
          <w:szCs w:val="24"/>
          <w:u w:val="single"/>
        </w:rPr>
        <w:t xml:space="preserve">       </w:t>
      </w:r>
      <w:r>
        <w:rPr>
          <w:rFonts w:hint="eastAsia" w:hAnsi="宋体" w:cs="宋体"/>
          <w:sz w:val="24"/>
          <w:szCs w:val="24"/>
        </w:rPr>
        <w:t xml:space="preserve">      职务：</w:t>
      </w:r>
      <w:r>
        <w:rPr>
          <w:rFonts w:hint="eastAsia" w:hAnsi="宋体" w:cs="宋体"/>
          <w:sz w:val="24"/>
          <w:szCs w:val="24"/>
          <w:u w:val="single"/>
        </w:rPr>
        <w:t xml:space="preserve">       </w:t>
      </w:r>
      <w:r>
        <w:rPr>
          <w:rFonts w:hint="eastAsia" w:hAnsi="宋体" w:cs="宋体"/>
          <w:sz w:val="24"/>
          <w:szCs w:val="24"/>
        </w:rPr>
        <w:t xml:space="preserve">          </w:t>
      </w:r>
    </w:p>
    <w:p w14:paraId="7C46E6CC">
      <w:pPr>
        <w:snapToGrid w:val="0"/>
        <w:spacing w:line="500" w:lineRule="exact"/>
        <w:ind w:firstLine="480" w:firstLineChars="200"/>
        <w:rPr>
          <w:rFonts w:hAnsi="宋体" w:cs="宋体"/>
          <w:sz w:val="24"/>
          <w:szCs w:val="24"/>
        </w:rPr>
      </w:pPr>
      <w:r>
        <w:rPr>
          <w:rFonts w:hint="eastAsia" w:hAnsi="宋体" w:cs="宋体"/>
          <w:sz w:val="24"/>
          <w:szCs w:val="24"/>
        </w:rPr>
        <w:t>电话：</w:t>
      </w:r>
      <w:r>
        <w:rPr>
          <w:rFonts w:hint="eastAsia" w:hAnsi="宋体" w:cs="宋体"/>
          <w:sz w:val="24"/>
          <w:szCs w:val="24"/>
          <w:u w:val="single"/>
        </w:rPr>
        <w:t xml:space="preserve">               </w:t>
      </w:r>
      <w:r>
        <w:rPr>
          <w:rFonts w:hint="eastAsia" w:hAnsi="宋体" w:cs="宋体"/>
          <w:sz w:val="24"/>
          <w:szCs w:val="24"/>
        </w:rPr>
        <w:t xml:space="preserve">   </w:t>
      </w:r>
      <w:r>
        <w:rPr>
          <w:rFonts w:hint="eastAsia" w:hAnsi="宋体" w:cs="宋体"/>
          <w:sz w:val="24"/>
          <w:szCs w:val="24"/>
          <w:lang w:val="en-US" w:eastAsia="zh-CN"/>
        </w:rPr>
        <w:t xml:space="preserve">           </w:t>
      </w:r>
      <w:r>
        <w:rPr>
          <w:rFonts w:hint="eastAsia" w:hAnsi="宋体" w:cs="宋体"/>
          <w:sz w:val="24"/>
          <w:szCs w:val="24"/>
        </w:rPr>
        <w:t>通讯地址：</w:t>
      </w:r>
      <w:r>
        <w:rPr>
          <w:rFonts w:hint="eastAsia" w:hAnsi="宋体" w:cs="宋体"/>
          <w:sz w:val="24"/>
          <w:szCs w:val="24"/>
          <w:u w:val="single"/>
        </w:rPr>
        <w:t xml:space="preserve">                   </w:t>
      </w:r>
    </w:p>
    <w:p w14:paraId="630F1DC2">
      <w:pPr>
        <w:snapToGrid w:val="0"/>
        <w:spacing w:line="500" w:lineRule="exact"/>
        <w:ind w:firstLine="480" w:firstLineChars="200"/>
        <w:rPr>
          <w:rFonts w:hAnsi="宋体" w:cs="宋体"/>
          <w:sz w:val="24"/>
          <w:szCs w:val="24"/>
        </w:rPr>
      </w:pPr>
      <w:r>
        <w:rPr>
          <w:rFonts w:hint="eastAsia" w:hAnsi="宋体" w:cs="宋体"/>
          <w:sz w:val="24"/>
          <w:szCs w:val="24"/>
        </w:rPr>
        <w:t>授权有效期：</w:t>
      </w:r>
      <w:r>
        <w:rPr>
          <w:rFonts w:hint="eastAsia" w:ascii="宋体" w:hAnsi="宋体" w:cs="宋体"/>
          <w:sz w:val="24"/>
          <w:szCs w:val="24"/>
          <w:u w:val="none"/>
          <w:lang w:val="en-US" w:eastAsia="zh-CN"/>
        </w:rPr>
        <w:t>自本授权委托书签署之日起 天</w:t>
      </w:r>
    </w:p>
    <w:tbl>
      <w:tblPr>
        <w:tblStyle w:val="21"/>
        <w:tblW w:w="9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4"/>
        <w:gridCol w:w="4685"/>
      </w:tblGrid>
      <w:tr w14:paraId="16A21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7" w:hRule="atLeast"/>
          <w:jc w:val="center"/>
        </w:trPr>
        <w:tc>
          <w:tcPr>
            <w:tcW w:w="4654" w:type="dxa"/>
            <w:tcBorders>
              <w:top w:val="single" w:color="auto" w:sz="4" w:space="0"/>
              <w:left w:val="single" w:color="auto" w:sz="4" w:space="0"/>
              <w:bottom w:val="single" w:color="auto" w:sz="4" w:space="0"/>
              <w:right w:val="single" w:color="auto" w:sz="4" w:space="0"/>
            </w:tcBorders>
            <w:vAlign w:val="center"/>
          </w:tcPr>
          <w:p w14:paraId="60A27E83">
            <w:pPr>
              <w:ind w:firstLine="7" w:firstLineChars="3"/>
              <w:jc w:val="center"/>
              <w:rPr>
                <w:rFonts w:hAnsi="宋体" w:cs="宋体"/>
                <w:sz w:val="24"/>
                <w:szCs w:val="24"/>
              </w:rPr>
            </w:pPr>
            <w:r>
              <w:rPr>
                <w:rFonts w:hint="eastAsia" w:hAnsi="宋体" w:cs="宋体"/>
                <w:sz w:val="24"/>
                <w:szCs w:val="24"/>
              </w:rPr>
              <w:t>法定代表人</w:t>
            </w:r>
            <w:r>
              <w:rPr>
                <w:rFonts w:hint="eastAsia" w:hAnsi="宋体" w:cs="宋体"/>
                <w:sz w:val="24"/>
                <w:szCs w:val="24"/>
                <w:lang w:val="en-US" w:eastAsia="zh-CN"/>
              </w:rPr>
              <w:t>/负责人</w:t>
            </w:r>
            <w:r>
              <w:rPr>
                <w:rFonts w:hint="eastAsia" w:hAnsi="宋体" w:cs="宋体"/>
                <w:sz w:val="24"/>
                <w:szCs w:val="24"/>
              </w:rPr>
              <w:t>身份证复印件</w:t>
            </w:r>
          </w:p>
          <w:p w14:paraId="52F3887B">
            <w:pPr>
              <w:ind w:firstLine="7" w:firstLineChars="3"/>
              <w:jc w:val="center"/>
              <w:rPr>
                <w:rFonts w:hAnsi="宋体" w:cs="宋体"/>
                <w:sz w:val="24"/>
                <w:szCs w:val="24"/>
              </w:rPr>
            </w:pPr>
            <w:r>
              <w:rPr>
                <w:rFonts w:hint="eastAsia" w:hAnsi="宋体" w:cs="宋体"/>
                <w:sz w:val="24"/>
                <w:szCs w:val="24"/>
              </w:rPr>
              <w:t>（一面）</w:t>
            </w:r>
          </w:p>
        </w:tc>
        <w:tc>
          <w:tcPr>
            <w:tcW w:w="4685" w:type="dxa"/>
            <w:tcBorders>
              <w:top w:val="single" w:color="auto" w:sz="4" w:space="0"/>
              <w:left w:val="single" w:color="auto" w:sz="4" w:space="0"/>
              <w:bottom w:val="single" w:color="auto" w:sz="4" w:space="0"/>
              <w:right w:val="single" w:color="auto" w:sz="4" w:space="0"/>
            </w:tcBorders>
            <w:vAlign w:val="center"/>
          </w:tcPr>
          <w:p w14:paraId="42EDED2C">
            <w:pPr>
              <w:jc w:val="center"/>
              <w:rPr>
                <w:rFonts w:hAnsi="宋体" w:cs="宋体"/>
                <w:sz w:val="24"/>
                <w:szCs w:val="24"/>
              </w:rPr>
            </w:pPr>
            <w:r>
              <w:rPr>
                <w:rFonts w:hint="eastAsia" w:hAnsi="宋体" w:cs="宋体"/>
                <w:sz w:val="24"/>
                <w:szCs w:val="24"/>
              </w:rPr>
              <w:t>授权代表身份证复印件</w:t>
            </w:r>
          </w:p>
          <w:p w14:paraId="24CE7538">
            <w:pPr>
              <w:jc w:val="center"/>
              <w:rPr>
                <w:rFonts w:hAnsi="宋体" w:cs="宋体"/>
                <w:sz w:val="24"/>
                <w:szCs w:val="24"/>
              </w:rPr>
            </w:pPr>
            <w:r>
              <w:rPr>
                <w:rFonts w:hint="eastAsia" w:hAnsi="宋体" w:cs="宋体"/>
                <w:sz w:val="24"/>
                <w:szCs w:val="24"/>
              </w:rPr>
              <w:t>（一面）</w:t>
            </w:r>
          </w:p>
        </w:tc>
      </w:tr>
      <w:tr w14:paraId="07376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atLeast"/>
          <w:jc w:val="center"/>
        </w:trPr>
        <w:tc>
          <w:tcPr>
            <w:tcW w:w="4654" w:type="dxa"/>
            <w:vAlign w:val="center"/>
          </w:tcPr>
          <w:p w14:paraId="587D195B">
            <w:pPr>
              <w:jc w:val="center"/>
              <w:rPr>
                <w:rFonts w:hAnsi="宋体" w:cs="宋体"/>
                <w:sz w:val="24"/>
                <w:szCs w:val="24"/>
              </w:rPr>
            </w:pPr>
            <w:r>
              <w:rPr>
                <w:rFonts w:hint="eastAsia" w:hAnsi="宋体" w:cs="宋体"/>
                <w:sz w:val="24"/>
                <w:szCs w:val="24"/>
              </w:rPr>
              <w:t>法定代表人</w:t>
            </w:r>
            <w:r>
              <w:rPr>
                <w:rFonts w:hint="eastAsia" w:hAnsi="宋体" w:cs="宋体"/>
                <w:sz w:val="24"/>
                <w:szCs w:val="24"/>
                <w:lang w:val="en-US" w:eastAsia="zh-CN"/>
              </w:rPr>
              <w:t>/负责人</w:t>
            </w:r>
            <w:r>
              <w:rPr>
                <w:rFonts w:hint="eastAsia" w:hAnsi="宋体" w:cs="宋体"/>
                <w:sz w:val="24"/>
                <w:szCs w:val="24"/>
              </w:rPr>
              <w:t>身份证复印件</w:t>
            </w:r>
          </w:p>
          <w:p w14:paraId="76E0D8B1">
            <w:pPr>
              <w:jc w:val="center"/>
              <w:rPr>
                <w:rFonts w:hAnsi="宋体" w:cs="宋体"/>
                <w:sz w:val="24"/>
                <w:szCs w:val="24"/>
              </w:rPr>
            </w:pPr>
            <w:r>
              <w:rPr>
                <w:rFonts w:hint="eastAsia" w:hAnsi="宋体" w:cs="宋体"/>
                <w:sz w:val="24"/>
                <w:szCs w:val="24"/>
              </w:rPr>
              <w:t>（另一面）</w:t>
            </w:r>
          </w:p>
        </w:tc>
        <w:tc>
          <w:tcPr>
            <w:tcW w:w="4685" w:type="dxa"/>
            <w:vAlign w:val="center"/>
          </w:tcPr>
          <w:p w14:paraId="120B1FDA">
            <w:pPr>
              <w:jc w:val="center"/>
              <w:rPr>
                <w:rFonts w:hAnsi="宋体" w:cs="宋体"/>
                <w:sz w:val="24"/>
                <w:szCs w:val="24"/>
              </w:rPr>
            </w:pPr>
            <w:r>
              <w:rPr>
                <w:rFonts w:hint="eastAsia" w:hAnsi="宋体" w:cs="宋体"/>
                <w:sz w:val="24"/>
                <w:szCs w:val="24"/>
              </w:rPr>
              <w:t>授权代表身份证复印件</w:t>
            </w:r>
          </w:p>
          <w:p w14:paraId="636AE82D">
            <w:pPr>
              <w:jc w:val="center"/>
              <w:rPr>
                <w:rFonts w:hAnsi="宋体" w:cs="宋体"/>
                <w:sz w:val="24"/>
                <w:szCs w:val="24"/>
              </w:rPr>
            </w:pPr>
            <w:r>
              <w:rPr>
                <w:rFonts w:hint="eastAsia" w:hAnsi="宋体" w:cs="宋体"/>
                <w:sz w:val="24"/>
                <w:szCs w:val="24"/>
              </w:rPr>
              <w:t>（另一面）</w:t>
            </w:r>
          </w:p>
        </w:tc>
      </w:tr>
    </w:tbl>
    <w:p w14:paraId="4D258B41">
      <w:pPr>
        <w:tabs>
          <w:tab w:val="right" w:pos="8931"/>
        </w:tabs>
        <w:ind w:firstLine="440" w:firstLineChars="200"/>
        <w:rPr>
          <w:rFonts w:hAnsi="宋体" w:cs="宋体"/>
          <w:spacing w:val="-10"/>
          <w:sz w:val="24"/>
          <w:szCs w:val="24"/>
          <w:u w:val="single"/>
        </w:rPr>
      </w:pPr>
    </w:p>
    <w:p w14:paraId="18BFE43F">
      <w:pPr>
        <w:tabs>
          <w:tab w:val="right" w:pos="8931"/>
        </w:tabs>
        <w:ind w:firstLine="1320" w:firstLineChars="600"/>
        <w:rPr>
          <w:rFonts w:hAnsi="宋体" w:cs="宋体"/>
          <w:spacing w:val="-10"/>
          <w:sz w:val="24"/>
          <w:szCs w:val="24"/>
          <w:u w:val="single"/>
        </w:rPr>
      </w:pPr>
    </w:p>
    <w:p w14:paraId="77DA26D5">
      <w:pPr>
        <w:tabs>
          <w:tab w:val="right" w:pos="8931"/>
        </w:tabs>
        <w:ind w:firstLine="440" w:firstLineChars="200"/>
        <w:rPr>
          <w:rFonts w:hint="eastAsia" w:ascii="宋体" w:hAnsi="宋体" w:eastAsia="宋体" w:cs="宋体"/>
          <w:sz w:val="24"/>
          <w:szCs w:val="24"/>
        </w:rPr>
      </w:pPr>
      <w:r>
        <w:rPr>
          <w:rFonts w:hint="eastAsia" w:ascii="宋体" w:hAnsi="宋体" w:cs="宋体"/>
          <w:spacing w:val="-10"/>
          <w:sz w:val="24"/>
          <w:szCs w:val="24"/>
          <w:u w:val="single"/>
          <w:lang w:val="en-US" w:eastAsia="zh-CN"/>
        </w:rPr>
        <w:t>法人</w:t>
      </w:r>
      <w:r>
        <w:rPr>
          <w:rFonts w:hint="eastAsia" w:ascii="宋体" w:hAnsi="宋体" w:eastAsia="宋体" w:cs="宋体"/>
          <w:sz w:val="24"/>
          <w:szCs w:val="24"/>
        </w:rPr>
        <w:t xml:space="preserve">（盖章）       </w:t>
      </w:r>
      <w:r>
        <w:rPr>
          <w:rFonts w:hint="eastAsia" w:ascii="宋体" w:hAnsi="宋体" w:cs="宋体"/>
          <w:sz w:val="24"/>
          <w:szCs w:val="24"/>
          <w:lang w:val="en-US" w:eastAsia="zh-CN"/>
        </w:rPr>
        <w:t xml:space="preserve">               </w:t>
      </w:r>
      <w:r>
        <w:rPr>
          <w:rFonts w:hint="eastAsia" w:ascii="宋体" w:hAnsi="宋体" w:eastAsia="宋体" w:cs="宋体"/>
          <w:sz w:val="24"/>
          <w:szCs w:val="24"/>
        </w:rPr>
        <w:t>法人代表：（签章）</w:t>
      </w:r>
    </w:p>
    <w:p w14:paraId="1AC784E7">
      <w:pPr>
        <w:spacing w:line="440" w:lineRule="exact"/>
        <w:ind w:firstLine="4910" w:firstLineChars="2046"/>
        <w:rPr>
          <w:rFonts w:hint="eastAsia" w:ascii="宋体" w:hAnsi="宋体" w:eastAsia="宋体" w:cs="宋体"/>
          <w:sz w:val="24"/>
          <w:szCs w:val="24"/>
        </w:rPr>
      </w:pPr>
    </w:p>
    <w:p w14:paraId="723FEFAB">
      <w:pPr>
        <w:spacing w:line="440" w:lineRule="exact"/>
        <w:ind w:firstLine="6000" w:firstLineChars="2500"/>
        <w:rPr>
          <w:rFonts w:hAnsi="宋体" w:cs="宋体"/>
          <w:sz w:val="21"/>
          <w:szCs w:val="21"/>
        </w:rPr>
      </w:pPr>
      <w:r>
        <w:rPr>
          <w:rFonts w:hint="eastAsia" w:ascii="宋体" w:hAnsi="宋体" w:eastAsia="宋体" w:cs="宋体"/>
          <w:sz w:val="24"/>
          <w:szCs w:val="24"/>
        </w:rPr>
        <w:t>日期：　年　月　日</w:t>
      </w:r>
    </w:p>
    <w:p w14:paraId="42E596CE">
      <w:pPr>
        <w:pStyle w:val="19"/>
        <w:ind w:firstLine="0" w:firstLineChars="0"/>
        <w:rPr>
          <w:rFonts w:ascii="宋体" w:hAnsi="宋体" w:cs="宋体"/>
          <w:sz w:val="21"/>
          <w:szCs w:val="21"/>
        </w:rPr>
      </w:pPr>
    </w:p>
    <w:p w14:paraId="5FC39829">
      <w:pPr>
        <w:rPr>
          <w:rFonts w:hAnsi="宋体" w:cs="宋体"/>
          <w:sz w:val="21"/>
          <w:szCs w:val="21"/>
        </w:rPr>
      </w:pPr>
      <w:r>
        <w:rPr>
          <w:rFonts w:hint="eastAsia"/>
          <w:b/>
          <w:bCs/>
          <w:sz w:val="21"/>
          <w:szCs w:val="16"/>
        </w:rPr>
        <w:t>注：</w:t>
      </w:r>
      <w:r>
        <w:rPr>
          <w:rFonts w:hint="eastAsia"/>
          <w:sz w:val="21"/>
          <w:szCs w:val="16"/>
        </w:rPr>
        <w:t>法定代表人亲自参加投标的，无需提供该授权委托书，但须提供法定代表人证明书。此授权委托书有效期不少于90日历天，起始时间为提交投标文件截止之日。</w:t>
      </w:r>
      <w:r>
        <w:rPr>
          <w:rFonts w:hint="eastAsia" w:hAnsi="宋体" w:cs="宋体"/>
          <w:sz w:val="21"/>
          <w:szCs w:val="21"/>
        </w:rPr>
        <w:br w:type="page"/>
      </w:r>
    </w:p>
    <w:p w14:paraId="5C8A6768">
      <w:pPr>
        <w:jc w:val="center"/>
        <w:outlineLvl w:val="1"/>
        <w:rPr>
          <w:b/>
          <w:bCs/>
          <w:sz w:val="21"/>
          <w:szCs w:val="16"/>
        </w:rPr>
      </w:pPr>
      <w:bookmarkStart w:id="219" w:name="_Toc15205"/>
      <w:bookmarkStart w:id="220" w:name="_Toc2419"/>
      <w:bookmarkStart w:id="221" w:name="_Toc26048"/>
      <w:bookmarkStart w:id="222" w:name="_Toc25357"/>
      <w:r>
        <w:rPr>
          <w:rFonts w:hint="eastAsia"/>
          <w:b/>
          <w:bCs/>
          <w:sz w:val="32"/>
          <w:szCs w:val="32"/>
        </w:rPr>
        <w:t>第四部分  投标人基本信息及其概况</w:t>
      </w:r>
      <w:bookmarkEnd w:id="219"/>
      <w:bookmarkEnd w:id="220"/>
      <w:bookmarkEnd w:id="221"/>
      <w:bookmarkEnd w:id="222"/>
    </w:p>
    <w:p w14:paraId="50BEDEA7">
      <w:pPr>
        <w:spacing w:before="163" w:beforeLines="50" w:after="163" w:afterLines="50" w:line="500" w:lineRule="exact"/>
        <w:jc w:val="center"/>
        <w:rPr>
          <w:rFonts w:hAnsi="宋体" w:cs="宋体"/>
          <w:b/>
          <w:sz w:val="21"/>
          <w:szCs w:val="21"/>
        </w:rPr>
      </w:pPr>
      <w:r>
        <w:rPr>
          <w:rFonts w:hint="eastAsia" w:hAnsi="宋体" w:cs="宋体"/>
          <w:b/>
          <w:bCs/>
          <w:sz w:val="28"/>
          <w:szCs w:val="28"/>
        </w:rPr>
        <w:t>一、</w:t>
      </w:r>
      <w:r>
        <w:rPr>
          <w:rFonts w:hint="eastAsia" w:hAnsi="宋体" w:cs="宋体"/>
          <w:b/>
          <w:sz w:val="28"/>
          <w:szCs w:val="28"/>
        </w:rPr>
        <w:t>投标人基本信息</w:t>
      </w:r>
    </w:p>
    <w:tbl>
      <w:tblPr>
        <w:tblStyle w:val="21"/>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2F75AA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2813EA46">
            <w:pPr>
              <w:autoSpaceDE w:val="0"/>
              <w:autoSpaceDN w:val="0"/>
              <w:adjustRightInd w:val="0"/>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单位基本情况</w:t>
            </w:r>
          </w:p>
        </w:tc>
      </w:tr>
      <w:tr w14:paraId="18163A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1F0B8075">
            <w:pPr>
              <w:autoSpaceDE w:val="0"/>
              <w:autoSpaceDN w:val="0"/>
              <w:adjustRightInd w:val="0"/>
              <w:spacing w:line="320" w:lineRule="exact"/>
              <w:rPr>
                <w:rFonts w:hint="eastAsia" w:ascii="宋体" w:hAnsi="宋体" w:eastAsia="宋体" w:cs="宋体"/>
                <w:kern w:val="0"/>
                <w:sz w:val="24"/>
                <w:szCs w:val="24"/>
              </w:rPr>
            </w:pPr>
            <w:r>
              <w:rPr>
                <w:rFonts w:hint="eastAsia" w:hAnsi="宋体" w:cs="宋体"/>
                <w:kern w:val="0"/>
                <w:sz w:val="24"/>
                <w:szCs w:val="24"/>
                <w:lang w:val="en-US" w:eastAsia="zh-CN"/>
              </w:rPr>
              <w:t>投标人</w:t>
            </w:r>
            <w:r>
              <w:rPr>
                <w:rFonts w:hint="eastAsia" w:ascii="宋体" w:hAnsi="宋体" w:eastAsia="宋体" w:cs="宋体"/>
                <w:kern w:val="0"/>
                <w:sz w:val="24"/>
                <w:szCs w:val="24"/>
              </w:rPr>
              <w:t>全称</w:t>
            </w:r>
          </w:p>
        </w:tc>
        <w:tc>
          <w:tcPr>
            <w:tcW w:w="7494" w:type="dxa"/>
            <w:gridSpan w:val="5"/>
            <w:tcBorders>
              <w:top w:val="single" w:color="auto" w:sz="6" w:space="0"/>
              <w:bottom w:val="single" w:color="auto" w:sz="6" w:space="0"/>
              <w:right w:val="single" w:color="auto" w:sz="12" w:space="0"/>
            </w:tcBorders>
            <w:noWrap w:val="0"/>
            <w:vAlign w:val="center"/>
          </w:tcPr>
          <w:p w14:paraId="74FB9474">
            <w:pPr>
              <w:autoSpaceDE w:val="0"/>
              <w:autoSpaceDN w:val="0"/>
              <w:adjustRightInd w:val="0"/>
              <w:spacing w:line="320" w:lineRule="exact"/>
              <w:rPr>
                <w:rFonts w:hint="eastAsia" w:ascii="宋体" w:hAnsi="宋体" w:eastAsia="宋体" w:cs="宋体"/>
                <w:kern w:val="0"/>
                <w:sz w:val="24"/>
                <w:szCs w:val="24"/>
              </w:rPr>
            </w:pPr>
          </w:p>
        </w:tc>
      </w:tr>
      <w:tr w14:paraId="12B507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11629877">
            <w:pPr>
              <w:autoSpaceDE w:val="0"/>
              <w:autoSpaceDN w:val="0"/>
              <w:adjustRightInd w:val="0"/>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注册地址</w:t>
            </w:r>
          </w:p>
        </w:tc>
        <w:tc>
          <w:tcPr>
            <w:tcW w:w="3119" w:type="dxa"/>
            <w:gridSpan w:val="2"/>
            <w:tcBorders>
              <w:top w:val="single" w:color="auto" w:sz="6" w:space="0"/>
            </w:tcBorders>
            <w:noWrap w:val="0"/>
            <w:vAlign w:val="center"/>
          </w:tcPr>
          <w:p w14:paraId="45E5D1CC">
            <w:pPr>
              <w:autoSpaceDE w:val="0"/>
              <w:autoSpaceDN w:val="0"/>
              <w:adjustRightInd w:val="0"/>
              <w:spacing w:line="320" w:lineRule="exact"/>
              <w:rPr>
                <w:rFonts w:hint="eastAsia" w:ascii="宋体" w:hAnsi="宋体" w:eastAsia="宋体" w:cs="宋体"/>
                <w:kern w:val="0"/>
                <w:sz w:val="24"/>
                <w:szCs w:val="24"/>
              </w:rPr>
            </w:pPr>
          </w:p>
        </w:tc>
        <w:tc>
          <w:tcPr>
            <w:tcW w:w="1417" w:type="dxa"/>
            <w:tcBorders>
              <w:top w:val="single" w:color="auto" w:sz="6" w:space="0"/>
            </w:tcBorders>
            <w:noWrap w:val="0"/>
            <w:vAlign w:val="center"/>
          </w:tcPr>
          <w:p w14:paraId="1C049F41">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成立时间</w:t>
            </w:r>
          </w:p>
        </w:tc>
        <w:tc>
          <w:tcPr>
            <w:tcW w:w="2958" w:type="dxa"/>
            <w:gridSpan w:val="2"/>
            <w:tcBorders>
              <w:top w:val="single" w:color="auto" w:sz="6" w:space="0"/>
              <w:right w:val="single" w:color="auto" w:sz="12" w:space="0"/>
            </w:tcBorders>
            <w:noWrap w:val="0"/>
            <w:vAlign w:val="center"/>
          </w:tcPr>
          <w:p w14:paraId="29FEB30B">
            <w:pPr>
              <w:autoSpaceDE w:val="0"/>
              <w:autoSpaceDN w:val="0"/>
              <w:adjustRightInd w:val="0"/>
              <w:spacing w:line="320" w:lineRule="exact"/>
              <w:rPr>
                <w:rFonts w:hint="eastAsia" w:ascii="宋体" w:hAnsi="宋体" w:eastAsia="宋体" w:cs="宋体"/>
                <w:kern w:val="0"/>
                <w:sz w:val="24"/>
                <w:szCs w:val="24"/>
              </w:rPr>
            </w:pPr>
          </w:p>
        </w:tc>
      </w:tr>
      <w:tr w14:paraId="4425CF9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4B65C4C1">
            <w:pPr>
              <w:autoSpaceDE w:val="0"/>
              <w:autoSpaceDN w:val="0"/>
              <w:adjustRightInd w:val="0"/>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登记证号</w:t>
            </w:r>
          </w:p>
        </w:tc>
        <w:tc>
          <w:tcPr>
            <w:tcW w:w="3119" w:type="dxa"/>
            <w:gridSpan w:val="2"/>
            <w:noWrap w:val="0"/>
            <w:vAlign w:val="center"/>
          </w:tcPr>
          <w:p w14:paraId="5C1EB29F">
            <w:pPr>
              <w:autoSpaceDE w:val="0"/>
              <w:autoSpaceDN w:val="0"/>
              <w:adjustRightInd w:val="0"/>
              <w:spacing w:line="320" w:lineRule="exact"/>
              <w:rPr>
                <w:rFonts w:hint="eastAsia" w:ascii="宋体" w:hAnsi="宋体" w:eastAsia="宋体" w:cs="宋体"/>
                <w:kern w:val="0"/>
                <w:sz w:val="24"/>
                <w:szCs w:val="24"/>
              </w:rPr>
            </w:pPr>
          </w:p>
        </w:tc>
        <w:tc>
          <w:tcPr>
            <w:tcW w:w="1417" w:type="dxa"/>
            <w:noWrap w:val="0"/>
            <w:vAlign w:val="center"/>
          </w:tcPr>
          <w:p w14:paraId="427D3BFE">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单位性质</w:t>
            </w:r>
          </w:p>
        </w:tc>
        <w:tc>
          <w:tcPr>
            <w:tcW w:w="2958" w:type="dxa"/>
            <w:gridSpan w:val="2"/>
            <w:tcBorders>
              <w:right w:val="single" w:color="auto" w:sz="12" w:space="0"/>
            </w:tcBorders>
            <w:noWrap w:val="0"/>
            <w:vAlign w:val="center"/>
          </w:tcPr>
          <w:p w14:paraId="5CAAB066">
            <w:pPr>
              <w:autoSpaceDE w:val="0"/>
              <w:autoSpaceDN w:val="0"/>
              <w:adjustRightInd w:val="0"/>
              <w:spacing w:line="320" w:lineRule="exact"/>
              <w:rPr>
                <w:rFonts w:hint="eastAsia" w:ascii="宋体" w:hAnsi="宋体" w:eastAsia="宋体" w:cs="宋体"/>
                <w:kern w:val="0"/>
                <w:sz w:val="24"/>
                <w:szCs w:val="24"/>
              </w:rPr>
            </w:pPr>
          </w:p>
        </w:tc>
      </w:tr>
      <w:tr w14:paraId="298AF7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7D85C37">
            <w:pPr>
              <w:autoSpaceDE w:val="0"/>
              <w:autoSpaceDN w:val="0"/>
              <w:adjustRightInd w:val="0"/>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法定代表人</w:t>
            </w:r>
          </w:p>
          <w:p w14:paraId="30E29E06">
            <w:pPr>
              <w:autoSpaceDE w:val="0"/>
              <w:autoSpaceDN w:val="0"/>
              <w:adjustRightInd w:val="0"/>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(主要负责人)</w:t>
            </w:r>
          </w:p>
        </w:tc>
        <w:tc>
          <w:tcPr>
            <w:tcW w:w="3119" w:type="dxa"/>
            <w:gridSpan w:val="2"/>
            <w:noWrap w:val="0"/>
            <w:vAlign w:val="center"/>
          </w:tcPr>
          <w:p w14:paraId="600A3C91">
            <w:pPr>
              <w:autoSpaceDE w:val="0"/>
              <w:autoSpaceDN w:val="0"/>
              <w:adjustRightInd w:val="0"/>
              <w:spacing w:line="320" w:lineRule="exact"/>
              <w:rPr>
                <w:rFonts w:hint="eastAsia" w:ascii="宋体" w:hAnsi="宋体" w:eastAsia="宋体" w:cs="宋体"/>
                <w:kern w:val="0"/>
                <w:sz w:val="24"/>
                <w:szCs w:val="24"/>
              </w:rPr>
            </w:pPr>
          </w:p>
        </w:tc>
        <w:tc>
          <w:tcPr>
            <w:tcW w:w="1417" w:type="dxa"/>
            <w:noWrap w:val="0"/>
            <w:vAlign w:val="center"/>
          </w:tcPr>
          <w:p w14:paraId="0F5DBDAC">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所属行业</w:t>
            </w:r>
          </w:p>
        </w:tc>
        <w:tc>
          <w:tcPr>
            <w:tcW w:w="2958" w:type="dxa"/>
            <w:gridSpan w:val="2"/>
            <w:tcBorders>
              <w:right w:val="single" w:color="auto" w:sz="12" w:space="0"/>
            </w:tcBorders>
            <w:noWrap w:val="0"/>
            <w:vAlign w:val="center"/>
          </w:tcPr>
          <w:p w14:paraId="337FE9E3">
            <w:pPr>
              <w:autoSpaceDE w:val="0"/>
              <w:autoSpaceDN w:val="0"/>
              <w:adjustRightInd w:val="0"/>
              <w:spacing w:line="320" w:lineRule="exact"/>
              <w:rPr>
                <w:rFonts w:hint="eastAsia" w:ascii="宋体" w:hAnsi="宋体" w:eastAsia="宋体" w:cs="宋体"/>
                <w:kern w:val="0"/>
                <w:sz w:val="24"/>
                <w:szCs w:val="24"/>
              </w:rPr>
            </w:pPr>
          </w:p>
        </w:tc>
      </w:tr>
      <w:tr w14:paraId="1630B2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0430CB87">
            <w:pPr>
              <w:autoSpaceDE w:val="0"/>
              <w:autoSpaceDN w:val="0"/>
              <w:adjustRightInd w:val="0"/>
              <w:spacing w:line="320" w:lineRule="exact"/>
              <w:rPr>
                <w:rFonts w:hint="eastAsia" w:ascii="宋体" w:hAnsi="宋体" w:eastAsia="宋体" w:cs="宋体"/>
                <w:kern w:val="0"/>
                <w:sz w:val="24"/>
                <w:szCs w:val="24"/>
                <w:lang w:eastAsia="zh-CN"/>
              </w:rPr>
            </w:pPr>
            <w:r>
              <w:rPr>
                <w:rFonts w:hint="eastAsia" w:ascii="宋体" w:hAnsi="宋体" w:eastAsia="宋体" w:cs="宋体"/>
                <w:kern w:val="0"/>
                <w:sz w:val="24"/>
                <w:szCs w:val="24"/>
              </w:rPr>
              <w:t>上年度</w:t>
            </w:r>
          </w:p>
          <w:p w14:paraId="2C05D42C">
            <w:pPr>
              <w:autoSpaceDE w:val="0"/>
              <w:autoSpaceDN w:val="0"/>
              <w:adjustRightInd w:val="0"/>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营业收入</w:t>
            </w:r>
          </w:p>
        </w:tc>
        <w:tc>
          <w:tcPr>
            <w:tcW w:w="3119" w:type="dxa"/>
            <w:gridSpan w:val="2"/>
            <w:noWrap w:val="0"/>
            <w:vAlign w:val="center"/>
          </w:tcPr>
          <w:p w14:paraId="3FF14745">
            <w:pPr>
              <w:autoSpaceDE w:val="0"/>
              <w:autoSpaceDN w:val="0"/>
              <w:adjustRightInd w:val="0"/>
              <w:spacing w:line="320" w:lineRule="exact"/>
              <w:rPr>
                <w:rFonts w:hint="eastAsia" w:ascii="宋体" w:hAnsi="宋体" w:eastAsia="宋体" w:cs="宋体"/>
                <w:kern w:val="0"/>
                <w:sz w:val="24"/>
                <w:szCs w:val="24"/>
              </w:rPr>
            </w:pPr>
          </w:p>
        </w:tc>
        <w:tc>
          <w:tcPr>
            <w:tcW w:w="1417" w:type="dxa"/>
            <w:noWrap w:val="0"/>
            <w:vAlign w:val="center"/>
          </w:tcPr>
          <w:p w14:paraId="191A932E">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资产总额</w:t>
            </w:r>
          </w:p>
        </w:tc>
        <w:tc>
          <w:tcPr>
            <w:tcW w:w="2958" w:type="dxa"/>
            <w:gridSpan w:val="2"/>
            <w:tcBorders>
              <w:right w:val="single" w:color="auto" w:sz="12" w:space="0"/>
            </w:tcBorders>
            <w:noWrap w:val="0"/>
            <w:vAlign w:val="center"/>
          </w:tcPr>
          <w:p w14:paraId="3F25C928">
            <w:pPr>
              <w:autoSpaceDE w:val="0"/>
              <w:autoSpaceDN w:val="0"/>
              <w:adjustRightInd w:val="0"/>
              <w:spacing w:line="320" w:lineRule="exact"/>
              <w:rPr>
                <w:rFonts w:hint="eastAsia" w:ascii="宋体" w:hAnsi="宋体" w:eastAsia="宋体" w:cs="宋体"/>
                <w:kern w:val="0"/>
                <w:sz w:val="24"/>
                <w:szCs w:val="24"/>
              </w:rPr>
            </w:pPr>
          </w:p>
        </w:tc>
      </w:tr>
      <w:tr w14:paraId="72832C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285910C">
            <w:pPr>
              <w:autoSpaceDE w:val="0"/>
              <w:autoSpaceDN w:val="0"/>
              <w:adjustRightInd w:val="0"/>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所获得资质及等级(国家行政部门颁发)</w:t>
            </w:r>
          </w:p>
        </w:tc>
        <w:tc>
          <w:tcPr>
            <w:tcW w:w="7494" w:type="dxa"/>
            <w:gridSpan w:val="5"/>
            <w:tcBorders>
              <w:right w:val="single" w:color="auto" w:sz="12" w:space="0"/>
            </w:tcBorders>
            <w:noWrap w:val="0"/>
            <w:vAlign w:val="center"/>
          </w:tcPr>
          <w:p w14:paraId="16140967">
            <w:pPr>
              <w:autoSpaceDE w:val="0"/>
              <w:autoSpaceDN w:val="0"/>
              <w:adjustRightInd w:val="0"/>
              <w:spacing w:line="320" w:lineRule="exact"/>
              <w:rPr>
                <w:rFonts w:hint="eastAsia" w:ascii="宋体" w:hAnsi="宋体" w:eastAsia="宋体" w:cs="宋体"/>
                <w:kern w:val="0"/>
                <w:sz w:val="24"/>
                <w:szCs w:val="24"/>
              </w:rPr>
            </w:pPr>
          </w:p>
          <w:p w14:paraId="13C5BED1">
            <w:pPr>
              <w:autoSpaceDE w:val="0"/>
              <w:autoSpaceDN w:val="0"/>
              <w:adjustRightInd w:val="0"/>
              <w:spacing w:line="320" w:lineRule="exact"/>
              <w:rPr>
                <w:rFonts w:hint="eastAsia" w:ascii="宋体" w:hAnsi="宋体" w:eastAsia="宋体" w:cs="宋体"/>
                <w:kern w:val="0"/>
                <w:sz w:val="24"/>
                <w:szCs w:val="24"/>
              </w:rPr>
            </w:pPr>
          </w:p>
        </w:tc>
      </w:tr>
      <w:tr w14:paraId="650649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60E18E24">
            <w:pPr>
              <w:autoSpaceDE w:val="0"/>
              <w:autoSpaceDN w:val="0"/>
              <w:adjustRightInd w:val="0"/>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经营范围</w:t>
            </w:r>
          </w:p>
        </w:tc>
        <w:tc>
          <w:tcPr>
            <w:tcW w:w="7494" w:type="dxa"/>
            <w:gridSpan w:val="5"/>
            <w:tcBorders>
              <w:right w:val="single" w:color="auto" w:sz="12" w:space="0"/>
            </w:tcBorders>
            <w:noWrap w:val="0"/>
            <w:vAlign w:val="center"/>
          </w:tcPr>
          <w:p w14:paraId="493EFA7C">
            <w:pPr>
              <w:autoSpaceDE w:val="0"/>
              <w:autoSpaceDN w:val="0"/>
              <w:adjustRightInd w:val="0"/>
              <w:spacing w:line="320" w:lineRule="exact"/>
              <w:rPr>
                <w:rFonts w:hint="eastAsia" w:ascii="宋体" w:hAnsi="宋体" w:eastAsia="宋体" w:cs="宋体"/>
                <w:kern w:val="0"/>
                <w:sz w:val="24"/>
                <w:szCs w:val="24"/>
              </w:rPr>
            </w:pPr>
          </w:p>
        </w:tc>
      </w:tr>
      <w:tr w14:paraId="4BC58A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3D0772F7">
            <w:pPr>
              <w:autoSpaceDE w:val="0"/>
              <w:autoSpaceDN w:val="0"/>
              <w:adjustRightInd w:val="0"/>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人员情况</w:t>
            </w:r>
          </w:p>
        </w:tc>
      </w:tr>
      <w:tr w14:paraId="10C5902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5EA0E4C">
            <w:pPr>
              <w:autoSpaceDE w:val="0"/>
              <w:autoSpaceDN w:val="0"/>
              <w:adjustRightInd w:val="0"/>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从业人员总数</w:t>
            </w:r>
          </w:p>
        </w:tc>
        <w:tc>
          <w:tcPr>
            <w:tcW w:w="1586" w:type="dxa"/>
            <w:vMerge w:val="restart"/>
            <w:noWrap w:val="0"/>
            <w:vAlign w:val="center"/>
          </w:tcPr>
          <w:p w14:paraId="6C0B8066">
            <w:pPr>
              <w:autoSpaceDE w:val="0"/>
              <w:autoSpaceDN w:val="0"/>
              <w:adjustRightInd w:val="0"/>
              <w:spacing w:line="320" w:lineRule="exact"/>
              <w:rPr>
                <w:rFonts w:hint="eastAsia" w:ascii="宋体" w:hAnsi="宋体" w:eastAsia="宋体" w:cs="宋体"/>
                <w:kern w:val="0"/>
                <w:sz w:val="24"/>
                <w:szCs w:val="24"/>
              </w:rPr>
            </w:pPr>
          </w:p>
        </w:tc>
        <w:tc>
          <w:tcPr>
            <w:tcW w:w="1533" w:type="dxa"/>
            <w:noWrap w:val="0"/>
            <w:vAlign w:val="center"/>
          </w:tcPr>
          <w:p w14:paraId="04B0A0FE">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管理人员</w:t>
            </w:r>
          </w:p>
          <w:p w14:paraId="37870D88">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数量</w:t>
            </w:r>
          </w:p>
        </w:tc>
        <w:tc>
          <w:tcPr>
            <w:tcW w:w="1417" w:type="dxa"/>
            <w:noWrap w:val="0"/>
            <w:vAlign w:val="center"/>
          </w:tcPr>
          <w:p w14:paraId="0055537C">
            <w:pPr>
              <w:autoSpaceDE w:val="0"/>
              <w:autoSpaceDN w:val="0"/>
              <w:adjustRightInd w:val="0"/>
              <w:spacing w:line="320" w:lineRule="exact"/>
              <w:jc w:val="center"/>
              <w:rPr>
                <w:rFonts w:hint="eastAsia" w:ascii="宋体" w:hAnsi="宋体" w:eastAsia="宋体" w:cs="宋体"/>
                <w:kern w:val="0"/>
                <w:sz w:val="24"/>
                <w:szCs w:val="24"/>
              </w:rPr>
            </w:pPr>
          </w:p>
        </w:tc>
        <w:tc>
          <w:tcPr>
            <w:tcW w:w="1560" w:type="dxa"/>
            <w:noWrap w:val="0"/>
            <w:vAlign w:val="center"/>
          </w:tcPr>
          <w:p w14:paraId="2340B8C8">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专业技术人员数量</w:t>
            </w:r>
          </w:p>
        </w:tc>
        <w:tc>
          <w:tcPr>
            <w:tcW w:w="1398" w:type="dxa"/>
            <w:tcBorders>
              <w:right w:val="single" w:color="auto" w:sz="12" w:space="0"/>
            </w:tcBorders>
            <w:noWrap w:val="0"/>
            <w:vAlign w:val="center"/>
          </w:tcPr>
          <w:p w14:paraId="234FF116">
            <w:pPr>
              <w:autoSpaceDE w:val="0"/>
              <w:autoSpaceDN w:val="0"/>
              <w:adjustRightInd w:val="0"/>
              <w:spacing w:line="320" w:lineRule="exact"/>
              <w:rPr>
                <w:rFonts w:hint="eastAsia" w:ascii="宋体" w:hAnsi="宋体" w:eastAsia="宋体" w:cs="宋体"/>
                <w:bCs/>
                <w:kern w:val="0"/>
                <w:sz w:val="24"/>
                <w:szCs w:val="24"/>
              </w:rPr>
            </w:pPr>
          </w:p>
        </w:tc>
      </w:tr>
      <w:tr w14:paraId="423FE9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1E896945">
            <w:pPr>
              <w:autoSpaceDE w:val="0"/>
              <w:autoSpaceDN w:val="0"/>
              <w:adjustRightInd w:val="0"/>
              <w:spacing w:line="320" w:lineRule="exact"/>
              <w:rPr>
                <w:rFonts w:hint="eastAsia" w:ascii="宋体" w:hAnsi="宋体" w:eastAsia="宋体" w:cs="宋体"/>
                <w:kern w:val="0"/>
                <w:sz w:val="24"/>
                <w:szCs w:val="24"/>
              </w:rPr>
            </w:pPr>
          </w:p>
        </w:tc>
        <w:tc>
          <w:tcPr>
            <w:tcW w:w="1586" w:type="dxa"/>
            <w:vMerge w:val="continue"/>
            <w:tcBorders>
              <w:bottom w:val="single" w:color="auto" w:sz="4" w:space="0"/>
            </w:tcBorders>
            <w:noWrap w:val="0"/>
            <w:vAlign w:val="center"/>
          </w:tcPr>
          <w:p w14:paraId="326E05E8">
            <w:pPr>
              <w:autoSpaceDE w:val="0"/>
              <w:autoSpaceDN w:val="0"/>
              <w:adjustRightInd w:val="0"/>
              <w:spacing w:line="320" w:lineRule="exact"/>
              <w:rPr>
                <w:rFonts w:hint="eastAsia" w:ascii="宋体" w:hAnsi="宋体" w:eastAsia="宋体" w:cs="宋体"/>
                <w:kern w:val="0"/>
                <w:sz w:val="24"/>
                <w:szCs w:val="24"/>
              </w:rPr>
            </w:pPr>
          </w:p>
        </w:tc>
        <w:tc>
          <w:tcPr>
            <w:tcW w:w="1533" w:type="dxa"/>
            <w:tcBorders>
              <w:bottom w:val="single" w:color="auto" w:sz="4" w:space="0"/>
            </w:tcBorders>
            <w:noWrap w:val="0"/>
            <w:vAlign w:val="center"/>
          </w:tcPr>
          <w:p w14:paraId="04BEAB0E">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残疾人人数</w:t>
            </w:r>
          </w:p>
        </w:tc>
        <w:tc>
          <w:tcPr>
            <w:tcW w:w="1417" w:type="dxa"/>
            <w:tcBorders>
              <w:bottom w:val="single" w:color="auto" w:sz="4" w:space="0"/>
            </w:tcBorders>
            <w:noWrap w:val="0"/>
            <w:vAlign w:val="center"/>
          </w:tcPr>
          <w:p w14:paraId="6CB80A97">
            <w:pPr>
              <w:autoSpaceDE w:val="0"/>
              <w:autoSpaceDN w:val="0"/>
              <w:adjustRightInd w:val="0"/>
              <w:spacing w:line="320" w:lineRule="exact"/>
              <w:jc w:val="center"/>
              <w:rPr>
                <w:rFonts w:hint="eastAsia" w:ascii="宋体" w:hAnsi="宋体" w:eastAsia="宋体" w:cs="宋体"/>
                <w:kern w:val="0"/>
                <w:sz w:val="24"/>
                <w:szCs w:val="24"/>
              </w:rPr>
            </w:pPr>
          </w:p>
        </w:tc>
        <w:tc>
          <w:tcPr>
            <w:tcW w:w="1560" w:type="dxa"/>
            <w:tcBorders>
              <w:bottom w:val="single" w:color="auto" w:sz="4" w:space="0"/>
            </w:tcBorders>
            <w:noWrap w:val="0"/>
            <w:vAlign w:val="center"/>
          </w:tcPr>
          <w:p w14:paraId="780FCC61">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少数民族</w:t>
            </w:r>
          </w:p>
          <w:p w14:paraId="5BE3C303">
            <w:pPr>
              <w:autoSpaceDE w:val="0"/>
              <w:autoSpaceDN w:val="0"/>
              <w:adjustRightInd w:val="0"/>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人数</w:t>
            </w:r>
          </w:p>
        </w:tc>
        <w:tc>
          <w:tcPr>
            <w:tcW w:w="1398" w:type="dxa"/>
            <w:tcBorders>
              <w:bottom w:val="single" w:color="auto" w:sz="4" w:space="0"/>
              <w:right w:val="single" w:color="auto" w:sz="12" w:space="0"/>
            </w:tcBorders>
            <w:noWrap w:val="0"/>
            <w:vAlign w:val="center"/>
          </w:tcPr>
          <w:p w14:paraId="4473BE39">
            <w:pPr>
              <w:autoSpaceDE w:val="0"/>
              <w:autoSpaceDN w:val="0"/>
              <w:adjustRightInd w:val="0"/>
              <w:spacing w:line="320" w:lineRule="exact"/>
              <w:rPr>
                <w:rFonts w:hint="eastAsia" w:ascii="宋体" w:hAnsi="宋体" w:eastAsia="宋体" w:cs="宋体"/>
                <w:bCs/>
                <w:kern w:val="0"/>
                <w:sz w:val="24"/>
                <w:szCs w:val="24"/>
              </w:rPr>
            </w:pPr>
          </w:p>
        </w:tc>
      </w:tr>
      <w:tr w14:paraId="6E8E9F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4092CA25">
            <w:pPr>
              <w:autoSpaceDE w:val="0"/>
              <w:autoSpaceDN w:val="0"/>
              <w:adjustRightInd w:val="0"/>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存在直接控股、管理关系的相关供应商</w:t>
            </w:r>
          </w:p>
        </w:tc>
      </w:tr>
      <w:tr w14:paraId="78576D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D0CB405">
            <w:pPr>
              <w:autoSpaceDE w:val="0"/>
              <w:autoSpaceDN w:val="0"/>
              <w:adjustRightInd w:val="0"/>
              <w:spacing w:line="320" w:lineRule="exact"/>
              <w:rPr>
                <w:rFonts w:hint="eastAsia" w:ascii="宋体" w:hAnsi="宋体" w:eastAsia="宋体" w:cs="宋体"/>
                <w:kern w:val="0"/>
                <w:sz w:val="24"/>
                <w:szCs w:val="24"/>
              </w:rPr>
            </w:pPr>
            <w:r>
              <w:rPr>
                <w:rFonts w:hint="eastAsia" w:ascii="宋体" w:hAnsi="宋体" w:eastAsia="宋体" w:cs="宋体"/>
                <w:bCs/>
                <w:kern w:val="0"/>
                <w:sz w:val="24"/>
                <w:szCs w:val="24"/>
              </w:rPr>
              <w:t>关系</w:t>
            </w:r>
          </w:p>
        </w:tc>
        <w:tc>
          <w:tcPr>
            <w:tcW w:w="7494" w:type="dxa"/>
            <w:gridSpan w:val="5"/>
            <w:tcBorders>
              <w:right w:val="single" w:color="auto" w:sz="12" w:space="0"/>
            </w:tcBorders>
            <w:noWrap w:val="0"/>
            <w:vAlign w:val="center"/>
          </w:tcPr>
          <w:p w14:paraId="16D26291">
            <w:pPr>
              <w:autoSpaceDE w:val="0"/>
              <w:autoSpaceDN w:val="0"/>
              <w:adjustRightInd w:val="0"/>
              <w:spacing w:line="320" w:lineRule="exact"/>
              <w:rPr>
                <w:rFonts w:hint="eastAsia" w:ascii="宋体" w:hAnsi="宋体" w:eastAsia="宋体" w:cs="宋体"/>
                <w:bCs/>
                <w:kern w:val="0"/>
                <w:sz w:val="24"/>
                <w:szCs w:val="24"/>
              </w:rPr>
            </w:pPr>
            <w:r>
              <w:rPr>
                <w:rFonts w:hint="eastAsia" w:ascii="宋体" w:hAnsi="宋体" w:eastAsia="宋体" w:cs="宋体"/>
                <w:bCs/>
                <w:kern w:val="0"/>
                <w:sz w:val="24"/>
                <w:szCs w:val="24"/>
              </w:rPr>
              <w:t>供应商名称</w:t>
            </w:r>
          </w:p>
        </w:tc>
      </w:tr>
      <w:tr w14:paraId="106155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24A4300">
            <w:pPr>
              <w:autoSpaceDE w:val="0"/>
              <w:autoSpaceDN w:val="0"/>
              <w:adjustRightInd w:val="0"/>
              <w:spacing w:line="320" w:lineRule="exact"/>
              <w:rPr>
                <w:rFonts w:hint="eastAsia" w:ascii="宋体" w:hAnsi="宋体" w:eastAsia="宋体" w:cs="宋体"/>
                <w:kern w:val="0"/>
                <w:sz w:val="24"/>
                <w:szCs w:val="24"/>
              </w:rPr>
            </w:pPr>
          </w:p>
        </w:tc>
        <w:tc>
          <w:tcPr>
            <w:tcW w:w="7494" w:type="dxa"/>
            <w:gridSpan w:val="5"/>
            <w:tcBorders>
              <w:right w:val="single" w:color="auto" w:sz="12" w:space="0"/>
            </w:tcBorders>
            <w:noWrap w:val="0"/>
            <w:vAlign w:val="center"/>
          </w:tcPr>
          <w:p w14:paraId="6B3A6731">
            <w:pPr>
              <w:autoSpaceDE w:val="0"/>
              <w:autoSpaceDN w:val="0"/>
              <w:adjustRightInd w:val="0"/>
              <w:spacing w:line="320" w:lineRule="exact"/>
              <w:rPr>
                <w:rFonts w:hint="eastAsia" w:ascii="宋体" w:hAnsi="宋体" w:eastAsia="宋体" w:cs="宋体"/>
                <w:bCs/>
                <w:kern w:val="0"/>
                <w:sz w:val="24"/>
                <w:szCs w:val="24"/>
              </w:rPr>
            </w:pPr>
          </w:p>
        </w:tc>
      </w:tr>
      <w:tr w14:paraId="0B2A6E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B59B74A">
            <w:pPr>
              <w:autoSpaceDE w:val="0"/>
              <w:autoSpaceDN w:val="0"/>
              <w:adjustRightInd w:val="0"/>
              <w:spacing w:line="320" w:lineRule="exact"/>
              <w:rPr>
                <w:rFonts w:hint="eastAsia" w:ascii="宋体" w:hAnsi="宋体" w:eastAsia="宋体" w:cs="宋体"/>
                <w:kern w:val="0"/>
                <w:sz w:val="24"/>
                <w:szCs w:val="24"/>
              </w:rPr>
            </w:pPr>
          </w:p>
        </w:tc>
        <w:tc>
          <w:tcPr>
            <w:tcW w:w="7494" w:type="dxa"/>
            <w:gridSpan w:val="5"/>
            <w:tcBorders>
              <w:right w:val="single" w:color="auto" w:sz="12" w:space="0"/>
            </w:tcBorders>
            <w:noWrap w:val="0"/>
            <w:vAlign w:val="center"/>
          </w:tcPr>
          <w:p w14:paraId="2B290085">
            <w:pPr>
              <w:autoSpaceDE w:val="0"/>
              <w:autoSpaceDN w:val="0"/>
              <w:adjustRightInd w:val="0"/>
              <w:spacing w:line="320" w:lineRule="exact"/>
              <w:rPr>
                <w:rFonts w:hint="eastAsia" w:ascii="宋体" w:hAnsi="宋体" w:eastAsia="宋体" w:cs="宋体"/>
                <w:bCs/>
                <w:kern w:val="0"/>
                <w:sz w:val="24"/>
                <w:szCs w:val="24"/>
              </w:rPr>
            </w:pPr>
          </w:p>
        </w:tc>
      </w:tr>
      <w:tr w14:paraId="74377B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5B61305">
            <w:pPr>
              <w:autoSpaceDE w:val="0"/>
              <w:autoSpaceDN w:val="0"/>
              <w:adjustRightInd w:val="0"/>
              <w:spacing w:line="320" w:lineRule="exact"/>
              <w:rPr>
                <w:rFonts w:hint="eastAsia" w:ascii="宋体" w:hAnsi="宋体" w:eastAsia="宋体" w:cs="宋体"/>
                <w:kern w:val="0"/>
                <w:sz w:val="24"/>
                <w:szCs w:val="24"/>
              </w:rPr>
            </w:pPr>
          </w:p>
        </w:tc>
        <w:tc>
          <w:tcPr>
            <w:tcW w:w="7494" w:type="dxa"/>
            <w:gridSpan w:val="5"/>
            <w:tcBorders>
              <w:right w:val="single" w:color="auto" w:sz="12" w:space="0"/>
            </w:tcBorders>
            <w:noWrap w:val="0"/>
            <w:vAlign w:val="center"/>
          </w:tcPr>
          <w:p w14:paraId="0AE04553">
            <w:pPr>
              <w:autoSpaceDE w:val="0"/>
              <w:autoSpaceDN w:val="0"/>
              <w:adjustRightInd w:val="0"/>
              <w:spacing w:line="320" w:lineRule="exact"/>
              <w:rPr>
                <w:rFonts w:hint="eastAsia" w:ascii="宋体" w:hAnsi="宋体" w:eastAsia="宋体" w:cs="宋体"/>
                <w:bCs/>
                <w:kern w:val="0"/>
                <w:sz w:val="24"/>
                <w:szCs w:val="24"/>
              </w:rPr>
            </w:pPr>
          </w:p>
        </w:tc>
      </w:tr>
      <w:tr w14:paraId="5F369F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33BFA219">
            <w:pPr>
              <w:autoSpaceDE w:val="0"/>
              <w:autoSpaceDN w:val="0"/>
              <w:adjustRightInd w:val="0"/>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说明</w:t>
            </w:r>
          </w:p>
        </w:tc>
        <w:tc>
          <w:tcPr>
            <w:tcW w:w="7494" w:type="dxa"/>
            <w:gridSpan w:val="5"/>
            <w:tcBorders>
              <w:bottom w:val="single" w:color="auto" w:sz="12" w:space="0"/>
              <w:right w:val="single" w:color="auto" w:sz="12" w:space="0"/>
            </w:tcBorders>
            <w:noWrap w:val="0"/>
            <w:vAlign w:val="center"/>
          </w:tcPr>
          <w:p w14:paraId="42C685A5">
            <w:pPr>
              <w:spacing w:line="320" w:lineRule="exact"/>
              <w:ind w:left="360" w:hanging="360"/>
              <w:rPr>
                <w:rFonts w:hint="eastAsia" w:ascii="宋体" w:hAnsi="宋体" w:eastAsia="宋体" w:cs="宋体"/>
                <w:sz w:val="24"/>
                <w:szCs w:val="24"/>
              </w:rPr>
            </w:pPr>
            <w:r>
              <w:rPr>
                <w:rFonts w:hint="eastAsia" w:ascii="宋体" w:hAnsi="宋体" w:eastAsia="宋体" w:cs="宋体"/>
                <w:sz w:val="24"/>
                <w:szCs w:val="24"/>
              </w:rPr>
              <w:t>1、登记证号指营业执照/事业单位法人证书/专业服务机构执业许可证/民办非企业单位登记证书中的登记号。</w:t>
            </w:r>
          </w:p>
          <w:p w14:paraId="2C99D62F">
            <w:pPr>
              <w:spacing w:line="320" w:lineRule="exact"/>
              <w:ind w:left="360" w:hanging="360"/>
              <w:rPr>
                <w:rFonts w:hint="eastAsia" w:ascii="宋体" w:hAnsi="宋体" w:eastAsia="宋体" w:cs="宋体"/>
                <w:sz w:val="24"/>
                <w:szCs w:val="24"/>
              </w:rPr>
            </w:pPr>
            <w:r>
              <w:rPr>
                <w:rFonts w:hint="eastAsia" w:ascii="宋体" w:hAnsi="宋体" w:eastAsia="宋体" w:cs="宋体"/>
                <w:sz w:val="24"/>
                <w:szCs w:val="24"/>
              </w:rPr>
              <w:t>2、成立时间至提交响应文件截止时间不足一年的可不提供“上年度营业收入”。</w:t>
            </w:r>
          </w:p>
          <w:p w14:paraId="77E4DE6F">
            <w:pPr>
              <w:spacing w:line="320" w:lineRule="exact"/>
              <w:ind w:left="360" w:hanging="360"/>
              <w:rPr>
                <w:rFonts w:hint="eastAsia" w:ascii="宋体" w:hAnsi="宋体" w:eastAsia="宋体" w:cs="宋体"/>
                <w:kern w:val="0"/>
                <w:sz w:val="24"/>
                <w:szCs w:val="24"/>
              </w:rPr>
            </w:pPr>
            <w:r>
              <w:rPr>
                <w:rFonts w:hint="eastAsia" w:ascii="宋体" w:hAnsi="宋体" w:eastAsia="宋体" w:cs="宋体"/>
                <w:sz w:val="24"/>
                <w:szCs w:val="24"/>
              </w:rPr>
              <w:t>3、供应商应如实填写上述信息。</w:t>
            </w:r>
            <w:bookmarkStart w:id="223" w:name="■AcceptUnion_CH5_A■"/>
            <w:r>
              <w:rPr>
                <w:rFonts w:hint="eastAsia" w:hAnsi="宋体" w:cs="宋体"/>
                <w:sz w:val="24"/>
                <w:szCs w:val="24"/>
                <w:lang w:eastAsia="zh-CN"/>
              </w:rPr>
              <w:t>招标文件</w:t>
            </w:r>
            <w:r>
              <w:rPr>
                <w:rFonts w:hint="eastAsia" w:ascii="宋体" w:hAnsi="宋体" w:eastAsia="宋体" w:cs="宋体"/>
                <w:sz w:val="24"/>
                <w:szCs w:val="24"/>
              </w:rPr>
              <w:t>允许联合体投标的，联合体各方均应提供。</w:t>
            </w:r>
            <w:bookmarkEnd w:id="223"/>
          </w:p>
        </w:tc>
      </w:tr>
    </w:tbl>
    <w:p w14:paraId="7E5CF22D">
      <w:pPr>
        <w:rPr>
          <w:rFonts w:hAnsi="宋体" w:cs="宋体"/>
          <w:b/>
          <w:szCs w:val="24"/>
        </w:rPr>
      </w:pPr>
      <w:r>
        <w:rPr>
          <w:rFonts w:hint="eastAsia" w:hAnsi="宋体" w:cs="宋体"/>
          <w:b/>
          <w:szCs w:val="24"/>
        </w:rPr>
        <w:br w:type="page"/>
      </w:r>
    </w:p>
    <w:p w14:paraId="41319FE5">
      <w:pPr>
        <w:jc w:val="center"/>
        <w:rPr>
          <w:rFonts w:hAnsi="宋体" w:cs="宋体"/>
          <w:b/>
          <w:sz w:val="21"/>
          <w:szCs w:val="21"/>
        </w:rPr>
      </w:pPr>
      <w:r>
        <w:rPr>
          <w:rFonts w:hint="eastAsia" w:hAnsi="宋体" w:cs="宋体"/>
          <w:b/>
          <w:sz w:val="28"/>
          <w:szCs w:val="28"/>
        </w:rPr>
        <w:t>二、</w:t>
      </w:r>
      <w:r>
        <w:rPr>
          <w:rFonts w:hint="eastAsia" w:hAnsi="宋体" w:cs="宋体"/>
          <w:b/>
          <w:sz w:val="28"/>
          <w:szCs w:val="28"/>
          <w:lang w:val="zh-CN"/>
        </w:rPr>
        <w:t>企业控股关联关系</w:t>
      </w:r>
      <w:r>
        <w:rPr>
          <w:rFonts w:hint="eastAsia" w:hAnsi="宋体" w:cs="宋体"/>
          <w:b/>
          <w:sz w:val="28"/>
          <w:szCs w:val="28"/>
        </w:rPr>
        <w:t>说明</w:t>
      </w:r>
    </w:p>
    <w:p w14:paraId="7135EAC0">
      <w:pPr>
        <w:spacing w:line="360" w:lineRule="auto"/>
        <w:ind w:firstLine="480" w:firstLineChars="200"/>
        <w:rPr>
          <w:rFonts w:hint="eastAsia" w:hAnsi="宋体" w:cs="宋体"/>
          <w:sz w:val="24"/>
          <w:szCs w:val="24"/>
        </w:rPr>
      </w:pPr>
    </w:p>
    <w:p w14:paraId="40A83F8F">
      <w:pPr>
        <w:spacing w:line="360" w:lineRule="auto"/>
        <w:ind w:firstLine="480" w:firstLineChars="200"/>
        <w:rPr>
          <w:rFonts w:hAnsi="宋体" w:cs="宋体"/>
          <w:sz w:val="24"/>
          <w:szCs w:val="24"/>
        </w:rPr>
      </w:pPr>
      <w:r>
        <w:rPr>
          <w:rFonts w:hint="eastAsia" w:hAnsi="宋体" w:cs="宋体"/>
          <w:sz w:val="24"/>
          <w:szCs w:val="24"/>
        </w:rPr>
        <w:t>1.投标人在本项目投标活动中，不存在与其它参与投标的投标人负责人为同一人，有控股、管理等关联关系承诺：</w:t>
      </w:r>
    </w:p>
    <w:p w14:paraId="198BECBD">
      <w:pPr>
        <w:spacing w:line="360" w:lineRule="auto"/>
        <w:ind w:firstLine="480" w:firstLineChars="200"/>
        <w:rPr>
          <w:rFonts w:hAnsi="宋体" w:cs="宋体"/>
          <w:sz w:val="24"/>
          <w:szCs w:val="24"/>
        </w:rPr>
      </w:pPr>
      <w:bookmarkStart w:id="224" w:name="_Toc16856"/>
      <w:r>
        <w:rPr>
          <w:rFonts w:hint="eastAsia"/>
          <w:sz w:val="24"/>
          <w:szCs w:val="24"/>
          <w:lang w:val="en-US" w:eastAsia="zh-CN"/>
        </w:rPr>
        <w:t>2.</w:t>
      </w:r>
      <w:r>
        <w:rPr>
          <w:rFonts w:hint="eastAsia"/>
          <w:sz w:val="24"/>
          <w:szCs w:val="24"/>
        </w:rPr>
        <w:t>管理关系说明：</w:t>
      </w:r>
      <w:bookmarkEnd w:id="224"/>
    </w:p>
    <w:p w14:paraId="2A65FEEB">
      <w:pPr>
        <w:spacing w:line="360" w:lineRule="auto"/>
        <w:ind w:firstLine="960" w:firstLineChars="400"/>
        <w:rPr>
          <w:rFonts w:hAnsi="宋体" w:cs="宋体"/>
          <w:sz w:val="24"/>
          <w:szCs w:val="24"/>
        </w:rPr>
      </w:pPr>
      <w:r>
        <w:rPr>
          <w:rFonts w:hint="eastAsia" w:hAnsi="宋体" w:cs="宋体"/>
          <w:sz w:val="24"/>
          <w:szCs w:val="24"/>
        </w:rPr>
        <w:t>我单位管理的具有独立法人的下属单位有：</w:t>
      </w:r>
      <w:r>
        <w:rPr>
          <w:rFonts w:hint="eastAsia" w:hAnsi="宋体" w:cs="宋体"/>
          <w:sz w:val="24"/>
          <w:szCs w:val="24"/>
          <w:u w:val="single"/>
        </w:rPr>
        <w:t xml:space="preserve">       </w:t>
      </w:r>
      <w:r>
        <w:rPr>
          <w:rFonts w:hint="eastAsia" w:hAnsi="宋体" w:cs="宋体"/>
          <w:sz w:val="24"/>
          <w:szCs w:val="24"/>
        </w:rPr>
        <w:t>。</w:t>
      </w:r>
    </w:p>
    <w:p w14:paraId="1ECD0931">
      <w:pPr>
        <w:spacing w:line="360" w:lineRule="auto"/>
        <w:ind w:firstLine="960" w:firstLineChars="400"/>
        <w:rPr>
          <w:rFonts w:hAnsi="宋体" w:cs="宋体"/>
          <w:sz w:val="24"/>
          <w:szCs w:val="24"/>
        </w:rPr>
      </w:pPr>
      <w:r>
        <w:rPr>
          <w:rFonts w:hint="eastAsia" w:hAnsi="宋体" w:cs="宋体"/>
          <w:sz w:val="24"/>
          <w:szCs w:val="24"/>
        </w:rPr>
        <w:t>我单位的上级管理单位有</w:t>
      </w:r>
      <w:r>
        <w:rPr>
          <w:rFonts w:hint="eastAsia" w:hAnsi="宋体" w:cs="宋体"/>
          <w:sz w:val="24"/>
          <w:szCs w:val="24"/>
          <w:u w:val="single"/>
        </w:rPr>
        <w:t xml:space="preserve">       </w:t>
      </w:r>
      <w:r>
        <w:rPr>
          <w:rFonts w:hint="eastAsia" w:hAnsi="宋体" w:cs="宋体"/>
          <w:sz w:val="24"/>
          <w:szCs w:val="24"/>
        </w:rPr>
        <w:t>。</w:t>
      </w:r>
    </w:p>
    <w:p w14:paraId="15616E9C">
      <w:pPr>
        <w:spacing w:line="360" w:lineRule="auto"/>
        <w:ind w:firstLine="480" w:firstLineChars="200"/>
        <w:rPr>
          <w:sz w:val="24"/>
          <w:szCs w:val="24"/>
        </w:rPr>
      </w:pPr>
      <w:bookmarkStart w:id="225" w:name="_Toc12117"/>
      <w:r>
        <w:rPr>
          <w:rFonts w:hint="eastAsia"/>
          <w:sz w:val="24"/>
          <w:szCs w:val="24"/>
          <w:lang w:val="en-US" w:eastAsia="zh-CN"/>
        </w:rPr>
        <w:t>3.</w:t>
      </w:r>
      <w:r>
        <w:rPr>
          <w:rFonts w:hint="eastAsia"/>
          <w:sz w:val="24"/>
          <w:szCs w:val="24"/>
        </w:rPr>
        <w:t>股权关系说明：</w:t>
      </w:r>
      <w:bookmarkEnd w:id="225"/>
    </w:p>
    <w:p w14:paraId="3207FC60">
      <w:pPr>
        <w:spacing w:line="360" w:lineRule="auto"/>
        <w:ind w:firstLine="960" w:firstLineChars="400"/>
        <w:rPr>
          <w:rFonts w:hAnsi="宋体" w:cs="宋体"/>
          <w:sz w:val="24"/>
          <w:szCs w:val="24"/>
        </w:rPr>
      </w:pPr>
      <w:r>
        <w:rPr>
          <w:rFonts w:hint="eastAsia" w:hAnsi="宋体" w:cs="宋体"/>
          <w:sz w:val="24"/>
          <w:szCs w:val="24"/>
        </w:rPr>
        <w:t>我单位控股的单位有</w:t>
      </w:r>
      <w:r>
        <w:rPr>
          <w:rFonts w:hint="eastAsia" w:hAnsi="宋体" w:cs="宋体"/>
          <w:sz w:val="24"/>
          <w:szCs w:val="24"/>
          <w:u w:val="single"/>
        </w:rPr>
        <w:t xml:space="preserve">           </w:t>
      </w:r>
      <w:r>
        <w:rPr>
          <w:rFonts w:hint="eastAsia" w:hAnsi="宋体" w:cs="宋体"/>
          <w:sz w:val="24"/>
          <w:szCs w:val="24"/>
        </w:rPr>
        <w:t>。</w:t>
      </w:r>
    </w:p>
    <w:p w14:paraId="56604404">
      <w:pPr>
        <w:spacing w:line="360" w:lineRule="auto"/>
        <w:ind w:firstLine="960" w:firstLineChars="400"/>
        <w:rPr>
          <w:rFonts w:hAnsi="宋体" w:cs="宋体"/>
          <w:sz w:val="24"/>
          <w:szCs w:val="24"/>
        </w:rPr>
      </w:pPr>
      <w:r>
        <w:rPr>
          <w:rFonts w:hint="eastAsia" w:hAnsi="宋体" w:cs="宋体"/>
          <w:sz w:val="24"/>
          <w:szCs w:val="24"/>
        </w:rPr>
        <w:t>我单位被</w:t>
      </w:r>
      <w:r>
        <w:rPr>
          <w:rFonts w:hint="eastAsia" w:hAnsi="宋体" w:cs="宋体"/>
          <w:sz w:val="24"/>
          <w:szCs w:val="24"/>
          <w:u w:val="single"/>
        </w:rPr>
        <w:t xml:space="preserve">             </w:t>
      </w:r>
      <w:r>
        <w:rPr>
          <w:rFonts w:hint="eastAsia" w:hAnsi="宋体" w:cs="宋体"/>
          <w:sz w:val="24"/>
          <w:szCs w:val="24"/>
        </w:rPr>
        <w:t>单位控股。</w:t>
      </w:r>
    </w:p>
    <w:p w14:paraId="6CF55AE1">
      <w:pPr>
        <w:spacing w:line="360" w:lineRule="auto"/>
        <w:ind w:firstLine="480" w:firstLineChars="200"/>
        <w:rPr>
          <w:sz w:val="24"/>
          <w:szCs w:val="24"/>
        </w:rPr>
      </w:pPr>
      <w:bookmarkStart w:id="226" w:name="_Toc18126"/>
      <w:r>
        <w:rPr>
          <w:rFonts w:hint="eastAsia"/>
          <w:sz w:val="24"/>
          <w:szCs w:val="24"/>
          <w:lang w:val="en-US" w:eastAsia="zh-CN"/>
        </w:rPr>
        <w:t>4.</w:t>
      </w:r>
      <w:r>
        <w:rPr>
          <w:rFonts w:hint="eastAsia"/>
          <w:sz w:val="24"/>
          <w:szCs w:val="24"/>
        </w:rPr>
        <w:t>单位负责人：</w:t>
      </w:r>
      <w:bookmarkEnd w:id="226"/>
      <w:r>
        <w:rPr>
          <w:rFonts w:hint="eastAsia"/>
          <w:sz w:val="24"/>
          <w:szCs w:val="24"/>
          <w:u w:val="single"/>
        </w:rPr>
        <w:t xml:space="preserve">              </w:t>
      </w:r>
      <w:r>
        <w:rPr>
          <w:rFonts w:hint="eastAsia"/>
          <w:sz w:val="24"/>
          <w:szCs w:val="24"/>
        </w:rPr>
        <w:t xml:space="preserve">  </w:t>
      </w:r>
    </w:p>
    <w:p w14:paraId="458F8B02">
      <w:pPr>
        <w:spacing w:line="360" w:lineRule="auto"/>
        <w:ind w:firstLine="480" w:firstLineChars="200"/>
        <w:rPr>
          <w:rFonts w:hAnsi="宋体" w:cs="宋体"/>
          <w:sz w:val="24"/>
          <w:szCs w:val="24"/>
          <w:u w:val="single"/>
        </w:rPr>
      </w:pPr>
      <w:r>
        <w:rPr>
          <w:rFonts w:hint="eastAsia" w:hAnsi="宋体" w:cs="宋体"/>
          <w:sz w:val="24"/>
          <w:szCs w:val="24"/>
          <w:lang w:val="en-US" w:eastAsia="zh-CN"/>
        </w:rPr>
        <w:t>5</w:t>
      </w:r>
      <w:r>
        <w:rPr>
          <w:rFonts w:hint="eastAsia" w:hAnsi="宋体" w:cs="宋体"/>
          <w:sz w:val="24"/>
          <w:szCs w:val="24"/>
        </w:rPr>
        <w:t>.其他与本项目有关的利害关系说明：</w:t>
      </w:r>
      <w:r>
        <w:rPr>
          <w:rFonts w:hint="eastAsia" w:hAnsi="宋体" w:cs="宋体"/>
          <w:sz w:val="24"/>
          <w:szCs w:val="24"/>
          <w:u w:val="single"/>
        </w:rPr>
        <w:t xml:space="preserve">            </w:t>
      </w:r>
      <w:r>
        <w:rPr>
          <w:rFonts w:hint="eastAsia" w:hAnsi="宋体" w:cs="宋体"/>
          <w:sz w:val="24"/>
          <w:szCs w:val="24"/>
        </w:rPr>
        <w:t>。</w:t>
      </w:r>
    </w:p>
    <w:p w14:paraId="515FD85A">
      <w:pPr>
        <w:pStyle w:val="10"/>
        <w:spacing w:line="360" w:lineRule="auto"/>
        <w:rPr>
          <w:rFonts w:ascii="宋体" w:hAnsi="宋体" w:cs="宋体"/>
          <w:sz w:val="24"/>
          <w:szCs w:val="24"/>
        </w:rPr>
      </w:pPr>
    </w:p>
    <w:p w14:paraId="56782441">
      <w:pPr>
        <w:spacing w:line="360" w:lineRule="auto"/>
        <w:ind w:firstLine="720" w:firstLineChars="300"/>
        <w:rPr>
          <w:rFonts w:hAnsi="宋体" w:cs="宋体"/>
          <w:sz w:val="24"/>
          <w:szCs w:val="24"/>
        </w:rPr>
      </w:pPr>
      <w:r>
        <w:rPr>
          <w:rFonts w:hint="eastAsia" w:hAnsi="宋体" w:cs="宋体"/>
          <w:sz w:val="24"/>
          <w:szCs w:val="24"/>
        </w:rPr>
        <w:t>我单位承诺以上说明真实有效，无虚假内容或隐瞒。</w:t>
      </w:r>
    </w:p>
    <w:p w14:paraId="77C45418">
      <w:pPr>
        <w:spacing w:line="500" w:lineRule="exact"/>
        <w:ind w:firstLine="240" w:firstLineChars="100"/>
        <w:rPr>
          <w:rFonts w:hAnsi="宋体" w:cs="宋体"/>
          <w:sz w:val="24"/>
          <w:szCs w:val="24"/>
        </w:rPr>
      </w:pPr>
    </w:p>
    <w:p w14:paraId="1AF54811">
      <w:pPr>
        <w:pStyle w:val="10"/>
        <w:rPr>
          <w:sz w:val="24"/>
          <w:szCs w:val="24"/>
        </w:rPr>
      </w:pPr>
    </w:p>
    <w:p w14:paraId="0791C280">
      <w:pPr>
        <w:spacing w:line="500" w:lineRule="exact"/>
        <w:ind w:firstLine="2420" w:firstLineChars="1100"/>
        <w:rPr>
          <w:rFonts w:hAnsi="宋体" w:cs="宋体"/>
          <w:sz w:val="24"/>
          <w:szCs w:val="24"/>
        </w:rPr>
      </w:pPr>
      <w:r>
        <w:rPr>
          <w:rFonts w:hint="eastAsia" w:hAnsi="宋体" w:cs="宋体"/>
          <w:spacing w:val="-10"/>
          <w:sz w:val="24"/>
          <w:szCs w:val="24"/>
          <w:u w:val="single"/>
        </w:rPr>
        <w:t>投标人名称</w:t>
      </w:r>
      <w:r>
        <w:rPr>
          <w:rFonts w:hint="eastAsia" w:hAnsi="宋体" w:cs="宋体"/>
          <w:sz w:val="24"/>
          <w:szCs w:val="24"/>
        </w:rPr>
        <w:t>（加盖公章）</w:t>
      </w:r>
    </w:p>
    <w:p w14:paraId="766ABF65">
      <w:pPr>
        <w:spacing w:line="500" w:lineRule="exact"/>
        <w:ind w:firstLine="240" w:firstLineChars="100"/>
        <w:rPr>
          <w:rFonts w:hAnsi="宋体" w:cs="宋体"/>
          <w:sz w:val="24"/>
          <w:szCs w:val="24"/>
        </w:rPr>
      </w:pPr>
    </w:p>
    <w:p w14:paraId="4238D505">
      <w:pPr>
        <w:spacing w:line="500" w:lineRule="exact"/>
        <w:ind w:firstLine="2400" w:firstLineChars="1000"/>
        <w:rPr>
          <w:rFonts w:hAnsi="宋体" w:cs="宋体"/>
          <w:sz w:val="24"/>
          <w:szCs w:val="24"/>
        </w:rPr>
      </w:pPr>
      <w:r>
        <w:rPr>
          <w:rFonts w:hint="eastAsia" w:hAnsi="宋体" w:cs="宋体"/>
          <w:sz w:val="24"/>
          <w:szCs w:val="24"/>
        </w:rPr>
        <w:t>法定代表人或被授权人：</w:t>
      </w:r>
      <w:r>
        <w:rPr>
          <w:rFonts w:hint="eastAsia" w:hAnsi="宋体" w:cs="宋体"/>
          <w:sz w:val="24"/>
          <w:szCs w:val="24"/>
          <w:u w:val="single"/>
        </w:rPr>
        <w:t xml:space="preserve">           </w:t>
      </w:r>
      <w:r>
        <w:rPr>
          <w:rFonts w:hint="eastAsia" w:hAnsi="宋体" w:cs="宋体"/>
          <w:sz w:val="24"/>
          <w:szCs w:val="24"/>
        </w:rPr>
        <w:t>（签字或盖章）</w:t>
      </w:r>
    </w:p>
    <w:p w14:paraId="0FDB7A8D">
      <w:pPr>
        <w:spacing w:line="500" w:lineRule="exact"/>
        <w:ind w:firstLine="240" w:firstLineChars="100"/>
        <w:rPr>
          <w:rFonts w:hAnsi="宋体" w:cs="宋体"/>
          <w:sz w:val="24"/>
          <w:szCs w:val="24"/>
        </w:rPr>
      </w:pPr>
      <w:r>
        <w:rPr>
          <w:rFonts w:hint="eastAsia" w:hAnsi="宋体" w:cs="宋体"/>
          <w:sz w:val="24"/>
          <w:szCs w:val="24"/>
        </w:rPr>
        <w:t xml:space="preserve">      </w:t>
      </w:r>
    </w:p>
    <w:p w14:paraId="23D76479">
      <w:pPr>
        <w:spacing w:line="500" w:lineRule="exact"/>
        <w:ind w:firstLine="2400" w:firstLineChars="1000"/>
        <w:rPr>
          <w:rFonts w:hAnsi="宋体" w:cs="宋体"/>
          <w:sz w:val="21"/>
          <w:szCs w:val="21"/>
        </w:rPr>
      </w:pPr>
      <w:r>
        <w:rPr>
          <w:rFonts w:hint="eastAsia" w:hAnsi="宋体" w:cs="宋体"/>
          <w:sz w:val="24"/>
          <w:szCs w:val="24"/>
        </w:rPr>
        <w:t>日期：     年   月   日</w:t>
      </w:r>
    </w:p>
    <w:p w14:paraId="764B14EC">
      <w:pPr>
        <w:rPr>
          <w:rFonts w:hAnsi="宋体" w:cs="宋体"/>
          <w:b/>
          <w:bCs/>
          <w:sz w:val="21"/>
          <w:szCs w:val="21"/>
        </w:rPr>
      </w:pPr>
    </w:p>
    <w:p w14:paraId="637F7988">
      <w:pPr>
        <w:rPr>
          <w:rFonts w:hAnsi="宋体" w:cs="宋体"/>
          <w:b/>
          <w:bCs/>
          <w:sz w:val="21"/>
          <w:szCs w:val="21"/>
        </w:rPr>
      </w:pPr>
    </w:p>
    <w:p w14:paraId="11D948F2">
      <w:pPr>
        <w:rPr>
          <w:rFonts w:hAnsi="宋体" w:cs="宋体"/>
          <w:b/>
          <w:bCs/>
          <w:sz w:val="21"/>
          <w:szCs w:val="21"/>
        </w:rPr>
      </w:pPr>
    </w:p>
    <w:p w14:paraId="6D24FAD2">
      <w:pPr>
        <w:rPr>
          <w:rFonts w:hAnsi="宋体" w:cs="宋体"/>
          <w:b/>
          <w:bCs/>
          <w:sz w:val="21"/>
          <w:szCs w:val="21"/>
        </w:rPr>
      </w:pPr>
    </w:p>
    <w:p w14:paraId="46DCDBEB">
      <w:pPr>
        <w:rPr>
          <w:rFonts w:hAnsi="宋体" w:cs="宋体"/>
          <w:sz w:val="21"/>
          <w:szCs w:val="21"/>
          <w:lang w:val="zh-CN"/>
        </w:rPr>
      </w:pPr>
      <w:r>
        <w:rPr>
          <w:rFonts w:hint="eastAsia" w:hAnsi="宋体" w:cs="宋体"/>
          <w:b/>
          <w:bCs/>
          <w:sz w:val="21"/>
          <w:szCs w:val="21"/>
        </w:rPr>
        <w:t>注：</w:t>
      </w:r>
      <w:r>
        <w:rPr>
          <w:rFonts w:hint="eastAsia" w:hAnsi="宋体" w:cs="宋体"/>
          <w:sz w:val="21"/>
          <w:szCs w:val="21"/>
        </w:rPr>
        <w:t>请详细填写</w:t>
      </w:r>
      <w:r>
        <w:rPr>
          <w:rFonts w:hint="eastAsia" w:hAnsi="宋体" w:cs="宋体"/>
          <w:sz w:val="21"/>
          <w:szCs w:val="21"/>
          <w:lang w:val="zh-CN"/>
        </w:rPr>
        <w:t>企业关系关联说明，未如实填写将否决</w:t>
      </w:r>
      <w:r>
        <w:rPr>
          <w:rFonts w:hint="eastAsia" w:hAnsi="宋体" w:cs="宋体"/>
          <w:sz w:val="21"/>
          <w:szCs w:val="21"/>
        </w:rPr>
        <w:t>投标</w:t>
      </w:r>
      <w:r>
        <w:rPr>
          <w:rFonts w:hint="eastAsia" w:hAnsi="宋体" w:cs="宋体"/>
          <w:sz w:val="21"/>
          <w:szCs w:val="21"/>
          <w:lang w:val="zh-CN"/>
        </w:rPr>
        <w:t>。</w:t>
      </w:r>
    </w:p>
    <w:p w14:paraId="15165677">
      <w:pPr>
        <w:rPr>
          <w:rFonts w:hAnsi="宋体" w:cs="宋体"/>
          <w:sz w:val="21"/>
          <w:szCs w:val="21"/>
          <w:lang w:val="zh-CN"/>
        </w:rPr>
      </w:pPr>
      <w:r>
        <w:rPr>
          <w:rFonts w:hint="eastAsia" w:hAnsi="宋体" w:cs="宋体"/>
          <w:sz w:val="21"/>
          <w:szCs w:val="21"/>
          <w:lang w:val="zh-CN"/>
        </w:rPr>
        <w:br w:type="page"/>
      </w:r>
    </w:p>
    <w:p w14:paraId="1BC10F25">
      <w:pPr>
        <w:jc w:val="center"/>
        <w:rPr>
          <w:rFonts w:hAnsi="宋体" w:cs="宋体"/>
          <w:b/>
          <w:sz w:val="21"/>
          <w:szCs w:val="21"/>
        </w:rPr>
      </w:pPr>
      <w:r>
        <w:rPr>
          <w:rFonts w:hint="eastAsia" w:hAnsi="宋体" w:cs="宋体"/>
          <w:b/>
          <w:sz w:val="28"/>
          <w:szCs w:val="28"/>
        </w:rPr>
        <w:t>三、投标人性质</w:t>
      </w:r>
    </w:p>
    <w:p w14:paraId="4856B8DD">
      <w:pPr>
        <w:pStyle w:val="10"/>
        <w:ind w:firstLine="420" w:firstLineChars="200"/>
      </w:pPr>
    </w:p>
    <w:p w14:paraId="0419D291">
      <w:pPr>
        <w:pStyle w:val="10"/>
        <w:spacing w:line="360" w:lineRule="auto"/>
        <w:ind w:firstLine="480" w:firstLineChars="200"/>
        <w:rPr>
          <w:sz w:val="24"/>
          <w:szCs w:val="24"/>
        </w:rPr>
      </w:pPr>
      <w:r>
        <w:rPr>
          <w:rFonts w:hint="eastAsia"/>
          <w:sz w:val="24"/>
          <w:szCs w:val="24"/>
        </w:rPr>
        <w:t>中/小/微型企业、残疾人福利性单位投标时，应提供声明函（按下文给定格式）。未提供或未按给定格式提供声明函或声明函填写错误的，将视同为大型企业，作否决投标处理。</w:t>
      </w:r>
    </w:p>
    <w:p w14:paraId="0B3BA3CE">
      <w:pPr>
        <w:pStyle w:val="10"/>
        <w:spacing w:line="360" w:lineRule="auto"/>
        <w:ind w:firstLine="480" w:firstLineChars="200"/>
        <w:rPr>
          <w:rFonts w:hint="eastAsia"/>
          <w:sz w:val="24"/>
          <w:szCs w:val="24"/>
        </w:rPr>
      </w:pPr>
      <w:r>
        <w:rPr>
          <w:rFonts w:hint="eastAsia"/>
          <w:sz w:val="24"/>
          <w:szCs w:val="24"/>
        </w:rPr>
        <w:t>监狱企业投标时，应当提供由省级以上监狱管理局、戒毒管理局（含新疆生产建设兵团）出具的属于监狱企业的证明文件（格式不做要求）。</w:t>
      </w:r>
    </w:p>
    <w:p w14:paraId="27A16CC6">
      <w:pPr>
        <w:pStyle w:val="10"/>
        <w:spacing w:line="360" w:lineRule="auto"/>
        <w:ind w:firstLine="480" w:firstLineChars="200"/>
        <w:rPr>
          <w:color w:val="FF0000"/>
        </w:rPr>
      </w:pPr>
      <w:r>
        <w:rPr>
          <w:rFonts w:hint="eastAsia" w:ascii="宋体" w:hAnsi="宋体" w:eastAsia="宋体" w:cs="宋体"/>
          <w:sz w:val="24"/>
          <w:szCs w:val="24"/>
        </w:rPr>
        <w:t>非</w:t>
      </w:r>
      <w:r>
        <w:rPr>
          <w:rFonts w:hint="eastAsia" w:ascii="宋体" w:hAnsi="宋体" w:cs="宋体"/>
          <w:sz w:val="24"/>
          <w:szCs w:val="24"/>
          <w:lang w:val="en-US" w:eastAsia="zh-CN"/>
        </w:rPr>
        <w:t>中小</w:t>
      </w:r>
      <w:r>
        <w:rPr>
          <w:rFonts w:hint="eastAsia" w:ascii="宋体" w:hAnsi="宋体" w:eastAsia="宋体" w:cs="宋体"/>
          <w:sz w:val="24"/>
          <w:szCs w:val="24"/>
        </w:rPr>
        <w:t>企业、残疾人福利性单位、监狱企业，也无联合体情况的，</w:t>
      </w:r>
      <w:r>
        <w:rPr>
          <w:rFonts w:hint="eastAsia" w:ascii="宋体" w:hAnsi="宋体" w:cs="宋体"/>
          <w:sz w:val="24"/>
          <w:szCs w:val="24"/>
          <w:lang w:val="en-US" w:eastAsia="zh-CN"/>
        </w:rPr>
        <w:t>须明确填写</w:t>
      </w:r>
      <w:r>
        <w:rPr>
          <w:rFonts w:hint="eastAsia" w:ascii="宋体" w:hAnsi="宋体" w:eastAsia="宋体" w:cs="宋体"/>
          <w:sz w:val="24"/>
          <w:szCs w:val="24"/>
        </w:rPr>
        <w:t>此项内容。</w:t>
      </w:r>
      <w:r>
        <w:rPr>
          <w:rFonts w:hint="eastAsia"/>
        </w:rPr>
        <w:br w:type="page"/>
      </w:r>
    </w:p>
    <w:p w14:paraId="16239FFB">
      <w:pPr>
        <w:spacing w:line="288" w:lineRule="auto"/>
        <w:jc w:val="center"/>
        <w:rPr>
          <w:rFonts w:hAnsi="宋体" w:cs="宋体"/>
          <w:b/>
          <w:sz w:val="21"/>
          <w:szCs w:val="21"/>
        </w:rPr>
      </w:pPr>
    </w:p>
    <w:p w14:paraId="6893CCDF">
      <w:pPr>
        <w:spacing w:line="288" w:lineRule="auto"/>
        <w:jc w:val="center"/>
        <w:rPr>
          <w:rFonts w:hAnsi="宋体" w:cs="宋体"/>
          <w:b/>
          <w:sz w:val="21"/>
          <w:szCs w:val="21"/>
        </w:rPr>
      </w:pPr>
      <w:r>
        <w:rPr>
          <w:rFonts w:hint="eastAsia" w:hAnsi="宋体" w:cs="宋体"/>
          <w:b/>
          <w:sz w:val="28"/>
          <w:szCs w:val="28"/>
          <w:lang w:val="en-US" w:eastAsia="zh-CN"/>
        </w:rPr>
        <w:t>中小</w:t>
      </w:r>
      <w:r>
        <w:rPr>
          <w:rFonts w:hint="eastAsia" w:hAnsi="宋体" w:cs="宋体"/>
          <w:b/>
          <w:sz w:val="28"/>
          <w:szCs w:val="28"/>
          <w:lang w:eastAsia="zh-CN"/>
        </w:rPr>
        <w:t>企业声明函</w:t>
      </w:r>
      <w:r>
        <w:rPr>
          <w:rFonts w:hint="eastAsia" w:hAnsi="宋体" w:cs="宋体"/>
          <w:b/>
          <w:sz w:val="28"/>
          <w:szCs w:val="28"/>
        </w:rPr>
        <w:t>（</w:t>
      </w:r>
      <w:r>
        <w:rPr>
          <w:rFonts w:hint="eastAsia" w:hAnsi="宋体" w:cs="宋体"/>
          <w:b/>
          <w:sz w:val="28"/>
          <w:szCs w:val="28"/>
          <w:lang w:val="en-US" w:eastAsia="zh-CN"/>
        </w:rPr>
        <w:t>服务</w:t>
      </w:r>
      <w:r>
        <w:rPr>
          <w:rFonts w:hint="eastAsia" w:hAnsi="宋体" w:cs="宋体"/>
          <w:b/>
          <w:sz w:val="28"/>
          <w:szCs w:val="28"/>
        </w:rPr>
        <w:t>）</w:t>
      </w:r>
    </w:p>
    <w:p w14:paraId="220B7922">
      <w:pPr>
        <w:spacing w:line="288" w:lineRule="auto"/>
        <w:ind w:firstLine="420" w:firstLineChars="200"/>
        <w:rPr>
          <w:rFonts w:hAnsi="宋体" w:cs="宋体"/>
          <w:sz w:val="21"/>
          <w:szCs w:val="21"/>
        </w:rPr>
      </w:pPr>
    </w:p>
    <w:p w14:paraId="1CC76E19">
      <w:pPr>
        <w:spacing w:line="360" w:lineRule="auto"/>
        <w:ind w:firstLine="480" w:firstLineChars="200"/>
        <w:rPr>
          <w:rFonts w:hAnsi="宋体" w:cs="宋体"/>
          <w:sz w:val="24"/>
          <w:szCs w:val="24"/>
        </w:rPr>
      </w:pPr>
      <w:r>
        <w:rPr>
          <w:rFonts w:hint="eastAsia" w:hAnsi="宋体" w:cs="宋体"/>
          <w:sz w:val="24"/>
          <w:szCs w:val="24"/>
        </w:rPr>
        <w:t>本公司</w:t>
      </w:r>
      <w:r>
        <w:rPr>
          <w:rFonts w:hint="eastAsia" w:hAnsi="宋体" w:cs="宋体"/>
          <w:sz w:val="24"/>
          <w:szCs w:val="24"/>
          <w:lang w:eastAsia="zh-CN"/>
        </w:rPr>
        <w:t>（</w:t>
      </w:r>
      <w:r>
        <w:rPr>
          <w:rFonts w:hint="eastAsia" w:hAnsi="宋体" w:cs="宋体"/>
          <w:sz w:val="24"/>
          <w:szCs w:val="24"/>
          <w:lang w:val="en-US" w:eastAsia="zh-CN"/>
        </w:rPr>
        <w:t>联合体</w:t>
      </w:r>
      <w:r>
        <w:rPr>
          <w:rFonts w:hint="eastAsia" w:hAnsi="宋体" w:cs="宋体"/>
          <w:sz w:val="24"/>
          <w:szCs w:val="24"/>
          <w:lang w:eastAsia="zh-CN"/>
        </w:rPr>
        <w:t>）</w:t>
      </w:r>
      <w:r>
        <w:rPr>
          <w:rFonts w:hint="eastAsia" w:hAnsi="宋体" w:cs="宋体"/>
          <w:sz w:val="24"/>
          <w:szCs w:val="24"/>
        </w:rPr>
        <w:t>郑重声明，根据《政府采购促进中小企业发展管理办法》（财库﹝2020﹞46 号）的规定，</w:t>
      </w:r>
      <w:r>
        <w:rPr>
          <w:rFonts w:hint="eastAsia" w:ascii="宋体" w:hAnsi="宋体" w:eastAsia="宋体" w:cs="宋体"/>
          <w:sz w:val="24"/>
          <w:szCs w:val="24"/>
        </w:rPr>
        <w:t>本公司（联合体）参加</w:t>
      </w:r>
      <w:r>
        <w:rPr>
          <w:rFonts w:hint="eastAsia" w:ascii="宋体" w:hAnsi="宋体" w:eastAsia="宋体" w:cs="宋体"/>
          <w:sz w:val="24"/>
          <w:szCs w:val="24"/>
          <w:u w:val="none"/>
        </w:rPr>
        <w:t>（</w:t>
      </w:r>
      <w:r>
        <w:rPr>
          <w:rFonts w:hint="eastAsia" w:ascii="宋体" w:hAnsi="宋体" w:cs="宋体"/>
          <w:sz w:val="24"/>
          <w:szCs w:val="24"/>
          <w:u w:val="none"/>
          <w:lang w:eastAsia="zh-CN"/>
        </w:rPr>
        <w:t>采购人</w:t>
      </w:r>
      <w:r>
        <w:rPr>
          <w:rFonts w:hint="eastAsia" w:ascii="宋体" w:hAnsi="宋体" w:eastAsia="宋体" w:cs="宋体"/>
          <w:sz w:val="24"/>
          <w:szCs w:val="24"/>
          <w:u w:val="none"/>
        </w:rPr>
        <w:t>名称）的（项目名称）</w:t>
      </w:r>
      <w:r>
        <w:rPr>
          <w:rFonts w:hint="eastAsia" w:ascii="宋体" w:hAnsi="宋体" w:eastAsia="宋体" w:cs="宋体"/>
          <w:sz w:val="24"/>
          <w:szCs w:val="24"/>
        </w:rPr>
        <w:t>采购活动，</w:t>
      </w:r>
      <w:r>
        <w:rPr>
          <w:rFonts w:hint="eastAsia" w:ascii="宋体" w:hAnsi="宋体" w:cs="宋体"/>
          <w:sz w:val="24"/>
          <w:szCs w:val="24"/>
          <w:lang w:val="en-US" w:eastAsia="zh-CN"/>
        </w:rPr>
        <w:t>服务</w:t>
      </w:r>
      <w:r>
        <w:rPr>
          <w:rFonts w:hint="eastAsia" w:ascii="宋体" w:hAnsi="宋体" w:eastAsia="宋体" w:cs="宋体"/>
          <w:sz w:val="24"/>
          <w:szCs w:val="24"/>
        </w:rPr>
        <w:t>全部</w:t>
      </w:r>
      <w:r>
        <w:rPr>
          <w:rFonts w:hint="eastAsia" w:ascii="宋体" w:hAnsi="宋体" w:cs="宋体"/>
          <w:sz w:val="24"/>
          <w:szCs w:val="24"/>
          <w:lang w:val="en-US" w:eastAsia="zh-CN"/>
        </w:rPr>
        <w:t>为</w:t>
      </w:r>
      <w:r>
        <w:rPr>
          <w:rFonts w:hint="eastAsia" w:ascii="宋体" w:hAnsi="宋体" w:eastAsia="宋体" w:cs="宋体"/>
          <w:sz w:val="24"/>
          <w:szCs w:val="24"/>
        </w:rPr>
        <w:t>符合政策要求的小微企业</w:t>
      </w:r>
      <w:r>
        <w:rPr>
          <w:rFonts w:hint="eastAsia" w:ascii="宋体" w:hAnsi="宋体" w:cs="宋体"/>
          <w:sz w:val="24"/>
          <w:szCs w:val="24"/>
          <w:lang w:val="en-US" w:eastAsia="zh-CN"/>
        </w:rPr>
        <w:t>承接</w:t>
      </w:r>
      <w:r>
        <w:rPr>
          <w:rFonts w:hint="eastAsia" w:ascii="宋体" w:hAnsi="宋体" w:eastAsia="宋体" w:cs="宋体"/>
          <w:sz w:val="24"/>
          <w:szCs w:val="24"/>
        </w:rPr>
        <w:t>。相关企业（含联合体中的小微企业、签订分包意向协议的小微企业）的具体情况如下：</w:t>
      </w:r>
    </w:p>
    <w:p w14:paraId="6ACF8DA3">
      <w:pPr>
        <w:spacing w:line="360" w:lineRule="auto"/>
        <w:ind w:firstLine="480" w:firstLineChars="200"/>
        <w:rPr>
          <w:rFonts w:hAnsi="宋体" w:cs="宋体"/>
          <w:sz w:val="24"/>
          <w:szCs w:val="24"/>
        </w:rPr>
      </w:pPr>
      <w:r>
        <w:rPr>
          <w:rFonts w:hint="eastAsia" w:hAnsi="宋体" w:cs="宋体"/>
          <w:sz w:val="24"/>
          <w:szCs w:val="24"/>
        </w:rPr>
        <w:t xml:space="preserve"> 1.</w:t>
      </w:r>
      <w:r>
        <w:rPr>
          <w:rFonts w:hint="eastAsia" w:hAnsi="宋体" w:cs="宋体"/>
          <w:sz w:val="24"/>
          <w:szCs w:val="24"/>
          <w:u w:val="single"/>
        </w:rPr>
        <w:t>（标的名称）</w:t>
      </w:r>
      <w:r>
        <w:rPr>
          <w:rFonts w:hint="eastAsia" w:hAnsi="宋体" w:cs="宋体"/>
          <w:sz w:val="24"/>
          <w:szCs w:val="24"/>
        </w:rPr>
        <w:t>，</w:t>
      </w:r>
      <w:r>
        <w:rPr>
          <w:rFonts w:hint="eastAsia" w:ascii="宋体" w:hAnsi="宋体" w:eastAsia="宋体" w:cs="宋体"/>
          <w:sz w:val="24"/>
          <w:szCs w:val="24"/>
        </w:rPr>
        <w:t>属于（采购文件中明确的所属行业）</w:t>
      </w:r>
      <w:r>
        <w:rPr>
          <w:rFonts w:hint="eastAsia" w:hAnsi="宋体" w:cs="宋体"/>
          <w:sz w:val="24"/>
          <w:szCs w:val="24"/>
        </w:rPr>
        <w:t>；</w:t>
      </w:r>
      <w:r>
        <w:rPr>
          <w:rFonts w:hint="eastAsia" w:hAnsi="宋体" w:cs="宋体"/>
          <w:sz w:val="24"/>
          <w:szCs w:val="24"/>
          <w:lang w:val="en-US" w:eastAsia="zh-CN"/>
        </w:rPr>
        <w:t>供应商</w:t>
      </w:r>
      <w:r>
        <w:rPr>
          <w:rFonts w:hint="eastAsia" w:hAnsi="宋体" w:cs="宋体"/>
          <w:sz w:val="24"/>
          <w:szCs w:val="24"/>
        </w:rPr>
        <w:t>为</w:t>
      </w:r>
      <w:r>
        <w:rPr>
          <w:rFonts w:hint="eastAsia" w:hAnsi="宋体" w:cs="宋体"/>
          <w:sz w:val="24"/>
          <w:szCs w:val="24"/>
          <w:u w:val="single"/>
        </w:rPr>
        <w:t>（企业名称）</w:t>
      </w:r>
      <w:r>
        <w:rPr>
          <w:rFonts w:hint="eastAsia" w:hAnsi="宋体" w:cs="宋体"/>
          <w:sz w:val="24"/>
          <w:szCs w:val="24"/>
        </w:rPr>
        <w:t>，从业人员</w:t>
      </w:r>
      <w:r>
        <w:rPr>
          <w:rFonts w:hint="eastAsia" w:hAnsi="宋体" w:cs="宋体"/>
          <w:sz w:val="24"/>
          <w:szCs w:val="24"/>
          <w:u w:val="single"/>
        </w:rPr>
        <w:t xml:space="preserve">   </w:t>
      </w:r>
      <w:r>
        <w:rPr>
          <w:rFonts w:hint="eastAsia" w:hAnsi="宋体" w:cs="宋体"/>
          <w:sz w:val="24"/>
          <w:szCs w:val="24"/>
        </w:rPr>
        <w:t>人，营业收入为</w:t>
      </w:r>
      <w:r>
        <w:rPr>
          <w:rFonts w:hint="eastAsia" w:hAnsi="宋体" w:cs="宋体"/>
          <w:sz w:val="24"/>
          <w:szCs w:val="24"/>
          <w:u w:val="single"/>
        </w:rPr>
        <w:t xml:space="preserve">   </w:t>
      </w:r>
      <w:r>
        <w:rPr>
          <w:rFonts w:hint="eastAsia" w:hAnsi="宋体" w:cs="宋体"/>
          <w:sz w:val="24"/>
          <w:szCs w:val="24"/>
        </w:rPr>
        <w:t>万元，资产总额为</w:t>
      </w:r>
      <w:r>
        <w:rPr>
          <w:rFonts w:hint="eastAsia" w:hAnsi="宋体" w:cs="宋体"/>
          <w:sz w:val="24"/>
          <w:szCs w:val="24"/>
          <w:u w:val="single"/>
        </w:rPr>
        <w:t xml:space="preserve">     </w:t>
      </w:r>
      <w:r>
        <w:rPr>
          <w:rFonts w:hint="eastAsia" w:hAnsi="宋体" w:cs="宋体"/>
          <w:sz w:val="24"/>
          <w:szCs w:val="24"/>
        </w:rPr>
        <w:t>万元，属于（</w:t>
      </w:r>
      <w:r>
        <w:rPr>
          <w:rFonts w:hint="eastAsia" w:hAnsi="宋体" w:cs="宋体"/>
          <w:sz w:val="24"/>
          <w:szCs w:val="24"/>
          <w:lang w:val="en-US" w:eastAsia="zh-CN"/>
        </w:rPr>
        <w:t>中型企业/</w:t>
      </w:r>
      <w:r>
        <w:rPr>
          <w:rFonts w:hint="eastAsia" w:hAnsi="宋体" w:cs="宋体"/>
          <w:sz w:val="24"/>
          <w:szCs w:val="24"/>
        </w:rPr>
        <w:t>小型企业/微型企业）。</w:t>
      </w:r>
    </w:p>
    <w:p w14:paraId="46B36BEE">
      <w:pPr>
        <w:spacing w:line="360" w:lineRule="auto"/>
        <w:ind w:firstLine="480" w:firstLineChars="200"/>
        <w:rPr>
          <w:rFonts w:hAnsi="宋体" w:cs="宋体"/>
          <w:sz w:val="24"/>
          <w:szCs w:val="24"/>
        </w:rPr>
      </w:pPr>
      <w:r>
        <w:rPr>
          <w:rFonts w:hint="eastAsia" w:hAnsi="宋体" w:cs="宋体"/>
          <w:sz w:val="24"/>
          <w:szCs w:val="24"/>
        </w:rPr>
        <w:t xml:space="preserve"> 2.</w:t>
      </w:r>
      <w:r>
        <w:rPr>
          <w:rFonts w:hint="eastAsia" w:hAnsi="宋体" w:cs="宋体"/>
          <w:sz w:val="24"/>
          <w:szCs w:val="24"/>
          <w:u w:val="single"/>
        </w:rPr>
        <w:t>（标的名称）</w:t>
      </w:r>
      <w:r>
        <w:rPr>
          <w:rFonts w:hint="eastAsia" w:hAnsi="宋体" w:cs="宋体"/>
          <w:sz w:val="24"/>
          <w:szCs w:val="24"/>
        </w:rPr>
        <w:t>，</w:t>
      </w:r>
      <w:r>
        <w:rPr>
          <w:rFonts w:hint="eastAsia" w:ascii="宋体" w:hAnsi="宋体" w:eastAsia="宋体" w:cs="宋体"/>
          <w:sz w:val="24"/>
          <w:szCs w:val="24"/>
        </w:rPr>
        <w:t>属于（采购文件中明确的所属行业）</w:t>
      </w:r>
      <w:r>
        <w:rPr>
          <w:rFonts w:hint="eastAsia" w:hAnsi="宋体" w:cs="宋体"/>
          <w:sz w:val="24"/>
          <w:szCs w:val="24"/>
        </w:rPr>
        <w:t>；</w:t>
      </w:r>
      <w:r>
        <w:rPr>
          <w:rFonts w:hint="eastAsia" w:hAnsi="宋体" w:cs="宋体"/>
          <w:sz w:val="24"/>
          <w:szCs w:val="24"/>
          <w:lang w:val="en-US" w:eastAsia="zh-CN"/>
        </w:rPr>
        <w:t>供应商</w:t>
      </w:r>
      <w:r>
        <w:rPr>
          <w:rFonts w:hint="eastAsia" w:hAnsi="宋体" w:cs="宋体"/>
          <w:sz w:val="24"/>
          <w:szCs w:val="24"/>
        </w:rPr>
        <w:t>为</w:t>
      </w:r>
      <w:r>
        <w:rPr>
          <w:rFonts w:hint="eastAsia" w:hAnsi="宋体" w:cs="宋体"/>
          <w:sz w:val="24"/>
          <w:szCs w:val="24"/>
          <w:u w:val="single"/>
        </w:rPr>
        <w:t>（企业名称）</w:t>
      </w:r>
      <w:r>
        <w:rPr>
          <w:rFonts w:hint="eastAsia" w:hAnsi="宋体" w:cs="宋体"/>
          <w:sz w:val="24"/>
          <w:szCs w:val="24"/>
        </w:rPr>
        <w:t>，从业人员</w:t>
      </w:r>
      <w:r>
        <w:rPr>
          <w:rFonts w:hint="eastAsia" w:hAnsi="宋体" w:cs="宋体"/>
          <w:sz w:val="24"/>
          <w:szCs w:val="24"/>
          <w:u w:val="single"/>
        </w:rPr>
        <w:t xml:space="preserve">   </w:t>
      </w:r>
      <w:r>
        <w:rPr>
          <w:rFonts w:hint="eastAsia" w:hAnsi="宋体" w:cs="宋体"/>
          <w:sz w:val="24"/>
          <w:szCs w:val="24"/>
        </w:rPr>
        <w:t>人，营业收入为</w:t>
      </w:r>
      <w:r>
        <w:rPr>
          <w:rFonts w:hint="eastAsia" w:hAnsi="宋体" w:cs="宋体"/>
          <w:sz w:val="24"/>
          <w:szCs w:val="24"/>
          <w:u w:val="single"/>
        </w:rPr>
        <w:t xml:space="preserve">   </w:t>
      </w:r>
      <w:r>
        <w:rPr>
          <w:rFonts w:hint="eastAsia" w:hAnsi="宋体" w:cs="宋体"/>
          <w:sz w:val="24"/>
          <w:szCs w:val="24"/>
        </w:rPr>
        <w:t>万元，资产总额为</w:t>
      </w:r>
      <w:r>
        <w:rPr>
          <w:rFonts w:hint="eastAsia" w:hAnsi="宋体" w:cs="宋体"/>
          <w:sz w:val="24"/>
          <w:szCs w:val="24"/>
          <w:u w:val="single"/>
        </w:rPr>
        <w:t xml:space="preserve">     </w:t>
      </w:r>
      <w:r>
        <w:rPr>
          <w:rFonts w:hint="eastAsia" w:hAnsi="宋体" w:cs="宋体"/>
          <w:sz w:val="24"/>
          <w:szCs w:val="24"/>
        </w:rPr>
        <w:t>万元，属于（</w:t>
      </w:r>
      <w:r>
        <w:rPr>
          <w:rFonts w:hint="eastAsia" w:hAnsi="宋体" w:cs="宋体"/>
          <w:sz w:val="24"/>
          <w:szCs w:val="24"/>
          <w:lang w:val="en-US" w:eastAsia="zh-CN"/>
        </w:rPr>
        <w:t>中型企业/</w:t>
      </w:r>
      <w:r>
        <w:rPr>
          <w:rFonts w:hint="eastAsia" w:hAnsi="宋体" w:cs="宋体"/>
          <w:sz w:val="24"/>
          <w:szCs w:val="24"/>
        </w:rPr>
        <w:t>小型企业/微型企业）。</w:t>
      </w:r>
    </w:p>
    <w:p w14:paraId="0BD99ECC">
      <w:pPr>
        <w:spacing w:line="360" w:lineRule="auto"/>
        <w:ind w:firstLine="720" w:firstLineChars="300"/>
        <w:rPr>
          <w:rFonts w:hAnsi="宋体" w:cs="宋体"/>
          <w:sz w:val="24"/>
          <w:szCs w:val="24"/>
        </w:rPr>
      </w:pPr>
      <w:r>
        <w:rPr>
          <w:rFonts w:hint="eastAsia" w:hAnsi="宋体" w:cs="宋体"/>
          <w:sz w:val="24"/>
          <w:szCs w:val="24"/>
        </w:rPr>
        <w:t>……</w:t>
      </w:r>
    </w:p>
    <w:p w14:paraId="4612641B">
      <w:pPr>
        <w:spacing w:line="360" w:lineRule="auto"/>
        <w:ind w:firstLine="480" w:firstLineChars="200"/>
        <w:rPr>
          <w:rFonts w:hAnsi="宋体" w:cs="宋体"/>
          <w:sz w:val="24"/>
          <w:szCs w:val="24"/>
        </w:rPr>
      </w:pPr>
      <w:r>
        <w:rPr>
          <w:rFonts w:hint="eastAsia" w:hAnsi="宋体" w:cs="宋体"/>
          <w:sz w:val="24"/>
          <w:szCs w:val="24"/>
        </w:rPr>
        <w:t xml:space="preserve"> 以上企业，不属于大企业的分支机构，不存在控股股东为大企业的情形，也不存在与大企业的负责人为同一人的情形。</w:t>
      </w:r>
    </w:p>
    <w:p w14:paraId="70D56144">
      <w:pPr>
        <w:spacing w:line="360" w:lineRule="auto"/>
        <w:ind w:firstLine="480" w:firstLineChars="200"/>
        <w:rPr>
          <w:rFonts w:hAnsi="宋体" w:cs="宋体"/>
          <w:sz w:val="24"/>
          <w:szCs w:val="24"/>
        </w:rPr>
      </w:pPr>
      <w:r>
        <w:rPr>
          <w:rFonts w:hint="eastAsia" w:hAnsi="宋体" w:cs="宋体"/>
          <w:sz w:val="24"/>
          <w:szCs w:val="24"/>
        </w:rPr>
        <w:t xml:space="preserve"> 本企业对上述声明内容的真实性负责。如有虚假，将依法承担相应责任。</w:t>
      </w:r>
    </w:p>
    <w:p w14:paraId="212538CB">
      <w:pPr>
        <w:spacing w:line="360" w:lineRule="auto"/>
        <w:ind w:firstLine="480" w:firstLineChars="200"/>
        <w:rPr>
          <w:rFonts w:hAnsi="宋体" w:cs="宋体"/>
          <w:sz w:val="24"/>
          <w:szCs w:val="24"/>
        </w:rPr>
      </w:pPr>
      <w:r>
        <w:rPr>
          <w:rFonts w:hint="eastAsia" w:hAnsi="宋体" w:cs="宋体"/>
          <w:sz w:val="24"/>
          <w:szCs w:val="24"/>
        </w:rPr>
        <w:t xml:space="preserve">                                      </w:t>
      </w:r>
    </w:p>
    <w:p w14:paraId="4DAA255E">
      <w:pPr>
        <w:spacing w:line="360" w:lineRule="auto"/>
        <w:ind w:firstLine="5040" w:firstLineChars="2100"/>
        <w:rPr>
          <w:rFonts w:hAnsi="宋体" w:cs="宋体"/>
          <w:sz w:val="24"/>
          <w:szCs w:val="24"/>
        </w:rPr>
      </w:pPr>
      <w:r>
        <w:rPr>
          <w:rFonts w:hint="eastAsia" w:hAnsi="宋体" w:cs="宋体"/>
          <w:sz w:val="24"/>
          <w:szCs w:val="24"/>
        </w:rPr>
        <w:t>企业名称（盖章）：</w:t>
      </w:r>
    </w:p>
    <w:p w14:paraId="7BD0C8B8">
      <w:pPr>
        <w:spacing w:line="360" w:lineRule="auto"/>
        <w:ind w:firstLine="480" w:firstLineChars="200"/>
        <w:rPr>
          <w:rFonts w:hAnsi="宋体" w:cs="宋体"/>
          <w:sz w:val="21"/>
          <w:szCs w:val="21"/>
        </w:rPr>
      </w:pPr>
      <w:r>
        <w:rPr>
          <w:rFonts w:hint="eastAsia" w:hAnsi="宋体" w:cs="宋体"/>
          <w:sz w:val="24"/>
          <w:szCs w:val="24"/>
        </w:rPr>
        <w:t xml:space="preserve">                                      日期：</w:t>
      </w:r>
    </w:p>
    <w:p w14:paraId="2BF82E94">
      <w:pPr>
        <w:tabs>
          <w:tab w:val="left" w:pos="5670"/>
        </w:tabs>
        <w:spacing w:line="288" w:lineRule="auto"/>
        <w:rPr>
          <w:rFonts w:hAnsi="宋体" w:cs="宋体"/>
          <w:b/>
          <w:bCs/>
          <w:sz w:val="21"/>
          <w:szCs w:val="21"/>
        </w:rPr>
      </w:pPr>
    </w:p>
    <w:p w14:paraId="3922CBCE">
      <w:pPr>
        <w:tabs>
          <w:tab w:val="left" w:pos="5670"/>
        </w:tabs>
        <w:spacing w:line="288" w:lineRule="auto"/>
        <w:rPr>
          <w:rFonts w:hAnsi="宋体" w:cs="宋体"/>
          <w:b/>
          <w:bCs/>
          <w:sz w:val="21"/>
          <w:szCs w:val="21"/>
        </w:rPr>
      </w:pPr>
    </w:p>
    <w:p w14:paraId="71267EB9">
      <w:pPr>
        <w:tabs>
          <w:tab w:val="left" w:pos="5670"/>
        </w:tabs>
        <w:spacing w:line="288" w:lineRule="auto"/>
        <w:rPr>
          <w:rFonts w:hAnsi="宋体" w:cs="宋体"/>
          <w:b/>
          <w:bCs/>
          <w:sz w:val="21"/>
          <w:szCs w:val="21"/>
        </w:rPr>
      </w:pPr>
    </w:p>
    <w:p w14:paraId="60B6C99E">
      <w:pPr>
        <w:tabs>
          <w:tab w:val="left" w:pos="5670"/>
        </w:tabs>
        <w:spacing w:line="288" w:lineRule="auto"/>
        <w:rPr>
          <w:rFonts w:hAnsi="宋体" w:cs="宋体"/>
          <w:b/>
          <w:bCs/>
          <w:sz w:val="21"/>
          <w:szCs w:val="21"/>
        </w:rPr>
      </w:pPr>
    </w:p>
    <w:p w14:paraId="48044B29">
      <w:pPr>
        <w:tabs>
          <w:tab w:val="left" w:pos="5670"/>
        </w:tabs>
        <w:spacing w:line="288" w:lineRule="auto"/>
        <w:rPr>
          <w:rFonts w:hAnsi="宋体" w:cs="宋体"/>
          <w:b/>
          <w:bCs/>
          <w:sz w:val="21"/>
          <w:szCs w:val="21"/>
        </w:rPr>
      </w:pPr>
    </w:p>
    <w:p w14:paraId="2F640826">
      <w:pPr>
        <w:tabs>
          <w:tab w:val="left" w:pos="5670"/>
        </w:tabs>
        <w:spacing w:line="288" w:lineRule="auto"/>
        <w:rPr>
          <w:rFonts w:hAnsi="宋体" w:cs="宋体"/>
          <w:b/>
          <w:bCs/>
          <w:sz w:val="21"/>
          <w:szCs w:val="21"/>
        </w:rPr>
      </w:pPr>
    </w:p>
    <w:p w14:paraId="2F82B59A">
      <w:pPr>
        <w:tabs>
          <w:tab w:val="left" w:pos="5670"/>
        </w:tabs>
        <w:spacing w:line="288" w:lineRule="auto"/>
        <w:rPr>
          <w:rFonts w:hAnsi="宋体" w:cs="宋体"/>
          <w:b/>
          <w:bCs/>
          <w:sz w:val="21"/>
          <w:szCs w:val="21"/>
        </w:rPr>
      </w:pPr>
    </w:p>
    <w:p w14:paraId="6BD6A245">
      <w:pPr>
        <w:tabs>
          <w:tab w:val="left" w:pos="5670"/>
        </w:tabs>
        <w:spacing w:line="288" w:lineRule="auto"/>
        <w:rPr>
          <w:rFonts w:hAnsi="宋体" w:cs="宋体"/>
          <w:b/>
          <w:bCs/>
          <w:sz w:val="21"/>
          <w:szCs w:val="21"/>
        </w:rPr>
      </w:pPr>
    </w:p>
    <w:p w14:paraId="7F74DC6D">
      <w:pPr>
        <w:tabs>
          <w:tab w:val="left" w:pos="5670"/>
        </w:tabs>
        <w:spacing w:line="288" w:lineRule="auto"/>
        <w:rPr>
          <w:rFonts w:hint="eastAsia" w:hAnsi="宋体" w:eastAsia="宋体" w:cs="宋体"/>
          <w:sz w:val="21"/>
          <w:szCs w:val="21"/>
          <w:lang w:eastAsia="zh-CN"/>
        </w:rPr>
      </w:pPr>
      <w:r>
        <w:rPr>
          <w:rFonts w:hint="eastAsia" w:hAnsi="宋体" w:cs="宋体"/>
          <w:b/>
          <w:bCs/>
          <w:sz w:val="21"/>
          <w:szCs w:val="21"/>
        </w:rPr>
        <w:t>注：</w:t>
      </w:r>
      <w:r>
        <w:rPr>
          <w:rFonts w:hint="eastAsia" w:hAnsi="宋体" w:cs="宋体"/>
          <w:sz w:val="21"/>
          <w:szCs w:val="21"/>
        </w:rPr>
        <w:t>1.从业人员、营业收入、资产总额填报上一年度数据，无上一年度数据的新成立企业可不填报。</w:t>
      </w:r>
    </w:p>
    <w:p w14:paraId="7A436BB1">
      <w:pPr>
        <w:spacing w:line="288" w:lineRule="auto"/>
        <w:ind w:firstLine="420" w:firstLineChars="200"/>
        <w:jc w:val="center"/>
        <w:rPr>
          <w:rFonts w:hAnsi="宋体" w:cs="宋体"/>
          <w:sz w:val="21"/>
          <w:szCs w:val="21"/>
        </w:rPr>
      </w:pPr>
      <w:bookmarkStart w:id="227" w:name="_Toc48834336"/>
    </w:p>
    <w:p w14:paraId="700ACAF9">
      <w:pPr>
        <w:spacing w:line="288" w:lineRule="auto"/>
        <w:jc w:val="center"/>
        <w:rPr>
          <w:rFonts w:hAnsi="宋体" w:cs="宋体"/>
          <w:b/>
          <w:sz w:val="21"/>
          <w:szCs w:val="21"/>
        </w:rPr>
      </w:pPr>
      <w:r>
        <w:rPr>
          <w:rFonts w:hint="eastAsia" w:hAnsi="宋体" w:cs="宋体"/>
          <w:b/>
          <w:bCs/>
          <w:sz w:val="28"/>
          <w:szCs w:val="28"/>
        </w:rPr>
        <w:t>残疾人福利性单位声明函</w:t>
      </w:r>
      <w:bookmarkEnd w:id="227"/>
    </w:p>
    <w:p w14:paraId="6341B15B">
      <w:pPr>
        <w:spacing w:line="288" w:lineRule="auto"/>
        <w:ind w:firstLine="420" w:firstLineChars="200"/>
        <w:rPr>
          <w:rFonts w:hAnsi="宋体" w:cs="宋体"/>
          <w:sz w:val="21"/>
          <w:szCs w:val="21"/>
        </w:rPr>
      </w:pPr>
    </w:p>
    <w:p w14:paraId="2CFB3F45">
      <w:pPr>
        <w:spacing w:line="288" w:lineRule="auto"/>
        <w:ind w:firstLine="480" w:firstLineChars="200"/>
        <w:rPr>
          <w:rFonts w:hAnsi="宋体" w:cs="宋体"/>
          <w:sz w:val="24"/>
          <w:szCs w:val="24"/>
        </w:rPr>
      </w:pPr>
      <w:r>
        <w:rPr>
          <w:rFonts w:hint="eastAsia" w:hAnsi="宋体" w:cs="宋体"/>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hAnsi="宋体" w:cs="宋体"/>
          <w:sz w:val="24"/>
          <w:szCs w:val="24"/>
          <w:u w:val="single"/>
        </w:rPr>
        <w:t xml:space="preserve"> 项目名称</w:t>
      </w:r>
      <w:r>
        <w:rPr>
          <w:rFonts w:hint="eastAsia" w:hAnsi="宋体" w:cs="宋体"/>
          <w:sz w:val="24"/>
          <w:szCs w:val="24"/>
        </w:rPr>
        <w:t>（项目编号：）采购活动由本单位提供服务，或者提供其他残疾人福利性单位提供的服务。</w:t>
      </w:r>
    </w:p>
    <w:p w14:paraId="5DB7FE89">
      <w:pPr>
        <w:spacing w:line="288" w:lineRule="auto"/>
        <w:ind w:firstLine="480" w:firstLineChars="200"/>
        <w:rPr>
          <w:rFonts w:hAnsi="宋体" w:cs="宋体"/>
          <w:sz w:val="24"/>
          <w:szCs w:val="24"/>
        </w:rPr>
      </w:pPr>
      <w:r>
        <w:rPr>
          <w:rFonts w:hint="eastAsia" w:hAnsi="宋体" w:cs="宋体"/>
          <w:sz w:val="24"/>
          <w:szCs w:val="24"/>
        </w:rPr>
        <w:t>本单位对上述声明的真实性负责。如有虚假，将依法承担相应责任。</w:t>
      </w:r>
    </w:p>
    <w:p w14:paraId="4D7308F1">
      <w:pPr>
        <w:spacing w:line="288" w:lineRule="auto"/>
        <w:ind w:firstLine="480" w:firstLineChars="200"/>
        <w:rPr>
          <w:rFonts w:hAnsi="宋体" w:cs="宋体"/>
          <w:sz w:val="24"/>
          <w:szCs w:val="24"/>
        </w:rPr>
      </w:pPr>
    </w:p>
    <w:p w14:paraId="4D944498">
      <w:pPr>
        <w:tabs>
          <w:tab w:val="left" w:pos="5670"/>
        </w:tabs>
        <w:spacing w:line="288" w:lineRule="auto"/>
        <w:ind w:firstLine="6240" w:firstLineChars="2600"/>
        <w:rPr>
          <w:rFonts w:hAnsi="宋体" w:cs="宋体"/>
          <w:sz w:val="24"/>
          <w:szCs w:val="24"/>
        </w:rPr>
      </w:pPr>
      <w:r>
        <w:rPr>
          <w:rFonts w:hint="eastAsia" w:hAnsi="宋体" w:cs="宋体"/>
          <w:sz w:val="24"/>
          <w:szCs w:val="24"/>
          <w:u w:val="single"/>
        </w:rPr>
        <w:t>投标人名称</w:t>
      </w:r>
      <w:r>
        <w:rPr>
          <w:rFonts w:hint="eastAsia" w:hAnsi="宋体" w:cs="宋体"/>
          <w:sz w:val="24"/>
          <w:szCs w:val="24"/>
        </w:rPr>
        <w:t>（盖章）</w:t>
      </w:r>
    </w:p>
    <w:p w14:paraId="796A32EC">
      <w:pPr>
        <w:tabs>
          <w:tab w:val="left" w:pos="5670"/>
        </w:tabs>
        <w:spacing w:line="288" w:lineRule="auto"/>
        <w:rPr>
          <w:rFonts w:hAnsi="宋体" w:cs="宋体"/>
          <w:sz w:val="21"/>
          <w:szCs w:val="21"/>
        </w:rPr>
      </w:pPr>
      <w:r>
        <w:rPr>
          <w:rFonts w:hint="eastAsia" w:hAnsi="宋体" w:cs="宋体"/>
          <w:sz w:val="24"/>
          <w:szCs w:val="24"/>
        </w:rPr>
        <w:t xml:space="preserve">                                    　　            年　月　日</w:t>
      </w:r>
    </w:p>
    <w:p w14:paraId="64AEF5B3">
      <w:pPr>
        <w:tabs>
          <w:tab w:val="left" w:pos="5670"/>
        </w:tabs>
        <w:spacing w:line="288" w:lineRule="auto"/>
        <w:ind w:firstLine="420" w:firstLineChars="200"/>
        <w:rPr>
          <w:rFonts w:hAnsi="宋体" w:cs="宋体"/>
          <w:sz w:val="21"/>
          <w:szCs w:val="21"/>
        </w:rPr>
      </w:pPr>
    </w:p>
    <w:p w14:paraId="7ED94ABC">
      <w:pPr>
        <w:tabs>
          <w:tab w:val="left" w:pos="5670"/>
        </w:tabs>
        <w:spacing w:line="288" w:lineRule="auto"/>
        <w:rPr>
          <w:rFonts w:hAnsi="宋体" w:cs="宋体"/>
          <w:b/>
          <w:bCs/>
          <w:sz w:val="21"/>
          <w:szCs w:val="21"/>
        </w:rPr>
      </w:pPr>
    </w:p>
    <w:p w14:paraId="76D52BF0">
      <w:pPr>
        <w:tabs>
          <w:tab w:val="left" w:pos="5670"/>
        </w:tabs>
        <w:spacing w:line="288" w:lineRule="auto"/>
        <w:rPr>
          <w:rFonts w:hAnsi="宋体" w:cs="宋体"/>
          <w:b/>
          <w:bCs/>
          <w:sz w:val="21"/>
          <w:szCs w:val="21"/>
        </w:rPr>
      </w:pPr>
    </w:p>
    <w:p w14:paraId="5206FBE9">
      <w:pPr>
        <w:tabs>
          <w:tab w:val="left" w:pos="5670"/>
        </w:tabs>
        <w:spacing w:line="288" w:lineRule="auto"/>
        <w:rPr>
          <w:rFonts w:hAnsi="宋体" w:cs="宋体"/>
          <w:b/>
          <w:bCs/>
          <w:sz w:val="21"/>
          <w:szCs w:val="21"/>
        </w:rPr>
      </w:pPr>
    </w:p>
    <w:p w14:paraId="1C96FF08">
      <w:pPr>
        <w:tabs>
          <w:tab w:val="left" w:pos="5670"/>
        </w:tabs>
        <w:spacing w:line="288" w:lineRule="auto"/>
        <w:rPr>
          <w:rFonts w:hAnsi="宋体" w:cs="宋体"/>
          <w:b/>
          <w:bCs/>
          <w:sz w:val="21"/>
          <w:szCs w:val="21"/>
        </w:rPr>
      </w:pPr>
    </w:p>
    <w:p w14:paraId="30235F4E">
      <w:pPr>
        <w:tabs>
          <w:tab w:val="left" w:pos="5670"/>
        </w:tabs>
        <w:spacing w:line="288" w:lineRule="auto"/>
        <w:rPr>
          <w:rFonts w:hAnsi="宋体" w:cs="宋体"/>
          <w:sz w:val="21"/>
          <w:szCs w:val="21"/>
        </w:rPr>
      </w:pPr>
      <w:r>
        <w:rPr>
          <w:rFonts w:hint="eastAsia" w:hAnsi="宋体" w:cs="宋体"/>
          <w:b/>
          <w:bCs/>
          <w:sz w:val="21"/>
          <w:szCs w:val="21"/>
        </w:rPr>
        <w:t>注：</w:t>
      </w:r>
      <w:r>
        <w:rPr>
          <w:rFonts w:hint="eastAsia" w:hAnsi="宋体" w:cs="宋体"/>
          <w:sz w:val="21"/>
          <w:szCs w:val="21"/>
        </w:rPr>
        <w:t>根据《财政部 民政部 中国残疾人联合会关于促进残疾人就业政府采购政策的通知》（财库〔2017〕141号）的规定：</w:t>
      </w:r>
    </w:p>
    <w:p w14:paraId="0318C9FA">
      <w:pPr>
        <w:tabs>
          <w:tab w:val="left" w:pos="5670"/>
        </w:tabs>
        <w:spacing w:line="288" w:lineRule="auto"/>
        <w:ind w:firstLine="420" w:firstLineChars="200"/>
        <w:rPr>
          <w:rFonts w:hAnsi="宋体" w:cs="宋体"/>
          <w:sz w:val="21"/>
          <w:szCs w:val="21"/>
        </w:rPr>
      </w:pPr>
      <w:r>
        <w:rPr>
          <w:rFonts w:hint="eastAsia" w:hAnsi="宋体" w:cs="宋体"/>
          <w:sz w:val="21"/>
          <w:szCs w:val="21"/>
        </w:rPr>
        <w:t>一、享受政府采购支持政策的残疾人福利性单位应当同时满足以下条件：</w:t>
      </w:r>
    </w:p>
    <w:p w14:paraId="179C30F3">
      <w:pPr>
        <w:tabs>
          <w:tab w:val="left" w:pos="5670"/>
        </w:tabs>
        <w:spacing w:line="288" w:lineRule="auto"/>
        <w:ind w:firstLine="566"/>
        <w:rPr>
          <w:rFonts w:hAnsi="宋体" w:cs="宋体"/>
          <w:sz w:val="21"/>
          <w:szCs w:val="21"/>
        </w:rPr>
      </w:pPr>
      <w:r>
        <w:rPr>
          <w:rFonts w:hint="eastAsia" w:hAnsi="宋体" w:cs="宋体"/>
          <w:sz w:val="21"/>
          <w:szCs w:val="21"/>
        </w:rPr>
        <w:t>（一）安置的残疾人占本单位在职职工人数的比例不低于25%（含25%），并且安置的残疾人人数不少于10人（含10人）；</w:t>
      </w:r>
    </w:p>
    <w:p w14:paraId="37597804">
      <w:pPr>
        <w:tabs>
          <w:tab w:val="left" w:pos="5670"/>
        </w:tabs>
        <w:spacing w:line="288" w:lineRule="auto"/>
        <w:ind w:firstLine="566"/>
        <w:rPr>
          <w:rFonts w:hAnsi="宋体" w:cs="宋体"/>
          <w:sz w:val="21"/>
          <w:szCs w:val="21"/>
        </w:rPr>
      </w:pPr>
      <w:r>
        <w:rPr>
          <w:rFonts w:hint="eastAsia" w:hAnsi="宋体" w:cs="宋体"/>
          <w:sz w:val="21"/>
          <w:szCs w:val="21"/>
        </w:rPr>
        <w:t>（二）依法与安置的每位残疾人签订了一年以上（含一年）的劳动合同或服务协议；</w:t>
      </w:r>
    </w:p>
    <w:p w14:paraId="56C01605">
      <w:pPr>
        <w:tabs>
          <w:tab w:val="left" w:pos="5670"/>
        </w:tabs>
        <w:spacing w:line="288" w:lineRule="auto"/>
        <w:ind w:firstLine="566"/>
        <w:rPr>
          <w:rFonts w:hAnsi="宋体" w:cs="宋体"/>
          <w:sz w:val="21"/>
          <w:szCs w:val="21"/>
        </w:rPr>
      </w:pPr>
      <w:r>
        <w:rPr>
          <w:rFonts w:hint="eastAsia" w:hAnsi="宋体" w:cs="宋体"/>
          <w:sz w:val="21"/>
          <w:szCs w:val="21"/>
        </w:rPr>
        <w:t>（三）为安置的每位残疾人按月足额缴纳了基本养老保险、基本医疗保险、失业保险、工伤保险和生育保险等社会保险费；</w:t>
      </w:r>
    </w:p>
    <w:p w14:paraId="740FDD0A">
      <w:pPr>
        <w:tabs>
          <w:tab w:val="left" w:pos="5670"/>
        </w:tabs>
        <w:spacing w:line="288" w:lineRule="auto"/>
        <w:ind w:firstLine="566"/>
        <w:rPr>
          <w:rFonts w:hAnsi="宋体" w:cs="宋体"/>
          <w:sz w:val="21"/>
          <w:szCs w:val="21"/>
        </w:rPr>
      </w:pPr>
      <w:r>
        <w:rPr>
          <w:rFonts w:hint="eastAsia" w:hAnsi="宋体" w:cs="宋体"/>
          <w:sz w:val="21"/>
          <w:szCs w:val="21"/>
        </w:rPr>
        <w:t>（四）通过银行等金融机构向安置的每位残疾人，按月支付了不低于单位所在区县适用的经省级人民政府批准的月最低工资标准的工资；</w:t>
      </w:r>
    </w:p>
    <w:p w14:paraId="439CD029">
      <w:pPr>
        <w:tabs>
          <w:tab w:val="left" w:pos="5670"/>
        </w:tabs>
        <w:spacing w:line="288" w:lineRule="auto"/>
        <w:ind w:firstLine="566"/>
        <w:rPr>
          <w:rFonts w:hAnsi="宋体" w:cs="宋体"/>
          <w:sz w:val="21"/>
          <w:szCs w:val="21"/>
        </w:rPr>
      </w:pPr>
      <w:r>
        <w:rPr>
          <w:rFonts w:hint="eastAsia" w:hAnsi="宋体" w:cs="宋体"/>
          <w:sz w:val="21"/>
          <w:szCs w:val="21"/>
        </w:rPr>
        <w:t>（五）提供本单位承担的服务（以下简称产品），或者提供其他残疾人福利性单位提供的服。</w:t>
      </w:r>
    </w:p>
    <w:p w14:paraId="7B73DC33">
      <w:pPr>
        <w:tabs>
          <w:tab w:val="left" w:pos="5670"/>
        </w:tabs>
        <w:spacing w:line="288" w:lineRule="auto"/>
        <w:ind w:firstLine="566"/>
        <w:rPr>
          <w:rFonts w:hAnsi="宋体" w:cs="宋体"/>
          <w:sz w:val="21"/>
          <w:szCs w:val="21"/>
        </w:rPr>
      </w:pPr>
      <w:r>
        <w:rPr>
          <w:rFonts w:hint="eastAsia" w:hAnsi="宋体" w:cs="宋体"/>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748257FC">
      <w:pPr>
        <w:tabs>
          <w:tab w:val="left" w:pos="5670"/>
        </w:tabs>
        <w:spacing w:line="288" w:lineRule="auto"/>
        <w:ind w:firstLine="420" w:firstLineChars="200"/>
        <w:rPr>
          <w:rFonts w:hAnsi="宋体" w:cs="宋体"/>
          <w:b/>
          <w:bCs/>
          <w:sz w:val="21"/>
          <w:szCs w:val="21"/>
        </w:rPr>
      </w:pPr>
      <w:r>
        <w:rPr>
          <w:rFonts w:hint="eastAsia" w:hAnsi="宋体" w:cs="宋体"/>
          <w:sz w:val="21"/>
          <w:szCs w:val="21"/>
        </w:rPr>
        <w:t>二、中标、成交投标人为残疾人福利性单位的，采购人或者其委托的采购代理机构应当随中标、成交结果同时公告其《残疾人福利性单位声明函》，接受社会监督。</w:t>
      </w:r>
      <w:bookmarkStart w:id="228" w:name="_Toc48834337"/>
      <w:r>
        <w:rPr>
          <w:rFonts w:hint="eastAsia" w:hAnsi="宋体" w:cs="宋体"/>
          <w:b/>
          <w:bCs/>
          <w:sz w:val="21"/>
          <w:szCs w:val="21"/>
        </w:rPr>
        <w:br w:type="page"/>
      </w:r>
    </w:p>
    <w:p w14:paraId="2F308C19">
      <w:pPr>
        <w:tabs>
          <w:tab w:val="left" w:pos="5670"/>
        </w:tabs>
        <w:spacing w:line="288" w:lineRule="auto"/>
        <w:ind w:firstLine="422" w:firstLineChars="200"/>
        <w:jc w:val="center"/>
        <w:rPr>
          <w:rFonts w:hAnsi="宋体" w:cs="宋体"/>
          <w:b/>
          <w:bCs/>
          <w:sz w:val="21"/>
          <w:szCs w:val="21"/>
        </w:rPr>
      </w:pPr>
    </w:p>
    <w:p w14:paraId="344DAE7E">
      <w:pPr>
        <w:tabs>
          <w:tab w:val="left" w:pos="5670"/>
        </w:tabs>
        <w:spacing w:line="288" w:lineRule="auto"/>
        <w:jc w:val="center"/>
        <w:rPr>
          <w:rFonts w:hAnsi="宋体" w:cs="宋体"/>
          <w:b/>
          <w:bCs/>
          <w:sz w:val="21"/>
          <w:szCs w:val="21"/>
        </w:rPr>
      </w:pPr>
      <w:r>
        <w:rPr>
          <w:rFonts w:hint="eastAsia" w:hAnsi="宋体" w:cs="宋体"/>
          <w:b/>
          <w:bCs/>
          <w:sz w:val="28"/>
          <w:szCs w:val="28"/>
        </w:rPr>
        <w:t>监狱企业证明函</w:t>
      </w:r>
      <w:bookmarkEnd w:id="228"/>
    </w:p>
    <w:p w14:paraId="2EC254D2">
      <w:pPr>
        <w:spacing w:line="288" w:lineRule="auto"/>
        <w:ind w:firstLine="420" w:firstLineChars="200"/>
        <w:rPr>
          <w:rFonts w:hAnsi="宋体" w:cs="宋体"/>
          <w:sz w:val="21"/>
          <w:szCs w:val="21"/>
        </w:rPr>
      </w:pPr>
    </w:p>
    <w:p w14:paraId="2D3B1E87">
      <w:pPr>
        <w:spacing w:line="288" w:lineRule="auto"/>
        <w:ind w:firstLine="480" w:firstLineChars="200"/>
        <w:rPr>
          <w:rFonts w:hAnsi="宋体" w:cs="宋体"/>
          <w:sz w:val="21"/>
          <w:szCs w:val="21"/>
        </w:rPr>
      </w:pPr>
      <w:r>
        <w:rPr>
          <w:rFonts w:hint="eastAsia" w:hAnsi="宋体" w:cs="宋体"/>
          <w:sz w:val="24"/>
          <w:szCs w:val="24"/>
        </w:rPr>
        <w:t>监狱企业参加政府采购活动，要求享受相关优惠政策的，应当提供由省级以上监狱管理局、戒毒管理局（含新疆生产建设兵团）出具的属于监狱企业的证明文件。</w:t>
      </w:r>
    </w:p>
    <w:p w14:paraId="75DF9F37">
      <w:pPr>
        <w:spacing w:line="288" w:lineRule="auto"/>
        <w:rPr>
          <w:rFonts w:hAnsi="宋体" w:cs="宋体"/>
          <w:sz w:val="21"/>
          <w:szCs w:val="21"/>
        </w:rPr>
      </w:pPr>
    </w:p>
    <w:p w14:paraId="163A1884">
      <w:pPr>
        <w:spacing w:line="288" w:lineRule="auto"/>
        <w:rPr>
          <w:rFonts w:hAnsi="宋体" w:cs="宋体"/>
          <w:b/>
          <w:bCs/>
          <w:sz w:val="21"/>
          <w:szCs w:val="21"/>
        </w:rPr>
      </w:pPr>
    </w:p>
    <w:p w14:paraId="6822BE0C">
      <w:pPr>
        <w:spacing w:line="288" w:lineRule="auto"/>
        <w:rPr>
          <w:rFonts w:hAnsi="宋体" w:cs="宋体"/>
          <w:b/>
          <w:bCs/>
          <w:sz w:val="21"/>
          <w:szCs w:val="21"/>
        </w:rPr>
      </w:pPr>
    </w:p>
    <w:p w14:paraId="45935F0D">
      <w:pPr>
        <w:spacing w:line="288" w:lineRule="auto"/>
        <w:rPr>
          <w:rFonts w:hAnsi="宋体" w:cs="宋体"/>
          <w:b/>
          <w:bCs/>
          <w:sz w:val="21"/>
          <w:szCs w:val="21"/>
        </w:rPr>
      </w:pPr>
    </w:p>
    <w:p w14:paraId="20CD5697">
      <w:pPr>
        <w:spacing w:line="288" w:lineRule="auto"/>
        <w:rPr>
          <w:rFonts w:hAnsi="宋体" w:cs="宋体"/>
          <w:b/>
          <w:bCs/>
          <w:sz w:val="21"/>
          <w:szCs w:val="21"/>
        </w:rPr>
      </w:pPr>
    </w:p>
    <w:p w14:paraId="1FCC88E1">
      <w:pPr>
        <w:spacing w:line="288" w:lineRule="auto"/>
        <w:rPr>
          <w:rFonts w:hAnsi="宋体" w:cs="宋体"/>
          <w:b/>
          <w:bCs/>
          <w:sz w:val="21"/>
          <w:szCs w:val="21"/>
        </w:rPr>
      </w:pPr>
    </w:p>
    <w:p w14:paraId="609784DC">
      <w:pPr>
        <w:spacing w:line="288" w:lineRule="auto"/>
        <w:rPr>
          <w:rFonts w:hAnsi="宋体" w:cs="宋体"/>
          <w:b/>
          <w:bCs/>
          <w:sz w:val="21"/>
          <w:szCs w:val="21"/>
        </w:rPr>
      </w:pPr>
    </w:p>
    <w:p w14:paraId="6F13B436">
      <w:pPr>
        <w:spacing w:line="288" w:lineRule="auto"/>
        <w:rPr>
          <w:rFonts w:hAnsi="宋体" w:cs="宋体"/>
          <w:b/>
          <w:bCs/>
          <w:sz w:val="21"/>
          <w:szCs w:val="21"/>
        </w:rPr>
      </w:pPr>
    </w:p>
    <w:p w14:paraId="1C5EF4AA">
      <w:pPr>
        <w:spacing w:line="288" w:lineRule="auto"/>
        <w:rPr>
          <w:rFonts w:hAnsi="宋体" w:cs="宋体"/>
          <w:b/>
          <w:bCs/>
          <w:sz w:val="21"/>
          <w:szCs w:val="21"/>
        </w:rPr>
      </w:pPr>
    </w:p>
    <w:p w14:paraId="01E39A0C">
      <w:pPr>
        <w:spacing w:line="288" w:lineRule="auto"/>
        <w:rPr>
          <w:rFonts w:hAnsi="宋体" w:cs="宋体"/>
          <w:b/>
          <w:bCs/>
          <w:sz w:val="21"/>
          <w:szCs w:val="21"/>
        </w:rPr>
      </w:pPr>
    </w:p>
    <w:p w14:paraId="1AA9167D">
      <w:pPr>
        <w:spacing w:line="288" w:lineRule="auto"/>
        <w:rPr>
          <w:rFonts w:hAnsi="宋体" w:cs="宋体"/>
          <w:b/>
          <w:bCs/>
          <w:sz w:val="21"/>
          <w:szCs w:val="21"/>
        </w:rPr>
      </w:pPr>
    </w:p>
    <w:p w14:paraId="23F289D2">
      <w:pPr>
        <w:spacing w:line="288" w:lineRule="auto"/>
        <w:rPr>
          <w:rFonts w:hAnsi="宋体" w:cs="宋体"/>
          <w:b/>
          <w:bCs/>
          <w:sz w:val="21"/>
          <w:szCs w:val="21"/>
        </w:rPr>
      </w:pPr>
    </w:p>
    <w:p w14:paraId="6296DC05">
      <w:pPr>
        <w:spacing w:line="288" w:lineRule="auto"/>
        <w:rPr>
          <w:rFonts w:hAnsi="宋体" w:cs="宋体"/>
          <w:b/>
          <w:bCs/>
          <w:sz w:val="21"/>
          <w:szCs w:val="21"/>
        </w:rPr>
      </w:pPr>
    </w:p>
    <w:p w14:paraId="52381C5C">
      <w:pPr>
        <w:spacing w:line="288" w:lineRule="auto"/>
        <w:rPr>
          <w:rFonts w:hAnsi="宋体" w:cs="宋体"/>
          <w:b/>
          <w:bCs/>
          <w:sz w:val="21"/>
          <w:szCs w:val="21"/>
        </w:rPr>
      </w:pPr>
    </w:p>
    <w:p w14:paraId="17EAFE4B">
      <w:pPr>
        <w:spacing w:line="288" w:lineRule="auto"/>
        <w:rPr>
          <w:rFonts w:hAnsi="宋体" w:cs="宋体"/>
          <w:b/>
          <w:bCs/>
          <w:sz w:val="21"/>
          <w:szCs w:val="21"/>
        </w:rPr>
      </w:pPr>
    </w:p>
    <w:p w14:paraId="3B98D39D">
      <w:pPr>
        <w:spacing w:line="288" w:lineRule="auto"/>
        <w:rPr>
          <w:rFonts w:hAnsi="宋体" w:cs="宋体"/>
          <w:b/>
          <w:bCs/>
          <w:sz w:val="21"/>
          <w:szCs w:val="21"/>
        </w:rPr>
      </w:pPr>
    </w:p>
    <w:p w14:paraId="1C003D7A">
      <w:pPr>
        <w:spacing w:line="288" w:lineRule="auto"/>
        <w:rPr>
          <w:rFonts w:hAnsi="宋体" w:cs="宋体"/>
          <w:b/>
          <w:bCs/>
          <w:sz w:val="21"/>
          <w:szCs w:val="21"/>
        </w:rPr>
      </w:pPr>
    </w:p>
    <w:p w14:paraId="214C2CEB">
      <w:pPr>
        <w:spacing w:line="288" w:lineRule="auto"/>
        <w:rPr>
          <w:rFonts w:hAnsi="宋体" w:cs="宋体"/>
          <w:b/>
          <w:bCs/>
          <w:sz w:val="21"/>
          <w:szCs w:val="21"/>
        </w:rPr>
      </w:pPr>
    </w:p>
    <w:p w14:paraId="0721AED8">
      <w:pPr>
        <w:spacing w:line="288" w:lineRule="auto"/>
        <w:rPr>
          <w:rFonts w:hAnsi="宋体" w:cs="宋体"/>
          <w:b/>
          <w:bCs/>
          <w:sz w:val="21"/>
          <w:szCs w:val="21"/>
        </w:rPr>
      </w:pPr>
    </w:p>
    <w:p w14:paraId="75208427">
      <w:pPr>
        <w:spacing w:line="288" w:lineRule="auto"/>
        <w:rPr>
          <w:rFonts w:hAnsi="宋体" w:cs="宋体"/>
          <w:b/>
          <w:bCs/>
          <w:sz w:val="21"/>
          <w:szCs w:val="21"/>
        </w:rPr>
      </w:pPr>
    </w:p>
    <w:p w14:paraId="47B0982C">
      <w:pPr>
        <w:spacing w:line="288" w:lineRule="auto"/>
        <w:rPr>
          <w:rFonts w:hAnsi="宋体" w:cs="宋体"/>
          <w:sz w:val="21"/>
          <w:szCs w:val="21"/>
        </w:rPr>
      </w:pPr>
      <w:r>
        <w:rPr>
          <w:rFonts w:hint="eastAsia" w:hAnsi="宋体" w:cs="宋体"/>
          <w:b/>
          <w:bCs/>
          <w:sz w:val="24"/>
          <w:szCs w:val="24"/>
        </w:rPr>
        <w:t>注：</w:t>
      </w:r>
      <w:r>
        <w:rPr>
          <w:rFonts w:hint="eastAsia" w:hAnsi="宋体" w:cs="宋体"/>
          <w:sz w:val="24"/>
          <w:szCs w:val="24"/>
        </w:rPr>
        <w:t>财政部 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r>
        <w:rPr>
          <w:rFonts w:hint="eastAsia" w:hAnsi="宋体" w:cs="宋体"/>
          <w:sz w:val="21"/>
          <w:szCs w:val="21"/>
        </w:rPr>
        <w:br w:type="page"/>
      </w:r>
    </w:p>
    <w:p w14:paraId="059DE53B">
      <w:pPr>
        <w:jc w:val="center"/>
        <w:outlineLvl w:val="1"/>
        <w:rPr>
          <w:b/>
          <w:bCs/>
          <w:sz w:val="21"/>
          <w:szCs w:val="16"/>
        </w:rPr>
      </w:pPr>
      <w:r>
        <w:rPr>
          <w:rFonts w:hint="eastAsia"/>
          <w:b/>
          <w:bCs/>
          <w:sz w:val="32"/>
          <w:szCs w:val="32"/>
        </w:rPr>
        <w:t>第五部分 投标人参加政府采购活动承诺书</w:t>
      </w:r>
    </w:p>
    <w:p w14:paraId="7006CD48">
      <w:pPr>
        <w:spacing w:line="288" w:lineRule="auto"/>
        <w:rPr>
          <w:rFonts w:hAnsi="宋体" w:cs="宋体"/>
          <w:b/>
          <w:sz w:val="21"/>
          <w:szCs w:val="21"/>
        </w:rPr>
      </w:pPr>
    </w:p>
    <w:p w14:paraId="7087FEEC">
      <w:pPr>
        <w:spacing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未签署下列承诺书的，其责任由供应商自行承担。</w:t>
      </w:r>
    </w:p>
    <w:p w14:paraId="45C1BACF">
      <w:pPr>
        <w:spacing w:before="190" w:beforeLines="50" w:line="500" w:lineRule="exact"/>
        <w:rPr>
          <w:rFonts w:hint="eastAsia" w:ascii="宋体" w:hAnsi="宋体" w:eastAsia="宋体" w:cs="宋体"/>
          <w:b/>
          <w:sz w:val="24"/>
          <w:szCs w:val="24"/>
        </w:rPr>
      </w:pPr>
      <w:r>
        <w:rPr>
          <w:rFonts w:hint="eastAsia" w:ascii="宋体" w:hAnsi="宋体" w:cs="宋体"/>
          <w:b/>
          <w:sz w:val="28"/>
          <w:szCs w:val="28"/>
          <w:lang w:val="en-US" w:eastAsia="zh-CN"/>
        </w:rPr>
        <w:t>一</w:t>
      </w:r>
      <w:r>
        <w:rPr>
          <w:rFonts w:hint="eastAsia" w:ascii="宋体" w:hAnsi="宋体" w:eastAsia="宋体" w:cs="宋体"/>
          <w:b/>
          <w:sz w:val="28"/>
          <w:szCs w:val="28"/>
        </w:rPr>
        <w:t>、拒绝政府采购领域商业贿赂承诺书</w:t>
      </w:r>
    </w:p>
    <w:p w14:paraId="4FD3267A">
      <w:pPr>
        <w:overflowPunct w:val="0"/>
        <w:topLinePunct/>
        <w:spacing w:line="4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（执行陕财办采管[2006]21号文件）</w:t>
      </w:r>
    </w:p>
    <w:p w14:paraId="4A3F6AC3">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6732C0F1">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6964CE4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43D16865">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3、不向政府采购代理机构和采购人提供虚假资质文件或采用虚假应标方式参与政府采购市场竞争并谋取中标、成交。</w:t>
      </w:r>
    </w:p>
    <w:p w14:paraId="39CA112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4、不采取“围标、陪标”等商业欺诈手段获得政府采购定单。</w:t>
      </w:r>
    </w:p>
    <w:p w14:paraId="59A981F0">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52E5E48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69958A31">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69D97281">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1D88E7E4">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3A6AB62B">
      <w:pPr>
        <w:spacing w:line="500" w:lineRule="exact"/>
        <w:ind w:firstLine="480" w:firstLineChars="200"/>
        <w:rPr>
          <w:rFonts w:hint="eastAsia" w:ascii="宋体" w:hAnsi="宋体" w:eastAsia="宋体" w:cs="宋体"/>
          <w:sz w:val="24"/>
          <w:szCs w:val="24"/>
        </w:rPr>
      </w:pPr>
    </w:p>
    <w:p w14:paraId="47163DE7">
      <w:pPr>
        <w:spacing w:line="500" w:lineRule="exact"/>
        <w:rPr>
          <w:rFonts w:hint="eastAsia" w:ascii="宋体" w:hAnsi="宋体" w:eastAsia="宋体" w:cs="宋体"/>
          <w:sz w:val="24"/>
          <w:szCs w:val="24"/>
        </w:rPr>
      </w:pPr>
    </w:p>
    <w:p w14:paraId="66CFB681">
      <w:pPr>
        <w:spacing w:line="500" w:lineRule="exact"/>
        <w:ind w:firstLine="3960" w:firstLineChars="1800"/>
        <w:rPr>
          <w:rFonts w:hint="eastAsia" w:ascii="宋体" w:hAnsi="宋体" w:eastAsia="宋体" w:cs="宋体"/>
          <w:sz w:val="24"/>
          <w:szCs w:val="24"/>
        </w:rPr>
      </w:pPr>
      <w:r>
        <w:rPr>
          <w:rFonts w:hint="eastAsia" w:ascii="宋体" w:hAnsi="宋体" w:eastAsia="宋体" w:cs="宋体"/>
          <w:spacing w:val="-10"/>
          <w:sz w:val="24"/>
          <w:szCs w:val="24"/>
          <w:u w:val="single"/>
        </w:rPr>
        <w:t xml:space="preserve"> </w:t>
      </w:r>
      <w:r>
        <w:rPr>
          <w:rFonts w:hint="eastAsia" w:hAnsi="宋体" w:cs="宋体"/>
          <w:spacing w:val="-10"/>
          <w:sz w:val="24"/>
          <w:szCs w:val="24"/>
          <w:u w:val="single"/>
          <w:lang w:val="en-US" w:eastAsia="zh-CN"/>
        </w:rPr>
        <w:t>投标人</w:t>
      </w:r>
      <w:r>
        <w:rPr>
          <w:rFonts w:hint="eastAsia" w:ascii="宋体" w:hAnsi="宋体" w:eastAsia="宋体" w:cs="宋体"/>
          <w:spacing w:val="-10"/>
          <w:sz w:val="24"/>
          <w:szCs w:val="24"/>
          <w:u w:val="single"/>
        </w:rPr>
        <w:t>名称</w:t>
      </w:r>
      <w:r>
        <w:rPr>
          <w:rFonts w:hint="eastAsia" w:hAnsi="宋体" w:cs="宋体"/>
          <w:spacing w:val="-10"/>
          <w:sz w:val="24"/>
          <w:szCs w:val="24"/>
          <w:u w:val="single"/>
          <w:lang w:val="en-US" w:eastAsia="zh-CN"/>
        </w:rPr>
        <w:t xml:space="preserve"> </w:t>
      </w:r>
      <w:r>
        <w:rPr>
          <w:rFonts w:hint="eastAsia" w:ascii="宋体" w:hAnsi="宋体" w:eastAsia="宋体" w:cs="宋体"/>
          <w:sz w:val="24"/>
          <w:szCs w:val="24"/>
        </w:rPr>
        <w:t>（加盖公章）</w:t>
      </w:r>
    </w:p>
    <w:p w14:paraId="0BD92780">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hAnsi="宋体" w:cs="宋体"/>
          <w:sz w:val="24"/>
          <w:szCs w:val="24"/>
          <w:lang w:val="en-US" w:eastAsia="zh-CN"/>
        </w:rPr>
        <w:t xml:space="preserve">                              </w:t>
      </w:r>
      <w:r>
        <w:rPr>
          <w:rFonts w:hint="eastAsia" w:ascii="宋体" w:hAnsi="宋体" w:eastAsia="宋体" w:cs="宋体"/>
          <w:sz w:val="24"/>
          <w:szCs w:val="24"/>
        </w:rPr>
        <w:t>年　月　日</w:t>
      </w:r>
    </w:p>
    <w:p w14:paraId="06F7DD05">
      <w:pPr>
        <w:rPr>
          <w:rFonts w:hAnsi="宋体" w:cs="宋体"/>
          <w:b/>
          <w:sz w:val="21"/>
          <w:szCs w:val="21"/>
        </w:rPr>
      </w:pPr>
    </w:p>
    <w:p w14:paraId="5A2B3617">
      <w:pPr>
        <w:rPr>
          <w:rFonts w:hAnsi="宋体" w:cs="宋体"/>
          <w:b/>
          <w:sz w:val="21"/>
          <w:szCs w:val="21"/>
        </w:rPr>
      </w:pPr>
    </w:p>
    <w:p w14:paraId="3CBFC09B">
      <w:pPr>
        <w:rPr>
          <w:rFonts w:hint="eastAsia" w:hAnsi="宋体" w:cs="宋体"/>
          <w:b/>
          <w:sz w:val="28"/>
          <w:szCs w:val="28"/>
        </w:rPr>
        <w:sectPr>
          <w:pgSz w:w="11906" w:h="16838"/>
          <w:pgMar w:top="1417" w:right="1417" w:bottom="1417" w:left="1417" w:header="850" w:footer="850" w:gutter="0"/>
          <w:pgNumType w:fmt="numberInDash"/>
          <w:cols w:space="425" w:num="1"/>
          <w:docGrid w:type="lines" w:linePitch="326" w:charSpace="0"/>
        </w:sectPr>
      </w:pPr>
    </w:p>
    <w:p w14:paraId="68D74C64">
      <w:pPr>
        <w:jc w:val="center"/>
        <w:outlineLvl w:val="9"/>
        <w:rPr>
          <w:rFonts w:hint="eastAsia" w:ascii="宋体" w:hAnsi="宋体" w:eastAsia="宋体" w:cs="宋体"/>
          <w:color w:val="000000"/>
        </w:rPr>
      </w:pPr>
      <w:r>
        <w:rPr>
          <w:rFonts w:hint="eastAsia" w:ascii="宋体" w:hAnsi="宋体" w:eastAsia="宋体" w:cs="宋体"/>
          <w:b/>
          <w:bCs/>
          <w:color w:val="000000"/>
          <w:sz w:val="28"/>
          <w:szCs w:val="28"/>
        </w:rPr>
        <w:t>承诺书Ⅱ</w:t>
      </w:r>
    </w:p>
    <w:tbl>
      <w:tblPr>
        <w:tblStyle w:val="21"/>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2"/>
        <w:gridCol w:w="3165"/>
        <w:gridCol w:w="2883"/>
      </w:tblGrid>
      <w:tr w14:paraId="6ABAD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CDC9AA9">
            <w:pPr>
              <w:spacing w:line="360" w:lineRule="atLeast"/>
              <w:rPr>
                <w:rFonts w:hint="eastAsia" w:ascii="宋体" w:hAnsi="宋体" w:eastAsia="宋体" w:cs="宋体"/>
                <w:color w:val="000000"/>
                <w:sz w:val="24"/>
                <w:lang w:eastAsia="zh-CN"/>
              </w:rPr>
            </w:pPr>
            <w:r>
              <w:rPr>
                <w:rFonts w:hint="eastAsia" w:ascii="宋体" w:hAnsi="宋体" w:eastAsia="宋体" w:cs="宋体"/>
                <w:color w:val="000000"/>
                <w:sz w:val="24"/>
              </w:rPr>
              <w:t>致：</w:t>
            </w:r>
            <w:r>
              <w:rPr>
                <w:rFonts w:hint="eastAsia" w:hAnsi="宋体" w:cs="宋体"/>
                <w:color w:val="000000"/>
                <w:sz w:val="24"/>
                <w:lang w:eastAsia="zh-CN"/>
              </w:rPr>
              <w:t>榆林市恒博</w:t>
            </w:r>
            <w:r>
              <w:rPr>
                <w:rFonts w:hint="eastAsia" w:hAnsi="宋体" w:cs="宋体"/>
                <w:color w:val="000000"/>
                <w:sz w:val="24"/>
                <w:lang w:val="en-US" w:eastAsia="zh-CN"/>
              </w:rPr>
              <w:t>工程</w:t>
            </w:r>
            <w:r>
              <w:rPr>
                <w:rFonts w:hint="eastAsia" w:hAnsi="宋体" w:cs="宋体"/>
                <w:color w:val="000000"/>
                <w:sz w:val="24"/>
                <w:lang w:eastAsia="zh-CN"/>
              </w:rPr>
              <w:t>咨询有限公司</w:t>
            </w:r>
          </w:p>
        </w:tc>
      </w:tr>
      <w:tr w14:paraId="4BCB0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B4059E6">
            <w:pPr>
              <w:spacing w:line="360" w:lineRule="atLeast"/>
              <w:ind w:firstLine="480" w:firstLineChars="200"/>
              <w:rPr>
                <w:rFonts w:hint="eastAsia" w:ascii="宋体" w:hAnsi="宋体" w:eastAsia="宋体" w:cs="宋体"/>
                <w:color w:val="000000"/>
                <w:sz w:val="24"/>
              </w:rPr>
            </w:pPr>
            <w:r>
              <w:rPr>
                <w:rFonts w:hint="eastAsia" w:ascii="宋体" w:hAnsi="宋体" w:eastAsia="宋体" w:cs="宋体"/>
                <w:color w:val="000000"/>
                <w:sz w:val="24"/>
              </w:rPr>
              <w:t>作为参加贵公司组织的招标项目的</w:t>
            </w:r>
            <w:r>
              <w:rPr>
                <w:rFonts w:hint="eastAsia" w:hAnsi="宋体" w:cs="宋体"/>
                <w:color w:val="000000"/>
                <w:sz w:val="24"/>
                <w:lang w:val="en-US" w:eastAsia="zh-CN"/>
              </w:rPr>
              <w:t>投标人</w:t>
            </w:r>
            <w:r>
              <w:rPr>
                <w:rFonts w:hint="eastAsia" w:ascii="宋体" w:hAnsi="宋体" w:eastAsia="宋体" w:cs="宋体"/>
                <w:color w:val="000000"/>
                <w:sz w:val="24"/>
              </w:rPr>
              <w:t>，本公司承诺：在参加本项目招标之前不存在被</w:t>
            </w:r>
            <w:r>
              <w:rPr>
                <w:rFonts w:hint="eastAsia" w:hAnsi="宋体" w:cs="宋体"/>
                <w:color w:val="000000"/>
                <w:sz w:val="24"/>
                <w:lang w:val="en-US" w:eastAsia="zh-CN"/>
              </w:rPr>
              <w:t>财政部门记录处罚期内、</w:t>
            </w:r>
            <w:r>
              <w:rPr>
                <w:rFonts w:hint="eastAsia" w:ascii="宋体" w:hAnsi="宋体" w:eastAsia="宋体" w:cs="宋体"/>
                <w:color w:val="000000"/>
                <w:sz w:val="24"/>
              </w:rPr>
              <w:t>依法禁止经营行为、财产被接管或冻结的情况，如有隐瞒实情，愿承担一切责任及后果。</w:t>
            </w:r>
          </w:p>
        </w:tc>
      </w:tr>
      <w:tr w14:paraId="0B8BD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952" w:type="dxa"/>
            <w:noWrap w:val="0"/>
            <w:vAlign w:val="center"/>
          </w:tcPr>
          <w:p w14:paraId="667038A2">
            <w:pPr>
              <w:spacing w:line="360" w:lineRule="atLeast"/>
              <w:jc w:val="center"/>
              <w:rPr>
                <w:rFonts w:hint="eastAsia" w:ascii="宋体" w:hAnsi="宋体" w:eastAsia="宋体" w:cs="宋体"/>
                <w:color w:val="000000"/>
                <w:sz w:val="24"/>
                <w:lang w:eastAsia="zh-CN"/>
              </w:rPr>
            </w:pPr>
            <w:r>
              <w:rPr>
                <w:rFonts w:hint="eastAsia" w:hAnsi="宋体" w:cs="宋体"/>
                <w:color w:val="000000"/>
                <w:sz w:val="24"/>
                <w:lang w:val="en-US" w:eastAsia="zh-CN"/>
              </w:rPr>
              <w:t>投标人</w:t>
            </w:r>
          </w:p>
        </w:tc>
        <w:tc>
          <w:tcPr>
            <w:tcW w:w="3165" w:type="dxa"/>
            <w:noWrap w:val="0"/>
            <w:vAlign w:val="center"/>
          </w:tcPr>
          <w:p w14:paraId="2FFAB5E1">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法定代表人/单位负责人</w:t>
            </w:r>
          </w:p>
        </w:tc>
        <w:tc>
          <w:tcPr>
            <w:tcW w:w="2883" w:type="dxa"/>
            <w:noWrap w:val="0"/>
            <w:vAlign w:val="center"/>
          </w:tcPr>
          <w:p w14:paraId="1CA8BCE8">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日  期</w:t>
            </w:r>
          </w:p>
        </w:tc>
      </w:tr>
      <w:tr w14:paraId="0011A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8" w:hRule="atLeast"/>
          <w:jc w:val="center"/>
        </w:trPr>
        <w:tc>
          <w:tcPr>
            <w:tcW w:w="2952" w:type="dxa"/>
            <w:noWrap w:val="0"/>
            <w:vAlign w:val="center"/>
          </w:tcPr>
          <w:p w14:paraId="6DEE4BA5">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（公章）</w:t>
            </w:r>
          </w:p>
        </w:tc>
        <w:tc>
          <w:tcPr>
            <w:tcW w:w="3165" w:type="dxa"/>
            <w:noWrap w:val="0"/>
            <w:vAlign w:val="center"/>
          </w:tcPr>
          <w:p w14:paraId="0AEA53CC">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（签章）</w:t>
            </w:r>
          </w:p>
        </w:tc>
        <w:tc>
          <w:tcPr>
            <w:tcW w:w="2883" w:type="dxa"/>
            <w:noWrap w:val="0"/>
            <w:vAlign w:val="center"/>
          </w:tcPr>
          <w:p w14:paraId="46789C00">
            <w:pPr>
              <w:spacing w:line="360" w:lineRule="atLeast"/>
              <w:ind w:firstLine="240" w:firstLineChars="100"/>
              <w:jc w:val="center"/>
              <w:rPr>
                <w:rFonts w:hint="eastAsia" w:ascii="宋体" w:hAnsi="宋体" w:eastAsia="宋体" w:cs="宋体"/>
                <w:color w:val="000000"/>
                <w:sz w:val="24"/>
              </w:rPr>
            </w:pPr>
            <w:r>
              <w:rPr>
                <w:rFonts w:hint="eastAsia" w:ascii="宋体" w:hAnsi="宋体" w:eastAsia="宋体" w:cs="宋体"/>
                <w:color w:val="000000"/>
                <w:sz w:val="24"/>
              </w:rPr>
              <w:t>年  月  日</w:t>
            </w:r>
          </w:p>
        </w:tc>
      </w:tr>
    </w:tbl>
    <w:p w14:paraId="33A80132">
      <w:pPr>
        <w:spacing w:line="360" w:lineRule="atLeast"/>
        <w:rPr>
          <w:rFonts w:hint="eastAsia" w:ascii="宋体" w:hAnsi="宋体" w:eastAsia="宋体" w:cs="宋体"/>
          <w:b/>
          <w:color w:val="000000"/>
          <w:sz w:val="42"/>
          <w:szCs w:val="42"/>
        </w:rPr>
      </w:pPr>
    </w:p>
    <w:p w14:paraId="2C0BD042">
      <w:pPr>
        <w:jc w:val="center"/>
        <w:outlineLvl w:val="9"/>
        <w:rPr>
          <w:rFonts w:hint="eastAsia" w:ascii="宋体" w:hAnsi="宋体" w:eastAsia="宋体" w:cs="宋体"/>
          <w:b/>
          <w:bCs/>
          <w:color w:val="000000"/>
          <w:sz w:val="28"/>
          <w:szCs w:val="28"/>
        </w:rPr>
      </w:pPr>
      <w:bookmarkStart w:id="229" w:name="_Toc6090"/>
      <w:bookmarkStart w:id="230" w:name="_Toc24982"/>
      <w:bookmarkStart w:id="231" w:name="_Toc4927"/>
      <w:bookmarkStart w:id="232" w:name="_Toc21455"/>
      <w:bookmarkStart w:id="233" w:name="_Toc3875"/>
      <w:bookmarkStart w:id="234" w:name="_Toc15946"/>
      <w:bookmarkStart w:id="235" w:name="_Toc19942"/>
      <w:r>
        <w:rPr>
          <w:rFonts w:hint="eastAsia" w:ascii="宋体" w:hAnsi="宋体" w:eastAsia="宋体" w:cs="宋体"/>
          <w:b/>
          <w:bCs/>
          <w:color w:val="000000"/>
          <w:sz w:val="28"/>
          <w:szCs w:val="28"/>
        </w:rPr>
        <w:t>承诺书Ⅲ</w:t>
      </w:r>
      <w:bookmarkEnd w:id="229"/>
      <w:bookmarkEnd w:id="230"/>
      <w:bookmarkEnd w:id="231"/>
      <w:bookmarkEnd w:id="232"/>
      <w:bookmarkEnd w:id="233"/>
      <w:bookmarkEnd w:id="234"/>
      <w:bookmarkEnd w:id="235"/>
    </w:p>
    <w:tbl>
      <w:tblPr>
        <w:tblStyle w:val="21"/>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7"/>
        <w:gridCol w:w="3120"/>
        <w:gridCol w:w="2913"/>
      </w:tblGrid>
      <w:tr w14:paraId="087AB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32FC160">
            <w:pPr>
              <w:spacing w:line="360" w:lineRule="atLeast"/>
              <w:rPr>
                <w:rFonts w:hint="eastAsia" w:ascii="宋体" w:hAnsi="宋体" w:eastAsia="宋体" w:cs="宋体"/>
                <w:color w:val="000000"/>
                <w:sz w:val="24"/>
                <w:lang w:eastAsia="zh-CN"/>
              </w:rPr>
            </w:pPr>
            <w:r>
              <w:rPr>
                <w:rFonts w:hint="eastAsia" w:ascii="宋体" w:hAnsi="宋体" w:eastAsia="宋体" w:cs="宋体"/>
                <w:color w:val="000000"/>
                <w:sz w:val="24"/>
              </w:rPr>
              <w:t>致：</w:t>
            </w:r>
            <w:r>
              <w:rPr>
                <w:rFonts w:hint="eastAsia" w:hAnsi="宋体" w:cs="宋体"/>
                <w:color w:val="000000"/>
                <w:sz w:val="24"/>
                <w:lang w:eastAsia="zh-CN"/>
              </w:rPr>
              <w:t>榆林市恒博</w:t>
            </w:r>
            <w:r>
              <w:rPr>
                <w:rFonts w:hint="eastAsia" w:hAnsi="宋体" w:cs="宋体"/>
                <w:color w:val="000000"/>
                <w:sz w:val="24"/>
                <w:lang w:val="en-US" w:eastAsia="zh-CN"/>
              </w:rPr>
              <w:t>工程</w:t>
            </w:r>
            <w:r>
              <w:rPr>
                <w:rFonts w:hint="eastAsia" w:hAnsi="宋体" w:cs="宋体"/>
                <w:color w:val="000000"/>
                <w:sz w:val="24"/>
                <w:lang w:eastAsia="zh-CN"/>
              </w:rPr>
              <w:t>咨询有限公司</w:t>
            </w:r>
          </w:p>
        </w:tc>
      </w:tr>
      <w:tr w14:paraId="0A81E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12BEE43">
            <w:pPr>
              <w:spacing w:line="360" w:lineRule="atLeast"/>
              <w:ind w:firstLine="480" w:firstLineChars="200"/>
              <w:rPr>
                <w:rFonts w:hint="eastAsia" w:ascii="宋体" w:hAnsi="宋体" w:eastAsia="宋体" w:cs="宋体"/>
                <w:color w:val="000000"/>
                <w:sz w:val="24"/>
              </w:rPr>
            </w:pPr>
            <w:r>
              <w:rPr>
                <w:rFonts w:hint="eastAsia" w:ascii="宋体" w:hAnsi="宋体" w:eastAsia="宋体" w:cs="宋体"/>
                <w:color w:val="000000"/>
                <w:sz w:val="24"/>
              </w:rPr>
              <w:t>作为参加贵公司组织的招标项目的供应商，本公司郑重申告并承诺：近三年受到有关行政主管部门的行政处理、不良行为记录为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次（没有填零），如有隐瞒实情，愿承担一切责任及后果。</w:t>
            </w:r>
          </w:p>
        </w:tc>
      </w:tr>
      <w:tr w14:paraId="5E03A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2967" w:type="dxa"/>
            <w:noWrap w:val="0"/>
            <w:vAlign w:val="center"/>
          </w:tcPr>
          <w:p w14:paraId="7B246AEA">
            <w:pPr>
              <w:spacing w:line="360" w:lineRule="atLeast"/>
              <w:jc w:val="center"/>
              <w:rPr>
                <w:rFonts w:hint="eastAsia" w:ascii="宋体" w:hAnsi="宋体" w:eastAsia="宋体" w:cs="宋体"/>
                <w:color w:val="000000"/>
                <w:sz w:val="24"/>
              </w:rPr>
            </w:pPr>
            <w:r>
              <w:rPr>
                <w:rFonts w:hint="eastAsia" w:hAnsi="宋体" w:cs="宋体"/>
                <w:color w:val="000000"/>
                <w:sz w:val="24"/>
                <w:lang w:val="en-US" w:eastAsia="zh-CN"/>
              </w:rPr>
              <w:t>投标人</w:t>
            </w:r>
          </w:p>
        </w:tc>
        <w:tc>
          <w:tcPr>
            <w:tcW w:w="3120" w:type="dxa"/>
            <w:noWrap w:val="0"/>
            <w:vAlign w:val="center"/>
          </w:tcPr>
          <w:p w14:paraId="7F6C9735">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法定代表人/单位负责人</w:t>
            </w:r>
          </w:p>
        </w:tc>
        <w:tc>
          <w:tcPr>
            <w:tcW w:w="2913" w:type="dxa"/>
            <w:noWrap w:val="0"/>
            <w:vAlign w:val="center"/>
          </w:tcPr>
          <w:p w14:paraId="01691313">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日  期</w:t>
            </w:r>
          </w:p>
        </w:tc>
      </w:tr>
      <w:tr w14:paraId="14C8D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5" w:hRule="atLeast"/>
          <w:jc w:val="center"/>
        </w:trPr>
        <w:tc>
          <w:tcPr>
            <w:tcW w:w="2967" w:type="dxa"/>
            <w:noWrap w:val="0"/>
            <w:vAlign w:val="center"/>
          </w:tcPr>
          <w:p w14:paraId="3F70720D">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（公章）</w:t>
            </w:r>
          </w:p>
        </w:tc>
        <w:tc>
          <w:tcPr>
            <w:tcW w:w="3120" w:type="dxa"/>
            <w:noWrap w:val="0"/>
            <w:vAlign w:val="center"/>
          </w:tcPr>
          <w:p w14:paraId="3FB7491E">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（签章）</w:t>
            </w:r>
          </w:p>
        </w:tc>
        <w:tc>
          <w:tcPr>
            <w:tcW w:w="2913" w:type="dxa"/>
            <w:noWrap w:val="0"/>
            <w:vAlign w:val="center"/>
          </w:tcPr>
          <w:p w14:paraId="599D56BC">
            <w:pPr>
              <w:spacing w:line="360" w:lineRule="atLeast"/>
              <w:ind w:firstLine="240" w:firstLineChars="100"/>
              <w:jc w:val="center"/>
              <w:rPr>
                <w:rFonts w:hint="eastAsia" w:ascii="宋体" w:hAnsi="宋体" w:eastAsia="宋体" w:cs="宋体"/>
                <w:color w:val="000000"/>
                <w:sz w:val="24"/>
              </w:rPr>
            </w:pPr>
            <w:r>
              <w:rPr>
                <w:rFonts w:hint="eastAsia" w:ascii="宋体" w:hAnsi="宋体" w:eastAsia="宋体" w:cs="宋体"/>
                <w:color w:val="000000"/>
                <w:sz w:val="24"/>
              </w:rPr>
              <w:t>年  月  日</w:t>
            </w:r>
          </w:p>
        </w:tc>
      </w:tr>
    </w:tbl>
    <w:p w14:paraId="7F761BF5">
      <w:pPr>
        <w:pStyle w:val="58"/>
        <w:rPr>
          <w:rFonts w:hint="eastAsia"/>
        </w:rPr>
      </w:pPr>
    </w:p>
    <w:p w14:paraId="06647AB2">
      <w:pPr>
        <w:spacing w:before="0" w:after="0" w:line="360" w:lineRule="auto"/>
        <w:jc w:val="center"/>
        <w:outlineLvl w:val="9"/>
        <w:rPr>
          <w:rStyle w:val="59"/>
          <w:rFonts w:hint="eastAsia" w:ascii="宋体" w:hAnsi="宋体" w:eastAsia="宋体" w:cs="宋体"/>
          <w:b/>
          <w:color w:val="000000"/>
        </w:rPr>
      </w:pPr>
      <w:bookmarkStart w:id="236" w:name="_Toc12023"/>
      <w:bookmarkStart w:id="237" w:name="_Toc8436"/>
      <w:bookmarkStart w:id="238" w:name="_Toc2811"/>
      <w:bookmarkStart w:id="239" w:name="_Toc11148"/>
      <w:bookmarkStart w:id="240" w:name="_Toc12816"/>
      <w:bookmarkStart w:id="241" w:name="_Toc6658"/>
      <w:bookmarkStart w:id="242" w:name="_Toc10829"/>
      <w:r>
        <w:rPr>
          <w:rStyle w:val="59"/>
          <w:rFonts w:hint="eastAsia" w:ascii="宋体" w:hAnsi="宋体" w:eastAsia="宋体" w:cs="宋体"/>
          <w:b/>
          <w:color w:val="000000"/>
          <w:sz w:val="28"/>
          <w:szCs w:val="28"/>
        </w:rPr>
        <w:t>承诺书Ⅳ</w:t>
      </w:r>
      <w:bookmarkEnd w:id="236"/>
      <w:bookmarkEnd w:id="237"/>
      <w:bookmarkEnd w:id="238"/>
    </w:p>
    <w:bookmarkEnd w:id="239"/>
    <w:bookmarkEnd w:id="240"/>
    <w:bookmarkEnd w:id="241"/>
    <w:bookmarkEnd w:id="242"/>
    <w:tbl>
      <w:tblPr>
        <w:tblStyle w:val="21"/>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8"/>
        <w:gridCol w:w="3135"/>
        <w:gridCol w:w="2757"/>
      </w:tblGrid>
      <w:tr w14:paraId="7DAC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1042B4D">
            <w:pPr>
              <w:spacing w:line="360" w:lineRule="atLeast"/>
              <w:rPr>
                <w:rFonts w:hint="eastAsia" w:ascii="宋体" w:hAnsi="宋体" w:eastAsia="宋体" w:cs="宋体"/>
                <w:color w:val="000000"/>
                <w:sz w:val="24"/>
                <w:lang w:eastAsia="zh-CN"/>
              </w:rPr>
            </w:pPr>
            <w:r>
              <w:rPr>
                <w:rFonts w:hint="eastAsia" w:ascii="宋体" w:hAnsi="宋体" w:eastAsia="宋体" w:cs="宋体"/>
                <w:color w:val="000000"/>
                <w:sz w:val="24"/>
              </w:rPr>
              <w:t>致：</w:t>
            </w:r>
            <w:r>
              <w:rPr>
                <w:rFonts w:hint="eastAsia" w:hAnsi="宋体" w:cs="宋体"/>
                <w:color w:val="000000"/>
                <w:sz w:val="24"/>
                <w:lang w:eastAsia="zh-CN"/>
              </w:rPr>
              <w:t>榆林市恒博</w:t>
            </w:r>
            <w:r>
              <w:rPr>
                <w:rFonts w:hint="eastAsia" w:hAnsi="宋体" w:cs="宋体"/>
                <w:color w:val="000000"/>
                <w:sz w:val="24"/>
                <w:lang w:val="en-US" w:eastAsia="zh-CN"/>
              </w:rPr>
              <w:t>工程</w:t>
            </w:r>
            <w:r>
              <w:rPr>
                <w:rFonts w:hint="eastAsia" w:hAnsi="宋体" w:cs="宋体"/>
                <w:color w:val="000000"/>
                <w:sz w:val="24"/>
                <w:lang w:eastAsia="zh-CN"/>
              </w:rPr>
              <w:t>咨询有限公司</w:t>
            </w:r>
          </w:p>
        </w:tc>
      </w:tr>
      <w:tr w14:paraId="4F0AE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jc w:val="center"/>
        </w:trPr>
        <w:tc>
          <w:tcPr>
            <w:tcW w:w="9000" w:type="dxa"/>
            <w:gridSpan w:val="3"/>
            <w:noWrap w:val="0"/>
            <w:vAlign w:val="center"/>
          </w:tcPr>
          <w:p w14:paraId="12DD4B4C">
            <w:pPr>
              <w:spacing w:line="360" w:lineRule="atLeast"/>
              <w:ind w:firstLine="480" w:firstLineChars="200"/>
              <w:rPr>
                <w:rFonts w:hint="eastAsia" w:ascii="宋体" w:hAnsi="宋体" w:eastAsia="宋体" w:cs="宋体"/>
                <w:color w:val="000000"/>
                <w:sz w:val="24"/>
              </w:rPr>
            </w:pPr>
            <w:r>
              <w:rPr>
                <w:rFonts w:hint="eastAsia" w:ascii="宋体" w:hAnsi="宋体" w:eastAsia="宋体" w:cs="宋体"/>
                <w:color w:val="000000"/>
                <w:sz w:val="24"/>
              </w:rPr>
              <w:t>作为参加贵公司组织的招标项目的</w:t>
            </w:r>
            <w:r>
              <w:rPr>
                <w:rFonts w:hint="eastAsia" w:hAnsi="宋体" w:cs="宋体"/>
                <w:color w:val="000000"/>
                <w:sz w:val="24"/>
                <w:lang w:val="en-US" w:eastAsia="zh-CN"/>
              </w:rPr>
              <w:t>投标人</w:t>
            </w:r>
            <w:r>
              <w:rPr>
                <w:rFonts w:hint="eastAsia" w:ascii="宋体" w:hAnsi="宋体" w:eastAsia="宋体" w:cs="宋体"/>
                <w:color w:val="000000"/>
                <w:sz w:val="24"/>
              </w:rPr>
              <w:t>，本公司郑重申告：近三年因项目质量问题的不法行为记录为</w:t>
            </w:r>
            <w:r>
              <w:rPr>
                <w:rFonts w:hint="eastAsia" w:ascii="宋体" w:hAnsi="宋体" w:eastAsia="宋体" w:cs="宋体"/>
                <w:color w:val="000000"/>
                <w:sz w:val="24"/>
                <w:u w:val="single"/>
              </w:rPr>
              <w:t xml:space="preserve"> </w:t>
            </w:r>
            <w:r>
              <w:rPr>
                <w:rFonts w:hint="eastAsia" w:hAnsi="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次（没有填零），如有隐瞒实情，愿承担一切责任及后果。</w:t>
            </w:r>
          </w:p>
        </w:tc>
      </w:tr>
      <w:tr w14:paraId="133D6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3108" w:type="dxa"/>
            <w:noWrap w:val="0"/>
            <w:vAlign w:val="center"/>
          </w:tcPr>
          <w:p w14:paraId="2EDAA9F4">
            <w:pPr>
              <w:spacing w:line="360" w:lineRule="atLeast"/>
              <w:jc w:val="center"/>
              <w:rPr>
                <w:rFonts w:hint="eastAsia" w:ascii="宋体" w:hAnsi="宋体" w:eastAsia="宋体" w:cs="宋体"/>
                <w:color w:val="000000"/>
                <w:sz w:val="24"/>
              </w:rPr>
            </w:pPr>
            <w:r>
              <w:rPr>
                <w:rFonts w:hint="eastAsia" w:hAnsi="宋体" w:cs="宋体"/>
                <w:color w:val="000000"/>
                <w:sz w:val="24"/>
                <w:lang w:val="en-US" w:eastAsia="zh-CN"/>
              </w:rPr>
              <w:t>投标人</w:t>
            </w:r>
          </w:p>
        </w:tc>
        <w:tc>
          <w:tcPr>
            <w:tcW w:w="3135" w:type="dxa"/>
            <w:noWrap w:val="0"/>
            <w:vAlign w:val="center"/>
          </w:tcPr>
          <w:p w14:paraId="24801C21">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法定代表人/单位负责人</w:t>
            </w:r>
          </w:p>
        </w:tc>
        <w:tc>
          <w:tcPr>
            <w:tcW w:w="2757" w:type="dxa"/>
            <w:noWrap w:val="0"/>
            <w:vAlign w:val="center"/>
          </w:tcPr>
          <w:p w14:paraId="138ECFDB">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日   期</w:t>
            </w:r>
          </w:p>
        </w:tc>
      </w:tr>
      <w:tr w14:paraId="1807F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0" w:hRule="atLeast"/>
          <w:jc w:val="center"/>
        </w:trPr>
        <w:tc>
          <w:tcPr>
            <w:tcW w:w="3108" w:type="dxa"/>
            <w:noWrap w:val="0"/>
            <w:vAlign w:val="center"/>
          </w:tcPr>
          <w:p w14:paraId="07677C32">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（公章）</w:t>
            </w:r>
          </w:p>
        </w:tc>
        <w:tc>
          <w:tcPr>
            <w:tcW w:w="3135" w:type="dxa"/>
            <w:noWrap w:val="0"/>
            <w:vAlign w:val="center"/>
          </w:tcPr>
          <w:p w14:paraId="01940689">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（签章）</w:t>
            </w:r>
          </w:p>
        </w:tc>
        <w:tc>
          <w:tcPr>
            <w:tcW w:w="2757" w:type="dxa"/>
            <w:noWrap w:val="0"/>
            <w:vAlign w:val="center"/>
          </w:tcPr>
          <w:p w14:paraId="4DB4F142">
            <w:pPr>
              <w:spacing w:line="360" w:lineRule="atLeast"/>
              <w:ind w:firstLine="240" w:firstLineChars="100"/>
              <w:jc w:val="center"/>
              <w:rPr>
                <w:rFonts w:hint="eastAsia" w:ascii="宋体" w:hAnsi="宋体" w:eastAsia="宋体" w:cs="宋体"/>
                <w:color w:val="000000"/>
                <w:sz w:val="24"/>
              </w:rPr>
            </w:pPr>
            <w:r>
              <w:rPr>
                <w:rFonts w:hint="eastAsia" w:ascii="宋体" w:hAnsi="宋体" w:eastAsia="宋体" w:cs="宋体"/>
                <w:color w:val="000000"/>
                <w:sz w:val="24"/>
              </w:rPr>
              <w:t>年  月  日</w:t>
            </w:r>
          </w:p>
        </w:tc>
      </w:tr>
    </w:tbl>
    <w:p w14:paraId="70EE6A94">
      <w:pPr>
        <w:outlineLvl w:val="9"/>
        <w:rPr>
          <w:rFonts w:hint="eastAsia" w:ascii="宋体" w:hAnsi="宋体" w:eastAsia="宋体" w:cs="宋体"/>
          <w:color w:val="000000"/>
        </w:rPr>
      </w:pPr>
      <w:bookmarkStart w:id="243" w:name="_Toc16712"/>
      <w:bookmarkStart w:id="244" w:name="_Toc9692"/>
      <w:bookmarkStart w:id="245" w:name="_Toc12171"/>
      <w:bookmarkStart w:id="246" w:name="_Toc18428"/>
      <w:bookmarkStart w:id="247" w:name="_Toc2122"/>
      <w:bookmarkStart w:id="248" w:name="_Toc15737"/>
    </w:p>
    <w:p w14:paraId="0B6F53B6">
      <w:pPr>
        <w:outlineLvl w:val="9"/>
        <w:rPr>
          <w:rFonts w:hint="eastAsia" w:ascii="宋体" w:hAnsi="宋体" w:eastAsia="宋体" w:cs="宋体"/>
          <w:color w:val="000000"/>
        </w:rPr>
      </w:pPr>
    </w:p>
    <w:p w14:paraId="04866FB9">
      <w:pPr>
        <w:jc w:val="center"/>
        <w:outlineLvl w:val="9"/>
        <w:rPr>
          <w:rFonts w:hint="eastAsia" w:ascii="宋体" w:hAnsi="宋体" w:eastAsia="宋体" w:cs="宋体"/>
          <w:color w:val="000000"/>
        </w:rPr>
      </w:pPr>
      <w:r>
        <w:rPr>
          <w:rFonts w:hint="eastAsia" w:ascii="宋体" w:hAnsi="宋体" w:eastAsia="宋体" w:cs="宋体"/>
          <w:b/>
          <w:bCs/>
          <w:color w:val="000000"/>
          <w:sz w:val="28"/>
          <w:szCs w:val="28"/>
        </w:rPr>
        <w:t>承诺书</w:t>
      </w:r>
      <w:bookmarkEnd w:id="243"/>
      <w:r>
        <w:rPr>
          <w:rFonts w:hint="eastAsia" w:ascii="宋体" w:hAnsi="宋体" w:eastAsia="宋体" w:cs="宋体"/>
          <w:b/>
          <w:bCs/>
          <w:color w:val="000000"/>
          <w:sz w:val="28"/>
          <w:szCs w:val="28"/>
        </w:rPr>
        <w:fldChar w:fldCharType="begin"/>
      </w:r>
      <w:r>
        <w:rPr>
          <w:rFonts w:hint="eastAsia" w:ascii="宋体" w:hAnsi="宋体" w:eastAsia="宋体" w:cs="宋体"/>
          <w:b/>
          <w:bCs/>
          <w:color w:val="000000"/>
          <w:sz w:val="28"/>
          <w:szCs w:val="28"/>
        </w:rPr>
        <w:instrText xml:space="preserve"> = 5 \* ROMAN </w:instrText>
      </w:r>
      <w:r>
        <w:rPr>
          <w:rFonts w:hint="eastAsia" w:ascii="宋体" w:hAnsi="宋体" w:eastAsia="宋体" w:cs="宋体"/>
          <w:b/>
          <w:bCs/>
          <w:color w:val="000000"/>
          <w:sz w:val="28"/>
          <w:szCs w:val="28"/>
        </w:rPr>
        <w:fldChar w:fldCharType="separate"/>
      </w:r>
      <w:r>
        <w:rPr>
          <w:rFonts w:hint="eastAsia" w:ascii="宋体" w:hAnsi="宋体" w:eastAsia="宋体" w:cs="宋体"/>
          <w:b/>
          <w:bCs/>
          <w:color w:val="000000"/>
          <w:sz w:val="28"/>
          <w:szCs w:val="28"/>
        </w:rPr>
        <w:t>V</w:t>
      </w:r>
      <w:r>
        <w:rPr>
          <w:rFonts w:hint="eastAsia" w:ascii="宋体" w:hAnsi="宋体" w:eastAsia="宋体" w:cs="宋体"/>
          <w:b/>
          <w:bCs/>
          <w:color w:val="000000"/>
          <w:sz w:val="28"/>
          <w:szCs w:val="28"/>
        </w:rPr>
        <w:fldChar w:fldCharType="end"/>
      </w:r>
      <w:bookmarkEnd w:id="244"/>
      <w:bookmarkEnd w:id="245"/>
      <w:bookmarkEnd w:id="246"/>
    </w:p>
    <w:bookmarkEnd w:id="247"/>
    <w:bookmarkEnd w:id="248"/>
    <w:tbl>
      <w:tblPr>
        <w:tblStyle w:val="21"/>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3"/>
        <w:gridCol w:w="3180"/>
        <w:gridCol w:w="2727"/>
      </w:tblGrid>
      <w:tr w14:paraId="2F320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9000" w:type="dxa"/>
            <w:gridSpan w:val="3"/>
            <w:noWrap w:val="0"/>
            <w:vAlign w:val="center"/>
          </w:tcPr>
          <w:p w14:paraId="362454A0">
            <w:pPr>
              <w:spacing w:line="360" w:lineRule="atLeast"/>
              <w:rPr>
                <w:rFonts w:hint="eastAsia" w:ascii="宋体" w:hAnsi="宋体" w:eastAsia="宋体" w:cs="宋体"/>
                <w:color w:val="000000"/>
                <w:sz w:val="24"/>
                <w:lang w:eastAsia="zh-CN"/>
              </w:rPr>
            </w:pPr>
            <w:r>
              <w:rPr>
                <w:rFonts w:hint="eastAsia" w:ascii="宋体" w:hAnsi="宋体" w:eastAsia="宋体" w:cs="宋体"/>
                <w:color w:val="000000"/>
                <w:sz w:val="24"/>
              </w:rPr>
              <w:t>致：</w:t>
            </w:r>
            <w:r>
              <w:rPr>
                <w:rFonts w:hint="eastAsia" w:hAnsi="宋体" w:cs="宋体"/>
                <w:color w:val="000000"/>
                <w:sz w:val="24"/>
                <w:lang w:eastAsia="zh-CN"/>
              </w:rPr>
              <w:t>榆林市恒博</w:t>
            </w:r>
            <w:r>
              <w:rPr>
                <w:rFonts w:hint="eastAsia" w:hAnsi="宋体" w:cs="宋体"/>
                <w:color w:val="000000"/>
                <w:sz w:val="24"/>
                <w:lang w:val="en-US" w:eastAsia="zh-CN"/>
              </w:rPr>
              <w:t>工程</w:t>
            </w:r>
            <w:r>
              <w:rPr>
                <w:rFonts w:hint="eastAsia" w:hAnsi="宋体" w:cs="宋体"/>
                <w:color w:val="000000"/>
                <w:sz w:val="24"/>
                <w:lang w:eastAsia="zh-CN"/>
              </w:rPr>
              <w:t>咨询有限公司</w:t>
            </w:r>
          </w:p>
        </w:tc>
      </w:tr>
      <w:tr w14:paraId="163F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9000" w:type="dxa"/>
            <w:gridSpan w:val="3"/>
            <w:noWrap w:val="0"/>
            <w:vAlign w:val="center"/>
          </w:tcPr>
          <w:p w14:paraId="4B71332D">
            <w:pPr>
              <w:spacing w:line="360" w:lineRule="atLeast"/>
              <w:ind w:firstLine="480" w:firstLineChars="200"/>
              <w:rPr>
                <w:rFonts w:hint="eastAsia" w:ascii="宋体" w:hAnsi="宋体" w:eastAsia="宋体" w:cs="宋体"/>
                <w:color w:val="000000"/>
                <w:sz w:val="24"/>
              </w:rPr>
            </w:pPr>
            <w:r>
              <w:rPr>
                <w:rFonts w:hint="eastAsia" w:ascii="宋体" w:hAnsi="宋体" w:eastAsia="宋体" w:cs="宋体"/>
                <w:color w:val="000000"/>
                <w:sz w:val="24"/>
              </w:rPr>
              <w:t>作为参加贵公司组织的招标项目的</w:t>
            </w:r>
            <w:r>
              <w:rPr>
                <w:rFonts w:hint="eastAsia" w:hAnsi="宋体" w:cs="宋体"/>
                <w:color w:val="000000"/>
                <w:sz w:val="24"/>
                <w:lang w:val="en-US" w:eastAsia="zh-CN"/>
              </w:rPr>
              <w:t>投标人</w:t>
            </w:r>
            <w:r>
              <w:rPr>
                <w:rFonts w:hint="eastAsia" w:ascii="宋体" w:hAnsi="宋体" w:eastAsia="宋体" w:cs="宋体"/>
                <w:color w:val="000000"/>
                <w:sz w:val="24"/>
              </w:rPr>
              <w:t>，本公司承诺：参加本次投标提交的所有资质证明文件及业绩证明是真实的、有效的，如有隐瞒实情，愿承担一切责任及后果。</w:t>
            </w:r>
          </w:p>
        </w:tc>
      </w:tr>
      <w:tr w14:paraId="34168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3093" w:type="dxa"/>
            <w:noWrap w:val="0"/>
            <w:vAlign w:val="center"/>
          </w:tcPr>
          <w:p w14:paraId="2D495E11">
            <w:pPr>
              <w:spacing w:line="360" w:lineRule="atLeast"/>
              <w:jc w:val="center"/>
              <w:rPr>
                <w:rFonts w:hint="eastAsia" w:ascii="宋体" w:hAnsi="宋体" w:eastAsia="宋体" w:cs="宋体"/>
                <w:color w:val="000000"/>
                <w:sz w:val="24"/>
              </w:rPr>
            </w:pPr>
            <w:r>
              <w:rPr>
                <w:rFonts w:hint="eastAsia" w:hAnsi="宋体" w:cs="宋体"/>
                <w:color w:val="000000"/>
                <w:sz w:val="24"/>
                <w:lang w:val="en-US" w:eastAsia="zh-CN"/>
              </w:rPr>
              <w:t>投标人</w:t>
            </w:r>
          </w:p>
        </w:tc>
        <w:tc>
          <w:tcPr>
            <w:tcW w:w="3180" w:type="dxa"/>
            <w:noWrap w:val="0"/>
            <w:vAlign w:val="center"/>
          </w:tcPr>
          <w:p w14:paraId="3840D1FE">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法定代表人/单位负责人</w:t>
            </w:r>
          </w:p>
        </w:tc>
        <w:tc>
          <w:tcPr>
            <w:tcW w:w="2727" w:type="dxa"/>
            <w:noWrap w:val="0"/>
            <w:vAlign w:val="center"/>
          </w:tcPr>
          <w:p w14:paraId="0F0322CD">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日   期</w:t>
            </w:r>
          </w:p>
        </w:tc>
      </w:tr>
      <w:tr w14:paraId="3EE70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0" w:hRule="atLeast"/>
          <w:jc w:val="center"/>
        </w:trPr>
        <w:tc>
          <w:tcPr>
            <w:tcW w:w="3093" w:type="dxa"/>
            <w:noWrap w:val="0"/>
            <w:vAlign w:val="center"/>
          </w:tcPr>
          <w:p w14:paraId="426209AF">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（公章）</w:t>
            </w:r>
          </w:p>
        </w:tc>
        <w:tc>
          <w:tcPr>
            <w:tcW w:w="3180" w:type="dxa"/>
            <w:noWrap w:val="0"/>
            <w:vAlign w:val="center"/>
          </w:tcPr>
          <w:p w14:paraId="728BE85C">
            <w:pPr>
              <w:spacing w:line="360" w:lineRule="atLeast"/>
              <w:jc w:val="center"/>
              <w:rPr>
                <w:rFonts w:hint="eastAsia" w:ascii="宋体" w:hAnsi="宋体" w:eastAsia="宋体" w:cs="宋体"/>
                <w:color w:val="000000"/>
                <w:sz w:val="24"/>
              </w:rPr>
            </w:pPr>
            <w:r>
              <w:rPr>
                <w:rFonts w:hint="eastAsia" w:ascii="宋体" w:hAnsi="宋体" w:eastAsia="宋体" w:cs="宋体"/>
                <w:color w:val="000000"/>
                <w:sz w:val="24"/>
              </w:rPr>
              <w:t>（签章）</w:t>
            </w:r>
          </w:p>
        </w:tc>
        <w:tc>
          <w:tcPr>
            <w:tcW w:w="2727" w:type="dxa"/>
            <w:noWrap w:val="0"/>
            <w:vAlign w:val="center"/>
          </w:tcPr>
          <w:p w14:paraId="10F32DFC">
            <w:pPr>
              <w:spacing w:line="360" w:lineRule="atLeast"/>
              <w:ind w:firstLine="240" w:firstLineChars="100"/>
              <w:jc w:val="center"/>
              <w:rPr>
                <w:rFonts w:hint="eastAsia" w:ascii="宋体" w:hAnsi="宋体" w:eastAsia="宋体" w:cs="宋体"/>
                <w:color w:val="000000"/>
                <w:sz w:val="24"/>
              </w:rPr>
            </w:pPr>
            <w:r>
              <w:rPr>
                <w:rFonts w:hint="eastAsia" w:ascii="宋体" w:hAnsi="宋体" w:eastAsia="宋体" w:cs="宋体"/>
                <w:color w:val="000000"/>
                <w:sz w:val="24"/>
              </w:rPr>
              <w:t>年  月  日</w:t>
            </w:r>
          </w:p>
        </w:tc>
      </w:tr>
    </w:tbl>
    <w:p w14:paraId="385F2633">
      <w:pPr>
        <w:jc w:val="center"/>
        <w:rPr>
          <w:b/>
          <w:bCs/>
          <w:sz w:val="21"/>
          <w:szCs w:val="16"/>
        </w:rPr>
      </w:pPr>
    </w:p>
    <w:p w14:paraId="182C426D">
      <w:pPr>
        <w:jc w:val="center"/>
        <w:outlineLvl w:val="1"/>
        <w:rPr>
          <w:rFonts w:hint="eastAsia"/>
          <w:b/>
          <w:bCs/>
          <w:sz w:val="32"/>
          <w:szCs w:val="32"/>
        </w:rPr>
        <w:sectPr>
          <w:pgSz w:w="11906" w:h="16838"/>
          <w:pgMar w:top="1417" w:right="1417" w:bottom="1417" w:left="1417" w:header="850" w:footer="850" w:gutter="0"/>
          <w:pgNumType w:fmt="numberInDash"/>
          <w:cols w:space="425" w:num="1"/>
          <w:docGrid w:type="lines" w:linePitch="326" w:charSpace="0"/>
        </w:sectPr>
      </w:pPr>
    </w:p>
    <w:p w14:paraId="7F590452">
      <w:pPr>
        <w:jc w:val="center"/>
        <w:outlineLvl w:val="1"/>
        <w:rPr>
          <w:b/>
          <w:bCs/>
          <w:sz w:val="21"/>
          <w:szCs w:val="16"/>
        </w:rPr>
      </w:pPr>
      <w:r>
        <w:rPr>
          <w:rFonts w:hint="eastAsia"/>
          <w:b/>
          <w:bCs/>
          <w:sz w:val="32"/>
          <w:szCs w:val="32"/>
        </w:rPr>
        <w:t>第六部分 投标响应方案</w:t>
      </w:r>
    </w:p>
    <w:p w14:paraId="23E66979">
      <w:pPr>
        <w:spacing w:line="500" w:lineRule="exact"/>
        <w:rPr>
          <w:rFonts w:hAnsi="宋体" w:cs="宋体"/>
          <w:b/>
          <w:sz w:val="21"/>
          <w:szCs w:val="21"/>
        </w:rPr>
      </w:pPr>
      <w:bookmarkStart w:id="249" w:name="_Toc4295"/>
      <w:bookmarkStart w:id="250" w:name="_Toc48834338"/>
      <w:bookmarkStart w:id="251" w:name="_Toc14867"/>
      <w:bookmarkStart w:id="252" w:name="_Toc48834205"/>
      <w:bookmarkStart w:id="253" w:name="_Toc12342"/>
      <w:bookmarkStart w:id="254" w:name="_Toc3411"/>
      <w:bookmarkStart w:id="255" w:name="_Toc3092"/>
      <w:bookmarkStart w:id="256" w:name="_Toc9336"/>
      <w:bookmarkStart w:id="257" w:name="_Toc48834135"/>
      <w:r>
        <w:rPr>
          <w:rFonts w:hint="eastAsia" w:hAnsi="宋体" w:cs="宋体"/>
          <w:b/>
          <w:bCs/>
          <w:sz w:val="28"/>
          <w:szCs w:val="28"/>
        </w:rPr>
        <w:t>一、</w:t>
      </w:r>
      <w:bookmarkEnd w:id="249"/>
      <w:bookmarkEnd w:id="250"/>
      <w:bookmarkEnd w:id="251"/>
      <w:bookmarkEnd w:id="252"/>
      <w:bookmarkEnd w:id="253"/>
      <w:bookmarkEnd w:id="254"/>
      <w:bookmarkEnd w:id="255"/>
      <w:bookmarkEnd w:id="256"/>
      <w:bookmarkEnd w:id="257"/>
      <w:r>
        <w:rPr>
          <w:rFonts w:hint="eastAsia" w:hAnsi="宋体" w:cs="宋体"/>
          <w:b/>
          <w:bCs/>
          <w:sz w:val="28"/>
          <w:szCs w:val="28"/>
          <w:lang w:val="en-US" w:eastAsia="zh-CN"/>
        </w:rPr>
        <w:t>商务响应</w:t>
      </w:r>
      <w:r>
        <w:rPr>
          <w:rFonts w:hint="eastAsia" w:hAnsi="宋体" w:cs="宋体"/>
          <w:b/>
          <w:bCs/>
          <w:sz w:val="28"/>
          <w:szCs w:val="28"/>
        </w:rPr>
        <w:t>偏离表</w:t>
      </w:r>
    </w:p>
    <w:tbl>
      <w:tblPr>
        <w:tblStyle w:val="21"/>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
        <w:gridCol w:w="2891"/>
        <w:gridCol w:w="2727"/>
        <w:gridCol w:w="1236"/>
        <w:gridCol w:w="2143"/>
      </w:tblGrid>
      <w:tr w14:paraId="10699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shd w:val="clear" w:color="auto" w:fill="D8D8D8"/>
            <w:vAlign w:val="center"/>
          </w:tcPr>
          <w:p w14:paraId="651B3729">
            <w:pPr>
              <w:adjustRightInd w:val="0"/>
              <w:snapToGrid w:val="0"/>
              <w:jc w:val="center"/>
              <w:rPr>
                <w:rFonts w:hAnsi="宋体" w:cs="宋体"/>
                <w:b/>
                <w:sz w:val="24"/>
                <w:szCs w:val="24"/>
              </w:rPr>
            </w:pPr>
            <w:r>
              <w:rPr>
                <w:rFonts w:hint="eastAsia" w:hAnsi="宋体" w:cs="宋体"/>
                <w:b/>
                <w:sz w:val="24"/>
                <w:szCs w:val="24"/>
              </w:rPr>
              <w:t>序号</w:t>
            </w:r>
          </w:p>
        </w:tc>
        <w:tc>
          <w:tcPr>
            <w:tcW w:w="2891" w:type="dxa"/>
            <w:shd w:val="clear" w:color="auto" w:fill="D8D8D8"/>
            <w:vAlign w:val="center"/>
          </w:tcPr>
          <w:p w14:paraId="2A6F99E5">
            <w:pPr>
              <w:adjustRightInd w:val="0"/>
              <w:snapToGrid w:val="0"/>
              <w:jc w:val="center"/>
              <w:rPr>
                <w:rFonts w:hAnsi="宋体" w:cs="宋体"/>
                <w:b/>
                <w:sz w:val="24"/>
                <w:szCs w:val="24"/>
              </w:rPr>
            </w:pPr>
            <w:r>
              <w:rPr>
                <w:rFonts w:hint="eastAsia" w:hAnsi="宋体" w:cs="宋体"/>
                <w:b/>
                <w:sz w:val="24"/>
                <w:szCs w:val="24"/>
              </w:rPr>
              <w:t>招标文件</w:t>
            </w:r>
            <w:r>
              <w:rPr>
                <w:rFonts w:hint="eastAsia" w:hAnsi="宋体" w:cs="宋体"/>
                <w:b/>
                <w:sz w:val="24"/>
                <w:szCs w:val="24"/>
                <w:lang w:val="en-US" w:eastAsia="zh-CN"/>
              </w:rPr>
              <w:t>商务</w:t>
            </w:r>
            <w:r>
              <w:rPr>
                <w:rFonts w:hint="eastAsia" w:hAnsi="宋体" w:cs="宋体"/>
                <w:b/>
                <w:sz w:val="24"/>
                <w:szCs w:val="24"/>
              </w:rPr>
              <w:t>要求</w:t>
            </w:r>
          </w:p>
        </w:tc>
        <w:tc>
          <w:tcPr>
            <w:tcW w:w="2727" w:type="dxa"/>
            <w:shd w:val="clear" w:color="auto" w:fill="D8D8D8"/>
            <w:vAlign w:val="center"/>
          </w:tcPr>
          <w:p w14:paraId="0C8BFE89">
            <w:pPr>
              <w:adjustRightInd w:val="0"/>
              <w:snapToGrid w:val="0"/>
              <w:jc w:val="center"/>
              <w:rPr>
                <w:rFonts w:hAnsi="宋体" w:cs="宋体"/>
                <w:b/>
                <w:sz w:val="24"/>
                <w:szCs w:val="24"/>
              </w:rPr>
            </w:pPr>
            <w:r>
              <w:rPr>
                <w:rFonts w:hint="eastAsia" w:hAnsi="宋体" w:cs="宋体"/>
                <w:b/>
                <w:sz w:val="24"/>
                <w:szCs w:val="24"/>
              </w:rPr>
              <w:t>投标文件</w:t>
            </w:r>
            <w:r>
              <w:rPr>
                <w:rFonts w:hint="eastAsia" w:hAnsi="宋体" w:cs="宋体"/>
                <w:b/>
                <w:sz w:val="24"/>
                <w:szCs w:val="24"/>
                <w:lang w:val="en-US" w:eastAsia="zh-CN"/>
              </w:rPr>
              <w:t>商务</w:t>
            </w:r>
            <w:r>
              <w:rPr>
                <w:rFonts w:hint="eastAsia" w:hAnsi="宋体" w:cs="宋体"/>
                <w:b/>
                <w:sz w:val="24"/>
                <w:szCs w:val="24"/>
              </w:rPr>
              <w:t>响应条款</w:t>
            </w:r>
          </w:p>
        </w:tc>
        <w:tc>
          <w:tcPr>
            <w:tcW w:w="1236" w:type="dxa"/>
            <w:shd w:val="clear" w:color="auto" w:fill="D8D8D8"/>
            <w:vAlign w:val="center"/>
          </w:tcPr>
          <w:p w14:paraId="67EB2CCB">
            <w:pPr>
              <w:adjustRightInd w:val="0"/>
              <w:snapToGrid w:val="0"/>
              <w:jc w:val="center"/>
              <w:rPr>
                <w:rFonts w:hAnsi="宋体" w:cs="宋体"/>
                <w:b/>
                <w:sz w:val="24"/>
                <w:szCs w:val="24"/>
              </w:rPr>
            </w:pPr>
            <w:r>
              <w:rPr>
                <w:rFonts w:hint="eastAsia" w:hAnsi="宋体" w:cs="宋体"/>
                <w:b/>
                <w:sz w:val="24"/>
                <w:szCs w:val="24"/>
              </w:rPr>
              <w:t>偏离程度</w:t>
            </w:r>
          </w:p>
        </w:tc>
        <w:tc>
          <w:tcPr>
            <w:tcW w:w="2143" w:type="dxa"/>
            <w:shd w:val="clear" w:color="auto" w:fill="D8D8D8"/>
            <w:vAlign w:val="center"/>
          </w:tcPr>
          <w:p w14:paraId="29048887">
            <w:pPr>
              <w:adjustRightInd w:val="0"/>
              <w:snapToGrid w:val="0"/>
              <w:jc w:val="center"/>
              <w:rPr>
                <w:rFonts w:hAnsi="宋体" w:cs="宋体"/>
                <w:b/>
                <w:sz w:val="24"/>
                <w:szCs w:val="24"/>
              </w:rPr>
            </w:pPr>
            <w:r>
              <w:rPr>
                <w:rFonts w:hint="eastAsia" w:hAnsi="宋体" w:cs="宋体"/>
                <w:b/>
                <w:sz w:val="24"/>
                <w:szCs w:val="24"/>
              </w:rPr>
              <w:t>偏离简述</w:t>
            </w:r>
          </w:p>
          <w:p w14:paraId="26FE5C2B">
            <w:pPr>
              <w:adjustRightInd w:val="0"/>
              <w:snapToGrid w:val="0"/>
              <w:jc w:val="center"/>
              <w:rPr>
                <w:rFonts w:hAnsi="宋体" w:cs="宋体"/>
                <w:b/>
                <w:sz w:val="24"/>
                <w:szCs w:val="24"/>
              </w:rPr>
            </w:pPr>
            <w:r>
              <w:rPr>
                <w:rFonts w:hint="eastAsia" w:hAnsi="宋体" w:cs="宋体"/>
                <w:b/>
                <w:sz w:val="24"/>
                <w:szCs w:val="24"/>
              </w:rPr>
              <w:t>或相关证明材料</w:t>
            </w:r>
          </w:p>
        </w:tc>
      </w:tr>
      <w:tr w14:paraId="5FDC6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42" w:type="dxa"/>
            <w:vAlign w:val="center"/>
          </w:tcPr>
          <w:p w14:paraId="0285B170">
            <w:pPr>
              <w:spacing w:line="500" w:lineRule="exact"/>
              <w:jc w:val="center"/>
              <w:rPr>
                <w:rFonts w:hAnsi="宋体" w:cs="宋体"/>
                <w:sz w:val="24"/>
                <w:szCs w:val="24"/>
              </w:rPr>
            </w:pPr>
            <w:r>
              <w:rPr>
                <w:rFonts w:hint="eastAsia" w:hAnsi="宋体" w:cs="宋体"/>
                <w:sz w:val="24"/>
                <w:szCs w:val="24"/>
              </w:rPr>
              <w:t>1</w:t>
            </w:r>
          </w:p>
        </w:tc>
        <w:tc>
          <w:tcPr>
            <w:tcW w:w="2891" w:type="dxa"/>
            <w:vAlign w:val="center"/>
          </w:tcPr>
          <w:p w14:paraId="18ABC8C0">
            <w:pPr>
              <w:spacing w:line="500" w:lineRule="exact"/>
              <w:jc w:val="center"/>
              <w:rPr>
                <w:rFonts w:hAnsi="宋体" w:cs="宋体"/>
                <w:sz w:val="24"/>
                <w:szCs w:val="24"/>
              </w:rPr>
            </w:pPr>
          </w:p>
        </w:tc>
        <w:tc>
          <w:tcPr>
            <w:tcW w:w="2727" w:type="dxa"/>
            <w:vAlign w:val="center"/>
          </w:tcPr>
          <w:p w14:paraId="287FC455">
            <w:pPr>
              <w:spacing w:line="500" w:lineRule="exact"/>
              <w:jc w:val="center"/>
              <w:rPr>
                <w:rFonts w:hAnsi="宋体" w:cs="宋体"/>
                <w:sz w:val="24"/>
                <w:szCs w:val="24"/>
              </w:rPr>
            </w:pPr>
          </w:p>
        </w:tc>
        <w:tc>
          <w:tcPr>
            <w:tcW w:w="1236" w:type="dxa"/>
            <w:vAlign w:val="center"/>
          </w:tcPr>
          <w:p w14:paraId="42B54CCD">
            <w:pPr>
              <w:spacing w:line="500" w:lineRule="exact"/>
              <w:jc w:val="center"/>
              <w:rPr>
                <w:rFonts w:hAnsi="宋体" w:cs="宋体"/>
                <w:sz w:val="24"/>
                <w:szCs w:val="24"/>
              </w:rPr>
            </w:pPr>
          </w:p>
        </w:tc>
        <w:tc>
          <w:tcPr>
            <w:tcW w:w="2143" w:type="dxa"/>
            <w:vAlign w:val="center"/>
          </w:tcPr>
          <w:p w14:paraId="58578E01">
            <w:pPr>
              <w:spacing w:line="500" w:lineRule="exact"/>
              <w:jc w:val="center"/>
              <w:rPr>
                <w:rFonts w:hAnsi="宋体" w:cs="宋体"/>
                <w:sz w:val="24"/>
                <w:szCs w:val="24"/>
              </w:rPr>
            </w:pPr>
          </w:p>
        </w:tc>
      </w:tr>
      <w:tr w14:paraId="0D10E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42" w:type="dxa"/>
            <w:vAlign w:val="center"/>
          </w:tcPr>
          <w:p w14:paraId="4CA36DC8">
            <w:pPr>
              <w:spacing w:line="500" w:lineRule="exact"/>
              <w:jc w:val="center"/>
              <w:rPr>
                <w:rFonts w:hAnsi="宋体" w:cs="宋体"/>
                <w:sz w:val="24"/>
                <w:szCs w:val="24"/>
              </w:rPr>
            </w:pPr>
            <w:r>
              <w:rPr>
                <w:rFonts w:hint="eastAsia" w:hAnsi="宋体" w:cs="宋体"/>
                <w:sz w:val="24"/>
                <w:szCs w:val="24"/>
              </w:rPr>
              <w:t>2</w:t>
            </w:r>
          </w:p>
        </w:tc>
        <w:tc>
          <w:tcPr>
            <w:tcW w:w="2891" w:type="dxa"/>
            <w:vAlign w:val="center"/>
          </w:tcPr>
          <w:p w14:paraId="0CB1C384">
            <w:pPr>
              <w:spacing w:line="500" w:lineRule="exact"/>
              <w:jc w:val="center"/>
              <w:rPr>
                <w:rFonts w:hAnsi="宋体" w:cs="宋体"/>
                <w:sz w:val="24"/>
                <w:szCs w:val="24"/>
              </w:rPr>
            </w:pPr>
          </w:p>
        </w:tc>
        <w:tc>
          <w:tcPr>
            <w:tcW w:w="2727" w:type="dxa"/>
            <w:vAlign w:val="center"/>
          </w:tcPr>
          <w:p w14:paraId="2B939730">
            <w:pPr>
              <w:spacing w:line="500" w:lineRule="exact"/>
              <w:jc w:val="center"/>
              <w:rPr>
                <w:rFonts w:hAnsi="宋体" w:cs="宋体"/>
                <w:sz w:val="24"/>
                <w:szCs w:val="24"/>
              </w:rPr>
            </w:pPr>
          </w:p>
        </w:tc>
        <w:tc>
          <w:tcPr>
            <w:tcW w:w="1236" w:type="dxa"/>
            <w:vAlign w:val="center"/>
          </w:tcPr>
          <w:p w14:paraId="16A2A41C">
            <w:pPr>
              <w:spacing w:line="500" w:lineRule="exact"/>
              <w:jc w:val="center"/>
              <w:rPr>
                <w:rFonts w:hAnsi="宋体" w:cs="宋体"/>
                <w:sz w:val="24"/>
                <w:szCs w:val="24"/>
              </w:rPr>
            </w:pPr>
          </w:p>
        </w:tc>
        <w:tc>
          <w:tcPr>
            <w:tcW w:w="2143" w:type="dxa"/>
            <w:vAlign w:val="center"/>
          </w:tcPr>
          <w:p w14:paraId="20E53D69">
            <w:pPr>
              <w:spacing w:line="500" w:lineRule="exact"/>
              <w:jc w:val="center"/>
              <w:rPr>
                <w:rFonts w:hAnsi="宋体" w:cs="宋体"/>
                <w:sz w:val="24"/>
                <w:szCs w:val="24"/>
              </w:rPr>
            </w:pPr>
          </w:p>
        </w:tc>
      </w:tr>
      <w:tr w14:paraId="23B45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42" w:type="dxa"/>
            <w:vAlign w:val="center"/>
          </w:tcPr>
          <w:p w14:paraId="1D3F3D0C">
            <w:pPr>
              <w:spacing w:line="500" w:lineRule="exact"/>
              <w:jc w:val="center"/>
              <w:rPr>
                <w:rFonts w:hAnsi="宋体" w:cs="宋体"/>
                <w:sz w:val="24"/>
                <w:szCs w:val="24"/>
              </w:rPr>
            </w:pPr>
            <w:r>
              <w:rPr>
                <w:rFonts w:hint="eastAsia" w:hAnsi="宋体" w:cs="宋体"/>
                <w:sz w:val="24"/>
                <w:szCs w:val="24"/>
              </w:rPr>
              <w:t>3</w:t>
            </w:r>
          </w:p>
        </w:tc>
        <w:tc>
          <w:tcPr>
            <w:tcW w:w="2891" w:type="dxa"/>
            <w:vAlign w:val="center"/>
          </w:tcPr>
          <w:p w14:paraId="7FF6D113">
            <w:pPr>
              <w:spacing w:line="500" w:lineRule="exact"/>
              <w:jc w:val="center"/>
              <w:rPr>
                <w:rFonts w:hAnsi="宋体" w:cs="宋体"/>
                <w:sz w:val="24"/>
                <w:szCs w:val="24"/>
              </w:rPr>
            </w:pPr>
          </w:p>
        </w:tc>
        <w:tc>
          <w:tcPr>
            <w:tcW w:w="2727" w:type="dxa"/>
            <w:vAlign w:val="center"/>
          </w:tcPr>
          <w:p w14:paraId="36CE53C4">
            <w:pPr>
              <w:spacing w:line="500" w:lineRule="exact"/>
              <w:jc w:val="center"/>
              <w:rPr>
                <w:rFonts w:hAnsi="宋体" w:cs="宋体"/>
                <w:sz w:val="24"/>
                <w:szCs w:val="24"/>
              </w:rPr>
            </w:pPr>
          </w:p>
        </w:tc>
        <w:tc>
          <w:tcPr>
            <w:tcW w:w="1236" w:type="dxa"/>
            <w:vAlign w:val="center"/>
          </w:tcPr>
          <w:p w14:paraId="31863085">
            <w:pPr>
              <w:spacing w:line="500" w:lineRule="exact"/>
              <w:jc w:val="center"/>
              <w:rPr>
                <w:rFonts w:hAnsi="宋体" w:cs="宋体"/>
                <w:sz w:val="24"/>
                <w:szCs w:val="24"/>
              </w:rPr>
            </w:pPr>
          </w:p>
        </w:tc>
        <w:tc>
          <w:tcPr>
            <w:tcW w:w="2143" w:type="dxa"/>
            <w:vAlign w:val="center"/>
          </w:tcPr>
          <w:p w14:paraId="1C3D723A">
            <w:pPr>
              <w:spacing w:line="500" w:lineRule="exact"/>
              <w:jc w:val="center"/>
              <w:rPr>
                <w:rFonts w:hAnsi="宋体" w:cs="宋体"/>
                <w:sz w:val="24"/>
                <w:szCs w:val="24"/>
              </w:rPr>
            </w:pPr>
          </w:p>
        </w:tc>
      </w:tr>
      <w:tr w14:paraId="0DE77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42" w:type="dxa"/>
            <w:vAlign w:val="center"/>
          </w:tcPr>
          <w:p w14:paraId="53A1D126">
            <w:pPr>
              <w:spacing w:line="500" w:lineRule="exact"/>
              <w:jc w:val="center"/>
              <w:rPr>
                <w:rFonts w:hAnsi="宋体" w:cs="宋体"/>
                <w:sz w:val="24"/>
                <w:szCs w:val="24"/>
              </w:rPr>
            </w:pPr>
            <w:r>
              <w:rPr>
                <w:rFonts w:hint="eastAsia" w:hAnsi="宋体" w:cs="宋体"/>
                <w:sz w:val="24"/>
                <w:szCs w:val="24"/>
              </w:rPr>
              <w:t>4</w:t>
            </w:r>
          </w:p>
        </w:tc>
        <w:tc>
          <w:tcPr>
            <w:tcW w:w="2891" w:type="dxa"/>
            <w:vAlign w:val="center"/>
          </w:tcPr>
          <w:p w14:paraId="239A116C">
            <w:pPr>
              <w:spacing w:line="500" w:lineRule="exact"/>
              <w:jc w:val="center"/>
              <w:rPr>
                <w:rFonts w:hAnsi="宋体" w:cs="宋体"/>
                <w:sz w:val="24"/>
                <w:szCs w:val="24"/>
              </w:rPr>
            </w:pPr>
          </w:p>
        </w:tc>
        <w:tc>
          <w:tcPr>
            <w:tcW w:w="2727" w:type="dxa"/>
            <w:vAlign w:val="center"/>
          </w:tcPr>
          <w:p w14:paraId="5F75817F">
            <w:pPr>
              <w:spacing w:line="500" w:lineRule="exact"/>
              <w:jc w:val="center"/>
              <w:rPr>
                <w:rFonts w:hAnsi="宋体" w:cs="宋体"/>
                <w:sz w:val="24"/>
                <w:szCs w:val="24"/>
              </w:rPr>
            </w:pPr>
          </w:p>
        </w:tc>
        <w:tc>
          <w:tcPr>
            <w:tcW w:w="1236" w:type="dxa"/>
            <w:vAlign w:val="center"/>
          </w:tcPr>
          <w:p w14:paraId="3BA2B5C3">
            <w:pPr>
              <w:spacing w:line="500" w:lineRule="exact"/>
              <w:jc w:val="center"/>
              <w:rPr>
                <w:rFonts w:hAnsi="宋体" w:cs="宋体"/>
                <w:sz w:val="24"/>
                <w:szCs w:val="24"/>
              </w:rPr>
            </w:pPr>
          </w:p>
        </w:tc>
        <w:tc>
          <w:tcPr>
            <w:tcW w:w="2143" w:type="dxa"/>
            <w:vAlign w:val="center"/>
          </w:tcPr>
          <w:p w14:paraId="4612E6EC">
            <w:pPr>
              <w:spacing w:line="500" w:lineRule="exact"/>
              <w:jc w:val="center"/>
              <w:rPr>
                <w:rFonts w:hAnsi="宋体" w:cs="宋体"/>
                <w:sz w:val="24"/>
                <w:szCs w:val="24"/>
              </w:rPr>
            </w:pPr>
          </w:p>
        </w:tc>
      </w:tr>
      <w:tr w14:paraId="77998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42" w:type="dxa"/>
            <w:vAlign w:val="center"/>
          </w:tcPr>
          <w:p w14:paraId="07E54656">
            <w:pPr>
              <w:spacing w:line="500" w:lineRule="exact"/>
              <w:jc w:val="center"/>
              <w:rPr>
                <w:rFonts w:hAnsi="宋体" w:cs="宋体"/>
                <w:sz w:val="24"/>
                <w:szCs w:val="24"/>
              </w:rPr>
            </w:pPr>
            <w:r>
              <w:rPr>
                <w:rFonts w:hint="eastAsia" w:hAnsi="宋体" w:cs="宋体"/>
                <w:sz w:val="24"/>
                <w:szCs w:val="24"/>
              </w:rPr>
              <w:t>5</w:t>
            </w:r>
          </w:p>
        </w:tc>
        <w:tc>
          <w:tcPr>
            <w:tcW w:w="2891" w:type="dxa"/>
            <w:vAlign w:val="center"/>
          </w:tcPr>
          <w:p w14:paraId="76C08FE2">
            <w:pPr>
              <w:spacing w:line="500" w:lineRule="exact"/>
              <w:jc w:val="center"/>
              <w:rPr>
                <w:rFonts w:hAnsi="宋体" w:cs="宋体"/>
                <w:sz w:val="24"/>
                <w:szCs w:val="24"/>
              </w:rPr>
            </w:pPr>
          </w:p>
        </w:tc>
        <w:tc>
          <w:tcPr>
            <w:tcW w:w="2727" w:type="dxa"/>
            <w:vAlign w:val="center"/>
          </w:tcPr>
          <w:p w14:paraId="1AEDD411">
            <w:pPr>
              <w:spacing w:line="500" w:lineRule="exact"/>
              <w:jc w:val="center"/>
              <w:rPr>
                <w:rFonts w:hAnsi="宋体" w:cs="宋体"/>
                <w:sz w:val="24"/>
                <w:szCs w:val="24"/>
              </w:rPr>
            </w:pPr>
          </w:p>
        </w:tc>
        <w:tc>
          <w:tcPr>
            <w:tcW w:w="1236" w:type="dxa"/>
            <w:vAlign w:val="center"/>
          </w:tcPr>
          <w:p w14:paraId="779B07A6">
            <w:pPr>
              <w:spacing w:line="500" w:lineRule="exact"/>
              <w:jc w:val="center"/>
              <w:rPr>
                <w:rFonts w:hAnsi="宋体" w:cs="宋体"/>
                <w:sz w:val="24"/>
                <w:szCs w:val="24"/>
              </w:rPr>
            </w:pPr>
          </w:p>
        </w:tc>
        <w:tc>
          <w:tcPr>
            <w:tcW w:w="2143" w:type="dxa"/>
            <w:vAlign w:val="center"/>
          </w:tcPr>
          <w:p w14:paraId="1D4ABBE0">
            <w:pPr>
              <w:spacing w:line="500" w:lineRule="exact"/>
              <w:jc w:val="center"/>
              <w:rPr>
                <w:rFonts w:hAnsi="宋体" w:cs="宋体"/>
                <w:sz w:val="24"/>
                <w:szCs w:val="24"/>
              </w:rPr>
            </w:pPr>
          </w:p>
        </w:tc>
      </w:tr>
      <w:tr w14:paraId="189E8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42" w:type="dxa"/>
            <w:vAlign w:val="center"/>
          </w:tcPr>
          <w:p w14:paraId="1D508992">
            <w:pPr>
              <w:spacing w:line="500" w:lineRule="exact"/>
              <w:jc w:val="center"/>
              <w:rPr>
                <w:rFonts w:hAnsi="宋体" w:cs="宋体"/>
                <w:sz w:val="24"/>
                <w:szCs w:val="24"/>
              </w:rPr>
            </w:pPr>
            <w:r>
              <w:rPr>
                <w:rFonts w:hint="eastAsia" w:hAnsi="宋体" w:cs="宋体"/>
                <w:sz w:val="24"/>
                <w:szCs w:val="24"/>
              </w:rPr>
              <w:t>6</w:t>
            </w:r>
          </w:p>
        </w:tc>
        <w:tc>
          <w:tcPr>
            <w:tcW w:w="2891" w:type="dxa"/>
            <w:vAlign w:val="center"/>
          </w:tcPr>
          <w:p w14:paraId="2AFC42F5">
            <w:pPr>
              <w:spacing w:line="500" w:lineRule="exact"/>
              <w:jc w:val="center"/>
              <w:rPr>
                <w:rFonts w:hAnsi="宋体" w:cs="宋体"/>
                <w:sz w:val="24"/>
                <w:szCs w:val="24"/>
              </w:rPr>
            </w:pPr>
          </w:p>
        </w:tc>
        <w:tc>
          <w:tcPr>
            <w:tcW w:w="2727" w:type="dxa"/>
            <w:vAlign w:val="center"/>
          </w:tcPr>
          <w:p w14:paraId="286840B6">
            <w:pPr>
              <w:spacing w:line="500" w:lineRule="exact"/>
              <w:jc w:val="center"/>
              <w:rPr>
                <w:rFonts w:hAnsi="宋体" w:cs="宋体"/>
                <w:sz w:val="24"/>
                <w:szCs w:val="24"/>
              </w:rPr>
            </w:pPr>
          </w:p>
        </w:tc>
        <w:tc>
          <w:tcPr>
            <w:tcW w:w="1236" w:type="dxa"/>
            <w:vAlign w:val="center"/>
          </w:tcPr>
          <w:p w14:paraId="10E680AD">
            <w:pPr>
              <w:spacing w:line="500" w:lineRule="exact"/>
              <w:jc w:val="center"/>
              <w:rPr>
                <w:rFonts w:hAnsi="宋体" w:cs="宋体"/>
                <w:sz w:val="24"/>
                <w:szCs w:val="24"/>
              </w:rPr>
            </w:pPr>
          </w:p>
        </w:tc>
        <w:tc>
          <w:tcPr>
            <w:tcW w:w="2143" w:type="dxa"/>
            <w:vAlign w:val="center"/>
          </w:tcPr>
          <w:p w14:paraId="41B5B624">
            <w:pPr>
              <w:spacing w:line="500" w:lineRule="exact"/>
              <w:jc w:val="center"/>
              <w:rPr>
                <w:rFonts w:hAnsi="宋体" w:cs="宋体"/>
                <w:sz w:val="24"/>
                <w:szCs w:val="24"/>
              </w:rPr>
            </w:pPr>
          </w:p>
        </w:tc>
      </w:tr>
      <w:tr w14:paraId="26A2E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42" w:type="dxa"/>
            <w:vAlign w:val="center"/>
          </w:tcPr>
          <w:p w14:paraId="045FAC2E">
            <w:pPr>
              <w:spacing w:line="500" w:lineRule="exact"/>
              <w:jc w:val="center"/>
              <w:rPr>
                <w:rFonts w:hAnsi="宋体" w:cs="宋体"/>
                <w:sz w:val="24"/>
                <w:szCs w:val="24"/>
              </w:rPr>
            </w:pPr>
            <w:r>
              <w:rPr>
                <w:rFonts w:hint="eastAsia" w:hAnsi="宋体" w:cs="宋体"/>
                <w:sz w:val="24"/>
                <w:szCs w:val="24"/>
              </w:rPr>
              <w:t>……</w:t>
            </w:r>
          </w:p>
        </w:tc>
        <w:tc>
          <w:tcPr>
            <w:tcW w:w="2891" w:type="dxa"/>
            <w:vAlign w:val="center"/>
          </w:tcPr>
          <w:p w14:paraId="3331DB1B">
            <w:pPr>
              <w:spacing w:line="500" w:lineRule="exact"/>
              <w:jc w:val="center"/>
              <w:rPr>
                <w:rFonts w:hAnsi="宋体" w:cs="宋体"/>
                <w:sz w:val="24"/>
                <w:szCs w:val="24"/>
              </w:rPr>
            </w:pPr>
          </w:p>
        </w:tc>
        <w:tc>
          <w:tcPr>
            <w:tcW w:w="2727" w:type="dxa"/>
            <w:vAlign w:val="center"/>
          </w:tcPr>
          <w:p w14:paraId="67DB110C">
            <w:pPr>
              <w:spacing w:line="500" w:lineRule="exact"/>
              <w:jc w:val="center"/>
              <w:rPr>
                <w:rFonts w:hAnsi="宋体" w:cs="宋体"/>
                <w:sz w:val="24"/>
                <w:szCs w:val="24"/>
              </w:rPr>
            </w:pPr>
          </w:p>
        </w:tc>
        <w:tc>
          <w:tcPr>
            <w:tcW w:w="1236" w:type="dxa"/>
            <w:vAlign w:val="center"/>
          </w:tcPr>
          <w:p w14:paraId="0A371DDC">
            <w:pPr>
              <w:spacing w:line="500" w:lineRule="exact"/>
              <w:jc w:val="center"/>
              <w:rPr>
                <w:rFonts w:hAnsi="宋体" w:cs="宋体"/>
                <w:sz w:val="24"/>
                <w:szCs w:val="24"/>
              </w:rPr>
            </w:pPr>
          </w:p>
        </w:tc>
        <w:tc>
          <w:tcPr>
            <w:tcW w:w="2143" w:type="dxa"/>
            <w:vAlign w:val="center"/>
          </w:tcPr>
          <w:p w14:paraId="53414752">
            <w:pPr>
              <w:spacing w:line="500" w:lineRule="exact"/>
              <w:jc w:val="center"/>
              <w:rPr>
                <w:rFonts w:hAnsi="宋体" w:cs="宋体"/>
                <w:sz w:val="24"/>
                <w:szCs w:val="24"/>
              </w:rPr>
            </w:pPr>
          </w:p>
        </w:tc>
      </w:tr>
    </w:tbl>
    <w:p w14:paraId="606F84FD">
      <w:pPr>
        <w:rPr>
          <w:rFonts w:hAnsi="宋体" w:cs="宋体"/>
          <w:b/>
          <w:bCs/>
          <w:sz w:val="21"/>
          <w:szCs w:val="21"/>
        </w:rPr>
      </w:pPr>
    </w:p>
    <w:p w14:paraId="7AA1C1A0">
      <w:pPr>
        <w:rPr>
          <w:rFonts w:hAnsi="宋体" w:cs="宋体"/>
          <w:b/>
          <w:bCs/>
          <w:sz w:val="21"/>
          <w:szCs w:val="21"/>
        </w:rPr>
      </w:pPr>
    </w:p>
    <w:p w14:paraId="5D4E8A3C">
      <w:pPr>
        <w:rPr>
          <w:rFonts w:hAnsi="宋体" w:cs="宋体"/>
          <w:sz w:val="21"/>
          <w:szCs w:val="21"/>
        </w:rPr>
      </w:pPr>
      <w:r>
        <w:rPr>
          <w:rFonts w:hint="eastAsia" w:hAnsi="宋体" w:cs="宋体"/>
          <w:b/>
          <w:bCs/>
          <w:sz w:val="21"/>
          <w:szCs w:val="21"/>
        </w:rPr>
        <w:t>注：</w:t>
      </w:r>
      <w:r>
        <w:rPr>
          <w:rFonts w:hint="eastAsia" w:hAnsi="宋体" w:cs="宋体"/>
          <w:sz w:val="21"/>
          <w:szCs w:val="21"/>
        </w:rPr>
        <w:t>1.本表“招标文件要求”以招标文件中各项</w:t>
      </w:r>
      <w:r>
        <w:rPr>
          <w:rFonts w:hint="eastAsia" w:hAnsi="宋体" w:cs="宋体"/>
          <w:sz w:val="21"/>
          <w:szCs w:val="21"/>
          <w:lang w:val="en-US" w:eastAsia="zh-CN"/>
        </w:rPr>
        <w:t>商务</w:t>
      </w:r>
      <w:r>
        <w:rPr>
          <w:rFonts w:hint="eastAsia" w:hAnsi="宋体" w:cs="宋体"/>
          <w:sz w:val="21"/>
          <w:szCs w:val="21"/>
        </w:rPr>
        <w:t>条款为基本要求，</w:t>
      </w:r>
      <w:r>
        <w:rPr>
          <w:rFonts w:hint="eastAsia" w:ascii="宋体" w:hAnsi="宋体" w:eastAsia="宋体" w:cs="宋体"/>
          <w:color w:val="000000"/>
          <w:sz w:val="24"/>
        </w:rPr>
        <w:t>各供应商须</w:t>
      </w:r>
      <w:r>
        <w:rPr>
          <w:rFonts w:hint="eastAsia" w:ascii="宋体" w:hAnsi="宋体" w:cs="宋体"/>
          <w:color w:val="000000"/>
          <w:sz w:val="24"/>
          <w:lang w:val="en-US" w:eastAsia="zh-CN"/>
        </w:rPr>
        <w:t>对本项目</w:t>
      </w:r>
      <w:r>
        <w:rPr>
          <w:rFonts w:hint="eastAsia" w:ascii="宋体" w:hAnsi="宋体" w:eastAsia="宋体" w:cs="宋体"/>
          <w:color w:val="000000"/>
          <w:sz w:val="24"/>
          <w:lang w:eastAsia="zh-CN"/>
        </w:rPr>
        <w:t>商务要求</w:t>
      </w:r>
      <w:r>
        <w:rPr>
          <w:rFonts w:hint="eastAsia" w:ascii="宋体" w:hAnsi="宋体" w:eastAsia="宋体" w:cs="宋体"/>
          <w:color w:val="000000"/>
          <w:sz w:val="24"/>
        </w:rPr>
        <w:t>进行逐项</w:t>
      </w:r>
      <w:r>
        <w:rPr>
          <w:rFonts w:hint="eastAsia" w:ascii="宋体" w:hAnsi="宋体" w:eastAsia="宋体" w:cs="宋体"/>
          <w:color w:val="000000"/>
          <w:sz w:val="24"/>
          <w:lang w:eastAsia="zh-CN"/>
        </w:rPr>
        <w:t>应答</w:t>
      </w:r>
      <w:r>
        <w:rPr>
          <w:rFonts w:hint="eastAsia" w:ascii="宋体" w:hAnsi="宋体" w:eastAsia="宋体" w:cs="宋体"/>
          <w:color w:val="000000"/>
          <w:sz w:val="24"/>
        </w:rPr>
        <w:t>。</w:t>
      </w:r>
      <w:r>
        <w:rPr>
          <w:rFonts w:hint="eastAsia" w:ascii="宋体" w:hAnsi="宋体" w:eastAsia="宋体" w:cs="宋体"/>
          <w:color w:val="000000"/>
          <w:sz w:val="24"/>
          <w:lang w:val="en-US" w:eastAsia="zh-CN"/>
        </w:rPr>
        <w:t>投</w:t>
      </w:r>
      <w:r>
        <w:rPr>
          <w:rFonts w:hint="eastAsia" w:ascii="宋体" w:hAnsi="宋体" w:eastAsia="宋体" w:cs="宋体"/>
          <w:color w:val="000000"/>
          <w:sz w:val="24"/>
        </w:rPr>
        <w:t>标人未按要求响应的，漏项的</w:t>
      </w:r>
      <w:r>
        <w:rPr>
          <w:rFonts w:hint="eastAsia" w:ascii="宋体" w:hAnsi="宋体" w:eastAsia="宋体" w:cs="宋体"/>
          <w:color w:val="000000"/>
          <w:sz w:val="24"/>
          <w:lang w:val="en-US" w:eastAsia="zh-CN"/>
        </w:rPr>
        <w:t>视为未全部响应，按无效响应处理。</w:t>
      </w:r>
    </w:p>
    <w:p w14:paraId="2111A722">
      <w:pPr>
        <w:pStyle w:val="10"/>
        <w:spacing w:line="500" w:lineRule="exact"/>
        <w:ind w:firstLine="6090" w:firstLineChars="2900"/>
        <w:rPr>
          <w:rFonts w:ascii="宋体" w:hAnsi="宋体" w:cs="宋体"/>
          <w:szCs w:val="21"/>
          <w:u w:val="single"/>
        </w:rPr>
      </w:pPr>
    </w:p>
    <w:p w14:paraId="403576B9">
      <w:pPr>
        <w:pStyle w:val="10"/>
        <w:spacing w:line="500" w:lineRule="exact"/>
        <w:ind w:firstLine="6480" w:firstLineChars="2700"/>
        <w:rPr>
          <w:rFonts w:ascii="宋体" w:hAnsi="宋体" w:cs="宋体"/>
          <w:bCs/>
          <w:sz w:val="24"/>
          <w:szCs w:val="24"/>
        </w:rPr>
      </w:pPr>
      <w:r>
        <w:rPr>
          <w:rFonts w:hint="eastAsia" w:hAnsi="宋体" w:cs="宋体"/>
          <w:color w:val="000000"/>
          <w:sz w:val="24"/>
          <w:u w:val="single"/>
          <w:lang w:val="en-US" w:eastAsia="zh-CN"/>
        </w:rPr>
        <w:t>投标人</w:t>
      </w:r>
      <w:r>
        <w:rPr>
          <w:rFonts w:hint="eastAsia" w:ascii="宋体" w:hAnsi="宋体" w:cs="宋体"/>
          <w:sz w:val="24"/>
          <w:szCs w:val="24"/>
          <w:u w:val="single"/>
        </w:rPr>
        <w:t>名称</w:t>
      </w:r>
      <w:r>
        <w:rPr>
          <w:rFonts w:hint="eastAsia" w:ascii="宋体" w:hAnsi="宋体" w:cs="宋体"/>
          <w:bCs/>
          <w:sz w:val="24"/>
          <w:szCs w:val="24"/>
        </w:rPr>
        <w:t>（盖章）</w:t>
      </w:r>
      <w:r>
        <w:rPr>
          <w:rFonts w:hint="eastAsia" w:ascii="宋体" w:hAnsi="宋体" w:cs="宋体"/>
          <w:bCs/>
          <w:sz w:val="24"/>
          <w:szCs w:val="24"/>
        </w:rPr>
        <w:tab/>
      </w:r>
    </w:p>
    <w:p w14:paraId="2577C88D">
      <w:pPr>
        <w:rPr>
          <w:rFonts w:hAnsi="宋体" w:cs="宋体"/>
          <w:sz w:val="21"/>
          <w:szCs w:val="21"/>
        </w:rPr>
      </w:pPr>
      <w:r>
        <w:rPr>
          <w:rFonts w:hint="eastAsia" w:hAnsi="宋体" w:cs="宋体"/>
          <w:sz w:val="24"/>
          <w:szCs w:val="24"/>
        </w:rPr>
        <w:t xml:space="preserve">                                      　                  年　月　日</w:t>
      </w:r>
    </w:p>
    <w:p w14:paraId="455D94E6">
      <w:pPr>
        <w:rPr>
          <w:rFonts w:hAnsi="宋体" w:cs="宋体"/>
          <w:b/>
          <w:bCs/>
          <w:sz w:val="21"/>
          <w:szCs w:val="21"/>
        </w:rPr>
      </w:pPr>
    </w:p>
    <w:p w14:paraId="00D7260D">
      <w:pPr>
        <w:spacing w:line="288" w:lineRule="auto"/>
        <w:ind w:firstLine="422" w:firstLineChars="200"/>
        <w:rPr>
          <w:rFonts w:hAnsi="宋体" w:cs="宋体"/>
          <w:b/>
          <w:sz w:val="21"/>
          <w:szCs w:val="21"/>
        </w:rPr>
      </w:pPr>
    </w:p>
    <w:p w14:paraId="4581AE17">
      <w:pPr>
        <w:spacing w:line="500" w:lineRule="exact"/>
        <w:rPr>
          <w:rFonts w:hint="eastAsia" w:hAnsi="宋体" w:cs="宋体"/>
          <w:b/>
          <w:bCs/>
          <w:sz w:val="21"/>
          <w:szCs w:val="21"/>
        </w:rPr>
        <w:sectPr>
          <w:pgSz w:w="11906" w:h="16838"/>
          <w:pgMar w:top="1417" w:right="1417" w:bottom="1417" w:left="1417" w:header="850" w:footer="850" w:gutter="0"/>
          <w:pgNumType w:fmt="numberInDash"/>
          <w:cols w:space="425" w:num="1"/>
          <w:docGrid w:type="lines" w:linePitch="326" w:charSpace="0"/>
        </w:sectPr>
      </w:pPr>
    </w:p>
    <w:p w14:paraId="52E91099">
      <w:pPr>
        <w:spacing w:line="500" w:lineRule="exact"/>
        <w:rPr>
          <w:rFonts w:hAnsi="宋体" w:cs="宋体"/>
          <w:b/>
          <w:sz w:val="28"/>
          <w:szCs w:val="28"/>
        </w:rPr>
      </w:pPr>
      <w:r>
        <w:rPr>
          <w:rFonts w:hint="eastAsia" w:hAnsi="宋体" w:cs="宋体"/>
          <w:b/>
          <w:sz w:val="28"/>
          <w:szCs w:val="28"/>
          <w:lang w:val="en-US" w:eastAsia="zh-CN"/>
        </w:rPr>
        <w:t>二</w:t>
      </w:r>
      <w:r>
        <w:rPr>
          <w:rFonts w:hint="eastAsia" w:hAnsi="宋体" w:cs="宋体"/>
          <w:b/>
          <w:sz w:val="28"/>
          <w:szCs w:val="28"/>
        </w:rPr>
        <w:t>、投标方案</w:t>
      </w:r>
    </w:p>
    <w:p w14:paraId="291E29B4">
      <w:pPr>
        <w:spacing w:line="500" w:lineRule="exact"/>
        <w:ind w:firstLine="480" w:firstLineChars="200"/>
        <w:rPr>
          <w:rFonts w:hAnsi="宋体" w:cs="宋体"/>
          <w:b/>
          <w:sz w:val="21"/>
          <w:szCs w:val="21"/>
        </w:rPr>
      </w:pPr>
      <w:r>
        <w:rPr>
          <w:rFonts w:hint="eastAsia" w:hAnsi="宋体" w:cs="宋体"/>
          <w:bCs/>
          <w:sz w:val="24"/>
          <w:szCs w:val="24"/>
        </w:rPr>
        <w:t>参照招标文件第三章《评审要素及分值一览表》各条款要素，结合第四章《</w:t>
      </w:r>
      <w:r>
        <w:rPr>
          <w:rFonts w:hint="eastAsia"/>
          <w:sz w:val="24"/>
          <w:szCs w:val="24"/>
          <w:lang w:val="en-US" w:eastAsia="zh-CN"/>
        </w:rPr>
        <w:t>服务</w:t>
      </w:r>
      <w:r>
        <w:rPr>
          <w:rFonts w:hint="eastAsia"/>
          <w:sz w:val="24"/>
          <w:szCs w:val="24"/>
        </w:rPr>
        <w:t>内容</w:t>
      </w:r>
      <w:r>
        <w:rPr>
          <w:sz w:val="24"/>
          <w:szCs w:val="24"/>
        </w:rPr>
        <w:t>及</w:t>
      </w:r>
      <w:r>
        <w:rPr>
          <w:rFonts w:hint="eastAsia"/>
          <w:sz w:val="24"/>
          <w:szCs w:val="24"/>
        </w:rPr>
        <w:t>要求</w:t>
      </w:r>
      <w:r>
        <w:rPr>
          <w:rFonts w:hint="eastAsia" w:hAnsi="宋体" w:cs="宋体"/>
          <w:bCs/>
          <w:sz w:val="24"/>
          <w:szCs w:val="24"/>
        </w:rPr>
        <w:t>》编制投标方案。</w:t>
      </w:r>
    </w:p>
    <w:p w14:paraId="6A516FC7">
      <w:pPr>
        <w:spacing w:line="500" w:lineRule="exact"/>
        <w:rPr>
          <w:rFonts w:hAnsi="宋体" w:cs="宋体"/>
          <w:b/>
          <w:sz w:val="21"/>
          <w:szCs w:val="21"/>
        </w:rPr>
      </w:pPr>
    </w:p>
    <w:p w14:paraId="367EA9F8">
      <w:pPr>
        <w:spacing w:line="500" w:lineRule="exact"/>
        <w:rPr>
          <w:rFonts w:hAnsi="宋体" w:cs="宋体"/>
          <w:b/>
          <w:sz w:val="21"/>
          <w:szCs w:val="21"/>
        </w:rPr>
      </w:pPr>
      <w:r>
        <w:rPr>
          <w:rFonts w:hint="eastAsia" w:hAnsi="宋体" w:cs="宋体"/>
          <w:b/>
          <w:sz w:val="28"/>
          <w:szCs w:val="28"/>
          <w:lang w:val="en-US" w:eastAsia="zh-CN"/>
        </w:rPr>
        <w:t>三</w:t>
      </w:r>
      <w:r>
        <w:rPr>
          <w:rFonts w:hint="eastAsia" w:hAnsi="宋体" w:cs="宋体"/>
          <w:b/>
          <w:sz w:val="28"/>
          <w:szCs w:val="28"/>
        </w:rPr>
        <w:t>、同类业绩统计样表（仅供参考）</w:t>
      </w:r>
      <w:bookmarkStart w:id="258" w:name="_Hlk113455940"/>
    </w:p>
    <w:bookmarkEnd w:id="258"/>
    <w:tbl>
      <w:tblPr>
        <w:tblStyle w:val="21"/>
        <w:tblW w:w="9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1948"/>
        <w:gridCol w:w="1341"/>
        <w:gridCol w:w="1948"/>
        <w:gridCol w:w="2575"/>
      </w:tblGrid>
      <w:tr w14:paraId="4CD6A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61" w:type="dxa"/>
            <w:shd w:val="clear" w:color="auto" w:fill="D0CECE" w:themeFill="background2" w:themeFillShade="E6"/>
            <w:vAlign w:val="center"/>
          </w:tcPr>
          <w:p w14:paraId="062BC7FD">
            <w:pPr>
              <w:adjustRightInd w:val="0"/>
              <w:snapToGrid w:val="0"/>
              <w:jc w:val="center"/>
              <w:rPr>
                <w:rFonts w:hAnsi="宋体" w:cs="宋体"/>
                <w:b/>
                <w:sz w:val="24"/>
                <w:szCs w:val="24"/>
              </w:rPr>
            </w:pPr>
            <w:r>
              <w:rPr>
                <w:rFonts w:hint="eastAsia" w:hAnsi="宋体" w:cs="宋体"/>
                <w:b/>
                <w:sz w:val="24"/>
                <w:szCs w:val="24"/>
              </w:rPr>
              <w:t>序号</w:t>
            </w:r>
          </w:p>
        </w:tc>
        <w:tc>
          <w:tcPr>
            <w:tcW w:w="1948" w:type="dxa"/>
            <w:shd w:val="clear" w:color="auto" w:fill="D0CECE" w:themeFill="background2" w:themeFillShade="E6"/>
            <w:vAlign w:val="center"/>
          </w:tcPr>
          <w:p w14:paraId="77588CBD">
            <w:pPr>
              <w:jc w:val="center"/>
              <w:rPr>
                <w:rFonts w:hAnsi="宋体" w:cs="宋体"/>
                <w:b/>
                <w:sz w:val="24"/>
                <w:szCs w:val="24"/>
              </w:rPr>
            </w:pPr>
            <w:r>
              <w:rPr>
                <w:rFonts w:hint="eastAsia" w:hAnsi="宋体" w:cs="宋体"/>
                <w:b/>
                <w:sz w:val="24"/>
                <w:szCs w:val="24"/>
              </w:rPr>
              <w:t>采购单位名称</w:t>
            </w:r>
          </w:p>
        </w:tc>
        <w:tc>
          <w:tcPr>
            <w:tcW w:w="1341" w:type="dxa"/>
            <w:shd w:val="clear" w:color="auto" w:fill="D0CECE" w:themeFill="background2" w:themeFillShade="E6"/>
            <w:vAlign w:val="center"/>
          </w:tcPr>
          <w:p w14:paraId="05D89AB9">
            <w:pPr>
              <w:jc w:val="center"/>
              <w:rPr>
                <w:rFonts w:hAnsi="宋体" w:cs="宋体"/>
                <w:b/>
                <w:sz w:val="24"/>
                <w:szCs w:val="24"/>
              </w:rPr>
            </w:pPr>
            <w:r>
              <w:rPr>
                <w:rFonts w:hint="eastAsia" w:hAnsi="宋体" w:cs="宋体"/>
                <w:b/>
                <w:sz w:val="24"/>
                <w:szCs w:val="24"/>
              </w:rPr>
              <w:t>合同名称</w:t>
            </w:r>
          </w:p>
        </w:tc>
        <w:tc>
          <w:tcPr>
            <w:tcW w:w="1948" w:type="dxa"/>
            <w:shd w:val="clear" w:color="auto" w:fill="D0CECE" w:themeFill="background2" w:themeFillShade="E6"/>
            <w:vAlign w:val="center"/>
          </w:tcPr>
          <w:p w14:paraId="72E5F336">
            <w:pPr>
              <w:jc w:val="center"/>
              <w:rPr>
                <w:rFonts w:hAnsi="宋体" w:cs="宋体"/>
                <w:b/>
                <w:sz w:val="24"/>
                <w:szCs w:val="24"/>
              </w:rPr>
            </w:pPr>
            <w:r>
              <w:rPr>
                <w:rFonts w:hint="eastAsia" w:hAnsi="宋体" w:cs="宋体"/>
                <w:b/>
                <w:sz w:val="24"/>
                <w:szCs w:val="24"/>
              </w:rPr>
              <w:t>合同起止时间</w:t>
            </w:r>
          </w:p>
        </w:tc>
        <w:tc>
          <w:tcPr>
            <w:tcW w:w="2575" w:type="dxa"/>
            <w:shd w:val="clear" w:color="auto" w:fill="D0CECE" w:themeFill="background2" w:themeFillShade="E6"/>
            <w:vAlign w:val="center"/>
          </w:tcPr>
          <w:p w14:paraId="61868766">
            <w:pPr>
              <w:jc w:val="center"/>
              <w:rPr>
                <w:rFonts w:hAnsi="宋体" w:cs="宋体"/>
                <w:b/>
                <w:sz w:val="24"/>
                <w:szCs w:val="24"/>
              </w:rPr>
            </w:pPr>
            <w:r>
              <w:rPr>
                <w:rFonts w:hint="eastAsia" w:hAnsi="宋体" w:cs="宋体"/>
                <w:b/>
                <w:sz w:val="24"/>
                <w:szCs w:val="24"/>
              </w:rPr>
              <w:t>合同金额（万元）</w:t>
            </w:r>
          </w:p>
        </w:tc>
      </w:tr>
      <w:tr w14:paraId="4D596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61" w:type="dxa"/>
            <w:vAlign w:val="center"/>
          </w:tcPr>
          <w:p w14:paraId="28559F74">
            <w:pPr>
              <w:jc w:val="center"/>
              <w:rPr>
                <w:rFonts w:hAnsi="宋体" w:cs="宋体"/>
                <w:bCs/>
                <w:sz w:val="24"/>
                <w:szCs w:val="24"/>
              </w:rPr>
            </w:pPr>
            <w:r>
              <w:rPr>
                <w:rFonts w:hint="eastAsia" w:hAnsi="宋体" w:cs="宋体"/>
                <w:bCs/>
                <w:sz w:val="24"/>
                <w:szCs w:val="24"/>
              </w:rPr>
              <w:t>1</w:t>
            </w:r>
          </w:p>
        </w:tc>
        <w:tc>
          <w:tcPr>
            <w:tcW w:w="1948" w:type="dxa"/>
            <w:vAlign w:val="center"/>
          </w:tcPr>
          <w:p w14:paraId="13E55818">
            <w:pPr>
              <w:spacing w:line="500" w:lineRule="exact"/>
              <w:jc w:val="center"/>
              <w:rPr>
                <w:rFonts w:hAnsi="宋体" w:cs="宋体"/>
                <w:bCs/>
                <w:sz w:val="24"/>
                <w:szCs w:val="24"/>
              </w:rPr>
            </w:pPr>
          </w:p>
        </w:tc>
        <w:tc>
          <w:tcPr>
            <w:tcW w:w="1341" w:type="dxa"/>
            <w:vAlign w:val="center"/>
          </w:tcPr>
          <w:p w14:paraId="4C98E42F">
            <w:pPr>
              <w:spacing w:line="500" w:lineRule="exact"/>
              <w:jc w:val="center"/>
              <w:rPr>
                <w:rFonts w:hAnsi="宋体" w:cs="宋体"/>
                <w:bCs/>
                <w:sz w:val="24"/>
                <w:szCs w:val="24"/>
              </w:rPr>
            </w:pPr>
          </w:p>
        </w:tc>
        <w:tc>
          <w:tcPr>
            <w:tcW w:w="1948" w:type="dxa"/>
            <w:vAlign w:val="center"/>
          </w:tcPr>
          <w:p w14:paraId="58139AE3">
            <w:pPr>
              <w:spacing w:line="500" w:lineRule="exact"/>
              <w:jc w:val="center"/>
              <w:rPr>
                <w:rFonts w:hAnsi="宋体" w:cs="宋体"/>
                <w:bCs/>
                <w:sz w:val="24"/>
                <w:szCs w:val="24"/>
              </w:rPr>
            </w:pPr>
          </w:p>
        </w:tc>
        <w:tc>
          <w:tcPr>
            <w:tcW w:w="2575" w:type="dxa"/>
            <w:vAlign w:val="center"/>
          </w:tcPr>
          <w:p w14:paraId="216097E6">
            <w:pPr>
              <w:spacing w:line="500" w:lineRule="exact"/>
              <w:jc w:val="center"/>
              <w:rPr>
                <w:rFonts w:hAnsi="宋体" w:cs="宋体"/>
                <w:bCs/>
                <w:sz w:val="24"/>
                <w:szCs w:val="24"/>
              </w:rPr>
            </w:pPr>
          </w:p>
        </w:tc>
      </w:tr>
      <w:tr w14:paraId="77975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61" w:type="dxa"/>
            <w:vAlign w:val="center"/>
          </w:tcPr>
          <w:p w14:paraId="06E618AA">
            <w:pPr>
              <w:jc w:val="center"/>
              <w:rPr>
                <w:rFonts w:hAnsi="宋体" w:cs="宋体"/>
                <w:bCs/>
                <w:sz w:val="24"/>
                <w:szCs w:val="24"/>
              </w:rPr>
            </w:pPr>
            <w:r>
              <w:rPr>
                <w:rFonts w:hint="eastAsia" w:hAnsi="宋体" w:cs="宋体"/>
                <w:bCs/>
                <w:sz w:val="24"/>
                <w:szCs w:val="24"/>
              </w:rPr>
              <w:t>2</w:t>
            </w:r>
          </w:p>
        </w:tc>
        <w:tc>
          <w:tcPr>
            <w:tcW w:w="1948" w:type="dxa"/>
            <w:vAlign w:val="center"/>
          </w:tcPr>
          <w:p w14:paraId="5A3ACAC5">
            <w:pPr>
              <w:spacing w:line="500" w:lineRule="exact"/>
              <w:jc w:val="center"/>
              <w:rPr>
                <w:rFonts w:hAnsi="宋体" w:cs="宋体"/>
                <w:bCs/>
                <w:sz w:val="24"/>
                <w:szCs w:val="24"/>
              </w:rPr>
            </w:pPr>
          </w:p>
        </w:tc>
        <w:tc>
          <w:tcPr>
            <w:tcW w:w="1341" w:type="dxa"/>
            <w:vAlign w:val="center"/>
          </w:tcPr>
          <w:p w14:paraId="646EB9A5">
            <w:pPr>
              <w:spacing w:line="500" w:lineRule="exact"/>
              <w:jc w:val="center"/>
              <w:rPr>
                <w:rFonts w:hAnsi="宋体" w:cs="宋体"/>
                <w:bCs/>
                <w:sz w:val="24"/>
                <w:szCs w:val="24"/>
              </w:rPr>
            </w:pPr>
          </w:p>
        </w:tc>
        <w:tc>
          <w:tcPr>
            <w:tcW w:w="1948" w:type="dxa"/>
            <w:vAlign w:val="center"/>
          </w:tcPr>
          <w:p w14:paraId="2FC9594A">
            <w:pPr>
              <w:spacing w:line="500" w:lineRule="exact"/>
              <w:jc w:val="center"/>
              <w:rPr>
                <w:rFonts w:hAnsi="宋体" w:cs="宋体"/>
                <w:bCs/>
                <w:sz w:val="24"/>
                <w:szCs w:val="24"/>
              </w:rPr>
            </w:pPr>
          </w:p>
        </w:tc>
        <w:tc>
          <w:tcPr>
            <w:tcW w:w="2575" w:type="dxa"/>
            <w:vAlign w:val="center"/>
          </w:tcPr>
          <w:p w14:paraId="6CD19561">
            <w:pPr>
              <w:spacing w:line="500" w:lineRule="exact"/>
              <w:jc w:val="center"/>
              <w:rPr>
                <w:rFonts w:hAnsi="宋体" w:cs="宋体"/>
                <w:bCs/>
                <w:sz w:val="24"/>
                <w:szCs w:val="24"/>
              </w:rPr>
            </w:pPr>
          </w:p>
        </w:tc>
      </w:tr>
      <w:tr w14:paraId="6B0B4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61" w:type="dxa"/>
            <w:vAlign w:val="center"/>
          </w:tcPr>
          <w:p w14:paraId="0F8D8A9D">
            <w:pPr>
              <w:jc w:val="center"/>
              <w:rPr>
                <w:rFonts w:hAnsi="宋体" w:cs="宋体"/>
                <w:bCs/>
                <w:sz w:val="24"/>
                <w:szCs w:val="24"/>
              </w:rPr>
            </w:pPr>
            <w:r>
              <w:rPr>
                <w:rFonts w:hint="eastAsia" w:hAnsi="宋体" w:cs="宋体"/>
                <w:bCs/>
                <w:sz w:val="24"/>
                <w:szCs w:val="24"/>
              </w:rPr>
              <w:t>……</w:t>
            </w:r>
          </w:p>
        </w:tc>
        <w:tc>
          <w:tcPr>
            <w:tcW w:w="1948" w:type="dxa"/>
            <w:vAlign w:val="center"/>
          </w:tcPr>
          <w:p w14:paraId="0258926F">
            <w:pPr>
              <w:spacing w:line="500" w:lineRule="exact"/>
              <w:jc w:val="center"/>
              <w:rPr>
                <w:rFonts w:hAnsi="宋体" w:cs="宋体"/>
                <w:bCs/>
                <w:sz w:val="24"/>
                <w:szCs w:val="24"/>
              </w:rPr>
            </w:pPr>
          </w:p>
        </w:tc>
        <w:tc>
          <w:tcPr>
            <w:tcW w:w="1341" w:type="dxa"/>
            <w:vAlign w:val="center"/>
          </w:tcPr>
          <w:p w14:paraId="7A872FD4">
            <w:pPr>
              <w:spacing w:line="500" w:lineRule="exact"/>
              <w:jc w:val="center"/>
              <w:rPr>
                <w:rFonts w:hAnsi="宋体" w:cs="宋体"/>
                <w:bCs/>
                <w:sz w:val="24"/>
                <w:szCs w:val="24"/>
              </w:rPr>
            </w:pPr>
          </w:p>
        </w:tc>
        <w:tc>
          <w:tcPr>
            <w:tcW w:w="1948" w:type="dxa"/>
            <w:vAlign w:val="center"/>
          </w:tcPr>
          <w:p w14:paraId="25876A61">
            <w:pPr>
              <w:spacing w:line="500" w:lineRule="exact"/>
              <w:jc w:val="center"/>
              <w:rPr>
                <w:rFonts w:hAnsi="宋体" w:cs="宋体"/>
                <w:bCs/>
                <w:sz w:val="24"/>
                <w:szCs w:val="24"/>
              </w:rPr>
            </w:pPr>
          </w:p>
        </w:tc>
        <w:tc>
          <w:tcPr>
            <w:tcW w:w="2575" w:type="dxa"/>
            <w:vAlign w:val="center"/>
          </w:tcPr>
          <w:p w14:paraId="296C2BCA">
            <w:pPr>
              <w:spacing w:line="500" w:lineRule="exact"/>
              <w:jc w:val="center"/>
              <w:rPr>
                <w:rFonts w:hAnsi="宋体" w:cs="宋体"/>
                <w:bCs/>
                <w:sz w:val="24"/>
                <w:szCs w:val="24"/>
              </w:rPr>
            </w:pPr>
          </w:p>
        </w:tc>
      </w:tr>
      <w:tr w14:paraId="1B3A6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173" w:type="dxa"/>
            <w:gridSpan w:val="5"/>
            <w:vAlign w:val="center"/>
          </w:tcPr>
          <w:p w14:paraId="53C75311">
            <w:pPr>
              <w:jc w:val="left"/>
              <w:rPr>
                <w:rFonts w:hAnsi="宋体" w:cs="宋体"/>
                <w:b/>
                <w:sz w:val="24"/>
                <w:szCs w:val="24"/>
              </w:rPr>
            </w:pPr>
            <w:r>
              <w:rPr>
                <w:rFonts w:hint="eastAsia" w:hAnsi="宋体" w:cs="宋体"/>
                <w:b/>
                <w:sz w:val="24"/>
                <w:szCs w:val="24"/>
              </w:rPr>
              <w:t>数量合计（个）：</w:t>
            </w:r>
          </w:p>
        </w:tc>
      </w:tr>
    </w:tbl>
    <w:p w14:paraId="05908043">
      <w:pPr>
        <w:pStyle w:val="17"/>
        <w:spacing w:line="500" w:lineRule="exact"/>
        <w:rPr>
          <w:rFonts w:ascii="宋体" w:hAnsi="宋体" w:cs="宋体"/>
          <w:sz w:val="21"/>
          <w:szCs w:val="21"/>
        </w:rPr>
      </w:pPr>
    </w:p>
    <w:p w14:paraId="6504171C">
      <w:pPr>
        <w:widowControl/>
        <w:numPr>
          <w:ilvl w:val="0"/>
          <w:numId w:val="0"/>
        </w:numPr>
        <w:jc w:val="left"/>
        <w:rPr>
          <w:rFonts w:hint="eastAsia" w:hAnsi="宋体" w:cs="宋体"/>
          <w:b/>
          <w:bCs/>
          <w:sz w:val="28"/>
          <w:szCs w:val="28"/>
        </w:rPr>
      </w:pPr>
      <w:r>
        <w:rPr>
          <w:rFonts w:hint="eastAsia" w:hAnsi="宋体" w:cs="宋体"/>
          <w:b/>
          <w:bCs/>
          <w:sz w:val="28"/>
          <w:szCs w:val="28"/>
          <w:lang w:val="en-US" w:eastAsia="zh-CN"/>
        </w:rPr>
        <w:t>四、投标人</w:t>
      </w:r>
      <w:r>
        <w:rPr>
          <w:rFonts w:hint="eastAsia" w:hAnsi="宋体" w:cs="宋体"/>
          <w:b/>
          <w:bCs/>
          <w:sz w:val="28"/>
          <w:szCs w:val="28"/>
        </w:rPr>
        <w:t>认为有利于中标的其他情况说明</w:t>
      </w:r>
    </w:p>
    <w:p w14:paraId="573757EE">
      <w:pPr>
        <w:pStyle w:val="10"/>
        <w:numPr>
          <w:ilvl w:val="0"/>
          <w:numId w:val="0"/>
        </w:numPr>
      </w:pPr>
      <w:r>
        <w:rPr>
          <w:rFonts w:hint="eastAsia"/>
          <w:sz w:val="24"/>
          <w:szCs w:val="24"/>
        </w:rPr>
        <w:t>如：经营状况、客户评价证明、获得奖励及证书等</w:t>
      </w:r>
      <w:r>
        <w:rPr>
          <w:rFonts w:hint="eastAsia"/>
          <w:sz w:val="24"/>
          <w:szCs w:val="24"/>
          <w:lang w:val="en-US" w:eastAsia="zh-CN"/>
        </w:rPr>
        <w:t>其他证明资料</w:t>
      </w:r>
      <w:r>
        <w:rPr>
          <w:rFonts w:hint="eastAsia"/>
          <w:sz w:val="24"/>
          <w:szCs w:val="24"/>
        </w:rPr>
        <w:t>。</w:t>
      </w:r>
    </w:p>
    <w:p w14:paraId="1D44D7C2"/>
    <w:p w14:paraId="0E072017">
      <w:pPr>
        <w:pStyle w:val="10"/>
      </w:pPr>
    </w:p>
    <w:p w14:paraId="40F212CC"/>
    <w:p w14:paraId="5D423178">
      <w:pPr>
        <w:pStyle w:val="10"/>
      </w:pPr>
    </w:p>
    <w:p w14:paraId="599A88D2"/>
    <w:p w14:paraId="50189994">
      <w:pPr>
        <w:pStyle w:val="10"/>
      </w:pPr>
    </w:p>
    <w:p w14:paraId="3A3F35F6"/>
    <w:p w14:paraId="17544CCA">
      <w:pPr>
        <w:pStyle w:val="10"/>
      </w:pPr>
    </w:p>
    <w:p w14:paraId="547F0A5B"/>
    <w:p w14:paraId="358CD604">
      <w:pPr>
        <w:pStyle w:val="10"/>
      </w:pPr>
    </w:p>
    <w:p w14:paraId="58CD1A32"/>
    <w:p w14:paraId="1B4BC679">
      <w:pPr>
        <w:pStyle w:val="10"/>
      </w:pPr>
    </w:p>
    <w:p w14:paraId="3C640F7F"/>
    <w:p w14:paraId="057C3B43">
      <w:pPr>
        <w:pStyle w:val="10"/>
      </w:pPr>
    </w:p>
    <w:p w14:paraId="6148FB75"/>
    <w:p w14:paraId="6A17CA21">
      <w:pPr>
        <w:pStyle w:val="10"/>
        <w:jc w:val="center"/>
        <w:rPr>
          <w:rFonts w:hint="eastAsia"/>
          <w:sz w:val="28"/>
          <w:szCs w:val="28"/>
          <w:lang w:val="en-US" w:eastAsia="zh-CN"/>
        </w:rPr>
      </w:pPr>
      <w:r>
        <w:rPr>
          <w:rFonts w:hint="eastAsia"/>
          <w:sz w:val="28"/>
          <w:szCs w:val="28"/>
          <w:lang w:val="en-US" w:eastAsia="zh-CN"/>
        </w:rPr>
        <w:t>----------此页以下无正文----------</w:t>
      </w:r>
    </w:p>
    <w:p w14:paraId="5E406A9B">
      <w:pPr>
        <w:pStyle w:val="10"/>
        <w:jc w:val="center"/>
        <w:rPr>
          <w:rFonts w:hint="eastAsia"/>
          <w:sz w:val="28"/>
          <w:szCs w:val="28"/>
          <w:lang w:val="en-US" w:eastAsia="zh-CN"/>
        </w:rPr>
      </w:pPr>
    </w:p>
    <w:p w14:paraId="7B9EF8C9">
      <w:pPr>
        <w:pStyle w:val="10"/>
        <w:jc w:val="center"/>
        <w:rPr>
          <w:rFonts w:hint="default"/>
          <w:sz w:val="28"/>
          <w:szCs w:val="28"/>
          <w:lang w:val="en-US" w:eastAsia="zh-CN"/>
        </w:rPr>
      </w:pPr>
      <w:r>
        <w:drawing>
          <wp:inline distT="0" distB="0" distL="114300" distR="114300">
            <wp:extent cx="5453380" cy="7666990"/>
            <wp:effectExtent l="0" t="0" r="13970" b="1016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4"/>
                    <a:stretch>
                      <a:fillRect/>
                    </a:stretch>
                  </pic:blipFill>
                  <pic:spPr>
                    <a:xfrm>
                      <a:off x="0" y="0"/>
                      <a:ext cx="5453380" cy="7666990"/>
                    </a:xfrm>
                    <a:prstGeom prst="rect">
                      <a:avLst/>
                    </a:prstGeom>
                    <a:noFill/>
                    <a:ln>
                      <a:noFill/>
                    </a:ln>
                  </pic:spPr>
                </pic:pic>
              </a:graphicData>
            </a:graphic>
          </wp:inline>
        </w:drawing>
      </w:r>
    </w:p>
    <w:sectPr>
      <w:pgSz w:w="11906" w:h="16838"/>
      <w:pgMar w:top="1417" w:right="1417" w:bottom="1417" w:left="1417" w:header="850" w:footer="850" w:gutter="0"/>
      <w:pgNumType w:fmt="numberInDash"/>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93BD4FA1-920C-4F22-A272-60819297FBDC}"/>
  </w:font>
  <w:font w:name="Arial">
    <w:panose1 w:val="020B0604020202020204"/>
    <w:charset w:val="01"/>
    <w:family w:val="swiss"/>
    <w:pitch w:val="default"/>
    <w:sig w:usb0="E0002EFF" w:usb1="C000785B" w:usb2="00000009" w:usb3="00000000" w:csb0="400001FF" w:csb1="FFFF0000"/>
    <w:embedRegular r:id="rId2" w:fontKey="{D4DE053F-3E2A-4FDD-A09D-E55BCC5A5208}"/>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C5E8065A-47E2-46CE-8D22-A0B53230D0CC}"/>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4" w:fontKey="{CF3D2EBA-40B3-431C-B768-CCAD4D813D5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script"/>
    <w:pitch w:val="default"/>
    <w:sig w:usb0="00000001" w:usb1="080E0000" w:usb2="00000000" w:usb3="00000000" w:csb0="00040000" w:csb1="00000000"/>
    <w:embedRegular r:id="rId5" w:fontKey="{BB3D3350-9867-4FC3-9B3F-B6AF51596208}"/>
  </w:font>
  <w:font w:name="新宋体">
    <w:panose1 w:val="02010609030101010101"/>
    <w:charset w:val="86"/>
    <w:family w:val="modern"/>
    <w:pitch w:val="default"/>
    <w:sig w:usb0="00000283" w:usb1="288F0000" w:usb2="00000006" w:usb3="00000000" w:csb0="00040001" w:csb1="00000000"/>
    <w:embedRegular r:id="rId6" w:fontKey="{C45BB9D9-94BD-480C-9F37-368B574B6EAE}"/>
  </w:font>
  <w:font w:name="WPSEMBED1">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D84C4">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E2C1D">
    <w:pPr>
      <w:pStyle w:val="1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71E857">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171E857">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F1CEEC">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910E14">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06910E14">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53</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A0594">
    <w:pPr>
      <w:pStyle w:val="10"/>
      <w:spacing w:line="231" w:lineRule="auto"/>
      <w:ind w:left="4299"/>
      <w:rPr>
        <w:sz w:val="23"/>
        <w:szCs w:val="23"/>
      </w:rPr>
    </w:pPr>
    <w:r>
      <w:rPr>
        <w:spacing w:val="-18"/>
        <w:w w:val="97"/>
        <w:sz w:val="23"/>
        <w:szCs w:val="23"/>
      </w:rPr>
      <w:t>—57—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C4DC">
    <w:pPr>
      <w:pStyle w:val="10"/>
      <w:spacing w:line="229" w:lineRule="auto"/>
      <w:ind w:left="4289"/>
      <w:rPr>
        <w:sz w:val="19"/>
        <w:szCs w:val="19"/>
      </w:rPr>
    </w:pPr>
    <w:r>
      <w:rPr>
        <w:spacing w:val="-2"/>
        <w:sz w:val="19"/>
        <w:szCs w:val="19"/>
      </w:rPr>
      <w:t>—59—</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8DEA1">
    <w:pPr>
      <w:pStyle w:val="1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8FF5EC">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558FF5EC">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795E6">
    <w:pPr>
      <w:pStyle w:val="15"/>
      <w:pBdr>
        <w:bottom w:val="dotDotDash" w:color="auto" w:sz="4"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A7EFA">
    <w:pPr>
      <w:spacing w:line="14" w:lineRule="auto"/>
      <w:rPr>
        <w:rFonts w:ascii="Arial"/>
        <w:sz w:val="2"/>
      </w:rPr>
    </w:pPr>
    <w:r>
      <w:drawing>
        <wp:anchor distT="0" distB="0" distL="114300" distR="114300" simplePos="0" relativeHeight="251659264" behindDoc="1" locked="0" layoutInCell="0" allowOverlap="1">
          <wp:simplePos x="0" y="0"/>
          <wp:positionH relativeFrom="page">
            <wp:posOffset>1854200</wp:posOffset>
          </wp:positionH>
          <wp:positionV relativeFrom="page">
            <wp:posOffset>3702050</wp:posOffset>
          </wp:positionV>
          <wp:extent cx="1035050" cy="622300"/>
          <wp:effectExtent l="0" t="0" r="12700" b="6350"/>
          <wp:wrapNone/>
          <wp:docPr id="1" name="WordPictureWatermar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2"/>
                  <pic:cNvPicPr>
                    <a:picLocks noChangeAspect="1"/>
                  </pic:cNvPicPr>
                </pic:nvPicPr>
                <pic:blipFill>
                  <a:blip r:embed="rId1"/>
                  <a:stretch>
                    <a:fillRect/>
                  </a:stretch>
                </pic:blipFill>
                <pic:spPr>
                  <a:xfrm>
                    <a:off x="0" y="0"/>
                    <a:ext cx="1035050" cy="62230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445372">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7956B7"/>
    <w:multiLevelType w:val="singleLevel"/>
    <w:tmpl w:val="947956B7"/>
    <w:lvl w:ilvl="0" w:tentative="0">
      <w:start w:val="1"/>
      <w:numFmt w:val="decimal"/>
      <w:lvlText w:val="(%1)"/>
      <w:lvlJc w:val="left"/>
      <w:pPr>
        <w:ind w:left="425" w:hanging="425"/>
      </w:pPr>
      <w:rPr>
        <w:rFonts w:hint="default"/>
      </w:rPr>
    </w:lvl>
  </w:abstractNum>
  <w:abstractNum w:abstractNumId="1">
    <w:nsid w:val="BAEDEAF3"/>
    <w:multiLevelType w:val="singleLevel"/>
    <w:tmpl w:val="BAEDEAF3"/>
    <w:lvl w:ilvl="0" w:tentative="0">
      <w:start w:val="1"/>
      <w:numFmt w:val="decimal"/>
      <w:lvlText w:val="(%1)"/>
      <w:lvlJc w:val="left"/>
      <w:pPr>
        <w:ind w:left="425" w:hanging="425"/>
      </w:pPr>
      <w:rPr>
        <w:rFonts w:hint="default"/>
      </w:rPr>
    </w:lvl>
  </w:abstractNum>
  <w:abstractNum w:abstractNumId="2">
    <w:nsid w:val="BC72FD47"/>
    <w:multiLevelType w:val="singleLevel"/>
    <w:tmpl w:val="BC72FD47"/>
    <w:lvl w:ilvl="0" w:tentative="0">
      <w:start w:val="1"/>
      <w:numFmt w:val="decimal"/>
      <w:lvlText w:val="(%1)"/>
      <w:lvlJc w:val="left"/>
      <w:pPr>
        <w:ind w:left="425" w:hanging="425"/>
      </w:pPr>
      <w:rPr>
        <w:rFonts w:hint="default"/>
      </w:rPr>
    </w:lvl>
  </w:abstractNum>
  <w:abstractNum w:abstractNumId="3">
    <w:nsid w:val="BEBBEAFD"/>
    <w:multiLevelType w:val="singleLevel"/>
    <w:tmpl w:val="BEBBEAFD"/>
    <w:lvl w:ilvl="0" w:tentative="0">
      <w:start w:val="2"/>
      <w:numFmt w:val="chineseCounting"/>
      <w:suff w:val="nothing"/>
      <w:lvlText w:val="%1、"/>
      <w:lvlJc w:val="left"/>
      <w:rPr>
        <w:rFonts w:hint="eastAsia"/>
      </w:rPr>
    </w:lvl>
  </w:abstractNum>
  <w:abstractNum w:abstractNumId="4">
    <w:nsid w:val="D4DCD4A0"/>
    <w:multiLevelType w:val="singleLevel"/>
    <w:tmpl w:val="D4DCD4A0"/>
    <w:lvl w:ilvl="0" w:tentative="0">
      <w:start w:val="1"/>
      <w:numFmt w:val="decimal"/>
      <w:lvlText w:val="(%1)"/>
      <w:lvlJc w:val="left"/>
      <w:pPr>
        <w:ind w:left="425" w:hanging="425"/>
      </w:pPr>
      <w:rPr>
        <w:rFonts w:hint="default"/>
      </w:rPr>
    </w:lvl>
  </w:abstractNum>
  <w:abstractNum w:abstractNumId="5">
    <w:nsid w:val="050A6C8B"/>
    <w:multiLevelType w:val="singleLevel"/>
    <w:tmpl w:val="050A6C8B"/>
    <w:lvl w:ilvl="0" w:tentative="0">
      <w:start w:val="1"/>
      <w:numFmt w:val="decimal"/>
      <w:lvlText w:val="%1."/>
      <w:lvlJc w:val="left"/>
      <w:pPr>
        <w:tabs>
          <w:tab w:val="left" w:pos="312"/>
        </w:tabs>
      </w:pPr>
    </w:lvl>
  </w:abstractNum>
  <w:abstractNum w:abstractNumId="6">
    <w:nsid w:val="0A286F3A"/>
    <w:multiLevelType w:val="singleLevel"/>
    <w:tmpl w:val="0A286F3A"/>
    <w:lvl w:ilvl="0" w:tentative="0">
      <w:start w:val="1"/>
      <w:numFmt w:val="chineseCounting"/>
      <w:suff w:val="space"/>
      <w:lvlText w:val="第%1章"/>
      <w:lvlJc w:val="left"/>
      <w:rPr>
        <w:rFonts w:hint="eastAsia"/>
      </w:rPr>
    </w:lvl>
  </w:abstractNum>
  <w:abstractNum w:abstractNumId="7">
    <w:nsid w:val="0AAA1742"/>
    <w:multiLevelType w:val="singleLevel"/>
    <w:tmpl w:val="0AAA1742"/>
    <w:lvl w:ilvl="0" w:tentative="0">
      <w:start w:val="2"/>
      <w:numFmt w:val="decimal"/>
      <w:suff w:val="nothing"/>
      <w:lvlText w:val="%1、"/>
      <w:lvlJc w:val="left"/>
    </w:lvl>
  </w:abstractNum>
  <w:abstractNum w:abstractNumId="8">
    <w:nsid w:val="0CC0ED50"/>
    <w:multiLevelType w:val="singleLevel"/>
    <w:tmpl w:val="0CC0ED50"/>
    <w:lvl w:ilvl="0" w:tentative="0">
      <w:start w:val="1"/>
      <w:numFmt w:val="decimal"/>
      <w:lvlText w:val="(%1)"/>
      <w:lvlJc w:val="left"/>
      <w:pPr>
        <w:ind w:left="425" w:hanging="425"/>
      </w:pPr>
      <w:rPr>
        <w:rFonts w:hint="default"/>
      </w:rPr>
    </w:lvl>
  </w:abstractNum>
  <w:abstractNum w:abstractNumId="9">
    <w:nsid w:val="1164E257"/>
    <w:multiLevelType w:val="multilevel"/>
    <w:tmpl w:val="1164E257"/>
    <w:lvl w:ilvl="0" w:tentative="0">
      <w:start w:val="2"/>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15009B3E"/>
    <w:multiLevelType w:val="singleLevel"/>
    <w:tmpl w:val="15009B3E"/>
    <w:lvl w:ilvl="0" w:tentative="0">
      <w:start w:val="2"/>
      <w:numFmt w:val="decimal"/>
      <w:suff w:val="nothing"/>
      <w:lvlText w:val="%1、"/>
      <w:lvlJc w:val="left"/>
    </w:lvl>
  </w:abstractNum>
  <w:abstractNum w:abstractNumId="11">
    <w:nsid w:val="3AED86E9"/>
    <w:multiLevelType w:val="singleLevel"/>
    <w:tmpl w:val="3AED86E9"/>
    <w:lvl w:ilvl="0" w:tentative="0">
      <w:start w:val="1"/>
      <w:numFmt w:val="decimal"/>
      <w:lvlText w:val="%1."/>
      <w:lvlJc w:val="left"/>
      <w:pPr>
        <w:ind w:left="425" w:hanging="425"/>
      </w:pPr>
      <w:rPr>
        <w:rFonts w:hint="default"/>
      </w:rPr>
    </w:lvl>
  </w:abstractNum>
  <w:abstractNum w:abstractNumId="12">
    <w:nsid w:val="54B3199E"/>
    <w:multiLevelType w:val="singleLevel"/>
    <w:tmpl w:val="54B3199E"/>
    <w:lvl w:ilvl="0" w:tentative="0">
      <w:start w:val="1"/>
      <w:numFmt w:val="decimal"/>
      <w:lvlText w:val="(%1)"/>
      <w:lvlJc w:val="left"/>
      <w:pPr>
        <w:ind w:left="425" w:hanging="425"/>
      </w:pPr>
      <w:rPr>
        <w:rFonts w:hint="default"/>
      </w:rPr>
    </w:lvl>
  </w:abstractNum>
  <w:num w:numId="1">
    <w:abstractNumId w:val="6"/>
  </w:num>
  <w:num w:numId="2">
    <w:abstractNumId w:val="5"/>
  </w:num>
  <w:num w:numId="3">
    <w:abstractNumId w:val="9"/>
  </w:num>
  <w:num w:numId="4">
    <w:abstractNumId w:val="3"/>
  </w:num>
  <w:num w:numId="5">
    <w:abstractNumId w:val="11"/>
  </w:num>
  <w:num w:numId="6">
    <w:abstractNumId w:val="4"/>
  </w:num>
  <w:num w:numId="7">
    <w:abstractNumId w:val="8"/>
  </w:num>
  <w:num w:numId="8">
    <w:abstractNumId w:val="7"/>
  </w:num>
  <w:num w:numId="9">
    <w:abstractNumId w:val="12"/>
  </w:num>
  <w:num w:numId="10">
    <w:abstractNumId w:val="10"/>
  </w:num>
  <w:num w:numId="11">
    <w:abstractNumId w:val="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3NzcxMTQwNzcyNjgzODg4YTNlYzA2NjM0YjQxMDcifQ=="/>
  </w:docVars>
  <w:rsids>
    <w:rsidRoot w:val="7F092ACA"/>
    <w:rsid w:val="000508FA"/>
    <w:rsid w:val="00066424"/>
    <w:rsid w:val="00085AF7"/>
    <w:rsid w:val="000A0647"/>
    <w:rsid w:val="000A15F0"/>
    <w:rsid w:val="000B2B10"/>
    <w:rsid w:val="000B761E"/>
    <w:rsid w:val="0011040E"/>
    <w:rsid w:val="00144DBE"/>
    <w:rsid w:val="00180211"/>
    <w:rsid w:val="0018315D"/>
    <w:rsid w:val="00191E4A"/>
    <w:rsid w:val="00196C68"/>
    <w:rsid w:val="001B39EC"/>
    <w:rsid w:val="001B6258"/>
    <w:rsid w:val="001E1AEF"/>
    <w:rsid w:val="0021704A"/>
    <w:rsid w:val="00242E73"/>
    <w:rsid w:val="00244E4F"/>
    <w:rsid w:val="00272168"/>
    <w:rsid w:val="002764E1"/>
    <w:rsid w:val="002B06D1"/>
    <w:rsid w:val="002C344E"/>
    <w:rsid w:val="002C701E"/>
    <w:rsid w:val="002D0981"/>
    <w:rsid w:val="002E5D3A"/>
    <w:rsid w:val="00303F39"/>
    <w:rsid w:val="0036049A"/>
    <w:rsid w:val="003818BE"/>
    <w:rsid w:val="003857CE"/>
    <w:rsid w:val="003E35CA"/>
    <w:rsid w:val="00441232"/>
    <w:rsid w:val="00444820"/>
    <w:rsid w:val="0045613D"/>
    <w:rsid w:val="0047660E"/>
    <w:rsid w:val="004A4236"/>
    <w:rsid w:val="004B30EA"/>
    <w:rsid w:val="00517D25"/>
    <w:rsid w:val="00525411"/>
    <w:rsid w:val="00537C1F"/>
    <w:rsid w:val="00565259"/>
    <w:rsid w:val="0058168E"/>
    <w:rsid w:val="00587CD5"/>
    <w:rsid w:val="005D7279"/>
    <w:rsid w:val="0062622D"/>
    <w:rsid w:val="006379D7"/>
    <w:rsid w:val="006627A9"/>
    <w:rsid w:val="006846D8"/>
    <w:rsid w:val="00692FA7"/>
    <w:rsid w:val="006A7690"/>
    <w:rsid w:val="006C2201"/>
    <w:rsid w:val="006C6129"/>
    <w:rsid w:val="00712195"/>
    <w:rsid w:val="007146CF"/>
    <w:rsid w:val="007352B1"/>
    <w:rsid w:val="00741F06"/>
    <w:rsid w:val="007A75FC"/>
    <w:rsid w:val="007B012B"/>
    <w:rsid w:val="007C0C4C"/>
    <w:rsid w:val="00821644"/>
    <w:rsid w:val="008639F5"/>
    <w:rsid w:val="008D654B"/>
    <w:rsid w:val="008E1BA6"/>
    <w:rsid w:val="00913311"/>
    <w:rsid w:val="00937FB2"/>
    <w:rsid w:val="0099525A"/>
    <w:rsid w:val="009B158C"/>
    <w:rsid w:val="009C168C"/>
    <w:rsid w:val="009D415E"/>
    <w:rsid w:val="00A02B88"/>
    <w:rsid w:val="00A27E4A"/>
    <w:rsid w:val="00A36A99"/>
    <w:rsid w:val="00A43184"/>
    <w:rsid w:val="00A55789"/>
    <w:rsid w:val="00A64914"/>
    <w:rsid w:val="00A67CA4"/>
    <w:rsid w:val="00A84F7A"/>
    <w:rsid w:val="00A919FD"/>
    <w:rsid w:val="00AB1D29"/>
    <w:rsid w:val="00AD6E80"/>
    <w:rsid w:val="00B26FB6"/>
    <w:rsid w:val="00B73A4B"/>
    <w:rsid w:val="00BA43DA"/>
    <w:rsid w:val="00BC2B73"/>
    <w:rsid w:val="00BD44A2"/>
    <w:rsid w:val="00BF467B"/>
    <w:rsid w:val="00BF5998"/>
    <w:rsid w:val="00C26215"/>
    <w:rsid w:val="00C27E53"/>
    <w:rsid w:val="00C63194"/>
    <w:rsid w:val="00CB09E0"/>
    <w:rsid w:val="00CC516D"/>
    <w:rsid w:val="00CF1BEC"/>
    <w:rsid w:val="00D503C9"/>
    <w:rsid w:val="00D52CA5"/>
    <w:rsid w:val="00D93A20"/>
    <w:rsid w:val="00DD1B56"/>
    <w:rsid w:val="00E41B79"/>
    <w:rsid w:val="00E549E9"/>
    <w:rsid w:val="00E74517"/>
    <w:rsid w:val="00E96BFA"/>
    <w:rsid w:val="00EC6BA5"/>
    <w:rsid w:val="00EE0631"/>
    <w:rsid w:val="00EE4A34"/>
    <w:rsid w:val="00EF56E7"/>
    <w:rsid w:val="00F2603A"/>
    <w:rsid w:val="00F77E3D"/>
    <w:rsid w:val="00F971A9"/>
    <w:rsid w:val="00FA0B15"/>
    <w:rsid w:val="00FE4B2D"/>
    <w:rsid w:val="01BF5575"/>
    <w:rsid w:val="01D6466C"/>
    <w:rsid w:val="01E4322D"/>
    <w:rsid w:val="01FF49C5"/>
    <w:rsid w:val="02251150"/>
    <w:rsid w:val="025C1016"/>
    <w:rsid w:val="02B0310F"/>
    <w:rsid w:val="0340173B"/>
    <w:rsid w:val="036761A2"/>
    <w:rsid w:val="036F2FCB"/>
    <w:rsid w:val="03920A67"/>
    <w:rsid w:val="0396646B"/>
    <w:rsid w:val="040A30FF"/>
    <w:rsid w:val="06325D2E"/>
    <w:rsid w:val="06581AF4"/>
    <w:rsid w:val="066761DB"/>
    <w:rsid w:val="066E57BB"/>
    <w:rsid w:val="066F0127"/>
    <w:rsid w:val="06896151"/>
    <w:rsid w:val="06CE0008"/>
    <w:rsid w:val="07816D3D"/>
    <w:rsid w:val="082D466A"/>
    <w:rsid w:val="08512C9F"/>
    <w:rsid w:val="08B374B6"/>
    <w:rsid w:val="09C3197A"/>
    <w:rsid w:val="09E87633"/>
    <w:rsid w:val="0A2D1433"/>
    <w:rsid w:val="0AA07F0D"/>
    <w:rsid w:val="0B0A5387"/>
    <w:rsid w:val="0B664CB3"/>
    <w:rsid w:val="0B711FE5"/>
    <w:rsid w:val="0BBA5F4B"/>
    <w:rsid w:val="0BC47C2C"/>
    <w:rsid w:val="0BCD088E"/>
    <w:rsid w:val="0C083FBC"/>
    <w:rsid w:val="0C191D25"/>
    <w:rsid w:val="0C1C2EED"/>
    <w:rsid w:val="0C4236DF"/>
    <w:rsid w:val="0CDE4AAC"/>
    <w:rsid w:val="0D183D8B"/>
    <w:rsid w:val="0D467124"/>
    <w:rsid w:val="0D4D6D79"/>
    <w:rsid w:val="0DED5218"/>
    <w:rsid w:val="0E4D215A"/>
    <w:rsid w:val="0E76255C"/>
    <w:rsid w:val="0F6902D3"/>
    <w:rsid w:val="0F84395A"/>
    <w:rsid w:val="0FDE4DE5"/>
    <w:rsid w:val="10143362"/>
    <w:rsid w:val="103E1D5B"/>
    <w:rsid w:val="106612B1"/>
    <w:rsid w:val="106A2B50"/>
    <w:rsid w:val="10D1748A"/>
    <w:rsid w:val="10D64689"/>
    <w:rsid w:val="110A7E8F"/>
    <w:rsid w:val="1110797C"/>
    <w:rsid w:val="113B273E"/>
    <w:rsid w:val="113D3846"/>
    <w:rsid w:val="11823EC9"/>
    <w:rsid w:val="12C65141"/>
    <w:rsid w:val="12E0359D"/>
    <w:rsid w:val="13203999"/>
    <w:rsid w:val="133D454B"/>
    <w:rsid w:val="135D4BEE"/>
    <w:rsid w:val="13855988"/>
    <w:rsid w:val="13BF5D35"/>
    <w:rsid w:val="1457428A"/>
    <w:rsid w:val="14AA3E63"/>
    <w:rsid w:val="15063063"/>
    <w:rsid w:val="16AB2114"/>
    <w:rsid w:val="16B01412"/>
    <w:rsid w:val="1767603B"/>
    <w:rsid w:val="176E0FC8"/>
    <w:rsid w:val="17977AFF"/>
    <w:rsid w:val="17C50FB3"/>
    <w:rsid w:val="17F82E80"/>
    <w:rsid w:val="186500A0"/>
    <w:rsid w:val="18EF453A"/>
    <w:rsid w:val="1947426D"/>
    <w:rsid w:val="196547FC"/>
    <w:rsid w:val="19E33DDD"/>
    <w:rsid w:val="1A3A17E5"/>
    <w:rsid w:val="1B650AE3"/>
    <w:rsid w:val="1BC05855"/>
    <w:rsid w:val="1C2C33AF"/>
    <w:rsid w:val="1CAC44F0"/>
    <w:rsid w:val="1D187DD7"/>
    <w:rsid w:val="1D4D182F"/>
    <w:rsid w:val="1D554BAF"/>
    <w:rsid w:val="1E416714"/>
    <w:rsid w:val="1E4F7829"/>
    <w:rsid w:val="1EB8717C"/>
    <w:rsid w:val="1F6F0182"/>
    <w:rsid w:val="1FB57B5F"/>
    <w:rsid w:val="200406D9"/>
    <w:rsid w:val="20580C17"/>
    <w:rsid w:val="20821A3F"/>
    <w:rsid w:val="21025026"/>
    <w:rsid w:val="21D02A2F"/>
    <w:rsid w:val="21FA6F6C"/>
    <w:rsid w:val="22936C31"/>
    <w:rsid w:val="22D60519"/>
    <w:rsid w:val="22F21C8D"/>
    <w:rsid w:val="232C1EE7"/>
    <w:rsid w:val="234C1888"/>
    <w:rsid w:val="236C114C"/>
    <w:rsid w:val="23753293"/>
    <w:rsid w:val="239B1AC3"/>
    <w:rsid w:val="24707F96"/>
    <w:rsid w:val="24D179F1"/>
    <w:rsid w:val="252E1F46"/>
    <w:rsid w:val="257F09F3"/>
    <w:rsid w:val="25A641D2"/>
    <w:rsid w:val="2602219E"/>
    <w:rsid w:val="260F746E"/>
    <w:rsid w:val="261849A4"/>
    <w:rsid w:val="261E6F31"/>
    <w:rsid w:val="263056BC"/>
    <w:rsid w:val="26341BAA"/>
    <w:rsid w:val="264D737C"/>
    <w:rsid w:val="266B0F78"/>
    <w:rsid w:val="26C921FE"/>
    <w:rsid w:val="2769195B"/>
    <w:rsid w:val="27D8088F"/>
    <w:rsid w:val="281D62A2"/>
    <w:rsid w:val="28236E3A"/>
    <w:rsid w:val="285E0D94"/>
    <w:rsid w:val="287C121A"/>
    <w:rsid w:val="2899001E"/>
    <w:rsid w:val="28A20F39"/>
    <w:rsid w:val="28EF5E90"/>
    <w:rsid w:val="28F11BFE"/>
    <w:rsid w:val="29986528"/>
    <w:rsid w:val="29B80978"/>
    <w:rsid w:val="29E654E5"/>
    <w:rsid w:val="29EE6148"/>
    <w:rsid w:val="2A720B27"/>
    <w:rsid w:val="2A832D34"/>
    <w:rsid w:val="2B0A0D5F"/>
    <w:rsid w:val="2B1D29DB"/>
    <w:rsid w:val="2C3167C0"/>
    <w:rsid w:val="2D742BE3"/>
    <w:rsid w:val="2DDE7F63"/>
    <w:rsid w:val="2E3D06A8"/>
    <w:rsid w:val="2E422F06"/>
    <w:rsid w:val="2EBC6814"/>
    <w:rsid w:val="2EE61AE3"/>
    <w:rsid w:val="2EE837DB"/>
    <w:rsid w:val="2F121D62"/>
    <w:rsid w:val="2F2576AA"/>
    <w:rsid w:val="2F37233F"/>
    <w:rsid w:val="3025663B"/>
    <w:rsid w:val="303D3985"/>
    <w:rsid w:val="303E1AC9"/>
    <w:rsid w:val="30550CCF"/>
    <w:rsid w:val="307A24E3"/>
    <w:rsid w:val="30A923A0"/>
    <w:rsid w:val="31091AB9"/>
    <w:rsid w:val="313F54DB"/>
    <w:rsid w:val="31695CC9"/>
    <w:rsid w:val="31B23EFF"/>
    <w:rsid w:val="32024B1C"/>
    <w:rsid w:val="326A6587"/>
    <w:rsid w:val="32894C60"/>
    <w:rsid w:val="328E6C13"/>
    <w:rsid w:val="33051D3B"/>
    <w:rsid w:val="330C6B31"/>
    <w:rsid w:val="332245F3"/>
    <w:rsid w:val="333201CA"/>
    <w:rsid w:val="337D6A3C"/>
    <w:rsid w:val="34FD1D59"/>
    <w:rsid w:val="35432A3A"/>
    <w:rsid w:val="355440BA"/>
    <w:rsid w:val="3614268A"/>
    <w:rsid w:val="36211653"/>
    <w:rsid w:val="364729FC"/>
    <w:rsid w:val="36B6623F"/>
    <w:rsid w:val="371D006C"/>
    <w:rsid w:val="374B4BD9"/>
    <w:rsid w:val="37A94A24"/>
    <w:rsid w:val="37BE7BED"/>
    <w:rsid w:val="37D96B6E"/>
    <w:rsid w:val="38243E54"/>
    <w:rsid w:val="384568AE"/>
    <w:rsid w:val="38804D57"/>
    <w:rsid w:val="3882287D"/>
    <w:rsid w:val="3894435E"/>
    <w:rsid w:val="38A50319"/>
    <w:rsid w:val="39015351"/>
    <w:rsid w:val="394373FB"/>
    <w:rsid w:val="39D461F4"/>
    <w:rsid w:val="39D95BC7"/>
    <w:rsid w:val="3A0D261A"/>
    <w:rsid w:val="3A2C2D50"/>
    <w:rsid w:val="3A2D4A6A"/>
    <w:rsid w:val="3AD47905"/>
    <w:rsid w:val="3B0527E8"/>
    <w:rsid w:val="3B255741"/>
    <w:rsid w:val="3C710B39"/>
    <w:rsid w:val="3C8F5568"/>
    <w:rsid w:val="3CA803D8"/>
    <w:rsid w:val="3CDE6B3C"/>
    <w:rsid w:val="3CF96E86"/>
    <w:rsid w:val="3D001D0F"/>
    <w:rsid w:val="3D3659E4"/>
    <w:rsid w:val="3D424EFC"/>
    <w:rsid w:val="3E0A25B9"/>
    <w:rsid w:val="3E39168C"/>
    <w:rsid w:val="3E52684D"/>
    <w:rsid w:val="3E644E45"/>
    <w:rsid w:val="3E842BB7"/>
    <w:rsid w:val="3F37355E"/>
    <w:rsid w:val="3F3C2070"/>
    <w:rsid w:val="3F685957"/>
    <w:rsid w:val="3FAA26B9"/>
    <w:rsid w:val="40271F5C"/>
    <w:rsid w:val="405F5252"/>
    <w:rsid w:val="40C474D1"/>
    <w:rsid w:val="41214BFD"/>
    <w:rsid w:val="417E3DFD"/>
    <w:rsid w:val="41AA0E71"/>
    <w:rsid w:val="41AB5611"/>
    <w:rsid w:val="41D57EC1"/>
    <w:rsid w:val="42043C4E"/>
    <w:rsid w:val="421B33FA"/>
    <w:rsid w:val="4246548A"/>
    <w:rsid w:val="42BE0955"/>
    <w:rsid w:val="43233A4D"/>
    <w:rsid w:val="440D4F1A"/>
    <w:rsid w:val="44906321"/>
    <w:rsid w:val="44957494"/>
    <w:rsid w:val="44B71B00"/>
    <w:rsid w:val="45732264"/>
    <w:rsid w:val="458F65D9"/>
    <w:rsid w:val="45A2455E"/>
    <w:rsid w:val="45A55307"/>
    <w:rsid w:val="45C74C9C"/>
    <w:rsid w:val="45DD55C5"/>
    <w:rsid w:val="462C00BB"/>
    <w:rsid w:val="466E4440"/>
    <w:rsid w:val="473405AB"/>
    <w:rsid w:val="473E5184"/>
    <w:rsid w:val="479371B2"/>
    <w:rsid w:val="47967741"/>
    <w:rsid w:val="479C0E6B"/>
    <w:rsid w:val="47B36B86"/>
    <w:rsid w:val="48396CD0"/>
    <w:rsid w:val="48904B42"/>
    <w:rsid w:val="48D6600C"/>
    <w:rsid w:val="491176AF"/>
    <w:rsid w:val="497C50C6"/>
    <w:rsid w:val="49A12251"/>
    <w:rsid w:val="4A02381D"/>
    <w:rsid w:val="4A083F9D"/>
    <w:rsid w:val="4A2838B3"/>
    <w:rsid w:val="4A5B4CDC"/>
    <w:rsid w:val="4A761B16"/>
    <w:rsid w:val="4B09298A"/>
    <w:rsid w:val="4B7D0C82"/>
    <w:rsid w:val="4B887D52"/>
    <w:rsid w:val="4B8A18BC"/>
    <w:rsid w:val="4D3D5A28"/>
    <w:rsid w:val="4D40640B"/>
    <w:rsid w:val="4D703E0B"/>
    <w:rsid w:val="4DB7491F"/>
    <w:rsid w:val="4E0A6D81"/>
    <w:rsid w:val="4E2875CB"/>
    <w:rsid w:val="4E74636C"/>
    <w:rsid w:val="4EAF55F6"/>
    <w:rsid w:val="4EE5080F"/>
    <w:rsid w:val="4F365C37"/>
    <w:rsid w:val="4F380EBE"/>
    <w:rsid w:val="4FA03191"/>
    <w:rsid w:val="4FE12BDB"/>
    <w:rsid w:val="5032028D"/>
    <w:rsid w:val="508D41C7"/>
    <w:rsid w:val="50D90831"/>
    <w:rsid w:val="50EF2E17"/>
    <w:rsid w:val="512E4493"/>
    <w:rsid w:val="51C63383"/>
    <w:rsid w:val="51C94C21"/>
    <w:rsid w:val="522538E5"/>
    <w:rsid w:val="525564B4"/>
    <w:rsid w:val="52A64F62"/>
    <w:rsid w:val="52B80C9B"/>
    <w:rsid w:val="53966D83"/>
    <w:rsid w:val="53AD38D6"/>
    <w:rsid w:val="54CA318A"/>
    <w:rsid w:val="550F00FB"/>
    <w:rsid w:val="55166046"/>
    <w:rsid w:val="554D5B69"/>
    <w:rsid w:val="56206DD9"/>
    <w:rsid w:val="565A22EB"/>
    <w:rsid w:val="56902EA2"/>
    <w:rsid w:val="56CF4788"/>
    <w:rsid w:val="56D57BC4"/>
    <w:rsid w:val="570D3802"/>
    <w:rsid w:val="571E1101"/>
    <w:rsid w:val="57413472"/>
    <w:rsid w:val="576D42A0"/>
    <w:rsid w:val="57A9785C"/>
    <w:rsid w:val="57C87729"/>
    <w:rsid w:val="57DD31D4"/>
    <w:rsid w:val="57EF09B0"/>
    <w:rsid w:val="58240E03"/>
    <w:rsid w:val="583C439E"/>
    <w:rsid w:val="58660D45"/>
    <w:rsid w:val="586D09FC"/>
    <w:rsid w:val="58750183"/>
    <w:rsid w:val="58C919AA"/>
    <w:rsid w:val="59527BF2"/>
    <w:rsid w:val="597F0C5F"/>
    <w:rsid w:val="59F10FCB"/>
    <w:rsid w:val="5A6B2D19"/>
    <w:rsid w:val="5AFB569F"/>
    <w:rsid w:val="5B0C22E0"/>
    <w:rsid w:val="5B6400D0"/>
    <w:rsid w:val="5B6A2E29"/>
    <w:rsid w:val="5B8A3673"/>
    <w:rsid w:val="5BB24978"/>
    <w:rsid w:val="5BC439D5"/>
    <w:rsid w:val="5BEF34D6"/>
    <w:rsid w:val="5C361105"/>
    <w:rsid w:val="5C48073A"/>
    <w:rsid w:val="5CF72D67"/>
    <w:rsid w:val="5CFB4A8F"/>
    <w:rsid w:val="5D032CFF"/>
    <w:rsid w:val="5D5157F6"/>
    <w:rsid w:val="5D5A4591"/>
    <w:rsid w:val="5DBE5856"/>
    <w:rsid w:val="5E7E0743"/>
    <w:rsid w:val="5E8C325E"/>
    <w:rsid w:val="5E99597B"/>
    <w:rsid w:val="5EE12CEA"/>
    <w:rsid w:val="5F21609C"/>
    <w:rsid w:val="5F7B3F11"/>
    <w:rsid w:val="5FC52FF1"/>
    <w:rsid w:val="5FD276E1"/>
    <w:rsid w:val="607E307A"/>
    <w:rsid w:val="60B70587"/>
    <w:rsid w:val="60C56EFB"/>
    <w:rsid w:val="610E02C0"/>
    <w:rsid w:val="61243C22"/>
    <w:rsid w:val="61477910"/>
    <w:rsid w:val="62546F32"/>
    <w:rsid w:val="62677E5C"/>
    <w:rsid w:val="62F15D85"/>
    <w:rsid w:val="63251ED3"/>
    <w:rsid w:val="633F2448"/>
    <w:rsid w:val="63D31BF9"/>
    <w:rsid w:val="64040840"/>
    <w:rsid w:val="648100C9"/>
    <w:rsid w:val="64F96718"/>
    <w:rsid w:val="65915557"/>
    <w:rsid w:val="659B022A"/>
    <w:rsid w:val="65E87914"/>
    <w:rsid w:val="661A55F3"/>
    <w:rsid w:val="66501015"/>
    <w:rsid w:val="666A0329"/>
    <w:rsid w:val="666C64B0"/>
    <w:rsid w:val="66CF2882"/>
    <w:rsid w:val="674F2C6E"/>
    <w:rsid w:val="6796339F"/>
    <w:rsid w:val="67A733BB"/>
    <w:rsid w:val="67C43A69"/>
    <w:rsid w:val="682A389B"/>
    <w:rsid w:val="6833299C"/>
    <w:rsid w:val="68376930"/>
    <w:rsid w:val="685E210F"/>
    <w:rsid w:val="687C07E7"/>
    <w:rsid w:val="68C006D4"/>
    <w:rsid w:val="68ED7663"/>
    <w:rsid w:val="69605A13"/>
    <w:rsid w:val="697F233D"/>
    <w:rsid w:val="698C4A5A"/>
    <w:rsid w:val="69D41F5D"/>
    <w:rsid w:val="69DF102E"/>
    <w:rsid w:val="69E71C90"/>
    <w:rsid w:val="6A1E03C3"/>
    <w:rsid w:val="6A40127F"/>
    <w:rsid w:val="6A8B30C1"/>
    <w:rsid w:val="6A9260A0"/>
    <w:rsid w:val="6AA933EA"/>
    <w:rsid w:val="6B76263A"/>
    <w:rsid w:val="6B813105"/>
    <w:rsid w:val="6BCA5BF3"/>
    <w:rsid w:val="6C661592"/>
    <w:rsid w:val="6C830396"/>
    <w:rsid w:val="6C975BF0"/>
    <w:rsid w:val="6D77157D"/>
    <w:rsid w:val="6DD864C0"/>
    <w:rsid w:val="6DF8446C"/>
    <w:rsid w:val="6E072901"/>
    <w:rsid w:val="6E6E0BD2"/>
    <w:rsid w:val="6E8421A4"/>
    <w:rsid w:val="6E8B768D"/>
    <w:rsid w:val="6EFE1F56"/>
    <w:rsid w:val="6F3E05A4"/>
    <w:rsid w:val="6F41420C"/>
    <w:rsid w:val="6F9957DB"/>
    <w:rsid w:val="6FA50623"/>
    <w:rsid w:val="707F70C6"/>
    <w:rsid w:val="70BF04BD"/>
    <w:rsid w:val="70CF7536"/>
    <w:rsid w:val="70F21646"/>
    <w:rsid w:val="70F27898"/>
    <w:rsid w:val="718A7AD1"/>
    <w:rsid w:val="718D348F"/>
    <w:rsid w:val="720C6738"/>
    <w:rsid w:val="722515A8"/>
    <w:rsid w:val="7274499D"/>
    <w:rsid w:val="72BF19FC"/>
    <w:rsid w:val="72C45265"/>
    <w:rsid w:val="72F35B4A"/>
    <w:rsid w:val="72FD09FF"/>
    <w:rsid w:val="73DC1ED6"/>
    <w:rsid w:val="73E7745D"/>
    <w:rsid w:val="74B80DF9"/>
    <w:rsid w:val="74DD4DD3"/>
    <w:rsid w:val="75377F70"/>
    <w:rsid w:val="75BF156C"/>
    <w:rsid w:val="75ED6880"/>
    <w:rsid w:val="762A69AD"/>
    <w:rsid w:val="76FB4FCD"/>
    <w:rsid w:val="775D3F8F"/>
    <w:rsid w:val="77E036AE"/>
    <w:rsid w:val="78D83818"/>
    <w:rsid w:val="78FE6CC4"/>
    <w:rsid w:val="79563EAE"/>
    <w:rsid w:val="795B746E"/>
    <w:rsid w:val="79B24069"/>
    <w:rsid w:val="7A1C5763"/>
    <w:rsid w:val="7A543DF9"/>
    <w:rsid w:val="7A94376E"/>
    <w:rsid w:val="7BE17A31"/>
    <w:rsid w:val="7C0F4A0D"/>
    <w:rsid w:val="7CFC55FB"/>
    <w:rsid w:val="7CFE75C5"/>
    <w:rsid w:val="7D061D05"/>
    <w:rsid w:val="7D1B3CD3"/>
    <w:rsid w:val="7DB7321A"/>
    <w:rsid w:val="7E366FEC"/>
    <w:rsid w:val="7F092ACA"/>
    <w:rsid w:val="7F945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99"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line="360" w:lineRule="auto"/>
      <w:jc w:val="center"/>
      <w:outlineLvl w:val="0"/>
    </w:pPr>
    <w:rPr>
      <w:rFonts w:hAnsi="宋体"/>
      <w:b/>
      <w:kern w:val="44"/>
      <w:sz w:val="28"/>
    </w:rPr>
  </w:style>
  <w:style w:type="paragraph" w:styleId="3">
    <w:name w:val="heading 2"/>
    <w:basedOn w:val="1"/>
    <w:next w:val="1"/>
    <w:unhideWhenUsed/>
    <w:qFormat/>
    <w:uiPriority w:val="0"/>
    <w:pPr>
      <w:keepNext/>
      <w:keepLines/>
      <w:spacing w:line="360" w:lineRule="auto"/>
      <w:outlineLvl w:val="1"/>
    </w:pPr>
    <w:rPr>
      <w:rFonts w:ascii="Arial" w:hAnsi="Arial"/>
      <w:b/>
      <w:sz w:val="21"/>
    </w:rPr>
  </w:style>
  <w:style w:type="paragraph" w:styleId="4">
    <w:name w:val="heading 3"/>
    <w:basedOn w:val="1"/>
    <w:next w:val="1"/>
    <w:link w:val="59"/>
    <w:qFormat/>
    <w:uiPriority w:val="9"/>
    <w:pPr>
      <w:keepNext/>
      <w:keepLines/>
      <w:spacing w:line="400" w:lineRule="atLeast"/>
      <w:jc w:val="center"/>
      <w:outlineLvl w:val="2"/>
    </w:pPr>
    <w:rPr>
      <w:b/>
      <w:bCs/>
      <w:sz w:val="32"/>
      <w:szCs w:val="32"/>
      <w:u w:val="double"/>
    </w:rPr>
  </w:style>
  <w:style w:type="paragraph" w:styleId="5">
    <w:name w:val="heading 4"/>
    <w:basedOn w:val="1"/>
    <w:next w:val="1"/>
    <w:semiHidden/>
    <w:unhideWhenUsed/>
    <w:qFormat/>
    <w:uiPriority w:val="0"/>
    <w:pPr>
      <w:spacing w:beforeAutospacing="1" w:afterAutospacing="1"/>
      <w:jc w:val="left"/>
      <w:outlineLvl w:val="3"/>
    </w:pPr>
    <w:rPr>
      <w:rFonts w:hint="eastAsia" w:hAnsi="宋体"/>
      <w:b/>
      <w:szCs w:val="24"/>
    </w:rPr>
  </w:style>
  <w:style w:type="paragraph" w:styleId="6">
    <w:name w:val="heading 6"/>
    <w:basedOn w:val="1"/>
    <w:next w:val="1"/>
    <w:semiHidden/>
    <w:unhideWhenUsed/>
    <w:qFormat/>
    <w:uiPriority w:val="0"/>
    <w:pPr>
      <w:spacing w:beforeAutospacing="1" w:afterAutospacing="1"/>
      <w:jc w:val="left"/>
      <w:outlineLvl w:val="5"/>
    </w:pPr>
    <w:rPr>
      <w:rFonts w:hint="eastAsia" w:hAnsi="宋体"/>
      <w:b/>
      <w:sz w:val="15"/>
      <w:szCs w:val="15"/>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7">
    <w:name w:val="table of authorities"/>
    <w:basedOn w:val="1"/>
    <w:next w:val="1"/>
    <w:qFormat/>
    <w:uiPriority w:val="0"/>
    <w:pPr>
      <w:spacing w:before="100" w:beforeAutospacing="1" w:after="100" w:afterAutospacing="1"/>
      <w:ind w:left="420" w:leftChars="200"/>
    </w:pPr>
    <w:rPr>
      <w:rFonts w:ascii="Times New Roman" w:hAnsi="Times New Roman" w:cs="Times New Roman"/>
    </w:rPr>
  </w:style>
  <w:style w:type="paragraph" w:styleId="8">
    <w:name w:val="Normal Indent"/>
    <w:basedOn w:val="1"/>
    <w:unhideWhenUsed/>
    <w:qFormat/>
    <w:uiPriority w:val="99"/>
    <w:pPr>
      <w:ind w:firstLine="420"/>
    </w:pPr>
  </w:style>
  <w:style w:type="paragraph" w:styleId="9">
    <w:name w:val="caption"/>
    <w:basedOn w:val="1"/>
    <w:next w:val="1"/>
    <w:unhideWhenUsed/>
    <w:qFormat/>
    <w:uiPriority w:val="99"/>
    <w:pPr>
      <w:ind w:firstLine="0" w:firstLineChars="0"/>
      <w:jc w:val="center"/>
    </w:pPr>
    <w:rPr>
      <w:rFonts w:eastAsia="黑体" w:asciiTheme="majorAscii" w:hAnsiTheme="majorAscii" w:cstheme="majorBidi"/>
      <w:szCs w:val="20"/>
    </w:rPr>
  </w:style>
  <w:style w:type="paragraph" w:styleId="10">
    <w:name w:val="Body Text"/>
    <w:basedOn w:val="1"/>
    <w:qFormat/>
    <w:uiPriority w:val="0"/>
    <w:pPr>
      <w:spacing w:after="120"/>
    </w:pPr>
    <w:rPr>
      <w:rFonts w:ascii="Times New Roman"/>
      <w:kern w:val="2"/>
      <w:sz w:val="21"/>
    </w:rPr>
  </w:style>
  <w:style w:type="paragraph" w:styleId="11">
    <w:name w:val="Body Text Indent"/>
    <w:basedOn w:val="1"/>
    <w:qFormat/>
    <w:uiPriority w:val="0"/>
    <w:pPr>
      <w:ind w:firstLine="420" w:firstLineChars="200"/>
    </w:pPr>
  </w:style>
  <w:style w:type="paragraph" w:styleId="12">
    <w:name w:val="Plain Text"/>
    <w:basedOn w:val="1"/>
    <w:next w:val="1"/>
    <w:qFormat/>
    <w:uiPriority w:val="0"/>
    <w:rPr>
      <w:rFonts w:ascii="Arial" w:hAnsi="仿宋" w:cs="Times New Roman"/>
      <w:kern w:val="0"/>
      <w:sz w:val="20"/>
      <w:szCs w:val="21"/>
    </w:rPr>
  </w:style>
  <w:style w:type="paragraph" w:styleId="13">
    <w:name w:val="footer"/>
    <w:basedOn w:val="1"/>
    <w:link w:val="49"/>
    <w:qFormat/>
    <w:uiPriority w:val="99"/>
    <w:pPr>
      <w:tabs>
        <w:tab w:val="center" w:pos="4153"/>
        <w:tab w:val="right" w:pos="8306"/>
      </w:tabs>
      <w:snapToGrid w:val="0"/>
      <w:jc w:val="left"/>
    </w:pPr>
    <w:rPr>
      <w:sz w:val="18"/>
    </w:rPr>
  </w:style>
  <w:style w:type="paragraph" w:styleId="14">
    <w:name w:val="envelope return"/>
    <w:basedOn w:val="1"/>
    <w:qFormat/>
    <w:uiPriority w:val="0"/>
    <w:pPr>
      <w:snapToGrid w:val="0"/>
    </w:pPr>
    <w:rPr>
      <w:rFonts w:ascii="Arial" w:hAnsi="Arial"/>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Body Text 2"/>
    <w:basedOn w:val="1"/>
    <w:semiHidden/>
    <w:unhideWhenUsed/>
    <w:qFormat/>
    <w:uiPriority w:val="0"/>
    <w:pPr>
      <w:spacing w:line="480" w:lineRule="exact"/>
    </w:pPr>
    <w:rPr>
      <w:rFonts w:eastAsia="黑体"/>
      <w:b/>
      <w:sz w:val="44"/>
    </w:rPr>
  </w:style>
  <w:style w:type="paragraph" w:styleId="17">
    <w:name w:val="HTML Preformatted"/>
    <w:basedOn w:val="1"/>
    <w:qFormat/>
    <w:uiPriority w:val="99"/>
    <w:pPr>
      <w:jc w:val="left"/>
    </w:pPr>
    <w:rPr>
      <w:rFonts w:ascii="Arial" w:hAnsi="Arial" w:cs="Arial"/>
    </w:rPr>
  </w:style>
  <w:style w:type="paragraph" w:styleId="18">
    <w:name w:val="Normal (Web)"/>
    <w:basedOn w:val="1"/>
    <w:next w:val="14"/>
    <w:qFormat/>
    <w:uiPriority w:val="0"/>
    <w:pPr>
      <w:spacing w:beforeAutospacing="1" w:afterAutospacing="1"/>
      <w:jc w:val="left"/>
    </w:pPr>
  </w:style>
  <w:style w:type="paragraph" w:styleId="19">
    <w:name w:val="Body Text First Indent"/>
    <w:basedOn w:val="10"/>
    <w:next w:val="1"/>
    <w:unhideWhenUsed/>
    <w:qFormat/>
    <w:uiPriority w:val="0"/>
    <w:pPr>
      <w:ind w:firstLine="420" w:firstLineChars="100"/>
    </w:pPr>
    <w:rPr>
      <w:sz w:val="18"/>
      <w:szCs w:val="18"/>
    </w:rPr>
  </w:style>
  <w:style w:type="paragraph" w:styleId="20">
    <w:name w:val="Body Text First Indent 2"/>
    <w:basedOn w:val="11"/>
    <w:qFormat/>
    <w:uiPriority w:val="0"/>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bdr w:val="single" w:color="999999" w:sz="6" w:space="0"/>
      <w:shd w:val="clear" w:color="auto" w:fill="FFFFFF"/>
    </w:rPr>
  </w:style>
  <w:style w:type="character" w:styleId="25">
    <w:name w:val="FollowedHyperlink"/>
    <w:basedOn w:val="23"/>
    <w:qFormat/>
    <w:uiPriority w:val="0"/>
    <w:rPr>
      <w:color w:val="800080"/>
      <w:u w:val="none"/>
      <w:bdr w:val="single" w:color="D6D6D6" w:sz="6" w:space="0"/>
      <w:shd w:val="clear" w:color="auto" w:fill="FFFFFF"/>
    </w:rPr>
  </w:style>
  <w:style w:type="character" w:styleId="26">
    <w:name w:val="Emphasis"/>
    <w:basedOn w:val="23"/>
    <w:qFormat/>
    <w:uiPriority w:val="0"/>
    <w:rPr>
      <w:b/>
    </w:rPr>
  </w:style>
  <w:style w:type="character" w:styleId="27">
    <w:name w:val="HTML Definition"/>
    <w:basedOn w:val="23"/>
    <w:qFormat/>
    <w:uiPriority w:val="0"/>
  </w:style>
  <w:style w:type="character" w:styleId="28">
    <w:name w:val="HTML Typewriter"/>
    <w:basedOn w:val="23"/>
    <w:qFormat/>
    <w:uiPriority w:val="0"/>
    <w:rPr>
      <w:rFonts w:hint="default" w:ascii="monospace" w:hAnsi="monospace" w:eastAsia="monospace" w:cs="monospace"/>
      <w:sz w:val="20"/>
    </w:rPr>
  </w:style>
  <w:style w:type="character" w:styleId="29">
    <w:name w:val="HTML Acronym"/>
    <w:basedOn w:val="23"/>
    <w:qFormat/>
    <w:uiPriority w:val="0"/>
  </w:style>
  <w:style w:type="character" w:styleId="30">
    <w:name w:val="HTML Variable"/>
    <w:basedOn w:val="23"/>
    <w:qFormat/>
    <w:uiPriority w:val="0"/>
  </w:style>
  <w:style w:type="character" w:styleId="31">
    <w:name w:val="Hyperlink"/>
    <w:basedOn w:val="23"/>
    <w:qFormat/>
    <w:uiPriority w:val="0"/>
    <w:rPr>
      <w:color w:val="0000FF"/>
      <w:u w:val="single"/>
    </w:rPr>
  </w:style>
  <w:style w:type="character" w:styleId="32">
    <w:name w:val="HTML Code"/>
    <w:basedOn w:val="23"/>
    <w:qFormat/>
    <w:uiPriority w:val="0"/>
    <w:rPr>
      <w:rFonts w:hint="default" w:ascii="monospace" w:hAnsi="monospace" w:eastAsia="monospace" w:cs="monospace"/>
      <w:sz w:val="20"/>
    </w:rPr>
  </w:style>
  <w:style w:type="character" w:styleId="33">
    <w:name w:val="HTML Cite"/>
    <w:basedOn w:val="23"/>
    <w:qFormat/>
    <w:uiPriority w:val="0"/>
  </w:style>
  <w:style w:type="character" w:styleId="34">
    <w:name w:val="HTML Keyboard"/>
    <w:basedOn w:val="23"/>
    <w:qFormat/>
    <w:uiPriority w:val="0"/>
    <w:rPr>
      <w:rFonts w:ascii="monospace" w:hAnsi="monospace" w:eastAsia="monospace" w:cs="monospace"/>
      <w:sz w:val="20"/>
    </w:rPr>
  </w:style>
  <w:style w:type="character" w:styleId="35">
    <w:name w:val="HTML Sample"/>
    <w:basedOn w:val="23"/>
    <w:qFormat/>
    <w:uiPriority w:val="0"/>
    <w:rPr>
      <w:rFonts w:hint="default" w:ascii="monospace" w:hAnsi="monospace" w:eastAsia="monospace" w:cs="monospace"/>
    </w:rPr>
  </w:style>
  <w:style w:type="paragraph" w:customStyle="1" w:styleId="36">
    <w:name w:val="09正文_wh"/>
    <w:qFormat/>
    <w:uiPriority w:val="0"/>
    <w:pPr>
      <w:spacing w:line="300" w:lineRule="auto"/>
      <w:ind w:firstLine="200" w:firstLineChars="200"/>
      <w:jc w:val="both"/>
    </w:pPr>
    <w:rPr>
      <w:rFonts w:ascii="Times New Roman" w:hAnsi="Times New Roman" w:eastAsia="宋体" w:cs="Times New Roman"/>
      <w:kern w:val="2"/>
      <w:sz w:val="28"/>
      <w:szCs w:val="22"/>
      <w:lang w:val="en-US" w:eastAsia="zh-CN" w:bidi="ar-SA"/>
    </w:rPr>
  </w:style>
  <w:style w:type="paragraph" w:customStyle="1" w:styleId="37">
    <w:name w:val="正文（缩进）"/>
    <w:basedOn w:val="1"/>
    <w:qFormat/>
    <w:uiPriority w:val="0"/>
    <w:pPr>
      <w:spacing w:before="156" w:after="156" w:line="360" w:lineRule="auto"/>
      <w:ind w:firstLine="480" w:firstLineChars="200"/>
    </w:pPr>
    <w:rPr>
      <w:rFonts w:ascii="Calibri" w:hAnsi="Calibri"/>
      <w:szCs w:val="21"/>
    </w:rPr>
  </w:style>
  <w:style w:type="paragraph" w:customStyle="1" w:styleId="38">
    <w:name w:val="p15"/>
    <w:basedOn w:val="1"/>
    <w:qFormat/>
    <w:uiPriority w:val="99"/>
    <w:pPr>
      <w:widowControl/>
    </w:pPr>
    <w:rPr>
      <w:sz w:val="21"/>
      <w:szCs w:val="21"/>
    </w:rPr>
  </w:style>
  <w:style w:type="character" w:customStyle="1" w:styleId="39">
    <w:name w:val="mini-outputtext1"/>
    <w:basedOn w:val="23"/>
    <w:qFormat/>
    <w:uiPriority w:val="0"/>
  </w:style>
  <w:style w:type="paragraph" w:customStyle="1" w:styleId="40">
    <w:name w:val="列出段落3"/>
    <w:basedOn w:val="1"/>
    <w:qFormat/>
    <w:uiPriority w:val="0"/>
    <w:pPr>
      <w:ind w:firstLine="420" w:firstLineChars="200"/>
    </w:pPr>
  </w:style>
  <w:style w:type="character" w:customStyle="1" w:styleId="41">
    <w:name w:val="标题 3 字符"/>
    <w:basedOn w:val="23"/>
    <w:link w:val="4"/>
    <w:qFormat/>
    <w:uiPriority w:val="0"/>
    <w:rPr>
      <w:b/>
      <w:bCs/>
      <w:sz w:val="32"/>
      <w:szCs w:val="32"/>
      <w:u w:val="double"/>
    </w:rPr>
  </w:style>
  <w:style w:type="paragraph" w:customStyle="1" w:styleId="42">
    <w:name w:val="正文（缩进 2 字符）"/>
    <w:basedOn w:val="1"/>
    <w:qFormat/>
    <w:uiPriority w:val="0"/>
    <w:pPr>
      <w:ind w:firstLine="200" w:firstLineChars="200"/>
    </w:pPr>
  </w:style>
  <w:style w:type="paragraph" w:customStyle="1" w:styleId="43">
    <w:name w:val="正文缩进1"/>
    <w:basedOn w:val="1"/>
    <w:qFormat/>
    <w:uiPriority w:val="0"/>
    <w:pPr>
      <w:ind w:firstLine="420" w:firstLineChars="200"/>
    </w:pPr>
  </w:style>
  <w:style w:type="character" w:customStyle="1" w:styleId="44">
    <w:name w:val="mini-tree-nodetext3"/>
    <w:basedOn w:val="23"/>
    <w:qFormat/>
    <w:uiPriority w:val="0"/>
  </w:style>
  <w:style w:type="paragraph" w:customStyle="1" w:styleId="45">
    <w:name w:val="标题 2（投标文件）"/>
    <w:basedOn w:val="3"/>
    <w:qFormat/>
    <w:uiPriority w:val="0"/>
    <w:pPr>
      <w:jc w:val="center"/>
    </w:pPr>
  </w:style>
  <w:style w:type="paragraph" w:customStyle="1" w:styleId="46">
    <w:name w:val="WPSOffice手动目录 1"/>
    <w:qFormat/>
    <w:uiPriority w:val="0"/>
    <w:rPr>
      <w:rFonts w:ascii="Times New Roman" w:hAnsi="Times New Roman" w:eastAsia="宋体" w:cs="Times New Roman"/>
      <w:lang w:val="en-US" w:eastAsia="zh-CN" w:bidi="ar-SA"/>
    </w:rPr>
  </w:style>
  <w:style w:type="paragraph" w:customStyle="1" w:styleId="47">
    <w:name w:val="WPSOffice手动目录 2"/>
    <w:qFormat/>
    <w:uiPriority w:val="0"/>
    <w:pPr>
      <w:ind w:left="200" w:leftChars="200"/>
    </w:pPr>
    <w:rPr>
      <w:rFonts w:ascii="Times New Roman" w:hAnsi="Times New Roman" w:eastAsia="宋体" w:cs="Times New Roman"/>
      <w:lang w:val="en-US" w:eastAsia="zh-CN" w:bidi="ar-SA"/>
    </w:rPr>
  </w:style>
  <w:style w:type="paragraph" w:styleId="48">
    <w:name w:val="List Paragraph"/>
    <w:basedOn w:val="1"/>
    <w:qFormat/>
    <w:uiPriority w:val="99"/>
    <w:pPr>
      <w:ind w:firstLine="420" w:firstLineChars="200"/>
    </w:pPr>
  </w:style>
  <w:style w:type="character" w:customStyle="1" w:styleId="49">
    <w:name w:val="页脚 字符"/>
    <w:basedOn w:val="23"/>
    <w:link w:val="13"/>
    <w:qFormat/>
    <w:uiPriority w:val="99"/>
    <w:rPr>
      <w:rFonts w:ascii="宋体"/>
      <w:sz w:val="18"/>
    </w:rPr>
  </w:style>
  <w:style w:type="paragraph" w:customStyle="1" w:styleId="50">
    <w:name w:val="Body text|1"/>
    <w:basedOn w:val="1"/>
    <w:qFormat/>
    <w:uiPriority w:val="0"/>
    <w:pPr>
      <w:widowControl w:val="0"/>
      <w:shd w:val="clear" w:color="auto" w:fill="auto"/>
      <w:spacing w:after="100" w:line="425" w:lineRule="auto"/>
      <w:ind w:firstLine="400"/>
    </w:pPr>
    <w:rPr>
      <w:rFonts w:ascii="宋体" w:hAnsi="宋体" w:eastAsia="宋体" w:cs="宋体"/>
      <w:sz w:val="22"/>
      <w:szCs w:val="22"/>
      <w:u w:val="none"/>
      <w:shd w:val="clear" w:color="auto" w:fill="auto"/>
      <w:lang w:val="zh-TW" w:eastAsia="zh-TW" w:bidi="zh-TW"/>
    </w:rPr>
  </w:style>
  <w:style w:type="character" w:customStyle="1" w:styleId="51">
    <w:name w:val="font81"/>
    <w:basedOn w:val="23"/>
    <w:qFormat/>
    <w:uiPriority w:val="0"/>
    <w:rPr>
      <w:rFonts w:hint="eastAsia" w:ascii="宋体" w:hAnsi="宋体" w:eastAsia="宋体" w:cs="宋体"/>
      <w:color w:val="000000"/>
      <w:sz w:val="22"/>
      <w:szCs w:val="22"/>
      <w:u w:val="none"/>
    </w:rPr>
  </w:style>
  <w:style w:type="character" w:customStyle="1" w:styleId="52">
    <w:name w:val="font131"/>
    <w:basedOn w:val="23"/>
    <w:qFormat/>
    <w:uiPriority w:val="0"/>
    <w:rPr>
      <w:rFonts w:hint="eastAsia" w:ascii="宋体" w:hAnsi="宋体" w:eastAsia="宋体" w:cs="宋体"/>
      <w:color w:val="000000"/>
      <w:sz w:val="22"/>
      <w:szCs w:val="22"/>
      <w:u w:val="none"/>
    </w:rPr>
  </w:style>
  <w:style w:type="character" w:customStyle="1" w:styleId="53">
    <w:name w:val="font31"/>
    <w:basedOn w:val="23"/>
    <w:qFormat/>
    <w:uiPriority w:val="0"/>
    <w:rPr>
      <w:rFonts w:hint="eastAsia" w:ascii="宋体" w:hAnsi="宋体" w:eastAsia="宋体" w:cs="宋体"/>
      <w:b/>
      <w:bCs/>
      <w:color w:val="000000"/>
      <w:sz w:val="24"/>
      <w:szCs w:val="24"/>
      <w:u w:val="none"/>
    </w:rPr>
  </w:style>
  <w:style w:type="character" w:customStyle="1" w:styleId="54">
    <w:name w:val="font51"/>
    <w:basedOn w:val="23"/>
    <w:qFormat/>
    <w:uiPriority w:val="0"/>
    <w:rPr>
      <w:rFonts w:hint="eastAsia" w:ascii="宋体" w:hAnsi="宋体" w:eastAsia="宋体" w:cs="宋体"/>
      <w:color w:val="000000"/>
      <w:sz w:val="24"/>
      <w:szCs w:val="24"/>
      <w:u w:val="none"/>
    </w:rPr>
  </w:style>
  <w:style w:type="character" w:customStyle="1" w:styleId="55">
    <w:name w:val="font11"/>
    <w:basedOn w:val="23"/>
    <w:qFormat/>
    <w:uiPriority w:val="0"/>
    <w:rPr>
      <w:rFonts w:hint="eastAsia" w:ascii="宋体" w:hAnsi="宋体" w:eastAsia="宋体" w:cs="宋体"/>
      <w:color w:val="000000"/>
      <w:sz w:val="22"/>
      <w:szCs w:val="22"/>
      <w:u w:val="none"/>
    </w:rPr>
  </w:style>
  <w:style w:type="character" w:customStyle="1" w:styleId="56">
    <w:name w:val="font71"/>
    <w:basedOn w:val="23"/>
    <w:qFormat/>
    <w:uiPriority w:val="0"/>
    <w:rPr>
      <w:rFonts w:hint="eastAsia" w:ascii="宋体" w:hAnsi="宋体" w:eastAsia="宋体" w:cs="宋体"/>
      <w:color w:val="000000"/>
      <w:sz w:val="20"/>
      <w:szCs w:val="20"/>
      <w:u w:val="none"/>
    </w:rPr>
  </w:style>
  <w:style w:type="character" w:customStyle="1" w:styleId="57">
    <w:name w:val="font101"/>
    <w:basedOn w:val="23"/>
    <w:qFormat/>
    <w:uiPriority w:val="0"/>
    <w:rPr>
      <w:rFonts w:hint="eastAsia" w:ascii="宋体" w:hAnsi="宋体" w:eastAsia="宋体" w:cs="宋体"/>
      <w:color w:val="000000"/>
      <w:sz w:val="22"/>
      <w:szCs w:val="22"/>
      <w:u w:val="none"/>
    </w:rPr>
  </w:style>
  <w:style w:type="paragraph" w:customStyle="1" w:styleId="58">
    <w:name w:val="Default"/>
    <w:basedOn w:val="1"/>
    <w:qFormat/>
    <w:uiPriority w:val="0"/>
    <w:pPr>
      <w:autoSpaceDE w:val="0"/>
      <w:autoSpaceDN w:val="0"/>
      <w:adjustRightInd w:val="0"/>
      <w:jc w:val="left"/>
    </w:pPr>
    <w:rPr>
      <w:rFonts w:ascii="Calibri" w:hAnsi="Calibri" w:cs="宋体"/>
      <w:color w:val="000000"/>
      <w:sz w:val="24"/>
    </w:rPr>
  </w:style>
  <w:style w:type="character" w:customStyle="1" w:styleId="59">
    <w:name w:val="标题 3 Char1"/>
    <w:link w:val="4"/>
    <w:qFormat/>
    <w:uiPriority w:val="0"/>
    <w:rPr>
      <w:rFonts w:ascii="Times New Roman" w:hAnsi="Times New Roman" w:eastAsia="宋体"/>
      <w:b/>
      <w:sz w:val="32"/>
    </w:rPr>
  </w:style>
  <w:style w:type="paragraph" w:customStyle="1" w:styleId="60">
    <w:name w:val="null3"/>
    <w:qFormat/>
    <w:uiPriority w:val="0"/>
    <w:rPr>
      <w:rFonts w:hint="eastAsia" w:ascii="Calibri" w:hAnsi="Calibri" w:eastAsia="宋体" w:cs="Times New Roman"/>
      <w:lang w:val="en-US" w:eastAsia="zh-Hans"/>
    </w:rPr>
  </w:style>
  <w:style w:type="paragraph" w:customStyle="1" w:styleId="61">
    <w:name w:val="！正文（四号字）"/>
    <w:next w:val="1"/>
    <w:autoRedefine/>
    <w:qFormat/>
    <w:uiPriority w:val="0"/>
    <w:pPr>
      <w:widowControl w:val="0"/>
      <w:snapToGrid w:val="0"/>
      <w:spacing w:line="360" w:lineRule="auto"/>
      <w:ind w:firstLine="200" w:firstLineChars="200"/>
      <w:jc w:val="both"/>
    </w:pPr>
    <w:rPr>
      <w:rFonts w:ascii="宋体" w:hAnsi="宋体" w:eastAsia="宋体" w:cs="Times New Roman"/>
      <w:sz w:val="28"/>
      <w:szCs w:val="28"/>
      <w:lang w:val="en-US" w:eastAsia="zh-CN" w:bidi="ar-SA"/>
    </w:rPr>
  </w:style>
  <w:style w:type="table" w:customStyle="1" w:styleId="6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png"/><Relationship Id="rId13" Type="http://schemas.openxmlformats.org/officeDocument/2006/relationships/image" Target="media/image2.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86C6B7-007A-41AC-A42C-5C9D2B79ABB4}">
  <ds:schemaRefs/>
</ds:datastoreItem>
</file>

<file path=docProps/app.xml><?xml version="1.0" encoding="utf-8"?>
<Properties xmlns="http://schemas.openxmlformats.org/officeDocument/2006/extended-properties" xmlns:vt="http://schemas.openxmlformats.org/officeDocument/2006/docPropsVTypes">
  <Template>Normal</Template>
  <Pages>106</Pages>
  <Words>20901</Words>
  <Characters>22808</Characters>
  <Lines>339</Lines>
  <Paragraphs>95</Paragraphs>
  <TotalTime>27</TotalTime>
  <ScaleCrop>false</ScaleCrop>
  <LinksUpToDate>false</LinksUpToDate>
  <CharactersWithSpaces>22968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2022-08-07T09:46:00Z</dcterms:created>
  <dc:creator>H</dc:creator>
  <cp:lastModifiedBy>YQ</cp:lastModifiedBy>
  <cp:lastPrinted>2025-10-24T02:39:00Z</cp:lastPrinted>
  <dcterms:modified xsi:type="dcterms:W3CDTF">2025-10-28T01:12:47Z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D32CF5FE0F1146B7999C5239CDCFB283_13</vt:lpwstr>
  </property>
  <property fmtid="{D5CDD505-2E9C-101B-9397-08002B2CF9AE}" pid="4" name="KSOTemplateDocerSaveRecord">
    <vt:lpwstr>eyJoZGlkIjoiMzhiM2FmMmZkMDYzZWM0YzE0NmJhMDFhZmZhZjlkNTAiLCJ1c2VySWQiOiIzMjQ4MzYwMjAifQ==</vt:lpwstr>
  </property>
</Properties>
</file>