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ascii="华文隶书" w:hAnsi="华文隶书" w:eastAsia="华文隶书" w:cs="华文隶书"/>
          <w:sz w:val="21"/>
          <w:szCs w:val="21"/>
          <w:lang w:val="en-US" w:eastAsia="zh-CN"/>
        </w:rPr>
      </w:pPr>
      <w:r>
        <w:rPr>
          <w:rFonts w:hint="eastAsia" w:ascii="华文隶书" w:hAnsi="华文隶书" w:eastAsia="华文隶书" w:cs="华文隶书"/>
          <w:sz w:val="21"/>
          <w:szCs w:val="21"/>
        </w:rPr>
        <w:t>项目编号</w:t>
      </w:r>
      <w:r>
        <w:rPr>
          <w:rFonts w:hint="eastAsia" w:ascii="华文隶书" w:hAnsi="华文隶书" w:eastAsia="华文隶书" w:cs="华文隶书"/>
          <w:sz w:val="21"/>
          <w:szCs w:val="21"/>
          <w:lang w:eastAsia="zh-CN"/>
        </w:rPr>
        <w:t>：SXGT2023-AK-0</w:t>
      </w:r>
      <w:r>
        <w:rPr>
          <w:rFonts w:hint="eastAsia" w:ascii="华文隶书" w:hAnsi="华文隶书" w:eastAsia="华文隶书" w:cs="华文隶书"/>
          <w:sz w:val="21"/>
          <w:szCs w:val="21"/>
          <w:lang w:val="en-US" w:eastAsia="zh-CN"/>
        </w:rPr>
        <w:t>54</w:t>
      </w:r>
    </w:p>
    <w:p>
      <w:pPr>
        <w:rPr>
          <w:rFonts w:hint="eastAsia"/>
          <w:lang w:val="en-US" w:eastAsia="zh-CN"/>
        </w:rPr>
      </w:pPr>
    </w:p>
    <w:p>
      <w:pPr>
        <w:pStyle w:val="11"/>
        <w:rPr>
          <w:rFonts w:hint="eastAsia"/>
          <w:lang w:val="en-US" w:eastAsia="zh-CN"/>
        </w:rPr>
      </w:pPr>
    </w:p>
    <w:p>
      <w:pPr>
        <w:rPr>
          <w:rFonts w:hint="eastAsia" w:ascii="华文琥珀" w:hAnsi="华文琥珀" w:eastAsia="华文琥珀" w:cs="华文琥珀"/>
          <w:sz w:val="48"/>
          <w:szCs w:val="48"/>
          <w:lang w:val="en-US" w:eastAsia="zh-CN"/>
        </w:rPr>
      </w:pPr>
    </w:p>
    <w:p>
      <w:pPr>
        <w:pStyle w:val="11"/>
        <w:rPr>
          <w:rFonts w:hint="eastAsia"/>
          <w:lang w:val="en-US" w:eastAsia="zh-CN"/>
        </w:rPr>
      </w:pP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安康市中医医院安康市重症能力提升</w:t>
      </w: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 xml:space="preserve">设备采购项目 </w:t>
      </w: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招标</w:t>
      </w:r>
      <w:r>
        <w:rPr>
          <w:rFonts w:hint="eastAsia" w:ascii="华文琥珀" w:hAnsi="华文琥珀" w:eastAsia="华文琥珀" w:cs="华文琥珀"/>
          <w:sz w:val="48"/>
          <w:szCs w:val="48"/>
        </w:rPr>
        <w:t>文件</w:t>
      </w:r>
    </w:p>
    <w:p>
      <w:pPr>
        <w:pStyle w:val="12"/>
        <w:jc w:val="both"/>
        <w:rPr>
          <w:rFonts w:hint="eastAsia" w:ascii="华文琥珀" w:hAnsi="华文琥珀" w:eastAsia="华文琥珀" w:cs="华文琥珀"/>
        </w:rPr>
      </w:pPr>
    </w:p>
    <w:p>
      <w:pPr>
        <w:pStyle w:val="12"/>
        <w:ind w:firstLine="420" w:firstLineChars="200"/>
        <w:jc w:val="center"/>
        <w:rPr>
          <w:rFonts w:hint="eastAsia" w:ascii="华文琥珀" w:hAnsi="华文琥珀" w:eastAsia="华文琥珀" w:cs="华文琥珀"/>
        </w:rPr>
      </w:pPr>
    </w:p>
    <w:p>
      <w:pPr>
        <w:pStyle w:val="12"/>
        <w:ind w:firstLine="420" w:firstLineChars="200"/>
        <w:jc w:val="both"/>
        <w:rPr>
          <w:rFonts w:hint="eastAsia" w:ascii="华文琥珀" w:hAnsi="华文琥珀" w:eastAsia="华文琥珀" w:cs="华文琥珀"/>
        </w:rPr>
      </w:pPr>
    </w:p>
    <w:p>
      <w:pPr>
        <w:pStyle w:val="12"/>
        <w:ind w:firstLine="420" w:firstLineChars="200"/>
        <w:jc w:val="center"/>
        <w:rPr>
          <w:rFonts w:hint="eastAsia" w:ascii="华文琥珀" w:hAnsi="华文琥珀" w:eastAsia="华文琥珀" w:cs="华文琥珀"/>
        </w:rPr>
      </w:pPr>
    </w:p>
    <w:p>
      <w:pPr>
        <w:pStyle w:val="12"/>
        <w:ind w:firstLine="420" w:firstLineChars="200"/>
        <w:jc w:val="center"/>
        <w:rPr>
          <w:rFonts w:hint="eastAsia" w:ascii="华文琥珀" w:hAnsi="华文琥珀" w:eastAsia="华文琥珀" w:cs="华文琥珀"/>
        </w:rPr>
      </w:pPr>
    </w:p>
    <w:p>
      <w:pPr>
        <w:pStyle w:val="12"/>
        <w:ind w:firstLine="1400" w:firstLineChars="500"/>
        <w:jc w:val="both"/>
        <w:rPr>
          <w:rFonts w:hint="eastAsia" w:ascii="华文琥珀" w:hAnsi="华文琥珀" w:eastAsia="华文琥珀" w:cs="华文琥珀"/>
          <w:sz w:val="28"/>
          <w:szCs w:val="28"/>
        </w:rPr>
      </w:pPr>
    </w:p>
    <w:p>
      <w:pPr>
        <w:pStyle w:val="12"/>
        <w:ind w:firstLine="1400" w:firstLineChars="500"/>
        <w:jc w:val="both"/>
        <w:rPr>
          <w:rFonts w:hint="eastAsia" w:ascii="华文琥珀" w:hAnsi="华文琥珀" w:eastAsia="华文琥珀" w:cs="华文琥珀"/>
          <w:sz w:val="28"/>
          <w:szCs w:val="28"/>
        </w:rPr>
      </w:pPr>
    </w:p>
    <w:p>
      <w:pPr>
        <w:pStyle w:val="12"/>
        <w:jc w:val="both"/>
        <w:rPr>
          <w:rFonts w:hint="eastAsia" w:ascii="华文琥珀" w:hAnsi="华文琥珀" w:eastAsia="华文琥珀" w:cs="华文琥珀"/>
          <w:sz w:val="28"/>
          <w:szCs w:val="28"/>
        </w:rPr>
      </w:pPr>
    </w:p>
    <w:p>
      <w:pPr>
        <w:pStyle w:val="12"/>
        <w:jc w:val="both"/>
        <w:rPr>
          <w:rFonts w:hint="eastAsia" w:ascii="华文琥珀" w:hAnsi="华文琥珀" w:eastAsia="华文琥珀" w:cs="华文琥珀"/>
          <w:sz w:val="28"/>
          <w:szCs w:val="28"/>
        </w:rPr>
      </w:pPr>
    </w:p>
    <w:p>
      <w:pPr>
        <w:pStyle w:val="12"/>
        <w:ind w:firstLine="1687" w:firstLineChars="600"/>
        <w:jc w:val="both"/>
        <w:rPr>
          <w:rFonts w:hint="default" w:ascii="华文琥珀" w:hAnsi="华文琥珀" w:eastAsia="华文琥珀" w:cs="华文琥珀"/>
          <w:b/>
          <w:bCs/>
          <w:sz w:val="28"/>
          <w:szCs w:val="28"/>
          <w:lang w:val="en-US"/>
        </w:rPr>
      </w:pPr>
      <w:r>
        <w:rPr>
          <w:rFonts w:hint="eastAsia" w:ascii="华文琥珀" w:hAnsi="华文琥珀" w:eastAsia="华文琥珀" w:cs="华文琥珀"/>
          <w:b/>
          <w:bCs/>
          <w:sz w:val="28"/>
          <w:szCs w:val="28"/>
        </w:rPr>
        <w:t>采</w:t>
      </w:r>
      <w:r>
        <w:rPr>
          <w:rFonts w:hint="eastAsia" w:ascii="华文琥珀" w:hAnsi="华文琥珀" w:eastAsia="华文琥珀" w:cs="华文琥珀"/>
          <w:b/>
          <w:bCs/>
          <w:sz w:val="28"/>
          <w:szCs w:val="28"/>
          <w:lang w:val="en-US" w:eastAsia="zh-CN"/>
        </w:rPr>
        <w:t xml:space="preserve"> </w:t>
      </w:r>
      <w:r>
        <w:rPr>
          <w:rFonts w:hint="eastAsia" w:ascii="华文琥珀" w:hAnsi="华文琥珀" w:eastAsia="华文琥珀" w:cs="华文琥珀"/>
          <w:b/>
          <w:bCs/>
          <w:sz w:val="28"/>
          <w:szCs w:val="28"/>
        </w:rPr>
        <w:t>购</w:t>
      </w:r>
      <w:r>
        <w:rPr>
          <w:rFonts w:hint="eastAsia" w:ascii="华文琥珀" w:hAnsi="华文琥珀" w:eastAsia="华文琥珀" w:cs="华文琥珀"/>
          <w:b/>
          <w:bCs/>
          <w:sz w:val="28"/>
          <w:szCs w:val="28"/>
          <w:lang w:val="en-US" w:eastAsia="zh-CN"/>
        </w:rPr>
        <w:t xml:space="preserve"> </w:t>
      </w:r>
      <w:r>
        <w:rPr>
          <w:rFonts w:hint="eastAsia" w:ascii="华文琥珀" w:hAnsi="华文琥珀" w:eastAsia="华文琥珀" w:cs="华文琥珀"/>
          <w:b/>
          <w:bCs/>
          <w:sz w:val="28"/>
          <w:szCs w:val="28"/>
        </w:rPr>
        <w:t>人名称：</w:t>
      </w:r>
      <w:r>
        <w:rPr>
          <w:rFonts w:hint="eastAsia" w:ascii="华文琥珀" w:hAnsi="华文琥珀" w:eastAsia="华文琥珀" w:cs="华文琥珀"/>
          <w:b/>
          <w:bCs/>
          <w:sz w:val="28"/>
          <w:szCs w:val="28"/>
          <w:lang w:val="en-US" w:eastAsia="zh-CN"/>
        </w:rPr>
        <w:t>安康市中医医院</w:t>
      </w:r>
    </w:p>
    <w:p>
      <w:pPr>
        <w:pStyle w:val="12"/>
        <w:ind w:firstLine="1687" w:firstLineChars="600"/>
        <w:jc w:val="both"/>
        <w:rPr>
          <w:rFonts w:ascii="Times New Roman" w:hAnsi="Times New Roman" w:eastAsia="MingLiU_HKSCS" w:cs="Times New Roman"/>
          <w:b/>
          <w:bCs/>
        </w:rPr>
      </w:pPr>
      <w:r>
        <w:rPr>
          <w:rFonts w:hint="eastAsia" w:ascii="华文琥珀" w:hAnsi="华文琥珀" w:eastAsia="华文琥珀" w:cs="华文琥珀"/>
          <w:b/>
          <w:bCs/>
          <w:sz w:val="28"/>
          <w:szCs w:val="28"/>
        </w:rPr>
        <w:t>采购代理机构：</w:t>
      </w:r>
      <w:r>
        <w:rPr>
          <w:rFonts w:hint="eastAsia" w:ascii="华文琥珀" w:hAnsi="华文琥珀" w:eastAsia="华文琥珀" w:cs="华文琥珀"/>
          <w:b/>
          <w:bCs/>
          <w:sz w:val="28"/>
          <w:szCs w:val="28"/>
          <w:lang w:val="en-US" w:eastAsia="zh-CN"/>
        </w:rPr>
        <w:t>陕西国泰招标代理有限公司</w:t>
      </w:r>
      <w:r>
        <w:rPr>
          <w:rFonts w:hint="eastAsia" w:ascii="华文琥珀" w:hAnsi="华文琥珀" w:eastAsia="华文琥珀" w:cs="华文琥珀"/>
          <w:b/>
          <w:bCs/>
          <w:lang w:val="en-US" w:eastAsia="zh-CN"/>
        </w:rPr>
        <w:t xml:space="preserve"> </w:t>
      </w:r>
    </w:p>
    <w:p>
      <w:pPr>
        <w:pStyle w:val="12"/>
        <w:ind w:firstLine="420" w:firstLineChars="200"/>
        <w:rPr>
          <w:rFonts w:ascii="Times New Roman" w:hAnsi="Times New Roman" w:eastAsia="MingLiU_HKSCS" w:cs="Times New Roman"/>
        </w:rPr>
      </w:pPr>
    </w:p>
    <w:p>
      <w:pPr>
        <w:pStyle w:val="12"/>
        <w:ind w:firstLine="420" w:firstLineChars="200"/>
        <w:rPr>
          <w:rFonts w:ascii="Times New Roman" w:hAnsi="Times New Roman" w:eastAsia="MingLiU_HKSCS" w:cs="Times New Roman"/>
        </w:rPr>
      </w:pPr>
    </w:p>
    <w:p>
      <w:pPr>
        <w:pStyle w:val="12"/>
        <w:ind w:firstLine="3092" w:firstLineChars="1100"/>
        <w:rPr>
          <w:rFonts w:hint="eastAsia" w:ascii="华文琥珀" w:hAnsi="华文琥珀" w:eastAsia="华文琥珀" w:cs="华文琥珀"/>
          <w:b/>
          <w:bCs/>
          <w:sz w:val="28"/>
          <w:szCs w:val="28"/>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华文琥珀" w:hAnsi="华文琥珀" w:eastAsia="华文琥珀" w:cs="华文琥珀"/>
          <w:b/>
          <w:bCs/>
          <w:sz w:val="28"/>
          <w:szCs w:val="28"/>
          <w:lang w:eastAsia="zh-CN"/>
        </w:rPr>
        <w:t>二〇二三年</w:t>
      </w:r>
      <w:r>
        <w:rPr>
          <w:rFonts w:hint="eastAsia" w:ascii="华文琥珀" w:hAnsi="华文琥珀" w:eastAsia="华文琥珀" w:cs="华文琥珀"/>
          <w:b/>
          <w:bCs/>
          <w:sz w:val="28"/>
          <w:szCs w:val="28"/>
          <w:lang w:val="en-US" w:eastAsia="zh-CN"/>
        </w:rPr>
        <w:t>十二</w:t>
      </w:r>
      <w:r>
        <w:rPr>
          <w:rFonts w:hint="eastAsia" w:ascii="华文琥珀" w:hAnsi="华文琥珀" w:eastAsia="华文琥珀" w:cs="华文琥珀"/>
          <w:b/>
          <w:bCs/>
          <w:sz w:val="28"/>
          <w:szCs w:val="28"/>
          <w:lang w:eastAsia="zh-CN"/>
        </w:rPr>
        <w:t>月</w:t>
      </w:r>
    </w:p>
    <w:p>
      <w:pPr>
        <w:pStyle w:val="12"/>
        <w:ind w:firstLine="2310" w:firstLineChars="1100"/>
        <w:rPr>
          <w:rFonts w:hint="eastAsia" w:ascii="Times New Roman" w:hAnsi="Times New Roman" w:eastAsia="宋体" w:cs="Times New Roman"/>
          <w:lang w:eastAsia="zh-CN"/>
        </w:rPr>
      </w:pPr>
      <w:r>
        <w:rPr>
          <w:rFonts w:hint="eastAsia" w:ascii="Times New Roman" w:hAnsi="Times New Roman"/>
          <w:lang w:val="en-US" w:eastAsia="zh-CN"/>
        </w:rPr>
        <w:t xml:space="preserve"> </w:t>
      </w:r>
    </w:p>
    <w:p>
      <w:pPr>
        <w:pStyle w:val="12"/>
        <w:ind w:firstLine="420" w:firstLineChars="200"/>
        <w:rPr>
          <w:rFonts w:ascii="Times New Roman" w:hAnsi="Times New Roman" w:eastAsia="MingLiU_HKSCS" w:cs="Times New Roman"/>
        </w:rPr>
      </w:pPr>
    </w:p>
    <w:p>
      <w:pPr>
        <w:pStyle w:val="9"/>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8"/>
          <w:szCs w:val="48"/>
        </w:rPr>
      </w:pPr>
      <w:r>
        <w:rPr>
          <w:rFonts w:hint="eastAsia" w:ascii="黑体" w:hAnsi="黑体" w:eastAsia="黑体" w:cs="黑体"/>
          <w:b w:val="0"/>
          <w:bCs w:val="0"/>
          <w:sz w:val="48"/>
          <w:szCs w:val="48"/>
        </w:rPr>
        <w:t>目　</w:t>
      </w:r>
      <w:r>
        <w:rPr>
          <w:rFonts w:hint="eastAsia" w:ascii="黑体" w:hAnsi="黑体" w:eastAsia="黑体" w:cs="黑体"/>
          <w:b w:val="0"/>
          <w:bCs w:val="0"/>
          <w:sz w:val="48"/>
          <w:szCs w:val="48"/>
          <w:lang w:val="en-US" w:eastAsia="zh-CN"/>
        </w:rPr>
        <w:t xml:space="preserve">  </w:t>
      </w:r>
      <w:r>
        <w:rPr>
          <w:rFonts w:hint="eastAsia" w:ascii="黑体" w:hAnsi="黑体" w:eastAsia="黑体" w:cs="黑体"/>
          <w:b w:val="0"/>
          <w:bCs w:val="0"/>
          <w:sz w:val="48"/>
          <w:szCs w:val="48"/>
        </w:rPr>
        <w:t>录</w:t>
      </w:r>
    </w:p>
    <w:p>
      <w:pPr>
        <w:jc w:val="cente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第一部分　商务部分</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第一章　投标邀请</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第二章　投标人须知</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第三章　评标方法及标准</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第四章　拟签订的合同文本</w:t>
      </w:r>
      <w:r>
        <w:rPr>
          <w:rFonts w:hint="eastAsia" w:ascii="黑体" w:hAnsi="黑体" w:eastAsia="黑体" w:cs="黑体"/>
          <w:sz w:val="28"/>
          <w:szCs w:val="28"/>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五</w:t>
      </w:r>
      <w:r>
        <w:rPr>
          <w:rFonts w:hint="eastAsia" w:ascii="黑体" w:hAnsi="黑体" w:eastAsia="黑体" w:cs="黑体"/>
          <w:sz w:val="28"/>
          <w:szCs w:val="28"/>
        </w:rPr>
        <w:t>章　投标文件格式</w:t>
      </w: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第二部分　技术部分</w:t>
      </w: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第六章　项目采购需求</w:t>
      </w: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ind w:firstLine="1400" w:firstLineChars="500"/>
        <w:textAlignment w:val="auto"/>
        <w:rPr>
          <w:rFonts w:hint="eastAsia" w:ascii="黑体" w:hAnsi="黑体" w:eastAsia="黑体" w:cs="黑体"/>
          <w:sz w:val="28"/>
          <w:szCs w:val="28"/>
        </w:rPr>
      </w:pPr>
    </w:p>
    <w:p>
      <w:pPr>
        <w:pStyle w:val="12"/>
        <w:ind w:firstLine="420" w:firstLineChars="200"/>
        <w:rPr>
          <w:rFonts w:ascii="Times New Roman" w:hAnsi="Times New Roman" w:cs="Times New Roman"/>
        </w:rPr>
      </w:pPr>
      <w:r>
        <w:rPr>
          <w:rFonts w:ascii="Times New Roman" w:hAnsi="Times New Roman" w:cs="Times New Roman"/>
        </w:rPr>
        <w:br w:type="page"/>
      </w:r>
    </w:p>
    <w:p>
      <w:pPr>
        <w:pStyle w:val="9"/>
        <w:jc w:val="center"/>
        <w:rPr>
          <w:rFonts w:hint="eastAsia" w:ascii="微软雅黑" w:hAnsi="微软雅黑" w:eastAsia="微软雅黑" w:cs="微软雅黑"/>
          <w:sz w:val="32"/>
          <w:szCs w:val="32"/>
        </w:rPr>
      </w:pPr>
    </w:p>
    <w:p>
      <w:pPr>
        <w:pStyle w:val="9"/>
        <w:jc w:val="center"/>
        <w:rPr>
          <w:rFonts w:hint="eastAsia" w:ascii="微软雅黑" w:hAnsi="微软雅黑" w:eastAsia="微软雅黑" w:cs="微软雅黑"/>
          <w:sz w:val="32"/>
          <w:szCs w:val="32"/>
        </w:rPr>
      </w:pPr>
    </w:p>
    <w:p>
      <w:pPr>
        <w:pStyle w:val="9"/>
        <w:jc w:val="center"/>
        <w:rPr>
          <w:rFonts w:hint="eastAsia" w:ascii="微软雅黑" w:hAnsi="微软雅黑" w:eastAsia="微软雅黑" w:cs="微软雅黑"/>
          <w:sz w:val="32"/>
          <w:szCs w:val="32"/>
        </w:rPr>
      </w:pPr>
    </w:p>
    <w:p>
      <w:pPr>
        <w:pStyle w:val="9"/>
        <w:jc w:val="center"/>
        <w:rPr>
          <w:rFonts w:hint="eastAsia" w:ascii="微软雅黑" w:hAnsi="微软雅黑" w:eastAsia="微软雅黑" w:cs="微软雅黑"/>
          <w:sz w:val="48"/>
          <w:szCs w:val="48"/>
        </w:rPr>
      </w:pPr>
    </w:p>
    <w:p>
      <w:pPr>
        <w:pStyle w:val="9"/>
        <w:jc w:val="center"/>
        <w:rPr>
          <w:rFonts w:hint="eastAsia" w:ascii="微软雅黑" w:hAnsi="微软雅黑" w:eastAsia="微软雅黑" w:cs="微软雅黑"/>
          <w:sz w:val="48"/>
          <w:szCs w:val="48"/>
        </w:rPr>
      </w:pPr>
    </w:p>
    <w:p>
      <w:pPr>
        <w:pStyle w:val="9"/>
        <w:jc w:val="center"/>
        <w:rPr>
          <w:rFonts w:hint="eastAsia" w:ascii="微软雅黑" w:hAnsi="微软雅黑" w:eastAsia="微软雅黑" w:cs="微软雅黑"/>
          <w:sz w:val="48"/>
          <w:szCs w:val="48"/>
        </w:rPr>
      </w:pPr>
    </w:p>
    <w:p>
      <w:pPr>
        <w:pStyle w:val="9"/>
        <w:jc w:val="center"/>
        <w:rPr>
          <w:sz w:val="48"/>
          <w:szCs w:val="48"/>
        </w:rPr>
      </w:pPr>
      <w:r>
        <w:rPr>
          <w:rFonts w:hint="eastAsia" w:ascii="微软雅黑" w:hAnsi="微软雅黑" w:eastAsia="微软雅黑" w:cs="微软雅黑"/>
          <w:sz w:val="48"/>
          <w:szCs w:val="48"/>
        </w:rPr>
        <w:t>第一部分　商务部分</w:t>
      </w:r>
    </w:p>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p>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第一章　投标邀请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left"/>
        <w:textAlignment w:val="baseline"/>
        <w:rPr>
          <w:rFonts w:hint="eastAsia" w:ascii="微软雅黑" w:hAnsi="微软雅黑" w:eastAsia="微软雅黑" w:cs="微软雅黑"/>
          <w:b/>
          <w:color w:val="000000" w:themeColor="text1"/>
          <w:sz w:val="24"/>
          <w:szCs w:val="24"/>
          <w:shd w:val="clear" w:color="auto" w:fill="FFFFFF"/>
          <w:lang w:val="en-US" w:eastAsia="zh-CN"/>
          <w14:textFill>
            <w14:solidFill>
              <w14:schemeClr w14:val="tx1"/>
            </w14:solidFill>
          </w14:textFill>
        </w:rPr>
      </w:pP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项目概况</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val="0"/>
          <w:bCs/>
          <w:color w:val="000000" w:themeColor="text1"/>
          <w:sz w:val="24"/>
          <w:szCs w:val="24"/>
          <w:shd w:val="clear" w:color="auto" w:fill="auto"/>
          <w14:textFill>
            <w14:solidFill>
              <w14:schemeClr w14:val="tx1"/>
            </w14:solidFill>
          </w14:textFill>
        </w:rPr>
      </w:pPr>
      <w:r>
        <w:rPr>
          <w:rFonts w:hint="eastAsia" w:ascii="微软雅黑" w:hAnsi="微软雅黑" w:eastAsia="微软雅黑" w:cs="微软雅黑"/>
          <w:b w:val="0"/>
          <w:bCs/>
          <w:color w:val="000000" w:themeColor="text1"/>
          <w:sz w:val="24"/>
          <w:szCs w:val="24"/>
          <w:shd w:val="clear" w:color="auto" w:fill="FFFFFF"/>
          <w:lang w:val="en-US" w:eastAsia="zh-CN"/>
          <w14:textFill>
            <w14:solidFill>
              <w14:schemeClr w14:val="tx1"/>
            </w14:solidFill>
          </w14:textFill>
        </w:rPr>
        <w:t>安康市中医医院安康市重症能力提升设备采购项目 潜在投标人应</w:t>
      </w:r>
      <w:r>
        <w:rPr>
          <w:rFonts w:hint="eastAsia" w:ascii="微软雅黑" w:hAnsi="微软雅黑" w:eastAsia="微软雅黑" w:cs="微软雅黑"/>
          <w:b w:val="0"/>
          <w:bCs/>
          <w:color w:val="000000" w:themeColor="text1"/>
          <w:sz w:val="24"/>
          <w:szCs w:val="24"/>
          <w:shd w:val="clear" w:color="auto" w:fill="FFFFFF"/>
          <w14:textFill>
            <w14:solidFill>
              <w14:schemeClr w14:val="tx1"/>
            </w14:solidFill>
          </w14:textFill>
        </w:rPr>
        <w:t>在全国公共资源交易平台（陕西省-安康市）获取响应文件，</w:t>
      </w:r>
      <w:r>
        <w:rPr>
          <w:rFonts w:hint="eastAsia" w:ascii="微软雅黑" w:hAnsi="微软雅黑" w:eastAsia="微软雅黑" w:cs="微软雅黑"/>
          <w:b w:val="0"/>
          <w:bCs/>
          <w:color w:val="000000" w:themeColor="text1"/>
          <w:sz w:val="24"/>
          <w:szCs w:val="24"/>
          <w:shd w:val="clear" w:color="auto" w:fill="auto"/>
          <w14:textFill>
            <w14:solidFill>
              <w14:schemeClr w14:val="tx1"/>
            </w14:solidFill>
          </w14:textFill>
        </w:rPr>
        <w:t>并</w:t>
      </w:r>
      <w:r>
        <w:rPr>
          <w:rFonts w:hint="eastAsia" w:ascii="微软雅黑" w:hAnsi="微软雅黑" w:eastAsia="微软雅黑" w:cs="微软雅黑"/>
          <w:b w:val="0"/>
          <w:bCs/>
          <w:color w:val="000000" w:themeColor="text1"/>
          <w:sz w:val="24"/>
          <w:szCs w:val="24"/>
          <w:shd w:val="clear" w:color="auto" w:fill="auto"/>
          <w:lang w:val="en-US" w:eastAsia="zh-CN"/>
          <w14:textFill>
            <w14:solidFill>
              <w14:schemeClr w14:val="tx1"/>
            </w14:solidFill>
          </w14:textFill>
        </w:rPr>
        <w:t>于</w:t>
      </w:r>
      <w:r>
        <w:rPr>
          <w:rFonts w:hint="eastAsia" w:ascii="微软雅黑" w:hAnsi="微软雅黑" w:eastAsia="微软雅黑" w:cs="微软雅黑"/>
          <w:color w:val="000000" w:themeColor="text1"/>
          <w:sz w:val="24"/>
          <w:szCs w:val="24"/>
          <w:shd w:val="clear" w:color="auto" w:fill="FFFFFF"/>
          <w:lang w:eastAsia="zh-CN"/>
          <w14:textFill>
            <w14:solidFill>
              <w14:schemeClr w14:val="tx1"/>
            </w14:solidFill>
          </w14:textFill>
        </w:rPr>
        <w:t>202</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01</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24 09</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0:00</w:t>
      </w:r>
      <w:r>
        <w:rPr>
          <w:rFonts w:hint="eastAsia" w:ascii="微软雅黑" w:hAnsi="微软雅黑" w:eastAsia="微软雅黑" w:cs="微软雅黑"/>
          <w:b w:val="0"/>
          <w:bCs/>
          <w:color w:val="000000" w:themeColor="text1"/>
          <w:sz w:val="24"/>
          <w:szCs w:val="24"/>
          <w:shd w:val="clear" w:color="auto" w:fill="auto"/>
          <w14:textFill>
            <w14:solidFill>
              <w14:schemeClr w14:val="tx1"/>
            </w14:solidFill>
          </w14:textFill>
        </w:rPr>
        <w:t>前递交响应文件。</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000000" w:themeColor="text1"/>
          <w:sz w:val="24"/>
          <w:szCs w:val="24"/>
          <w:shd w:val="clear" w:color="auto" w:fill="auto"/>
          <w14:textFill>
            <w14:solidFill>
              <w14:schemeClr w14:val="tx1"/>
            </w14:solidFill>
          </w14:textFill>
        </w:rPr>
      </w:pPr>
      <w:r>
        <w:rPr>
          <w:rFonts w:hint="eastAsia" w:ascii="微软雅黑" w:hAnsi="微软雅黑" w:eastAsia="微软雅黑" w:cs="微软雅黑"/>
          <w:b/>
          <w:color w:val="000000" w:themeColor="text1"/>
          <w:sz w:val="24"/>
          <w:szCs w:val="24"/>
          <w:shd w:val="clear" w:color="auto" w:fill="auto"/>
          <w14:textFill>
            <w14:solidFill>
              <w14:schemeClr w14:val="tx1"/>
            </w14:solidFill>
          </w14:textFill>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479" w:leftChars="228" w:right="0" w:firstLine="0" w:firstLineChars="0"/>
        <w:jc w:val="both"/>
        <w:textAlignment w:val="baseline"/>
        <w:rPr>
          <w:rFonts w:hint="default"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ascii="微软雅黑" w:hAnsi="微软雅黑" w:eastAsia="微软雅黑" w:cs="微软雅黑"/>
          <w:i w:val="0"/>
          <w:iCs w:val="0"/>
          <w:caps w:val="0"/>
          <w:color w:val="000000" w:themeColor="text1"/>
          <w:spacing w:val="0"/>
          <w:sz w:val="24"/>
          <w:szCs w:val="24"/>
          <w:shd w:val="clear" w:fill="FFFFFF"/>
          <w:vertAlign w:val="baseline"/>
          <w:lang w:eastAsia="zh-CN"/>
          <w14:textFill>
            <w14:solidFill>
              <w14:schemeClr w14:val="tx1"/>
            </w14:solidFill>
          </w14:textFill>
        </w:rPr>
        <w:t>SXGT2023-AK-0</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54</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479" w:leftChars="228" w:right="0" w:firstLine="0" w:firstLineChars="0"/>
        <w:jc w:val="both"/>
        <w:textAlignment w:val="baseline"/>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安康市中医医院安康市重症能力提升设备采购项目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479" w:leftChars="228" w:right="0" w:firstLine="0" w:firstLineChars="0"/>
        <w:jc w:val="both"/>
        <w:textAlignment w:val="baseline"/>
        <w:rPr>
          <w:rFonts w:hint="default"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采购方式：</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公开招标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7,130,000.00</w:t>
      </w: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合同包</w:t>
      </w:r>
      <w:r>
        <w:rPr>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我院自用重症医疗设备 </w:t>
      </w:r>
      <w:r>
        <w:rPr>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2,620,000.00</w:t>
      </w: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1,800,000.00</w:t>
      </w: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元</w:t>
      </w:r>
    </w:p>
    <w:tbl>
      <w:tblPr>
        <w:tblStyle w:val="17"/>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81"/>
        <w:gridCol w:w="1731"/>
        <w:gridCol w:w="1020"/>
        <w:gridCol w:w="1483"/>
        <w:gridCol w:w="1543"/>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品目号</w:t>
            </w:r>
          </w:p>
        </w:tc>
        <w:tc>
          <w:tcPr>
            <w:tcW w:w="1581"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品目名称</w:t>
            </w:r>
          </w:p>
        </w:tc>
        <w:tc>
          <w:tcPr>
            <w:tcW w:w="1731"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采购标的</w:t>
            </w:r>
          </w:p>
        </w:tc>
        <w:tc>
          <w:tcPr>
            <w:tcW w:w="1020"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数量</w:t>
            </w:r>
          </w:p>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（单位）</w:t>
            </w:r>
          </w:p>
        </w:tc>
        <w:tc>
          <w:tcPr>
            <w:tcW w:w="1483"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技术规格、参数及要求</w:t>
            </w:r>
          </w:p>
        </w:tc>
        <w:tc>
          <w:tcPr>
            <w:tcW w:w="1543"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品目预算(元)</w:t>
            </w:r>
          </w:p>
        </w:tc>
        <w:tc>
          <w:tcPr>
            <w:tcW w:w="1520"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lang w:val="en-US" w:eastAsia="zh-CN" w:bidi="ar"/>
                <w14:textFill>
                  <w14:solidFill>
                    <w14:schemeClr w14:val="tx1"/>
                  </w14:solidFill>
                </w14:textFill>
              </w:rPr>
              <w:t>1-1</w:t>
            </w:r>
          </w:p>
        </w:tc>
        <w:tc>
          <w:tcPr>
            <w:tcW w:w="1581"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default"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其它医疗设备</w:t>
            </w:r>
          </w:p>
        </w:tc>
        <w:tc>
          <w:tcPr>
            <w:tcW w:w="1731" w:type="dxa"/>
            <w:vAlign w:val="center"/>
          </w:tcPr>
          <w:p>
            <w:pPr>
              <w:keepNext w:val="0"/>
              <w:keepLines w:val="0"/>
              <w:widowControl/>
              <w:suppressLineNumbers w:val="0"/>
              <w:wordWrap w:val="0"/>
              <w:spacing w:before="0" w:beforeAutospacing="0" w:after="0" w:afterAutospacing="0" w:line="288" w:lineRule="atLeast"/>
              <w:ind w:right="0" w:rightChars="0"/>
              <w:jc w:val="both"/>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我院自用重症医疗设备</w:t>
            </w:r>
          </w:p>
        </w:tc>
        <w:tc>
          <w:tcPr>
            <w:tcW w:w="1020"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lang w:val="en-US" w:eastAsia="zh-CN" w:bidi="ar"/>
                <w14:textFill>
                  <w14:solidFill>
                    <w14:schemeClr w14:val="tx1"/>
                  </w14:solidFill>
                </w14:textFill>
              </w:rPr>
              <w:t>1（项）</w:t>
            </w:r>
          </w:p>
        </w:tc>
        <w:tc>
          <w:tcPr>
            <w:tcW w:w="1483"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lang w:val="en-US" w:eastAsia="zh-CN" w:bidi="ar"/>
                <w14:textFill>
                  <w14:solidFill>
                    <w14:schemeClr w14:val="tx1"/>
                  </w14:solidFill>
                </w14:textFill>
              </w:rPr>
              <w:t>详见采购文件</w:t>
            </w:r>
          </w:p>
        </w:tc>
        <w:tc>
          <w:tcPr>
            <w:tcW w:w="1543" w:type="dxa"/>
            <w:vAlign w:val="center"/>
          </w:tcPr>
          <w:p>
            <w:pPr>
              <w:keepNext w:val="0"/>
              <w:keepLines w:val="0"/>
              <w:widowControl/>
              <w:suppressLineNumbers w:val="0"/>
              <w:wordWrap/>
              <w:spacing w:before="0" w:beforeAutospacing="0" w:after="0" w:afterAutospacing="0" w:line="288" w:lineRule="atLeast"/>
              <w:ind w:left="0" w:leftChars="0" w:right="0" w:rightChars="0"/>
              <w:jc w:val="right"/>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2,620,000.00</w:t>
            </w:r>
          </w:p>
        </w:tc>
        <w:tc>
          <w:tcPr>
            <w:tcW w:w="1520" w:type="dxa"/>
            <w:vAlign w:val="center"/>
          </w:tcPr>
          <w:p>
            <w:pPr>
              <w:keepNext w:val="0"/>
              <w:keepLines w:val="0"/>
              <w:widowControl/>
              <w:suppressLineNumbers w:val="0"/>
              <w:wordWrap/>
              <w:spacing w:before="0" w:beforeAutospacing="0" w:after="0" w:afterAutospacing="0" w:line="288" w:lineRule="atLeast"/>
              <w:ind w:left="0" w:leftChars="0" w:right="0" w:rightChars="0"/>
              <w:jc w:val="right"/>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1,800,000.00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合同履行期限：合同</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签订后30</w:t>
      </w: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个</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日历日内</w:t>
      </w: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合同包</w:t>
      </w:r>
      <w:r>
        <w:rPr>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2</w:t>
      </w:r>
      <w:r>
        <w:rPr>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其他医疗机构重症医疗设备 </w:t>
      </w:r>
      <w:r>
        <w:rPr>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4,510,000.00</w:t>
      </w: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3,000,000.00</w:t>
      </w: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元</w:t>
      </w:r>
    </w:p>
    <w:tbl>
      <w:tblPr>
        <w:tblStyle w:val="17"/>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81"/>
        <w:gridCol w:w="1731"/>
        <w:gridCol w:w="1020"/>
        <w:gridCol w:w="1483"/>
        <w:gridCol w:w="1543"/>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品目号</w:t>
            </w:r>
          </w:p>
        </w:tc>
        <w:tc>
          <w:tcPr>
            <w:tcW w:w="1581"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品目名称</w:t>
            </w:r>
          </w:p>
        </w:tc>
        <w:tc>
          <w:tcPr>
            <w:tcW w:w="1731"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采购标的</w:t>
            </w:r>
          </w:p>
        </w:tc>
        <w:tc>
          <w:tcPr>
            <w:tcW w:w="1020"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数量</w:t>
            </w:r>
          </w:p>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（单位）</w:t>
            </w:r>
          </w:p>
        </w:tc>
        <w:tc>
          <w:tcPr>
            <w:tcW w:w="1483"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技术规格、参数及要求</w:t>
            </w:r>
          </w:p>
        </w:tc>
        <w:tc>
          <w:tcPr>
            <w:tcW w:w="1543"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品目预算(元)</w:t>
            </w:r>
          </w:p>
        </w:tc>
        <w:tc>
          <w:tcPr>
            <w:tcW w:w="1520"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1"/>
                <w:szCs w:val="21"/>
                <w:lang w:val="en-US" w:eastAsia="zh-CN" w:bidi="ar"/>
                <w14:textFill>
                  <w14:solidFill>
                    <w14:schemeClr w14:val="tx1"/>
                  </w14:solidFill>
                </w14:textFill>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lang w:val="en-US" w:eastAsia="zh-CN" w:bidi="ar"/>
                <w14:textFill>
                  <w14:solidFill>
                    <w14:schemeClr w14:val="tx1"/>
                  </w14:solidFill>
                </w14:textFill>
              </w:rPr>
              <w:t>1-1</w:t>
            </w:r>
          </w:p>
        </w:tc>
        <w:tc>
          <w:tcPr>
            <w:tcW w:w="1581"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default"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其它医疗设备</w:t>
            </w:r>
          </w:p>
        </w:tc>
        <w:tc>
          <w:tcPr>
            <w:tcW w:w="1731" w:type="dxa"/>
            <w:vAlign w:val="center"/>
          </w:tcPr>
          <w:p>
            <w:pPr>
              <w:keepNext w:val="0"/>
              <w:keepLines w:val="0"/>
              <w:widowControl/>
              <w:suppressLineNumbers w:val="0"/>
              <w:wordWrap w:val="0"/>
              <w:spacing w:before="0" w:beforeAutospacing="0" w:after="0" w:afterAutospacing="0" w:line="288" w:lineRule="atLeast"/>
              <w:ind w:right="0" w:rightChars="0"/>
              <w:jc w:val="both"/>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其他医疗机构重症医疗设备</w:t>
            </w:r>
          </w:p>
        </w:tc>
        <w:tc>
          <w:tcPr>
            <w:tcW w:w="1020"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lang w:val="en-US" w:eastAsia="zh-CN" w:bidi="ar"/>
                <w14:textFill>
                  <w14:solidFill>
                    <w14:schemeClr w14:val="tx1"/>
                  </w14:solidFill>
                </w14:textFill>
              </w:rPr>
              <w:t>1（项）</w:t>
            </w:r>
          </w:p>
        </w:tc>
        <w:tc>
          <w:tcPr>
            <w:tcW w:w="1483" w:type="dxa"/>
            <w:vAlign w:val="center"/>
          </w:tcPr>
          <w:p>
            <w:pPr>
              <w:keepNext w:val="0"/>
              <w:keepLines w:val="0"/>
              <w:widowControl/>
              <w:suppressLineNumbers w:val="0"/>
              <w:wordWrap w:val="0"/>
              <w:spacing w:before="0" w:beforeAutospacing="0" w:after="0" w:afterAutospacing="0" w:line="288" w:lineRule="atLeast"/>
              <w:ind w:left="0" w:leftChars="0" w:right="0" w:rightChars="0"/>
              <w:jc w:val="center"/>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lang w:val="en-US" w:eastAsia="zh-CN" w:bidi="ar"/>
                <w14:textFill>
                  <w14:solidFill>
                    <w14:schemeClr w14:val="tx1"/>
                  </w14:solidFill>
                </w14:textFill>
              </w:rPr>
              <w:t>详见采购文件</w:t>
            </w:r>
          </w:p>
        </w:tc>
        <w:tc>
          <w:tcPr>
            <w:tcW w:w="1543" w:type="dxa"/>
            <w:vAlign w:val="center"/>
          </w:tcPr>
          <w:p>
            <w:pPr>
              <w:keepNext w:val="0"/>
              <w:keepLines w:val="0"/>
              <w:widowControl/>
              <w:suppressLineNumbers w:val="0"/>
              <w:wordWrap/>
              <w:spacing w:before="0" w:beforeAutospacing="0" w:after="0" w:afterAutospacing="0" w:line="288" w:lineRule="atLeast"/>
              <w:ind w:left="0" w:leftChars="0" w:right="0" w:rightChars="0"/>
              <w:jc w:val="right"/>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4,510,000.00</w:t>
            </w:r>
          </w:p>
        </w:tc>
        <w:tc>
          <w:tcPr>
            <w:tcW w:w="1520" w:type="dxa"/>
            <w:vAlign w:val="center"/>
          </w:tcPr>
          <w:p>
            <w:pPr>
              <w:keepNext w:val="0"/>
              <w:keepLines w:val="0"/>
              <w:widowControl/>
              <w:suppressLineNumbers w:val="0"/>
              <w:wordWrap/>
              <w:spacing w:before="0" w:beforeAutospacing="0" w:after="0" w:afterAutospacing="0" w:line="288" w:lineRule="atLeast"/>
              <w:ind w:left="0" w:leftChars="0" w:right="0" w:rightChars="0"/>
              <w:jc w:val="right"/>
              <w:rPr>
                <w:rFonts w:hint="eastAsia" w:ascii="微软雅黑" w:hAnsi="微软雅黑" w:eastAsia="微软雅黑" w:cs="微软雅黑"/>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3,000,000.00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480" w:firstLineChars="200"/>
        <w:jc w:val="both"/>
        <w:textAlignment w:val="baseline"/>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合同履行期限：合同</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签订后30</w:t>
      </w: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个</w:t>
      </w: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日历日内</w:t>
      </w: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shd w:val="clear" w:color="auto" w:fill="FFFFFF"/>
          <w14:textFill>
            <w14:solidFill>
              <w14:schemeClr w14:val="tx1"/>
            </w14:solidFill>
          </w14:textFill>
        </w:rPr>
        <w:t>二、 响应供应商的资格要求</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80" w:firstLineChars="200"/>
        <w:jc w:val="both"/>
        <w:textAlignment w:val="baseline"/>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合同包1(我院自用重症医疗设备)落实政府采购政策需满足的资格要求如下:</w:t>
      </w:r>
      <w:r>
        <w:rPr>
          <w:rFonts w:hint="eastAsia" w:ascii="微软雅黑" w:hAnsi="微软雅黑" w:eastAsia="微软雅黑" w:cs="微软雅黑"/>
          <w:color w:val="000000" w:themeColor="text1"/>
          <w:sz w:val="24"/>
          <w:szCs w:val="24"/>
          <w14:textFill>
            <w14:solidFill>
              <w14:schemeClr w14:val="tx1"/>
            </w14:solidFill>
          </w14:textFill>
        </w:rPr>
        <w:t>《政府采购促进中小企业发展管理办法》（财库﹝2020﹞46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2019〕9号）； 《关于印发环境标志产品政府采购品目清单的通知》（财库〔2019〕18号）；《关于印发节能产品政府采购品目清单的通知》（财库〔2019〕19号）； 《三部门联合发布关于促进残疾人就业政府采购政策的通知》（财库〔2017〕141号）； 《财政部发展改革委生态环境部市场监管总局关于调整优化节能产品、环境标志产品政府采购执行机制的通知》（财库〔2019〕9号）；《关于运用政府采购政策支持脱贫攻坚的通知》财库〔2019〕27号； 《陕西省财政厅关于加快推进我省中小企业政府采购信用融资工作的通知》（陕财办采〔2020〕15号）；《陕西省中小企业政府采购信用融资办法》</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 xml:space="preserve">陕财办采〔2018〕23号 </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以及其他需要落实的政府采购政策。</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合同包2(其他医疗机构重症医疗设备 )落实政府采购政策需满足的资格要求如下:</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shd w:val="clear" w:color="auto" w:fill="FFFFFF"/>
          <w:lang w:val="en-US" w:eastAsia="zh-CN"/>
          <w14:textFill>
            <w14:solidFill>
              <w14:schemeClr w14:val="tx1"/>
            </w14:solidFill>
          </w14:textFill>
        </w:rPr>
        <w:t>与</w:t>
      </w:r>
      <w:r>
        <w:rPr>
          <w:rFonts w:hint="eastAsia" w:ascii="微软雅黑" w:hAnsi="微软雅黑" w:eastAsia="微软雅黑" w:cs="微软雅黑"/>
          <w:b w:val="0"/>
          <w:bCs/>
          <w:color w:val="000000" w:themeColor="text1"/>
          <w:sz w:val="24"/>
          <w:szCs w:val="24"/>
          <w:shd w:val="clear" w:color="auto" w:fill="FFFFFF"/>
          <w14:textFill>
            <w14:solidFill>
              <w14:schemeClr w14:val="tx1"/>
            </w14:solidFill>
          </w14:textFill>
        </w:rPr>
        <w:t>合同包1要求一致。</w:t>
      </w:r>
    </w:p>
    <w:p>
      <w:pPr>
        <w:keepNext w:val="0"/>
        <w:keepLines w:val="0"/>
        <w:pageBreakBefore w:val="0"/>
        <w:kinsoku/>
        <w:wordWrap/>
        <w:overflowPunct/>
        <w:topLinePunct w:val="0"/>
        <w:autoSpaceDE w:val="0"/>
        <w:autoSpaceDN w:val="0"/>
        <w:bidi w:val="0"/>
        <w:adjustRightInd/>
        <w:snapToGrid/>
        <w:spacing w:line="580" w:lineRule="exact"/>
        <w:ind w:firstLine="480" w:firstLineChars="200"/>
        <w:textAlignment w:val="auto"/>
        <w:rPr>
          <w:rFonts w:hint="eastAsia" w:ascii="微软雅黑" w:hAnsi="微软雅黑" w:eastAsia="微软雅黑" w:cs="微软雅黑"/>
          <w:b/>
          <w:bCs/>
          <w:color w:val="000000" w:themeColor="text1"/>
          <w:sz w:val="24"/>
          <w:szCs w:val="24"/>
          <w:shd w:val="clear" w:color="auto" w:fill="FFFFFF"/>
          <w:lang w:eastAsia="zh-C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3、本项目的特定资格要求：</w:t>
      </w:r>
    </w:p>
    <w:p>
      <w:pPr>
        <w:pStyle w:val="2"/>
        <w:keepNext w:val="0"/>
        <w:keepLines w:val="0"/>
        <w:pageBreakBefore w:val="0"/>
        <w:widowControl w:val="0"/>
        <w:kinsoku/>
        <w:wordWrap/>
        <w:overflowPunct/>
        <w:topLinePunct w:val="0"/>
        <w:bidi w:val="0"/>
        <w:adjustRightInd/>
        <w:snapToGrid/>
        <w:spacing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合同包1(我院自用重症医疗设备)特定资格要求如下:</w:t>
      </w:r>
    </w:p>
    <w:p>
      <w:pPr>
        <w:pStyle w:val="2"/>
        <w:keepNext w:val="0"/>
        <w:keepLines w:val="0"/>
        <w:pageBreakBefore w:val="0"/>
        <w:widowControl w:val="0"/>
        <w:kinsoku/>
        <w:wordWrap/>
        <w:overflowPunct/>
        <w:topLinePunct w:val="0"/>
        <w:bidi w:val="0"/>
        <w:adjustRightInd/>
        <w:snapToGrid/>
        <w:spacing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3.1、具有独立承担民事责任能力的法人或其他组织，提供统一社会信用代码的营业执照。</w:t>
      </w:r>
    </w:p>
    <w:p>
      <w:pPr>
        <w:pStyle w:val="2"/>
        <w:keepNext w:val="0"/>
        <w:keepLines w:val="0"/>
        <w:pageBreakBefore w:val="0"/>
        <w:widowControl w:val="0"/>
        <w:kinsoku/>
        <w:wordWrap/>
        <w:overflowPunct/>
        <w:topLinePunct w:val="0"/>
        <w:bidi w:val="0"/>
        <w:adjustRightInd/>
        <w:snapToGrid/>
        <w:spacing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3.2、法定代表人授权书及被授权人身份证。（法定代表人参加仅提供法定代表人身份证）。</w:t>
      </w:r>
    </w:p>
    <w:p>
      <w:pPr>
        <w:pStyle w:val="2"/>
        <w:keepNext w:val="0"/>
        <w:keepLines w:val="0"/>
        <w:pageBreakBefore w:val="0"/>
        <w:widowControl w:val="0"/>
        <w:kinsoku/>
        <w:wordWrap/>
        <w:overflowPunct/>
        <w:topLinePunct w:val="0"/>
        <w:bidi w:val="0"/>
        <w:adjustRightInd/>
        <w:snapToGrid/>
        <w:spacing w:line="58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 xml:space="preserve">3.3、投标人必须提供参加政府采购活动前3年内在经营活动中没有重大违法记录的书面声明；  </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3.4、</w:t>
      </w:r>
      <w:r>
        <w:rPr>
          <w:rFonts w:hint="eastAsia" w:ascii="微软雅黑" w:hAnsi="微软雅黑" w:eastAsia="微软雅黑" w:cs="微软雅黑"/>
          <w:color w:val="000000" w:themeColor="text1"/>
          <w:sz w:val="24"/>
          <w:szCs w:val="24"/>
          <w14:textFill>
            <w14:solidFill>
              <w14:schemeClr w14:val="tx1"/>
            </w14:solidFill>
          </w14:textFill>
        </w:rPr>
        <w:t>财务状况报告：提供具有财务审计资质单位出具的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前一</w:t>
      </w:r>
      <w:r>
        <w:rPr>
          <w:rFonts w:hint="eastAsia" w:ascii="微软雅黑" w:hAnsi="微软雅黑" w:eastAsia="微软雅黑" w:cs="微软雅黑"/>
          <w:color w:val="000000" w:themeColor="text1"/>
          <w:sz w:val="24"/>
          <w:szCs w:val="24"/>
          <w14:textFill>
            <w14:solidFill>
              <w14:schemeClr w14:val="tx1"/>
            </w14:solidFill>
          </w14:textFill>
        </w:rPr>
        <w:t>年度财务报告（成立时间至投标截止时间不足一年的可提供成立后任意时段的资产负债表），或者投标截止时间六个月内基本开户银行出具的资信证明；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3.5</w:t>
      </w:r>
      <w:r>
        <w:rPr>
          <w:rFonts w:hint="eastAsia" w:ascii="微软雅黑" w:hAnsi="微软雅黑" w:eastAsia="微软雅黑" w:cs="微软雅黑"/>
          <w:color w:val="000000" w:themeColor="text1"/>
          <w:sz w:val="24"/>
          <w:szCs w:val="24"/>
          <w14:textFill>
            <w14:solidFill>
              <w14:schemeClr w14:val="tx1"/>
            </w14:solidFill>
          </w14:textFill>
        </w:rPr>
        <w:t>、税收缴纳证明：提供投标截止前</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一年</w:t>
      </w:r>
      <w:r>
        <w:rPr>
          <w:rFonts w:hint="eastAsia" w:ascii="微软雅黑" w:hAnsi="微软雅黑" w:eastAsia="微软雅黑" w:cs="微软雅黑"/>
          <w:color w:val="000000" w:themeColor="text1"/>
          <w:sz w:val="24"/>
          <w:szCs w:val="24"/>
          <w14:textFill>
            <w14:solidFill>
              <w14:schemeClr w14:val="tx1"/>
            </w14:solidFill>
          </w14:textFill>
        </w:rPr>
        <w:t>内已缴纳的至少提供</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个月的有效纳税凭证</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企业所得税或营业税或增值税</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；（依法免税的申请人应提供相关文件证明）；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3.6</w:t>
      </w:r>
      <w:r>
        <w:rPr>
          <w:rFonts w:hint="eastAsia" w:ascii="微软雅黑" w:hAnsi="微软雅黑" w:eastAsia="微软雅黑" w:cs="微软雅黑"/>
          <w:color w:val="000000" w:themeColor="text1"/>
          <w:sz w:val="24"/>
          <w:szCs w:val="24"/>
          <w14:textFill>
            <w14:solidFill>
              <w14:schemeClr w14:val="tx1"/>
            </w14:solidFill>
          </w14:textFill>
        </w:rPr>
        <w:t>、社会保障资金缴纳证明：提供投标截止前一年内已缴存的至少</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个月的有效缴存单据或社保机构开具的社会保险参保缴费情况证明；（依法不需要缴纳社会保障资金的申请人应提供相关证明）；</w:t>
      </w:r>
    </w:p>
    <w:p>
      <w:pPr>
        <w:pStyle w:val="11"/>
        <w:keepNext w:val="0"/>
        <w:keepLines w:val="0"/>
        <w:pageBreakBefore w:val="0"/>
        <w:widowControl w:val="0"/>
        <w:kinsoku/>
        <w:wordWrap/>
        <w:overflowPunct/>
        <w:topLinePunct w:val="0"/>
        <w:bidi w:val="0"/>
        <w:adjustRightInd/>
        <w:snapToGrid/>
        <w:spacing w:line="580" w:lineRule="exact"/>
        <w:ind w:firstLine="480" w:firstLineChars="200"/>
        <w:textAlignment w:val="auto"/>
        <w:rPr>
          <w:rFonts w:hint="eastAsia" w:ascii="微软雅黑" w:hAnsi="微软雅黑" w:eastAsia="微软雅黑" w:cs="微软雅黑"/>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3.7、投标人是生产厂家的出具医疗器械生产许可证或医疗器械生产备案证；经销商的需出具医疗器械经营许可证或医疗器械经营备案凭证（所投产品应在其经营许可范围内）。</w:t>
      </w:r>
    </w:p>
    <w:p>
      <w:pPr>
        <w:keepNext w:val="0"/>
        <w:keepLines w:val="0"/>
        <w:pageBreakBefore w:val="0"/>
        <w:widowControl w:val="0"/>
        <w:kinsoku/>
        <w:wordWrap/>
        <w:overflowPunct/>
        <w:topLinePunct w:val="0"/>
        <w:bidi w:val="0"/>
        <w:adjustRightInd/>
        <w:snapToGrid/>
        <w:spacing w:line="580" w:lineRule="exact"/>
        <w:ind w:firstLine="480" w:firstLineChars="200"/>
        <w:textAlignment w:val="auto"/>
        <w:rPr>
          <w:rFonts w:hint="eastAsia" w:ascii="微软雅黑" w:hAnsi="微软雅黑" w:eastAsia="微软雅黑" w:cs="微软雅黑"/>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3.8、所投产品是医疗器械的提供医疗器械注册证【准】字；所投产品不纳入医疗器械的提供药监局批复或其他证明材料。</w:t>
      </w:r>
    </w:p>
    <w:p>
      <w:pPr>
        <w:pStyle w:val="2"/>
        <w:ind w:firstLine="480" w:firstLineChars="200"/>
        <w:rPr>
          <w:rFonts w:hint="eastAsia" w:ascii="微软雅黑" w:hAnsi="微软雅黑" w:eastAsia="微软雅黑" w:cs="微软雅黑"/>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3.9、本项目专门面向中小企业，供应商须提供中小企业声明函原件。供应商可根据《国民经济行业分类》（GB/T4754-2017）、《国家统计局关于印发&lt;统计上大中小微型企业划分办法（2017）&gt;的通知》国统字〔2017〕213号、工信部联企业〔2011〕300号文件自行划分，若声明与实际不符须承担相应责任。</w:t>
      </w:r>
    </w:p>
    <w:p>
      <w:pPr>
        <w:pStyle w:val="2"/>
        <w:keepNext w:val="0"/>
        <w:keepLines w:val="0"/>
        <w:pageBreakBefore w:val="0"/>
        <w:widowControl w:val="0"/>
        <w:kinsoku/>
        <w:wordWrap/>
        <w:overflowPunct/>
        <w:topLinePunct w:val="0"/>
        <w:bidi w:val="0"/>
        <w:adjustRightInd/>
        <w:snapToGrid/>
        <w:spacing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vertAlign w:val="baseline"/>
          <w:lang w:val="en-US" w:eastAsia="zh-CN"/>
          <w14:textFill>
            <w14:solidFill>
              <w14:schemeClr w14:val="tx1"/>
            </w14:solidFill>
          </w14:textFill>
        </w:rPr>
        <w:t>合同包2(其他医疗机构重症医疗设备)特定资格要求如下:</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val="0"/>
          <w:bCs/>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b w:val="0"/>
          <w:bCs/>
          <w:color w:val="000000" w:themeColor="text1"/>
          <w:sz w:val="24"/>
          <w:szCs w:val="24"/>
          <w:shd w:val="clear" w:color="auto" w:fill="FFFFFF"/>
          <w:lang w:val="en-US" w:eastAsia="zh-CN"/>
          <w14:textFill>
            <w14:solidFill>
              <w14:schemeClr w14:val="tx1"/>
            </w14:solidFill>
          </w14:textFill>
        </w:rPr>
        <w:t>与</w:t>
      </w:r>
      <w:r>
        <w:rPr>
          <w:rFonts w:hint="eastAsia" w:ascii="微软雅黑" w:hAnsi="微软雅黑" w:eastAsia="微软雅黑" w:cs="微软雅黑"/>
          <w:b w:val="0"/>
          <w:bCs/>
          <w:color w:val="000000" w:themeColor="text1"/>
          <w:sz w:val="24"/>
          <w:szCs w:val="24"/>
          <w:shd w:val="clear" w:color="auto" w:fill="FFFFFF"/>
          <w14:textFill>
            <w14:solidFill>
              <w14:schemeClr w14:val="tx1"/>
            </w14:solidFill>
          </w14:textFill>
        </w:rPr>
        <w:t>合同包1要求一致。</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shd w:val="clear" w:color="auto" w:fill="FFFFFF"/>
          <w14:textFill>
            <w14:solidFill>
              <w14:schemeClr w14:val="tx1"/>
            </w14:solidFill>
          </w14:textFill>
        </w:rPr>
        <w:t>三、 采购文件的获取方式</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时间：202</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01</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03</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 xml:space="preserve"> 09：00起至202</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01</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09</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 xml:space="preserve">  17:00:00  止（节假日除外）。</w:t>
      </w:r>
    </w:p>
    <w:p>
      <w:pPr>
        <w:pStyle w:val="15"/>
        <w:keepNext w:val="0"/>
        <w:keepLines w:val="0"/>
        <w:pageBreakBefore w:val="0"/>
        <w:kinsoku/>
        <w:wordWrap/>
        <w:overflowPunct/>
        <w:topLinePunct w:val="0"/>
        <w:bidi w:val="0"/>
        <w:adjustRightInd/>
        <w:snapToGrid/>
        <w:spacing w:before="0" w:beforeAutospacing="0" w:after="0" w:afterAutospacing="0" w:line="580" w:lineRule="exact"/>
        <w:ind w:left="559" w:leftChars="266"/>
        <w:textAlignment w:val="auto"/>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地点：安康市兴安中路44号君安大厦24楼（兴安公园斜对面）</w:t>
      </w:r>
    </w:p>
    <w:p>
      <w:pPr>
        <w:pStyle w:val="15"/>
        <w:keepNext w:val="0"/>
        <w:keepLines w:val="0"/>
        <w:pageBreakBefore w:val="0"/>
        <w:kinsoku/>
        <w:wordWrap/>
        <w:overflowPunct/>
        <w:topLinePunct w:val="0"/>
        <w:bidi w:val="0"/>
        <w:adjustRightInd/>
        <w:snapToGrid/>
        <w:spacing w:before="0" w:beforeAutospacing="0" w:after="0" w:afterAutospacing="0" w:line="580" w:lineRule="exact"/>
        <w:ind w:left="559" w:leftChars="266"/>
        <w:textAlignment w:val="auto"/>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方式：</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在线获取</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 xml:space="preserve">售价： </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shd w:val="clear" w:color="auto" w:fill="FFFFFF"/>
          <w14:textFill>
            <w14:solidFill>
              <w14:schemeClr w14:val="tx1"/>
            </w14:solidFill>
          </w14:textFill>
        </w:rPr>
        <w:t>四、 响应文件递交</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 xml:space="preserve">截止时间： </w:t>
      </w:r>
      <w:r>
        <w:rPr>
          <w:rFonts w:hint="eastAsia" w:ascii="微软雅黑" w:hAnsi="微软雅黑" w:eastAsia="微软雅黑" w:cs="微软雅黑"/>
          <w:color w:val="000000" w:themeColor="text1"/>
          <w:sz w:val="24"/>
          <w:szCs w:val="24"/>
          <w:shd w:val="clear" w:color="auto" w:fill="FFFFFF"/>
          <w:lang w:eastAsia="zh-CN"/>
          <w14:textFill>
            <w14:solidFill>
              <w14:schemeClr w14:val="tx1"/>
            </w14:solidFill>
          </w14:textFill>
        </w:rPr>
        <w:t>202</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01</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24 09</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0:00</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地点：安康市公共资源交易中心</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不见面开标大厅</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shd w:val="clear" w:color="auto" w:fill="FFFFFF"/>
          <w14:textFill>
            <w14:solidFill>
              <w14:schemeClr w14:val="tx1"/>
            </w14:solidFill>
          </w14:textFill>
        </w:rPr>
        <w:t>五、公告期限</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自本公告发布之日起5个工作日。</w:t>
      </w:r>
    </w:p>
    <w:p>
      <w:pPr>
        <w:pStyle w:val="15"/>
        <w:keepNext w:val="0"/>
        <w:keepLines w:val="0"/>
        <w:pageBreakBefore w:val="0"/>
        <w:numPr>
          <w:ilvl w:val="0"/>
          <w:numId w:val="1"/>
        </w:numPr>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b/>
          <w:color w:val="000000" w:themeColor="text1"/>
          <w:sz w:val="24"/>
          <w:szCs w:val="24"/>
          <w:shd w:val="clear" w:color="auto" w:fill="FFFFFF"/>
          <w14:textFill>
            <w14:solidFill>
              <w14:schemeClr w14:val="tx1"/>
            </w14:solidFill>
          </w14:textFill>
        </w:rPr>
        <w:t>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80" w:firstLineChars="200"/>
        <w:jc w:val="left"/>
        <w:textAlignment w:val="baseline"/>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pP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 xml:space="preserve">投标供应商使用捆绑陕西省公共资源交易平台的CA锁登录电子交易平台，通过政府采购系统企业端进入，点击“我要投标”并完善相关投标信息；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80" w:firstLineChars="200"/>
        <w:jc w:val="left"/>
        <w:textAlignment w:val="baseline"/>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pP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2</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 xml:space="preserve">投标供应商需在公告发布之日起5个工作日内携带单位介绍信（或法人授权书）及本人身份证在代理机构处进行投标备案登记；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80" w:firstLineChars="200"/>
        <w:jc w:val="left"/>
        <w:textAlignment w:val="baseline"/>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pP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 xml:space="preserve">投标供应商登录电子交易平台下载招标文件；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80" w:firstLineChars="200"/>
        <w:jc w:val="left"/>
        <w:textAlignment w:val="baseline"/>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pP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本项目响应文件采用电子递交方式，不再接受纸质响应文件，相关操作流程详见全国公共资源交易平台（陕西省）网站[服务指南-下载专区]中的《陕西省公共资源交易中心政府采购项目投标指南》，开标前必需在全国公共资源交易平台（陕西省）网站上传电子文件。电子招标文件技术支持：4009280095、4009980000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80" w:firstLineChars="200"/>
        <w:jc w:val="left"/>
        <w:textAlignment w:val="baseline"/>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pP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本项目采用远程不见面开标，相关操作流程详见全国公共资源交易平台（陕西省）网站〖首页〉服务指南〉下载专区〗中的《陕西省公共资源交易中心政府采购项目远程不见面开标操作手册（供应商版）》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80" w:firstLineChars="200"/>
        <w:jc w:val="left"/>
        <w:textAlignment w:val="baseline"/>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pP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 xml:space="preserve">未完成网上投标成功的或未经招标代理公司备案登记确认的，无法完成后续流程。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80" w:firstLineChars="200"/>
        <w:jc w:val="left"/>
        <w:textAlignment w:val="baseline"/>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pPr>
      <w:r>
        <w:rPr>
          <w:rStyle w:val="20"/>
          <w:rFonts w:hint="eastAsia" w:ascii="微软雅黑" w:hAnsi="微软雅黑" w:eastAsia="微软雅黑" w:cs="微软雅黑"/>
          <w:b/>
          <w:bCs/>
          <w:i w:val="0"/>
          <w:iCs w:val="0"/>
          <w:caps w:val="0"/>
          <w:color w:val="000000" w:themeColor="text1"/>
          <w:spacing w:val="0"/>
          <w:sz w:val="24"/>
          <w:szCs w:val="24"/>
          <w:shd w:val="clear" w:fill="FFFFFF"/>
          <w:vertAlign w:val="baseline"/>
          <w14:textFill>
            <w14:solidFill>
              <w14:schemeClr w14:val="tx1"/>
            </w14:solidFill>
          </w14:textFill>
        </w:rPr>
        <w:t>（7）请各供应商下载磋商文件后，按照陕西省财政厅《关于政府采购供应商注册登记有关事项的通知》要求，通过陕西省政府采购网注册登记加入陕西省政府采购供应商库。</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shd w:val="clear" w:color="auto" w:fill="FFFFFF"/>
          <w14:textFill>
            <w14:solidFill>
              <w14:schemeClr w14:val="tx1"/>
            </w14:solidFill>
          </w14:textFill>
        </w:rPr>
        <w:t>七、对本次采购提出询问，请按以下方式联系</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lang w:eastAsia="zh-C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1、采购人信息：</w:t>
      </w:r>
      <w:r>
        <w:rPr>
          <w:rFonts w:hint="eastAsia" w:ascii="微软雅黑" w:hAnsi="微软雅黑" w:eastAsia="微软雅黑" w:cs="微软雅黑"/>
          <w:color w:val="000000" w:themeColor="text1"/>
          <w:sz w:val="24"/>
          <w:szCs w:val="24"/>
          <w:shd w:val="clear" w:color="auto" w:fill="FFFFFF"/>
          <w:lang w:eastAsia="zh-CN"/>
          <w14:textFill>
            <w14:solidFill>
              <w14:schemeClr w14:val="tx1"/>
            </w14:solidFill>
          </w14:textFill>
        </w:rPr>
        <w:t>安康市中医医院</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地址：安康市汉滨区巴山东路47号　</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lang w:eastAsia="zh-C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联系人：</w:t>
      </w:r>
      <w:r>
        <w:rPr>
          <w:rFonts w:hint="eastAsia" w:ascii="微软雅黑" w:hAnsi="微软雅黑" w:eastAsia="微软雅黑" w:cs="微软雅黑"/>
          <w:color w:val="000000" w:themeColor="text1"/>
          <w:sz w:val="24"/>
          <w:szCs w:val="24"/>
          <w:shd w:val="clear" w:color="auto" w:fill="FFFFFF"/>
          <w:lang w:eastAsia="zh-CN"/>
          <w14:textFill>
            <w14:solidFill>
              <w14:schemeClr w14:val="tx1"/>
            </w14:solidFill>
          </w14:textFill>
        </w:rPr>
        <w:t>邹女士</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highlight w:val="none"/>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电话：0915</w:t>
      </w:r>
      <w:r>
        <w:rPr>
          <w:rFonts w:hint="eastAsia" w:ascii="微软雅黑" w:hAnsi="微软雅黑" w:eastAsia="微软雅黑" w:cs="微软雅黑"/>
          <w:color w:val="000000" w:themeColor="text1"/>
          <w:sz w:val="24"/>
          <w:szCs w:val="24"/>
          <w:highlight w:val="none"/>
          <w:shd w:val="clear" w:color="auto" w:fill="FFFFFF"/>
          <w14:textFill>
            <w14:solidFill>
              <w14:schemeClr w14:val="tx1"/>
            </w14:solidFill>
          </w14:textFill>
        </w:rPr>
        <w:t>-</w:t>
      </w:r>
      <w:r>
        <w:rPr>
          <w:rFonts w:hint="eastAsia" w:ascii="微软雅黑" w:hAnsi="微软雅黑" w:eastAsia="微软雅黑" w:cs="微软雅黑"/>
          <w:color w:val="000000" w:themeColor="text1"/>
          <w:sz w:val="24"/>
          <w:szCs w:val="24"/>
          <w:highlight w:val="none"/>
          <w:shd w:val="clear" w:color="auto" w:fill="FFFFFF"/>
          <w:lang w:val="en-US" w:eastAsia="zh-CN"/>
          <w14:textFill>
            <w14:solidFill>
              <w14:schemeClr w14:val="tx1"/>
            </w14:solidFill>
          </w14:textFill>
        </w:rPr>
        <w:t>8183523</w:t>
      </w:r>
      <w:r>
        <w:rPr>
          <w:rFonts w:hint="eastAsia" w:ascii="微软雅黑" w:hAnsi="微软雅黑" w:eastAsia="微软雅黑" w:cs="微软雅黑"/>
          <w:color w:val="000000" w:themeColor="text1"/>
          <w:sz w:val="24"/>
          <w:szCs w:val="24"/>
          <w:highlight w:val="none"/>
          <w:shd w:val="clear" w:color="auto" w:fill="FFFFFF"/>
          <w14:textFill>
            <w14:solidFill>
              <w14:schemeClr w14:val="tx1"/>
            </w14:solidFill>
          </w14:textFill>
        </w:rPr>
        <w:t>　</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2、项目联系方式</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项目联系人：徐倩</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电 话：0915-3189913</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传 真：/</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3、采购代理机构信息</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名称：陕西国泰招标代理有限公司</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textAlignment w:val="auto"/>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联系地址：安康市兴安中路44号君安大厦24楼（兴安公园斜对面）</w:t>
      </w:r>
    </w:p>
    <w:p>
      <w:pPr>
        <w:keepNext w:val="0"/>
        <w:keepLines w:val="0"/>
        <w:pageBreakBefore w:val="0"/>
        <w:kinsoku/>
        <w:wordWrap/>
        <w:overflowPunct/>
        <w:topLinePunct w:val="0"/>
        <w:bidi w:val="0"/>
        <w:adjustRightInd/>
        <w:snapToGrid/>
        <w:spacing w:line="58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联系方式：</w:t>
      </w:r>
      <w:r>
        <w:rPr>
          <w:rFonts w:hint="eastAsia" w:ascii="微软雅黑" w:hAnsi="微软雅黑" w:eastAsia="微软雅黑" w:cs="微软雅黑"/>
          <w:color w:val="000000" w:themeColor="text1"/>
          <w:sz w:val="24"/>
          <w:szCs w:val="24"/>
          <w14:textFill>
            <w14:solidFill>
              <w14:schemeClr w14:val="tx1"/>
            </w14:solidFill>
          </w14:textFill>
        </w:rPr>
        <w:t>0915-3189913</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jc w:val="right"/>
        <w:textAlignment w:val="auto"/>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 xml:space="preserve">                        陕西国泰招标代理有限公司                             </w:t>
      </w:r>
      <w:r>
        <w:rPr>
          <w:rFonts w:hint="eastAsia" w:ascii="微软雅黑" w:hAnsi="微软雅黑" w:eastAsia="微软雅黑" w:cs="微软雅黑"/>
          <w:color w:val="000000" w:themeColor="text1"/>
          <w:sz w:val="24"/>
          <w:szCs w:val="24"/>
          <w:shd w:val="clear" w:color="auto" w:fill="FFFFFF"/>
          <w:lang w:eastAsia="zh-CN"/>
          <w14:textFill>
            <w14:solidFill>
              <w14:schemeClr w14:val="tx1"/>
            </w14:solidFill>
          </w14:textFill>
        </w:rPr>
        <w:t>202</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年</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01</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月</w:t>
      </w:r>
      <w:r>
        <w:rPr>
          <w:rFonts w:hint="eastAsia" w:ascii="微软雅黑" w:hAnsi="微软雅黑" w:eastAsia="微软雅黑" w:cs="微软雅黑"/>
          <w:color w:val="000000" w:themeColor="text1"/>
          <w:sz w:val="24"/>
          <w:szCs w:val="24"/>
          <w:shd w:val="clear" w:color="auto" w:fill="FFFFFF"/>
          <w:lang w:val="en-US" w:eastAsia="zh-CN"/>
          <w14:textFill>
            <w14:solidFill>
              <w14:schemeClr w14:val="tx1"/>
            </w14:solidFill>
          </w14:textFill>
        </w:rPr>
        <w:t>02</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日</w:t>
      </w:r>
    </w:p>
    <w:p>
      <w:pPr>
        <w:pStyle w:val="15"/>
        <w:keepNext w:val="0"/>
        <w:keepLines w:val="0"/>
        <w:pageBreakBefore w:val="0"/>
        <w:kinsoku/>
        <w:wordWrap/>
        <w:overflowPunct/>
        <w:topLinePunct w:val="0"/>
        <w:bidi w:val="0"/>
        <w:adjustRightInd/>
        <w:snapToGrid/>
        <w:spacing w:before="0" w:beforeAutospacing="0" w:after="0" w:afterAutospacing="0" w:line="580" w:lineRule="exact"/>
        <w:ind w:firstLine="480" w:firstLineChars="200"/>
        <w:jc w:val="right"/>
        <w:textAlignment w:val="auto"/>
        <w:rPr>
          <w:color w:val="FF0000"/>
        </w:rPr>
      </w:pPr>
    </w:p>
    <w:p>
      <w:pPr>
        <w:pStyle w:val="12"/>
        <w:jc w:val="center"/>
        <w:rPr>
          <w:rFonts w:hint="eastAsia" w:ascii="微软雅黑" w:hAnsi="微软雅黑" w:eastAsia="微软雅黑" w:cs="微软雅黑"/>
          <w:sz w:val="32"/>
          <w:szCs w:val="32"/>
        </w:rPr>
      </w:pPr>
    </w:p>
    <w:p>
      <w:pPr>
        <w:pStyle w:val="12"/>
        <w:jc w:val="center"/>
        <w:rPr>
          <w:rFonts w:hint="eastAsia" w:ascii="微软雅黑" w:hAnsi="微软雅黑" w:eastAsia="微软雅黑" w:cs="微软雅黑"/>
          <w:sz w:val="32"/>
          <w:szCs w:val="32"/>
        </w:rPr>
      </w:pPr>
    </w:p>
    <w:p>
      <w:pPr>
        <w:pStyle w:val="12"/>
        <w:jc w:val="center"/>
        <w:rPr>
          <w:rFonts w:hint="eastAsia" w:ascii="微软雅黑" w:hAnsi="微软雅黑" w:eastAsia="微软雅黑" w:cs="微软雅黑"/>
          <w:sz w:val="32"/>
          <w:szCs w:val="32"/>
        </w:rPr>
      </w:pPr>
    </w:p>
    <w:p>
      <w:pPr>
        <w:pStyle w:val="12"/>
        <w:jc w:val="center"/>
        <w:rPr>
          <w:rFonts w:hint="eastAsia" w:ascii="微软雅黑" w:hAnsi="微软雅黑" w:eastAsia="微软雅黑" w:cs="微软雅黑"/>
          <w:sz w:val="32"/>
          <w:szCs w:val="32"/>
        </w:rPr>
      </w:pPr>
    </w:p>
    <w:p>
      <w:pPr>
        <w:pStyle w:val="12"/>
        <w:jc w:val="center"/>
        <w:rPr>
          <w:rFonts w:hint="eastAsia" w:ascii="微软雅黑" w:hAnsi="微软雅黑" w:eastAsia="微软雅黑" w:cs="微软雅黑"/>
          <w:sz w:val="32"/>
          <w:szCs w:val="32"/>
        </w:rPr>
      </w:pPr>
    </w:p>
    <w:p>
      <w:pPr>
        <w:pStyle w:val="12"/>
        <w:jc w:val="center"/>
        <w:rPr>
          <w:rFonts w:hint="eastAsia" w:ascii="微软雅黑" w:hAnsi="微软雅黑" w:eastAsia="微软雅黑" w:cs="微软雅黑"/>
          <w:sz w:val="32"/>
          <w:szCs w:val="32"/>
        </w:rPr>
      </w:pPr>
    </w:p>
    <w:p>
      <w:pPr>
        <w:pStyle w:val="12"/>
        <w:jc w:val="center"/>
        <w:rPr>
          <w:rFonts w:hint="eastAsia" w:ascii="微软雅黑" w:hAnsi="微软雅黑" w:eastAsia="微软雅黑" w:cs="微软雅黑"/>
          <w:sz w:val="32"/>
          <w:szCs w:val="32"/>
        </w:rPr>
      </w:pPr>
    </w:p>
    <w:p>
      <w:pPr>
        <w:pStyle w:val="12"/>
        <w:jc w:val="center"/>
        <w:rPr>
          <w:rFonts w:hint="eastAsia" w:ascii="微软雅黑" w:hAnsi="微软雅黑" w:eastAsia="微软雅黑" w:cs="微软雅黑"/>
          <w:sz w:val="32"/>
          <w:szCs w:val="32"/>
        </w:rPr>
      </w:pPr>
    </w:p>
    <w:p>
      <w:pPr>
        <w:pStyle w:val="12"/>
        <w:jc w:val="center"/>
        <w:rPr>
          <w:rFonts w:hint="eastAsia" w:ascii="微软雅黑" w:hAnsi="微软雅黑" w:eastAsia="微软雅黑" w:cs="微软雅黑"/>
          <w:sz w:val="32"/>
          <w:szCs w:val="32"/>
        </w:rPr>
      </w:pPr>
    </w:p>
    <w:p>
      <w:pPr>
        <w:pStyle w:val="12"/>
        <w:jc w:val="center"/>
        <w:rPr>
          <w:rFonts w:hint="eastAsia" w:ascii="微软雅黑" w:hAnsi="微软雅黑" w:eastAsia="微软雅黑" w:cs="微软雅黑"/>
          <w:sz w:val="32"/>
          <w:szCs w:val="32"/>
        </w:rPr>
      </w:pPr>
    </w:p>
    <w:p>
      <w:pPr>
        <w:pStyle w:val="12"/>
        <w:jc w:val="both"/>
        <w:rPr>
          <w:rFonts w:hint="eastAsia" w:ascii="微软雅黑" w:hAnsi="微软雅黑" w:eastAsia="微软雅黑" w:cs="微软雅黑"/>
          <w:sz w:val="32"/>
          <w:szCs w:val="32"/>
        </w:rPr>
      </w:pPr>
    </w:p>
    <w:p>
      <w:pPr>
        <w:pStyle w:val="12"/>
        <w:jc w:val="both"/>
        <w:rPr>
          <w:rFonts w:hint="eastAsia" w:ascii="微软雅黑" w:hAnsi="微软雅黑" w:eastAsia="微软雅黑" w:cs="微软雅黑"/>
          <w:sz w:val="32"/>
          <w:szCs w:val="32"/>
        </w:rPr>
      </w:pPr>
    </w:p>
    <w:p>
      <w:pPr>
        <w:pStyle w:val="12"/>
        <w:jc w:val="both"/>
        <w:rPr>
          <w:rFonts w:hint="eastAsia" w:ascii="微软雅黑" w:hAnsi="微软雅黑" w:eastAsia="微软雅黑" w:cs="微软雅黑"/>
          <w:sz w:val="32"/>
          <w:szCs w:val="32"/>
        </w:rPr>
      </w:pPr>
    </w:p>
    <w:p>
      <w:pPr>
        <w:pStyle w:val="12"/>
        <w:jc w:val="both"/>
        <w:rPr>
          <w:rFonts w:hint="eastAsia" w:ascii="微软雅黑" w:hAnsi="微软雅黑" w:eastAsia="微软雅黑" w:cs="微软雅黑"/>
          <w:sz w:val="32"/>
          <w:szCs w:val="32"/>
        </w:rPr>
      </w:pPr>
    </w:p>
    <w:p>
      <w:pPr>
        <w:pStyle w:val="12"/>
        <w:jc w:val="center"/>
        <w:rPr>
          <w:sz w:val="32"/>
          <w:szCs w:val="32"/>
        </w:rPr>
      </w:pPr>
      <w:r>
        <w:rPr>
          <w:rFonts w:hint="eastAsia" w:ascii="微软雅黑" w:hAnsi="微软雅黑" w:eastAsia="微软雅黑" w:cs="微软雅黑"/>
          <w:sz w:val="32"/>
          <w:szCs w:val="32"/>
        </w:rPr>
        <w:t>第二章　投标人须知</w:t>
      </w:r>
    </w:p>
    <w:p>
      <w:pPr>
        <w:pStyle w:val="12"/>
        <w:ind w:firstLine="560" w:firstLineChars="20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投标人须知前附表</w:t>
      </w:r>
    </w:p>
    <w:tbl>
      <w:tblPr>
        <w:tblStyle w:val="16"/>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858"/>
        <w:gridCol w:w="7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8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条款名称</w:t>
            </w:r>
          </w:p>
        </w:tc>
        <w:tc>
          <w:tcPr>
            <w:tcW w:w="7209"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8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采购项目</w:t>
            </w:r>
          </w:p>
        </w:tc>
        <w:tc>
          <w:tcPr>
            <w:tcW w:w="7209"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安康市中医医院安康市重症能力提升设备采购项目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Align w:val="center"/>
          </w:tcPr>
          <w:p>
            <w:pPr>
              <w:pStyle w:val="12"/>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采购预算</w:t>
            </w:r>
          </w:p>
        </w:tc>
        <w:tc>
          <w:tcPr>
            <w:tcW w:w="7209" w:type="dxa"/>
            <w:vAlign w:val="center"/>
          </w:tcPr>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共</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7</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130</w:t>
            </w:r>
            <w:r>
              <w:rPr>
                <w:rFonts w:hint="eastAsia" w:ascii="微软雅黑" w:hAnsi="微软雅黑" w:eastAsia="微软雅黑" w:cs="微软雅黑"/>
                <w:color w:val="000000" w:themeColor="text1"/>
                <w:sz w:val="21"/>
                <w:szCs w:val="21"/>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00</w:t>
            </w:r>
            <w:r>
              <w:rPr>
                <w:rFonts w:hint="eastAsia" w:ascii="微软雅黑" w:hAnsi="微软雅黑" w:eastAsia="微软雅黑" w:cs="微软雅黑"/>
                <w:color w:val="000000" w:themeColor="text1"/>
                <w:sz w:val="21"/>
                <w:szCs w:val="21"/>
                <w14:textFill>
                  <w14:solidFill>
                    <w14:schemeClr w14:val="tx1"/>
                  </w14:solidFill>
                </w14:textFill>
              </w:rPr>
              <w:t>0.00元</w:t>
            </w:r>
          </w:p>
          <w:p>
            <w:pPr>
              <w:pStyle w:val="12"/>
              <w:jc w:val="left"/>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合同包1：2,620,000.00</w:t>
            </w: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元</w:t>
            </w:r>
          </w:p>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合同包2：</w:t>
            </w: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4,510,000.00</w:t>
            </w:r>
            <w:r>
              <w:rPr>
                <w:rFonts w:hint="eastAsia" w:ascii="微软雅黑" w:hAnsi="微软雅黑" w:eastAsia="微软雅黑" w:cs="微软雅黑"/>
                <w:color w:val="000000" w:themeColor="text1"/>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Align w:val="center"/>
          </w:tcPr>
          <w:p>
            <w:pPr>
              <w:pStyle w:val="12"/>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本项目设定的</w:t>
            </w:r>
          </w:p>
          <w:p>
            <w:pPr>
              <w:pStyle w:val="12"/>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最高限价</w:t>
            </w:r>
          </w:p>
        </w:tc>
        <w:tc>
          <w:tcPr>
            <w:tcW w:w="7209" w:type="dxa"/>
            <w:vAlign w:val="center"/>
          </w:tcPr>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1"/>
                <w:szCs w:val="21"/>
                <w14:textFill>
                  <w14:solidFill>
                    <w14:schemeClr w14:val="tx1"/>
                  </w14:solidFill>
                </w14:textFill>
              </w:rPr>
              <w:t>无</w:t>
            </w:r>
          </w:p>
          <w:p>
            <w:pPr>
              <w:pStyle w:val="12"/>
              <w:jc w:val="left"/>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有，金额：</w:t>
            </w:r>
            <w:r>
              <w:rPr>
                <w:rFonts w:hint="eastAsia" w:ascii="微软雅黑" w:hAnsi="微软雅黑" w:eastAsia="微软雅黑" w:cs="微软雅黑"/>
                <w:color w:val="000000" w:themeColor="text1"/>
                <w:lang w:val="en-US" w:eastAsia="zh-CN"/>
                <w14:textFill>
                  <w14:solidFill>
                    <w14:schemeClr w14:val="tx1"/>
                  </w14:solidFill>
                </w14:textFill>
              </w:rPr>
              <w:t>合同包1：1,800,000.00</w:t>
            </w: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元</w:t>
            </w:r>
          </w:p>
          <w:p>
            <w:pPr>
              <w:pStyle w:val="12"/>
              <w:ind w:firstLine="1260" w:firstLineChars="600"/>
              <w:jc w:val="left"/>
              <w:rPr>
                <w:rFonts w:hint="eastAsia" w:ascii="微软雅黑" w:hAnsi="微软雅黑" w:eastAsia="微软雅黑" w:cs="微软雅黑"/>
                <w:color w:val="000000" w:themeColor="text1"/>
                <w:sz w:val="21"/>
                <w:szCs w:val="21"/>
                <w:u w:val="single"/>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合同包2：</w:t>
            </w:r>
            <w:r>
              <w:rPr>
                <w:rFonts w:hint="eastAsia" w:ascii="微软雅黑" w:hAnsi="微软雅黑" w:eastAsia="微软雅黑" w:cs="微软雅黑"/>
                <w:i w:val="0"/>
                <w:iCs w:val="0"/>
                <w:caps w:val="0"/>
                <w:color w:val="000000" w:themeColor="text1"/>
                <w:spacing w:val="0"/>
                <w:sz w:val="21"/>
                <w:szCs w:val="21"/>
                <w:shd w:val="clear" w:fill="FFFFFF"/>
                <w:vertAlign w:val="baseline"/>
                <w:lang w:val="en-US" w:eastAsia="zh-CN"/>
                <w14:textFill>
                  <w14:solidFill>
                    <w14:schemeClr w14:val="tx1"/>
                  </w14:solidFill>
                </w14:textFill>
              </w:rPr>
              <w:t>3,000,000.00</w:t>
            </w:r>
            <w:r>
              <w:rPr>
                <w:rFonts w:hint="eastAsia" w:ascii="微软雅黑" w:hAnsi="微软雅黑" w:eastAsia="微软雅黑" w:cs="微软雅黑"/>
                <w:color w:val="000000" w:themeColor="text1"/>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核心产品</w:t>
            </w:r>
          </w:p>
        </w:tc>
        <w:tc>
          <w:tcPr>
            <w:tcW w:w="7209" w:type="dxa"/>
            <w:vAlign w:val="center"/>
          </w:tcPr>
          <w:p>
            <w:pPr>
              <w:pStyle w:val="12"/>
              <w:jc w:val="left"/>
              <w:rPr>
                <w:rFonts w:hint="default" w:ascii="微软雅黑" w:hAnsi="微软雅黑" w:eastAsia="微软雅黑" w:cs="微软雅黑"/>
                <w:sz w:val="21"/>
                <w:szCs w:val="21"/>
                <w:lang w:val="en-US"/>
              </w:rPr>
            </w:pPr>
            <w:r>
              <w:rPr>
                <w:rFonts w:hint="eastAsia" w:ascii="微软雅黑" w:hAnsi="微软雅黑" w:eastAsia="微软雅黑" w:cs="微软雅黑"/>
                <w:b w:val="0"/>
                <w:bCs/>
                <w:kern w:val="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公告媒体</w:t>
            </w:r>
          </w:p>
        </w:tc>
        <w:tc>
          <w:tcPr>
            <w:tcW w:w="7209" w:type="dxa"/>
            <w:vAlign w:val="center"/>
          </w:tcPr>
          <w:p>
            <w:pPr>
              <w:pStyle w:val="12"/>
              <w:jc w:val="lef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shd w:val="clear"/>
                <w:lang w:eastAsia="zh-CN"/>
              </w:rPr>
              <w:t>陕西</w:t>
            </w:r>
            <w:r>
              <w:rPr>
                <w:rFonts w:hint="eastAsia" w:ascii="微软雅黑" w:hAnsi="微软雅黑" w:eastAsia="微软雅黑" w:cs="微软雅黑"/>
                <w:color w:val="auto"/>
                <w:sz w:val="21"/>
                <w:szCs w:val="21"/>
                <w:shd w:val="clear"/>
                <w:lang w:val="en-US" w:eastAsia="zh-CN"/>
              </w:rPr>
              <w:t>省</w:t>
            </w:r>
            <w:r>
              <w:rPr>
                <w:rFonts w:hint="eastAsia" w:ascii="微软雅黑" w:hAnsi="微软雅黑" w:eastAsia="微软雅黑" w:cs="微软雅黑"/>
                <w:color w:val="auto"/>
                <w:sz w:val="21"/>
                <w:szCs w:val="21"/>
                <w:shd w:val="clear"/>
              </w:rPr>
              <w:t>政府采购网</w:t>
            </w:r>
            <w:r>
              <w:rPr>
                <w:rFonts w:hint="eastAsia" w:ascii="微软雅黑" w:hAnsi="微软雅黑" w:eastAsia="微软雅黑" w:cs="微软雅黑"/>
                <w:color w:val="auto"/>
                <w:sz w:val="21"/>
                <w:szCs w:val="21"/>
                <w:shd w:val="clear"/>
                <w:lang w:val="en-US" w:eastAsia="zh-CN"/>
              </w:rPr>
              <w:t>及陕西省公共资源交易中心官网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采购人</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w:t>
            </w:r>
            <w:r>
              <w:rPr>
                <w:rFonts w:hint="eastAsia" w:ascii="微软雅黑" w:hAnsi="微软雅黑" w:eastAsia="微软雅黑" w:cs="微软雅黑"/>
                <w:sz w:val="21"/>
                <w:szCs w:val="21"/>
                <w:u w:val="single"/>
                <w:lang w:val="en-US" w:eastAsia="zh-CN"/>
              </w:rPr>
              <w:t>安康市中医医院</w:t>
            </w:r>
            <w:r>
              <w:rPr>
                <w:rFonts w:hint="eastAsia" w:ascii="微软雅黑" w:hAnsi="微软雅黑" w:eastAsia="微软雅黑" w:cs="微软雅黑"/>
                <w:sz w:val="21"/>
                <w:szCs w:val="21"/>
                <w:u w:val="single"/>
              </w:rPr>
              <w:t>_</w:t>
            </w:r>
            <w:r>
              <w:rPr>
                <w:rFonts w:hint="eastAsia" w:ascii="微软雅黑" w:hAnsi="微软雅黑" w:eastAsia="微软雅黑" w:cs="微软雅黑"/>
                <w:sz w:val="21"/>
                <w:szCs w:val="21"/>
              </w:rPr>
              <w:t>__</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w:t>
            </w:r>
            <w:r>
              <w:rPr>
                <w:rFonts w:hint="eastAsia" w:ascii="微软雅黑" w:hAnsi="微软雅黑" w:eastAsia="微软雅黑" w:cs="微软雅黑"/>
                <w:i w:val="0"/>
                <w:iCs w:val="0"/>
                <w:sz w:val="21"/>
                <w:szCs w:val="21"/>
                <w:u w:val="single"/>
              </w:rPr>
              <w:t>安康市汉滨区巴山东路47号</w:t>
            </w:r>
            <w:r>
              <w:rPr>
                <w:rFonts w:hint="eastAsia" w:ascii="微软雅黑" w:hAnsi="微软雅黑" w:eastAsia="微软雅黑" w:cs="微软雅黑"/>
                <w:sz w:val="21"/>
                <w:szCs w:val="21"/>
                <w:u w:val="single"/>
              </w:rPr>
              <w:t>　</w:t>
            </w:r>
          </w:p>
          <w:p>
            <w:pPr>
              <w:pStyle w:val="12"/>
              <w:jc w:val="lef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rPr>
              <w:t>电话：</w:t>
            </w:r>
            <w:r>
              <w:rPr>
                <w:rFonts w:hint="eastAsia" w:ascii="微软雅黑" w:hAnsi="微软雅黑" w:eastAsia="微软雅黑" w:cs="微软雅黑"/>
                <w:sz w:val="21"/>
                <w:szCs w:val="21"/>
                <w:u w:val="single"/>
              </w:rPr>
              <w:t>0915</w:t>
            </w:r>
            <w:r>
              <w:rPr>
                <w:rFonts w:hint="eastAsia" w:ascii="微软雅黑" w:hAnsi="微软雅黑" w:eastAsia="微软雅黑" w:cs="微软雅黑"/>
                <w:sz w:val="21"/>
                <w:szCs w:val="21"/>
                <w:highlight w:val="none"/>
                <w:u w:val="single"/>
              </w:rPr>
              <w:t>-8183523　</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w:t>
            </w:r>
            <w:r>
              <w:rPr>
                <w:rFonts w:hint="eastAsia" w:ascii="微软雅黑" w:hAnsi="微软雅黑" w:eastAsia="微软雅黑" w:cs="微软雅黑"/>
                <w:sz w:val="21"/>
                <w:szCs w:val="21"/>
                <w:u w:val="single"/>
                <w:lang w:val="en-US" w:eastAsia="zh-CN"/>
              </w:rPr>
              <w:t>邹女士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采购代理机构</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w:t>
            </w:r>
            <w:r>
              <w:rPr>
                <w:rFonts w:hint="eastAsia" w:ascii="微软雅黑" w:hAnsi="微软雅黑" w:eastAsia="微软雅黑" w:cs="微软雅黑"/>
                <w:sz w:val="21"/>
                <w:szCs w:val="21"/>
                <w:u w:val="single"/>
              </w:rPr>
              <w:t>陕西国泰招标代理有限公司</w:t>
            </w:r>
          </w:p>
          <w:p>
            <w:pPr>
              <w:pStyle w:val="12"/>
              <w:jc w:val="left"/>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地址：</w:t>
            </w:r>
            <w:r>
              <w:rPr>
                <w:rFonts w:hint="eastAsia" w:ascii="微软雅黑" w:hAnsi="微软雅黑" w:eastAsia="微软雅黑" w:cs="微软雅黑"/>
                <w:sz w:val="21"/>
                <w:szCs w:val="21"/>
                <w:u w:val="single"/>
              </w:rPr>
              <w:t>安康市兴安中路44号君安大厦24楼（兴安公园斜对面）</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w:t>
            </w:r>
            <w:r>
              <w:rPr>
                <w:rFonts w:hint="eastAsia" w:ascii="微软雅黑" w:hAnsi="微软雅黑" w:eastAsia="微软雅黑" w:cs="微软雅黑"/>
                <w:sz w:val="21"/>
                <w:szCs w:val="21"/>
                <w:u w:val="single"/>
              </w:rPr>
              <w:t>0915-3189913</w:t>
            </w:r>
          </w:p>
          <w:p>
            <w:pPr>
              <w:pStyle w:val="12"/>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联系人：</w:t>
            </w:r>
            <w:r>
              <w:rPr>
                <w:rFonts w:hint="eastAsia" w:ascii="微软雅黑" w:hAnsi="微软雅黑" w:eastAsia="微软雅黑" w:cs="微软雅黑"/>
                <w:sz w:val="21"/>
                <w:szCs w:val="21"/>
                <w:u w:val="single"/>
              </w:rPr>
              <w:t>徐</w:t>
            </w:r>
            <w:r>
              <w:rPr>
                <w:rFonts w:hint="eastAsia" w:ascii="微软雅黑" w:hAnsi="微软雅黑" w:eastAsia="微软雅黑" w:cs="微软雅黑"/>
                <w:sz w:val="21"/>
                <w:szCs w:val="21"/>
                <w:u w:val="single"/>
                <w:lang w:val="en-US" w:eastAsia="zh-CN"/>
              </w:rPr>
              <w:t>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1858" w:type="dxa"/>
            <w:vAlign w:val="center"/>
          </w:tcPr>
          <w:p>
            <w:pPr>
              <w:pStyle w:val="12"/>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投标人资格条件</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适用于所有包</w:t>
            </w:r>
            <w:r>
              <w:rPr>
                <w:rFonts w:hint="eastAsia" w:ascii="微软雅黑" w:hAnsi="微软雅黑" w:eastAsia="微软雅黑" w:cs="微软雅黑"/>
                <w:color w:val="auto"/>
                <w:sz w:val="21"/>
                <w:szCs w:val="21"/>
                <w:lang w:eastAsia="zh-CN"/>
              </w:rPr>
              <w:t>）</w:t>
            </w:r>
          </w:p>
          <w:p>
            <w:pPr>
              <w:pStyle w:val="12"/>
              <w:jc w:val="center"/>
              <w:rPr>
                <w:rFonts w:hint="eastAsia" w:ascii="微软雅黑" w:hAnsi="微软雅黑" w:eastAsia="微软雅黑" w:cs="微软雅黑"/>
                <w:color w:val="auto"/>
                <w:sz w:val="21"/>
                <w:szCs w:val="21"/>
              </w:rPr>
            </w:pPr>
          </w:p>
        </w:tc>
        <w:tc>
          <w:tcPr>
            <w:tcW w:w="7209" w:type="dxa"/>
            <w:vAlign w:val="center"/>
          </w:tcPr>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rPr>
              <w:t>1、满足《中华人民共和国政府采购法》第二十二条规定</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rPr>
              <w:t>2.落实政府采购政策需满足的资格要求：</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lang w:val="en-US" w:eastAsia="zh-CN"/>
              </w:rPr>
              <w:t>合同包1(我院自用重症医疗设备)落实政府采购政策需满足的资格要求如下:</w:t>
            </w:r>
            <w:r>
              <w:rPr>
                <w:rFonts w:hint="eastAsia" w:ascii="微软雅黑" w:hAnsi="微软雅黑" w:eastAsia="微软雅黑" w:cs="微软雅黑"/>
                <w:b w:val="0"/>
                <w:bCs/>
                <w:kern w:val="1"/>
                <w:sz w:val="21"/>
                <w:szCs w:val="21"/>
              </w:rPr>
              <w:t>《政府采购促进中小企业发展管理办法》（财库﹝2020﹞46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2019〕9号）； 《关于印发环境标志产品政府采购品目清单的通知》（财库〔2019〕18号）；《关于印发节能产品政府采购品目清单的通知》（财库〔2019〕19号）； 《三部门联合发布关于促进残疾人就业政府采购政策的通知》（财库〔2017〕141号）； 《财政部发展改革委生态环境部市场监管总局关于调整优化节能产品、环境标志产品政府采购执行机制的通知》（财库〔2019〕9号）；《关于运用政府采购政策支持脱贫攻坚的通知》财库〔2019〕27号； 《陕西省财政厅关于加快推进我省中小企业政府采购信用融资工作的通知》（陕财办采〔2020〕15号）；《陕西省中小企业政府采购信用融资办法》</w:t>
            </w:r>
            <w:r>
              <w:rPr>
                <w:rFonts w:hint="eastAsia" w:ascii="微软雅黑" w:hAnsi="微软雅黑" w:eastAsia="微软雅黑" w:cs="微软雅黑"/>
                <w:b w:val="0"/>
                <w:bCs/>
                <w:kern w:val="1"/>
                <w:sz w:val="21"/>
                <w:szCs w:val="21"/>
                <w:lang w:eastAsia="zh-CN"/>
              </w:rPr>
              <w:t>（</w:t>
            </w:r>
            <w:r>
              <w:rPr>
                <w:rFonts w:hint="eastAsia" w:ascii="微软雅黑" w:hAnsi="微软雅黑" w:eastAsia="微软雅黑" w:cs="微软雅黑"/>
                <w:b w:val="0"/>
                <w:bCs/>
                <w:kern w:val="1"/>
                <w:sz w:val="21"/>
                <w:szCs w:val="21"/>
              </w:rPr>
              <w:t xml:space="preserve">陕财办采〔2018〕23号 </w:t>
            </w:r>
            <w:r>
              <w:rPr>
                <w:rFonts w:hint="eastAsia" w:ascii="微软雅黑" w:hAnsi="微软雅黑" w:eastAsia="微软雅黑" w:cs="微软雅黑"/>
                <w:b w:val="0"/>
                <w:bCs/>
                <w:kern w:val="1"/>
                <w:sz w:val="21"/>
                <w:szCs w:val="21"/>
                <w:lang w:eastAsia="zh-CN"/>
              </w:rPr>
              <w:t>）</w:t>
            </w:r>
            <w:r>
              <w:rPr>
                <w:rFonts w:hint="eastAsia" w:ascii="微软雅黑" w:hAnsi="微软雅黑" w:eastAsia="微软雅黑" w:cs="微软雅黑"/>
                <w:b w:val="0"/>
                <w:bCs/>
                <w:kern w:val="1"/>
                <w:sz w:val="21"/>
                <w:szCs w:val="21"/>
              </w:rPr>
              <w:t>以及其他需要落实的政府采购政策。</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合同包2(其他医疗机构重症医疗设备)落实政府采购政策需满足的资格要求如下:</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lang w:val="en-US" w:eastAsia="zh-CN"/>
              </w:rPr>
              <w:t>与</w:t>
            </w:r>
            <w:r>
              <w:rPr>
                <w:rFonts w:hint="eastAsia" w:ascii="微软雅黑" w:hAnsi="微软雅黑" w:eastAsia="微软雅黑" w:cs="微软雅黑"/>
                <w:b w:val="0"/>
                <w:bCs/>
                <w:kern w:val="1"/>
                <w:sz w:val="21"/>
                <w:szCs w:val="21"/>
              </w:rPr>
              <w:t>合同包1要求一致。</w:t>
            </w:r>
          </w:p>
          <w:p>
            <w:pPr>
              <w:tabs>
                <w:tab w:val="left" w:pos="525"/>
              </w:tabs>
              <w:spacing w:line="520" w:lineRule="exact"/>
              <w:ind w:right="-168"/>
              <w:rPr>
                <w:rFonts w:hint="eastAsia" w:ascii="微软雅黑" w:hAnsi="微软雅黑" w:eastAsia="微软雅黑" w:cs="微软雅黑"/>
                <w:b w:val="0"/>
                <w:bCs/>
                <w:kern w:val="1"/>
                <w:sz w:val="21"/>
                <w:szCs w:val="21"/>
                <w:lang w:eastAsia="zh-CN"/>
              </w:rPr>
            </w:pPr>
            <w:r>
              <w:rPr>
                <w:rFonts w:hint="eastAsia" w:ascii="微软雅黑" w:hAnsi="微软雅黑" w:eastAsia="微软雅黑" w:cs="微软雅黑"/>
                <w:b w:val="0"/>
                <w:bCs/>
                <w:kern w:val="1"/>
                <w:sz w:val="21"/>
                <w:szCs w:val="21"/>
              </w:rPr>
              <w:t>3、本项目的特定资格要求：</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合同包1（我院自用重症医疗设备)特定资格要求如下:</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3.1、具有独立承担民事责任能力的法人或其他组织，提供统一社会信用代码的营业执照。</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3.2、法定代表人授权书及被授权人身份证。（法定代表人参加仅提供法定代表人身份证）。</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 xml:space="preserve">3.3、投标人必须提供参加政府采购活动前3年内在经营活动中没有重大违法记录的书面声明；  </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lang w:val="en-US" w:eastAsia="zh-CN"/>
              </w:rPr>
              <w:t>3.4、</w:t>
            </w:r>
            <w:r>
              <w:rPr>
                <w:rFonts w:hint="eastAsia" w:ascii="微软雅黑" w:hAnsi="微软雅黑" w:eastAsia="微软雅黑" w:cs="微软雅黑"/>
                <w:b w:val="0"/>
                <w:bCs/>
                <w:kern w:val="1"/>
                <w:sz w:val="21"/>
                <w:szCs w:val="21"/>
              </w:rPr>
              <w:t>财务状况报告：提供具有财务审计资质单位出具的</w:t>
            </w:r>
            <w:r>
              <w:rPr>
                <w:rFonts w:hint="eastAsia" w:ascii="微软雅黑" w:hAnsi="微软雅黑" w:eastAsia="微软雅黑" w:cs="微软雅黑"/>
                <w:b w:val="0"/>
                <w:bCs/>
                <w:kern w:val="1"/>
                <w:sz w:val="21"/>
                <w:szCs w:val="21"/>
                <w:lang w:val="en-US" w:eastAsia="zh-CN"/>
              </w:rPr>
              <w:t>前一</w:t>
            </w:r>
            <w:r>
              <w:rPr>
                <w:rFonts w:hint="eastAsia" w:ascii="微软雅黑" w:hAnsi="微软雅黑" w:eastAsia="微软雅黑" w:cs="微软雅黑"/>
                <w:b w:val="0"/>
                <w:bCs/>
                <w:kern w:val="1"/>
                <w:sz w:val="21"/>
                <w:szCs w:val="21"/>
              </w:rPr>
              <w:t>年度财务报告（成立时间至投标截止时间不足一年的可提供成立后任意时段的资产负债表），或者投标截止时间六个月内基本开户银行出具的资信证明；</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lang w:val="en-US" w:eastAsia="zh-CN"/>
              </w:rPr>
              <w:t>3.5</w:t>
            </w:r>
            <w:r>
              <w:rPr>
                <w:rFonts w:hint="eastAsia" w:ascii="微软雅黑" w:hAnsi="微软雅黑" w:eastAsia="微软雅黑" w:cs="微软雅黑"/>
                <w:b w:val="0"/>
                <w:bCs/>
                <w:kern w:val="1"/>
                <w:sz w:val="21"/>
                <w:szCs w:val="21"/>
              </w:rPr>
              <w:t>、税收缴纳证明：提供投标截止前</w:t>
            </w:r>
            <w:r>
              <w:rPr>
                <w:rFonts w:hint="eastAsia" w:ascii="微软雅黑" w:hAnsi="微软雅黑" w:eastAsia="微软雅黑" w:cs="微软雅黑"/>
                <w:b w:val="0"/>
                <w:bCs/>
                <w:kern w:val="1"/>
                <w:sz w:val="21"/>
                <w:szCs w:val="21"/>
                <w:lang w:val="en-US" w:eastAsia="zh-CN"/>
              </w:rPr>
              <w:t>一年</w:t>
            </w:r>
            <w:r>
              <w:rPr>
                <w:rFonts w:hint="eastAsia" w:ascii="微软雅黑" w:hAnsi="微软雅黑" w:eastAsia="微软雅黑" w:cs="微软雅黑"/>
                <w:b w:val="0"/>
                <w:bCs/>
                <w:kern w:val="1"/>
                <w:sz w:val="21"/>
                <w:szCs w:val="21"/>
              </w:rPr>
              <w:t>内已缴纳的至少提供</w:t>
            </w:r>
            <w:r>
              <w:rPr>
                <w:rFonts w:hint="eastAsia" w:ascii="微软雅黑" w:hAnsi="微软雅黑" w:eastAsia="微软雅黑" w:cs="微软雅黑"/>
                <w:b w:val="0"/>
                <w:bCs/>
                <w:kern w:val="1"/>
                <w:sz w:val="21"/>
                <w:szCs w:val="21"/>
                <w:lang w:val="en-US" w:eastAsia="zh-CN"/>
              </w:rPr>
              <w:t>3</w:t>
            </w:r>
            <w:r>
              <w:rPr>
                <w:rFonts w:hint="eastAsia" w:ascii="微软雅黑" w:hAnsi="微软雅黑" w:eastAsia="微软雅黑" w:cs="微软雅黑"/>
                <w:b w:val="0"/>
                <w:bCs/>
                <w:kern w:val="1"/>
                <w:sz w:val="21"/>
                <w:szCs w:val="21"/>
              </w:rPr>
              <w:t>个月的有效纳税凭证</w:t>
            </w:r>
            <w:r>
              <w:rPr>
                <w:rFonts w:hint="eastAsia" w:ascii="微软雅黑" w:hAnsi="微软雅黑" w:eastAsia="微软雅黑" w:cs="微软雅黑"/>
                <w:b w:val="0"/>
                <w:bCs/>
                <w:kern w:val="1"/>
                <w:sz w:val="21"/>
                <w:szCs w:val="21"/>
                <w:lang w:eastAsia="zh-CN"/>
              </w:rPr>
              <w:t>（</w:t>
            </w:r>
            <w:r>
              <w:rPr>
                <w:rFonts w:hint="eastAsia" w:ascii="微软雅黑" w:hAnsi="微软雅黑" w:eastAsia="微软雅黑" w:cs="微软雅黑"/>
                <w:b w:val="0"/>
                <w:bCs/>
                <w:kern w:val="1"/>
                <w:sz w:val="21"/>
                <w:szCs w:val="21"/>
                <w:lang w:val="en-US" w:eastAsia="zh-CN"/>
              </w:rPr>
              <w:t>企业所得税或营业税或增值税</w:t>
            </w:r>
            <w:r>
              <w:rPr>
                <w:rFonts w:hint="eastAsia" w:ascii="微软雅黑" w:hAnsi="微软雅黑" w:eastAsia="微软雅黑" w:cs="微软雅黑"/>
                <w:b w:val="0"/>
                <w:bCs/>
                <w:kern w:val="1"/>
                <w:sz w:val="21"/>
                <w:szCs w:val="21"/>
                <w:lang w:eastAsia="zh-CN"/>
              </w:rPr>
              <w:t>）</w:t>
            </w:r>
            <w:r>
              <w:rPr>
                <w:rFonts w:hint="eastAsia" w:ascii="微软雅黑" w:hAnsi="微软雅黑" w:eastAsia="微软雅黑" w:cs="微软雅黑"/>
                <w:b w:val="0"/>
                <w:bCs/>
                <w:kern w:val="1"/>
                <w:sz w:val="21"/>
                <w:szCs w:val="21"/>
              </w:rPr>
              <w:t>；（依法免税的申请人应提供相关文件证明）；</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lang w:val="en-US" w:eastAsia="zh-CN"/>
              </w:rPr>
              <w:t>3.6</w:t>
            </w:r>
            <w:r>
              <w:rPr>
                <w:rFonts w:hint="eastAsia" w:ascii="微软雅黑" w:hAnsi="微软雅黑" w:eastAsia="微软雅黑" w:cs="微软雅黑"/>
                <w:b w:val="0"/>
                <w:bCs/>
                <w:kern w:val="1"/>
                <w:sz w:val="21"/>
                <w:szCs w:val="21"/>
              </w:rPr>
              <w:t>、社会保障资金缴纳证明：提供投标截止前一年内已缴存的至少</w:t>
            </w:r>
            <w:r>
              <w:rPr>
                <w:rFonts w:hint="eastAsia" w:ascii="微软雅黑" w:hAnsi="微软雅黑" w:eastAsia="微软雅黑" w:cs="微软雅黑"/>
                <w:b w:val="0"/>
                <w:bCs/>
                <w:kern w:val="1"/>
                <w:sz w:val="21"/>
                <w:szCs w:val="21"/>
                <w:lang w:val="en-US" w:eastAsia="zh-CN"/>
              </w:rPr>
              <w:t>3</w:t>
            </w:r>
            <w:r>
              <w:rPr>
                <w:rFonts w:hint="eastAsia" w:ascii="微软雅黑" w:hAnsi="微软雅黑" w:eastAsia="微软雅黑" w:cs="微软雅黑"/>
                <w:b w:val="0"/>
                <w:bCs/>
                <w:kern w:val="1"/>
                <w:sz w:val="21"/>
                <w:szCs w:val="21"/>
              </w:rPr>
              <w:t>个月的有效缴存单据或社保机构开具的社会保险参保缴费情况证明；（依法不需要缴纳社会保障资金的申请人应提供相关证明）；</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3.7、投标人是生产厂家的出具医疗器械生产许可证或医疗器械生产备案证；经销商的需出具医疗器械经营许可证或医疗器械经营备案凭证（所投产品应在其经营许可范围内）。</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3.8、所投产品是医疗器械的提供医疗器械注册证【准】字；所投产品不纳入医疗器械的提供药监局批复或其他证明材料。</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3.9、本项目专门面向中小企业，供应商须提供中小企业声明函原件。供应商可根据《国民经济行业分类》（GB/T4754-2017）、《国家统计局关于印发&lt;统计上大中小微型企业划分办法（2017）&gt;的通知》国统字〔2017〕213号、工信部联企业〔2011〕300号文件自行划分，若声明与实际不符须承担相应责任。</w:t>
            </w:r>
          </w:p>
          <w:p>
            <w:pPr>
              <w:tabs>
                <w:tab w:val="left" w:pos="525"/>
              </w:tabs>
              <w:spacing w:line="520" w:lineRule="exact"/>
              <w:ind w:right="-168"/>
              <w:rPr>
                <w:rFonts w:hint="eastAsia" w:ascii="微软雅黑" w:hAnsi="微软雅黑" w:eastAsia="微软雅黑" w:cs="微软雅黑"/>
                <w:b w:val="0"/>
                <w:bCs/>
                <w:kern w:val="1"/>
                <w:sz w:val="21"/>
                <w:szCs w:val="21"/>
                <w:lang w:val="en-US" w:eastAsia="zh-CN"/>
              </w:rPr>
            </w:pPr>
            <w:r>
              <w:rPr>
                <w:rFonts w:hint="eastAsia" w:ascii="微软雅黑" w:hAnsi="微软雅黑" w:eastAsia="微软雅黑" w:cs="微软雅黑"/>
                <w:b w:val="0"/>
                <w:bCs/>
                <w:kern w:val="1"/>
                <w:sz w:val="21"/>
                <w:szCs w:val="21"/>
                <w:lang w:val="en-US" w:eastAsia="zh-CN"/>
              </w:rPr>
              <w:t>合同包2(其他医疗机构重症医疗设备)特定资格要求如下:</w:t>
            </w:r>
          </w:p>
          <w:p>
            <w:pPr>
              <w:tabs>
                <w:tab w:val="left" w:pos="525"/>
              </w:tabs>
              <w:spacing w:line="520" w:lineRule="exact"/>
              <w:ind w:right="-168"/>
              <w:rPr>
                <w:rFonts w:hint="eastAsia" w:ascii="微软雅黑" w:hAnsi="微软雅黑" w:eastAsia="微软雅黑" w:cs="微软雅黑"/>
                <w:b w:val="0"/>
                <w:bCs/>
                <w:kern w:val="1"/>
                <w:sz w:val="21"/>
                <w:szCs w:val="21"/>
              </w:rPr>
            </w:pPr>
            <w:r>
              <w:rPr>
                <w:rFonts w:hint="eastAsia" w:ascii="微软雅黑" w:hAnsi="微软雅黑" w:eastAsia="微软雅黑" w:cs="微软雅黑"/>
                <w:b w:val="0"/>
                <w:bCs/>
                <w:kern w:val="1"/>
                <w:sz w:val="21"/>
                <w:szCs w:val="21"/>
                <w:lang w:val="en-US" w:eastAsia="zh-CN"/>
              </w:rPr>
              <w:t>与</w:t>
            </w:r>
            <w:r>
              <w:rPr>
                <w:rFonts w:hint="eastAsia" w:ascii="微软雅黑" w:hAnsi="微软雅黑" w:eastAsia="微软雅黑" w:cs="微软雅黑"/>
                <w:b w:val="0"/>
                <w:bCs/>
                <w:kern w:val="1"/>
                <w:sz w:val="21"/>
                <w:szCs w:val="21"/>
              </w:rPr>
              <w:t>合同包1要求一致。</w:t>
            </w:r>
          </w:p>
          <w:p>
            <w:pPr>
              <w:tabs>
                <w:tab w:val="left" w:pos="525"/>
              </w:tabs>
              <w:spacing w:line="520" w:lineRule="exact"/>
              <w:ind w:right="-168"/>
              <w:rPr>
                <w:rFonts w:hint="eastAsia" w:ascii="微软雅黑" w:hAnsi="微软雅黑" w:eastAsia="微软雅黑" w:cs="微软雅黑"/>
                <w:color w:val="auto"/>
                <w:sz w:val="21"/>
                <w:szCs w:val="21"/>
              </w:rPr>
            </w:pPr>
            <w:r>
              <w:rPr>
                <w:rFonts w:hint="eastAsia" w:ascii="微软雅黑" w:hAnsi="微软雅黑" w:eastAsia="微软雅黑" w:cs="微软雅黑"/>
                <w:b/>
                <w:kern w:val="1"/>
                <w:sz w:val="21"/>
                <w:szCs w:val="21"/>
              </w:rPr>
              <w:t>以上</w:t>
            </w:r>
            <w:r>
              <w:rPr>
                <w:rFonts w:hint="eastAsia" w:ascii="微软雅黑" w:hAnsi="微软雅黑" w:eastAsia="微软雅黑" w:cs="微软雅黑"/>
                <w:b/>
                <w:kern w:val="1"/>
                <w:sz w:val="21"/>
                <w:szCs w:val="21"/>
                <w:lang w:val="en-US" w:eastAsia="zh-CN"/>
              </w:rPr>
              <w:t>特定资格要求</w:t>
            </w:r>
            <w:r>
              <w:rPr>
                <w:rFonts w:hint="eastAsia" w:ascii="微软雅黑" w:hAnsi="微软雅黑" w:eastAsia="微软雅黑" w:cs="微软雅黑"/>
                <w:b/>
                <w:kern w:val="1"/>
                <w:sz w:val="21"/>
                <w:szCs w:val="21"/>
              </w:rPr>
              <w:t>内容均为必备投标要求，各投标人应按要求提供复印件加盖投标人红色公章，附在每份投标文件中。不符合招标文件投标要求的，其投标文件被视为无效标书，取消投标资格。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项目现场勘察</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不组织</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□组织：____________________</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1.时间：____________________</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2.地点：____________________</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3.其他：____________________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样品</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不要求提供</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□要求提供：</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1.样品制作的标准和要求：____________________</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2.样品检测报告：(□否；□是，检测机构的要求、检测内容详见第六章项目采购需求)</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3.样品的评审方法及评审标准：内容详见第三章评标办法及标准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8"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联合体投标</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不接受</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分包</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不接受</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接受：分包要求详见第六章项目采购需求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1858" w:type="dxa"/>
            <w:vMerge w:val="restart"/>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采购进口产品</w:t>
            </w:r>
          </w:p>
        </w:tc>
        <w:tc>
          <w:tcPr>
            <w:tcW w:w="7209"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本采购项目拒绝进口产品参加投标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Merge w:val="continue"/>
            <w:vAlign w:val="center"/>
          </w:tcPr>
          <w:p>
            <w:pPr>
              <w:pStyle w:val="12"/>
              <w:jc w:val="center"/>
              <w:rPr>
                <w:rFonts w:hint="eastAsia" w:ascii="微软雅黑" w:hAnsi="微软雅黑" w:eastAsia="微软雅黑" w:cs="微软雅黑"/>
                <w:color w:val="auto"/>
                <w:sz w:val="21"/>
                <w:szCs w:val="21"/>
              </w:rPr>
            </w:pPr>
          </w:p>
        </w:tc>
        <w:tc>
          <w:tcPr>
            <w:tcW w:w="7209"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本采购项目已经财政部审核同意购买的进口产品为：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1858"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政府采购强制采购：节能产品</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Merge w:val="continue"/>
            <w:vAlign w:val="center"/>
          </w:tcPr>
          <w:p>
            <w:pPr>
              <w:pStyle w:val="12"/>
              <w:jc w:val="center"/>
              <w:rPr>
                <w:rFonts w:hint="eastAsia" w:ascii="微软雅黑" w:hAnsi="微软雅黑" w:eastAsia="微软雅黑" w:cs="微软雅黑"/>
                <w:sz w:val="21"/>
                <w:szCs w:val="21"/>
              </w:rPr>
            </w:pP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□是，采购《节能产品政府采购清单》(第____期)内的产品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政府采购强制采购：信息安全认证</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Merge w:val="continue"/>
            <w:vAlign w:val="center"/>
          </w:tcPr>
          <w:p>
            <w:pPr>
              <w:pStyle w:val="12"/>
              <w:jc w:val="center"/>
              <w:rPr>
                <w:rFonts w:hint="eastAsia" w:ascii="微软雅黑" w:hAnsi="微软雅黑" w:eastAsia="微软雅黑" w:cs="微软雅黑"/>
                <w:sz w:val="21"/>
                <w:szCs w:val="21"/>
              </w:rPr>
            </w:pP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8"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18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政府采购优先采购：节能产品(非强制类)</w:t>
            </w:r>
          </w:p>
        </w:tc>
        <w:tc>
          <w:tcPr>
            <w:tcW w:w="7209"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产品：</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对列入最新一期节能清单(非强制类)的产品在评审时予以加分，每项加</w:t>
            </w:r>
            <w:r>
              <w:rPr>
                <w:rFonts w:hint="eastAsia" w:ascii="微软雅黑" w:hAnsi="微软雅黑" w:eastAsia="微软雅黑" w:cs="微软雅黑"/>
                <w:color w:val="auto"/>
                <w:sz w:val="21"/>
                <w:szCs w:val="21"/>
                <w:u w:val="single"/>
                <w:lang w:val="en-US" w:eastAsia="zh-CN"/>
              </w:rPr>
              <w:t>0.5</w:t>
            </w:r>
            <w:r>
              <w:rPr>
                <w:rFonts w:hint="eastAsia" w:ascii="微软雅黑" w:hAnsi="微软雅黑" w:eastAsia="微软雅黑" w:cs="微软雅黑"/>
                <w:color w:val="auto"/>
                <w:sz w:val="21"/>
                <w:szCs w:val="21"/>
              </w:rPr>
              <w:t>分(最低评标价法不适用)</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□对列入最新一期节能清单(非强制类)的产品在评审时予以价格扣除，用扣除后的价格参与评审，本项目的扣除比例为：____%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政府采购优先采购：环境标志产品</w:t>
            </w:r>
          </w:p>
        </w:tc>
        <w:tc>
          <w:tcPr>
            <w:tcW w:w="7209"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产品：</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对列入最新一期环境标志产品清单(非强制类)的产品在评审时予以加分，每项加</w:t>
            </w:r>
            <w:r>
              <w:rPr>
                <w:rFonts w:hint="eastAsia" w:ascii="微软雅黑" w:hAnsi="微软雅黑" w:eastAsia="微软雅黑" w:cs="微软雅黑"/>
                <w:color w:val="auto"/>
                <w:sz w:val="21"/>
                <w:szCs w:val="21"/>
                <w:u w:val="single"/>
                <w:lang w:val="en-US" w:eastAsia="zh-CN"/>
              </w:rPr>
              <w:t>0.5</w:t>
            </w:r>
            <w:r>
              <w:rPr>
                <w:rFonts w:hint="eastAsia" w:ascii="微软雅黑" w:hAnsi="微软雅黑" w:eastAsia="微软雅黑" w:cs="微软雅黑"/>
                <w:color w:val="auto"/>
                <w:sz w:val="21"/>
                <w:szCs w:val="21"/>
              </w:rPr>
              <w:t>分(最低评标价法不适用)</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□对列入最新一期环境标志产品清单(非强制类)的产品在评审时予以价格扣除，用扣除后的价格参与评审，本项目的扣除比例为：____%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558"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支持中小企业发展</w:t>
            </w:r>
          </w:p>
        </w:tc>
        <w:tc>
          <w:tcPr>
            <w:tcW w:w="7209" w:type="dxa"/>
            <w:vAlign w:val="center"/>
          </w:tcPr>
          <w:p>
            <w:pPr>
              <w:pStyle w:val="12"/>
              <w:jc w:val="left"/>
              <w:rPr>
                <w:rFonts w:ascii="微软雅黑" w:hAnsi="微软雅黑" w:eastAsia="微软雅黑" w:cs="微软雅黑"/>
              </w:rPr>
            </w:pPr>
            <w:r>
              <w:rPr>
                <w:rFonts w:hint="eastAsia" w:ascii="微软雅黑" w:hAnsi="微软雅黑" w:eastAsia="微软雅黑" w:cs="微软雅黑"/>
                <w:lang w:eastAsia="zh-CN"/>
              </w:rPr>
              <w:t>☑</w:t>
            </w:r>
            <w:r>
              <w:rPr>
                <w:rFonts w:hint="eastAsia" w:ascii="微软雅黑" w:hAnsi="微软雅黑" w:eastAsia="微软雅黑" w:cs="微软雅黑"/>
              </w:rPr>
              <w:t>专门面向中小企业采购项目</w:t>
            </w:r>
          </w:p>
          <w:p>
            <w:pPr>
              <w:pStyle w:val="12"/>
              <w:jc w:val="left"/>
              <w:rPr>
                <w:rFonts w:ascii="微软雅黑" w:hAnsi="微软雅黑" w:eastAsia="微软雅黑" w:cs="微软雅黑"/>
              </w:rPr>
            </w:pPr>
            <w:r>
              <w:rPr>
                <w:rFonts w:hint="eastAsia" w:ascii="微软雅黑" w:hAnsi="微软雅黑" w:eastAsia="微软雅黑" w:cs="微软雅黑"/>
                <w:lang w:eastAsia="zh-CN"/>
              </w:rPr>
              <w:t>□</w:t>
            </w:r>
            <w:r>
              <w:rPr>
                <w:rFonts w:hint="eastAsia" w:ascii="微软雅黑" w:hAnsi="微软雅黑" w:eastAsia="微软雅黑" w:cs="微软雅黑"/>
              </w:rPr>
              <w:t xml:space="preserve"> 非专门面向中小企业采购项目(价格扣除)：</w:t>
            </w:r>
          </w:p>
          <w:p>
            <w:pPr>
              <w:pStyle w:val="12"/>
              <w:jc w:val="left"/>
              <w:rPr>
                <w:rFonts w:ascii="微软雅黑" w:hAnsi="微软雅黑" w:eastAsia="微软雅黑" w:cs="微软雅黑"/>
              </w:rPr>
            </w:pPr>
            <w:r>
              <w:rPr>
                <w:rFonts w:hint="eastAsia" w:ascii="微软雅黑" w:hAnsi="微软雅黑" w:eastAsia="微软雅黑" w:cs="微软雅黑"/>
              </w:rPr>
              <w:t>①对小微型企业产品的价格给予</w:t>
            </w:r>
            <w:r>
              <w:rPr>
                <w:rFonts w:hint="eastAsia" w:ascii="微软雅黑" w:hAnsi="微软雅黑" w:eastAsia="微软雅黑" w:cs="微软雅黑"/>
                <w:lang w:val="en-US" w:eastAsia="zh-CN"/>
              </w:rPr>
              <w:t>10</w:t>
            </w:r>
            <w:r>
              <w:rPr>
                <w:rFonts w:hint="eastAsia" w:ascii="微软雅黑" w:hAnsi="微软雅黑" w:eastAsia="微软雅黑" w:cs="微软雅黑"/>
              </w:rPr>
              <w:t>%～</w:t>
            </w:r>
            <w:r>
              <w:rPr>
                <w:rFonts w:hint="eastAsia" w:ascii="微软雅黑" w:hAnsi="微软雅黑" w:eastAsia="微软雅黑" w:cs="微软雅黑"/>
                <w:lang w:val="en-US" w:eastAsia="zh-CN"/>
              </w:rPr>
              <w:t>2</w:t>
            </w:r>
            <w:r>
              <w:rPr>
                <w:rFonts w:hint="eastAsia" w:ascii="微软雅黑" w:hAnsi="微软雅黑" w:eastAsia="微软雅黑" w:cs="微软雅黑"/>
              </w:rPr>
              <w:t>0%</w:t>
            </w:r>
            <w:r>
              <w:rPr>
                <w:rFonts w:hint="eastAsia" w:ascii="微软雅黑" w:hAnsi="微软雅黑" w:eastAsia="微软雅黑" w:cs="微软雅黑"/>
                <w:color w:val="auto"/>
              </w:rPr>
              <w:t>（工程项目为3%—5%）</w:t>
            </w:r>
            <w:r>
              <w:rPr>
                <w:rFonts w:hint="eastAsia" w:ascii="微软雅黑" w:hAnsi="微软雅黑" w:eastAsia="微软雅黑" w:cs="微软雅黑"/>
              </w:rPr>
              <w:t>的扣除，用扣除后的价格参与评审。本项目的扣除比例为：</w:t>
            </w:r>
            <w:r>
              <w:rPr>
                <w:rFonts w:hint="eastAsia" w:ascii="微软雅黑" w:hAnsi="微软雅黑" w:eastAsia="微软雅黑" w:cs="微软雅黑"/>
                <w:u w:val="single"/>
                <w:lang w:val="en-US" w:eastAsia="zh-CN"/>
              </w:rPr>
              <w:t>10</w:t>
            </w:r>
            <w:r>
              <w:rPr>
                <w:rFonts w:hint="eastAsia" w:ascii="微软雅黑" w:hAnsi="微软雅黑" w:eastAsia="微软雅黑" w:cs="微软雅黑"/>
              </w:rPr>
              <w:t>%。</w:t>
            </w:r>
          </w:p>
          <w:p>
            <w:pPr>
              <w:pStyle w:val="12"/>
              <w:jc w:val="left"/>
              <w:rPr>
                <w:rFonts w:ascii="微软雅黑" w:hAnsi="微软雅黑" w:eastAsia="微软雅黑" w:cs="微软雅黑"/>
              </w:rPr>
            </w:pPr>
            <w:r>
              <w:rPr>
                <w:rFonts w:hint="eastAsia" w:ascii="微软雅黑" w:hAnsi="微软雅黑" w:eastAsia="微软雅黑" w:cs="微软雅黑"/>
              </w:rPr>
              <w:t>②本项目接受联合体投标的，若小型和微型企业的协议合同金额占到联合体协议合同总金额30%以上的，可给予联合体</w:t>
            </w:r>
            <w:r>
              <w:rPr>
                <w:rFonts w:hint="eastAsia" w:ascii="微软雅黑" w:hAnsi="微软雅黑" w:eastAsia="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6</w:t>
            </w:r>
            <w:r>
              <w:rPr>
                <w:rFonts w:hint="eastAsia" w:ascii="微软雅黑" w:hAnsi="微软雅黑" w:eastAsia="微软雅黑" w:cs="微软雅黑"/>
              </w:rPr>
              <w:t>%</w:t>
            </w:r>
            <w:r>
              <w:rPr>
                <w:rFonts w:hint="eastAsia" w:ascii="微软雅黑" w:hAnsi="微软雅黑" w:eastAsia="微软雅黑" w:cs="微软雅黑"/>
                <w:color w:val="auto"/>
              </w:rPr>
              <w:t>（工程项目为1%—2%）</w:t>
            </w:r>
            <w:r>
              <w:rPr>
                <w:rFonts w:hint="eastAsia" w:ascii="微软雅黑" w:hAnsi="微软雅黑" w:eastAsia="微软雅黑" w:cs="微软雅黑"/>
              </w:rPr>
              <w:t>的扣除，用扣除后的价格参与评审。本项目的扣除比例为：</w:t>
            </w:r>
            <w:r>
              <w:rPr>
                <w:rFonts w:hint="eastAsia" w:ascii="微软雅黑" w:hAnsi="微软雅黑" w:eastAsia="微软雅黑" w:cs="微软雅黑"/>
                <w:u w:val="single"/>
              </w:rPr>
              <w:t>6%</w:t>
            </w:r>
            <w:r>
              <w:rPr>
                <w:rFonts w:hint="eastAsia" w:ascii="微软雅黑" w:hAnsi="微软雅黑" w:eastAsia="微软雅黑" w:cs="微软雅黑"/>
              </w:rPr>
              <w:t>。</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rPr>
              <w:t>□非专门面向中小企业采购项目(其他优惠)：</w:t>
            </w:r>
            <w:r>
              <w:rPr>
                <w:rFonts w:hint="eastAsia" w:ascii="微软雅黑" w:hAnsi="微软雅黑" w:eastAsia="微软雅黑" w:cs="微软雅黑"/>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dxa"/>
            <w:vMerge w:val="continue"/>
            <w:vAlign w:val="center"/>
          </w:tcPr>
          <w:p>
            <w:pPr>
              <w:pStyle w:val="12"/>
              <w:jc w:val="center"/>
              <w:rPr>
                <w:rFonts w:hint="eastAsia" w:ascii="微软雅黑" w:hAnsi="微软雅黑" w:eastAsia="微软雅黑" w:cs="微软雅黑"/>
                <w:sz w:val="21"/>
                <w:szCs w:val="21"/>
              </w:rPr>
            </w:pP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支持监狱企业</w:t>
            </w:r>
          </w:p>
        </w:tc>
        <w:tc>
          <w:tcPr>
            <w:tcW w:w="7209" w:type="dxa"/>
            <w:vAlign w:val="center"/>
          </w:tcPr>
          <w:p>
            <w:pPr>
              <w:pStyle w:val="12"/>
              <w:jc w:val="left"/>
              <w:rPr>
                <w:rFonts w:ascii="微软雅黑" w:hAnsi="微软雅黑" w:eastAsia="微软雅黑" w:cs="微软雅黑"/>
              </w:rPr>
            </w:pPr>
            <w:r>
              <w:rPr>
                <w:rFonts w:hint="eastAsia" w:ascii="微软雅黑" w:hAnsi="微软雅黑" w:eastAsia="微软雅黑" w:cs="微软雅黑"/>
              </w:rPr>
              <w:t>□专门面向监狱企业采购项目</w:t>
            </w:r>
          </w:p>
          <w:p>
            <w:pPr>
              <w:pStyle w:val="12"/>
              <w:jc w:val="left"/>
              <w:rPr>
                <w:rFonts w:ascii="微软雅黑" w:hAnsi="微软雅黑" w:eastAsia="微软雅黑" w:cs="微软雅黑"/>
              </w:rPr>
            </w:pPr>
            <w:r>
              <w:rPr>
                <w:rFonts w:hint="eastAsia" w:ascii="微软雅黑" w:hAnsi="微软雅黑" w:eastAsia="微软雅黑" w:cs="微软雅黑"/>
              </w:rPr>
              <w:t>☑ 非专门面向监狱采购项目(价格扣除)：监狱企业可视同小微企业在价格评审时给予6%～10%的扣除，用扣除后的价格参与评审。本项目的扣除比例为：扣除</w:t>
            </w:r>
            <w:r>
              <w:rPr>
                <w:rFonts w:hint="eastAsia" w:ascii="微软雅黑" w:hAnsi="微软雅黑" w:eastAsia="微软雅黑" w:cs="微软雅黑"/>
                <w:u w:val="single"/>
              </w:rPr>
              <w:t>6</w:t>
            </w:r>
            <w:r>
              <w:rPr>
                <w:rFonts w:hint="eastAsia" w:ascii="微软雅黑" w:hAnsi="微软雅黑" w:eastAsia="微软雅黑" w:cs="微软雅黑"/>
              </w:rPr>
              <w:t>%。</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rPr>
              <w:t>□非专门面向监狱采购项目(其他优惠)：____________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其他法律法规强制性规定或扶持政策</w:t>
            </w:r>
          </w:p>
        </w:tc>
        <w:tc>
          <w:tcPr>
            <w:tcW w:w="7209" w:type="dxa"/>
            <w:vAlign w:val="center"/>
          </w:tcPr>
          <w:p>
            <w:pPr>
              <w:pStyle w:val="12"/>
              <w:jc w:val="left"/>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w:t>
            </w: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投标人须提供的其他资料</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采购人根据实际情况填写(如案例证明材料、人员投入情况)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w:t>
            </w:r>
          </w:p>
        </w:tc>
        <w:tc>
          <w:tcPr>
            <w:tcW w:w="18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澄清或者修改时间</w:t>
            </w:r>
          </w:p>
        </w:tc>
        <w:tc>
          <w:tcPr>
            <w:tcW w:w="7209"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①招标代理机构在征得采购人和（或）监督人的同意后，可对已发出的招标文件进行必要的修改、澄清或补正，修改、澄清或补正的内容在投标截止时间十五日前，以书面形式通知所有招标文件收受人，该澄清或修改的内容为招标文件的组成部分。</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②投标人要求对招标文件进行澄清的（一次性提出，不得多次提出，邮箱发送word版及盖章扫描件），必须在投标截止时间十日前，以书面形式送达招标代理机构；招标代理机构在投标截止时间七日前以书面形式予以答复；必要时将书面答复传送给所有招标文件收受人。</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③投标人要求对招标文件有质疑的，必须在</w:t>
            </w:r>
            <w:r>
              <w:rPr>
                <w:rFonts w:hint="eastAsia" w:ascii="微软雅黑" w:hAnsi="微软雅黑" w:eastAsia="微软雅黑" w:cs="微软雅黑"/>
                <w:color w:val="auto"/>
                <w:sz w:val="21"/>
                <w:szCs w:val="21"/>
                <w:lang w:val="en-US" w:eastAsia="zh-CN"/>
              </w:rPr>
              <w:t>获取招标</w:t>
            </w:r>
            <w:r>
              <w:rPr>
                <w:rFonts w:hint="eastAsia" w:ascii="微软雅黑" w:hAnsi="微软雅黑" w:eastAsia="微软雅黑" w:cs="微软雅黑"/>
                <w:color w:val="auto"/>
                <w:sz w:val="21"/>
                <w:szCs w:val="21"/>
              </w:rPr>
              <w:t>文件或者</w:t>
            </w:r>
            <w:r>
              <w:rPr>
                <w:rFonts w:hint="eastAsia" w:ascii="微软雅黑" w:hAnsi="微软雅黑" w:eastAsia="微软雅黑" w:cs="微软雅黑"/>
                <w:color w:val="auto"/>
                <w:sz w:val="21"/>
                <w:szCs w:val="21"/>
                <w:lang w:val="en-US" w:eastAsia="zh-CN"/>
              </w:rPr>
              <w:t>招标</w:t>
            </w:r>
            <w:r>
              <w:rPr>
                <w:rFonts w:hint="eastAsia" w:ascii="微软雅黑" w:hAnsi="微软雅黑" w:eastAsia="微软雅黑" w:cs="微软雅黑"/>
                <w:color w:val="auto"/>
                <w:sz w:val="21"/>
                <w:szCs w:val="21"/>
              </w:rPr>
              <w:t>文件公告期限届满之日</w:t>
            </w:r>
            <w:r>
              <w:rPr>
                <w:rFonts w:hint="eastAsia" w:ascii="微软雅黑" w:hAnsi="微软雅黑" w:eastAsia="微软雅黑" w:cs="微软雅黑"/>
                <w:color w:val="auto"/>
                <w:sz w:val="21"/>
                <w:szCs w:val="21"/>
                <w:lang w:val="en-US" w:eastAsia="zh-CN"/>
              </w:rPr>
              <w:t>起7个工作日内</w:t>
            </w:r>
            <w:r>
              <w:rPr>
                <w:rFonts w:hint="eastAsia" w:ascii="微软雅黑" w:hAnsi="微软雅黑" w:eastAsia="微软雅黑" w:cs="微软雅黑"/>
                <w:color w:val="auto"/>
                <w:sz w:val="21"/>
                <w:szCs w:val="21"/>
              </w:rPr>
              <w:t>，以书面形式送达招标代理机构；招标代理机构在投标截止时间七日前予以答复。在此日期后提出的质疑无效。</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④招标代理机构可以视采购具体情况，延长投标截止时间和开标时间，但至少在招标文件要求的提交投标文件的截止时间三日前，将变更时间书面通知所有招标文件收受人，并在政府采购网上发布变更公告。</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⑤投标人必须从招标代理机构购买标书，投标人自行转让或复制标书视为无效。标书一经售出，一律不退，仅作为本次招标使用。</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⑥各投标人应认真仔细研读招标文件，如有问题或异议及时函告。否则，视为同意招标文件的一切条款和要求并承担由此引起的一切法律责任。</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⑦标书的解释权归采购人。</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⑧接受投标人澄清文件的邮箱地址：1362863512@qq.com</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⑨投标人确认收到招标文件澄清的时间：收到澄清后24小时内（以发出时间为准）。</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⑩投标人确认收到招标文件修改的时间：收到修改后24小时内（以发出时间为准）。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w:t>
            </w:r>
          </w:p>
        </w:tc>
        <w:tc>
          <w:tcPr>
            <w:tcW w:w="1858" w:type="dxa"/>
            <w:vAlign w:val="center"/>
          </w:tcPr>
          <w:p>
            <w:pPr>
              <w:pStyle w:val="12"/>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提交投标文件的截止时间、地点</w:t>
            </w:r>
          </w:p>
        </w:tc>
        <w:tc>
          <w:tcPr>
            <w:tcW w:w="7209" w:type="dxa"/>
            <w:vAlign w:val="center"/>
          </w:tcPr>
          <w:p>
            <w:pPr>
              <w:pStyle w:val="12"/>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时间：</w:t>
            </w:r>
            <w:r>
              <w:rPr>
                <w:rFonts w:hint="eastAsia" w:ascii="微软雅黑" w:hAnsi="微软雅黑" w:eastAsia="微软雅黑" w:cs="微软雅黑"/>
                <w:color w:val="000000" w:themeColor="text1"/>
                <w:u w:val="single"/>
                <w14:textFill>
                  <w14:solidFill>
                    <w14:schemeClr w14:val="tx1"/>
                  </w14:solidFill>
                </w14:textFill>
              </w:rPr>
              <w:t>202</w:t>
            </w:r>
            <w:r>
              <w:rPr>
                <w:rFonts w:hint="eastAsia" w:ascii="微软雅黑" w:hAnsi="微软雅黑" w:eastAsia="微软雅黑" w:cs="微软雅黑"/>
                <w:color w:val="000000" w:themeColor="text1"/>
                <w:u w:val="single"/>
                <w:lang w:val="en-US" w:eastAsia="zh-CN"/>
                <w14:textFill>
                  <w14:solidFill>
                    <w14:schemeClr w14:val="tx1"/>
                  </w14:solidFill>
                </w14:textFill>
              </w:rPr>
              <w:t>4</w:t>
            </w:r>
            <w:r>
              <w:rPr>
                <w:rFonts w:hint="eastAsia" w:ascii="微软雅黑" w:hAnsi="微软雅黑" w:eastAsia="微软雅黑" w:cs="微软雅黑"/>
                <w:color w:val="000000" w:themeColor="text1"/>
                <w14:textFill>
                  <w14:solidFill>
                    <w14:schemeClr w14:val="tx1"/>
                  </w14:solidFill>
                </w14:textFill>
              </w:rPr>
              <w:t>年</w:t>
            </w:r>
            <w:r>
              <w:rPr>
                <w:rFonts w:hint="eastAsia" w:ascii="微软雅黑" w:hAnsi="微软雅黑" w:eastAsia="微软雅黑" w:cs="微软雅黑"/>
                <w:color w:val="000000" w:themeColor="text1"/>
                <w:u w:val="single"/>
                <w:lang w:val="en-US" w:eastAsia="zh-CN"/>
                <w14:textFill>
                  <w14:solidFill>
                    <w14:schemeClr w14:val="tx1"/>
                  </w14:solidFill>
                </w14:textFill>
              </w:rPr>
              <w:t>01</w:t>
            </w:r>
            <w:r>
              <w:rPr>
                <w:rFonts w:hint="eastAsia" w:ascii="微软雅黑" w:hAnsi="微软雅黑" w:eastAsia="微软雅黑" w:cs="微软雅黑"/>
                <w:color w:val="000000" w:themeColor="text1"/>
                <w14:textFill>
                  <w14:solidFill>
                    <w14:schemeClr w14:val="tx1"/>
                  </w14:solidFill>
                </w14:textFill>
              </w:rPr>
              <w:t>月</w:t>
            </w:r>
            <w:r>
              <w:rPr>
                <w:rFonts w:hint="eastAsia" w:ascii="微软雅黑" w:hAnsi="微软雅黑" w:eastAsia="微软雅黑" w:cs="微软雅黑"/>
                <w:color w:val="000000" w:themeColor="text1"/>
                <w:u w:val="single"/>
                <w:lang w:val="en-US" w:eastAsia="zh-CN"/>
                <w14:textFill>
                  <w14:solidFill>
                    <w14:schemeClr w14:val="tx1"/>
                  </w14:solidFill>
                </w14:textFill>
              </w:rPr>
              <w:t>24</w:t>
            </w:r>
            <w:r>
              <w:rPr>
                <w:rFonts w:hint="eastAsia" w:ascii="微软雅黑" w:hAnsi="微软雅黑" w:eastAsia="微软雅黑" w:cs="微软雅黑"/>
                <w:color w:val="000000" w:themeColor="text1"/>
                <w14:textFill>
                  <w14:solidFill>
                    <w14:schemeClr w14:val="tx1"/>
                  </w14:solidFill>
                </w14:textFill>
              </w:rPr>
              <w:t>日</w:t>
            </w:r>
            <w:r>
              <w:rPr>
                <w:rFonts w:hint="eastAsia" w:ascii="微软雅黑" w:hAnsi="微软雅黑" w:eastAsia="微软雅黑" w:cs="微软雅黑"/>
                <w:color w:val="000000" w:themeColor="text1"/>
                <w:u w:val="single"/>
                <w:lang w:val="en-US" w:eastAsia="zh-CN"/>
                <w14:textFill>
                  <w14:solidFill>
                    <w14:schemeClr w14:val="tx1"/>
                  </w14:solidFill>
                </w14:textFill>
              </w:rPr>
              <w:t>09</w:t>
            </w:r>
            <w:r>
              <w:rPr>
                <w:rFonts w:hint="eastAsia" w:ascii="微软雅黑" w:hAnsi="微软雅黑" w:eastAsia="微软雅黑" w:cs="微软雅黑"/>
                <w:color w:val="000000" w:themeColor="text1"/>
                <w14:textFill>
                  <w14:solidFill>
                    <w14:schemeClr w14:val="tx1"/>
                  </w14:solidFill>
                </w14:textFill>
              </w:rPr>
              <w:t>时</w:t>
            </w:r>
            <w:r>
              <w:rPr>
                <w:rFonts w:hint="eastAsia" w:ascii="微软雅黑" w:hAnsi="微软雅黑" w:eastAsia="微软雅黑" w:cs="微软雅黑"/>
                <w:color w:val="000000" w:themeColor="text1"/>
                <w:u w:val="single"/>
                <w:lang w:val="en-US" w:eastAsia="zh-CN"/>
                <w14:textFill>
                  <w14:solidFill>
                    <w14:schemeClr w14:val="tx1"/>
                  </w14:solidFill>
                </w14:textFill>
              </w:rPr>
              <w:t>0</w:t>
            </w:r>
            <w:r>
              <w:rPr>
                <w:rFonts w:hint="eastAsia" w:ascii="微软雅黑" w:hAnsi="微软雅黑" w:eastAsia="微软雅黑" w:cs="微软雅黑"/>
                <w:color w:val="000000" w:themeColor="text1"/>
                <w:u w:val="single"/>
                <w14:textFill>
                  <w14:solidFill>
                    <w14:schemeClr w14:val="tx1"/>
                  </w14:solidFill>
                </w14:textFill>
              </w:rPr>
              <w:t>0</w:t>
            </w:r>
            <w:r>
              <w:rPr>
                <w:rFonts w:hint="eastAsia" w:ascii="微软雅黑" w:hAnsi="微软雅黑" w:eastAsia="微软雅黑" w:cs="微软雅黑"/>
                <w:color w:val="000000" w:themeColor="text1"/>
                <w14:textFill>
                  <w14:solidFill>
                    <w14:schemeClr w14:val="tx1"/>
                  </w14:solidFill>
                </w14:textFill>
              </w:rPr>
              <w:t>分(北京时间)</w:t>
            </w:r>
          </w:p>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地点：安康市公共资源交易中心</w:t>
            </w:r>
            <w:r>
              <w:rPr>
                <w:rFonts w:hint="eastAsia" w:ascii="微软雅黑" w:hAnsi="微软雅黑" w:eastAsia="微软雅黑" w:cs="微软雅黑"/>
                <w:color w:val="000000" w:themeColor="text1"/>
                <w:lang w:val="en-US" w:eastAsia="zh-CN"/>
                <w14:textFill>
                  <w14:solidFill>
                    <w14:schemeClr w14:val="tx1"/>
                  </w14:solidFill>
                </w14:textFill>
              </w:rPr>
              <w:t>官网不见面开标大厅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16</w:t>
            </w:r>
          </w:p>
        </w:tc>
        <w:tc>
          <w:tcPr>
            <w:tcW w:w="1858" w:type="dxa"/>
            <w:vAlign w:val="center"/>
          </w:tcPr>
          <w:p>
            <w:pPr>
              <w:pStyle w:val="12"/>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开标时间、地点</w:t>
            </w:r>
          </w:p>
        </w:tc>
        <w:tc>
          <w:tcPr>
            <w:tcW w:w="7209" w:type="dxa"/>
            <w:vAlign w:val="center"/>
          </w:tcPr>
          <w:p>
            <w:pPr>
              <w:pStyle w:val="12"/>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时间：</w:t>
            </w:r>
            <w:r>
              <w:rPr>
                <w:rFonts w:hint="eastAsia" w:ascii="微软雅黑" w:hAnsi="微软雅黑" w:eastAsia="微软雅黑" w:cs="微软雅黑"/>
                <w:color w:val="000000" w:themeColor="text1"/>
                <w:u w:val="single"/>
                <w14:textFill>
                  <w14:solidFill>
                    <w14:schemeClr w14:val="tx1"/>
                  </w14:solidFill>
                </w14:textFill>
              </w:rPr>
              <w:t>2023</w:t>
            </w:r>
            <w:r>
              <w:rPr>
                <w:rFonts w:hint="eastAsia" w:ascii="微软雅黑" w:hAnsi="微软雅黑" w:eastAsia="微软雅黑" w:cs="微软雅黑"/>
                <w:color w:val="000000" w:themeColor="text1"/>
                <w14:textFill>
                  <w14:solidFill>
                    <w14:schemeClr w14:val="tx1"/>
                  </w14:solidFill>
                </w14:textFill>
              </w:rPr>
              <w:t>年</w:t>
            </w:r>
            <w:r>
              <w:rPr>
                <w:rFonts w:hint="eastAsia" w:ascii="微软雅黑" w:hAnsi="微软雅黑" w:eastAsia="微软雅黑" w:cs="微软雅黑"/>
                <w:color w:val="000000" w:themeColor="text1"/>
                <w:u w:val="single"/>
                <w:lang w:val="en-US" w:eastAsia="zh-CN"/>
                <w14:textFill>
                  <w14:solidFill>
                    <w14:schemeClr w14:val="tx1"/>
                  </w14:solidFill>
                </w14:textFill>
              </w:rPr>
              <w:t>01</w:t>
            </w:r>
            <w:r>
              <w:rPr>
                <w:rFonts w:hint="eastAsia" w:ascii="微软雅黑" w:hAnsi="微软雅黑" w:eastAsia="微软雅黑" w:cs="微软雅黑"/>
                <w:color w:val="000000" w:themeColor="text1"/>
                <w14:textFill>
                  <w14:solidFill>
                    <w14:schemeClr w14:val="tx1"/>
                  </w14:solidFill>
                </w14:textFill>
              </w:rPr>
              <w:t>月</w:t>
            </w:r>
            <w:r>
              <w:rPr>
                <w:rFonts w:hint="eastAsia" w:ascii="微软雅黑" w:hAnsi="微软雅黑" w:eastAsia="微软雅黑" w:cs="微软雅黑"/>
                <w:color w:val="000000" w:themeColor="text1"/>
                <w:u w:val="single"/>
                <w:lang w:val="en-US" w:eastAsia="zh-CN"/>
                <w14:textFill>
                  <w14:solidFill>
                    <w14:schemeClr w14:val="tx1"/>
                  </w14:solidFill>
                </w14:textFill>
              </w:rPr>
              <w:t>24</w:t>
            </w:r>
            <w:r>
              <w:rPr>
                <w:rFonts w:hint="eastAsia" w:ascii="微软雅黑" w:hAnsi="微软雅黑" w:eastAsia="微软雅黑" w:cs="微软雅黑"/>
                <w:color w:val="000000" w:themeColor="text1"/>
                <w14:textFill>
                  <w14:solidFill>
                    <w14:schemeClr w14:val="tx1"/>
                  </w14:solidFill>
                </w14:textFill>
              </w:rPr>
              <w:t>日</w:t>
            </w:r>
            <w:r>
              <w:rPr>
                <w:rFonts w:hint="eastAsia" w:ascii="微软雅黑" w:hAnsi="微软雅黑" w:eastAsia="微软雅黑" w:cs="微软雅黑"/>
                <w:color w:val="000000" w:themeColor="text1"/>
                <w:u w:val="single"/>
                <w:lang w:val="en-US" w:eastAsia="zh-CN"/>
                <w14:textFill>
                  <w14:solidFill>
                    <w14:schemeClr w14:val="tx1"/>
                  </w14:solidFill>
                </w14:textFill>
              </w:rPr>
              <w:t>09</w:t>
            </w:r>
            <w:r>
              <w:rPr>
                <w:rFonts w:hint="eastAsia" w:ascii="微软雅黑" w:hAnsi="微软雅黑" w:eastAsia="微软雅黑" w:cs="微软雅黑"/>
                <w:color w:val="000000" w:themeColor="text1"/>
                <w14:textFill>
                  <w14:solidFill>
                    <w14:schemeClr w14:val="tx1"/>
                  </w14:solidFill>
                </w14:textFill>
              </w:rPr>
              <w:t>时</w:t>
            </w:r>
            <w:r>
              <w:rPr>
                <w:rFonts w:hint="eastAsia" w:ascii="微软雅黑" w:hAnsi="微软雅黑" w:eastAsia="微软雅黑" w:cs="微软雅黑"/>
                <w:color w:val="000000" w:themeColor="text1"/>
                <w:u w:val="single"/>
                <w:lang w:val="en-US" w:eastAsia="zh-CN"/>
                <w14:textFill>
                  <w14:solidFill>
                    <w14:schemeClr w14:val="tx1"/>
                  </w14:solidFill>
                </w14:textFill>
              </w:rPr>
              <w:t>0</w:t>
            </w:r>
            <w:r>
              <w:rPr>
                <w:rFonts w:hint="eastAsia" w:ascii="微软雅黑" w:hAnsi="微软雅黑" w:eastAsia="微软雅黑" w:cs="微软雅黑"/>
                <w:color w:val="000000" w:themeColor="text1"/>
                <w:u w:val="single"/>
                <w14:textFill>
                  <w14:solidFill>
                    <w14:schemeClr w14:val="tx1"/>
                  </w14:solidFill>
                </w14:textFill>
              </w:rPr>
              <w:t>0</w:t>
            </w:r>
            <w:r>
              <w:rPr>
                <w:rFonts w:hint="eastAsia" w:ascii="微软雅黑" w:hAnsi="微软雅黑" w:eastAsia="微软雅黑" w:cs="微软雅黑"/>
                <w:color w:val="000000" w:themeColor="text1"/>
                <w14:textFill>
                  <w14:solidFill>
                    <w14:schemeClr w14:val="tx1"/>
                  </w14:solidFill>
                </w14:textFill>
              </w:rPr>
              <w:t>分(北京时间)</w:t>
            </w:r>
          </w:p>
          <w:p>
            <w:pPr>
              <w:pStyle w:val="12"/>
              <w:jc w:val="left"/>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地点：</w:t>
            </w:r>
            <w:r>
              <w:rPr>
                <w:rFonts w:hint="eastAsia" w:ascii="微软雅黑" w:hAnsi="微软雅黑" w:eastAsia="微软雅黑" w:cs="微软雅黑"/>
                <w:color w:val="000000" w:themeColor="text1"/>
                <w:lang w:val="en-US" w:eastAsia="zh-CN"/>
                <w14:textFill>
                  <w14:solidFill>
                    <w14:schemeClr w14:val="tx1"/>
                  </w14:solidFill>
                </w14:textFill>
              </w:rPr>
              <w:t>(1)电子投标文件(*. SXSTF) 可于提交首次投标文件截止时间前任意时段登录陕西省安康市公共资源交易中心平台(http://ak. sxggzyjy.cn/)“电子交易平台-企业端” 进行提交，逾期系统将拒绝接收。</w:t>
            </w:r>
          </w:p>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(2)供应商可登录陕西省公共资源交易中心平台(http://sxggzyjy.cn/) [《首页》不见面开标]在线参与开评标过程，详见交易平台[首页〉服务指南〉下载专区]中的《陕西省公共资源交易政府采购项目远程不见面开标操作手册(供应商版)》，如遇困难，请拨打系统平台技术支持电话: 49980000。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17</w:t>
            </w:r>
          </w:p>
        </w:tc>
        <w:tc>
          <w:tcPr>
            <w:tcW w:w="18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其他唱标内容</w:t>
            </w:r>
          </w:p>
        </w:tc>
        <w:tc>
          <w:tcPr>
            <w:tcW w:w="7209" w:type="dxa"/>
            <w:vAlign w:val="center"/>
          </w:tcPr>
          <w:p>
            <w:pPr>
              <w:pStyle w:val="12"/>
              <w:jc w:val="lef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投标总报价、设备费、运杂费、安装调试费、其它费用、交货期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w:t>
            </w:r>
          </w:p>
        </w:tc>
        <w:tc>
          <w:tcPr>
            <w:tcW w:w="1858"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投标保证金</w:t>
            </w:r>
          </w:p>
        </w:tc>
        <w:tc>
          <w:tcPr>
            <w:tcW w:w="7209"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不要求提供</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要求提供，数额不得超过采购项目预算金额的2%，本项目的投标保证金为</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u w:val="single"/>
                <w:lang w:val="en-US" w:eastAsia="zh-CN"/>
              </w:rPr>
              <w:t xml:space="preserve">     </w:t>
            </w:r>
            <w:r>
              <w:rPr>
                <w:rFonts w:hint="eastAsia" w:ascii="微软雅黑" w:hAnsi="微软雅黑" w:eastAsia="微软雅黑" w:cs="微软雅黑"/>
                <w:color w:val="auto"/>
                <w:sz w:val="21"/>
                <w:szCs w:val="21"/>
              </w:rPr>
              <w:t>，提交方式为</w:t>
            </w:r>
            <w:r>
              <w:rPr>
                <w:rFonts w:hint="eastAsia" w:ascii="微软雅黑" w:hAnsi="微软雅黑" w:eastAsia="微软雅黑" w:cs="微软雅黑"/>
                <w:color w:val="auto"/>
                <w:sz w:val="21"/>
                <w:szCs w:val="21"/>
                <w:u w:val="single"/>
                <w:lang w:eastAsia="zh-CN"/>
              </w:rPr>
              <w:t>转账、</w:t>
            </w:r>
            <w:r>
              <w:rPr>
                <w:rFonts w:hint="eastAsia" w:ascii="微软雅黑" w:hAnsi="微软雅黑" w:eastAsia="微软雅黑" w:cs="微软雅黑"/>
                <w:color w:val="auto"/>
                <w:sz w:val="21"/>
                <w:szCs w:val="21"/>
                <w:u w:val="single"/>
                <w:lang w:val="en-US" w:eastAsia="zh-CN"/>
              </w:rPr>
              <w:t>电汇等非现金形式。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19</w:t>
            </w:r>
          </w:p>
        </w:tc>
        <w:tc>
          <w:tcPr>
            <w:tcW w:w="1858" w:type="dxa"/>
            <w:vAlign w:val="center"/>
          </w:tcPr>
          <w:p>
            <w:pPr>
              <w:pStyle w:val="12"/>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投标有效期</w:t>
            </w:r>
          </w:p>
        </w:tc>
        <w:tc>
          <w:tcPr>
            <w:tcW w:w="7209" w:type="dxa"/>
            <w:vAlign w:val="center"/>
          </w:tcPr>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自投标文件截止时间起</w:t>
            </w:r>
            <w:r>
              <w:rPr>
                <w:rFonts w:hint="eastAsia" w:ascii="微软雅黑" w:hAnsi="微软雅黑" w:eastAsia="微软雅黑" w:cs="微软雅黑"/>
                <w:color w:val="000000" w:themeColor="text1"/>
                <w:sz w:val="21"/>
                <w:szCs w:val="21"/>
                <w:u w:val="single"/>
                <w:lang w:val="en-US" w:eastAsia="zh-CN"/>
                <w14:textFill>
                  <w14:solidFill>
                    <w14:schemeClr w14:val="tx1"/>
                  </w14:solidFill>
                </w14:textFill>
              </w:rPr>
              <w:t>90</w:t>
            </w:r>
            <w:r>
              <w:rPr>
                <w:rFonts w:hint="eastAsia" w:ascii="微软雅黑" w:hAnsi="微软雅黑" w:eastAsia="微软雅黑" w:cs="微软雅黑"/>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w:t>
            </w:r>
          </w:p>
        </w:tc>
        <w:tc>
          <w:tcPr>
            <w:tcW w:w="185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投标文件份数</w:t>
            </w:r>
          </w:p>
        </w:tc>
        <w:tc>
          <w:tcPr>
            <w:tcW w:w="7209"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rPr>
              <w:t>电子文件</w:t>
            </w:r>
            <w:r>
              <w:rPr>
                <w:rFonts w:hint="eastAsia" w:ascii="微软雅黑" w:hAnsi="微软雅黑" w:eastAsia="微软雅黑" w:cs="微软雅黑"/>
                <w:u w:val="single"/>
                <w:lang w:val="en-US" w:eastAsia="zh-CN"/>
              </w:rPr>
              <w:t>1</w:t>
            </w:r>
            <w:r>
              <w:rPr>
                <w:rFonts w:hint="eastAsia" w:ascii="微软雅黑" w:hAnsi="微软雅黑" w:eastAsia="微软雅黑" w:cs="微软雅黑"/>
              </w:rPr>
              <w:t>份</w:t>
            </w: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lang w:val="en-US" w:eastAsia="zh-CN"/>
                <w14:textFill>
                  <w14:solidFill>
                    <w14:schemeClr w14:val="tx1"/>
                  </w14:solidFill>
                </w14:textFill>
              </w:rPr>
              <w:t>上传至陕西省公共资源交易平台网</w:t>
            </w:r>
            <w:r>
              <w:rPr>
                <w:rFonts w:hint="eastAsia" w:ascii="微软雅黑" w:hAnsi="微软雅黑" w:eastAsia="微软雅黑" w:cs="微软雅黑"/>
                <w:color w:val="000000" w:themeColor="text1"/>
                <w:lang w:eastAsia="zh-CN"/>
                <w14:textFill>
                  <w14:solidFill>
                    <w14:schemeClr w14:val="tx1"/>
                  </w14:solidFill>
                </w14:textFill>
              </w:rPr>
              <w:t>）</w:t>
            </w:r>
          </w:p>
        </w:tc>
      </w:tr>
    </w:tbl>
    <w:p>
      <w:pPr>
        <w:pStyle w:val="12"/>
        <w:ind w:firstLine="420" w:firstLineChars="20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tbl>
      <w:tblPr>
        <w:tblStyle w:val="16"/>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661"/>
        <w:gridCol w:w="6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661"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条款名称</w:t>
            </w:r>
          </w:p>
        </w:tc>
        <w:tc>
          <w:tcPr>
            <w:tcW w:w="699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69"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21</w:t>
            </w:r>
          </w:p>
        </w:tc>
        <w:tc>
          <w:tcPr>
            <w:tcW w:w="1661"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封套上应载明的信息</w:t>
            </w:r>
          </w:p>
        </w:tc>
        <w:tc>
          <w:tcPr>
            <w:tcW w:w="6998"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(项目名称)投标</w:t>
            </w:r>
            <w:r>
              <w:rPr>
                <w:rFonts w:hint="eastAsia" w:ascii="微软雅黑" w:hAnsi="微软雅黑" w:eastAsia="微软雅黑" w:cs="微软雅黑"/>
                <w:color w:val="auto"/>
                <w:sz w:val="21"/>
                <w:szCs w:val="21"/>
                <w:lang w:val="en-US" w:eastAsia="zh-CN"/>
              </w:rPr>
              <w:t>响应</w:t>
            </w:r>
            <w:r>
              <w:rPr>
                <w:rFonts w:hint="eastAsia" w:ascii="微软雅黑" w:hAnsi="微软雅黑" w:eastAsia="微软雅黑" w:cs="微软雅黑"/>
                <w:color w:val="auto"/>
                <w:sz w:val="21"/>
                <w:szCs w:val="21"/>
              </w:rPr>
              <w:t>文件</w:t>
            </w:r>
          </w:p>
          <w:p>
            <w:pPr>
              <w:pStyle w:val="12"/>
              <w:jc w:val="left"/>
              <w:rPr>
                <w:rFonts w:hint="default"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auto"/>
                <w:sz w:val="21"/>
                <w:szCs w:val="21"/>
              </w:rPr>
              <w:t>项目编号：____________________</w:t>
            </w:r>
            <w:r>
              <w:rPr>
                <w:rFonts w:hint="eastAsia" w:ascii="微软雅黑" w:hAnsi="微软雅黑" w:eastAsia="微软雅黑" w:cs="微软雅黑"/>
                <w:color w:val="auto"/>
                <w:sz w:val="21"/>
                <w:szCs w:val="21"/>
                <w:lang w:val="en-US" w:eastAsia="zh-CN"/>
              </w:rPr>
              <w:t>包号：</w:t>
            </w:r>
            <w:r>
              <w:rPr>
                <w:rFonts w:hint="eastAsia" w:ascii="微软雅黑" w:hAnsi="微软雅黑" w:eastAsia="微软雅黑" w:cs="微软雅黑"/>
                <w:color w:val="auto"/>
                <w:sz w:val="21"/>
                <w:szCs w:val="21"/>
                <w:u w:val="single"/>
                <w:lang w:val="en-US" w:eastAsia="zh-CN"/>
              </w:rPr>
              <w:t xml:space="preserve">         </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在______年____月____日____时____分之前不得启封</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投标人名称：____________________</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其他</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769"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22</w:t>
            </w:r>
          </w:p>
        </w:tc>
        <w:tc>
          <w:tcPr>
            <w:tcW w:w="1661"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信用查询</w:t>
            </w:r>
          </w:p>
        </w:tc>
        <w:tc>
          <w:tcPr>
            <w:tcW w:w="6998" w:type="dxa"/>
            <w:vAlign w:val="center"/>
          </w:tcPr>
          <w:p>
            <w:pPr>
              <w:pStyle w:val="12"/>
              <w:jc w:val="left"/>
              <w:rPr>
                <w:rFonts w:hint="eastAsia" w:ascii="微软雅黑" w:hAnsi="微软雅黑" w:eastAsia="微软雅黑" w:cs="微软雅黑"/>
                <w:sz w:val="21"/>
                <w:szCs w:val="21"/>
                <w:u w:val="single"/>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采购人或采购代理机构将通过“信用中国”网站(www. creditchina. gov.cn)、中国政府采购网(www.ccgp.gov.cn)查询相关主体信用记录。本次查询的信用记录打印的网页版将留存在评标报告中。</w:t>
            </w:r>
          </w:p>
          <w:p>
            <w:pPr>
              <w:pStyle w:val="12"/>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投标人自行查询信用记录，如实提供《无不良信用记录承诺》并加盖供应商公章。联合体参加投标的，所有联合体成员均须加盖公章。本项目信用记录查询截止时点为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u w:val="single"/>
                <w:lang w:val="en-US" w:eastAsia="zh-CN"/>
              </w:rPr>
              <w:t>开标前</w:t>
            </w:r>
            <w:r>
              <w:rPr>
                <w:rFonts w:hint="eastAsia" w:ascii="微软雅黑" w:hAnsi="微软雅黑" w:eastAsia="微软雅黑" w:cs="微软雅黑"/>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769"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23</w:t>
            </w:r>
          </w:p>
        </w:tc>
        <w:tc>
          <w:tcPr>
            <w:tcW w:w="1661"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同品牌多家投标人处理原则</w:t>
            </w:r>
          </w:p>
        </w:tc>
        <w:tc>
          <w:tcPr>
            <w:tcW w:w="6998"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1.最低评标价法：相同品牌产品的不同投标人参加同一合同项下投标的，以其中通过资格审查、符合性审查且报价最低的参加评标。报价相同的，按照以下方式确定一个参加评标的投标人，其他投标无效。</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随机抽取</w:t>
            </w:r>
          </w:p>
          <w:p>
            <w:pPr>
              <w:pStyle w:val="12"/>
              <w:jc w:val="left"/>
              <w:rPr>
                <w:rFonts w:hint="eastAsia" w:ascii="微软雅黑" w:hAnsi="微软雅黑" w:eastAsia="微软雅黑" w:cs="微软雅黑"/>
                <w:color w:val="auto"/>
                <w:sz w:val="21"/>
                <w:szCs w:val="21"/>
                <w:u w:val="single"/>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其他</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u w:val="single"/>
              </w:rPr>
              <w:t>_投标文件满足招标文件全部实质性要求且投标报价最低的投标人为排名第一的中标候选人</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随机抽取</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其他</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u w:val="single"/>
              </w:rPr>
              <w:t>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69"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24</w:t>
            </w:r>
          </w:p>
        </w:tc>
        <w:tc>
          <w:tcPr>
            <w:tcW w:w="1661"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定标原则</w:t>
            </w:r>
          </w:p>
        </w:tc>
        <w:tc>
          <w:tcPr>
            <w:tcW w:w="6998"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1.采购人在评标报告确定的中标候选人名单中按顺序确定中标人。</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2.中标候选人并列的，按照以下方式确定中标人。</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随机抽取</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其他</w:t>
            </w:r>
            <w:r>
              <w:rPr>
                <w:rFonts w:hint="eastAsia" w:ascii="微软雅黑" w:hAnsi="微软雅黑" w:eastAsia="微软雅黑" w:cs="微软雅黑"/>
                <w:color w:val="auto"/>
                <w:sz w:val="21"/>
                <w:szCs w:val="21"/>
                <w:u w:val="single"/>
                <w:lang w:eastAsia="zh-CN"/>
              </w:rPr>
              <w:t>：</w:t>
            </w:r>
            <w:r>
              <w:rPr>
                <w:rFonts w:hint="eastAsia" w:ascii="微软雅黑" w:hAnsi="微软雅黑" w:eastAsia="微软雅黑" w:cs="微软雅黑"/>
                <w:color w:val="auto"/>
                <w:sz w:val="21"/>
                <w:szCs w:val="21"/>
                <w:u w:val="single"/>
              </w:rPr>
              <w:t>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769"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25</w:t>
            </w:r>
          </w:p>
        </w:tc>
        <w:tc>
          <w:tcPr>
            <w:tcW w:w="1661"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交货和提供服务的时间、地点、方式、项目服务期限</w:t>
            </w:r>
          </w:p>
        </w:tc>
        <w:tc>
          <w:tcPr>
            <w:tcW w:w="6998" w:type="dxa"/>
            <w:vAlign w:val="center"/>
          </w:tcPr>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交货和提供服务的时间：</w:t>
            </w:r>
          </w:p>
          <w:p>
            <w:pPr>
              <w:pStyle w:val="12"/>
              <w:jc w:val="left"/>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①</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交货期：合同签订之日起30日历天内</w:t>
            </w:r>
          </w:p>
          <w:p>
            <w:pPr>
              <w:pStyle w:val="12"/>
              <w:jc w:val="left"/>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②</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服务期：不少于24个月，时间自验收合格之日起算，主要设备要求提供两年的质量保证和服务承诺， 8小时内响应，免费上门服务。</w:t>
            </w:r>
          </w:p>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交货和提供服务的地点：</w:t>
            </w:r>
          </w:p>
          <w:p>
            <w:pPr>
              <w:pStyle w:val="12"/>
              <w:jc w:val="left"/>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①</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交货地点：</w:t>
            </w:r>
            <w:r>
              <w:rPr>
                <w:rFonts w:hint="eastAsia" w:ascii="微软雅黑" w:hAnsi="微软雅黑" w:eastAsia="微软雅黑" w:cs="微软雅黑"/>
                <w:color w:val="000000" w:themeColor="text1"/>
                <w:sz w:val="21"/>
                <w:szCs w:val="21"/>
                <w:lang w:eastAsia="zh-CN"/>
                <w14:textFill>
                  <w14:solidFill>
                    <w14:schemeClr w14:val="tx1"/>
                  </w14:solidFill>
                </w14:textFill>
              </w:rPr>
              <w:t>安康市中医医院</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指定地点</w:t>
            </w:r>
          </w:p>
          <w:p>
            <w:pPr>
              <w:pStyle w:val="12"/>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②</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服务地点：</w:t>
            </w:r>
            <w:r>
              <w:rPr>
                <w:rFonts w:hint="eastAsia" w:ascii="微软雅黑" w:hAnsi="微软雅黑" w:eastAsia="微软雅黑" w:cs="微软雅黑"/>
                <w:color w:val="000000" w:themeColor="text1"/>
                <w:sz w:val="21"/>
                <w:szCs w:val="21"/>
                <w:lang w:eastAsia="zh-CN"/>
                <w14:textFill>
                  <w14:solidFill>
                    <w14:schemeClr w14:val="tx1"/>
                  </w14:solidFill>
                </w14:textFill>
              </w:rPr>
              <w:t>安康市中医医院</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指定地点</w:t>
            </w:r>
          </w:p>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交货和提供服务的方式：</w:t>
            </w:r>
          </w:p>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①运输方式：自行选择。</w:t>
            </w:r>
          </w:p>
          <w:p>
            <w:pPr>
              <w:pStyle w:val="12"/>
              <w:jc w:val="left"/>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②8小时内响应，免费上门服务</w:t>
            </w:r>
            <w:r>
              <w:rPr>
                <w:rFonts w:hint="eastAsia" w:ascii="微软雅黑" w:hAnsi="微软雅黑" w:eastAsia="微软雅黑" w:cs="微软雅黑"/>
                <w:color w:val="000000" w:themeColor="text1"/>
                <w:sz w:val="21"/>
                <w:szCs w:val="21"/>
                <w:lang w:eastAsia="zh-CN"/>
                <w14:textFill>
                  <w14:solidFill>
                    <w14:schemeClr w14:val="tx1"/>
                  </w14:solidFill>
                </w14:textFill>
              </w:rPr>
              <w:t>。</w:t>
            </w:r>
          </w:p>
          <w:p>
            <w:pPr>
              <w:pStyle w:val="12"/>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项目服务期限：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不少于24个月，时间自验收合格之日起算，主要设备要求提供两年的质量保证和服务承诺， 8小时内响应，免费上门服务。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9" w:type="dxa"/>
            <w:vAlign w:val="center"/>
          </w:tcPr>
          <w:p>
            <w:pPr>
              <w:pStyle w:val="12"/>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26</w:t>
            </w:r>
          </w:p>
        </w:tc>
        <w:tc>
          <w:tcPr>
            <w:tcW w:w="1661" w:type="dxa"/>
            <w:vAlign w:val="center"/>
          </w:tcPr>
          <w:p>
            <w:pPr>
              <w:pStyle w:val="12"/>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采购资金的支付方式及时间</w:t>
            </w:r>
          </w:p>
        </w:tc>
        <w:tc>
          <w:tcPr>
            <w:tcW w:w="6998" w:type="dxa"/>
            <w:vAlign w:val="center"/>
          </w:tcPr>
          <w:p>
            <w:pPr>
              <w:pStyle w:val="12"/>
              <w:jc w:val="left"/>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①合同款的支付</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：设备到货安装调试验收合格后付总货款的60%，设备安装验收3个月后付总货款的30%，剩余总货款的10%一年后付清。</w:t>
            </w:r>
          </w:p>
          <w:p>
            <w:pPr>
              <w:pStyle w:val="12"/>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②结算方式：</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安康市中医医院</w:t>
            </w:r>
            <w:r>
              <w:rPr>
                <w:rFonts w:hint="eastAsia" w:ascii="微软雅黑" w:hAnsi="微软雅黑" w:eastAsia="微软雅黑" w:cs="微软雅黑"/>
                <w:color w:val="000000" w:themeColor="text1"/>
                <w:sz w:val="21"/>
                <w:szCs w:val="21"/>
                <w:highlight w:val="none"/>
                <w14:textFill>
                  <w14:solidFill>
                    <w14:schemeClr w14:val="tx1"/>
                  </w14:solidFill>
                </w14:textFill>
              </w:rPr>
              <w:t>负责结算，发票直开采购单位。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769"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27</w:t>
            </w:r>
          </w:p>
        </w:tc>
        <w:tc>
          <w:tcPr>
            <w:tcW w:w="1661"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履约保证金</w:t>
            </w:r>
          </w:p>
        </w:tc>
        <w:tc>
          <w:tcPr>
            <w:tcW w:w="6998" w:type="dxa"/>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不要求提供</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□要求提供，履约保证金的数额不得超过政府采购合同金额的10%，本采购项目履约保证金为合同金额的____%，提交方式为____</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收款人户名：</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开户银行：</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银行账号：</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注：以电汇方式递交履约保证金须在电汇凭据附言栏中写明采购编号、包号及用途(履约保证金)。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28</w:t>
            </w:r>
          </w:p>
        </w:tc>
        <w:tc>
          <w:tcPr>
            <w:tcW w:w="1661"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招标代理服务费</w:t>
            </w:r>
          </w:p>
        </w:tc>
        <w:tc>
          <w:tcPr>
            <w:tcW w:w="6998" w:type="dxa"/>
            <w:vAlign w:val="center"/>
          </w:tcPr>
          <w:p>
            <w:pPr>
              <w:pStyle w:val="12"/>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服务费按中标（成交）金额进行计取，由中标单位支付。标准详见国家计委计价【2002】1980号文件</w:t>
            </w:r>
            <w:r>
              <w:rPr>
                <w:rFonts w:hint="eastAsia" w:ascii="微软雅黑" w:hAnsi="微软雅黑" w:eastAsia="微软雅黑" w:cs="微软雅黑"/>
                <w:sz w:val="21"/>
                <w:szCs w:val="21"/>
                <w:lang w:eastAsia="zh-CN"/>
              </w:rPr>
              <w:t>。</w:t>
            </w:r>
          </w:p>
          <w:p>
            <w:pPr>
              <w:pStyle w:val="12"/>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中标服务费账号：</w:t>
            </w:r>
          </w:p>
          <w:p>
            <w:pPr>
              <w:pStyle w:val="12"/>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开户行：中国建设银行陕西省安康汉滨区支行</w:t>
            </w:r>
          </w:p>
          <w:p>
            <w:pPr>
              <w:pStyle w:val="12"/>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账号：6100 1660 0330 5250 1513</w:t>
            </w:r>
          </w:p>
          <w:p>
            <w:pPr>
              <w:pStyle w:val="12"/>
              <w:jc w:val="left"/>
              <w:rPr>
                <w:rFonts w:hint="eastAsia" w:ascii="微软雅黑" w:hAnsi="微软雅黑" w:eastAsia="微软雅黑" w:cs="微软雅黑"/>
                <w:sz w:val="21"/>
                <w:szCs w:val="21"/>
                <w:lang w:eastAsia="zh-CN"/>
              </w:rPr>
            </w:pPr>
            <w:r>
              <w:rPr>
                <w:rFonts w:hint="eastAsia" w:ascii="微软雅黑" w:hAnsi="微软雅黑" w:eastAsia="微软雅黑" w:cs="微软雅黑"/>
                <w:lang w:val="en-US" w:eastAsia="zh-CN"/>
              </w:rPr>
              <w:t>户名：陕西国泰招标代理有限公司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pPr>
              <w:pStyle w:val="12"/>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29</w:t>
            </w:r>
          </w:p>
        </w:tc>
        <w:tc>
          <w:tcPr>
            <w:tcW w:w="1661" w:type="dxa"/>
            <w:vAlign w:val="center"/>
          </w:tcPr>
          <w:p>
            <w:pPr>
              <w:pStyle w:val="12"/>
              <w:jc w:val="center"/>
              <w:rPr>
                <w:rFonts w:hint="eastAsia" w:ascii="微软雅黑" w:hAnsi="微软雅黑" w:eastAsia="微软雅黑" w:cs="微软雅黑"/>
                <w:lang w:val="zh-CN"/>
              </w:rPr>
            </w:pPr>
            <w:r>
              <w:rPr>
                <w:rFonts w:hint="eastAsia" w:ascii="微软雅黑" w:hAnsi="微软雅黑" w:eastAsia="微软雅黑" w:cs="微软雅黑"/>
                <w:lang w:val="zh-CN"/>
              </w:rPr>
              <w:t>电子投标</w:t>
            </w:r>
          </w:p>
          <w:p>
            <w:pPr>
              <w:pStyle w:val="12"/>
              <w:jc w:val="center"/>
              <w:rPr>
                <w:rFonts w:hint="eastAsia" w:ascii="微软雅黑" w:hAnsi="微软雅黑" w:eastAsia="微软雅黑" w:cs="微软雅黑"/>
              </w:rPr>
            </w:pPr>
            <w:r>
              <w:rPr>
                <w:rFonts w:hint="eastAsia" w:ascii="微软雅黑" w:hAnsi="微软雅黑" w:eastAsia="微软雅黑" w:cs="微软雅黑"/>
                <w:lang w:val="zh-CN"/>
              </w:rPr>
              <w:t>注意事项</w:t>
            </w:r>
          </w:p>
          <w:p>
            <w:pPr>
              <w:pStyle w:val="12"/>
              <w:jc w:val="left"/>
              <w:rPr>
                <w:rFonts w:hint="eastAsia" w:ascii="微软雅黑" w:hAnsi="微软雅黑" w:eastAsia="微软雅黑" w:cs="微软雅黑"/>
                <w:sz w:val="21"/>
                <w:szCs w:val="21"/>
              </w:rPr>
            </w:pPr>
          </w:p>
        </w:tc>
        <w:tc>
          <w:tcPr>
            <w:tcW w:w="6998" w:type="dxa"/>
            <w:vAlign w:val="center"/>
          </w:tcPr>
          <w:p>
            <w:pPr>
              <w:pStyle w:val="12"/>
              <w:jc w:val="left"/>
              <w:rPr>
                <w:rFonts w:hint="eastAsia" w:ascii="微软雅黑" w:hAnsi="微软雅黑" w:eastAsia="微软雅黑" w:cs="微软雅黑"/>
                <w:lang w:val="zh-CN"/>
              </w:rPr>
            </w:pPr>
            <w:r>
              <w:rPr>
                <w:rFonts w:hint="eastAsia" w:ascii="微软雅黑" w:hAnsi="微软雅黑" w:eastAsia="微软雅黑" w:cs="微软雅黑"/>
              </w:rPr>
              <w:t xml:space="preserve"> </w:t>
            </w:r>
            <w:r>
              <w:rPr>
                <w:rFonts w:hint="eastAsia" w:ascii="微软雅黑" w:hAnsi="微软雅黑" w:eastAsia="微软雅黑" w:cs="微软雅黑"/>
                <w:lang w:val="zh-CN"/>
              </w:rPr>
              <w:t>1、本项目采用电子化投标的方式投标，供应商须使用数字认证证书（CA锁）对电子投标文件进行签章、加密、递交及开标时解密等相关招投标事宜。开标时，按照工作人员要求进行解密，使用电子投标文件加密时所用的数字认证证书（CA锁）自行解密电子投标文件（超过系统默认解密时间未解密成功的视为解密失败，其投标文件按无效文件处理），投标单位需在解密时间规定内完成标书解密。所有投标单位解密完成后由开标人员将投标文件导入开评标系统。如因供应商自身原因造成无法在规定时间内解密投标文件的，按无效响应对待。</w:t>
            </w:r>
          </w:p>
          <w:p>
            <w:pPr>
              <w:pStyle w:val="12"/>
              <w:jc w:val="left"/>
              <w:rPr>
                <w:rFonts w:hint="eastAsia" w:ascii="微软雅黑" w:hAnsi="微软雅黑" w:eastAsia="微软雅黑" w:cs="微软雅黑"/>
                <w:lang w:val="zh-CN"/>
              </w:rPr>
            </w:pPr>
            <w:r>
              <w:rPr>
                <w:rFonts w:hint="eastAsia" w:ascii="微软雅黑" w:hAnsi="微软雅黑" w:eastAsia="微软雅黑" w:cs="微软雅黑"/>
                <w:lang w:val="en-US" w:eastAsia="zh-CN"/>
              </w:rPr>
              <w:t>2</w:t>
            </w:r>
            <w:r>
              <w:rPr>
                <w:rFonts w:hint="eastAsia" w:ascii="微软雅黑" w:hAnsi="微软雅黑" w:eastAsia="微软雅黑" w:cs="微软雅黑"/>
                <w:lang w:val="zh-CN"/>
              </w:rPr>
              <w:t>、制作电子投标文件</w:t>
            </w:r>
          </w:p>
          <w:p>
            <w:pPr>
              <w:pStyle w:val="12"/>
              <w:jc w:val="left"/>
              <w:rPr>
                <w:rFonts w:hint="eastAsia" w:ascii="微软雅黑" w:hAnsi="微软雅黑" w:eastAsia="微软雅黑" w:cs="微软雅黑"/>
                <w:lang w:val="zh-CN"/>
              </w:rPr>
            </w:pPr>
            <w:r>
              <w:rPr>
                <w:rFonts w:hint="eastAsia" w:ascii="微软雅黑" w:hAnsi="微软雅黑" w:eastAsia="微软雅黑" w:cs="微软雅黑"/>
                <w:lang w:val="zh-CN"/>
              </w:rPr>
              <w:t>供应商须在“全国公共资源交易中心平台（陕西省）（http://www.sxggzyjy.cn/）”的“服务指南”栏目“下载专区”中，免费下载“陕西省公共资源交易平台政府采在购电子标书制作工具(V8.0.0.2)”，并升级至最新版本，使用该客户端制作电子投标文件，制作扩展名为“.SXSTF”的电子投标文件。”</w:t>
            </w:r>
          </w:p>
          <w:p>
            <w:pPr>
              <w:pStyle w:val="12"/>
              <w:jc w:val="left"/>
              <w:rPr>
                <w:rFonts w:hint="eastAsia" w:ascii="微软雅黑" w:hAnsi="微软雅黑" w:eastAsia="微软雅黑" w:cs="微软雅黑"/>
                <w:lang w:val="zh-CN"/>
              </w:rPr>
            </w:pPr>
            <w:r>
              <w:rPr>
                <w:rFonts w:hint="eastAsia" w:ascii="微软雅黑" w:hAnsi="微软雅黑" w:eastAsia="微软雅黑" w:cs="微软雅黑"/>
                <w:lang w:val="zh-CN"/>
              </w:rPr>
              <w:t>递交电子投标文件登录全国公共资源交易中心平台（陕西省）（http://www.sxggzyjy.cn/），选择“电子交易平台—陕西政府采购交易系统—企业端”进行登录，登录后选择“交易乙方”身份进入，进入菜单“采购业务—我的项目——项目流程——上传投标文件”，上传加密的电子投标文件。上传成功后，电子化平台将予以记录。</w:t>
            </w:r>
          </w:p>
          <w:p>
            <w:pPr>
              <w:pStyle w:val="12"/>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3、不见面开标注意事项</w:t>
            </w:r>
          </w:p>
          <w:p>
            <w:pPr>
              <w:pStyle w:val="12"/>
              <w:jc w:val="left"/>
              <w:rPr>
                <w:rFonts w:hint="eastAsia" w:ascii="微软雅黑" w:hAnsi="微软雅黑" w:eastAsia="微软雅黑" w:cs="微软雅黑"/>
                <w:lang w:val="zh-CN"/>
              </w:rPr>
            </w:pPr>
            <w:r>
              <w:rPr>
                <w:rFonts w:hint="eastAsia" w:ascii="微软雅黑" w:hAnsi="微软雅黑" w:eastAsia="微软雅黑" w:cs="微软雅黑"/>
                <w:lang w:val="en-US" w:eastAsia="zh-CN"/>
              </w:rPr>
              <w:t>3</w:t>
            </w:r>
            <w:r>
              <w:rPr>
                <w:rFonts w:hint="eastAsia" w:ascii="微软雅黑" w:hAnsi="微软雅黑" w:eastAsia="微软雅黑" w:cs="微软雅黑"/>
                <w:lang w:val="zh-CN"/>
              </w:rPr>
              <w:t>.1、为了保证远程不见面开标顺利进行，供应商需使用配备音响和拾音设备的电脑</w:t>
            </w:r>
            <w:r>
              <w:rPr>
                <w:rFonts w:hint="eastAsia" w:ascii="微软雅黑" w:hAnsi="微软雅黑" w:eastAsia="微软雅黑" w:cs="微软雅黑"/>
                <w:b/>
                <w:bCs/>
                <w:lang w:val="zh-CN"/>
              </w:rPr>
              <w:t>提前一个小时登录</w:t>
            </w:r>
            <w:r>
              <w:rPr>
                <w:rFonts w:hint="eastAsia" w:ascii="微软雅黑" w:hAnsi="微软雅黑" w:eastAsia="微软雅黑" w:cs="微软雅黑"/>
                <w:lang w:val="zh-CN"/>
              </w:rPr>
              <w:t>网络开标大厅(陕西省安康市)自行调试(“不见面开标大厅”登录网址: http://122. 112. 246. 33/Bid</w:t>
            </w:r>
          </w:p>
          <w:p>
            <w:pPr>
              <w:pStyle w:val="12"/>
              <w:jc w:val="left"/>
              <w:rPr>
                <w:rFonts w:hint="eastAsia" w:ascii="微软雅黑" w:hAnsi="微软雅黑" w:eastAsia="微软雅黑" w:cs="微软雅黑"/>
                <w:lang w:val="zh-CN"/>
              </w:rPr>
            </w:pPr>
            <w:r>
              <w:rPr>
                <w:rFonts w:hint="eastAsia" w:ascii="微软雅黑" w:hAnsi="微软雅黑" w:eastAsia="微软雅黑" w:cs="微软雅黑"/>
                <w:lang w:val="zh-CN"/>
              </w:rPr>
              <w:t xml:space="preserve">Opening/bi dopeninghallaction/hal1/login)。并按照工作人员要求进行投标文件解密，远程观看开标直播。及时加入网络开标大厅公布的腾讯QQ号，以便澄清等情况处理。如遇困难，请拨打系统平台技术支持电话: 4009980000。 </w:t>
            </w:r>
          </w:p>
          <w:p>
            <w:pPr>
              <w:pStyle w:val="12"/>
              <w:jc w:val="left"/>
              <w:rPr>
                <w:rFonts w:hint="eastAsia" w:ascii="微软雅黑" w:hAnsi="微软雅黑" w:eastAsia="微软雅黑" w:cs="微软雅黑"/>
                <w:lang w:val="zh-CN"/>
              </w:rPr>
            </w:pPr>
            <w:r>
              <w:rPr>
                <w:rFonts w:hint="eastAsia" w:ascii="微软雅黑" w:hAnsi="微软雅黑" w:eastAsia="微软雅黑" w:cs="微软雅黑"/>
                <w:lang w:val="en-US" w:eastAsia="zh-CN"/>
              </w:rPr>
              <w:t>3</w:t>
            </w:r>
            <w:r>
              <w:rPr>
                <w:rFonts w:hint="eastAsia" w:ascii="微软雅黑" w:hAnsi="微软雅黑" w:eastAsia="微软雅黑" w:cs="微软雅黑"/>
                <w:lang w:val="zh-CN"/>
              </w:rPr>
              <w:t>.2、供应商需安装新点播放器，以便观看远程不见面开标直播画面(播放器下载链接为: https://download.bqpoint.com/down1oad/downloadprodetail.html?SourceFrom=Down&amp;SoftGuid554e06-c384-4005-bcb9-48932d410fd）</w:t>
            </w:r>
          </w:p>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3</w:t>
            </w:r>
            <w:r>
              <w:rPr>
                <w:rFonts w:hint="eastAsia" w:ascii="微软雅黑" w:hAnsi="微软雅黑" w:eastAsia="微软雅黑" w:cs="微软雅黑"/>
                <w:lang w:val="zh-CN"/>
              </w:rPr>
              <w:t>.3、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pPr>
              <w:pStyle w:val="12"/>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w:t>
            </w:r>
          </w:p>
        </w:tc>
        <w:tc>
          <w:tcPr>
            <w:tcW w:w="1661" w:type="dxa"/>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其他规定</w:t>
            </w:r>
          </w:p>
        </w:tc>
        <w:tc>
          <w:tcPr>
            <w:tcW w:w="6998" w:type="dxa"/>
            <w:vAlign w:val="center"/>
          </w:tcPr>
          <w:p>
            <w:pPr>
              <w:pStyle w:val="12"/>
              <w:jc w:val="left"/>
              <w:rPr>
                <w:rFonts w:hint="eastAsia" w:ascii="微软雅黑" w:hAnsi="微软雅黑" w:eastAsia="微软雅黑" w:cs="微软雅黑"/>
                <w:sz w:val="21"/>
                <w:szCs w:val="21"/>
              </w:rPr>
            </w:pPr>
          </w:p>
        </w:tc>
      </w:tr>
    </w:tbl>
    <w:p>
      <w:pPr>
        <w:pStyle w:val="12"/>
        <w:ind w:firstLine="420" w:firstLineChars="200"/>
        <w:rPr>
          <w:rFonts w:ascii="Times New Roman" w:hAnsi="Times New Roman" w:cs="Times New Roman"/>
        </w:rPr>
      </w:pPr>
      <w:r>
        <w:rPr>
          <w:rFonts w:hint="eastAsia" w:ascii="微软雅黑" w:hAnsi="微软雅黑" w:eastAsia="微软雅黑" w:cs="微软雅黑"/>
          <w:sz w:val="21"/>
          <w:szCs w:val="21"/>
        </w:rPr>
        <w:br w:type="page"/>
      </w:r>
    </w:p>
    <w:p>
      <w:pPr>
        <w:pStyle w:val="9"/>
        <w:jc w:val="center"/>
      </w:pPr>
      <w:r>
        <w:rPr>
          <w:rFonts w:hint="eastAsia" w:ascii="微软雅黑" w:hAnsi="微软雅黑" w:eastAsia="微软雅黑" w:cs="微软雅黑"/>
          <w:sz w:val="28"/>
          <w:szCs w:val="28"/>
        </w:rPr>
        <w:t>投标人须知正文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一、总则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1.定义</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　“采购人”是指依法进行政府采购的国家机关、事业单位、团体组织。本次政府采购的采购人名称、地址、电话、联系人见投标人须知前附表。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　“采购代理机构”是指集中采购机构和集中采购机构以外的采购代理机构。本次政府采购的采购代理机构名称、地址、电话、联系人见投标人须知前附表。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　“投标人”是响应招标文件并且符合招标文件规定资格条件和参加投标竞争的法人、其他组织或者自然人。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　“供应商”是指向采购人提供</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、工程或者服务的法人、其他组织或者自然人。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　“评标委员会”是依据《政府采购</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和服务招标投标管理办法》有关规定组建，依法履行评审采购活动职责的评审成员。</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　“</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”是指各种形态和种类的物品，包括原材料、燃料、设备、产品等。</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　“服务”是指除</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和工程以外的其他政府采购对象。</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　“节能产品”或者“环保产品”是指国务院有关部门发布的最新一期《节能产品政府采购清单》或者《环境标志产品政府采购清单》内的产品。</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　“进口产品”是指通过中国海关报关验放进入中国境内且产自关境外的产品。</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2.采购项目预算及最高限价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　本项目采购资金已列入政府采购预算，预算金额见投标人须知前附表。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　本项目最高限价要求见投标人须知前附表。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★3.供应商的资格要求</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　供应商应当符合投标人须知前附表中规定的下列资格条件要求：</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3.1.1　符合《政府采购法》第二十二条规定的供应商条件：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(5)参加政府采购活动前三年内，在经营活动中没有重大违法记录；</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(6)政府采购法律法规相关规定的其他条件。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3.1.2　其他特定资格条件。(详见投标人须知前附表)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　供应商存在下列情形之一的不得参加投标：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4.投标费用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4.1　投标人应自行承担所有参与投标的相关费用，不论投标的结果如何，采购人或者采购代理机构均无义务和责任承担这些费用。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★5.授权委托</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投标人代表不是投标人的法定代表人的，应当持有法定代表人的授权委托书，同时提供投标人代表身份证明。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6.联合体投标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6.1　本项目是否接受联合体形式参与详见投标人须知前附表。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★6.2　供应商为联合体形式的，应遵守以下规定：</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(1)联合体各方必须签订联合体协议书，明确联合体牵头人和各方权利、义务及分工、合同工作量比例；</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(2)联合体各方均应当符合投标人须知前附表规定的供应商基本资格条件；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(3)除另有规定外，联合体各方中至少有一方应当符合投标须知前附表规定的供应商特定资格条件；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(4)联合体中有同类资质的供应商按照联合体分工承担相同工作的，应当按照资质等级较低的供应商确定资质等级；</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(5)联合体各方不得再单独或与其他供应商组成新的联合体参加同一项目的采购活动。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7.项目现场考察</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7.1　本项目是否组织现场考察详见投标人须知前附表。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7.2　供应商应按投标人须知前附表中规定的时间及地点，对采购项目现场和周围环境进行考察。供应商未在指定时间进行考察的，采购人不再另行组织。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7.3　考察现场的费用由供应商自己承担，考察期间所发生的人身伤害及财产损失由供应商自己负责。</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7.4　采购人不对供应商据此而做出的推论、理解和结论负责。一旦中标，供应商不得以任何借口，提出额外补偿，或延长合同期限的要求。</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8.采购进口产品</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8.1　本项目是否采购进口产品及相关要求见投标人须知前附表。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9.政策与其他规定</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★9.1　产品属于政府强制采购节能产品范围，必须将是否列入最新一期节能清单作为采购产品的资格条件。本项目的详细要求见投标人须知前附表。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9.2　对列入最新一期节能清单(非强制类)、环保清单内的产品，分别予以相应的加分或价格扣除；对于同时列入“两个清单”的产品，优先于只获得其中一项认证的产品。本项目的详细要求见投标人须知前附表。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9.3　供应商享受支持中小企业发展政策优惠的，可用扣除后的最后报价参与价格比较。本项目价格扣除比例及相关要求见投标人须知前附表。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9.4　监狱企业视同小型、微型企业，享受促进中小企业发展政策优惠，可用扣除后的最后报价参与价格比较。本项目价格扣除比例及相关要求见投标人须知前附表。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9.6　其他法律法规强制性规定或扶持政策。本项目的详细要求见投标人须知前附表。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二、招标文件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10.招标文件的构成</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10.1　招标文件各章节的内容如下：</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第一部分　商务部分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第一章　投标邀请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第二章　投标人须知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第三章　评标方法及标准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第四章　拟签订的合同文本</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第五章　投标文件格式</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第二部分　技术部分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第六章　项目需求</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10.2　投标人应仔细阅读招标文件的全部内容，按照招标文件要求编制投标文件。任何对招标文件的忽略或误解，不能作为投标文件存在缺陷或瑕疵的理由，其风险由投标人承担。</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11.招标文件的澄清与修改</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11.2　如果澄清或者修改时间距本章投标人须知前附表规定的投标截止时间不足15日，将相应顺延提交投标文件的截止时间，澄清或者修改时间具体见投标人须知前附表。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11.3　澄清或者修改内容为招标文件的组成部分，对所有领取了招标文件的潜在投标人均具有约束力。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12.偏离</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12.1　本条所称偏离为投标文件对招标文件的偏离，即不满足或不响应招标文件的要求。</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★12.2　除法律、法规和规章规定外，招标文件中用“拒绝”“不接受”“无效”“不得”“必须”“应当”等文字规定或标注“★”符号的条款为实质性要求条款(即重要条款)，对其中任何一条的偏离，在评标时将其视为无效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三、投标文件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　一般要求</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13.1　投标人应仔细阅读招标文件的所有内容，按招标文件的要求编制投标文件，并保证所提供的全部资料的真实性，以使其投标文件对招标文件做出实质性的响应。</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13.2　投标人提交的投标文件及投标人与采购人或采购代理机构、评标委员会就有关投标的所有来往函电必须使用中文。投标人可以提交其他语言的资料，但应附有中文注释，有差异时以中文为准。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13.3　除技术要求另有规定外，本文件所要求使用的计量单位均采用国家法定的度、量、衡标准单位计量。未列明时亦默认为我国法定计量单位。</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13.4　供应商应按招标文件中提供的投标文件格式填写。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13.5　投标文件应采用书面形式，招标文件中要求提供电子版的，必须按要求提供。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14.投标文件的组成(采购人可根据项目实际情况增加★条款)</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14.1　投标文件包括但不限于下列内容</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14.1.1　价格及商务部分：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★(1)投标函(含法定代表人身份证明或授权委托书)</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★(2)开标一览表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(3)分项价格表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(4)商务条款偏离表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(5)投标保证金</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★(6)供应商符合投标人资格条件的证明文件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(7)符合政府采购政策的证明材料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(8)投标人须知前附表要求投标人提交的其他资料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(9)供应商认为需提供的其他资料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14.1.2　技术部分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说明一览表、实施方案、技术方案或服务方案</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(2)技术条款偏离表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(3)投标人售后服务承诺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(4)用于本项目人员简历表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(5)投标标的物符合招标文件规定的其他证明材料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(6)其他资料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★14.2　投标人须知前附表规定供应商在投标时提供样品的，供应商有以下情形之一的，在投标时将其视为无效响应文件。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(1)未在投标人须知前附表规定的提交时间、地点提交的；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(2)供应商提供的样品与投标文件中型号、规格不一致的。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14.3　在投标过程中，投标人根据评标委员会书面形式要求提供的澄清文件是投标文件的有效组成部分。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14.4　供应商无论中标与否，其投标文件不予退还。</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15.投标报价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15.1　投标人应按招标文件规定的供货及服务要求、责任范围和合同条件以人民币形式进行报价。投标报价应为完税价。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15.2　投标人必须按开标一览表和分项价格表的内容和格式要求填写各项</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及服务的分项价格和总价。投标人在投标人须知前附表规定的投标文件截止之日前修改开标一览表中的报价的，应同时修改其分项价格表中的报价。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★15.3　投标人对每种</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及服务只允许有一个报价，不接受可变动性报价、赠送及“零”报价，否则，在评标时将其视为无效投标。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15.4　项目有特殊要求的见投标人须知前附表。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16.投标保证金</w:t>
      </w:r>
    </w:p>
    <w:p>
      <w:pPr>
        <w:pStyle w:val="12"/>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根据安财采管【2022】4号文件《安康市财政局关于全面取消政府采购保证金等有关事项的通知》相关要求，本项目不要求缴纳投标保证金。供应商在政府采购活动中违反政府采购相关规定给采购人、采购代理机构造成损失的，其失信行为将被纳入诚信系统，并且负有赔偿责任，赔偿金额不超过采购预算金额的2%。</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17.投标有效期</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18.投标文件的签署和规定</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18.1　投标人应根据投标人须知前附表规定提交投标文件。纸质文件的正本和副本应装订成册。正本和副本的封面应注明“正本”或“副本”的字样，当正本和副本、电子版不一致时，以正本为准。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18.2　投标文件应用不褪色的材料打印或书写，并按招标文件要求在签字盖章处盖单位章和由法定代表人或其授权代表签字</w:t>
      </w:r>
      <w:r>
        <w:rPr>
          <w:rFonts w:hint="eastAsia" w:ascii="微软雅黑" w:hAnsi="微软雅黑" w:eastAsia="微软雅黑" w:cs="微软雅黑"/>
          <w:sz w:val="24"/>
          <w:szCs w:val="24"/>
          <w:lang w:val="en-US" w:eastAsia="zh-CN"/>
        </w:rPr>
        <w:t>或盖章</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电子版文件和纸质版文件签字盖章方式必须一致</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。投标文件中的任何行间插字、涂改和增删，应加盖单位章或由投标人的法定代表人或其授权的代理人签字确认。否则，在评标时将其视为无效投标。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19.投标文件的密封和标记</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19.1　投标文件按正本和副本分别包装，注明“正本”或“副本”，加贴封条，并在封套的封口处加盖投标人单位公章或由法定代表人或其授权的代理人签字。</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19.2　投标文件封套或外包装上应载明的内容见投标人须知前附表。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19.3　投标文件如果未按上述规定密封和标记，采购人或采购代理机构应当拒绝接收。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19.4　为方便开标唱标，投标人应单独将开标一览表及投标保证金另行封装在同一密封套内，并标明开标一览表及投标保证金字样，投标时单独提交。</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20.投标文件的递交</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20.1　投标文件应在本章投标人须知前附表规定的投标截止时间之前密封送到投标人须知前附表指定的地点。</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采购人或者采购代理机构收到投标文件后，应当如实记载投标文件的送达时间和密封情况，签收保存，并向投标人出具签收回执。任何单位和个人不得在开标前开启投标文件。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20.2　逾期送达或者未按照招标文件要求密封的投标文件，采购人、采购代理机构应当拒收。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21.投标文件的修改和撤回</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21.1　在投标人须知前附表规定的投标截止时间前，投标人可以书面形式修改、补充或撤回已递交的投标文件，但应以书面形式通知采购人或采购代理机构。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21.2　修改、补充的内容为投标文件的组成部分。修改、补充的投标文件应按本章第18、19、20项规定编制、签署、密封、标记和递交，并标明“修改、补充”字样。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21.3　投标人按本章21.1款撤回投标文件的，采购人或采购代理机构自收到投标人书面撤回通知之日起5个工作日内，退还已收取的投标保证金，但因投标人自身原因导致无法及时退还的除外。</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21.4　投标人在投标有效期内不得修改、撤销其投标文件。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四、开标和评标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22.开标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22.1　采购人或采购代理机构在投标人须知前附表规定的开标时间和开标地点组织公开开标，邀请投标人参加。评标委员会成员不得参加开标活动。投标人不足3家的，不得开标。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22.2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22.3　未宣读的投标价格等实质性内容，评标时不予承认。</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22.4　投标人代表及有关人员在开标记录上签字确认。</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★23.资格审查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23.1　公开招标采购项目开标结束后，采购人或者采购代理机构应当依法对投标人的资格进行审查。合格投标人不足3家的，不得评标。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有下列情形之一的，应在资格审查时按照无效投标处理：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(1)投标人未按照招标文件规定提交投标保证金的；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(2)投标人不具备招标文件规定的投标人资格条件的；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(3)报价超过招标文件中规定的预算金额或者最高限价的；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(4)投标人存在失信记录的。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两个以上的自然人、法人或者其他组织组成一个联合体，以一个供应商的身份共同参加政府采购活动的，应当对所有联合体成员进行信用记录查询，联合体成员存在不良信用记录的，视同联合体存在不良信用记录。失信情况查询方式详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23.2　已经进行资格预审的，可以不再对供应商资格进行审查，资格预审合格的供应商在评审阶段资格发生变化的，应当通知采购人和采购代理机构。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24.评标委员会</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评标由采购人或采购代理机构依法组建的评标委员会负责。评标委员会由政府采购评审专家和采购人代表组成。</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25.评标方法和标准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本项目评标方法和标准见招标文件第三章。</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26.评标程序</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★26.1　投标文件的符合性审查。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26.1.1评标委员会应当对符合资格的投标人的投标文件进行符合性审查，以确定其是否满足招标文件的实质性要求。</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26.1.2　有下列情形之一的，应在符合性审查时按照无效投标处理：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(1)投标文件未按照招标文件规定要求密封、签署、盖章的；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(2)不满足本招标文件中标注“★”的实质性条款要求的；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(3)投标有效期不足的；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(4)投标文件含有采购人不能接受的附加条件的；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(5)不符合法律、法规和招标文件规定的其他无效情形的。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26.2　核价原则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投标文件报价出现前后不一致的，除招标文件另有规定外，按照下列规定修正：</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(1)投标文件中开标一览表(报价表)内容与投标文件中相应内容不一致的，以开标一览表(报价表)为准；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(2)大写金额和小写金额不一致的，以大写金额为准；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(3)单价金额小数点或者百分比有明显错位的，以开标一览表的总价为准，并修改单价；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(4)总价金额与按单价汇总金额不一致的，以单价金额计算结果为准。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★同时出现两种以上不一致的，按照前款规定的顺序修正。修正后的报价按照上述规定经投标人确认后产生约束力，投标人不确认的，其投标无效。</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　投标文件澄清</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26.3.1　对于投标文件中含义不明确、同类问题表述不一致或者有明显文字和计算错误的内容，评标委员会应当以书面形式要求投标人作出必要的澄清、说明或者补正。</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26.3.2　投标人的澄清、说明或者补正应当采用书面形式，并加盖公章，或者由法定代表人或其授权的代表签字。投标人的澄清、说明或者补正不得超出投标文件的范围或者改变投标文件的实质性内容。</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26.3.3　评标委员会不接受投标人主动提出的澄清、说明。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26.3.4　有效的书面澄清材料，是投标文件的补充材料，成为投标文件的组成部分。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　同品牌多家投标人处理原则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26.4.3　非单一产品采购项目，根据采购项目技术构成、产品价格比重等合理确定核心产品，核心产品见投标人须知前附表。多家投标人提供的核心产品品牌相同的，按前两款规定处理。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26.5　比较与评价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26.5.1　评标委员会应当按照招标文件中规定的评标方法和标准，对符合性审查合格的投标文件进行商务和技术评估，综合比较与评价。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26.6　推荐中标候选人名单</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26.6.1　采用最低评标价法的，评标结果按投标报价由低到高顺序排列。投标报价相同的并列。投标文件满足招标文件全部实质性要求且投标报价最低的投标人为排名第一的中标候选人。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27.确定中标供应商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27.1　采购代理机构应当在评标结束之日起2个工作日内将评标报告送采购人。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27.2　采购人应当在收到评标报告之日起5个工作日内，在评标报告确定的中标候选人名单中按顺序确定中标人。中标候选人并列的，由采购人或者采购人委托评标委员会按照投标人须知前附表规定的方式确定中标人。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27.3　采购人自行组织招标的，应当在评标结束后5个工作日内确定中标人。中标候选人并列的，由采购人或者采购人委托评标委员会按照投标人须知前附表规定的方式确定中标人。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28.废标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有下列情形之一时，招标采购单位应予废标，并将废标理由通知所有投标人：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(1)符合专业条件的投标人或者对招标文件作实质性响应的投标人不足三家的；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(2)出现影响采购公正的违法、违规行为的；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(3)投标人的报价均超过了采购预算，采购人不能支付的；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(4)因重大变故，采购任务取消的。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29.保密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评标委员会成员以及与评标工作有关的人员不得泄露评标情况以及评标过程中获悉的国家秘密、商业秘密。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★30.禁止行为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30.2　投标人应当遵循公平竞争的原则，不得恶意串通，不得妨碍其他投标人的竞争行为，不得损害采购人或者其他投标人的合法权益。</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有下列情形之一的，视为投标人串通投标，其投标无效：</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(1)不同投标人的投标文件由同一单位或者个人编制；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(2)不同投标人委托同一单位或者个人办理投标事宜；</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(3)不同投标人的投标文件载明的项目管理成员或者联系人员为同一人；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(4)不同投标人的投标文件异常一致或者投标报价呈规律性差异；</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(5)不同投标人的投标文件相互混装；</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(6)不同投标人的投标保证金从同一单位或者个人的账户转出。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五、中标信息公告与签订合同</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31.中标信息公告</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31.1　中标人确定之日起2个工作日内，采购人或者采购代理机构应将中标结果在投标人须知前附表中规定的公告媒体上公布。</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31.2　招标文件随中标结果同时公告。但中标结果公告前招标文件已公告的，不再重复公告。</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32.中标通知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采购人或者采购代理机构应当自发布中标公告的同时，发出中标通知书，中标通知书对采购人和中标人具有同等法律效力。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中标通知书发出后，中标人无正当理由不得放弃中标。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33.履约保证金</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33.1　本项目是否缴纳履约保证金见投标人须知前附表。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33.2投标人须知前附表规定交纳履约保证金的，中标人在签订采购合同前，向采购人提交履约保证金。联合体成交的，履约保证金以联合体各方或联合体中牵头人的名义提交。</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33.3　中标人没有按照投标人须知前附表的规定提交履约保证金的，视为放弃中标，其投标保证金不予退还。</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34.签订合同</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34.1　招标文件和中标供应商的投标文件均为签订政府采购合同的依据。</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34.2　中标供应商应当在中标通知书发出之日起30日内，与采购人签订政府采购合同。</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34.4　自政府采购合同签订之日起2个工作日内，本项目政府采购合同在投标人须知前附表规定的媒体上公告，但政府采购合同中涉及国家秘密、商业秘密的内容除外。</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六、其他规定</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35.招标代理服务费。</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35.1　中标人是否交纳投招标代理服务费及相关要求见投标人须知前附表。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36.询问、质疑、投诉</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36.1　供应商对政府采购活动事项有疑问的，可以向采购人或采购代理机构提出询问</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36.2　供应商认为招标文件、招标过程和中标结果使自己的权益受到损害的，可以在知道或者应知其权益受到损害之日起7个工作日内，以书面形式向采购人或采购代理机构提出质疑。</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36.3　供应商提出质疑的，应提供质疑书原件。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36.4　质疑书应当由投标人法定代表人或其授权的投标代表签字并加盖投标人单位章，质疑书由授权的投标代表签字的应附投标人法定代表人委托授权书。</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36.5　投标人对采购人或采购代理机构的答复不满意，或采购人或采购代理机构未在规定的期限作出答复的，可在答复期满后15个工作日内，按政府采购法律法规规定及程序，向财政部提出投诉。</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37.发生下列情况之一，投标人将被列入不良记录名单，在1～3年内禁止参加政府采购活动，并予以公告：</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(1)开标后在投标有效期内，投标人撤回其投标；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(2)中标后无正当理由不与采购人签订政府采购合同；</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(3)中标后未按照招标文件和中标供应商的投标文件订立政府采购合同，或者与采购人另行订立背离合同实质性内容的协议的；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(4)将中标项目转让给他人，或者在投标文件中未说明，且未经采购招标机构同意，将中标项目分包给他人；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(5)拒绝履行合同义务的；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(6)《政府采购法》第七十七条和《政府采购法实施条例》第七十二条规定的其他情形；</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(7)其他违反法律法规相关规定的情形。</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38.其他规定。</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38.1　投标文件的其他规定见投标人须知前附表。</w:t>
      </w:r>
    </w:p>
    <w:p>
      <w:pPr>
        <w:pStyle w:val="12"/>
        <w:spacing w:line="60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38.2中小企业融资指南：陕西省政府采购信用融资平台是陕西省财政厅为贯彻落实支持中小企业发展政策，有效缓解中小企业融资难、融资贵问题，发挥政府采购政策导向作用，专门搭建的融资平台，中标（成交）供应商可按照陕西省政府采购采购信用融资平台（http://www.ccgp-shaanxi.gov.cn/zcdservice/zcd/shanxi/）相关政府采购融资政策、方法、途径的规定，进行融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39.未尽事宜</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39.1　其他未尽事宜按政府采购法律法规的规定执行。</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40.文件解释权</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40.1　本招标文件的解释权归采购人(或采购代理机构)所有。</w:t>
      </w:r>
    </w:p>
    <w:p>
      <w:pPr>
        <w:pStyle w:val="12"/>
        <w:ind w:firstLine="420" w:firstLineChars="200"/>
        <w:rPr>
          <w:rFonts w:ascii="Times New Roman" w:hAnsi="Times New Roman" w:cs="Times New Roman"/>
        </w:rPr>
      </w:pPr>
      <w:r>
        <w:rPr>
          <w:rFonts w:ascii="Times New Roman" w:hAnsi="Times New Roman" w:cs="Times New Roman"/>
        </w:rPr>
        <w:br w:type="page"/>
      </w:r>
    </w:p>
    <w:p>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ind w:firstLine="578"/>
        <w:jc w:val="center"/>
        <w:textAlignment w:val="auto"/>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32"/>
          <w:szCs w:val="32"/>
        </w:rPr>
        <w:t>评标办法及标准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color w:val="auto"/>
          <w:sz w:val="24"/>
          <w:szCs w:val="24"/>
        </w:rPr>
        <w:t>采用综合评分法，即在最大限度地满足招标文件实质性要求前提下，按照招标文件中规定的各项因素进行综合评审后，以评审总得分顺序推荐中标候选人。具体评审因素和分值如下。</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适用于所有包</w:t>
      </w:r>
      <w:r>
        <w:rPr>
          <w:rFonts w:hint="eastAsia" w:ascii="微软雅黑" w:hAnsi="微软雅黑" w:eastAsia="微软雅黑" w:cs="微软雅黑"/>
          <w:b/>
          <w:bCs/>
          <w:color w:val="auto"/>
          <w:sz w:val="24"/>
          <w:szCs w:val="24"/>
          <w:lang w:eastAsia="zh-CN"/>
        </w:rPr>
        <w:t>）</w:t>
      </w:r>
    </w:p>
    <w:tbl>
      <w:tblPr>
        <w:tblStyle w:val="16"/>
        <w:tblpPr w:leftFromText="180" w:rightFromText="180" w:vertAnchor="text" w:horzAnchor="page" w:tblpX="1657" w:tblpY="1225"/>
        <w:tblOverlap w:val="never"/>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6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djustRightInd w:val="0"/>
              <w:snapToGrid w:val="0"/>
              <w:spacing w:line="400" w:lineRule="exact"/>
              <w:jc w:val="center"/>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评标</w:t>
            </w:r>
          </w:p>
          <w:p>
            <w:pPr>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内容</w:t>
            </w:r>
          </w:p>
        </w:tc>
        <w:tc>
          <w:tcPr>
            <w:tcW w:w="1134" w:type="dxa"/>
            <w:vAlign w:val="center"/>
          </w:tcPr>
          <w:p>
            <w:pPr>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分值</w:t>
            </w:r>
          </w:p>
        </w:tc>
        <w:tc>
          <w:tcPr>
            <w:tcW w:w="6558" w:type="dxa"/>
            <w:vAlign w:val="center"/>
          </w:tcPr>
          <w:p>
            <w:pPr>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01" w:type="dxa"/>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投标</w:t>
            </w:r>
          </w:p>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报价</w:t>
            </w:r>
          </w:p>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p>
        </w:tc>
        <w:tc>
          <w:tcPr>
            <w:tcW w:w="1134" w:type="dxa"/>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30</w:t>
            </w:r>
          </w:p>
        </w:tc>
        <w:tc>
          <w:tcPr>
            <w:tcW w:w="6558" w:type="dxa"/>
            <w:vAlign w:val="center"/>
          </w:tcPr>
          <w:p>
            <w:pPr>
              <w:adjustRightInd w:val="0"/>
              <w:snapToGrid w:val="0"/>
              <w:spacing w:line="400" w:lineRule="exact"/>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以所有有效投标人的最低投标报价为评标基准价，投标单位投标报价等于基准价的，得30分；其他投标单位的价格分统一按照下列公式计算：响应报价得分=(评标基准价／响应报价)×价格权值×100 计算分数时四舍五入取小数点后两位</w:t>
            </w:r>
          </w:p>
          <w:p>
            <w:pPr>
              <w:adjustRightInd w:val="0"/>
              <w:snapToGrid w:val="0"/>
              <w:spacing w:line="400" w:lineRule="exact"/>
              <w:jc w:val="left"/>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符合招标文件规定的小微企业、监狱企业优惠条件的供应商，价格给予</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b/>
                <w:bCs/>
                <w:color w:val="000000" w:themeColor="text1"/>
                <w:sz w:val="24"/>
                <w:szCs w:val="24"/>
                <w:highlight w:val="none"/>
                <w14:textFill>
                  <w14:solidFill>
                    <w14:schemeClr w14:val="tx1"/>
                  </w14:solidFill>
                </w14:textFill>
              </w:rPr>
              <w:t>%的扣除，用扣除后的价格参与评审。</w:t>
            </w:r>
          </w:p>
          <w:p>
            <w:pPr>
              <w:adjustRightInd w:val="0"/>
              <w:snapToGrid w:val="0"/>
              <w:spacing w:line="400" w:lineRule="exact"/>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投标报价明显低于其他投标人，经评标委员会质询后不能再规定时间内说明理由，或说明理由但评标委员会认为理由不能成立的，客观上形成不良竞争，按无效标处理。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商务</w:t>
            </w:r>
          </w:p>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响应</w:t>
            </w:r>
          </w:p>
        </w:tc>
        <w:tc>
          <w:tcPr>
            <w:tcW w:w="1134" w:type="dxa"/>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w:t>
            </w:r>
          </w:p>
        </w:tc>
        <w:tc>
          <w:tcPr>
            <w:tcW w:w="6558" w:type="dxa"/>
            <w:vAlign w:val="center"/>
          </w:tcPr>
          <w:p>
            <w:pPr>
              <w:adjustRightInd w:val="0"/>
              <w:snapToGrid w:val="0"/>
              <w:spacing w:line="400" w:lineRule="exact"/>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经过有效性和符合性审核合格的单位，对付款、交货、验收、售后服务等方面进行响应，完全响应且逐项详细说明的计5分，未做详细响应的，少一项扣1分。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产品技术指标及功能评审内容</w:t>
            </w:r>
          </w:p>
        </w:tc>
        <w:tc>
          <w:tcPr>
            <w:tcW w:w="1134" w:type="dxa"/>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35</w:t>
            </w:r>
          </w:p>
        </w:tc>
        <w:tc>
          <w:tcPr>
            <w:tcW w:w="6558" w:type="dxa"/>
            <w:vAlign w:val="center"/>
          </w:tcPr>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1、投标产品的技术指标评审（25分）</w:t>
            </w:r>
          </w:p>
          <w:p>
            <w:pPr>
              <w:adjustRightInd w:val="0"/>
              <w:snapToGrid w:val="0"/>
              <w:spacing w:line="400" w:lineRule="exact"/>
              <w:ind w:right="-86" w:rightChars="-41" w:firstLine="240" w:firstLineChars="100"/>
              <w:jc w:val="left"/>
              <w:rPr>
                <w:rFonts w:hint="default" w:ascii="微软雅黑" w:hAnsi="微软雅黑" w:eastAsia="微软雅黑" w:cs="微软雅黑"/>
                <w:b/>
                <w:bCs/>
                <w:color w:val="000000" w:themeColor="text1"/>
                <w:sz w:val="24"/>
                <w:szCs w:val="24"/>
                <w:lang w:val="en-US"/>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评审依据是投标产品、检测报告、投标设备参数响应表。其性能指标在全部满足招标文件要求之间的计2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分。</w:t>
            </w:r>
            <w:r>
              <w:rPr>
                <w:rFonts w:hint="eastAsia" w:ascii="微软雅黑" w:hAnsi="微软雅黑" w:eastAsia="微软雅黑" w:cs="微软雅黑"/>
                <w:b/>
                <w:bCs/>
                <w:color w:val="000000" w:themeColor="text1"/>
                <w:sz w:val="24"/>
                <w:szCs w:val="24"/>
                <w14:textFill>
                  <w14:solidFill>
                    <w14:schemeClr w14:val="tx1"/>
                  </w14:solidFill>
                </w14:textFill>
              </w:rPr>
              <w:t>产品中带</w:t>
            </w: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14:textFill>
                  <w14:solidFill>
                    <w14:schemeClr w14:val="tx1"/>
                  </w14:solidFill>
                </w14:textFill>
              </w:rPr>
              <w:t>*</w:t>
            </w: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14:textFill>
                  <w14:solidFill>
                    <w14:schemeClr w14:val="tx1"/>
                  </w14:solidFill>
                </w14:textFill>
              </w:rPr>
              <w:t>的是关键参数，不具有或少项的直接扣</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b/>
                <w:bCs/>
                <w:color w:val="000000" w:themeColor="text1"/>
                <w:sz w:val="24"/>
                <w:szCs w:val="24"/>
                <w14:textFill>
                  <w14:solidFill>
                    <w14:schemeClr w14:val="tx1"/>
                  </w14:solidFill>
                </w14:textFill>
              </w:rPr>
              <w:t>分</w:t>
            </w: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扣完为止。非</w:t>
            </w: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14:textFill>
                  <w14:solidFill>
                    <w14:schemeClr w14:val="tx1"/>
                  </w14:solidFill>
                </w14:textFill>
              </w:rPr>
              <w:t>*</w:t>
            </w: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项参数，不具有或少项的每项扣1分，扣完为止。</w:t>
            </w:r>
          </w:p>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2、投标产品的配置及功能评审（5分）</w:t>
            </w:r>
          </w:p>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投标产品配置</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1-3分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及功能</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0-2分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w:t>
            </w:r>
          </w:p>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3、投标产品质量评审（3分）</w:t>
            </w:r>
          </w:p>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提供投标产品产品质量、功能性等证明材料每份计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分，本项最高</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分.</w:t>
            </w:r>
          </w:p>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4、投标产品技术资料评分（2分）</w:t>
            </w:r>
          </w:p>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投标产品技术资料齐全，真实、表述一致，计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1-2分</w:t>
            </w:r>
            <w:r>
              <w:rPr>
                <w:rFonts w:hint="eastAsia" w:ascii="微软雅黑" w:hAnsi="微软雅黑" w:eastAsia="微软雅黑" w:cs="微软雅黑"/>
                <w:color w:val="000000" w:themeColor="text1"/>
                <w:sz w:val="24"/>
                <w:szCs w:val="24"/>
                <w14:textFill>
                  <w14:solidFill>
                    <w14:schemeClr w14:val="tx1"/>
                  </w14:solidFill>
                </w14:textFill>
              </w:rPr>
              <w:t>，提供虚假、伪造技术资料的取消其投标资格。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质量</w:t>
            </w:r>
          </w:p>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保证</w:t>
            </w:r>
          </w:p>
        </w:tc>
        <w:tc>
          <w:tcPr>
            <w:tcW w:w="1134" w:type="dxa"/>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15</w:t>
            </w:r>
          </w:p>
        </w:tc>
        <w:tc>
          <w:tcPr>
            <w:tcW w:w="6558" w:type="dxa"/>
            <w:vAlign w:val="center"/>
          </w:tcPr>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1、投标产品性能稳定</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1-2分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，配件齐全</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1-2分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，服务覆盖广</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0-1分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共</w:t>
            </w:r>
            <w:r>
              <w:rPr>
                <w:rFonts w:hint="eastAsia" w:ascii="微软雅黑" w:hAnsi="微软雅黑" w:eastAsia="微软雅黑" w:cs="微软雅黑"/>
                <w:color w:val="000000" w:themeColor="text1"/>
                <w:sz w:val="24"/>
                <w:szCs w:val="24"/>
                <w14:textFill>
                  <w14:solidFill>
                    <w14:schemeClr w14:val="tx1"/>
                  </w14:solidFill>
                </w14:textFill>
              </w:rPr>
              <w:t>计5分。</w:t>
            </w:r>
          </w:p>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2、生产装备先进</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1-2分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；产品进货渠道正规，无翻新，无假货</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0-1分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；并能够保证按期交货</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0-2分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共</w:t>
            </w:r>
            <w:r>
              <w:rPr>
                <w:rFonts w:hint="eastAsia" w:ascii="微软雅黑" w:hAnsi="微软雅黑" w:eastAsia="微软雅黑" w:cs="微软雅黑"/>
                <w:color w:val="000000" w:themeColor="text1"/>
                <w:sz w:val="24"/>
                <w:szCs w:val="24"/>
                <w14:textFill>
                  <w14:solidFill>
                    <w14:schemeClr w14:val="tx1"/>
                  </w14:solidFill>
                </w14:textFill>
              </w:rPr>
              <w:t xml:space="preserve">计5分。 </w:t>
            </w:r>
          </w:p>
          <w:p>
            <w:pPr>
              <w:adjustRightInd w:val="0"/>
              <w:snapToGrid w:val="0"/>
              <w:spacing w:line="400" w:lineRule="exact"/>
              <w:ind w:right="-86" w:rightChars="-41"/>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3、有足够能力的技术、人员支持</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1-2分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，配合整体安装实施，保证安装、调试、开通运行</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1-2分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，并达到各项设计及国家规范要求</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0-1分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共</w:t>
            </w:r>
            <w:r>
              <w:rPr>
                <w:rFonts w:hint="eastAsia" w:ascii="微软雅黑" w:hAnsi="微软雅黑" w:eastAsia="微软雅黑" w:cs="微软雅黑"/>
                <w:color w:val="000000" w:themeColor="text1"/>
                <w:sz w:val="24"/>
                <w:szCs w:val="24"/>
                <w14:textFill>
                  <w14:solidFill>
                    <w14:schemeClr w14:val="tx1"/>
                  </w14:solidFill>
                </w14:textFill>
              </w:rPr>
              <w:t>计5分。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1"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业绩及售后服务</w:t>
            </w:r>
          </w:p>
        </w:tc>
        <w:tc>
          <w:tcPr>
            <w:tcW w:w="1134"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15</w:t>
            </w:r>
          </w:p>
        </w:tc>
        <w:tc>
          <w:tcPr>
            <w:tcW w:w="6558"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1、以合同的形式提供投标</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产品</w:t>
            </w:r>
            <w:r>
              <w:rPr>
                <w:rFonts w:hint="eastAsia" w:ascii="微软雅黑" w:hAnsi="微软雅黑" w:eastAsia="微软雅黑" w:cs="微软雅黑"/>
                <w:color w:val="000000" w:themeColor="text1"/>
                <w:sz w:val="24"/>
                <w:szCs w:val="24"/>
                <w14:textFill>
                  <w14:solidFill>
                    <w14:schemeClr w14:val="tx1"/>
                  </w14:solidFill>
                </w14:textFill>
              </w:rPr>
              <w:t>近</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三</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2020年1月至今</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关于</w:t>
            </w:r>
            <w:r>
              <w:rPr>
                <w:rFonts w:hint="eastAsia" w:ascii="微软雅黑" w:hAnsi="微软雅黑" w:eastAsia="微软雅黑" w:cs="微软雅黑"/>
                <w:color w:val="000000" w:themeColor="text1"/>
                <w:sz w:val="24"/>
                <w:szCs w:val="24"/>
                <w14:textFill>
                  <w14:solidFill>
                    <w14:schemeClr w14:val="tx1"/>
                  </w14:solidFill>
                </w14:textFill>
              </w:rPr>
              <w:t>类似项目的供货业绩，每提供一份得</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14:textFill>
                  <w14:solidFill>
                    <w14:schemeClr w14:val="tx1"/>
                  </w14:solidFill>
                </w14:textFill>
              </w:rPr>
              <w:t>分，根据业绩情况最高计6分。</w:t>
            </w:r>
          </w:p>
          <w:p>
            <w:pPr>
              <w:adjustRightInd w:val="0"/>
              <w:snapToGrid w:val="0"/>
              <w:spacing w:line="400" w:lineRule="exact"/>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2、售后服务机构健全。针对本项目及招标人实际需求提供详细具体可行的售后服务措施承诺。按其响应程度计4分。依据其承诺及实际能力打分，承诺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14:textFill>
                  <w14:solidFill>
                    <w14:schemeClr w14:val="tx1"/>
                  </w14:solidFill>
                </w14:textFill>
              </w:rPr>
              <w:t xml:space="preserve">小时到达现场的计4分，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8</w:t>
            </w:r>
            <w:r>
              <w:rPr>
                <w:rFonts w:hint="eastAsia" w:ascii="微软雅黑" w:hAnsi="微软雅黑" w:eastAsia="微软雅黑" w:cs="微软雅黑"/>
                <w:color w:val="000000" w:themeColor="text1"/>
                <w:sz w:val="24"/>
                <w:szCs w:val="24"/>
                <w14:textFill>
                  <w14:solidFill>
                    <w14:schemeClr w14:val="tx1"/>
                  </w14:solidFill>
                </w14:textFill>
              </w:rPr>
              <w:t>小时到达现场的计3分，</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9</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12</w:t>
            </w:r>
            <w:r>
              <w:rPr>
                <w:rFonts w:hint="eastAsia" w:ascii="微软雅黑" w:hAnsi="微软雅黑" w:eastAsia="微软雅黑" w:cs="微软雅黑"/>
                <w:color w:val="000000" w:themeColor="text1"/>
                <w:sz w:val="24"/>
                <w:szCs w:val="24"/>
                <w14:textFill>
                  <w14:solidFill>
                    <w14:schemeClr w14:val="tx1"/>
                  </w14:solidFill>
                </w14:textFill>
              </w:rPr>
              <w:t xml:space="preserve">小时到达现场的计1分。 </w:t>
            </w:r>
          </w:p>
          <w:p>
            <w:pPr>
              <w:adjustRightInd w:val="0"/>
              <w:snapToGrid w:val="0"/>
              <w:spacing w:line="400" w:lineRule="exact"/>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3、负责为使用单位培训操作及维护人员，并有完整的培训方案，列出详细的培训</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0-1分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、培训内容</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0-1分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、培训措施</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0-1分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、培训方式</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0-1分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、服务承诺等说明</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0-1分</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共5分。</w:t>
            </w:r>
          </w:p>
        </w:tc>
      </w:tr>
    </w:tbl>
    <w:p>
      <w:pPr>
        <w:pStyle w:val="12"/>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ascii="Times New Roman" w:hAnsi="Times New Roman" w:cs="Times New Roman"/>
          <w:color w:val="FF0000"/>
        </w:rPr>
      </w:pPr>
      <w:r>
        <w:rPr>
          <w:rFonts w:ascii="Times New Roman" w:hAnsi="Times New Roman" w:cs="Times New Roman"/>
          <w:color w:val="FF0000"/>
        </w:rPr>
        <w:br w:type="page"/>
      </w:r>
    </w:p>
    <w:p>
      <w:pPr>
        <w:pStyle w:val="10"/>
        <w:jc w:val="center"/>
      </w:pPr>
      <w:r>
        <w:rPr>
          <w:rFonts w:hint="eastAsia" w:ascii="微软雅黑" w:hAnsi="微软雅黑" w:eastAsia="微软雅黑" w:cs="微软雅黑"/>
          <w:sz w:val="32"/>
          <w:szCs w:val="32"/>
        </w:rPr>
        <w:t>第四章　拟签订的合同文本</w:t>
      </w:r>
    </w:p>
    <w:p>
      <w:pPr>
        <w:pStyle w:val="7"/>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pStyle w:val="7"/>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spacing w:line="360" w:lineRule="auto"/>
        <w:jc w:val="center"/>
        <w:rPr>
          <w:rFonts w:hint="eastAsia" w:ascii="楷体_GB2312" w:eastAsia="楷体_GB2312"/>
          <w:szCs w:val="21"/>
        </w:rPr>
      </w:pPr>
      <w:r>
        <w:rPr>
          <w:rFonts w:hint="eastAsia" w:ascii="微软雅黑" w:hAnsi="微软雅黑" w:eastAsia="微软雅黑" w:cs="微软雅黑"/>
          <w:b/>
          <w:bCs/>
          <w:sz w:val="24"/>
          <w:szCs w:val="24"/>
        </w:rPr>
        <w:br w:type="page"/>
      </w:r>
      <w:r>
        <w:rPr>
          <w:rFonts w:hint="eastAsia"/>
          <w:b/>
          <w:bCs/>
          <w:sz w:val="32"/>
          <w:szCs w:val="32"/>
        </w:rPr>
        <w:t>医疗设备购销合同</w:t>
      </w:r>
    </w:p>
    <w:p>
      <w:pPr>
        <w:spacing w:line="360" w:lineRule="auto"/>
        <w:rPr>
          <w:rFonts w:hint="eastAsia" w:ascii="仿宋" w:hAnsi="仿宋" w:eastAsia="仿宋" w:cs="仿宋"/>
          <w:sz w:val="28"/>
          <w:szCs w:val="28"/>
        </w:rPr>
      </w:pPr>
      <w:r>
        <w:rPr>
          <w:rFonts w:hint="eastAsia" w:ascii="仿宋" w:hAnsi="仿宋" w:eastAsia="仿宋" w:cs="仿宋"/>
          <w:b/>
          <w:bCs/>
          <w:sz w:val="28"/>
          <w:szCs w:val="28"/>
        </w:rPr>
        <w:t>买方：安康市中医医院</w:t>
      </w:r>
      <w:r>
        <w:rPr>
          <w:rFonts w:hint="eastAsia" w:ascii="仿宋" w:hAnsi="仿宋" w:eastAsia="仿宋" w:cs="仿宋"/>
          <w:sz w:val="28"/>
          <w:szCs w:val="28"/>
        </w:rPr>
        <w:t xml:space="preserve">                   卖方:</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地址：安康市巴山东路47号              地址：  </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电话：0915-8183604                     电话： </w:t>
      </w:r>
    </w:p>
    <w:p>
      <w:pPr>
        <w:spacing w:line="360" w:lineRule="auto"/>
        <w:rPr>
          <w:rFonts w:hint="eastAsia" w:ascii="仿宋" w:hAnsi="仿宋" w:eastAsia="仿宋" w:cs="仿宋"/>
          <w:sz w:val="28"/>
          <w:szCs w:val="28"/>
        </w:rPr>
      </w:pPr>
      <w:r>
        <w:rPr>
          <w:rFonts w:hint="eastAsia" w:ascii="仿宋" w:hAnsi="仿宋" w:eastAsia="仿宋" w:cs="仿宋"/>
          <w:spacing w:val="-20"/>
          <w:sz w:val="28"/>
          <w:szCs w:val="28"/>
        </w:rPr>
        <w:t xml:space="preserve">    </w:t>
      </w:r>
      <w:r>
        <w:rPr>
          <w:rFonts w:hint="eastAsia" w:ascii="仿宋" w:hAnsi="仿宋" w:eastAsia="仿宋" w:cs="仿宋"/>
          <w:sz w:val="28"/>
          <w:szCs w:val="28"/>
        </w:rPr>
        <w:t xml:space="preserve"> 买卖双方经充分协商，本着平等互利、诚实守信的原则，根据《中华人民共和国民法典》签订本合同，以资双方守信执行。</w:t>
      </w:r>
    </w:p>
    <w:p>
      <w:pPr>
        <w:spacing w:line="360" w:lineRule="auto"/>
        <w:rPr>
          <w:rFonts w:hint="eastAsia" w:ascii="仿宋" w:hAnsi="仿宋" w:eastAsia="仿宋" w:cs="仿宋"/>
          <w:sz w:val="28"/>
          <w:szCs w:val="28"/>
        </w:rPr>
      </w:pPr>
      <w:r>
        <w:rPr>
          <w:rFonts w:hint="eastAsia" w:ascii="仿宋" w:hAnsi="仿宋" w:eastAsia="仿宋" w:cs="仿宋"/>
          <w:sz w:val="28"/>
          <w:szCs w:val="28"/>
        </w:rPr>
        <w:t>第一条：产品名称、型号、数量及价款</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548"/>
        <w:gridCol w:w="956"/>
        <w:gridCol w:w="1005"/>
        <w:gridCol w:w="1081"/>
        <w:gridCol w:w="971"/>
        <w:gridCol w:w="12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52"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1548"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产品名称</w:t>
            </w:r>
          </w:p>
        </w:tc>
        <w:tc>
          <w:tcPr>
            <w:tcW w:w="956"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型号</w:t>
            </w:r>
          </w:p>
        </w:tc>
        <w:tc>
          <w:tcPr>
            <w:tcW w:w="1005"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产地</w:t>
            </w:r>
          </w:p>
        </w:tc>
        <w:tc>
          <w:tcPr>
            <w:tcW w:w="1081"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w:t>
            </w:r>
          </w:p>
        </w:tc>
        <w:tc>
          <w:tcPr>
            <w:tcW w:w="971"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1200"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单价</w:t>
            </w:r>
          </w:p>
        </w:tc>
        <w:tc>
          <w:tcPr>
            <w:tcW w:w="1300"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 w:type="dxa"/>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548" w:type="dxa"/>
            <w:noWrap w:val="0"/>
            <w:vAlign w:val="center"/>
          </w:tcPr>
          <w:p>
            <w:pPr>
              <w:widowControl/>
              <w:spacing w:line="360" w:lineRule="auto"/>
              <w:jc w:val="center"/>
              <w:textAlignment w:val="center"/>
              <w:rPr>
                <w:rFonts w:hint="eastAsia" w:ascii="仿宋" w:hAnsi="仿宋" w:eastAsia="仿宋" w:cs="仿宋"/>
                <w:sz w:val="28"/>
                <w:szCs w:val="28"/>
              </w:rPr>
            </w:pPr>
          </w:p>
        </w:tc>
        <w:tc>
          <w:tcPr>
            <w:tcW w:w="956" w:type="dxa"/>
            <w:noWrap w:val="0"/>
            <w:vAlign w:val="top"/>
          </w:tcPr>
          <w:p>
            <w:pPr>
              <w:spacing w:line="360" w:lineRule="auto"/>
              <w:jc w:val="center"/>
              <w:rPr>
                <w:rFonts w:hint="eastAsia" w:ascii="仿宋" w:hAnsi="仿宋" w:eastAsia="仿宋" w:cs="仿宋"/>
                <w:sz w:val="28"/>
                <w:szCs w:val="28"/>
              </w:rPr>
            </w:pPr>
          </w:p>
        </w:tc>
        <w:tc>
          <w:tcPr>
            <w:tcW w:w="1005" w:type="dxa"/>
            <w:noWrap w:val="0"/>
            <w:vAlign w:val="top"/>
          </w:tcPr>
          <w:p>
            <w:pPr>
              <w:spacing w:line="360" w:lineRule="auto"/>
              <w:jc w:val="center"/>
              <w:rPr>
                <w:rFonts w:hint="eastAsia" w:ascii="仿宋" w:hAnsi="仿宋" w:eastAsia="仿宋" w:cs="仿宋"/>
                <w:sz w:val="28"/>
                <w:szCs w:val="28"/>
              </w:rPr>
            </w:pPr>
          </w:p>
        </w:tc>
        <w:tc>
          <w:tcPr>
            <w:tcW w:w="1081" w:type="dxa"/>
            <w:noWrap w:val="0"/>
            <w:vAlign w:val="top"/>
          </w:tcPr>
          <w:p>
            <w:pPr>
              <w:spacing w:line="360" w:lineRule="auto"/>
              <w:jc w:val="center"/>
              <w:rPr>
                <w:rFonts w:hint="eastAsia" w:ascii="仿宋" w:hAnsi="仿宋" w:eastAsia="仿宋" w:cs="仿宋"/>
                <w:sz w:val="28"/>
                <w:szCs w:val="28"/>
              </w:rPr>
            </w:pPr>
          </w:p>
        </w:tc>
        <w:tc>
          <w:tcPr>
            <w:tcW w:w="971" w:type="dxa"/>
            <w:noWrap w:val="0"/>
            <w:vAlign w:val="center"/>
          </w:tcPr>
          <w:p>
            <w:pPr>
              <w:widowControl/>
              <w:spacing w:line="360" w:lineRule="auto"/>
              <w:jc w:val="center"/>
              <w:textAlignment w:val="center"/>
              <w:rPr>
                <w:rFonts w:hint="eastAsia" w:ascii="仿宋" w:hAnsi="仿宋" w:eastAsia="仿宋" w:cs="仿宋"/>
                <w:sz w:val="28"/>
                <w:szCs w:val="28"/>
              </w:rPr>
            </w:pPr>
          </w:p>
        </w:tc>
        <w:tc>
          <w:tcPr>
            <w:tcW w:w="1200" w:type="dxa"/>
            <w:noWrap w:val="0"/>
            <w:vAlign w:val="top"/>
          </w:tcPr>
          <w:p>
            <w:pPr>
              <w:spacing w:line="360" w:lineRule="auto"/>
              <w:jc w:val="center"/>
              <w:rPr>
                <w:rFonts w:hint="eastAsia" w:ascii="仿宋" w:hAnsi="仿宋" w:eastAsia="仿宋" w:cs="仿宋"/>
                <w:sz w:val="28"/>
                <w:szCs w:val="28"/>
              </w:rPr>
            </w:pPr>
          </w:p>
        </w:tc>
        <w:tc>
          <w:tcPr>
            <w:tcW w:w="1300" w:type="dxa"/>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13" w:type="dxa"/>
            <w:gridSpan w:val="8"/>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合计金额（人民币大写）：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913" w:type="dxa"/>
            <w:gridSpan w:val="8"/>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注明：</w:t>
            </w:r>
          </w:p>
          <w:p>
            <w:pPr>
              <w:spacing w:line="360" w:lineRule="auto"/>
              <w:rPr>
                <w:rFonts w:hint="eastAsia" w:ascii="仿宋" w:hAnsi="仿宋" w:eastAsia="仿宋" w:cs="仿宋"/>
                <w:sz w:val="28"/>
                <w:szCs w:val="28"/>
              </w:rPr>
            </w:pPr>
            <w:r>
              <w:rPr>
                <w:rFonts w:hint="eastAsia" w:ascii="仿宋" w:hAnsi="仿宋" w:eastAsia="仿宋" w:cs="仿宋"/>
                <w:sz w:val="28"/>
                <w:szCs w:val="28"/>
              </w:rPr>
              <w:t>一、附件一配置清单；附件二中标通知书</w:t>
            </w:r>
          </w:p>
          <w:p>
            <w:pPr>
              <w:spacing w:line="360" w:lineRule="auto"/>
              <w:rPr>
                <w:rFonts w:hint="eastAsia" w:ascii="仿宋" w:hAnsi="仿宋" w:eastAsia="仿宋" w:cs="仿宋"/>
                <w:sz w:val="28"/>
                <w:szCs w:val="28"/>
              </w:rPr>
            </w:pPr>
            <w:r>
              <w:rPr>
                <w:rFonts w:hint="eastAsia" w:ascii="仿宋" w:hAnsi="仿宋" w:eastAsia="仿宋" w:cs="仿宋"/>
                <w:sz w:val="28"/>
                <w:szCs w:val="28"/>
              </w:rPr>
              <w:t>二、本合同根据招标标号为：</w:t>
            </w:r>
            <w:r>
              <w:rPr>
                <w:rFonts w:hint="eastAsia" w:ascii="仿宋" w:hAnsi="仿宋" w:eastAsia="仿宋" w:cs="仿宋"/>
                <w:sz w:val="28"/>
                <w:szCs w:val="28"/>
                <w:u w:val="single"/>
              </w:rPr>
              <w:t xml:space="preserve">             </w:t>
            </w:r>
            <w:r>
              <w:rPr>
                <w:rFonts w:hint="eastAsia" w:ascii="仿宋" w:hAnsi="仿宋" w:eastAsia="仿宋" w:cs="仿宋"/>
                <w:sz w:val="28"/>
                <w:szCs w:val="28"/>
              </w:rPr>
              <w:t>的政府招标结果签订，详细配置、保修条款等以招标文件为准。</w:t>
            </w:r>
          </w:p>
        </w:tc>
      </w:tr>
    </w:tbl>
    <w:p>
      <w:pPr>
        <w:spacing w:line="360" w:lineRule="auto"/>
        <w:rPr>
          <w:rFonts w:hint="eastAsia" w:ascii="仿宋" w:hAnsi="仿宋" w:eastAsia="仿宋" w:cs="仿宋"/>
          <w:sz w:val="28"/>
          <w:szCs w:val="28"/>
        </w:rPr>
      </w:pPr>
      <w:r>
        <w:rPr>
          <w:rFonts w:hint="eastAsia" w:ascii="仿宋" w:hAnsi="仿宋" w:eastAsia="仿宋" w:cs="仿宋"/>
          <w:sz w:val="28"/>
          <w:szCs w:val="28"/>
        </w:rPr>
        <w:t>第二条：付款方式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 付款形式为银行汇款,买方根据卖方合同约定的开户行和账号办理银行汇票或电汇。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 设备到货安装调试验收合格后买方付给卖方总货款的60%，设备安装验收3个月后付总货款的30%，剩余总货款的10%一年后付清。</w:t>
      </w:r>
    </w:p>
    <w:p>
      <w:pPr>
        <w:spacing w:line="360" w:lineRule="auto"/>
        <w:rPr>
          <w:rFonts w:hint="eastAsia" w:ascii="仿宋" w:hAnsi="仿宋" w:eastAsia="仿宋" w:cs="仿宋"/>
          <w:sz w:val="28"/>
          <w:szCs w:val="28"/>
        </w:rPr>
      </w:pPr>
      <w:r>
        <w:rPr>
          <w:rFonts w:hint="eastAsia" w:ascii="仿宋" w:hAnsi="仿宋" w:eastAsia="仿宋" w:cs="仿宋"/>
          <w:sz w:val="28"/>
          <w:szCs w:val="28"/>
        </w:rPr>
        <w:t>第三条：设备包装、发运及运输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 按出厂原包装。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3.2卖方在设备发运手续办理完毕后24小时内或货到买方48小时前通知买方，以准备接设备。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3.4设备在交付买方前发生的风险均由卖方负责。</w:t>
      </w:r>
    </w:p>
    <w:p>
      <w:pPr>
        <w:spacing w:line="360" w:lineRule="auto"/>
        <w:rPr>
          <w:rFonts w:hint="eastAsia" w:ascii="仿宋" w:hAnsi="仿宋" w:eastAsia="仿宋" w:cs="仿宋"/>
          <w:sz w:val="28"/>
          <w:szCs w:val="28"/>
        </w:rPr>
      </w:pPr>
      <w:r>
        <w:rPr>
          <w:rFonts w:hint="eastAsia" w:ascii="仿宋" w:hAnsi="仿宋" w:eastAsia="仿宋" w:cs="仿宋"/>
          <w:sz w:val="28"/>
          <w:szCs w:val="28"/>
        </w:rPr>
        <w:t>第四条：设备到货期</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签订合同后</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w:t>
      </w:r>
      <w:r>
        <w:rPr>
          <w:rFonts w:hint="eastAsia" w:ascii="仿宋" w:hAnsi="仿宋" w:eastAsia="仿宋" w:cs="仿宋"/>
          <w:sz w:val="28"/>
          <w:szCs w:val="28"/>
        </w:rPr>
        <w:t>天内。</w:t>
      </w:r>
    </w:p>
    <w:p>
      <w:pPr>
        <w:spacing w:line="360" w:lineRule="auto"/>
        <w:rPr>
          <w:rFonts w:hint="eastAsia" w:ascii="仿宋" w:hAnsi="仿宋" w:eastAsia="仿宋" w:cs="仿宋"/>
          <w:sz w:val="28"/>
          <w:szCs w:val="28"/>
        </w:rPr>
      </w:pPr>
      <w:r>
        <w:rPr>
          <w:rFonts w:hint="eastAsia" w:ascii="仿宋" w:hAnsi="仿宋" w:eastAsia="仿宋" w:cs="仿宋"/>
          <w:sz w:val="28"/>
          <w:szCs w:val="28"/>
        </w:rPr>
        <w:t>第五条：安装和培训</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 设备运送到医院前卖方通知买方作好安装前的准备工作（场地、电源、水源等）。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 一切运输、搬运和安装费用由卖方承担。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 设备的安装由卖方联系厂家工程师完成，买方协助。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5.4卖方负责买方有关人员的培训。</w:t>
      </w:r>
    </w:p>
    <w:p>
      <w:pPr>
        <w:spacing w:line="360" w:lineRule="auto"/>
        <w:rPr>
          <w:rFonts w:hint="eastAsia" w:ascii="仿宋" w:hAnsi="仿宋" w:eastAsia="仿宋" w:cs="仿宋"/>
          <w:sz w:val="28"/>
          <w:szCs w:val="28"/>
        </w:rPr>
      </w:pPr>
      <w:r>
        <w:rPr>
          <w:rFonts w:hint="eastAsia" w:ascii="仿宋" w:hAnsi="仿宋" w:eastAsia="仿宋" w:cs="仿宋"/>
          <w:sz w:val="28"/>
          <w:szCs w:val="28"/>
        </w:rPr>
        <w:t>第六条：验收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 设备的验收需合同双方共同在场进行，即厂家工程师、合同卖方和买方。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6.2 卖方必须按照投标文件中所提供的授权制造商来提供原厂制造设备，对产品的数量、品种、包装及外观等进行全面细致的检查，并向买方移交，买方发现与合同不符或与装箱单不符时及时向卖方提出，卖方应及时给予协调和必要时进行更换解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6.3买方对卖方提供的设备在使用前进行调试时，卖方需负责安装并培训买方的使用操作人员，并协助买方一起调试，直到符合技术要求，买方才做最终验收。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6.4对技术复杂的设备，买方应请国家认可的专业检测机构参与初步验收及最终验收，并由其出具质量检测报告。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6.5设备安装调试合格后，双方在&lt;装箱验收单&gt;和&lt;安装报告书&gt;上签字确认后，即完成验收。同时设备投入临床使用，视为保修期的开始。</w:t>
      </w:r>
    </w:p>
    <w:p>
      <w:pPr>
        <w:spacing w:line="360" w:lineRule="auto"/>
        <w:rPr>
          <w:rFonts w:hint="eastAsia" w:ascii="仿宋" w:hAnsi="仿宋" w:eastAsia="仿宋" w:cs="仿宋"/>
          <w:sz w:val="28"/>
          <w:szCs w:val="28"/>
        </w:rPr>
      </w:pPr>
      <w:r>
        <w:rPr>
          <w:rFonts w:hint="eastAsia" w:ascii="仿宋" w:hAnsi="仿宋" w:eastAsia="仿宋" w:cs="仿宋"/>
          <w:sz w:val="28"/>
          <w:szCs w:val="28"/>
        </w:rPr>
        <w:t>第七条：保修</w:t>
      </w:r>
    </w:p>
    <w:p>
      <w:pPr>
        <w:numPr>
          <w:ilvl w:val="1"/>
          <w:numId w:val="3"/>
        </w:numPr>
        <w:spacing w:line="360" w:lineRule="auto"/>
        <w:rPr>
          <w:rFonts w:hint="eastAsia" w:ascii="仿宋" w:hAnsi="仿宋" w:eastAsia="仿宋" w:cs="仿宋"/>
          <w:sz w:val="28"/>
          <w:szCs w:val="28"/>
        </w:rPr>
      </w:pPr>
      <w:r>
        <w:rPr>
          <w:rFonts w:hint="eastAsia" w:ascii="仿宋" w:hAnsi="仿宋" w:eastAsia="仿宋" w:cs="仿宋"/>
          <w:sz w:val="28"/>
          <w:szCs w:val="28"/>
        </w:rPr>
        <w:t xml:space="preserve"> 保修期为2年，终身维护。保修期自设备验收、投入临床使用之日算起。</w:t>
      </w:r>
    </w:p>
    <w:p>
      <w:pPr>
        <w:numPr>
          <w:ilvl w:val="1"/>
          <w:numId w:val="3"/>
        </w:numPr>
        <w:spacing w:line="360" w:lineRule="auto"/>
        <w:rPr>
          <w:rFonts w:hint="eastAsia" w:ascii="仿宋" w:hAnsi="仿宋" w:eastAsia="仿宋" w:cs="仿宋"/>
          <w:sz w:val="28"/>
          <w:szCs w:val="28"/>
        </w:rPr>
      </w:pPr>
      <w:r>
        <w:rPr>
          <w:rFonts w:hint="eastAsia" w:ascii="仿宋" w:hAnsi="仿宋" w:eastAsia="仿宋" w:cs="仿宋"/>
          <w:sz w:val="28"/>
          <w:szCs w:val="28"/>
        </w:rPr>
        <w:t xml:space="preserve"> 保修期内卖方负责免费（包括配件）为买方维修本合同所提供的产品和履行承诺的条款。</w:t>
      </w:r>
    </w:p>
    <w:p>
      <w:pPr>
        <w:numPr>
          <w:ilvl w:val="1"/>
          <w:numId w:val="3"/>
        </w:numPr>
        <w:spacing w:line="360" w:lineRule="auto"/>
        <w:rPr>
          <w:rFonts w:hint="eastAsia" w:ascii="仿宋" w:hAnsi="仿宋" w:eastAsia="仿宋" w:cs="仿宋"/>
          <w:sz w:val="28"/>
          <w:szCs w:val="28"/>
        </w:rPr>
      </w:pPr>
      <w:r>
        <w:rPr>
          <w:rFonts w:hint="eastAsia" w:ascii="仿宋" w:hAnsi="仿宋" w:eastAsia="仿宋" w:cs="仿宋"/>
          <w:sz w:val="28"/>
          <w:szCs w:val="28"/>
        </w:rPr>
        <w:t xml:space="preserve"> 保修期内卖方接到买方维修通知后应在24小时内到达买方现场进行维修，否则卖方按买方此设备日平均收入赔偿经济损失。</w:t>
      </w:r>
    </w:p>
    <w:p>
      <w:pPr>
        <w:numPr>
          <w:ilvl w:val="1"/>
          <w:numId w:val="3"/>
        </w:numPr>
        <w:spacing w:line="360" w:lineRule="auto"/>
        <w:rPr>
          <w:rFonts w:hint="eastAsia" w:ascii="仿宋" w:hAnsi="仿宋" w:eastAsia="仿宋" w:cs="仿宋"/>
          <w:sz w:val="28"/>
          <w:szCs w:val="28"/>
        </w:rPr>
      </w:pPr>
      <w:r>
        <w:rPr>
          <w:rFonts w:hint="eastAsia" w:ascii="仿宋" w:hAnsi="仿宋" w:eastAsia="仿宋" w:cs="仿宋"/>
          <w:sz w:val="28"/>
          <w:szCs w:val="28"/>
        </w:rPr>
        <w:t xml:space="preserve"> 卖方有义务为本合同所提供的产品进行终身维护和免费升级。</w:t>
      </w:r>
    </w:p>
    <w:p>
      <w:pPr>
        <w:spacing w:line="360" w:lineRule="auto"/>
        <w:rPr>
          <w:rFonts w:hint="eastAsia" w:ascii="仿宋" w:hAnsi="仿宋" w:eastAsia="仿宋" w:cs="仿宋"/>
          <w:sz w:val="28"/>
          <w:szCs w:val="28"/>
        </w:rPr>
      </w:pPr>
      <w:r>
        <w:rPr>
          <w:rFonts w:hint="eastAsia" w:ascii="仿宋" w:hAnsi="仿宋" w:eastAsia="仿宋" w:cs="仿宋"/>
          <w:sz w:val="28"/>
          <w:szCs w:val="28"/>
        </w:rPr>
        <w:t>第八条：违约责任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8.1按《中华人民共和国民法典》中的相关条款执行。</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8.2如卖方事先未征得买方同意并得到买方的谅解而单方面延迟交货，将按违约终止合同。</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8.3卖方提供的设备如侵犯了第三方合法权益而引发的任何纠纷或诉讼，均由卖方负责交涉并承担全部责任。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8.4因包装、运输引起的设备损坏，按质量不合格处罚。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每延误一周的赔偿费按迟交货物交货价或未提供服务的服务费用的百分之零点五（0.5%）计收，直至交货或提供服务为止。误期赔偿费的最高限额为合同价格的百分之五（5%）。一旦达到误期赔偿费的最高限额，买方可终止合同。</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8.6违约终止合同：未按合同要求提供设备或质量不能满足技术要求，买方会同监督机构有权终止合同，对卖方违约行为进行追究，同时按政府采购法的有关规定进行相应的处罚。</w:t>
      </w:r>
    </w:p>
    <w:p>
      <w:pPr>
        <w:spacing w:line="360" w:lineRule="auto"/>
        <w:rPr>
          <w:rFonts w:hint="eastAsia" w:ascii="仿宋" w:hAnsi="仿宋" w:eastAsia="仿宋" w:cs="仿宋"/>
          <w:sz w:val="28"/>
          <w:szCs w:val="28"/>
        </w:rPr>
      </w:pPr>
      <w:r>
        <w:rPr>
          <w:rFonts w:hint="eastAsia" w:ascii="仿宋" w:hAnsi="仿宋" w:eastAsia="仿宋" w:cs="仿宋"/>
          <w:sz w:val="28"/>
          <w:szCs w:val="28"/>
        </w:rPr>
        <w:t>第九条：产品保证</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9.1：卖方向买方保证  根据本合同所提供的产品是符合本合同约定的公司所生产的最新产品。</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9.2：卖方向买方提供生产厂家和卖方的全套资质。进口设备需提供报关手续。</w:t>
      </w:r>
    </w:p>
    <w:p>
      <w:pPr>
        <w:spacing w:line="360" w:lineRule="auto"/>
        <w:rPr>
          <w:rFonts w:hint="eastAsia" w:ascii="仿宋" w:hAnsi="仿宋" w:eastAsia="仿宋" w:cs="仿宋"/>
          <w:sz w:val="28"/>
          <w:szCs w:val="28"/>
        </w:rPr>
      </w:pPr>
      <w:r>
        <w:rPr>
          <w:rFonts w:hint="eastAsia" w:ascii="仿宋" w:hAnsi="仿宋" w:eastAsia="仿宋" w:cs="仿宋"/>
          <w:sz w:val="28"/>
          <w:szCs w:val="28"/>
        </w:rPr>
        <w:t>第十条：不可抗力事件处理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10.1在合同有效期内，任何一方因不可抗力事件导致不能履行合同，则合同履行期可延长，其延长期与不可抗力影响期相同。</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10.2不可抗力事件发生后，应立即通知对方，并寄送有关权威机构出具的证明。</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10.3不可抗力事件延续120天以上，双方应通过友好协商，确定是否继续履行合同。</w:t>
      </w:r>
    </w:p>
    <w:p>
      <w:pPr>
        <w:spacing w:line="360" w:lineRule="auto"/>
        <w:rPr>
          <w:rFonts w:hint="eastAsia" w:ascii="仿宋" w:hAnsi="仿宋" w:eastAsia="仿宋" w:cs="仿宋"/>
          <w:sz w:val="28"/>
          <w:szCs w:val="28"/>
        </w:rPr>
      </w:pPr>
      <w:r>
        <w:rPr>
          <w:rFonts w:hint="eastAsia" w:ascii="仿宋" w:hAnsi="仿宋" w:eastAsia="仿宋" w:cs="仿宋"/>
          <w:sz w:val="28"/>
          <w:szCs w:val="28"/>
        </w:rPr>
        <w:t>第十一条：合同争议解决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11.1因设备质量问题发生争议的，应邀请国家认可的质量检测机构对设备质量进行鉴定。设备符合标准的，鉴定费由买方承担；设备不符合标准的，鉴定费由卖方承担。</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11.2因履行本合同引起的或与本合同有关的争议，买卖双方应首先通过友好协商解决，如果协商不能解决，可向人民法院提起诉讼。</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11.3诉讼期间，本合同继续履行。</w:t>
      </w:r>
    </w:p>
    <w:p>
      <w:pPr>
        <w:spacing w:line="360" w:lineRule="auto"/>
        <w:rPr>
          <w:rFonts w:hint="eastAsia" w:ascii="仿宋" w:hAnsi="仿宋" w:eastAsia="仿宋" w:cs="仿宋"/>
          <w:sz w:val="28"/>
          <w:szCs w:val="28"/>
        </w:rPr>
      </w:pPr>
      <w:r>
        <w:rPr>
          <w:rFonts w:hint="eastAsia" w:ascii="仿宋" w:hAnsi="仿宋" w:eastAsia="仿宋" w:cs="仿宋"/>
          <w:sz w:val="28"/>
          <w:szCs w:val="28"/>
        </w:rPr>
        <w:t>第十二条：诉讼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双方在执行合同中所发生的一切争议，应通过协商解决。如果协商不能解决，可向人民法院提起诉讼。</w:t>
      </w:r>
    </w:p>
    <w:p>
      <w:pPr>
        <w:spacing w:line="360" w:lineRule="auto"/>
        <w:rPr>
          <w:rFonts w:hint="eastAsia" w:ascii="仿宋" w:hAnsi="仿宋" w:eastAsia="仿宋" w:cs="仿宋"/>
          <w:sz w:val="28"/>
          <w:szCs w:val="28"/>
        </w:rPr>
      </w:pPr>
      <w:r>
        <w:rPr>
          <w:rFonts w:hint="eastAsia" w:ascii="仿宋" w:hAnsi="仿宋" w:eastAsia="仿宋" w:cs="仿宋"/>
          <w:sz w:val="28"/>
          <w:szCs w:val="28"/>
        </w:rPr>
        <w:t>第十三条：合同生效及其它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13.1合同经双方法定代表人或授权代表签字并加盖单位公章后生效。</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13.2合同执行中涉及采购资金和采购内容修改或补充的，须经财政部门审批，并签书面补充协议报财政部门备案，方可作为主合同不可分割的一部分。</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13.3本合同未尽事宜，遵照《中华人民共和国民法典》有关条文执行。</w:t>
      </w:r>
    </w:p>
    <w:p>
      <w:pPr>
        <w:spacing w:line="360" w:lineRule="auto"/>
        <w:rPr>
          <w:rFonts w:hint="eastAsia" w:ascii="仿宋" w:hAnsi="仿宋" w:eastAsia="仿宋" w:cs="仿宋"/>
          <w:sz w:val="28"/>
          <w:szCs w:val="28"/>
        </w:rPr>
      </w:pPr>
      <w:r>
        <w:rPr>
          <w:rFonts w:hint="eastAsia" w:ascii="仿宋" w:hAnsi="仿宋" w:eastAsia="仿宋" w:cs="仿宋"/>
          <w:sz w:val="28"/>
          <w:szCs w:val="28"/>
        </w:rPr>
        <w:t>第十四条：合同的变更、终止与转让</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14.1除《中华人民共和国政府采购法》第50条规定的情形外，本合同一经签订，买卖双方不得擅自变更、中止或终止。</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14.2卖方不得擅自转让（无进口资格的供应商委托进口货物除外）其应履行的合同义务。</w:t>
      </w:r>
    </w:p>
    <w:p>
      <w:pPr>
        <w:spacing w:line="360" w:lineRule="auto"/>
        <w:rPr>
          <w:rFonts w:hint="eastAsia" w:ascii="仿宋" w:hAnsi="仿宋" w:eastAsia="仿宋" w:cs="仿宋"/>
          <w:sz w:val="28"/>
          <w:szCs w:val="28"/>
        </w:rPr>
      </w:pPr>
      <w:r>
        <w:rPr>
          <w:rFonts w:hint="eastAsia" w:ascii="仿宋" w:hAnsi="仿宋" w:eastAsia="仿宋" w:cs="仿宋"/>
          <w:sz w:val="28"/>
          <w:szCs w:val="28"/>
        </w:rPr>
        <w:t>第十五条：本合同经买卖双方签字盖章之日起生效。本合同一式六份，卖方执一份，买方留存五份，具同等法律效力。</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100" w:type="dxa"/>
            <w:noWrap w:val="0"/>
            <w:vAlign w:val="top"/>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以下无合同条款</w:t>
            </w:r>
          </w:p>
        </w:tc>
      </w:tr>
    </w:tbl>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买  方：安康市中医医院                卖  方：</w:t>
      </w:r>
    </w:p>
    <w:p>
      <w:pPr>
        <w:spacing w:line="360" w:lineRule="auto"/>
        <w:rPr>
          <w:rFonts w:hint="eastAsia" w:ascii="仿宋" w:hAnsi="仿宋" w:eastAsia="仿宋" w:cs="仿宋"/>
          <w:sz w:val="28"/>
          <w:szCs w:val="28"/>
        </w:rPr>
      </w:pPr>
      <w:r>
        <w:rPr>
          <w:rFonts w:hint="eastAsia" w:ascii="仿宋" w:hAnsi="仿宋" w:eastAsia="仿宋" w:cs="仿宋"/>
          <w:sz w:val="28"/>
          <w:szCs w:val="28"/>
        </w:rPr>
        <w:t>（盖章）                               （盖章）</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法人代表：                             法人代表： </w:t>
      </w:r>
    </w:p>
    <w:p>
      <w:pPr>
        <w:spacing w:line="360" w:lineRule="auto"/>
        <w:rPr>
          <w:rFonts w:hint="eastAsia" w:ascii="仿宋" w:hAnsi="仿宋" w:eastAsia="仿宋" w:cs="仿宋"/>
          <w:sz w:val="28"/>
          <w:szCs w:val="28"/>
        </w:rPr>
      </w:pPr>
      <w:r>
        <w:rPr>
          <w:rFonts w:hint="eastAsia" w:ascii="仿宋" w:hAnsi="仿宋" w:eastAsia="仿宋" w:cs="仿宋"/>
          <w:sz w:val="28"/>
          <w:szCs w:val="28"/>
        </w:rPr>
        <w:t>授权代表：                             授权代表：</w:t>
      </w:r>
    </w:p>
    <w:p>
      <w:pPr>
        <w:spacing w:line="360" w:lineRule="auto"/>
        <w:rPr>
          <w:rFonts w:hint="eastAsia" w:ascii="仿宋" w:hAnsi="仿宋" w:eastAsia="仿宋" w:cs="仿宋"/>
          <w:sz w:val="28"/>
          <w:szCs w:val="28"/>
        </w:rPr>
      </w:pPr>
      <w:r>
        <w:rPr>
          <w:rFonts w:hint="eastAsia" w:ascii="仿宋" w:hAnsi="仿宋" w:eastAsia="仿宋" w:cs="仿宋"/>
          <w:sz w:val="28"/>
          <w:szCs w:val="28"/>
        </w:rPr>
        <w:t>签订日期：                             签订日期：</w:t>
      </w:r>
    </w:p>
    <w:p>
      <w:pPr>
        <w:keepNext w:val="0"/>
        <w:keepLines w:val="0"/>
        <w:pageBreakBefore w:val="0"/>
        <w:widowControl w:val="0"/>
        <w:kinsoku/>
        <w:wordWrap/>
        <w:overflowPunct/>
        <w:topLinePunct w:val="0"/>
        <w:autoSpaceDE/>
        <w:autoSpaceDN/>
        <w:bidi w:val="0"/>
        <w:adjustRightInd/>
        <w:snapToGrid/>
        <w:spacing w:line="600" w:lineRule="exact"/>
        <w:ind w:firstLine="504" w:firstLineChars="200"/>
        <w:textAlignment w:val="auto"/>
        <w:rPr>
          <w:rFonts w:hint="eastAsia" w:ascii="微软雅黑" w:hAnsi="微软雅黑" w:eastAsia="微软雅黑" w:cs="微软雅黑"/>
          <w:b w:val="0"/>
          <w:bCs w:val="0"/>
          <w:spacing w:val="6"/>
          <w:sz w:val="24"/>
          <w:szCs w:val="24"/>
        </w:rPr>
      </w:pPr>
    </w:p>
    <w:p>
      <w:pPr>
        <w:pStyle w:val="2"/>
        <w:rPr>
          <w:rFonts w:hint="eastAsia" w:ascii="微软雅黑" w:hAnsi="微软雅黑" w:eastAsia="微软雅黑" w:cs="微软雅黑"/>
          <w:b w:val="0"/>
          <w:bCs w:val="0"/>
          <w:spacing w:val="6"/>
          <w:sz w:val="24"/>
          <w:szCs w:val="24"/>
        </w:rPr>
      </w:pPr>
    </w:p>
    <w:p>
      <w:pPr>
        <w:rPr>
          <w:rFonts w:hint="eastAsia" w:ascii="微软雅黑" w:hAnsi="微软雅黑" w:eastAsia="微软雅黑" w:cs="微软雅黑"/>
          <w:b w:val="0"/>
          <w:bCs w:val="0"/>
          <w:spacing w:val="6"/>
          <w:sz w:val="24"/>
          <w:szCs w:val="24"/>
        </w:rPr>
      </w:pPr>
    </w:p>
    <w:p>
      <w:pPr>
        <w:pStyle w:val="2"/>
        <w:rPr>
          <w:rFonts w:hint="eastAsia" w:ascii="微软雅黑" w:hAnsi="微软雅黑" w:eastAsia="微软雅黑" w:cs="微软雅黑"/>
          <w:b w:val="0"/>
          <w:bCs w:val="0"/>
          <w:spacing w:val="6"/>
          <w:sz w:val="24"/>
          <w:szCs w:val="24"/>
        </w:rPr>
      </w:pPr>
    </w:p>
    <w:p>
      <w:pPr>
        <w:rPr>
          <w:rFonts w:hint="eastAsia" w:ascii="微软雅黑" w:hAnsi="微软雅黑" w:eastAsia="微软雅黑" w:cs="微软雅黑"/>
          <w:b w:val="0"/>
          <w:bCs w:val="0"/>
          <w:spacing w:val="6"/>
          <w:sz w:val="24"/>
          <w:szCs w:val="24"/>
        </w:rPr>
      </w:pPr>
    </w:p>
    <w:p>
      <w:pPr>
        <w:pStyle w:val="2"/>
        <w:rPr>
          <w:rFonts w:hint="eastAsia" w:ascii="微软雅黑" w:hAnsi="微软雅黑" w:eastAsia="微软雅黑" w:cs="微软雅黑"/>
          <w:b w:val="0"/>
          <w:bCs w:val="0"/>
          <w:spacing w:val="6"/>
          <w:sz w:val="24"/>
          <w:szCs w:val="24"/>
        </w:rPr>
      </w:pPr>
    </w:p>
    <w:p>
      <w:pPr>
        <w:rPr>
          <w:rFonts w:hint="eastAsia" w:ascii="微软雅黑" w:hAnsi="微软雅黑" w:eastAsia="微软雅黑" w:cs="微软雅黑"/>
          <w:b w:val="0"/>
          <w:bCs w:val="0"/>
          <w:spacing w:val="6"/>
          <w:sz w:val="24"/>
          <w:szCs w:val="24"/>
        </w:rPr>
      </w:pPr>
    </w:p>
    <w:p>
      <w:pPr>
        <w:pStyle w:val="2"/>
        <w:rPr>
          <w:rFonts w:hint="eastAsia" w:ascii="微软雅黑" w:hAnsi="微软雅黑" w:eastAsia="微软雅黑" w:cs="微软雅黑"/>
          <w:b w:val="0"/>
          <w:bCs w:val="0"/>
          <w:spacing w:val="6"/>
          <w:sz w:val="24"/>
          <w:szCs w:val="24"/>
        </w:rPr>
      </w:pPr>
    </w:p>
    <w:p>
      <w:pPr>
        <w:rPr>
          <w:rFonts w:hint="eastAsia" w:ascii="微软雅黑" w:hAnsi="微软雅黑" w:eastAsia="微软雅黑" w:cs="微软雅黑"/>
          <w:b w:val="0"/>
          <w:bCs w:val="0"/>
          <w:spacing w:val="6"/>
          <w:sz w:val="24"/>
          <w:szCs w:val="24"/>
        </w:rPr>
      </w:pPr>
    </w:p>
    <w:p>
      <w:pPr>
        <w:pStyle w:val="2"/>
        <w:rPr>
          <w:rFonts w:hint="eastAsia"/>
        </w:rPr>
      </w:pPr>
    </w:p>
    <w:p>
      <w:pPr>
        <w:pStyle w:val="10"/>
        <w:jc w:val="center"/>
      </w:pPr>
      <w:r>
        <w:rPr>
          <w:rFonts w:hint="eastAsia" w:ascii="微软雅黑" w:hAnsi="微软雅黑" w:eastAsia="微软雅黑" w:cs="微软雅黑"/>
          <w:sz w:val="32"/>
          <w:szCs w:val="32"/>
        </w:rPr>
        <w:t>第五章　投标文件组成</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第一部分　商务部分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一、投标函(格式附后)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附件1－1　法定代表人身份证明复印件(法定代表人参加投标)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附件1－2　法定代表人授权书(授权代表参加投标)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附件1－3　授权委托书(格式二)(适用于自然人委托投标)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二、开标一览表(格式附后)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三、分项价格表(格式附后)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四、商务条款偏离表(格式附后)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rPr>
        <w:t>、供应商的资格证明材料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(一)供应商基本情况表(附件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－1)</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(二)参加政府采购活动的供应商应当具备《政府采购法》第二十二条第一款规定的条件，提供下列材料：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－2－1　法人或者其他组织的营业执照副本复印件或自然人的身份证明复印件；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　财务状况报告：提供具有财务审计资质单位出具的</w:t>
      </w:r>
      <w:r>
        <w:rPr>
          <w:rFonts w:hint="eastAsia" w:ascii="微软雅黑" w:hAnsi="微软雅黑" w:eastAsia="微软雅黑" w:cs="微软雅黑"/>
          <w:sz w:val="24"/>
          <w:szCs w:val="24"/>
          <w:lang w:val="en-US" w:eastAsia="zh-CN"/>
        </w:rPr>
        <w:t>前一</w:t>
      </w:r>
      <w:r>
        <w:rPr>
          <w:rFonts w:hint="eastAsia" w:ascii="微软雅黑" w:hAnsi="微软雅黑" w:eastAsia="微软雅黑" w:cs="微软雅黑"/>
          <w:sz w:val="24"/>
          <w:szCs w:val="24"/>
        </w:rPr>
        <w:t>年度财务报告（成立时间至投标截止时间不足一年的可提供成立后任意时段的资产负债表），或者投标截止时间六个月内基本开户银行出具的资信证明；税收缴纳证明：提供投标截止前</w:t>
      </w:r>
      <w:r>
        <w:rPr>
          <w:rFonts w:hint="eastAsia" w:ascii="微软雅黑" w:hAnsi="微软雅黑" w:eastAsia="微软雅黑" w:cs="微软雅黑"/>
          <w:sz w:val="24"/>
          <w:szCs w:val="24"/>
          <w:lang w:val="en-US" w:eastAsia="zh-CN"/>
        </w:rPr>
        <w:t>一年</w:t>
      </w:r>
      <w:r>
        <w:rPr>
          <w:rFonts w:hint="eastAsia" w:ascii="微软雅黑" w:hAnsi="微软雅黑" w:eastAsia="微软雅黑" w:cs="微软雅黑"/>
          <w:sz w:val="24"/>
          <w:szCs w:val="24"/>
        </w:rPr>
        <w:t>内已缴纳的至少提供</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个月的有效纳税凭证</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企业所得税或营业税或增值税</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sz w:val="24"/>
          <w:szCs w:val="24"/>
        </w:rPr>
        <w:t>；（依法免税的申请人应提供相关文件证明）；社会保障资金缴纳证明：提供投标截止前一年内已缴存的至少</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个月的有效缴存单据或社保机构开具的社会保险参保缴费情况证明；（依法不需要缴纳社会保障资金的申请人应提供相关证明）；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　具备履行合同所必需的设备和专业技术能力的证明材料(由供应商根据项目需求提供说明材料)；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　参加政府采购活动前三年内在经营活动中没有重大违法记录的书面声明；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　无不良信用记录承诺函(招标文件要求由供应商查询信用记录的提供)；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(三)符合投标文件要求的供应商特定资格条件的证明材料(由采购人或采购代理机构根据项目具体要求填列)</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－3　符合招标文件要求的供应商特定资格条件的证明材料。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(四)联合体协议(格式附后)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六</w:t>
      </w:r>
      <w:r>
        <w:rPr>
          <w:rFonts w:hint="eastAsia" w:ascii="微软雅黑" w:hAnsi="微软雅黑" w:eastAsia="微软雅黑" w:cs="微软雅黑"/>
          <w:sz w:val="24"/>
          <w:szCs w:val="24"/>
        </w:rPr>
        <w:t>、提供符合政府采购政策的证明材料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－1　中小企业声明函(格式附后)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－2　“节能产品”“环境标志产品”、信息安全认证产品等政府采购法律法规要求的其他证明材料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七</w:t>
      </w:r>
      <w:r>
        <w:rPr>
          <w:rFonts w:hint="eastAsia" w:ascii="微软雅黑" w:hAnsi="微软雅黑" w:eastAsia="微软雅黑" w:cs="微软雅黑"/>
          <w:sz w:val="24"/>
          <w:szCs w:val="24"/>
        </w:rPr>
        <w:t>、投标人须知前附表要求的其他投标资料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八</w:t>
      </w:r>
      <w:r>
        <w:rPr>
          <w:rFonts w:hint="eastAsia" w:ascii="微软雅黑" w:hAnsi="微软雅黑" w:eastAsia="微软雅黑" w:cs="微软雅黑"/>
          <w:sz w:val="24"/>
          <w:szCs w:val="24"/>
        </w:rPr>
        <w:t>、供应商认为需提供的其他资料</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第二部分　技术部分</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微软雅黑" w:hAnsi="微软雅黑" w:eastAsia="微软雅黑" w:cs="微软雅黑"/>
          <w:b/>
          <w:bCs/>
          <w:sz w:val="32"/>
          <w:szCs w:val="32"/>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说明一览表、服务方案、实施方案及技术方案</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二、技术响应与偏离表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三、投标人售后服务承诺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四、用于本项目人员简历表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五、投标标的物符合招标文件规定的证明文件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六、其他资料</w:t>
      </w:r>
    </w:p>
    <w:p>
      <w:pPr>
        <w:pStyle w:val="12"/>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cs="Times New Roman"/>
          <w:sz w:val="28"/>
          <w:szCs w:val="28"/>
        </w:rPr>
      </w:pPr>
      <w:r>
        <w:rPr>
          <w:rFonts w:hint="eastAsia" w:ascii="微软雅黑" w:hAnsi="微软雅黑" w:eastAsia="微软雅黑" w:cs="微软雅黑"/>
          <w:sz w:val="28"/>
          <w:szCs w:val="28"/>
        </w:rPr>
        <w:br w:type="page"/>
      </w:r>
    </w:p>
    <w:p>
      <w:pPr>
        <w:pStyle w:val="7"/>
        <w:rPr>
          <w:rFonts w:hint="eastAsia" w:ascii="华文隶书" w:hAnsi="华文隶书" w:eastAsia="华文隶书" w:cs="华文隶书"/>
          <w:sz w:val="21"/>
          <w:szCs w:val="21"/>
          <w:lang w:val="en-US" w:eastAsia="zh-CN"/>
        </w:rPr>
      </w:pPr>
      <w:r>
        <w:rPr>
          <w:rFonts w:hint="eastAsia" w:ascii="华文隶书" w:hAnsi="华文隶书" w:eastAsia="华文隶书" w:cs="华文隶书"/>
          <w:sz w:val="21"/>
          <w:szCs w:val="21"/>
          <w:lang w:eastAsia="zh-CN"/>
        </w:rPr>
        <w:t xml:space="preserve">标书编号：SXGT2023-AK-054         </w:t>
      </w:r>
      <w:r>
        <w:rPr>
          <w:rFonts w:hint="eastAsia" w:ascii="华文隶书" w:hAnsi="华文隶书" w:eastAsia="华文隶书" w:cs="华文隶书"/>
          <w:sz w:val="21"/>
          <w:szCs w:val="21"/>
          <w:lang w:val="en-US" w:eastAsia="zh-CN"/>
        </w:rPr>
        <w:t xml:space="preserve">                         </w:t>
      </w:r>
      <w:r>
        <w:rPr>
          <w:rFonts w:hint="eastAsia" w:ascii="华文隶书" w:hAnsi="华文隶书" w:eastAsia="华文隶书" w:cs="华文隶书"/>
          <w:sz w:val="21"/>
          <w:szCs w:val="21"/>
          <w:lang w:eastAsia="zh-CN"/>
        </w:rPr>
        <w:t xml:space="preserve">    </w:t>
      </w:r>
    </w:p>
    <w:p>
      <w:pPr>
        <w:rPr>
          <w:rFonts w:hint="eastAsia"/>
          <w:lang w:val="en-US" w:eastAsia="zh-CN"/>
        </w:rPr>
      </w:pP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p>
    <w:p>
      <w:pPr>
        <w:rPr>
          <w:rFonts w:hint="eastAsia"/>
          <w:lang w:val="en-US" w:eastAsia="zh-CN"/>
        </w:rPr>
      </w:pP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安康市中医医院安康市重症能力提升</w:t>
      </w: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eastAsia="zh-CN"/>
        </w:rPr>
      </w:pPr>
      <w:r>
        <w:rPr>
          <w:rFonts w:hint="eastAsia" w:ascii="华文琥珀" w:hAnsi="华文琥珀" w:eastAsia="华文琥珀" w:cs="华文琥珀"/>
          <w:sz w:val="48"/>
          <w:szCs w:val="48"/>
          <w:lang w:val="en-US" w:eastAsia="zh-CN"/>
        </w:rPr>
        <w:t xml:space="preserve">设备采购项目 </w:t>
      </w: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rPr>
      </w:pPr>
      <w:r>
        <w:rPr>
          <w:rFonts w:hint="eastAsia" w:ascii="华文琥珀" w:hAnsi="华文琥珀" w:eastAsia="华文琥珀" w:cs="华文琥珀"/>
          <w:sz w:val="48"/>
          <w:szCs w:val="48"/>
          <w:lang w:eastAsia="zh-CN"/>
        </w:rPr>
        <w:t>投标</w:t>
      </w:r>
      <w:r>
        <w:rPr>
          <w:rFonts w:hint="eastAsia" w:ascii="华文琥珀" w:hAnsi="华文琥珀" w:eastAsia="华文琥珀" w:cs="华文琥珀"/>
          <w:sz w:val="48"/>
          <w:szCs w:val="48"/>
          <w:lang w:val="en-US" w:eastAsia="zh-CN"/>
        </w:rPr>
        <w:t>响应</w:t>
      </w:r>
      <w:r>
        <w:rPr>
          <w:rFonts w:hint="eastAsia" w:ascii="华文琥珀" w:hAnsi="华文琥珀" w:eastAsia="华文琥珀" w:cs="华文琥珀"/>
          <w:sz w:val="48"/>
          <w:szCs w:val="48"/>
        </w:rPr>
        <w:t>文件</w:t>
      </w:r>
    </w:p>
    <w:p>
      <w:pPr>
        <w:jc w:val="center"/>
        <w:rPr>
          <w:rFonts w:hint="eastAsia" w:eastAsia="华文琥珀"/>
          <w:b/>
          <w:bCs/>
          <w:sz w:val="48"/>
          <w:szCs w:val="48"/>
          <w:lang w:val="en-US" w:eastAsia="zh-CN"/>
        </w:rPr>
      </w:pPr>
      <w:r>
        <w:rPr>
          <w:rFonts w:hint="eastAsia" w:ascii="华文琥珀" w:hAnsi="华文琥珀" w:eastAsia="华文琥珀" w:cs="华文琥珀"/>
          <w:b/>
          <w:bCs/>
          <w:sz w:val="48"/>
          <w:szCs w:val="48"/>
          <w:lang w:eastAsia="zh-CN"/>
        </w:rPr>
        <w:t>（</w:t>
      </w:r>
      <w:r>
        <w:rPr>
          <w:rFonts w:hint="eastAsia" w:ascii="华文琥珀" w:hAnsi="华文琥珀" w:eastAsia="华文琥珀" w:cs="华文琥珀"/>
          <w:b/>
          <w:bCs/>
          <w:sz w:val="48"/>
          <w:szCs w:val="48"/>
          <w:lang w:val="en-US" w:eastAsia="zh-CN"/>
        </w:rPr>
        <w:t>第  包</w:t>
      </w:r>
      <w:r>
        <w:rPr>
          <w:rFonts w:hint="eastAsia" w:ascii="华文琥珀" w:hAnsi="华文琥珀" w:eastAsia="华文琥珀" w:cs="华文琥珀"/>
          <w:b/>
          <w:bCs/>
          <w:sz w:val="48"/>
          <w:szCs w:val="48"/>
          <w:lang w:eastAsia="zh-CN"/>
        </w:rPr>
        <w:t>）</w:t>
      </w:r>
    </w:p>
    <w:p>
      <w:pPr>
        <w:pStyle w:val="12"/>
        <w:jc w:val="both"/>
        <w:rPr>
          <w:rFonts w:hint="default" w:ascii="Times New Roman" w:hAnsi="Times New Roman" w:eastAsia="宋体" w:cs="Times New Roman"/>
          <w:lang w:val="en-US" w:eastAsia="zh-CN"/>
        </w:rPr>
      </w:pPr>
      <w:r>
        <w:rPr>
          <w:rFonts w:hint="eastAsia" w:ascii="华文琥珀" w:hAnsi="华文琥珀" w:eastAsia="华文琥珀" w:cs="华文琥珀"/>
          <w:sz w:val="44"/>
          <w:szCs w:val="44"/>
          <w:lang w:val="en-US" w:eastAsia="zh-CN"/>
        </w:rPr>
        <w:t>　　　　　　---</w:t>
      </w:r>
      <w:r>
        <w:rPr>
          <w:rFonts w:hint="eastAsia" w:ascii="华文彩云" w:hAnsi="华文彩云" w:eastAsia="华文彩云" w:cs="华文彩云"/>
          <w:sz w:val="44"/>
          <w:szCs w:val="44"/>
          <w:lang w:val="en-US" w:eastAsia="zh-CN"/>
        </w:rPr>
        <w:t>商务部分</w:t>
      </w:r>
      <w:r>
        <w:rPr>
          <w:rFonts w:hint="eastAsia" w:ascii="华文琥珀" w:hAnsi="华文琥珀" w:eastAsia="华文琥珀" w:cs="华文琥珀"/>
          <w:sz w:val="44"/>
          <w:szCs w:val="44"/>
          <w:lang w:val="en-US" w:eastAsia="zh-CN"/>
        </w:rPr>
        <w:t>---</w:t>
      </w:r>
    </w:p>
    <w:p>
      <w:pPr>
        <w:pStyle w:val="12"/>
        <w:ind w:firstLine="420" w:firstLineChars="200"/>
        <w:rPr>
          <w:rFonts w:ascii="Times New Roman" w:hAnsi="Times New Roman" w:eastAsia="MingLiU_HKSCS" w:cs="Times New Roman"/>
        </w:rPr>
      </w:pPr>
    </w:p>
    <w:p>
      <w:pPr>
        <w:pStyle w:val="12"/>
        <w:ind w:firstLine="420" w:firstLineChars="200"/>
        <w:rPr>
          <w:rFonts w:ascii="Times New Roman" w:hAnsi="Times New Roman" w:eastAsia="MingLiU_HKSCS" w:cs="Times New Roman"/>
        </w:rPr>
      </w:pPr>
    </w:p>
    <w:p>
      <w:pPr>
        <w:pStyle w:val="12"/>
        <w:ind w:firstLine="420" w:firstLineChars="200"/>
        <w:jc w:val="center"/>
        <w:rPr>
          <w:rFonts w:hint="eastAsia" w:ascii="华文琥珀" w:hAnsi="华文琥珀" w:eastAsia="华文琥珀" w:cs="华文琥珀"/>
        </w:rPr>
      </w:pPr>
    </w:p>
    <w:p>
      <w:pPr>
        <w:pStyle w:val="12"/>
        <w:ind w:firstLine="420" w:firstLineChars="200"/>
        <w:jc w:val="center"/>
        <w:rPr>
          <w:rFonts w:hint="eastAsia" w:ascii="华文琥珀" w:hAnsi="华文琥珀" w:eastAsia="华文琥珀" w:cs="华文琥珀"/>
        </w:rPr>
      </w:pPr>
    </w:p>
    <w:p>
      <w:pPr>
        <w:pStyle w:val="12"/>
        <w:jc w:val="both"/>
        <w:rPr>
          <w:rFonts w:hint="eastAsia" w:ascii="华文琥珀" w:hAnsi="华文琥珀" w:eastAsia="华文琥珀" w:cs="华文琥珀"/>
        </w:rPr>
      </w:pPr>
    </w:p>
    <w:p>
      <w:pPr>
        <w:pStyle w:val="12"/>
        <w:jc w:val="both"/>
        <w:rPr>
          <w:rFonts w:hint="eastAsia" w:ascii="华文琥珀" w:hAnsi="华文琥珀" w:eastAsia="华文琥珀" w:cs="华文琥珀"/>
          <w:sz w:val="28"/>
          <w:szCs w:val="28"/>
        </w:rPr>
      </w:pPr>
    </w:p>
    <w:p>
      <w:pPr>
        <w:pStyle w:val="12"/>
        <w:ind w:firstLine="1400" w:firstLineChars="500"/>
        <w:jc w:val="both"/>
        <w:rPr>
          <w:rFonts w:hint="eastAsia" w:ascii="华文琥珀" w:hAnsi="华文琥珀" w:eastAsia="华文琥珀" w:cs="华文琥珀"/>
          <w:sz w:val="28"/>
          <w:szCs w:val="28"/>
        </w:rPr>
      </w:pPr>
    </w:p>
    <w:p>
      <w:pPr>
        <w:pStyle w:val="12"/>
        <w:ind w:firstLine="1680" w:firstLineChars="600"/>
        <w:jc w:val="both"/>
        <w:rPr>
          <w:rFonts w:hint="eastAsia" w:ascii="华文琥珀" w:hAnsi="华文琥珀" w:eastAsia="华文琥珀" w:cs="华文琥珀"/>
          <w:sz w:val="28"/>
          <w:szCs w:val="28"/>
        </w:rPr>
      </w:pPr>
    </w:p>
    <w:p>
      <w:pPr>
        <w:pStyle w:val="12"/>
        <w:ind w:firstLine="1680" w:firstLineChars="600"/>
        <w:jc w:val="both"/>
        <w:rPr>
          <w:rFonts w:hint="eastAsia" w:ascii="华文琥珀" w:hAnsi="华文琥珀" w:eastAsia="华文琥珀" w:cs="华文琥珀"/>
          <w:sz w:val="28"/>
          <w:szCs w:val="28"/>
        </w:rPr>
      </w:pPr>
    </w:p>
    <w:p>
      <w:pPr>
        <w:pStyle w:val="12"/>
        <w:ind w:firstLine="1680" w:firstLineChars="600"/>
        <w:jc w:val="both"/>
        <w:rPr>
          <w:rFonts w:hint="eastAsia" w:ascii="华文琥珀" w:hAnsi="华文琥珀" w:eastAsia="华文琥珀" w:cs="华文琥珀"/>
          <w:sz w:val="28"/>
          <w:szCs w:val="28"/>
        </w:rPr>
      </w:pPr>
      <w:r>
        <w:rPr>
          <w:rFonts w:hint="eastAsia" w:ascii="华文琥珀" w:hAnsi="华文琥珀" w:eastAsia="华文琥珀" w:cs="华文琥珀"/>
          <w:sz w:val="28"/>
          <w:szCs w:val="28"/>
        </w:rPr>
        <w:t>采</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购</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人名称：</w:t>
      </w:r>
      <w:r>
        <w:rPr>
          <w:rFonts w:hint="eastAsia" w:ascii="华文琥珀" w:hAnsi="华文琥珀" w:eastAsia="华文琥珀" w:cs="华文琥珀"/>
          <w:sz w:val="28"/>
          <w:szCs w:val="28"/>
          <w:lang w:val="en-US" w:eastAsia="zh-CN"/>
        </w:rPr>
        <w:t>安康市中医医院</w:t>
      </w:r>
    </w:p>
    <w:p>
      <w:pPr>
        <w:pStyle w:val="12"/>
        <w:ind w:firstLine="1680" w:firstLineChars="600"/>
        <w:jc w:val="both"/>
        <w:rPr>
          <w:rFonts w:ascii="Times New Roman" w:hAnsi="Times New Roman" w:eastAsia="MingLiU_HKSCS" w:cs="Times New Roman"/>
        </w:rPr>
      </w:pPr>
      <w:r>
        <w:rPr>
          <w:rFonts w:hint="eastAsia" w:ascii="华文琥珀" w:hAnsi="华文琥珀" w:eastAsia="华文琥珀" w:cs="华文琥珀"/>
          <w:sz w:val="28"/>
          <w:szCs w:val="28"/>
          <w:lang w:val="en-US" w:eastAsia="zh-CN"/>
        </w:rPr>
        <w:t xml:space="preserve">投 标 </w:t>
      </w:r>
      <w:r>
        <w:rPr>
          <w:rFonts w:hint="eastAsia" w:ascii="华文琥珀" w:hAnsi="华文琥珀" w:eastAsia="华文琥珀" w:cs="华文琥珀"/>
          <w:sz w:val="28"/>
          <w:szCs w:val="28"/>
        </w:rPr>
        <w:t>人名称：</w:t>
      </w:r>
      <w:r>
        <w:rPr>
          <w:rFonts w:hint="eastAsia" w:ascii="华文琥珀" w:hAnsi="华文琥珀" w:eastAsia="华文琥珀" w:cs="华文琥珀"/>
          <w:lang w:val="en-US" w:eastAsia="zh-CN"/>
        </w:rPr>
        <w:t xml:space="preserve"> </w:t>
      </w:r>
    </w:p>
    <w:p>
      <w:pPr>
        <w:pStyle w:val="12"/>
        <w:ind w:firstLine="420" w:firstLineChars="200"/>
        <w:rPr>
          <w:rFonts w:ascii="Times New Roman" w:hAnsi="Times New Roman" w:eastAsia="MingLiU_HKSCS" w:cs="Times New Roman"/>
        </w:rPr>
      </w:pPr>
    </w:p>
    <w:p>
      <w:pPr>
        <w:pStyle w:val="12"/>
        <w:ind w:firstLine="420" w:firstLineChars="200"/>
        <w:rPr>
          <w:rFonts w:ascii="Times New Roman" w:hAnsi="Times New Roman" w:eastAsia="MingLiU_HKSCS" w:cs="Times New Roman"/>
        </w:rPr>
      </w:pPr>
    </w:p>
    <w:p>
      <w:pPr>
        <w:pStyle w:val="9"/>
        <w:jc w:val="center"/>
        <w:rPr>
          <w:rFonts w:hint="eastAsia" w:ascii="华文琥珀" w:hAnsi="华文琥珀" w:eastAsia="华文琥珀" w:cs="华文琥珀"/>
          <w:sz w:val="28"/>
          <w:szCs w:val="28"/>
          <w:lang w:eastAsia="zh-CN"/>
        </w:rPr>
      </w:pPr>
      <w:r>
        <w:rPr>
          <w:rFonts w:hint="eastAsia" w:ascii="华文琥珀" w:hAnsi="华文琥珀" w:eastAsia="华文琥珀" w:cs="华文琥珀"/>
          <w:sz w:val="28"/>
          <w:szCs w:val="28"/>
          <w:lang w:eastAsia="zh-CN"/>
        </w:rPr>
        <w:t>二〇二</w:t>
      </w:r>
      <w:r>
        <w:rPr>
          <w:rFonts w:hint="eastAsia" w:ascii="华文琥珀" w:hAnsi="华文琥珀" w:eastAsia="华文琥珀" w:cs="华文琥珀"/>
          <w:sz w:val="28"/>
          <w:szCs w:val="28"/>
          <w:lang w:val="en-US" w:eastAsia="zh-CN"/>
        </w:rPr>
        <w:t>四</w:t>
      </w:r>
      <w:r>
        <w:rPr>
          <w:rFonts w:hint="eastAsia" w:ascii="华文琥珀" w:hAnsi="华文琥珀" w:eastAsia="华文琥珀" w:cs="华文琥珀"/>
          <w:sz w:val="28"/>
          <w:szCs w:val="28"/>
          <w:lang w:eastAsia="zh-CN"/>
        </w:rPr>
        <w:t>年</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lang w:eastAsia="zh-CN"/>
        </w:rPr>
        <w:t>月</w:t>
      </w:r>
    </w:p>
    <w:p>
      <w:pPr>
        <w:pStyle w:val="9"/>
        <w:jc w:val="center"/>
        <w:rPr>
          <w:rFonts w:hint="eastAsia" w:ascii="Times New Roman" w:hAnsi="Times New Roman"/>
        </w:rPr>
      </w:pPr>
      <w:r>
        <w:rPr>
          <w:rFonts w:ascii="Times New Roman" w:hAnsi="Times New Roman" w:cs="Times New Roman"/>
        </w:rPr>
        <w:br w:type="page"/>
      </w:r>
    </w:p>
    <w:p>
      <w:pPr>
        <w:pStyle w:val="9"/>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sz w:val="48"/>
          <w:szCs w:val="48"/>
        </w:rPr>
      </w:pPr>
    </w:p>
    <w:p>
      <w:pPr>
        <w:pStyle w:val="9"/>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8"/>
          <w:szCs w:val="48"/>
        </w:rPr>
      </w:pPr>
      <w:r>
        <w:rPr>
          <w:rFonts w:hint="eastAsia" w:ascii="黑体" w:hAnsi="黑体" w:eastAsia="黑体" w:cs="黑体"/>
          <w:b w:val="0"/>
          <w:bCs w:val="0"/>
          <w:sz w:val="48"/>
          <w:szCs w:val="48"/>
        </w:rPr>
        <w:t>目　</w:t>
      </w:r>
      <w:r>
        <w:rPr>
          <w:rFonts w:hint="eastAsia" w:ascii="黑体" w:hAnsi="黑体" w:eastAsia="黑体" w:cs="黑体"/>
          <w:b w:val="0"/>
          <w:bCs w:val="0"/>
          <w:sz w:val="48"/>
          <w:szCs w:val="48"/>
          <w:lang w:val="en-US" w:eastAsia="zh-CN"/>
        </w:rPr>
        <w:t xml:space="preserve">  </w:t>
      </w:r>
      <w:r>
        <w:rPr>
          <w:rFonts w:hint="eastAsia" w:ascii="黑体" w:hAnsi="黑体" w:eastAsia="黑体" w:cs="黑体"/>
          <w:b w:val="0"/>
          <w:bCs w:val="0"/>
          <w:sz w:val="48"/>
          <w:szCs w:val="48"/>
        </w:rPr>
        <w:t>录</w:t>
      </w:r>
    </w:p>
    <w:p>
      <w:pPr>
        <w:jc w:val="center"/>
        <w:rPr>
          <w:rFonts w:hint="eastAsia" w:ascii="黑体" w:hAnsi="黑体" w:eastAsia="黑体" w:cs="黑体"/>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第一章　投标</w:t>
      </w:r>
      <w:r>
        <w:rPr>
          <w:rFonts w:hint="eastAsia" w:ascii="黑体" w:hAnsi="黑体" w:eastAsia="黑体" w:cs="黑体"/>
          <w:sz w:val="28"/>
          <w:szCs w:val="28"/>
          <w:lang w:val="en-US" w:eastAsia="zh-CN"/>
        </w:rPr>
        <w:t>函</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第二章　</w:t>
      </w:r>
      <w:r>
        <w:rPr>
          <w:rFonts w:hint="eastAsia" w:ascii="黑体" w:hAnsi="黑体" w:eastAsia="黑体" w:cs="黑体"/>
          <w:sz w:val="28"/>
          <w:szCs w:val="28"/>
          <w:lang w:val="en-US" w:eastAsia="zh-CN"/>
        </w:rPr>
        <w:t>开标一览表</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第三章　</w:t>
      </w:r>
      <w:r>
        <w:rPr>
          <w:rFonts w:hint="eastAsia" w:ascii="黑体" w:hAnsi="黑体" w:eastAsia="黑体" w:cs="黑体"/>
          <w:sz w:val="28"/>
          <w:szCs w:val="28"/>
          <w:lang w:val="en-US" w:eastAsia="zh-CN"/>
        </w:rPr>
        <w:t>分项报价表</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第四章　商务条款偏离表</w:t>
      </w:r>
      <w:r>
        <w:rPr>
          <w:rFonts w:hint="eastAsia" w:ascii="黑体" w:hAnsi="黑体" w:eastAsia="黑体" w:cs="黑体"/>
          <w:sz w:val="28"/>
          <w:szCs w:val="28"/>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五</w:t>
      </w:r>
      <w:r>
        <w:rPr>
          <w:rFonts w:hint="eastAsia" w:ascii="黑体" w:hAnsi="黑体" w:eastAsia="黑体" w:cs="黑体"/>
          <w:sz w:val="28"/>
          <w:szCs w:val="28"/>
        </w:rPr>
        <w:t>章　投标人具备投标资格的证明文件</w:t>
      </w: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第六章  </w:t>
      </w:r>
      <w:r>
        <w:rPr>
          <w:rFonts w:hint="eastAsia" w:ascii="黑体" w:hAnsi="黑体" w:eastAsia="黑体" w:cs="黑体"/>
          <w:sz w:val="28"/>
          <w:szCs w:val="28"/>
        </w:rPr>
        <w:t>提供符合政府采购政策的证明材料</w:t>
      </w: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第七章  投标人须知前附表要求的其他投标文件</w:t>
      </w: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第八章  供应商认为需提供的其他资料</w:t>
      </w: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pPr>
        <w:pStyle w:val="12"/>
        <w:rPr>
          <w:rFonts w:hint="eastAsia" w:ascii="Times New Roman" w:hAnsi="Times New Roman" w:cs="Times New Roman"/>
        </w:rPr>
      </w:pPr>
    </w:p>
    <w:p>
      <w:pPr>
        <w:pStyle w:val="12"/>
        <w:rPr>
          <w:rFonts w:hint="eastAsia" w:ascii="Times New Roman" w:hAnsi="Times New Roman" w:cs="Times New Roman"/>
        </w:rPr>
      </w:pPr>
    </w:p>
    <w:p>
      <w:pPr>
        <w:pStyle w:val="12"/>
        <w:rPr>
          <w:rFonts w:hint="eastAsia" w:ascii="Times New Roman" w:hAnsi="Times New Roman" w:cs="Times New Roman"/>
        </w:rPr>
      </w:pPr>
    </w:p>
    <w:p>
      <w:pPr>
        <w:pStyle w:val="12"/>
        <w:rPr>
          <w:rFonts w:hint="eastAsia" w:ascii="Times New Roman" w:hAnsi="Times New Roman" w:cs="Times New Roman"/>
        </w:rPr>
      </w:pPr>
    </w:p>
    <w:p>
      <w:pPr>
        <w:pStyle w:val="12"/>
        <w:rPr>
          <w:rFonts w:hint="eastAsia" w:ascii="Times New Roman" w:hAnsi="Times New Roman" w:cs="Times New Roman"/>
        </w:rPr>
      </w:pPr>
    </w:p>
    <w:p>
      <w:pPr>
        <w:pStyle w:val="12"/>
        <w:rPr>
          <w:rFonts w:hint="eastAsia" w:ascii="Times New Roman" w:hAnsi="Times New Roman" w:cs="Times New Roman"/>
        </w:rPr>
      </w:pPr>
    </w:p>
    <w:p>
      <w:pPr>
        <w:pStyle w:val="12"/>
        <w:rPr>
          <w:rFonts w:hint="eastAsia" w:ascii="Times New Roman" w:hAnsi="Times New Roman" w:cs="Times New Roma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cs="Times New Roman"/>
          <w:lang w:val="en-US" w:eastAsia="zh-CN"/>
        </w:rPr>
      </w:pPr>
      <w:r>
        <w:rPr>
          <w:rFonts w:hint="eastAsia" w:ascii="微软雅黑" w:hAnsi="微软雅黑" w:eastAsia="微软雅黑" w:cs="微软雅黑"/>
          <w:b/>
          <w:bCs/>
          <w:sz w:val="32"/>
          <w:szCs w:val="32"/>
        </w:rPr>
        <w:t>第一章　投标</w:t>
      </w:r>
      <w:r>
        <w:rPr>
          <w:rFonts w:hint="eastAsia" w:ascii="微软雅黑" w:hAnsi="微软雅黑" w:eastAsia="微软雅黑" w:cs="微软雅黑"/>
          <w:b/>
          <w:bCs/>
          <w:sz w:val="32"/>
          <w:szCs w:val="32"/>
          <w:lang w:val="en-US" w:eastAsia="zh-CN"/>
        </w:rPr>
        <w:t>函</w:t>
      </w:r>
    </w:p>
    <w:p>
      <w:pPr>
        <w:pStyle w:val="9"/>
        <w:jc w:val="center"/>
        <w:rPr>
          <w:rFonts w:hint="eastAsia" w:ascii="微软雅黑" w:hAnsi="微软雅黑" w:eastAsia="微软雅黑" w:cs="微软雅黑"/>
          <w:sz w:val="28"/>
          <w:szCs w:val="28"/>
        </w:rPr>
      </w:pPr>
      <w:r>
        <w:rPr>
          <w:rFonts w:hint="eastAsia" w:ascii="Times New Roman" w:hAnsi="Times New Roman" w:cs="Times New Roman"/>
          <w:lang w:val="en-US" w:eastAsia="zh-CN"/>
        </w:rPr>
        <w:t xml:space="preserve"> </w:t>
      </w:r>
      <w:r>
        <w:rPr>
          <w:rFonts w:hint="eastAsia" w:ascii="微软雅黑" w:hAnsi="微软雅黑" w:eastAsia="微软雅黑" w:cs="微软雅黑"/>
          <w:sz w:val="28"/>
          <w:szCs w:val="28"/>
        </w:rPr>
        <w:t>投　标　函</w:t>
      </w: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根据________(项目名称)(项目编号：________</w:t>
      </w:r>
      <w:r>
        <w:rPr>
          <w:rFonts w:hint="eastAsia" w:ascii="微软雅黑" w:hAnsi="微软雅黑" w:eastAsia="微软雅黑" w:cs="微软雅黑"/>
          <w:b w:val="0"/>
          <w:bCs w:val="0"/>
          <w:sz w:val="24"/>
          <w:szCs w:val="24"/>
          <w:u w:val="single"/>
          <w:lang w:val="en-US" w:eastAsia="zh-CN"/>
        </w:rPr>
        <w:t>第  包</w:t>
      </w:r>
      <w:r>
        <w:rPr>
          <w:rFonts w:hint="eastAsia" w:ascii="微软雅黑" w:hAnsi="微软雅黑" w:eastAsia="微软雅黑" w:cs="微软雅黑"/>
          <w:sz w:val="24"/>
          <w:szCs w:val="24"/>
        </w:rPr>
        <w:t>)的投标邀请，________(姓名、职务)代表投标人________(投标人名称、地址)参加本项目招标的有关活动。据此函，作如下承诺：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1.同意在本项目招标文件中规定的开标日起______天遵守本投标文件中的承诺，且在期满之前均具有约束力。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2.具备政府采购相关法律法规规定的参加政府采购活动的供应商应当具备的条件：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(5)参加此项采购活动前3年内，在经营活动中没有重大违法记录。</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3.具备本项目招标文件中规定的其他资格条件。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4.提供投标人须知规定的全部投标文件，包括投标文件正本______份，副本______份，电子文档______份，开标一览表(投标报价表)______份。</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5.已详细审阅全部招标文件(包括招标文件澄清函)，理解投标人须知的所有条款。</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6.完全理解贵方“最低报价不能作为中标的保证”的规定。</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7.接受招标文件中全部合同条款，且无任何异议；保证忠实地执行双方所签订的合同，并承担合同规定的责任和义务。</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8.完全满足和响应招标文件中的各项商务和技术要求，若有偏差，已在投标文件中明确说明。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9.如果在开标后规定的投标有效期内撤回投标，贵方可不予退还我方的投标保证金。</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10.愿意提供任何与投标有关的数据、情况和技术资料等。</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11.我方已详细审核全部投标文件、参考资料及有关附件，确认无误。</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12.对本次招标内容及与本项目有关的知识产权、技术资料、商业秘密及相关信息保密。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13.与采购人和采购代理机构无任何的隶属关系或者其他利害关系。</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附件1－1：法定代表人身份证明复印件(法定代表人参加投标)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附件1－2：法定代表人授权书(授权代表参加投标)</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附件1－3：授权委托书(自然人提供)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投标人名称：____________投标人公章：____________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投标人地址：____________邮编：____________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电话：____________传真：____________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法定代表人或投标人代表(签字或盖章)：____________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联系电话：____________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日期：____________</w:t>
      </w:r>
    </w:p>
    <w:p>
      <w:pPr>
        <w:pStyle w:val="12"/>
        <w:rPr>
          <w:rFonts w:hint="eastAsia"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附件1－1　法定代表人身份证明复印件(法定代表人参加投标的)</w:t>
      </w:r>
    </w:p>
    <w:p>
      <w:pPr>
        <w:pStyle w:val="12"/>
        <w:ind w:firstLine="420" w:firstLineChars="200"/>
        <w:rPr>
          <w:rFonts w:hint="eastAsia" w:ascii="微软雅黑" w:hAnsi="微软雅黑" w:eastAsia="微软雅黑" w:cs="微软雅黑"/>
        </w:rPr>
      </w:pPr>
    </w:p>
    <w:tbl>
      <w:tblPr>
        <w:tblStyle w:val="16"/>
        <w:tblW w:w="55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5" w:hRule="atLeast"/>
          <w:jc w:val="center"/>
        </w:trPr>
        <w:tc>
          <w:tcPr>
            <w:tcW w:w="5580" w:type="dxa"/>
            <w:tcBorders>
              <w:top w:val="single" w:color="auto" w:sz="4" w:space="0"/>
              <w:bottom w:val="single" w:color="auto" w:sz="4" w:space="0"/>
            </w:tcBorders>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法定代表人身份证明复印件</w:t>
            </w:r>
          </w:p>
        </w:tc>
      </w:tr>
    </w:tbl>
    <w:p>
      <w:pPr>
        <w:pStyle w:val="12"/>
        <w:ind w:firstLine="420" w:firstLineChars="200"/>
        <w:rPr>
          <w:rFonts w:hint="eastAsia" w:ascii="微软雅黑" w:hAnsi="微软雅黑" w:eastAsia="微软雅黑" w:cs="微软雅黑"/>
        </w:rPr>
      </w:pPr>
    </w:p>
    <w:p>
      <w:pPr>
        <w:pStyle w:val="12"/>
        <w:rPr>
          <w:rFonts w:hint="eastAsia" w:ascii="微软雅黑" w:hAnsi="微软雅黑" w:eastAsia="微软雅黑" w:cs="微软雅黑"/>
        </w:rPr>
      </w:pPr>
      <w:r>
        <w:rPr>
          <w:rFonts w:hint="eastAsia" w:ascii="微软雅黑" w:hAnsi="微软雅黑" w:eastAsia="微软雅黑" w:cs="微软雅黑"/>
        </w:rPr>
        <w:t>附件1－2　法定代表人授权委托书(授权代表参加投标的)</w:t>
      </w:r>
    </w:p>
    <w:p>
      <w:pPr>
        <w:pStyle w:val="9"/>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法定代表人授权委托书(格式一)(适用于法人投标)</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____________(投标人名称)的法定代表人________(姓名、职务)授权________(投标人代表姓名、职务)为本公司的投标人代表，就________(项目名称)投标及相关事务代表本公司处理与之有关的一切事务。</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委托期限：____________________。</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代理人无转委托权。</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本授权书于______年____月____日签字生效，特此声明。</w:t>
      </w:r>
    </w:p>
    <w:p>
      <w:pPr>
        <w:pStyle w:val="12"/>
        <w:pageBreakBefore w:val="0"/>
        <w:widowControl w:val="0"/>
        <w:kinsoku/>
        <w:wordWrap/>
        <w:overflowPunct/>
        <w:topLinePunct w:val="0"/>
        <w:autoSpaceDE/>
        <w:autoSpaceDN/>
        <w:bidi w:val="0"/>
        <w:adjustRightInd/>
        <w:snapToGrid/>
        <w:spacing w:line="700" w:lineRule="exact"/>
        <w:ind w:firstLine="420" w:firstLineChars="200"/>
        <w:textAlignment w:val="auto"/>
        <w:rPr>
          <w:rFonts w:hint="eastAsia" w:ascii="微软雅黑" w:hAnsi="微软雅黑" w:eastAsia="微软雅黑" w:cs="微软雅黑"/>
        </w:rPr>
      </w:pPr>
    </w:p>
    <w:tbl>
      <w:tblPr>
        <w:tblStyle w:val="16"/>
        <w:tblW w:w="5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5" w:hRule="atLeast"/>
          <w:jc w:val="center"/>
        </w:trPr>
        <w:tc>
          <w:tcPr>
            <w:tcW w:w="5820" w:type="dxa"/>
            <w:tcBorders>
              <w:top w:val="single" w:color="auto" w:sz="4" w:space="0"/>
              <w:bottom w:val="single" w:color="auto" w:sz="4" w:space="0"/>
            </w:tcBorders>
            <w:vAlign w:val="center"/>
          </w:tcPr>
          <w:p>
            <w:pPr>
              <w:pStyle w:val="12"/>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授权代表身份证明复印件</w:t>
            </w:r>
          </w:p>
        </w:tc>
      </w:tr>
    </w:tbl>
    <w:p>
      <w:pPr>
        <w:pStyle w:val="12"/>
        <w:pageBreakBefore w:val="0"/>
        <w:widowControl w:val="0"/>
        <w:kinsoku/>
        <w:wordWrap/>
        <w:overflowPunct/>
        <w:topLinePunct w:val="0"/>
        <w:autoSpaceDE/>
        <w:autoSpaceDN/>
        <w:bidi w:val="0"/>
        <w:adjustRightInd/>
        <w:snapToGrid/>
        <w:spacing w:line="700" w:lineRule="exact"/>
        <w:ind w:firstLine="420" w:firstLineChars="200"/>
        <w:textAlignment w:val="auto"/>
        <w:rPr>
          <w:rFonts w:hint="eastAsia" w:ascii="微软雅黑" w:hAnsi="微软雅黑" w:eastAsia="微软雅黑" w:cs="微软雅黑"/>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法定代表人(签字或盖章)：____________________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授权代表(签字或盖章)：____________________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______年____月____日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2"/>
        <w:rPr>
          <w:rFonts w:hint="eastAsia"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附件1－3</w:t>
      </w:r>
    </w:p>
    <w:p>
      <w:pPr>
        <w:pStyle w:val="9"/>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授权委托书(格式二)(适用于自然人投标)</w:t>
      </w:r>
    </w:p>
    <w:p>
      <w:pPr>
        <w:pStyle w:val="12"/>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我________(姓名)系自然人，现授权委托____________(姓名)以本人名义参加____________(项目名称)的投标活动，并代表本人全权办理针对上述项目的投标、签约等具体事务和签署相关文件。</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本人对被授权人的签字事项负全部责任。</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授权委托代理期限：从　　　年　　月　　日起至　　　年　　月　　日止。</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代理人无转委托权，特此委托。</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我已在下面签字，以资证明。</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自然人签字并在签名处加盖食指指印：　　　　年　　月　　日</w:t>
      </w:r>
    </w:p>
    <w:p>
      <w:pPr>
        <w:pStyle w:val="12"/>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12"/>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第二章　</w:t>
      </w:r>
      <w:r>
        <w:rPr>
          <w:rFonts w:hint="eastAsia" w:ascii="微软雅黑" w:hAnsi="微软雅黑" w:eastAsia="微软雅黑" w:cs="微软雅黑"/>
          <w:b/>
          <w:bCs/>
          <w:sz w:val="32"/>
          <w:szCs w:val="32"/>
          <w:lang w:val="en-US" w:eastAsia="zh-CN"/>
        </w:rPr>
        <w:t>开标一览表</w:t>
      </w:r>
    </w:p>
    <w:p>
      <w:pPr>
        <w:pStyle w:val="12"/>
        <w:ind w:firstLine="420" w:firstLineChars="200"/>
        <w:rPr>
          <w:rFonts w:ascii="Times New Roman" w:hAnsi="Times New Roman" w:eastAsia="MingLiU_HKSCS" w:cs="Times New Roman"/>
        </w:rPr>
      </w:pPr>
    </w:p>
    <w:p>
      <w:pPr>
        <w:pStyle w:val="12"/>
        <w:ind w:firstLine="560" w:firstLineChars="20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开标一览表</w:t>
      </w:r>
    </w:p>
    <w:tbl>
      <w:tblPr>
        <w:tblStyle w:val="1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序号</w:t>
            </w:r>
          </w:p>
        </w:tc>
        <w:tc>
          <w:tcPr>
            <w:tcW w:w="2563"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项目名称</w:t>
            </w:r>
          </w:p>
        </w:tc>
        <w:tc>
          <w:tcPr>
            <w:tcW w:w="2496" w:type="dxa"/>
            <w:vAlign w:val="center"/>
          </w:tcPr>
          <w:p>
            <w:pPr>
              <w:pStyle w:val="12"/>
              <w:jc w:val="center"/>
              <w:rPr>
                <w:rFonts w:hint="eastAsia" w:ascii="微软雅黑" w:hAnsi="微软雅黑" w:eastAsia="微软雅黑" w:cs="微软雅黑"/>
                <w:color w:val="auto"/>
                <w:sz w:val="21"/>
                <w:szCs w:val="21"/>
              </w:rPr>
            </w:pPr>
          </w:p>
        </w:tc>
        <w:tc>
          <w:tcPr>
            <w:tcW w:w="1236"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项目编号</w:t>
            </w:r>
          </w:p>
        </w:tc>
        <w:tc>
          <w:tcPr>
            <w:tcW w:w="1362" w:type="dxa"/>
            <w:vAlign w:val="center"/>
          </w:tcPr>
          <w:p>
            <w:pPr>
              <w:pStyle w:val="12"/>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pPr>
              <w:pStyle w:val="12"/>
              <w:jc w:val="center"/>
              <w:rPr>
                <w:rFonts w:hint="eastAsia" w:ascii="微软雅黑" w:hAnsi="微软雅黑" w:eastAsia="微软雅黑" w:cs="微软雅黑"/>
                <w:color w:val="auto"/>
                <w:sz w:val="21"/>
                <w:szCs w:val="21"/>
              </w:rPr>
            </w:pPr>
          </w:p>
        </w:tc>
        <w:tc>
          <w:tcPr>
            <w:tcW w:w="2563" w:type="dxa"/>
            <w:vAlign w:val="center"/>
          </w:tcPr>
          <w:p>
            <w:pPr>
              <w:pStyle w:val="12"/>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包号</w:t>
            </w:r>
          </w:p>
        </w:tc>
        <w:tc>
          <w:tcPr>
            <w:tcW w:w="5094" w:type="dxa"/>
            <w:gridSpan w:val="3"/>
            <w:vAlign w:val="center"/>
          </w:tcPr>
          <w:p>
            <w:pPr>
              <w:pStyle w:val="12"/>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pPr>
              <w:pStyle w:val="12"/>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1</w:t>
            </w:r>
          </w:p>
        </w:tc>
        <w:tc>
          <w:tcPr>
            <w:tcW w:w="2563"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总报价人民币</w:t>
            </w:r>
          </w:p>
        </w:tc>
        <w:tc>
          <w:tcPr>
            <w:tcW w:w="5094" w:type="dxa"/>
            <w:gridSpan w:val="3"/>
            <w:vAlign w:val="center"/>
          </w:tcPr>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大写：人民币______元</w:t>
            </w:r>
          </w:p>
          <w:p>
            <w:pPr>
              <w:pStyle w:val="12"/>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2"/>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2</w:t>
            </w:r>
          </w:p>
        </w:tc>
        <w:tc>
          <w:tcPr>
            <w:tcW w:w="2563"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供货期限</w:t>
            </w:r>
          </w:p>
        </w:tc>
        <w:tc>
          <w:tcPr>
            <w:tcW w:w="5094" w:type="dxa"/>
            <w:gridSpan w:val="3"/>
            <w:vAlign w:val="center"/>
          </w:tcPr>
          <w:p>
            <w:pPr>
              <w:pStyle w:val="12"/>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2"/>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3</w:t>
            </w:r>
          </w:p>
        </w:tc>
        <w:tc>
          <w:tcPr>
            <w:tcW w:w="2563" w:type="dxa"/>
            <w:vAlign w:val="center"/>
          </w:tcPr>
          <w:p>
            <w:pPr>
              <w:pStyle w:val="12"/>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质保期</w:t>
            </w:r>
          </w:p>
        </w:tc>
        <w:tc>
          <w:tcPr>
            <w:tcW w:w="5094" w:type="dxa"/>
            <w:gridSpan w:val="3"/>
            <w:vAlign w:val="center"/>
          </w:tcPr>
          <w:p>
            <w:pPr>
              <w:pStyle w:val="12"/>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2"/>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4</w:t>
            </w:r>
          </w:p>
        </w:tc>
        <w:tc>
          <w:tcPr>
            <w:tcW w:w="2563" w:type="dxa"/>
            <w:vAlign w:val="center"/>
          </w:tcPr>
          <w:p>
            <w:pPr>
              <w:pStyle w:val="12"/>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设备费</w:t>
            </w:r>
          </w:p>
        </w:tc>
        <w:tc>
          <w:tcPr>
            <w:tcW w:w="5094" w:type="dxa"/>
            <w:gridSpan w:val="3"/>
            <w:vAlign w:val="center"/>
          </w:tcPr>
          <w:p>
            <w:pPr>
              <w:pStyle w:val="12"/>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2"/>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w:t>
            </w:r>
          </w:p>
        </w:tc>
        <w:tc>
          <w:tcPr>
            <w:tcW w:w="2563" w:type="dxa"/>
            <w:vAlign w:val="center"/>
          </w:tcPr>
          <w:p>
            <w:pPr>
              <w:pStyle w:val="12"/>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运杂费</w:t>
            </w:r>
          </w:p>
        </w:tc>
        <w:tc>
          <w:tcPr>
            <w:tcW w:w="5094" w:type="dxa"/>
            <w:gridSpan w:val="3"/>
            <w:vAlign w:val="center"/>
          </w:tcPr>
          <w:p>
            <w:pPr>
              <w:pStyle w:val="12"/>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2"/>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6</w:t>
            </w:r>
          </w:p>
        </w:tc>
        <w:tc>
          <w:tcPr>
            <w:tcW w:w="2563" w:type="dxa"/>
            <w:vAlign w:val="center"/>
          </w:tcPr>
          <w:p>
            <w:pPr>
              <w:pStyle w:val="12"/>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安装调试费</w:t>
            </w:r>
          </w:p>
        </w:tc>
        <w:tc>
          <w:tcPr>
            <w:tcW w:w="5094" w:type="dxa"/>
            <w:gridSpan w:val="3"/>
            <w:vAlign w:val="center"/>
          </w:tcPr>
          <w:p>
            <w:pPr>
              <w:pStyle w:val="12"/>
              <w:jc w:val="cente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2"/>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7</w:t>
            </w:r>
          </w:p>
        </w:tc>
        <w:tc>
          <w:tcPr>
            <w:tcW w:w="2563" w:type="dxa"/>
            <w:vAlign w:val="center"/>
          </w:tcPr>
          <w:p>
            <w:pPr>
              <w:pStyle w:val="12"/>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其它费用</w:t>
            </w:r>
          </w:p>
        </w:tc>
        <w:tc>
          <w:tcPr>
            <w:tcW w:w="5094" w:type="dxa"/>
            <w:gridSpan w:val="3"/>
            <w:vAlign w:val="center"/>
          </w:tcPr>
          <w:p>
            <w:pPr>
              <w:pStyle w:val="12"/>
              <w:jc w:val="center"/>
              <w:rPr>
                <w:rFonts w:hint="eastAsia" w:ascii="微软雅黑" w:hAnsi="微软雅黑" w:eastAsia="微软雅黑" w:cs="微软雅黑"/>
                <w:color w:val="auto"/>
                <w:sz w:val="21"/>
                <w:szCs w:val="21"/>
              </w:rPr>
            </w:pPr>
          </w:p>
        </w:tc>
      </w:tr>
    </w:tbl>
    <w:p>
      <w:pPr>
        <w:pStyle w:val="12"/>
        <w:ind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注：报价包括：设备价格，原设备和新设备的搬运，安装，办证及设备安装过程中所有装修复原。</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法定代表人或其授权代表签字：____________________</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2"/>
        <w:ind w:firstLine="480" w:firstLineChars="200"/>
        <w:rPr>
          <w:rFonts w:ascii="Times New Roman" w:hAnsi="Times New Roman" w:eastAsia="MingLiU_HKSCS" w:cs="Times New Roman"/>
          <w:sz w:val="24"/>
          <w:szCs w:val="24"/>
        </w:rPr>
      </w:pPr>
      <w:r>
        <w:rPr>
          <w:rFonts w:hint="eastAsia" w:ascii="微软雅黑" w:hAnsi="微软雅黑" w:eastAsia="微软雅黑" w:cs="微软雅黑"/>
          <w:sz w:val="24"/>
          <w:szCs w:val="24"/>
        </w:rPr>
        <w:t>说明：授权用投标专用章的，与公章具有相同法律效力。</w:t>
      </w:r>
    </w:p>
    <w:p>
      <w:pPr>
        <w:pStyle w:val="12"/>
        <w:ind w:firstLine="480" w:firstLineChars="200"/>
        <w:rPr>
          <w:rFonts w:ascii="Times New Roman" w:hAnsi="Times New Roman" w:eastAsia="MingLiU_HKSCS" w:cs="Times New Roman"/>
          <w:sz w:val="24"/>
          <w:szCs w:val="24"/>
        </w:rPr>
      </w:pPr>
      <w:r>
        <w:rPr>
          <w:rFonts w:ascii="Times New Roman" w:hAnsi="Times New Roman" w:cs="Times New Roman"/>
          <w:sz w:val="24"/>
          <w:szCs w:val="24"/>
        </w:rPr>
        <w:br w:type="page"/>
      </w: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r>
        <w:rPr>
          <w:rFonts w:hint="eastAsia" w:ascii="Times New Roman" w:hAnsi="Times New Roman" w:cs="Times New Roman"/>
        </w:rPr>
        <w:t>　　</w:t>
      </w:r>
      <w:r>
        <w:rPr>
          <w:rFonts w:hint="eastAsia" w:ascii="微软雅黑" w:hAnsi="微软雅黑" w:eastAsia="微软雅黑" w:cs="微软雅黑"/>
          <w:b/>
          <w:bCs/>
          <w:sz w:val="32"/>
          <w:szCs w:val="32"/>
        </w:rPr>
        <w:t>第三章　</w:t>
      </w:r>
      <w:r>
        <w:rPr>
          <w:rFonts w:hint="eastAsia" w:ascii="微软雅黑" w:hAnsi="微软雅黑" w:eastAsia="微软雅黑" w:cs="微软雅黑"/>
          <w:b/>
          <w:bCs/>
          <w:sz w:val="32"/>
          <w:szCs w:val="32"/>
          <w:lang w:val="en-US" w:eastAsia="zh-CN"/>
        </w:rPr>
        <w:t>分项报价表</w:t>
      </w:r>
    </w:p>
    <w:p>
      <w:pPr>
        <w:pStyle w:val="12"/>
        <w:ind w:firstLine="420" w:firstLineChars="200"/>
        <w:rPr>
          <w:rFonts w:ascii="Times New Roman" w:hAnsi="Times New Roman" w:eastAsia="MingLiU_HKSCS" w:cs="Times New Roman"/>
        </w:rPr>
      </w:pPr>
    </w:p>
    <w:p>
      <w:pPr>
        <w:pStyle w:val="12"/>
        <w:ind w:firstLine="560" w:firstLineChars="20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分项价格表</w:t>
      </w:r>
    </w:p>
    <w:p>
      <w:pPr>
        <w:pStyle w:val="12"/>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项目名称：____________________</w:t>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项目编号：　</w:t>
      </w:r>
    </w:p>
    <w:p>
      <w:pPr>
        <w:pStyle w:val="12"/>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w:t>
      </w:r>
      <w:r>
        <w:rPr>
          <w:rFonts w:hint="eastAsia" w:ascii="微软雅黑" w:hAnsi="微软雅黑" w:eastAsia="微软雅黑" w:cs="微软雅黑"/>
          <w:color w:val="auto"/>
          <w:sz w:val="21"/>
          <w:szCs w:val="21"/>
          <w:lang w:val="en-US" w:eastAsia="zh-CN"/>
        </w:rPr>
        <w:t>包号：</w:t>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金额单位：元</w:t>
      </w:r>
    </w:p>
    <w:tbl>
      <w:tblPr>
        <w:tblStyle w:val="1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2"/>
        <w:gridCol w:w="861"/>
        <w:gridCol w:w="862"/>
        <w:gridCol w:w="862"/>
        <w:gridCol w:w="478"/>
        <w:gridCol w:w="383"/>
        <w:gridCol w:w="862"/>
        <w:gridCol w:w="740"/>
        <w:gridCol w:w="708"/>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862" w:type="dxa"/>
            <w:vAlign w:val="center"/>
          </w:tcPr>
          <w:p>
            <w:pPr>
              <w:pStyle w:val="12"/>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设备</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w:t>
            </w:r>
          </w:p>
        </w:tc>
        <w:tc>
          <w:tcPr>
            <w:tcW w:w="861"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品牌</w:t>
            </w:r>
          </w:p>
        </w:tc>
        <w:tc>
          <w:tcPr>
            <w:tcW w:w="862"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生产</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厂家</w:t>
            </w:r>
          </w:p>
        </w:tc>
        <w:tc>
          <w:tcPr>
            <w:tcW w:w="862"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规格</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型号</w:t>
            </w:r>
          </w:p>
        </w:tc>
        <w:tc>
          <w:tcPr>
            <w:tcW w:w="861"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单价</w:t>
            </w:r>
          </w:p>
        </w:tc>
        <w:tc>
          <w:tcPr>
            <w:tcW w:w="862"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w:t>
            </w:r>
          </w:p>
        </w:tc>
        <w:tc>
          <w:tcPr>
            <w:tcW w:w="740"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合计</w:t>
            </w:r>
          </w:p>
        </w:tc>
        <w:tc>
          <w:tcPr>
            <w:tcW w:w="708"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中小</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w:t>
            </w:r>
          </w:p>
        </w:tc>
        <w:tc>
          <w:tcPr>
            <w:tcW w:w="1137"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政策功能</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862" w:type="dxa"/>
            <w:vAlign w:val="center"/>
          </w:tcPr>
          <w:p>
            <w:pPr>
              <w:pStyle w:val="12"/>
              <w:jc w:val="center"/>
              <w:rPr>
                <w:rFonts w:hint="eastAsia" w:ascii="微软雅黑" w:hAnsi="微软雅黑" w:eastAsia="微软雅黑" w:cs="微软雅黑"/>
                <w:sz w:val="21"/>
                <w:szCs w:val="21"/>
              </w:rPr>
            </w:pPr>
          </w:p>
        </w:tc>
        <w:tc>
          <w:tcPr>
            <w:tcW w:w="861"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1" w:type="dxa"/>
            <w:gridSpan w:val="2"/>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740" w:type="dxa"/>
            <w:vAlign w:val="center"/>
          </w:tcPr>
          <w:p>
            <w:pPr>
              <w:pStyle w:val="12"/>
              <w:jc w:val="center"/>
              <w:rPr>
                <w:rFonts w:hint="eastAsia" w:ascii="微软雅黑" w:hAnsi="微软雅黑" w:eastAsia="微软雅黑" w:cs="微软雅黑"/>
                <w:sz w:val="21"/>
                <w:szCs w:val="21"/>
              </w:rPr>
            </w:pPr>
          </w:p>
        </w:tc>
        <w:tc>
          <w:tcPr>
            <w:tcW w:w="708" w:type="dxa"/>
            <w:vAlign w:val="center"/>
          </w:tcPr>
          <w:p>
            <w:pPr>
              <w:pStyle w:val="12"/>
              <w:jc w:val="center"/>
              <w:rPr>
                <w:rFonts w:hint="eastAsia" w:ascii="微软雅黑" w:hAnsi="微软雅黑" w:eastAsia="微软雅黑" w:cs="微软雅黑"/>
                <w:sz w:val="21"/>
                <w:szCs w:val="21"/>
              </w:rPr>
            </w:pP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862" w:type="dxa"/>
            <w:vAlign w:val="center"/>
          </w:tcPr>
          <w:p>
            <w:pPr>
              <w:pStyle w:val="12"/>
              <w:jc w:val="center"/>
              <w:rPr>
                <w:rFonts w:hint="eastAsia" w:ascii="微软雅黑" w:hAnsi="微软雅黑" w:eastAsia="微软雅黑" w:cs="微软雅黑"/>
                <w:sz w:val="21"/>
                <w:szCs w:val="21"/>
              </w:rPr>
            </w:pPr>
          </w:p>
        </w:tc>
        <w:tc>
          <w:tcPr>
            <w:tcW w:w="861"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1" w:type="dxa"/>
            <w:gridSpan w:val="2"/>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740" w:type="dxa"/>
            <w:vAlign w:val="center"/>
          </w:tcPr>
          <w:p>
            <w:pPr>
              <w:pStyle w:val="12"/>
              <w:jc w:val="center"/>
              <w:rPr>
                <w:rFonts w:hint="eastAsia" w:ascii="微软雅黑" w:hAnsi="微软雅黑" w:eastAsia="微软雅黑" w:cs="微软雅黑"/>
                <w:sz w:val="21"/>
                <w:szCs w:val="21"/>
              </w:rPr>
            </w:pPr>
          </w:p>
        </w:tc>
        <w:tc>
          <w:tcPr>
            <w:tcW w:w="708" w:type="dxa"/>
            <w:vAlign w:val="center"/>
          </w:tcPr>
          <w:p>
            <w:pPr>
              <w:pStyle w:val="12"/>
              <w:jc w:val="center"/>
              <w:rPr>
                <w:rFonts w:hint="eastAsia" w:ascii="微软雅黑" w:hAnsi="微软雅黑" w:eastAsia="微软雅黑" w:cs="微软雅黑"/>
                <w:sz w:val="21"/>
                <w:szCs w:val="21"/>
              </w:rPr>
            </w:pP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862" w:type="dxa"/>
            <w:vAlign w:val="center"/>
          </w:tcPr>
          <w:p>
            <w:pPr>
              <w:pStyle w:val="12"/>
              <w:jc w:val="center"/>
              <w:rPr>
                <w:rFonts w:hint="eastAsia" w:ascii="微软雅黑" w:hAnsi="微软雅黑" w:eastAsia="微软雅黑" w:cs="微软雅黑"/>
                <w:sz w:val="21"/>
                <w:szCs w:val="21"/>
              </w:rPr>
            </w:pPr>
          </w:p>
        </w:tc>
        <w:tc>
          <w:tcPr>
            <w:tcW w:w="861"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1" w:type="dxa"/>
            <w:gridSpan w:val="2"/>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740" w:type="dxa"/>
            <w:vAlign w:val="center"/>
          </w:tcPr>
          <w:p>
            <w:pPr>
              <w:pStyle w:val="12"/>
              <w:jc w:val="center"/>
              <w:rPr>
                <w:rFonts w:hint="eastAsia" w:ascii="微软雅黑" w:hAnsi="微软雅黑" w:eastAsia="微软雅黑" w:cs="微软雅黑"/>
                <w:sz w:val="21"/>
                <w:szCs w:val="21"/>
              </w:rPr>
            </w:pPr>
          </w:p>
        </w:tc>
        <w:tc>
          <w:tcPr>
            <w:tcW w:w="708" w:type="dxa"/>
            <w:vAlign w:val="center"/>
          </w:tcPr>
          <w:p>
            <w:pPr>
              <w:pStyle w:val="12"/>
              <w:jc w:val="center"/>
              <w:rPr>
                <w:rFonts w:hint="eastAsia" w:ascii="微软雅黑" w:hAnsi="微软雅黑" w:eastAsia="微软雅黑" w:cs="微软雅黑"/>
                <w:sz w:val="21"/>
                <w:szCs w:val="21"/>
              </w:rPr>
            </w:pP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862" w:type="dxa"/>
            <w:vAlign w:val="center"/>
          </w:tcPr>
          <w:p>
            <w:pPr>
              <w:pStyle w:val="12"/>
              <w:jc w:val="center"/>
              <w:rPr>
                <w:rFonts w:hint="eastAsia" w:ascii="微软雅黑" w:hAnsi="微软雅黑" w:eastAsia="微软雅黑" w:cs="微软雅黑"/>
                <w:sz w:val="21"/>
                <w:szCs w:val="21"/>
              </w:rPr>
            </w:pPr>
          </w:p>
        </w:tc>
        <w:tc>
          <w:tcPr>
            <w:tcW w:w="861"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1" w:type="dxa"/>
            <w:gridSpan w:val="2"/>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740" w:type="dxa"/>
            <w:vAlign w:val="center"/>
          </w:tcPr>
          <w:p>
            <w:pPr>
              <w:pStyle w:val="12"/>
              <w:jc w:val="center"/>
              <w:rPr>
                <w:rFonts w:hint="eastAsia" w:ascii="微软雅黑" w:hAnsi="微软雅黑" w:eastAsia="微软雅黑" w:cs="微软雅黑"/>
                <w:sz w:val="21"/>
                <w:szCs w:val="21"/>
              </w:rPr>
            </w:pPr>
          </w:p>
        </w:tc>
        <w:tc>
          <w:tcPr>
            <w:tcW w:w="708" w:type="dxa"/>
            <w:vAlign w:val="center"/>
          </w:tcPr>
          <w:p>
            <w:pPr>
              <w:pStyle w:val="12"/>
              <w:jc w:val="center"/>
              <w:rPr>
                <w:rFonts w:hint="eastAsia" w:ascii="微软雅黑" w:hAnsi="微软雅黑" w:eastAsia="微软雅黑" w:cs="微软雅黑"/>
                <w:sz w:val="21"/>
                <w:szCs w:val="21"/>
              </w:rPr>
            </w:pP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备品备件(包括专用工具等)</w:t>
            </w:r>
          </w:p>
        </w:tc>
        <w:tc>
          <w:tcPr>
            <w:tcW w:w="861"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1" w:type="dxa"/>
            <w:gridSpan w:val="2"/>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740" w:type="dxa"/>
            <w:vAlign w:val="center"/>
          </w:tcPr>
          <w:p>
            <w:pPr>
              <w:pStyle w:val="12"/>
              <w:jc w:val="center"/>
              <w:rPr>
                <w:rFonts w:hint="eastAsia" w:ascii="微软雅黑" w:hAnsi="微软雅黑" w:eastAsia="微软雅黑" w:cs="微软雅黑"/>
                <w:sz w:val="21"/>
                <w:szCs w:val="21"/>
              </w:rPr>
            </w:pPr>
          </w:p>
        </w:tc>
        <w:tc>
          <w:tcPr>
            <w:tcW w:w="708" w:type="dxa"/>
            <w:vAlign w:val="center"/>
          </w:tcPr>
          <w:p>
            <w:pPr>
              <w:pStyle w:val="12"/>
              <w:jc w:val="center"/>
              <w:rPr>
                <w:rFonts w:hint="eastAsia" w:ascii="微软雅黑" w:hAnsi="微软雅黑" w:eastAsia="微软雅黑" w:cs="微软雅黑"/>
                <w:sz w:val="21"/>
                <w:szCs w:val="21"/>
              </w:rPr>
            </w:pP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耗材</w:t>
            </w:r>
          </w:p>
        </w:tc>
        <w:tc>
          <w:tcPr>
            <w:tcW w:w="861"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861" w:type="dxa"/>
            <w:gridSpan w:val="2"/>
            <w:vAlign w:val="center"/>
          </w:tcPr>
          <w:p>
            <w:pPr>
              <w:pStyle w:val="12"/>
              <w:jc w:val="center"/>
              <w:rPr>
                <w:rFonts w:hint="eastAsia" w:ascii="微软雅黑" w:hAnsi="微软雅黑" w:eastAsia="微软雅黑" w:cs="微软雅黑"/>
                <w:sz w:val="21"/>
                <w:szCs w:val="21"/>
              </w:rPr>
            </w:pPr>
          </w:p>
        </w:tc>
        <w:tc>
          <w:tcPr>
            <w:tcW w:w="862" w:type="dxa"/>
            <w:vAlign w:val="center"/>
          </w:tcPr>
          <w:p>
            <w:pPr>
              <w:pStyle w:val="12"/>
              <w:jc w:val="center"/>
              <w:rPr>
                <w:rFonts w:hint="eastAsia" w:ascii="微软雅黑" w:hAnsi="微软雅黑" w:eastAsia="微软雅黑" w:cs="微软雅黑"/>
                <w:sz w:val="21"/>
                <w:szCs w:val="21"/>
              </w:rPr>
            </w:pPr>
          </w:p>
        </w:tc>
        <w:tc>
          <w:tcPr>
            <w:tcW w:w="740" w:type="dxa"/>
            <w:vAlign w:val="center"/>
          </w:tcPr>
          <w:p>
            <w:pPr>
              <w:pStyle w:val="12"/>
              <w:jc w:val="center"/>
              <w:rPr>
                <w:rFonts w:hint="eastAsia" w:ascii="微软雅黑" w:hAnsi="微软雅黑" w:eastAsia="微软雅黑" w:cs="微软雅黑"/>
                <w:sz w:val="21"/>
                <w:szCs w:val="21"/>
              </w:rPr>
            </w:pPr>
          </w:p>
        </w:tc>
        <w:tc>
          <w:tcPr>
            <w:tcW w:w="708" w:type="dxa"/>
            <w:vAlign w:val="center"/>
          </w:tcPr>
          <w:p>
            <w:pPr>
              <w:pStyle w:val="12"/>
              <w:jc w:val="center"/>
              <w:rPr>
                <w:rFonts w:hint="eastAsia" w:ascii="微软雅黑" w:hAnsi="微软雅黑" w:eastAsia="微软雅黑" w:cs="微软雅黑"/>
                <w:sz w:val="21"/>
                <w:szCs w:val="21"/>
              </w:rPr>
            </w:pP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设备</w:t>
            </w:r>
            <w:r>
              <w:rPr>
                <w:rFonts w:hint="eastAsia" w:ascii="微软雅黑" w:hAnsi="微软雅黑" w:eastAsia="微软雅黑" w:cs="微软雅黑"/>
                <w:sz w:val="21"/>
                <w:szCs w:val="21"/>
              </w:rPr>
              <w:t>费合计</w:t>
            </w:r>
          </w:p>
        </w:tc>
        <w:tc>
          <w:tcPr>
            <w:tcW w:w="6893" w:type="dxa"/>
            <w:gridSpan w:val="9"/>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包装</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运输</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费</w:t>
            </w:r>
          </w:p>
        </w:tc>
        <w:tc>
          <w:tcPr>
            <w:tcW w:w="1723"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包装费</w:t>
            </w:r>
          </w:p>
        </w:tc>
        <w:tc>
          <w:tcPr>
            <w:tcW w:w="2202" w:type="dxa"/>
            <w:gridSpan w:val="3"/>
            <w:vAlign w:val="center"/>
          </w:tcPr>
          <w:p>
            <w:pPr>
              <w:pStyle w:val="12"/>
              <w:jc w:val="center"/>
              <w:rPr>
                <w:rFonts w:hint="eastAsia" w:ascii="微软雅黑" w:hAnsi="微软雅黑" w:eastAsia="微软雅黑" w:cs="微软雅黑"/>
                <w:sz w:val="21"/>
                <w:szCs w:val="21"/>
              </w:rPr>
            </w:pPr>
          </w:p>
        </w:tc>
        <w:tc>
          <w:tcPr>
            <w:tcW w:w="1245" w:type="dxa"/>
            <w:gridSpan w:val="2"/>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安装</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调试费</w:t>
            </w:r>
          </w:p>
        </w:tc>
        <w:tc>
          <w:tcPr>
            <w:tcW w:w="1448"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安装费</w:t>
            </w: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2"/>
              <w:jc w:val="center"/>
              <w:rPr>
                <w:rFonts w:hint="eastAsia" w:ascii="微软雅黑" w:hAnsi="微软雅黑" w:eastAsia="微软雅黑" w:cs="微软雅黑"/>
                <w:sz w:val="21"/>
                <w:szCs w:val="21"/>
              </w:rPr>
            </w:pPr>
          </w:p>
        </w:tc>
        <w:tc>
          <w:tcPr>
            <w:tcW w:w="1723"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运输费</w:t>
            </w:r>
          </w:p>
        </w:tc>
        <w:tc>
          <w:tcPr>
            <w:tcW w:w="2202" w:type="dxa"/>
            <w:gridSpan w:val="3"/>
            <w:vAlign w:val="center"/>
          </w:tcPr>
          <w:p>
            <w:pPr>
              <w:pStyle w:val="12"/>
              <w:jc w:val="center"/>
              <w:rPr>
                <w:rFonts w:hint="eastAsia" w:ascii="微软雅黑" w:hAnsi="微软雅黑" w:eastAsia="微软雅黑" w:cs="微软雅黑"/>
                <w:sz w:val="21"/>
                <w:szCs w:val="21"/>
              </w:rPr>
            </w:pPr>
          </w:p>
        </w:tc>
        <w:tc>
          <w:tcPr>
            <w:tcW w:w="1245" w:type="dxa"/>
            <w:gridSpan w:val="2"/>
            <w:vMerge w:val="continue"/>
            <w:vAlign w:val="center"/>
          </w:tcPr>
          <w:p>
            <w:pPr>
              <w:pStyle w:val="12"/>
              <w:jc w:val="center"/>
              <w:rPr>
                <w:rFonts w:hint="eastAsia" w:ascii="微软雅黑" w:hAnsi="微软雅黑" w:eastAsia="微软雅黑" w:cs="微软雅黑"/>
                <w:sz w:val="21"/>
                <w:szCs w:val="21"/>
              </w:rPr>
            </w:pPr>
          </w:p>
        </w:tc>
        <w:tc>
          <w:tcPr>
            <w:tcW w:w="1448"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调试费</w:t>
            </w: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2"/>
              <w:jc w:val="center"/>
              <w:rPr>
                <w:rFonts w:hint="eastAsia" w:ascii="微软雅黑" w:hAnsi="微软雅黑" w:eastAsia="微软雅黑" w:cs="微软雅黑"/>
                <w:sz w:val="21"/>
                <w:szCs w:val="21"/>
              </w:rPr>
            </w:pPr>
          </w:p>
        </w:tc>
        <w:tc>
          <w:tcPr>
            <w:tcW w:w="1723"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装卸费</w:t>
            </w:r>
          </w:p>
        </w:tc>
        <w:tc>
          <w:tcPr>
            <w:tcW w:w="2202" w:type="dxa"/>
            <w:gridSpan w:val="3"/>
            <w:vAlign w:val="center"/>
          </w:tcPr>
          <w:p>
            <w:pPr>
              <w:pStyle w:val="12"/>
              <w:jc w:val="center"/>
              <w:rPr>
                <w:rFonts w:hint="eastAsia" w:ascii="微软雅黑" w:hAnsi="微软雅黑" w:eastAsia="微软雅黑" w:cs="微软雅黑"/>
                <w:sz w:val="21"/>
                <w:szCs w:val="21"/>
              </w:rPr>
            </w:pPr>
          </w:p>
        </w:tc>
        <w:tc>
          <w:tcPr>
            <w:tcW w:w="1245" w:type="dxa"/>
            <w:gridSpan w:val="2"/>
            <w:vMerge w:val="continue"/>
            <w:vAlign w:val="center"/>
          </w:tcPr>
          <w:p>
            <w:pPr>
              <w:pStyle w:val="12"/>
              <w:jc w:val="center"/>
              <w:rPr>
                <w:rFonts w:hint="eastAsia" w:ascii="微软雅黑" w:hAnsi="微软雅黑" w:eastAsia="微软雅黑" w:cs="微软雅黑"/>
                <w:sz w:val="21"/>
                <w:szCs w:val="21"/>
              </w:rPr>
            </w:pPr>
          </w:p>
        </w:tc>
        <w:tc>
          <w:tcPr>
            <w:tcW w:w="1448"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2"/>
              <w:jc w:val="center"/>
              <w:rPr>
                <w:rFonts w:hint="eastAsia" w:ascii="微软雅黑" w:hAnsi="微软雅黑" w:eastAsia="微软雅黑" w:cs="微软雅黑"/>
                <w:sz w:val="21"/>
                <w:szCs w:val="21"/>
              </w:rPr>
            </w:pPr>
          </w:p>
        </w:tc>
        <w:tc>
          <w:tcPr>
            <w:tcW w:w="1723"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保险费</w:t>
            </w:r>
          </w:p>
        </w:tc>
        <w:tc>
          <w:tcPr>
            <w:tcW w:w="2202" w:type="dxa"/>
            <w:gridSpan w:val="3"/>
            <w:vAlign w:val="center"/>
          </w:tcPr>
          <w:p>
            <w:pPr>
              <w:pStyle w:val="12"/>
              <w:jc w:val="center"/>
              <w:rPr>
                <w:rFonts w:hint="eastAsia" w:ascii="微软雅黑" w:hAnsi="微软雅黑" w:eastAsia="微软雅黑" w:cs="微软雅黑"/>
                <w:sz w:val="21"/>
                <w:szCs w:val="21"/>
              </w:rPr>
            </w:pPr>
          </w:p>
        </w:tc>
        <w:tc>
          <w:tcPr>
            <w:tcW w:w="1245" w:type="dxa"/>
            <w:gridSpan w:val="2"/>
            <w:vMerge w:val="continue"/>
            <w:vAlign w:val="center"/>
          </w:tcPr>
          <w:p>
            <w:pPr>
              <w:pStyle w:val="12"/>
              <w:jc w:val="center"/>
              <w:rPr>
                <w:rFonts w:hint="eastAsia" w:ascii="微软雅黑" w:hAnsi="微软雅黑" w:eastAsia="微软雅黑" w:cs="微软雅黑"/>
                <w:sz w:val="21"/>
                <w:szCs w:val="21"/>
              </w:rPr>
            </w:pPr>
          </w:p>
        </w:tc>
        <w:tc>
          <w:tcPr>
            <w:tcW w:w="1448"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小计</w:t>
            </w: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2"/>
              <w:jc w:val="center"/>
              <w:rPr>
                <w:rFonts w:hint="eastAsia" w:ascii="微软雅黑" w:hAnsi="微软雅黑" w:eastAsia="微软雅黑" w:cs="微软雅黑"/>
                <w:sz w:val="21"/>
                <w:szCs w:val="21"/>
              </w:rPr>
            </w:pPr>
          </w:p>
        </w:tc>
        <w:tc>
          <w:tcPr>
            <w:tcW w:w="1723"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2202" w:type="dxa"/>
            <w:gridSpan w:val="3"/>
            <w:vAlign w:val="center"/>
          </w:tcPr>
          <w:p>
            <w:pPr>
              <w:pStyle w:val="12"/>
              <w:jc w:val="center"/>
              <w:rPr>
                <w:rFonts w:hint="eastAsia" w:ascii="微软雅黑" w:hAnsi="微软雅黑" w:eastAsia="微软雅黑" w:cs="微软雅黑"/>
                <w:sz w:val="21"/>
                <w:szCs w:val="21"/>
              </w:rPr>
            </w:pPr>
          </w:p>
        </w:tc>
        <w:tc>
          <w:tcPr>
            <w:tcW w:w="1245" w:type="dxa"/>
            <w:gridSpan w:val="2"/>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售后</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服务费</w:t>
            </w:r>
          </w:p>
        </w:tc>
        <w:tc>
          <w:tcPr>
            <w:tcW w:w="1448"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培训费</w:t>
            </w: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2"/>
              <w:jc w:val="center"/>
              <w:rPr>
                <w:rFonts w:hint="eastAsia" w:ascii="微软雅黑" w:hAnsi="微软雅黑" w:eastAsia="微软雅黑" w:cs="微软雅黑"/>
                <w:sz w:val="21"/>
                <w:szCs w:val="21"/>
              </w:rPr>
            </w:pPr>
          </w:p>
        </w:tc>
        <w:tc>
          <w:tcPr>
            <w:tcW w:w="1723"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小计</w:t>
            </w:r>
          </w:p>
        </w:tc>
        <w:tc>
          <w:tcPr>
            <w:tcW w:w="2202" w:type="dxa"/>
            <w:gridSpan w:val="3"/>
            <w:vAlign w:val="center"/>
          </w:tcPr>
          <w:p>
            <w:pPr>
              <w:pStyle w:val="12"/>
              <w:jc w:val="center"/>
              <w:rPr>
                <w:rFonts w:hint="eastAsia" w:ascii="微软雅黑" w:hAnsi="微软雅黑" w:eastAsia="微软雅黑" w:cs="微软雅黑"/>
                <w:sz w:val="21"/>
                <w:szCs w:val="21"/>
              </w:rPr>
            </w:pPr>
          </w:p>
        </w:tc>
        <w:tc>
          <w:tcPr>
            <w:tcW w:w="1245" w:type="dxa"/>
            <w:gridSpan w:val="2"/>
            <w:vMerge w:val="continue"/>
            <w:vAlign w:val="center"/>
          </w:tcPr>
          <w:p>
            <w:pPr>
              <w:pStyle w:val="12"/>
              <w:jc w:val="center"/>
              <w:rPr>
                <w:rFonts w:hint="eastAsia" w:ascii="微软雅黑" w:hAnsi="微软雅黑" w:eastAsia="微软雅黑" w:cs="微软雅黑"/>
                <w:sz w:val="21"/>
                <w:szCs w:val="21"/>
              </w:rPr>
            </w:pPr>
          </w:p>
        </w:tc>
        <w:tc>
          <w:tcPr>
            <w:tcW w:w="1448"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技术服务费</w:t>
            </w: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w:t>
            </w:r>
          </w:p>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费用</w:t>
            </w:r>
          </w:p>
        </w:tc>
        <w:tc>
          <w:tcPr>
            <w:tcW w:w="1723"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代理费</w:t>
            </w:r>
          </w:p>
        </w:tc>
        <w:tc>
          <w:tcPr>
            <w:tcW w:w="2202" w:type="dxa"/>
            <w:gridSpan w:val="3"/>
            <w:vAlign w:val="center"/>
          </w:tcPr>
          <w:p>
            <w:pPr>
              <w:pStyle w:val="12"/>
              <w:jc w:val="center"/>
              <w:rPr>
                <w:rFonts w:hint="eastAsia" w:ascii="微软雅黑" w:hAnsi="微软雅黑" w:eastAsia="微软雅黑" w:cs="微软雅黑"/>
                <w:sz w:val="21"/>
                <w:szCs w:val="21"/>
              </w:rPr>
            </w:pPr>
          </w:p>
        </w:tc>
        <w:tc>
          <w:tcPr>
            <w:tcW w:w="1245" w:type="dxa"/>
            <w:gridSpan w:val="2"/>
            <w:vMerge w:val="continue"/>
            <w:vAlign w:val="center"/>
          </w:tcPr>
          <w:p>
            <w:pPr>
              <w:pStyle w:val="12"/>
              <w:jc w:val="center"/>
              <w:rPr>
                <w:rFonts w:hint="eastAsia" w:ascii="微软雅黑" w:hAnsi="微软雅黑" w:eastAsia="微软雅黑" w:cs="微软雅黑"/>
                <w:sz w:val="21"/>
                <w:szCs w:val="21"/>
              </w:rPr>
            </w:pPr>
          </w:p>
        </w:tc>
        <w:tc>
          <w:tcPr>
            <w:tcW w:w="1448"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2"/>
              <w:jc w:val="center"/>
              <w:rPr>
                <w:rFonts w:hint="eastAsia" w:ascii="微软雅黑" w:hAnsi="微软雅黑" w:eastAsia="微软雅黑" w:cs="微软雅黑"/>
                <w:sz w:val="21"/>
                <w:szCs w:val="21"/>
              </w:rPr>
            </w:pPr>
          </w:p>
        </w:tc>
        <w:tc>
          <w:tcPr>
            <w:tcW w:w="1723"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2202" w:type="dxa"/>
            <w:gridSpan w:val="3"/>
            <w:vAlign w:val="center"/>
          </w:tcPr>
          <w:p>
            <w:pPr>
              <w:pStyle w:val="12"/>
              <w:jc w:val="center"/>
              <w:rPr>
                <w:rFonts w:hint="eastAsia" w:ascii="微软雅黑" w:hAnsi="微软雅黑" w:eastAsia="微软雅黑" w:cs="微软雅黑"/>
                <w:sz w:val="21"/>
                <w:szCs w:val="21"/>
              </w:rPr>
            </w:pPr>
          </w:p>
        </w:tc>
        <w:tc>
          <w:tcPr>
            <w:tcW w:w="1245" w:type="dxa"/>
            <w:gridSpan w:val="2"/>
            <w:vMerge w:val="continue"/>
            <w:vAlign w:val="center"/>
          </w:tcPr>
          <w:p>
            <w:pPr>
              <w:pStyle w:val="12"/>
              <w:jc w:val="center"/>
              <w:rPr>
                <w:rFonts w:hint="eastAsia" w:ascii="微软雅黑" w:hAnsi="微软雅黑" w:eastAsia="微软雅黑" w:cs="微软雅黑"/>
                <w:sz w:val="21"/>
                <w:szCs w:val="21"/>
              </w:rPr>
            </w:pPr>
          </w:p>
        </w:tc>
        <w:tc>
          <w:tcPr>
            <w:tcW w:w="1448" w:type="dxa"/>
            <w:gridSpan w:val="2"/>
            <w:vAlign w:val="center"/>
          </w:tcPr>
          <w:p>
            <w:pPr>
              <w:pStyle w:val="12"/>
              <w:jc w:val="center"/>
              <w:rPr>
                <w:rFonts w:hint="eastAsia" w:ascii="微软雅黑" w:hAnsi="微软雅黑" w:eastAsia="微软雅黑" w:cs="微软雅黑"/>
                <w:sz w:val="21"/>
                <w:szCs w:val="21"/>
              </w:rPr>
            </w:pPr>
          </w:p>
        </w:tc>
        <w:tc>
          <w:tcPr>
            <w:tcW w:w="1137"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2"/>
              <w:jc w:val="center"/>
              <w:rPr>
                <w:rFonts w:hint="eastAsia" w:ascii="微软雅黑" w:hAnsi="微软雅黑" w:eastAsia="微软雅黑" w:cs="微软雅黑"/>
                <w:sz w:val="21"/>
                <w:szCs w:val="21"/>
              </w:rPr>
            </w:pPr>
          </w:p>
        </w:tc>
        <w:tc>
          <w:tcPr>
            <w:tcW w:w="1723"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小计</w:t>
            </w:r>
          </w:p>
        </w:tc>
        <w:tc>
          <w:tcPr>
            <w:tcW w:w="2202" w:type="dxa"/>
            <w:gridSpan w:val="3"/>
            <w:vAlign w:val="center"/>
          </w:tcPr>
          <w:p>
            <w:pPr>
              <w:pStyle w:val="12"/>
              <w:jc w:val="center"/>
              <w:rPr>
                <w:rFonts w:hint="eastAsia" w:ascii="微软雅黑" w:hAnsi="微软雅黑" w:eastAsia="微软雅黑" w:cs="微软雅黑"/>
                <w:sz w:val="21"/>
                <w:szCs w:val="21"/>
              </w:rPr>
            </w:pPr>
          </w:p>
        </w:tc>
        <w:tc>
          <w:tcPr>
            <w:tcW w:w="1245" w:type="dxa"/>
            <w:gridSpan w:val="2"/>
            <w:vMerge w:val="continue"/>
            <w:vAlign w:val="center"/>
          </w:tcPr>
          <w:p>
            <w:pPr>
              <w:pStyle w:val="12"/>
              <w:jc w:val="center"/>
              <w:rPr>
                <w:rFonts w:hint="eastAsia" w:ascii="微软雅黑" w:hAnsi="微软雅黑" w:eastAsia="微软雅黑" w:cs="微软雅黑"/>
                <w:sz w:val="21"/>
                <w:szCs w:val="21"/>
              </w:rPr>
            </w:pPr>
          </w:p>
        </w:tc>
        <w:tc>
          <w:tcPr>
            <w:tcW w:w="1448" w:type="dxa"/>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小计</w:t>
            </w:r>
          </w:p>
        </w:tc>
        <w:tc>
          <w:tcPr>
            <w:tcW w:w="1137" w:type="dxa"/>
            <w:vAlign w:val="center"/>
          </w:tcPr>
          <w:p>
            <w:pPr>
              <w:pStyle w:val="12"/>
              <w:jc w:val="center"/>
              <w:rPr>
                <w:rFonts w:hint="eastAsia" w:ascii="微软雅黑" w:hAnsi="微软雅黑" w:eastAsia="微软雅黑" w:cs="微软雅黑"/>
                <w:sz w:val="21"/>
                <w:szCs w:val="21"/>
              </w:rPr>
            </w:pPr>
          </w:p>
        </w:tc>
      </w:tr>
    </w:tbl>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说明：本表中的中小企业是指制造厂商为“中型企业”或者“小型、微型企业”，政策功能类型及编号是指产品在最新一期节能、环保清单内的编号。</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供应商名称(盖公章)：____________________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法定代表人或授权代表(签字或盖章)：____________________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2"/>
        <w:ind w:firstLine="420" w:firstLineChars="200"/>
        <w:jc w:val="center"/>
        <w:rPr>
          <w:rFonts w:ascii="Times New Roman" w:hAnsi="Times New Roman" w:eastAsia="MingLiU_HKSCS"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第四章　商务条款偏离表</w:t>
      </w:r>
    </w:p>
    <w:p>
      <w:pPr>
        <w:pStyle w:val="12"/>
        <w:ind w:firstLine="560" w:firstLineChars="20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商务条款偏离表</w:t>
      </w:r>
    </w:p>
    <w:p>
      <w:pPr>
        <w:pStyle w:val="12"/>
        <w:ind w:firstLine="420" w:firstLineChars="200"/>
        <w:rPr>
          <w:rFonts w:hint="eastAsia"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p>
      <w:pPr>
        <w:pStyle w:val="12"/>
        <w:ind w:firstLine="630" w:firstLineChars="30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包号：</w:t>
      </w:r>
    </w:p>
    <w:tbl>
      <w:tblPr>
        <w:tblStyle w:val="16"/>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序号</w:t>
            </w:r>
          </w:p>
        </w:tc>
        <w:tc>
          <w:tcPr>
            <w:tcW w:w="1843"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招标文件条目号</w:t>
            </w:r>
          </w:p>
        </w:tc>
        <w:tc>
          <w:tcPr>
            <w:tcW w:w="2268"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招标文件的商务条款</w:t>
            </w:r>
          </w:p>
        </w:tc>
        <w:tc>
          <w:tcPr>
            <w:tcW w:w="2126"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投标文件的商务条款</w:t>
            </w:r>
          </w:p>
        </w:tc>
        <w:tc>
          <w:tcPr>
            <w:tcW w:w="745"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偏离</w:t>
            </w:r>
          </w:p>
        </w:tc>
        <w:tc>
          <w:tcPr>
            <w:tcW w:w="816"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2"/>
              <w:jc w:val="center"/>
              <w:rPr>
                <w:rFonts w:hint="eastAsia" w:ascii="微软雅黑" w:hAnsi="微软雅黑" w:eastAsia="微软雅黑" w:cs="微软雅黑"/>
              </w:rPr>
            </w:pPr>
          </w:p>
        </w:tc>
        <w:tc>
          <w:tcPr>
            <w:tcW w:w="1843" w:type="dxa"/>
            <w:vAlign w:val="center"/>
          </w:tcPr>
          <w:p>
            <w:pPr>
              <w:pStyle w:val="12"/>
              <w:jc w:val="center"/>
              <w:rPr>
                <w:rFonts w:hint="eastAsia" w:ascii="微软雅黑" w:hAnsi="微软雅黑" w:eastAsia="微软雅黑" w:cs="微软雅黑"/>
              </w:rPr>
            </w:pPr>
          </w:p>
        </w:tc>
        <w:tc>
          <w:tcPr>
            <w:tcW w:w="2268" w:type="dxa"/>
            <w:vAlign w:val="center"/>
          </w:tcPr>
          <w:p>
            <w:pPr>
              <w:pStyle w:val="12"/>
              <w:jc w:val="center"/>
              <w:rPr>
                <w:rFonts w:hint="eastAsia" w:ascii="微软雅黑" w:hAnsi="微软雅黑" w:eastAsia="微软雅黑" w:cs="微软雅黑"/>
              </w:rPr>
            </w:pPr>
          </w:p>
        </w:tc>
        <w:tc>
          <w:tcPr>
            <w:tcW w:w="2126" w:type="dxa"/>
            <w:vAlign w:val="center"/>
          </w:tcPr>
          <w:p>
            <w:pPr>
              <w:pStyle w:val="12"/>
              <w:jc w:val="center"/>
              <w:rPr>
                <w:rFonts w:hint="eastAsia" w:ascii="微软雅黑" w:hAnsi="微软雅黑" w:eastAsia="微软雅黑" w:cs="微软雅黑"/>
              </w:rPr>
            </w:pPr>
          </w:p>
        </w:tc>
        <w:tc>
          <w:tcPr>
            <w:tcW w:w="745"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2"/>
              <w:jc w:val="center"/>
              <w:rPr>
                <w:rFonts w:hint="eastAsia" w:ascii="微软雅黑" w:hAnsi="微软雅黑" w:eastAsia="微软雅黑" w:cs="微软雅黑"/>
              </w:rPr>
            </w:pPr>
          </w:p>
        </w:tc>
        <w:tc>
          <w:tcPr>
            <w:tcW w:w="1843" w:type="dxa"/>
            <w:vAlign w:val="center"/>
          </w:tcPr>
          <w:p>
            <w:pPr>
              <w:pStyle w:val="12"/>
              <w:jc w:val="center"/>
              <w:rPr>
                <w:rFonts w:hint="eastAsia" w:ascii="微软雅黑" w:hAnsi="微软雅黑" w:eastAsia="微软雅黑" w:cs="微软雅黑"/>
              </w:rPr>
            </w:pPr>
          </w:p>
        </w:tc>
        <w:tc>
          <w:tcPr>
            <w:tcW w:w="2268" w:type="dxa"/>
            <w:vAlign w:val="center"/>
          </w:tcPr>
          <w:p>
            <w:pPr>
              <w:pStyle w:val="12"/>
              <w:jc w:val="center"/>
              <w:rPr>
                <w:rFonts w:hint="eastAsia" w:ascii="微软雅黑" w:hAnsi="微软雅黑" w:eastAsia="微软雅黑" w:cs="微软雅黑"/>
              </w:rPr>
            </w:pPr>
          </w:p>
        </w:tc>
        <w:tc>
          <w:tcPr>
            <w:tcW w:w="2126" w:type="dxa"/>
            <w:vAlign w:val="center"/>
          </w:tcPr>
          <w:p>
            <w:pPr>
              <w:pStyle w:val="12"/>
              <w:jc w:val="center"/>
              <w:rPr>
                <w:rFonts w:hint="eastAsia" w:ascii="微软雅黑" w:hAnsi="微软雅黑" w:eastAsia="微软雅黑" w:cs="微软雅黑"/>
              </w:rPr>
            </w:pPr>
          </w:p>
        </w:tc>
        <w:tc>
          <w:tcPr>
            <w:tcW w:w="745"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2"/>
              <w:jc w:val="center"/>
              <w:rPr>
                <w:rFonts w:hint="eastAsia" w:ascii="微软雅黑" w:hAnsi="微软雅黑" w:eastAsia="微软雅黑" w:cs="微软雅黑"/>
              </w:rPr>
            </w:pPr>
          </w:p>
        </w:tc>
        <w:tc>
          <w:tcPr>
            <w:tcW w:w="1843" w:type="dxa"/>
            <w:vAlign w:val="center"/>
          </w:tcPr>
          <w:p>
            <w:pPr>
              <w:pStyle w:val="12"/>
              <w:jc w:val="center"/>
              <w:rPr>
                <w:rFonts w:hint="eastAsia" w:ascii="微软雅黑" w:hAnsi="微软雅黑" w:eastAsia="微软雅黑" w:cs="微软雅黑"/>
              </w:rPr>
            </w:pPr>
          </w:p>
        </w:tc>
        <w:tc>
          <w:tcPr>
            <w:tcW w:w="2268" w:type="dxa"/>
            <w:vAlign w:val="center"/>
          </w:tcPr>
          <w:p>
            <w:pPr>
              <w:pStyle w:val="12"/>
              <w:jc w:val="center"/>
              <w:rPr>
                <w:rFonts w:hint="eastAsia" w:ascii="微软雅黑" w:hAnsi="微软雅黑" w:eastAsia="微软雅黑" w:cs="微软雅黑"/>
              </w:rPr>
            </w:pPr>
          </w:p>
        </w:tc>
        <w:tc>
          <w:tcPr>
            <w:tcW w:w="2126" w:type="dxa"/>
            <w:vAlign w:val="center"/>
          </w:tcPr>
          <w:p>
            <w:pPr>
              <w:pStyle w:val="12"/>
              <w:jc w:val="center"/>
              <w:rPr>
                <w:rFonts w:hint="eastAsia" w:ascii="微软雅黑" w:hAnsi="微软雅黑" w:eastAsia="微软雅黑" w:cs="微软雅黑"/>
              </w:rPr>
            </w:pPr>
          </w:p>
        </w:tc>
        <w:tc>
          <w:tcPr>
            <w:tcW w:w="745"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2"/>
              <w:jc w:val="center"/>
              <w:rPr>
                <w:rFonts w:hint="eastAsia" w:ascii="微软雅黑" w:hAnsi="微软雅黑" w:eastAsia="微软雅黑" w:cs="微软雅黑"/>
              </w:rPr>
            </w:pPr>
          </w:p>
        </w:tc>
        <w:tc>
          <w:tcPr>
            <w:tcW w:w="1843" w:type="dxa"/>
            <w:vAlign w:val="center"/>
          </w:tcPr>
          <w:p>
            <w:pPr>
              <w:pStyle w:val="12"/>
              <w:jc w:val="center"/>
              <w:rPr>
                <w:rFonts w:hint="eastAsia" w:ascii="微软雅黑" w:hAnsi="微软雅黑" w:eastAsia="微软雅黑" w:cs="微软雅黑"/>
              </w:rPr>
            </w:pPr>
          </w:p>
        </w:tc>
        <w:tc>
          <w:tcPr>
            <w:tcW w:w="2268" w:type="dxa"/>
            <w:vAlign w:val="center"/>
          </w:tcPr>
          <w:p>
            <w:pPr>
              <w:pStyle w:val="12"/>
              <w:jc w:val="center"/>
              <w:rPr>
                <w:rFonts w:hint="eastAsia" w:ascii="微软雅黑" w:hAnsi="微软雅黑" w:eastAsia="微软雅黑" w:cs="微软雅黑"/>
              </w:rPr>
            </w:pPr>
          </w:p>
        </w:tc>
        <w:tc>
          <w:tcPr>
            <w:tcW w:w="2126" w:type="dxa"/>
            <w:vAlign w:val="center"/>
          </w:tcPr>
          <w:p>
            <w:pPr>
              <w:pStyle w:val="12"/>
              <w:jc w:val="center"/>
              <w:rPr>
                <w:rFonts w:hint="eastAsia" w:ascii="微软雅黑" w:hAnsi="微软雅黑" w:eastAsia="微软雅黑" w:cs="微软雅黑"/>
              </w:rPr>
            </w:pPr>
          </w:p>
        </w:tc>
        <w:tc>
          <w:tcPr>
            <w:tcW w:w="745"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pPr>
              <w:pStyle w:val="12"/>
              <w:jc w:val="center"/>
              <w:rPr>
                <w:rFonts w:hint="eastAsia" w:ascii="微软雅黑" w:hAnsi="微软雅黑" w:eastAsia="微软雅黑" w:cs="微软雅黑"/>
              </w:rPr>
            </w:pPr>
          </w:p>
        </w:tc>
        <w:tc>
          <w:tcPr>
            <w:tcW w:w="1843" w:type="dxa"/>
            <w:vAlign w:val="center"/>
          </w:tcPr>
          <w:p>
            <w:pPr>
              <w:pStyle w:val="12"/>
              <w:jc w:val="center"/>
              <w:rPr>
                <w:rFonts w:hint="eastAsia" w:ascii="微软雅黑" w:hAnsi="微软雅黑" w:eastAsia="微软雅黑" w:cs="微软雅黑"/>
              </w:rPr>
            </w:pPr>
          </w:p>
        </w:tc>
        <w:tc>
          <w:tcPr>
            <w:tcW w:w="2268" w:type="dxa"/>
            <w:vAlign w:val="center"/>
          </w:tcPr>
          <w:p>
            <w:pPr>
              <w:pStyle w:val="12"/>
              <w:jc w:val="center"/>
              <w:rPr>
                <w:rFonts w:hint="eastAsia" w:ascii="微软雅黑" w:hAnsi="微软雅黑" w:eastAsia="微软雅黑" w:cs="微软雅黑"/>
              </w:rPr>
            </w:pPr>
          </w:p>
        </w:tc>
        <w:tc>
          <w:tcPr>
            <w:tcW w:w="2126" w:type="dxa"/>
            <w:vAlign w:val="center"/>
          </w:tcPr>
          <w:p>
            <w:pPr>
              <w:pStyle w:val="12"/>
              <w:jc w:val="center"/>
              <w:rPr>
                <w:rFonts w:hint="eastAsia" w:ascii="微软雅黑" w:hAnsi="微软雅黑" w:eastAsia="微软雅黑" w:cs="微软雅黑"/>
              </w:rPr>
            </w:pPr>
          </w:p>
        </w:tc>
        <w:tc>
          <w:tcPr>
            <w:tcW w:w="745"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2"/>
              <w:jc w:val="center"/>
              <w:rPr>
                <w:rFonts w:hint="eastAsia" w:ascii="微软雅黑" w:hAnsi="微软雅黑" w:eastAsia="微软雅黑" w:cs="微软雅黑"/>
              </w:rPr>
            </w:pPr>
          </w:p>
        </w:tc>
        <w:tc>
          <w:tcPr>
            <w:tcW w:w="1843" w:type="dxa"/>
            <w:vAlign w:val="center"/>
          </w:tcPr>
          <w:p>
            <w:pPr>
              <w:pStyle w:val="12"/>
              <w:jc w:val="center"/>
              <w:rPr>
                <w:rFonts w:hint="eastAsia" w:ascii="微软雅黑" w:hAnsi="微软雅黑" w:eastAsia="微软雅黑" w:cs="微软雅黑"/>
              </w:rPr>
            </w:pPr>
          </w:p>
        </w:tc>
        <w:tc>
          <w:tcPr>
            <w:tcW w:w="2268" w:type="dxa"/>
            <w:vAlign w:val="center"/>
          </w:tcPr>
          <w:p>
            <w:pPr>
              <w:pStyle w:val="12"/>
              <w:jc w:val="center"/>
              <w:rPr>
                <w:rFonts w:hint="eastAsia" w:ascii="微软雅黑" w:hAnsi="微软雅黑" w:eastAsia="微软雅黑" w:cs="微软雅黑"/>
              </w:rPr>
            </w:pPr>
          </w:p>
        </w:tc>
        <w:tc>
          <w:tcPr>
            <w:tcW w:w="2126" w:type="dxa"/>
            <w:vAlign w:val="center"/>
          </w:tcPr>
          <w:p>
            <w:pPr>
              <w:pStyle w:val="12"/>
              <w:jc w:val="center"/>
              <w:rPr>
                <w:rFonts w:hint="eastAsia" w:ascii="微软雅黑" w:hAnsi="微软雅黑" w:eastAsia="微软雅黑" w:cs="微软雅黑"/>
              </w:rPr>
            </w:pPr>
          </w:p>
        </w:tc>
        <w:tc>
          <w:tcPr>
            <w:tcW w:w="745"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bl>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说明：如有偏离，则必须注明“偏离”；未注明偏离的，视为完全响应。</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2"/>
        <w:jc w:val="both"/>
        <w:rPr>
          <w:rFonts w:hint="eastAsia" w:ascii="微软雅黑" w:hAnsi="微软雅黑" w:eastAsia="微软雅黑" w:cs="微软雅黑"/>
          <w:b/>
          <w:bCs/>
          <w:sz w:val="32"/>
          <w:szCs w:val="32"/>
        </w:rPr>
      </w:pPr>
      <w:r>
        <w:rPr>
          <w:rFonts w:hint="eastAsia" w:ascii="微软雅黑" w:hAnsi="微软雅黑" w:eastAsia="微软雅黑" w:cs="微软雅黑"/>
        </w:rPr>
        <w:br w:type="page"/>
      </w:r>
      <w:r>
        <w:rPr>
          <w:rFonts w:hint="eastAsia" w:ascii="微软雅黑" w:hAnsi="微软雅黑" w:eastAsia="微软雅黑" w:cs="微软雅黑"/>
          <w:lang w:val="en-US" w:eastAsia="zh-CN"/>
        </w:rPr>
        <w:t xml:space="preserve">             </w:t>
      </w: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五</w:t>
      </w:r>
      <w:r>
        <w:rPr>
          <w:rFonts w:hint="eastAsia" w:ascii="微软雅黑" w:hAnsi="微软雅黑" w:eastAsia="微软雅黑" w:cs="微软雅黑"/>
          <w:b/>
          <w:bCs/>
          <w:sz w:val="32"/>
          <w:szCs w:val="32"/>
        </w:rPr>
        <w:t>章　投标人具备投标资格的证明文件</w:t>
      </w:r>
    </w:p>
    <w:p>
      <w:pPr>
        <w:pStyle w:val="12"/>
        <w:rPr>
          <w:rFonts w:ascii="Times New Roman" w:hAnsi="Times New Roman" w:eastAsia="MingLiU_HKSCS" w:cs="Times New Roman"/>
        </w:rPr>
      </w:pPr>
      <w:r>
        <w:rPr>
          <w:rFonts w:hint="eastAsia" w:ascii="Times New Roman" w:hAnsi="Times New Roman" w:cs="Times New Roman"/>
        </w:rPr>
        <w:t>附件</w:t>
      </w:r>
      <w:r>
        <w:rPr>
          <w:rFonts w:hint="eastAsia" w:ascii="Times New Roman" w:hAnsi="Times New Roman" w:cs="Times New Roman"/>
          <w:lang w:val="en-US" w:eastAsia="zh-CN"/>
        </w:rPr>
        <w:t>5</w:t>
      </w:r>
      <w:r>
        <w:rPr>
          <w:rFonts w:hint="eastAsia" w:ascii="Times New Roman" w:hAnsi="Times New Roman" w:cs="Times New Roman"/>
        </w:rPr>
        <w:t>－</w:t>
      </w:r>
      <w:r>
        <w:rPr>
          <w:rFonts w:ascii="Times New Roman" w:hAnsi="Times New Roman" w:cs="Times New Roman"/>
        </w:rPr>
        <w:t>1</w:t>
      </w:r>
    </w:p>
    <w:p>
      <w:pPr>
        <w:pStyle w:val="12"/>
        <w:ind w:firstLine="560" w:firstLineChars="20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供应商基本情况表</w:t>
      </w:r>
    </w:p>
    <w:p>
      <w:pPr>
        <w:pStyle w:val="12"/>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供应商：(公章)</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0"/>
        <w:gridCol w:w="421"/>
        <w:gridCol w:w="1548"/>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供应商名称</w:t>
            </w:r>
          </w:p>
        </w:tc>
        <w:tc>
          <w:tcPr>
            <w:tcW w:w="1155" w:type="pct"/>
            <w:gridSpan w:val="2"/>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法定代表人</w:t>
            </w:r>
          </w:p>
        </w:tc>
        <w:tc>
          <w:tcPr>
            <w:tcW w:w="887" w:type="pct"/>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统一社会信用代码</w:t>
            </w:r>
          </w:p>
        </w:tc>
        <w:tc>
          <w:tcPr>
            <w:tcW w:w="1155" w:type="pct"/>
            <w:gridSpan w:val="2"/>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邮政编码</w:t>
            </w:r>
          </w:p>
        </w:tc>
        <w:tc>
          <w:tcPr>
            <w:tcW w:w="887" w:type="pct"/>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授权代表</w:t>
            </w:r>
          </w:p>
        </w:tc>
        <w:tc>
          <w:tcPr>
            <w:tcW w:w="1155" w:type="pct"/>
            <w:gridSpan w:val="2"/>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w:t>
            </w:r>
          </w:p>
        </w:tc>
        <w:tc>
          <w:tcPr>
            <w:tcW w:w="887" w:type="pct"/>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电子邮箱</w:t>
            </w:r>
          </w:p>
        </w:tc>
        <w:tc>
          <w:tcPr>
            <w:tcW w:w="1155" w:type="pct"/>
            <w:gridSpan w:val="2"/>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传真</w:t>
            </w:r>
          </w:p>
        </w:tc>
        <w:tc>
          <w:tcPr>
            <w:tcW w:w="887" w:type="pct"/>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上年营业收入</w:t>
            </w:r>
          </w:p>
        </w:tc>
        <w:tc>
          <w:tcPr>
            <w:tcW w:w="1155" w:type="pct"/>
            <w:gridSpan w:val="2"/>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员工总人数</w:t>
            </w:r>
          </w:p>
        </w:tc>
        <w:tc>
          <w:tcPr>
            <w:tcW w:w="887" w:type="pct"/>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基本账户开户行及账号</w:t>
            </w:r>
          </w:p>
        </w:tc>
        <w:tc>
          <w:tcPr>
            <w:tcW w:w="908" w:type="pct"/>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p>
        </w:tc>
        <w:tc>
          <w:tcPr>
            <w:tcW w:w="887" w:type="pct"/>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税务登记机关</w:t>
            </w:r>
          </w:p>
        </w:tc>
        <w:tc>
          <w:tcPr>
            <w:tcW w:w="908" w:type="pct"/>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p>
        </w:tc>
        <w:tc>
          <w:tcPr>
            <w:tcW w:w="887" w:type="pct"/>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资质名称</w:t>
            </w:r>
          </w:p>
        </w:tc>
        <w:tc>
          <w:tcPr>
            <w:tcW w:w="908"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等级</w:t>
            </w:r>
          </w:p>
        </w:tc>
        <w:tc>
          <w:tcPr>
            <w:tcW w:w="1250"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发证机关</w:t>
            </w:r>
          </w:p>
        </w:tc>
        <w:tc>
          <w:tcPr>
            <w:tcW w:w="887"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2"/>
              <w:jc w:val="center"/>
              <w:rPr>
                <w:rFonts w:hint="eastAsia" w:ascii="微软雅黑" w:hAnsi="微软雅黑" w:eastAsia="微软雅黑" w:cs="微软雅黑"/>
                <w:sz w:val="21"/>
                <w:szCs w:val="21"/>
              </w:rPr>
            </w:pPr>
          </w:p>
        </w:tc>
        <w:tc>
          <w:tcPr>
            <w:tcW w:w="908" w:type="pct"/>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p>
        </w:tc>
        <w:tc>
          <w:tcPr>
            <w:tcW w:w="887" w:type="pct"/>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pct"/>
            <w:gridSpan w:val="2"/>
            <w:vAlign w:val="center"/>
          </w:tcPr>
          <w:p>
            <w:pPr>
              <w:pStyle w:val="12"/>
              <w:jc w:val="center"/>
              <w:rPr>
                <w:rFonts w:hint="eastAsia" w:ascii="微软雅黑" w:hAnsi="微软雅黑" w:eastAsia="微软雅黑" w:cs="微软雅黑"/>
                <w:sz w:val="21"/>
                <w:szCs w:val="21"/>
              </w:rPr>
            </w:pPr>
          </w:p>
        </w:tc>
        <w:tc>
          <w:tcPr>
            <w:tcW w:w="908" w:type="pct"/>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p>
        </w:tc>
        <w:tc>
          <w:tcPr>
            <w:tcW w:w="887" w:type="pct"/>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pct"/>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备注</w:t>
            </w:r>
          </w:p>
        </w:tc>
        <w:tc>
          <w:tcPr>
            <w:tcW w:w="1155" w:type="pct"/>
            <w:gridSpan w:val="2"/>
            <w:vAlign w:val="center"/>
          </w:tcPr>
          <w:p>
            <w:pPr>
              <w:pStyle w:val="12"/>
              <w:jc w:val="center"/>
              <w:rPr>
                <w:rFonts w:hint="eastAsia" w:ascii="微软雅黑" w:hAnsi="微软雅黑" w:eastAsia="微软雅黑" w:cs="微软雅黑"/>
                <w:sz w:val="21"/>
                <w:szCs w:val="21"/>
              </w:rPr>
            </w:pPr>
          </w:p>
        </w:tc>
        <w:tc>
          <w:tcPr>
            <w:tcW w:w="1250" w:type="pct"/>
            <w:vAlign w:val="center"/>
          </w:tcPr>
          <w:p>
            <w:pPr>
              <w:pStyle w:val="12"/>
              <w:jc w:val="center"/>
              <w:rPr>
                <w:rFonts w:hint="eastAsia" w:ascii="微软雅黑" w:hAnsi="微软雅黑" w:eastAsia="微软雅黑" w:cs="微软雅黑"/>
                <w:sz w:val="21"/>
                <w:szCs w:val="21"/>
              </w:rPr>
            </w:pPr>
          </w:p>
        </w:tc>
        <w:tc>
          <w:tcPr>
            <w:tcW w:w="887" w:type="pct"/>
            <w:vAlign w:val="center"/>
          </w:tcPr>
          <w:p>
            <w:pPr>
              <w:pStyle w:val="12"/>
              <w:jc w:val="center"/>
              <w:rPr>
                <w:rFonts w:hint="eastAsia" w:ascii="微软雅黑" w:hAnsi="微软雅黑" w:eastAsia="微软雅黑" w:cs="微软雅黑"/>
                <w:sz w:val="21"/>
                <w:szCs w:val="21"/>
              </w:rPr>
            </w:pPr>
          </w:p>
        </w:tc>
      </w:tr>
    </w:tbl>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－2－1　法人或者其他组织的营业执照副本复印件或自然人的身份证明复印件</w:t>
      </w: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　财务状况报告：提供具有财务审计资质单位出具的</w:t>
      </w:r>
      <w:r>
        <w:rPr>
          <w:rFonts w:hint="eastAsia" w:ascii="微软雅黑" w:hAnsi="微软雅黑" w:eastAsia="微软雅黑" w:cs="微软雅黑"/>
          <w:sz w:val="24"/>
          <w:szCs w:val="24"/>
          <w:lang w:val="en-US" w:eastAsia="zh-CN"/>
        </w:rPr>
        <w:t>前一</w:t>
      </w:r>
      <w:r>
        <w:rPr>
          <w:rFonts w:hint="eastAsia" w:ascii="微软雅黑" w:hAnsi="微软雅黑" w:eastAsia="微软雅黑" w:cs="微软雅黑"/>
          <w:sz w:val="24"/>
          <w:szCs w:val="24"/>
        </w:rPr>
        <w:t>年度财务报告（成立时间至投标截止时间不足一年的可提供成立后任意时段的资产负债表），或者投标截止时间六个月内基本开户银行出具的资信证明；税收缴纳证明：提供投标截止前</w:t>
      </w:r>
      <w:r>
        <w:rPr>
          <w:rFonts w:hint="eastAsia" w:ascii="微软雅黑" w:hAnsi="微软雅黑" w:eastAsia="微软雅黑" w:cs="微软雅黑"/>
          <w:sz w:val="24"/>
          <w:szCs w:val="24"/>
          <w:lang w:val="en-US" w:eastAsia="zh-CN"/>
        </w:rPr>
        <w:t>一年</w:t>
      </w:r>
      <w:r>
        <w:rPr>
          <w:rFonts w:hint="eastAsia" w:ascii="微软雅黑" w:hAnsi="微软雅黑" w:eastAsia="微软雅黑" w:cs="微软雅黑"/>
          <w:sz w:val="24"/>
          <w:szCs w:val="24"/>
        </w:rPr>
        <w:t>内已缴纳的至少提供</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个月的有效纳税凭证</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企业所得税或营业税或增值税</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sz w:val="24"/>
          <w:szCs w:val="24"/>
        </w:rPr>
        <w:t>；（依法免税的申请人应提供相关文件证明）；社会保障资金缴纳证明：提供投标截止前一年内已缴存的至少</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个月的有效缴存单据或社保机构开具的社会保险参保缴费情况证明；（依法不需要缴纳社会保障资金的申请人应提供相关证明）；</w:t>
      </w: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　具备履行合同所必需的设备和专业技术能力的证明材料(由供应商根据项目需求提供说明材料)</w:t>
      </w: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4</w:t>
      </w: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参加政府采购活动前三年内在经营活动中</w:t>
      </w:r>
    </w:p>
    <w:p>
      <w:pPr>
        <w:pStyle w:val="12"/>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没有重大违法记录的书面声明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本单位郑重声明：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我单位在参加采购活动前三年内在经营活动中没有《政府采购法》第二十二条第一款第(五)项所称重大违法记录，包括：</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我单位或者其法定代表人、董事、监事、高级管理人员未因经营活动中的违法行为受到刑事处罚或者责令停产停业、吊销许可证或者执照、较大数额罚款等行政处罚。</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特此声明！</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lang w:eastAsia="zh-CN"/>
        </w:rPr>
      </w:pPr>
      <w:r>
        <w:rPr>
          <w:rFonts w:ascii="Times New Roman" w:hAnsi="Times New Roman" w:cs="Times New Roman"/>
          <w:sz w:val="24"/>
          <w:szCs w:val="24"/>
        </w:rPr>
        <w:br w:type="page"/>
      </w:r>
      <w:r>
        <w:rPr>
          <w:rFonts w:hint="eastAsia" w:ascii="微软雅黑" w:hAnsi="微软雅黑" w:eastAsia="微软雅黑" w:cs="微软雅黑"/>
        </w:rPr>
        <w:t>附件</w:t>
      </w:r>
      <w:r>
        <w:rPr>
          <w:rFonts w:hint="eastAsia" w:ascii="微软雅黑" w:hAnsi="微软雅黑" w:eastAsia="微软雅黑" w:cs="微软雅黑"/>
          <w:lang w:val="en-US" w:eastAsia="zh-CN"/>
        </w:rPr>
        <w:t>5</w:t>
      </w:r>
      <w:r>
        <w:rPr>
          <w:rFonts w:hint="eastAsia" w:ascii="微软雅黑" w:hAnsi="微软雅黑" w:eastAsia="微软雅黑" w:cs="微软雅黑"/>
        </w:rPr>
        <w:t>－2－</w:t>
      </w:r>
      <w:r>
        <w:rPr>
          <w:rFonts w:hint="eastAsia" w:ascii="微软雅黑" w:hAnsi="微软雅黑" w:eastAsia="微软雅黑" w:cs="微软雅黑"/>
          <w:lang w:val="en-US" w:eastAsia="zh-CN"/>
        </w:rPr>
        <w:t>5</w:t>
      </w:r>
    </w:p>
    <w:p>
      <w:pPr>
        <w:pStyle w:val="9"/>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无不良信用记录承诺函(投标人自行查询适用)</w:t>
      </w: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本单位郑重承诺，我单位无以下不良信用记录情形：</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1.被人民法院列入失信被执行人；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2.被税务部门列入重大税收违法案件当事人名单；</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3.被政府采购监管部门列入政府采购严重违法失信行为记录名单；</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4.不符合《政府采购法》第二十二条规定的条件。</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投标人名称(盖公章)：____________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附件6－3　符合招标文件要求的供应商特定资格条件的证明材料(由采购人或采购代理机构根据项目具体要求填列)</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(示例略)</w:t>
      </w:r>
    </w:p>
    <w:p>
      <w:pPr>
        <w:pStyle w:val="12"/>
        <w:rPr>
          <w:rFonts w:hint="eastAsia" w:ascii="微软雅黑" w:hAnsi="微软雅黑" w:eastAsia="微软雅黑" w:cs="微软雅黑"/>
        </w:rPr>
      </w:pPr>
      <w:r>
        <w:rPr>
          <w:rFonts w:hint="eastAsia" w:ascii="微软雅黑" w:hAnsi="微软雅黑" w:eastAsia="微软雅黑" w:cs="微软雅黑"/>
        </w:rPr>
        <w:br w:type="page"/>
      </w:r>
      <w:r>
        <w:rPr>
          <w:rFonts w:hint="eastAsia" w:ascii="Times New Roman" w:hAnsi="Times New Roman" w:cs="Times New Roman"/>
        </w:rPr>
        <w:t>附件</w:t>
      </w:r>
      <w:r>
        <w:rPr>
          <w:rFonts w:hint="eastAsia" w:ascii="Times New Roman" w:hAnsi="Times New Roman" w:cs="Times New Roman"/>
          <w:lang w:val="en-US" w:eastAsia="zh-CN"/>
        </w:rPr>
        <w:t>5</w:t>
      </w:r>
      <w:r>
        <w:rPr>
          <w:rFonts w:hint="eastAsia" w:ascii="Times New Roman" w:hAnsi="Times New Roman" w:cs="Times New Roman"/>
        </w:rPr>
        <w:t>－</w:t>
      </w:r>
      <w:r>
        <w:rPr>
          <w:rFonts w:ascii="Times New Roman" w:hAnsi="Times New Roman" w:cs="Times New Roman"/>
        </w:rPr>
        <w:t>4</w:t>
      </w:r>
    </w:p>
    <w:p>
      <w:pPr>
        <w:pStyle w:val="9"/>
        <w:jc w:val="center"/>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联合体协议</w:t>
      </w: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经研究，我方决定自愿组成联合体共同参加____________(项目名称、项目编号)项目的投标。现就联合体投标事宜订立如下协议：</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一、联合体成员：</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3.____________________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二、____________(某成员单位名称)为____________(联合体名称)牵头人。</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联合体牵头人合法代表联合体各成员负责本项目投标文件编制活动，代表联合体提交和接收相关的资料、信息及指示，并处理与投标有关的一切事务；联合体中标后，联合体牵头人负责合同订立和实施阶段的主办、组织和协调工作。</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四、联合体将严格按照招标文件的各项要求，递交投标文件，参加投标，履行中标义务和中标后的合同，并向采购人承担连带责任。</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五、联合体各成员单位内部的职责分工如下：____________。按照本条上述分工，联合体成员单位各自所承担的合同工作量比例如下：____________。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六、本协议书自签署之日起生效，合同履行完毕后自动失效。</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七、本协议书一式______份，联合体成员和采购人各执一份。</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牵头人名称(公章)：____________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成员名称(公章)：____________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______年____月____日</w:t>
      </w:r>
      <w:r>
        <w:rPr>
          <w:rFonts w:hint="eastAsia" w:ascii="微软雅黑" w:hAnsi="微软雅黑" w:eastAsia="微软雅黑" w:cs="微软雅黑"/>
          <w:sz w:val="24"/>
          <w:szCs w:val="24"/>
        </w:rPr>
        <w:tab/>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备注：本协议书由授权代表签字的，应附法定代表人签字的授权委托书。</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授权用投标专用章的，与公章具有相同法律效力。</w:t>
      </w: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p>
      <w:pPr>
        <w:pStyle w:val="12"/>
        <w:spacing w:line="600" w:lineRule="exact"/>
        <w:jc w:val="center"/>
        <w:rPr>
          <w:rFonts w:ascii="黑体" w:hAnsi="黑体" w:eastAsia="黑体" w:cs="黑体"/>
          <w:sz w:val="28"/>
          <w:szCs w:val="28"/>
        </w:rPr>
      </w:pPr>
      <w:r>
        <w:rPr>
          <w:rFonts w:hint="eastAsia" w:ascii="微软雅黑" w:hAnsi="微软雅黑" w:eastAsia="微软雅黑" w:cs="微软雅黑"/>
          <w:b/>
          <w:bCs/>
          <w:sz w:val="36"/>
          <w:szCs w:val="36"/>
          <w:lang w:val="en-US" w:eastAsia="zh-CN"/>
        </w:rPr>
        <w:t>非联合体声明（格式自拟）</w:t>
      </w: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六</w:t>
      </w:r>
      <w:r>
        <w:rPr>
          <w:rFonts w:hint="eastAsia" w:ascii="微软雅黑" w:hAnsi="微软雅黑" w:eastAsia="微软雅黑" w:cs="微软雅黑"/>
          <w:b/>
          <w:bCs/>
          <w:sz w:val="32"/>
          <w:szCs w:val="32"/>
        </w:rPr>
        <w:t>章  提供符合政府采购政策的证明材料</w:t>
      </w:r>
    </w:p>
    <w:p>
      <w:pPr>
        <w:pStyle w:val="12"/>
        <w:ind w:firstLine="420" w:firstLineChars="200"/>
        <w:rPr>
          <w:rFonts w:ascii="Times New Roman" w:hAnsi="Times New Roman" w:eastAsia="MingLiU_HKSCS" w:cs="Times New Roman"/>
        </w:rPr>
      </w:pPr>
    </w:p>
    <w:p>
      <w:pPr>
        <w:pStyle w:val="12"/>
        <w:rPr>
          <w:rFonts w:ascii="微软雅黑" w:hAnsi="微软雅黑" w:eastAsia="微软雅黑" w:cs="微软雅黑"/>
        </w:rPr>
      </w:pPr>
      <w:r>
        <w:rPr>
          <w:rFonts w:hint="eastAsia" w:ascii="微软雅黑" w:hAnsi="微软雅黑" w:eastAsia="微软雅黑" w:cs="微软雅黑"/>
        </w:rPr>
        <w:t>附件</w:t>
      </w:r>
      <w:r>
        <w:rPr>
          <w:rFonts w:hint="eastAsia" w:ascii="微软雅黑" w:hAnsi="微软雅黑" w:eastAsia="微软雅黑" w:cs="微软雅黑"/>
          <w:lang w:val="en-US" w:eastAsia="zh-CN"/>
        </w:rPr>
        <w:t>6</w:t>
      </w:r>
      <w:r>
        <w:rPr>
          <w:rFonts w:hint="eastAsia" w:ascii="微软雅黑" w:hAnsi="微软雅黑" w:eastAsia="微软雅黑" w:cs="微软雅黑"/>
        </w:rPr>
        <w:t>－1</w:t>
      </w:r>
    </w:p>
    <w:p>
      <w:pPr>
        <w:pStyle w:val="12"/>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中小企业声明函（货物）</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1.(标的名称），属于（采购文件中明确的所属行业）行业；制造商为（企业名称），从业人员＿人，营业收入为＿万元，资产总额为＿万元，属于（中型企业、小型企业、微型企业）；</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标的名称），属于（采购文件中明确的所属行业）行业；制造商为（企业名称），从业人员＿人，营业收入为＿万元，资产总额为＿万元，属于（中型企业、小型企业、微型企业）；以上企业，不属于大企业的分支机构，不存在控股股东为大企业的情形，也不存在与大企业的负责人为同一人的情形。</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12"/>
        <w:spacing w:line="600" w:lineRule="exact"/>
        <w:ind w:firstLine="480" w:firstLineChars="200"/>
        <w:jc w:val="center"/>
        <w:rPr>
          <w:rFonts w:ascii="微软雅黑" w:hAnsi="微软雅黑" w:eastAsia="微软雅黑" w:cs="微软雅黑"/>
          <w:sz w:val="24"/>
          <w:szCs w:val="24"/>
        </w:rPr>
      </w:pPr>
    </w:p>
    <w:p>
      <w:pPr>
        <w:pStyle w:val="12"/>
        <w:spacing w:line="600" w:lineRule="exact"/>
        <w:ind w:firstLine="480" w:firstLineChars="200"/>
        <w:jc w:val="center"/>
        <w:rPr>
          <w:rFonts w:ascii="微软雅黑" w:hAnsi="微软雅黑" w:eastAsia="微软雅黑" w:cs="微软雅黑"/>
          <w:sz w:val="24"/>
          <w:szCs w:val="24"/>
        </w:rPr>
      </w:pPr>
    </w:p>
    <w:p>
      <w:pPr>
        <w:pStyle w:val="12"/>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12"/>
        <w:spacing w:line="600" w:lineRule="exact"/>
        <w:ind w:firstLine="3600" w:firstLineChars="1500"/>
        <w:rPr>
          <w:rFonts w:ascii="微软雅黑" w:hAnsi="微软雅黑" w:eastAsia="微软雅黑" w:cs="微软雅黑"/>
          <w:sz w:val="24"/>
          <w:szCs w:val="24"/>
        </w:rPr>
      </w:pPr>
      <w:r>
        <w:rPr>
          <w:rFonts w:hint="eastAsia" w:ascii="微软雅黑" w:hAnsi="微软雅黑" w:eastAsia="微软雅黑" w:cs="微软雅黑"/>
          <w:sz w:val="24"/>
          <w:szCs w:val="24"/>
        </w:rPr>
        <w:t>日期：</w:t>
      </w:r>
    </w:p>
    <w:p>
      <w:pPr>
        <w:pStyle w:val="12"/>
        <w:ind w:firstLine="420" w:firstLineChars="200"/>
        <w:jc w:val="center"/>
        <w:rPr>
          <w:rFonts w:ascii="微软雅黑" w:hAnsi="微软雅黑" w:eastAsia="微软雅黑" w:cs="微软雅黑"/>
        </w:rPr>
      </w:pPr>
    </w:p>
    <w:p>
      <w:pPr>
        <w:pStyle w:val="12"/>
        <w:ind w:firstLine="420" w:firstLineChars="200"/>
        <w:jc w:val="center"/>
        <w:rPr>
          <w:rFonts w:ascii="微软雅黑" w:hAnsi="微软雅黑" w:eastAsia="微软雅黑" w:cs="微软雅黑"/>
        </w:rPr>
      </w:pPr>
    </w:p>
    <w:p>
      <w:pPr>
        <w:pStyle w:val="12"/>
        <w:rPr>
          <w:rFonts w:ascii="微软雅黑" w:hAnsi="微软雅黑" w:eastAsia="微软雅黑" w:cs="微软雅黑"/>
        </w:rPr>
      </w:pPr>
    </w:p>
    <w:p>
      <w:pPr>
        <w:pStyle w:val="12"/>
        <w:spacing w:line="600" w:lineRule="exact"/>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中小企业声明函（工程、服务）</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1.(标的名称），属于（采购文件中明确的所属行业）；承建（承接）企业为（企业名称），从业人员＿人，营业收入为＿万元，资产总额为＿万元，属于（中型企业、小型企业、微型企业）；</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标的名称），属于（采购文件中明确的所属行业），承建（承接）企业为（企业名称），从业人员＿人，营业收入为＿万元，资产总额为＿万元，属于（中型企业、小型企业、微型企业）；以上企业，不属于大企业的分支机构，不存在控股股东为大企业的情形，也不存在与大企业的负责人为同一人的情形。</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12"/>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12"/>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日期：</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从业人员、营业收入、资产总额填报上一年度数据，无上一年度数据的新成立企业可不填报。</w:t>
      </w:r>
    </w:p>
    <w:p>
      <w:pPr>
        <w:pStyle w:val="12"/>
        <w:rPr>
          <w:rFonts w:ascii="微软雅黑" w:hAnsi="微软雅黑" w:eastAsia="微软雅黑" w:cs="微软雅黑"/>
          <w:b/>
          <w:bCs/>
        </w:rPr>
      </w:pPr>
      <w:r>
        <w:rPr>
          <w:rFonts w:hint="eastAsia" w:ascii="微软雅黑" w:hAnsi="微软雅黑" w:eastAsia="微软雅黑" w:cs="微软雅黑"/>
          <w:b/>
          <w:bCs/>
        </w:rPr>
        <w:t>注：1.填写前请认真阅读《工业和信息化部　国家统计局　国家发展和改革委员会　财政部关于印发中小企业划型标准规定的通知》(工信部联企业〔2011〕300号)和《政府采购促进中小企业发展管理办法》（财库（2020)46号）相关规定。</w:t>
      </w:r>
    </w:p>
    <w:p>
      <w:pPr>
        <w:pStyle w:val="12"/>
        <w:ind w:firstLine="630" w:firstLineChars="300"/>
        <w:rPr>
          <w:rFonts w:ascii="微软雅黑" w:hAnsi="微软雅黑" w:eastAsia="微软雅黑" w:cs="微软雅黑"/>
          <w:b/>
          <w:bCs/>
        </w:rPr>
      </w:pPr>
      <w:r>
        <w:rPr>
          <w:rFonts w:hint="eastAsia" w:ascii="微软雅黑" w:hAnsi="微软雅黑" w:eastAsia="微软雅黑" w:cs="微软雅黑"/>
          <w:b/>
          <w:bCs/>
          <w:lang w:val="en-US" w:eastAsia="zh-CN"/>
        </w:rPr>
        <w:t>2</w:t>
      </w:r>
      <w:r>
        <w:rPr>
          <w:rFonts w:hint="eastAsia" w:ascii="微软雅黑" w:hAnsi="微软雅黑" w:eastAsia="微软雅黑" w:cs="微软雅黑"/>
          <w:b/>
          <w:bCs/>
        </w:rPr>
        <w:t>.授权用投标专用章的，与公章具有相同法律效力。</w:t>
      </w:r>
    </w:p>
    <w:p>
      <w:pPr>
        <w:pStyle w:val="12"/>
        <w:spacing w:line="600" w:lineRule="exact"/>
        <w:rPr>
          <w:rFonts w:ascii="微软雅黑" w:hAnsi="微软雅黑" w:eastAsia="微软雅黑" w:cs="微软雅黑"/>
          <w:sz w:val="24"/>
          <w:szCs w:val="24"/>
        </w:rPr>
      </w:pPr>
      <w:r>
        <w:rPr>
          <w:rFonts w:hint="eastAsia" w:ascii="微软雅黑" w:hAnsi="微软雅黑" w:eastAsia="微软雅黑" w:cs="微软雅黑"/>
        </w:rPr>
        <w:br w:type="page"/>
      </w: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－2　“节能产品”“环境标志产品”、信息安全认证产品等政府采购法律法规规定的其他证明材料文件</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1.供应商提供的产品属于《节能产品政府采购清单》内产品，应同时提供有效期内的节能产品证书及最新一期的节能产品政府采购清单首页及产品所在页的复印件(均需要加盖供应商公章)；</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2.供应商提供的产品属于《环境标志产品政府采购清单》内产品，应同时提供有效期内的环境标志产品证书及最新一期的环境标志产品政府采购清单首页及产品所在页的复印件(均需要加盖供应商公章)；</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3.供应商提供的产品属于信息安全认证产品的，应提供相关证明。</w:t>
      </w:r>
    </w:p>
    <w:p>
      <w:pPr>
        <w:pStyle w:val="12"/>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4.未按上述要求提供、填写的，评标时不予以考虑。</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rPr>
        <w:br w:type="page"/>
      </w:r>
      <w:r>
        <w:rPr>
          <w:rFonts w:hint="eastAsia" w:ascii="微软雅黑" w:hAnsi="微软雅黑" w:eastAsia="微软雅黑" w:cs="微软雅黑"/>
          <w:b/>
          <w:bCs/>
          <w:sz w:val="32"/>
          <w:szCs w:val="32"/>
          <w:lang w:val="en-US" w:eastAsia="zh-CN"/>
        </w:rPr>
        <w:t>第七章  投标人须知前附表要求的其他投标文件</w:t>
      </w: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第八章  供应商认为需提供的其他资料</w:t>
      </w:r>
    </w:p>
    <w:p>
      <w:pPr>
        <w:pStyle w:val="12"/>
        <w:ind w:firstLine="420" w:firstLineChars="200"/>
        <w:rPr>
          <w:rFonts w:ascii="Times New Roman" w:hAnsi="Times New Roman" w:eastAsia="MingLiU_HKSCS" w:cs="Times New Roman"/>
        </w:rPr>
      </w:pPr>
    </w:p>
    <w:p>
      <w:pPr>
        <w:pStyle w:val="12"/>
        <w:ind w:firstLine="420" w:firstLineChars="200"/>
        <w:rPr>
          <w:rFonts w:ascii="Times New Roman" w:hAnsi="Times New Roman" w:cs="Times New Roman"/>
        </w:rPr>
      </w:pPr>
      <w:r>
        <w:rPr>
          <w:rFonts w:ascii="Times New Roman" w:hAnsi="Times New Roman" w:cs="Times New Roman"/>
        </w:rPr>
        <w:br w:type="page"/>
      </w:r>
    </w:p>
    <w:p>
      <w:pPr>
        <w:pStyle w:val="7"/>
        <w:rPr>
          <w:rFonts w:hint="eastAsia" w:ascii="华文隶书" w:hAnsi="华文隶书" w:eastAsia="华文隶书" w:cs="华文隶书"/>
          <w:sz w:val="21"/>
          <w:szCs w:val="21"/>
          <w:lang w:eastAsia="zh-CN"/>
        </w:rPr>
      </w:pPr>
      <w:r>
        <w:rPr>
          <w:rFonts w:hint="eastAsia" w:ascii="华文隶书" w:hAnsi="华文隶书" w:eastAsia="华文隶书" w:cs="华文隶书"/>
          <w:sz w:val="21"/>
          <w:szCs w:val="21"/>
          <w:lang w:eastAsia="zh-CN"/>
        </w:rPr>
        <w:t xml:space="preserve">标书编号：SXGT2023-AK-054         </w:t>
      </w:r>
      <w:r>
        <w:rPr>
          <w:rFonts w:hint="eastAsia" w:ascii="华文隶书" w:hAnsi="华文隶书" w:eastAsia="华文隶书" w:cs="华文隶书"/>
          <w:sz w:val="21"/>
          <w:szCs w:val="21"/>
          <w:lang w:val="en-US" w:eastAsia="zh-CN"/>
        </w:rPr>
        <w:t xml:space="preserve">                         </w:t>
      </w:r>
      <w:r>
        <w:rPr>
          <w:rFonts w:hint="eastAsia" w:ascii="华文隶书" w:hAnsi="华文隶书" w:eastAsia="华文隶书" w:cs="华文隶书"/>
          <w:sz w:val="21"/>
          <w:szCs w:val="21"/>
          <w:lang w:eastAsia="zh-CN"/>
        </w:rPr>
        <w:t xml:space="preserve">   </w:t>
      </w:r>
    </w:p>
    <w:p>
      <w:pPr>
        <w:rPr>
          <w:rFonts w:hint="eastAsia"/>
          <w:lang w:val="en-US" w:eastAsia="zh-CN"/>
        </w:rPr>
      </w:pPr>
    </w:p>
    <w:p>
      <w:pPr>
        <w:rPr>
          <w:rFonts w:hint="eastAsia"/>
          <w:lang w:val="en-US" w:eastAsia="zh-CN"/>
        </w:rPr>
      </w:pP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p>
    <w:p>
      <w:pPr>
        <w:rPr>
          <w:rFonts w:hint="eastAsia"/>
          <w:lang w:val="en-US" w:eastAsia="zh-CN"/>
        </w:rPr>
      </w:pP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安康市中医医院安康市重症能力提升</w:t>
      </w: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lang w:eastAsia="zh-CN"/>
        </w:rPr>
      </w:pPr>
      <w:r>
        <w:rPr>
          <w:rFonts w:hint="eastAsia" w:ascii="华文琥珀" w:hAnsi="华文琥珀" w:eastAsia="华文琥珀" w:cs="华文琥珀"/>
          <w:sz w:val="48"/>
          <w:szCs w:val="48"/>
          <w:lang w:val="en-US" w:eastAsia="zh-CN"/>
        </w:rPr>
        <w:t xml:space="preserve">设备采购项目 </w:t>
      </w:r>
    </w:p>
    <w:p>
      <w:pPr>
        <w:pStyle w:val="9"/>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华文琥珀" w:hAnsi="华文琥珀" w:eastAsia="华文琥珀" w:cs="华文琥珀"/>
          <w:sz w:val="48"/>
          <w:szCs w:val="48"/>
        </w:rPr>
      </w:pPr>
      <w:r>
        <w:rPr>
          <w:rFonts w:hint="eastAsia" w:ascii="华文琥珀" w:hAnsi="华文琥珀" w:eastAsia="华文琥珀" w:cs="华文琥珀"/>
          <w:sz w:val="48"/>
          <w:szCs w:val="48"/>
          <w:lang w:eastAsia="zh-CN"/>
        </w:rPr>
        <w:t>投标</w:t>
      </w:r>
      <w:r>
        <w:rPr>
          <w:rFonts w:hint="eastAsia" w:ascii="华文琥珀" w:hAnsi="华文琥珀" w:eastAsia="华文琥珀" w:cs="华文琥珀"/>
          <w:sz w:val="48"/>
          <w:szCs w:val="48"/>
          <w:lang w:val="en-US" w:eastAsia="zh-CN"/>
        </w:rPr>
        <w:t>响应</w:t>
      </w:r>
      <w:r>
        <w:rPr>
          <w:rFonts w:hint="eastAsia" w:ascii="华文琥珀" w:hAnsi="华文琥珀" w:eastAsia="华文琥珀" w:cs="华文琥珀"/>
          <w:sz w:val="48"/>
          <w:szCs w:val="48"/>
        </w:rPr>
        <w:t>文件</w:t>
      </w:r>
    </w:p>
    <w:p>
      <w:pPr>
        <w:jc w:val="center"/>
        <w:rPr>
          <w:rFonts w:hint="eastAsia" w:eastAsia="华文琥珀"/>
          <w:b/>
          <w:bCs/>
          <w:sz w:val="48"/>
          <w:szCs w:val="48"/>
          <w:lang w:eastAsia="zh-CN"/>
        </w:rPr>
      </w:pPr>
      <w:r>
        <w:rPr>
          <w:rFonts w:hint="eastAsia" w:ascii="华文琥珀" w:hAnsi="华文琥珀" w:eastAsia="华文琥珀" w:cs="华文琥珀"/>
          <w:b/>
          <w:bCs/>
          <w:sz w:val="48"/>
          <w:szCs w:val="48"/>
          <w:lang w:eastAsia="zh-CN"/>
        </w:rPr>
        <w:t>（</w:t>
      </w:r>
      <w:r>
        <w:rPr>
          <w:rFonts w:hint="eastAsia" w:ascii="华文琥珀" w:hAnsi="华文琥珀" w:eastAsia="华文琥珀" w:cs="华文琥珀"/>
          <w:b/>
          <w:bCs/>
          <w:sz w:val="48"/>
          <w:szCs w:val="48"/>
          <w:lang w:val="en-US" w:eastAsia="zh-CN"/>
        </w:rPr>
        <w:t>第  包</w:t>
      </w:r>
      <w:r>
        <w:rPr>
          <w:rFonts w:hint="eastAsia" w:ascii="华文琥珀" w:hAnsi="华文琥珀" w:eastAsia="华文琥珀" w:cs="华文琥珀"/>
          <w:b/>
          <w:bCs/>
          <w:sz w:val="48"/>
          <w:szCs w:val="48"/>
          <w:lang w:eastAsia="zh-CN"/>
        </w:rPr>
        <w:t>）</w:t>
      </w:r>
    </w:p>
    <w:p>
      <w:pPr>
        <w:pStyle w:val="12"/>
        <w:jc w:val="both"/>
        <w:rPr>
          <w:rFonts w:hint="default" w:ascii="Times New Roman" w:hAnsi="Times New Roman" w:eastAsia="宋体" w:cs="Times New Roman"/>
          <w:lang w:val="en-US" w:eastAsia="zh-CN"/>
        </w:rPr>
      </w:pPr>
      <w:r>
        <w:rPr>
          <w:rFonts w:hint="eastAsia" w:ascii="华文琥珀" w:hAnsi="华文琥珀" w:eastAsia="华文琥珀" w:cs="华文琥珀"/>
          <w:sz w:val="44"/>
          <w:szCs w:val="44"/>
          <w:lang w:val="en-US" w:eastAsia="zh-CN"/>
        </w:rPr>
        <w:t>　　　　　　---</w:t>
      </w:r>
      <w:r>
        <w:rPr>
          <w:rFonts w:hint="eastAsia" w:ascii="华文彩云" w:hAnsi="华文彩云" w:eastAsia="华文彩云" w:cs="华文彩云"/>
          <w:sz w:val="44"/>
          <w:szCs w:val="44"/>
          <w:lang w:val="en-US" w:eastAsia="zh-CN"/>
        </w:rPr>
        <w:t>技术部分</w:t>
      </w:r>
      <w:r>
        <w:rPr>
          <w:rFonts w:hint="eastAsia" w:ascii="华文琥珀" w:hAnsi="华文琥珀" w:eastAsia="华文琥珀" w:cs="华文琥珀"/>
          <w:sz w:val="44"/>
          <w:szCs w:val="44"/>
          <w:lang w:val="en-US" w:eastAsia="zh-CN"/>
        </w:rPr>
        <w:t>---</w:t>
      </w:r>
    </w:p>
    <w:p>
      <w:pPr>
        <w:pStyle w:val="12"/>
        <w:ind w:firstLine="420" w:firstLineChars="200"/>
        <w:rPr>
          <w:rFonts w:ascii="Times New Roman" w:hAnsi="Times New Roman" w:eastAsia="MingLiU_HKSCS" w:cs="Times New Roman"/>
        </w:rPr>
      </w:pPr>
    </w:p>
    <w:p>
      <w:pPr>
        <w:pStyle w:val="12"/>
        <w:ind w:firstLine="420" w:firstLineChars="200"/>
        <w:jc w:val="center"/>
        <w:rPr>
          <w:rFonts w:hint="eastAsia" w:ascii="华文琥珀" w:hAnsi="华文琥珀" w:eastAsia="华文琥珀" w:cs="华文琥珀"/>
        </w:rPr>
      </w:pPr>
    </w:p>
    <w:p>
      <w:pPr>
        <w:pStyle w:val="12"/>
        <w:ind w:firstLine="420" w:firstLineChars="200"/>
        <w:jc w:val="center"/>
        <w:rPr>
          <w:rFonts w:hint="eastAsia" w:ascii="华文琥珀" w:hAnsi="华文琥珀" w:eastAsia="华文琥珀" w:cs="华文琥珀"/>
        </w:rPr>
      </w:pPr>
    </w:p>
    <w:p>
      <w:pPr>
        <w:pStyle w:val="12"/>
        <w:ind w:firstLine="420" w:firstLineChars="200"/>
        <w:jc w:val="center"/>
        <w:rPr>
          <w:rFonts w:hint="eastAsia" w:ascii="华文琥珀" w:hAnsi="华文琥珀" w:eastAsia="华文琥珀" w:cs="华文琥珀"/>
        </w:rPr>
      </w:pPr>
    </w:p>
    <w:p>
      <w:pPr>
        <w:pStyle w:val="12"/>
        <w:ind w:firstLine="420" w:firstLineChars="200"/>
        <w:jc w:val="center"/>
        <w:rPr>
          <w:rFonts w:hint="eastAsia" w:ascii="华文琥珀" w:hAnsi="华文琥珀" w:eastAsia="华文琥珀" w:cs="华文琥珀"/>
        </w:rPr>
      </w:pPr>
    </w:p>
    <w:p>
      <w:pPr>
        <w:pStyle w:val="12"/>
        <w:jc w:val="both"/>
        <w:rPr>
          <w:rFonts w:hint="eastAsia" w:ascii="华文琥珀" w:hAnsi="华文琥珀" w:eastAsia="华文琥珀" w:cs="华文琥珀"/>
          <w:sz w:val="28"/>
          <w:szCs w:val="28"/>
        </w:rPr>
      </w:pPr>
    </w:p>
    <w:p>
      <w:pPr>
        <w:pStyle w:val="12"/>
        <w:ind w:firstLine="1400" w:firstLineChars="500"/>
        <w:jc w:val="both"/>
        <w:rPr>
          <w:rFonts w:hint="eastAsia" w:ascii="华文琥珀" w:hAnsi="华文琥珀" w:eastAsia="华文琥珀" w:cs="华文琥珀"/>
          <w:sz w:val="28"/>
          <w:szCs w:val="28"/>
        </w:rPr>
      </w:pPr>
    </w:p>
    <w:p>
      <w:pPr>
        <w:pStyle w:val="12"/>
        <w:jc w:val="both"/>
        <w:rPr>
          <w:rFonts w:hint="eastAsia" w:ascii="华文琥珀" w:hAnsi="华文琥珀" w:eastAsia="华文琥珀" w:cs="华文琥珀"/>
          <w:sz w:val="28"/>
          <w:szCs w:val="28"/>
        </w:rPr>
      </w:pPr>
    </w:p>
    <w:p>
      <w:pPr>
        <w:pStyle w:val="12"/>
        <w:ind w:firstLine="1680" w:firstLineChars="600"/>
        <w:jc w:val="both"/>
        <w:rPr>
          <w:rFonts w:hint="eastAsia" w:ascii="华文琥珀" w:hAnsi="华文琥珀" w:eastAsia="华文琥珀" w:cs="华文琥珀"/>
          <w:sz w:val="28"/>
          <w:szCs w:val="28"/>
        </w:rPr>
      </w:pPr>
      <w:r>
        <w:rPr>
          <w:rFonts w:hint="eastAsia" w:ascii="华文琥珀" w:hAnsi="华文琥珀" w:eastAsia="华文琥珀" w:cs="华文琥珀"/>
          <w:sz w:val="28"/>
          <w:szCs w:val="28"/>
        </w:rPr>
        <w:t>采</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购</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人名称：</w:t>
      </w:r>
      <w:r>
        <w:rPr>
          <w:rFonts w:hint="eastAsia" w:ascii="华文琥珀" w:hAnsi="华文琥珀" w:eastAsia="华文琥珀" w:cs="华文琥珀"/>
          <w:sz w:val="28"/>
          <w:szCs w:val="28"/>
          <w:lang w:val="en-US" w:eastAsia="zh-CN"/>
        </w:rPr>
        <w:t xml:space="preserve">安康市中医医院 </w:t>
      </w:r>
    </w:p>
    <w:p>
      <w:pPr>
        <w:pStyle w:val="12"/>
        <w:ind w:firstLine="1680" w:firstLineChars="600"/>
        <w:jc w:val="both"/>
        <w:rPr>
          <w:rFonts w:hint="eastAsia" w:ascii="华文琥珀" w:hAnsi="华文琥珀" w:eastAsia="华文琥珀" w:cs="华文琥珀"/>
          <w:lang w:val="en-US" w:eastAsia="zh-CN"/>
        </w:rPr>
      </w:pPr>
      <w:r>
        <w:rPr>
          <w:rFonts w:hint="eastAsia" w:ascii="华文琥珀" w:hAnsi="华文琥珀" w:eastAsia="华文琥珀" w:cs="华文琥珀"/>
          <w:sz w:val="28"/>
          <w:szCs w:val="28"/>
          <w:lang w:val="en-US" w:eastAsia="zh-CN"/>
        </w:rPr>
        <w:t xml:space="preserve">投 标 </w:t>
      </w:r>
      <w:r>
        <w:rPr>
          <w:rFonts w:hint="eastAsia" w:ascii="华文琥珀" w:hAnsi="华文琥珀" w:eastAsia="华文琥珀" w:cs="华文琥珀"/>
          <w:sz w:val="28"/>
          <w:szCs w:val="28"/>
        </w:rPr>
        <w:t>人名称：</w:t>
      </w:r>
      <w:r>
        <w:rPr>
          <w:rFonts w:hint="eastAsia" w:ascii="华文琥珀" w:hAnsi="华文琥珀" w:eastAsia="华文琥珀" w:cs="华文琥珀"/>
          <w:lang w:val="en-US" w:eastAsia="zh-CN"/>
        </w:rPr>
        <w:t xml:space="preserve"> </w:t>
      </w:r>
    </w:p>
    <w:p>
      <w:pPr>
        <w:pStyle w:val="12"/>
        <w:jc w:val="both"/>
        <w:rPr>
          <w:rFonts w:hint="eastAsia" w:ascii="华文琥珀" w:hAnsi="华文琥珀" w:eastAsia="华文琥珀" w:cs="华文琥珀"/>
          <w:lang w:val="en-US" w:eastAsia="zh-CN"/>
        </w:rPr>
      </w:pPr>
    </w:p>
    <w:p>
      <w:pPr>
        <w:pStyle w:val="9"/>
        <w:jc w:val="center"/>
        <w:rPr>
          <w:rFonts w:hint="eastAsia" w:ascii="华文琥珀" w:hAnsi="华文琥珀" w:eastAsia="华文琥珀" w:cs="华文琥珀"/>
          <w:sz w:val="28"/>
          <w:szCs w:val="28"/>
          <w:lang w:eastAsia="zh-CN"/>
        </w:rPr>
      </w:pPr>
      <w:r>
        <w:rPr>
          <w:rFonts w:hint="eastAsia" w:ascii="华文琥珀" w:hAnsi="华文琥珀" w:eastAsia="华文琥珀" w:cs="华文琥珀"/>
          <w:sz w:val="28"/>
          <w:szCs w:val="28"/>
          <w:lang w:eastAsia="zh-CN"/>
        </w:rPr>
        <w:t>二〇二</w:t>
      </w:r>
      <w:r>
        <w:rPr>
          <w:rFonts w:hint="eastAsia" w:ascii="华文琥珀" w:hAnsi="华文琥珀" w:eastAsia="华文琥珀" w:cs="华文琥珀"/>
          <w:sz w:val="28"/>
          <w:szCs w:val="28"/>
          <w:lang w:val="en-US" w:eastAsia="zh-CN"/>
        </w:rPr>
        <w:t>四</w:t>
      </w:r>
      <w:bookmarkStart w:id="15" w:name="_GoBack"/>
      <w:bookmarkEnd w:id="15"/>
      <w:r>
        <w:rPr>
          <w:rFonts w:hint="eastAsia" w:ascii="华文琥珀" w:hAnsi="华文琥珀" w:eastAsia="华文琥珀" w:cs="华文琥珀"/>
          <w:sz w:val="28"/>
          <w:szCs w:val="28"/>
          <w:lang w:eastAsia="zh-CN"/>
        </w:rPr>
        <w:t>年</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lang w:eastAsia="zh-CN"/>
        </w:rPr>
        <w:t>月</w:t>
      </w:r>
    </w:p>
    <w:p>
      <w:pPr>
        <w:rPr>
          <w:rFonts w:hint="eastAsia" w:ascii="华文琥珀" w:hAnsi="华文琥珀" w:eastAsia="华文琥珀" w:cs="华文琥珀"/>
          <w:sz w:val="28"/>
          <w:szCs w:val="28"/>
          <w:lang w:eastAsia="zh-CN"/>
        </w:rPr>
      </w:pPr>
    </w:p>
    <w:p>
      <w:pPr>
        <w:rPr>
          <w:rFonts w:hint="eastAsia" w:ascii="华文琥珀" w:hAnsi="华文琥珀" w:eastAsia="华文琥珀" w:cs="华文琥珀"/>
          <w:sz w:val="28"/>
          <w:szCs w:val="28"/>
          <w:lang w:eastAsia="zh-CN"/>
        </w:rPr>
      </w:pPr>
    </w:p>
    <w:p>
      <w:pPr>
        <w:pStyle w:val="9"/>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cs="Times New Roman"/>
        </w:rPr>
      </w:pPr>
      <w:r>
        <w:rPr>
          <w:rFonts w:hint="eastAsia" w:ascii="Times New Roman" w:hAnsi="Times New Roman" w:cs="Times New Roman"/>
        </w:rPr>
        <w:t>　</w:t>
      </w:r>
    </w:p>
    <w:p>
      <w:pPr>
        <w:pStyle w:val="9"/>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8"/>
          <w:szCs w:val="48"/>
        </w:rPr>
      </w:pPr>
      <w:r>
        <w:rPr>
          <w:rFonts w:hint="eastAsia" w:ascii="黑体" w:hAnsi="黑体" w:eastAsia="黑体" w:cs="黑体"/>
          <w:b w:val="0"/>
          <w:bCs w:val="0"/>
          <w:sz w:val="48"/>
          <w:szCs w:val="48"/>
        </w:rPr>
        <w:t>目　</w:t>
      </w:r>
      <w:r>
        <w:rPr>
          <w:rFonts w:hint="eastAsia" w:ascii="黑体" w:hAnsi="黑体" w:eastAsia="黑体" w:cs="黑体"/>
          <w:b w:val="0"/>
          <w:bCs w:val="0"/>
          <w:sz w:val="48"/>
          <w:szCs w:val="48"/>
          <w:lang w:val="en-US" w:eastAsia="zh-CN"/>
        </w:rPr>
        <w:t xml:space="preserve">  </w:t>
      </w:r>
      <w:r>
        <w:rPr>
          <w:rFonts w:hint="eastAsia" w:ascii="黑体" w:hAnsi="黑体" w:eastAsia="黑体" w:cs="黑体"/>
          <w:b w:val="0"/>
          <w:bCs w:val="0"/>
          <w:sz w:val="48"/>
          <w:szCs w:val="48"/>
        </w:rPr>
        <w:t>录</w:t>
      </w:r>
    </w:p>
    <w:p>
      <w:pPr>
        <w:jc w:val="center"/>
        <w:rPr>
          <w:rFonts w:hint="eastAsia" w:ascii="黑体" w:hAnsi="黑体" w:eastAsia="黑体" w:cs="黑体"/>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第一章　</w:t>
      </w:r>
      <w:r>
        <w:rPr>
          <w:rFonts w:hint="eastAsia" w:ascii="黑体" w:hAnsi="黑体" w:eastAsia="黑体" w:cs="黑体"/>
          <w:sz w:val="28"/>
          <w:szCs w:val="28"/>
          <w:lang w:val="en-US" w:eastAsia="zh-CN"/>
        </w:rPr>
        <w:t>设备说明一览表</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第二章　</w:t>
      </w:r>
      <w:r>
        <w:rPr>
          <w:rFonts w:hint="eastAsia" w:ascii="黑体" w:hAnsi="黑体" w:eastAsia="黑体" w:cs="黑体"/>
          <w:sz w:val="28"/>
          <w:szCs w:val="28"/>
          <w:lang w:val="en-US" w:eastAsia="zh-CN"/>
        </w:rPr>
        <w:t>服务方案</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第三章　</w:t>
      </w:r>
      <w:r>
        <w:rPr>
          <w:rFonts w:hint="eastAsia" w:ascii="黑体" w:hAnsi="黑体" w:eastAsia="黑体" w:cs="黑体"/>
          <w:sz w:val="28"/>
          <w:szCs w:val="28"/>
          <w:lang w:val="en-US" w:eastAsia="zh-CN"/>
        </w:rPr>
        <w:t>实施方案及技术方案</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rPr>
        <w:t>第四章　技术响应与偏离表</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第</w:t>
      </w:r>
      <w:r>
        <w:rPr>
          <w:rFonts w:hint="eastAsia" w:ascii="黑体" w:hAnsi="黑体" w:eastAsia="黑体" w:cs="黑体"/>
          <w:sz w:val="28"/>
          <w:szCs w:val="28"/>
          <w:lang w:val="en-US" w:eastAsia="zh-CN"/>
        </w:rPr>
        <w:t>五</w:t>
      </w:r>
      <w:r>
        <w:rPr>
          <w:rFonts w:hint="eastAsia" w:ascii="黑体" w:hAnsi="黑体" w:eastAsia="黑体" w:cs="黑体"/>
          <w:sz w:val="28"/>
          <w:szCs w:val="28"/>
        </w:rPr>
        <w:t>章　投标人售后服务承诺</w:t>
      </w:r>
      <w:r>
        <w:rPr>
          <w:rFonts w:hint="eastAsia" w:ascii="黑体" w:hAnsi="黑体" w:eastAsia="黑体" w:cs="黑体"/>
          <w:sz w:val="28"/>
          <w:szCs w:val="28"/>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r>
        <w:rPr>
          <w:rFonts w:hint="eastAsia" w:ascii="黑体" w:hAnsi="黑体" w:eastAsia="黑体" w:cs="黑体"/>
          <w:sz w:val="28"/>
          <w:szCs w:val="28"/>
        </w:rPr>
        <w:t>第六章　用于本项目人员简历表</w:t>
      </w: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第七章 </w:t>
      </w:r>
      <w:r>
        <w:rPr>
          <w:rFonts w:hint="eastAsia" w:ascii="黑体" w:hAnsi="黑体" w:eastAsia="黑体" w:cs="黑体"/>
          <w:sz w:val="28"/>
          <w:szCs w:val="28"/>
        </w:rPr>
        <w:t>投标标的物符合招标文件规定的证明文件</w:t>
      </w:r>
      <w:r>
        <w:rPr>
          <w:rFonts w:hint="eastAsia" w:ascii="黑体" w:hAnsi="黑体" w:eastAsia="黑体" w:cs="黑体"/>
          <w:sz w:val="28"/>
          <w:szCs w:val="28"/>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第八章 </w:t>
      </w:r>
      <w:r>
        <w:rPr>
          <w:rFonts w:hint="eastAsia" w:ascii="黑体" w:hAnsi="黑体" w:eastAsia="黑体" w:cs="黑体"/>
          <w:sz w:val="28"/>
          <w:szCs w:val="28"/>
        </w:rPr>
        <w:t>其他资料</w:t>
      </w: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黑体" w:hAnsi="黑体" w:eastAsia="黑体" w:cs="黑体"/>
          <w:sz w:val="28"/>
          <w:szCs w:val="28"/>
          <w:lang w:val="en-US" w:eastAsia="zh-CN"/>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32"/>
          <w:szCs w:val="32"/>
        </w:rPr>
        <w:t>第一章　</w:t>
      </w:r>
      <w:r>
        <w:rPr>
          <w:rFonts w:hint="eastAsia" w:ascii="微软雅黑" w:hAnsi="微软雅黑" w:eastAsia="微软雅黑" w:cs="微软雅黑"/>
          <w:b/>
          <w:bCs/>
          <w:color w:val="auto"/>
          <w:sz w:val="32"/>
          <w:szCs w:val="32"/>
          <w:lang w:val="en-US" w:eastAsia="zh-CN"/>
        </w:rPr>
        <w:t>设备说明一览表</w:t>
      </w:r>
    </w:p>
    <w:p>
      <w:pPr>
        <w:pStyle w:val="12"/>
        <w:ind w:firstLine="420" w:firstLineChars="200"/>
        <w:rPr>
          <w:rFonts w:ascii="Times New Roman" w:hAnsi="Times New Roman" w:eastAsia="MingLiU_HKSCS" w:cs="Times New Roman"/>
          <w:color w:val="auto"/>
        </w:rPr>
      </w:pPr>
    </w:p>
    <w:p>
      <w:pPr>
        <w:pStyle w:val="12"/>
        <w:ind w:firstLine="560" w:firstLineChars="20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eastAsia="zh-CN"/>
        </w:rPr>
        <w:t>设备</w:t>
      </w:r>
      <w:r>
        <w:rPr>
          <w:rFonts w:hint="eastAsia" w:ascii="微软雅黑" w:hAnsi="微软雅黑" w:eastAsia="微软雅黑" w:cs="微软雅黑"/>
          <w:b/>
          <w:bCs/>
          <w:color w:val="auto"/>
          <w:sz w:val="28"/>
          <w:szCs w:val="28"/>
        </w:rPr>
        <w:t>说明一览表</w:t>
      </w:r>
    </w:p>
    <w:p>
      <w:pPr>
        <w:pStyle w:val="12"/>
        <w:ind w:firstLine="420" w:firstLineChars="200"/>
        <w:rPr>
          <w:rFonts w:hint="eastAsia" w:ascii="微软雅黑" w:hAnsi="微软雅黑" w:eastAsia="微软雅黑" w:cs="微软雅黑"/>
          <w:color w:val="auto"/>
        </w:rPr>
      </w:pPr>
      <w:r>
        <w:rPr>
          <w:rFonts w:hint="eastAsia" w:ascii="微软雅黑" w:hAnsi="微软雅黑" w:eastAsia="微软雅黑" w:cs="微软雅黑"/>
          <w:color w:val="auto"/>
        </w:rPr>
        <w:t>　项目名称：</w:t>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ab/>
      </w:r>
      <w:r>
        <w:rPr>
          <w:rFonts w:hint="eastAsia" w:ascii="微软雅黑" w:hAnsi="微软雅黑" w:eastAsia="微软雅黑" w:cs="微软雅黑"/>
          <w:color w:val="auto"/>
        </w:rPr>
        <w:t>项目编号：</w:t>
      </w:r>
    </w:p>
    <w:p>
      <w:pPr>
        <w:pStyle w:val="12"/>
        <w:ind w:firstLine="63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包号：</w:t>
      </w:r>
    </w:p>
    <w:tbl>
      <w:tblPr>
        <w:tblStyle w:val="1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236"/>
        <w:gridCol w:w="1446"/>
        <w:gridCol w:w="1129"/>
        <w:gridCol w:w="258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序号</w:t>
            </w:r>
          </w:p>
        </w:tc>
        <w:tc>
          <w:tcPr>
            <w:tcW w:w="1236"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lang w:eastAsia="zh-CN"/>
              </w:rPr>
              <w:t>设备</w:t>
            </w:r>
            <w:r>
              <w:rPr>
                <w:rFonts w:hint="eastAsia" w:ascii="微软雅黑" w:hAnsi="微软雅黑" w:eastAsia="微软雅黑" w:cs="微软雅黑"/>
              </w:rPr>
              <w:t>名称</w:t>
            </w:r>
          </w:p>
        </w:tc>
        <w:tc>
          <w:tcPr>
            <w:tcW w:w="1446"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制造商名称</w:t>
            </w:r>
          </w:p>
        </w:tc>
        <w:tc>
          <w:tcPr>
            <w:tcW w:w="1129"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型号规格</w:t>
            </w:r>
          </w:p>
        </w:tc>
        <w:tc>
          <w:tcPr>
            <w:tcW w:w="2589"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主要技术参数和技术指标</w:t>
            </w:r>
          </w:p>
        </w:tc>
        <w:tc>
          <w:tcPr>
            <w:tcW w:w="816" w:type="dxa"/>
            <w:vAlign w:val="center"/>
          </w:tcPr>
          <w:p>
            <w:pPr>
              <w:pStyle w:val="12"/>
              <w:jc w:val="center"/>
              <w:rPr>
                <w:rFonts w:hint="eastAsia" w:ascii="微软雅黑" w:hAnsi="微软雅黑" w:eastAsia="微软雅黑" w:cs="微软雅黑"/>
              </w:rPr>
            </w:pPr>
            <w:r>
              <w:rPr>
                <w:rFonts w:hint="eastAsia" w:ascii="微软雅黑" w:hAnsi="微软雅黑" w:eastAsia="微软雅黑" w:cs="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2"/>
              <w:jc w:val="center"/>
              <w:rPr>
                <w:rFonts w:hint="eastAsia" w:ascii="微软雅黑" w:hAnsi="微软雅黑" w:eastAsia="微软雅黑" w:cs="微软雅黑"/>
              </w:rPr>
            </w:pPr>
          </w:p>
        </w:tc>
        <w:tc>
          <w:tcPr>
            <w:tcW w:w="1236" w:type="dxa"/>
            <w:vAlign w:val="center"/>
          </w:tcPr>
          <w:p>
            <w:pPr>
              <w:pStyle w:val="12"/>
              <w:jc w:val="center"/>
              <w:rPr>
                <w:rFonts w:hint="eastAsia" w:ascii="微软雅黑" w:hAnsi="微软雅黑" w:eastAsia="微软雅黑" w:cs="微软雅黑"/>
              </w:rPr>
            </w:pPr>
          </w:p>
        </w:tc>
        <w:tc>
          <w:tcPr>
            <w:tcW w:w="1446" w:type="dxa"/>
            <w:vAlign w:val="center"/>
          </w:tcPr>
          <w:p>
            <w:pPr>
              <w:pStyle w:val="12"/>
              <w:jc w:val="center"/>
              <w:rPr>
                <w:rFonts w:hint="eastAsia" w:ascii="微软雅黑" w:hAnsi="微软雅黑" w:eastAsia="微软雅黑" w:cs="微软雅黑"/>
              </w:rPr>
            </w:pPr>
          </w:p>
        </w:tc>
        <w:tc>
          <w:tcPr>
            <w:tcW w:w="1129" w:type="dxa"/>
            <w:vAlign w:val="center"/>
          </w:tcPr>
          <w:p>
            <w:pPr>
              <w:pStyle w:val="12"/>
              <w:jc w:val="center"/>
              <w:rPr>
                <w:rFonts w:hint="eastAsia" w:ascii="微软雅黑" w:hAnsi="微软雅黑" w:eastAsia="微软雅黑" w:cs="微软雅黑"/>
              </w:rPr>
            </w:pPr>
          </w:p>
        </w:tc>
        <w:tc>
          <w:tcPr>
            <w:tcW w:w="2589"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2"/>
              <w:jc w:val="center"/>
              <w:rPr>
                <w:rFonts w:hint="eastAsia" w:ascii="微软雅黑" w:hAnsi="微软雅黑" w:eastAsia="微软雅黑" w:cs="微软雅黑"/>
              </w:rPr>
            </w:pPr>
          </w:p>
        </w:tc>
        <w:tc>
          <w:tcPr>
            <w:tcW w:w="1236" w:type="dxa"/>
            <w:vAlign w:val="center"/>
          </w:tcPr>
          <w:p>
            <w:pPr>
              <w:pStyle w:val="12"/>
              <w:jc w:val="center"/>
              <w:rPr>
                <w:rFonts w:hint="eastAsia" w:ascii="微软雅黑" w:hAnsi="微软雅黑" w:eastAsia="微软雅黑" w:cs="微软雅黑"/>
              </w:rPr>
            </w:pPr>
          </w:p>
        </w:tc>
        <w:tc>
          <w:tcPr>
            <w:tcW w:w="1446" w:type="dxa"/>
            <w:vAlign w:val="center"/>
          </w:tcPr>
          <w:p>
            <w:pPr>
              <w:pStyle w:val="12"/>
              <w:jc w:val="center"/>
              <w:rPr>
                <w:rFonts w:hint="eastAsia" w:ascii="微软雅黑" w:hAnsi="微软雅黑" w:eastAsia="微软雅黑" w:cs="微软雅黑"/>
              </w:rPr>
            </w:pPr>
          </w:p>
        </w:tc>
        <w:tc>
          <w:tcPr>
            <w:tcW w:w="1129" w:type="dxa"/>
            <w:vAlign w:val="center"/>
          </w:tcPr>
          <w:p>
            <w:pPr>
              <w:pStyle w:val="12"/>
              <w:jc w:val="center"/>
              <w:rPr>
                <w:rFonts w:hint="eastAsia" w:ascii="微软雅黑" w:hAnsi="微软雅黑" w:eastAsia="微软雅黑" w:cs="微软雅黑"/>
              </w:rPr>
            </w:pPr>
          </w:p>
        </w:tc>
        <w:tc>
          <w:tcPr>
            <w:tcW w:w="2589"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2"/>
              <w:jc w:val="center"/>
              <w:rPr>
                <w:rFonts w:hint="eastAsia" w:ascii="微软雅黑" w:hAnsi="微软雅黑" w:eastAsia="微软雅黑" w:cs="微软雅黑"/>
              </w:rPr>
            </w:pPr>
          </w:p>
        </w:tc>
        <w:tc>
          <w:tcPr>
            <w:tcW w:w="1236" w:type="dxa"/>
            <w:vAlign w:val="center"/>
          </w:tcPr>
          <w:p>
            <w:pPr>
              <w:pStyle w:val="12"/>
              <w:jc w:val="center"/>
              <w:rPr>
                <w:rFonts w:hint="eastAsia" w:ascii="微软雅黑" w:hAnsi="微软雅黑" w:eastAsia="微软雅黑" w:cs="微软雅黑"/>
              </w:rPr>
            </w:pPr>
          </w:p>
        </w:tc>
        <w:tc>
          <w:tcPr>
            <w:tcW w:w="1446" w:type="dxa"/>
            <w:vAlign w:val="center"/>
          </w:tcPr>
          <w:p>
            <w:pPr>
              <w:pStyle w:val="12"/>
              <w:jc w:val="center"/>
              <w:rPr>
                <w:rFonts w:hint="eastAsia" w:ascii="微软雅黑" w:hAnsi="微软雅黑" w:eastAsia="微软雅黑" w:cs="微软雅黑"/>
              </w:rPr>
            </w:pPr>
          </w:p>
        </w:tc>
        <w:tc>
          <w:tcPr>
            <w:tcW w:w="1129" w:type="dxa"/>
            <w:vAlign w:val="center"/>
          </w:tcPr>
          <w:p>
            <w:pPr>
              <w:pStyle w:val="12"/>
              <w:jc w:val="center"/>
              <w:rPr>
                <w:rFonts w:hint="eastAsia" w:ascii="微软雅黑" w:hAnsi="微软雅黑" w:eastAsia="微软雅黑" w:cs="微软雅黑"/>
              </w:rPr>
            </w:pPr>
          </w:p>
        </w:tc>
        <w:tc>
          <w:tcPr>
            <w:tcW w:w="2589"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2"/>
              <w:jc w:val="center"/>
              <w:rPr>
                <w:rFonts w:hint="eastAsia" w:ascii="微软雅黑" w:hAnsi="微软雅黑" w:eastAsia="微软雅黑" w:cs="微软雅黑"/>
              </w:rPr>
            </w:pPr>
          </w:p>
        </w:tc>
        <w:tc>
          <w:tcPr>
            <w:tcW w:w="1236" w:type="dxa"/>
            <w:vAlign w:val="center"/>
          </w:tcPr>
          <w:p>
            <w:pPr>
              <w:pStyle w:val="12"/>
              <w:jc w:val="center"/>
              <w:rPr>
                <w:rFonts w:hint="eastAsia" w:ascii="微软雅黑" w:hAnsi="微软雅黑" w:eastAsia="微软雅黑" w:cs="微软雅黑"/>
              </w:rPr>
            </w:pPr>
          </w:p>
        </w:tc>
        <w:tc>
          <w:tcPr>
            <w:tcW w:w="1446" w:type="dxa"/>
            <w:vAlign w:val="center"/>
          </w:tcPr>
          <w:p>
            <w:pPr>
              <w:pStyle w:val="12"/>
              <w:jc w:val="center"/>
              <w:rPr>
                <w:rFonts w:hint="eastAsia" w:ascii="微软雅黑" w:hAnsi="微软雅黑" w:eastAsia="微软雅黑" w:cs="微软雅黑"/>
              </w:rPr>
            </w:pPr>
          </w:p>
        </w:tc>
        <w:tc>
          <w:tcPr>
            <w:tcW w:w="1129" w:type="dxa"/>
            <w:vAlign w:val="center"/>
          </w:tcPr>
          <w:p>
            <w:pPr>
              <w:pStyle w:val="12"/>
              <w:jc w:val="center"/>
              <w:rPr>
                <w:rFonts w:hint="eastAsia" w:ascii="微软雅黑" w:hAnsi="微软雅黑" w:eastAsia="微软雅黑" w:cs="微软雅黑"/>
              </w:rPr>
            </w:pPr>
          </w:p>
        </w:tc>
        <w:tc>
          <w:tcPr>
            <w:tcW w:w="2589" w:type="dxa"/>
            <w:vAlign w:val="center"/>
          </w:tcPr>
          <w:p>
            <w:pPr>
              <w:pStyle w:val="12"/>
              <w:jc w:val="center"/>
              <w:rPr>
                <w:rFonts w:hint="eastAsia" w:ascii="微软雅黑" w:hAnsi="微软雅黑" w:eastAsia="微软雅黑" w:cs="微软雅黑"/>
              </w:rPr>
            </w:pPr>
          </w:p>
        </w:tc>
        <w:tc>
          <w:tcPr>
            <w:tcW w:w="816" w:type="dxa"/>
            <w:vAlign w:val="center"/>
          </w:tcPr>
          <w:p>
            <w:pPr>
              <w:pStyle w:val="12"/>
              <w:jc w:val="center"/>
              <w:rPr>
                <w:rFonts w:hint="eastAsia" w:ascii="微软雅黑" w:hAnsi="微软雅黑" w:eastAsia="微软雅黑" w:cs="微软雅黑"/>
              </w:rPr>
            </w:pPr>
          </w:p>
        </w:tc>
      </w:tr>
    </w:tbl>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的主要技术参数和技术指标可另页描述。</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2"/>
        <w:ind w:firstLine="420" w:firstLineChars="200"/>
        <w:jc w:val="center"/>
        <w:rPr>
          <w:rFonts w:hint="eastAsia" w:ascii="微软雅黑" w:hAnsi="微软雅黑" w:eastAsia="微软雅黑" w:cs="微软雅黑"/>
          <w:b/>
          <w:bCs/>
          <w:sz w:val="32"/>
          <w:szCs w:val="32"/>
          <w:lang w:val="en-US" w:eastAsia="zh-CN"/>
        </w:rPr>
      </w:pPr>
      <w:r>
        <w:rPr>
          <w:rFonts w:ascii="Times New Roman" w:hAnsi="Times New Roman" w:cs="Times New Roman"/>
        </w:rPr>
        <w:br w:type="page"/>
      </w:r>
      <w:r>
        <w:rPr>
          <w:rFonts w:hint="eastAsia" w:ascii="微软雅黑" w:hAnsi="微软雅黑" w:eastAsia="微软雅黑" w:cs="微软雅黑"/>
          <w:b/>
          <w:bCs/>
          <w:sz w:val="32"/>
          <w:szCs w:val="32"/>
        </w:rPr>
        <w:t>第二章　</w:t>
      </w:r>
      <w:r>
        <w:rPr>
          <w:rFonts w:hint="eastAsia" w:ascii="微软雅黑" w:hAnsi="微软雅黑" w:eastAsia="微软雅黑" w:cs="微软雅黑"/>
          <w:b/>
          <w:bCs/>
          <w:sz w:val="32"/>
          <w:szCs w:val="32"/>
          <w:lang w:val="en-US" w:eastAsia="zh-CN"/>
        </w:rPr>
        <w:t>服务方案</w:t>
      </w:r>
    </w:p>
    <w:p>
      <w:pPr>
        <w:pStyle w:val="12"/>
        <w:ind w:firstLine="480" w:firstLineChars="200"/>
        <w:jc w:val="center"/>
        <w:rPr>
          <w:rFonts w:hint="eastAsia" w:ascii="微软雅黑" w:hAnsi="微软雅黑" w:eastAsia="微软雅黑" w:cs="微软雅黑"/>
          <w:b/>
          <w:bCs/>
          <w:sz w:val="24"/>
          <w:szCs w:val="24"/>
          <w:lang w:val="en-US" w:eastAsia="zh-CN"/>
        </w:rPr>
      </w:pP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服务类项目供应商应根据第六章规定编写服务方案说明。服务方案说明包括但不限于：</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(1)服务目标、范围和任务；</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(2)服务方案；</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(3)服务团队组织安排计划；</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(4)工作流程；</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(5)进度计划及保证措施；</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(6)质量保证措施；</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(7)合理化建议；</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(8)其他。</w:t>
      </w:r>
    </w:p>
    <w:p>
      <w:pPr>
        <w:pStyle w:val="12"/>
        <w:ind w:firstLine="480" w:firstLineChars="200"/>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rPr>
        <w:t>第三章　</w:t>
      </w:r>
      <w:r>
        <w:rPr>
          <w:rFonts w:hint="eastAsia" w:ascii="微软雅黑" w:hAnsi="微软雅黑" w:eastAsia="微软雅黑" w:cs="微软雅黑"/>
          <w:b/>
          <w:bCs/>
          <w:sz w:val="32"/>
          <w:szCs w:val="32"/>
          <w:lang w:val="en-US" w:eastAsia="zh-CN"/>
        </w:rPr>
        <w:t>实施方案及技术方案</w:t>
      </w:r>
    </w:p>
    <w:p>
      <w:pPr>
        <w:pStyle w:val="12"/>
        <w:ind w:firstLine="480" w:firstLineChars="200"/>
        <w:jc w:val="center"/>
        <w:rPr>
          <w:rFonts w:hint="eastAsia" w:ascii="微软雅黑" w:hAnsi="微软雅黑" w:eastAsia="微软雅黑" w:cs="微软雅黑"/>
          <w:b/>
          <w:bCs/>
          <w:sz w:val="32"/>
          <w:szCs w:val="32"/>
        </w:rPr>
      </w:pP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第四章　技术响应与偏离表</w:t>
      </w:r>
    </w:p>
    <w:p>
      <w:pPr>
        <w:pStyle w:val="12"/>
        <w:ind w:firstLine="640" w:firstLineChars="200"/>
        <w:jc w:val="center"/>
        <w:rPr>
          <w:rFonts w:hint="eastAsia" w:ascii="微软雅黑" w:hAnsi="微软雅黑" w:eastAsia="微软雅黑" w:cs="微软雅黑"/>
          <w:b/>
          <w:bCs/>
          <w:sz w:val="32"/>
          <w:szCs w:val="32"/>
        </w:rPr>
      </w:pPr>
    </w:p>
    <w:p>
      <w:pPr>
        <w:pStyle w:val="12"/>
        <w:ind w:firstLine="560" w:firstLineChars="20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技术响应与偏离表</w:t>
      </w:r>
    </w:p>
    <w:p>
      <w:pPr>
        <w:pStyle w:val="12"/>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项目名称：</w:t>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项目编号：</w:t>
      </w:r>
    </w:p>
    <w:p>
      <w:pPr>
        <w:pStyle w:val="12"/>
        <w:ind w:firstLine="630" w:firstLineChars="3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包号：</w:t>
      </w:r>
    </w:p>
    <w:tbl>
      <w:tblPr>
        <w:tblStyle w:val="16"/>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序</w:t>
            </w:r>
            <w:r>
              <w:rPr>
                <w:rFonts w:hint="eastAsia" w:ascii="微软雅黑" w:hAnsi="微软雅黑" w:eastAsia="微软雅黑" w:cs="微软雅黑"/>
                <w:sz w:val="21"/>
                <w:szCs w:val="21"/>
              </w:rPr>
              <w:t>号</w:t>
            </w:r>
          </w:p>
        </w:tc>
        <w:tc>
          <w:tcPr>
            <w:tcW w:w="123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设备</w:t>
            </w:r>
            <w:r>
              <w:rPr>
                <w:rFonts w:hint="eastAsia" w:ascii="微软雅黑" w:hAnsi="微软雅黑" w:eastAsia="微软雅黑" w:cs="微软雅黑"/>
                <w:sz w:val="21"/>
                <w:szCs w:val="21"/>
              </w:rPr>
              <w:t>名称</w:t>
            </w:r>
          </w:p>
        </w:tc>
        <w:tc>
          <w:tcPr>
            <w:tcW w:w="123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招标规格</w:t>
            </w:r>
          </w:p>
        </w:tc>
        <w:tc>
          <w:tcPr>
            <w:tcW w:w="1504"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技术指标要求</w:t>
            </w:r>
          </w:p>
        </w:tc>
        <w:tc>
          <w:tcPr>
            <w:tcW w:w="1504"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投标响应情况</w:t>
            </w:r>
          </w:p>
        </w:tc>
        <w:tc>
          <w:tcPr>
            <w:tcW w:w="81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偏离</w:t>
            </w:r>
          </w:p>
        </w:tc>
        <w:tc>
          <w:tcPr>
            <w:tcW w:w="81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236"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1504"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c>
          <w:tcPr>
            <w:tcW w:w="816" w:type="dxa"/>
            <w:vAlign w:val="center"/>
          </w:tcPr>
          <w:p>
            <w:pPr>
              <w:pStyle w:val="12"/>
              <w:jc w:val="center"/>
              <w:rPr>
                <w:rFonts w:hint="eastAsia" w:ascii="微软雅黑" w:hAnsi="微软雅黑" w:eastAsia="微软雅黑" w:cs="微软雅黑"/>
                <w:sz w:val="21"/>
                <w:szCs w:val="21"/>
              </w:rPr>
            </w:pPr>
          </w:p>
        </w:tc>
      </w:tr>
    </w:tbl>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说明：在偏离项必须注明正偏离、负偏离或无偏离。</w:t>
      </w:r>
    </w:p>
    <w:p>
      <w:pPr>
        <w:pStyle w:val="12"/>
        <w:ind w:firstLine="480" w:firstLineChars="200"/>
        <w:rPr>
          <w:rFonts w:hint="eastAsia" w:ascii="微软雅黑" w:hAnsi="微软雅黑" w:eastAsia="微软雅黑" w:cs="微软雅黑"/>
          <w:sz w:val="24"/>
          <w:szCs w:val="24"/>
        </w:rPr>
      </w:pP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2"/>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2"/>
        <w:ind w:firstLine="420" w:firstLineChars="200"/>
        <w:rPr>
          <w:rFonts w:hint="eastAsia" w:ascii="微软雅黑" w:hAnsi="微软雅黑" w:eastAsia="微软雅黑" w:cs="微软雅黑"/>
          <w:sz w:val="21"/>
          <w:szCs w:val="21"/>
        </w:rPr>
      </w:pPr>
    </w:p>
    <w:p>
      <w:pPr>
        <w:pStyle w:val="12"/>
        <w:ind w:firstLine="420" w:firstLineChars="200"/>
        <w:rPr>
          <w:rFonts w:hint="eastAsia" w:ascii="微软雅黑" w:hAnsi="微软雅黑" w:eastAsia="微软雅黑" w:cs="微软雅黑"/>
          <w:sz w:val="21"/>
          <w:szCs w:val="21"/>
        </w:rPr>
      </w:pP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p>
    <w:p>
      <w:pPr>
        <w:pStyle w:val="1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黑体" w:hAnsi="黑体" w:eastAsia="黑体" w:cs="黑体"/>
          <w:sz w:val="28"/>
          <w:szCs w:val="28"/>
        </w:rPr>
      </w:pP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28"/>
          <w:szCs w:val="28"/>
          <w:lang w:eastAsia="zh-CN"/>
        </w:rPr>
      </w:pP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五</w:t>
      </w:r>
      <w:r>
        <w:rPr>
          <w:rFonts w:hint="eastAsia" w:ascii="微软雅黑" w:hAnsi="微软雅黑" w:eastAsia="微软雅黑" w:cs="微软雅黑"/>
          <w:b/>
          <w:bCs/>
          <w:sz w:val="32"/>
          <w:szCs w:val="32"/>
        </w:rPr>
        <w:t>章　投标人售后服务承诺</w:t>
      </w:r>
    </w:p>
    <w:p>
      <w:pPr>
        <w:pStyle w:val="1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sz w:val="28"/>
          <w:szCs w:val="28"/>
        </w:rPr>
      </w:pPr>
      <w:r>
        <w:rPr>
          <w:rFonts w:hint="eastAsia" w:ascii="微软雅黑" w:hAnsi="微软雅黑" w:eastAsia="微软雅黑" w:cs="微软雅黑"/>
          <w:sz w:val="21"/>
          <w:szCs w:val="21"/>
        </w:rPr>
        <w:br w:type="page"/>
      </w:r>
      <w:r>
        <w:rPr>
          <w:rFonts w:hint="eastAsia" w:ascii="Times New Roman" w:hAnsi="Times New Roman" w:cs="Times New Roman"/>
        </w:rPr>
        <w:t>　</w:t>
      </w:r>
      <w:r>
        <w:rPr>
          <w:rFonts w:hint="eastAsia" w:ascii="微软雅黑" w:hAnsi="微软雅黑" w:eastAsia="微软雅黑" w:cs="微软雅黑"/>
          <w:b/>
          <w:bCs/>
          <w:sz w:val="32"/>
          <w:szCs w:val="32"/>
        </w:rPr>
        <w:t>第六章　用于本项目人员简历表</w:t>
      </w:r>
    </w:p>
    <w:p>
      <w:pPr>
        <w:pStyle w:val="12"/>
        <w:ind w:firstLine="420" w:firstLineChars="200"/>
        <w:rPr>
          <w:rFonts w:ascii="Times New Roman" w:hAnsi="Times New Roman" w:eastAsia="MingLiU_HKSCS" w:cs="Times New Roman"/>
        </w:rPr>
      </w:pPr>
    </w:p>
    <w:p>
      <w:pPr>
        <w:pStyle w:val="12"/>
        <w:ind w:firstLine="420" w:firstLineChars="200"/>
        <w:rPr>
          <w:rFonts w:ascii="Times New Roman" w:hAnsi="Times New Roman" w:eastAsia="MingLiU_HKSCS" w:cs="Times New Roman"/>
        </w:rPr>
      </w:pPr>
    </w:p>
    <w:p>
      <w:pPr>
        <w:pStyle w:val="12"/>
        <w:ind w:firstLine="420" w:firstLineChars="20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用于本项目人员简历表</w:t>
      </w:r>
    </w:p>
    <w:p>
      <w:pPr>
        <w:pStyle w:val="12"/>
        <w:ind w:firstLine="420" w:firstLineChars="200"/>
        <w:rPr>
          <w:rFonts w:hint="eastAsia" w:ascii="微软雅黑" w:hAnsi="微软雅黑" w:eastAsia="微软雅黑" w:cs="微软雅黑"/>
          <w:sz w:val="21"/>
          <w:szCs w:val="21"/>
        </w:rPr>
      </w:pPr>
    </w:p>
    <w:tbl>
      <w:tblPr>
        <w:tblStyle w:val="1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姓名</w:t>
            </w:r>
          </w:p>
        </w:tc>
        <w:tc>
          <w:tcPr>
            <w:tcW w:w="1656" w:type="dxa"/>
            <w:vAlign w:val="center"/>
          </w:tcPr>
          <w:p>
            <w:pPr>
              <w:pStyle w:val="12"/>
              <w:jc w:val="center"/>
              <w:rPr>
                <w:rFonts w:hint="eastAsia" w:ascii="微软雅黑" w:hAnsi="微软雅黑" w:eastAsia="微软雅黑" w:cs="微软雅黑"/>
                <w:sz w:val="21"/>
                <w:szCs w:val="21"/>
              </w:rPr>
            </w:pPr>
          </w:p>
        </w:tc>
        <w:tc>
          <w:tcPr>
            <w:tcW w:w="186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性别</w:t>
            </w:r>
          </w:p>
        </w:tc>
        <w:tc>
          <w:tcPr>
            <w:tcW w:w="228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职务</w:t>
            </w:r>
          </w:p>
        </w:tc>
        <w:tc>
          <w:tcPr>
            <w:tcW w:w="1656" w:type="dxa"/>
            <w:vAlign w:val="center"/>
          </w:tcPr>
          <w:p>
            <w:pPr>
              <w:pStyle w:val="12"/>
              <w:jc w:val="center"/>
              <w:rPr>
                <w:rFonts w:hint="eastAsia" w:ascii="微软雅黑" w:hAnsi="微软雅黑" w:eastAsia="微软雅黑" w:cs="微软雅黑"/>
                <w:sz w:val="21"/>
                <w:szCs w:val="21"/>
              </w:rPr>
            </w:pPr>
          </w:p>
        </w:tc>
        <w:tc>
          <w:tcPr>
            <w:tcW w:w="186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职称</w:t>
            </w:r>
          </w:p>
        </w:tc>
        <w:tc>
          <w:tcPr>
            <w:tcW w:w="228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毕业学校、专业</w:t>
            </w:r>
          </w:p>
        </w:tc>
        <w:tc>
          <w:tcPr>
            <w:tcW w:w="5808" w:type="dxa"/>
            <w:gridSpan w:val="3"/>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身份证号</w:t>
            </w:r>
          </w:p>
        </w:tc>
        <w:tc>
          <w:tcPr>
            <w:tcW w:w="1656" w:type="dxa"/>
            <w:vAlign w:val="center"/>
          </w:tcPr>
          <w:p>
            <w:pPr>
              <w:pStyle w:val="12"/>
              <w:jc w:val="center"/>
              <w:rPr>
                <w:rFonts w:hint="eastAsia" w:ascii="微软雅黑" w:hAnsi="微软雅黑" w:eastAsia="微软雅黑" w:cs="微软雅黑"/>
                <w:sz w:val="21"/>
                <w:szCs w:val="21"/>
              </w:rPr>
            </w:pPr>
          </w:p>
        </w:tc>
        <w:tc>
          <w:tcPr>
            <w:tcW w:w="186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拟在本项目任职</w:t>
            </w:r>
          </w:p>
        </w:tc>
        <w:tc>
          <w:tcPr>
            <w:tcW w:w="228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执业资格证</w:t>
            </w:r>
          </w:p>
        </w:tc>
        <w:tc>
          <w:tcPr>
            <w:tcW w:w="1656" w:type="dxa"/>
            <w:vAlign w:val="center"/>
          </w:tcPr>
          <w:p>
            <w:pPr>
              <w:pStyle w:val="12"/>
              <w:jc w:val="center"/>
              <w:rPr>
                <w:rFonts w:hint="eastAsia" w:ascii="微软雅黑" w:hAnsi="微软雅黑" w:eastAsia="微软雅黑" w:cs="微软雅黑"/>
                <w:sz w:val="21"/>
                <w:szCs w:val="21"/>
              </w:rPr>
            </w:pPr>
          </w:p>
        </w:tc>
        <w:tc>
          <w:tcPr>
            <w:tcW w:w="186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执业资格证书号</w:t>
            </w:r>
          </w:p>
        </w:tc>
        <w:tc>
          <w:tcPr>
            <w:tcW w:w="228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2"/>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p>
        </w:tc>
        <w:tc>
          <w:tcPr>
            <w:tcW w:w="165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类似项目名称</w:t>
            </w:r>
          </w:p>
        </w:tc>
        <w:tc>
          <w:tcPr>
            <w:tcW w:w="186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担任职务</w:t>
            </w:r>
          </w:p>
        </w:tc>
        <w:tc>
          <w:tcPr>
            <w:tcW w:w="2286" w:type="dxa"/>
            <w:vAlign w:val="center"/>
          </w:tcPr>
          <w:p>
            <w:pPr>
              <w:pStyle w:val="12"/>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2"/>
              <w:jc w:val="center"/>
              <w:rPr>
                <w:rFonts w:hint="eastAsia" w:ascii="微软雅黑" w:hAnsi="微软雅黑" w:eastAsia="微软雅黑" w:cs="微软雅黑"/>
                <w:sz w:val="21"/>
                <w:szCs w:val="21"/>
              </w:rPr>
            </w:pPr>
          </w:p>
        </w:tc>
        <w:tc>
          <w:tcPr>
            <w:tcW w:w="1656" w:type="dxa"/>
            <w:vAlign w:val="center"/>
          </w:tcPr>
          <w:p>
            <w:pPr>
              <w:pStyle w:val="12"/>
              <w:jc w:val="center"/>
              <w:rPr>
                <w:rFonts w:hint="eastAsia" w:ascii="微软雅黑" w:hAnsi="微软雅黑" w:eastAsia="微软雅黑" w:cs="微软雅黑"/>
                <w:sz w:val="21"/>
                <w:szCs w:val="21"/>
              </w:rPr>
            </w:pPr>
          </w:p>
        </w:tc>
        <w:tc>
          <w:tcPr>
            <w:tcW w:w="1866" w:type="dxa"/>
            <w:vAlign w:val="center"/>
          </w:tcPr>
          <w:p>
            <w:pPr>
              <w:pStyle w:val="12"/>
              <w:jc w:val="center"/>
              <w:rPr>
                <w:rFonts w:hint="eastAsia" w:ascii="微软雅黑" w:hAnsi="微软雅黑" w:eastAsia="微软雅黑" w:cs="微软雅黑"/>
                <w:sz w:val="21"/>
                <w:szCs w:val="21"/>
              </w:rPr>
            </w:pPr>
          </w:p>
        </w:tc>
        <w:tc>
          <w:tcPr>
            <w:tcW w:w="228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2"/>
              <w:jc w:val="center"/>
              <w:rPr>
                <w:rFonts w:hint="eastAsia" w:ascii="微软雅黑" w:hAnsi="微软雅黑" w:eastAsia="微软雅黑" w:cs="微软雅黑"/>
                <w:sz w:val="21"/>
                <w:szCs w:val="21"/>
              </w:rPr>
            </w:pPr>
          </w:p>
        </w:tc>
        <w:tc>
          <w:tcPr>
            <w:tcW w:w="1656" w:type="dxa"/>
            <w:vAlign w:val="center"/>
          </w:tcPr>
          <w:p>
            <w:pPr>
              <w:pStyle w:val="12"/>
              <w:jc w:val="center"/>
              <w:rPr>
                <w:rFonts w:hint="eastAsia" w:ascii="微软雅黑" w:hAnsi="微软雅黑" w:eastAsia="微软雅黑" w:cs="微软雅黑"/>
                <w:sz w:val="21"/>
                <w:szCs w:val="21"/>
              </w:rPr>
            </w:pPr>
          </w:p>
        </w:tc>
        <w:tc>
          <w:tcPr>
            <w:tcW w:w="1866" w:type="dxa"/>
            <w:vAlign w:val="center"/>
          </w:tcPr>
          <w:p>
            <w:pPr>
              <w:pStyle w:val="12"/>
              <w:jc w:val="center"/>
              <w:rPr>
                <w:rFonts w:hint="eastAsia" w:ascii="微软雅黑" w:hAnsi="微软雅黑" w:eastAsia="微软雅黑" w:cs="微软雅黑"/>
                <w:sz w:val="21"/>
                <w:szCs w:val="21"/>
              </w:rPr>
            </w:pPr>
          </w:p>
        </w:tc>
        <w:tc>
          <w:tcPr>
            <w:tcW w:w="228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2"/>
              <w:jc w:val="center"/>
              <w:rPr>
                <w:rFonts w:hint="eastAsia" w:ascii="微软雅黑" w:hAnsi="微软雅黑" w:eastAsia="微软雅黑" w:cs="微软雅黑"/>
                <w:sz w:val="21"/>
                <w:szCs w:val="21"/>
              </w:rPr>
            </w:pPr>
          </w:p>
        </w:tc>
        <w:tc>
          <w:tcPr>
            <w:tcW w:w="1656" w:type="dxa"/>
            <w:vAlign w:val="center"/>
          </w:tcPr>
          <w:p>
            <w:pPr>
              <w:pStyle w:val="12"/>
              <w:jc w:val="center"/>
              <w:rPr>
                <w:rFonts w:hint="eastAsia" w:ascii="微软雅黑" w:hAnsi="微软雅黑" w:eastAsia="微软雅黑" w:cs="微软雅黑"/>
                <w:sz w:val="21"/>
                <w:szCs w:val="21"/>
              </w:rPr>
            </w:pPr>
          </w:p>
        </w:tc>
        <w:tc>
          <w:tcPr>
            <w:tcW w:w="1866" w:type="dxa"/>
            <w:vAlign w:val="center"/>
          </w:tcPr>
          <w:p>
            <w:pPr>
              <w:pStyle w:val="12"/>
              <w:jc w:val="center"/>
              <w:rPr>
                <w:rFonts w:hint="eastAsia" w:ascii="微软雅黑" w:hAnsi="微软雅黑" w:eastAsia="微软雅黑" w:cs="微软雅黑"/>
                <w:sz w:val="21"/>
                <w:szCs w:val="21"/>
              </w:rPr>
            </w:pPr>
          </w:p>
        </w:tc>
        <w:tc>
          <w:tcPr>
            <w:tcW w:w="2286" w:type="dxa"/>
            <w:vAlign w:val="center"/>
          </w:tcPr>
          <w:p>
            <w:pPr>
              <w:pStyle w:val="12"/>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2"/>
              <w:jc w:val="center"/>
              <w:rPr>
                <w:rFonts w:hint="eastAsia" w:ascii="微软雅黑" w:hAnsi="微软雅黑" w:eastAsia="微软雅黑" w:cs="微软雅黑"/>
                <w:sz w:val="21"/>
                <w:szCs w:val="21"/>
              </w:rPr>
            </w:pPr>
          </w:p>
        </w:tc>
        <w:tc>
          <w:tcPr>
            <w:tcW w:w="1656" w:type="dxa"/>
            <w:vAlign w:val="center"/>
          </w:tcPr>
          <w:p>
            <w:pPr>
              <w:pStyle w:val="12"/>
              <w:jc w:val="center"/>
              <w:rPr>
                <w:rFonts w:hint="eastAsia" w:ascii="微软雅黑" w:hAnsi="微软雅黑" w:eastAsia="微软雅黑" w:cs="微软雅黑"/>
                <w:sz w:val="21"/>
                <w:szCs w:val="21"/>
              </w:rPr>
            </w:pPr>
          </w:p>
        </w:tc>
        <w:tc>
          <w:tcPr>
            <w:tcW w:w="1866" w:type="dxa"/>
            <w:vAlign w:val="center"/>
          </w:tcPr>
          <w:p>
            <w:pPr>
              <w:pStyle w:val="12"/>
              <w:jc w:val="center"/>
              <w:rPr>
                <w:rFonts w:hint="eastAsia" w:ascii="微软雅黑" w:hAnsi="微软雅黑" w:eastAsia="微软雅黑" w:cs="微软雅黑"/>
                <w:sz w:val="21"/>
                <w:szCs w:val="21"/>
              </w:rPr>
            </w:pPr>
          </w:p>
        </w:tc>
        <w:tc>
          <w:tcPr>
            <w:tcW w:w="2286" w:type="dxa"/>
            <w:vAlign w:val="center"/>
          </w:tcPr>
          <w:p>
            <w:pPr>
              <w:pStyle w:val="12"/>
              <w:jc w:val="center"/>
              <w:rPr>
                <w:rFonts w:hint="eastAsia" w:ascii="微软雅黑" w:hAnsi="微软雅黑" w:eastAsia="微软雅黑" w:cs="微软雅黑"/>
                <w:sz w:val="21"/>
                <w:szCs w:val="21"/>
              </w:rPr>
            </w:pPr>
          </w:p>
        </w:tc>
      </w:tr>
    </w:tbl>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供应商名称(公章)：____________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法定代表人或授权代表(签字或盖章)：____________</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2"/>
        <w:ind w:firstLine="420" w:firstLineChars="200"/>
        <w:jc w:val="center"/>
        <w:rPr>
          <w:rFonts w:hint="eastAsia" w:ascii="Times New Roman" w:hAnsi="Times New Roman" w:eastAsia="宋体" w:cs="Times New Roman"/>
          <w:lang w:eastAsia="zh-CN"/>
        </w:rPr>
      </w:pPr>
      <w:r>
        <w:rPr>
          <w:rFonts w:hint="eastAsia" w:ascii="微软雅黑" w:hAnsi="微软雅黑" w:eastAsia="微软雅黑" w:cs="微软雅黑"/>
          <w:sz w:val="21"/>
          <w:szCs w:val="21"/>
        </w:rPr>
        <w:br w:type="page"/>
      </w:r>
      <w:r>
        <w:rPr>
          <w:rFonts w:hint="eastAsia" w:ascii="微软雅黑" w:hAnsi="微软雅黑" w:eastAsia="微软雅黑" w:cs="微软雅黑"/>
          <w:b/>
          <w:bCs/>
          <w:sz w:val="32"/>
          <w:szCs w:val="32"/>
          <w:lang w:val="en-US" w:eastAsia="zh-CN"/>
        </w:rPr>
        <w:t xml:space="preserve">第七章 </w:t>
      </w:r>
      <w:r>
        <w:rPr>
          <w:rFonts w:hint="eastAsia" w:ascii="微软雅黑" w:hAnsi="微软雅黑" w:eastAsia="微软雅黑" w:cs="微软雅黑"/>
          <w:b/>
          <w:bCs/>
          <w:sz w:val="32"/>
          <w:szCs w:val="32"/>
        </w:rPr>
        <w:t>投标标的物符合招标文件规定的证明文件</w:t>
      </w:r>
    </w:p>
    <w:p>
      <w:pPr>
        <w:pStyle w:val="12"/>
        <w:ind w:firstLine="420" w:firstLineChars="200"/>
        <w:rPr>
          <w:rFonts w:hint="eastAsia" w:ascii="Times New Roman" w:hAnsi="Times New Roman" w:cs="Times New Roman"/>
        </w:rPr>
      </w:pPr>
    </w:p>
    <w:p>
      <w:pPr>
        <w:pStyle w:val="12"/>
        <w:ind w:firstLine="420" w:firstLineChars="200"/>
        <w:rPr>
          <w:rFonts w:hint="eastAsia" w:ascii="Times New Roman" w:hAnsi="Times New Roman" w:cs="Times New Roman"/>
        </w:rPr>
      </w:pPr>
    </w:p>
    <w:p>
      <w:pPr>
        <w:pStyle w:val="12"/>
        <w:ind w:firstLine="420" w:firstLineChars="200"/>
        <w:rPr>
          <w:rFonts w:hint="eastAsia" w:ascii="Times New Roman" w:hAnsi="Times New Roman" w:cs="Times New Roman"/>
        </w:rPr>
      </w:pPr>
    </w:p>
    <w:p>
      <w:pPr>
        <w:pStyle w:val="12"/>
        <w:ind w:firstLine="420" w:firstLineChars="200"/>
        <w:rPr>
          <w:rFonts w:hint="eastAsia" w:ascii="微软雅黑" w:hAnsi="微软雅黑" w:eastAsia="微软雅黑" w:cs="微软雅黑"/>
        </w:rPr>
      </w:pPr>
    </w:p>
    <w:p>
      <w:pPr>
        <w:pStyle w:val="12"/>
        <w:ind w:firstLine="420" w:firstLineChars="200"/>
        <w:rPr>
          <w:rFonts w:hint="eastAsia" w:ascii="微软雅黑" w:hAnsi="微软雅黑" w:eastAsia="微软雅黑" w:cs="微软雅黑"/>
          <w:highlight w:val="none"/>
        </w:rPr>
      </w:pPr>
      <w:r>
        <w:rPr>
          <w:rFonts w:hint="eastAsia" w:ascii="微软雅黑" w:hAnsi="微软雅黑" w:eastAsia="微软雅黑" w:cs="微软雅黑"/>
        </w:rPr>
        <w:t>备注：提供第二章“投标人须知前附表”和第六章“项目需求”规</w:t>
      </w:r>
      <w:r>
        <w:rPr>
          <w:rFonts w:hint="eastAsia" w:ascii="微软雅黑" w:hAnsi="微软雅黑" w:eastAsia="微软雅黑" w:cs="微软雅黑"/>
          <w:highlight w:val="none"/>
        </w:rPr>
        <w:t>定(包括投标</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的强制性认证、注册等)的证明材料复印件。</w:t>
      </w:r>
    </w:p>
    <w:p>
      <w:pPr>
        <w:pStyle w:val="12"/>
        <w:ind w:firstLine="420" w:firstLineChars="200"/>
        <w:jc w:val="center"/>
        <w:rPr>
          <w:rFonts w:ascii="Times New Roman" w:hAnsi="Times New Roman" w:eastAsia="MingLiU_HKSCS"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lang w:val="en-US" w:eastAsia="zh-CN"/>
        </w:rPr>
        <w:t>第八章</w:t>
      </w:r>
      <w:r>
        <w:rPr>
          <w:rFonts w:hint="eastAsia" w:ascii="微软雅黑" w:hAnsi="微软雅黑" w:eastAsia="微软雅黑" w:cs="微软雅黑"/>
          <w:b/>
          <w:bCs/>
          <w:sz w:val="32"/>
          <w:szCs w:val="32"/>
        </w:rPr>
        <w:t>其他资料</w:t>
      </w:r>
    </w:p>
    <w:p>
      <w:pPr>
        <w:pStyle w:val="9"/>
        <w:jc w:val="center"/>
        <w:rPr>
          <w:rFonts w:hint="eastAsia" w:ascii="微软雅黑" w:hAnsi="微软雅黑" w:eastAsia="微软雅黑" w:cs="微软雅黑"/>
          <w:sz w:val="28"/>
          <w:szCs w:val="28"/>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8"/>
          <w:szCs w:val="28"/>
        </w:rPr>
        <w:t>公章授权书</w:t>
      </w: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______</w:t>
      </w:r>
      <w:r>
        <w:rPr>
          <w:rFonts w:hint="eastAsia" w:ascii="微软雅黑" w:hAnsi="微软雅黑" w:eastAsia="微软雅黑" w:cs="微软雅黑"/>
          <w:sz w:val="24"/>
          <w:szCs w:val="24"/>
          <w:u w:val="single"/>
        </w:rPr>
        <w:t>(供应商名称)</w:t>
      </w:r>
      <w:r>
        <w:rPr>
          <w:rFonts w:hint="eastAsia" w:ascii="微软雅黑" w:hAnsi="微软雅黑" w:eastAsia="微软雅黑" w:cs="微软雅黑"/>
          <w:sz w:val="24"/>
          <w:szCs w:val="24"/>
        </w:rPr>
        <w:t>______，中华人民共和国合法企业，法定地址：____________________。在参与______</w:t>
      </w:r>
      <w:r>
        <w:rPr>
          <w:rFonts w:hint="eastAsia" w:ascii="微软雅黑" w:hAnsi="微软雅黑" w:eastAsia="微软雅黑" w:cs="微软雅黑"/>
          <w:sz w:val="24"/>
          <w:szCs w:val="24"/>
          <w:u w:val="single"/>
        </w:rPr>
        <w:t>(项目名称)(项目编号)</w:t>
      </w:r>
      <w:r>
        <w:rPr>
          <w:rFonts w:hint="eastAsia" w:ascii="微软雅黑" w:hAnsi="微软雅黑" w:eastAsia="微软雅黑" w:cs="微软雅黑"/>
          <w:sz w:val="24"/>
          <w:szCs w:val="24"/>
        </w:rPr>
        <w:t>______投标活动中，我公司授权投标专用章在此次活动中代为公章使用。</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投标专用章所签署的投标文件、澄清等，我公司承认并同意具备与我公司公章签署等同的法律的效力。</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投标专用章签署的所有文件、协议不因授权的撤销而失效。</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投标专用章：______________</w:t>
      </w:r>
      <w:r>
        <w:rPr>
          <w:rFonts w:hint="eastAsia" w:ascii="微软雅黑" w:hAnsi="微软雅黑" w:eastAsia="微软雅黑" w:cs="微软雅黑"/>
          <w:sz w:val="24"/>
          <w:szCs w:val="24"/>
          <w:u w:val="single"/>
        </w:rPr>
        <w:t>(盖章)</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公司公章：________</w:t>
      </w:r>
      <w:r>
        <w:rPr>
          <w:rFonts w:hint="eastAsia" w:ascii="微软雅黑" w:hAnsi="微软雅黑" w:eastAsia="微软雅黑" w:cs="微软雅黑"/>
          <w:sz w:val="24"/>
          <w:szCs w:val="24"/>
          <w:u w:val="single"/>
        </w:rPr>
        <w:t>(盖章)</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供应商法定代表人：______</w:t>
      </w:r>
      <w:r>
        <w:rPr>
          <w:rFonts w:hint="eastAsia" w:ascii="微软雅黑" w:hAnsi="微软雅黑" w:eastAsia="微软雅黑" w:cs="微软雅黑"/>
          <w:sz w:val="24"/>
          <w:szCs w:val="24"/>
          <w:u w:val="single"/>
        </w:rPr>
        <w:t>(签字或盖章)</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　　　年　　月　　日</w:t>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960" w:firstLineChars="200"/>
        <w:jc w:val="center"/>
        <w:textAlignment w:val="auto"/>
        <w:rPr>
          <w:rFonts w:ascii="Times New Roman" w:hAnsi="Times New Roman" w:cs="Times New Roman"/>
        </w:rPr>
      </w:pPr>
      <w:r>
        <w:rPr>
          <w:rFonts w:hint="eastAsia" w:ascii="华文琥珀" w:hAnsi="华文琥珀" w:eastAsia="华文琥珀" w:cs="华文琥珀"/>
          <w:sz w:val="48"/>
          <w:szCs w:val="48"/>
        </w:rPr>
        <w:t>第二部分　技术部分</w:t>
      </w:r>
    </w:p>
    <w:p>
      <w:pPr>
        <w:pStyle w:val="10"/>
        <w:jc w:val="center"/>
        <w:rPr>
          <w:rFonts w:hint="eastAsia" w:ascii="Times New Roman" w:hAnsi="Times New Roman"/>
        </w:rPr>
      </w:pPr>
    </w:p>
    <w:p>
      <w:pPr>
        <w:pStyle w:val="10"/>
        <w:jc w:val="center"/>
        <w:rPr>
          <w:rFonts w:hint="eastAsia" w:ascii="Times New Roman" w:hAnsi="Times New Roman"/>
        </w:rPr>
      </w:pPr>
    </w:p>
    <w:p>
      <w:pPr>
        <w:pStyle w:val="10"/>
        <w:jc w:val="center"/>
        <w:rPr>
          <w:rFonts w:hint="eastAsia" w:ascii="Times New Roman" w:hAnsi="Times New Roman"/>
        </w:rPr>
      </w:pPr>
    </w:p>
    <w:p>
      <w:pPr>
        <w:pStyle w:val="10"/>
        <w:jc w:val="center"/>
        <w:rPr>
          <w:rFonts w:hint="eastAsia" w:ascii="Times New Roman" w:hAnsi="Times New Roman"/>
        </w:rPr>
      </w:pPr>
    </w:p>
    <w:p>
      <w:pPr>
        <w:pStyle w:val="10"/>
        <w:jc w:val="center"/>
        <w:rPr>
          <w:rFonts w:hint="eastAsia" w:ascii="Times New Roman" w:hAnsi="Times New Roman"/>
        </w:rPr>
      </w:pPr>
    </w:p>
    <w:p>
      <w:pPr>
        <w:pStyle w:val="10"/>
        <w:jc w:val="center"/>
        <w:rPr>
          <w:rFonts w:hint="eastAsia" w:ascii="Times New Roman" w:hAnsi="Times New Roman"/>
        </w:rPr>
      </w:pPr>
    </w:p>
    <w:p>
      <w:pPr>
        <w:pStyle w:val="10"/>
        <w:jc w:val="center"/>
        <w:rPr>
          <w:rFonts w:hint="eastAsia" w:ascii="Times New Roman" w:hAnsi="Times New Roman"/>
        </w:rPr>
      </w:pPr>
    </w:p>
    <w:p>
      <w:pPr>
        <w:pStyle w:val="10"/>
        <w:jc w:val="center"/>
        <w:rPr>
          <w:rFonts w:hint="eastAsia" w:ascii="Times New Roman" w:hAnsi="Times New Roman"/>
        </w:rPr>
      </w:pPr>
    </w:p>
    <w:p>
      <w:pPr>
        <w:pStyle w:val="10"/>
        <w:jc w:val="center"/>
        <w:rPr>
          <w:rFonts w:hint="eastAsia" w:ascii="Times New Roman" w:hAnsi="Times New Roman"/>
        </w:rPr>
      </w:pPr>
    </w:p>
    <w:p>
      <w:pPr>
        <w:pStyle w:val="10"/>
        <w:jc w:val="center"/>
        <w:rPr>
          <w:rFonts w:hint="eastAsia" w:ascii="Times New Roman" w:hAnsi="Times New Roman"/>
        </w:rPr>
      </w:pPr>
    </w:p>
    <w:p>
      <w:pPr>
        <w:pStyle w:val="10"/>
        <w:jc w:val="cente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pStyle w:val="10"/>
        <w:numPr>
          <w:ilvl w:val="0"/>
          <w:numId w:val="4"/>
        </w:numPr>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项目采购需求</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b/>
          <w:bCs/>
          <w:kern w:val="0"/>
          <w:sz w:val="24"/>
          <w:szCs w:val="24"/>
        </w:rPr>
        <w:t>一、采购内容</w:t>
      </w:r>
      <w:r>
        <w:rPr>
          <w:rFonts w:hint="eastAsia" w:ascii="微软雅黑" w:hAnsi="微软雅黑" w:eastAsia="微软雅黑" w:cs="微软雅黑"/>
          <w:kern w:val="0"/>
          <w:sz w:val="24"/>
          <w:szCs w:val="24"/>
        </w:rPr>
        <w:t>：</w:t>
      </w:r>
      <w:r>
        <w:rPr>
          <w:rFonts w:hint="eastAsia" w:ascii="微软雅黑" w:hAnsi="微软雅黑" w:eastAsia="微软雅黑" w:cs="微软雅黑"/>
          <w:kern w:val="0"/>
          <w:sz w:val="24"/>
          <w:szCs w:val="24"/>
          <w:lang w:val="en-US" w:eastAsia="zh-CN"/>
        </w:rPr>
        <w:t xml:space="preserve">安康市中医医院安康市重症能力提升设备采购项目 </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微软雅黑" w:hAnsi="微软雅黑" w:eastAsia="微软雅黑" w:cs="微软雅黑"/>
          <w:b/>
          <w:bCs/>
          <w:sz w:val="24"/>
          <w:szCs w:val="28"/>
          <w:lang w:val="en-US" w:eastAsia="zh-CN"/>
        </w:rPr>
      </w:pPr>
      <w:r>
        <w:rPr>
          <w:rFonts w:hint="eastAsia" w:ascii="微软雅黑" w:hAnsi="微软雅黑" w:eastAsia="微软雅黑" w:cs="微软雅黑"/>
          <w:b/>
          <w:bCs/>
          <w:sz w:val="24"/>
          <w:szCs w:val="28"/>
        </w:rPr>
        <w:t>二、采购内容清单</w:t>
      </w:r>
      <w:r>
        <w:rPr>
          <w:rFonts w:hint="eastAsia" w:ascii="微软雅黑" w:hAnsi="微软雅黑" w:eastAsia="微软雅黑" w:cs="微软雅黑"/>
          <w:b/>
          <w:bCs/>
          <w:sz w:val="24"/>
          <w:szCs w:val="28"/>
          <w:lang w:val="en-US" w:eastAsia="zh-CN"/>
        </w:rPr>
        <w:t>及技术参数要求</w:t>
      </w:r>
    </w:p>
    <w:p>
      <w:pPr>
        <w:pStyle w:val="2"/>
        <w:ind w:firstLine="280" w:firstLineChars="100"/>
        <w:jc w:val="center"/>
        <w:rPr>
          <w:rFonts w:hint="eastAsia" w:ascii="微软雅黑" w:hAnsi="微软雅黑" w:eastAsia="微软雅黑" w:cs="微软雅黑"/>
          <w:b/>
          <w:bCs/>
          <w:sz w:val="28"/>
          <w:szCs w:val="32"/>
          <w:lang w:val="en-US" w:eastAsia="zh-CN"/>
        </w:rPr>
      </w:pPr>
      <w:r>
        <w:rPr>
          <w:rFonts w:hint="eastAsia" w:ascii="微软雅黑" w:hAnsi="微软雅黑" w:eastAsia="微软雅黑" w:cs="微软雅黑"/>
          <w:b/>
          <w:bCs/>
          <w:sz w:val="28"/>
          <w:szCs w:val="32"/>
          <w:lang w:val="en-US" w:eastAsia="zh-CN"/>
        </w:rPr>
        <w:t>合同包1</w:t>
      </w:r>
    </w:p>
    <w:p>
      <w:pPr>
        <w:rPr>
          <w:rFonts w:hint="default"/>
          <w:sz w:val="24"/>
          <w:szCs w:val="24"/>
          <w:lang w:val="en-US" w:eastAsia="zh-CN"/>
        </w:rPr>
      </w:pPr>
      <w:r>
        <w:rPr>
          <w:rFonts w:hint="eastAsia" w:ascii="微软雅黑" w:hAnsi="微软雅黑" w:eastAsia="微软雅黑" w:cs="微软雅黑"/>
          <w:b/>
          <w:bCs/>
          <w:sz w:val="24"/>
          <w:szCs w:val="24"/>
          <w:lang w:val="en-US" w:eastAsia="zh-CN"/>
        </w:rPr>
        <w:t>（一）采购清单：</w:t>
      </w:r>
    </w:p>
    <w:tbl>
      <w:tblPr>
        <w:tblStyle w:val="16"/>
        <w:tblpPr w:leftFromText="180" w:rightFromText="180" w:vertAnchor="text" w:horzAnchor="page" w:tblpXSpec="center" w:tblpY="192"/>
        <w:tblOverlap w:val="never"/>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488"/>
        <w:gridCol w:w="1365"/>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5" w:type="dxa"/>
            <w:noWrap w:val="0"/>
            <w:vAlign w:val="center"/>
          </w:tcPr>
          <w:p>
            <w:pPr>
              <w:jc w:val="center"/>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lang w:val="en-US" w:eastAsia="zh-CN"/>
              </w:rPr>
              <w:t>序号</w:t>
            </w:r>
          </w:p>
        </w:tc>
        <w:tc>
          <w:tcPr>
            <w:tcW w:w="2488" w:type="dxa"/>
            <w:noWrap w:val="0"/>
            <w:vAlign w:val="center"/>
          </w:tcPr>
          <w:p>
            <w:pPr>
              <w:jc w:val="center"/>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lang w:val="en-US" w:eastAsia="zh-CN"/>
              </w:rPr>
              <w:t>项目名称</w:t>
            </w:r>
          </w:p>
        </w:tc>
        <w:tc>
          <w:tcPr>
            <w:tcW w:w="1365" w:type="dxa"/>
            <w:noWrap w:val="0"/>
            <w:vAlign w:val="center"/>
          </w:tcPr>
          <w:p>
            <w:pPr>
              <w:jc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数量</w:t>
            </w:r>
          </w:p>
          <w:p>
            <w:pPr>
              <w:jc w:val="center"/>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lang w:val="en-US" w:eastAsia="zh-CN"/>
              </w:rPr>
              <w:t>（单位）</w:t>
            </w:r>
          </w:p>
        </w:tc>
        <w:tc>
          <w:tcPr>
            <w:tcW w:w="4362" w:type="dxa"/>
            <w:noWrap w:val="0"/>
            <w:vAlign w:val="center"/>
          </w:tcPr>
          <w:p>
            <w:pPr>
              <w:jc w:val="center"/>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插件式心电监护仪</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5台</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sz w:val="24"/>
                <w:szCs w:val="24"/>
                <w:u w:val="none"/>
                <w:lang w:val="en-US" w:eastAsia="zh-CN"/>
              </w:rPr>
              <w:t>含中央站一套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心电监护仪</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3台</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r>
              <w:rPr>
                <w:rFonts w:hint="eastAsia" w:ascii="微软雅黑" w:hAnsi="微软雅黑" w:eastAsia="微软雅黑" w:cs="微软雅黑"/>
                <w:color w:val="auto"/>
                <w:sz w:val="24"/>
                <w:szCs w:val="24"/>
                <w:highlight w:val="none"/>
              </w:rPr>
              <w:t>标配+IBP+打印</w:t>
            </w:r>
            <w:r>
              <w:rPr>
                <w:rFonts w:hint="eastAsia" w:ascii="微软雅黑" w:hAnsi="微软雅黑" w:eastAsia="微软雅黑" w:cs="微软雅黑"/>
                <w:color w:val="auto"/>
                <w:sz w:val="24"/>
                <w:szCs w:val="24"/>
                <w:highlight w:val="none"/>
                <w:lang w:eastAsia="zh-CN"/>
              </w:rPr>
              <w:t>（一台配</w:t>
            </w:r>
            <w:r>
              <w:rPr>
                <w:rFonts w:hint="eastAsia" w:ascii="微软雅黑" w:hAnsi="微软雅黑" w:eastAsia="微软雅黑" w:cs="微软雅黑"/>
                <w:color w:val="auto"/>
                <w:sz w:val="24"/>
                <w:szCs w:val="24"/>
                <w:highlight w:val="none"/>
                <w:lang w:val="en-US" w:eastAsia="zh-CN"/>
              </w:rPr>
              <w:t>PICCO</w:t>
            </w:r>
            <w:r>
              <w:rPr>
                <w:rFonts w:hint="eastAsia" w:ascii="微软雅黑" w:hAnsi="微软雅黑" w:eastAsia="微软雅黑" w:cs="微软雅黑"/>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3</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心电监护仪</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2台</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r>
              <w:rPr>
                <w:rFonts w:hint="eastAsia" w:ascii="微软雅黑" w:hAnsi="微软雅黑" w:eastAsia="微软雅黑" w:cs="微软雅黑"/>
                <w:color w:val="auto"/>
                <w:sz w:val="24"/>
                <w:szCs w:val="24"/>
                <w:highlight w:val="none"/>
              </w:rPr>
              <w:t>标配+IBP+转运</w:t>
            </w:r>
            <w:r>
              <w:rPr>
                <w:rFonts w:hint="eastAsia" w:ascii="微软雅黑" w:hAnsi="微软雅黑" w:eastAsia="微软雅黑" w:cs="微软雅黑"/>
                <w:color w:val="auto"/>
                <w:sz w:val="24"/>
                <w:szCs w:val="24"/>
                <w:highlight w:val="none"/>
                <w:lang w:val="en-US" w:eastAsia="zh-CN"/>
              </w:rPr>
              <w:t xml:space="preserve">+PICCO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4</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空气压力波治疗仪</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2台</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5</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可视喉镜</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1套</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6</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吊塔</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10台</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7</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电动病床</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10套</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8</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除颤监护仪</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3台</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9</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起搏器分析仪及手术电缆</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1台</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8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10</w:t>
            </w:r>
          </w:p>
        </w:tc>
        <w:tc>
          <w:tcPr>
            <w:tcW w:w="2488"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排痰仪</w:t>
            </w:r>
          </w:p>
        </w:tc>
        <w:tc>
          <w:tcPr>
            <w:tcW w:w="1365"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2台</w:t>
            </w:r>
          </w:p>
        </w:tc>
        <w:tc>
          <w:tcPr>
            <w:tcW w:w="4362"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bl>
    <w:p>
      <w:pPr>
        <w:pStyle w:val="7"/>
        <w:pageBreakBefore w:val="0"/>
        <w:numPr>
          <w:ilvl w:val="0"/>
          <w:numId w:val="5"/>
        </w:numPr>
        <w:kinsoku/>
        <w:wordWrap/>
        <w:overflowPunct/>
        <w:topLinePunct w:val="0"/>
        <w:autoSpaceDE/>
        <w:autoSpaceDN/>
        <w:bidi w:val="0"/>
        <w:spacing w:line="600" w:lineRule="atLeast"/>
        <w:jc w:val="left"/>
        <w:textAlignment w:val="auto"/>
        <w:rPr>
          <w:rFonts w:hint="eastAsia" w:ascii="微软雅黑" w:hAnsi="微软雅黑" w:eastAsia="微软雅黑" w:cs="微软雅黑"/>
          <w:b/>
          <w:bCs/>
          <w:sz w:val="24"/>
          <w:szCs w:val="24"/>
          <w:lang w:val="en-US" w:eastAsia="zh-CN"/>
        </w:rPr>
      </w:pPr>
      <w:r>
        <w:rPr>
          <w:rFonts w:hint="default" w:ascii="微软雅黑" w:hAnsi="微软雅黑" w:eastAsia="微软雅黑" w:cs="微软雅黑"/>
          <w:b/>
          <w:bCs/>
          <w:sz w:val="24"/>
          <w:szCs w:val="24"/>
          <w:lang w:val="en-US" w:eastAsia="zh-CN"/>
        </w:rPr>
        <w:t>技术参数及要求</w:t>
      </w:r>
      <w:r>
        <w:rPr>
          <w:rFonts w:hint="eastAsia" w:ascii="微软雅黑" w:hAnsi="微软雅黑" w:eastAsia="微软雅黑" w:cs="微软雅黑"/>
          <w:b/>
          <w:bCs/>
          <w:sz w:val="24"/>
          <w:szCs w:val="24"/>
          <w:lang w:val="en-US" w:eastAsia="zh-CN"/>
        </w:rPr>
        <w:t>：</w:t>
      </w:r>
    </w:p>
    <w:p>
      <w:pPr>
        <w:pStyle w:val="7"/>
        <w:pageBreakBefore w:val="0"/>
        <w:numPr>
          <w:ilvl w:val="0"/>
          <w:numId w:val="0"/>
        </w:numPr>
        <w:kinsoku/>
        <w:wordWrap/>
        <w:overflowPunct/>
        <w:topLinePunct w:val="0"/>
        <w:autoSpaceDE/>
        <w:autoSpaceDN/>
        <w:bidi w:val="0"/>
        <w:spacing w:line="600" w:lineRule="atLeast"/>
        <w:ind w:firstLine="480" w:firstLineChars="200"/>
        <w:jc w:val="center"/>
        <w:textAlignment w:val="auto"/>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1、插件式心电监护仪（5台）</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w:t>
      </w:r>
      <w:r>
        <w:rPr>
          <w:rFonts w:hint="eastAsia" w:ascii="微软雅黑" w:hAnsi="微软雅黑" w:eastAsia="微软雅黑" w:cs="微软雅黑"/>
          <w:b/>
          <w:sz w:val="24"/>
          <w:szCs w:val="24"/>
          <w:lang w:val="en-US" w:eastAsia="zh-CN"/>
        </w:rPr>
        <w:t>1</w:t>
      </w:r>
      <w:r>
        <w:rPr>
          <w:rFonts w:hint="eastAsia" w:ascii="微软雅黑" w:hAnsi="微软雅黑" w:eastAsia="微软雅黑" w:cs="微软雅黑"/>
          <w:b/>
          <w:sz w:val="24"/>
          <w:szCs w:val="24"/>
        </w:rPr>
        <w:t>）整机要求</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*1.1、模块化监护仪，主机集成内置≥2槽位插件槽，可支持IBP，CO2，AG和CO,任意参数模块的即插即用，整机无风扇设计。 </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、≥12.1英寸彩色液晶触摸屏，分辨率高达≥1280*800像素，</w:t>
      </w:r>
      <w:r>
        <w:rPr>
          <w:rFonts w:hint="eastAsia" w:ascii="微软雅黑" w:hAnsi="微软雅黑" w:eastAsia="微软雅黑" w:cs="微软雅黑"/>
          <w:sz w:val="24"/>
          <w:szCs w:val="24"/>
          <w:highlight w:val="none"/>
        </w:rPr>
        <w:t>≥10通道波形显示。</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、显示屏采用宽视角技术，支持170度可视范围。</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、可支持遥控器无线操作监护仪。</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、内置锂电池，插槽式设计，无需螺丝刀工具支持快速拆卸和安装。锂电池支持监护仪工作时间≥4小时。</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w:t>
      </w:r>
      <w:r>
        <w:rPr>
          <w:rFonts w:hint="eastAsia" w:ascii="微软雅黑" w:hAnsi="微软雅黑" w:eastAsia="微软雅黑" w:cs="微软雅黑"/>
          <w:b/>
          <w:sz w:val="24"/>
          <w:szCs w:val="24"/>
          <w:lang w:val="en-US" w:eastAsia="zh-CN"/>
        </w:rPr>
        <w:t>2</w:t>
      </w:r>
      <w:r>
        <w:rPr>
          <w:rFonts w:hint="eastAsia" w:ascii="微软雅黑" w:hAnsi="微软雅黑" w:eastAsia="微软雅黑" w:cs="微软雅黑"/>
          <w:b/>
          <w:sz w:val="24"/>
          <w:szCs w:val="24"/>
        </w:rPr>
        <w:t>）监测参数</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2.1、配置3/5导心电，呼吸，无创血压，血氧饱和度，脉搏和双通道体温。 </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*2.2、心电监护支持心率，ST段测量，心律失常分析，QT/QTc连续实时测量和对应报警功能。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2.3、心电算法通过AHA/MIT-BIH数据库验证。</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2.4、心电波形扫描速度支持6.25mm/s、12.5 mm/s、25 mm/s和50 mm/s。</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2.5、提供窗口支持心脏下壁，侧壁和前壁对应多个ST片段的同屏实时显示，提供参考片段和实时片段的对比查看。</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2.6、支持≥20种心律失常分析,包括房颤分析。</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2.7、QT和QTc实时监测参数测量范围：200～800 ms。</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2.8、支持升级提供过去24小时心电概览报告查看与打印，包括心率统计结果，心律失常统计结果，ST统计和QT/QTc统计结果。</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2.9、提供SpO2,PR和PI参数的实时监测，适用于成人，小儿和新生儿。</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2.10、支持指套式血氧探头，IPX7防水等级，支持液体浸泡消毒和清洁。</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2.11、配置无创血压测量，适用于成人，小儿和新生儿。</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*2.12、提供手动，自动，连续和序列4种测量模式，并提供24小时动态血压统计结果。</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*2.13、无创血压成人测量范围不小于：收缩压25~290mmHg，舒张压10~250mmHg，平均压15~260mmHg。</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2.14、提供辅助静脉穿刺功能。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2.15、提供双通道体温和温差参数的监测, 并可根据需要更改体温通道标名。</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2.16、支持升级多达4通道有创压监测，动脉压监测时支持同步监测PPV，适用于成人，小儿和新生儿，通过国家三类注册认证。</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w:t>
      </w:r>
      <w:r>
        <w:rPr>
          <w:rFonts w:hint="eastAsia" w:ascii="微软雅黑" w:hAnsi="微软雅黑" w:eastAsia="微软雅黑" w:cs="微软雅黑"/>
          <w:b/>
          <w:sz w:val="24"/>
          <w:szCs w:val="24"/>
          <w:lang w:val="en-US" w:eastAsia="zh-CN"/>
        </w:rPr>
        <w:t>3</w:t>
      </w:r>
      <w:r>
        <w:rPr>
          <w:rFonts w:hint="eastAsia" w:ascii="微软雅黑" w:hAnsi="微软雅黑" w:eastAsia="微软雅黑" w:cs="微软雅黑"/>
          <w:b/>
          <w:sz w:val="24"/>
          <w:szCs w:val="24"/>
        </w:rPr>
        <w:t>）系统功能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3.1、支持所有监测参数报警限一键自动设置功能，满足医护团队快速管理患者报警需求，产品用户手册提供报警限自动设置规则。</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3.2、支持肾功能计算功能。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3.3、具有图形化技术报警指示功能，帮助医护团队快速识别报警来源。</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3.4、支持≥120小时趋势图和趋势表回顾，支持选择不同趋势组回顾</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3.5、支持≥1000条事件回顾。每条报警事件至少能够存储32秒三道相关波形，以及报警触发时所有测量参数值</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3.6、支持≥1000组NIBP测量结果的存储与回顾</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3.7、支持≥120小时（分辨率1分钟）ST模板存储与回顾</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3.8、支持≥48小时全息波形的存储与回顾功能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3.9、支持监护仪历史病人数据的存储和回顾，并支持通过USB接口将历史病人数据导出到U盘。</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3.10、支持RJ45接口进行有线网络通信，和除颤监护仪一起联网通信到中心监护系统。</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3.11、支持监护仪进入夜间模式，隐私模式，演示模式和待机模式。</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*3.12、配置临床评分系统，包括MEWS（改良早期预警评分）、NEWS（英国早期预警评分），可支持定时自动EWS评分功能。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*3.13、提供计时器功能，界面区提供设置≥4个计时器，每个计时器支持独立设置和计时功能，计时方向包括正计时和倒计时两种选择。</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3.14、支持格拉斯哥昏迷评分（GCS）功能。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*3.15、动态趋势界面可支持统计1-24小时心律失常报警、参数超限报警信息，并对超限报警区间的波形进行高亮显示，帮助医护人员快速识别异常趋势信息。</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(4）中央监护站（1套）</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w:t>
      </w:r>
      <w:r>
        <w:rPr>
          <w:rFonts w:hint="eastAsia" w:ascii="微软雅黑" w:hAnsi="微软雅黑" w:eastAsia="微软雅黑" w:cs="微软雅黑"/>
          <w:sz w:val="24"/>
          <w:szCs w:val="24"/>
        </w:rPr>
        <w:t>中心监护系统支持中央站, 工作站, 浏览站, 远程查询系统等多种产品形态互连</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w:t>
      </w:r>
      <w:r>
        <w:rPr>
          <w:rFonts w:hint="eastAsia" w:ascii="微软雅黑" w:hAnsi="微软雅黑" w:eastAsia="微软雅黑" w:cs="微软雅黑"/>
          <w:sz w:val="24"/>
          <w:szCs w:val="24"/>
        </w:rPr>
        <w:t xml:space="preserve">中央站提供其他产品形态访问中央站的权限设置，且提供单个床位是否允许外部进行访问的设置 </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4.3、</w:t>
      </w:r>
      <w:r>
        <w:rPr>
          <w:rFonts w:hint="eastAsia" w:ascii="微软雅黑" w:hAnsi="微软雅黑" w:eastAsia="微软雅黑" w:cs="微软雅黑"/>
          <w:sz w:val="24"/>
          <w:szCs w:val="24"/>
        </w:rPr>
        <w:t>工作站支持远程集中监护中央站上接收的病人，并提供不同控制权限的设置，满足不同临床场景下的部署要求</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4.4、</w:t>
      </w:r>
      <w:r>
        <w:rPr>
          <w:rFonts w:hint="eastAsia" w:ascii="微软雅黑" w:hAnsi="微软雅黑" w:eastAsia="微软雅黑" w:cs="微软雅黑"/>
          <w:sz w:val="24"/>
          <w:szCs w:val="24"/>
        </w:rPr>
        <w:t>浏览站提供远程集中监护中央站上接收的病人</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4.5、</w:t>
      </w:r>
      <w:r>
        <w:rPr>
          <w:rFonts w:hint="eastAsia" w:ascii="微软雅黑" w:hAnsi="微软雅黑" w:eastAsia="微软雅黑" w:cs="微软雅黑"/>
          <w:sz w:val="24"/>
          <w:szCs w:val="24"/>
        </w:rPr>
        <w:t>远程查询支持远程浏览中央站上接收的病人</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4.6、</w:t>
      </w:r>
      <w:r>
        <w:rPr>
          <w:rFonts w:hint="eastAsia" w:ascii="微软雅黑" w:hAnsi="微软雅黑" w:eastAsia="微软雅黑" w:cs="微软雅黑"/>
          <w:sz w:val="24"/>
          <w:szCs w:val="24"/>
        </w:rPr>
        <w:t>中心监护系统支持有线、无线、遥测多元化的组网方式，中心监护网络中支持多达1200 台床旁设备互连</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4.7、</w:t>
      </w:r>
      <w:r>
        <w:rPr>
          <w:rFonts w:hint="eastAsia" w:ascii="微软雅黑" w:hAnsi="微软雅黑" w:eastAsia="微软雅黑" w:cs="微软雅黑"/>
          <w:sz w:val="24"/>
          <w:szCs w:val="24"/>
        </w:rPr>
        <w:t xml:space="preserve">中心监护系统可支持参数监测ECG， ST, QT/QTc， RESP，SPO2， PR， TEMP， NIBP， IBP， C.O.，CCO， ScvO2，ICG，BIS，RM，CO2，AG，EEG，NMT，rSO2，TcGas </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4.8、</w:t>
      </w:r>
      <w:r>
        <w:rPr>
          <w:rFonts w:hint="eastAsia" w:ascii="微软雅黑" w:hAnsi="微软雅黑" w:eastAsia="微软雅黑" w:cs="微软雅黑"/>
          <w:sz w:val="24"/>
          <w:szCs w:val="24"/>
        </w:rPr>
        <w:t>支持设备集成参数的监测</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4.9、</w:t>
      </w:r>
      <w:r>
        <w:rPr>
          <w:rFonts w:hint="eastAsia" w:ascii="微软雅黑" w:hAnsi="微软雅黑" w:eastAsia="微软雅黑" w:cs="微软雅黑"/>
          <w:sz w:val="24"/>
          <w:szCs w:val="24"/>
        </w:rPr>
        <w:t>中心监护系统支持Window 7中、英文操作系统</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4.10、</w:t>
      </w:r>
      <w:r>
        <w:rPr>
          <w:rFonts w:hint="eastAsia" w:ascii="微软雅黑" w:hAnsi="微软雅黑" w:eastAsia="微软雅黑" w:cs="微软雅黑"/>
          <w:sz w:val="24"/>
          <w:szCs w:val="24"/>
        </w:rPr>
        <w:t>中心监护系统支持19寸以上液晶屏幕显示，1280×1024高分辨率彩色液晶显示。</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4.11、</w:t>
      </w:r>
      <w:r>
        <w:rPr>
          <w:rFonts w:hint="eastAsia" w:ascii="微软雅黑" w:hAnsi="微软雅黑" w:eastAsia="微软雅黑" w:cs="微软雅黑"/>
          <w:sz w:val="24"/>
          <w:szCs w:val="24"/>
        </w:rPr>
        <w:t>可同时集中监护多达64 个病人， 单个屏幕可支持16个病人的同时集中监护。支持多达4个 显示屏显示</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4.12、</w:t>
      </w:r>
      <w:r>
        <w:rPr>
          <w:rFonts w:hint="eastAsia" w:ascii="微软雅黑" w:hAnsi="微软雅黑" w:eastAsia="微软雅黑" w:cs="微软雅黑"/>
          <w:sz w:val="24"/>
          <w:szCs w:val="24"/>
        </w:rPr>
        <w:t>多床观察时每床支持5个参数、4道波形的观察，支持大字体显示</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4.13、</w:t>
      </w:r>
      <w:r>
        <w:rPr>
          <w:rFonts w:hint="eastAsia" w:ascii="微软雅黑" w:hAnsi="微软雅黑" w:eastAsia="微软雅黑" w:cs="微软雅黑"/>
          <w:sz w:val="24"/>
          <w:szCs w:val="24"/>
        </w:rPr>
        <w:t>多床支持床标识显示，可用来区分护理组、病人组等</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4.14、</w:t>
      </w:r>
      <w:r>
        <w:rPr>
          <w:rFonts w:hint="eastAsia" w:ascii="微软雅黑" w:hAnsi="微软雅黑" w:eastAsia="微软雅黑" w:cs="微软雅黑"/>
          <w:sz w:val="24"/>
          <w:szCs w:val="24"/>
        </w:rPr>
        <w:t>支持重点观察某床病人，双屏和多屏时可支持固定一个辅助屏显示重点单床观察</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4.15、</w:t>
      </w:r>
      <w:r>
        <w:rPr>
          <w:rFonts w:hint="eastAsia" w:ascii="微软雅黑" w:hAnsi="微软雅黑" w:eastAsia="微软雅黑" w:cs="微软雅黑"/>
          <w:sz w:val="24"/>
          <w:szCs w:val="24"/>
        </w:rPr>
        <w:t>重点观察床支持多达11道波形显示</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4.16、</w:t>
      </w:r>
      <w:r>
        <w:rPr>
          <w:rFonts w:hint="eastAsia" w:ascii="微软雅黑" w:hAnsi="微软雅黑" w:eastAsia="微软雅黑" w:cs="微软雅黑"/>
          <w:sz w:val="24"/>
          <w:szCs w:val="24"/>
        </w:rPr>
        <w:t>重点观察床支持多导心电、呼吸氧合图、动态短趋势、NIBP LIST 等多种视图显示，适用不同科室的观察习惯</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4.17、</w:t>
      </w:r>
      <w:r>
        <w:rPr>
          <w:rFonts w:hint="eastAsia" w:ascii="微软雅黑" w:hAnsi="微软雅黑" w:eastAsia="微软雅黑" w:cs="微软雅黑"/>
          <w:sz w:val="24"/>
          <w:szCs w:val="24"/>
        </w:rPr>
        <w:t>提供声、光、文字多重报警提醒功能，提供高、中、低三级报警。具有报警自动记录或打印功能。保存报警时刻前后32秒的波形</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4.18、</w:t>
      </w:r>
      <w:r>
        <w:rPr>
          <w:rFonts w:hint="eastAsia" w:ascii="微软雅黑" w:hAnsi="微软雅黑" w:eastAsia="微软雅黑" w:cs="微软雅黑"/>
          <w:sz w:val="24"/>
          <w:szCs w:val="24"/>
        </w:rPr>
        <w:t>支持系统报警声音关闭功能</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4.19、</w:t>
      </w:r>
      <w:r>
        <w:rPr>
          <w:rFonts w:hint="eastAsia" w:ascii="微软雅黑" w:hAnsi="微软雅黑" w:eastAsia="微软雅黑" w:cs="微软雅黑"/>
          <w:sz w:val="24"/>
          <w:szCs w:val="24"/>
        </w:rPr>
        <w:t xml:space="preserve">提供全床位最近24h的报警事件浏览功能 </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4.20、</w:t>
      </w:r>
      <w:r>
        <w:rPr>
          <w:rFonts w:hint="eastAsia" w:ascii="微软雅黑" w:hAnsi="微软雅黑" w:eastAsia="微软雅黑" w:cs="微软雅黑"/>
          <w:sz w:val="24"/>
          <w:szCs w:val="24"/>
        </w:rPr>
        <w:t>数据回顾：</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4.21、</w:t>
      </w:r>
      <w:r>
        <w:rPr>
          <w:rFonts w:hint="eastAsia" w:ascii="微软雅黑" w:hAnsi="微软雅黑" w:eastAsia="微软雅黑" w:cs="微软雅黑"/>
          <w:sz w:val="24"/>
          <w:szCs w:val="24"/>
        </w:rPr>
        <w:t xml:space="preserve">支持至少240小时长趋势回顾和4小时短趋势回顾，至少240 小时全息波形回顾，至少720条报警事件回顾，至少720 条12导分析报告回顾，至少240 小时的ST片段回顾，至少720条C.O. 测量结果回顾，至少100条呼吸氧合事件回顾 </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4.22、</w:t>
      </w:r>
      <w:r>
        <w:rPr>
          <w:rFonts w:hint="eastAsia" w:ascii="微软雅黑" w:hAnsi="微软雅黑" w:eastAsia="微软雅黑" w:cs="微软雅黑"/>
          <w:sz w:val="24"/>
          <w:szCs w:val="24"/>
        </w:rPr>
        <w:t xml:space="preserve">支持至少24小时动态血压分析与回顾功能 </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4.23、</w:t>
      </w:r>
      <w:r>
        <w:rPr>
          <w:rFonts w:hint="eastAsia" w:ascii="微软雅黑" w:hAnsi="微软雅黑" w:eastAsia="微软雅黑" w:cs="微软雅黑"/>
          <w:sz w:val="24"/>
          <w:szCs w:val="24"/>
        </w:rPr>
        <w:t xml:space="preserve">支持至少2万个历史病人数据存储与回顾 </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4.24、</w:t>
      </w:r>
      <w:r>
        <w:rPr>
          <w:rFonts w:hint="eastAsia" w:ascii="微软雅黑" w:hAnsi="微软雅黑" w:eastAsia="微软雅黑" w:cs="微软雅黑"/>
          <w:sz w:val="24"/>
          <w:szCs w:val="24"/>
        </w:rPr>
        <w:t>支持至少75条药物计算结果回顾 ，至少100条血液动力学计算结果回顾，至少100条氧合计算结果回顾，至少100条通气计算结果回顾，至少100条肾功能计算结果回顾</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4.25、</w:t>
      </w:r>
      <w:r>
        <w:rPr>
          <w:rFonts w:hint="eastAsia" w:ascii="微软雅黑" w:hAnsi="微软雅黑" w:eastAsia="微软雅黑" w:cs="微软雅黑"/>
          <w:sz w:val="24"/>
          <w:szCs w:val="24"/>
        </w:rPr>
        <w:t>支持热敏记录仪及激光打印机输出病人报告</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4.26、</w:t>
      </w:r>
      <w:r>
        <w:rPr>
          <w:rFonts w:hint="eastAsia" w:ascii="微软雅黑" w:hAnsi="微软雅黑" w:eastAsia="微软雅黑" w:cs="微软雅黑"/>
          <w:sz w:val="24"/>
          <w:szCs w:val="24"/>
        </w:rPr>
        <w:t>支持报警报告、波形报告、趋势报告、ARR统计报告、24h动态血压报告 等</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4.27、</w:t>
      </w:r>
      <w:r>
        <w:rPr>
          <w:rFonts w:hint="eastAsia" w:ascii="微软雅黑" w:hAnsi="微软雅黑" w:eastAsia="微软雅黑" w:cs="微软雅黑"/>
          <w:sz w:val="24"/>
          <w:szCs w:val="24"/>
        </w:rPr>
        <w:t>可远程控制对床旁监护仪进行病人信息设置，解除病人，进行standby</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4.28、</w:t>
      </w:r>
      <w:r>
        <w:rPr>
          <w:rFonts w:hint="eastAsia" w:ascii="微软雅黑" w:hAnsi="微软雅黑" w:eastAsia="微软雅黑" w:cs="微软雅黑"/>
          <w:sz w:val="24"/>
          <w:szCs w:val="24"/>
        </w:rPr>
        <w:t>支持远程控制床旁监护仪报警暂停、报警复位，设置报警开关、报警级别、报警上下限等。</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4.29、</w:t>
      </w:r>
      <w:r>
        <w:rPr>
          <w:rFonts w:hint="eastAsia" w:ascii="微软雅黑" w:hAnsi="微软雅黑" w:eastAsia="微软雅黑" w:cs="微软雅黑"/>
          <w:sz w:val="24"/>
          <w:szCs w:val="24"/>
        </w:rPr>
        <w:t>支持远程控制床旁监护仪启动NIBP测量，设置NIBP测量模式和时间间隔；</w:t>
      </w:r>
    </w:p>
    <w:p>
      <w:pPr>
        <w:pStyle w:val="33"/>
        <w:pageBreakBefore w:val="0"/>
        <w:numPr>
          <w:ilvl w:val="0"/>
          <w:numId w:val="0"/>
        </w:numPr>
        <w:kinsoku/>
        <w:wordWrap/>
        <w:overflowPunct/>
        <w:topLinePunct w:val="0"/>
        <w:autoSpaceDE/>
        <w:autoSpaceDN/>
        <w:bidi w:val="0"/>
        <w:spacing w:line="600" w:lineRule="atLeast"/>
        <w:ind w:leftChars="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4.30、</w:t>
      </w:r>
      <w:r>
        <w:rPr>
          <w:rFonts w:hint="eastAsia" w:ascii="微软雅黑" w:hAnsi="微软雅黑" w:eastAsia="微软雅黑" w:cs="微软雅黑"/>
          <w:sz w:val="24"/>
          <w:szCs w:val="24"/>
        </w:rPr>
        <w:t>支持远程控制床旁监护仪进入隐私、夜间模式</w:t>
      </w:r>
    </w:p>
    <w:p>
      <w:pPr>
        <w:pStyle w:val="7"/>
        <w:pageBreakBefore w:val="0"/>
        <w:numPr>
          <w:ilvl w:val="0"/>
          <w:numId w:val="0"/>
        </w:numPr>
        <w:kinsoku/>
        <w:wordWrap/>
        <w:overflowPunct/>
        <w:topLinePunct w:val="0"/>
        <w:autoSpaceDE/>
        <w:autoSpaceDN/>
        <w:bidi w:val="0"/>
        <w:spacing w:line="600" w:lineRule="atLeast"/>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kern w:val="2"/>
          <w:sz w:val="24"/>
          <w:szCs w:val="24"/>
          <w:highlight w:val="none"/>
          <w:lang w:val="en-US" w:eastAsia="zh-CN" w:bidi="ar-SA"/>
        </w:rPr>
        <w:t>2、心电监护仪（3台）</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b/>
          <w:sz w:val="24"/>
          <w:szCs w:val="24"/>
        </w:rPr>
        <w:t>（</w:t>
      </w:r>
      <w:r>
        <w:rPr>
          <w:rFonts w:hint="eastAsia" w:ascii="微软雅黑" w:hAnsi="微软雅黑" w:eastAsia="微软雅黑" w:cs="微软雅黑"/>
          <w:b/>
          <w:sz w:val="24"/>
          <w:szCs w:val="24"/>
          <w:lang w:val="en-US" w:eastAsia="zh-CN"/>
        </w:rPr>
        <w:t>1</w:t>
      </w:r>
      <w:r>
        <w:rPr>
          <w:rFonts w:hint="eastAsia" w:ascii="微软雅黑" w:hAnsi="微软雅黑" w:eastAsia="微软雅黑" w:cs="微软雅黑"/>
          <w:b/>
          <w:sz w:val="24"/>
          <w:szCs w:val="24"/>
        </w:rPr>
        <w:t>）整机要求</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模块化插件式床边监护仪，主机、显示屏和插件槽一体化设计，主机插槽数≥4个</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≥12英寸彩色电容触摸屏，高分辨率≥1280×800像素，≥8通道显示，显示屏亮度自动调节，屏幕支持手势滑动操作，支持穿戴医用防护手套操作</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采用无风扇设计</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可内置高能锂电池，供电时间≥4小时</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配置≥4个USB接口，支持连接存储介质、鼠标、键盘、条码扫描枪等USB设备</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lang w:val="en-US" w:eastAsia="zh-CN"/>
        </w:rPr>
        <w:t>2</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rPr>
        <w:t>监测参数</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基本功能模块支持心电，呼吸，心率，无创血压，血氧饱和度，脉搏，双通道体温和双通道有创血压的同时监测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2.2、</w:t>
      </w:r>
      <w:r>
        <w:rPr>
          <w:rFonts w:hint="eastAsia" w:ascii="微软雅黑" w:hAnsi="微软雅黑" w:eastAsia="微软雅黑" w:cs="微软雅黑"/>
          <w:sz w:val="24"/>
          <w:szCs w:val="24"/>
        </w:rPr>
        <w:t>ECG支持3/5导心电监测，可选配6/12导联心电监测。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支持房颤及室上性心律失常分析功能，如：室上性心动过速，SVCs/min等，标配支持≥27种实时心律失常分析</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2.4、</w:t>
      </w:r>
      <w:r>
        <w:rPr>
          <w:rFonts w:hint="eastAsia" w:ascii="微软雅黑" w:hAnsi="微软雅黑" w:eastAsia="微软雅黑" w:cs="微软雅黑"/>
          <w:sz w:val="24"/>
          <w:szCs w:val="24"/>
        </w:rPr>
        <w:t>支持≥3通道心电波形同步分析，可进行多导心电分析，提供产品界面、手册截图或技术专利证名材料</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提供ST段分析功能，适用于成人，小儿和新生儿，支持在专门的窗口中分组显示心脏前壁，下壁和侧壁的ST实时片段和参考片段 </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2.6、</w:t>
      </w:r>
      <w:r>
        <w:rPr>
          <w:rFonts w:hint="eastAsia" w:ascii="微软雅黑" w:hAnsi="微软雅黑" w:eastAsia="微软雅黑" w:cs="微软雅黑"/>
          <w:sz w:val="24"/>
          <w:szCs w:val="24"/>
        </w:rPr>
        <w:t>支持RR呼吸率测量，测量范围：1～200rpm</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2.7、</w:t>
      </w:r>
      <w:r>
        <w:rPr>
          <w:rFonts w:hint="eastAsia" w:ascii="微软雅黑" w:hAnsi="微软雅黑" w:eastAsia="微软雅黑" w:cs="微软雅黑"/>
          <w:sz w:val="24"/>
          <w:szCs w:val="24"/>
        </w:rPr>
        <w:t>具有QT/QTc实时连续测量功能，提供QT，QTc和ΔQTc参数值的显示</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无创血压适用于成人，小儿和新生儿</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2.9、</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无创血压提供手动、自动间隔、连续、序列、整点五种测量模式</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2.10、</w:t>
      </w:r>
      <w:r>
        <w:rPr>
          <w:rFonts w:hint="eastAsia" w:ascii="微软雅黑" w:hAnsi="微软雅黑" w:eastAsia="微软雅黑" w:cs="微软雅黑"/>
          <w:sz w:val="24"/>
          <w:szCs w:val="24"/>
        </w:rPr>
        <w:t>提供辅助静脉穿刺功能</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2.11、</w:t>
      </w:r>
      <w:r>
        <w:rPr>
          <w:rFonts w:hint="eastAsia" w:ascii="微软雅黑" w:hAnsi="微软雅黑" w:eastAsia="微软雅黑" w:cs="微软雅黑"/>
          <w:sz w:val="24"/>
          <w:szCs w:val="24"/>
        </w:rPr>
        <w:t>NIBP 成人病人类型收缩压测量：25～290mmHg</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2.12、</w:t>
      </w:r>
      <w:r>
        <w:rPr>
          <w:rFonts w:hint="eastAsia" w:ascii="微软雅黑" w:hAnsi="微软雅黑" w:eastAsia="微软雅黑" w:cs="微软雅黑"/>
          <w:sz w:val="24"/>
          <w:szCs w:val="24"/>
        </w:rPr>
        <w:t>血氧监测适用于成人，小儿和新生儿</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2.13、</w:t>
      </w:r>
      <w:r>
        <w:rPr>
          <w:rFonts w:hint="eastAsia" w:ascii="微软雅黑" w:hAnsi="微软雅黑" w:eastAsia="微软雅黑" w:cs="微软雅黑"/>
          <w:sz w:val="24"/>
          <w:szCs w:val="24"/>
        </w:rPr>
        <w:t>提供灌注指数（PI）的监测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2.14、</w:t>
      </w:r>
      <w:r>
        <w:rPr>
          <w:rFonts w:hint="eastAsia" w:ascii="微软雅黑" w:hAnsi="微软雅黑" w:eastAsia="微软雅黑" w:cs="微软雅黑"/>
          <w:sz w:val="24"/>
          <w:szCs w:val="24"/>
        </w:rPr>
        <w:t>配置指套式血氧探头，支持浸泡清洁与消毒，防水等级IPx7</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2.15、</w:t>
      </w:r>
      <w:r>
        <w:rPr>
          <w:rFonts w:hint="eastAsia" w:ascii="微软雅黑" w:hAnsi="微软雅黑" w:eastAsia="微软雅黑" w:cs="微软雅黑"/>
          <w:sz w:val="24"/>
          <w:szCs w:val="24"/>
        </w:rPr>
        <w:t>支持双通道有创压IBP监测，支持升级多达6通道有创压监测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2.16、</w:t>
      </w:r>
      <w:r>
        <w:rPr>
          <w:rFonts w:hint="eastAsia" w:ascii="微软雅黑" w:hAnsi="微软雅黑" w:eastAsia="微软雅黑" w:cs="微软雅黑"/>
          <w:sz w:val="24"/>
          <w:szCs w:val="24"/>
        </w:rPr>
        <w:t>有创压适用于成人，小儿和新生儿</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2.17、</w:t>
      </w:r>
      <w:r>
        <w:rPr>
          <w:rFonts w:hint="eastAsia" w:ascii="微软雅黑" w:hAnsi="微软雅黑" w:eastAsia="微软雅黑" w:cs="微软雅黑"/>
          <w:sz w:val="24"/>
          <w:szCs w:val="24"/>
        </w:rPr>
        <w:t>IBP有创压测量范围：-50～360mmHg</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2.18、</w:t>
      </w:r>
      <w:r>
        <w:rPr>
          <w:rFonts w:hint="eastAsia" w:ascii="微软雅黑" w:hAnsi="微软雅黑" w:eastAsia="微软雅黑" w:cs="微软雅黑"/>
          <w:sz w:val="24"/>
          <w:szCs w:val="24"/>
        </w:rPr>
        <w:t xml:space="preserve">提供肺动脉锲压（PAWP）的监测和PPV参数监测 </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2.19、</w:t>
      </w:r>
      <w:r>
        <w:rPr>
          <w:rFonts w:hint="eastAsia" w:ascii="微软雅黑" w:hAnsi="微软雅黑" w:eastAsia="微软雅黑" w:cs="微软雅黑"/>
          <w:sz w:val="24"/>
          <w:szCs w:val="24"/>
        </w:rPr>
        <w:t>支持多达6道IBP波形叠加显示，满足临床对比查看和节约显示空间的需求</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2.20、</w:t>
      </w:r>
      <w:r>
        <w:rPr>
          <w:rFonts w:hint="eastAsia" w:ascii="微软雅黑" w:hAnsi="微软雅黑" w:eastAsia="微软雅黑" w:cs="微软雅黑"/>
          <w:sz w:val="24"/>
          <w:szCs w:val="24"/>
        </w:rPr>
        <w:t>可选配麻醉深度BIS、肌松NMT模块，模块作为监护仪模块通过三类注册，非其他品牌麻醉深度、肌松单机连接或单独使用，须提供所售监护仪注册证证明具备该功能</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2.21、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标配PiCCO技术监测功能模块1个，非漂浮导管热稀释法或无创胸阻抗法，可监测胸腔内血容量(ITBV)、血管外肺水(EVLW)，肺毛细血管通透性指数(PVPI)等参数，提供完整的血流动力学参数监测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3</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系统功能：</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w:t>
      </w:r>
      <w:r>
        <w:rPr>
          <w:rFonts w:hint="eastAsia" w:ascii="微软雅黑" w:hAnsi="微软雅黑" w:eastAsia="微软雅黑" w:cs="微软雅黑"/>
          <w:sz w:val="24"/>
          <w:szCs w:val="24"/>
        </w:rPr>
        <w:t>具有图形化报警指示功能，看报警信息更容易</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具有报警升级功能，当参数报警经过一定的时间未被处理或伴发了其他报警，就会升级到更高一个级别</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3.3、</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具有特殊报警音，当监护仪在病人发生致命性参数报警时，发出特殊的报警音进行提示病人处于危急状态</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3.4、</w:t>
      </w:r>
      <w:r>
        <w:rPr>
          <w:rFonts w:hint="eastAsia" w:ascii="微软雅黑" w:hAnsi="微软雅黑" w:eastAsia="微软雅黑" w:cs="微软雅黑"/>
          <w:sz w:val="24"/>
          <w:szCs w:val="24"/>
        </w:rPr>
        <w:t>支持根据病人的参数趋势变化，自动推送推荐报警限</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3.5、</w:t>
      </w:r>
      <w:r>
        <w:rPr>
          <w:rFonts w:hint="eastAsia" w:ascii="微软雅黑" w:hAnsi="微软雅黑" w:eastAsia="微软雅黑" w:cs="微软雅黑"/>
          <w:sz w:val="24"/>
          <w:szCs w:val="24"/>
        </w:rPr>
        <w:t>具备参数组合报警功能，可对患者同时多个参数变化给出统一报警提示，预示病人不同生理系统状态改变，提供≥10个预设组合报警，并允许自定义≥10个组合报警</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3.6、</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标配具备血液动力学，药物计算，氧合计算，通气计算和肾功能计算功能，并提供产品、手册截图证明材料</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3.7、</w:t>
      </w:r>
      <w:r>
        <w:rPr>
          <w:rFonts w:hint="eastAsia" w:ascii="微软雅黑" w:hAnsi="微软雅黑" w:eastAsia="微软雅黑" w:cs="微软雅黑"/>
          <w:sz w:val="24"/>
          <w:szCs w:val="24"/>
        </w:rPr>
        <w:t>支持≥100小时趋势表和趋势图回顾，最小分辨率1分钟</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3.8、</w:t>
      </w:r>
      <w:r>
        <w:rPr>
          <w:rFonts w:hint="eastAsia" w:ascii="微软雅黑" w:hAnsi="微软雅黑" w:eastAsia="微软雅黑" w:cs="微软雅黑"/>
          <w:sz w:val="24"/>
          <w:szCs w:val="24"/>
        </w:rPr>
        <w:t>支持≥800条事件回顾。每条报警事件至少能够存储32秒三道相关波形，以及报警触发时所有测量参数值</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3.9、</w:t>
      </w:r>
      <w:r>
        <w:rPr>
          <w:rFonts w:hint="eastAsia" w:ascii="微软雅黑" w:hAnsi="微软雅黑" w:eastAsia="微软雅黑" w:cs="微软雅黑"/>
          <w:sz w:val="24"/>
          <w:szCs w:val="24"/>
        </w:rPr>
        <w:t>具备≥40小时全息波形的存储与回顾功能</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3.10、</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支持≥100小时ST波形片段的存储与回顾</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患者离开科室，监护仪状态由接收患者到解除患者后，患者数据不删除，支持在监护仪回顾历史病人数据</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3.12、</w:t>
      </w:r>
      <w:r>
        <w:rPr>
          <w:rFonts w:hint="eastAsia" w:ascii="微软雅黑" w:hAnsi="微软雅黑" w:eastAsia="微软雅黑" w:cs="微软雅黑"/>
          <w:sz w:val="24"/>
          <w:szCs w:val="24"/>
        </w:rPr>
        <w:t>工作模式提供：监护模式、待机模式、抢救模式，体外循环模式、插管模式，夜间模式、隐私模式、演示模式</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3.13、</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支持与除颤监护仪，遥测，生命体征监测仪、呼吸机混合联通至中心监护系统，实现护士站的集中管理</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产品设计与认证</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产品通过国家III类注册，具备FDA认证，CE MDD认证</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3.15、</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厂家监护产品体系通过CE最新MDR认证</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3.16、</w:t>
      </w:r>
      <w:r>
        <w:rPr>
          <w:rFonts w:hint="eastAsia" w:ascii="微软雅黑" w:hAnsi="微软雅黑" w:eastAsia="微软雅黑" w:cs="微软雅黑"/>
          <w:sz w:val="24"/>
          <w:szCs w:val="24"/>
        </w:rPr>
        <w:t>产品设计使用年限≥10年</w:t>
      </w:r>
    </w:p>
    <w:p>
      <w:pPr>
        <w:pStyle w:val="7"/>
        <w:pageBreakBefore w:val="0"/>
        <w:numPr>
          <w:ilvl w:val="0"/>
          <w:numId w:val="0"/>
        </w:numPr>
        <w:kinsoku/>
        <w:wordWrap/>
        <w:overflowPunct/>
        <w:topLinePunct w:val="0"/>
        <w:autoSpaceDE/>
        <w:autoSpaceDN/>
        <w:bidi w:val="0"/>
        <w:spacing w:line="600" w:lineRule="atLeast"/>
        <w:ind w:left="630" w:leftChars="0"/>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kern w:val="2"/>
          <w:sz w:val="24"/>
          <w:szCs w:val="24"/>
          <w:highlight w:val="none"/>
          <w:lang w:val="en-US" w:eastAsia="zh-CN" w:bidi="ar-SA"/>
        </w:rPr>
        <w:t>3、心电监护仪（2台）</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监护仪结构</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模块化插件式床边监护仪，主机、显示屏和插件槽一体化设计，主机插槽数≥</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个</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监护仪主机（非辅助插件箱）每个槽位均具备插件模块红外通讯接口以及金属硬件通讯接口（非供电接口），保证模块通讯速率及稳定性，提供监护仪主机插槽图片证明</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≥12英寸彩色电容触摸屏，高分辨率≥1280×800像素，≥8通道显示，显示屏亮度自动调节，屏幕支持手势滑动操作，支持穿戴医用防护手套操作</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采用无风扇设计</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可内置高能锂电池，供电时间≥2小时</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6</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配置≥4个USB接口，支持连接存储介质、鼠标、键盘、条码扫描枪等USB设备</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2</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监测参数</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基本功能模块支持心电，呼吸，心率，无创血压，血氧饱和度，脉搏，双通道体温和双通道有创血压的同时监测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基本功能模块从监护仪拔出后作为一个独立的监护仪支持病人的无缝转移，插入监护仪操作插槽作为主机模块，具有独立操作显示屏，屏幕尺寸≥5英寸，内置锂电池供电≥4小时，无风扇设计</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2.3、</w:t>
      </w:r>
      <w:r>
        <w:rPr>
          <w:rFonts w:hint="eastAsia" w:ascii="微软雅黑" w:hAnsi="微软雅黑" w:eastAsia="微软雅黑" w:cs="微软雅黑"/>
          <w:sz w:val="24"/>
          <w:szCs w:val="24"/>
        </w:rPr>
        <w:t>ECG支持3/5导心电监测，可选配6/12导联心电监测。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2.4、</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支持房颤及室上性心律失常分析功能，如：室上性心动过速，SVCs/min等，标配支持≥27种实时心律失常分析</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2.5、</w:t>
      </w:r>
      <w:r>
        <w:rPr>
          <w:rFonts w:hint="eastAsia" w:ascii="微软雅黑" w:hAnsi="微软雅黑" w:eastAsia="微软雅黑" w:cs="微软雅黑"/>
          <w:sz w:val="24"/>
          <w:szCs w:val="24"/>
        </w:rPr>
        <w:t>支持≥3通道心电波形同步分析，可进行多导心电分析，提供产品界面、手册截图或技术专利证名材料</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2.6、</w:t>
      </w:r>
      <w:r>
        <w:rPr>
          <w:rFonts w:hint="eastAsia" w:ascii="微软雅黑" w:hAnsi="微软雅黑" w:eastAsia="微软雅黑" w:cs="微软雅黑"/>
          <w:sz w:val="24"/>
          <w:szCs w:val="24"/>
        </w:rPr>
        <w:t xml:space="preserve">提供ST段分析功能，适用于成人，小儿和新生儿，支持在专门的窗口中分组显示心脏前壁，下壁和侧壁的ST实时片段和参考片段 </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2.7、</w:t>
      </w:r>
      <w:r>
        <w:rPr>
          <w:rFonts w:hint="eastAsia" w:ascii="微软雅黑" w:hAnsi="微软雅黑" w:eastAsia="微软雅黑" w:cs="微软雅黑"/>
          <w:sz w:val="24"/>
          <w:szCs w:val="24"/>
        </w:rPr>
        <w:t>支持RR呼吸率测量，测量范围：1～200rpm</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具有QT/QTc实时连续测量功能，提供QT，QTc和ΔQTc参数值的显示</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2.9、</w:t>
      </w:r>
      <w:r>
        <w:rPr>
          <w:rFonts w:hint="eastAsia" w:ascii="微软雅黑" w:hAnsi="微软雅黑" w:eastAsia="微软雅黑" w:cs="微软雅黑"/>
          <w:sz w:val="24"/>
          <w:szCs w:val="24"/>
        </w:rPr>
        <w:t>无创血压适用于成人，小儿和新生儿</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2.10、</w:t>
      </w:r>
      <w:r>
        <w:rPr>
          <w:rFonts w:hint="eastAsia" w:ascii="微软雅黑" w:hAnsi="微软雅黑" w:eastAsia="微软雅黑" w:cs="微软雅黑"/>
          <w:sz w:val="24"/>
          <w:szCs w:val="24"/>
        </w:rPr>
        <w:t>无创血压提供手动、自动间隔、连续、序列、整点五种测量模式</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2.11、</w:t>
      </w:r>
      <w:r>
        <w:rPr>
          <w:rFonts w:hint="eastAsia" w:ascii="微软雅黑" w:hAnsi="微软雅黑" w:eastAsia="微软雅黑" w:cs="微软雅黑"/>
          <w:sz w:val="24"/>
          <w:szCs w:val="24"/>
        </w:rPr>
        <w:t>提供辅助静脉穿刺功能</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2.12、</w:t>
      </w:r>
      <w:r>
        <w:rPr>
          <w:rFonts w:hint="eastAsia" w:ascii="微软雅黑" w:hAnsi="微软雅黑" w:eastAsia="微软雅黑" w:cs="微软雅黑"/>
          <w:sz w:val="24"/>
          <w:szCs w:val="24"/>
        </w:rPr>
        <w:t>NIBP 成人病人类型收缩压测量：25～290mmHg</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2.13、</w:t>
      </w:r>
      <w:r>
        <w:rPr>
          <w:rFonts w:hint="eastAsia" w:ascii="微软雅黑" w:hAnsi="微软雅黑" w:eastAsia="微软雅黑" w:cs="微软雅黑"/>
          <w:sz w:val="24"/>
          <w:szCs w:val="24"/>
        </w:rPr>
        <w:t>血氧监测适用于成人，小儿和新生儿</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2.14、</w:t>
      </w:r>
      <w:r>
        <w:rPr>
          <w:rFonts w:hint="eastAsia" w:ascii="微软雅黑" w:hAnsi="微软雅黑" w:eastAsia="微软雅黑" w:cs="微软雅黑"/>
          <w:sz w:val="24"/>
          <w:szCs w:val="24"/>
        </w:rPr>
        <w:t>提供灌注指数（PI）的监测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2.15、</w:t>
      </w:r>
      <w:r>
        <w:rPr>
          <w:rFonts w:hint="eastAsia" w:ascii="微软雅黑" w:hAnsi="微软雅黑" w:eastAsia="微软雅黑" w:cs="微软雅黑"/>
          <w:sz w:val="24"/>
          <w:szCs w:val="24"/>
        </w:rPr>
        <w:t>配置指套式血氧探头，支持浸泡清洁与消毒，防水等级IPx7</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2.16、</w:t>
      </w:r>
      <w:r>
        <w:rPr>
          <w:rFonts w:hint="eastAsia" w:ascii="微软雅黑" w:hAnsi="微软雅黑" w:eastAsia="微软雅黑" w:cs="微软雅黑"/>
          <w:sz w:val="24"/>
          <w:szCs w:val="24"/>
        </w:rPr>
        <w:t>支持双通道有创压IBP监测，支持升级多达6通道有创压监测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2.17、</w:t>
      </w:r>
      <w:r>
        <w:rPr>
          <w:rFonts w:hint="eastAsia" w:ascii="微软雅黑" w:hAnsi="微软雅黑" w:eastAsia="微软雅黑" w:cs="微软雅黑"/>
          <w:sz w:val="24"/>
          <w:szCs w:val="24"/>
        </w:rPr>
        <w:t>有创压适用于成人，小儿和新生儿</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2.18、</w:t>
      </w:r>
      <w:r>
        <w:rPr>
          <w:rFonts w:hint="eastAsia" w:ascii="微软雅黑" w:hAnsi="微软雅黑" w:eastAsia="微软雅黑" w:cs="微软雅黑"/>
          <w:sz w:val="24"/>
          <w:szCs w:val="24"/>
        </w:rPr>
        <w:t>IBP有创压测量范围：-50～360mmHg</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2.19、</w:t>
      </w:r>
      <w:r>
        <w:rPr>
          <w:rFonts w:hint="eastAsia" w:ascii="微软雅黑" w:hAnsi="微软雅黑" w:eastAsia="微软雅黑" w:cs="微软雅黑"/>
          <w:sz w:val="24"/>
          <w:szCs w:val="24"/>
        </w:rPr>
        <w:t xml:space="preserve">提供肺动脉锲压（PAWP）的监测和PPV参数监测 </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2.20、</w:t>
      </w:r>
      <w:r>
        <w:rPr>
          <w:rFonts w:hint="eastAsia" w:ascii="微软雅黑" w:hAnsi="微软雅黑" w:eastAsia="微软雅黑" w:cs="微软雅黑"/>
          <w:sz w:val="24"/>
          <w:szCs w:val="24"/>
        </w:rPr>
        <w:t>支持多达6道IBP波形叠加显示，满足临床对比查看和节约显示空间的需求</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2.21、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标配PiCCO技术监测功能模块，非漂浮导管热稀释法或无创阻抗法，可监测胸腔内血容量(ITBV)、血管外肺水(EVLW)，肺毛细血管通透性指数(PVPI)等参数，提供完整的血流动力学参数监测</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3）</w:t>
      </w:r>
      <w:r>
        <w:rPr>
          <w:rFonts w:hint="eastAsia" w:ascii="微软雅黑" w:hAnsi="微软雅黑" w:eastAsia="微软雅黑" w:cs="微软雅黑"/>
          <w:b/>
          <w:bCs/>
          <w:sz w:val="24"/>
          <w:szCs w:val="24"/>
        </w:rPr>
        <w:t>系统功能</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w:t>
      </w:r>
      <w:r>
        <w:rPr>
          <w:rFonts w:hint="eastAsia" w:ascii="微软雅黑" w:hAnsi="微软雅黑" w:eastAsia="微软雅黑" w:cs="微软雅黑"/>
          <w:sz w:val="24"/>
          <w:szCs w:val="24"/>
        </w:rPr>
        <w:t>具有图形化报警指示功能，看报警信息更容易</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3.2、</w:t>
      </w:r>
      <w:r>
        <w:rPr>
          <w:rFonts w:hint="eastAsia" w:ascii="微软雅黑" w:hAnsi="微软雅黑" w:eastAsia="微软雅黑" w:cs="微软雅黑"/>
          <w:sz w:val="24"/>
          <w:szCs w:val="24"/>
        </w:rPr>
        <w:t>具有报警升级功能，当参数报警经过一定的时间未被处理或伴发了其他报警，就会升级到更高一个级别</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3.3、</w:t>
      </w:r>
      <w:r>
        <w:rPr>
          <w:rFonts w:hint="eastAsia" w:ascii="微软雅黑" w:hAnsi="微软雅黑" w:eastAsia="微软雅黑" w:cs="微软雅黑"/>
          <w:sz w:val="24"/>
          <w:szCs w:val="24"/>
        </w:rPr>
        <w:t>具有特殊报警音，当监护仪在病人发生致命性参数报警时，发出特殊的报警音进行提示病人处于危急状态</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3.4、</w:t>
      </w:r>
      <w:r>
        <w:rPr>
          <w:rFonts w:hint="eastAsia" w:ascii="微软雅黑" w:hAnsi="微软雅黑" w:eastAsia="微软雅黑" w:cs="微软雅黑"/>
          <w:sz w:val="24"/>
          <w:szCs w:val="24"/>
        </w:rPr>
        <w:t>支持根据病人的参数趋势变化，自动推送推荐报警限</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3.5、</w:t>
      </w:r>
      <w:r>
        <w:rPr>
          <w:rFonts w:hint="eastAsia" w:ascii="微软雅黑" w:hAnsi="微软雅黑" w:eastAsia="微软雅黑" w:cs="微软雅黑"/>
          <w:sz w:val="24"/>
          <w:szCs w:val="24"/>
        </w:rPr>
        <w:t>具备参数组合报警功能，可对患者同时多个参数变化给出统一报警提示，预示病人不同生理系统状态改变，提供≥10个预设组合报警，并允许自定义≥10个组合报警</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3.6、</w:t>
      </w:r>
      <w:r>
        <w:rPr>
          <w:rFonts w:hint="eastAsia" w:ascii="微软雅黑" w:hAnsi="微软雅黑" w:eastAsia="微软雅黑" w:cs="微软雅黑"/>
          <w:sz w:val="24"/>
          <w:szCs w:val="24"/>
        </w:rPr>
        <w:t>标配具备血液动力学，药物计算，氧合计算，通气计算和肾功能计算功能，并提供产品、手册截图证明材料</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3.7、</w:t>
      </w:r>
      <w:r>
        <w:rPr>
          <w:rFonts w:hint="eastAsia" w:ascii="微软雅黑" w:hAnsi="微软雅黑" w:eastAsia="微软雅黑" w:cs="微软雅黑"/>
          <w:sz w:val="24"/>
          <w:szCs w:val="24"/>
        </w:rPr>
        <w:t>提供血流动力学软件工具，显示完整血流动力学参数，并以图形化界面显示病人心脏收缩力，外周血管阻力等状态，提供电子化血流动力学实验记录，重点参数蛛网图显示评估病人相关参数变化，需提供产品截图证明材料</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3.8、</w:t>
      </w:r>
      <w:r>
        <w:rPr>
          <w:rFonts w:hint="eastAsia" w:ascii="微软雅黑" w:hAnsi="微软雅黑" w:eastAsia="微软雅黑" w:cs="微软雅黑"/>
          <w:sz w:val="24"/>
          <w:szCs w:val="24"/>
        </w:rPr>
        <w:t>支持≥100小时趋势表和趋势图回顾，最小分辨率1分钟</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3.9、</w:t>
      </w:r>
      <w:r>
        <w:rPr>
          <w:rFonts w:hint="eastAsia" w:ascii="微软雅黑" w:hAnsi="微软雅黑" w:eastAsia="微软雅黑" w:cs="微软雅黑"/>
          <w:sz w:val="24"/>
          <w:szCs w:val="24"/>
        </w:rPr>
        <w:t>支持≥800条事件回顾。每条报警事件至少能够存储32秒三道相关波形，以及报警触发时所有测量参数值</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3.10、</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具备≥40小时全息波形的存储与回顾功能</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3.11、</w:t>
      </w:r>
      <w:r>
        <w:rPr>
          <w:rFonts w:hint="eastAsia" w:ascii="微软雅黑" w:hAnsi="微软雅黑" w:eastAsia="微软雅黑" w:cs="微软雅黑"/>
          <w:sz w:val="24"/>
          <w:szCs w:val="24"/>
        </w:rPr>
        <w:t>支持≥100小时ST波形片段的存储与回顾</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患者离开科室，监护仪状态由接收患者到解除患者后，患者数据不删除，支持在监护仪回顾历史病人数据</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3.13、</w:t>
      </w:r>
      <w:r>
        <w:rPr>
          <w:rFonts w:hint="eastAsia" w:ascii="微软雅黑" w:hAnsi="微软雅黑" w:eastAsia="微软雅黑" w:cs="微软雅黑"/>
          <w:sz w:val="24"/>
          <w:szCs w:val="24"/>
        </w:rPr>
        <w:t>工作模式提供：监护模式、待机模式、抢救模式，体外循环模式、插管模式，夜间模式、隐私模式、演示模式</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产品设计与认证</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3.14、</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产品通过国家III类注册，具备FDA认证，CE MDD认证</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3.15、</w:t>
      </w:r>
      <w:r>
        <w:rPr>
          <w:rFonts w:hint="eastAsia" w:ascii="微软雅黑" w:hAnsi="微软雅黑" w:eastAsia="微软雅黑" w:cs="微软雅黑"/>
          <w:sz w:val="24"/>
          <w:szCs w:val="24"/>
        </w:rPr>
        <w:t>厂家监护产品体系通过CE最新MDR认证</w:t>
      </w:r>
    </w:p>
    <w:p>
      <w:pPr>
        <w:pageBreakBefore w:val="0"/>
        <w:widowControl/>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3.16、</w:t>
      </w:r>
      <w:r>
        <w:rPr>
          <w:rFonts w:hint="eastAsia" w:ascii="微软雅黑" w:hAnsi="微软雅黑" w:eastAsia="微软雅黑" w:cs="微软雅黑"/>
          <w:sz w:val="24"/>
          <w:szCs w:val="24"/>
        </w:rPr>
        <w:t>产品设计使用年限≥10年</w:t>
      </w:r>
    </w:p>
    <w:p>
      <w:pPr>
        <w:pStyle w:val="7"/>
        <w:pageBreakBefore w:val="0"/>
        <w:numPr>
          <w:ilvl w:val="0"/>
          <w:numId w:val="0"/>
        </w:numPr>
        <w:kinsoku/>
        <w:wordWrap/>
        <w:overflowPunct/>
        <w:topLinePunct w:val="0"/>
        <w:autoSpaceDE/>
        <w:autoSpaceDN/>
        <w:bidi w:val="0"/>
        <w:spacing w:line="600" w:lineRule="atLeast"/>
        <w:ind w:left="630" w:leftChars="0"/>
        <w:jc w:val="center"/>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4、空气压力波治疗仪</w:t>
      </w:r>
      <w:r>
        <w:rPr>
          <w:rFonts w:hint="eastAsia" w:ascii="微软雅黑" w:hAnsi="微软雅黑" w:eastAsia="微软雅黑" w:cs="微软雅黑"/>
          <w:b/>
          <w:bCs/>
          <w:kern w:val="2"/>
          <w:sz w:val="24"/>
          <w:szCs w:val="24"/>
          <w:highlight w:val="none"/>
          <w:lang w:val="en-US" w:eastAsia="zh-CN" w:bidi="ar-SA"/>
        </w:rPr>
        <w:t>（2台）</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一、适用范围：适用于脑血管意外、脑外伤、脑手术后、脊髓病变引起的肢体功能障碍和外周非栓塞性脉管炎的辅助治疗，以及预防静脉血栓形成，减轻肢体水肿。</w:t>
      </w:r>
    </w:p>
    <w:p>
      <w:pPr>
        <w:pageBreakBefore w:val="0"/>
        <w:numPr>
          <w:ilvl w:val="0"/>
          <w:numId w:val="6"/>
        </w:numPr>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性能要求</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1.手提、床挂两用式的外形设计。</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2.不小于5英寸彩色触摸显示屏。</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3.*</w:t>
      </w:r>
      <w:r>
        <w:rPr>
          <w:rFonts w:hint="eastAsia" w:ascii="微软雅黑" w:hAnsi="微软雅黑" w:eastAsia="微软雅黑" w:cs="微软雅黑"/>
          <w:color w:val="000000"/>
          <w:kern w:val="0"/>
          <w:sz w:val="24"/>
          <w:szCs w:val="24"/>
          <w:highlight w:val="none"/>
        </w:rPr>
        <w:t xml:space="preserve"> ≥</w:t>
      </w:r>
      <w:r>
        <w:rPr>
          <w:rFonts w:hint="eastAsia" w:ascii="微软雅黑" w:hAnsi="微软雅黑" w:eastAsia="微软雅黑" w:cs="微软雅黑"/>
          <w:color w:val="000000"/>
          <w:sz w:val="24"/>
          <w:szCs w:val="24"/>
          <w:highlight w:val="none"/>
        </w:rPr>
        <w:t>4种治疗充气模式；</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4.*标配一次性气囊，避免交叉感染，分足底气囊、小腿气囊和大腿气囊；</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rPr>
        <w:t>5.可同</w:t>
      </w:r>
      <w:r>
        <w:rPr>
          <w:rFonts w:hint="eastAsia" w:ascii="微软雅黑" w:hAnsi="微软雅黑" w:eastAsia="微软雅黑" w:cs="微软雅黑"/>
          <w:color w:val="000000"/>
          <w:sz w:val="24"/>
          <w:szCs w:val="24"/>
          <w:highlight w:val="none"/>
        </w:rPr>
        <w:t>时连接</w:t>
      </w:r>
      <w:r>
        <w:rPr>
          <w:rFonts w:hint="eastAsia" w:ascii="微软雅黑" w:hAnsi="微软雅黑" w:eastAsia="微软雅黑" w:cs="微软雅黑"/>
          <w:color w:val="000000"/>
          <w:kern w:val="0"/>
          <w:sz w:val="24"/>
          <w:szCs w:val="24"/>
          <w:highlight w:val="none"/>
        </w:rPr>
        <w:t>≥</w:t>
      </w:r>
      <w:r>
        <w:rPr>
          <w:rFonts w:hint="eastAsia" w:ascii="微软雅黑" w:hAnsi="微软雅黑" w:eastAsia="微软雅黑" w:cs="微软雅黑"/>
          <w:color w:val="000000"/>
          <w:sz w:val="24"/>
          <w:szCs w:val="24"/>
          <w:highlight w:val="none"/>
        </w:rPr>
        <w:t>2组DVT治疗气囊；</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6.充气压强在5-25kPa可调；</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7.*充气压力治疗过程中实时显示并可每腔压力独立调节；</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8.充气保持时间0～10s可调；</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9.充气间隔时间10~60s可调；</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10.*时间设定模式：治疗时间1min-99h可调，满足需要长时间治疗患者的需求；治疗完毕声音提示；</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11.充气气泵噪声低，振动小，充气速度快；</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12.每腔压力监测系统，实时显示当前压力；</w:t>
      </w:r>
    </w:p>
    <w:p>
      <w:pPr>
        <w:pStyle w:val="33"/>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13.具有断电保护功能：仪器在突然断电时自动泄压保护。</w:t>
      </w:r>
    </w:p>
    <w:p>
      <w:pPr>
        <w:pStyle w:val="7"/>
        <w:pageBreakBefore w:val="0"/>
        <w:numPr>
          <w:ilvl w:val="0"/>
          <w:numId w:val="0"/>
        </w:numPr>
        <w:kinsoku/>
        <w:wordWrap/>
        <w:overflowPunct/>
        <w:topLinePunct w:val="0"/>
        <w:autoSpaceDE/>
        <w:autoSpaceDN/>
        <w:bidi w:val="0"/>
        <w:spacing w:line="600" w:lineRule="atLeast"/>
        <w:ind w:left="630" w:leftChars="0"/>
        <w:jc w:val="center"/>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5、可视喉镜</w:t>
      </w:r>
      <w:r>
        <w:rPr>
          <w:rFonts w:hint="eastAsia" w:ascii="微软雅黑" w:hAnsi="微软雅黑" w:eastAsia="微软雅黑" w:cs="微软雅黑"/>
          <w:b/>
          <w:bCs/>
          <w:kern w:val="2"/>
          <w:sz w:val="24"/>
          <w:szCs w:val="24"/>
          <w:highlight w:val="none"/>
          <w:lang w:val="en-US" w:eastAsia="zh-CN" w:bidi="ar-SA"/>
        </w:rPr>
        <w:t>（1套）</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显示器能上下0º～130º转动，左右0º～270º转动</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一次性喉镜片摄像头与镜片前端的最高垂直距离≤30mm</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一次性喉镜片可插入镜片长度：108mm</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渐缩型镜片前端厚度：12.5mm</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镜片角度：42度</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视场角60º±15%</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摄像头内置的全密封防水设计高功率LED光源，光照度≥150Lux</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显示器线素≥</w:t>
      </w:r>
      <w:r>
        <w:rPr>
          <w:rFonts w:hint="eastAsia" w:ascii="微软雅黑" w:hAnsi="微软雅黑" w:eastAsia="微软雅黑" w:cs="微软雅黑"/>
          <w:color w:val="000000"/>
          <w:sz w:val="24"/>
          <w:szCs w:val="24"/>
          <w:highlight w:val="none"/>
          <w:lang w:val="en-US" w:eastAsia="zh-CN"/>
        </w:rPr>
        <w:t>320</w:t>
      </w:r>
      <w:r>
        <w:rPr>
          <w:rFonts w:hint="eastAsia" w:ascii="微软雅黑" w:hAnsi="微软雅黑" w:eastAsia="微软雅黑" w:cs="微软雅黑"/>
          <w:color w:val="000000"/>
          <w:sz w:val="24"/>
          <w:szCs w:val="24"/>
          <w:highlight w:val="none"/>
        </w:rPr>
        <w:t>*</w:t>
      </w:r>
      <w:r>
        <w:rPr>
          <w:rFonts w:hint="eastAsia" w:ascii="微软雅黑" w:hAnsi="微软雅黑" w:eastAsia="微软雅黑" w:cs="微软雅黑"/>
          <w:color w:val="000000"/>
          <w:sz w:val="24"/>
          <w:szCs w:val="24"/>
          <w:highlight w:val="none"/>
          <w:lang w:val="en-US" w:eastAsia="zh-CN"/>
        </w:rPr>
        <w:t>240</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分辨率≥</w:t>
      </w:r>
      <w:r>
        <w:rPr>
          <w:rFonts w:hint="eastAsia" w:ascii="微软雅黑" w:hAnsi="微软雅黑" w:eastAsia="微软雅黑" w:cs="微软雅黑"/>
          <w:color w:val="000000"/>
          <w:sz w:val="24"/>
          <w:szCs w:val="24"/>
          <w:lang w:val="en-US" w:eastAsia="zh-CN"/>
        </w:rPr>
        <w:t>3.72</w:t>
      </w:r>
      <w:r>
        <w:rPr>
          <w:rFonts w:hint="eastAsia" w:ascii="微软雅黑" w:hAnsi="微软雅黑" w:eastAsia="微软雅黑" w:cs="微软雅黑"/>
          <w:color w:val="000000"/>
          <w:sz w:val="24"/>
          <w:szCs w:val="24"/>
        </w:rPr>
        <w:t>LP/mm</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纺锤型短手柄设计</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*具有特殊防雾功能</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充电时间：＜3小时</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持续放电时间：＞3小时</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充电次数：＞300次</w:t>
      </w:r>
    </w:p>
    <w:p>
      <w:pPr>
        <w:pageBreakBefore w:val="0"/>
        <w:numPr>
          <w:ilvl w:val="0"/>
          <w:numId w:val="7"/>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000000"/>
          <w:sz w:val="24"/>
          <w:szCs w:val="24"/>
        </w:rPr>
        <w:t>内置可充电式锂电子聚合物电池</w:t>
      </w:r>
    </w:p>
    <w:p>
      <w:pPr>
        <w:pStyle w:val="7"/>
        <w:pageBreakBefore w:val="0"/>
        <w:numPr>
          <w:ilvl w:val="0"/>
          <w:numId w:val="0"/>
        </w:numPr>
        <w:kinsoku/>
        <w:wordWrap/>
        <w:overflowPunct/>
        <w:topLinePunct w:val="0"/>
        <w:autoSpaceDE/>
        <w:autoSpaceDN/>
        <w:bidi w:val="0"/>
        <w:spacing w:line="600" w:lineRule="atLeast"/>
        <w:ind w:left="630" w:leftChars="0" w:firstLine="240" w:firstLineChars="100"/>
        <w:jc w:val="center"/>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i w:val="0"/>
          <w:iCs w:val="0"/>
          <w:color w:val="000000"/>
          <w:kern w:val="0"/>
          <w:sz w:val="24"/>
          <w:szCs w:val="24"/>
          <w:highlight w:val="none"/>
          <w:u w:val="none"/>
          <w:lang w:val="en-US" w:eastAsia="zh-CN" w:bidi="ar"/>
        </w:rPr>
        <w:t>6、吊塔</w:t>
      </w:r>
      <w:r>
        <w:rPr>
          <w:rFonts w:hint="eastAsia" w:ascii="微软雅黑" w:hAnsi="微软雅黑" w:eastAsia="微软雅黑" w:cs="微软雅黑"/>
          <w:b/>
          <w:bCs/>
          <w:kern w:val="2"/>
          <w:sz w:val="24"/>
          <w:szCs w:val="24"/>
          <w:highlight w:val="none"/>
          <w:lang w:val="en-US" w:eastAsia="zh-CN" w:bidi="ar-SA"/>
        </w:rPr>
        <w:t>（10台）</w:t>
      </w:r>
    </w:p>
    <w:p>
      <w:pPr>
        <w:pageBreakBefore w:val="0"/>
        <w:numPr>
          <w:ilvl w:val="0"/>
          <w:numId w:val="8"/>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基本要求：</w:t>
      </w:r>
    </w:p>
    <w:p>
      <w:pPr>
        <w:pageBreakBefore w:val="0"/>
        <w:kinsoku/>
        <w:wordWrap/>
        <w:overflowPunct/>
        <w:topLinePunct w:val="0"/>
        <w:autoSpaceDE/>
        <w:autoSpaceDN/>
        <w:bidi w:val="0"/>
        <w:adjustRightInd w:val="0"/>
        <w:snapToGrid w:val="0"/>
        <w:spacing w:line="600" w:lineRule="atLeast"/>
        <w:ind w:left="-178" w:leftChars="-85" w:firstLine="480" w:firstLineChars="200"/>
        <w:jc w:val="left"/>
        <w:textAlignment w:val="auto"/>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w:t>
      </w:r>
      <w:bookmarkStart w:id="0" w:name="_Hlk78034517"/>
      <w:r>
        <w:rPr>
          <w:rFonts w:hint="eastAsia" w:ascii="微软雅黑" w:hAnsi="微软雅黑" w:eastAsia="微软雅黑" w:cs="微软雅黑"/>
          <w:sz w:val="24"/>
          <w:szCs w:val="24"/>
        </w:rPr>
        <w:t>(1)</w:t>
      </w:r>
      <w:r>
        <w:rPr>
          <w:rFonts w:hint="eastAsia" w:ascii="微软雅黑" w:hAnsi="微软雅黑" w:eastAsia="微软雅黑" w:cs="微软雅黑"/>
          <w:bCs/>
          <w:sz w:val="24"/>
          <w:szCs w:val="24"/>
        </w:rPr>
        <w:t xml:space="preserve"> 设备内</w:t>
      </w:r>
      <w:r>
        <w:rPr>
          <w:rFonts w:hint="eastAsia" w:ascii="微软雅黑" w:hAnsi="微软雅黑" w:eastAsia="微软雅黑" w:cs="微软雅黑"/>
          <w:sz w:val="24"/>
          <w:szCs w:val="24"/>
        </w:rPr>
        <w:t>所有气体管道采用医用金属硬管</w:t>
      </w:r>
      <w:bookmarkEnd w:id="0"/>
      <w:r>
        <w:rPr>
          <w:rFonts w:hint="eastAsia" w:ascii="微软雅黑" w:hAnsi="微软雅黑" w:eastAsia="微软雅黑" w:cs="微软雅黑"/>
          <w:sz w:val="24"/>
          <w:szCs w:val="24"/>
        </w:rPr>
        <w:t>；</w:t>
      </w:r>
      <w:r>
        <w:rPr>
          <w:rFonts w:hint="eastAsia" w:ascii="微软雅黑" w:hAnsi="微软雅黑" w:eastAsia="微软雅黑" w:cs="微软雅黑"/>
          <w:bCs/>
          <w:sz w:val="24"/>
          <w:szCs w:val="24"/>
        </w:rPr>
        <w:t xml:space="preserve">立地式安装，稳定牢固； </w:t>
      </w:r>
    </w:p>
    <w:p>
      <w:pPr>
        <w:pageBreakBefore w:val="0"/>
        <w:kinsoku/>
        <w:wordWrap/>
        <w:overflowPunct/>
        <w:topLinePunct w:val="0"/>
        <w:autoSpaceDE/>
        <w:autoSpaceDN/>
        <w:bidi w:val="0"/>
        <w:adjustRightInd w:val="0"/>
        <w:snapToGrid w:val="0"/>
        <w:spacing w:line="600" w:lineRule="atLeast"/>
        <w:ind w:left="-178" w:leftChars="-85" w:firstLine="480" w:firstLineChars="200"/>
        <w:jc w:val="left"/>
        <w:textAlignment w:val="auto"/>
        <w:rPr>
          <w:rFonts w:hint="eastAsia" w:ascii="微软雅黑" w:hAnsi="微软雅黑" w:eastAsia="微软雅黑" w:cs="微软雅黑"/>
          <w:sz w:val="24"/>
          <w:szCs w:val="24"/>
        </w:rPr>
      </w:pPr>
      <w:bookmarkStart w:id="1" w:name="_Hlk82091207"/>
      <w:r>
        <w:rPr>
          <w:rFonts w:hint="eastAsia" w:ascii="微软雅黑" w:hAnsi="微软雅黑" w:eastAsia="微软雅黑" w:cs="微软雅黑"/>
          <w:bCs/>
          <w:sz w:val="24"/>
          <w:szCs w:val="24"/>
        </w:rPr>
        <w:t>*</w:t>
      </w:r>
      <w:bookmarkEnd w:id="1"/>
      <w:r>
        <w:rPr>
          <w:rFonts w:hint="eastAsia" w:ascii="微软雅黑" w:hAnsi="微软雅黑" w:eastAsia="微软雅黑" w:cs="微软雅黑"/>
          <w:sz w:val="24"/>
          <w:szCs w:val="24"/>
        </w:rPr>
        <w:t>(2)</w:t>
      </w:r>
      <w:r>
        <w:rPr>
          <w:rFonts w:hint="eastAsia" w:ascii="微软雅黑" w:hAnsi="微软雅黑" w:eastAsia="微软雅黑" w:cs="微软雅黑"/>
          <w:bCs/>
          <w:sz w:val="24"/>
          <w:szCs w:val="24"/>
        </w:rPr>
        <w:t xml:space="preserve"> 采用设备同</w:t>
      </w:r>
      <w:r>
        <w:rPr>
          <w:rFonts w:hint="eastAsia" w:ascii="微软雅黑" w:hAnsi="微软雅黑" w:eastAsia="微软雅黑" w:cs="微软雅黑"/>
          <w:sz w:val="24"/>
          <w:szCs w:val="24"/>
        </w:rPr>
        <w:t>品牌</w:t>
      </w:r>
      <w:r>
        <w:rPr>
          <w:rFonts w:hint="eastAsia" w:ascii="微软雅黑" w:hAnsi="微软雅黑" w:eastAsia="微软雅黑" w:cs="微软雅黑"/>
          <w:bCs/>
          <w:sz w:val="24"/>
          <w:szCs w:val="24"/>
        </w:rPr>
        <w:t>德式</w:t>
      </w:r>
      <w:r>
        <w:rPr>
          <w:rFonts w:hint="eastAsia" w:ascii="微软雅黑" w:hAnsi="微软雅黑" w:eastAsia="微软雅黑" w:cs="微软雅黑"/>
          <w:sz w:val="24"/>
          <w:szCs w:val="24"/>
        </w:rPr>
        <w:t>气体终端（配有防尘防污罩）：全金属结构（密封圈除外），固定座采用整体锻压结构成型，无焊接；插拔式自封快速接头，颜色及形状不同，不具有互换性，以防错插；接插次数大于5万次，通、断、拔三种状态，能带气维修，六钢球双层锁定机构，在断开待接通状态下具备防插头跌落结构；</w:t>
      </w:r>
    </w:p>
    <w:p>
      <w:pPr>
        <w:pageBreakBefore w:val="0"/>
        <w:kinsoku/>
        <w:wordWrap/>
        <w:overflowPunct/>
        <w:topLinePunct w:val="0"/>
        <w:autoSpaceDE/>
        <w:autoSpaceDN/>
        <w:bidi w:val="0"/>
        <w:adjustRightInd w:val="0"/>
        <w:snapToGrid w:val="0"/>
        <w:spacing w:line="600" w:lineRule="atLeast"/>
        <w:ind w:left="-2" w:leftChars="-1"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 设备主体为高强度铝合金型材，表面无锐角，环保抗菌粉末材料静电喷涂亚光处理，防腐蚀、易清洗消毒；</w:t>
      </w:r>
    </w:p>
    <w:p>
      <w:pPr>
        <w:pageBreakBefore w:val="0"/>
        <w:kinsoku/>
        <w:wordWrap/>
        <w:overflowPunct/>
        <w:topLinePunct w:val="0"/>
        <w:autoSpaceDE/>
        <w:autoSpaceDN/>
        <w:bidi w:val="0"/>
        <w:adjustRightInd w:val="0"/>
        <w:snapToGrid w:val="0"/>
        <w:spacing w:line="600" w:lineRule="atLeast"/>
        <w:ind w:left="-2" w:leftChars="-1"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 工作电源：220V，电源插座：220V/10A；</w:t>
      </w:r>
    </w:p>
    <w:p>
      <w:pPr>
        <w:pageBreakBefore w:val="0"/>
        <w:numPr>
          <w:ilvl w:val="0"/>
          <w:numId w:val="8"/>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设备为桥式，长度</w:t>
      </w:r>
      <w:bookmarkStart w:id="2" w:name="_Hlk82090746"/>
      <w:r>
        <w:rPr>
          <w:rFonts w:hint="eastAsia" w:ascii="微软雅黑" w:hAnsi="微软雅黑" w:eastAsia="微软雅黑" w:cs="微软雅黑"/>
          <w:bCs/>
          <w:sz w:val="24"/>
          <w:szCs w:val="24"/>
        </w:rPr>
        <w:t>≥</w:t>
      </w:r>
      <w:bookmarkEnd w:id="2"/>
      <w:r>
        <w:rPr>
          <w:rFonts w:hint="eastAsia" w:ascii="微软雅黑" w:hAnsi="微软雅黑" w:eastAsia="微软雅黑" w:cs="微软雅黑"/>
          <w:bCs/>
          <w:sz w:val="24"/>
          <w:szCs w:val="24"/>
        </w:rPr>
        <w:t>2600mm（以现场为依据）；</w:t>
      </w:r>
    </w:p>
    <w:p>
      <w:pPr>
        <w:pageBreakBefore w:val="0"/>
        <w:numPr>
          <w:ilvl w:val="0"/>
          <w:numId w:val="8"/>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监护区要求：</w:t>
      </w:r>
    </w:p>
    <w:p>
      <w:pPr>
        <w:pageBreakBefore w:val="0"/>
        <w:kinsoku/>
        <w:wordWrap/>
        <w:overflowPunct/>
        <w:topLinePunct w:val="0"/>
        <w:autoSpaceDE/>
        <w:autoSpaceDN/>
        <w:bidi w:val="0"/>
        <w:spacing w:line="600" w:lineRule="atLeast"/>
        <w:ind w:left="-283" w:leftChars="-135" w:firstLine="480" w:firstLineChars="200"/>
        <w:jc w:val="left"/>
        <w:textAlignment w:val="auto"/>
        <w:rPr>
          <w:rFonts w:hint="eastAsia" w:ascii="微软雅黑" w:hAnsi="微软雅黑" w:eastAsia="微软雅黑" w:cs="微软雅黑"/>
          <w:sz w:val="24"/>
          <w:szCs w:val="24"/>
        </w:rPr>
      </w:pPr>
      <w:bookmarkStart w:id="3" w:name="_Hlk82091804"/>
      <w:r>
        <w:rPr>
          <w:rFonts w:hint="eastAsia" w:ascii="微软雅黑" w:hAnsi="微软雅黑" w:eastAsia="微软雅黑" w:cs="微软雅黑"/>
          <w:bCs/>
          <w:sz w:val="24"/>
          <w:szCs w:val="24"/>
        </w:rPr>
        <w:t>*</w:t>
      </w:r>
      <w:r>
        <w:rPr>
          <w:rFonts w:hint="eastAsia" w:ascii="微软雅黑" w:hAnsi="微软雅黑" w:eastAsia="微软雅黑" w:cs="微软雅黑"/>
          <w:sz w:val="24"/>
          <w:szCs w:val="24"/>
        </w:rPr>
        <w:t xml:space="preserve"> (1)</w:t>
      </w:r>
      <w:bookmarkEnd w:id="3"/>
      <w:r>
        <w:rPr>
          <w:rFonts w:hint="eastAsia" w:ascii="微软雅黑" w:hAnsi="微软雅黑" w:eastAsia="微软雅黑" w:cs="微软雅黑"/>
          <w:sz w:val="24"/>
          <w:szCs w:val="24"/>
        </w:rPr>
        <w:t xml:space="preserve"> 可90°翻转折叠平台1层；</w:t>
      </w:r>
    </w:p>
    <w:p>
      <w:pPr>
        <w:pageBreakBefore w:val="0"/>
        <w:kinsoku/>
        <w:wordWrap/>
        <w:overflowPunct/>
        <w:topLinePunct w:val="0"/>
        <w:autoSpaceDE/>
        <w:autoSpaceDN/>
        <w:bidi w:val="0"/>
        <w:spacing w:line="600" w:lineRule="atLeast"/>
        <w:ind w:left="480" w:firstLine="480" w:firstLineChars="200"/>
        <w:jc w:val="left"/>
        <w:textAlignment w:val="auto"/>
        <w:rPr>
          <w:rFonts w:hint="eastAsia" w:ascii="微软雅黑" w:hAnsi="微软雅黑" w:eastAsia="微软雅黑" w:cs="微软雅黑"/>
          <w:sz w:val="24"/>
          <w:szCs w:val="24"/>
        </w:rPr>
      </w:pPr>
      <w:bookmarkStart w:id="4" w:name="_Hlk82091814"/>
      <w:r>
        <w:rPr>
          <w:rFonts w:hint="eastAsia" w:ascii="微软雅黑" w:hAnsi="微软雅黑" w:eastAsia="微软雅黑" w:cs="微软雅黑"/>
          <w:sz w:val="24"/>
          <w:szCs w:val="24"/>
        </w:rPr>
        <w:t>(2)</w:t>
      </w:r>
      <w:bookmarkEnd w:id="4"/>
      <w:r>
        <w:rPr>
          <w:rFonts w:hint="eastAsia" w:ascii="微软雅黑" w:hAnsi="微软雅黑" w:eastAsia="微软雅黑" w:cs="微软雅黑"/>
          <w:sz w:val="24"/>
          <w:szCs w:val="24"/>
        </w:rPr>
        <w:t xml:space="preserve"> 监护平台1层：平台一侧带监护仪管线束线器；底部带强弱电源箱：含内藏式电源插座≥2个和网络接口RJ45≥1个；</w:t>
      </w:r>
    </w:p>
    <w:p>
      <w:pPr>
        <w:pageBreakBefore w:val="0"/>
        <w:kinsoku/>
        <w:wordWrap/>
        <w:overflowPunct/>
        <w:topLinePunct w:val="0"/>
        <w:autoSpaceDE/>
        <w:autoSpaceDN/>
        <w:bidi w:val="0"/>
        <w:spacing w:line="600" w:lineRule="atLeast"/>
        <w:ind w:left="480" w:firstLine="480" w:firstLineChars="200"/>
        <w:jc w:val="left"/>
        <w:textAlignment w:val="auto"/>
        <w:rPr>
          <w:rFonts w:hint="eastAsia" w:ascii="微软雅黑" w:hAnsi="微软雅黑" w:eastAsia="微软雅黑" w:cs="微软雅黑"/>
          <w:sz w:val="24"/>
          <w:szCs w:val="24"/>
        </w:rPr>
      </w:pPr>
      <w:bookmarkStart w:id="5" w:name="_Hlk82091824"/>
      <w:r>
        <w:rPr>
          <w:rFonts w:hint="eastAsia" w:ascii="微软雅黑" w:hAnsi="微软雅黑" w:eastAsia="微软雅黑" w:cs="微软雅黑"/>
          <w:sz w:val="24"/>
          <w:szCs w:val="24"/>
        </w:rPr>
        <w:t>(3)</w:t>
      </w:r>
      <w:bookmarkEnd w:id="5"/>
      <w:r>
        <w:rPr>
          <w:rFonts w:hint="eastAsia" w:ascii="微软雅黑" w:hAnsi="微软雅黑" w:eastAsia="微软雅黑" w:cs="微软雅黑"/>
          <w:sz w:val="24"/>
          <w:szCs w:val="24"/>
        </w:rPr>
        <w:t xml:space="preserve"> 嵌入式强弱电源箱1个：带防护门，电源插座</w:t>
      </w:r>
      <w:bookmarkStart w:id="6" w:name="_Hlk82091734"/>
      <w:r>
        <w:rPr>
          <w:rFonts w:hint="eastAsia" w:ascii="微软雅黑" w:hAnsi="微软雅黑" w:eastAsia="微软雅黑" w:cs="微软雅黑"/>
          <w:sz w:val="24"/>
          <w:szCs w:val="24"/>
        </w:rPr>
        <w:t>≥</w:t>
      </w:r>
      <w:bookmarkEnd w:id="6"/>
      <w:r>
        <w:rPr>
          <w:rFonts w:hint="eastAsia" w:ascii="微软雅黑" w:hAnsi="微软雅黑" w:eastAsia="微软雅黑" w:cs="微软雅黑"/>
          <w:sz w:val="24"/>
          <w:szCs w:val="24"/>
        </w:rPr>
        <w:t>6个，网络接口RJ45≥1个，等电位接地端子</w:t>
      </w:r>
      <w:bookmarkStart w:id="7" w:name="_Hlk82092157"/>
      <w:r>
        <w:rPr>
          <w:rFonts w:hint="eastAsia" w:ascii="微软雅黑" w:hAnsi="微软雅黑" w:eastAsia="微软雅黑" w:cs="微软雅黑"/>
          <w:sz w:val="24"/>
          <w:szCs w:val="24"/>
        </w:rPr>
        <w:t>≥</w:t>
      </w:r>
      <w:bookmarkEnd w:id="7"/>
      <w:r>
        <w:rPr>
          <w:rFonts w:hint="eastAsia" w:ascii="微软雅黑" w:hAnsi="微软雅黑" w:eastAsia="微软雅黑" w:cs="微软雅黑"/>
          <w:sz w:val="24"/>
          <w:szCs w:val="24"/>
        </w:rPr>
        <w:t>2个；</w:t>
      </w:r>
    </w:p>
    <w:p>
      <w:pPr>
        <w:pageBreakBefore w:val="0"/>
        <w:kinsoku/>
        <w:wordWrap/>
        <w:overflowPunct/>
        <w:topLinePunct w:val="0"/>
        <w:autoSpaceDE/>
        <w:autoSpaceDN/>
        <w:bidi w:val="0"/>
        <w:spacing w:line="600" w:lineRule="atLeast"/>
        <w:ind w:left="480" w:firstLine="480" w:firstLineChars="200"/>
        <w:jc w:val="left"/>
        <w:textAlignment w:val="auto"/>
        <w:rPr>
          <w:rFonts w:hint="eastAsia" w:ascii="微软雅黑" w:hAnsi="微软雅黑" w:eastAsia="微软雅黑" w:cs="微软雅黑"/>
          <w:sz w:val="24"/>
          <w:szCs w:val="24"/>
        </w:rPr>
      </w:pPr>
      <w:bookmarkStart w:id="8" w:name="_Hlk82091833"/>
      <w:r>
        <w:rPr>
          <w:rFonts w:hint="eastAsia" w:ascii="微软雅黑" w:hAnsi="微软雅黑" w:eastAsia="微软雅黑" w:cs="微软雅黑"/>
          <w:sz w:val="24"/>
          <w:szCs w:val="24"/>
        </w:rPr>
        <w:t>(4)</w:t>
      </w:r>
      <w:bookmarkEnd w:id="8"/>
      <w:r>
        <w:rPr>
          <w:rFonts w:hint="eastAsia" w:ascii="微软雅黑" w:hAnsi="微软雅黑" w:eastAsia="微软雅黑" w:cs="微软雅黑"/>
          <w:sz w:val="24"/>
          <w:szCs w:val="24"/>
        </w:rPr>
        <w:t xml:space="preserve"> 内置医气阀门控制箱1个：配快速开闭检修门1个，氧气和空气维修阀各1个；</w:t>
      </w:r>
    </w:p>
    <w:p>
      <w:pPr>
        <w:pageBreakBefore w:val="0"/>
        <w:kinsoku/>
        <w:wordWrap/>
        <w:overflowPunct/>
        <w:topLinePunct w:val="0"/>
        <w:autoSpaceDE/>
        <w:autoSpaceDN/>
        <w:bidi w:val="0"/>
        <w:spacing w:line="600" w:lineRule="atLeast"/>
        <w:ind w:right="-197" w:rightChars="-94"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 配置设备同品牌德式气体终端（带防污防尘罩）：氧气≥2个、压缩空气≥2个；</w:t>
      </w:r>
    </w:p>
    <w:p>
      <w:pPr>
        <w:pageBreakBefore w:val="0"/>
        <w:kinsoku/>
        <w:wordWrap/>
        <w:overflowPunct/>
        <w:topLinePunct w:val="0"/>
        <w:autoSpaceDE/>
        <w:autoSpaceDN/>
        <w:bidi w:val="0"/>
        <w:spacing w:line="600" w:lineRule="atLeast"/>
        <w:ind w:right="-197" w:rightChars="-94"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 听诊器挂架1个，自控手电筒1个，吸痰导管盒1个；</w:t>
      </w:r>
    </w:p>
    <w:p>
      <w:pPr>
        <w:pageBreakBefore w:val="0"/>
        <w:numPr>
          <w:ilvl w:val="0"/>
          <w:numId w:val="8"/>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护理区要求：</w:t>
      </w:r>
    </w:p>
    <w:p>
      <w:pPr>
        <w:pageBreakBefore w:val="0"/>
        <w:kinsoku/>
        <w:wordWrap/>
        <w:overflowPunct/>
        <w:topLinePunct w:val="0"/>
        <w:autoSpaceDE/>
        <w:autoSpaceDN/>
        <w:bidi w:val="0"/>
        <w:spacing w:line="600" w:lineRule="atLeast"/>
        <w:ind w:leftChars="-135" w:right="-197" w:rightChars="-94" w:firstLine="480" w:firstLineChars="200"/>
        <w:jc w:val="left"/>
        <w:textAlignment w:val="auto"/>
        <w:rPr>
          <w:rFonts w:hint="eastAsia" w:ascii="微软雅黑" w:hAnsi="微软雅黑" w:eastAsia="微软雅黑" w:cs="微软雅黑"/>
          <w:sz w:val="24"/>
          <w:szCs w:val="24"/>
        </w:rPr>
      </w:pPr>
      <w:bookmarkStart w:id="9" w:name="_Hlk82092274"/>
      <w:r>
        <w:rPr>
          <w:rFonts w:hint="eastAsia" w:ascii="微软雅黑" w:hAnsi="微软雅黑" w:eastAsia="微软雅黑" w:cs="微软雅黑"/>
          <w:bCs/>
          <w:sz w:val="24"/>
          <w:szCs w:val="24"/>
        </w:rPr>
        <w:t>*</w:t>
      </w:r>
      <w:bookmarkEnd w:id="9"/>
      <w:r>
        <w:rPr>
          <w:rFonts w:hint="eastAsia" w:ascii="微软雅黑" w:hAnsi="微软雅黑" w:eastAsia="微软雅黑" w:cs="微软雅黑"/>
          <w:sz w:val="24"/>
          <w:szCs w:val="24"/>
        </w:rPr>
        <w:t xml:space="preserve"> (1) 内置护理柜1个：带透明视窗柜门、工作照明灯，可调隔板≥2层，容积≥20L；</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 护理平台1层；</w:t>
      </w:r>
    </w:p>
    <w:p>
      <w:pPr>
        <w:pageBreakBefore w:val="0"/>
        <w:kinsoku/>
        <w:wordWrap/>
        <w:overflowPunct/>
        <w:topLinePunct w:val="0"/>
        <w:autoSpaceDE/>
        <w:autoSpaceDN/>
        <w:bidi w:val="0"/>
        <w:spacing w:line="600" w:lineRule="atLeast"/>
        <w:ind w:left="480" w:firstLine="480" w:firstLineChars="200"/>
        <w:jc w:val="left"/>
        <w:textAlignment w:val="auto"/>
        <w:rPr>
          <w:rFonts w:hint="eastAsia" w:ascii="微软雅黑" w:hAnsi="微软雅黑" w:eastAsia="微软雅黑" w:cs="微软雅黑"/>
          <w:sz w:val="24"/>
          <w:szCs w:val="24"/>
        </w:rPr>
      </w:pPr>
      <w:bookmarkStart w:id="10" w:name="_Hlk16952875"/>
      <w:r>
        <w:rPr>
          <w:rFonts w:hint="eastAsia" w:ascii="微软雅黑" w:hAnsi="微软雅黑" w:eastAsia="微软雅黑" w:cs="微软雅黑"/>
          <w:sz w:val="24"/>
          <w:szCs w:val="24"/>
        </w:rPr>
        <w:t>(3)</w:t>
      </w:r>
      <w:bookmarkStart w:id="11" w:name="_Hlk16952897"/>
      <w:r>
        <w:rPr>
          <w:rFonts w:hint="eastAsia" w:ascii="微软雅黑" w:hAnsi="微软雅黑" w:eastAsia="微软雅黑" w:cs="微软雅黑"/>
          <w:sz w:val="24"/>
          <w:szCs w:val="24"/>
        </w:rPr>
        <w:t xml:space="preserve"> 操作平台1层：两侧带嵌入式标准边轨，带储物抽屉1个，内藏式电源插座≥3个和网络接口RJ45≥1个；</w:t>
      </w:r>
    </w:p>
    <w:bookmarkEnd w:id="10"/>
    <w:bookmarkEnd w:id="11"/>
    <w:p>
      <w:pPr>
        <w:pageBreakBefore w:val="0"/>
        <w:kinsoku/>
        <w:wordWrap/>
        <w:overflowPunct/>
        <w:topLinePunct w:val="0"/>
        <w:autoSpaceDE/>
        <w:autoSpaceDN/>
        <w:bidi w:val="0"/>
        <w:spacing w:line="600" w:lineRule="atLeast"/>
        <w:ind w:left="480"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 内藏式电源控制箱1个：电源总开关1个，电源插座≥2个；网络接口RJ45≥1个；</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 配置设备同品牌德式气体终端（带防污防尘罩）：负压吸引2个；</w:t>
      </w:r>
    </w:p>
    <w:p>
      <w:pPr>
        <w:pageBreakBefore w:val="0"/>
        <w:numPr>
          <w:ilvl w:val="0"/>
          <w:numId w:val="8"/>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输液区要求：</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 旋转横臂1套：旋转半径≥400mm，旋转角度≥330°；</w:t>
      </w:r>
    </w:p>
    <w:p>
      <w:pPr>
        <w:pageBreakBefore w:val="0"/>
        <w:kinsoku/>
        <w:wordWrap/>
        <w:overflowPunct/>
        <w:topLinePunct w:val="0"/>
        <w:autoSpaceDE/>
        <w:autoSpaceDN/>
        <w:bidi w:val="0"/>
        <w:spacing w:line="600" w:lineRule="atLeast"/>
        <w:ind w:left="-141" w:leftChars="-67"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bCs/>
          <w:sz w:val="24"/>
          <w:szCs w:val="24"/>
        </w:rPr>
        <w:t>*</w:t>
      </w:r>
      <w:r>
        <w:rPr>
          <w:rFonts w:hint="eastAsia" w:ascii="微软雅黑" w:hAnsi="微软雅黑" w:eastAsia="微软雅黑" w:cs="微软雅黑"/>
          <w:sz w:val="24"/>
          <w:szCs w:val="24"/>
        </w:rPr>
        <w:t>(2) 泵架塔体1套：内藏式电源插座≥6个和网络接口RJ45≥1个，注射泵杆和可调输液挂架各1件；</w:t>
      </w:r>
    </w:p>
    <w:p>
      <w:pPr>
        <w:pageBreakBefore w:val="0"/>
        <w:numPr>
          <w:ilvl w:val="0"/>
          <w:numId w:val="8"/>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rPr>
        <w:t>照明要求：工作照明3套（LED），功率6W*2+12W(亮度可调)；休息照</w:t>
      </w:r>
      <w:r>
        <w:rPr>
          <w:rFonts w:hint="eastAsia" w:ascii="微软雅黑" w:hAnsi="微软雅黑" w:eastAsia="微软雅黑" w:cs="微软雅黑"/>
          <w:bCs/>
          <w:sz w:val="24"/>
          <w:szCs w:val="24"/>
          <w:highlight w:val="none"/>
        </w:rPr>
        <w:t>明1套（LED），功率3W；</w:t>
      </w:r>
    </w:p>
    <w:p>
      <w:pPr>
        <w:pageBreakBefore w:val="0"/>
        <w:numPr>
          <w:ilvl w:val="0"/>
          <w:numId w:val="8"/>
        </w:numPr>
        <w:kinsoku/>
        <w:wordWrap/>
        <w:overflowPunct/>
        <w:topLinePunct w:val="0"/>
        <w:autoSpaceDE/>
        <w:autoSpaceDN/>
        <w:bidi w:val="0"/>
        <w:spacing w:line="600" w:lineRule="atLeast"/>
        <w:ind w:left="0" w:leftChars="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Cs/>
          <w:sz w:val="24"/>
          <w:szCs w:val="24"/>
          <w:highlight w:val="none"/>
        </w:rPr>
        <w:t>*数字信息支持配置要求：≥19寸彩色液晶显示器1台，病人基本信息软件1套。</w:t>
      </w:r>
    </w:p>
    <w:p>
      <w:pPr>
        <w:pStyle w:val="7"/>
        <w:pageBreakBefore w:val="0"/>
        <w:numPr>
          <w:ilvl w:val="0"/>
          <w:numId w:val="0"/>
        </w:numPr>
        <w:kinsoku/>
        <w:wordWrap/>
        <w:overflowPunct/>
        <w:topLinePunct w:val="0"/>
        <w:autoSpaceDE/>
        <w:autoSpaceDN/>
        <w:bidi w:val="0"/>
        <w:spacing w:line="600" w:lineRule="atLeast"/>
        <w:ind w:left="630" w:leftChars="0"/>
        <w:jc w:val="center"/>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7、电动病床</w:t>
      </w:r>
      <w:r>
        <w:rPr>
          <w:rFonts w:hint="eastAsia" w:ascii="微软雅黑" w:hAnsi="微软雅黑" w:eastAsia="微软雅黑" w:cs="微软雅黑"/>
          <w:b/>
          <w:bCs/>
          <w:kern w:val="2"/>
          <w:sz w:val="24"/>
          <w:szCs w:val="24"/>
          <w:highlight w:val="none"/>
          <w:lang w:val="en-US" w:eastAsia="zh-CN" w:bidi="ar-SA"/>
        </w:rPr>
        <w:t>（10套）</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zh-TW" w:eastAsia="zh-TW"/>
        </w:rPr>
        <w:t>一</w:t>
      </w:r>
      <w:r>
        <w:rPr>
          <w:rFonts w:hint="eastAsia" w:ascii="微软雅黑" w:hAnsi="微软雅黑" w:eastAsia="微软雅黑" w:cs="微软雅黑"/>
          <w:b w:val="0"/>
          <w:bCs w:val="0"/>
          <w:sz w:val="24"/>
          <w:szCs w:val="24"/>
          <w:rtl w:val="0"/>
          <w:lang w:val="en-US" w:eastAsia="zh-CN"/>
        </w:rPr>
        <w:t>、</w:t>
      </w:r>
      <w:r>
        <w:rPr>
          <w:rFonts w:hint="eastAsia" w:ascii="微软雅黑" w:hAnsi="微软雅黑" w:eastAsia="微软雅黑" w:cs="微软雅黑"/>
          <w:b w:val="0"/>
          <w:bCs w:val="0"/>
          <w:sz w:val="24"/>
          <w:szCs w:val="24"/>
          <w:rtl w:val="0"/>
          <w:lang w:val="en-US"/>
        </w:rPr>
        <w:t xml:space="preserve"> </w:t>
      </w:r>
      <w:r>
        <w:rPr>
          <w:rFonts w:hint="eastAsia" w:ascii="微软雅黑" w:hAnsi="微软雅黑" w:eastAsia="微软雅黑" w:cs="微软雅黑"/>
          <w:b w:val="0"/>
          <w:bCs w:val="0"/>
          <w:sz w:val="24"/>
          <w:szCs w:val="24"/>
          <w:rtl w:val="0"/>
          <w:lang w:val="zh-TW" w:eastAsia="zh-TW"/>
        </w:rPr>
        <w:t>规格</w:t>
      </w:r>
      <w:r>
        <w:rPr>
          <w:rFonts w:hint="eastAsia" w:ascii="微软雅黑" w:hAnsi="微软雅黑" w:eastAsia="微软雅黑" w:cs="微软雅黑"/>
          <w:b w:val="0"/>
          <w:bCs w:val="0"/>
          <w:sz w:val="24"/>
          <w:szCs w:val="24"/>
          <w:rtl w:val="0"/>
          <w:lang w:val="en-US"/>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1.</w:t>
      </w:r>
      <w:r>
        <w:rPr>
          <w:rFonts w:hint="eastAsia" w:ascii="微软雅黑" w:hAnsi="微软雅黑" w:eastAsia="微软雅黑" w:cs="微软雅黑"/>
          <w:b w:val="0"/>
          <w:bCs w:val="0"/>
          <w:sz w:val="24"/>
          <w:szCs w:val="24"/>
          <w:rtl w:val="0"/>
          <w:lang w:val="zh-TW" w:eastAsia="zh-TW"/>
        </w:rPr>
        <w:t>整床尺寸</w:t>
      </w:r>
      <w:r>
        <w:rPr>
          <w:rFonts w:hint="eastAsia" w:ascii="微软雅黑" w:hAnsi="微软雅黑" w:eastAsia="微软雅黑" w:cs="微软雅黑"/>
          <w:b w:val="0"/>
          <w:bCs w:val="0"/>
          <w:sz w:val="24"/>
          <w:szCs w:val="24"/>
          <w:rtl w:val="0"/>
          <w:lang w:val="en-US"/>
        </w:rPr>
        <w:t>:2190×995×510/840mm±10mm</w:t>
      </w:r>
      <w:r>
        <w:rPr>
          <w:rFonts w:hint="eastAsia" w:ascii="微软雅黑" w:hAnsi="微软雅黑" w:eastAsia="微软雅黑" w:cs="微软雅黑"/>
          <w:b w:val="0"/>
          <w:bCs w:val="0"/>
          <w:sz w:val="24"/>
          <w:szCs w:val="24"/>
          <w:rtl w:val="0"/>
          <w:lang w:val="zh-TW" w:eastAsia="zh-TW"/>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zh-TW" w:eastAsia="zh-TW"/>
        </w:rPr>
        <w:t>床面尺寸</w:t>
      </w:r>
      <w:r>
        <w:rPr>
          <w:rFonts w:hint="eastAsia" w:ascii="微软雅黑" w:hAnsi="微软雅黑" w:eastAsia="微软雅黑" w:cs="微软雅黑"/>
          <w:b w:val="0"/>
          <w:bCs w:val="0"/>
          <w:sz w:val="24"/>
          <w:szCs w:val="24"/>
          <w:rtl w:val="0"/>
          <w:lang w:val="en-US"/>
        </w:rPr>
        <w:t>:1980×850mm±10mm</w:t>
      </w:r>
      <w:r>
        <w:rPr>
          <w:rFonts w:hint="eastAsia" w:ascii="微软雅黑" w:hAnsi="微软雅黑" w:eastAsia="微软雅黑" w:cs="微软雅黑"/>
          <w:b w:val="0"/>
          <w:bCs w:val="0"/>
          <w:sz w:val="24"/>
          <w:szCs w:val="24"/>
          <w:rtl w:val="0"/>
          <w:lang w:val="zh-TW" w:eastAsia="zh-TW"/>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2.</w:t>
      </w:r>
      <w:r>
        <w:rPr>
          <w:rFonts w:hint="eastAsia" w:ascii="微软雅黑" w:hAnsi="微软雅黑" w:eastAsia="微软雅黑" w:cs="微软雅黑"/>
          <w:b w:val="0"/>
          <w:bCs w:val="0"/>
          <w:sz w:val="24"/>
          <w:szCs w:val="24"/>
          <w:rtl w:val="0"/>
          <w:lang w:val="zh-TW" w:eastAsia="zh-TW"/>
        </w:rPr>
        <w:t>整体护栏总长度</w:t>
      </w:r>
      <w:r>
        <w:rPr>
          <w:rFonts w:hint="eastAsia" w:ascii="微软雅黑" w:hAnsi="微软雅黑" w:eastAsia="微软雅黑" w:cs="微软雅黑"/>
          <w:b w:val="0"/>
          <w:bCs w:val="0"/>
          <w:sz w:val="24"/>
          <w:szCs w:val="24"/>
          <w:rtl w:val="0"/>
          <w:lang w:val="en-US"/>
        </w:rPr>
        <w:t>:1925mm±10mm</w:t>
      </w:r>
      <w:r>
        <w:rPr>
          <w:rFonts w:hint="eastAsia" w:ascii="微软雅黑" w:hAnsi="微软雅黑" w:eastAsia="微软雅黑" w:cs="微软雅黑"/>
          <w:b w:val="0"/>
          <w:bCs w:val="0"/>
          <w:sz w:val="24"/>
          <w:szCs w:val="24"/>
          <w:rtl w:val="0"/>
          <w:lang w:val="zh-TW" w:eastAsia="zh-TW"/>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zh-TW" w:eastAsia="zh-TW"/>
        </w:rPr>
        <w:t>护栏上沿离床面板高度</w:t>
      </w:r>
      <w:r>
        <w:rPr>
          <w:rFonts w:hint="eastAsia" w:ascii="微软雅黑" w:hAnsi="微软雅黑" w:eastAsia="微软雅黑" w:cs="微软雅黑"/>
          <w:b w:val="0"/>
          <w:bCs w:val="0"/>
          <w:sz w:val="24"/>
          <w:szCs w:val="24"/>
          <w:rtl w:val="0"/>
          <w:lang w:val="en-US"/>
        </w:rPr>
        <w:t>370mm±10mm</w:t>
      </w:r>
      <w:r>
        <w:rPr>
          <w:rFonts w:hint="eastAsia" w:ascii="微软雅黑" w:hAnsi="微软雅黑" w:eastAsia="微软雅黑" w:cs="微软雅黑"/>
          <w:b w:val="0"/>
          <w:bCs w:val="0"/>
          <w:sz w:val="24"/>
          <w:szCs w:val="24"/>
          <w:rtl w:val="0"/>
          <w:lang w:val="zh-TW" w:eastAsia="zh-TW"/>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zh-TW" w:eastAsia="zh-TW"/>
        </w:rPr>
        <w:t>二</w:t>
      </w:r>
      <w:r>
        <w:rPr>
          <w:rFonts w:hint="eastAsia" w:ascii="微软雅黑" w:hAnsi="微软雅黑" w:eastAsia="微软雅黑" w:cs="微软雅黑"/>
          <w:b w:val="0"/>
          <w:bCs w:val="0"/>
          <w:sz w:val="24"/>
          <w:szCs w:val="24"/>
          <w:rtl w:val="0"/>
          <w:lang w:val="en-US" w:eastAsia="zh-CN"/>
        </w:rPr>
        <w:t>、</w:t>
      </w:r>
      <w:r>
        <w:rPr>
          <w:rFonts w:hint="eastAsia" w:ascii="微软雅黑" w:hAnsi="微软雅黑" w:eastAsia="微软雅黑" w:cs="微软雅黑"/>
          <w:b w:val="0"/>
          <w:bCs w:val="0"/>
          <w:sz w:val="24"/>
          <w:szCs w:val="24"/>
          <w:rtl w:val="0"/>
          <w:lang w:val="zh-TW" w:eastAsia="zh-TW"/>
        </w:rPr>
        <w:t>功能</w:t>
      </w:r>
      <w:r>
        <w:rPr>
          <w:rFonts w:hint="eastAsia" w:ascii="微软雅黑" w:hAnsi="微软雅黑" w:eastAsia="微软雅黑" w:cs="微软雅黑"/>
          <w:b w:val="0"/>
          <w:bCs w:val="0"/>
          <w:sz w:val="24"/>
          <w:szCs w:val="24"/>
          <w:rtl w:val="0"/>
          <w:lang w:val="en-US"/>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1.</w:t>
      </w:r>
      <w:r>
        <w:rPr>
          <w:rFonts w:hint="eastAsia" w:ascii="微软雅黑" w:hAnsi="微软雅黑" w:eastAsia="微软雅黑" w:cs="微软雅黑"/>
          <w:b w:val="0"/>
          <w:bCs w:val="0"/>
          <w:sz w:val="24"/>
          <w:szCs w:val="24"/>
          <w:rtl w:val="0"/>
          <w:lang w:val="zh-TW" w:eastAsia="zh-TW"/>
        </w:rPr>
        <w:t>四电机全自动实现各种体位，背部升降：</w:t>
      </w:r>
      <w:r>
        <w:rPr>
          <w:rFonts w:hint="eastAsia" w:ascii="微软雅黑" w:hAnsi="微软雅黑" w:eastAsia="微软雅黑" w:cs="微软雅黑"/>
          <w:b w:val="0"/>
          <w:bCs w:val="0"/>
          <w:sz w:val="24"/>
          <w:szCs w:val="24"/>
          <w:rtl w:val="0"/>
          <w:lang w:val="en-US"/>
        </w:rPr>
        <w:t>0-72°±2°</w:t>
      </w:r>
      <w:r>
        <w:rPr>
          <w:rFonts w:hint="eastAsia" w:ascii="微软雅黑" w:hAnsi="微软雅黑" w:eastAsia="微软雅黑" w:cs="微软雅黑"/>
          <w:b w:val="0"/>
          <w:bCs w:val="0"/>
          <w:sz w:val="24"/>
          <w:szCs w:val="24"/>
          <w:rtl w:val="0"/>
          <w:lang w:val="zh-TW" w:eastAsia="zh-TW"/>
        </w:rPr>
        <w:t>，腿部升降：</w:t>
      </w:r>
      <w:r>
        <w:rPr>
          <w:rFonts w:hint="eastAsia" w:ascii="微软雅黑" w:hAnsi="微软雅黑" w:eastAsia="微软雅黑" w:cs="微软雅黑"/>
          <w:b w:val="0"/>
          <w:bCs w:val="0"/>
          <w:sz w:val="24"/>
          <w:szCs w:val="24"/>
          <w:rtl w:val="0"/>
          <w:lang w:val="en-US"/>
        </w:rPr>
        <w:t>0-36°±2°</w:t>
      </w:r>
      <w:r>
        <w:rPr>
          <w:rFonts w:hint="eastAsia" w:ascii="微软雅黑" w:hAnsi="微软雅黑" w:eastAsia="微软雅黑" w:cs="微软雅黑"/>
          <w:b w:val="0"/>
          <w:bCs w:val="0"/>
          <w:sz w:val="24"/>
          <w:szCs w:val="24"/>
          <w:rtl w:val="0"/>
          <w:lang w:val="zh-TW" w:eastAsia="zh-TW"/>
        </w:rPr>
        <w:t>，可实现一键式背膝联动；床体高度调节：</w:t>
      </w:r>
      <w:r>
        <w:rPr>
          <w:rFonts w:hint="eastAsia" w:ascii="微软雅黑" w:hAnsi="微软雅黑" w:eastAsia="微软雅黑" w:cs="微软雅黑"/>
          <w:b w:val="0"/>
          <w:bCs w:val="0"/>
          <w:sz w:val="24"/>
          <w:szCs w:val="24"/>
          <w:rtl w:val="0"/>
          <w:lang w:val="en-US"/>
        </w:rPr>
        <w:t>510-840mm</w:t>
      </w:r>
      <w:r>
        <w:rPr>
          <w:rFonts w:hint="eastAsia" w:ascii="微软雅黑" w:hAnsi="微软雅黑" w:eastAsia="微软雅黑" w:cs="微软雅黑"/>
          <w:b w:val="0"/>
          <w:bCs w:val="0"/>
          <w:sz w:val="24"/>
          <w:szCs w:val="24"/>
          <w:rtl w:val="0"/>
          <w:lang w:val="zh-TW" w:eastAsia="zh-TW"/>
        </w:rPr>
        <w:t>，整床前后倾斜</w:t>
      </w:r>
      <w:r>
        <w:rPr>
          <w:rFonts w:hint="eastAsia" w:ascii="微软雅黑" w:hAnsi="微软雅黑" w:eastAsia="微软雅黑" w:cs="微软雅黑"/>
          <w:b w:val="0"/>
          <w:bCs w:val="0"/>
          <w:sz w:val="24"/>
          <w:szCs w:val="24"/>
          <w:rtl w:val="0"/>
          <w:lang w:val="en-US"/>
        </w:rPr>
        <w:t>:0-13°±1°</w:t>
      </w:r>
      <w:r>
        <w:rPr>
          <w:rFonts w:hint="eastAsia" w:ascii="微软雅黑" w:hAnsi="微软雅黑" w:eastAsia="微软雅黑" w:cs="微软雅黑"/>
          <w:b w:val="0"/>
          <w:bCs w:val="0"/>
          <w:sz w:val="24"/>
          <w:szCs w:val="24"/>
          <w:rtl w:val="0"/>
          <w:lang w:val="zh-TW" w:eastAsia="zh-TW"/>
        </w:rPr>
        <w:t>，整床升降前后位移</w:t>
      </w:r>
      <w:r>
        <w:rPr>
          <w:rFonts w:hint="eastAsia" w:ascii="微软雅黑" w:hAnsi="微软雅黑" w:eastAsia="微软雅黑" w:cs="微软雅黑"/>
          <w:b w:val="0"/>
          <w:bCs w:val="0"/>
          <w:sz w:val="24"/>
          <w:szCs w:val="24"/>
          <w:rtl w:val="0"/>
          <w:lang w:val="en-US"/>
        </w:rPr>
        <w:t>≤10mm</w:t>
      </w:r>
      <w:r>
        <w:rPr>
          <w:rFonts w:hint="eastAsia" w:ascii="微软雅黑" w:hAnsi="微软雅黑" w:eastAsia="微软雅黑" w:cs="微软雅黑"/>
          <w:b w:val="0"/>
          <w:bCs w:val="0"/>
          <w:sz w:val="24"/>
          <w:szCs w:val="24"/>
          <w:rtl w:val="0"/>
          <w:lang w:val="zh-TW" w:eastAsia="zh-TW"/>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2.</w:t>
      </w:r>
      <w:r>
        <w:rPr>
          <w:rFonts w:hint="eastAsia" w:ascii="微软雅黑" w:hAnsi="微软雅黑" w:eastAsia="微软雅黑" w:cs="微软雅黑"/>
          <w:b w:val="0"/>
          <w:bCs w:val="0"/>
          <w:sz w:val="24"/>
          <w:szCs w:val="24"/>
          <w:rtl w:val="0"/>
          <w:lang w:val="zh-TW" w:eastAsia="zh-TW"/>
        </w:rPr>
        <w:t>胸腹部拍片功能：背部床板可透</w:t>
      </w:r>
      <w:r>
        <w:rPr>
          <w:rFonts w:hint="eastAsia" w:ascii="微软雅黑" w:hAnsi="微软雅黑" w:eastAsia="微软雅黑" w:cs="微软雅黑"/>
          <w:b w:val="0"/>
          <w:bCs w:val="0"/>
          <w:sz w:val="24"/>
          <w:szCs w:val="24"/>
          <w:rtl w:val="0"/>
          <w:lang w:val="en-US"/>
        </w:rPr>
        <w:t>X</w:t>
      </w:r>
      <w:r>
        <w:rPr>
          <w:rFonts w:hint="eastAsia" w:ascii="微软雅黑" w:hAnsi="微软雅黑" w:eastAsia="微软雅黑" w:cs="微软雅黑"/>
          <w:b w:val="0"/>
          <w:bCs w:val="0"/>
          <w:sz w:val="24"/>
          <w:szCs w:val="24"/>
          <w:rtl w:val="0"/>
          <w:lang w:val="zh-TW" w:eastAsia="zh-TW"/>
        </w:rPr>
        <w:t>光，适用于多种主流</w:t>
      </w:r>
      <w:r>
        <w:rPr>
          <w:rFonts w:hint="eastAsia" w:ascii="微软雅黑" w:hAnsi="微软雅黑" w:eastAsia="微软雅黑" w:cs="微软雅黑"/>
          <w:b w:val="0"/>
          <w:bCs w:val="0"/>
          <w:sz w:val="24"/>
          <w:szCs w:val="24"/>
          <w:rtl w:val="0"/>
          <w:lang w:val="en-US"/>
        </w:rPr>
        <w:t>DR</w:t>
      </w:r>
      <w:r>
        <w:rPr>
          <w:rFonts w:hint="eastAsia" w:ascii="微软雅黑" w:hAnsi="微软雅黑" w:eastAsia="微软雅黑" w:cs="微软雅黑"/>
          <w:b w:val="0"/>
          <w:bCs w:val="0"/>
          <w:sz w:val="24"/>
          <w:szCs w:val="24"/>
          <w:rtl w:val="0"/>
          <w:lang w:val="zh-TW" w:eastAsia="zh-TW"/>
        </w:rPr>
        <w:t>扫描设备；</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*3.</w:t>
      </w:r>
      <w:r>
        <w:rPr>
          <w:rFonts w:hint="eastAsia" w:ascii="微软雅黑" w:hAnsi="微软雅黑" w:eastAsia="微软雅黑" w:cs="微软雅黑"/>
          <w:b w:val="0"/>
          <w:bCs w:val="0"/>
          <w:sz w:val="24"/>
          <w:szCs w:val="24"/>
          <w:rtl w:val="0"/>
          <w:lang w:val="zh-TW" w:eastAsia="zh-TW"/>
        </w:rPr>
        <w:t>背部减压功能：床板上升时自动向后延位，减少患者背部、腹部和臀部的压力；</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4</w:t>
      </w:r>
      <w:r>
        <w:rPr>
          <w:rFonts w:hint="eastAsia" w:ascii="微软雅黑" w:hAnsi="微软雅黑" w:eastAsia="微软雅黑" w:cs="微软雅黑"/>
          <w:b w:val="0"/>
          <w:bCs w:val="0"/>
          <w:sz w:val="24"/>
          <w:szCs w:val="24"/>
          <w:rtl w:val="0"/>
          <w:lang w:val="zh-TW" w:eastAsia="zh-TW"/>
        </w:rPr>
        <w:t>、一键式电动</w:t>
      </w:r>
      <w:r>
        <w:rPr>
          <w:rFonts w:hint="eastAsia" w:ascii="微软雅黑" w:hAnsi="微软雅黑" w:eastAsia="微软雅黑" w:cs="微软雅黑"/>
          <w:b w:val="0"/>
          <w:bCs w:val="0"/>
          <w:sz w:val="24"/>
          <w:szCs w:val="24"/>
          <w:rtl w:val="0"/>
          <w:lang w:val="en-US"/>
        </w:rPr>
        <w:t>CPR</w:t>
      </w:r>
      <w:r>
        <w:rPr>
          <w:rFonts w:hint="eastAsia" w:ascii="微软雅黑" w:hAnsi="微软雅黑" w:eastAsia="微软雅黑" w:cs="微软雅黑"/>
          <w:b w:val="0"/>
          <w:bCs w:val="0"/>
          <w:sz w:val="24"/>
          <w:szCs w:val="24"/>
          <w:rtl w:val="0"/>
          <w:lang w:val="zh-TW" w:eastAsia="zh-TW"/>
        </w:rPr>
        <w:t>功能：使整床快速恢复水平状态；</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5</w:t>
      </w:r>
      <w:r>
        <w:rPr>
          <w:rFonts w:hint="eastAsia" w:ascii="微软雅黑" w:hAnsi="微软雅黑" w:eastAsia="微软雅黑" w:cs="微软雅黑"/>
          <w:b w:val="0"/>
          <w:bCs w:val="0"/>
          <w:sz w:val="24"/>
          <w:szCs w:val="24"/>
          <w:rtl w:val="0"/>
          <w:lang w:val="zh-TW" w:eastAsia="zh-TW"/>
        </w:rPr>
        <w:t>、极速放平（</w:t>
      </w:r>
      <w:r>
        <w:rPr>
          <w:rFonts w:hint="eastAsia" w:ascii="微软雅黑" w:hAnsi="微软雅黑" w:eastAsia="微软雅黑" w:cs="微软雅黑"/>
          <w:b w:val="0"/>
          <w:bCs w:val="0"/>
          <w:sz w:val="24"/>
          <w:szCs w:val="24"/>
          <w:rtl w:val="0"/>
          <w:lang w:val="en-US"/>
        </w:rPr>
        <w:t>1</w:t>
      </w:r>
      <w:r>
        <w:rPr>
          <w:rFonts w:hint="eastAsia" w:ascii="微软雅黑" w:hAnsi="微软雅黑" w:eastAsia="微软雅黑" w:cs="微软雅黑"/>
          <w:b w:val="0"/>
          <w:bCs w:val="0"/>
          <w:sz w:val="24"/>
          <w:szCs w:val="24"/>
          <w:rtl w:val="0"/>
          <w:lang w:val="zh-TW" w:eastAsia="zh-TW"/>
        </w:rPr>
        <w:t>秒</w:t>
      </w:r>
      <w:r>
        <w:rPr>
          <w:rFonts w:hint="eastAsia" w:ascii="微软雅黑" w:hAnsi="微软雅黑" w:eastAsia="微软雅黑" w:cs="微软雅黑"/>
          <w:b w:val="0"/>
          <w:bCs w:val="0"/>
          <w:sz w:val="24"/>
          <w:szCs w:val="24"/>
          <w:rtl w:val="0"/>
          <w:lang w:val="en-US"/>
        </w:rPr>
        <w:t>CPR</w:t>
      </w:r>
      <w:r>
        <w:rPr>
          <w:rFonts w:hint="eastAsia" w:ascii="微软雅黑" w:hAnsi="微软雅黑" w:eastAsia="微软雅黑" w:cs="微软雅黑"/>
          <w:b w:val="0"/>
          <w:bCs w:val="0"/>
          <w:sz w:val="24"/>
          <w:szCs w:val="24"/>
          <w:rtl w:val="0"/>
          <w:lang w:val="zh-TW" w:eastAsia="zh-TW"/>
        </w:rPr>
        <w:t>）</w:t>
      </w:r>
      <w:r>
        <w:rPr>
          <w:rFonts w:hint="eastAsia" w:ascii="微软雅黑" w:hAnsi="微软雅黑" w:eastAsia="微软雅黑" w:cs="微软雅黑"/>
          <w:b w:val="0"/>
          <w:bCs w:val="0"/>
          <w:sz w:val="24"/>
          <w:szCs w:val="24"/>
          <w:rtl w:val="0"/>
          <w:lang w:val="en-US"/>
        </w:rPr>
        <w:t>:</w:t>
      </w:r>
      <w:r>
        <w:rPr>
          <w:rFonts w:hint="eastAsia" w:ascii="微软雅黑" w:hAnsi="微软雅黑" w:eastAsia="微软雅黑" w:cs="微软雅黑"/>
          <w:b w:val="0"/>
          <w:bCs w:val="0"/>
          <w:sz w:val="24"/>
          <w:szCs w:val="24"/>
          <w:rtl w:val="0"/>
          <w:lang w:val="zh-TW" w:eastAsia="zh-TW"/>
        </w:rPr>
        <w:t>手动一秒极速放平背部床板；</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6</w:t>
      </w:r>
      <w:r>
        <w:rPr>
          <w:rFonts w:hint="eastAsia" w:ascii="微软雅黑" w:hAnsi="微软雅黑" w:eastAsia="微软雅黑" w:cs="微软雅黑"/>
          <w:b w:val="0"/>
          <w:bCs w:val="0"/>
          <w:sz w:val="24"/>
          <w:szCs w:val="24"/>
          <w:rtl w:val="0"/>
          <w:lang w:val="zh-TW" w:eastAsia="zh-TW"/>
        </w:rPr>
        <w:t>、一键式心脏椅体位功能：电动调节坐卧位，灵活实现坐卧双姿转换；</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7</w:t>
      </w:r>
      <w:r>
        <w:rPr>
          <w:rFonts w:hint="eastAsia" w:ascii="微软雅黑" w:hAnsi="微软雅黑" w:eastAsia="微软雅黑" w:cs="微软雅黑"/>
          <w:b w:val="0"/>
          <w:bCs w:val="0"/>
          <w:sz w:val="24"/>
          <w:szCs w:val="24"/>
          <w:rtl w:val="0"/>
          <w:lang w:val="zh-TW" w:eastAsia="zh-TW"/>
        </w:rPr>
        <w:t>、一键式垂头仰卧功能：快速实现垂头仰卧体位；</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8</w:t>
      </w:r>
      <w:r>
        <w:rPr>
          <w:rFonts w:hint="eastAsia" w:ascii="微软雅黑" w:hAnsi="微软雅黑" w:eastAsia="微软雅黑" w:cs="微软雅黑"/>
          <w:b w:val="0"/>
          <w:bCs w:val="0"/>
          <w:sz w:val="24"/>
          <w:szCs w:val="24"/>
          <w:rtl w:val="0"/>
          <w:lang w:val="zh-TW" w:eastAsia="zh-TW"/>
        </w:rPr>
        <w:t>、升降、倾斜角度</w:t>
      </w:r>
      <w:r>
        <w:rPr>
          <w:rFonts w:hint="eastAsia" w:ascii="微软雅黑" w:hAnsi="微软雅黑" w:eastAsia="微软雅黑" w:cs="微软雅黑"/>
          <w:b w:val="0"/>
          <w:bCs w:val="0"/>
          <w:sz w:val="24"/>
          <w:szCs w:val="24"/>
          <w:rtl w:val="0"/>
          <w:lang w:val="en-US"/>
        </w:rPr>
        <w:t>/</w:t>
      </w:r>
      <w:r>
        <w:rPr>
          <w:rFonts w:hint="eastAsia" w:ascii="微软雅黑" w:hAnsi="微软雅黑" w:eastAsia="微软雅黑" w:cs="微软雅黑"/>
          <w:b w:val="0"/>
          <w:bCs w:val="0"/>
          <w:sz w:val="24"/>
          <w:szCs w:val="24"/>
          <w:rtl w:val="0"/>
          <w:lang w:val="zh-TW" w:eastAsia="zh-TW"/>
        </w:rPr>
        <w:t>高度显示：液晶数据实时显示，方便医护人员；</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highlight w:val="none"/>
          <w:rtl w:val="0"/>
          <w:lang w:val="en-US" w:eastAsia="zh-CN"/>
        </w:rPr>
        <w:t>*</w:t>
      </w:r>
      <w:r>
        <w:rPr>
          <w:rFonts w:hint="eastAsia" w:ascii="微软雅黑" w:hAnsi="微软雅黑" w:eastAsia="微软雅黑" w:cs="微软雅黑"/>
          <w:b w:val="0"/>
          <w:bCs w:val="0"/>
          <w:sz w:val="24"/>
          <w:szCs w:val="24"/>
          <w:rtl w:val="0"/>
          <w:lang w:val="en-US"/>
        </w:rPr>
        <w:t>9</w:t>
      </w:r>
      <w:r>
        <w:rPr>
          <w:rFonts w:hint="eastAsia" w:ascii="微软雅黑" w:hAnsi="微软雅黑" w:eastAsia="微软雅黑" w:cs="微软雅黑"/>
          <w:b w:val="0"/>
          <w:bCs w:val="0"/>
          <w:sz w:val="24"/>
          <w:szCs w:val="24"/>
          <w:rtl w:val="0"/>
          <w:lang w:val="zh-TW" w:eastAsia="zh-TW"/>
        </w:rPr>
        <w:t>、</w:t>
      </w:r>
      <w:r>
        <w:rPr>
          <w:rFonts w:hint="eastAsia" w:ascii="微软雅黑" w:hAnsi="微软雅黑" w:eastAsia="微软雅黑" w:cs="微软雅黑"/>
          <w:b w:val="0"/>
          <w:bCs w:val="0"/>
          <w:sz w:val="24"/>
          <w:szCs w:val="24"/>
          <w:rtl w:val="0"/>
          <w:lang w:val="en-US"/>
        </w:rPr>
        <w:t>UPS</w:t>
      </w:r>
      <w:r>
        <w:rPr>
          <w:rFonts w:hint="eastAsia" w:ascii="微软雅黑" w:hAnsi="微软雅黑" w:eastAsia="微软雅黑" w:cs="微软雅黑"/>
          <w:b w:val="0"/>
          <w:bCs w:val="0"/>
          <w:sz w:val="24"/>
          <w:szCs w:val="24"/>
          <w:rtl w:val="0"/>
          <w:lang w:val="zh-TW" w:eastAsia="zh-TW"/>
        </w:rPr>
        <w:t>后备电源，满足病床移动时或紧急情况下断电操作（可操作</w:t>
      </w:r>
      <w:r>
        <w:rPr>
          <w:rFonts w:hint="eastAsia" w:ascii="微软雅黑" w:hAnsi="微软雅黑" w:eastAsia="微软雅黑" w:cs="微软雅黑"/>
          <w:b w:val="0"/>
          <w:bCs w:val="0"/>
          <w:sz w:val="24"/>
          <w:szCs w:val="24"/>
          <w:rtl w:val="0"/>
          <w:lang w:val="en-US"/>
        </w:rPr>
        <w:t>30</w:t>
      </w:r>
      <w:r>
        <w:rPr>
          <w:rFonts w:hint="eastAsia" w:ascii="微软雅黑" w:hAnsi="微软雅黑" w:eastAsia="微软雅黑" w:cs="微软雅黑"/>
          <w:b w:val="0"/>
          <w:bCs w:val="0"/>
          <w:sz w:val="24"/>
          <w:szCs w:val="24"/>
          <w:rtl w:val="0"/>
          <w:lang w:val="zh-TW" w:eastAsia="zh-TW"/>
        </w:rPr>
        <w:t xml:space="preserve">次以上）； </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highlight w:val="none"/>
          <w:rtl w:val="0"/>
          <w:lang w:val="en-US" w:eastAsia="zh-CN"/>
        </w:rPr>
        <w:t>*</w:t>
      </w:r>
      <w:r>
        <w:rPr>
          <w:rFonts w:hint="eastAsia" w:ascii="微软雅黑" w:hAnsi="微软雅黑" w:eastAsia="微软雅黑" w:cs="微软雅黑"/>
          <w:b w:val="0"/>
          <w:bCs w:val="0"/>
          <w:sz w:val="24"/>
          <w:szCs w:val="24"/>
          <w:rtl w:val="0"/>
          <w:lang w:val="en-US"/>
        </w:rPr>
        <w:t>10</w:t>
      </w:r>
      <w:r>
        <w:rPr>
          <w:rFonts w:hint="eastAsia" w:ascii="微软雅黑" w:hAnsi="微软雅黑" w:eastAsia="微软雅黑" w:cs="微软雅黑"/>
          <w:b w:val="0"/>
          <w:bCs w:val="0"/>
          <w:sz w:val="24"/>
          <w:szCs w:val="24"/>
          <w:rtl w:val="0"/>
          <w:lang w:val="zh-TW" w:eastAsia="zh-TW"/>
        </w:rPr>
        <w:t>、紧急暂停功能：床侧配有一键式紧急停止开关，紧急时快速、准确固定体位。</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zh-TW" w:eastAsia="zh-TW"/>
        </w:rPr>
        <w:t>三</w:t>
      </w:r>
      <w:r>
        <w:rPr>
          <w:rFonts w:hint="eastAsia" w:ascii="微软雅黑" w:hAnsi="微软雅黑" w:eastAsia="微软雅黑" w:cs="微软雅黑"/>
          <w:b w:val="0"/>
          <w:bCs w:val="0"/>
          <w:sz w:val="24"/>
          <w:szCs w:val="24"/>
          <w:rtl w:val="0"/>
          <w:lang w:val="en-US" w:eastAsia="zh-CN"/>
        </w:rPr>
        <w:t>、</w:t>
      </w:r>
      <w:r>
        <w:rPr>
          <w:rFonts w:hint="eastAsia" w:ascii="微软雅黑" w:hAnsi="微软雅黑" w:eastAsia="微软雅黑" w:cs="微软雅黑"/>
          <w:b w:val="0"/>
          <w:bCs w:val="0"/>
          <w:sz w:val="24"/>
          <w:szCs w:val="24"/>
          <w:rtl w:val="0"/>
          <w:lang w:val="zh-TW" w:eastAsia="zh-TW"/>
        </w:rPr>
        <w:t>结构</w:t>
      </w:r>
      <w:r>
        <w:rPr>
          <w:rFonts w:hint="eastAsia" w:ascii="微软雅黑" w:hAnsi="微软雅黑" w:eastAsia="微软雅黑" w:cs="微软雅黑"/>
          <w:b w:val="0"/>
          <w:bCs w:val="0"/>
          <w:sz w:val="24"/>
          <w:szCs w:val="24"/>
          <w:rtl w:val="0"/>
          <w:lang w:val="en-US"/>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1.</w:t>
      </w:r>
      <w:r>
        <w:rPr>
          <w:rFonts w:hint="eastAsia" w:ascii="微软雅黑" w:hAnsi="微软雅黑" w:eastAsia="微软雅黑" w:cs="微软雅黑"/>
          <w:b w:val="0"/>
          <w:bCs w:val="0"/>
          <w:sz w:val="24"/>
          <w:szCs w:val="24"/>
          <w:rtl w:val="0"/>
          <w:lang w:val="zh-TW" w:eastAsia="zh-TW"/>
        </w:rPr>
        <w:t>双层豪华稳固结构：床体</w:t>
      </w:r>
      <w:r>
        <w:rPr>
          <w:rFonts w:hint="eastAsia" w:ascii="微软雅黑" w:hAnsi="微软雅黑" w:eastAsia="微软雅黑" w:cs="微软雅黑"/>
          <w:b w:val="0"/>
          <w:bCs w:val="0"/>
          <w:sz w:val="24"/>
          <w:szCs w:val="24"/>
          <w:rtl w:val="0"/>
          <w:lang w:val="en-US"/>
        </w:rPr>
        <w:t>+</w:t>
      </w:r>
      <w:r>
        <w:rPr>
          <w:rFonts w:hint="eastAsia" w:ascii="微软雅黑" w:hAnsi="微软雅黑" w:eastAsia="微软雅黑" w:cs="微软雅黑"/>
          <w:b w:val="0"/>
          <w:bCs w:val="0"/>
          <w:sz w:val="24"/>
          <w:szCs w:val="24"/>
          <w:rtl w:val="0"/>
          <w:lang w:val="zh-TW" w:eastAsia="zh-TW"/>
        </w:rPr>
        <w:t>铝合金喷塑整体底座</w:t>
      </w:r>
      <w:r>
        <w:rPr>
          <w:rFonts w:hint="eastAsia" w:ascii="微软雅黑" w:hAnsi="微软雅黑" w:eastAsia="微软雅黑" w:cs="微软雅黑"/>
          <w:b w:val="0"/>
          <w:bCs w:val="0"/>
          <w:sz w:val="24"/>
          <w:szCs w:val="24"/>
          <w:rtl w:val="0"/>
          <w:lang w:val="en-US"/>
        </w:rPr>
        <w:t>,</w:t>
      </w:r>
      <w:r>
        <w:rPr>
          <w:rFonts w:hint="eastAsia" w:ascii="微软雅黑" w:hAnsi="微软雅黑" w:eastAsia="微软雅黑" w:cs="微软雅黑"/>
          <w:b w:val="0"/>
          <w:bCs w:val="0"/>
          <w:sz w:val="24"/>
          <w:szCs w:val="24"/>
          <w:rtl w:val="0"/>
          <w:lang w:val="zh-TW" w:eastAsia="zh-TW"/>
        </w:rPr>
        <w:t>底座两端装饰盖采用</w:t>
      </w:r>
      <w:r>
        <w:rPr>
          <w:rFonts w:hint="eastAsia" w:ascii="微软雅黑" w:hAnsi="微软雅黑" w:eastAsia="微软雅黑" w:cs="微软雅黑"/>
          <w:b w:val="0"/>
          <w:bCs w:val="0"/>
          <w:sz w:val="24"/>
          <w:szCs w:val="24"/>
          <w:rtl w:val="0"/>
          <w:lang w:val="en-US"/>
        </w:rPr>
        <w:t>ABS</w:t>
      </w:r>
      <w:r>
        <w:rPr>
          <w:rFonts w:hint="eastAsia" w:ascii="微软雅黑" w:hAnsi="微软雅黑" w:eastAsia="微软雅黑" w:cs="微软雅黑"/>
          <w:b w:val="0"/>
          <w:bCs w:val="0"/>
          <w:sz w:val="24"/>
          <w:szCs w:val="24"/>
          <w:rtl w:val="0"/>
          <w:lang w:val="zh-TW" w:eastAsia="zh-TW"/>
        </w:rPr>
        <w:t>整体注塑工艺；底座横梁采用强化特性铝合金导轨滑槽，整床升降采用叉式滑轨设计；床框加厚用材，采用</w:t>
      </w:r>
      <w:r>
        <w:rPr>
          <w:rFonts w:hint="eastAsia" w:ascii="微软雅黑" w:hAnsi="微软雅黑" w:eastAsia="微软雅黑" w:cs="微软雅黑"/>
          <w:b w:val="0"/>
          <w:bCs w:val="0"/>
          <w:sz w:val="24"/>
          <w:szCs w:val="24"/>
          <w:rtl w:val="0"/>
          <w:lang w:val="en-US"/>
        </w:rPr>
        <w:t>25×50×1.5mm</w:t>
      </w:r>
      <w:r>
        <w:rPr>
          <w:rFonts w:hint="eastAsia" w:ascii="微软雅黑" w:hAnsi="微软雅黑" w:eastAsia="微软雅黑" w:cs="微软雅黑"/>
          <w:b w:val="0"/>
          <w:bCs w:val="0"/>
          <w:sz w:val="24"/>
          <w:szCs w:val="24"/>
          <w:rtl w:val="0"/>
          <w:lang w:val="zh-TW" w:eastAsia="zh-TW"/>
        </w:rPr>
        <w:t>矩型钢管，床体静态最大载重</w:t>
      </w:r>
      <w:r>
        <w:rPr>
          <w:rFonts w:hint="eastAsia" w:ascii="微软雅黑" w:hAnsi="微软雅黑" w:eastAsia="微软雅黑" w:cs="微软雅黑"/>
          <w:b w:val="0"/>
          <w:bCs w:val="0"/>
          <w:sz w:val="24"/>
          <w:szCs w:val="24"/>
          <w:rtl w:val="0"/>
          <w:lang w:val="en-US"/>
        </w:rPr>
        <w:t>400kg</w:t>
      </w:r>
      <w:r>
        <w:rPr>
          <w:rFonts w:hint="eastAsia" w:ascii="微软雅黑" w:hAnsi="微软雅黑" w:eastAsia="微软雅黑" w:cs="微软雅黑"/>
          <w:b w:val="0"/>
          <w:bCs w:val="0"/>
          <w:sz w:val="24"/>
          <w:szCs w:val="24"/>
          <w:rtl w:val="0"/>
          <w:lang w:val="zh-TW" w:eastAsia="zh-TW"/>
        </w:rPr>
        <w:t>，床体动态最大载重</w:t>
      </w:r>
      <w:r>
        <w:rPr>
          <w:rFonts w:hint="eastAsia" w:ascii="微软雅黑" w:hAnsi="微软雅黑" w:eastAsia="微软雅黑" w:cs="微软雅黑"/>
          <w:b w:val="0"/>
          <w:bCs w:val="0"/>
          <w:sz w:val="24"/>
          <w:szCs w:val="24"/>
          <w:rtl w:val="0"/>
          <w:lang w:val="en-US"/>
        </w:rPr>
        <w:t>205kg</w:t>
      </w:r>
      <w:r>
        <w:rPr>
          <w:rFonts w:hint="eastAsia" w:ascii="微软雅黑" w:hAnsi="微软雅黑" w:eastAsia="微软雅黑" w:cs="微软雅黑"/>
          <w:b w:val="0"/>
          <w:bCs w:val="0"/>
          <w:sz w:val="24"/>
          <w:szCs w:val="24"/>
          <w:rtl w:val="0"/>
          <w:lang w:val="zh-TW" w:eastAsia="zh-TW"/>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2.</w:t>
      </w:r>
      <w:r>
        <w:rPr>
          <w:rFonts w:hint="eastAsia" w:ascii="微软雅黑" w:hAnsi="微软雅黑" w:eastAsia="微软雅黑" w:cs="微软雅黑"/>
          <w:b w:val="0"/>
          <w:bCs w:val="0"/>
          <w:sz w:val="24"/>
          <w:szCs w:val="24"/>
          <w:rtl w:val="0"/>
          <w:lang w:val="zh-TW" w:eastAsia="zh-TW"/>
        </w:rPr>
        <w:t>背部床板背面设有</w:t>
      </w:r>
      <w:r>
        <w:rPr>
          <w:rFonts w:hint="eastAsia" w:ascii="微软雅黑" w:hAnsi="微软雅黑" w:eastAsia="微软雅黑" w:cs="微软雅黑"/>
          <w:b w:val="0"/>
          <w:bCs w:val="0"/>
          <w:sz w:val="24"/>
          <w:szCs w:val="24"/>
          <w:rtl w:val="0"/>
          <w:lang w:val="en-US"/>
        </w:rPr>
        <w:t>X</w:t>
      </w:r>
      <w:r>
        <w:rPr>
          <w:rFonts w:hint="eastAsia" w:ascii="微软雅黑" w:hAnsi="微软雅黑" w:eastAsia="微软雅黑" w:cs="微软雅黑"/>
          <w:b w:val="0"/>
          <w:bCs w:val="0"/>
          <w:sz w:val="24"/>
          <w:szCs w:val="24"/>
          <w:rtl w:val="0"/>
          <w:lang w:val="zh-TW" w:eastAsia="zh-TW"/>
        </w:rPr>
        <w:t xml:space="preserve">光拍片片盒移动滑槽； </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*3.</w:t>
      </w:r>
      <w:r>
        <w:rPr>
          <w:rFonts w:hint="eastAsia" w:ascii="微软雅黑" w:hAnsi="微软雅黑" w:eastAsia="微软雅黑" w:cs="微软雅黑"/>
          <w:b w:val="0"/>
          <w:bCs w:val="0"/>
          <w:sz w:val="24"/>
          <w:szCs w:val="24"/>
          <w:rtl w:val="0"/>
          <w:lang w:val="zh-TW" w:eastAsia="zh-TW"/>
        </w:rPr>
        <w:t>背部板与臀部板采取凹凸咬合式设计，背板升起减压时可托住床垫、下降时可有效防止对床垫的挤夹：</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 xml:space="preserve">4. </w:t>
      </w:r>
      <w:r>
        <w:rPr>
          <w:rFonts w:hint="eastAsia" w:ascii="微软雅黑" w:hAnsi="微软雅黑" w:eastAsia="微软雅黑" w:cs="微软雅黑"/>
          <w:b w:val="0"/>
          <w:bCs w:val="0"/>
          <w:sz w:val="24"/>
          <w:szCs w:val="24"/>
          <w:rtl w:val="0"/>
          <w:lang w:val="zh-TW" w:eastAsia="zh-TW"/>
        </w:rPr>
        <w:t>背部床板背面设有</w:t>
      </w:r>
      <w:r>
        <w:rPr>
          <w:rFonts w:hint="eastAsia" w:ascii="微软雅黑" w:hAnsi="微软雅黑" w:eastAsia="微软雅黑" w:cs="微软雅黑"/>
          <w:b w:val="0"/>
          <w:bCs w:val="0"/>
          <w:sz w:val="24"/>
          <w:szCs w:val="24"/>
          <w:rtl w:val="0"/>
          <w:lang w:val="en-US"/>
        </w:rPr>
        <w:t>2</w:t>
      </w:r>
      <w:r>
        <w:rPr>
          <w:rFonts w:hint="eastAsia" w:ascii="微软雅黑" w:hAnsi="微软雅黑" w:eastAsia="微软雅黑" w:cs="微软雅黑"/>
          <w:b w:val="0"/>
          <w:bCs w:val="0"/>
          <w:sz w:val="24"/>
          <w:szCs w:val="24"/>
          <w:rtl w:val="0"/>
          <w:lang w:val="zh-TW" w:eastAsia="zh-TW"/>
        </w:rPr>
        <w:t>支手动</w:t>
      </w:r>
      <w:r>
        <w:rPr>
          <w:rFonts w:hint="eastAsia" w:ascii="微软雅黑" w:hAnsi="微软雅黑" w:eastAsia="微软雅黑" w:cs="微软雅黑"/>
          <w:b w:val="0"/>
          <w:bCs w:val="0"/>
          <w:sz w:val="24"/>
          <w:szCs w:val="24"/>
          <w:rtl w:val="0"/>
          <w:lang w:val="en-US"/>
        </w:rPr>
        <w:t>CPR</w:t>
      </w:r>
      <w:r>
        <w:rPr>
          <w:rFonts w:hint="eastAsia" w:ascii="微软雅黑" w:hAnsi="微软雅黑" w:eastAsia="微软雅黑" w:cs="微软雅黑"/>
          <w:b w:val="0"/>
          <w:bCs w:val="0"/>
          <w:sz w:val="24"/>
          <w:szCs w:val="24"/>
          <w:rtl w:val="0"/>
          <w:lang w:val="zh-TW" w:eastAsia="zh-TW"/>
        </w:rPr>
        <w:t>抗冲击阻尼器，防止床板快速下降对患者造成惊吓和伤害。</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zh-TW" w:eastAsia="zh-TW"/>
        </w:rPr>
        <w:t>四</w:t>
      </w:r>
      <w:r>
        <w:rPr>
          <w:rFonts w:hint="eastAsia" w:ascii="微软雅黑" w:hAnsi="微软雅黑" w:eastAsia="微软雅黑" w:cs="微软雅黑"/>
          <w:b w:val="0"/>
          <w:bCs w:val="0"/>
          <w:sz w:val="24"/>
          <w:szCs w:val="24"/>
          <w:rtl w:val="0"/>
          <w:lang w:val="en-US" w:eastAsia="zh-CN"/>
        </w:rPr>
        <w:t>、</w:t>
      </w:r>
      <w:r>
        <w:rPr>
          <w:rFonts w:hint="eastAsia" w:ascii="微软雅黑" w:hAnsi="微软雅黑" w:eastAsia="微软雅黑" w:cs="微软雅黑"/>
          <w:b w:val="0"/>
          <w:bCs w:val="0"/>
          <w:sz w:val="24"/>
          <w:szCs w:val="24"/>
          <w:rtl w:val="0"/>
          <w:lang w:val="en-US"/>
        </w:rPr>
        <w:t xml:space="preserve"> </w:t>
      </w:r>
      <w:r>
        <w:rPr>
          <w:rFonts w:hint="eastAsia" w:ascii="微软雅黑" w:hAnsi="微软雅黑" w:eastAsia="微软雅黑" w:cs="微软雅黑"/>
          <w:b w:val="0"/>
          <w:bCs w:val="0"/>
          <w:sz w:val="24"/>
          <w:szCs w:val="24"/>
          <w:rtl w:val="0"/>
          <w:lang w:val="zh-TW" w:eastAsia="zh-TW"/>
        </w:rPr>
        <w:t>部件</w:t>
      </w:r>
      <w:r>
        <w:rPr>
          <w:rFonts w:hint="eastAsia" w:ascii="微软雅黑" w:hAnsi="微软雅黑" w:eastAsia="微软雅黑" w:cs="微软雅黑"/>
          <w:b w:val="0"/>
          <w:bCs w:val="0"/>
          <w:sz w:val="24"/>
          <w:szCs w:val="24"/>
          <w:rtl w:val="0"/>
          <w:lang w:val="en-US"/>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*1</w:t>
      </w:r>
      <w:r>
        <w:rPr>
          <w:rFonts w:hint="eastAsia" w:ascii="微软雅黑" w:hAnsi="微软雅黑" w:eastAsia="微软雅黑" w:cs="微软雅黑"/>
          <w:b w:val="0"/>
          <w:bCs w:val="0"/>
          <w:sz w:val="24"/>
          <w:szCs w:val="24"/>
          <w:rtl w:val="0"/>
          <w:lang w:val="zh-TW" w:eastAsia="zh-TW"/>
        </w:rPr>
        <w:t>、电机采用国际知名品牌电机系统，推力</w:t>
      </w:r>
      <w:r>
        <w:rPr>
          <w:rFonts w:hint="eastAsia" w:ascii="微软雅黑" w:hAnsi="微软雅黑" w:eastAsia="微软雅黑" w:cs="微软雅黑"/>
          <w:b w:val="0"/>
          <w:bCs w:val="0"/>
          <w:sz w:val="24"/>
          <w:szCs w:val="24"/>
          <w:rtl w:val="0"/>
          <w:lang w:val="en-US"/>
        </w:rPr>
        <w:t>≥6000N</w:t>
      </w:r>
      <w:r>
        <w:rPr>
          <w:rFonts w:hint="eastAsia" w:ascii="微软雅黑" w:hAnsi="微软雅黑" w:eastAsia="微软雅黑" w:cs="微软雅黑"/>
          <w:b w:val="0"/>
          <w:bCs w:val="0"/>
          <w:sz w:val="24"/>
          <w:szCs w:val="24"/>
          <w:rtl w:val="0"/>
          <w:lang w:val="zh-TW" w:eastAsia="zh-TW"/>
        </w:rPr>
        <w:t>，带自锁螺母，具有电磁兼容性</w:t>
      </w:r>
      <w:r>
        <w:rPr>
          <w:rFonts w:hint="eastAsia" w:ascii="微软雅黑" w:hAnsi="微软雅黑" w:eastAsia="微软雅黑" w:cs="微软雅黑"/>
          <w:b w:val="0"/>
          <w:bCs w:val="0"/>
          <w:sz w:val="24"/>
          <w:szCs w:val="24"/>
          <w:rtl w:val="0"/>
          <w:lang w:val="en-US"/>
        </w:rPr>
        <w:t>(EMC)</w:t>
      </w:r>
      <w:r>
        <w:rPr>
          <w:rFonts w:hint="eastAsia" w:ascii="微软雅黑" w:hAnsi="微软雅黑" w:eastAsia="微软雅黑" w:cs="微软雅黑"/>
          <w:b w:val="0"/>
          <w:bCs w:val="0"/>
          <w:sz w:val="24"/>
          <w:szCs w:val="24"/>
          <w:rtl w:val="0"/>
          <w:lang w:val="zh-TW" w:eastAsia="zh-TW"/>
        </w:rPr>
        <w:t>及自动断电、过载保护功能，噪音</w:t>
      </w:r>
      <w:r>
        <w:rPr>
          <w:rFonts w:hint="eastAsia" w:ascii="微软雅黑" w:hAnsi="微软雅黑" w:eastAsia="微软雅黑" w:cs="微软雅黑"/>
          <w:b w:val="0"/>
          <w:bCs w:val="0"/>
          <w:sz w:val="24"/>
          <w:szCs w:val="24"/>
          <w:rtl w:val="0"/>
          <w:lang w:val="en-US"/>
        </w:rPr>
        <w:t>≤ 50db</w:t>
      </w:r>
      <w:r>
        <w:rPr>
          <w:rFonts w:hint="eastAsia" w:ascii="微软雅黑" w:hAnsi="微软雅黑" w:eastAsia="微软雅黑" w:cs="微软雅黑"/>
          <w:b w:val="0"/>
          <w:bCs w:val="0"/>
          <w:sz w:val="24"/>
          <w:szCs w:val="24"/>
          <w:rtl w:val="0"/>
          <w:lang w:val="zh-TW" w:eastAsia="zh-TW"/>
        </w:rPr>
        <w:t>，耐用寿命长；背部床板升降电机设有快放功能，方便</w:t>
      </w:r>
      <w:r>
        <w:rPr>
          <w:rFonts w:hint="eastAsia" w:ascii="微软雅黑" w:hAnsi="微软雅黑" w:eastAsia="微软雅黑" w:cs="微软雅黑"/>
          <w:b w:val="0"/>
          <w:bCs w:val="0"/>
          <w:sz w:val="24"/>
          <w:szCs w:val="24"/>
          <w:rtl w:val="0"/>
          <w:lang w:val="en-US"/>
        </w:rPr>
        <w:t>CPR</w:t>
      </w:r>
      <w:r>
        <w:rPr>
          <w:rFonts w:hint="eastAsia" w:ascii="微软雅黑" w:hAnsi="微软雅黑" w:eastAsia="微软雅黑" w:cs="微软雅黑"/>
          <w:b w:val="0"/>
          <w:bCs w:val="0"/>
          <w:sz w:val="24"/>
          <w:szCs w:val="24"/>
          <w:rtl w:val="0"/>
          <w:lang w:val="zh-TW" w:eastAsia="zh-TW"/>
        </w:rPr>
        <w:t>功能操作；控制电箱与电机采用同一品牌；</w:t>
      </w:r>
      <w:r>
        <w:rPr>
          <w:rFonts w:hint="eastAsia" w:ascii="微软雅黑" w:hAnsi="微软雅黑" w:eastAsia="微软雅黑" w:cs="微软雅黑"/>
          <w:b w:val="0"/>
          <w:bCs w:val="0"/>
          <w:sz w:val="24"/>
          <w:szCs w:val="24"/>
          <w:rtl w:val="0"/>
          <w:lang w:val="en-US"/>
        </w:rPr>
        <w:t xml:space="preserve"> </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*2</w:t>
      </w:r>
      <w:r>
        <w:rPr>
          <w:rFonts w:hint="eastAsia" w:ascii="微软雅黑" w:hAnsi="微软雅黑" w:eastAsia="微软雅黑" w:cs="微软雅黑"/>
          <w:b w:val="0"/>
          <w:bCs w:val="0"/>
          <w:sz w:val="24"/>
          <w:szCs w:val="24"/>
          <w:rtl w:val="0"/>
          <w:lang w:val="zh-TW" w:eastAsia="zh-TW"/>
        </w:rPr>
        <w:t>、手持液晶护士总控制器：与电机采用统一品牌，具备各模块锁定功能，可实时显示整床高度及整床床体前后左右倾斜角度、背板和腿板升起角度等各项数据，设有全床一键式锁定功能；</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3</w:t>
      </w:r>
      <w:r>
        <w:rPr>
          <w:rFonts w:hint="eastAsia" w:ascii="微软雅黑" w:hAnsi="微软雅黑" w:eastAsia="微软雅黑" w:cs="微软雅黑"/>
          <w:b w:val="0"/>
          <w:bCs w:val="0"/>
          <w:sz w:val="24"/>
          <w:szCs w:val="24"/>
          <w:rtl w:val="0"/>
          <w:lang w:val="zh-TW" w:eastAsia="zh-TW"/>
        </w:rPr>
        <w:t>、侧护栏控制器：头部护栏内外两侧均设置背部、腿部、整床升降体位控制器，并可由液晶总控器关闭操作权限，避免误操作；</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4.</w:t>
      </w:r>
      <w:r>
        <w:rPr>
          <w:rFonts w:hint="eastAsia" w:ascii="微软雅黑" w:hAnsi="微软雅黑" w:eastAsia="微软雅黑" w:cs="微软雅黑"/>
          <w:b w:val="0"/>
          <w:bCs w:val="0"/>
          <w:sz w:val="24"/>
          <w:szCs w:val="24"/>
          <w:rtl w:val="0"/>
          <w:lang w:val="zh-TW" w:eastAsia="zh-TW"/>
        </w:rPr>
        <w:t>流线型豪华床头尾板（高低搭配），采用全新纯正</w:t>
      </w:r>
      <w:r>
        <w:rPr>
          <w:rFonts w:hint="eastAsia" w:ascii="微软雅黑" w:hAnsi="微软雅黑" w:eastAsia="微软雅黑" w:cs="微软雅黑"/>
          <w:b w:val="0"/>
          <w:bCs w:val="0"/>
          <w:sz w:val="24"/>
          <w:szCs w:val="24"/>
          <w:rtl w:val="0"/>
          <w:lang w:val="en-US"/>
        </w:rPr>
        <w:t>PE</w:t>
      </w:r>
      <w:r>
        <w:rPr>
          <w:rFonts w:hint="eastAsia" w:ascii="微软雅黑" w:hAnsi="微软雅黑" w:eastAsia="微软雅黑" w:cs="微软雅黑"/>
          <w:b w:val="0"/>
          <w:bCs w:val="0"/>
          <w:sz w:val="24"/>
          <w:szCs w:val="24"/>
          <w:rtl w:val="0"/>
          <w:lang w:val="zh-TW" w:eastAsia="zh-TW"/>
        </w:rPr>
        <w:t>原材料整体一次吹塑成型，易清洁；暗藏锁定开关，拆卸方便；</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5</w:t>
      </w:r>
      <w:r>
        <w:rPr>
          <w:rFonts w:hint="eastAsia" w:ascii="微软雅黑" w:hAnsi="微软雅黑" w:eastAsia="微软雅黑" w:cs="微软雅黑"/>
          <w:b w:val="0"/>
          <w:bCs w:val="0"/>
          <w:sz w:val="24"/>
          <w:szCs w:val="24"/>
          <w:rtl w:val="0"/>
          <w:lang w:val="zh-TW" w:eastAsia="zh-TW"/>
        </w:rPr>
        <w:t>、全包围美式四护栏，采用</w:t>
      </w:r>
      <w:r>
        <w:rPr>
          <w:rFonts w:hint="eastAsia" w:ascii="微软雅黑" w:hAnsi="微软雅黑" w:eastAsia="微软雅黑" w:cs="微软雅黑"/>
          <w:b w:val="0"/>
          <w:bCs w:val="0"/>
          <w:sz w:val="24"/>
          <w:szCs w:val="24"/>
          <w:rtl w:val="0"/>
          <w:lang w:val="en-US"/>
        </w:rPr>
        <w:t>PE</w:t>
      </w:r>
      <w:r>
        <w:rPr>
          <w:rFonts w:hint="eastAsia" w:ascii="微软雅黑" w:hAnsi="微软雅黑" w:eastAsia="微软雅黑" w:cs="微软雅黑"/>
          <w:b w:val="0"/>
          <w:bCs w:val="0"/>
          <w:sz w:val="24"/>
          <w:szCs w:val="24"/>
          <w:rtl w:val="0"/>
          <w:lang w:val="zh-TW" w:eastAsia="zh-TW"/>
        </w:rPr>
        <w:t>原材料整体一次吹塑成型，加强型压铸铝支撑座，护栏与护栏、护栏与床头尾板平放时间距</w:t>
      </w:r>
      <w:r>
        <w:rPr>
          <w:rFonts w:hint="eastAsia" w:ascii="微软雅黑" w:hAnsi="微软雅黑" w:eastAsia="微软雅黑" w:cs="微软雅黑"/>
          <w:b w:val="0"/>
          <w:bCs w:val="0"/>
          <w:sz w:val="24"/>
          <w:szCs w:val="24"/>
          <w:rtl w:val="0"/>
          <w:lang w:val="en-US"/>
        </w:rPr>
        <w:t>≤6cm,</w:t>
      </w:r>
      <w:r>
        <w:rPr>
          <w:rFonts w:hint="eastAsia" w:ascii="微软雅黑" w:hAnsi="微软雅黑" w:eastAsia="微软雅黑" w:cs="微软雅黑"/>
          <w:b w:val="0"/>
          <w:bCs w:val="0"/>
          <w:sz w:val="24"/>
          <w:szCs w:val="24"/>
          <w:rtl w:val="0"/>
          <w:lang w:val="zh-TW" w:eastAsia="zh-TW"/>
        </w:rPr>
        <w:t>背部护栏与床板保持同步升降且始终与腿部护栏保持间距</w:t>
      </w:r>
      <w:r>
        <w:rPr>
          <w:rFonts w:hint="eastAsia" w:ascii="微软雅黑" w:hAnsi="微软雅黑" w:eastAsia="微软雅黑" w:cs="微软雅黑"/>
          <w:b w:val="0"/>
          <w:bCs w:val="0"/>
          <w:sz w:val="24"/>
          <w:szCs w:val="24"/>
          <w:rtl w:val="0"/>
          <w:lang w:val="en-US"/>
        </w:rPr>
        <w:t>≤6cm</w:t>
      </w:r>
      <w:r>
        <w:rPr>
          <w:rFonts w:hint="eastAsia" w:ascii="微软雅黑" w:hAnsi="微软雅黑" w:eastAsia="微软雅黑" w:cs="微软雅黑"/>
          <w:b w:val="0"/>
          <w:bCs w:val="0"/>
          <w:sz w:val="24"/>
          <w:szCs w:val="24"/>
          <w:rtl w:val="0"/>
          <w:lang w:val="zh-TW" w:eastAsia="zh-TW"/>
        </w:rPr>
        <w:t>，护栏在床垫没有被压缩情况下净高</w:t>
      </w:r>
      <w:r>
        <w:rPr>
          <w:rFonts w:hint="eastAsia" w:ascii="微软雅黑" w:hAnsi="微软雅黑" w:eastAsia="微软雅黑" w:cs="微软雅黑"/>
          <w:b w:val="0"/>
          <w:bCs w:val="0"/>
          <w:sz w:val="24"/>
          <w:szCs w:val="24"/>
          <w:rtl w:val="0"/>
          <w:lang w:val="en-US"/>
        </w:rPr>
        <w:t>≥220mm,</w:t>
      </w:r>
      <w:r>
        <w:rPr>
          <w:rFonts w:hint="eastAsia" w:ascii="微软雅黑" w:hAnsi="微软雅黑" w:eastAsia="微软雅黑" w:cs="微软雅黑"/>
          <w:b w:val="0"/>
          <w:bCs w:val="0"/>
          <w:sz w:val="24"/>
          <w:szCs w:val="24"/>
          <w:rtl w:val="0"/>
          <w:lang w:val="zh-TW" w:eastAsia="zh-TW"/>
        </w:rPr>
        <w:t>符合欧盟最新安全标准；气弹簧辅助缓释缓放，提拉助力；护栏配有四个嵌入式角度显示器，实时显示背部床板、整床前后倾斜角度；</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6</w:t>
      </w:r>
      <w:r>
        <w:rPr>
          <w:rFonts w:hint="eastAsia" w:ascii="微软雅黑" w:hAnsi="微软雅黑" w:eastAsia="微软雅黑" w:cs="微软雅黑"/>
          <w:b w:val="0"/>
          <w:bCs w:val="0"/>
          <w:sz w:val="24"/>
          <w:szCs w:val="24"/>
          <w:rtl w:val="0"/>
          <w:lang w:val="zh-TW" w:eastAsia="zh-TW"/>
        </w:rPr>
        <w:t>、</w:t>
      </w:r>
      <w:r>
        <w:rPr>
          <w:rFonts w:hint="eastAsia" w:ascii="微软雅黑" w:hAnsi="微软雅黑" w:eastAsia="微软雅黑" w:cs="微软雅黑"/>
          <w:b w:val="0"/>
          <w:bCs w:val="0"/>
          <w:sz w:val="24"/>
          <w:szCs w:val="24"/>
          <w:rtl w:val="0"/>
          <w:lang w:val="en-US"/>
        </w:rPr>
        <w:t>5</w:t>
      </w:r>
      <w:r>
        <w:rPr>
          <w:rFonts w:hint="eastAsia" w:ascii="微软雅黑" w:hAnsi="微软雅黑" w:eastAsia="微软雅黑" w:cs="微软雅黑"/>
          <w:b w:val="0"/>
          <w:bCs w:val="0"/>
          <w:sz w:val="24"/>
          <w:szCs w:val="24"/>
          <w:rtl w:val="0"/>
          <w:lang w:val="zh-TW" w:eastAsia="zh-TW"/>
        </w:rPr>
        <w:t>寸双面豪华中控脚轮，左右一字刹车脚踏各一个，制动解锁标识清楚，刹车稳固，解锁推动轻松灵活，轮面静音耐磨；</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color w:val="FF0000"/>
          <w:sz w:val="24"/>
          <w:szCs w:val="24"/>
        </w:rPr>
      </w:pPr>
      <w:r>
        <w:rPr>
          <w:rFonts w:hint="eastAsia" w:ascii="微软雅黑" w:hAnsi="微软雅黑" w:eastAsia="微软雅黑" w:cs="微软雅黑"/>
          <w:b w:val="0"/>
          <w:bCs w:val="0"/>
          <w:sz w:val="24"/>
          <w:szCs w:val="24"/>
          <w:rtl w:val="0"/>
          <w:lang w:val="en-US"/>
        </w:rPr>
        <w:t>7</w:t>
      </w:r>
      <w:r>
        <w:rPr>
          <w:rFonts w:hint="eastAsia" w:ascii="微软雅黑" w:hAnsi="微软雅黑" w:eastAsia="微软雅黑" w:cs="微软雅黑"/>
          <w:b w:val="0"/>
          <w:bCs w:val="0"/>
          <w:sz w:val="24"/>
          <w:szCs w:val="24"/>
          <w:rtl w:val="0"/>
          <w:lang w:val="zh-TW" w:eastAsia="zh-TW"/>
        </w:rPr>
        <w:t>、背部、臀部床面板采用高分子树脂材料，厚度</w:t>
      </w:r>
      <w:r>
        <w:rPr>
          <w:rFonts w:hint="eastAsia" w:ascii="微软雅黑" w:hAnsi="微软雅黑" w:eastAsia="微软雅黑" w:cs="微软雅黑"/>
          <w:b w:val="0"/>
          <w:bCs w:val="0"/>
          <w:sz w:val="24"/>
          <w:szCs w:val="24"/>
          <w:rtl w:val="0"/>
          <w:lang w:val="en-US"/>
        </w:rPr>
        <w:t>10mm ,</w:t>
      </w:r>
      <w:r>
        <w:rPr>
          <w:rFonts w:hint="eastAsia" w:ascii="微软雅黑" w:hAnsi="微软雅黑" w:eastAsia="微软雅黑" w:cs="微软雅黑"/>
          <w:b w:val="0"/>
          <w:bCs w:val="0"/>
          <w:sz w:val="24"/>
          <w:szCs w:val="24"/>
          <w:rtl w:val="0"/>
          <w:lang w:val="zh-TW" w:eastAsia="zh-TW"/>
        </w:rPr>
        <w:t>冲孔式设计，带透气孔；其余床面板采用</w:t>
      </w:r>
      <w:r>
        <w:rPr>
          <w:rFonts w:hint="eastAsia" w:ascii="微软雅黑" w:hAnsi="微软雅黑" w:eastAsia="微软雅黑" w:cs="微软雅黑"/>
          <w:b w:val="0"/>
          <w:bCs w:val="0"/>
          <w:sz w:val="24"/>
          <w:szCs w:val="24"/>
          <w:rtl w:val="0"/>
          <w:lang w:val="en-US"/>
        </w:rPr>
        <w:t>1.2mm</w:t>
      </w:r>
      <w:r>
        <w:rPr>
          <w:rFonts w:hint="eastAsia" w:ascii="微软雅黑" w:hAnsi="微软雅黑" w:eastAsia="微软雅黑" w:cs="微软雅黑"/>
          <w:b w:val="0"/>
          <w:bCs w:val="0"/>
          <w:sz w:val="24"/>
          <w:szCs w:val="24"/>
          <w:rtl w:val="0"/>
          <w:lang w:val="zh-TW" w:eastAsia="zh-TW"/>
        </w:rPr>
        <w:t>冷扎钢板，整体模压成型，四角平滑完整，带模压凹槽和透气孔，抗压力强；</w:t>
      </w:r>
      <w:r>
        <w:rPr>
          <w:rFonts w:hint="eastAsia" w:ascii="微软雅黑" w:hAnsi="微软雅黑" w:eastAsia="微软雅黑" w:cs="微软雅黑"/>
          <w:b w:val="0"/>
          <w:bCs w:val="0"/>
          <w:color w:val="FF0000"/>
          <w:sz w:val="24"/>
          <w:szCs w:val="24"/>
          <w:rtl w:val="0"/>
          <w:lang w:val="en-US"/>
        </w:rPr>
        <w:t xml:space="preserve"> </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zh-TW" w:eastAsia="zh-TW"/>
        </w:rPr>
        <w:t>五</w:t>
      </w:r>
      <w:r>
        <w:rPr>
          <w:rFonts w:hint="eastAsia" w:ascii="微软雅黑" w:hAnsi="微软雅黑" w:eastAsia="微软雅黑" w:cs="微软雅黑"/>
          <w:b w:val="0"/>
          <w:bCs w:val="0"/>
          <w:sz w:val="24"/>
          <w:szCs w:val="24"/>
          <w:rtl w:val="0"/>
          <w:lang w:val="en-US" w:eastAsia="zh-CN"/>
        </w:rPr>
        <w:t>、</w:t>
      </w:r>
      <w:r>
        <w:rPr>
          <w:rFonts w:hint="eastAsia" w:ascii="微软雅黑" w:hAnsi="微软雅黑" w:eastAsia="微软雅黑" w:cs="微软雅黑"/>
          <w:b w:val="0"/>
          <w:bCs w:val="0"/>
          <w:sz w:val="24"/>
          <w:szCs w:val="24"/>
          <w:rtl w:val="0"/>
          <w:lang w:val="zh-TW" w:eastAsia="zh-TW"/>
        </w:rPr>
        <w:t>工艺</w:t>
      </w:r>
      <w:r>
        <w:rPr>
          <w:rFonts w:hint="eastAsia" w:ascii="微软雅黑" w:hAnsi="微软雅黑" w:eastAsia="微软雅黑" w:cs="微软雅黑"/>
          <w:b w:val="0"/>
          <w:bCs w:val="0"/>
          <w:sz w:val="24"/>
          <w:szCs w:val="24"/>
          <w:rtl w:val="0"/>
          <w:lang w:val="en-US"/>
        </w:rPr>
        <w:t>:</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 xml:space="preserve">1. </w:t>
      </w:r>
      <w:r>
        <w:rPr>
          <w:rFonts w:hint="eastAsia" w:ascii="微软雅黑" w:hAnsi="微软雅黑" w:eastAsia="微软雅黑" w:cs="微软雅黑"/>
          <w:b w:val="0"/>
          <w:bCs w:val="0"/>
          <w:sz w:val="24"/>
          <w:szCs w:val="24"/>
          <w:rtl w:val="0"/>
          <w:lang w:val="zh-TW" w:eastAsia="zh-TW"/>
        </w:rPr>
        <w:t>整床金属部件采用全部采用焊接机器人施以高精度焊接工艺，确保病床安全可靠，牢固结实；</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en-US"/>
        </w:rPr>
        <w:t>2.</w:t>
      </w:r>
      <w:r>
        <w:rPr>
          <w:rFonts w:hint="eastAsia" w:ascii="微软雅黑" w:hAnsi="微软雅黑" w:eastAsia="微软雅黑" w:cs="微软雅黑"/>
          <w:b w:val="0"/>
          <w:bCs w:val="0"/>
          <w:sz w:val="24"/>
          <w:szCs w:val="24"/>
          <w:rtl w:val="0"/>
          <w:lang w:val="zh-TW" w:eastAsia="zh-TW"/>
        </w:rPr>
        <w:t>金属表面处理采用双重涂层技术：环氧树脂保护膜＋树脂粉末涂层；</w:t>
      </w:r>
      <w:r>
        <w:rPr>
          <w:rFonts w:hint="eastAsia" w:ascii="微软雅黑" w:hAnsi="微软雅黑" w:eastAsia="微软雅黑" w:cs="微软雅黑"/>
          <w:b w:val="0"/>
          <w:bCs w:val="0"/>
          <w:sz w:val="24"/>
          <w:szCs w:val="24"/>
          <w:rtl w:val="0"/>
          <w:lang w:val="en-US"/>
        </w:rPr>
        <w:t xml:space="preserve"> </w:t>
      </w:r>
    </w:p>
    <w:p>
      <w:pPr>
        <w:keepNext w:val="0"/>
        <w:keepLines w:val="0"/>
        <w:pageBreakBefore w:val="0"/>
        <w:widowControl w:val="0"/>
        <w:kinsoku/>
        <w:wordWrap/>
        <w:overflowPunct/>
        <w:topLinePunct w:val="0"/>
        <w:autoSpaceDE/>
        <w:autoSpaceDN/>
        <w:bidi w:val="0"/>
        <w:adjustRightInd/>
        <w:spacing w:line="600" w:lineRule="atLeas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tl w:val="0"/>
          <w:lang w:val="zh-TW" w:eastAsia="zh-TW"/>
        </w:rPr>
        <w:t>六</w:t>
      </w:r>
      <w:r>
        <w:rPr>
          <w:rFonts w:hint="eastAsia" w:ascii="微软雅黑" w:hAnsi="微软雅黑" w:eastAsia="微软雅黑" w:cs="微软雅黑"/>
          <w:b w:val="0"/>
          <w:bCs w:val="0"/>
          <w:sz w:val="24"/>
          <w:szCs w:val="24"/>
          <w:rtl w:val="0"/>
          <w:lang w:val="en-US" w:eastAsia="zh-CN"/>
        </w:rPr>
        <w:t>、</w:t>
      </w:r>
      <w:r>
        <w:rPr>
          <w:rFonts w:hint="eastAsia" w:ascii="微软雅黑" w:hAnsi="微软雅黑" w:eastAsia="微软雅黑" w:cs="微软雅黑"/>
          <w:b w:val="0"/>
          <w:bCs w:val="0"/>
          <w:sz w:val="24"/>
          <w:szCs w:val="24"/>
          <w:rtl w:val="0"/>
          <w:lang w:val="en-US"/>
        </w:rPr>
        <w:t xml:space="preserve"> </w:t>
      </w:r>
      <w:r>
        <w:rPr>
          <w:rFonts w:hint="eastAsia" w:ascii="微软雅黑" w:hAnsi="微软雅黑" w:eastAsia="微软雅黑" w:cs="微软雅黑"/>
          <w:b w:val="0"/>
          <w:bCs w:val="0"/>
          <w:sz w:val="24"/>
          <w:szCs w:val="24"/>
          <w:rtl w:val="0"/>
          <w:lang w:val="zh-TW" w:eastAsia="zh-TW"/>
        </w:rPr>
        <w:t>配置</w:t>
      </w:r>
      <w:r>
        <w:rPr>
          <w:rFonts w:hint="eastAsia" w:ascii="微软雅黑" w:hAnsi="微软雅黑" w:eastAsia="微软雅黑" w:cs="微软雅黑"/>
          <w:b w:val="0"/>
          <w:bCs w:val="0"/>
          <w:sz w:val="24"/>
          <w:szCs w:val="24"/>
          <w:rtl w:val="0"/>
          <w:lang w:val="en-US"/>
        </w:rPr>
        <w:t>:</w:t>
      </w:r>
    </w:p>
    <w:p>
      <w:pPr>
        <w:keepNext w:val="0"/>
        <w:keepLines w:val="0"/>
        <w:pageBreakBefore w:val="0"/>
        <w:widowControl w:val="0"/>
        <w:numPr>
          <w:ilvl w:val="0"/>
          <w:numId w:val="9"/>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TW" w:eastAsia="zh-TW"/>
        </w:rPr>
      </w:pPr>
      <w:r>
        <w:rPr>
          <w:rFonts w:hint="eastAsia" w:ascii="微软雅黑" w:hAnsi="微软雅黑" w:eastAsia="微软雅黑" w:cs="微软雅黑"/>
          <w:b w:val="0"/>
          <w:bCs w:val="0"/>
          <w:sz w:val="24"/>
          <w:szCs w:val="24"/>
          <w:rtl w:val="0"/>
          <w:lang w:val="zh-TW" w:eastAsia="zh-TW"/>
        </w:rPr>
        <w:t>床体四角配</w:t>
      </w:r>
      <w:r>
        <w:rPr>
          <w:rFonts w:hint="eastAsia" w:ascii="微软雅黑" w:hAnsi="微软雅黑" w:eastAsia="微软雅黑" w:cs="微软雅黑"/>
          <w:b w:val="0"/>
          <w:bCs w:val="0"/>
          <w:sz w:val="24"/>
          <w:szCs w:val="24"/>
          <w:rtl w:val="0"/>
          <w:lang w:val="en-US"/>
        </w:rPr>
        <w:t>≥85mm</w:t>
      </w:r>
      <w:r>
        <w:rPr>
          <w:rFonts w:hint="eastAsia" w:ascii="微软雅黑" w:hAnsi="微软雅黑" w:eastAsia="微软雅黑" w:cs="微软雅黑"/>
          <w:b w:val="0"/>
          <w:bCs w:val="0"/>
          <w:sz w:val="24"/>
          <w:szCs w:val="24"/>
          <w:rtl w:val="0"/>
          <w:lang w:val="zh-TW" w:eastAsia="zh-TW"/>
        </w:rPr>
        <w:t>彩色防撞轮，；</w:t>
      </w:r>
    </w:p>
    <w:p>
      <w:pPr>
        <w:keepNext w:val="0"/>
        <w:keepLines w:val="0"/>
        <w:pageBreakBefore w:val="0"/>
        <w:widowControl w:val="0"/>
        <w:numPr>
          <w:ilvl w:val="0"/>
          <w:numId w:val="9"/>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TW" w:eastAsia="zh-TW"/>
        </w:rPr>
      </w:pPr>
      <w:r>
        <w:rPr>
          <w:rFonts w:hint="eastAsia" w:ascii="微软雅黑" w:hAnsi="微软雅黑" w:eastAsia="微软雅黑" w:cs="微软雅黑"/>
          <w:b w:val="0"/>
          <w:bCs w:val="0"/>
          <w:sz w:val="24"/>
          <w:szCs w:val="24"/>
          <w:rtl w:val="0"/>
          <w:lang w:val="zh-TW" w:eastAsia="zh-TW"/>
        </w:rPr>
        <w:t>床体四角配多功能插座，</w:t>
      </w:r>
      <w:r>
        <w:rPr>
          <w:rFonts w:hint="eastAsia" w:ascii="微软雅黑" w:hAnsi="微软雅黑" w:eastAsia="微软雅黑" w:cs="微软雅黑"/>
          <w:b w:val="0"/>
          <w:bCs w:val="0"/>
          <w:sz w:val="24"/>
          <w:szCs w:val="24"/>
          <w:rtl w:val="0"/>
          <w:lang w:val="en-US"/>
        </w:rPr>
        <w:t>ABS</w:t>
      </w:r>
      <w:r>
        <w:rPr>
          <w:rFonts w:hint="eastAsia" w:ascii="微软雅黑" w:hAnsi="微软雅黑" w:eastAsia="微软雅黑" w:cs="微软雅黑"/>
          <w:b w:val="0"/>
          <w:bCs w:val="0"/>
          <w:sz w:val="24"/>
          <w:szCs w:val="24"/>
          <w:rtl w:val="0"/>
          <w:lang w:val="zh-TW" w:eastAsia="zh-TW"/>
        </w:rPr>
        <w:t>材料一次成型，可插点滴架、氧气瓶挂架、书写台、仪器托盘等；</w:t>
      </w:r>
    </w:p>
    <w:p>
      <w:pPr>
        <w:keepNext w:val="0"/>
        <w:keepLines w:val="0"/>
        <w:pageBreakBefore w:val="0"/>
        <w:widowControl w:val="0"/>
        <w:numPr>
          <w:ilvl w:val="0"/>
          <w:numId w:val="9"/>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TW" w:eastAsia="zh-TW"/>
        </w:rPr>
      </w:pPr>
      <w:r>
        <w:rPr>
          <w:rFonts w:hint="eastAsia" w:ascii="微软雅黑" w:hAnsi="微软雅黑" w:eastAsia="微软雅黑" w:cs="微软雅黑"/>
          <w:b w:val="0"/>
          <w:bCs w:val="0"/>
          <w:sz w:val="24"/>
          <w:szCs w:val="24"/>
          <w:rtl w:val="0"/>
          <w:lang w:val="zh-TW" w:eastAsia="zh-TW"/>
        </w:rPr>
        <w:t>四个可移动引流袋挂钩，兼有点滴架收藏功能；</w:t>
      </w:r>
    </w:p>
    <w:p>
      <w:pPr>
        <w:keepNext w:val="0"/>
        <w:keepLines w:val="0"/>
        <w:pageBreakBefore w:val="0"/>
        <w:widowControl w:val="0"/>
        <w:numPr>
          <w:ilvl w:val="0"/>
          <w:numId w:val="9"/>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TW" w:eastAsia="zh-TW"/>
        </w:rPr>
      </w:pPr>
      <w:r>
        <w:rPr>
          <w:rFonts w:hint="eastAsia" w:ascii="微软雅黑" w:hAnsi="微软雅黑" w:eastAsia="微软雅黑" w:cs="微软雅黑"/>
          <w:b w:val="0"/>
          <w:bCs w:val="0"/>
          <w:sz w:val="24"/>
          <w:szCs w:val="24"/>
          <w:rtl w:val="0"/>
          <w:lang w:val="zh-TW" w:eastAsia="zh-TW"/>
        </w:rPr>
        <w:t>一支不锈钢可伸缩四爪头点滴架；</w:t>
      </w:r>
    </w:p>
    <w:p>
      <w:pPr>
        <w:keepNext w:val="0"/>
        <w:keepLines w:val="0"/>
        <w:pageBreakBefore w:val="0"/>
        <w:widowControl w:val="0"/>
        <w:numPr>
          <w:ilvl w:val="0"/>
          <w:numId w:val="9"/>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TW" w:eastAsia="zh-TW"/>
        </w:rPr>
      </w:pPr>
      <w:r>
        <w:rPr>
          <w:rFonts w:hint="eastAsia" w:ascii="微软雅黑" w:hAnsi="微软雅黑" w:eastAsia="微软雅黑" w:cs="微软雅黑"/>
          <w:b w:val="0"/>
          <w:bCs w:val="0"/>
          <w:sz w:val="24"/>
          <w:szCs w:val="24"/>
          <w:rtl w:val="0"/>
          <w:lang w:val="zh-TW" w:eastAsia="zh-TW"/>
        </w:rPr>
        <w:t>床尾面板置设一个床垫防滑筋；床板左右两侧各设</w:t>
      </w:r>
      <w:r>
        <w:rPr>
          <w:rFonts w:hint="eastAsia" w:ascii="微软雅黑" w:hAnsi="微软雅黑" w:eastAsia="微软雅黑" w:cs="微软雅黑"/>
          <w:b w:val="0"/>
          <w:bCs w:val="0"/>
          <w:sz w:val="24"/>
          <w:szCs w:val="24"/>
          <w:rtl w:val="0"/>
          <w:lang w:val="en-US"/>
        </w:rPr>
        <w:t>5</w:t>
      </w:r>
      <w:r>
        <w:rPr>
          <w:rFonts w:hint="eastAsia" w:ascii="微软雅黑" w:hAnsi="微软雅黑" w:eastAsia="微软雅黑" w:cs="微软雅黑"/>
          <w:b w:val="0"/>
          <w:bCs w:val="0"/>
          <w:sz w:val="24"/>
          <w:szCs w:val="24"/>
          <w:rtl w:val="0"/>
          <w:lang w:val="zh-TW" w:eastAsia="zh-TW"/>
        </w:rPr>
        <w:t>个约束环；</w:t>
      </w:r>
    </w:p>
    <w:p>
      <w:pPr>
        <w:keepNext w:val="0"/>
        <w:keepLines w:val="0"/>
        <w:pageBreakBefore w:val="0"/>
        <w:widowControl w:val="0"/>
        <w:numPr>
          <w:ilvl w:val="0"/>
          <w:numId w:val="9"/>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TW" w:eastAsia="zh-TW"/>
        </w:rPr>
      </w:pPr>
      <w:r>
        <w:rPr>
          <w:rFonts w:hint="eastAsia" w:ascii="微软雅黑" w:hAnsi="微软雅黑" w:eastAsia="微软雅黑" w:cs="微软雅黑"/>
          <w:b w:val="0"/>
          <w:bCs w:val="0"/>
          <w:sz w:val="24"/>
          <w:szCs w:val="24"/>
          <w:rtl w:val="0"/>
          <w:lang w:val="zh-TW" w:eastAsia="zh-TW"/>
        </w:rPr>
        <w:t>床头设两个助力棒插座；</w:t>
      </w:r>
    </w:p>
    <w:p>
      <w:pPr>
        <w:keepNext w:val="0"/>
        <w:keepLines w:val="0"/>
        <w:pageBreakBefore w:val="0"/>
        <w:widowControl w:val="0"/>
        <w:numPr>
          <w:ilvl w:val="0"/>
          <w:numId w:val="9"/>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TW" w:eastAsia="zh-TW"/>
        </w:rPr>
      </w:pPr>
      <w:r>
        <w:rPr>
          <w:rFonts w:hint="eastAsia" w:ascii="微软雅黑" w:hAnsi="微软雅黑" w:eastAsia="微软雅黑" w:cs="微软雅黑"/>
          <w:b w:val="0"/>
          <w:bCs w:val="0"/>
          <w:sz w:val="24"/>
          <w:szCs w:val="24"/>
          <w:rtl w:val="0"/>
          <w:lang w:val="zh-TW" w:eastAsia="zh-TW"/>
        </w:rPr>
        <w:t>床底灯一个，可一键式控制；</w:t>
      </w:r>
    </w:p>
    <w:p>
      <w:pPr>
        <w:keepNext w:val="0"/>
        <w:keepLines w:val="0"/>
        <w:pageBreakBefore w:val="0"/>
        <w:widowControl w:val="0"/>
        <w:numPr>
          <w:ilvl w:val="0"/>
          <w:numId w:val="9"/>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TW" w:eastAsia="zh-TW"/>
        </w:rPr>
      </w:pPr>
      <w:r>
        <w:rPr>
          <w:rFonts w:hint="eastAsia" w:ascii="微软雅黑" w:hAnsi="微软雅黑" w:eastAsia="微软雅黑" w:cs="微软雅黑"/>
          <w:b w:val="0"/>
          <w:bCs w:val="0"/>
          <w:sz w:val="24"/>
          <w:szCs w:val="24"/>
          <w:rtl w:val="0"/>
          <w:lang w:val="zh-TW" w:eastAsia="zh-TW"/>
        </w:rPr>
        <w:t>电线收纳架一个；</w:t>
      </w:r>
    </w:p>
    <w:p>
      <w:pPr>
        <w:keepNext w:val="0"/>
        <w:keepLines w:val="0"/>
        <w:pageBreakBefore w:val="0"/>
        <w:widowControl w:val="0"/>
        <w:numPr>
          <w:ilvl w:val="0"/>
          <w:numId w:val="10"/>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TW" w:eastAsia="zh-TW"/>
        </w:rPr>
      </w:pPr>
      <w:r>
        <w:rPr>
          <w:rFonts w:hint="eastAsia" w:ascii="微软雅黑" w:hAnsi="微软雅黑" w:eastAsia="微软雅黑" w:cs="微软雅黑"/>
          <w:b w:val="0"/>
          <w:bCs w:val="0"/>
          <w:sz w:val="24"/>
          <w:szCs w:val="24"/>
          <w:rtl w:val="0"/>
          <w:lang w:val="zh-TW" w:eastAsia="zh-TW"/>
        </w:rPr>
        <w:t>床头设两个助力棒插座。</w:t>
      </w:r>
    </w:p>
    <w:p>
      <w:pPr>
        <w:keepNext w:val="0"/>
        <w:keepLines w:val="0"/>
        <w:pageBreakBefore w:val="0"/>
        <w:widowControl w:val="0"/>
        <w:numPr>
          <w:ilvl w:val="0"/>
          <w:numId w:val="10"/>
        </w:numPr>
        <w:kinsoku/>
        <w:wordWrap/>
        <w:overflowPunct/>
        <w:topLinePunct w:val="0"/>
        <w:autoSpaceDE/>
        <w:autoSpaceDN/>
        <w:bidi w:val="0"/>
        <w:adjustRightInd/>
        <w:spacing w:line="600" w:lineRule="atLeast"/>
        <w:ind w:right="0" w:firstLine="480" w:firstLineChars="200"/>
        <w:jc w:val="left"/>
        <w:textAlignment w:val="auto"/>
        <w:rPr>
          <w:rFonts w:hint="eastAsia" w:ascii="微软雅黑" w:hAnsi="微软雅黑" w:eastAsia="微软雅黑" w:cs="微软雅黑"/>
          <w:b w:val="0"/>
          <w:bCs w:val="0"/>
          <w:sz w:val="24"/>
          <w:szCs w:val="24"/>
          <w:rtl w:val="0"/>
          <w:lang w:val="zh-CN" w:eastAsia="zh-CN"/>
        </w:rPr>
      </w:pPr>
      <w:r>
        <w:rPr>
          <w:rFonts w:hint="eastAsia" w:ascii="微软雅黑" w:hAnsi="微软雅黑" w:eastAsia="微软雅黑" w:cs="微软雅黑"/>
          <w:b w:val="0"/>
          <w:bCs w:val="0"/>
          <w:sz w:val="24"/>
          <w:szCs w:val="24"/>
          <w:rtl w:val="0"/>
          <w:lang w:val="zh-TW" w:eastAsia="zh-TW"/>
        </w:rPr>
        <w:t>床垫：</w:t>
      </w:r>
      <w:r>
        <w:rPr>
          <w:rFonts w:hint="eastAsia" w:ascii="微软雅黑" w:hAnsi="微软雅黑" w:eastAsia="微软雅黑" w:cs="微软雅黑"/>
          <w:b w:val="0"/>
          <w:bCs w:val="0"/>
          <w:sz w:val="24"/>
          <w:szCs w:val="24"/>
          <w:rtl w:val="0"/>
          <w:lang w:val="en-US"/>
        </w:rPr>
        <w:t>10cm</w:t>
      </w:r>
      <w:r>
        <w:rPr>
          <w:rFonts w:hint="eastAsia" w:ascii="微软雅黑" w:hAnsi="微软雅黑" w:eastAsia="微软雅黑" w:cs="微软雅黑"/>
          <w:b w:val="0"/>
          <w:bCs w:val="0"/>
          <w:sz w:val="24"/>
          <w:szCs w:val="24"/>
          <w:rtl w:val="0"/>
          <w:lang w:val="zh-TW" w:eastAsia="zh-TW"/>
        </w:rPr>
        <w:t>厚，內褥高密度全海绵，外套高防水、防水、透气、耐磨，四周弧形转角设计</w:t>
      </w:r>
      <w:r>
        <w:rPr>
          <w:rFonts w:hint="eastAsia" w:ascii="微软雅黑" w:hAnsi="微软雅黑" w:eastAsia="微软雅黑" w:cs="微软雅黑"/>
          <w:b w:val="0"/>
          <w:bCs w:val="0"/>
          <w:sz w:val="24"/>
          <w:szCs w:val="24"/>
          <w:rtl w:val="0"/>
          <w:lang w:val="zh-CN"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200" w:right="0" w:rightChars="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val="0"/>
          <w:bCs w:val="0"/>
          <w:sz w:val="24"/>
          <w:szCs w:val="24"/>
          <w:rtl w:val="0"/>
          <w:lang w:val="zh-CN" w:eastAsia="zh-CN"/>
        </w:rPr>
        <w:t>七、每套病床含床头柜。</w:t>
      </w:r>
    </w:p>
    <w:p>
      <w:pPr>
        <w:pStyle w:val="7"/>
        <w:pageBreakBefore w:val="0"/>
        <w:numPr>
          <w:ilvl w:val="0"/>
          <w:numId w:val="0"/>
        </w:numPr>
        <w:kinsoku/>
        <w:wordWrap/>
        <w:overflowPunct/>
        <w:topLinePunct w:val="0"/>
        <w:autoSpaceDE/>
        <w:autoSpaceDN/>
        <w:bidi w:val="0"/>
        <w:spacing w:line="600" w:lineRule="atLeast"/>
        <w:ind w:left="630" w:leftChars="0"/>
        <w:jc w:val="center"/>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i w:val="0"/>
          <w:iCs w:val="0"/>
          <w:color w:val="000000"/>
          <w:kern w:val="0"/>
          <w:sz w:val="24"/>
          <w:szCs w:val="24"/>
          <w:highlight w:val="none"/>
          <w:u w:val="none"/>
          <w:lang w:val="en-US" w:eastAsia="zh-CN" w:bidi="ar"/>
        </w:rPr>
        <w:t>8、除颤监护仪</w:t>
      </w:r>
      <w:r>
        <w:rPr>
          <w:rFonts w:hint="eastAsia" w:ascii="微软雅黑" w:hAnsi="微软雅黑" w:eastAsia="微软雅黑" w:cs="微软雅黑"/>
          <w:b/>
          <w:bCs/>
          <w:kern w:val="2"/>
          <w:sz w:val="24"/>
          <w:szCs w:val="24"/>
          <w:highlight w:val="none"/>
          <w:lang w:val="en-US" w:eastAsia="zh-CN" w:bidi="ar-SA"/>
        </w:rPr>
        <w:t>（3台）</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彩色TFT显示屏≥7英寸, 分辨率800×480像素，可显示≥3通道监护参数波形，有高对比度显示界面。</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2.支持中文操作界面。</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3.屏幕显示心电波形扫描时间≥16s。</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4.具备手动除颤、心电监护、呼吸监护、自动体外除颤（AED）功能。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5.除颤采用双相波技术，具备自动阻抗补偿功能。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手动除颤分为同步和非同步两种方式，能量分20档以上，可通过体外电极板进行能量选择，最大能量可达360J。</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7.可配置体内除颤手柄，体内手动除颤能力选择：1/2/3/4/5/6/7/8/9/10/15/20/30/50 J</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8.电极板同时支持成人和小儿，一体化设计，支持快速切换。</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电极板支持能量选择，充电和放电三步操作，满足单人除颤操作。</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10.AED除颤功能提供中文语音和中文提醒功能，对于抢救过程支持自动录音功能，记录时长≥180分钟。</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11.开机时间≤3s，符合临床使用。</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12.除颤充电迅速，充电至200J≤4s。</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lang w:eastAsia="zh-CN"/>
        </w:rPr>
        <w:t>其中一台</w:t>
      </w:r>
      <w:r>
        <w:rPr>
          <w:rFonts w:hint="eastAsia" w:ascii="微软雅黑" w:hAnsi="微软雅黑" w:eastAsia="微软雅黑" w:cs="微软雅黑"/>
          <w:sz w:val="24"/>
          <w:szCs w:val="24"/>
        </w:rPr>
        <w:t>配置体外起搏功能，起搏分为固定和按需两种模式。具备降速起搏功能。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14.支持配置CPR辅助功能，CPR传感器设计符合2015 AHA/ERC指南，提供即时的按压反馈，主机屏幕界面提供按压深度和按压频率实时参数显示。</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15.心电波形速度支持50 mm/s、25 mm/s、12.5 mm/s、6.25 mm/s。</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16.心律失常分析种类≥20种。</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17.可选配监护功能：血氧饱和度、无创血压和呼末CO2监测。</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提供的监护参数适用于成人，小儿和新生儿，并通过国家三类注册、CE认证。</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无创血压收缩压测量范围：25-290mmHg（成人）、25-240mmHg（小儿）、25-140mmHg（新生儿），舒张压测量范围：10-250mmHg（成人）、10-200mmHg（小儿），10-115mmHg（新生儿）。</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支持连接中央站，与科室床旁监护仪共用监护网络。</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21.支持提供IHE HL7协议，满足院前院内急救系统的联网通信。</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22.标配1块外置智能锂电池，可支持200J除颤≥300次。</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具备生理报警和技术报警功能，提供灯光报警，声音报警，报警文字和参数闪烁4种方式。</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发生报警时，报警灯以不同的颜色和闪烁频率提示不同的报警级别。</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25.配置50mm记录纸记录仪，自动打印除颤记录，可延迟打印心电，延迟时间&gt;10s。</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26.支持≥24小时连续ECG波形的存储，数据可导出至电脑查看。</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27.支持≥100名患者档案存储与回顾功能。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28.支持≥1000个事件的存储与回顾功能。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29.支持≥72小时体征趋势数据的存储与回顾功能。</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30.关机状态下设备支持每天定时自动运行自检，支持定期自动大能量自检（不低于200J）。</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31.设备自检后支持对于自检报告进行自动打印或按需打印。</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32.具备良好的防尘防水性能，防尘防水级别IP44。</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33.具备优异的抗跌落性能，满足救护车标准EN1789 中6.3.4.3 关于跌落试验的要求，裸机可承受6面0.75m跌落冲击。</w:t>
      </w:r>
    </w:p>
    <w:p>
      <w:pPr>
        <w:pageBreakBefore w:val="0"/>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34.工作环境，温度范围：0°C-45°C，湿度范围：15%-95%，大气压范围：57.0 kPa ～ 106.2 kPa。</w:t>
      </w:r>
    </w:p>
    <w:p>
      <w:pPr>
        <w:pStyle w:val="7"/>
        <w:pageBreakBefore w:val="0"/>
        <w:numPr>
          <w:ilvl w:val="0"/>
          <w:numId w:val="0"/>
        </w:numPr>
        <w:kinsoku/>
        <w:wordWrap/>
        <w:overflowPunct/>
        <w:topLinePunct w:val="0"/>
        <w:autoSpaceDE/>
        <w:autoSpaceDN/>
        <w:bidi w:val="0"/>
        <w:spacing w:line="600" w:lineRule="atLeast"/>
        <w:ind w:left="630" w:leftChars="0"/>
        <w:jc w:val="center"/>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i w:val="0"/>
          <w:iCs w:val="0"/>
          <w:color w:val="000000"/>
          <w:kern w:val="0"/>
          <w:sz w:val="24"/>
          <w:szCs w:val="24"/>
          <w:highlight w:val="none"/>
          <w:u w:val="none"/>
          <w:lang w:val="en-US" w:eastAsia="zh-CN" w:bidi="ar"/>
        </w:rPr>
        <w:t>9、起搏器分析仪及手术电缆</w:t>
      </w:r>
      <w:r>
        <w:rPr>
          <w:rFonts w:hint="eastAsia" w:ascii="微软雅黑" w:hAnsi="微软雅黑" w:eastAsia="微软雅黑" w:cs="微软雅黑"/>
          <w:b/>
          <w:bCs/>
          <w:kern w:val="2"/>
          <w:sz w:val="24"/>
          <w:szCs w:val="24"/>
          <w:highlight w:val="none"/>
          <w:lang w:val="en-US" w:eastAsia="zh-CN" w:bidi="ar-SA"/>
        </w:rPr>
        <w:t>（1台）</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TW"/>
        </w:rPr>
      </w:pPr>
      <w:r>
        <w:rPr>
          <w:rFonts w:hint="eastAsia" w:ascii="微软雅黑" w:hAnsi="微软雅黑" w:eastAsia="微软雅黑" w:cs="微软雅黑"/>
          <w:b w:val="0"/>
          <w:bCs w:val="0"/>
          <w:sz w:val="24"/>
          <w:szCs w:val="24"/>
          <w:lang w:val="en-US" w:eastAsia="zh-CN"/>
        </w:rPr>
        <w:t>1.</w:t>
      </w:r>
      <w:r>
        <w:rPr>
          <w:rFonts w:hint="eastAsia" w:ascii="微软雅黑" w:hAnsi="微软雅黑" w:eastAsia="微软雅黑" w:cs="微软雅黑"/>
          <w:b w:val="0"/>
          <w:bCs w:val="0"/>
          <w:sz w:val="24"/>
          <w:szCs w:val="24"/>
          <w:lang w:val="zh-TW" w:eastAsia="zh-TW"/>
        </w:rPr>
        <w:t>以下参数规格适用于 心脏阻抗500 Ω ±1%条件下</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2.</w:t>
      </w:r>
      <w:r>
        <w:rPr>
          <w:rFonts w:hint="eastAsia" w:ascii="微软雅黑" w:hAnsi="微软雅黑" w:eastAsia="微软雅黑" w:cs="微软雅黑"/>
          <w:sz w:val="24"/>
          <w:szCs w:val="24"/>
        </w:rPr>
        <w:t>默认参数</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b w:val="0"/>
          <w:bCs w:val="0"/>
          <w:sz w:val="24"/>
          <w:szCs w:val="24"/>
          <w:lang w:val="zh-TW" w:eastAsia="zh-TW"/>
        </w:rPr>
        <w:t>脉冲频率：70 ppm；感知灵敏度：2 mV；脉冲幅度：5 V；脉冲宽度：1.5 ms</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3.紧急模式参数：脉冲频率：70 ppm；感知灵敏度：2 mV；脉冲幅度：10 V；脉冲宽度：2 ms</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4.脉冲频率：范围：30~50  步长：5 ；</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            范围：50~100  步长：2 ；</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            范围：100~200  步长：5；</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            范围：100~200  步长：5。</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5.</w:t>
      </w:r>
      <w:r>
        <w:rPr>
          <w:rFonts w:hint="eastAsia" w:ascii="微软雅黑" w:hAnsi="微软雅黑" w:eastAsia="微软雅黑" w:cs="微软雅黑"/>
          <w:b w:val="0"/>
          <w:bCs w:val="0"/>
          <w:sz w:val="24"/>
          <w:szCs w:val="24"/>
          <w:lang w:val="zh-TW" w:eastAsia="zh-TW"/>
        </w:rPr>
        <w:t>感知灵敏度</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范围：0.5~1.0 mV</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步长：0.1 mV</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范围：1.0~3.0 mV</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步长：0.2 mV</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范围：3.0~10.0 mV</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步长：0.5 mV</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范围：10.0~20 mV</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步长：1.0 mV</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11"/>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zh-TW" w:eastAsia="zh-TW"/>
        </w:rPr>
        <w:t>脉冲幅度</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范围：0.1~1.0 V</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步长：0.1 V</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范围：1.0~3.0 V</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步长：0.2 V</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范围：3.0~10.0 V</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步长：0.5 V</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TW"/>
        </w:rPr>
      </w:pPr>
      <w:r>
        <w:rPr>
          <w:rFonts w:hint="eastAsia" w:ascii="微软雅黑" w:hAnsi="微软雅黑" w:eastAsia="微软雅黑" w:cs="微软雅黑"/>
          <w:b w:val="0"/>
          <w:bCs w:val="0"/>
          <w:sz w:val="24"/>
          <w:szCs w:val="24"/>
          <w:lang w:val="en-US" w:eastAsia="zh-CN"/>
        </w:rPr>
        <w:t>7.</w:t>
      </w:r>
      <w:r>
        <w:rPr>
          <w:rFonts w:hint="eastAsia" w:ascii="微软雅黑" w:hAnsi="微软雅黑" w:eastAsia="微软雅黑" w:cs="微软雅黑"/>
          <w:b w:val="0"/>
          <w:bCs w:val="0"/>
          <w:sz w:val="24"/>
          <w:szCs w:val="24"/>
          <w:lang w:val="zh-TW" w:eastAsia="zh-TW"/>
        </w:rPr>
        <w:t>脉冲宽度</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范围：0.06~0.6 m</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步长：0.06 ms</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范围：0.6~2.0</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步长：0.1</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TW"/>
        </w:rPr>
      </w:pPr>
      <w:r>
        <w:rPr>
          <w:rFonts w:hint="eastAsia" w:ascii="微软雅黑" w:hAnsi="微软雅黑" w:eastAsia="微软雅黑" w:cs="微软雅黑"/>
          <w:b w:val="0"/>
          <w:bCs w:val="0"/>
          <w:sz w:val="24"/>
          <w:szCs w:val="24"/>
          <w:lang w:val="en-US" w:eastAsia="zh-CN"/>
        </w:rPr>
        <w:t>8.</w:t>
      </w:r>
      <w:r>
        <w:rPr>
          <w:rFonts w:hint="eastAsia" w:ascii="微软雅黑" w:hAnsi="微软雅黑" w:eastAsia="微软雅黑" w:cs="微软雅黑"/>
          <w:b w:val="0"/>
          <w:bCs w:val="0"/>
          <w:sz w:val="24"/>
          <w:szCs w:val="24"/>
          <w:lang w:val="zh-TW" w:eastAsia="zh-TW"/>
        </w:rPr>
        <w:t>不应期</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250 ms（固定）</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9.</w:t>
      </w:r>
      <w:r>
        <w:rPr>
          <w:rFonts w:hint="eastAsia" w:ascii="微软雅黑" w:hAnsi="微软雅黑" w:eastAsia="微软雅黑" w:cs="微软雅黑"/>
          <w:b w:val="0"/>
          <w:bCs w:val="0"/>
          <w:sz w:val="24"/>
          <w:szCs w:val="24"/>
          <w:lang w:val="zh-TW" w:eastAsia="zh-TW"/>
        </w:rPr>
        <w:t>电极导线阻抗测量</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&lt; 200 欧姆</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显示 &lt; 200</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200~500 欧姆</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501~1000 欧姆</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1001~4000 欧姆</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&gt; 4000 欧</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显示 &gt; 4000</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10.</w:t>
      </w:r>
      <w:r>
        <w:rPr>
          <w:rFonts w:hint="eastAsia" w:ascii="微软雅黑" w:hAnsi="微软雅黑" w:eastAsia="微软雅黑" w:cs="微软雅黑"/>
          <w:b w:val="0"/>
          <w:bCs w:val="0"/>
          <w:sz w:val="24"/>
          <w:szCs w:val="24"/>
          <w:lang w:val="zh-TW" w:eastAsia="zh-TW"/>
        </w:rPr>
        <w:t>P/R 波测量</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0.5~2.0 mV</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显示步长：0.1 mV</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2.1~25.0 mV</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显示步长：0.1 mV</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11.</w:t>
      </w:r>
      <w:r>
        <w:rPr>
          <w:rFonts w:hint="eastAsia" w:ascii="微软雅黑" w:hAnsi="微软雅黑" w:eastAsia="微软雅黑" w:cs="微软雅黑"/>
          <w:b w:val="0"/>
          <w:bCs w:val="0"/>
          <w:sz w:val="24"/>
          <w:szCs w:val="24"/>
          <w:lang w:val="zh-TW" w:eastAsia="zh-TW"/>
        </w:rPr>
        <w:t>尺寸</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厚度</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25 mm ± 5</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宽度</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94 mm ± 5</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长度</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 xml:space="preserve">178 mm ± 5 </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TW"/>
        </w:rPr>
      </w:pPr>
      <w:r>
        <w:rPr>
          <w:rFonts w:hint="eastAsia" w:ascii="微软雅黑" w:hAnsi="微软雅黑" w:eastAsia="微软雅黑" w:cs="微软雅黑"/>
          <w:b w:val="0"/>
          <w:bCs w:val="0"/>
          <w:sz w:val="24"/>
          <w:szCs w:val="24"/>
          <w:lang w:val="en-US" w:eastAsia="zh-CN"/>
        </w:rPr>
        <w:t>12.</w:t>
      </w:r>
      <w:r>
        <w:rPr>
          <w:rFonts w:hint="eastAsia" w:ascii="微软雅黑" w:hAnsi="微软雅黑" w:eastAsia="微软雅黑" w:cs="微软雅黑"/>
          <w:b w:val="0"/>
          <w:bCs w:val="0"/>
          <w:sz w:val="24"/>
          <w:szCs w:val="24"/>
          <w:lang w:val="zh-TW" w:eastAsia="zh-TW"/>
        </w:rPr>
        <w:t>重量</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不含电池</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 xml:space="preserve">300 g ± 20 </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CN"/>
        </w:rPr>
      </w:pPr>
      <w:r>
        <w:rPr>
          <w:rFonts w:hint="eastAsia" w:ascii="微软雅黑" w:hAnsi="微软雅黑" w:eastAsia="微软雅黑" w:cs="微软雅黑"/>
          <w:b w:val="0"/>
          <w:bCs w:val="0"/>
          <w:sz w:val="24"/>
          <w:szCs w:val="24"/>
          <w:lang w:val="en-US" w:eastAsia="zh-CN"/>
        </w:rPr>
        <w:t>13.</w:t>
      </w:r>
      <w:r>
        <w:rPr>
          <w:rFonts w:hint="eastAsia" w:ascii="微软雅黑" w:hAnsi="微软雅黑" w:eastAsia="微软雅黑" w:cs="微软雅黑"/>
          <w:b w:val="0"/>
          <w:bCs w:val="0"/>
          <w:sz w:val="24"/>
          <w:szCs w:val="24"/>
          <w:lang w:val="zh-TW" w:eastAsia="zh-TW"/>
        </w:rPr>
        <w:t>温度</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工作温度</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10℃ 至 40℃</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存储温度</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-20℃ 至 55℃</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运输温度</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-20℃ 至 55℃</w:t>
      </w:r>
      <w:r>
        <w:rPr>
          <w:rFonts w:hint="eastAsia" w:ascii="微软雅黑" w:hAnsi="微软雅黑" w:eastAsia="微软雅黑" w:cs="微软雅黑"/>
          <w:b w:val="0"/>
          <w:bCs w:val="0"/>
          <w:sz w:val="24"/>
          <w:szCs w:val="24"/>
          <w:lang w:val="zh-TW"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zh-TW" w:eastAsia="zh-TW"/>
        </w:rPr>
      </w:pPr>
      <w:r>
        <w:rPr>
          <w:rFonts w:hint="eastAsia" w:ascii="微软雅黑" w:hAnsi="微软雅黑" w:eastAsia="微软雅黑" w:cs="微软雅黑"/>
          <w:b w:val="0"/>
          <w:bCs w:val="0"/>
          <w:sz w:val="24"/>
          <w:szCs w:val="24"/>
          <w:lang w:val="en-US" w:eastAsia="zh-CN"/>
        </w:rPr>
        <w:t>14.</w:t>
      </w:r>
      <w:r>
        <w:rPr>
          <w:rFonts w:hint="eastAsia" w:ascii="微软雅黑" w:hAnsi="微软雅黑" w:eastAsia="微软雅黑" w:cs="微软雅黑"/>
          <w:b w:val="0"/>
          <w:bCs w:val="0"/>
          <w:sz w:val="24"/>
          <w:szCs w:val="24"/>
          <w:lang w:val="zh-TW" w:eastAsia="zh-TW"/>
        </w:rPr>
        <w:t>湿度</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工作湿度30% ～ 75%</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运输存储湿度</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30% ～ 93%</w:t>
      </w:r>
    </w:p>
    <w:p>
      <w:pPr>
        <w:keepNext w:val="0"/>
        <w:keepLines w:val="0"/>
        <w:pageBreakBefore w:val="0"/>
        <w:widowControl w:val="0"/>
        <w:numPr>
          <w:ilvl w:val="0"/>
          <w:numId w:val="0"/>
        </w:numPr>
        <w:kinsoku/>
        <w:wordWrap/>
        <w:overflowPunct/>
        <w:topLinePunct w:val="0"/>
        <w:autoSpaceDE/>
        <w:autoSpaceDN/>
        <w:bidi w:val="0"/>
        <w:adjustRightInd/>
        <w:spacing w:line="600" w:lineRule="atLeast"/>
        <w:ind w:leftChars="0" w:right="0" w:rightChars="0"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15.</w:t>
      </w:r>
      <w:r>
        <w:rPr>
          <w:rFonts w:hint="eastAsia" w:ascii="微软雅黑" w:hAnsi="微软雅黑" w:eastAsia="微软雅黑" w:cs="微软雅黑"/>
          <w:b w:val="0"/>
          <w:bCs w:val="0"/>
          <w:sz w:val="24"/>
          <w:szCs w:val="24"/>
          <w:lang w:val="zh-TW" w:eastAsia="zh-TW"/>
        </w:rPr>
        <w:t>电池</w:t>
      </w:r>
      <w:r>
        <w:rPr>
          <w:rFonts w:hint="eastAsia" w:ascii="微软雅黑" w:hAnsi="微软雅黑" w:eastAsia="微软雅黑" w:cs="微软雅黑"/>
          <w:b w:val="0"/>
          <w:bCs w:val="0"/>
          <w:sz w:val="24"/>
          <w:szCs w:val="24"/>
          <w:lang w:val="zh-TW" w:eastAsia="zh-CN"/>
        </w:rPr>
        <w:t>：</w:t>
      </w:r>
      <w:r>
        <w:rPr>
          <w:rFonts w:hint="eastAsia" w:ascii="微软雅黑" w:hAnsi="微软雅黑" w:eastAsia="微软雅黑" w:cs="微软雅黑"/>
          <w:b w:val="0"/>
          <w:bCs w:val="0"/>
          <w:sz w:val="24"/>
          <w:szCs w:val="24"/>
          <w:lang w:val="zh-TW" w:eastAsia="zh-TW"/>
        </w:rPr>
        <w:t>电池类型</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lang w:val="zh-TW" w:eastAsia="zh-TW"/>
        </w:rPr>
        <w:t>LR6-1.5V 电池（AA x 2）</w:t>
      </w:r>
    </w:p>
    <w:p>
      <w:pPr>
        <w:pStyle w:val="7"/>
        <w:pageBreakBefore w:val="0"/>
        <w:numPr>
          <w:ilvl w:val="0"/>
          <w:numId w:val="0"/>
        </w:numPr>
        <w:kinsoku/>
        <w:wordWrap/>
        <w:overflowPunct/>
        <w:topLinePunct w:val="0"/>
        <w:autoSpaceDE/>
        <w:autoSpaceDN/>
        <w:bidi w:val="0"/>
        <w:spacing w:line="600" w:lineRule="atLeast"/>
        <w:ind w:left="630" w:leftChars="0"/>
        <w:jc w:val="center"/>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10、排痰仪</w:t>
      </w:r>
      <w:r>
        <w:rPr>
          <w:rFonts w:hint="eastAsia" w:ascii="微软雅黑" w:hAnsi="微软雅黑" w:eastAsia="微软雅黑" w:cs="微软雅黑"/>
          <w:b/>
          <w:bCs/>
          <w:kern w:val="2"/>
          <w:sz w:val="24"/>
          <w:szCs w:val="24"/>
          <w:highlight w:val="none"/>
          <w:lang w:val="en-US" w:eastAsia="zh-CN" w:bidi="ar-SA"/>
        </w:rPr>
        <w:t>（2台）</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1、组成与使用：系统由主机和配件组成；</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1.1 主机包括：空气脉冲器和显示屏、ABS外壳等；</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1.2 配件包括：可充气的气囊和通气管路，为保证配件安全有效的使用，其中的主要配件充气气囊在注册时必须明确分为背心型或束带型两种（必要时提供注册证登记表核查）；</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1.3 配件要求：由于充气背心为易损配件，充气背心肩部调节位置除魔术贴外，应提供额外固定方式，以便延长使用时间；</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1.4操作方式：使用橡胶按键，并且每个参数变量的改变，必须有单独的按键与其对应；</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1.5 背心可提供能拆卸带单独气囊的背心和专人专用的单层背心。</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 工作参数</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2.1频率范围：1HZ—20HZ，20个档位连续可调，步距1Hz，强度范围0.3——3.8kpa,按照15个等级进行调节,步距0.25kpa；</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2.2时间范围：1-99min连续可调,步距1min；</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2.3 具备手动和自动两种模式；</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2.4 每种模式均使用梯形工作方式，设备运行后5s—200s时间内达到预设参数，保持设定参数工作200s—590s，经过5s—200s时间降低到0，设备停止；</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2.5 设备的工作总时间自动累计，可通过模式选择键随时查询；</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3、其他要求</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3.1 配有设备的外观专利证书，受国家专利保护，避免产权纠纷。</w:t>
      </w:r>
    </w:p>
    <w:p>
      <w:pPr>
        <w:pageBreakBefore w:val="0"/>
        <w:tabs>
          <w:tab w:val="left" w:pos="360"/>
          <w:tab w:val="left" w:pos="540"/>
        </w:tabs>
        <w:kinsoku/>
        <w:wordWrap/>
        <w:overflowPunct/>
        <w:topLinePunct w:val="0"/>
        <w:autoSpaceDE/>
        <w:autoSpaceDN/>
        <w:bidi w:val="0"/>
        <w:spacing w:line="600" w:lineRule="atLeast"/>
        <w:ind w:firstLine="480" w:firstLineChars="20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3.2 专用台车要求：台车为整体金属铝合金材质，可升降，并且台车和主机可以由螺丝等方式固定在一起，安全牢固；</w:t>
      </w:r>
    </w:p>
    <w:p>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微软雅黑" w:hAnsi="微软雅黑" w:eastAsia="微软雅黑" w:cs="微软雅黑"/>
          <w:b/>
          <w:bCs/>
          <w:sz w:val="24"/>
          <w:szCs w:val="24"/>
          <w:lang w:val="en-US" w:eastAsia="zh-CN"/>
        </w:rPr>
      </w:pPr>
    </w:p>
    <w:p>
      <w:pPr>
        <w:pStyle w:val="2"/>
        <w:ind w:firstLine="240" w:firstLineChars="100"/>
        <w:rPr>
          <w:rFonts w:hint="eastAsia" w:ascii="微软雅黑" w:hAnsi="微软雅黑" w:eastAsia="微软雅黑" w:cs="微软雅黑"/>
          <w:b w:val="0"/>
          <w:bCs w:val="0"/>
          <w:sz w:val="24"/>
          <w:szCs w:val="28"/>
          <w:lang w:eastAsia="zh-CN"/>
        </w:rPr>
      </w:pPr>
    </w:p>
    <w:p>
      <w:pPr>
        <w:pStyle w:val="2"/>
        <w:ind w:firstLine="280" w:firstLineChars="100"/>
        <w:jc w:val="cente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合同包2</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一、采购内容清单：</w:t>
      </w:r>
    </w:p>
    <w:tbl>
      <w:tblPr>
        <w:tblStyle w:val="16"/>
        <w:tblpPr w:leftFromText="180" w:rightFromText="180" w:vertAnchor="text" w:horzAnchor="page" w:tblpXSpec="center" w:tblpY="192"/>
        <w:tblOverlap w:val="never"/>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3134"/>
        <w:gridCol w:w="1504"/>
        <w:gridCol w:w="3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jc w:val="center"/>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lang w:val="en-US" w:eastAsia="zh-CN"/>
              </w:rPr>
              <w:t>序号</w:t>
            </w:r>
          </w:p>
        </w:tc>
        <w:tc>
          <w:tcPr>
            <w:tcW w:w="3134" w:type="dxa"/>
            <w:noWrap w:val="0"/>
            <w:vAlign w:val="center"/>
          </w:tcPr>
          <w:p>
            <w:pPr>
              <w:jc w:val="center"/>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lang w:val="en-US" w:eastAsia="zh-CN"/>
              </w:rPr>
              <w:t>项目名称</w:t>
            </w:r>
          </w:p>
        </w:tc>
        <w:tc>
          <w:tcPr>
            <w:tcW w:w="1504" w:type="dxa"/>
            <w:noWrap w:val="0"/>
            <w:vAlign w:val="center"/>
          </w:tcPr>
          <w:p>
            <w:pPr>
              <w:jc w:val="center"/>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lang w:val="en-US" w:eastAsia="zh-CN"/>
              </w:rPr>
              <w:t>数量（单位）</w:t>
            </w:r>
          </w:p>
        </w:tc>
        <w:tc>
          <w:tcPr>
            <w:tcW w:w="3162" w:type="dxa"/>
            <w:noWrap w:val="0"/>
            <w:vAlign w:val="center"/>
          </w:tcPr>
          <w:p>
            <w:pPr>
              <w:jc w:val="center"/>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1</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心电监护仪</w:t>
            </w:r>
          </w:p>
        </w:tc>
        <w:tc>
          <w:tcPr>
            <w:tcW w:w="1504" w:type="dxa"/>
            <w:noWrap w:val="0"/>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4台</w:t>
            </w:r>
          </w:p>
        </w:tc>
        <w:tc>
          <w:tcPr>
            <w:tcW w:w="3162" w:type="dxa"/>
            <w:vMerge w:val="restart"/>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汉阴县涧池中心卫生院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2</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注射泵</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4台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3</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医用降温毯</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2台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4</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排痰机</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3台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5</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高流量湿化氧疗系统</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5台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6</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呼吸机（无创）</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7</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除颤监护仪</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8</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全自动清洗消毒器</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9</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过氧化氢消毒机</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10</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多功能麻醉机</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restart"/>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r>
              <w:rPr>
                <w:rFonts w:hint="eastAsia" w:ascii="微软雅黑" w:hAnsi="微软雅黑" w:eastAsia="微软雅黑" w:cs="微软雅黑"/>
                <w:b w:val="0"/>
                <w:bCs w:val="0"/>
                <w:color w:val="000000"/>
                <w:kern w:val="0"/>
                <w:sz w:val="24"/>
                <w:szCs w:val="24"/>
                <w:lang w:val="en-US" w:eastAsia="zh-CN"/>
              </w:rPr>
              <w:t>平利县医院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11</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除颤监护仪</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12</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可视喉镜</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13</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血液透析机</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2台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14</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麻醉监护仪</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15</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十二导心电图机</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2台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16</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血液灌滤机</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17</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注射泵</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20台</w:t>
            </w:r>
          </w:p>
        </w:tc>
        <w:tc>
          <w:tcPr>
            <w:tcW w:w="3162" w:type="dxa"/>
            <w:vMerge w:val="restart"/>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r>
              <w:rPr>
                <w:rFonts w:hint="eastAsia" w:ascii="微软雅黑" w:hAnsi="微软雅黑" w:eastAsia="微软雅黑" w:cs="微软雅黑"/>
                <w:b w:val="0"/>
                <w:bCs w:val="0"/>
                <w:color w:val="000000"/>
                <w:kern w:val="0"/>
                <w:sz w:val="24"/>
                <w:szCs w:val="24"/>
                <w:lang w:val="en-US" w:eastAsia="zh-CN"/>
              </w:rPr>
              <w:t>石泉县中医院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18</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医用降温毯</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6台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19</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排痰机</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5台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20</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全自动清洗消毒器</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21</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过氧化氢消毒机</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2台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22</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心电监护仪</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6台</w:t>
            </w:r>
          </w:p>
        </w:tc>
        <w:tc>
          <w:tcPr>
            <w:tcW w:w="3162" w:type="dxa"/>
            <w:vMerge w:val="restart"/>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r>
              <w:rPr>
                <w:rFonts w:hint="eastAsia" w:ascii="微软雅黑" w:hAnsi="微软雅黑" w:eastAsia="微软雅黑" w:cs="微软雅黑"/>
                <w:i w:val="0"/>
                <w:color w:val="000000"/>
                <w:kern w:val="0"/>
                <w:sz w:val="24"/>
                <w:szCs w:val="24"/>
                <w:u w:val="none"/>
                <w:lang w:val="en-US" w:eastAsia="zh-CN" w:bidi="ar"/>
              </w:rPr>
              <w:t>旬阳市中医院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23</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注射工作站</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24</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注射泵</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3台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25</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输液泵</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1台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99"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26</w:t>
            </w:r>
          </w:p>
        </w:tc>
        <w:tc>
          <w:tcPr>
            <w:tcW w:w="313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呼吸机</w:t>
            </w:r>
          </w:p>
        </w:tc>
        <w:tc>
          <w:tcPr>
            <w:tcW w:w="1504" w:type="dxa"/>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i w:val="0"/>
                <w:color w:val="000000"/>
                <w:kern w:val="0"/>
                <w:sz w:val="24"/>
                <w:szCs w:val="24"/>
                <w:u w:val="none"/>
                <w:lang w:val="en-US" w:eastAsia="zh-CN" w:bidi="ar"/>
              </w:rPr>
              <w:t>4台</w:t>
            </w:r>
          </w:p>
        </w:tc>
        <w:tc>
          <w:tcPr>
            <w:tcW w:w="3162" w:type="dxa"/>
            <w:vMerge w:val="continue"/>
            <w:noWrap w:val="0"/>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000000"/>
                <w:kern w:val="0"/>
                <w:sz w:val="24"/>
                <w:szCs w:val="24"/>
                <w:lang w:val="en-US" w:eastAsia="zh-CN"/>
              </w:rPr>
            </w:pPr>
          </w:p>
        </w:tc>
      </w:tr>
    </w:tbl>
    <w:p>
      <w:pPr>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24"/>
          <w:szCs w:val="24"/>
          <w:lang w:val="en-US" w:eastAsia="zh-CN"/>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24"/>
          <w:szCs w:val="24"/>
          <w:lang w:val="en-US" w:eastAsia="zh-CN"/>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sz w:val="24"/>
          <w:szCs w:val="24"/>
          <w:lang w:val="en-US" w:eastAsia="zh-CN"/>
        </w:rPr>
        <w:t>二、</w:t>
      </w:r>
      <w:r>
        <w:rPr>
          <w:rFonts w:hint="default" w:ascii="微软雅黑" w:hAnsi="微软雅黑" w:eastAsia="微软雅黑" w:cs="微软雅黑"/>
          <w:b/>
          <w:bCs/>
          <w:sz w:val="24"/>
          <w:szCs w:val="24"/>
          <w:lang w:val="en-US" w:eastAsia="zh-CN"/>
        </w:rPr>
        <w:t>技术参数及要求</w:t>
      </w:r>
      <w:r>
        <w:rPr>
          <w:rFonts w:hint="eastAsia" w:ascii="微软雅黑" w:hAnsi="微软雅黑" w:eastAsia="微软雅黑" w:cs="微软雅黑"/>
          <w:b/>
          <w:bCs/>
          <w:sz w:val="24"/>
          <w:szCs w:val="24"/>
          <w:lang w:val="en-US" w:eastAsia="zh-CN"/>
        </w:rPr>
        <w:t>：</w:t>
      </w:r>
    </w:p>
    <w:p>
      <w:pPr>
        <w:keepNext w:val="0"/>
        <w:keepLines w:val="0"/>
        <w:pageBreakBefore w:val="0"/>
        <w:kinsoku/>
        <w:wordWrap/>
        <w:overflowPunct/>
        <w:topLinePunct w:val="0"/>
        <w:bidi w:val="0"/>
        <w:spacing w:beforeAutospacing="0" w:afterAutospacing="0" w:line="600" w:lineRule="exact"/>
        <w:jc w:val="center"/>
        <w:outlineLvl w:val="9"/>
        <w:rPr>
          <w:rFonts w:hint="eastAsia" w:ascii="微软雅黑" w:hAnsi="微软雅黑" w:eastAsia="微软雅黑" w:cs="微软雅黑"/>
          <w:b/>
          <w:bCs w:val="0"/>
          <w:color w:val="auto"/>
          <w:sz w:val="24"/>
          <w:szCs w:val="24"/>
          <w:highlight w:val="none"/>
          <w:lang w:val="en-US" w:eastAsia="zh-CN"/>
        </w:rPr>
      </w:pPr>
    </w:p>
    <w:p>
      <w:pPr>
        <w:keepNext w:val="0"/>
        <w:keepLines w:val="0"/>
        <w:pageBreakBefore w:val="0"/>
        <w:kinsoku/>
        <w:wordWrap/>
        <w:overflowPunct/>
        <w:topLinePunct w:val="0"/>
        <w:bidi w:val="0"/>
        <w:spacing w:beforeAutospacing="0" w:afterAutospacing="0" w:line="600" w:lineRule="exact"/>
        <w:jc w:val="center"/>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val="en-US" w:eastAsia="zh-CN"/>
        </w:rPr>
        <w:t>一、</w:t>
      </w:r>
      <w:r>
        <w:rPr>
          <w:rFonts w:hint="eastAsia" w:ascii="微软雅黑" w:hAnsi="微软雅黑" w:eastAsia="微软雅黑" w:cs="微软雅黑"/>
          <w:b/>
          <w:bCs w:val="0"/>
          <w:color w:val="auto"/>
          <w:sz w:val="24"/>
          <w:szCs w:val="24"/>
          <w:highlight w:val="none"/>
        </w:rPr>
        <w:t>心电监护仪参数</w:t>
      </w:r>
      <w:r>
        <w:rPr>
          <w:rFonts w:hint="eastAsia" w:ascii="微软雅黑" w:hAnsi="微软雅黑" w:eastAsia="微软雅黑" w:cs="微软雅黑"/>
          <w:b/>
          <w:bCs w:val="0"/>
          <w:color w:val="auto"/>
          <w:sz w:val="24"/>
          <w:szCs w:val="24"/>
          <w:highlight w:val="none"/>
          <w:lang w:eastAsia="zh-CN"/>
        </w:rPr>
        <w:t>（</w:t>
      </w:r>
      <w:r>
        <w:rPr>
          <w:rFonts w:hint="eastAsia" w:ascii="微软雅黑" w:hAnsi="微软雅黑" w:eastAsia="微软雅黑" w:cs="微软雅黑"/>
          <w:b/>
          <w:bCs w:val="0"/>
          <w:color w:val="auto"/>
          <w:sz w:val="24"/>
          <w:szCs w:val="24"/>
          <w:highlight w:val="none"/>
          <w:lang w:val="en-US" w:eastAsia="zh-CN"/>
        </w:rPr>
        <w:t>4台</w:t>
      </w:r>
      <w:r>
        <w:rPr>
          <w:rFonts w:hint="eastAsia" w:ascii="微软雅黑" w:hAnsi="微软雅黑" w:eastAsia="微软雅黑" w:cs="微软雅黑"/>
          <w:b/>
          <w:bCs w:val="0"/>
          <w:color w:val="auto"/>
          <w:sz w:val="24"/>
          <w:szCs w:val="24"/>
          <w:highlight w:val="none"/>
          <w:lang w:eastAsia="zh-CN"/>
        </w:rPr>
        <w:t>）</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基本要求：适用于对成人、小儿和新生儿的监护，含ST段测量及心律失常分析，需通过国家三类注册证明。</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监测心电、血氧、脉博、无创血压、呼吸、体温等基础参数，可升级Masimo/Nellcor SPO2、2IBP、ETCO2、AG、ICG、C.O.、BIS等参数。</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便携式一体化插件式监护仪，可用于监护成人、儿童、新生儿患者。</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≥10.4英寸高清触摸屏，触控操作。</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双报警灯设计，生理报警和技术报警有各自独立的报警灯和报警信息。</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整机无风扇，降低环境噪音干扰，适合手术室ICU等环境。</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44"/>
          <w:sz w:val="24"/>
          <w:szCs w:val="24"/>
        </w:rPr>
        <w:t>固定式提手，提动时稳固安全。</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右侧按键板设计，人性化，符合操作习惯。</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心电：支持3/5/12导心电测量，导联自动识别。</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心率测量范围：成人15-300bpm，小儿/新生儿15-350bpm，分辨率±1bpm。</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加±650mV的直流极化电压，灵敏度变化范围±5%。</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具有监护、诊断、手术、ST模式。</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具有心律失常分析和ST段功能。</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呼吸测量范围：成人0-120rpm，小儿/新生儿0-150rpm。</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窒息报警范围：成人10-60s，儿童/新生儿10-20s，测量误差为±5s。</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具有心动干扰（CVA）识别功能。</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血氧：可选全球金标准的 Masimo血氧，测量范围为1 ％ ～100％；在70％～100％范围内，成人/儿童测量精度为±2％（非运动状态下）、±3％（运动状态下），新生儿为±3％（非运动状态和运动状态下）。</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NIBP静态压力测量范围：0-300mmHg，精度±3mmHg。</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NIBP具有手动、自动、连续测量模式。</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NIBP具有整点测量功能，更符合临床记录习惯，提高护理效率。</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可选择初始充气压力，提升测量的精准性和患者的舒适性。</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具有辅助静脉穿刺功能。</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支持手写中文输入。</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可存储、回放不少于48小时波形全息回顾。</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支持标准界面、列表界面、趋势共存界面、大字体界面、全屏7导界面、全屏12导界面等多种界面可选。</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具有夜间模式，避免夜间打扰患者休息。</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具有屏幕亮度自动调节功能，可根据光线亮度的不同自动调节屏幕亮度。（需提供检验报告证明）</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具有药物计算、血液动力学计算、通气计算、氧合计算、肾功能计算。</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可选内置3通道热敏记录仪，实时记录时间可设为：8秒、16秒、32秒、连续。</w:t>
      </w:r>
    </w:p>
    <w:p>
      <w:pPr>
        <w:pStyle w:val="33"/>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标配大容量锂电池，使用时间≥3小时。</w:t>
      </w:r>
    </w:p>
    <w:p>
      <w:pPr>
        <w:keepNext w:val="0"/>
        <w:keepLines w:val="0"/>
        <w:pageBreakBefore w:val="0"/>
        <w:numPr>
          <w:ilvl w:val="0"/>
          <w:numId w:val="1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支持连接同品牌中央监护系统。</w:t>
      </w: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lang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二、注射泵参数（</w:t>
      </w:r>
      <w:r>
        <w:rPr>
          <w:rFonts w:hint="eastAsia" w:ascii="微软雅黑" w:hAnsi="微软雅黑" w:eastAsia="微软雅黑" w:cs="微软雅黑"/>
          <w:b/>
          <w:bCs w:val="0"/>
          <w:color w:val="auto"/>
          <w:sz w:val="24"/>
          <w:szCs w:val="24"/>
          <w:highlight w:val="none"/>
          <w:lang w:val="en-US" w:eastAsia="zh-CN"/>
        </w:rPr>
        <w:t>4台</w:t>
      </w:r>
      <w:r>
        <w:rPr>
          <w:rFonts w:hint="eastAsia" w:ascii="微软雅黑" w:hAnsi="微软雅黑" w:eastAsia="微软雅黑" w:cs="微软雅黑"/>
          <w:b/>
          <w:bCs w:val="0"/>
          <w:color w:val="auto"/>
          <w:sz w:val="24"/>
          <w:szCs w:val="24"/>
          <w:highlight w:val="none"/>
          <w:lang w:eastAsia="zh-CN"/>
        </w:rPr>
        <w:t>）</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≥3.0 英寸显示屏，全中文显示，方便快捷的人机操作界面。</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适用注射器规格：5ml、10ml、20ml、30ml、50（60）ml所有符合标准的注射器。</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速度范围：0.10～2000mL/h，最小步进 0.01ml/h。</w:t>
      </w:r>
    </w:p>
    <w:p>
      <w:pPr>
        <w:pStyle w:val="33"/>
        <w:keepNext w:val="0"/>
        <w:keepLines w:val="0"/>
        <w:pageBreakBefore w:val="0"/>
        <w:numPr>
          <w:ilvl w:val="0"/>
          <w:numId w:val="13"/>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快进（Bolus）速度范围：0.10mL/h～2000mL/h，最小步进 0.01ml/h。</w:t>
      </w:r>
    </w:p>
    <w:p>
      <w:pPr>
        <w:pStyle w:val="33"/>
        <w:keepNext w:val="0"/>
        <w:keepLines w:val="0"/>
        <w:pageBreakBefore w:val="0"/>
        <w:numPr>
          <w:ilvl w:val="0"/>
          <w:numId w:val="13"/>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注射精度≤±1.8%。</w:t>
      </w:r>
    </w:p>
    <w:p>
      <w:pPr>
        <w:pStyle w:val="33"/>
        <w:keepNext w:val="0"/>
        <w:keepLines w:val="0"/>
        <w:pageBreakBefore w:val="0"/>
        <w:numPr>
          <w:ilvl w:val="0"/>
          <w:numId w:val="13"/>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KVO速度设定范围：0.1mL/h～30ml/h 可调。</w:t>
      </w:r>
    </w:p>
    <w:p>
      <w:pPr>
        <w:pStyle w:val="33"/>
        <w:keepNext w:val="0"/>
        <w:keepLines w:val="0"/>
        <w:pageBreakBefore w:val="0"/>
        <w:numPr>
          <w:ilvl w:val="0"/>
          <w:numId w:val="13"/>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≥9种注射模式可选：速度模式、时间模式、体重模式、间断给药模式、梯度模式、剂量时间模式、序列模式、微量模式、首剂量模式。</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动态压力检测（DPS），可实时显示当前压力数值。</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rPr>
        <w:t>压力自动释放（Anti-Bolus），当管路阻塞报警时，自动回撤管路压力，避免意外丸剂量伤害患者。</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≥15档阻塞压力阈值可调，最低75mmHg。</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rPr>
        <w:t>具有排气功能，排除管路内的气泡。</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在线滴定功能，更改速度时完全不需要中断输液。</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夜间模式：自动降低屏幕亮度和音量，设置时间结束后自动恢复。</w:t>
      </w:r>
    </w:p>
    <w:p>
      <w:pPr>
        <w:pStyle w:val="33"/>
        <w:keepNext w:val="0"/>
        <w:keepLines w:val="0"/>
        <w:pageBreakBefore w:val="0"/>
        <w:numPr>
          <w:ilvl w:val="0"/>
          <w:numId w:val="13"/>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药物库功能：可存储≥3000种药物。</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日志记录：可存储至少2000条操作信息。</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bookmarkStart w:id="12" w:name="_Hlk127629361"/>
      <w:r>
        <w:rPr>
          <w:rFonts w:hint="eastAsia" w:ascii="微软雅黑" w:hAnsi="微软雅黑" w:eastAsia="微软雅黑" w:cs="微软雅黑"/>
          <w:b w:val="0"/>
          <w:bCs/>
          <w:color w:val="auto"/>
          <w:kern w:val="0"/>
          <w:sz w:val="24"/>
          <w:szCs w:val="24"/>
        </w:rPr>
        <w:t>自动计算四种累计量</w:t>
      </w:r>
      <w:bookmarkEnd w:id="12"/>
      <w:r>
        <w:rPr>
          <w:rFonts w:hint="eastAsia" w:ascii="微软雅黑" w:hAnsi="微软雅黑" w:eastAsia="微软雅黑" w:cs="微软雅黑"/>
          <w:b w:val="0"/>
          <w:bCs/>
          <w:color w:val="auto"/>
          <w:kern w:val="0"/>
          <w:sz w:val="24"/>
          <w:szCs w:val="24"/>
        </w:rPr>
        <w:t>：24小时累积量、最近累积量、自定义时间段累积量、定时间隔累积量，轻松管理累计泵入液量。</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电池工作时间≥6小时@5ml/h；可升级至≥12小时@5ml/h。</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防尘防水等级：IP44。</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整机重量≤1.6kg（含电池），主机自带提手，方便携带。</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 xml:space="preserve">通过 EN1789救护车标准认证，适合在户外急救和车载情况下使用。 </w:t>
      </w:r>
    </w:p>
    <w:p>
      <w:pPr>
        <w:pStyle w:val="33"/>
        <w:keepNext w:val="0"/>
        <w:keepLines w:val="0"/>
        <w:pageBreakBefore w:val="0"/>
        <w:numPr>
          <w:ilvl w:val="0"/>
          <w:numId w:val="13"/>
        </w:numPr>
        <w:kinsoku/>
        <w:wordWrap/>
        <w:overflowPunct/>
        <w:topLinePunct w:val="0"/>
        <w:autoSpaceDE w:val="0"/>
        <w:autoSpaceDN w:val="0"/>
        <w:bidi w:val="0"/>
        <w:adjustRightInd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可加装无线模块，实现无线联网通讯。</w:t>
      </w: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lang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三、医用降温毯参数（</w:t>
      </w:r>
      <w:r>
        <w:rPr>
          <w:rFonts w:hint="eastAsia" w:ascii="微软雅黑" w:hAnsi="微软雅黑" w:eastAsia="微软雅黑" w:cs="微软雅黑"/>
          <w:b/>
          <w:bCs w:val="0"/>
          <w:color w:val="auto"/>
          <w:sz w:val="24"/>
          <w:szCs w:val="24"/>
          <w:highlight w:val="none"/>
          <w:lang w:val="en-US" w:eastAsia="zh-CN"/>
        </w:rPr>
        <w:t>2台</w:t>
      </w:r>
      <w:r>
        <w:rPr>
          <w:rFonts w:hint="eastAsia" w:ascii="微软雅黑" w:hAnsi="微软雅黑" w:eastAsia="微软雅黑" w:cs="微软雅黑"/>
          <w:b/>
          <w:bCs w:val="0"/>
          <w:color w:val="auto"/>
          <w:sz w:val="24"/>
          <w:szCs w:val="24"/>
          <w:highlight w:val="none"/>
          <w:lang w:eastAsia="zh-CN"/>
        </w:rPr>
        <w:t>）</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1.适用范围：在医疗机构临床使用环境下，通过控制毯子温度，具有对人体进行体外物理降温功能，辅助调节人体温度。</w:t>
      </w:r>
    </w:p>
    <w:p>
      <w:pPr>
        <w:keepNext w:val="0"/>
        <w:keepLines w:val="0"/>
        <w:pageBreakBefore w:val="0"/>
        <w:kinsoku/>
        <w:wordWrap/>
        <w:overflowPunct/>
        <w:topLinePunct w:val="0"/>
        <w:bidi w:val="0"/>
        <w:adjustRightInd w:val="0"/>
        <w:snapToGrid w:val="0"/>
        <w:spacing w:beforeAutospacing="0" w:afterAutospacing="0" w:line="600" w:lineRule="exact"/>
        <w:ind w:left="280"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2.安全要求：通过ISO 9001、ISO 13485质量管理体系认证、通过电磁兼容检测，符合YY0952-2015、YY 0785-2010（需提供检验报告）、GB9706.1-2007、GB/T 14710-2009等标准要求。</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3.主机特点：</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3.1机箱材质为ABS材质</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3.2降温毯、降温帽采用TPU材质，蜂窝状设计，并配有同规格毯套和帽套</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3.3体积小巧，移动方便，正面尺寸小于35CM</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3.4双通道输出，自动控温、双温双控，控温精准，实时监测</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3.5显示方式采用彩色液晶触摸屏，操作简单，安全稳定</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4.控制方式：手动控制和自动控制</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4.1手动控制：即控制降温毯、降温帽的温度</w:t>
      </w:r>
    </w:p>
    <w:p>
      <w:pPr>
        <w:keepNext w:val="0"/>
        <w:keepLines w:val="0"/>
        <w:pageBreakBefore w:val="0"/>
        <w:kinsoku/>
        <w:wordWrap/>
        <w:overflowPunct/>
        <w:topLinePunct w:val="0"/>
        <w:bidi w:val="0"/>
        <w:adjustRightInd w:val="0"/>
        <w:snapToGrid w:val="0"/>
        <w:spacing w:beforeAutospacing="0" w:afterAutospacing="0" w:line="600" w:lineRule="exact"/>
        <w:ind w:left="840"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4.2自动控制：控制人体温度，五种默认工作模式P1、P2、P3、P4、P5，智能选择</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5.技术指标：</w:t>
      </w:r>
    </w:p>
    <w:p>
      <w:pPr>
        <w:keepNext w:val="0"/>
        <w:keepLines w:val="0"/>
        <w:pageBreakBefore w:val="0"/>
        <w:kinsoku/>
        <w:wordWrap/>
        <w:overflowPunct/>
        <w:topLinePunct w:val="0"/>
        <w:bidi w:val="0"/>
        <w:adjustRightInd w:val="0"/>
        <w:snapToGrid w:val="0"/>
        <w:spacing w:beforeAutospacing="0" w:afterAutospacing="0" w:line="600" w:lineRule="exact"/>
        <w:ind w:left="279" w:leftChars="133"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5.1毯/帽温度设定范围：－1℃～25℃（通道温度）；步进：0.1℃；温度允差：±1℃</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5.2体温设定范围：30℃～40℃，步进：0.1℃</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5.3体温传感器监测范围：25℃～45℃，允差：±0.1℃</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5.4平均速率：空载平均速率：≥1℃/min；负载最大平均速率≥5℃/h</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5.5报警提示功能：低水位提示、传感器功能异常提示</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5.6可单独设置人体温度上限/下限报警提示功能。</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5.7运行模式：连续运行</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5.8计时范围：0～999小时；计时误差：±2％</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5.9噪音（A权）≤50dB</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5.10毯子承重≥135Kg</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5.11设备的输入功率：300VA</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6.正常工作条件：</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6.1环境温度：5℃～40℃</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6.2相对湿度：不大于80%</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6.3大气压力：700hPa～1060hPa</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6.4使用电源：a.c.220V±22V，50Hz±1Hz</w:t>
      </w:r>
    </w:p>
    <w:p>
      <w:pPr>
        <w:keepNext w:val="0"/>
        <w:keepLines w:val="0"/>
        <w:pageBreakBefore w:val="0"/>
        <w:kinsoku/>
        <w:wordWrap/>
        <w:overflowPunct/>
        <w:topLinePunct w:val="0"/>
        <w:bidi w:val="0"/>
        <w:adjustRightInd w:val="0"/>
        <w:snapToGrid w:val="0"/>
        <w:spacing w:beforeAutospacing="0" w:afterAutospacing="0" w:line="600" w:lineRule="exact"/>
        <w:ind w:firstLine="480" w:firstLineChars="200"/>
        <w:jc w:val="left"/>
        <w:textAlignment w:val="baseline"/>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配置：主机1台，降温毯1条，降温帽1个，温度传感器2条</w:t>
      </w: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kern w:val="0"/>
          <w:sz w:val="24"/>
          <w:szCs w:val="24"/>
          <w:highlight w:val="none"/>
          <w:lang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kern w:val="0"/>
          <w:sz w:val="24"/>
          <w:szCs w:val="24"/>
          <w:highlight w:val="none"/>
        </w:rPr>
      </w:pPr>
      <w:r>
        <w:rPr>
          <w:rFonts w:hint="eastAsia" w:ascii="微软雅黑" w:hAnsi="微软雅黑" w:eastAsia="微软雅黑" w:cs="微软雅黑"/>
          <w:b/>
          <w:bCs w:val="0"/>
          <w:color w:val="auto"/>
          <w:kern w:val="0"/>
          <w:sz w:val="24"/>
          <w:szCs w:val="24"/>
          <w:highlight w:val="none"/>
          <w:lang w:eastAsia="zh-CN"/>
        </w:rPr>
        <w:t>四、</w:t>
      </w:r>
      <w:r>
        <w:rPr>
          <w:rFonts w:hint="eastAsia" w:ascii="微软雅黑" w:hAnsi="微软雅黑" w:eastAsia="微软雅黑" w:cs="微软雅黑"/>
          <w:b/>
          <w:bCs w:val="0"/>
          <w:color w:val="auto"/>
          <w:kern w:val="0"/>
          <w:sz w:val="24"/>
          <w:szCs w:val="24"/>
          <w:highlight w:val="none"/>
        </w:rPr>
        <w:t>排痰机参数</w:t>
      </w:r>
      <w:r>
        <w:rPr>
          <w:rFonts w:hint="eastAsia" w:ascii="微软雅黑" w:hAnsi="微软雅黑" w:eastAsia="微软雅黑" w:cs="微软雅黑"/>
          <w:b/>
          <w:bCs w:val="0"/>
          <w:color w:val="auto"/>
          <w:sz w:val="24"/>
          <w:szCs w:val="24"/>
          <w:highlight w:val="none"/>
          <w:lang w:eastAsia="zh-CN"/>
        </w:rPr>
        <w:t>（</w:t>
      </w:r>
      <w:r>
        <w:rPr>
          <w:rFonts w:hint="eastAsia" w:ascii="微软雅黑" w:hAnsi="微软雅黑" w:eastAsia="微软雅黑" w:cs="微软雅黑"/>
          <w:b/>
          <w:bCs w:val="0"/>
          <w:color w:val="auto"/>
          <w:sz w:val="24"/>
          <w:szCs w:val="24"/>
          <w:highlight w:val="none"/>
          <w:lang w:val="en-US" w:eastAsia="zh-CN"/>
        </w:rPr>
        <w:t>3台</w:t>
      </w:r>
      <w:r>
        <w:rPr>
          <w:rFonts w:hint="eastAsia" w:ascii="微软雅黑" w:hAnsi="微软雅黑" w:eastAsia="微软雅黑" w:cs="微软雅黑"/>
          <w:b/>
          <w:bCs w:val="0"/>
          <w:color w:val="auto"/>
          <w:sz w:val="24"/>
          <w:szCs w:val="24"/>
          <w:highlight w:val="none"/>
          <w:lang w:eastAsia="zh-CN"/>
        </w:rPr>
        <w:t>）</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1.设备用途：</w:t>
      </w:r>
    </w:p>
    <w:p>
      <w:pPr>
        <w:pStyle w:val="33"/>
        <w:keepNext w:val="0"/>
        <w:keepLines w:val="0"/>
        <w:pageBreakBefore w:val="0"/>
        <w:kinsoku/>
        <w:wordWrap/>
        <w:overflowPunct/>
        <w:topLinePunct w:val="0"/>
        <w:bidi w:val="0"/>
        <w:spacing w:beforeAutospacing="0" w:afterAutospacing="0" w:line="600" w:lineRule="exact"/>
        <w:ind w:left="360"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运用高频胸壁震荡技术进行呼吸气道清除排痰治疗。适用于分泌物排出困难或由粘液阻塞肺部引起的肺膨胀不全患者，促进气道清除排痰或改善支气管引流。</w:t>
      </w:r>
    </w:p>
    <w:p>
      <w:pPr>
        <w:keepNext w:val="0"/>
        <w:keepLines w:val="0"/>
        <w:pageBreakBefore w:val="0"/>
        <w:kinsoku/>
        <w:wordWrap/>
        <w:overflowPunct/>
        <w:topLinePunct w:val="0"/>
        <w:bidi w:val="0"/>
        <w:spacing w:beforeAutospacing="0" w:afterAutospacing="0" w:line="600" w:lineRule="exact"/>
        <w:ind w:left="237" w:leftChars="113"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2.结构形式：便捷式兼备台式功能（配置台车、主机重量≤15kg、长：40cm、宽：34cm、高：38cm）。</w:t>
      </w:r>
    </w:p>
    <w:p>
      <w:pPr>
        <w:keepNext w:val="0"/>
        <w:keepLines w:val="0"/>
        <w:pageBreakBefore w:val="0"/>
        <w:kinsoku/>
        <w:wordWrap/>
        <w:overflowPunct/>
        <w:topLinePunct w:val="0"/>
        <w:bidi w:val="0"/>
        <w:spacing w:beforeAutospacing="0" w:afterAutospacing="0" w:line="600" w:lineRule="exact"/>
        <w:ind w:left="187" w:leftChars="0"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3.显示方式：5寸彩色液晶触摸屏，配合一键飞梭式旋钮调节，操作方便。</w:t>
      </w:r>
    </w:p>
    <w:p>
      <w:pPr>
        <w:keepNext w:val="0"/>
        <w:keepLines w:val="0"/>
        <w:pageBreakBefore w:val="0"/>
        <w:kinsoku/>
        <w:wordWrap/>
        <w:overflowPunct/>
        <w:topLinePunct w:val="0"/>
        <w:bidi w:val="0"/>
        <w:spacing w:beforeAutospacing="0" w:afterAutospacing="0" w:line="600" w:lineRule="exact"/>
        <w:ind w:left="0" w:leftChars="0"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4.导气方式：采用二级导气软管同步向充气背心充、放气。每个背心同时连接2根导气软管，使背心充气均匀。</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5.正常工作条件标准</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a)环境温度：5℃-40℃；</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b)相对湿度：30%-85%；</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c）电源电压： ～220V±10﹪</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d）频   率： 50Hz±1Hz。</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6.排痰机振动频率范围：5Hz--20Hz，频率连续可调，步距增量为1Hz，误差为±20％。</w:t>
      </w:r>
    </w:p>
    <w:p>
      <w:pPr>
        <w:keepNext w:val="0"/>
        <w:keepLines w:val="0"/>
        <w:pageBreakBefore w:val="0"/>
        <w:kinsoku/>
        <w:wordWrap/>
        <w:overflowPunct/>
        <w:topLinePunct w:val="0"/>
        <w:bidi w:val="0"/>
        <w:spacing w:beforeAutospacing="0" w:afterAutospacing="0" w:line="600" w:lineRule="exact"/>
        <w:ind w:left="0" w:leftChars="0"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7.治疗过程中的压强：治疗仪具有压强指示装置，压力调节范围分为10档，压强为0.5Kpa--3.2 Kpa, 误差±15%，初始值为3档。</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8.工作模式：治疗仪具有手动模式、五种自动程序模式及用户自定义模式。</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自动模式按体型不同而分级定制，共有5种自动程序模式：</w:t>
      </w:r>
    </w:p>
    <w:p>
      <w:pPr>
        <w:keepNext w:val="0"/>
        <w:keepLines w:val="0"/>
        <w:pageBreakBefore w:val="0"/>
        <w:kinsoku/>
        <w:wordWrap/>
        <w:overflowPunct/>
        <w:topLinePunct w:val="0"/>
        <w:bidi w:val="0"/>
        <w:spacing w:beforeAutospacing="0" w:afterAutospacing="0" w:line="600" w:lineRule="exact"/>
        <w:ind w:left="210" w:leftChars="100"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儿童（1-7岁）模式、儿童（7-15岁）模式、成人（瘦弱）模式、成人（正常）模式、成人（丰腴）模式。</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自定义模式：治疗前设定各时段的压力、频率及时间，治疗中不可调。</w:t>
      </w:r>
    </w:p>
    <w:p>
      <w:pPr>
        <w:keepNext w:val="0"/>
        <w:keepLines w:val="0"/>
        <w:pageBreakBefore w:val="0"/>
        <w:kinsoku/>
        <w:wordWrap/>
        <w:overflowPunct/>
        <w:topLinePunct w:val="0"/>
        <w:bidi w:val="0"/>
        <w:spacing w:beforeAutospacing="0" w:afterAutospacing="0" w:line="600" w:lineRule="exact"/>
        <w:ind w:left="0" w:leftChars="0"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9.定时功能：自动模式定时时间5min--20min，手动模式定时时间1min--99min，步距为1min。</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10.排痰机工作噪声：正常工作的整机噪音≤50dB。（A计权）</w:t>
      </w:r>
    </w:p>
    <w:p>
      <w:pPr>
        <w:keepNext w:val="0"/>
        <w:keepLines w:val="0"/>
        <w:pageBreakBefore w:val="0"/>
        <w:kinsoku/>
        <w:wordWrap/>
        <w:overflowPunct/>
        <w:topLinePunct w:val="0"/>
        <w:bidi w:val="0"/>
        <w:spacing w:beforeAutospacing="0" w:afterAutospacing="0" w:line="600" w:lineRule="exact"/>
        <w:ind w:left="14" w:leftChars="0"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11.排痰机手动释压：治疗仪提供在各种状态下手动释放加压装置气压的措施。该措施只需一个动作就能完成。</w:t>
      </w:r>
    </w:p>
    <w:p>
      <w:pPr>
        <w:keepNext w:val="0"/>
        <w:keepLines w:val="0"/>
        <w:pageBreakBefore w:val="0"/>
        <w:kinsoku/>
        <w:wordWrap/>
        <w:overflowPunct/>
        <w:topLinePunct w:val="0"/>
        <w:bidi w:val="0"/>
        <w:spacing w:beforeAutospacing="0" w:afterAutospacing="0" w:line="600" w:lineRule="exact"/>
        <w:ind w:left="0" w:leftChars="0"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12.充气背心：背心由外套及气囊两部分组成，可以拆卸，外套可按普通衣物的方式随时进行清洗和消毒。可选配一次性充气背心及胸带。</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13.背心尺寸（单位：mm，尺寸可供选配）：</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标配：标准全胸充气背心3个、简易半胸充气带3个。</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成人背心尺寸：1450*640     1300*640   1020*640</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成人胸带尺寸：1350*200     1120*200   920*200</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儿童背心尺寸：946*600      827*526    737*472</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儿童胸带尺寸：800*180      650*180    500*180</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highlight w:val="none"/>
          <w:lang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lang w:eastAsia="zh-CN"/>
        </w:rPr>
        <w:t>五、</w:t>
      </w:r>
      <w:r>
        <w:rPr>
          <w:rFonts w:hint="eastAsia" w:ascii="微软雅黑" w:hAnsi="微软雅黑" w:eastAsia="微软雅黑" w:cs="微软雅黑"/>
          <w:b/>
          <w:bCs w:val="0"/>
          <w:color w:val="auto"/>
          <w:sz w:val="24"/>
          <w:szCs w:val="24"/>
          <w:highlight w:val="none"/>
        </w:rPr>
        <w:t>高流量湿化氧疗系统参数</w:t>
      </w:r>
      <w:r>
        <w:rPr>
          <w:rFonts w:hint="eastAsia" w:ascii="微软雅黑" w:hAnsi="微软雅黑" w:eastAsia="微软雅黑" w:cs="微软雅黑"/>
          <w:b/>
          <w:bCs w:val="0"/>
          <w:color w:val="auto"/>
          <w:sz w:val="24"/>
          <w:szCs w:val="24"/>
          <w:highlight w:val="none"/>
          <w:lang w:eastAsia="zh-CN"/>
        </w:rPr>
        <w:t>（</w:t>
      </w:r>
      <w:r>
        <w:rPr>
          <w:rFonts w:hint="eastAsia" w:ascii="微软雅黑" w:hAnsi="微软雅黑" w:eastAsia="微软雅黑" w:cs="微软雅黑"/>
          <w:b/>
          <w:bCs w:val="0"/>
          <w:color w:val="auto"/>
          <w:sz w:val="24"/>
          <w:szCs w:val="24"/>
          <w:highlight w:val="none"/>
          <w:lang w:val="en-US" w:eastAsia="zh-CN"/>
        </w:rPr>
        <w:t>5台</w:t>
      </w:r>
      <w:r>
        <w:rPr>
          <w:rFonts w:hint="eastAsia" w:ascii="微软雅黑" w:hAnsi="微软雅黑" w:eastAsia="微软雅黑" w:cs="微软雅黑"/>
          <w:b/>
          <w:bCs w:val="0"/>
          <w:color w:val="auto"/>
          <w:sz w:val="24"/>
          <w:szCs w:val="24"/>
          <w:highlight w:val="none"/>
          <w:lang w:eastAsia="zh-CN"/>
        </w:rPr>
        <w:t>）</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适用人群：成人、小儿。</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不小于4.3英寸触摸显示屏，支持触摸、飞梭双重操作，简便快捷。（需提供证明文件）</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流量设置范围不小于：2～80L/Min。（需提供注册检验报告证明）</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内置电子空氧混合系统，氧浓度设置和监测范围：21%～100%，测量精度：设定值的±3%。 </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 xml:space="preserve">采用高性能涡轮驱动，无需压缩空气源。 </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支持血氧饱和度监测，可选Masimo、Nellcor血氧，便于评估高流量氧疗的治疗效果，方便医生实时优化治疗方案。（需提供注册检验报告证明）</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血流灌注指数PI测量范围：0.02%-20%。（需提供注册检验报告证明）</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具有待机界面、通气界面、配置界面三种不同的显示界面。</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具有快氧通气功能，快速提升氧浓度，提高患者氧储备，便于吸痰、纤支镜、插管等护理操作。（需提供注册检验报告证明）</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具有计时功能。具有过滤棉更换提示和更换过滤棉剩余时间显示功能。</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bookmarkStart w:id="13" w:name="_Toc42634029"/>
      <w:r>
        <w:rPr>
          <w:rFonts w:hint="eastAsia" w:ascii="微软雅黑" w:hAnsi="微软雅黑" w:eastAsia="微软雅黑" w:cs="微软雅黑"/>
          <w:b w:val="0"/>
          <w:bCs/>
          <w:color w:val="auto"/>
          <w:sz w:val="24"/>
          <w:szCs w:val="24"/>
        </w:rPr>
        <w:t>可选配辅助流量计，辅助氧流量输出</w:t>
      </w:r>
      <w:bookmarkEnd w:id="13"/>
      <w:r>
        <w:rPr>
          <w:rFonts w:hint="eastAsia" w:ascii="微软雅黑" w:hAnsi="微软雅黑" w:eastAsia="微软雅黑" w:cs="微软雅黑"/>
          <w:b w:val="0"/>
          <w:bCs/>
          <w:color w:val="auto"/>
          <w:sz w:val="24"/>
          <w:szCs w:val="24"/>
        </w:rPr>
        <w:t>范围：0～30L/Min；</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可选配内置锂离子电池，满足转运供电需求。（需提供注册检验报告证明）</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可存储不少于160小时趋势图/趋势表数据回顾，2000</w:t>
      </w:r>
      <w:r>
        <w:rPr>
          <w:rFonts w:hint="eastAsia" w:ascii="微软雅黑" w:hAnsi="微软雅黑" w:eastAsia="微软雅黑" w:cs="微软雅黑"/>
          <w:b w:val="0"/>
          <w:bCs/>
          <w:color w:val="auto"/>
          <w:sz w:val="24"/>
          <w:szCs w:val="24"/>
          <w:lang w:val="zh-CN"/>
        </w:rPr>
        <w:t>条日志记录信息</w:t>
      </w:r>
      <w:r>
        <w:rPr>
          <w:rFonts w:hint="eastAsia" w:ascii="微软雅黑" w:hAnsi="微软雅黑" w:eastAsia="微软雅黑" w:cs="微软雅黑"/>
          <w:b w:val="0"/>
          <w:bCs/>
          <w:color w:val="auto"/>
          <w:sz w:val="24"/>
          <w:szCs w:val="24"/>
        </w:rPr>
        <w:t>。（需提供证明文件）</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可配轻质、紧凑的医用推车，便于院内转运。</w:t>
      </w:r>
    </w:p>
    <w:p>
      <w:pPr>
        <w:pStyle w:val="33"/>
        <w:keepNext w:val="0"/>
        <w:keepLines w:val="0"/>
        <w:pageBreakBefore w:val="0"/>
        <w:numPr>
          <w:ilvl w:val="0"/>
          <w:numId w:val="14"/>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产品使用寿命不少于10年。（需提供证明文件）</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highlight w:val="none"/>
          <w:lang w:val="en-US"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六、呼吸机（无创）参数（1台）</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适用于对成人和儿童患者进行通气辅助及呼吸支持，中文操作界面。能够满足危重症患者的无创通气需求。</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采用电动涡轮供气方式，在断电断气状态下可继续工作，保证患者通气安全，最大峰流速≥300L/min（无证明材料）。</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采用≥12英寸高清全贴合电容触摸屏，分辨率≥1920*1080，屏幕可上下左右调整角度，并采用屏机分离技术，方便临床医护人员进行观察及清洁。</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屏幕显示：同屏显示≥4道波形，可同屏显示短趋势、波形、监测值。</w:t>
      </w:r>
    </w:p>
    <w:p>
      <w:pPr>
        <w:pStyle w:val="15"/>
        <w:keepNext w:val="0"/>
        <w:keepLines w:val="0"/>
        <w:pageBreakBefore w:val="0"/>
        <w:widowControl/>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lang w:eastAsia="zh-Hans"/>
        </w:rPr>
      </w:pPr>
      <w:r>
        <w:rPr>
          <w:rFonts w:hint="eastAsia" w:ascii="微软雅黑" w:hAnsi="微软雅黑" w:eastAsia="微软雅黑" w:cs="微软雅黑"/>
          <w:b w:val="0"/>
          <w:bCs/>
          <w:color w:val="auto"/>
          <w:sz w:val="24"/>
          <w:szCs w:val="24"/>
        </w:rPr>
        <w:t>4</w:t>
      </w:r>
      <w:r>
        <w:rPr>
          <w:rFonts w:hint="eastAsia" w:ascii="微软雅黑" w:hAnsi="微软雅黑" w:eastAsia="微软雅黑" w:cs="微软雅黑"/>
          <w:b w:val="0"/>
          <w:bCs/>
          <w:color w:val="auto"/>
          <w:sz w:val="24"/>
          <w:szCs w:val="24"/>
          <w:lang w:eastAsia="zh-Hans"/>
        </w:rPr>
        <w:t>.1</w:t>
      </w:r>
      <w:r>
        <w:rPr>
          <w:rFonts w:hint="eastAsia" w:ascii="微软雅黑" w:hAnsi="微软雅黑" w:eastAsia="微软雅黑" w:cs="微软雅黑"/>
          <w:b w:val="0"/>
          <w:bCs/>
          <w:color w:val="auto"/>
          <w:sz w:val="24"/>
          <w:szCs w:val="24"/>
        </w:rPr>
        <w:t>具有屏幕锁功能，可以进行屏幕锁定防止误触碰，造成通气参数改变</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内置后备可充电锂电池≥180分钟（1块电池），可选双电池≥360分钟，电池总剩余电量能显示在屏幕上。</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吸气阀组件一体化设计，可快速拆卸，并能高温高压蒸汽消毒（134℃）以防止交叉感染。</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通气模式：</w:t>
      </w:r>
    </w:p>
    <w:p>
      <w:pPr>
        <w:pStyle w:val="15"/>
        <w:keepNext w:val="0"/>
        <w:keepLines w:val="0"/>
        <w:pageBreakBefore w:val="0"/>
        <w:widowControl/>
        <w:numPr>
          <w:ilvl w:val="0"/>
          <w:numId w:val="16"/>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具有持续气道正压通气模式（CPAP）；自主模式（S）；自主/时控模式（S/T）；压力控制模式(PCV)；</w:t>
      </w:r>
      <w:r>
        <w:rPr>
          <w:rFonts w:hint="eastAsia" w:ascii="微软雅黑" w:hAnsi="微软雅黑" w:eastAsia="微软雅黑" w:cs="微软雅黑"/>
          <w:b w:val="0"/>
          <w:bCs/>
          <w:color w:val="auto"/>
          <w:sz w:val="24"/>
          <w:szCs w:val="24"/>
          <w:lang w:eastAsia="zh-Hans"/>
        </w:rPr>
        <w:t>容量保证时间控制模式（VG-T）</w:t>
      </w:r>
    </w:p>
    <w:p>
      <w:pPr>
        <w:pStyle w:val="15"/>
        <w:keepNext w:val="0"/>
        <w:keepLines w:val="0"/>
        <w:pageBreakBefore w:val="0"/>
        <w:widowControl/>
        <w:numPr>
          <w:ilvl w:val="0"/>
          <w:numId w:val="16"/>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可选比例压力支持模式(PPS)，</w:t>
      </w:r>
      <w:r>
        <w:rPr>
          <w:rFonts w:hint="eastAsia" w:ascii="微软雅黑" w:hAnsi="微软雅黑" w:eastAsia="微软雅黑" w:cs="微软雅黑"/>
          <w:b w:val="0"/>
          <w:bCs/>
          <w:color w:val="auto"/>
          <w:sz w:val="24"/>
          <w:szCs w:val="24"/>
          <w:lang w:eastAsia="zh-Hans"/>
        </w:rPr>
        <w:t>，</w:t>
      </w:r>
      <w:r>
        <w:rPr>
          <w:rFonts w:hint="eastAsia" w:ascii="微软雅黑" w:hAnsi="微软雅黑" w:eastAsia="微软雅黑" w:cs="微软雅黑"/>
          <w:b w:val="0"/>
          <w:bCs/>
          <w:color w:val="auto"/>
          <w:sz w:val="24"/>
          <w:szCs w:val="24"/>
        </w:rPr>
        <w:t>压力调节容量控制模式（</w:t>
      </w:r>
      <w:r>
        <w:rPr>
          <w:rFonts w:hint="eastAsia" w:ascii="微软雅黑" w:hAnsi="微软雅黑" w:eastAsia="微软雅黑" w:cs="微软雅黑"/>
          <w:b w:val="0"/>
          <w:bCs/>
          <w:color w:val="auto"/>
          <w:sz w:val="24"/>
          <w:szCs w:val="24"/>
          <w:lang w:eastAsia="zh-Hans"/>
        </w:rPr>
        <w:t>PRVC</w:t>
      </w:r>
      <w:r>
        <w:rPr>
          <w:rFonts w:hint="eastAsia" w:ascii="微软雅黑" w:hAnsi="微软雅黑" w:eastAsia="微软雅黑" w:cs="微软雅黑"/>
          <w:b w:val="0"/>
          <w:bCs/>
          <w:color w:val="auto"/>
          <w:sz w:val="24"/>
          <w:szCs w:val="24"/>
        </w:rPr>
        <w:t>）。</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具备高流速氧疗功能；氧疗最大流速≥80L/min，具有氧疗计时功能。</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Hans"/>
        </w:rPr>
        <w:t>可选高流量氧疗下可实时监测</w:t>
      </w:r>
      <w:r>
        <w:rPr>
          <w:rFonts w:hint="eastAsia" w:ascii="微软雅黑" w:hAnsi="微软雅黑" w:eastAsia="微软雅黑" w:cs="微软雅黑"/>
          <w:b w:val="0"/>
          <w:bCs/>
          <w:color w:val="auto"/>
          <w:sz w:val="24"/>
          <w:szCs w:val="24"/>
        </w:rPr>
        <w:t>ROX指数</w:t>
      </w:r>
      <w:r>
        <w:rPr>
          <w:rFonts w:hint="eastAsia" w:ascii="微软雅黑" w:hAnsi="微软雅黑" w:eastAsia="微软雅黑" w:cs="微软雅黑"/>
          <w:b w:val="0"/>
          <w:bCs/>
          <w:color w:val="auto"/>
          <w:sz w:val="24"/>
          <w:szCs w:val="24"/>
          <w:lang w:eastAsia="zh-Hans"/>
        </w:rPr>
        <w:t>及</w:t>
      </w:r>
      <w:r>
        <w:rPr>
          <w:rFonts w:hint="eastAsia" w:ascii="微软雅黑" w:hAnsi="微软雅黑" w:eastAsia="微软雅黑" w:cs="微软雅黑"/>
          <w:b w:val="0"/>
          <w:bCs/>
          <w:color w:val="auto"/>
          <w:sz w:val="24"/>
          <w:szCs w:val="24"/>
        </w:rPr>
        <w:t>趋势</w:t>
      </w:r>
      <w:r>
        <w:rPr>
          <w:rFonts w:hint="eastAsia" w:ascii="微软雅黑" w:hAnsi="微软雅黑" w:eastAsia="微软雅黑" w:cs="微软雅黑"/>
          <w:b w:val="0"/>
          <w:bCs/>
          <w:color w:val="auto"/>
          <w:sz w:val="24"/>
          <w:szCs w:val="24"/>
          <w:lang w:eastAsia="zh-Hans"/>
        </w:rPr>
        <w:t>回顾</w:t>
      </w:r>
    </w:p>
    <w:p>
      <w:pPr>
        <w:pStyle w:val="15"/>
        <w:keepNext w:val="0"/>
        <w:keepLines w:val="0"/>
        <w:pageBreakBefore w:val="0"/>
        <w:widowControl/>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Hans"/>
        </w:rPr>
        <w:t>9.1</w:t>
      </w:r>
      <w:r>
        <w:rPr>
          <w:rFonts w:hint="eastAsia" w:ascii="微软雅黑" w:hAnsi="微软雅黑" w:eastAsia="微软雅黑" w:cs="微软雅黑"/>
          <w:b w:val="0"/>
          <w:bCs/>
          <w:color w:val="auto"/>
          <w:sz w:val="24"/>
          <w:szCs w:val="24"/>
        </w:rPr>
        <w:t>可选OSI、RSS、SpO</w:t>
      </w:r>
      <w:r>
        <w:rPr>
          <w:rFonts w:hint="eastAsia" w:ascii="微软雅黑" w:hAnsi="微软雅黑" w:eastAsia="微软雅黑" w:cs="微软雅黑"/>
          <w:b w:val="0"/>
          <w:bCs/>
          <w:color w:val="auto"/>
          <w:sz w:val="24"/>
          <w:szCs w:val="24"/>
          <w:vertAlign w:val="subscript"/>
        </w:rPr>
        <w:t>2</w:t>
      </w:r>
      <w:r>
        <w:rPr>
          <w:rFonts w:hint="eastAsia" w:ascii="微软雅黑" w:hAnsi="微软雅黑" w:eastAsia="微软雅黑" w:cs="微软雅黑"/>
          <w:b w:val="0"/>
          <w:bCs/>
          <w:color w:val="auto"/>
          <w:sz w:val="24"/>
          <w:szCs w:val="24"/>
        </w:rPr>
        <w:t>/FiO</w:t>
      </w:r>
      <w:r>
        <w:rPr>
          <w:rFonts w:hint="eastAsia" w:ascii="微软雅黑" w:hAnsi="微软雅黑" w:eastAsia="微软雅黑" w:cs="微软雅黑"/>
          <w:b w:val="0"/>
          <w:bCs/>
          <w:color w:val="auto"/>
          <w:sz w:val="24"/>
          <w:szCs w:val="24"/>
          <w:vertAlign w:val="subscript"/>
        </w:rPr>
        <w:t>2</w:t>
      </w:r>
      <w:r>
        <w:rPr>
          <w:rFonts w:hint="eastAsia" w:ascii="微软雅黑" w:hAnsi="微软雅黑" w:eastAsia="微软雅黑" w:cs="微软雅黑"/>
          <w:b w:val="0"/>
          <w:bCs/>
          <w:color w:val="auto"/>
          <w:sz w:val="24"/>
          <w:szCs w:val="24"/>
        </w:rPr>
        <w:t>等评估参数，动态关注氧疗效果</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具有压力释放、延时升压功能。</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具有同步技术，可自动调节吸气触发/呼气切换灵敏度，手动调节≥6档。</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可实时监测病人端泄漏量和总泄漏量，具备自动漏气补偿功能，最大漏气补偿≥120L/min（无证明材料）。</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Hans"/>
        </w:rPr>
        <w:t>可选</w:t>
      </w:r>
      <w:r>
        <w:rPr>
          <w:rFonts w:hint="eastAsia" w:ascii="微软雅黑" w:hAnsi="微软雅黑" w:eastAsia="微软雅黑" w:cs="微软雅黑"/>
          <w:b w:val="0"/>
          <w:bCs/>
          <w:color w:val="auto"/>
          <w:sz w:val="24"/>
          <w:szCs w:val="24"/>
        </w:rPr>
        <w:t>SpO</w:t>
      </w:r>
      <w:r>
        <w:rPr>
          <w:rFonts w:hint="eastAsia" w:ascii="微软雅黑" w:hAnsi="微软雅黑" w:eastAsia="微软雅黑" w:cs="微软雅黑"/>
          <w:b w:val="0"/>
          <w:bCs/>
          <w:color w:val="auto"/>
          <w:sz w:val="24"/>
          <w:szCs w:val="24"/>
          <w:vertAlign w:val="subscript"/>
        </w:rPr>
        <w:t>2，</w:t>
      </w:r>
      <w:r>
        <w:rPr>
          <w:rFonts w:hint="eastAsia" w:ascii="微软雅黑" w:hAnsi="微软雅黑" w:eastAsia="微软雅黑" w:cs="微软雅黑"/>
          <w:b w:val="0"/>
          <w:bCs/>
          <w:color w:val="auto"/>
          <w:sz w:val="24"/>
          <w:szCs w:val="24"/>
        </w:rPr>
        <w:t>提供SpO2和PR监测值，提供脉搏波。</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Hans"/>
        </w:rPr>
        <w:t>可选呼末二氧化碳。</w:t>
      </w:r>
    </w:p>
    <w:p>
      <w:pPr>
        <w:pStyle w:val="33"/>
        <w:keepNext w:val="0"/>
        <w:keepLines w:val="0"/>
        <w:pageBreakBefore w:val="0"/>
        <w:numPr>
          <w:ilvl w:val="0"/>
          <w:numId w:val="15"/>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设置参数</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潮气量：50ml—2000ml。</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持续气道正压CPAP：</w:t>
      </w:r>
      <w:r>
        <w:rPr>
          <w:rFonts w:hint="eastAsia" w:ascii="微软雅黑" w:hAnsi="微软雅黑" w:eastAsia="微软雅黑" w:cs="微软雅黑"/>
          <w:b w:val="0"/>
          <w:bCs/>
          <w:color w:val="auto"/>
          <w:sz w:val="24"/>
          <w:szCs w:val="24"/>
          <w:lang w:eastAsia="zh-Hans"/>
        </w:rPr>
        <w:t>成人/小儿</w:t>
      </w:r>
      <w:r>
        <w:rPr>
          <w:rFonts w:hint="eastAsia" w:ascii="微软雅黑" w:hAnsi="微软雅黑" w:eastAsia="微软雅黑" w:cs="微软雅黑"/>
          <w:b w:val="0"/>
          <w:bCs/>
          <w:color w:val="auto"/>
          <w:sz w:val="24"/>
          <w:szCs w:val="24"/>
        </w:rPr>
        <w:t>3-30 cmH2O。</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IPAP：3-50 cmH2O</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EPAP：3-30 cmH2O。</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支持压力：4-50 cmH2O。</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呼吸频率：</w:t>
      </w:r>
      <w:r>
        <w:rPr>
          <w:rFonts w:hint="eastAsia" w:ascii="微软雅黑" w:hAnsi="微软雅黑" w:eastAsia="微软雅黑" w:cs="微软雅黑"/>
          <w:b w:val="0"/>
          <w:bCs/>
          <w:color w:val="auto"/>
          <w:sz w:val="24"/>
          <w:szCs w:val="24"/>
          <w:lang w:eastAsia="zh-Hans"/>
        </w:rPr>
        <w:t>成人/小儿：</w:t>
      </w:r>
      <w:r>
        <w:rPr>
          <w:rFonts w:hint="eastAsia" w:ascii="微软雅黑" w:hAnsi="微软雅黑" w:eastAsia="微软雅黑" w:cs="微软雅黑"/>
          <w:b w:val="0"/>
          <w:bCs/>
          <w:color w:val="auto"/>
          <w:sz w:val="24"/>
          <w:szCs w:val="24"/>
        </w:rPr>
        <w:t>1-60次/min。</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吸气时间：0.2—5s，吸护比I/E：4:1～1:10</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吸入氧浓度：21%—100%</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压力上升时间：1-7档可调</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压力释放：</w:t>
      </w:r>
      <w:r>
        <w:rPr>
          <w:rFonts w:hint="eastAsia" w:ascii="微软雅黑" w:hAnsi="微软雅黑" w:eastAsia="微软雅黑" w:cs="微软雅黑"/>
          <w:b w:val="0"/>
          <w:bCs/>
          <w:color w:val="auto"/>
          <w:sz w:val="24"/>
          <w:szCs w:val="24"/>
          <w:lang w:eastAsia="zh-Hans"/>
        </w:rPr>
        <w:t>OFF，0-3</w:t>
      </w:r>
      <w:r>
        <w:rPr>
          <w:rFonts w:hint="eastAsia" w:ascii="微软雅黑" w:hAnsi="微软雅黑" w:eastAsia="微软雅黑" w:cs="微软雅黑"/>
          <w:b w:val="0"/>
          <w:bCs/>
          <w:color w:val="auto"/>
          <w:sz w:val="24"/>
          <w:szCs w:val="24"/>
        </w:rPr>
        <w:t>档可调。</w:t>
      </w:r>
    </w:p>
    <w:p>
      <w:pPr>
        <w:pStyle w:val="33"/>
        <w:keepNext w:val="0"/>
        <w:keepLines w:val="0"/>
        <w:pageBreakBefore w:val="0"/>
        <w:numPr>
          <w:ilvl w:val="0"/>
          <w:numId w:val="17"/>
        </w:numPr>
        <w:kinsoku/>
        <w:wordWrap/>
        <w:overflowPunct/>
        <w:topLinePunct w:val="0"/>
        <w:bidi w:val="0"/>
        <w:snapToGrid w:val="0"/>
        <w:spacing w:beforeAutospacing="0" w:afterAutospacing="0" w:line="600" w:lineRule="exact"/>
        <w:ind w:left="1"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延时升压时间：OFF，1-60min。</w:t>
      </w:r>
    </w:p>
    <w:p>
      <w:pPr>
        <w:pStyle w:val="33"/>
        <w:keepNext w:val="0"/>
        <w:keepLines w:val="0"/>
        <w:pageBreakBefore w:val="0"/>
        <w:numPr>
          <w:ilvl w:val="0"/>
          <w:numId w:val="15"/>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监测参数：</w:t>
      </w:r>
    </w:p>
    <w:p>
      <w:pPr>
        <w:pStyle w:val="33"/>
        <w:keepNext w:val="0"/>
        <w:keepLines w:val="0"/>
        <w:pageBreakBefore w:val="0"/>
        <w:numPr>
          <w:ilvl w:val="0"/>
          <w:numId w:val="18"/>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气道峰压、平均压、呼气末正压等参数监测。</w:t>
      </w:r>
    </w:p>
    <w:p>
      <w:pPr>
        <w:pStyle w:val="33"/>
        <w:keepNext w:val="0"/>
        <w:keepLines w:val="0"/>
        <w:pageBreakBefore w:val="0"/>
        <w:numPr>
          <w:ilvl w:val="0"/>
          <w:numId w:val="18"/>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潮气量、分钟通气量、病人端/总的分钟泄漏量等参数监测。</w:t>
      </w:r>
    </w:p>
    <w:p>
      <w:pPr>
        <w:pStyle w:val="15"/>
        <w:keepNext w:val="0"/>
        <w:keepLines w:val="0"/>
        <w:pageBreakBefore w:val="0"/>
        <w:widowControl/>
        <w:numPr>
          <w:ilvl w:val="0"/>
          <w:numId w:val="18"/>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呼吸频率、病人触发百分比、吸气百分比等参数监测。</w:t>
      </w:r>
    </w:p>
    <w:p>
      <w:pPr>
        <w:pStyle w:val="15"/>
        <w:keepNext w:val="0"/>
        <w:keepLines w:val="0"/>
        <w:pageBreakBefore w:val="0"/>
        <w:widowControl/>
        <w:numPr>
          <w:ilvl w:val="0"/>
          <w:numId w:val="18"/>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Hans"/>
        </w:rPr>
        <w:t>病人触发比例：0-100%</w:t>
      </w:r>
    </w:p>
    <w:p>
      <w:pPr>
        <w:pStyle w:val="33"/>
        <w:keepNext w:val="0"/>
        <w:keepLines w:val="0"/>
        <w:pageBreakBefore w:val="0"/>
        <w:numPr>
          <w:ilvl w:val="0"/>
          <w:numId w:val="15"/>
        </w:numPr>
        <w:kinsoku/>
        <w:wordWrap/>
        <w:overflowPunct/>
        <w:topLinePunct w:val="0"/>
        <w:autoSpaceDE w:val="0"/>
        <w:autoSpaceDN w:val="0"/>
        <w:bidi w:val="0"/>
        <w:adjustRightIn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具有智能逻辑判断及报警链管理，具有分级报警和声光报警。</w:t>
      </w:r>
    </w:p>
    <w:p>
      <w:pPr>
        <w:pStyle w:val="33"/>
        <w:keepNext w:val="0"/>
        <w:keepLines w:val="0"/>
        <w:pageBreakBefore w:val="0"/>
        <w:numPr>
          <w:ilvl w:val="0"/>
          <w:numId w:val="15"/>
        </w:numPr>
        <w:kinsoku/>
        <w:wordWrap/>
        <w:overflowPunct/>
        <w:topLinePunct w:val="0"/>
        <w:autoSpaceDE w:val="0"/>
        <w:autoSpaceDN w:val="0"/>
        <w:bidi w:val="0"/>
        <w:adjustRightIn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报</w:t>
      </w:r>
      <w:r>
        <w:rPr>
          <w:rFonts w:hint="eastAsia" w:ascii="微软雅黑" w:hAnsi="微软雅黑" w:eastAsia="微软雅黑" w:cs="微软雅黑"/>
          <w:b w:val="0"/>
          <w:bCs/>
          <w:color w:val="auto"/>
          <w:sz w:val="24"/>
          <w:szCs w:val="24"/>
        </w:rPr>
        <w:t>警参数：气道高压、气道低压、呼气末压力过高/过低、总计呼吸频率过高/过低、吸入氧浓度过高/过低、分钟通气量过高/过低、脉率过高/过低、SPO</w:t>
      </w:r>
      <w:r>
        <w:rPr>
          <w:rFonts w:hint="eastAsia" w:ascii="微软雅黑" w:hAnsi="微软雅黑" w:eastAsia="微软雅黑" w:cs="微软雅黑"/>
          <w:b w:val="0"/>
          <w:bCs/>
          <w:color w:val="auto"/>
          <w:sz w:val="24"/>
          <w:szCs w:val="24"/>
          <w:vertAlign w:val="subscript"/>
        </w:rPr>
        <w:t>2</w:t>
      </w:r>
      <w:r>
        <w:rPr>
          <w:rFonts w:hint="eastAsia" w:ascii="微软雅黑" w:hAnsi="微软雅黑" w:eastAsia="微软雅黑" w:cs="微软雅黑"/>
          <w:b w:val="0"/>
          <w:bCs/>
          <w:color w:val="auto"/>
          <w:sz w:val="24"/>
          <w:szCs w:val="24"/>
        </w:rPr>
        <w:t>低、电源中断、电池电量低。</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具备截屏、录屏功能，可储存≥10000条事件记录，可储存≥168小时趋势数据，并可用U盘导出非加密文件。</w:t>
      </w:r>
    </w:p>
    <w:p>
      <w:pPr>
        <w:pStyle w:val="33"/>
        <w:keepNext w:val="0"/>
        <w:keepLines w:val="0"/>
        <w:pageBreakBefore w:val="0"/>
        <w:numPr>
          <w:ilvl w:val="0"/>
          <w:numId w:val="15"/>
        </w:numPr>
        <w:kinsoku/>
        <w:wordWrap/>
        <w:overflowPunct/>
        <w:topLinePunct w:val="0"/>
        <w:bidi w:val="0"/>
        <w:snapToGrid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具备HDMI扩展显示、RS232接口、网络接口、USB接口、护士呼叫等接口。</w:t>
      </w:r>
    </w:p>
    <w:p>
      <w:pPr>
        <w:pStyle w:val="15"/>
        <w:keepNext w:val="0"/>
        <w:keepLines w:val="0"/>
        <w:pageBreakBefore w:val="0"/>
        <w:widowControl/>
        <w:numPr>
          <w:ilvl w:val="0"/>
          <w:numId w:val="15"/>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能够通过网络联网，把呼吸机的监测信息实时显示到</w:t>
      </w:r>
      <w:r>
        <w:rPr>
          <w:rFonts w:hint="eastAsia" w:ascii="微软雅黑" w:hAnsi="微软雅黑" w:eastAsia="微软雅黑" w:cs="微软雅黑"/>
          <w:b w:val="0"/>
          <w:bCs/>
          <w:color w:val="auto"/>
          <w:sz w:val="24"/>
          <w:szCs w:val="24"/>
          <w:lang w:eastAsia="zh-Hans"/>
        </w:rPr>
        <w:t>监护仪、</w:t>
      </w:r>
      <w:r>
        <w:rPr>
          <w:rFonts w:hint="eastAsia" w:ascii="微软雅黑" w:hAnsi="微软雅黑" w:eastAsia="微软雅黑" w:cs="微软雅黑"/>
          <w:b w:val="0"/>
          <w:bCs/>
          <w:color w:val="auto"/>
          <w:sz w:val="24"/>
          <w:szCs w:val="24"/>
        </w:rPr>
        <w:t>中央监护站或全院监护系统，满足科室信息化的需求和呼吸机管理。</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七、除颤监护仪参数（1台）</w:t>
      </w:r>
    </w:p>
    <w:p>
      <w:pPr>
        <w:keepNext w:val="0"/>
        <w:keepLines w:val="0"/>
        <w:pageBreakBefore w:val="0"/>
        <w:widowControl/>
        <w:numPr>
          <w:ilvl w:val="0"/>
          <w:numId w:val="19"/>
        </w:numPr>
        <w:tabs>
          <w:tab w:val="left" w:pos="0"/>
        </w:tabs>
        <w:kinsoku/>
        <w:wordWrap/>
        <w:overflowPunct/>
        <w:topLinePunct w:val="0"/>
        <w:bidi w:val="0"/>
        <w:spacing w:beforeAutospacing="0" w:afterAutospacing="0" w:line="600" w:lineRule="exact"/>
        <w:ind w:left="238" w:leftChars="0"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具备手动除颤、心电监护、自动体外除颤（AED）功能。除颤具备自动阻抗补偿功能；可选配升级体外起搏功能，起搏分为固定和按需两种模式。具备降速起搏功能。可选配专用体内除颤附件包。</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kern w:val="0"/>
          <w:sz w:val="24"/>
          <w:szCs w:val="24"/>
        </w:rPr>
        <w:t>同步除颤和手动除颤中，能量分25档以上，可通过体外电极板进行能量选择最小为1J，最大为360J。</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支持AED除颤功能，电击能量：100～360J。</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除颤充电迅速，充电至200J&lt;3s，充电至360J&lt;7s。</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kern w:val="0"/>
          <w:sz w:val="24"/>
          <w:szCs w:val="24"/>
        </w:rPr>
        <w:t>具有旋钮式能量选择，可快速选择12档位能量，可调节4种模式。</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体外除颤电极板手柄支持充电、放电、能量选择，具备充电完成指示灯。成人、小儿一体化电极板。</w:t>
      </w:r>
    </w:p>
    <w:p>
      <w:pPr>
        <w:pStyle w:val="46"/>
        <w:keepNext w:val="0"/>
        <w:keepLines w:val="0"/>
        <w:pageBreakBefore w:val="0"/>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病人阻抗范围：体外除颤：20~300Ω；体内除颤：15-300Ω。</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kern w:val="0"/>
          <w:sz w:val="24"/>
          <w:szCs w:val="24"/>
        </w:rPr>
        <w:t>监护功能：可选配升级SpO2、NIBP、EtCO2监测功能。具有≥26种心律失常分析。</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kern w:val="0"/>
          <w:sz w:val="24"/>
          <w:szCs w:val="24"/>
        </w:rPr>
        <w:t>标配1块电池可支持360J除颤210次以上，电池体上带有五段LED 电池电量指示装置，用于快速评估电池电量。</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具备生理报警和技术报警功能，并且具有双报警灯，分别显示生理报警和技术报警。</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kern w:val="0"/>
          <w:sz w:val="24"/>
          <w:szCs w:val="24"/>
        </w:rPr>
        <w:t>彩色TFT显示屏≥7英寸, 分辨率800×480，最多可显示4道监护参数波形，有高对比度显示界面。</w:t>
      </w:r>
    </w:p>
    <w:p>
      <w:pPr>
        <w:pStyle w:val="33"/>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rPr>
        <w:t>体外除颤监护仪</w:t>
      </w:r>
      <w:r>
        <w:rPr>
          <w:rFonts w:hint="eastAsia" w:ascii="微软雅黑" w:hAnsi="微软雅黑" w:eastAsia="微软雅黑" w:cs="微软雅黑"/>
          <w:b w:val="0"/>
          <w:bCs/>
          <w:color w:val="auto"/>
          <w:kern w:val="0"/>
          <w:sz w:val="24"/>
          <w:szCs w:val="24"/>
        </w:rPr>
        <w:t>配置50mm记录仪，实时记录时间有3秒、5秒、8秒、16秒、32秒、连续可供选择。</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sz w:val="24"/>
          <w:szCs w:val="24"/>
        </w:rPr>
        <w:t>主机具备录音功能，最大支持≥240min录音存储。</w:t>
      </w:r>
    </w:p>
    <w:p>
      <w:pPr>
        <w:keepNext w:val="0"/>
        <w:keepLines w:val="0"/>
        <w:pageBreakBefore w:val="0"/>
        <w:widowControl/>
        <w:numPr>
          <w:ilvl w:val="0"/>
          <w:numId w:val="19"/>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关机状态下设备可自动运行自检，支持大能量自检（不低于200J）、屏幕、按键检测。</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符合欧盟救护车标准EN1789:2007，防护等级IP44。</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bCs w:val="0"/>
          <w:color w:val="auto"/>
          <w:sz w:val="24"/>
          <w:szCs w:val="24"/>
          <w:highlight w:val="none"/>
          <w:lang w:val="en-US"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kern w:val="0"/>
          <w:sz w:val="24"/>
          <w:szCs w:val="24"/>
          <w:highlight w:val="none"/>
        </w:rPr>
      </w:pPr>
      <w:r>
        <w:rPr>
          <w:rFonts w:hint="eastAsia" w:ascii="微软雅黑" w:hAnsi="微软雅黑" w:eastAsia="微软雅黑" w:cs="微软雅黑"/>
          <w:b/>
          <w:bCs w:val="0"/>
          <w:color w:val="auto"/>
          <w:sz w:val="24"/>
          <w:szCs w:val="24"/>
          <w:highlight w:val="none"/>
          <w:lang w:val="en-US" w:eastAsia="zh-CN"/>
        </w:rPr>
        <w:t>八、全自动清洗消毒器参数（1台）</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一：设备参数及配置</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清洗舱</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容积：</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≥180L</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材质：</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镜面覆膜面不锈钢板</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1.1.3</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对接口：</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清洗架注水口位于清洗舱的后部中间，以保证清洗架方便对接且占用较少的舱体空间</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1.1.4</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使用寿命：</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≥10年/15000次循环</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1.1.5</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主体保温：</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≥12mm橡塑海绵</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密封门</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开门方式：</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手动电子安全门锁</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门结构：</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单密封门,玻璃视窗</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1.2.3</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安全联锁：</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关门未关到位或者未关闭程序不可运行，电子安全门锁程序运行过程不得开门,可使用特殊工具应急开门</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1.2.4</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门压紧方式：</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门采用被动压紧方式（机构锁紧），密封可靠</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1.2.5</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门胶条：</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特制硅橡胶而成</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管路系统</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干燥系统</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带热风干燥功能</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核心配件</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循环泵、排水泵等均为进口品牌；</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1.3.3</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计量泵：</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标配1个</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1.3.4</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循环泵：</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流量最大500L/min，最大功率600W</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1.3.5</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排水泵：</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独立排污泵排水</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1.3.6</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空气过滤器：</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标配前置过滤器F4,高效过滤器H13</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1.3.7</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风机</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进口高压风机，最大流量120（立方米/小时）,最大功率700W</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控制系统</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控制方式：</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网络协议：可扩展支持工业以太网，支持TCP/IP等众多网络协议;</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功耗：极低的功耗，极低的对外电磁干扰（EMI）;接口：带有多种通讯接口RS485，RS232，IIC总线扩展接口等；工作温度：工作温度在0℃～40℃范围内，可在恶劣的工业环境中稳定工作;</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 xml:space="preserve">界面显示：高清7英寸，真彩电阻屏触摸屏，显示各部件输入输出状态，报警信息显示;系统权限：系统可靠，操作分权限管理，更安全；屏幕颜色：65K真彩触摸屏；                                                                                                                                         </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1.4.3</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流程控制：</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预洗、清洗、漂洗一、漂洗二、消毒、干燥;</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1.4.4</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温度指示器：</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A级精度温度传感器采集温度，显示精确度0.1℃。1.4.5</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管理权限</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五级管理权限;</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1.4.6</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记录方式</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标配内置针式打印机，打印记录可永久保存.</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1.4.7</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安全保护</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超温自动保护装置：超过设定温度，系统自动切断加热电源；防干烧保护装置：水位低造成加热管干烧时，系统自动切断加热电源。具有安全冷却锁，温度高于安全温度不允许开门。</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1.5</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程序系统: 8套预置程序，32套可编辑程序;</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1.6</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整体参数</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1.6.1</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运行时间：</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≤55分钟</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1.6.2</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装载量配置：32个牙科手机＋3个器械篮筐(462*220*50mm)</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1.6.3</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外形尺寸</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宽*深*高=600×670×1740mm</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1.6.4</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加热方式：</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电加热</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1.6.5</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耗电量</w:t>
      </w:r>
      <w:r>
        <w:rPr>
          <w:rFonts w:hint="eastAsia" w:ascii="微软雅黑" w:hAnsi="微软雅黑" w:eastAsia="微软雅黑" w:cs="微软雅黑"/>
          <w:b w:val="0"/>
          <w:bCs/>
          <w:color w:val="auto"/>
          <w:sz w:val="24"/>
          <w:szCs w:val="24"/>
        </w:rPr>
        <w:tab/>
      </w:r>
      <w:r>
        <w:rPr>
          <w:rFonts w:hint="eastAsia" w:ascii="微软雅黑" w:hAnsi="微软雅黑" w:eastAsia="微软雅黑" w:cs="微软雅黑"/>
          <w:b w:val="0"/>
          <w:bCs/>
          <w:color w:val="auto"/>
          <w:sz w:val="24"/>
          <w:szCs w:val="24"/>
        </w:rPr>
        <w:t>≤1.6KW/循环</w:t>
      </w:r>
      <w:r>
        <w:rPr>
          <w:rFonts w:hint="eastAsia" w:ascii="微软雅黑" w:hAnsi="微软雅黑" w:eastAsia="微软雅黑" w:cs="微软雅黑"/>
          <w:b w:val="0"/>
          <w:bCs/>
          <w:color w:val="auto"/>
          <w:sz w:val="24"/>
          <w:szCs w:val="24"/>
        </w:rPr>
        <w:tab/>
      </w: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lang w:val="en-US"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九、过氧化氢消毒器参数（1台）</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用途：适用于实验动物中心、实验室、生物制药、医疗卫生等单位对密封空间的空气和物品表面进行彻底的消毒或灭菌；</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消毒介质：雾化过氧化氢；</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采用洁净压缩空气为动力，提供高压高速气流与文丘里原理将过氧化氢水溶液迅速变成雾状过氧化氢；</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外形尺寸：≤450×450×940（mm）（长*宽*高）；</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安装方式：带脚轮，可移动；</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eastAsia="zh-CN"/>
        </w:rPr>
        <w:t>*</w:t>
      </w:r>
      <w:r>
        <w:rPr>
          <w:rFonts w:hint="eastAsia" w:ascii="微软雅黑" w:hAnsi="微软雅黑" w:eastAsia="微软雅黑" w:cs="微软雅黑"/>
          <w:b w:val="0"/>
          <w:bCs/>
          <w:color w:val="auto"/>
          <w:sz w:val="24"/>
          <w:szCs w:val="24"/>
        </w:rPr>
        <w:t>设备主要材质：一体成型吸塑外壳，304不锈钢支架；</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噪音：</w:t>
      </w:r>
      <w:r>
        <w:rPr>
          <w:rFonts w:hint="eastAsia" w:ascii="微软雅黑" w:hAnsi="微软雅黑" w:eastAsia="微软雅黑" w:cs="微软雅黑"/>
          <w:b w:val="0"/>
          <w:bCs/>
          <w:color w:val="auto"/>
          <w:sz w:val="24"/>
          <w:szCs w:val="24"/>
        </w:rPr>
        <w:t>≤</w:t>
      </w:r>
      <w:r>
        <w:rPr>
          <w:rFonts w:hint="eastAsia" w:ascii="微软雅黑" w:hAnsi="微软雅黑" w:eastAsia="微软雅黑" w:cs="微软雅黑"/>
          <w:b w:val="0"/>
          <w:bCs/>
          <w:color w:val="auto"/>
          <w:kern w:val="0"/>
          <w:sz w:val="24"/>
          <w:szCs w:val="24"/>
        </w:rPr>
        <w:t>70分贝；</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H </w:t>
      </w:r>
      <w:r>
        <w:rPr>
          <w:rFonts w:hint="eastAsia" w:ascii="微软雅黑" w:hAnsi="微软雅黑" w:eastAsia="微软雅黑" w:cs="微软雅黑"/>
          <w:b w:val="0"/>
          <w:bCs/>
          <w:color w:val="auto"/>
          <w:kern w:val="0"/>
          <w:sz w:val="24"/>
          <w:szCs w:val="24"/>
          <w:vertAlign w:val="subscript"/>
        </w:rPr>
        <w:t>2</w:t>
      </w:r>
      <w:r>
        <w:rPr>
          <w:rFonts w:hint="eastAsia" w:ascii="微软雅黑" w:hAnsi="微软雅黑" w:eastAsia="微软雅黑" w:cs="微软雅黑"/>
          <w:b w:val="0"/>
          <w:bCs/>
          <w:color w:val="auto"/>
          <w:kern w:val="0"/>
          <w:sz w:val="24"/>
          <w:szCs w:val="24"/>
        </w:rPr>
        <w:t> O </w:t>
      </w:r>
      <w:r>
        <w:rPr>
          <w:rFonts w:hint="eastAsia" w:ascii="微软雅黑" w:hAnsi="微软雅黑" w:eastAsia="微软雅黑" w:cs="微软雅黑"/>
          <w:b w:val="0"/>
          <w:bCs/>
          <w:color w:val="auto"/>
          <w:kern w:val="0"/>
          <w:sz w:val="24"/>
          <w:szCs w:val="24"/>
          <w:vertAlign w:val="subscript"/>
        </w:rPr>
        <w:t>2</w:t>
      </w:r>
      <w:r>
        <w:rPr>
          <w:rFonts w:hint="eastAsia" w:ascii="微软雅黑" w:hAnsi="微软雅黑" w:eastAsia="微软雅黑" w:cs="微软雅黑"/>
          <w:b w:val="0"/>
          <w:bCs/>
          <w:color w:val="auto"/>
          <w:kern w:val="0"/>
          <w:sz w:val="24"/>
          <w:szCs w:val="24"/>
        </w:rPr>
        <w:t>储存量：≥2.5L；</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H 2 O 2浓度：7.5％；</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H 2 O 2 用量：≤10ml/m³；</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电源要求 ：220VAC，50Hz，≤1KW；</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微生物杀灭水平≧99.9%；</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全自动运行消毒或灭菌循环，整个过程无需人工干预；</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消毒/灭菌工艺随空间容积大小调整，2小时可完成对微生物学研究、检测设备内部物品表面及空气的消毒；</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可通过无线网络连接通风单元、检测单元等形成大的消毒网络达到大空间的日常消毒；</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灭菌效果监测：提供过氧化氢气体专用化学指示卡和生物指示剂（选配）等耗材，监测设备的灭菌效果；</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从事本项目的专业设计人员需具有中级工程师以上职业资格，同时具有实验动物从业资格证，需提供相应的证书证明。</w:t>
      </w:r>
    </w:p>
    <w:p>
      <w:pPr>
        <w:keepNext w:val="0"/>
        <w:keepLines w:val="0"/>
        <w:pageBreakBefore w:val="0"/>
        <w:numPr>
          <w:ilvl w:val="0"/>
          <w:numId w:val="20"/>
        </w:numPr>
        <w:kinsoku/>
        <w:wordWrap/>
        <w:overflowPunct/>
        <w:topLinePunct w:val="0"/>
        <w:bidi w:val="0"/>
        <w:spacing w:beforeAutospacing="0" w:afterAutospacing="0" w:line="600" w:lineRule="exact"/>
        <w:ind w:left="357" w:firstLine="480" w:firstLineChars="200"/>
        <w:jc w:val="left"/>
        <w:outlineLvl w:val="9"/>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生产厂家为国家认定企业技术中心，获得过省部级以上奖项（以企业信誉和产品获奖荣誉证明为准），获得过全国百佳质量诚信标杆企业。提供相应证明。</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lang w:eastAsia="zh-CN"/>
        </w:rPr>
        <w:t>*</w:t>
      </w:r>
      <w:r>
        <w:rPr>
          <w:rFonts w:hint="eastAsia" w:ascii="微软雅黑" w:hAnsi="微软雅黑" w:eastAsia="微软雅黑" w:cs="微软雅黑"/>
          <w:b w:val="0"/>
          <w:bCs/>
          <w:color w:val="auto"/>
          <w:kern w:val="0"/>
          <w:sz w:val="24"/>
          <w:szCs w:val="24"/>
        </w:rPr>
        <w:t>生产厂家通过ISO 9001质量管理体系、ISO 14001环境管理体系、ISO 45001职业健康安全管理体系认证，具有中国合格评定国家认可委员会实验室认可证书（CNAS认证），提供相应证明</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lang w:val="en-US"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十、多功能麻醉机技术参数（1台）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主要使用功能及技术参数要求：</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设备名称：麻醉机</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工作电源要求：220-240V、50HZ。</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适用病人范围：新生儿、儿童、成人。</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气源安全要求</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5.1空气、氧气二气源</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5.2具有笑氧安全比例装置</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5.3氧笑比例控制阀，线性控制阀保证氧浓度高于 21%，并且保证氧流量不低于 200 mL/min</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5.4快速充氧25 - 75 L/min，不经过挥发罐</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呼吸模式</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6.1容量控制模式</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6.2压力限制模式</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*6.3压力控制模式</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6.4手动/自主.</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挥发罐：</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7.1配同品牌七氟醚挥发罐</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7.2挥发罐具有压力、流速、温度补偿</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7.3挥发罐转运时无需排空</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，挥发罐在储藏和转运时可任意角度放置</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回路系统：</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8.1可134度高温消毒，整体拆卸方便。</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*8.2回路自动加热系统，减少回路积水。（非冷凝水收集装置）</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呼吸机</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*9.1气动电控或电动电控呼吸机，供气故障时可利用室内空气工作</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9.2适用于成人到婴儿，无需更换任何部件</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*9.3潮气量设置范围：容量控制模式下最小达到20ML，具有自动补偿功能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9.4呼吸频率：4-60次/分</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9.5吸呼比：4：1—1：4</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9.5 PEEP：0-20cmH2O连续可调</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安全测试：</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10.1泄露测试和顺应性测试，数值显示</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10.2潮气量自动补偿。</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监测参数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11.1潮气量：0 – 1500 mL</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11.2分钟通气量：0-99.9 L/min  </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11.3气道压力 （数字显示）0-99 mbar (cmH2O)</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11.4呼吸频率</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：0-99 bpm</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11.5氧浓度：21%-100%</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11.6 PEEP：0-20cmH2O</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11.7在手动通气或自主呼吸时，监测功能仍然有效</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12操作界面：</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*12.1≥10.5英寸彩色屏幕</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12.2要求全中文操作界面，设置参数和监测参数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12.3波形同屏显示</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13报警</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13.1分钟通气量</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13.2气道压力 （包括阻塞和脱管）</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13.3吸入氧浓度</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13.4断电时声音报警，特殊的传感器故障报警</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*14保修：≥2年，厂家出具承诺书</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lang w:val="en-US"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十一、监护除颤仪参数（1台）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1、*除颤功能可用于成人，儿童，新生儿（注册证证明）。</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2、*资质：本品牌在国内有≥15年除颤器生产历史（提供最早国内注册证明文件）。</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3、显示器: 彩色LCD显示，屏幕亮度≥1000cd/m2 ,可显示ECG，SpO2, EtCO2等4通道波形, 支持数字放大，波形冻结。</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4、除颤电流波形：进口专利双相波技术。</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5、*除颤能量: 低能量选择≤300J, 减少心肌损伤（能量高于300J视为负偏离，而非正偏离）。</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6、*除颤精度：负载阻抗175欧时，选择最大能量时的能量误差≦5%（提供说明书或者检验报告证明）。</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7、*快速开机：1秒内完成开机、最高能量选择、智能自检等三个项目,以最快速度实施除颤（现场演示或提供证明材料）。</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8、能量及工作模式选择: 一体旋扭式，快速，直观。</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9、*快速充电：使用直流电或交流电时，均可实现5秒内充电到最高能量（检验报告证明），充电过程中可在屏幕上显示当前能量值。</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10、*电容：高性能集合式电容，确保性能稳定。</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11、标配工作模式：手动除颤，同步复律，生命体征监护，内部放电，机器智能自检。</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12、具备内部放电模式。</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13、*带有醒目彩色自检指示灯,关机时不连接交流电情况下，也可指示机器状态。</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14、手动除颤电极板：标配成人、儿童各一付。</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15、可升级主流法呼吸末二氧化碳，既能用于插管病人，又能用于非插管病人，传感器预热时间不超过10秒，可从生理指标反馈CPR质量, IPX7防水等级。</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16、可升级血氧饱和度：进口血氧技术，血氧饱和度探头防水等级≥IPX5。</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17、电池：标配安全性高的环保电池。</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18、打印：标配内置热敏打印。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19、工作温度：-5℃到40℃；振动冲击及跌落认证：通过MIL-STD-810F 514.5 Category 4 及MIL-STD-810F 514.5 Category 9 ，可用于救护车及急救直升机，可承受1米跌落。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20、*主机带有电极板垂直放置卡槽。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21、数据存储：可存储≥160小时心电图连续波形，可存储周围环境音。</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22、*配置除颤导电膏，提供专业除颤导电膏注册证，有效降低接触阻抗，提高除颤效率。</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p>
    <w:p>
      <w:pPr>
        <w:keepNext w:val="0"/>
        <w:keepLines w:val="0"/>
        <w:pageBreakBefore w:val="0"/>
        <w:kinsoku/>
        <w:wordWrap/>
        <w:overflowPunct/>
        <w:topLinePunct w:val="0"/>
        <w:bidi w:val="0"/>
        <w:spacing w:beforeAutospacing="0" w:afterAutospacing="0" w:line="600" w:lineRule="exact"/>
        <w:jc w:val="center"/>
        <w:outlineLvl w:val="9"/>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十二、可视喉镜技术规格参数（1台）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（一）主机技术要求</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1、采用智能主控芯片，可无缝兼容窥视叶片手柄、硬管手柄、软管手柄，无需转接。</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2、采用广角高亮显示屏，视场角≥160°。</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3、主机屏幕≥3.5寸，显示分辨率≥640×480。</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4、屏幕采用医用电阻触摸屏，通过压力点触，方便医生戴手套操作。</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5、可通过HDMI外接显示器，实现同屏实时显示传输。</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6、主机内置多媒体系统，可拍照、录像、录音，可在主机上直接阅读、回放。</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7、可通过USB实现数据导出，方便科研、教学。 </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8、主机内置操作使用视频，方便临床医护人员快速掌握设备使用方法。</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9、具有户外/户内环境模式，以适应不同插管环境。</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10、内置锂电池，容量不低于2500mAh，工作时间≥240分钟，具备电量管理功能。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11、主机与各种手柄均可带电一键插拔连接、分离，无需旋转，方便临床使用及携带。</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12、显示器能上下0º～130º转动，左右0º～270º转动，以方便特殊体位的操作。</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13、可通过有线及无线模式外接图像处理工作站，实现同屏实时显示传输。</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（二）窥视叶片手柄技术规格要求</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1、采用数字电子成像技术，成像能力不低于30万像素。空间分辨率≥10.081p/mm。</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2、采用可调节的多功能手柄，一支手柄可满足婴幼儿、小儿、成人的插管需求，无需更换。</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3、手柄滑竿采用304不锈钢材质，可承重90KG拉力。</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4、手柄前端配备智能温控加热板，非LED灯加热，以实现即时防雾功能。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5、照明采用LED灯，亮度≥1000LUX。</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6、手柄可同时适配一次性喉镜片和可重复使用窥视叶片，型号分别为：SS（婴幼儿型）、S（儿童型）、M（成人型）、L（成人大号型）。</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7、一次性喉镜片及可重复使用窥视叶片均作磨砂防反光处理，操作视野更为清晰。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8、最小开口度≤13mm，适合不同体型插管患者。</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9、具备耐磨、防跌落、防泼洒性能，以满足特殊抢救环境使用。</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10、与主机之间的连接方式采用一键插拔，无需旋转，利于临床抢救。</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11、支持无线及有线传输功能模块连接便携式主机，方便携带。</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12、支持无线及有线传输功能模块连接图像处理工作站，实现远程、直播、报告打印等，方便医生操作、教学。</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视频喉镜（配窥视手柄）配置清单</w:t>
      </w:r>
    </w:p>
    <w:p>
      <w:pPr>
        <w:pageBreakBefore w:val="0"/>
        <w:numPr>
          <w:ilvl w:val="0"/>
          <w:numId w:val="21"/>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便携箱1个</w:t>
      </w:r>
    </w:p>
    <w:p>
      <w:pPr>
        <w:pageBreakBefore w:val="0"/>
        <w:numPr>
          <w:ilvl w:val="0"/>
          <w:numId w:val="21"/>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主机1台</w:t>
      </w:r>
    </w:p>
    <w:p>
      <w:pPr>
        <w:pageBreakBefore w:val="0"/>
        <w:numPr>
          <w:ilvl w:val="0"/>
          <w:numId w:val="21"/>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窥视叶片手柄1把</w:t>
      </w:r>
    </w:p>
    <w:p>
      <w:pPr>
        <w:pageBreakBefore w:val="0"/>
        <w:numPr>
          <w:ilvl w:val="0"/>
          <w:numId w:val="21"/>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窥视叶片1把</w:t>
      </w:r>
    </w:p>
    <w:p>
      <w:pPr>
        <w:pageBreakBefore w:val="0"/>
        <w:numPr>
          <w:ilvl w:val="0"/>
          <w:numId w:val="21"/>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电源适配器1个</w:t>
      </w:r>
    </w:p>
    <w:p>
      <w:pPr>
        <w:pageBreakBefore w:val="0"/>
        <w:numPr>
          <w:ilvl w:val="0"/>
          <w:numId w:val="21"/>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数据线</w:t>
      </w:r>
      <w:r>
        <w:rPr>
          <w:rFonts w:hint="eastAsia" w:ascii="微软雅黑" w:hAnsi="微软雅黑" w:eastAsia="微软雅黑" w:cs="微软雅黑"/>
          <w:sz w:val="24"/>
          <w:szCs w:val="24"/>
          <w:highlight w:val="none"/>
          <w:lang w:val="en-US" w:eastAsia="zh-CN"/>
        </w:rPr>
        <w:t>1根</w:t>
      </w:r>
    </w:p>
    <w:p>
      <w:pPr>
        <w:pageBreakBefore w:val="0"/>
        <w:numPr>
          <w:ilvl w:val="0"/>
          <w:numId w:val="21"/>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使用说明书</w:t>
      </w:r>
      <w:r>
        <w:rPr>
          <w:rFonts w:hint="eastAsia" w:ascii="微软雅黑" w:hAnsi="微软雅黑" w:eastAsia="微软雅黑" w:cs="微软雅黑"/>
          <w:sz w:val="24"/>
          <w:szCs w:val="24"/>
          <w:highlight w:val="none"/>
          <w:lang w:val="en-US" w:eastAsia="zh-CN"/>
        </w:rPr>
        <w:t>1本</w:t>
      </w:r>
    </w:p>
    <w:p>
      <w:pPr>
        <w:pageBreakBefore w:val="0"/>
        <w:numPr>
          <w:ilvl w:val="0"/>
          <w:numId w:val="21"/>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合格证、产品质保卡、装箱清单</w:t>
      </w:r>
      <w:r>
        <w:rPr>
          <w:rFonts w:hint="eastAsia" w:ascii="微软雅黑" w:hAnsi="微软雅黑" w:eastAsia="微软雅黑" w:cs="微软雅黑"/>
          <w:sz w:val="24"/>
          <w:szCs w:val="24"/>
          <w:highlight w:val="none"/>
          <w:lang w:val="en-US" w:eastAsia="zh-CN"/>
        </w:rPr>
        <w:t>1份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十三、血液透析机参数（2台）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1、设备开机后进入强制自检程序，治疗结束后具备自动关机功能。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2、通过欧盟CE认证，可进行血液透析HD、单针透析或单纯超滤ISO-UF等治疗。</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3、中文触摸彩色屏幕,占地面积小。</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*4、采用密闭式双容量平衡腔控制的超滤系统，超滤速度连续可调，超滤目标可调范围：10ml-9,990ml，平衡腔容积：每个腔体≤32ML。超滤精度为超滤量≤±1%,超滤误差：±10 ml/h。</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*5、在治疗过程中每＜15分钟进行水路系统密闭式测试，确保治疗过程中更安全，精准。</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6、消毒方式采用化学消毒、热消毒、化学加热消毒,消毒脱钙一体化设计。A.B液吸管能联机整合消毒，无需清洗棒等其他额外消耗品。</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7、具备空气探测器。</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8、漏血监测功能：双重监测，红光监测，绿光补偿，分辨真假漏血报警。</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*9、设备标准配置了压力差传感器，可及时反馈治疗过程中体外循环动静脉压力差的变化，起到双重监测功能，确保患者治疗的安全。</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10、静脉压监测范围：-60 mmHg~+500mmHg，精确度±10mmHg，分辨率±5mmHg。</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11、动脉压监测范围：-300mmHg~+250mmHg，精确度±10mmHg，分辨率±5mmHg。</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12、跨膜压监测范围：-60 mmHg~+500mmHg，分辨率±5mmHg。</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13、设备在预冲、回输模式下可自动调整血泵流速为100ml/min，无需手动调整。</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14、血流量设定范围：0，30-500ml/min（0-500 ml/min），可实时显示有效血流量。</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15、血泵内径≤8mm，具备泵管辅助安装功能。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16、肝素注入速度设定范围：≥0-10ml/h，分辨率 0.1ml/h。</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17、透析液流量：0，300，500ml/min。</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18、透析液温度监控（具备超温报警）：温度设定35℃~39℃，连续可调，精度±0.5℃。</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19、透析液电导率标尺显示范围13 - 15.5mS/cm，精度：±0.1 mS/cm。</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20、设备具备静脉压最小值监测范围：20mmHg可快速反馈静脉血环系统血流变化， 防止脱针导致的失血，确保患者治疗安全。</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21、可预设多种透析液配方（≥10个配方）。</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22、可调节处方钠和碳酸氢根离子的浓度，显示透析液中各离子浓度。</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23、设备标配后备电池。</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24、全自动的清洗，脱脂，化学加热消毒可加热到90℃,单次消毒液吸液量小于75ml,节省消毒液用量，可节约科室成本。</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*25、标准配置细菌过滤器装置，对细菌和内毒素同时隔绝，确保透析液品质，可提供实验室数据。</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26、为更好的提供服务，要求陕西省有生产厂家分公司或办事处。</w:t>
      </w:r>
    </w:p>
    <w:p>
      <w:pPr>
        <w:keepNext w:val="0"/>
        <w:keepLines w:val="0"/>
        <w:pageBreakBefore w:val="0"/>
        <w:kinsoku/>
        <w:wordWrap/>
        <w:overflowPunct/>
        <w:topLinePunct w:val="0"/>
        <w:bidi w:val="0"/>
        <w:spacing w:beforeAutospacing="0" w:afterAutospacing="0" w:line="600" w:lineRule="exact"/>
        <w:jc w:val="center"/>
        <w:outlineLvl w:val="9"/>
        <w:rPr>
          <w:rFonts w:hint="eastAsia" w:ascii="微软雅黑" w:hAnsi="微软雅黑" w:eastAsia="微软雅黑" w:cs="微软雅黑"/>
          <w:b/>
          <w:bCs w:val="0"/>
          <w:color w:val="auto"/>
          <w:sz w:val="24"/>
          <w:szCs w:val="24"/>
          <w:highlight w:val="none"/>
          <w:lang w:val="en-US" w:eastAsia="zh-CN"/>
        </w:rPr>
      </w:pPr>
    </w:p>
    <w:p>
      <w:pPr>
        <w:keepNext w:val="0"/>
        <w:keepLines w:val="0"/>
        <w:pageBreakBefore w:val="0"/>
        <w:kinsoku/>
        <w:wordWrap/>
        <w:overflowPunct/>
        <w:topLinePunct w:val="0"/>
        <w:bidi w:val="0"/>
        <w:spacing w:beforeAutospacing="0" w:afterAutospacing="0" w:line="600" w:lineRule="exact"/>
        <w:jc w:val="center"/>
        <w:outlineLvl w:val="9"/>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十四、麻醉监护仪参数（1台）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1、≥12.1英寸彩色液晶电容触摸屏，分辨率为1280×800像素，≥10通道波形显示。</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2、具有光传感器，根据环境光自动调节屏幕亮度功能。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支持中文手写、拼音、英文3种输入法。</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4、具有单独的电池仓，免螺丝刀拆卸更换电池。</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可监测心电、血氧、脉博、无创血压、呼吸、体温等基础参数，可升级Masimo/Nellcor SPO2、顺泰血压、IBP、ETCO2、C.O.等参数模块。</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6、标配3/5导心电，支持升级6/12导心电，具有智能导联脱落，多导同步分析功能。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具有强大的心电抗干扰能力，耐极化电压：±850mV，系统噪声≤25μv。 </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心电模式具有诊断、手术、监护、ST模式，其中手术、监护、ST模式共模抑制能力&gt;106db；具备心拍类型识别功能，可区分正常心拍、异常心拍、起搏心拍。</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≥27种心律失常分析，包括房颤、室颤、停搏等。</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10、具有心率变异性分析功能。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11、支持升级Glasgow12导静息心电分析，适用于成人、小儿和新生儿。</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12、具有ST段分析和ST View功能，可实时监测ST段，评估心肌缺血，测量范围-2.5mV-+2.5mV。</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13、具有QT/QTc测量功能，提供QT、QTc参数值，测量范围：200ms-800ms。</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14、无创血压具有五种测量模式：手动、自动、序列、整点和连续测量；具有动态血压监测界面。</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15、具有多种界面显示：标准、大字体、动态趋势、呼吸氧合、它床观察、ECG全屏、ECG半屏、ECG12导、PAWP、EWS、单血氧、CCHD界面（选配）等。</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16、用户可自定义调节界面布局波形和参数功能。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17、支持计时器功能，可以同时显示最多4个计时器。</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18、计算功能：具有药物计算、肾功能计算、氧合计算、通气计算、血流动力学计算和滴定表功能。</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19、可支持≥240小时趋势图/表、≥3500组NIBP列表、≥2500组报警事件、≥48小时全息波形、≥48小时心律失常数据的存储和回顾。</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20、具备24小时心电概览报告，可查看心率统计、心律失常统计、QT/QTc统计、ST段统计、起搏统计等信息。</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21、支持临床辅助决策功能：SepsisSight脓毒症筛查、GCS格拉斯哥昏迷评分、EWS早期预警评分、CCHD筛查（选配）等。</w:t>
      </w:r>
    </w:p>
    <w:p>
      <w:pPr>
        <w:keepNext w:val="0"/>
        <w:keepLines w:val="0"/>
        <w:pageBreakBefore w:val="0"/>
        <w:kinsoku/>
        <w:wordWrap/>
        <w:overflowPunct/>
        <w:topLinePunct w:val="0"/>
        <w:bidi w:val="0"/>
        <w:spacing w:beforeAutospacing="0" w:afterAutospacing="0" w:line="600" w:lineRule="exact"/>
        <w:jc w:val="center"/>
        <w:outlineLvl w:val="9"/>
        <w:rPr>
          <w:rFonts w:hint="eastAsia" w:ascii="微软雅黑" w:hAnsi="微软雅黑" w:eastAsia="微软雅黑" w:cs="微软雅黑"/>
          <w:b/>
          <w:bCs w:val="0"/>
          <w:color w:val="auto"/>
          <w:sz w:val="24"/>
          <w:szCs w:val="24"/>
          <w:highlight w:val="none"/>
          <w:lang w:val="en-US" w:eastAsia="zh-CN"/>
        </w:rPr>
      </w:pPr>
    </w:p>
    <w:p>
      <w:pPr>
        <w:keepNext w:val="0"/>
        <w:keepLines w:val="0"/>
        <w:pageBreakBefore w:val="0"/>
        <w:kinsoku/>
        <w:wordWrap/>
        <w:overflowPunct/>
        <w:topLinePunct w:val="0"/>
        <w:bidi w:val="0"/>
        <w:spacing w:beforeAutospacing="0" w:afterAutospacing="0" w:line="600" w:lineRule="exact"/>
        <w:jc w:val="center"/>
        <w:outlineLvl w:val="9"/>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十五、十二导心电图机（2台）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1、心电分析：12导联及18导联自动分析算法。</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2、输入保护：标配导联线内附除颤保护电路。</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3、采样率：≥8000 Hz/8Ch。</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4、模数转换精度：≤2.5 μV。</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5、输入阻抗：≥50MΩ。</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6、共模抑制比：≥100dB。</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7、频率响应：0.05Hz-150Hz（+0.4/-3 dB）。</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8、标准灵敏度：10mm/mV, 误差≤±5%。</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9、滤波器：</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低通滤波：75Hz, 100Hz, 150Hz 三档</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肌电滤波：25Hz/35Hz 二档</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交流滤波: 50Hz或60Hz</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基线抑制: -20dB,-34dB 两档可选</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10、增益/灵敏度选择：5，10，20mm/mV，手动或自动。</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11、电极脱落：液晶显示器显示脱落部位。</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12、显示方式：≥7"液晶显示，支持视角调节，分辨率≥800*480。</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13、显示内容：系统菜单、心电波形、心率、导联名称、走纸速度、增益、滤波器、日期、患者信息、测量信息、工作模式、标记等。</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14、记录器：内置高分辨率热线阵打印。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15、记录道数：3, 3+1, 6, 12，12+6道。</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16、走纸速度：10, 12.5, 25，50mm/s。</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17、打印数据：程序型号、版本、日期和时间、走纸速度、灵敏度、导联名称、滤波器、患者信息（ID号码、年龄、性别）、计时标记、事件标记、18导联心电波形、18导联ST-Map图、分析报告等。</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18、自动分析结果：5大类综合判断意见，240种以上分析结论支持，至少四级自动分析灵敏度标准。十大类诊断意见。支持负荷后实验自动分析。分析结果支持中文或英文切换。</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19、信号输出：0.5V/1mV±5%，输出阻抗≤100Ω，输出短路时不损坏心电图机。</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20、文件保存类型：内置≥400份心电图，扩展支持。</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21、网络：标配LAN有线网络接口，支持USB方式wifi网络连接。</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bCs w:val="0"/>
          <w:color w:val="auto"/>
          <w:sz w:val="24"/>
          <w:szCs w:val="24"/>
          <w:highlight w:val="none"/>
          <w:lang w:val="en-US" w:eastAsia="zh-CN"/>
        </w:rPr>
      </w:pPr>
    </w:p>
    <w:p>
      <w:pPr>
        <w:keepNext w:val="0"/>
        <w:keepLines w:val="0"/>
        <w:pageBreakBefore w:val="0"/>
        <w:kinsoku/>
        <w:wordWrap/>
        <w:overflowPunct/>
        <w:topLinePunct w:val="0"/>
        <w:bidi w:val="0"/>
        <w:spacing w:beforeAutospacing="0" w:afterAutospacing="0" w:line="600" w:lineRule="exact"/>
        <w:ind w:firstLine="480" w:firstLineChars="200"/>
        <w:jc w:val="center"/>
        <w:outlineLvl w:val="9"/>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十六、血液灌滤机技术参数（1台）</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1.适用管路</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内径为ф8mm和ф6mm的标准泵管</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2.*血泵流量调节范围</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9mL～450mL/min（ф8mm）；6mL～300mL/min（ф6mm）</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3.泵预置量</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最大可达99999mL，血泵连续运转达8小时以上，累计量自动清零。</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4.*血泵精度通过单片机动态反馈和实时补偿控制，能够将血液流量精度控制在±5%范围内，达到人工心肺机用滚压式血泵的标准</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5.肝素泵流量调节范围</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0.5～10mL/h</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6.肝素泵流量精度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 xml:space="preserve">±5 % </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7.动脉压</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压力显示/报警范围：－20kPa～＋38kPa，显示精度±1kPa，报警误差±2kPa；监测范围：-150mmHg～+285mmHg</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8.静脉压</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报警限设置范围：－18kPa～＋40kPa，报警误差±2kPa，当报警下限设置低于＋1.3kPa，设备运行时“工作指示”灯闪烁，以表明设备处于超安全极限运行状态。</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9.血液保温器加热范围</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36～41℃，显示精度±0.1℃。</w:t>
      </w:r>
      <w:r>
        <w:rPr>
          <w:rFonts w:hint="eastAsia" w:ascii="微软雅黑" w:hAnsi="微软雅黑" w:eastAsia="微软雅黑" w:cs="微软雅黑"/>
          <w:sz w:val="24"/>
          <w:szCs w:val="24"/>
          <w:highlight w:val="none"/>
        </w:rPr>
        <w:tab/>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10.*电源供电</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采用模块化开关电源供电，能适应更宽范围的电压波动。即使电压波动超过±20%，也能保证设备稳定工作</w:t>
      </w:r>
    </w:p>
    <w:p>
      <w:pPr>
        <w:keepNext w:val="0"/>
        <w:keepLines w:val="0"/>
        <w:pageBreakBefore w:val="0"/>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安全监测参数</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气泡报警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静脉回血管内发现气泡，血泵自动停转，阻流夹阻断，伴声光和文字提示。</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液位报警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静脉壶内血液面低于传感器位置，血泵自动停转，阻流夹阻断，伴有声光报警和文字提示</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压力报警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管路内动</w:t>
      </w:r>
      <w:r>
        <w:rPr>
          <w:rFonts w:hint="eastAsia" w:ascii="微软雅黑" w:hAnsi="微软雅黑" w:eastAsia="微软雅黑" w:cs="微软雅黑"/>
          <w:sz w:val="24"/>
          <w:szCs w:val="24"/>
          <w:highlight w:val="none"/>
          <w:lang w:val="en-GB"/>
        </w:rPr>
        <w:t>(灌流器前压)</w:t>
      </w:r>
      <w:r>
        <w:rPr>
          <w:rFonts w:hint="eastAsia" w:ascii="微软雅黑" w:hAnsi="微软雅黑" w:eastAsia="微软雅黑" w:cs="微软雅黑"/>
          <w:sz w:val="24"/>
          <w:szCs w:val="24"/>
          <w:highlight w:val="none"/>
        </w:rPr>
        <w:t>、静脉压力超过报警上下限设置范围，血泵自动停转，伴有声光报警和文字提示</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结束报警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含系统时间（治疗时间）到、肝素时间到、泵预置量到三项结束报警提示</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泵盖报警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打开泵盖，血泵自动停转并有报警声音提示</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肝素推注完报警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注射器内肝素推注到底，肝素泵自动停止，伴有声光报警和文字提示。</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肝素阻塞报警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管路扭曲或阻塞致无法推注肝素，肝素泵自动停止，伴有声光和文字提示</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环境温度低报警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环境温度低于20℃时，启动血泵，加热器自动启动，伴有短暂声光报警</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*机内温度高报警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设有机内高温报警功能，能够避免因散热不畅导致电子元件长时间在高温环境下工作的危害，有利于延长产品使用寿命,当机内温度超过45℃时，有报警声音和报警文字提示</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*加热器超温报警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采用先进的加热方式和模糊控制模式，保证加热温度始终处于恒温状态，安全可靠,当加热介质温度超过41℃时，加热自动停止，伴有声光报警和文字提示。</w:t>
      </w:r>
    </w:p>
    <w:p>
      <w:pPr>
        <w:keepNext w:val="0"/>
        <w:keepLines w:val="0"/>
        <w:pageBreakBefore w:val="0"/>
        <w:numPr>
          <w:ilvl w:val="0"/>
          <w:numId w:val="22"/>
        </w:numPr>
        <w:kinsoku/>
        <w:wordWrap/>
        <w:overflowPunct/>
        <w:topLinePunct w:val="0"/>
        <w:bidi w:val="0"/>
        <w:spacing w:beforeAutospacing="0" w:afterAutospacing="0" w:line="600" w:lineRule="exact"/>
        <w:ind w:firstLine="480" w:firstLineChars="20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电源供电中断报警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当工作中出现供电中断，有报警声音提示</w:t>
      </w:r>
    </w:p>
    <w:p>
      <w:pPr>
        <w:pStyle w:val="47"/>
        <w:pageBreakBefore w:val="0"/>
        <w:kinsoku/>
        <w:wordWrap/>
        <w:overflowPunct/>
        <w:topLinePunct w:val="0"/>
        <w:bidi w:val="0"/>
        <w:spacing w:line="600" w:lineRule="exact"/>
        <w:ind w:left="0" w:leftChars="0" w:firstLine="0" w:firstLineChars="0"/>
        <w:jc w:val="center"/>
        <w:rPr>
          <w:rFonts w:hint="eastAsia" w:ascii="微软雅黑" w:hAnsi="微软雅黑" w:eastAsia="微软雅黑" w:cs="微软雅黑"/>
          <w:b/>
          <w:bCs w:val="0"/>
          <w:color w:val="auto"/>
          <w:kern w:val="2"/>
          <w:sz w:val="24"/>
          <w:szCs w:val="24"/>
          <w:highlight w:val="none"/>
          <w:lang w:val="en-US" w:eastAsia="zh-CN" w:bidi="ar-SA"/>
        </w:rPr>
      </w:pPr>
    </w:p>
    <w:p>
      <w:pPr>
        <w:pStyle w:val="47"/>
        <w:pageBreakBefore w:val="0"/>
        <w:kinsoku/>
        <w:wordWrap/>
        <w:overflowPunct/>
        <w:topLinePunct w:val="0"/>
        <w:bidi w:val="0"/>
        <w:spacing w:line="600" w:lineRule="exact"/>
        <w:ind w:left="0" w:leftChars="0" w:firstLine="0" w:firstLineChars="0"/>
        <w:jc w:val="center"/>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十七、注射泵综合技术参数</w:t>
      </w:r>
      <w:r>
        <w:rPr>
          <w:rFonts w:hint="eastAsia" w:ascii="微软雅黑" w:hAnsi="微软雅黑" w:eastAsia="微软雅黑" w:cs="微软雅黑"/>
          <w:b/>
          <w:bCs w:val="0"/>
          <w:color w:val="auto"/>
          <w:sz w:val="24"/>
          <w:szCs w:val="24"/>
          <w:highlight w:val="none"/>
          <w:lang w:val="en-US" w:eastAsia="zh-CN"/>
        </w:rPr>
        <w:t>（20台）</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 xml:space="preserve">1. </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注射器规格</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 xml:space="preserve">5 </w:t>
      </w:r>
      <w:r>
        <w:rPr>
          <w:rFonts w:hint="eastAsia" w:ascii="微软雅黑" w:hAnsi="微软雅黑" w:eastAsia="微软雅黑" w:cs="微软雅黑"/>
          <w:sz w:val="24"/>
          <w:szCs w:val="24"/>
          <w:highlight w:val="none"/>
        </w:rPr>
        <w:t>ml、10ml、20ml、30ml、50ml</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注射器</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适应任何品牌的一次性使用注射器</w:t>
      </w:r>
    </w:p>
    <w:p>
      <w:pPr>
        <w:pageBreakBefore w:val="0"/>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注射精度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 xml:space="preserve">≤± 2 % </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注射速度范围及增量</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 xml:space="preserve">0.1～ </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0ml/h (</w:t>
      </w:r>
      <w:r>
        <w:rPr>
          <w:rFonts w:hint="eastAsia" w:ascii="微软雅黑" w:hAnsi="微软雅黑" w:eastAsia="微软雅黑" w:cs="微软雅黑"/>
          <w:sz w:val="24"/>
          <w:szCs w:val="24"/>
          <w:highlight w:val="none"/>
          <w:lang w:val="en-US" w:eastAsia="zh-CN"/>
        </w:rPr>
        <w:t xml:space="preserve">5 </w:t>
      </w:r>
      <w:r>
        <w:rPr>
          <w:rFonts w:hint="eastAsia" w:ascii="微软雅黑" w:hAnsi="微软雅黑" w:eastAsia="微软雅黑" w:cs="微软雅黑"/>
          <w:sz w:val="24"/>
          <w:szCs w:val="24"/>
          <w:highlight w:val="none"/>
        </w:rPr>
        <w:t xml:space="preserve">ml注射器) </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0.1～ 300ml/h (10</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ml注射器)</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 xml:space="preserve">0.1～600ml/h (20 ml注射器)  </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0.1～ 900ml/h (30 ml注射器)  0.1～1</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00ml/h (50</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ml注射器)</w:t>
      </w:r>
      <w:r>
        <w:rPr>
          <w:rFonts w:hint="eastAsia" w:ascii="微软雅黑" w:hAnsi="微软雅黑" w:eastAsia="微软雅黑" w:cs="微软雅黑"/>
          <w:sz w:val="24"/>
          <w:szCs w:val="24"/>
          <w:highlight w:val="none"/>
          <w:lang w:val="en-US" w:eastAsia="zh-CN"/>
        </w:rPr>
        <w:t xml:space="preserve">  </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增量0.1～99.9ml/h为0.1 ml/h，100ml/h以上为1ml/h；   </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快注速度（Bolus）</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0ml/h  (</w:t>
      </w:r>
      <w:r>
        <w:rPr>
          <w:rFonts w:hint="eastAsia" w:ascii="微软雅黑" w:hAnsi="微软雅黑" w:eastAsia="微软雅黑" w:cs="微软雅黑"/>
          <w:sz w:val="24"/>
          <w:szCs w:val="24"/>
          <w:highlight w:val="none"/>
          <w:lang w:val="en-US" w:eastAsia="zh-CN"/>
        </w:rPr>
        <w:t xml:space="preserve">5 </w:t>
      </w:r>
      <w:r>
        <w:rPr>
          <w:rFonts w:hint="eastAsia" w:ascii="微软雅黑" w:hAnsi="微软雅黑" w:eastAsia="微软雅黑" w:cs="微软雅黑"/>
          <w:sz w:val="24"/>
          <w:szCs w:val="24"/>
          <w:highlight w:val="none"/>
        </w:rPr>
        <w:t>ml注射器)</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300ml/h (10</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 xml:space="preserve">ml注射器) </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 xml:space="preserve"> 600ml/h </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(20 ml注射器)</w:t>
      </w:r>
      <w:r>
        <w:rPr>
          <w:rFonts w:hint="eastAsia" w:ascii="微软雅黑" w:hAnsi="微软雅黑" w:eastAsia="微软雅黑" w:cs="微软雅黑"/>
          <w:sz w:val="24"/>
          <w:szCs w:val="24"/>
          <w:highlight w:val="none"/>
          <w:lang w:val="en-US" w:eastAsia="zh-CN"/>
        </w:rPr>
        <w:t xml:space="preserve">  </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 xml:space="preserve">900ml/h (30 ml注射器)  </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00ml/h (50</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ml注射器)</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累计量</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0～99999</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ml</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KVO速率</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1ml/h</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阻塞压力</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0KPa，高中低3档可调</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报警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自检、交流电源掉电、电池欠压、</w:t>
      </w:r>
      <w:r>
        <w:rPr>
          <w:rFonts w:hint="eastAsia" w:ascii="微软雅黑" w:hAnsi="微软雅黑" w:eastAsia="微软雅黑" w:cs="微软雅黑"/>
          <w:sz w:val="24"/>
          <w:szCs w:val="24"/>
          <w:highlight w:val="none"/>
          <w:lang w:eastAsia="zh-CN"/>
        </w:rPr>
        <w:t>管路</w:t>
      </w:r>
      <w:r>
        <w:rPr>
          <w:rFonts w:hint="eastAsia" w:ascii="微软雅黑" w:hAnsi="微软雅黑" w:eastAsia="微软雅黑" w:cs="微软雅黑"/>
          <w:sz w:val="24"/>
          <w:szCs w:val="24"/>
          <w:highlight w:val="none"/>
        </w:rPr>
        <w:t>阻塞、药</w:t>
      </w:r>
      <w:r>
        <w:rPr>
          <w:rFonts w:hint="eastAsia" w:ascii="微软雅黑" w:hAnsi="微软雅黑" w:eastAsia="微软雅黑" w:cs="微软雅黑"/>
          <w:sz w:val="24"/>
          <w:szCs w:val="24"/>
          <w:highlight w:val="none"/>
          <w:lang w:eastAsia="zh-CN"/>
        </w:rPr>
        <w:t>液</w:t>
      </w:r>
      <w:r>
        <w:rPr>
          <w:rFonts w:hint="eastAsia" w:ascii="微软雅黑" w:hAnsi="微软雅黑" w:eastAsia="微软雅黑" w:cs="微软雅黑"/>
          <w:sz w:val="24"/>
          <w:szCs w:val="24"/>
          <w:highlight w:val="none"/>
        </w:rPr>
        <w:t>将尽、药</w:t>
      </w:r>
      <w:r>
        <w:rPr>
          <w:rFonts w:hint="eastAsia" w:ascii="微软雅黑" w:hAnsi="微软雅黑" w:eastAsia="微软雅黑" w:cs="微软雅黑"/>
          <w:sz w:val="24"/>
          <w:szCs w:val="24"/>
          <w:highlight w:val="none"/>
          <w:lang w:eastAsia="zh-CN"/>
        </w:rPr>
        <w:t>液已</w:t>
      </w:r>
      <w:r>
        <w:rPr>
          <w:rFonts w:hint="eastAsia" w:ascii="微软雅黑" w:hAnsi="微软雅黑" w:eastAsia="微软雅黑" w:cs="微软雅黑"/>
          <w:sz w:val="24"/>
          <w:szCs w:val="24"/>
          <w:highlight w:val="none"/>
        </w:rPr>
        <w:t>尽、注射完成、注射器</w:t>
      </w:r>
      <w:r>
        <w:rPr>
          <w:rFonts w:hint="eastAsia" w:ascii="微软雅黑" w:hAnsi="微软雅黑" w:eastAsia="微软雅黑" w:cs="微软雅黑"/>
          <w:sz w:val="24"/>
          <w:szCs w:val="24"/>
          <w:highlight w:val="none"/>
          <w:lang w:eastAsia="zh-CN"/>
        </w:rPr>
        <w:t>脱落、</w:t>
      </w:r>
      <w:r>
        <w:rPr>
          <w:rFonts w:hint="eastAsia" w:ascii="微软雅黑" w:hAnsi="微软雅黑" w:eastAsia="微软雅黑" w:cs="微软雅黑"/>
          <w:sz w:val="24"/>
          <w:szCs w:val="24"/>
          <w:highlight w:val="none"/>
        </w:rPr>
        <w:t>参数超限</w:t>
      </w:r>
      <w:r>
        <w:rPr>
          <w:rFonts w:hint="eastAsia" w:ascii="微软雅黑" w:hAnsi="微软雅黑" w:eastAsia="微软雅黑" w:cs="微软雅黑"/>
          <w:sz w:val="24"/>
          <w:szCs w:val="24"/>
          <w:highlight w:val="none"/>
          <w:lang w:eastAsia="zh-CN"/>
        </w:rPr>
        <w:t>等</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环境条件</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工作环境条件：  温度:﹢5℃～﹢40℃   相对湿度：20% ～90%  大气压力：70.0～ 106.0 kPa</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运输和贮存条件：温度:－20℃～﹢55℃  相对湿度：≤93%      大气压力：50.0～ 106.0 kPa</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电源</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交流供电：AC100-240V  50/60Hz</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直流供电：DC1</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V，</w:t>
      </w:r>
      <w:r>
        <w:rPr>
          <w:rFonts w:hint="eastAsia" w:ascii="微软雅黑" w:hAnsi="微软雅黑" w:eastAsia="微软雅黑" w:cs="微软雅黑"/>
          <w:sz w:val="24"/>
          <w:szCs w:val="24"/>
          <w:highlight w:val="none"/>
          <w:lang w:eastAsia="zh-CN"/>
        </w:rPr>
        <w:t>可</w:t>
      </w:r>
      <w:r>
        <w:rPr>
          <w:rFonts w:hint="eastAsia" w:ascii="微软雅黑" w:hAnsi="微软雅黑" w:eastAsia="微软雅黑" w:cs="微软雅黑"/>
          <w:sz w:val="24"/>
          <w:szCs w:val="24"/>
          <w:highlight w:val="none"/>
        </w:rPr>
        <w:t>充电</w:t>
      </w:r>
      <w:r>
        <w:rPr>
          <w:rFonts w:hint="eastAsia" w:ascii="微软雅黑" w:hAnsi="微软雅黑" w:eastAsia="微软雅黑" w:cs="微软雅黑"/>
          <w:sz w:val="24"/>
          <w:szCs w:val="24"/>
          <w:highlight w:val="none"/>
          <w:lang w:eastAsia="zh-CN"/>
        </w:rPr>
        <w:t>锂</w:t>
      </w:r>
      <w:r>
        <w:rPr>
          <w:rFonts w:hint="eastAsia" w:ascii="微软雅黑" w:hAnsi="微软雅黑" w:eastAsia="微软雅黑" w:cs="微软雅黑"/>
          <w:sz w:val="24"/>
          <w:szCs w:val="24"/>
          <w:highlight w:val="none"/>
        </w:rPr>
        <w:t>电池</w:t>
      </w:r>
      <w:r>
        <w:rPr>
          <w:rFonts w:hint="eastAsia" w:ascii="微软雅黑" w:hAnsi="微软雅黑" w:eastAsia="微软雅黑" w:cs="微软雅黑"/>
          <w:sz w:val="24"/>
          <w:szCs w:val="24"/>
          <w:highlight w:val="none"/>
          <w:lang w:eastAsia="zh-CN"/>
        </w:rPr>
        <w:t>，供电使用</w:t>
      </w:r>
      <w:r>
        <w:rPr>
          <w:rFonts w:hint="eastAsia" w:ascii="微软雅黑" w:hAnsi="微软雅黑" w:eastAsia="微软雅黑" w:cs="微软雅黑"/>
          <w:sz w:val="24"/>
          <w:szCs w:val="24"/>
          <w:highlight w:val="none"/>
        </w:rPr>
        <w:t>时间</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8小时</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外形尺寸</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315×120×140mm</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重    量</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 xml:space="preserve">2.4 kg </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功率</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25</w:t>
      </w:r>
      <w:r>
        <w:rPr>
          <w:rFonts w:hint="eastAsia" w:ascii="微软雅黑" w:hAnsi="微软雅黑" w:eastAsia="微软雅黑" w:cs="微软雅黑"/>
          <w:sz w:val="24"/>
          <w:szCs w:val="24"/>
          <w:highlight w:val="none"/>
        </w:rPr>
        <w:t xml:space="preserve"> VA</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安全分类</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Ⅱ类内部电源</w:t>
      </w:r>
      <w:r>
        <w:rPr>
          <w:rFonts w:hint="eastAsia" w:ascii="微软雅黑" w:hAnsi="微软雅黑" w:eastAsia="微软雅黑" w:cs="微软雅黑"/>
          <w:sz w:val="24"/>
          <w:szCs w:val="24"/>
          <w:highlight w:val="none"/>
          <w:lang w:val="en-US" w:eastAsia="zh-CN"/>
        </w:rPr>
        <w:t>C</w:t>
      </w:r>
      <w:r>
        <w:rPr>
          <w:rFonts w:hint="eastAsia" w:ascii="微软雅黑" w:hAnsi="微软雅黑" w:eastAsia="微软雅黑" w:cs="微软雅黑"/>
          <w:sz w:val="24"/>
          <w:szCs w:val="24"/>
          <w:highlight w:val="none"/>
        </w:rPr>
        <w:t>F型应用部分</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IP等级</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IPX</w:t>
      </w:r>
      <w:r>
        <w:rPr>
          <w:rFonts w:hint="eastAsia" w:ascii="微软雅黑" w:hAnsi="微软雅黑" w:eastAsia="微软雅黑" w:cs="微软雅黑"/>
          <w:sz w:val="24"/>
          <w:szCs w:val="24"/>
          <w:highlight w:val="none"/>
          <w:lang w:val="en-US" w:eastAsia="zh-CN"/>
        </w:rPr>
        <w:t>4</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通讯接口</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RS232接口，可与上位计算机进行数据传输</w:t>
      </w:r>
    </w:p>
    <w:p>
      <w:pPr>
        <w:pageBreakBefore w:val="0"/>
        <w:numPr>
          <w:ilvl w:val="0"/>
          <w:numId w:val="23"/>
        </w:numPr>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highlight w:val="none"/>
        </w:rPr>
        <w:t>适用范围</w:t>
      </w:r>
      <w:r>
        <w:rPr>
          <w:rFonts w:hint="eastAsia" w:ascii="微软雅黑" w:hAnsi="微软雅黑" w:eastAsia="微软雅黑" w:cs="微软雅黑"/>
          <w:sz w:val="24"/>
          <w:szCs w:val="24"/>
          <w:highlight w:val="none"/>
          <w:lang w:eastAsia="zh-CN"/>
        </w:rPr>
        <w:t>：临床</w:t>
      </w:r>
      <w:r>
        <w:rPr>
          <w:rFonts w:hint="eastAsia" w:ascii="微软雅黑" w:hAnsi="微软雅黑" w:eastAsia="微软雅黑" w:cs="微软雅黑"/>
          <w:sz w:val="24"/>
          <w:szCs w:val="24"/>
          <w:highlight w:val="none"/>
        </w:rPr>
        <w:t>静脉药液输注</w:t>
      </w:r>
    </w:p>
    <w:p>
      <w:pPr>
        <w:pStyle w:val="47"/>
        <w:pageBreakBefore w:val="0"/>
        <w:numPr>
          <w:ilvl w:val="0"/>
          <w:numId w:val="0"/>
        </w:numPr>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p>
    <w:p>
      <w:pPr>
        <w:pStyle w:val="47"/>
        <w:pageBreakBefore w:val="0"/>
        <w:numPr>
          <w:ilvl w:val="0"/>
          <w:numId w:val="0"/>
        </w:numPr>
        <w:kinsoku/>
        <w:wordWrap/>
        <w:overflowPunct/>
        <w:topLinePunct w:val="0"/>
        <w:bidi w:val="0"/>
        <w:spacing w:line="600" w:lineRule="exact"/>
        <w:jc w:val="center"/>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kern w:val="2"/>
          <w:sz w:val="24"/>
          <w:szCs w:val="24"/>
          <w:highlight w:val="none"/>
          <w:lang w:val="en-US" w:eastAsia="zh-CN" w:bidi="ar-SA"/>
        </w:rPr>
        <w:t>十八、医用降温毯参数</w:t>
      </w:r>
      <w:r>
        <w:rPr>
          <w:rFonts w:hint="eastAsia" w:ascii="微软雅黑" w:hAnsi="微软雅黑" w:eastAsia="微软雅黑" w:cs="微软雅黑"/>
          <w:b/>
          <w:bCs w:val="0"/>
          <w:color w:val="auto"/>
          <w:sz w:val="24"/>
          <w:szCs w:val="24"/>
          <w:highlight w:val="none"/>
          <w:lang w:val="en-US" w:eastAsia="zh-CN"/>
        </w:rPr>
        <w:t>（6台）</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基本要求： 主要用于脑损伤患者及高热患者的物理降温治疗。</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资质认证：通过CFDA认证</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制冷量：≥800W</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噪声：≤55dB</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体温设置：多档可选</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水温设置：多档可选</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系统结构：双路输出，双温控制，降温毯、降温帽可同时使用</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体温设定范围：31℃～37℃</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毯帽温控范围：4℃-30℃，水箱温控范围：4℃～40℃。</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安全报警：至少包括缺水故障报警，水位超限报警，体温传感器低于下限报警</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具备液晶显示器</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降温毯、降温帽各1个（成人）</w:t>
      </w:r>
    </w:p>
    <w:p>
      <w:pPr>
        <w:pStyle w:val="47"/>
        <w:pageBreakBefore w:val="0"/>
        <w:numPr>
          <w:ilvl w:val="0"/>
          <w:numId w:val="24"/>
        </w:numPr>
        <w:kinsoku/>
        <w:wordWrap/>
        <w:overflowPunct/>
        <w:topLinePunct w:val="0"/>
        <w:bidi w:val="0"/>
        <w:spacing w:line="600" w:lineRule="exact"/>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人体探头2个</w:t>
      </w:r>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十九、振动排痰机参数</w:t>
      </w:r>
      <w:r>
        <w:rPr>
          <w:rFonts w:hint="eastAsia" w:ascii="微软雅黑" w:hAnsi="微软雅黑" w:eastAsia="微软雅黑" w:cs="微软雅黑"/>
          <w:b/>
          <w:bCs w:val="0"/>
          <w:color w:val="auto"/>
          <w:sz w:val="24"/>
          <w:szCs w:val="24"/>
          <w:highlight w:val="none"/>
          <w:lang w:val="en-US" w:eastAsia="zh-CN"/>
        </w:rPr>
        <w:t>（5台）</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zh-CN"/>
        </w:rPr>
        <w:t xml:space="preserve">设备用途: </w:t>
      </w:r>
      <w:r>
        <w:rPr>
          <w:rFonts w:hint="eastAsia" w:ascii="微软雅黑" w:hAnsi="微软雅黑" w:eastAsia="微软雅黑" w:cs="微软雅黑"/>
          <w:sz w:val="24"/>
          <w:szCs w:val="24"/>
          <w:lang w:val="en-US" w:eastAsia="en-US"/>
        </w:rPr>
        <w:t>适用于多种原因引起的呼吸道分泌物增多、排出不畅的患者，辅助患者痰液的排出。预防、减少呼吸系统并发症的发生。</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en-US"/>
        </w:rPr>
        <w:t>产品组成</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lang w:val="en-US" w:eastAsia="en-US"/>
        </w:rPr>
        <w:t>主机、双空气导管、背心式气囊、线控器</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zh-CN"/>
        </w:rPr>
        <w:t>压力范围：</w:t>
      </w:r>
      <w:r>
        <w:rPr>
          <w:rFonts w:hint="eastAsia" w:ascii="微软雅黑" w:hAnsi="微软雅黑" w:eastAsia="微软雅黑" w:cs="微软雅黑"/>
          <w:sz w:val="24"/>
          <w:szCs w:val="24"/>
          <w:lang w:val="en-US" w:eastAsia="en-US"/>
        </w:rPr>
        <w:t>3-30mmHg，步进1mmHg，压力27级可调</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zh-CN"/>
        </w:rPr>
        <w:t>工作频率：</w:t>
      </w:r>
      <w:r>
        <w:rPr>
          <w:rFonts w:hint="eastAsia" w:ascii="微软雅黑" w:hAnsi="微软雅黑" w:eastAsia="微软雅黑" w:cs="微软雅黑"/>
          <w:sz w:val="24"/>
          <w:szCs w:val="24"/>
          <w:lang w:val="en-US" w:eastAsia="en-US"/>
        </w:rPr>
        <w:t>1-20Hz</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zh-CN"/>
        </w:rPr>
        <w:t>工作噪声：</w:t>
      </w:r>
      <w:r>
        <w:rPr>
          <w:rFonts w:hint="eastAsia" w:ascii="微软雅黑" w:hAnsi="微软雅黑" w:eastAsia="微软雅黑" w:cs="微软雅黑"/>
          <w:sz w:val="24"/>
          <w:szCs w:val="24"/>
          <w:lang w:val="en-US" w:eastAsia="en-US"/>
        </w:rPr>
        <w:t>正常工作≤65dB(A)，最大功率工作≤75dB(A)</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zh-CN"/>
        </w:rPr>
        <w:t>时间调节：</w:t>
      </w:r>
      <w:r>
        <w:rPr>
          <w:rFonts w:hint="eastAsia" w:ascii="微软雅黑" w:hAnsi="微软雅黑" w:eastAsia="微软雅黑" w:cs="微软雅黑"/>
          <w:sz w:val="24"/>
          <w:szCs w:val="24"/>
          <w:lang w:val="en-US" w:eastAsia="en-US"/>
        </w:rPr>
        <w:t>1-99min</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zh-CN"/>
        </w:rPr>
        <w:t>操作模式：</w:t>
      </w:r>
      <w:r>
        <w:rPr>
          <w:rFonts w:hint="eastAsia" w:ascii="微软雅黑" w:hAnsi="微软雅黑" w:eastAsia="微软雅黑" w:cs="微软雅黑"/>
          <w:sz w:val="24"/>
          <w:szCs w:val="24"/>
          <w:lang w:val="en-US" w:eastAsia="en-US"/>
        </w:rPr>
        <w:t>8寸液晶触摸屏和参数设置旋钮同步操作，同时具有紧急机械停止按键</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zh-CN"/>
        </w:rPr>
        <w:t>工作模式：</w:t>
      </w:r>
      <w:r>
        <w:rPr>
          <w:rFonts w:hint="eastAsia" w:ascii="微软雅黑" w:hAnsi="微软雅黑" w:eastAsia="微软雅黑" w:cs="微软雅黑"/>
          <w:sz w:val="24"/>
          <w:szCs w:val="24"/>
          <w:lang w:val="en-US" w:eastAsia="en-US"/>
        </w:rPr>
        <w:t>4种可选，含自定义模式</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en-US"/>
        </w:rPr>
        <w:t>线控手柄功能</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lang w:val="en-US" w:eastAsia="en-US"/>
        </w:rPr>
        <w:t>可通过线控手柄中断振动排痰</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en-US"/>
        </w:rPr>
        <w:t>治疗信息储存查询功能</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lang w:val="en-US" w:eastAsia="en-US"/>
        </w:rPr>
        <w:t>具有储存和查询患者历史治疗信息的功能</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en-US"/>
        </w:rPr>
        <w:t>空气导管配置</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lang w:val="en-US" w:eastAsia="en-US"/>
        </w:rPr>
        <w:t>双空气导管，可自动锁定</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en-US"/>
        </w:rPr>
        <w:t>背心气囊类型</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lang w:val="en-US" w:eastAsia="en-US"/>
        </w:rPr>
        <w:t>背心式或胸带式气囊，各种规格型号可选</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en-US"/>
        </w:rPr>
        <w:t>背心气囊设计</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lang w:val="en-US" w:eastAsia="en-US"/>
        </w:rPr>
        <w:t>背心气囊可拆卸式设计，外层可干洗和机洗，洗后可与内层气囊重新组装</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p>
    <w:p>
      <w:pPr>
        <w:pageBreakBefore w:val="0"/>
        <w:kinsoku/>
        <w:wordWrap/>
        <w:overflowPunct/>
        <w:topLinePunct w:val="0"/>
        <w:bidi w:val="0"/>
        <w:spacing w:line="600" w:lineRule="exact"/>
        <w:ind w:firstLine="480" w:firstLineChars="200"/>
        <w:jc w:val="center"/>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二十、全自动清洗消毒器参数</w:t>
      </w:r>
      <w:r>
        <w:rPr>
          <w:rFonts w:hint="eastAsia" w:ascii="微软雅黑" w:hAnsi="微软雅黑" w:eastAsia="微软雅黑" w:cs="微软雅黑"/>
          <w:b/>
          <w:bCs w:val="0"/>
          <w:color w:val="auto"/>
          <w:sz w:val="24"/>
          <w:szCs w:val="24"/>
          <w:highlight w:val="none"/>
          <w:lang w:val="en-US" w:eastAsia="zh-CN"/>
        </w:rPr>
        <w:t>（1台）</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产品名称：全自动清洗消毒器</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主要适用于医院内窥镜、手术刀、止血钳、内镜活检钳、镊子、注射针头、各式大小注射器、试管、玻璃片、换药碗、各种盘子、圆桶、测压器等放射性、污染性、大批量、高洁度的快速高效、安全、经济的全自动清洗、消毒及干燥。</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性能特点：</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①　预清洗功能：自动灌流功能、中等热力消毒功能，化学消毒功能，除锈功能，漂洗功能，干燥功能，清洗剂及快干上油剂自动加入及对剂量自行设置的功能。</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②　操作简捷：采用PLC/彩色触摸屏控制系统，人机界面操作简单，可以通过触摸屏直接设置物理参数，实现客户的个性化需求。</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③　打印系统：高性能热敏打印技术，可将清洗消毒过程中的时间、温度等各项参数实时打印出来。并可对打印记录进行长时间保存。</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④　时间快速：酶清洗只需35分钟即可完成清洗作业。</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⑤　开门方式：双开门设计，区分洁净区与非洁净区。</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⑥　循环泵：选用原装进口循环泵。</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⑦　出色的装载能力：一次可以清洗8只标准DIN标准清洗篮筐。</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⑧　全进口配件：主清洗水泵、排水泵、电磁阀、风机、计量泵、温控仪、主开关等均采用进口国际著名品牌。具有强大的循环清洗、消毒、干燥能力和精确的清洗剂、消毒剂、防锈剂等加注功能。</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⑨　故障自检诊断功能：系统设备安全自检故障诊断功能，保证了设备运行安全。</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⑩　舱体：不锈钢（304）舱体。</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主要技术参数：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l清洗容量：360L</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l喷淋电功率：1600W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l风压电功率：1600W</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l水加热电功率：24KW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l干燥加热电功率：4.5KW</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l最大功率：24KW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l最高干燥温度：110℃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l最高消毒温度：95℃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l清洗架层数：4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l篮筐数量：8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l清洗车进出：手控进出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l工作噪音：≤70dB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l水源压力0.30Mpa-0.80Mpa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l电源电压：380V±38V; 50HZ±1。                    </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l外部尺寸：高2060 长950mm  宽825mm</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清洗舱尺寸：≥597mm×979mm×624mm</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结构组成</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由清洗消毒舱、机架、机壳、喷淋灌流系统、清洗车、脚轮、加热系统、干燥系统、电磁阀、循环泵、蠕动泵、风机、控制系统、触摸屏、打印机和管路组成。</w:t>
      </w:r>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二十一、过氧化氢消毒机参数</w:t>
      </w:r>
      <w:r>
        <w:rPr>
          <w:rFonts w:hint="eastAsia" w:ascii="微软雅黑" w:hAnsi="微软雅黑" w:eastAsia="微软雅黑" w:cs="微软雅黑"/>
          <w:b/>
          <w:bCs w:val="0"/>
          <w:color w:val="auto"/>
          <w:sz w:val="24"/>
          <w:szCs w:val="24"/>
          <w:highlight w:val="none"/>
          <w:lang w:val="en-US" w:eastAsia="zh-CN"/>
        </w:rPr>
        <w:t>（2台）</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一、技术要求:</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1、消毒介质:过氧化氢气体(非液态);</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2、外形尺寸:长≤450，宽≤450，高≤1000(mm);</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3、具备可移动脚轮:</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4、设备主要材质:一体成型吸塑外壳，304 不锈钢支架;</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5、工作温度:&gt;25℃;</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6、操作方式:遥控平板电脑远程无线操作，配品牌平板电脑一个;</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7、过氧化氢气化方式:采用闪蒸技术，迅速气化过氧化氢溶液;</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8、加热方式:采用空气翘片式电热管加热器;</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9、出口温度:室温;</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10、噪音:≤60 分贝;</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11、H202储存量:≥3L;HO2浓度:30-35%;H0用量:&lt;4ml/m3:</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12、HO加注方式:至少具备500ml单独包装;</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13、电源要求:220VAC，50Hz，功率&lt;2000W;</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14、消毒时间:30-45min(可调);分解时间:60-120min(可调);</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15、记录方式:历史数据可以电子表格或曲线的形式记录在U盘内消毒水平:</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16、消亡率&gt; 90%;</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17、灭菌水平:达到10-6灭活水平;</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18、设备应带有过氧化氢催化分解装置，保证残余H0浓度:&lt;1ppm</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19、设备具备通风功能，配备过氧化氢检测仪。</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20、灭菌效果监测:应提供过氧化氢气体专用化学指示卡和生物指示剂耗材，监测设备的</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灭菌效果;</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21、设备应集成红外测量功能，一键测量房间体积;</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22、设备应具有房间信息记录功能，用户正常使用时只需输入相应房间编号，便可得到相</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应的消毒参数;</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23、应配有过氧化氢气体浓度传感器，实时监测、控制过氧化氢气体浓度;</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24、配备手持式高精度过氧化氢浓度检测仪，用于检测过氧化氢泄露以及残余量:</w:t>
      </w:r>
    </w:p>
    <w:p>
      <w:pPr>
        <w:pageBreakBefore w:val="0"/>
        <w:kinsoku/>
        <w:wordWrap/>
        <w:overflowPunct/>
        <w:topLinePunct w:val="0"/>
        <w:bidi w:val="0"/>
        <w:snapToGrid w:val="0"/>
        <w:spacing w:line="600" w:lineRule="exact"/>
        <w:ind w:firstLine="480" w:firstLineChars="20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25、可消毒的密闭空间≥480m³。</w:t>
      </w:r>
    </w:p>
    <w:p>
      <w:pPr>
        <w:pageBreakBefore w:val="0"/>
        <w:kinsoku/>
        <w:wordWrap/>
        <w:overflowPunct/>
        <w:topLinePunct w:val="0"/>
        <w:bidi w:val="0"/>
        <w:spacing w:line="600" w:lineRule="exact"/>
        <w:ind w:firstLine="480" w:firstLineChars="200"/>
        <w:jc w:val="center"/>
        <w:rPr>
          <w:rFonts w:hint="eastAsia" w:ascii="微软雅黑" w:hAnsi="微软雅黑" w:eastAsia="微软雅黑" w:cs="微软雅黑"/>
          <w:b/>
          <w:bCs w:val="0"/>
          <w:color w:val="auto"/>
          <w:kern w:val="2"/>
          <w:sz w:val="24"/>
          <w:szCs w:val="24"/>
          <w:highlight w:val="none"/>
          <w:lang w:val="en-US" w:eastAsia="zh-CN" w:bidi="ar-SA"/>
        </w:rPr>
      </w:pPr>
    </w:p>
    <w:p>
      <w:pPr>
        <w:pageBreakBefore w:val="0"/>
        <w:kinsoku/>
        <w:wordWrap/>
        <w:overflowPunct/>
        <w:topLinePunct w:val="0"/>
        <w:bidi w:val="0"/>
        <w:spacing w:line="600" w:lineRule="exact"/>
        <w:ind w:firstLine="480" w:firstLineChars="200"/>
        <w:jc w:val="center"/>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二十二、床旁心电监护仪参数</w:t>
      </w:r>
      <w:r>
        <w:rPr>
          <w:rFonts w:hint="eastAsia" w:ascii="微软雅黑" w:hAnsi="微软雅黑" w:eastAsia="微软雅黑" w:cs="微软雅黑"/>
          <w:b/>
          <w:bCs w:val="0"/>
          <w:color w:val="auto"/>
          <w:sz w:val="24"/>
          <w:szCs w:val="24"/>
          <w:highlight w:val="none"/>
          <w:lang w:val="en-US" w:eastAsia="zh-CN"/>
        </w:rPr>
        <w:t>（6台）</w:t>
      </w:r>
    </w:p>
    <w:p>
      <w:pPr>
        <w:pStyle w:val="3"/>
        <w:pageBreakBefore w:val="0"/>
        <w:numPr>
          <w:ilvl w:val="0"/>
          <w:numId w:val="0"/>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1：整机要求：</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*1.1、模块化监护仪，主机集成内置≥2槽位插件槽，可支持IBP，CO2，AG任意参数模块的即插即用快速扩展临床应用。</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1.2、整机无风扇设计，防水等级IPX1或更高。 </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*1.3、≥10.1英寸彩色液晶触摸屏，分辨率高达1280*800像素或更高，≥8通道波形显示。</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1.4、屏幕采用最新电容屏非电阻屏,可支持亮度自动调节功能。</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*1.5、屏幕倾斜10~15度设计，符合人机工程学，便于临床团队观察和操作。</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1.6、可支持遥控器无线远程操作监护仪。</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1.7、内置锂电池，插槽式设计，无需螺丝刀工具支持快速拆卸和安装。锂电池支持监护仪工作时间≥4小时。</w:t>
      </w:r>
    </w:p>
    <w:p>
      <w:pPr>
        <w:pStyle w:val="33"/>
        <w:pageBreakBefore w:val="0"/>
        <w:kinsoku/>
        <w:wordWrap/>
        <w:overflowPunct/>
        <w:topLinePunct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*1.8、安全规格：ECG, TEMP, IBP, SpO2 , NIBP监测参数抗电击程度为防除颤CF型</w:t>
      </w:r>
      <w:r>
        <w:rPr>
          <w:rFonts w:hint="eastAsia" w:ascii="微软雅黑" w:hAnsi="微软雅黑" w:eastAsia="微软雅黑" w:cs="微软雅黑"/>
          <w:kern w:val="2"/>
          <w:sz w:val="24"/>
          <w:szCs w:val="24"/>
          <w:lang w:val="en-US" w:eastAsia="zh-CN" w:bidi="ar-SA"/>
        </w:rPr>
        <w:drawing>
          <wp:inline distT="0" distB="0" distL="114300" distR="114300">
            <wp:extent cx="257175" cy="152400"/>
            <wp:effectExtent l="0" t="0" r="190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257960" cy="152865"/>
                    </a:xfrm>
                    <a:prstGeom prst="rect">
                      <a:avLst/>
                    </a:prstGeom>
                    <a:noFill/>
                    <a:ln w="9525">
                      <a:noFill/>
                      <a:miter lim="800000"/>
                      <a:headEnd/>
                      <a:tailEnd/>
                    </a:ln>
                    <a:effectLst/>
                  </pic:spPr>
                </pic:pic>
              </a:graphicData>
            </a:graphic>
          </wp:inline>
        </w:drawing>
      </w:r>
      <w:r>
        <w:rPr>
          <w:rFonts w:hint="eastAsia" w:ascii="微软雅黑" w:hAnsi="微软雅黑" w:eastAsia="微软雅黑" w:cs="微软雅黑"/>
          <w:kern w:val="2"/>
          <w:sz w:val="24"/>
          <w:szCs w:val="24"/>
          <w:lang w:val="en-US" w:eastAsia="zh-CN" w:bidi="ar-SA"/>
        </w:rPr>
        <w:t>。</w:t>
      </w:r>
    </w:p>
    <w:p>
      <w:pPr>
        <w:pStyle w:val="33"/>
        <w:pageBreakBefore w:val="0"/>
        <w:kinsoku/>
        <w:wordWrap/>
        <w:overflowPunct/>
        <w:topLinePunct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1.9、监护仪设计使用年限≥8年。</w:t>
      </w:r>
    </w:p>
    <w:p>
      <w:pPr>
        <w:pStyle w:val="33"/>
        <w:pageBreakBefore w:val="0"/>
        <w:kinsoku/>
        <w:wordWrap/>
        <w:overflowPunct/>
        <w:topLinePunct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1.10、监护仪清洁维护支持的清洁剂≥40种，在厂家手册中清晰列举清洁剂的种类。</w:t>
      </w:r>
    </w:p>
    <w:p>
      <w:pPr>
        <w:pageBreakBefore w:val="0"/>
        <w:kinsoku/>
        <w:wordWrap/>
        <w:overflowPunct/>
        <w:topLinePunct w:val="0"/>
        <w:autoSpaceDE w:val="0"/>
        <w:autoSpaceDN w:val="0"/>
        <w:bidi w:val="0"/>
        <w:adjustRightInd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2：监测参数：</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2.1、配置3/5导心电，呼吸，无创血压，血氧饱和度，脉搏和双通道体温参数监测。</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*2.2、心电监护支持心率，ST段测量，心律失常分析，QT/QTc连续实时测量和对应报警功能。</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2.3、心电算法通过AHA/MIT-BIH数据库验证。</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2.4、心电波形扫描速度支持6.25mm/s、12.5 mm/s、25 mm/s和50 mm/s。</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2.5、提供窗口支持心脏下壁，侧壁和前壁对应多个ST片段的同屏实时显示，提供参考片段和实时片段的对比查看。</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2.6、支持≥20种心律失常分析,包括房颤分析。</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2.7、QT和QTc实时监测参数测量范围：200～800 ms。</w:t>
      </w:r>
    </w:p>
    <w:p>
      <w:pPr>
        <w:pageBreakBefore w:val="0"/>
        <w:kinsoku/>
        <w:wordWrap/>
        <w:overflowPunct/>
        <w:topLinePunct w:val="0"/>
        <w:autoSpaceDE w:val="0"/>
        <w:autoSpaceDN w:val="0"/>
        <w:bidi w:val="0"/>
        <w:adjustRightInd w:val="0"/>
        <w:spacing w:line="600" w:lineRule="exact"/>
        <w:ind w:left="424" w:leftChars="202"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2.8、支持升级提供过去24小时心电概览报告查看与打印，包括心率统计结果，心律失常统计结果，ST统计和QT/QTc统计结果。</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2.9、提供SpO2,PR和PI参数的实时监测，适用于成人，小儿和新生儿。</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2.10、支持指套式血氧探头，IPX7防水等级，支持液体浸泡消毒和清洁。</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2.11、配置无创血压测量，适用于成人，小儿和新生儿。</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*2.12、提供手动，自动，连续和序列4种测量模式，并提供24小时血压统计结果，满足临床应用。</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2.13、无创血压成人测量范围：收缩压25~290mmHg，舒张压10~250mmHg，平均压15~260mmHg。</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2.14、提供辅助静脉穿刺功能。</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2.15、提供双通道体温和温差参数的监测, 并可根据需要更改体温通道标名。</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2.16、支持升级多达4通道有创压监测，动脉压监测时支持同步监测PPV，适用于成人，小儿和新生儿，通过国家三类注册认证。</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2.17、支持患者下床移动监护功能，提供医用级穿戴传感器，可监测心电、呼吸、无创血压、血氧饱和度、脉搏和体温参数；</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2.18、穿戴传感器支持非生理参数监测，如运动时间、夜间静息时间和疼痛评分，监测数据通过无线发送至监护仪。</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2.19、移动模块采用防水抗摔设计，防水等级≥IPX2，通过1.5米6面跌落测试。</w:t>
      </w:r>
    </w:p>
    <w:p>
      <w:pPr>
        <w:pageBreakBefore w:val="0"/>
        <w:kinsoku/>
        <w:wordWrap/>
        <w:overflowPunct/>
        <w:topLinePunct w:val="0"/>
        <w:bidi w:val="0"/>
        <w:spacing w:line="600" w:lineRule="exact"/>
        <w:ind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3：系统功能：</w:t>
      </w:r>
    </w:p>
    <w:p>
      <w:pPr>
        <w:pageBreakBefore w:val="0"/>
        <w:kinsoku/>
        <w:wordWrap/>
        <w:overflowPunct/>
        <w:topLinePunct w:val="0"/>
        <w:bidi w:val="0"/>
        <w:spacing w:line="600" w:lineRule="exact"/>
        <w:ind w:left="420" w:leftChars="200"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*3.1、支持所有监测参数报警限一键自动设置功能，满足医护团队快速管理患者报警需求，产品用户手册提供报警限自动设置规则。</w:t>
      </w:r>
    </w:p>
    <w:p>
      <w:pPr>
        <w:pageBreakBefore w:val="0"/>
        <w:kinsoku/>
        <w:wordWrap/>
        <w:overflowPunct/>
        <w:topLinePunct w:val="0"/>
        <w:bidi w:val="0"/>
        <w:spacing w:line="600" w:lineRule="exact"/>
        <w:ind w:left="420" w:leftChars="200"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3.2、支持肾功能计算功能，提供界面截图。</w:t>
      </w:r>
    </w:p>
    <w:p>
      <w:pPr>
        <w:pageBreakBefore w:val="0"/>
        <w:kinsoku/>
        <w:wordWrap/>
        <w:overflowPunct/>
        <w:topLinePunct w:val="0"/>
        <w:bidi w:val="0"/>
        <w:spacing w:line="600" w:lineRule="exact"/>
        <w:ind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3.3、具有图形化技术报警指示功能，帮助医护团队快速识别报警来源。</w:t>
      </w:r>
    </w:p>
    <w:p>
      <w:pPr>
        <w:pageBreakBefore w:val="0"/>
        <w:kinsoku/>
        <w:wordWrap/>
        <w:overflowPunct/>
        <w:topLinePunct w:val="0"/>
        <w:bidi w:val="0"/>
        <w:spacing w:line="600" w:lineRule="exact"/>
        <w:ind w:left="420" w:leftChars="200"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3.4、支持≥120小时趋势图和趋势表回顾，支持选择不同趋势组回顾</w:t>
      </w:r>
    </w:p>
    <w:p>
      <w:pPr>
        <w:pageBreakBefore w:val="0"/>
        <w:kinsoku/>
        <w:wordWrap/>
        <w:overflowPunct/>
        <w:topLinePunct w:val="0"/>
        <w:bidi w:val="0"/>
        <w:spacing w:line="600" w:lineRule="exact"/>
        <w:ind w:left="424" w:leftChars="202"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3.5、≥1000条事件回顾。每条报警事件至少能够存储32秒三道相关波形，以及报警触发时所有测量参数值</w:t>
      </w:r>
    </w:p>
    <w:p>
      <w:pPr>
        <w:pageBreakBefore w:val="0"/>
        <w:kinsoku/>
        <w:wordWrap/>
        <w:overflowPunct/>
        <w:topLinePunct w:val="0"/>
        <w:bidi w:val="0"/>
        <w:spacing w:line="600" w:lineRule="exact"/>
        <w:ind w:left="424" w:leftChars="202"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3.6、≥1000组NIBP测量结果</w:t>
      </w:r>
    </w:p>
    <w:p>
      <w:pPr>
        <w:pageBreakBefore w:val="0"/>
        <w:kinsoku/>
        <w:wordWrap/>
        <w:overflowPunct/>
        <w:topLinePunct w:val="0"/>
        <w:bidi w:val="0"/>
        <w:spacing w:line="600" w:lineRule="exact"/>
        <w:ind w:left="424" w:leftChars="202"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3.7、≥120小时（分辨率1分钟）ST模板存储与回顾</w:t>
      </w:r>
    </w:p>
    <w:p>
      <w:pPr>
        <w:pageBreakBefore w:val="0"/>
        <w:kinsoku/>
        <w:wordWrap/>
        <w:overflowPunct/>
        <w:topLinePunct w:val="0"/>
        <w:bidi w:val="0"/>
        <w:spacing w:line="600" w:lineRule="exact"/>
        <w:ind w:left="424" w:leftChars="202"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3.8、支持48小时全息波形的存储与回顾功能</w:t>
      </w:r>
    </w:p>
    <w:p>
      <w:pPr>
        <w:pageBreakBefore w:val="0"/>
        <w:kinsoku/>
        <w:wordWrap/>
        <w:overflowPunct/>
        <w:topLinePunct w:val="0"/>
        <w:bidi w:val="0"/>
        <w:spacing w:line="600" w:lineRule="exact"/>
        <w:ind w:left="424" w:leftChars="202" w:right="42" w:rightChars="2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3.9、支持监护仪历史病人数据的存储和回顾，并支持通过USB接口将历史病人数据导出到U盘。</w:t>
      </w:r>
    </w:p>
    <w:p>
      <w:pPr>
        <w:pageBreakBefore w:val="0"/>
        <w:kinsoku/>
        <w:wordWrap/>
        <w:overflowPunct/>
        <w:topLinePunct w:val="0"/>
        <w:bidi w:val="0"/>
        <w:spacing w:line="600" w:lineRule="exact"/>
        <w:ind w:left="424" w:leftChars="202" w:right="84" w:rightChars="4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3.10、支持RJ45接口进行有线网络通信，和除颤监护仪一起联网通信到中心监护系统。</w:t>
      </w:r>
    </w:p>
    <w:p>
      <w:pPr>
        <w:pageBreakBefore w:val="0"/>
        <w:kinsoku/>
        <w:wordWrap/>
        <w:overflowPunct/>
        <w:topLinePunct w:val="0"/>
        <w:bidi w:val="0"/>
        <w:spacing w:line="600" w:lineRule="exact"/>
        <w:ind w:left="424" w:leftChars="202" w:right="84" w:rightChars="4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3.11、支持监护仪进入夜间模式，隐私模式，演示模式和待机模式。</w:t>
      </w:r>
    </w:p>
    <w:p>
      <w:pPr>
        <w:pageBreakBefore w:val="0"/>
        <w:kinsoku/>
        <w:wordWrap/>
        <w:overflowPunct/>
        <w:topLinePunct w:val="0"/>
        <w:autoSpaceDE w:val="0"/>
        <w:autoSpaceDN w:val="0"/>
        <w:bidi w:val="0"/>
        <w:adjustRightInd w:val="0"/>
        <w:spacing w:line="600" w:lineRule="exact"/>
        <w:ind w:left="424" w:leftChars="202" w:right="84" w:rightChars="4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*3.12、可升级配置临床评分系统，如MEWS（改良早期预警评分）、NEWS（英国早期预警评分），可支持定时自动EWS评分功能，提供界面截图证明材料。</w:t>
      </w:r>
    </w:p>
    <w:p>
      <w:pPr>
        <w:pageBreakBefore w:val="0"/>
        <w:kinsoku/>
        <w:wordWrap/>
        <w:overflowPunct/>
        <w:topLinePunct w:val="0"/>
        <w:bidi w:val="0"/>
        <w:spacing w:line="600" w:lineRule="exact"/>
        <w:ind w:left="424" w:leftChars="202" w:right="84" w:rightChars="4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3.13、提供心肌缺血评估工具，可以快速查看ST值的变化。</w:t>
      </w:r>
    </w:p>
    <w:p>
      <w:pPr>
        <w:pageBreakBefore w:val="0"/>
        <w:kinsoku/>
        <w:wordWrap/>
        <w:overflowPunct/>
        <w:topLinePunct w:val="0"/>
        <w:autoSpaceDE w:val="0"/>
        <w:autoSpaceDN w:val="0"/>
        <w:bidi w:val="0"/>
        <w:adjustRightInd w:val="0"/>
        <w:spacing w:line="600" w:lineRule="exact"/>
        <w:ind w:left="424" w:leftChars="202" w:right="84" w:rightChars="4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*3.14、提供计时器功能，界面区提供设置≥4个计时器，每个计时器支持独立设置和计时功能，计时方向包括正计时和倒计时两种选择，供界面截图证明材料。</w:t>
      </w:r>
    </w:p>
    <w:p>
      <w:pPr>
        <w:pageBreakBefore w:val="0"/>
        <w:kinsoku/>
        <w:wordWrap/>
        <w:overflowPunct/>
        <w:topLinePunct w:val="0"/>
        <w:autoSpaceDE w:val="0"/>
        <w:autoSpaceDN w:val="0"/>
        <w:bidi w:val="0"/>
        <w:adjustRightInd w:val="0"/>
        <w:spacing w:line="600" w:lineRule="exact"/>
        <w:ind w:left="424" w:leftChars="202" w:right="84" w:rightChars="4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3.15、支持格拉斯哥昏迷评分（GCS）功能。</w:t>
      </w:r>
    </w:p>
    <w:p>
      <w:pPr>
        <w:pageBreakBefore w:val="0"/>
        <w:kinsoku/>
        <w:wordWrap/>
        <w:overflowPunct/>
        <w:topLinePunct w:val="0"/>
        <w:autoSpaceDE w:val="0"/>
        <w:autoSpaceDN w:val="0"/>
        <w:bidi w:val="0"/>
        <w:adjustRightInd w:val="0"/>
        <w:spacing w:line="600" w:lineRule="exact"/>
        <w:ind w:left="424" w:leftChars="202" w:right="84" w:rightChars="4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*3.16、动态趋势界面可支持统计1-24小时心律失常报警、参数超限报警信息，并对超限报警区间的波形进行高亮显示，帮助医护人员快速识别异常趋势信息。</w:t>
      </w:r>
    </w:p>
    <w:p>
      <w:pPr>
        <w:pageBreakBefore w:val="0"/>
        <w:kinsoku/>
        <w:wordWrap/>
        <w:overflowPunct/>
        <w:topLinePunct w:val="0"/>
        <w:autoSpaceDE w:val="0"/>
        <w:autoSpaceDN w:val="0"/>
        <w:bidi w:val="0"/>
        <w:adjustRightInd w:val="0"/>
        <w:spacing w:line="600" w:lineRule="exact"/>
        <w:ind w:left="420" w:leftChars="200"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3.17、提供屏幕截图功能，将屏幕截图通过USB接口导出到U盘。</w:t>
      </w:r>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bookmarkStart w:id="14" w:name="_Hlk63666625"/>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二十三、注射工作站</w:t>
      </w:r>
      <w:r>
        <w:rPr>
          <w:rFonts w:hint="eastAsia" w:ascii="微软雅黑" w:hAnsi="微软雅黑" w:eastAsia="微软雅黑" w:cs="微软雅黑"/>
          <w:b/>
          <w:bCs w:val="0"/>
          <w:color w:val="auto"/>
          <w:sz w:val="24"/>
          <w:szCs w:val="24"/>
          <w:highlight w:val="none"/>
          <w:lang w:val="en-US" w:eastAsia="zh-CN"/>
        </w:rPr>
        <w:t>（1台）</w:t>
      </w:r>
    </w:p>
    <w:bookmarkEnd w:id="14"/>
    <w:p>
      <w:pPr>
        <w:pStyle w:val="33"/>
        <w:pageBreakBefore w:val="0"/>
        <w:numPr>
          <w:ilvl w:val="0"/>
          <w:numId w:val="25"/>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*输液信息采集系统以每2个通道为基本单位增减，最多可支持16通道，泵即插即用，与系统数据无缝连接</w:t>
      </w:r>
    </w:p>
    <w:p>
      <w:pPr>
        <w:pStyle w:val="33"/>
        <w:pageBreakBefore w:val="0"/>
        <w:numPr>
          <w:ilvl w:val="0"/>
          <w:numId w:val="25"/>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*每套工作站可任意组合输液泵与注射泵（注射泵与输液泵的个数、位置根据临床需要可任意组合，使用中移除其中任何一台泵不影响其它泵的工作连续性），模块化设计</w:t>
      </w:r>
    </w:p>
    <w:p>
      <w:pPr>
        <w:pStyle w:val="33"/>
        <w:pageBreakBefore w:val="0"/>
        <w:numPr>
          <w:ilvl w:val="0"/>
          <w:numId w:val="25"/>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输液信息采集系统只需一根电源线，可为站内输液泵/注射泵模块集中供电</w:t>
      </w:r>
    </w:p>
    <w:p>
      <w:pPr>
        <w:pStyle w:val="33"/>
        <w:pageBreakBefore w:val="0"/>
        <w:numPr>
          <w:ilvl w:val="0"/>
          <w:numId w:val="25"/>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输液信息采集系统具有RJ45端口，支持有线联网；</w:t>
      </w:r>
    </w:p>
    <w:p>
      <w:pPr>
        <w:pStyle w:val="33"/>
        <w:pageBreakBefore w:val="0"/>
        <w:numPr>
          <w:ilvl w:val="0"/>
          <w:numId w:val="25"/>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输液信息采集系统任意输注模块之间具备联机功能，满足用户的连续输液功能需求；</w:t>
      </w:r>
    </w:p>
    <w:p>
      <w:pPr>
        <w:pStyle w:val="33"/>
        <w:pageBreakBefore w:val="0"/>
        <w:numPr>
          <w:ilvl w:val="0"/>
          <w:numId w:val="25"/>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可通过有线或无线网络直接接入监护仪中央站，实现监护仪和输注泵信息同屏查看。</w:t>
      </w:r>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二十四、注射泵</w:t>
      </w:r>
      <w:r>
        <w:rPr>
          <w:rFonts w:hint="eastAsia" w:ascii="微软雅黑" w:hAnsi="微软雅黑" w:eastAsia="微软雅黑" w:cs="微软雅黑"/>
          <w:b/>
          <w:bCs w:val="0"/>
          <w:color w:val="auto"/>
          <w:sz w:val="24"/>
          <w:szCs w:val="24"/>
          <w:highlight w:val="none"/>
          <w:lang w:val="en-US" w:eastAsia="zh-CN"/>
        </w:rPr>
        <w:t>（3台）</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注射精度≤±1.8%</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*速率范围：0.01-2200ml/h, 最小步进0.01ml/h</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预置输液总量范围：0.01-9999.99ml</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*快进流速范围：0.01-2200ml/h，最小步进0.01ml/h，具有自动和手动快进可选；</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可自动统计四种累计量：24h累计量、最近累计量、自定义时间段累计量、定时间隔累计量</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*支持注射器规格：2ml、3ml、5ml、10ml、20ml、30ml、50/60ml；</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*注射器安装后，推拉盒可自动定位并固定注射器尾夹，无需手动操作</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无需额外工具或设备，可直接在注射泵上添加注射器品牌中文名称</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*不少于8种注射模式：速度模式、时间模式、体重模式、梯度模式、序列模式、剂量时间模式、间断给药模式、TIVA模式；具备联机功能</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*不小于3.5英寸彩色显示屏，触屏操作 </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全中文软件操作界面</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锁屏功能：支持自动锁屏，触屏左右滑动解锁，自动锁屏时间可调</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支持药物库，可储存5000种药物信息</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*支持药物色彩标识，选择不同类型药物时对应的药物色彩标识自动显示在屏幕上，支持4种以上颜色</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报警时可通过示意图片直观提示报警信息，并伴有声、光、文字提示</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*压力报警阈值至少13档可调</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具备阻塞前预警提示功能，当管路压力未触发阻塞报警时，泵可自动识别压力上升并在屏幕上进行提示</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具备阻塞后自动重启输液功能，短暂性阻塞触发报警后，泵检测到阻塞压力缓解时，无需人为干预，泵自动重新启动输液</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信息储存：可存储3500条的历史记录</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电池工作时间≥5小时@5ml/h</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防异物及进液等级IP33</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整机重量不超过1.7kg</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满足EN1789标准，适合在救护车使用</w:t>
      </w:r>
    </w:p>
    <w:p>
      <w:pPr>
        <w:pStyle w:val="33"/>
        <w:pageBreakBefore w:val="0"/>
        <w:numPr>
          <w:ilvl w:val="0"/>
          <w:numId w:val="26"/>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可升级组合成输信息液采集系统，支持单手盲插</w:t>
      </w:r>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p>
    <w:p>
      <w:pPr>
        <w:pageBreakBefore w:val="0"/>
        <w:kinsoku/>
        <w:wordWrap/>
        <w:overflowPunct/>
        <w:topLinePunct w:val="0"/>
        <w:bidi w:val="0"/>
        <w:spacing w:line="600" w:lineRule="exact"/>
        <w:jc w:val="center"/>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二十五、输液泵</w:t>
      </w:r>
      <w:r>
        <w:rPr>
          <w:rFonts w:hint="eastAsia" w:ascii="微软雅黑" w:hAnsi="微软雅黑" w:eastAsia="微软雅黑" w:cs="微软雅黑"/>
          <w:b/>
          <w:bCs w:val="0"/>
          <w:color w:val="auto"/>
          <w:sz w:val="24"/>
          <w:szCs w:val="24"/>
          <w:highlight w:val="none"/>
          <w:lang w:val="en-US" w:eastAsia="zh-CN"/>
        </w:rPr>
        <w:t>（1台）</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*支持输血功能，可支持所有符合国家标准的输血管路</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可升级肠内营养液输液功能 </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*速率范围：0.1-2000ml/h, 最小步进0.01ml/h</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预置输液总量范围：0.1-9999.99ml，输液精度≤±5%</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*快进流速范围：0.1-2000ml/h，具有自动和手动快进可选；</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可自动统计四种累计量：24h累计量、最近累计量、自定义时间段累计量、定时间隔累计量</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*泵门智能电动控制，可自动关闭或打开</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无需额外工具或设备，可直接在输液泵添加输液器品牌中文名称</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*不少于8种输液模式：速度模式、时间模式、体重模式、梯度模式、序列模式、剂量时间模式、点滴模式、和间断给药模式；具备联机功能</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*不小于3.5英寸彩色显示屏，触屏操作</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全中文软件操作界面</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锁屏功能：支持自动锁屏，触屏左右滑动解锁，自动锁屏时间可调</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支持药物库，可储存5000种药物信息。</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*支持药物色彩标识，选择不同类型药物时对应的药物色彩标识自动显示在屏幕上，支持4种以上颜色</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报警时可通过示意图片直观提示报警信息，并伴有声、光、文字提示</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*压力报警阈值最低可设置50mmHg</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具备阻塞前预警提示功能，当管路压力未触发阻塞报警时，泵可自动识别压力上升并在屏幕上进行提示</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具备阻塞后自动重启输液功能，短暂性阻塞触发报警后，泵检测到阻塞压力缓解时，无需人为干预，泵自动重新启动输液</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具备双超声气泡检测技术，双重保障，防止气泡漏检漏报问题</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*具备单个气泡和累积气泡报警功能，支持最小20μL的单个气泡报警</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无需滴数传感器，泵可自动识别空瓶状态并报警</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信息储存：可存储3500条的历史记录</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电池工作时间≥5小时@25ml/h</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防异物及进液等级IP33</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满足EN1789标准，适合在救护车使用</w:t>
      </w:r>
    </w:p>
    <w:p>
      <w:pPr>
        <w:pStyle w:val="33"/>
        <w:pageBreakBefore w:val="0"/>
        <w:numPr>
          <w:ilvl w:val="0"/>
          <w:numId w:val="27"/>
        </w:numPr>
        <w:kinsoku/>
        <w:wordWrap/>
        <w:overflowPunct/>
        <w:topLinePunct w:val="0"/>
        <w:bidi w:val="0"/>
        <w:spacing w:line="600" w:lineRule="exact"/>
        <w:ind w:firstLine="480" w:firstLineChars="200"/>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可升级组合成输信息液采集系统，支持单手盲插</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二十六、呼吸机（4台）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适用于对成人、小儿和婴幼儿患者进行通气辅助及呼吸支持的呼吸机，机型新颖，中文操作界面。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采用≥12.1英寸彩色TFT触摸控制屏幕，分辨率1280*800。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屏幕显示：多至4道波形同屏显示，支持呼吸环、波形和监测参数同屏显示。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自检功能，检查系统管道阻力、泄漏量和顺应性，测试流量传感器、呼气阀和安全阀等部件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≥120分钟内置后备可充电电池（1块电池），电池总剩余电量能显示在屏幕上。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电动电控呼吸机（涡轮驱动产生空气气源），方便进行转运。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具有有创通气模式、可选无创通气模式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病人信息，当前的设置参数、报警限和趋势等数据可导出。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呼吸波形及呼吸环可截图，屏幕导出保存U盘。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吸气安全阀组件可拆卸，并能高温高压蒸汽消毒（134℃），以防止交叉感染。</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呼气阀组件一体化设计，内置金属膜片压差流量传感器，精度高，寿命长，并能高温高压蒸汽消毒（134℃），以防止交叉感染。</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呼吸机整机重量约小于11 kg（不包括台车），方便手提移动。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呼吸模式及功能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标配模式：容量控制通气下的辅助控制通气A/C和同步间歇指令通气SIMV、压力控制通气下的A/C和SIMV、CPAP/PSV、窒息通气模式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其他功能：手动呼吸、吸气保持、呼气保持、雾化、纯氧灌注、智能吸痰程序（可选），NIF（可选）、PEEPi（可选）及P0.1测定（可选），监测参数的≥72小时的趋势图、表分析。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具有自动插管阻力补偿（ATRC）功能，选择不同孔径的气管插管，呼吸机可以自动调节送气压力，使插管末端的压力与呼吸机压力设置值保持一致。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有智能同步技术，可以将【呼气触发】设置为【Auto】，通过对波形特征的抽取和分析，自适应算法动态调节【呼气触发】至最佳值，提高人机同步，使病人呼吸更加舒适，可以减少治疗过程中频繁的呼吸机设置值调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具有单位理想体重输送的潮气量 （TVe/IBW）监测功能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设置参数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潮气量：20ml—2000ml</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呼吸频率：1-1</w:t>
      </w:r>
      <w:r>
        <w:rPr>
          <w:rFonts w:hint="eastAsia" w:ascii="微软雅黑" w:hAnsi="微软雅黑" w:eastAsia="微软雅黑" w:cs="微软雅黑"/>
          <w:sz w:val="24"/>
          <w:szCs w:val="24"/>
          <w:lang w:eastAsia="zh-CN"/>
        </w:rPr>
        <w:t>0</w:t>
      </w:r>
      <w:r>
        <w:rPr>
          <w:rFonts w:hint="eastAsia" w:ascii="微软雅黑" w:hAnsi="微软雅黑" w:eastAsia="微软雅黑" w:cs="微软雅黑"/>
          <w:sz w:val="24"/>
          <w:szCs w:val="24"/>
        </w:rPr>
        <w:t>0次/min</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SIMV频率：1-60次/min</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吸/呼比：4:1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1:10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最大峰值流速：≥</w:t>
      </w:r>
      <w:r>
        <w:rPr>
          <w:rFonts w:hint="eastAsia" w:ascii="微软雅黑" w:hAnsi="微软雅黑" w:eastAsia="微软雅黑" w:cs="微软雅黑"/>
          <w:sz w:val="24"/>
          <w:szCs w:val="24"/>
          <w:lang w:eastAsia="zh-CN"/>
        </w:rPr>
        <w:t>210</w:t>
      </w:r>
      <w:r>
        <w:rPr>
          <w:rFonts w:hint="eastAsia" w:ascii="微软雅黑" w:hAnsi="微软雅黑" w:eastAsia="微软雅黑" w:cs="微软雅黑"/>
          <w:sz w:val="24"/>
          <w:szCs w:val="24"/>
        </w:rPr>
        <w:t>L/min</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吸气压力：</w:t>
      </w:r>
      <w:r>
        <w:rPr>
          <w:rFonts w:hint="eastAsia" w:ascii="微软雅黑" w:hAnsi="微软雅黑" w:eastAsia="微软雅黑" w:cs="微软雅黑"/>
          <w:sz w:val="24"/>
          <w:szCs w:val="24"/>
          <w:lang w:eastAsia="zh-CN"/>
        </w:rPr>
        <w:t>5</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8</w:t>
      </w:r>
      <w:r>
        <w:rPr>
          <w:rFonts w:hint="eastAsia" w:ascii="微软雅黑" w:hAnsi="微软雅黑" w:eastAsia="微软雅黑" w:cs="微软雅黑"/>
          <w:sz w:val="24"/>
          <w:szCs w:val="24"/>
        </w:rPr>
        <w:t>0 cmH2O</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压力支持：0—</w:t>
      </w:r>
      <w:r>
        <w:rPr>
          <w:rFonts w:hint="eastAsia" w:ascii="微软雅黑" w:hAnsi="微软雅黑" w:eastAsia="微软雅黑" w:cs="微软雅黑"/>
          <w:sz w:val="24"/>
          <w:szCs w:val="24"/>
          <w:lang w:eastAsia="zh-CN"/>
        </w:rPr>
        <w:t>80</w:t>
      </w:r>
      <w:r>
        <w:rPr>
          <w:rFonts w:hint="eastAsia" w:ascii="微软雅黑" w:hAnsi="微软雅黑" w:eastAsia="微软雅黑" w:cs="微软雅黑"/>
          <w:sz w:val="24"/>
          <w:szCs w:val="24"/>
        </w:rPr>
        <w:t>cmH2O</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PEEP：</w:t>
      </w:r>
      <w:r>
        <w:rPr>
          <w:rFonts w:hint="eastAsia" w:ascii="微软雅黑" w:hAnsi="微软雅黑" w:eastAsia="微软雅黑" w:cs="微软雅黑"/>
          <w:sz w:val="24"/>
          <w:szCs w:val="24"/>
          <w:lang w:eastAsia="zh-CN"/>
        </w:rPr>
        <w:t>OFF,1</w:t>
      </w:r>
      <w:r>
        <w:rPr>
          <w:rFonts w:hint="eastAsia" w:ascii="微软雅黑" w:hAnsi="微软雅黑" w:eastAsia="微软雅黑" w:cs="微软雅黑"/>
          <w:sz w:val="24"/>
          <w:szCs w:val="24"/>
        </w:rPr>
        <w:t>--45 cmH2O</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压力触发灵敏度：-10 —- 0.5cmH2O</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流速触发灵敏度：0.5—15L/ min</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氧浓度：21—100%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叹息功能：有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监测参数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气道压力：PEEP、气道峰压、平台压、平均压等监测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每分钟呼出通气量：总的分钟通气量、自主呼吸的分钟通气量、泄漏的分钟通气量的监测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潮气量的监测：吸入潮气量、呼出潮气量的监测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呼吸频率监测：总的呼吸频率、自主呼吸频率、机控呼吸频率的监测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波形显示：压力/时间、流速/时间、容量/时间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吸入的氧浓度的监测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趋势图和趋势表显示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具有压力/容积、流速/容积、流速/压力环3种呼吸环监测。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肺的力学：吸气阻力、呼气阻力、静态顺应性、动态顺应性和时间常数的监测。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其他功能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便利的锁屏功能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漏气自动补偿，管道的顺应性和BTPS补偿功能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提供直流（12V）和交流两种供电方式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提供高压氧气气源和低压氧气气源两种方式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能够和同一品牌模块化监护仪连接，把呼吸机的监测信息实时显示到监护上，满足科室信息化的需求。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微软雅黑" w:hAnsi="微软雅黑" w:eastAsia="微软雅黑" w:cs="微软雅黑"/>
          <w:b/>
          <w:bCs/>
          <w:sz w:val="24"/>
          <w:szCs w:val="24"/>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20000001" w:csb1="00000000"/>
  </w:font>
  <w:font w:name="Cambria">
    <w:panose1 w:val="02040503050406030204"/>
    <w:charset w:val="00"/>
    <w:family w:val="swiss"/>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华文隶书">
    <w:altName w:val="微软雅黑"/>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rPr>
    </w:pPr>
    <w:r>
      <w:rPr>
        <w:rFonts w:hint="eastAsia"/>
        <w:b/>
        <w:bCs/>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b/>
        <w:bCs/>
        <w:lang w:val="en-US" w:eastAsia="zh-CN"/>
      </w:rPr>
      <w:t>陕西国泰招标代理有限公司                                    安康市兴安中路44号君安大厦24楼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518" w:firstLineChars="2500"/>
      <w:rPr>
        <w:rFonts w:hint="default" w:eastAsia="宋体"/>
        <w:b/>
        <w:bCs/>
        <w:i/>
        <w:iCs/>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F69BB"/>
    <w:multiLevelType w:val="singleLevel"/>
    <w:tmpl w:val="8B6F69BB"/>
    <w:lvl w:ilvl="0" w:tentative="0">
      <w:start w:val="6"/>
      <w:numFmt w:val="chineseCounting"/>
      <w:suff w:val="nothing"/>
      <w:lvlText w:val="%1、"/>
      <w:lvlJc w:val="left"/>
      <w:rPr>
        <w:rFonts w:hint="eastAsia"/>
      </w:rPr>
    </w:lvl>
  </w:abstractNum>
  <w:abstractNum w:abstractNumId="1">
    <w:nsid w:val="9AFD6991"/>
    <w:multiLevelType w:val="singleLevel"/>
    <w:tmpl w:val="9AFD6991"/>
    <w:lvl w:ilvl="0" w:tentative="0">
      <w:start w:val="1"/>
      <w:numFmt w:val="decimal"/>
      <w:lvlText w:val="%1."/>
      <w:lvlJc w:val="left"/>
      <w:pPr>
        <w:ind w:left="425" w:hanging="425"/>
      </w:pPr>
      <w:rPr>
        <w:rFonts w:hint="default"/>
      </w:rPr>
    </w:lvl>
  </w:abstractNum>
  <w:abstractNum w:abstractNumId="2">
    <w:nsid w:val="DA08CC8D"/>
    <w:multiLevelType w:val="singleLevel"/>
    <w:tmpl w:val="DA08CC8D"/>
    <w:lvl w:ilvl="0" w:tentative="0">
      <w:start w:val="1"/>
      <w:numFmt w:val="chineseCounting"/>
      <w:suff w:val="nothing"/>
      <w:lvlText w:val="%1、"/>
      <w:lvlJc w:val="left"/>
      <w:pPr>
        <w:ind w:left="0" w:firstLine="420"/>
      </w:pPr>
      <w:rPr>
        <w:rFonts w:hint="eastAsia"/>
      </w:rPr>
    </w:lvl>
  </w:abstractNum>
  <w:abstractNum w:abstractNumId="3">
    <w:nsid w:val="00000006"/>
    <w:multiLevelType w:val="multilevel"/>
    <w:tmpl w:val="00000006"/>
    <w:lvl w:ilvl="0" w:tentative="0">
      <w:start w:val="1"/>
      <w:numFmt w:val="decimal"/>
      <w:lvlText w:val="%1."/>
      <w:lvlJc w:val="left"/>
      <w:pPr>
        <w:tabs>
          <w:tab w:val="left" w:pos="778"/>
        </w:tabs>
        <w:ind w:left="778" w:hanging="420"/>
      </w:p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4">
    <w:nsid w:val="0000000B"/>
    <w:multiLevelType w:val="multilevel"/>
    <w:tmpl w:val="0000000B"/>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690"/>
        </w:tabs>
        <w:ind w:left="690" w:hanging="360"/>
      </w:pPr>
      <w:rPr>
        <w:rFonts w:hint="default"/>
      </w:rPr>
    </w:lvl>
    <w:lvl w:ilvl="2" w:tentative="0">
      <w:start w:val="1"/>
      <w:numFmt w:val="decimal"/>
      <w:lvlText w:val="%1.%2.%3"/>
      <w:lvlJc w:val="left"/>
      <w:pPr>
        <w:tabs>
          <w:tab w:val="left" w:pos="1020"/>
        </w:tabs>
        <w:ind w:left="1020" w:hanging="360"/>
      </w:pPr>
      <w:rPr>
        <w:rFonts w:hint="default"/>
      </w:rPr>
    </w:lvl>
    <w:lvl w:ilvl="3" w:tentative="0">
      <w:start w:val="1"/>
      <w:numFmt w:val="decimal"/>
      <w:lvlText w:val="%1.%2.%3.%4"/>
      <w:lvlJc w:val="left"/>
      <w:pPr>
        <w:tabs>
          <w:tab w:val="left" w:pos="1710"/>
        </w:tabs>
        <w:ind w:left="1710" w:hanging="720"/>
      </w:pPr>
      <w:rPr>
        <w:rFonts w:hint="default"/>
      </w:rPr>
    </w:lvl>
    <w:lvl w:ilvl="4" w:tentative="0">
      <w:start w:val="1"/>
      <w:numFmt w:val="decimal"/>
      <w:lvlText w:val="%1.%2.%3.%4.%5"/>
      <w:lvlJc w:val="left"/>
      <w:pPr>
        <w:tabs>
          <w:tab w:val="left" w:pos="2040"/>
        </w:tabs>
        <w:ind w:left="2040" w:hanging="720"/>
      </w:pPr>
      <w:rPr>
        <w:rFonts w:hint="default"/>
      </w:rPr>
    </w:lvl>
    <w:lvl w:ilvl="5" w:tentative="0">
      <w:start w:val="1"/>
      <w:numFmt w:val="decimal"/>
      <w:lvlText w:val="%1.%2.%3.%4.%5.%6"/>
      <w:lvlJc w:val="left"/>
      <w:pPr>
        <w:tabs>
          <w:tab w:val="left" w:pos="2370"/>
        </w:tabs>
        <w:ind w:left="2370" w:hanging="720"/>
      </w:pPr>
      <w:rPr>
        <w:rFonts w:hint="default"/>
      </w:rPr>
    </w:lvl>
    <w:lvl w:ilvl="6" w:tentative="0">
      <w:start w:val="1"/>
      <w:numFmt w:val="decimal"/>
      <w:lvlText w:val="%1.%2.%3.%4.%5.%6.%7"/>
      <w:lvlJc w:val="left"/>
      <w:pPr>
        <w:tabs>
          <w:tab w:val="left" w:pos="3060"/>
        </w:tabs>
        <w:ind w:left="3060" w:hanging="1080"/>
      </w:pPr>
      <w:rPr>
        <w:rFonts w:hint="default"/>
      </w:rPr>
    </w:lvl>
    <w:lvl w:ilvl="7" w:tentative="0">
      <w:start w:val="1"/>
      <w:numFmt w:val="decimal"/>
      <w:lvlText w:val="%1.%2.%3.%4.%5.%6.%7.%8"/>
      <w:lvlJc w:val="left"/>
      <w:pPr>
        <w:tabs>
          <w:tab w:val="left" w:pos="3390"/>
        </w:tabs>
        <w:ind w:left="3390" w:hanging="1080"/>
      </w:pPr>
      <w:rPr>
        <w:rFonts w:hint="default"/>
      </w:rPr>
    </w:lvl>
    <w:lvl w:ilvl="8" w:tentative="0">
      <w:start w:val="1"/>
      <w:numFmt w:val="decimal"/>
      <w:lvlText w:val="%1.%2.%3.%4.%5.%6.%7.%8.%9"/>
      <w:lvlJc w:val="left"/>
      <w:pPr>
        <w:tabs>
          <w:tab w:val="left" w:pos="3720"/>
        </w:tabs>
        <w:ind w:left="3720" w:hanging="1080"/>
      </w:pPr>
      <w:rPr>
        <w:rFonts w:hint="default"/>
      </w:rPr>
    </w:lvl>
  </w:abstractNum>
  <w:abstractNum w:abstractNumId="5">
    <w:nsid w:val="0053208E"/>
    <w:multiLevelType w:val="multilevel"/>
    <w:tmpl w:val="0053208E"/>
    <w:lvl w:ilvl="0" w:tentative="0">
      <w:start w:val="1"/>
      <w:numFmt w:val="decimal"/>
      <w:lvlText w:val="%1."/>
      <w:lvlJc w:val="left"/>
      <w:pPr>
        <w:tabs>
          <w:tab w:val="left" w:pos="425"/>
        </w:tabs>
        <w:ind w:left="36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tabs>
          <w:tab w:val="left" w:pos="425"/>
        </w:tabs>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tabs>
          <w:tab w:val="left" w:pos="425"/>
        </w:tabs>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tabs>
          <w:tab w:val="left" w:pos="425"/>
        </w:tabs>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tabs>
          <w:tab w:val="left" w:pos="425"/>
        </w:tabs>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tabs>
          <w:tab w:val="left" w:pos="425"/>
        </w:tabs>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tabs>
          <w:tab w:val="left" w:pos="425"/>
        </w:tabs>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tabs>
          <w:tab w:val="left" w:pos="425"/>
        </w:tabs>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tabs>
          <w:tab w:val="left" w:pos="425"/>
        </w:tabs>
        <w:ind w:left="6480" w:hanging="360"/>
      </w:pPr>
      <w:rPr>
        <w:rFonts w:hAnsi="Arial Unicode MS"/>
        <w:caps w:val="0"/>
        <w:smallCaps w:val="0"/>
        <w:strike w:val="0"/>
        <w:dstrike w:val="0"/>
        <w:spacing w:val="0"/>
        <w:w w:val="100"/>
        <w:kern w:val="0"/>
        <w:position w:val="0"/>
        <w:highlight w:val="none"/>
        <w:vertAlign w:val="baseline"/>
      </w:rPr>
    </w:lvl>
  </w:abstractNum>
  <w:abstractNum w:abstractNumId="6">
    <w:nsid w:val="00A60E71"/>
    <w:multiLevelType w:val="multilevel"/>
    <w:tmpl w:val="00A60E71"/>
    <w:lvl w:ilvl="0" w:tentative="0">
      <w:start w:val="1"/>
      <w:numFmt w:val="decimal"/>
      <w:lvlText w:val="16.%1"/>
      <w:lvlJc w:val="left"/>
      <w:pPr>
        <w:ind w:left="420" w:hanging="420"/>
      </w:pPr>
      <w:rPr>
        <w:rFonts w:hint="eastAsia"/>
      </w:rPr>
    </w:lvl>
    <w:lvl w:ilvl="1" w:tentative="0">
      <w:start w:val="1"/>
      <w:numFmt w:val="upperRoman"/>
      <w:lvlText w:val="%2-"/>
      <w:lvlJc w:val="left"/>
      <w:pPr>
        <w:ind w:left="1140" w:hanging="720"/>
      </w:pPr>
      <w:rPr>
        <w:rFonts w:hint="default"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265E2F"/>
    <w:multiLevelType w:val="multilevel"/>
    <w:tmpl w:val="0F265E2F"/>
    <w:lvl w:ilvl="0" w:tentative="0">
      <w:start w:val="1"/>
      <w:numFmt w:val="decimal"/>
      <w:lvlText w:val="15.%1"/>
      <w:lvlJc w:val="left"/>
      <w:pPr>
        <w:ind w:left="420" w:hanging="420"/>
      </w:pPr>
      <w:rPr>
        <w:rFonts w:hint="default" w:ascii="微软雅黑" w:hAnsi="微软雅黑" w:eastAsia="微软雅黑" w:cs="微软雅黑"/>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A416D18"/>
    <w:multiLevelType w:val="multilevel"/>
    <w:tmpl w:val="1A416D18"/>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D901E9"/>
    <w:multiLevelType w:val="multilevel"/>
    <w:tmpl w:val="23D901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2AF222"/>
    <w:multiLevelType w:val="singleLevel"/>
    <w:tmpl w:val="242AF222"/>
    <w:lvl w:ilvl="0" w:tentative="0">
      <w:start w:val="6"/>
      <w:numFmt w:val="chineseCounting"/>
      <w:suff w:val="nothing"/>
      <w:lvlText w:val="第%1章　"/>
      <w:lvlJc w:val="left"/>
      <w:rPr>
        <w:rFonts w:hint="eastAsia"/>
      </w:rPr>
    </w:lvl>
  </w:abstractNum>
  <w:abstractNum w:abstractNumId="11">
    <w:nsid w:val="29834EAA"/>
    <w:multiLevelType w:val="multilevel"/>
    <w:tmpl w:val="29834EAA"/>
    <w:lvl w:ilvl="0" w:tentative="0">
      <w:start w:val="2"/>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1AD6554"/>
    <w:multiLevelType w:val="multilevel"/>
    <w:tmpl w:val="31AD6554"/>
    <w:lvl w:ilvl="0" w:tentative="0">
      <w:start w:val="1"/>
      <w:numFmt w:val="decimal"/>
      <w:lvlText w:val="%1、"/>
      <w:lvlJc w:val="left"/>
      <w:pPr>
        <w:ind w:left="360" w:hanging="360"/>
      </w:pPr>
      <w:rPr>
        <w:rFonts w:hint="default" w:ascii="微软雅黑" w:hAnsi="微软雅黑" w:eastAsia="微软雅黑" w:cs="微软雅黑"/>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D264A2"/>
    <w:multiLevelType w:val="multilevel"/>
    <w:tmpl w:val="32D264A2"/>
    <w:lvl w:ilvl="0" w:tentative="0">
      <w:start w:val="1"/>
      <w:numFmt w:val="decimal"/>
      <w:lvlText w:val="7.%1"/>
      <w:lvlJc w:val="left"/>
      <w:pPr>
        <w:ind w:left="420" w:hanging="420"/>
      </w:pPr>
      <w:rPr>
        <w:rFonts w:hint="default" w:ascii="宋体" w:hAnsi="宋体" w:eastAsia="宋体"/>
        <w:color w:val="000000"/>
        <w:sz w:val="24"/>
        <w:szCs w:val="24"/>
      </w:rPr>
    </w:lvl>
    <w:lvl w:ilvl="1" w:tentative="0">
      <w:start w:val="1"/>
      <w:numFmt w:val="upperRoman"/>
      <w:lvlText w:val="%2-"/>
      <w:lvlJc w:val="left"/>
      <w:pPr>
        <w:ind w:left="1140" w:hanging="720"/>
      </w:pPr>
      <w:rPr>
        <w:rFonts w:hint="default"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2409C5"/>
    <w:multiLevelType w:val="multilevel"/>
    <w:tmpl w:val="3F2409C5"/>
    <w:lvl w:ilvl="0" w:tentative="0">
      <w:start w:val="1"/>
      <w:numFmt w:val="decimal"/>
      <w:lvlText w:val="%1."/>
      <w:lvlJc w:val="left"/>
      <w:pPr>
        <w:ind w:left="420" w:hanging="420"/>
      </w:pPr>
    </w:lvl>
    <w:lvl w:ilvl="1" w:tentative="0">
      <w:start w:val="1"/>
      <w:numFmt w:val="upperRoman"/>
      <w:lvlText w:val="%2-"/>
      <w:lvlJc w:val="left"/>
      <w:pPr>
        <w:ind w:left="1140" w:hanging="720"/>
      </w:pPr>
      <w:rPr>
        <w:rFonts w:hint="default"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0E45169"/>
    <w:multiLevelType w:val="singleLevel"/>
    <w:tmpl w:val="40E45169"/>
    <w:lvl w:ilvl="0" w:tentative="0">
      <w:start w:val="2"/>
      <w:numFmt w:val="chineseCounting"/>
      <w:suff w:val="nothing"/>
      <w:lvlText w:val="（%1）"/>
      <w:lvlJc w:val="left"/>
      <w:rPr>
        <w:rFonts w:hint="eastAsia"/>
      </w:rPr>
    </w:lvl>
  </w:abstractNum>
  <w:abstractNum w:abstractNumId="16">
    <w:nsid w:val="4A724D24"/>
    <w:multiLevelType w:val="multilevel"/>
    <w:tmpl w:val="4A724D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5405F42"/>
    <w:multiLevelType w:val="multilevel"/>
    <w:tmpl w:val="65405F42"/>
    <w:lvl w:ilvl="0" w:tentative="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18">
    <w:nsid w:val="654066D4"/>
    <w:multiLevelType w:val="singleLevel"/>
    <w:tmpl w:val="654066D4"/>
    <w:lvl w:ilvl="0" w:tentative="0">
      <w:start w:val="6"/>
      <w:numFmt w:val="decimal"/>
      <w:suff w:val="nothing"/>
      <w:lvlText w:val="%1."/>
      <w:lvlJc w:val="left"/>
    </w:lvl>
  </w:abstractNum>
  <w:abstractNum w:abstractNumId="19">
    <w:nsid w:val="654AE080"/>
    <w:multiLevelType w:val="singleLevel"/>
    <w:tmpl w:val="654AE080"/>
    <w:lvl w:ilvl="0" w:tentative="0">
      <w:start w:val="1"/>
      <w:numFmt w:val="decimal"/>
      <w:suff w:val="nothing"/>
      <w:lvlText w:val="%1、"/>
      <w:lvlJc w:val="left"/>
    </w:lvl>
  </w:abstractNum>
  <w:abstractNum w:abstractNumId="20">
    <w:nsid w:val="654AE1C6"/>
    <w:multiLevelType w:val="singleLevel"/>
    <w:tmpl w:val="654AE1C6"/>
    <w:lvl w:ilvl="0" w:tentative="0">
      <w:start w:val="1"/>
      <w:numFmt w:val="decimal"/>
      <w:suff w:val="nothing"/>
      <w:lvlText w:val="%1."/>
      <w:lvlJc w:val="left"/>
    </w:lvl>
  </w:abstractNum>
  <w:abstractNum w:abstractNumId="21">
    <w:nsid w:val="654C2E6D"/>
    <w:multiLevelType w:val="singleLevel"/>
    <w:tmpl w:val="654C2E6D"/>
    <w:lvl w:ilvl="0" w:tentative="0">
      <w:start w:val="6"/>
      <w:numFmt w:val="decimal"/>
      <w:suff w:val="nothing"/>
      <w:lvlText w:val="%1."/>
      <w:lvlJc w:val="left"/>
    </w:lvl>
  </w:abstractNum>
  <w:abstractNum w:abstractNumId="22">
    <w:nsid w:val="654C2F7F"/>
    <w:multiLevelType w:val="singleLevel"/>
    <w:tmpl w:val="654C2F7F"/>
    <w:lvl w:ilvl="0" w:tentative="0">
      <w:start w:val="1"/>
      <w:numFmt w:val="decimal"/>
      <w:suff w:val="nothing"/>
      <w:lvlText w:val="%1."/>
      <w:lvlJc w:val="left"/>
    </w:lvl>
  </w:abstractNum>
  <w:abstractNum w:abstractNumId="23">
    <w:nsid w:val="66E8125E"/>
    <w:multiLevelType w:val="multilevel"/>
    <w:tmpl w:val="66E812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454700F"/>
    <w:multiLevelType w:val="singleLevel"/>
    <w:tmpl w:val="7454700F"/>
    <w:lvl w:ilvl="0" w:tentative="0">
      <w:start w:val="1"/>
      <w:numFmt w:val="chineseCounting"/>
      <w:suff w:val="nothing"/>
      <w:lvlText w:val="%1、"/>
      <w:lvlJc w:val="left"/>
      <w:pPr>
        <w:ind w:left="0" w:firstLine="420"/>
      </w:pPr>
      <w:rPr>
        <w:rFonts w:hint="eastAsia"/>
      </w:rPr>
    </w:lvl>
  </w:abstractNum>
  <w:abstractNum w:abstractNumId="25">
    <w:nsid w:val="7F680664"/>
    <w:multiLevelType w:val="multilevel"/>
    <w:tmpl w:val="7F6806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F7CEE5E"/>
    <w:multiLevelType w:val="singleLevel"/>
    <w:tmpl w:val="7F7CEE5E"/>
    <w:lvl w:ilvl="0" w:tentative="0">
      <w:start w:val="3"/>
      <w:numFmt w:val="chineseCounting"/>
      <w:suff w:val="nothing"/>
      <w:lvlText w:val="第%1章　"/>
      <w:lvlJc w:val="left"/>
      <w:rPr>
        <w:rFonts w:hint="eastAsia"/>
      </w:rPr>
    </w:lvl>
  </w:abstractNum>
  <w:num w:numId="1">
    <w:abstractNumId w:val="0"/>
  </w:num>
  <w:num w:numId="2">
    <w:abstractNumId w:val="26"/>
  </w:num>
  <w:num w:numId="3">
    <w:abstractNumId w:val="4"/>
  </w:num>
  <w:num w:numId="4">
    <w:abstractNumId w:val="10"/>
  </w:num>
  <w:num w:numId="5">
    <w:abstractNumId w:val="15"/>
  </w:num>
  <w:num w:numId="6">
    <w:abstractNumId w:val="11"/>
  </w:num>
  <w:num w:numId="7">
    <w:abstractNumId w:val="24"/>
  </w:num>
  <w:num w:numId="8">
    <w:abstractNumId w:val="2"/>
  </w:num>
  <w:num w:numId="9">
    <w:abstractNumId w:val="5"/>
  </w:num>
  <w:num w:numId="10">
    <w:abstractNumId w:val="17"/>
  </w:num>
  <w:num w:numId="11">
    <w:abstractNumId w:val="18"/>
  </w:num>
  <w:num w:numId="12">
    <w:abstractNumId w:val="8"/>
  </w:num>
  <w:num w:numId="13">
    <w:abstractNumId w:val="23"/>
  </w:num>
  <w:num w:numId="14">
    <w:abstractNumId w:val="1"/>
  </w:num>
  <w:num w:numId="15">
    <w:abstractNumId w:val="14"/>
  </w:num>
  <w:num w:numId="16">
    <w:abstractNumId w:val="13"/>
  </w:num>
  <w:num w:numId="17">
    <w:abstractNumId w:val="7"/>
  </w:num>
  <w:num w:numId="18">
    <w:abstractNumId w:val="6"/>
  </w:num>
  <w:num w:numId="19">
    <w:abstractNumId w:val="3"/>
  </w:num>
  <w:num w:numId="20">
    <w:abstractNumId w:val="12"/>
  </w:num>
  <w:num w:numId="21">
    <w:abstractNumId w:val="19"/>
  </w:num>
  <w:num w:numId="22">
    <w:abstractNumId w:val="20"/>
  </w:num>
  <w:num w:numId="23">
    <w:abstractNumId w:val="21"/>
  </w:num>
  <w:num w:numId="24">
    <w:abstractNumId w:val="22"/>
  </w:num>
  <w:num w:numId="25">
    <w:abstractNumId w:val="25"/>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NjQ0ZDM1MzI3OGEzMTQ5NTg2OWIxNjE4ZWE5NjUifQ=="/>
  </w:docVars>
  <w:rsids>
    <w:rsidRoot w:val="2B4518C7"/>
    <w:rsid w:val="00042EB8"/>
    <w:rsid w:val="00133528"/>
    <w:rsid w:val="0036244B"/>
    <w:rsid w:val="00B439AE"/>
    <w:rsid w:val="00D06CAA"/>
    <w:rsid w:val="00ED5BD9"/>
    <w:rsid w:val="012D7F47"/>
    <w:rsid w:val="01497868"/>
    <w:rsid w:val="01710115"/>
    <w:rsid w:val="019132D4"/>
    <w:rsid w:val="01916B04"/>
    <w:rsid w:val="01AC1900"/>
    <w:rsid w:val="01D50523"/>
    <w:rsid w:val="01DC1E42"/>
    <w:rsid w:val="01F10928"/>
    <w:rsid w:val="021A09E3"/>
    <w:rsid w:val="025A374E"/>
    <w:rsid w:val="028C1DF8"/>
    <w:rsid w:val="02914805"/>
    <w:rsid w:val="029C3B08"/>
    <w:rsid w:val="02B362DE"/>
    <w:rsid w:val="02B95C82"/>
    <w:rsid w:val="02E93053"/>
    <w:rsid w:val="030C03C0"/>
    <w:rsid w:val="030C6032"/>
    <w:rsid w:val="03183B7F"/>
    <w:rsid w:val="032D6F07"/>
    <w:rsid w:val="0357111E"/>
    <w:rsid w:val="036D2815"/>
    <w:rsid w:val="03A61DC5"/>
    <w:rsid w:val="03AB21BF"/>
    <w:rsid w:val="03DA779D"/>
    <w:rsid w:val="03E72080"/>
    <w:rsid w:val="04174CD6"/>
    <w:rsid w:val="04294BF7"/>
    <w:rsid w:val="04466E98"/>
    <w:rsid w:val="04573920"/>
    <w:rsid w:val="045B4B8A"/>
    <w:rsid w:val="048C74C1"/>
    <w:rsid w:val="04C5412E"/>
    <w:rsid w:val="04F30FE1"/>
    <w:rsid w:val="0520573B"/>
    <w:rsid w:val="059E0076"/>
    <w:rsid w:val="05A63666"/>
    <w:rsid w:val="060E1CDC"/>
    <w:rsid w:val="06B42C82"/>
    <w:rsid w:val="06B550E0"/>
    <w:rsid w:val="06DF6586"/>
    <w:rsid w:val="06E34B0D"/>
    <w:rsid w:val="06E80732"/>
    <w:rsid w:val="077961C6"/>
    <w:rsid w:val="07A227FB"/>
    <w:rsid w:val="07D17AC9"/>
    <w:rsid w:val="08123E36"/>
    <w:rsid w:val="087B0168"/>
    <w:rsid w:val="08B44D34"/>
    <w:rsid w:val="08B5745E"/>
    <w:rsid w:val="08BC5B2A"/>
    <w:rsid w:val="08C44AFE"/>
    <w:rsid w:val="08D605D7"/>
    <w:rsid w:val="09094F59"/>
    <w:rsid w:val="090A3D68"/>
    <w:rsid w:val="0953607C"/>
    <w:rsid w:val="09804F46"/>
    <w:rsid w:val="098D436A"/>
    <w:rsid w:val="09F94954"/>
    <w:rsid w:val="0A003C2E"/>
    <w:rsid w:val="0A0817FB"/>
    <w:rsid w:val="0A4C053A"/>
    <w:rsid w:val="0A5A7DA9"/>
    <w:rsid w:val="0A6B0A8D"/>
    <w:rsid w:val="0A7466C3"/>
    <w:rsid w:val="0AD5224C"/>
    <w:rsid w:val="0B072DC2"/>
    <w:rsid w:val="0B0C6BC5"/>
    <w:rsid w:val="0B253BA7"/>
    <w:rsid w:val="0B381467"/>
    <w:rsid w:val="0B5C5BE2"/>
    <w:rsid w:val="0B822297"/>
    <w:rsid w:val="0BC72573"/>
    <w:rsid w:val="0BC91951"/>
    <w:rsid w:val="0BDC3C74"/>
    <w:rsid w:val="0C0D67A2"/>
    <w:rsid w:val="0C336E66"/>
    <w:rsid w:val="0CA64FA7"/>
    <w:rsid w:val="0D525DB0"/>
    <w:rsid w:val="0DDC4F15"/>
    <w:rsid w:val="0DE40F94"/>
    <w:rsid w:val="0DEE7716"/>
    <w:rsid w:val="0E181FDA"/>
    <w:rsid w:val="0E222775"/>
    <w:rsid w:val="0E8C4A31"/>
    <w:rsid w:val="0E9E3C8B"/>
    <w:rsid w:val="0EB70860"/>
    <w:rsid w:val="0ED03450"/>
    <w:rsid w:val="0F334EAC"/>
    <w:rsid w:val="0F621C64"/>
    <w:rsid w:val="0F7543F6"/>
    <w:rsid w:val="0F8A74E7"/>
    <w:rsid w:val="0FB14BC0"/>
    <w:rsid w:val="0FF572E9"/>
    <w:rsid w:val="0FFA3919"/>
    <w:rsid w:val="10036F74"/>
    <w:rsid w:val="101258FD"/>
    <w:rsid w:val="102E09B8"/>
    <w:rsid w:val="1086390D"/>
    <w:rsid w:val="10B769FD"/>
    <w:rsid w:val="10C27D17"/>
    <w:rsid w:val="10DD102A"/>
    <w:rsid w:val="10DE0103"/>
    <w:rsid w:val="115A0995"/>
    <w:rsid w:val="119C396A"/>
    <w:rsid w:val="11DD685E"/>
    <w:rsid w:val="11F15443"/>
    <w:rsid w:val="1266054C"/>
    <w:rsid w:val="127615AA"/>
    <w:rsid w:val="12AF03CB"/>
    <w:rsid w:val="12E4798B"/>
    <w:rsid w:val="12F72AE2"/>
    <w:rsid w:val="136C21AC"/>
    <w:rsid w:val="139A0D7C"/>
    <w:rsid w:val="13C23DDA"/>
    <w:rsid w:val="13C73B1A"/>
    <w:rsid w:val="145C1072"/>
    <w:rsid w:val="147053E5"/>
    <w:rsid w:val="14E711C3"/>
    <w:rsid w:val="150A7A77"/>
    <w:rsid w:val="150B24EA"/>
    <w:rsid w:val="15381403"/>
    <w:rsid w:val="156220F0"/>
    <w:rsid w:val="15E21AD8"/>
    <w:rsid w:val="161F73B2"/>
    <w:rsid w:val="164C59D4"/>
    <w:rsid w:val="169C0152"/>
    <w:rsid w:val="16AB0DE4"/>
    <w:rsid w:val="171750B3"/>
    <w:rsid w:val="173346DD"/>
    <w:rsid w:val="175A5749"/>
    <w:rsid w:val="178526E7"/>
    <w:rsid w:val="17A32DEB"/>
    <w:rsid w:val="17B51A60"/>
    <w:rsid w:val="17BC2559"/>
    <w:rsid w:val="17D935E4"/>
    <w:rsid w:val="17E111B2"/>
    <w:rsid w:val="17E225F5"/>
    <w:rsid w:val="18095F74"/>
    <w:rsid w:val="181114E7"/>
    <w:rsid w:val="18155904"/>
    <w:rsid w:val="185C0EED"/>
    <w:rsid w:val="18816CAC"/>
    <w:rsid w:val="18DE1DE8"/>
    <w:rsid w:val="19305C51"/>
    <w:rsid w:val="19410624"/>
    <w:rsid w:val="19787D29"/>
    <w:rsid w:val="19A13A5B"/>
    <w:rsid w:val="19AE45AA"/>
    <w:rsid w:val="19E52F51"/>
    <w:rsid w:val="19E62A0F"/>
    <w:rsid w:val="19F742AA"/>
    <w:rsid w:val="1A3A31C2"/>
    <w:rsid w:val="1AE64794"/>
    <w:rsid w:val="1B223746"/>
    <w:rsid w:val="1B2E0C1E"/>
    <w:rsid w:val="1B6C1CA9"/>
    <w:rsid w:val="1BAD6DA8"/>
    <w:rsid w:val="1BD34902"/>
    <w:rsid w:val="1C5872F1"/>
    <w:rsid w:val="1C861EF0"/>
    <w:rsid w:val="1C987DAC"/>
    <w:rsid w:val="1CD22220"/>
    <w:rsid w:val="1D0070CB"/>
    <w:rsid w:val="1D084C19"/>
    <w:rsid w:val="1D534918"/>
    <w:rsid w:val="1D727751"/>
    <w:rsid w:val="1D7977B9"/>
    <w:rsid w:val="1D9B38BD"/>
    <w:rsid w:val="1D9B7775"/>
    <w:rsid w:val="1D9D3C19"/>
    <w:rsid w:val="1D9D45F8"/>
    <w:rsid w:val="1DA35D55"/>
    <w:rsid w:val="1E1D6C02"/>
    <w:rsid w:val="1E6B3B9F"/>
    <w:rsid w:val="1EC01C55"/>
    <w:rsid w:val="1EDA5FC5"/>
    <w:rsid w:val="1EFD0F84"/>
    <w:rsid w:val="1F1A6453"/>
    <w:rsid w:val="1F5547A4"/>
    <w:rsid w:val="1F596123"/>
    <w:rsid w:val="1F5C16CC"/>
    <w:rsid w:val="1F967C2A"/>
    <w:rsid w:val="1FC20904"/>
    <w:rsid w:val="2007097F"/>
    <w:rsid w:val="20096A06"/>
    <w:rsid w:val="201D55AF"/>
    <w:rsid w:val="204B474B"/>
    <w:rsid w:val="20566541"/>
    <w:rsid w:val="207F330C"/>
    <w:rsid w:val="20AE796A"/>
    <w:rsid w:val="20B302A7"/>
    <w:rsid w:val="20CD3151"/>
    <w:rsid w:val="21380A48"/>
    <w:rsid w:val="21891B8D"/>
    <w:rsid w:val="21BA2E06"/>
    <w:rsid w:val="21C712DC"/>
    <w:rsid w:val="21F4496F"/>
    <w:rsid w:val="21F8669D"/>
    <w:rsid w:val="22027E59"/>
    <w:rsid w:val="221F03C6"/>
    <w:rsid w:val="22590352"/>
    <w:rsid w:val="227E7C58"/>
    <w:rsid w:val="228055BD"/>
    <w:rsid w:val="22D27B5F"/>
    <w:rsid w:val="231C13C3"/>
    <w:rsid w:val="236E1993"/>
    <w:rsid w:val="23904BC4"/>
    <w:rsid w:val="23B476C6"/>
    <w:rsid w:val="23B56380"/>
    <w:rsid w:val="23B91FDD"/>
    <w:rsid w:val="23CA462D"/>
    <w:rsid w:val="23E80FFB"/>
    <w:rsid w:val="244D05F7"/>
    <w:rsid w:val="246D3A33"/>
    <w:rsid w:val="2503394A"/>
    <w:rsid w:val="25076767"/>
    <w:rsid w:val="2526288E"/>
    <w:rsid w:val="253B73A3"/>
    <w:rsid w:val="254B7199"/>
    <w:rsid w:val="25F57799"/>
    <w:rsid w:val="263E4B8E"/>
    <w:rsid w:val="26471555"/>
    <w:rsid w:val="26966966"/>
    <w:rsid w:val="269732F6"/>
    <w:rsid w:val="26A16636"/>
    <w:rsid w:val="26D31E5B"/>
    <w:rsid w:val="26E9619D"/>
    <w:rsid w:val="27397B2D"/>
    <w:rsid w:val="27483168"/>
    <w:rsid w:val="275C43C0"/>
    <w:rsid w:val="27963FD0"/>
    <w:rsid w:val="279A7029"/>
    <w:rsid w:val="27B74932"/>
    <w:rsid w:val="27C10CDC"/>
    <w:rsid w:val="27C20B99"/>
    <w:rsid w:val="27FC223E"/>
    <w:rsid w:val="2809541C"/>
    <w:rsid w:val="282A7ABA"/>
    <w:rsid w:val="289C6AC7"/>
    <w:rsid w:val="28E662CA"/>
    <w:rsid w:val="28F1143C"/>
    <w:rsid w:val="28F52A0A"/>
    <w:rsid w:val="29037EBA"/>
    <w:rsid w:val="290C3906"/>
    <w:rsid w:val="29696F17"/>
    <w:rsid w:val="29763EBB"/>
    <w:rsid w:val="29970782"/>
    <w:rsid w:val="2A172761"/>
    <w:rsid w:val="2A2E4DE8"/>
    <w:rsid w:val="2A314286"/>
    <w:rsid w:val="2A714CB0"/>
    <w:rsid w:val="2A7F3B9A"/>
    <w:rsid w:val="2A930D2B"/>
    <w:rsid w:val="2ACF3EF2"/>
    <w:rsid w:val="2B365FF8"/>
    <w:rsid w:val="2B4518C7"/>
    <w:rsid w:val="2B492586"/>
    <w:rsid w:val="2B502FC6"/>
    <w:rsid w:val="2B562DCC"/>
    <w:rsid w:val="2B96599F"/>
    <w:rsid w:val="2B973ED8"/>
    <w:rsid w:val="2BA42C91"/>
    <w:rsid w:val="2BD5293D"/>
    <w:rsid w:val="2C321881"/>
    <w:rsid w:val="2C4E45B1"/>
    <w:rsid w:val="2C5859E9"/>
    <w:rsid w:val="2CBD081D"/>
    <w:rsid w:val="2D8E5217"/>
    <w:rsid w:val="2DE43582"/>
    <w:rsid w:val="2E13643F"/>
    <w:rsid w:val="2E3066B5"/>
    <w:rsid w:val="2EE66DE4"/>
    <w:rsid w:val="2EEB5419"/>
    <w:rsid w:val="2F1C16EA"/>
    <w:rsid w:val="2F803CE6"/>
    <w:rsid w:val="2FA2183B"/>
    <w:rsid w:val="30087E17"/>
    <w:rsid w:val="302D71D4"/>
    <w:rsid w:val="30843D34"/>
    <w:rsid w:val="30B716A3"/>
    <w:rsid w:val="30D06641"/>
    <w:rsid w:val="3123377F"/>
    <w:rsid w:val="31263A7D"/>
    <w:rsid w:val="31496B30"/>
    <w:rsid w:val="314A1027"/>
    <w:rsid w:val="31757B56"/>
    <w:rsid w:val="31960CE1"/>
    <w:rsid w:val="3199650E"/>
    <w:rsid w:val="31C0661C"/>
    <w:rsid w:val="31C4296B"/>
    <w:rsid w:val="31F43EBC"/>
    <w:rsid w:val="32064C08"/>
    <w:rsid w:val="323A7AAC"/>
    <w:rsid w:val="325150E0"/>
    <w:rsid w:val="326567DA"/>
    <w:rsid w:val="33790489"/>
    <w:rsid w:val="33927043"/>
    <w:rsid w:val="33BD54CC"/>
    <w:rsid w:val="33DF3849"/>
    <w:rsid w:val="33FE2739"/>
    <w:rsid w:val="343024DD"/>
    <w:rsid w:val="34357515"/>
    <w:rsid w:val="34477BA9"/>
    <w:rsid w:val="3466440F"/>
    <w:rsid w:val="34A65E60"/>
    <w:rsid w:val="34AF3D4B"/>
    <w:rsid w:val="34D45650"/>
    <w:rsid w:val="350C6A4F"/>
    <w:rsid w:val="35463B19"/>
    <w:rsid w:val="35701658"/>
    <w:rsid w:val="3587488D"/>
    <w:rsid w:val="359633D5"/>
    <w:rsid w:val="35A36535"/>
    <w:rsid w:val="35AE36CE"/>
    <w:rsid w:val="35D01B68"/>
    <w:rsid w:val="35DC6B8C"/>
    <w:rsid w:val="35F35D7D"/>
    <w:rsid w:val="3603423B"/>
    <w:rsid w:val="363E2545"/>
    <w:rsid w:val="36D006FF"/>
    <w:rsid w:val="37023465"/>
    <w:rsid w:val="37136DCD"/>
    <w:rsid w:val="373D24BC"/>
    <w:rsid w:val="37476256"/>
    <w:rsid w:val="37573E52"/>
    <w:rsid w:val="37662F23"/>
    <w:rsid w:val="37AA4FA6"/>
    <w:rsid w:val="37B44021"/>
    <w:rsid w:val="37C30C14"/>
    <w:rsid w:val="38173AE1"/>
    <w:rsid w:val="382B4A8F"/>
    <w:rsid w:val="38B60B2C"/>
    <w:rsid w:val="38F31F8D"/>
    <w:rsid w:val="3930186C"/>
    <w:rsid w:val="39317D93"/>
    <w:rsid w:val="39413499"/>
    <w:rsid w:val="3963744A"/>
    <w:rsid w:val="397801C2"/>
    <w:rsid w:val="39A06830"/>
    <w:rsid w:val="39AF741F"/>
    <w:rsid w:val="3A1A4B21"/>
    <w:rsid w:val="3A2175D4"/>
    <w:rsid w:val="3A3A53DD"/>
    <w:rsid w:val="3A6D3FAD"/>
    <w:rsid w:val="3AA34DC3"/>
    <w:rsid w:val="3B252F62"/>
    <w:rsid w:val="3B2C32E3"/>
    <w:rsid w:val="3B2D5236"/>
    <w:rsid w:val="3B4F44C6"/>
    <w:rsid w:val="3B5412D8"/>
    <w:rsid w:val="3B6F4C0F"/>
    <w:rsid w:val="3B754A64"/>
    <w:rsid w:val="3B8B1A48"/>
    <w:rsid w:val="3BA61616"/>
    <w:rsid w:val="3BAB3C38"/>
    <w:rsid w:val="3BB12143"/>
    <w:rsid w:val="3BCB7049"/>
    <w:rsid w:val="3BF55533"/>
    <w:rsid w:val="3C0D69C2"/>
    <w:rsid w:val="3C261A4A"/>
    <w:rsid w:val="3C346BC4"/>
    <w:rsid w:val="3C4A1EF3"/>
    <w:rsid w:val="3C5A3378"/>
    <w:rsid w:val="3C944F4B"/>
    <w:rsid w:val="3CA771CC"/>
    <w:rsid w:val="3CCE1A22"/>
    <w:rsid w:val="3CE62303"/>
    <w:rsid w:val="3DA562EB"/>
    <w:rsid w:val="3DD75BD8"/>
    <w:rsid w:val="3E5818E9"/>
    <w:rsid w:val="3E79736E"/>
    <w:rsid w:val="3E9B0784"/>
    <w:rsid w:val="3EA96A85"/>
    <w:rsid w:val="3ECE7A61"/>
    <w:rsid w:val="3EF238CF"/>
    <w:rsid w:val="3EFE71C6"/>
    <w:rsid w:val="3F1A30EF"/>
    <w:rsid w:val="3F376166"/>
    <w:rsid w:val="3F4A7B7F"/>
    <w:rsid w:val="3FFC159A"/>
    <w:rsid w:val="40435EB9"/>
    <w:rsid w:val="40495A34"/>
    <w:rsid w:val="40500110"/>
    <w:rsid w:val="408B1717"/>
    <w:rsid w:val="40AF3830"/>
    <w:rsid w:val="40B802FC"/>
    <w:rsid w:val="40BF0741"/>
    <w:rsid w:val="40CD3961"/>
    <w:rsid w:val="40E01B17"/>
    <w:rsid w:val="40E043A3"/>
    <w:rsid w:val="40F32E2D"/>
    <w:rsid w:val="40F62868"/>
    <w:rsid w:val="411371EA"/>
    <w:rsid w:val="412266FD"/>
    <w:rsid w:val="41751F9A"/>
    <w:rsid w:val="41801AFE"/>
    <w:rsid w:val="41CC1D42"/>
    <w:rsid w:val="41CF49E5"/>
    <w:rsid w:val="420047B3"/>
    <w:rsid w:val="420605C9"/>
    <w:rsid w:val="42283E97"/>
    <w:rsid w:val="4259086C"/>
    <w:rsid w:val="428A0EB5"/>
    <w:rsid w:val="42A76A41"/>
    <w:rsid w:val="42D51954"/>
    <w:rsid w:val="434B1498"/>
    <w:rsid w:val="43694525"/>
    <w:rsid w:val="438766F6"/>
    <w:rsid w:val="43AD2325"/>
    <w:rsid w:val="43B17F91"/>
    <w:rsid w:val="43B665FD"/>
    <w:rsid w:val="44520C48"/>
    <w:rsid w:val="445D34D8"/>
    <w:rsid w:val="44E26451"/>
    <w:rsid w:val="44EF01A2"/>
    <w:rsid w:val="44F44539"/>
    <w:rsid w:val="45010E29"/>
    <w:rsid w:val="452F0C50"/>
    <w:rsid w:val="457E24B6"/>
    <w:rsid w:val="458539AC"/>
    <w:rsid w:val="459F01B9"/>
    <w:rsid w:val="45A466AD"/>
    <w:rsid w:val="45D7698D"/>
    <w:rsid w:val="45F909FB"/>
    <w:rsid w:val="45FC1D01"/>
    <w:rsid w:val="462F7D06"/>
    <w:rsid w:val="463C49C6"/>
    <w:rsid w:val="46425435"/>
    <w:rsid w:val="464F3FE4"/>
    <w:rsid w:val="46A313B1"/>
    <w:rsid w:val="46A74DCF"/>
    <w:rsid w:val="46C120C8"/>
    <w:rsid w:val="46CF1C49"/>
    <w:rsid w:val="46D71CE9"/>
    <w:rsid w:val="46E0042D"/>
    <w:rsid w:val="46E70BAB"/>
    <w:rsid w:val="46EF7DDA"/>
    <w:rsid w:val="47853451"/>
    <w:rsid w:val="478B5286"/>
    <w:rsid w:val="47936ADF"/>
    <w:rsid w:val="47BF7FC9"/>
    <w:rsid w:val="481310D7"/>
    <w:rsid w:val="484F1F54"/>
    <w:rsid w:val="48811DC5"/>
    <w:rsid w:val="48AA2152"/>
    <w:rsid w:val="48CA5CE5"/>
    <w:rsid w:val="491F4D05"/>
    <w:rsid w:val="498F5319"/>
    <w:rsid w:val="49DB4FD3"/>
    <w:rsid w:val="49F871EE"/>
    <w:rsid w:val="4A5F60A1"/>
    <w:rsid w:val="4A7D10F6"/>
    <w:rsid w:val="4A8A449F"/>
    <w:rsid w:val="4A8F086C"/>
    <w:rsid w:val="4AD3608E"/>
    <w:rsid w:val="4AD81787"/>
    <w:rsid w:val="4B045441"/>
    <w:rsid w:val="4B316836"/>
    <w:rsid w:val="4B333ACB"/>
    <w:rsid w:val="4B555FC2"/>
    <w:rsid w:val="4B5A39F2"/>
    <w:rsid w:val="4B9853EF"/>
    <w:rsid w:val="4BBA20FE"/>
    <w:rsid w:val="4BBF02E8"/>
    <w:rsid w:val="4BC823A8"/>
    <w:rsid w:val="4BDA60D4"/>
    <w:rsid w:val="4BDE662C"/>
    <w:rsid w:val="4BE33805"/>
    <w:rsid w:val="4C20442F"/>
    <w:rsid w:val="4C207F8B"/>
    <w:rsid w:val="4C396137"/>
    <w:rsid w:val="4C623FA0"/>
    <w:rsid w:val="4C886573"/>
    <w:rsid w:val="4C910B36"/>
    <w:rsid w:val="4C961ABF"/>
    <w:rsid w:val="4CC237EB"/>
    <w:rsid w:val="4CEC06E3"/>
    <w:rsid w:val="4CFC257C"/>
    <w:rsid w:val="4D017390"/>
    <w:rsid w:val="4D1E2242"/>
    <w:rsid w:val="4D2900A4"/>
    <w:rsid w:val="4D3976AC"/>
    <w:rsid w:val="4D445EFB"/>
    <w:rsid w:val="4D507278"/>
    <w:rsid w:val="4DB7633F"/>
    <w:rsid w:val="4DD712C3"/>
    <w:rsid w:val="4DD9315E"/>
    <w:rsid w:val="4E252C71"/>
    <w:rsid w:val="4E3A4747"/>
    <w:rsid w:val="4E61619D"/>
    <w:rsid w:val="4E720C95"/>
    <w:rsid w:val="4E785901"/>
    <w:rsid w:val="4EEB6B0A"/>
    <w:rsid w:val="4EF841FC"/>
    <w:rsid w:val="4F0B7978"/>
    <w:rsid w:val="4F5F6BC1"/>
    <w:rsid w:val="4FC800C3"/>
    <w:rsid w:val="4FE221AB"/>
    <w:rsid w:val="4FE81C6A"/>
    <w:rsid w:val="50631789"/>
    <w:rsid w:val="506C67F5"/>
    <w:rsid w:val="506F6B0E"/>
    <w:rsid w:val="50774582"/>
    <w:rsid w:val="50830AE8"/>
    <w:rsid w:val="508E5167"/>
    <w:rsid w:val="50A6455D"/>
    <w:rsid w:val="50DB03FF"/>
    <w:rsid w:val="51027419"/>
    <w:rsid w:val="511B2493"/>
    <w:rsid w:val="51517D61"/>
    <w:rsid w:val="5154713D"/>
    <w:rsid w:val="5183779B"/>
    <w:rsid w:val="51907C8B"/>
    <w:rsid w:val="51A62C86"/>
    <w:rsid w:val="51BA3AB6"/>
    <w:rsid w:val="51DA54EE"/>
    <w:rsid w:val="51DE3486"/>
    <w:rsid w:val="51E90E1F"/>
    <w:rsid w:val="51EF182E"/>
    <w:rsid w:val="52187956"/>
    <w:rsid w:val="523A67B6"/>
    <w:rsid w:val="52B86523"/>
    <w:rsid w:val="532519CE"/>
    <w:rsid w:val="53310BF2"/>
    <w:rsid w:val="533F3DD9"/>
    <w:rsid w:val="538C4FA4"/>
    <w:rsid w:val="53C12BDF"/>
    <w:rsid w:val="53F458DE"/>
    <w:rsid w:val="540B4B0C"/>
    <w:rsid w:val="54336212"/>
    <w:rsid w:val="54346DB1"/>
    <w:rsid w:val="544630FD"/>
    <w:rsid w:val="5448043A"/>
    <w:rsid w:val="544F68A3"/>
    <w:rsid w:val="54843DB7"/>
    <w:rsid w:val="549E1FA6"/>
    <w:rsid w:val="54CE4F63"/>
    <w:rsid w:val="54E81862"/>
    <w:rsid w:val="554918B0"/>
    <w:rsid w:val="55762202"/>
    <w:rsid w:val="55897AD1"/>
    <w:rsid w:val="55FE3E9C"/>
    <w:rsid w:val="55FF5A55"/>
    <w:rsid w:val="56422A64"/>
    <w:rsid w:val="564442DB"/>
    <w:rsid w:val="564F4F6E"/>
    <w:rsid w:val="56A3563A"/>
    <w:rsid w:val="56AA3BC1"/>
    <w:rsid w:val="56BA06CA"/>
    <w:rsid w:val="56C73406"/>
    <w:rsid w:val="57284198"/>
    <w:rsid w:val="5741700D"/>
    <w:rsid w:val="57C05468"/>
    <w:rsid w:val="57D21E28"/>
    <w:rsid w:val="57EA23DF"/>
    <w:rsid w:val="58181374"/>
    <w:rsid w:val="585E6CA3"/>
    <w:rsid w:val="58906498"/>
    <w:rsid w:val="58CA25CB"/>
    <w:rsid w:val="59396932"/>
    <w:rsid w:val="59561104"/>
    <w:rsid w:val="59564C9C"/>
    <w:rsid w:val="599B29BA"/>
    <w:rsid w:val="59CA4CDA"/>
    <w:rsid w:val="59E511A1"/>
    <w:rsid w:val="59E86357"/>
    <w:rsid w:val="59EF30A1"/>
    <w:rsid w:val="5A2D3563"/>
    <w:rsid w:val="5A7E7AD2"/>
    <w:rsid w:val="5AA40B93"/>
    <w:rsid w:val="5AE542B0"/>
    <w:rsid w:val="5B247341"/>
    <w:rsid w:val="5B406A5B"/>
    <w:rsid w:val="5B4A7D6D"/>
    <w:rsid w:val="5B572351"/>
    <w:rsid w:val="5BB2028B"/>
    <w:rsid w:val="5BCE607C"/>
    <w:rsid w:val="5BDD710E"/>
    <w:rsid w:val="5BE02879"/>
    <w:rsid w:val="5BE712CF"/>
    <w:rsid w:val="5C3570B2"/>
    <w:rsid w:val="5C401697"/>
    <w:rsid w:val="5C69709F"/>
    <w:rsid w:val="5C6F4396"/>
    <w:rsid w:val="5CAB6BBA"/>
    <w:rsid w:val="5CCE32FC"/>
    <w:rsid w:val="5D2D47A4"/>
    <w:rsid w:val="5DB3005C"/>
    <w:rsid w:val="5DBA7056"/>
    <w:rsid w:val="5DE12F98"/>
    <w:rsid w:val="5DEE5578"/>
    <w:rsid w:val="5E2A2EEB"/>
    <w:rsid w:val="5E3232AD"/>
    <w:rsid w:val="5EA70FD3"/>
    <w:rsid w:val="5EBA1A3F"/>
    <w:rsid w:val="5EC0616E"/>
    <w:rsid w:val="5ED04C43"/>
    <w:rsid w:val="5F287C59"/>
    <w:rsid w:val="5F322C10"/>
    <w:rsid w:val="5F680BC8"/>
    <w:rsid w:val="5FA66F1D"/>
    <w:rsid w:val="5FB33F5C"/>
    <w:rsid w:val="5FFB6129"/>
    <w:rsid w:val="60323700"/>
    <w:rsid w:val="6043450D"/>
    <w:rsid w:val="605D2746"/>
    <w:rsid w:val="608B235E"/>
    <w:rsid w:val="608F3271"/>
    <w:rsid w:val="60CA1222"/>
    <w:rsid w:val="60DB227B"/>
    <w:rsid w:val="60E207A7"/>
    <w:rsid w:val="60E77EDF"/>
    <w:rsid w:val="612828EE"/>
    <w:rsid w:val="61704391"/>
    <w:rsid w:val="61704FFF"/>
    <w:rsid w:val="61B831B6"/>
    <w:rsid w:val="61DA58B9"/>
    <w:rsid w:val="61F84F78"/>
    <w:rsid w:val="620C3C60"/>
    <w:rsid w:val="621F46F2"/>
    <w:rsid w:val="62955381"/>
    <w:rsid w:val="62A56683"/>
    <w:rsid w:val="62B14031"/>
    <w:rsid w:val="62CA4EBF"/>
    <w:rsid w:val="62D41F86"/>
    <w:rsid w:val="62F91600"/>
    <w:rsid w:val="633E126C"/>
    <w:rsid w:val="63606766"/>
    <w:rsid w:val="638609DD"/>
    <w:rsid w:val="639E2C54"/>
    <w:rsid w:val="63D06252"/>
    <w:rsid w:val="64333239"/>
    <w:rsid w:val="643C77D2"/>
    <w:rsid w:val="64CE045E"/>
    <w:rsid w:val="64FE3A31"/>
    <w:rsid w:val="65021940"/>
    <w:rsid w:val="654D1E1C"/>
    <w:rsid w:val="6550172A"/>
    <w:rsid w:val="65665024"/>
    <w:rsid w:val="65A12608"/>
    <w:rsid w:val="65AD696D"/>
    <w:rsid w:val="660473D7"/>
    <w:rsid w:val="66215961"/>
    <w:rsid w:val="668456F3"/>
    <w:rsid w:val="66A650D9"/>
    <w:rsid w:val="66B40B8C"/>
    <w:rsid w:val="6700524E"/>
    <w:rsid w:val="677466EA"/>
    <w:rsid w:val="677968CD"/>
    <w:rsid w:val="678F1842"/>
    <w:rsid w:val="67D60EBC"/>
    <w:rsid w:val="6829028E"/>
    <w:rsid w:val="68446A2E"/>
    <w:rsid w:val="685B24A6"/>
    <w:rsid w:val="68722777"/>
    <w:rsid w:val="689D4E6A"/>
    <w:rsid w:val="68C01502"/>
    <w:rsid w:val="68C86CD4"/>
    <w:rsid w:val="68CC66CD"/>
    <w:rsid w:val="68EC6C46"/>
    <w:rsid w:val="690A1EB9"/>
    <w:rsid w:val="69272CDA"/>
    <w:rsid w:val="69567CE1"/>
    <w:rsid w:val="69606153"/>
    <w:rsid w:val="696A7B13"/>
    <w:rsid w:val="69934581"/>
    <w:rsid w:val="69A77075"/>
    <w:rsid w:val="69B760E9"/>
    <w:rsid w:val="69D517D7"/>
    <w:rsid w:val="69E2162A"/>
    <w:rsid w:val="6A2003BB"/>
    <w:rsid w:val="6A35108D"/>
    <w:rsid w:val="6A4E39D1"/>
    <w:rsid w:val="6AD72607"/>
    <w:rsid w:val="6ADE7537"/>
    <w:rsid w:val="6B171CD0"/>
    <w:rsid w:val="6B20786F"/>
    <w:rsid w:val="6B3145D2"/>
    <w:rsid w:val="6B517F8B"/>
    <w:rsid w:val="6B5E0BCB"/>
    <w:rsid w:val="6B856707"/>
    <w:rsid w:val="6B8B4B4E"/>
    <w:rsid w:val="6BE82D73"/>
    <w:rsid w:val="6BEA0FA2"/>
    <w:rsid w:val="6C262F44"/>
    <w:rsid w:val="6C384AB7"/>
    <w:rsid w:val="6C672551"/>
    <w:rsid w:val="6CA214FF"/>
    <w:rsid w:val="6CE97AAB"/>
    <w:rsid w:val="6D0731DD"/>
    <w:rsid w:val="6D497B20"/>
    <w:rsid w:val="6D6D54B1"/>
    <w:rsid w:val="6D711D0F"/>
    <w:rsid w:val="6D891936"/>
    <w:rsid w:val="6D9F531A"/>
    <w:rsid w:val="6DA17ED7"/>
    <w:rsid w:val="6DA9065C"/>
    <w:rsid w:val="6DB20DAE"/>
    <w:rsid w:val="6DD00C12"/>
    <w:rsid w:val="6E441A68"/>
    <w:rsid w:val="6E902C0E"/>
    <w:rsid w:val="6F454DB9"/>
    <w:rsid w:val="6F542FCF"/>
    <w:rsid w:val="6F7A7061"/>
    <w:rsid w:val="6FA779D9"/>
    <w:rsid w:val="6FCE5618"/>
    <w:rsid w:val="6FDB09B4"/>
    <w:rsid w:val="7021336E"/>
    <w:rsid w:val="70230F70"/>
    <w:rsid w:val="7031798A"/>
    <w:rsid w:val="704C5029"/>
    <w:rsid w:val="706467D4"/>
    <w:rsid w:val="70920F2A"/>
    <w:rsid w:val="70B139A5"/>
    <w:rsid w:val="70BF0B73"/>
    <w:rsid w:val="70D637A2"/>
    <w:rsid w:val="71792197"/>
    <w:rsid w:val="719C1107"/>
    <w:rsid w:val="719C3C04"/>
    <w:rsid w:val="72485A7A"/>
    <w:rsid w:val="727C36F6"/>
    <w:rsid w:val="72B140C0"/>
    <w:rsid w:val="72BB07A8"/>
    <w:rsid w:val="72C710EF"/>
    <w:rsid w:val="72D0787E"/>
    <w:rsid w:val="732F5BA4"/>
    <w:rsid w:val="7355410F"/>
    <w:rsid w:val="73766B87"/>
    <w:rsid w:val="73843F85"/>
    <w:rsid w:val="7385748B"/>
    <w:rsid w:val="738F3D77"/>
    <w:rsid w:val="73906C4E"/>
    <w:rsid w:val="73D32C86"/>
    <w:rsid w:val="745D4490"/>
    <w:rsid w:val="7464559D"/>
    <w:rsid w:val="74890514"/>
    <w:rsid w:val="74D73BE5"/>
    <w:rsid w:val="75231421"/>
    <w:rsid w:val="756034B5"/>
    <w:rsid w:val="75C906A6"/>
    <w:rsid w:val="75CF516A"/>
    <w:rsid w:val="760A6F40"/>
    <w:rsid w:val="76691158"/>
    <w:rsid w:val="767B3B24"/>
    <w:rsid w:val="769D2036"/>
    <w:rsid w:val="769D623A"/>
    <w:rsid w:val="76AB316D"/>
    <w:rsid w:val="76B8249F"/>
    <w:rsid w:val="76FB321F"/>
    <w:rsid w:val="77110769"/>
    <w:rsid w:val="77504AF8"/>
    <w:rsid w:val="775F7D07"/>
    <w:rsid w:val="77930C2F"/>
    <w:rsid w:val="77AE74AA"/>
    <w:rsid w:val="77F65A49"/>
    <w:rsid w:val="78704883"/>
    <w:rsid w:val="78B2146C"/>
    <w:rsid w:val="78BB5D54"/>
    <w:rsid w:val="78D86344"/>
    <w:rsid w:val="78E91716"/>
    <w:rsid w:val="791A08A0"/>
    <w:rsid w:val="792605A5"/>
    <w:rsid w:val="793426AB"/>
    <w:rsid w:val="79436C19"/>
    <w:rsid w:val="794F7990"/>
    <w:rsid w:val="796F6D20"/>
    <w:rsid w:val="79917468"/>
    <w:rsid w:val="79B70726"/>
    <w:rsid w:val="79D2428D"/>
    <w:rsid w:val="79EF706B"/>
    <w:rsid w:val="7A137DBD"/>
    <w:rsid w:val="7A355F7D"/>
    <w:rsid w:val="7AD30198"/>
    <w:rsid w:val="7AE27B32"/>
    <w:rsid w:val="7AED15EB"/>
    <w:rsid w:val="7B0621D9"/>
    <w:rsid w:val="7B3B04D9"/>
    <w:rsid w:val="7B8847BB"/>
    <w:rsid w:val="7BAC749C"/>
    <w:rsid w:val="7C3C25BE"/>
    <w:rsid w:val="7C721CC6"/>
    <w:rsid w:val="7CDC13FD"/>
    <w:rsid w:val="7CDC67B5"/>
    <w:rsid w:val="7D170456"/>
    <w:rsid w:val="7D5F5B3E"/>
    <w:rsid w:val="7D67378F"/>
    <w:rsid w:val="7D8745E6"/>
    <w:rsid w:val="7DBD4C18"/>
    <w:rsid w:val="7DC5008F"/>
    <w:rsid w:val="7E0D30E4"/>
    <w:rsid w:val="7E190646"/>
    <w:rsid w:val="7E192ADB"/>
    <w:rsid w:val="7E2D71FB"/>
    <w:rsid w:val="7E387562"/>
    <w:rsid w:val="7E4B4B00"/>
    <w:rsid w:val="7E4C40CD"/>
    <w:rsid w:val="7E5D7E6B"/>
    <w:rsid w:val="7E656B86"/>
    <w:rsid w:val="7E9229EA"/>
    <w:rsid w:val="7EC97847"/>
    <w:rsid w:val="7EE5533F"/>
    <w:rsid w:val="7F0D4568"/>
    <w:rsid w:val="7F414B1C"/>
    <w:rsid w:val="7F713AFD"/>
    <w:rsid w:val="7F7D4C23"/>
    <w:rsid w:val="7FD30CA9"/>
    <w:rsid w:val="7FEE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spacing w:before="200" w:beforeAutospacing="0" w:after="100" w:afterAutospacing="0" w:line="11" w:lineRule="atLeast"/>
      <w:ind w:left="0" w:right="0"/>
      <w:jc w:val="left"/>
    </w:pPr>
    <w:rPr>
      <w:rFonts w:hint="eastAsia" w:ascii="宋体" w:hAnsi="宋体" w:eastAsia="宋体" w:cs="宋体"/>
      <w:kern w:val="44"/>
      <w:sz w:val="36"/>
      <w:szCs w:val="36"/>
      <w:lang w:val="en-US" w:eastAsia="zh-CN" w:bidi="ar"/>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qFormat/>
    <w:uiPriority w:val="99"/>
    <w:pPr>
      <w:keepNext/>
      <w:keepLines/>
      <w:spacing w:before="260" w:after="260" w:line="413" w:lineRule="auto"/>
      <w:outlineLvl w:val="2"/>
    </w:pPr>
    <w:rPr>
      <w:b/>
      <w:sz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paragraph" w:styleId="9">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10">
    <w:name w:val="heading 7"/>
    <w:basedOn w:val="1"/>
    <w:next w:val="1"/>
    <w:qFormat/>
    <w:uiPriority w:val="99"/>
    <w:pPr>
      <w:keepNext/>
      <w:keepLines/>
      <w:spacing w:before="240" w:after="64" w:line="320" w:lineRule="auto"/>
      <w:outlineLvl w:val="6"/>
    </w:pPr>
    <w:rPr>
      <w:b/>
      <w:bCs/>
      <w:sz w:val="24"/>
      <w:szCs w:val="24"/>
    </w:rPr>
  </w:style>
  <w:style w:type="character" w:default="1" w:styleId="18">
    <w:name w:val="Default Paragraph Font"/>
    <w:link w:val="19"/>
    <w:semiHidden/>
    <w:qFormat/>
    <w:uiPriority w:val="0"/>
    <w:rPr>
      <w:rFonts w:ascii="Tahoma" w:hAnsi="Tahoma"/>
      <w:sz w:val="24"/>
      <w:szCs w:val="20"/>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4">
    <w:name w:val="Title"/>
    <w:basedOn w:val="5"/>
    <w:next w:val="1"/>
    <w:qFormat/>
    <w:uiPriority w:val="0"/>
    <w:pPr>
      <w:jc w:val="center"/>
      <w:outlineLvl w:val="0"/>
    </w:pPr>
    <w:rPr>
      <w:rFonts w:ascii="Cambria" w:hAnsi="Cambria" w:eastAsia="宋体"/>
      <w:b/>
      <w:bCs/>
      <w:kern w:val="28"/>
      <w:sz w:val="21"/>
      <w:szCs w:val="32"/>
    </w:rPr>
  </w:style>
  <w:style w:type="paragraph" w:styleId="5">
    <w:name w:val="List 2"/>
    <w:basedOn w:val="1"/>
    <w:qFormat/>
    <w:uiPriority w:val="0"/>
    <w:pPr>
      <w:ind w:left="100" w:leftChars="200" w:hanging="200" w:hangingChars="200"/>
      <w:contextualSpacing/>
    </w:pPr>
  </w:style>
  <w:style w:type="paragraph" w:styleId="11">
    <w:name w:val="Normal Indent"/>
    <w:basedOn w:val="1"/>
    <w:qFormat/>
    <w:uiPriority w:val="0"/>
    <w:pPr>
      <w:spacing w:line="360" w:lineRule="auto"/>
    </w:pPr>
    <w:rPr>
      <w:sz w:val="24"/>
      <w:szCs w:val="20"/>
    </w:rPr>
  </w:style>
  <w:style w:type="paragraph" w:styleId="12">
    <w:name w:val="Plain Text"/>
    <w:basedOn w:val="1"/>
    <w:qFormat/>
    <w:uiPriority w:val="99"/>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2 Char Char Char"/>
    <w:basedOn w:val="1"/>
    <w:link w:val="18"/>
    <w:qFormat/>
    <w:uiPriority w:val="0"/>
    <w:rPr>
      <w:rFonts w:ascii="Tahoma" w:hAnsi="Tahoma"/>
      <w:sz w:val="24"/>
      <w:szCs w:val="20"/>
    </w:rPr>
  </w:style>
  <w:style w:type="character" w:styleId="20">
    <w:name w:val="Strong"/>
    <w:basedOn w:val="18"/>
    <w:qFormat/>
    <w:uiPriority w:val="0"/>
    <w:rPr>
      <w:b/>
      <w:bCs/>
    </w:rPr>
  </w:style>
  <w:style w:type="character" w:styleId="21">
    <w:name w:val="page number"/>
    <w:basedOn w:val="18"/>
    <w:qFormat/>
    <w:uiPriority w:val="0"/>
  </w:style>
  <w:style w:type="character" w:styleId="22">
    <w:name w:val="FollowedHyperlink"/>
    <w:basedOn w:val="18"/>
    <w:qFormat/>
    <w:uiPriority w:val="0"/>
    <w:rPr>
      <w:color w:val="333333"/>
      <w:u w:val="none"/>
    </w:rPr>
  </w:style>
  <w:style w:type="character" w:styleId="23">
    <w:name w:val="Emphasis"/>
    <w:basedOn w:val="18"/>
    <w:qFormat/>
    <w:uiPriority w:val="0"/>
  </w:style>
  <w:style w:type="character" w:styleId="24">
    <w:name w:val="HTML Definition"/>
    <w:basedOn w:val="18"/>
    <w:qFormat/>
    <w:uiPriority w:val="0"/>
  </w:style>
  <w:style w:type="character" w:styleId="25">
    <w:name w:val="HTML Typewriter"/>
    <w:basedOn w:val="18"/>
    <w:uiPriority w:val="0"/>
    <w:rPr>
      <w:rFonts w:ascii="monospace" w:hAnsi="monospace" w:eastAsia="monospace" w:cs="monospace"/>
      <w:sz w:val="20"/>
    </w:rPr>
  </w:style>
  <w:style w:type="character" w:styleId="26">
    <w:name w:val="HTML Acronym"/>
    <w:basedOn w:val="18"/>
    <w:uiPriority w:val="0"/>
  </w:style>
  <w:style w:type="character" w:styleId="27">
    <w:name w:val="HTML Variable"/>
    <w:basedOn w:val="18"/>
    <w:uiPriority w:val="0"/>
  </w:style>
  <w:style w:type="character" w:styleId="28">
    <w:name w:val="Hyperlink"/>
    <w:basedOn w:val="18"/>
    <w:qFormat/>
    <w:uiPriority w:val="0"/>
    <w:rPr>
      <w:color w:val="333333"/>
      <w:u w:val="none"/>
    </w:rPr>
  </w:style>
  <w:style w:type="character" w:styleId="29">
    <w:name w:val="HTML Code"/>
    <w:basedOn w:val="18"/>
    <w:qFormat/>
    <w:uiPriority w:val="0"/>
    <w:rPr>
      <w:rFonts w:hint="default" w:ascii="Consolas" w:hAnsi="Consolas" w:eastAsia="Consolas" w:cs="Consolas"/>
      <w:color w:val="C7254E"/>
      <w:sz w:val="21"/>
      <w:szCs w:val="21"/>
      <w:shd w:val="clear" w:fill="F9F2F4"/>
    </w:rPr>
  </w:style>
  <w:style w:type="character" w:styleId="30">
    <w:name w:val="HTML Cite"/>
    <w:basedOn w:val="18"/>
    <w:qFormat/>
    <w:uiPriority w:val="0"/>
  </w:style>
  <w:style w:type="character" w:styleId="31">
    <w:name w:val="HTML Keyboard"/>
    <w:basedOn w:val="18"/>
    <w:qFormat/>
    <w:uiPriority w:val="0"/>
    <w:rPr>
      <w:rFonts w:ascii="Consolas" w:hAnsi="Consolas" w:eastAsia="Consolas" w:cs="Consolas"/>
      <w:color w:val="FFFFFF"/>
      <w:sz w:val="21"/>
      <w:szCs w:val="21"/>
      <w:shd w:val="clear" w:fill="333333"/>
    </w:rPr>
  </w:style>
  <w:style w:type="character" w:styleId="32">
    <w:name w:val="HTML Sample"/>
    <w:basedOn w:val="18"/>
    <w:qFormat/>
    <w:uiPriority w:val="0"/>
    <w:rPr>
      <w:rFonts w:hint="default" w:ascii="Consolas" w:hAnsi="Consolas" w:eastAsia="Consolas" w:cs="Consolas"/>
      <w:sz w:val="21"/>
      <w:szCs w:val="21"/>
    </w:rPr>
  </w:style>
  <w:style w:type="paragraph" w:styleId="33">
    <w:name w:val="List Paragraph"/>
    <w:basedOn w:val="1"/>
    <w:qFormat/>
    <w:uiPriority w:val="34"/>
    <w:pPr>
      <w:ind w:firstLine="420" w:firstLineChars="200"/>
    </w:pPr>
  </w:style>
  <w:style w:type="character" w:customStyle="1" w:styleId="34">
    <w:name w:val="font21"/>
    <w:basedOn w:val="18"/>
    <w:qFormat/>
    <w:uiPriority w:val="0"/>
    <w:rPr>
      <w:rFonts w:hint="eastAsia" w:ascii="宋体" w:hAnsi="宋体" w:eastAsia="宋体" w:cs="宋体"/>
      <w:color w:val="000000"/>
      <w:sz w:val="24"/>
      <w:szCs w:val="24"/>
      <w:u w:val="none"/>
    </w:rPr>
  </w:style>
  <w:style w:type="character" w:customStyle="1" w:styleId="35">
    <w:name w:val="indent"/>
    <w:basedOn w:val="18"/>
    <w:qFormat/>
    <w:uiPriority w:val="0"/>
  </w:style>
  <w:style w:type="character" w:customStyle="1" w:styleId="36">
    <w:name w:val="hover3"/>
    <w:basedOn w:val="18"/>
    <w:qFormat/>
    <w:uiPriority w:val="0"/>
    <w:rPr>
      <w:shd w:val="clear" w:fill="EEEEEE"/>
    </w:rPr>
  </w:style>
  <w:style w:type="character" w:customStyle="1" w:styleId="37">
    <w:name w:val="old"/>
    <w:basedOn w:val="18"/>
    <w:qFormat/>
    <w:uiPriority w:val="0"/>
    <w:rPr>
      <w:color w:val="999999"/>
    </w:rPr>
  </w:style>
  <w:style w:type="character" w:customStyle="1" w:styleId="38">
    <w:name w:val="hour_am"/>
    <w:basedOn w:val="18"/>
    <w:qFormat/>
    <w:uiPriority w:val="0"/>
  </w:style>
  <w:style w:type="character" w:customStyle="1" w:styleId="39">
    <w:name w:val="hour_pm"/>
    <w:basedOn w:val="18"/>
    <w:qFormat/>
    <w:uiPriority w:val="0"/>
  </w:style>
  <w:style w:type="character" w:customStyle="1" w:styleId="40">
    <w:name w:val="glyphicon4"/>
    <w:basedOn w:val="18"/>
    <w:qFormat/>
    <w:uiPriority w:val="0"/>
  </w:style>
  <w:style w:type="character" w:customStyle="1" w:styleId="41">
    <w:name w:val="button"/>
    <w:basedOn w:val="18"/>
    <w:qFormat/>
    <w:uiPriority w:val="0"/>
  </w:style>
  <w:style w:type="character" w:customStyle="1" w:styleId="42">
    <w:name w:val="tmpztreemove_arrow"/>
    <w:basedOn w:val="18"/>
    <w:qFormat/>
    <w:uiPriority w:val="0"/>
    <w:rPr>
      <w:shd w:val="clear" w:fill="FFFFFF"/>
    </w:r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列出段落1"/>
    <w:basedOn w:val="1"/>
    <w:qFormat/>
    <w:uiPriority w:val="34"/>
    <w:pPr>
      <w:ind w:firstLine="420" w:firstLineChars="200"/>
    </w:pPr>
  </w:style>
  <w:style w:type="character" w:customStyle="1" w:styleId="45">
    <w:name w:val="font01"/>
    <w:qFormat/>
    <w:uiPriority w:val="0"/>
    <w:rPr>
      <w:rFonts w:hint="eastAsia" w:ascii="等线" w:hAnsi="等线" w:eastAsia="等线" w:cs="等线"/>
      <w:color w:val="000000"/>
      <w:sz w:val="24"/>
      <w:szCs w:val="24"/>
      <w:u w:val="none"/>
    </w:rPr>
  </w:style>
  <w:style w:type="paragraph" w:customStyle="1" w:styleId="46">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7">
    <w:name w:val="_Style 1"/>
    <w:basedOn w:val="1"/>
    <w:qFormat/>
    <w:uiPriority w:val="34"/>
    <w:pPr>
      <w:spacing w:after="0" w:line="240" w:lineRule="auto"/>
      <w:ind w:firstLine="420" w:firstLineChars="200"/>
    </w:pPr>
    <w:rPr>
      <w:rFonts w:ascii="宋体" w:hAnsi="宋体" w:eastAsia="宋体" w:cs="宋体"/>
      <w:sz w:val="24"/>
      <w:szCs w:val="24"/>
    </w:rPr>
  </w:style>
  <w:style w:type="paragraph" w:customStyle="1" w:styleId="48">
    <w:name w:val="样式1"/>
    <w:basedOn w:val="6"/>
    <w:qFormat/>
    <w:uiPriority w:val="0"/>
    <w:pPr>
      <w:spacing w:before="100" w:beforeAutospacing="1" w:after="100" w:afterAutospacing="1"/>
      <w:ind w:left="678" w:leftChars="100" w:right="100" w:rightChars="100" w:hanging="578"/>
    </w:pPr>
    <w:rPr>
      <w:b w:val="0"/>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27139</Words>
  <Characters>29954</Characters>
  <Lines>0</Lines>
  <Paragraphs>0</Paragraphs>
  <TotalTime>13</TotalTime>
  <ScaleCrop>false</ScaleCrop>
  <LinksUpToDate>false</LinksUpToDate>
  <CharactersWithSpaces>30923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2020-08-16T08:49:00Z</dcterms:created>
  <dc:creator>南之秦</dc:creator>
  <cp:lastModifiedBy>mimi~</cp:lastModifiedBy>
  <cp:lastPrinted>2021-09-16T03:50:00Z</cp:lastPrinted>
  <dcterms:modified xsi:type="dcterms:W3CDTF">2024-01-02T02:45:43Z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E30E817EBDAB4421B321D1D3F042A7A5</vt:lpwstr>
  </property>
</Properties>
</file>