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F9AE">
      <w:pPr>
        <w:adjustRightInd w:val="0"/>
        <w:snapToGrid w:val="0"/>
        <w:spacing w:line="360" w:lineRule="auto"/>
        <w:jc w:val="right"/>
        <w:rPr>
          <w:rFonts w:ascii="宋体" w:cs="Times New Roman"/>
          <w:b/>
          <w:bCs/>
          <w:sz w:val="30"/>
          <w:szCs w:val="30"/>
        </w:rPr>
      </w:pPr>
      <w:bookmarkStart w:id="0" w:name="OLE_LINK9"/>
      <w:r>
        <w:rPr>
          <w:rFonts w:hint="eastAsia" w:ascii="宋体" w:hAnsi="宋体" w:cs="宋体"/>
          <w:b/>
          <w:bCs/>
          <w:sz w:val="30"/>
          <w:szCs w:val="30"/>
        </w:rPr>
        <w:t>政府采购项目</w:t>
      </w:r>
    </w:p>
    <w:p w14:paraId="1FF6B6F9">
      <w:pPr>
        <w:tabs>
          <w:tab w:val="left" w:pos="7400"/>
        </w:tabs>
        <w:adjustRightInd w:val="0"/>
        <w:snapToGrid w:val="0"/>
        <w:spacing w:line="360" w:lineRule="auto"/>
        <w:rPr>
          <w:rFonts w:hint="eastAsia" w:ascii="宋体" w:cs="Times New Roman"/>
          <w:b/>
          <w:bCs/>
          <w:sz w:val="44"/>
          <w:szCs w:val="44"/>
        </w:rPr>
      </w:pPr>
      <w:r>
        <w:rPr>
          <w:rFonts w:hint="eastAsia" w:ascii="宋体" w:hAnsi="宋体" w:cs="宋体"/>
          <w:b/>
          <w:bCs/>
          <w:sz w:val="30"/>
          <w:szCs w:val="30"/>
        </w:rPr>
        <w:t>项目编号：</w:t>
      </w:r>
      <w:r>
        <w:rPr>
          <w:rFonts w:hint="eastAsia" w:ascii="宋体" w:hAnsi="宋体" w:cs="宋体"/>
          <w:b/>
          <w:bCs/>
          <w:color w:val="auto"/>
          <w:sz w:val="30"/>
          <w:szCs w:val="30"/>
          <w:lang w:eastAsia="zh-CN"/>
        </w:rPr>
        <w:t>AKSH2024-ZCS-095</w:t>
      </w:r>
      <w:r>
        <w:rPr>
          <w:rFonts w:hint="eastAsia" w:ascii="宋体" w:cs="Times New Roman"/>
          <w:b/>
          <w:bCs/>
          <w:sz w:val="44"/>
          <w:szCs w:val="44"/>
        </w:rPr>
        <w:tab/>
      </w:r>
    </w:p>
    <w:p w14:paraId="6525FAF0">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p>
    <w:p w14:paraId="34990053">
      <w:pPr>
        <w:tabs>
          <w:tab w:val="left" w:pos="0"/>
        </w:tabs>
        <w:adjustRightInd w:val="0"/>
        <w:snapToGrid w:val="0"/>
        <w:spacing w:line="360" w:lineRule="auto"/>
        <w:jc w:val="center"/>
        <w:rPr>
          <w:rFonts w:hint="eastAsia" w:ascii="宋体" w:hAnsi="宋体" w:eastAsia="宋体" w:cs="宋体"/>
          <w:b/>
          <w:bCs/>
          <w:kern w:val="2"/>
          <w:sz w:val="56"/>
          <w:szCs w:val="56"/>
          <w:lang w:val="en-US" w:eastAsia="zh-CN" w:bidi="ar-SA"/>
        </w:rPr>
      </w:pPr>
      <w:r>
        <w:rPr>
          <w:rFonts w:hint="eastAsia" w:ascii="宋体" w:hAnsi="宋体" w:cs="宋体"/>
          <w:b/>
          <w:bCs/>
          <w:kern w:val="2"/>
          <w:sz w:val="56"/>
          <w:szCs w:val="56"/>
          <w:lang w:val="en-US" w:eastAsia="zh-CN" w:bidi="ar-SA"/>
        </w:rPr>
        <w:t xml:space="preserve"> 安康市中心医院北院区中央空调维保服务采购项目  </w:t>
      </w:r>
    </w:p>
    <w:p w14:paraId="5065CBAC">
      <w:pPr>
        <w:pStyle w:val="5"/>
        <w:rPr>
          <w:rFonts w:hint="eastAsia"/>
          <w:lang w:val="en-US" w:eastAsia="zh-CN"/>
        </w:rPr>
      </w:pPr>
    </w:p>
    <w:p w14:paraId="57772E9B">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drawing>
          <wp:anchor distT="0" distB="0" distL="114300" distR="114300" simplePos="0" relativeHeight="251661312"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1"/>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kern w:val="2"/>
          <w:sz w:val="56"/>
          <w:szCs w:val="56"/>
          <w:lang w:val="en-US" w:eastAsia="zh-CN" w:bidi="ar-SA"/>
        </w:rPr>
        <w:t xml:space="preserve"> </w:t>
      </w:r>
    </w:p>
    <w:p w14:paraId="4555EABF">
      <w:pPr>
        <w:pStyle w:val="5"/>
        <w:rPr>
          <w:rFonts w:hint="eastAsia"/>
          <w:lang w:val="en-US" w:eastAsia="zh-CN"/>
        </w:rPr>
      </w:pPr>
    </w:p>
    <w:p w14:paraId="08502B79">
      <w:pPr>
        <w:adjustRightInd w:val="0"/>
        <w:snapToGrid w:val="0"/>
        <w:spacing w:line="360" w:lineRule="auto"/>
        <w:jc w:val="left"/>
        <w:rPr>
          <w:rFonts w:hint="default" w:ascii="宋体" w:eastAsia="宋体" w:cs="Times New Roman"/>
          <w:b/>
          <w:bCs/>
          <w:sz w:val="52"/>
          <w:szCs w:val="52"/>
          <w:lang w:val="en-US" w:eastAsia="zh-CN"/>
        </w:rPr>
      </w:pPr>
      <w:r>
        <w:rPr>
          <w:rFonts w:hint="eastAsia" w:ascii="宋体" w:cs="Times New Roman"/>
          <w:b/>
          <w:bCs/>
          <w:sz w:val="52"/>
          <w:szCs w:val="52"/>
        </w:rPr>
        <w:t xml:space="preserve"> </w:t>
      </w:r>
      <w:r>
        <w:rPr>
          <w:rFonts w:hint="eastAsia" w:ascii="宋体" w:cs="Times New Roman"/>
          <w:b/>
          <w:bCs/>
          <w:sz w:val="52"/>
          <w:szCs w:val="52"/>
          <w:lang w:val="en-US" w:eastAsia="zh-CN"/>
        </w:rPr>
        <w:t xml:space="preserve">         </w:t>
      </w:r>
    </w:p>
    <w:p w14:paraId="4BDF1E48">
      <w:pPr>
        <w:tabs>
          <w:tab w:val="left" w:pos="0"/>
        </w:tabs>
        <w:adjustRightInd w:val="0"/>
        <w:snapToGrid w:val="0"/>
        <w:spacing w:line="360" w:lineRule="auto"/>
        <w:rPr>
          <w:rFonts w:ascii="宋体" w:cs="Times New Roman"/>
          <w:b/>
          <w:bCs/>
        </w:rPr>
      </w:pPr>
    </w:p>
    <w:p w14:paraId="5D257507">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竞争性磋商文件</w:t>
      </w:r>
    </w:p>
    <w:p w14:paraId="13513707">
      <w:pPr>
        <w:pStyle w:val="73"/>
        <w:rPr>
          <w:rFonts w:ascii="宋体" w:hAnsi="宋体" w:cs="宋体"/>
          <w:b/>
          <w:bCs/>
          <w:sz w:val="30"/>
          <w:szCs w:val="30"/>
        </w:rPr>
      </w:pPr>
    </w:p>
    <w:p w14:paraId="7C0629BF">
      <w:pPr>
        <w:pStyle w:val="73"/>
        <w:rPr>
          <w:rFonts w:ascii="宋体" w:hAnsi="宋体" w:cs="宋体"/>
          <w:b/>
          <w:bCs/>
          <w:sz w:val="30"/>
          <w:szCs w:val="30"/>
        </w:rPr>
      </w:pPr>
    </w:p>
    <w:p w14:paraId="7EC72F45">
      <w:pPr>
        <w:pStyle w:val="73"/>
        <w:rPr>
          <w:rFonts w:ascii="宋体" w:hAnsi="宋体" w:cs="宋体"/>
          <w:b/>
          <w:bCs/>
          <w:sz w:val="30"/>
          <w:szCs w:val="30"/>
        </w:rPr>
      </w:pPr>
    </w:p>
    <w:p w14:paraId="6281965D">
      <w:pPr>
        <w:keepNext w:val="0"/>
        <w:keepLines w:val="0"/>
        <w:pageBreakBefore w:val="0"/>
        <w:widowControl w:val="0"/>
        <w:kinsoku/>
        <w:wordWrap/>
        <w:overflowPunct/>
        <w:topLinePunct w:val="0"/>
        <w:autoSpaceDE/>
        <w:autoSpaceDN/>
        <w:bidi w:val="0"/>
        <w:adjustRightInd w:val="0"/>
        <w:snapToGrid w:val="0"/>
        <w:spacing w:line="480" w:lineRule="exact"/>
        <w:ind w:firstLine="602" w:firstLineChars="200"/>
        <w:jc w:val="center"/>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highlight w:val="none"/>
        </w:rPr>
        <w:t>采</w:t>
      </w:r>
      <w:r>
        <w:rPr>
          <w:rFonts w:hint="eastAsia" w:asciiTheme="minorEastAsia" w:hAnsiTheme="minorEastAsia" w:eastAsiaTheme="minorEastAsia" w:cstheme="minorEastAsia"/>
          <w:b/>
          <w:bCs/>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rPr>
        <w:t>购</w:t>
      </w:r>
      <w:r>
        <w:rPr>
          <w:rFonts w:hint="eastAsia" w:asciiTheme="minorEastAsia" w:hAnsiTheme="minorEastAsia" w:eastAsiaTheme="minorEastAsia" w:cstheme="minorEastAsia"/>
          <w:b/>
          <w:bCs/>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rPr>
        <w:t>人：</w:t>
      </w:r>
      <w:r>
        <w:rPr>
          <w:rFonts w:hint="eastAsia" w:asciiTheme="minorEastAsia" w:hAnsiTheme="minorEastAsia" w:eastAsiaTheme="minorEastAsia" w:cstheme="minorEastAsia"/>
          <w:b/>
          <w:bCs/>
          <w:sz w:val="30"/>
          <w:szCs w:val="30"/>
          <w:highlight w:val="none"/>
          <w:lang w:val="en-US" w:eastAsia="zh-CN"/>
        </w:rPr>
        <w:t>安康市中心医院</w:t>
      </w:r>
    </w:p>
    <w:p w14:paraId="67FF26C1">
      <w:pPr>
        <w:keepNext w:val="0"/>
        <w:keepLines w:val="0"/>
        <w:pageBreakBefore w:val="0"/>
        <w:widowControl w:val="0"/>
        <w:kinsoku/>
        <w:wordWrap/>
        <w:overflowPunct/>
        <w:topLinePunct w:val="0"/>
        <w:autoSpaceDE/>
        <w:autoSpaceDN/>
        <w:bidi w:val="0"/>
        <w:adjustRightInd w:val="0"/>
        <w:snapToGrid w:val="0"/>
        <w:spacing w:line="1000" w:lineRule="exact"/>
        <w:ind w:firstLine="602" w:firstLineChars="200"/>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代理机构：安康尚昊招标代理有限公司</w:t>
      </w:r>
    </w:p>
    <w:p w14:paraId="5B40F3CF">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Theme="minorEastAsia" w:hAnsiTheme="minorEastAsia" w:eastAsiaTheme="minorEastAsia" w:cstheme="minorEastAsia"/>
          <w:b/>
          <w:bCs/>
          <w:sz w:val="30"/>
          <w:szCs w:val="30"/>
          <w:highlight w:val="red"/>
        </w:rPr>
        <w:sectPr>
          <w:headerReference r:id="rId4" w:type="first"/>
          <w:headerReference r:id="rId3" w:type="default"/>
          <w:footerReference r:id="rId5"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b/>
          <w:bCs/>
          <w:sz w:val="30"/>
          <w:szCs w:val="30"/>
          <w:highlight w:val="none"/>
          <w:lang w:val="en-US" w:eastAsia="zh-CN"/>
        </w:rPr>
        <w:t xml:space="preserve">  二〇二四年八</w:t>
      </w:r>
      <w:r>
        <w:rPr>
          <w:rFonts w:hint="eastAsia" w:asciiTheme="minorEastAsia" w:hAnsiTheme="minorEastAsia" w:eastAsiaTheme="minorEastAsia" w:cstheme="minorEastAsia"/>
          <w:b/>
          <w:bCs/>
          <w:sz w:val="30"/>
          <w:szCs w:val="30"/>
          <w:highlight w:val="none"/>
        </w:rPr>
        <w:t>月</w:t>
      </w:r>
    </w:p>
    <w:p w14:paraId="4086AC1A">
      <w:pPr>
        <w:pStyle w:val="31"/>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40478D8E">
      <w:pPr>
        <w:pStyle w:val="31"/>
        <w:pageBreakBefore w:val="0"/>
        <w:widowControl w:val="0"/>
        <w:tabs>
          <w:tab w:val="center" w:pos="4819"/>
          <w:tab w:val="left" w:pos="6069"/>
          <w:tab w:val="right" w:leader="dot" w:pos="8306"/>
        </w:tabs>
        <w:kinsoku/>
        <w:wordWrap/>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cs="宋体"/>
          <w:b w:val="0"/>
          <w:bCs w:val="0"/>
          <w:sz w:val="48"/>
          <w:szCs w:val="52"/>
        </w:rPr>
      </w:pPr>
      <w:r>
        <w:rPr>
          <w:rFonts w:hint="eastAsia" w:ascii="宋体" w:hAnsi="宋体" w:cs="宋体"/>
          <w:b w:val="0"/>
          <w:bCs w:val="0"/>
          <w:sz w:val="48"/>
          <w:szCs w:val="52"/>
        </w:rPr>
        <w:t>目</w:t>
      </w:r>
      <w:r>
        <w:rPr>
          <w:rFonts w:hint="eastAsia" w:ascii="宋体" w:hAnsi="宋体" w:cs="宋体"/>
          <w:b w:val="0"/>
          <w:bCs w:val="0"/>
          <w:sz w:val="48"/>
          <w:szCs w:val="52"/>
          <w:lang w:val="en-US" w:eastAsia="zh-CN"/>
        </w:rPr>
        <w:t xml:space="preserve">   </w:t>
      </w:r>
      <w:r>
        <w:rPr>
          <w:rFonts w:hint="eastAsia" w:ascii="宋体" w:hAnsi="宋体" w:cs="宋体"/>
          <w:b w:val="0"/>
          <w:bCs w:val="0"/>
          <w:sz w:val="48"/>
          <w:szCs w:val="52"/>
        </w:rPr>
        <w:t>录</w:t>
      </w:r>
    </w:p>
    <w:p w14:paraId="34B9D87A">
      <w:pPr>
        <w:pageBreakBefore w:val="0"/>
        <w:widowControl w:val="0"/>
        <w:kinsoku/>
        <w:wordWrap/>
        <w:overflowPunct/>
        <w:topLinePunct w:val="0"/>
        <w:autoSpaceDE/>
        <w:autoSpaceDN/>
        <w:bidi w:val="0"/>
        <w:adjustRightInd w:val="0"/>
        <w:snapToGrid w:val="0"/>
        <w:spacing w:line="360" w:lineRule="auto"/>
        <w:textAlignment w:val="auto"/>
      </w:pPr>
    </w:p>
    <w:p w14:paraId="66F052F7">
      <w:pPr>
        <w:pageBreakBefore w:val="0"/>
        <w:widowControl w:val="0"/>
        <w:kinsoku/>
        <w:wordWrap/>
        <w:overflowPunct/>
        <w:topLinePunct w:val="0"/>
        <w:autoSpaceDE/>
        <w:autoSpaceDN/>
        <w:bidi w:val="0"/>
        <w:adjustRightInd w:val="0"/>
        <w:snapToGrid w:val="0"/>
        <w:spacing w:line="360" w:lineRule="auto"/>
        <w:textAlignment w:val="auto"/>
      </w:pPr>
    </w:p>
    <w:p w14:paraId="6E4C9DEB">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bookmarkStart w:id="1" w:name="_Toc536202282"/>
      <w:bookmarkStart w:id="2" w:name="_Toc536429369"/>
      <w:bookmarkStart w:id="3" w:name="_Toc536202376"/>
      <w:bookmarkStart w:id="4" w:name="OLE_LINK3"/>
      <w:bookmarkStart w:id="5" w:name="_Toc438048787"/>
      <w:bookmarkStart w:id="6" w:name="_Toc30089"/>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"1-1" \h \z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_Toc22520 </w:instrText>
      </w:r>
      <w:r>
        <w:rPr>
          <w:rFonts w:hint="eastAsia" w:ascii="宋体" w:hAnsi="宋体" w:eastAsia="宋体" w:cs="宋体"/>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_Toc22520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4B421DD">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_Toc32478 </w:instrText>
      </w:r>
      <w:r>
        <w:rPr>
          <w:rFonts w:hint="eastAsia" w:ascii="宋体" w:hAnsi="宋体" w:eastAsia="宋体" w:cs="宋体"/>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_Toc32478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F57A794">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_Toc4958 </w:instrText>
      </w:r>
      <w:r>
        <w:rPr>
          <w:rFonts w:hint="eastAsia" w:ascii="宋体" w:hAnsi="宋体" w:eastAsia="宋体" w:cs="宋体"/>
          <w:sz w:val="30"/>
          <w:szCs w:val="30"/>
        </w:rPr>
        <w:fldChar w:fldCharType="separate"/>
      </w:r>
      <w:r>
        <w:rPr>
          <w:rFonts w:hint="eastAsia" w:ascii="宋体" w:hAnsi="宋体" w:eastAsia="宋体" w:cs="宋体"/>
          <w:bCs/>
          <w:kern w:val="44"/>
          <w:sz w:val="30"/>
          <w:szCs w:val="30"/>
          <w:lang w:val="en-US" w:eastAsia="zh-CN" w:bidi="ar-SA"/>
        </w:rPr>
        <w:t>第三部分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_Toc4958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2009833">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_Toc3957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_Toc3957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3033FC2">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_Toc11999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第五部分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采购内容及要求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_Toc11999 \h </w:instrText>
      </w:r>
      <w:r>
        <w:rPr>
          <w:rFonts w:hint="eastAsia" w:ascii="宋体" w:hAnsi="宋体" w:eastAsia="宋体" w:cs="宋体"/>
          <w:sz w:val="30"/>
          <w:szCs w:val="30"/>
        </w:rPr>
        <w:fldChar w:fldCharType="separate"/>
      </w:r>
      <w:r>
        <w:rPr>
          <w:rFonts w:hint="eastAsia" w:ascii="宋体" w:hAnsi="宋体" w:eastAsia="宋体" w:cs="宋体"/>
          <w:sz w:val="30"/>
          <w:szCs w:val="30"/>
        </w:rPr>
        <w:t>29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1FB23B0">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_Toc5186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_Toc5186 \h </w:instrText>
      </w:r>
      <w:r>
        <w:rPr>
          <w:rFonts w:hint="eastAsia" w:ascii="宋体" w:hAnsi="宋体" w:eastAsia="宋体" w:cs="宋体"/>
          <w:sz w:val="30"/>
          <w:szCs w:val="30"/>
        </w:rPr>
        <w:fldChar w:fldCharType="separate"/>
      </w:r>
      <w:r>
        <w:rPr>
          <w:rFonts w:hint="eastAsia" w:ascii="宋体" w:hAnsi="宋体" w:eastAsia="宋体" w:cs="宋体"/>
          <w:sz w:val="30"/>
          <w:szCs w:val="30"/>
        </w:rPr>
        <w:t>35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3F352F4">
      <w:pPr>
        <w:pStyle w:val="31"/>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_Toc23847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第七部分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_Toc23847 \h </w:instrText>
      </w:r>
      <w:r>
        <w:rPr>
          <w:rFonts w:hint="eastAsia" w:ascii="宋体" w:hAnsi="宋体" w:eastAsia="宋体" w:cs="宋体"/>
          <w:sz w:val="30"/>
          <w:szCs w:val="30"/>
        </w:rPr>
        <w:fldChar w:fldCharType="separate"/>
      </w:r>
      <w:r>
        <w:rPr>
          <w:rFonts w:hint="eastAsia" w:ascii="宋体" w:hAnsi="宋体" w:eastAsia="宋体" w:cs="宋体"/>
          <w:sz w:val="30"/>
          <w:szCs w:val="30"/>
        </w:rPr>
        <w:t>40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7CF8AEB">
      <w:pPr>
        <w:pStyle w:val="3"/>
        <w:pageBreakBefore w:val="0"/>
        <w:widowControl w:val="0"/>
        <w:tabs>
          <w:tab w:val="left" w:pos="206"/>
        </w:tabs>
        <w:kinsoku/>
        <w:wordWrap/>
        <w:overflowPunct/>
        <w:topLinePunct w:val="0"/>
        <w:autoSpaceDE/>
        <w:autoSpaceDN/>
        <w:bidi w:val="0"/>
        <w:adjustRightInd w:val="0"/>
        <w:snapToGrid w:val="0"/>
        <w:spacing w:before="329" w:beforeLines="100" w:line="360" w:lineRule="auto"/>
        <w:ind w:left="210" w:leftChars="100" w:right="210" w:rightChars="100" w:firstLine="0" w:firstLineChars="0"/>
        <w:jc w:val="left"/>
        <w:textAlignment w:val="auto"/>
      </w:pPr>
      <w:r>
        <w:rPr>
          <w:rFonts w:hint="eastAsia" w:ascii="宋体" w:hAnsi="宋体" w:eastAsia="宋体" w:cs="宋体"/>
          <w:sz w:val="30"/>
          <w:szCs w:val="30"/>
        </w:rPr>
        <w:fldChar w:fldCharType="end"/>
      </w:r>
      <w:bookmarkStart w:id="7" w:name="_Toc19543333"/>
    </w:p>
    <w:p w14:paraId="417BB2F2">
      <w:pPr>
        <w:bidi w:val="0"/>
      </w:pPr>
    </w:p>
    <w:p w14:paraId="362D35B9">
      <w:pPr>
        <w:bidi w:val="0"/>
      </w:pPr>
    </w:p>
    <w:p w14:paraId="7100A519">
      <w:pPr>
        <w:bidi w:val="0"/>
      </w:pPr>
    </w:p>
    <w:p w14:paraId="23574DA5">
      <w:pPr>
        <w:bidi w:val="0"/>
      </w:pPr>
    </w:p>
    <w:p w14:paraId="55A86FBC">
      <w:pPr>
        <w:bidi w:val="0"/>
      </w:pPr>
    </w:p>
    <w:p w14:paraId="38823E12">
      <w:pPr>
        <w:bidi w:val="0"/>
      </w:pPr>
    </w:p>
    <w:p w14:paraId="73FCDB61">
      <w:pPr>
        <w:bidi w:val="0"/>
      </w:pPr>
    </w:p>
    <w:p w14:paraId="514E8449">
      <w:pPr>
        <w:tabs>
          <w:tab w:val="left" w:pos="6811"/>
        </w:tabs>
        <w:bidi w:val="0"/>
        <w:jc w:val="left"/>
        <w:rPr>
          <w:rFonts w:hint="eastAsia" w:eastAsia="宋体"/>
          <w:lang w:eastAsia="zh-CN"/>
        </w:rPr>
        <w:sectPr>
          <w:footerReference r:id="rId7" w:type="first"/>
          <w:footerReference r:id="rId6" w:type="default"/>
          <w:pgSz w:w="11905" w:h="16838"/>
          <w:pgMar w:top="1361" w:right="1423" w:bottom="1361" w:left="1423" w:header="1134" w:footer="992" w:gutter="0"/>
          <w:pgBorders>
            <w:top w:val="none" w:sz="0" w:space="0"/>
            <w:left w:val="none" w:sz="0" w:space="0"/>
            <w:bottom w:val="none" w:sz="0" w:space="0"/>
            <w:right w:val="none" w:sz="0" w:space="0"/>
          </w:pgBorders>
          <w:pgNumType w:fmt="decimal" w:start="1"/>
          <w:cols w:space="0" w:num="1"/>
          <w:titlePg/>
          <w:rtlGutter w:val="0"/>
          <w:docGrid w:type="lines" w:linePitch="328" w:charSpace="0"/>
        </w:sectPr>
      </w:pPr>
      <w:r>
        <w:rPr>
          <w:rFonts w:hint="eastAsia"/>
          <w:lang w:eastAsia="zh-CN"/>
        </w:rPr>
        <w:tab/>
      </w:r>
    </w:p>
    <w:p w14:paraId="65DE4168">
      <w:pPr>
        <w:pStyle w:val="3"/>
        <w:tabs>
          <w:tab w:val="left" w:pos="206"/>
        </w:tabs>
        <w:spacing w:line="360" w:lineRule="auto"/>
        <w:jc w:val="left"/>
      </w:pPr>
      <w:r>
        <w:rPr>
          <w:rFonts w:hint="eastAsia"/>
        </w:rPr>
        <w:tab/>
      </w:r>
      <w:r>
        <w:rPr>
          <w:rFonts w:hint="eastAsia"/>
        </w:rPr>
        <w:t xml:space="preserve">             </w:t>
      </w:r>
      <w:r>
        <w:rPr>
          <w:rFonts w:hint="eastAsia"/>
          <w:lang w:val="en-US" w:eastAsia="zh-CN"/>
        </w:rPr>
        <w:t xml:space="preserve"> </w:t>
      </w:r>
      <w:r>
        <w:rPr>
          <w:rFonts w:hint="eastAsia"/>
        </w:rPr>
        <w:t xml:space="preserve"> </w:t>
      </w:r>
      <w:bookmarkStart w:id="8" w:name="_Toc22520"/>
      <w:r>
        <w:rPr>
          <w:rFonts w:hint="eastAsia"/>
        </w:rPr>
        <w:t xml:space="preserve">第一部分  </w:t>
      </w:r>
      <w:bookmarkStart w:id="9" w:name="OLE_LINK4"/>
      <w:bookmarkStart w:id="10" w:name="OLE_LINK1"/>
      <w:r>
        <w:rPr>
          <w:rFonts w:hint="eastAsia"/>
        </w:rPr>
        <w:t>竞争性</w:t>
      </w:r>
      <w:r>
        <w:t>磋商公告</w:t>
      </w:r>
      <w:bookmarkEnd w:id="1"/>
      <w:bookmarkEnd w:id="2"/>
      <w:bookmarkEnd w:id="3"/>
      <w:bookmarkEnd w:id="7"/>
      <w:bookmarkEnd w:id="8"/>
    </w:p>
    <w:bookmarkEnd w:id="4"/>
    <w:bookmarkEnd w:id="9"/>
    <w:bookmarkEnd w:id="10"/>
    <w:p w14:paraId="1EF6C02E">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kern w:val="0"/>
          <w:sz w:val="24"/>
          <w:szCs w:val="24"/>
        </w:rPr>
      </w:pPr>
      <w:r>
        <w:rPr>
          <w:rFonts w:hint="eastAsia" w:ascii="宋体" w:hAnsi="宋体"/>
          <w:color w:val="000000" w:themeColor="text1"/>
          <w:sz w:val="24"/>
          <w:szCs w:val="24"/>
          <w:lang w:eastAsia="zh-CN"/>
          <w14:textFill>
            <w14:solidFill>
              <w14:schemeClr w14:val="tx1"/>
            </w14:solidFill>
          </w14:textFill>
        </w:rPr>
        <w:t>安康市中心医院北院区中央空调维保服务采购项目</w:t>
      </w:r>
      <w:r>
        <w:rPr>
          <w:rFonts w:hint="eastAsia" w:ascii="宋体" w:hAnsi="宋体" w:eastAsia="宋体" w:cs="宋体"/>
          <w:kern w:val="0"/>
          <w:sz w:val="24"/>
          <w:szCs w:val="24"/>
          <w:lang w:val="en-US" w:eastAsia="zh-CN"/>
        </w:rPr>
        <w:t>的潜在</w:t>
      </w:r>
      <w:r>
        <w:rPr>
          <w:rFonts w:hint="eastAsia" w:ascii="宋体" w:hAnsi="宋体" w:cs="宋体"/>
          <w:kern w:val="0"/>
          <w:sz w:val="24"/>
          <w:szCs w:val="24"/>
          <w:lang w:val="en-US" w:eastAsia="zh-CN"/>
        </w:rPr>
        <w:t>投标人应</w:t>
      </w:r>
      <w:r>
        <w:rPr>
          <w:rFonts w:hint="eastAsia" w:ascii="宋体" w:hAnsi="宋体" w:eastAsia="宋体" w:cs="宋体"/>
          <w:kern w:val="0"/>
          <w:sz w:val="24"/>
          <w:szCs w:val="24"/>
          <w:lang w:val="en-US" w:eastAsia="zh-CN"/>
        </w:rPr>
        <w:t>在全国公共资源交易平台（陕西省 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获取采购文件</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并于</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11:00时</w:t>
      </w:r>
      <w:r>
        <w:rPr>
          <w:rFonts w:hint="eastAsia" w:ascii="宋体" w:hAnsi="宋体" w:eastAsia="宋体" w:cs="宋体"/>
          <w:color w:val="000000" w:themeColor="text1"/>
          <w:kern w:val="0"/>
          <w:sz w:val="24"/>
          <w:szCs w:val="24"/>
          <w:lang w:val="en-US" w:eastAsia="zh-CN"/>
          <w14:textFill>
            <w14:solidFill>
              <w14:schemeClr w14:val="tx1"/>
            </w14:solidFill>
          </w14:textFill>
        </w:rPr>
        <w:t>（北京时间）前提交响应文件</w:t>
      </w:r>
      <w:r>
        <w:rPr>
          <w:rFonts w:hint="eastAsia" w:ascii="宋体" w:hAnsi="宋体" w:eastAsia="宋体" w:cs="宋体"/>
          <w:kern w:val="0"/>
          <w:sz w:val="24"/>
          <w:szCs w:val="24"/>
        </w:rPr>
        <w:t>。</w:t>
      </w:r>
    </w:p>
    <w:p w14:paraId="4B94D9CA">
      <w:pPr>
        <w:keepNext w:val="0"/>
        <w:keepLines w:val="0"/>
        <w:pageBreakBefore w:val="0"/>
        <w:widowControl/>
        <w:numPr>
          <w:ilvl w:val="0"/>
          <w:numId w:val="3"/>
        </w:numPr>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项目基本情况</w:t>
      </w:r>
    </w:p>
    <w:p w14:paraId="72F0807C">
      <w:pPr>
        <w:keepNext w:val="0"/>
        <w:keepLines w:val="0"/>
        <w:pageBreakBefore w:val="0"/>
        <w:widowControl/>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项目编号：</w:t>
      </w:r>
      <w:r>
        <w:rPr>
          <w:rFonts w:hint="eastAsia" w:ascii="宋体" w:hAnsi="宋体" w:cs="宋体"/>
          <w:kern w:val="0"/>
          <w:sz w:val="24"/>
          <w:szCs w:val="24"/>
          <w:lang w:eastAsia="zh-CN"/>
        </w:rPr>
        <w:t>AKSH2024-ZCS-095</w:t>
      </w:r>
    </w:p>
    <w:p w14:paraId="1B6EAC1D">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项目名称：</w:t>
      </w:r>
      <w:bookmarkStart w:id="11" w:name="OLE_LINK2"/>
      <w:r>
        <w:rPr>
          <w:rFonts w:hint="eastAsia" w:ascii="宋体" w:hAnsi="宋体" w:cs="宋体"/>
          <w:kern w:val="0"/>
          <w:sz w:val="24"/>
          <w:szCs w:val="24"/>
          <w:lang w:val="en-US" w:eastAsia="zh-CN" w:bidi="ar-SA"/>
        </w:rPr>
        <w:t>安康市中心医院北院区中央空调维保服务采购项目</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rPr>
        <w:t xml:space="preserve">                                  </w:t>
      </w:r>
    </w:p>
    <w:bookmarkEnd w:id="11"/>
    <w:p w14:paraId="10DAC4E1">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3.采购方式：</w:t>
      </w:r>
      <w:r>
        <w:rPr>
          <w:rFonts w:hint="eastAsia" w:ascii="宋体" w:hAnsi="宋体" w:cs="宋体"/>
          <w:kern w:val="0"/>
          <w:sz w:val="24"/>
          <w:szCs w:val="24"/>
          <w:lang w:val="en-US" w:eastAsia="zh-CN"/>
        </w:rPr>
        <w:t>竞争性磋商</w:t>
      </w:r>
    </w:p>
    <w:p w14:paraId="4758F884">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预算金额：</w:t>
      </w:r>
      <w:r>
        <w:rPr>
          <w:rFonts w:hint="eastAsia" w:ascii="宋体" w:hAnsi="宋体" w:cs="宋体"/>
          <w:b/>
          <w:bCs/>
          <w:kern w:val="0"/>
          <w:sz w:val="24"/>
          <w:szCs w:val="24"/>
          <w:lang w:val="en-US" w:eastAsia="zh-CN"/>
        </w:rPr>
        <w:t>39</w:t>
      </w:r>
      <w:r>
        <w:rPr>
          <w:rFonts w:hint="eastAsia" w:ascii="宋体" w:hAnsi="宋体" w:cs="宋体"/>
          <w:color w:val="auto"/>
          <w:kern w:val="0"/>
          <w:sz w:val="24"/>
          <w:szCs w:val="24"/>
          <w:lang w:val="en-US" w:eastAsia="zh-CN"/>
        </w:rPr>
        <w:t>万元</w:t>
      </w:r>
    </w:p>
    <w:p w14:paraId="361ACA48">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color w:val="auto"/>
          <w:kern w:val="0"/>
          <w:sz w:val="24"/>
          <w:szCs w:val="24"/>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采购需求：</w:t>
      </w:r>
      <w:r>
        <w:rPr>
          <w:rFonts w:hint="eastAsia" w:ascii="宋体" w:hAnsi="宋体" w:cs="宋体"/>
          <w:kern w:val="0"/>
          <w:sz w:val="24"/>
          <w:szCs w:val="24"/>
          <w:lang w:val="en-US" w:eastAsia="zh-CN"/>
        </w:rPr>
        <w:t>安康市中心医院北院区中央空调维保服务采购项目，1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 xml:space="preserve"> 预算金额：</w:t>
      </w:r>
      <w:r>
        <w:rPr>
          <w:rFonts w:hint="eastAsia" w:ascii="宋体" w:hAnsi="宋体" w:cs="宋体"/>
          <w:b w:val="0"/>
          <w:bCs w:val="0"/>
          <w:color w:val="auto"/>
          <w:kern w:val="0"/>
          <w:sz w:val="24"/>
          <w:szCs w:val="24"/>
          <w:u w:val="single"/>
          <w:lang w:val="en-US" w:eastAsia="zh-CN"/>
        </w:rPr>
        <w:t xml:space="preserve"> 39</w:t>
      </w:r>
      <w:r>
        <w:rPr>
          <w:rFonts w:hint="eastAsia" w:ascii="宋体" w:hAnsi="宋体" w:cs="宋体"/>
          <w:b w:val="0"/>
          <w:bCs w:val="0"/>
          <w:color w:val="auto"/>
          <w:kern w:val="0"/>
          <w:sz w:val="24"/>
          <w:szCs w:val="24"/>
          <w:u w:val="none"/>
          <w:lang w:val="en-US" w:eastAsia="zh-CN"/>
        </w:rPr>
        <w:t>万</w:t>
      </w:r>
      <w:r>
        <w:rPr>
          <w:rFonts w:hint="eastAsia" w:ascii="宋体" w:hAnsi="宋体" w:cs="宋体"/>
          <w:b w:val="0"/>
          <w:bCs w:val="0"/>
          <w:color w:val="auto"/>
          <w:kern w:val="0"/>
          <w:sz w:val="24"/>
          <w:szCs w:val="24"/>
          <w:lang w:val="en-US" w:eastAsia="zh-CN"/>
        </w:rPr>
        <w:t>元</w:t>
      </w:r>
      <w:r>
        <w:rPr>
          <w:rFonts w:hint="eastAsia" w:ascii="宋体" w:hAnsi="宋体" w:eastAsia="宋体" w:cs="宋体"/>
          <w:b w:val="0"/>
          <w:bCs w:val="0"/>
          <w:color w:val="auto"/>
          <w:kern w:val="0"/>
          <w:sz w:val="24"/>
          <w:szCs w:val="24"/>
          <w:lang w:val="en-US" w:eastAsia="zh-CN"/>
        </w:rPr>
        <w:t>， 项目概况：</w:t>
      </w:r>
      <w:r>
        <w:rPr>
          <w:rFonts w:hint="eastAsia" w:ascii="宋体" w:hAnsi="宋体" w:cs="宋体"/>
          <w:b w:val="0"/>
          <w:bCs w:val="0"/>
          <w:color w:val="auto"/>
          <w:kern w:val="0"/>
          <w:sz w:val="24"/>
          <w:szCs w:val="24"/>
          <w:lang w:val="en-US" w:eastAsia="zh-CN"/>
        </w:rPr>
        <w:t>中央空调维修和保养</w:t>
      </w:r>
      <w:r>
        <w:rPr>
          <w:rFonts w:hint="eastAsia" w:ascii="宋体" w:hAnsi="宋体" w:eastAsia="宋体" w:cs="宋体"/>
          <w:b w:val="0"/>
          <w:bCs w:val="0"/>
          <w:color w:val="auto"/>
          <w:kern w:val="0"/>
          <w:sz w:val="24"/>
          <w:szCs w:val="24"/>
          <w:lang w:val="en-US" w:eastAsia="zh-CN"/>
        </w:rPr>
        <w:t>； 简要技术要求、用途：自用，技术要求详见磋商文件“采购内容及要求”</w:t>
      </w:r>
      <w:r>
        <w:rPr>
          <w:rFonts w:hint="eastAsia" w:ascii="宋体" w:hAnsi="宋体" w:cs="宋体"/>
          <w:b w:val="0"/>
          <w:bCs w:val="0"/>
          <w:color w:val="auto"/>
          <w:kern w:val="0"/>
          <w:sz w:val="24"/>
          <w:szCs w:val="24"/>
          <w:lang w:val="en-US" w:eastAsia="zh-CN"/>
        </w:rPr>
        <w:t>。</w:t>
      </w:r>
    </w:p>
    <w:p w14:paraId="679049AB">
      <w:pPr>
        <w:pStyle w:val="71"/>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6.合同履行期限：壹年</w:t>
      </w:r>
      <w:r>
        <w:rPr>
          <w:rFonts w:hint="eastAsia"/>
          <w:color w:val="auto"/>
          <w:sz w:val="24"/>
          <w:szCs w:val="24"/>
          <w:highlight w:val="none"/>
          <w:lang w:val="en-US" w:eastAsia="zh-CN"/>
        </w:rPr>
        <w:t>。</w:t>
      </w:r>
    </w:p>
    <w:p w14:paraId="2E3238ED">
      <w:pPr>
        <w:pStyle w:val="71"/>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7.本项目是否接受联合体投标：否</w:t>
      </w:r>
    </w:p>
    <w:p w14:paraId="1FFF0480">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投标</w:t>
      </w:r>
      <w:r>
        <w:rPr>
          <w:rFonts w:hint="eastAsia" w:ascii="宋体" w:hAnsi="宋体" w:eastAsia="宋体" w:cs="宋体"/>
          <w:b/>
          <w:bCs/>
          <w:kern w:val="0"/>
          <w:sz w:val="24"/>
          <w:szCs w:val="24"/>
          <w:lang w:val="en-US" w:eastAsia="zh-CN"/>
        </w:rPr>
        <w:t>人的资格要求</w:t>
      </w:r>
    </w:p>
    <w:p w14:paraId="6A159A4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p>
    <w:p w14:paraId="1CD4A249">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14:paraId="5F38D91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7F1156F0">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法定代表人授权书及被授权人身份证。（法定代表人直接投标</w:t>
      </w:r>
      <w:r>
        <w:rPr>
          <w:rFonts w:hint="eastAsia" w:ascii="宋体" w:hAnsi="宋体" w:cs="宋体"/>
          <w:sz w:val="24"/>
          <w:szCs w:val="24"/>
          <w:lang w:val="en-US" w:eastAsia="zh-CN"/>
        </w:rPr>
        <w:t>只需</w:t>
      </w:r>
      <w:r>
        <w:rPr>
          <w:rFonts w:hint="eastAsia" w:ascii="宋体" w:hAnsi="宋体" w:eastAsia="宋体" w:cs="宋体"/>
          <w:sz w:val="24"/>
          <w:szCs w:val="24"/>
          <w:lang w:val="en-US" w:eastAsia="zh-CN"/>
        </w:rPr>
        <w:t>提交其身份证明资料）</w:t>
      </w:r>
    </w:p>
    <w:p w14:paraId="33548D2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信用记录：投标人通过“信用中国”网站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、中国政府采购网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等渠道查询相关主体无失信记录。对列入失信被执行人、重大税收违法案件当事人名单、政府采购严重违法失信行为记录名单的投标人，将拒绝其参与政府采购活动；以“信用中国”网站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或中国政府采购</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查询结果为准（</w:t>
      </w:r>
      <w:r>
        <w:rPr>
          <w:rFonts w:hint="eastAsia" w:ascii="宋体" w:hAnsi="宋体" w:cs="宋体"/>
          <w:sz w:val="24"/>
          <w:szCs w:val="24"/>
          <w:lang w:val="en-US" w:eastAsia="zh-CN"/>
        </w:rPr>
        <w:t>响应</w:t>
      </w:r>
      <w:r>
        <w:rPr>
          <w:rFonts w:hint="eastAsia" w:ascii="宋体" w:hAnsi="宋体" w:eastAsia="宋体" w:cs="宋体"/>
          <w:sz w:val="24"/>
          <w:szCs w:val="24"/>
          <w:lang w:val="en-US" w:eastAsia="zh-CN"/>
        </w:rPr>
        <w:t>文件中提供查询结果网页截图并加盖投标人公章，查询日期为从</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文件发售之日起至投标截止日前，评标现场通过网站对信用记录进行核实）。</w:t>
      </w:r>
    </w:p>
    <w:p w14:paraId="39684F9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书面声明：投标人必须提供参加政府采购活动前3年内在经营活动中没有重大违法记录的书面声明。</w:t>
      </w:r>
    </w:p>
    <w:p w14:paraId="67C55D7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财务状况报告：提供</w:t>
      </w:r>
      <w:r>
        <w:rPr>
          <w:rFonts w:hint="eastAsia" w:ascii="宋体" w:hAnsi="宋体" w:cs="宋体"/>
          <w:sz w:val="24"/>
          <w:szCs w:val="24"/>
          <w:lang w:val="en-US" w:eastAsia="zh-CN"/>
        </w:rPr>
        <w:t>2023</w:t>
      </w:r>
      <w:r>
        <w:rPr>
          <w:rFonts w:hint="eastAsia" w:ascii="宋体" w:hAnsi="宋体" w:eastAsia="宋体" w:cs="宋体"/>
          <w:sz w:val="24"/>
          <w:szCs w:val="24"/>
          <w:lang w:val="en-US" w:eastAsia="zh-CN"/>
        </w:rPr>
        <w:t>年度经审计的财务审计报告或投标截止时间前六个月内基本开户银行出具的资信证明（成立时间至提交响应文件截止时间不足一年的可提供成立后任意时段的资产负债表）。</w:t>
      </w:r>
    </w:p>
    <w:p w14:paraId="45FC4C2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税收缴纳证明：提供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AADDC4C">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社会保障资金缴纳证明：提供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D824C1C">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.投标人须具备建设行政主管部门核发的有效的机电设备安装工程专业承包叁级（含叁级）及以上或机电安装总承包三级及以上资质，并具有有效的安全生产许可证。</w:t>
      </w:r>
    </w:p>
    <w:p w14:paraId="2700FFF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本项目专门面向中小企业采购，投标人须提供《中小企业声明函》。</w:t>
      </w:r>
    </w:p>
    <w:p w14:paraId="0D236B98">
      <w:pPr>
        <w:pStyle w:val="69"/>
        <w:keepNext/>
        <w:keepLines/>
        <w:pageBreakBefore w:val="0"/>
        <w:widowControl w:val="0"/>
        <w:kinsoku/>
        <w:wordWrap/>
        <w:overflowPunct/>
        <w:topLinePunct w:val="0"/>
        <w:autoSpaceDE/>
        <w:autoSpaceDN/>
        <w:bidi w:val="0"/>
        <w:adjustRightInd/>
        <w:snapToGrid/>
        <w:spacing w:before="0" w:line="440" w:lineRule="exact"/>
        <w:ind w:left="0"/>
        <w:jc w:val="left"/>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color w:val="auto"/>
          <w:kern w:val="0"/>
          <w:sz w:val="24"/>
          <w:szCs w:val="24"/>
          <w:lang w:val="en-US" w:eastAsia="zh-CN" w:bidi="ar-SA"/>
        </w:rPr>
        <w:t xml:space="preserve"> （三）采购项目需要落实的政府采购政策</w:t>
      </w:r>
    </w:p>
    <w:p w14:paraId="5A2AD54A">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《财政部发展改革委生态环境部市场监督总局关于调整优化节能产品、环境标志产品政府采购执行机制的通知》（财库〔2019〕9号）；</w:t>
      </w:r>
    </w:p>
    <w:p w14:paraId="410A2F20">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《财政部国务院扶贫办关于运用政府采购政策支持脱贫攻坚的通知》（财库〔2019〕27号）；</w:t>
      </w:r>
    </w:p>
    <w:p w14:paraId="62144311">
      <w:pPr>
        <w:numPr>
          <w:ilvl w:val="0"/>
          <w:numId w:val="4"/>
        </w:numPr>
        <w:snapToGrid w:val="0"/>
        <w:spacing w:line="460" w:lineRule="exact"/>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color w:val="333333"/>
          <w:sz w:val="24"/>
          <w:szCs w:val="24"/>
          <w:highlight w:val="none"/>
          <w:shd w:val="clear" w:color="auto" w:fill="FFFFFF"/>
        </w:rPr>
        <w:t>《陕西省财政厅关于加快推进我省中小企业政府采购信用融资工作的通知》（陕 财办采〔2020〕15 号）、陕西省财政厅关于印发《陕西省中小企业政府采购信用融资办 法》（陕财办采〔2018〕23 号）</w:t>
      </w:r>
      <w:r>
        <w:rPr>
          <w:rFonts w:hint="eastAsia" w:ascii="宋体" w:hAnsi="宋体" w:eastAsia="宋体" w:cs="宋体"/>
          <w:i w:val="0"/>
          <w:iCs w:val="0"/>
          <w:caps w:val="0"/>
          <w:color w:val="333333"/>
          <w:spacing w:val="0"/>
          <w:sz w:val="24"/>
          <w:szCs w:val="24"/>
          <w:shd w:val="clear" w:fill="FFFFFF"/>
        </w:rPr>
        <w:t>；</w:t>
      </w:r>
    </w:p>
    <w:p w14:paraId="2782E390">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其他需要落实的政府采购政策。</w:t>
      </w:r>
    </w:p>
    <w:p w14:paraId="692FFC3D">
      <w:pPr>
        <w:keepNext w:val="0"/>
        <w:keepLines w:val="0"/>
        <w:pageBreakBefore w:val="0"/>
        <w:kinsoku/>
        <w:wordWrap/>
        <w:overflowPunct/>
        <w:topLinePunct w:val="0"/>
        <w:autoSpaceDE/>
        <w:autoSpaceDN/>
        <w:bidi w:val="0"/>
        <w:adjustRightInd/>
        <w:snapToGrid w:val="0"/>
        <w:spacing w:line="440" w:lineRule="exact"/>
        <w:ind w:left="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磋商</w:t>
      </w:r>
      <w:r>
        <w:rPr>
          <w:rFonts w:hint="eastAsia" w:ascii="宋体" w:hAnsi="宋体" w:eastAsia="宋体" w:cs="宋体"/>
          <w:b/>
          <w:bCs/>
          <w:sz w:val="24"/>
          <w:szCs w:val="24"/>
          <w:lang w:val="en-US" w:eastAsia="zh-CN"/>
        </w:rPr>
        <w:t>文件</w:t>
      </w:r>
      <w:r>
        <w:rPr>
          <w:rFonts w:hint="eastAsia" w:ascii="宋体" w:hAnsi="宋体" w:cs="宋体"/>
          <w:b/>
          <w:bCs/>
          <w:sz w:val="24"/>
          <w:szCs w:val="24"/>
          <w:lang w:val="en-US" w:eastAsia="zh-CN"/>
        </w:rPr>
        <w:t>获取</w:t>
      </w:r>
      <w:r>
        <w:rPr>
          <w:rFonts w:hint="eastAsia" w:ascii="宋体" w:hAnsi="宋体" w:eastAsia="宋体" w:cs="宋体"/>
          <w:b/>
          <w:bCs/>
          <w:sz w:val="24"/>
          <w:szCs w:val="24"/>
        </w:rPr>
        <w:t xml:space="preserve"> </w:t>
      </w:r>
    </w:p>
    <w:p w14:paraId="0B078913">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2" w:name="_Toc35529352"/>
      <w:r>
        <w:rPr>
          <w:rFonts w:hint="eastAsia" w:ascii="宋体" w:hAnsi="宋体" w:eastAsia="宋体" w:cs="宋体"/>
          <w:b/>
          <w:bCs/>
          <w:kern w:val="0"/>
          <w:sz w:val="24"/>
          <w:szCs w:val="24"/>
        </w:rPr>
        <w:t>1</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获取时间：</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至</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23</w:t>
      </w:r>
      <w:r>
        <w:rPr>
          <w:rFonts w:hint="eastAsia" w:ascii="宋体" w:hAnsi="宋体" w:eastAsia="宋体" w:cs="宋体"/>
          <w:color w:val="auto"/>
          <w:kern w:val="0"/>
          <w:sz w:val="24"/>
          <w:szCs w:val="24"/>
          <w:highlight w:val="none"/>
        </w:rPr>
        <w:t>日</w:t>
      </w:r>
      <w:r>
        <w:rPr>
          <w:rFonts w:hint="eastAsia" w:ascii="宋体" w:hAnsi="宋体" w:eastAsia="宋体" w:cs="宋体"/>
          <w:color w:val="000000" w:themeColor="text1"/>
          <w:kern w:val="0"/>
          <w:sz w:val="24"/>
          <w:szCs w:val="24"/>
          <w14:textFill>
            <w14:solidFill>
              <w14:schemeClr w14:val="tx1"/>
            </w14:solidFill>
          </w14:textFill>
        </w:rPr>
        <w:t>上午9:00-12:00，下午14:00-17:00（节假日除外）。</w:t>
      </w:r>
      <w:bookmarkEnd w:id="12"/>
    </w:p>
    <w:p w14:paraId="2B67420D">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3" w:name="_Toc35529353"/>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获取地点：</w:t>
      </w:r>
      <w:r>
        <w:rPr>
          <w:rFonts w:hint="eastAsia" w:ascii="宋体" w:hAnsi="宋体" w:eastAsia="宋体" w:cs="宋体"/>
          <w:kern w:val="0"/>
          <w:sz w:val="24"/>
          <w:szCs w:val="24"/>
          <w:lang w:val="en-US" w:eastAsia="zh-CN"/>
        </w:rPr>
        <w:t>全国公共资源交易平台（陕西省 安康市）</w:t>
      </w:r>
      <w:r>
        <w:rPr>
          <w:rFonts w:hint="eastAsia" w:ascii="宋体" w:hAnsi="宋体" w:eastAsia="宋体" w:cs="宋体"/>
          <w:color w:val="000000" w:themeColor="text1"/>
          <w:kern w:val="0"/>
          <w:sz w:val="24"/>
          <w:szCs w:val="24"/>
          <w14:textFill>
            <w14:solidFill>
              <w14:schemeClr w14:val="tx1"/>
            </w14:solidFill>
          </w14:textFill>
        </w:rPr>
        <w:t>。</w:t>
      </w:r>
      <w:bookmarkEnd w:id="13"/>
    </w:p>
    <w:p w14:paraId="0EB36702">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获取方式：</w:t>
      </w:r>
      <w:r>
        <w:rPr>
          <w:rFonts w:hint="eastAsia" w:ascii="宋体" w:hAnsi="宋体" w:cs="宋体"/>
          <w:color w:val="000000" w:themeColor="text1"/>
          <w:kern w:val="0"/>
          <w:sz w:val="24"/>
          <w:szCs w:val="24"/>
          <w:lang w:val="en-US" w:eastAsia="zh-CN"/>
          <w14:textFill>
            <w14:solidFill>
              <w14:schemeClr w14:val="tx1"/>
            </w14:solidFill>
          </w14:textFill>
        </w:rPr>
        <w:t>在线获取。</w:t>
      </w:r>
    </w:p>
    <w:p w14:paraId="2FAC8D52">
      <w:pPr>
        <w:pageBreakBefore w:val="0"/>
        <w:kinsoku/>
        <w:wordWrap/>
        <w:overflowPunct/>
        <w:topLinePunct w:val="0"/>
        <w:bidi w:val="0"/>
        <w:adjustRightInd/>
        <w:spacing w:line="440" w:lineRule="exact"/>
        <w:ind w:left="0" w:firstLine="482" w:firstLineChars="200"/>
        <w:textAlignment w:val="auto"/>
        <w:rPr>
          <w:rFonts w:ascii="宋体" w:hAnsi="宋体" w:cs="宋体"/>
          <w:kern w:val="0"/>
          <w:sz w:val="24"/>
          <w:szCs w:val="28"/>
        </w:rPr>
      </w:pPr>
      <w:bookmarkStart w:id="14" w:name="_Toc35529354"/>
      <w:r>
        <w:rPr>
          <w:rFonts w:hint="eastAsia" w:ascii="宋体" w:hAnsi="宋体" w:eastAsia="宋体" w:cs="宋体"/>
          <w:b/>
          <w:bCs/>
          <w:kern w:val="0"/>
          <w:sz w:val="24"/>
          <w:szCs w:val="24"/>
          <w:lang w:val="en-US" w:eastAsia="zh-CN"/>
        </w:rPr>
        <w:t>4</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文件售价</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 xml:space="preserve"> </w:t>
      </w:r>
      <w:r>
        <w:rPr>
          <w:rFonts w:hint="eastAsia" w:ascii="宋体" w:hAnsi="宋体" w:cs="宋体"/>
          <w:kern w:val="0"/>
          <w:sz w:val="24"/>
          <w:szCs w:val="24"/>
          <w:lang w:val="en-US" w:eastAsia="zh-CN"/>
        </w:rPr>
        <w:t>免费获取</w:t>
      </w:r>
      <w:r>
        <w:rPr>
          <w:rFonts w:hint="eastAsia" w:ascii="宋体" w:hAnsi="宋体" w:eastAsia="宋体" w:cs="宋体"/>
          <w:kern w:val="0"/>
          <w:sz w:val="24"/>
          <w:szCs w:val="24"/>
        </w:rPr>
        <w:t>。</w:t>
      </w:r>
      <w:bookmarkEnd w:id="14"/>
    </w:p>
    <w:p w14:paraId="482AE1B3">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cs="宋体"/>
          <w:kern w:val="0"/>
          <w:sz w:val="24"/>
          <w:szCs w:val="28"/>
          <w:lang w:val="en-US" w:eastAsia="zh-CN"/>
        </w:rPr>
      </w:pPr>
      <w:bookmarkStart w:id="15" w:name="_Toc35529356"/>
      <w:r>
        <w:rPr>
          <w:rFonts w:hint="eastAsia" w:ascii="宋体" w:hAnsi="宋体" w:cs="宋体"/>
          <w:b/>
          <w:bCs/>
          <w:kern w:val="0"/>
          <w:sz w:val="24"/>
          <w:szCs w:val="28"/>
        </w:rPr>
        <w:t>备注：</w:t>
      </w:r>
      <w:bookmarkEnd w:id="15"/>
      <w:r>
        <w:rPr>
          <w:rFonts w:hint="eastAsia" w:ascii="宋体" w:hAnsi="宋体" w:eastAsia="宋体" w:cs="宋体"/>
          <w:sz w:val="24"/>
          <w:szCs w:val="24"/>
          <w:highlight w:val="none"/>
        </w:rPr>
        <w:t>（1）获取须知：投标供应商使用捆绑省交易平台的CA锁登录电子交易平台，</w:t>
      </w:r>
      <w:r>
        <w:rPr>
          <w:rFonts w:hint="eastAsia" w:ascii="宋体" w:hAnsi="宋体" w:eastAsia="宋体" w:cs="宋体"/>
          <w:sz w:val="24"/>
          <w:szCs w:val="24"/>
        </w:rPr>
        <w:t>选择电子交易平台中的陕西政府采购交易系统</w:t>
      </w:r>
      <w:r>
        <w:rPr>
          <w:rFonts w:hint="eastAsia" w:ascii="宋体" w:hAnsi="宋体" w:cs="宋体"/>
          <w:sz w:val="24"/>
          <w:szCs w:val="24"/>
          <w:lang w:val="en-US" w:eastAsia="zh-CN"/>
        </w:rPr>
        <w:t>企业端</w:t>
      </w:r>
      <w:r>
        <w:rPr>
          <w:rFonts w:hint="eastAsia" w:ascii="宋体" w:hAnsi="宋体" w:eastAsia="宋体" w:cs="宋体"/>
          <w:sz w:val="24"/>
          <w:szCs w:val="24"/>
        </w:rPr>
        <w:t>进行登录，登录后选择“交易乙方”身份进入供应商界面进行网上报名。</w:t>
      </w:r>
      <w:r>
        <w:rPr>
          <w:rFonts w:hint="eastAsia" w:ascii="宋体" w:hAnsi="宋体" w:eastAsia="宋体" w:cs="宋体"/>
          <w:sz w:val="24"/>
          <w:szCs w:val="24"/>
          <w:highlight w:val="none"/>
        </w:rPr>
        <w:t>（2）采购代理公司确认：供应商须在采购文件</w:t>
      </w: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rPr>
        <w:t>时间内将报名回执单、介绍信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备注经办人联系电话及电子邮箱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、身份证复印件加盖公章递交至</w:t>
      </w:r>
      <w:r>
        <w:rPr>
          <w:rFonts w:hint="eastAsia" w:ascii="宋体" w:hAnsi="宋体" w:eastAsia="宋体" w:cs="宋体"/>
          <w:color w:val="000000"/>
          <w:sz w:val="24"/>
          <w:szCs w:val="24"/>
          <w:highlight w:val="none"/>
        </w:rPr>
        <w:t>安康尚昊招标代理有限公司</w:t>
      </w:r>
      <w:r>
        <w:rPr>
          <w:rFonts w:hint="eastAsia" w:ascii="宋体" w:hAnsi="宋体" w:eastAsia="宋体" w:cs="宋体"/>
          <w:sz w:val="24"/>
          <w:szCs w:val="24"/>
          <w:highlight w:val="none"/>
        </w:rPr>
        <w:t>，代理公司确认报名资料无误后方可下载文件，（3）未完成网上投标成功的或未经采购代理公司确认或未在规定时间内在平台上下载文件的，导致无法完成后续流程</w:t>
      </w:r>
      <w:r>
        <w:rPr>
          <w:rFonts w:hint="eastAsia" w:ascii="宋体" w:hAnsi="宋体" w:cs="宋体"/>
          <w:sz w:val="24"/>
          <w:szCs w:val="24"/>
          <w:highlight w:val="none"/>
          <w:lang w:val="en-US" w:eastAsia="zh-CN"/>
        </w:rPr>
        <w:t>或因供应商未提交报名资料无法接收后续相关信息</w:t>
      </w:r>
      <w:r>
        <w:rPr>
          <w:rFonts w:hint="eastAsia" w:ascii="宋体" w:hAnsi="宋体" w:eastAsia="宋体" w:cs="宋体"/>
          <w:sz w:val="24"/>
          <w:szCs w:val="24"/>
          <w:highlight w:val="none"/>
        </w:rPr>
        <w:t>的责任自负。 （4）</w:t>
      </w:r>
      <w:r>
        <w:rPr>
          <w:rFonts w:hint="eastAsia" w:ascii="宋体" w:hAnsi="宋体" w:eastAsia="宋体" w:cs="宋体"/>
          <w:sz w:val="24"/>
          <w:szCs w:val="24"/>
        </w:rPr>
        <w:t>本项目采用电子化投标及远程不见面开标方式，相关操作流程详见全国公共资源交易平台（陕西省）网站[服务指南</w:t>
      </w:r>
      <w:r>
        <w:rPr>
          <w:rFonts w:hint="eastAsia" w:ascii="宋体" w:hAnsi="宋体" w:cs="宋体"/>
          <w:sz w:val="24"/>
          <w:szCs w:val="24"/>
          <w:lang w:eastAsia="zh-CN"/>
        </w:rPr>
        <w:t>－</w:t>
      </w:r>
      <w:r>
        <w:rPr>
          <w:rFonts w:hint="eastAsia" w:ascii="宋体" w:hAnsi="宋体" w:eastAsia="宋体" w:cs="宋体"/>
          <w:sz w:val="24"/>
          <w:szCs w:val="24"/>
        </w:rPr>
        <w:t>下载专区]中的《陕西省公共资源交易中心政府采购项目投标指南》。开标前，供应商需登录网络开标大厅。开标时，按照工作人员要求进行远程解密，如因供应商自身原因造成无法签到或解密</w:t>
      </w:r>
      <w:r>
        <w:rPr>
          <w:rFonts w:hint="eastAsia" w:ascii="宋体" w:hAnsi="宋体" w:cs="宋体"/>
          <w:sz w:val="24"/>
          <w:szCs w:val="24"/>
          <w:lang w:val="en-US" w:eastAsia="zh-CN"/>
        </w:rPr>
        <w:t>响应</w:t>
      </w:r>
      <w:r>
        <w:rPr>
          <w:rFonts w:hint="eastAsia" w:ascii="宋体" w:hAnsi="宋体" w:eastAsia="宋体" w:cs="宋体"/>
          <w:sz w:val="24"/>
          <w:szCs w:val="24"/>
        </w:rPr>
        <w:t>文件</w:t>
      </w:r>
      <w:r>
        <w:rPr>
          <w:rFonts w:hint="eastAsia" w:ascii="宋体" w:hAnsi="宋体" w:eastAsia="宋体" w:cs="宋体"/>
          <w:color w:val="auto"/>
          <w:sz w:val="24"/>
          <w:szCs w:val="24"/>
        </w:rPr>
        <w:t>，按无效投标对待。</w:t>
      </w:r>
      <w:r>
        <w:rPr>
          <w:rFonts w:hint="eastAsia" w:ascii="宋体" w:hAnsi="宋体" w:eastAsia="宋体" w:cs="宋体"/>
          <w:sz w:val="24"/>
          <w:szCs w:val="24"/>
          <w:highlight w:val="none"/>
        </w:rPr>
        <w:t>（5）电子投标文件技术支持：4009280095、4009980000。</w:t>
      </w:r>
      <w:r>
        <w:rPr>
          <w:rFonts w:hint="eastAsia" w:ascii="宋体" w:hAnsi="宋体" w:cs="宋体"/>
          <w:kern w:val="0"/>
          <w:sz w:val="24"/>
          <w:szCs w:val="28"/>
          <w:highlight w:val="none"/>
        </w:rPr>
        <w:t>（6）请各供应商购买</w:t>
      </w:r>
      <w:r>
        <w:rPr>
          <w:rFonts w:hint="eastAsia" w:ascii="宋体" w:hAnsi="宋体" w:cs="宋体"/>
          <w:kern w:val="0"/>
          <w:sz w:val="24"/>
          <w:szCs w:val="28"/>
          <w:highlight w:val="none"/>
          <w:lang w:val="en-US" w:eastAsia="zh-CN"/>
        </w:rPr>
        <w:t>磋商</w:t>
      </w:r>
      <w:r>
        <w:rPr>
          <w:rFonts w:hint="eastAsia" w:ascii="宋体" w:hAnsi="宋体" w:cs="宋体"/>
          <w:kern w:val="0"/>
          <w:sz w:val="24"/>
          <w:szCs w:val="28"/>
          <w:highlight w:val="none"/>
        </w:rPr>
        <w:t>文件后，按照陕西省财政厅《关于政府采购供应商注册登记有关事项的通知》要求，通过</w:t>
      </w:r>
      <w:r>
        <w:rPr>
          <w:rFonts w:hint="eastAsia" w:ascii="宋体" w:hAnsi="宋体" w:cs="宋体"/>
          <w:kern w:val="0"/>
          <w:sz w:val="24"/>
          <w:szCs w:val="24"/>
          <w:highlight w:val="none"/>
        </w:rPr>
        <w:t>陕西省政府采购</w:t>
      </w:r>
      <w:r>
        <w:rPr>
          <w:rFonts w:hint="eastAsia" w:ascii="宋体" w:hAnsi="宋体" w:cs="宋体"/>
          <w:kern w:val="0"/>
          <w:sz w:val="24"/>
          <w:szCs w:val="28"/>
          <w:highlight w:val="none"/>
        </w:rPr>
        <w:t>网注册登记加入陕西省政府采购供应商库。</w:t>
      </w:r>
    </w:p>
    <w:p w14:paraId="42021856">
      <w:pPr>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cs="宋体"/>
          <w:b/>
          <w:bCs/>
          <w:kern w:val="0"/>
          <w:sz w:val="24"/>
          <w:szCs w:val="24"/>
          <w:lang w:val="en-US" w:eastAsia="zh-CN"/>
        </w:rPr>
        <w:t>响应</w:t>
      </w:r>
      <w:r>
        <w:rPr>
          <w:rFonts w:hint="eastAsia" w:ascii="宋体" w:hAnsi="宋体" w:eastAsia="宋体" w:cs="宋体"/>
          <w:b/>
          <w:bCs/>
          <w:kern w:val="0"/>
          <w:sz w:val="24"/>
          <w:szCs w:val="24"/>
          <w:lang w:val="en-US" w:eastAsia="zh-CN"/>
        </w:rPr>
        <w:t>文件</w:t>
      </w:r>
      <w:r>
        <w:rPr>
          <w:rFonts w:hint="eastAsia" w:ascii="宋体" w:hAnsi="宋体" w:cs="宋体"/>
          <w:b/>
          <w:bCs/>
          <w:kern w:val="0"/>
          <w:sz w:val="24"/>
          <w:szCs w:val="24"/>
          <w:lang w:val="en-US" w:eastAsia="zh-CN"/>
        </w:rPr>
        <w:t>递交</w:t>
      </w:r>
      <w:r>
        <w:rPr>
          <w:rFonts w:hint="eastAsia" w:ascii="宋体" w:hAnsi="宋体" w:eastAsia="宋体" w:cs="宋体"/>
          <w:b/>
          <w:bCs/>
          <w:kern w:val="0"/>
          <w:sz w:val="24"/>
          <w:szCs w:val="24"/>
        </w:rPr>
        <w:t>：</w:t>
      </w:r>
    </w:p>
    <w:p w14:paraId="6ADDAE84">
      <w:pPr>
        <w:pStyle w:val="71"/>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递交截止</w:t>
      </w:r>
      <w:r>
        <w:rPr>
          <w:rFonts w:hint="eastAsia" w:ascii="宋体" w:hAnsi="宋体" w:eastAsia="宋体" w:cs="宋体"/>
          <w:color w:val="auto"/>
          <w:kern w:val="0"/>
          <w:sz w:val="24"/>
          <w:szCs w:val="24"/>
        </w:rPr>
        <w:t>时间：</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11:00时</w:t>
      </w:r>
      <w:r>
        <w:rPr>
          <w:rFonts w:hint="eastAsia" w:ascii="宋体" w:hAnsi="宋体" w:eastAsia="宋体" w:cs="宋体"/>
          <w:color w:val="auto"/>
          <w:kern w:val="0"/>
          <w:sz w:val="24"/>
          <w:szCs w:val="24"/>
        </w:rPr>
        <w:t xml:space="preserve">前 </w:t>
      </w:r>
    </w:p>
    <w:p w14:paraId="07CF3D44">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递交地点：全国公共资源交易中心平台（陕西省 安康市）</w:t>
      </w:r>
    </w:p>
    <w:p w14:paraId="6E1AFE8A">
      <w:pPr>
        <w:pStyle w:val="41"/>
        <w:shd w:val="clear" w:color="auto" w:fill="FFFFFF"/>
        <w:spacing w:before="0" w:beforeAutospacing="0" w:after="0" w:afterAutospacing="0" w:line="440" w:lineRule="exact"/>
        <w:rPr>
          <w:rFonts w:hint="eastAsia" w:eastAsia="宋体" w:cs="宋体"/>
          <w:szCs w:val="24"/>
          <w:lang w:val="en-US" w:eastAsia="zh-CN"/>
        </w:rPr>
      </w:pPr>
      <w:r>
        <w:rPr>
          <w:rFonts w:hint="eastAsia" w:cs="宋体"/>
          <w:color w:val="auto"/>
          <w:kern w:val="0"/>
          <w:sz w:val="24"/>
          <w:szCs w:val="24"/>
          <w:lang w:val="en-US" w:eastAsia="zh-CN"/>
        </w:rPr>
        <w:t>3.</w:t>
      </w:r>
      <w:r>
        <w:rPr>
          <w:rFonts w:hint="eastAsia" w:cs="宋体"/>
          <w:szCs w:val="24"/>
          <w:lang w:val="en-US" w:eastAsia="zh-CN"/>
        </w:rPr>
        <w:t>开标地点：</w:t>
      </w:r>
      <w:r>
        <w:rPr>
          <w:rFonts w:ascii="宋体" w:hAnsi="宋体" w:eastAsia="宋体" w:cs="宋体"/>
          <w:sz w:val="24"/>
          <w:szCs w:val="24"/>
        </w:rPr>
        <w:t>安康不见面开标大厅系统</w:t>
      </w:r>
    </w:p>
    <w:p w14:paraId="5395CE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个工作日。</w:t>
      </w:r>
    </w:p>
    <w:p w14:paraId="5A0D774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cs="宋体"/>
          <w:kern w:val="0"/>
          <w:sz w:val="24"/>
          <w:szCs w:val="24"/>
          <w:lang w:val="en-US" w:eastAsia="zh-CN"/>
        </w:rPr>
        <w:t>无</w:t>
      </w:r>
    </w:p>
    <w:p w14:paraId="6F0AE674">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七、对本次</w:t>
      </w:r>
      <w:r>
        <w:rPr>
          <w:rFonts w:hint="eastAsia" w:ascii="宋体" w:hAnsi="宋体" w:cs="宋体"/>
          <w:kern w:val="0"/>
          <w:sz w:val="24"/>
          <w:szCs w:val="24"/>
          <w:lang w:val="en-US" w:eastAsia="zh-CN"/>
        </w:rPr>
        <w:t>采购</w:t>
      </w:r>
      <w:r>
        <w:rPr>
          <w:rFonts w:hint="eastAsia" w:ascii="宋体" w:hAnsi="宋体" w:eastAsia="宋体" w:cs="宋体"/>
          <w:kern w:val="0"/>
          <w:sz w:val="24"/>
          <w:szCs w:val="24"/>
          <w:lang w:val="en-US" w:eastAsia="zh-CN"/>
        </w:rPr>
        <w:t>提出询问，请按以下方式联系</w:t>
      </w:r>
    </w:p>
    <w:p w14:paraId="65BCD174">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1</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采购人信息</w:t>
      </w:r>
    </w:p>
    <w:p w14:paraId="010DA5CF">
      <w:pPr>
        <w:pStyle w:val="7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color w:val="auto"/>
          <w:kern w:val="0"/>
          <w:sz w:val="24"/>
          <w:szCs w:val="24"/>
          <w:lang w:val="en-US" w:eastAsia="zh-CN"/>
        </w:rPr>
        <w:t>安康市中心医院</w:t>
      </w:r>
    </w:p>
    <w:p w14:paraId="11783216">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址：陕西省安康市汉滨区金州南路85号</w:t>
      </w:r>
    </w:p>
    <w:p w14:paraId="6AB68C42">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联 系 人：张彦昊</w:t>
      </w:r>
    </w:p>
    <w:p w14:paraId="31FD5C01">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联系方式：19909150521 </w:t>
      </w:r>
    </w:p>
    <w:p w14:paraId="66596A5F">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2</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采购代理机构信息</w:t>
      </w:r>
    </w:p>
    <w:p w14:paraId="37FAF189">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1EBCFC8B">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p w14:paraId="5B341CAC">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联系方式：</w:t>
      </w:r>
      <w:r>
        <w:rPr>
          <w:rFonts w:hint="eastAsia" w:ascii="宋体" w:hAnsi="宋体" w:eastAsia="宋体" w:cs="宋体"/>
          <w:kern w:val="0"/>
          <w:sz w:val="24"/>
          <w:szCs w:val="24"/>
        </w:rPr>
        <w:t>15991480332</w:t>
      </w:r>
    </w:p>
    <w:p w14:paraId="0252DBB6">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3</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项目联系方式</w:t>
      </w:r>
    </w:p>
    <w:p w14:paraId="709B5568">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r>
        <w:rPr>
          <w:rFonts w:hint="eastAsia" w:ascii="宋体" w:hAnsi="宋体" w:cs="宋体"/>
          <w:kern w:val="0"/>
          <w:sz w:val="24"/>
          <w:szCs w:val="24"/>
          <w:lang w:val="en-US" w:eastAsia="zh-CN"/>
        </w:rPr>
        <w:t>陈工</w:t>
      </w:r>
    </w:p>
    <w:p w14:paraId="4A3539A0">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kern w:val="0"/>
          <w:sz w:val="24"/>
          <w:szCs w:val="24"/>
          <w:lang w:val="en-US" w:eastAsia="zh-CN"/>
        </w:rPr>
        <w:t>：15991480332</w:t>
      </w:r>
    </w:p>
    <w:p w14:paraId="38373B0D">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14:paraId="4C4B899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2024</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08</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16</w:t>
      </w:r>
      <w:r>
        <w:rPr>
          <w:rFonts w:hint="eastAsia" w:ascii="宋体" w:hAnsi="宋体" w:eastAsia="宋体" w:cs="宋体"/>
          <w:kern w:val="0"/>
          <w:sz w:val="24"/>
          <w:szCs w:val="24"/>
          <w:lang w:val="en-US" w:eastAsia="zh-CN" w:bidi="ar-SA"/>
        </w:rPr>
        <w:t>日</w:t>
      </w:r>
    </w:p>
    <w:p w14:paraId="48765381">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kern w:val="44"/>
          <w:sz w:val="32"/>
          <w:szCs w:val="32"/>
        </w:rPr>
      </w:pPr>
      <w:bookmarkStart w:id="16" w:name="_Toc536429317"/>
      <w:bookmarkStart w:id="17" w:name="_Toc5018"/>
      <w:bookmarkStart w:id="18" w:name="_Toc536202283"/>
      <w:bookmarkStart w:id="19" w:name="_Toc536429370"/>
      <w:bookmarkStart w:id="20" w:name="_Toc536202377"/>
      <w:r>
        <w:rPr>
          <w:rFonts w:ascii="宋体" w:hAnsi="宋体" w:cs="宋体"/>
          <w:b/>
          <w:bCs/>
          <w:kern w:val="44"/>
          <w:sz w:val="32"/>
          <w:szCs w:val="32"/>
        </w:rPr>
        <w:br w:type="page"/>
      </w:r>
    </w:p>
    <w:p w14:paraId="7F61C0DA">
      <w:pPr>
        <w:widowControl/>
        <w:jc w:val="left"/>
        <w:rPr>
          <w:rFonts w:ascii="宋体" w:hAnsi="宋体" w:cs="宋体"/>
          <w:b/>
          <w:bCs/>
          <w:kern w:val="44"/>
          <w:sz w:val="32"/>
          <w:szCs w:val="32"/>
        </w:rPr>
      </w:pPr>
      <w:r>
        <w:rPr>
          <w:rFonts w:hint="eastAsia" w:ascii="宋体" w:hAnsi="宋体" w:cs="宋体"/>
          <w:b/>
          <w:bCs/>
          <w:kern w:val="44"/>
          <w:sz w:val="32"/>
          <w:szCs w:val="32"/>
        </w:rPr>
        <w:t>特别提醒：</w:t>
      </w:r>
    </w:p>
    <w:p w14:paraId="6B9C6FBF">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2F626B88">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》规定执行。</w:t>
      </w:r>
    </w:p>
    <w:p w14:paraId="2E72B7A7">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制作电子投标文件</w:t>
      </w:r>
    </w:p>
    <w:p w14:paraId="415160CC">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V8.0.0.2</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”，并升级至最新版本，使用该客户端制作电子投标文件，制作扩展名为“.SXSTF”的电子投标文件。</w:t>
      </w:r>
    </w:p>
    <w:p w14:paraId="104EDC12">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递交电子投标文件</w:t>
      </w:r>
    </w:p>
    <w:p w14:paraId="6ABB59E6">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77F10A4">
      <w:pPr>
        <w:pStyle w:val="71"/>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788B303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电子投标文件技术支持：4009280095、4009980000</w:t>
      </w:r>
    </w:p>
    <w:p w14:paraId="58986B9B">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A9DEF07">
      <w:pPr>
        <w:widowControl/>
        <w:jc w:val="left"/>
        <w:rPr>
          <w:rFonts w:ascii="Times New Roman" w:hAnsi="Times New Roman" w:cs="Times New Roman"/>
          <w:b/>
          <w:bCs/>
          <w:kern w:val="44"/>
          <w:sz w:val="32"/>
          <w:szCs w:val="32"/>
        </w:rPr>
      </w:pPr>
      <w:bookmarkStart w:id="21" w:name="_Toc19543334"/>
      <w:r>
        <w:br w:type="page"/>
      </w:r>
    </w:p>
    <w:p w14:paraId="4903BBE4">
      <w:pPr>
        <w:pStyle w:val="3"/>
        <w:spacing w:line="360" w:lineRule="auto"/>
        <w:rPr>
          <w:rFonts w:ascii="宋体" w:hAnsi="宋体" w:cs="宋体"/>
        </w:rPr>
      </w:pPr>
      <w:bookmarkStart w:id="22" w:name="_Toc32478"/>
      <w:r>
        <w:rPr>
          <w:rFonts w:hint="eastAsia"/>
        </w:rPr>
        <w:t>第二部分</w:t>
      </w:r>
      <w:r>
        <w:t xml:space="preserve">  </w:t>
      </w:r>
      <w:r>
        <w:rPr>
          <w:rFonts w:hint="eastAsia"/>
        </w:rPr>
        <w:t>供应商须知前附表</w:t>
      </w:r>
      <w:bookmarkEnd w:id="5"/>
      <w:bookmarkEnd w:id="6"/>
      <w:bookmarkEnd w:id="16"/>
      <w:bookmarkEnd w:id="17"/>
      <w:bookmarkEnd w:id="18"/>
      <w:bookmarkEnd w:id="19"/>
      <w:bookmarkEnd w:id="20"/>
      <w:bookmarkEnd w:id="21"/>
      <w:bookmarkEnd w:id="22"/>
    </w:p>
    <w:tbl>
      <w:tblPr>
        <w:tblStyle w:val="104"/>
        <w:tblW w:w="9884" w:type="dxa"/>
        <w:jc w:val="center"/>
        <w:tblLayout w:type="fixed"/>
        <w:tblCellMar>
          <w:top w:w="147" w:type="dxa"/>
          <w:left w:w="108" w:type="dxa"/>
          <w:bottom w:w="56" w:type="dxa"/>
          <w:right w:w="0" w:type="dxa"/>
        </w:tblCellMar>
      </w:tblPr>
      <w:tblGrid>
        <w:gridCol w:w="704"/>
        <w:gridCol w:w="1769"/>
        <w:gridCol w:w="7411"/>
      </w:tblGrid>
      <w:tr w14:paraId="285F7D0F">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BE8881">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769" w:type="dxa"/>
            <w:tcBorders>
              <w:top w:val="single" w:color="000000" w:sz="4" w:space="0"/>
              <w:left w:val="single" w:color="000000" w:sz="4" w:space="0"/>
              <w:bottom w:val="single" w:color="000000" w:sz="4" w:space="0"/>
              <w:right w:val="single" w:color="000000" w:sz="4" w:space="0"/>
            </w:tcBorders>
            <w:vAlign w:val="center"/>
          </w:tcPr>
          <w:p w14:paraId="57E53F3C">
            <w:pPr>
              <w:spacing w:line="259" w:lineRule="auto"/>
              <w:ind w:right="310"/>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411" w:type="dxa"/>
            <w:tcBorders>
              <w:top w:val="single" w:color="000000" w:sz="4" w:space="0"/>
              <w:left w:val="single" w:color="000000" w:sz="4" w:space="0"/>
              <w:bottom w:val="single" w:color="000000" w:sz="4" w:space="0"/>
              <w:right w:val="single" w:color="000000" w:sz="4" w:space="0"/>
            </w:tcBorders>
            <w:vAlign w:val="center"/>
          </w:tcPr>
          <w:p w14:paraId="6EE88123">
            <w:pPr>
              <w:spacing w:line="259" w:lineRule="auto"/>
              <w:ind w:left="840" w:right="111"/>
              <w:jc w:val="center"/>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7682EDBC">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27F162">
            <w:pPr>
              <w:pStyle w:val="103"/>
              <w:numPr>
                <w:ilvl w:val="0"/>
                <w:numId w:val="5"/>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08348DF2">
            <w:pPr>
              <w:spacing w:line="259"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采购人</w:t>
            </w:r>
          </w:p>
        </w:tc>
        <w:tc>
          <w:tcPr>
            <w:tcW w:w="7411" w:type="dxa"/>
            <w:tcBorders>
              <w:top w:val="single" w:color="000000" w:sz="4" w:space="0"/>
              <w:left w:val="single" w:color="000000" w:sz="4" w:space="0"/>
              <w:bottom w:val="single" w:color="000000" w:sz="4" w:space="0"/>
              <w:right w:val="single" w:color="000000" w:sz="4" w:space="0"/>
            </w:tcBorders>
            <w:vAlign w:val="center"/>
          </w:tcPr>
          <w:p w14:paraId="476E42F0">
            <w:pPr>
              <w:spacing w:line="259"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 xml:space="preserve">安康市中心医院 </w:t>
            </w:r>
          </w:p>
        </w:tc>
      </w:tr>
      <w:tr w14:paraId="7BCACA76">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6A4C6B">
            <w:pPr>
              <w:pStyle w:val="103"/>
              <w:numPr>
                <w:ilvl w:val="0"/>
                <w:numId w:val="5"/>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2EC7A853">
            <w:pPr>
              <w:spacing w:line="259" w:lineRule="auto"/>
              <w:ind w:right="10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411" w:type="dxa"/>
            <w:tcBorders>
              <w:top w:val="single" w:color="000000" w:sz="4" w:space="0"/>
              <w:left w:val="single" w:color="000000" w:sz="4" w:space="0"/>
              <w:bottom w:val="single" w:color="000000" w:sz="4" w:space="0"/>
              <w:right w:val="single" w:color="000000" w:sz="4" w:space="0"/>
            </w:tcBorders>
            <w:vAlign w:val="center"/>
          </w:tcPr>
          <w:p w14:paraId="22830284">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612F4331">
        <w:tblPrEx>
          <w:tblCellMar>
            <w:top w:w="147" w:type="dxa"/>
            <w:left w:w="108" w:type="dxa"/>
            <w:bottom w:w="56" w:type="dxa"/>
            <w:right w:w="0" w:type="dxa"/>
          </w:tblCellMar>
        </w:tblPrEx>
        <w:trPr>
          <w:trHeight w:val="4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9B616AE">
            <w:pPr>
              <w:pStyle w:val="103"/>
              <w:numPr>
                <w:ilvl w:val="0"/>
                <w:numId w:val="5"/>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1B071C6E">
            <w:pPr>
              <w:spacing w:line="259" w:lineRule="auto"/>
              <w:ind w:right="111"/>
              <w:jc w:val="center"/>
              <w:rPr>
                <w:rFonts w:asciiTheme="minorEastAsia" w:hAnsiTheme="minorEastAsia" w:eastAsiaTheme="minorEastAsia"/>
                <w:sz w:val="24"/>
                <w:szCs w:val="24"/>
                <w:highlight w:val="red"/>
              </w:rPr>
            </w:pPr>
            <w:r>
              <w:rPr>
                <w:rFonts w:asciiTheme="minorEastAsia" w:hAnsiTheme="minorEastAsia" w:eastAsiaTheme="minorEastAsia"/>
                <w:sz w:val="24"/>
                <w:szCs w:val="24"/>
                <w:highlight w:val="none"/>
              </w:rPr>
              <w:t>项目名称</w:t>
            </w:r>
          </w:p>
        </w:tc>
        <w:tc>
          <w:tcPr>
            <w:tcW w:w="7411" w:type="dxa"/>
            <w:tcBorders>
              <w:top w:val="single" w:color="000000" w:sz="4" w:space="0"/>
              <w:left w:val="single" w:color="000000" w:sz="4" w:space="0"/>
              <w:bottom w:val="single" w:color="000000" w:sz="4" w:space="0"/>
              <w:right w:val="single" w:color="000000" w:sz="4" w:space="0"/>
            </w:tcBorders>
            <w:vAlign w:val="center"/>
          </w:tcPr>
          <w:p w14:paraId="2DC28BF6">
            <w:pPr>
              <w:pStyle w:val="71"/>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sz w:val="24"/>
                <w:szCs w:val="24"/>
                <w:highlight w:val="red"/>
                <w:lang w:eastAsia="zh-CN"/>
              </w:rPr>
            </w:pPr>
            <w:r>
              <w:rPr>
                <w:rFonts w:hint="eastAsia" w:cs="Calibri" w:asciiTheme="minorEastAsia" w:hAnsiTheme="minorEastAsia" w:eastAsiaTheme="minorEastAsia"/>
                <w:kern w:val="2"/>
                <w:sz w:val="24"/>
                <w:szCs w:val="24"/>
                <w:lang w:val="en-US" w:eastAsia="zh-CN" w:bidi="ar-SA"/>
              </w:rPr>
              <w:t xml:space="preserve">安康市中心医院北院区中央空调维保服务采购项目   </w:t>
            </w:r>
          </w:p>
        </w:tc>
      </w:tr>
      <w:tr w14:paraId="1FB195A0">
        <w:tblPrEx>
          <w:tblCellMar>
            <w:top w:w="147" w:type="dxa"/>
            <w:left w:w="108" w:type="dxa"/>
            <w:bottom w:w="56" w:type="dxa"/>
            <w:right w:w="0" w:type="dxa"/>
          </w:tblCellMar>
        </w:tblPrEx>
        <w:trPr>
          <w:trHeight w:val="85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BBFD04">
            <w:pPr>
              <w:pStyle w:val="103"/>
              <w:numPr>
                <w:ilvl w:val="0"/>
                <w:numId w:val="5"/>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AF1E09F">
            <w:pPr>
              <w:spacing w:line="259" w:lineRule="auto"/>
              <w:ind w:right="111"/>
              <w:jc w:val="center"/>
              <w:rPr>
                <w:rFonts w:asciiTheme="minorEastAsia" w:hAnsiTheme="minorEastAsia" w:eastAsiaTheme="minorEastAsia"/>
                <w:sz w:val="24"/>
                <w:szCs w:val="24"/>
                <w:highlight w:val="red"/>
              </w:rPr>
            </w:pPr>
            <w:r>
              <w:rPr>
                <w:rFonts w:hint="eastAsia" w:asciiTheme="minorEastAsia" w:hAnsiTheme="minorEastAsia" w:eastAsiaTheme="minorEastAsia"/>
                <w:sz w:val="24"/>
                <w:szCs w:val="24"/>
                <w:highlight w:val="none"/>
              </w:rPr>
              <w:t>采购</w:t>
            </w:r>
            <w:r>
              <w:rPr>
                <w:rFonts w:asciiTheme="minorEastAsia" w:hAnsiTheme="minorEastAsia" w:eastAsiaTheme="minorEastAsia"/>
                <w:sz w:val="24"/>
                <w:szCs w:val="24"/>
                <w:highlight w:val="none"/>
              </w:rPr>
              <w:t>内容</w:t>
            </w:r>
          </w:p>
        </w:tc>
        <w:tc>
          <w:tcPr>
            <w:tcW w:w="7411" w:type="dxa"/>
            <w:tcBorders>
              <w:top w:val="single" w:color="000000" w:sz="4" w:space="0"/>
              <w:left w:val="single" w:color="000000" w:sz="4" w:space="0"/>
              <w:bottom w:val="single" w:color="000000" w:sz="4" w:space="0"/>
              <w:right w:val="single" w:color="000000" w:sz="4" w:space="0"/>
            </w:tcBorders>
          </w:tcPr>
          <w:p w14:paraId="100D1700">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cs="宋体" w:asciiTheme="minorEastAsia" w:hAnsiTheme="minorEastAsia" w:eastAsiaTheme="minorEastAsia"/>
                <w:kern w:val="0"/>
                <w:sz w:val="24"/>
                <w:szCs w:val="24"/>
                <w:highlight w:val="red"/>
                <w:lang w:eastAsia="zh-CN"/>
              </w:rPr>
            </w:pPr>
            <w:r>
              <w:rPr>
                <w:rFonts w:hint="eastAsia" w:cs="宋体" w:asciiTheme="minorEastAsia" w:hAnsiTheme="minorEastAsia" w:eastAsiaTheme="minorEastAsia"/>
                <w:color w:val="auto"/>
                <w:kern w:val="0"/>
                <w:sz w:val="24"/>
                <w:szCs w:val="24"/>
                <w:highlight w:val="none"/>
                <w:lang w:eastAsia="zh-CN"/>
              </w:rPr>
              <w:t>安康市中心医院北院区中央空调维保服务采购项目，1 项； 预算金额： 39万元， 项目概况：中央空调维修和保养； 简要技术要求、用途：自用，技术要求详见磋商文件“采购内容及要求”。</w:t>
            </w:r>
          </w:p>
        </w:tc>
      </w:tr>
      <w:tr w14:paraId="4CFDFF59">
        <w:tblPrEx>
          <w:tblCellMar>
            <w:top w:w="147" w:type="dxa"/>
            <w:left w:w="108" w:type="dxa"/>
            <w:bottom w:w="56" w:type="dxa"/>
            <w:right w:w="0" w:type="dxa"/>
          </w:tblCellMar>
        </w:tblPrEx>
        <w:trPr>
          <w:trHeight w:val="510" w:hRule="exact"/>
          <w:jc w:val="center"/>
        </w:trPr>
        <w:tc>
          <w:tcPr>
            <w:tcW w:w="704" w:type="dxa"/>
            <w:tcBorders>
              <w:top w:val="single" w:color="000000" w:sz="4" w:space="0"/>
              <w:left w:val="single" w:color="000000" w:sz="4" w:space="0"/>
              <w:bottom w:val="single" w:color="000000" w:sz="4" w:space="0"/>
              <w:right w:val="single" w:color="000000" w:sz="4" w:space="0"/>
            </w:tcBorders>
          </w:tcPr>
          <w:p w14:paraId="2430641F">
            <w:pPr>
              <w:pStyle w:val="103"/>
              <w:numPr>
                <w:ilvl w:val="0"/>
                <w:numId w:val="5"/>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D543C9A">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预算金额</w:t>
            </w:r>
          </w:p>
        </w:tc>
        <w:tc>
          <w:tcPr>
            <w:tcW w:w="7411" w:type="dxa"/>
            <w:tcBorders>
              <w:top w:val="single" w:color="000000" w:sz="4" w:space="0"/>
              <w:left w:val="single" w:color="000000" w:sz="4" w:space="0"/>
              <w:bottom w:val="single" w:color="000000" w:sz="4" w:space="0"/>
              <w:right w:val="single" w:color="000000" w:sz="4" w:space="0"/>
            </w:tcBorders>
          </w:tcPr>
          <w:p w14:paraId="4727E0F5">
            <w:pPr>
              <w:spacing w:line="259" w:lineRule="auto"/>
              <w:rPr>
                <w:rFonts w:hint="default" w:asciiTheme="minorEastAsia" w:hAnsiTheme="minorEastAsia" w:eastAsiaTheme="minorEastAsia"/>
                <w:sz w:val="24"/>
                <w:szCs w:val="24"/>
                <w:highlight w:val="red"/>
                <w:lang w:val="en-US"/>
              </w:rPr>
            </w:pPr>
            <w:r>
              <w:rPr>
                <w:rFonts w:hint="eastAsia" w:ascii="宋体" w:hAnsi="宋体" w:cs="宋体"/>
                <w:kern w:val="0"/>
                <w:sz w:val="24"/>
                <w:szCs w:val="24"/>
                <w:lang w:val="en-US" w:eastAsia="zh-CN"/>
              </w:rPr>
              <w:t>39万元</w:t>
            </w:r>
          </w:p>
        </w:tc>
      </w:tr>
      <w:tr w14:paraId="68FE1902">
        <w:tblPrEx>
          <w:tblCellMar>
            <w:top w:w="147" w:type="dxa"/>
            <w:left w:w="108" w:type="dxa"/>
            <w:bottom w:w="56" w:type="dxa"/>
            <w:right w:w="0" w:type="dxa"/>
          </w:tblCellMar>
        </w:tblPrEx>
        <w:trPr>
          <w:trHeight w:val="741" w:hRule="exact"/>
          <w:jc w:val="center"/>
        </w:trPr>
        <w:tc>
          <w:tcPr>
            <w:tcW w:w="704" w:type="dxa"/>
            <w:tcBorders>
              <w:top w:val="single" w:color="000000" w:sz="4" w:space="0"/>
              <w:left w:val="single" w:color="000000" w:sz="4" w:space="0"/>
              <w:bottom w:val="single" w:color="000000" w:sz="4" w:space="0"/>
              <w:right w:val="single" w:color="000000" w:sz="4" w:space="0"/>
            </w:tcBorders>
          </w:tcPr>
          <w:p w14:paraId="6EEF4415">
            <w:pPr>
              <w:pStyle w:val="103"/>
              <w:numPr>
                <w:ilvl w:val="0"/>
                <w:numId w:val="5"/>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884B598">
            <w:pPr>
              <w:spacing w:line="259" w:lineRule="auto"/>
              <w:ind w:right="111"/>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合同履行期限</w:t>
            </w:r>
          </w:p>
        </w:tc>
        <w:tc>
          <w:tcPr>
            <w:tcW w:w="7411" w:type="dxa"/>
            <w:tcBorders>
              <w:top w:val="single" w:color="000000" w:sz="4" w:space="0"/>
              <w:left w:val="single" w:color="000000" w:sz="4" w:space="0"/>
              <w:bottom w:val="single" w:color="000000" w:sz="4" w:space="0"/>
              <w:right w:val="single" w:color="000000" w:sz="4" w:space="0"/>
            </w:tcBorders>
            <w:vAlign w:val="center"/>
          </w:tcPr>
          <w:p w14:paraId="239C4372">
            <w:pPr>
              <w:spacing w:line="259" w:lineRule="auto"/>
              <w:ind w:right="111"/>
              <w:jc w:val="left"/>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壹年</w:t>
            </w:r>
          </w:p>
        </w:tc>
      </w:tr>
      <w:tr w14:paraId="399D289F">
        <w:tblPrEx>
          <w:tblCellMar>
            <w:top w:w="147" w:type="dxa"/>
            <w:left w:w="108" w:type="dxa"/>
            <w:bottom w:w="56" w:type="dxa"/>
            <w:right w:w="0" w:type="dxa"/>
          </w:tblCellMar>
        </w:tblPrEx>
        <w:trPr>
          <w:trHeight w:val="557" w:hRule="exact"/>
          <w:jc w:val="center"/>
        </w:trPr>
        <w:tc>
          <w:tcPr>
            <w:tcW w:w="704" w:type="dxa"/>
            <w:tcBorders>
              <w:top w:val="single" w:color="000000" w:sz="4" w:space="0"/>
              <w:left w:val="single" w:color="000000" w:sz="4" w:space="0"/>
              <w:bottom w:val="single" w:color="000000" w:sz="4" w:space="0"/>
              <w:right w:val="single" w:color="000000" w:sz="4" w:space="0"/>
            </w:tcBorders>
          </w:tcPr>
          <w:p w14:paraId="3BE74D3D">
            <w:pPr>
              <w:pStyle w:val="103"/>
              <w:numPr>
                <w:ilvl w:val="0"/>
                <w:numId w:val="5"/>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28DABE5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411" w:type="dxa"/>
            <w:tcBorders>
              <w:top w:val="single" w:color="000000" w:sz="4" w:space="0"/>
              <w:left w:val="single" w:color="000000" w:sz="4" w:space="0"/>
              <w:bottom w:val="single" w:color="000000" w:sz="4" w:space="0"/>
              <w:right w:val="single" w:color="000000" w:sz="4" w:space="0"/>
            </w:tcBorders>
          </w:tcPr>
          <w:p w14:paraId="12674217">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33A0379C">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83ED61B">
            <w:pPr>
              <w:pStyle w:val="103"/>
              <w:numPr>
                <w:ilvl w:val="0"/>
                <w:numId w:val="5"/>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9B3E99E">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投标人资质要求</w:t>
            </w:r>
          </w:p>
        </w:tc>
        <w:tc>
          <w:tcPr>
            <w:tcW w:w="7411" w:type="dxa"/>
            <w:tcBorders>
              <w:top w:val="single" w:color="000000" w:sz="4" w:space="0"/>
              <w:left w:val="single" w:color="000000" w:sz="4" w:space="0"/>
              <w:bottom w:val="single" w:color="000000" w:sz="4" w:space="0"/>
              <w:right w:val="single" w:color="000000" w:sz="4" w:space="0"/>
            </w:tcBorders>
          </w:tcPr>
          <w:p w14:paraId="2B25800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2D367D9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法定代表人授权书及被授权人身份证。（法定代表人直接投标</w:t>
            </w:r>
            <w:r>
              <w:rPr>
                <w:rFonts w:hint="eastAsia" w:ascii="宋体" w:hAnsi="宋体" w:cs="宋体"/>
                <w:sz w:val="24"/>
                <w:szCs w:val="24"/>
                <w:lang w:val="en-US" w:eastAsia="zh-CN"/>
              </w:rPr>
              <w:t>只需</w:t>
            </w:r>
            <w:r>
              <w:rPr>
                <w:rFonts w:hint="eastAsia" w:ascii="宋体" w:hAnsi="宋体" w:eastAsia="宋体" w:cs="宋体"/>
                <w:sz w:val="24"/>
                <w:szCs w:val="24"/>
                <w:lang w:val="en-US" w:eastAsia="zh-CN"/>
              </w:rPr>
              <w:t>提交其身份证明资料）</w:t>
            </w:r>
          </w:p>
          <w:p w14:paraId="18D4F80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信用记录：投标人通过“信用中国”网站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、中国政府采购网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等渠道查询相关主体无失信记录。对列入失信被执行人、重大税收违法案件当事人名单、政府采购严重违法失信行为记录名单的投标人，将拒绝其参与政府采购活动；以“信用中国”网站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或中国政府采购</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查询结果为准（响应文件中提供查询结果网页截图并加盖投标人公章，查询日期为从</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文件发售之日起至投标截止日前，评标现场通过网站对信用记录进行核实）。</w:t>
            </w:r>
          </w:p>
          <w:p w14:paraId="1D9F8B77">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书面声明：投标人必须提供参加政府采购活动前3年内在经营活动中没有重大违法记录的书面声明。</w:t>
            </w:r>
          </w:p>
          <w:p w14:paraId="0BD6EE4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财务状况报告：提供</w:t>
            </w:r>
            <w:r>
              <w:rPr>
                <w:rFonts w:hint="eastAsia" w:ascii="宋体" w:hAnsi="宋体" w:cs="宋体"/>
                <w:sz w:val="24"/>
                <w:szCs w:val="24"/>
                <w:lang w:val="en-US" w:eastAsia="zh-CN"/>
              </w:rPr>
              <w:t>2023</w:t>
            </w:r>
            <w:r>
              <w:rPr>
                <w:rFonts w:hint="eastAsia" w:ascii="宋体" w:hAnsi="宋体" w:eastAsia="宋体" w:cs="宋体"/>
                <w:sz w:val="24"/>
                <w:szCs w:val="24"/>
                <w:lang w:val="en-US" w:eastAsia="zh-CN"/>
              </w:rPr>
              <w:t>年度经审计的财务审计报告或投标截止时间前六个月内基本开户银行出具的资信证明（成立时间至提交响应文件截止时间不足一年的可提供成立后任意时段的资产负债表）。</w:t>
            </w:r>
          </w:p>
          <w:p w14:paraId="44E0FB4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税收缴纳证明：提供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F93F35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社会保障资金缴纳证明：提供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5980C69">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cs="宋体"/>
                <w:kern w:val="0"/>
                <w:sz w:val="24"/>
                <w:szCs w:val="24"/>
                <w:lang w:val="en-US" w:eastAsia="zh-CN"/>
              </w:rPr>
              <w:t>投标人须具备建设行政主管部门核发的有效的机电设备安装工程专业承包叁级（含叁级）及以上或机电安装总承包三级及以上资质，并具有有效的安全生产许可证。</w:t>
            </w:r>
          </w:p>
          <w:p w14:paraId="3927CB67">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本项目专门面向中小企业采购，投标人须提供《中小企业声明函》。</w:t>
            </w:r>
          </w:p>
        </w:tc>
      </w:tr>
      <w:tr w14:paraId="21DAEF4C">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383058">
            <w:pPr>
              <w:pStyle w:val="103"/>
              <w:numPr>
                <w:ilvl w:val="0"/>
                <w:numId w:val="5"/>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3A50CCC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w:t>
            </w:r>
          </w:p>
          <w:p w14:paraId="0BA52560">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w:t>
            </w:r>
          </w:p>
        </w:tc>
        <w:tc>
          <w:tcPr>
            <w:tcW w:w="7411" w:type="dxa"/>
            <w:tcBorders>
              <w:top w:val="single" w:color="000000" w:sz="4" w:space="0"/>
              <w:left w:val="single" w:color="000000" w:sz="4" w:space="0"/>
              <w:bottom w:val="single" w:color="000000" w:sz="4" w:space="0"/>
              <w:right w:val="single" w:color="000000" w:sz="4" w:space="0"/>
            </w:tcBorders>
            <w:vAlign w:val="center"/>
          </w:tcPr>
          <w:p w14:paraId="3C27CB36">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不接受联合体磋商。</w:t>
            </w:r>
          </w:p>
        </w:tc>
      </w:tr>
      <w:tr w14:paraId="10C9A13B">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D4D6D86">
            <w:pPr>
              <w:pStyle w:val="103"/>
              <w:numPr>
                <w:ilvl w:val="0"/>
                <w:numId w:val="5"/>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72CFBE14">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411" w:type="dxa"/>
            <w:tcBorders>
              <w:top w:val="single" w:color="000000" w:sz="4" w:space="0"/>
              <w:left w:val="single" w:color="000000" w:sz="4" w:space="0"/>
              <w:bottom w:val="single" w:color="000000" w:sz="4" w:space="0"/>
              <w:right w:val="single" w:color="000000" w:sz="4" w:space="0"/>
            </w:tcBorders>
          </w:tcPr>
          <w:p w14:paraId="02AFEF18">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自行勘察，未勘察现场造成的一切后果由投标人自行承担。（一切费用自理）。 </w:t>
            </w:r>
          </w:p>
        </w:tc>
      </w:tr>
      <w:tr w14:paraId="60A96675">
        <w:tblPrEx>
          <w:tblCellMar>
            <w:top w:w="147" w:type="dxa"/>
            <w:left w:w="108" w:type="dxa"/>
            <w:bottom w:w="56" w:type="dxa"/>
            <w:right w:w="0" w:type="dxa"/>
          </w:tblCellMar>
        </w:tblPrEx>
        <w:trPr>
          <w:trHeight w:val="53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5F2786">
            <w:pPr>
              <w:pStyle w:val="103"/>
              <w:numPr>
                <w:ilvl w:val="0"/>
                <w:numId w:val="5"/>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56E7AAFC">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411" w:type="dxa"/>
            <w:tcBorders>
              <w:top w:val="single" w:color="000000" w:sz="4" w:space="0"/>
              <w:left w:val="single" w:color="000000" w:sz="4" w:space="0"/>
              <w:bottom w:val="single" w:color="000000" w:sz="4" w:space="0"/>
              <w:right w:val="single" w:color="000000" w:sz="4" w:space="0"/>
            </w:tcBorders>
          </w:tcPr>
          <w:p w14:paraId="077B36BB">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11:00时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A915B85">
            <w:pPr>
              <w:pStyle w:val="41"/>
              <w:shd w:val="clear" w:color="auto" w:fill="FFFFFF"/>
              <w:spacing w:before="0" w:beforeAutospacing="0" w:after="0" w:afterAutospacing="0" w:line="440" w:lineRule="exact"/>
              <w:rPr>
                <w:rFonts w:hint="eastAsia" w:eastAsia="宋体" w:cs="宋体"/>
                <w:szCs w:val="24"/>
                <w:lang w:val="en-US" w:eastAsia="zh-CN"/>
              </w:rPr>
            </w:pPr>
            <w:r>
              <w:rPr>
                <w:rFonts w:asciiTheme="minorEastAsia" w:hAnsiTheme="minorEastAsia" w:eastAsiaTheme="minorEastAsia"/>
                <w:color w:val="auto"/>
                <w:sz w:val="24"/>
                <w:szCs w:val="24"/>
              </w:rPr>
              <w:t>磋商地点：</w:t>
            </w:r>
            <w:r>
              <w:rPr>
                <w:rFonts w:ascii="宋体" w:hAnsi="宋体" w:eastAsia="宋体" w:cs="宋体"/>
                <w:sz w:val="24"/>
                <w:szCs w:val="24"/>
              </w:rPr>
              <w:t>安康不见面开标大厅系统</w:t>
            </w:r>
          </w:p>
          <w:p w14:paraId="6812A73F">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000000" w:themeColor="text1"/>
                <w:sz w:val="24"/>
                <w:szCs w:val="24"/>
                <w14:textFill>
                  <w14:solidFill>
                    <w14:schemeClr w14:val="tx1"/>
                  </w14:solidFill>
                </w14:textFill>
              </w:rPr>
              <w:t>（如有变动，另行通知）</w:t>
            </w:r>
          </w:p>
        </w:tc>
      </w:tr>
      <w:tr w14:paraId="2BB8DFCA">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E39DF6">
            <w:pPr>
              <w:pStyle w:val="103"/>
              <w:numPr>
                <w:ilvl w:val="0"/>
                <w:numId w:val="5"/>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D2CFFAA">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411" w:type="dxa"/>
            <w:tcBorders>
              <w:top w:val="single" w:color="000000" w:sz="4" w:space="0"/>
              <w:left w:val="single" w:color="000000" w:sz="4" w:space="0"/>
              <w:bottom w:val="single" w:color="000000" w:sz="4" w:space="0"/>
              <w:right w:val="single" w:color="000000" w:sz="4" w:space="0"/>
            </w:tcBorders>
            <w:vAlign w:val="center"/>
          </w:tcPr>
          <w:p w14:paraId="4988D46A">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11:00时</w:t>
            </w:r>
            <w:r>
              <w:rPr>
                <w:rFonts w:hint="eastAsia" w:ascii="宋体" w:hAnsi="宋体" w:cs="宋体"/>
                <w:color w:val="auto"/>
                <w:kern w:val="0"/>
                <w:sz w:val="24"/>
                <w:szCs w:val="28"/>
                <w:highlight w:val="none"/>
                <w:lang w:val="en-US" w:eastAsia="zh-CN"/>
              </w:rPr>
              <w:t>止</w:t>
            </w:r>
            <w:r>
              <w:rPr>
                <w:rFonts w:asciiTheme="minorEastAsia" w:hAnsiTheme="minorEastAsia" w:eastAsiaTheme="minorEastAsia"/>
                <w:color w:val="auto"/>
                <w:sz w:val="24"/>
                <w:szCs w:val="24"/>
              </w:rPr>
              <w:t xml:space="preserve"> </w:t>
            </w:r>
          </w:p>
          <w:p w14:paraId="066D31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color w:val="auto"/>
                <w:kern w:val="0"/>
                <w:sz w:val="24"/>
                <w:szCs w:val="24"/>
              </w:rPr>
              <w:t>全国公共资源交易中心平台（陕西省 安康市）</w:t>
            </w:r>
            <w:r>
              <w:rPr>
                <w:rFonts w:hint="eastAsia" w:ascii="宋体" w:hAnsi="宋体" w:eastAsia="宋体" w:cs="宋体"/>
                <w:color w:val="auto"/>
                <w:kern w:val="0"/>
                <w:sz w:val="24"/>
                <w:szCs w:val="24"/>
                <w:lang w:val="en-US" w:eastAsia="zh-CN" w:bidi="ar-SA"/>
              </w:rPr>
              <w:t xml:space="preserve"> </w:t>
            </w:r>
          </w:p>
        </w:tc>
      </w:tr>
      <w:tr w14:paraId="4D821FFE">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BA5494A">
            <w:pPr>
              <w:pStyle w:val="103"/>
              <w:numPr>
                <w:ilvl w:val="0"/>
                <w:numId w:val="5"/>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42F3EB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7411" w:type="dxa"/>
            <w:tcBorders>
              <w:top w:val="single" w:color="000000" w:sz="4" w:space="0"/>
              <w:left w:val="single" w:color="000000" w:sz="4" w:space="0"/>
              <w:bottom w:val="single" w:color="000000" w:sz="4" w:space="0"/>
              <w:right w:val="single" w:color="000000" w:sz="4" w:space="0"/>
            </w:tcBorders>
          </w:tcPr>
          <w:p w14:paraId="7390BF8A">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7FF5F0A9">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C7ABD1">
            <w:pPr>
              <w:pStyle w:val="103"/>
              <w:numPr>
                <w:ilvl w:val="0"/>
                <w:numId w:val="5"/>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2539142">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7411" w:type="dxa"/>
            <w:tcBorders>
              <w:top w:val="single" w:color="000000" w:sz="4" w:space="0"/>
              <w:left w:val="single" w:color="000000" w:sz="4" w:space="0"/>
              <w:bottom w:val="single" w:color="000000" w:sz="4" w:space="0"/>
              <w:right w:val="single" w:color="000000" w:sz="4" w:space="0"/>
            </w:tcBorders>
          </w:tcPr>
          <w:p w14:paraId="5978C645">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综合评分法 </w:t>
            </w:r>
          </w:p>
        </w:tc>
      </w:tr>
      <w:tr w14:paraId="4F660267">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C186C2">
            <w:pPr>
              <w:pStyle w:val="103"/>
              <w:numPr>
                <w:ilvl w:val="0"/>
                <w:numId w:val="5"/>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37BA9882">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磋商小组构成</w:t>
            </w:r>
          </w:p>
        </w:tc>
        <w:tc>
          <w:tcPr>
            <w:tcW w:w="7411" w:type="dxa"/>
            <w:tcBorders>
              <w:top w:val="single" w:color="000000" w:sz="4" w:space="0"/>
              <w:left w:val="single" w:color="000000" w:sz="4" w:space="0"/>
              <w:bottom w:val="single" w:color="000000" w:sz="4" w:space="0"/>
              <w:right w:val="single" w:color="000000" w:sz="4" w:space="0"/>
            </w:tcBorders>
          </w:tcPr>
          <w:p w14:paraId="68772E63">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根据《中华人民共和国政府采购法</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中华人民共和国</w:t>
            </w:r>
            <w:r>
              <w:rPr>
                <w:rFonts w:hint="eastAsia" w:asciiTheme="minorEastAsia" w:hAnsiTheme="minorEastAsia" w:eastAsiaTheme="minorEastAsia"/>
                <w:sz w:val="24"/>
                <w:szCs w:val="24"/>
                <w:lang w:val="en-US" w:eastAsia="zh-CN"/>
              </w:rPr>
              <w:t>政府采购法实施条例</w:t>
            </w:r>
            <w:r>
              <w:rPr>
                <w:rFonts w:asciiTheme="minorEastAsia" w:hAnsiTheme="minorEastAsia" w:eastAsiaTheme="minorEastAsia"/>
                <w:sz w:val="24"/>
                <w:szCs w:val="24"/>
              </w:rPr>
              <w:t>》等有关法律规定组建磋商小组。</w:t>
            </w:r>
            <w:r>
              <w:rPr>
                <w:rFonts w:cs="Times New Roman" w:asciiTheme="minorEastAsia" w:hAnsiTheme="minorEastAsia" w:eastAsiaTheme="minorEastAsia"/>
                <w:sz w:val="24"/>
                <w:szCs w:val="24"/>
              </w:rPr>
              <w:t xml:space="preserve"> </w:t>
            </w:r>
          </w:p>
        </w:tc>
      </w:tr>
      <w:tr w14:paraId="785F11EB">
        <w:tblPrEx>
          <w:tblCellMar>
            <w:top w:w="147" w:type="dxa"/>
            <w:left w:w="108" w:type="dxa"/>
            <w:bottom w:w="56" w:type="dxa"/>
            <w:right w:w="0" w:type="dxa"/>
          </w:tblCellMar>
        </w:tblPrEx>
        <w:trPr>
          <w:trHeight w:val="66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780C2C8">
            <w:pPr>
              <w:pStyle w:val="103"/>
              <w:numPr>
                <w:ilvl w:val="0"/>
                <w:numId w:val="5"/>
              </w:numPr>
              <w:spacing w:line="259" w:lineRule="auto"/>
              <w:ind w:firstLineChars="0"/>
              <w:jc w:val="center"/>
              <w:rPr>
                <w:rFonts w:cs="Calibri" w:asciiTheme="minorEastAsia" w:hAnsiTheme="minorEastAsia" w:eastAsiaTheme="minorEastAsia"/>
                <w:kern w:val="2"/>
                <w:sz w:val="24"/>
                <w:szCs w:val="24"/>
                <w:lang w:val="en-US" w:eastAsia="zh-CN"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D2E5B77">
            <w:pPr>
              <w:spacing w:line="259" w:lineRule="auto"/>
              <w:ind w:firstLine="480" w:firstLineChars="200"/>
              <w:rPr>
                <w:rFonts w:asciiTheme="minorEastAsia" w:hAnsiTheme="minorEastAsia" w:eastAsiaTheme="minorEastAsia"/>
                <w:color w:val="FF0000"/>
                <w:sz w:val="24"/>
                <w:szCs w:val="24"/>
                <w:lang w:val="en-US" w:eastAsia="zh-CN"/>
              </w:rPr>
            </w:pPr>
            <w:r>
              <w:rPr>
                <w:rFonts w:hint="eastAsia" w:asciiTheme="minorEastAsia" w:hAnsiTheme="minorEastAsia" w:eastAsiaTheme="minorEastAsia"/>
                <w:color w:val="auto"/>
                <w:sz w:val="24"/>
                <w:szCs w:val="24"/>
                <w:lang w:val="en-US" w:eastAsia="zh-CN"/>
              </w:rPr>
              <w:t>付款方式</w:t>
            </w:r>
          </w:p>
        </w:tc>
        <w:tc>
          <w:tcPr>
            <w:tcW w:w="7411" w:type="dxa"/>
            <w:tcBorders>
              <w:top w:val="single" w:color="000000" w:sz="4" w:space="0"/>
              <w:left w:val="single" w:color="000000" w:sz="4" w:space="0"/>
              <w:bottom w:val="single" w:color="000000" w:sz="4" w:space="0"/>
              <w:right w:val="single" w:color="000000" w:sz="4" w:space="0"/>
            </w:tcBorders>
            <w:vAlign w:val="center"/>
          </w:tcPr>
          <w:p w14:paraId="718D2510">
            <w:pPr>
              <w:keepNext w:val="0"/>
              <w:keepLines w:val="0"/>
              <w:pageBreakBefore w:val="0"/>
              <w:widowControl w:val="0"/>
              <w:kinsoku/>
              <w:wordWrap/>
              <w:overflowPunct/>
              <w:topLinePunct w:val="0"/>
              <w:bidi w:val="0"/>
              <w:spacing w:line="540" w:lineRule="exact"/>
              <w:ind w:firstLine="480" w:firstLineChars="200"/>
              <w:textAlignment w:val="auto"/>
              <w:outlineLvl w:val="9"/>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合同签订乙方维保服务满半年（6个月），且维保服务满足合同要求，10个工作日内甲方支付给乙方维保服务合同款的 50%，服务期满后且维保服务满足合同要求，20个工作日内甲方支付合同款的另外 50%。</w:t>
            </w:r>
          </w:p>
        </w:tc>
      </w:tr>
      <w:tr w14:paraId="241A9788">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DBEC65D">
            <w:pPr>
              <w:pStyle w:val="103"/>
              <w:numPr>
                <w:ilvl w:val="0"/>
                <w:numId w:val="5"/>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1D830EA">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7411" w:type="dxa"/>
            <w:tcBorders>
              <w:top w:val="single" w:color="000000" w:sz="4" w:space="0"/>
              <w:left w:val="single" w:color="000000" w:sz="4" w:space="0"/>
              <w:bottom w:val="single" w:color="000000" w:sz="4" w:space="0"/>
              <w:right w:val="single" w:color="000000" w:sz="4" w:space="0"/>
            </w:tcBorders>
          </w:tcPr>
          <w:p w14:paraId="1280AEA9">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如有疑问，投标人需书面提出，经采购人收集问题后，统一答疑。 </w:t>
            </w:r>
          </w:p>
        </w:tc>
      </w:tr>
      <w:tr w14:paraId="64FC7D4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29B818">
            <w:pPr>
              <w:pStyle w:val="103"/>
              <w:numPr>
                <w:ilvl w:val="0"/>
                <w:numId w:val="5"/>
              </w:numPr>
              <w:spacing w:line="259" w:lineRule="auto"/>
              <w:ind w:firstLineChars="0"/>
              <w:jc w:val="center"/>
              <w:rPr>
                <w:rFonts w:asciiTheme="minorEastAsia" w:hAnsiTheme="minorEastAsia" w:eastAsiaTheme="minorEastAsia"/>
                <w:sz w:val="24"/>
                <w:szCs w:val="24"/>
              </w:rPr>
            </w:pPr>
            <w:bookmarkStart w:id="23" w:name="_Toc536202378"/>
            <w:bookmarkStart w:id="24" w:name="_Toc536202284"/>
            <w:bookmarkStart w:id="25" w:name="_Toc536429318"/>
            <w:bookmarkStart w:id="26" w:name="_Toc19272"/>
            <w:bookmarkStart w:id="27" w:name="_Toc19543335"/>
            <w:bookmarkStart w:id="28" w:name="_Toc536429371"/>
            <w:bookmarkStart w:id="29" w:name="_Toc21495"/>
          </w:p>
        </w:tc>
        <w:tc>
          <w:tcPr>
            <w:tcW w:w="1769" w:type="dxa"/>
            <w:tcBorders>
              <w:top w:val="single" w:color="000000" w:sz="4" w:space="0"/>
              <w:left w:val="single" w:color="000000" w:sz="4" w:space="0"/>
              <w:bottom w:val="single" w:color="000000" w:sz="4" w:space="0"/>
              <w:right w:val="single" w:color="000000" w:sz="4" w:space="0"/>
            </w:tcBorders>
            <w:vAlign w:val="center"/>
          </w:tcPr>
          <w:p w14:paraId="57ABF9C1">
            <w:pPr>
              <w:spacing w:line="259" w:lineRule="auto"/>
              <w:ind w:right="-11"/>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中小企业划分说明</w:t>
            </w:r>
          </w:p>
        </w:tc>
        <w:tc>
          <w:tcPr>
            <w:tcW w:w="7411" w:type="dxa"/>
            <w:tcBorders>
              <w:top w:val="single" w:color="000000" w:sz="4" w:space="0"/>
              <w:left w:val="single" w:color="000000" w:sz="4" w:space="0"/>
              <w:bottom w:val="single" w:color="000000" w:sz="4" w:space="0"/>
              <w:right w:val="single" w:color="000000" w:sz="4" w:space="0"/>
            </w:tcBorders>
            <w:vAlign w:val="center"/>
          </w:tcPr>
          <w:p w14:paraId="4690436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FF"/>
                <w:kern w:val="0"/>
                <w:sz w:val="24"/>
                <w:szCs w:val="24"/>
                <w:lang w:val="en-US" w:eastAsia="zh-CN"/>
              </w:rPr>
            </w:pPr>
            <w:r>
              <w:rPr>
                <w:rFonts w:hint="default"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供应商自行根据《国民经济行业分类》（GB/T4754-2017）、《国家统计局 关于印发</w:t>
            </w: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w:t>
            </w:r>
            <w:r>
              <w:rPr>
                <w:rFonts w:hint="default"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统计上大中小微型企业划分办法（2017）</w:t>
            </w: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w:t>
            </w:r>
            <w:r>
              <w:rPr>
                <w:rFonts w:hint="default"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的通知》国统字〔2017〕213 号、 工信部联企业〔2011〕300 号文件自行划分，若声明与实际不符须承担相应责任。</w:t>
            </w:r>
          </w:p>
        </w:tc>
      </w:tr>
    </w:tbl>
    <w:p w14:paraId="5E081A6E">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sectPr>
          <w:headerReference r:id="rId9" w:type="first"/>
          <w:footerReference r:id="rId11" w:type="first"/>
          <w:headerReference r:id="rId8" w:type="default"/>
          <w:footerReference r:id="rId10"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0F0E60CF">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pPr>
      <w:bookmarkStart w:id="30" w:name="_Toc4958"/>
      <w:r>
        <w:rPr>
          <w:rFonts w:hint="eastAsia" w:ascii="Times New Roman" w:hAnsi="Times New Roman" w:eastAsia="宋体" w:cs="Times New Roman"/>
          <w:b/>
          <w:bCs/>
          <w:kern w:val="44"/>
          <w:sz w:val="32"/>
          <w:szCs w:val="32"/>
          <w:lang w:val="en-US" w:eastAsia="zh-CN" w:bidi="ar-SA"/>
        </w:rPr>
        <w:t>第三部分  供应商须知</w:t>
      </w:r>
      <w:bookmarkEnd w:id="23"/>
      <w:bookmarkEnd w:id="24"/>
      <w:bookmarkEnd w:id="25"/>
      <w:bookmarkEnd w:id="26"/>
      <w:bookmarkEnd w:id="27"/>
      <w:bookmarkEnd w:id="28"/>
      <w:bookmarkEnd w:id="29"/>
      <w:bookmarkEnd w:id="30"/>
    </w:p>
    <w:p w14:paraId="11EFAD02">
      <w:pPr>
        <w:keepLines w:val="0"/>
        <w:pageBreakBefore w:val="0"/>
        <w:widowControl/>
        <w:numPr>
          <w:ilvl w:val="0"/>
          <w:numId w:val="6"/>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kern w:val="0"/>
          <w:sz w:val="32"/>
          <w:szCs w:val="32"/>
        </w:rPr>
      </w:pPr>
      <w:bookmarkStart w:id="31" w:name="_Toc26739"/>
      <w:bookmarkStart w:id="32" w:name="_Toc536202285"/>
      <w:bookmarkStart w:id="33" w:name="_Toc536429319"/>
      <w:bookmarkStart w:id="34" w:name="_Toc19543336"/>
      <w:bookmarkStart w:id="35" w:name="_Toc536202379"/>
      <w:bookmarkStart w:id="36" w:name="_Toc536429372"/>
      <w:bookmarkStart w:id="37" w:name="_Toc17059"/>
      <w:r>
        <w:rPr>
          <w:rFonts w:hint="eastAsia" w:ascii="宋体" w:hAnsi="宋体" w:cs="宋体"/>
          <w:b/>
          <w:bCs/>
          <w:kern w:val="0"/>
          <w:sz w:val="32"/>
          <w:szCs w:val="32"/>
        </w:rPr>
        <w:t>总则</w:t>
      </w:r>
      <w:bookmarkEnd w:id="31"/>
      <w:bookmarkEnd w:id="32"/>
      <w:bookmarkEnd w:id="33"/>
      <w:bookmarkEnd w:id="34"/>
      <w:bookmarkEnd w:id="35"/>
      <w:bookmarkEnd w:id="36"/>
      <w:bookmarkEnd w:id="37"/>
    </w:p>
    <w:p w14:paraId="788A8C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1、适用范围</w:t>
      </w:r>
    </w:p>
    <w:p w14:paraId="1266185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4577198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045B966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2、定义</w:t>
      </w:r>
    </w:p>
    <w:p w14:paraId="0F701B7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rPr>
        <w:t>2.</w:t>
      </w:r>
      <w:r>
        <w:rPr>
          <w:rFonts w:hint="eastAsia" w:ascii="宋体" w:hAnsi="宋体" w:eastAsia="宋体" w:cs="宋体"/>
          <w:bCs/>
          <w:sz w:val="24"/>
          <w:szCs w:val="24"/>
          <w:highlight w:val="none"/>
        </w:rPr>
        <w:t>1采购人：</w:t>
      </w:r>
      <w:r>
        <w:rPr>
          <w:rFonts w:hint="eastAsia" w:ascii="宋体" w:hAnsi="宋体" w:cs="宋体"/>
          <w:bCs/>
          <w:sz w:val="24"/>
          <w:szCs w:val="24"/>
          <w:highlight w:val="none"/>
          <w:lang w:val="en-US" w:eastAsia="zh-CN"/>
        </w:rPr>
        <w:t xml:space="preserve">安康市中心医院 </w:t>
      </w:r>
    </w:p>
    <w:p w14:paraId="2C50EF6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47C1B75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eastAsia="宋体" w:cs="宋体"/>
          <w:bCs/>
          <w:color w:val="000000" w:themeColor="text1"/>
          <w:sz w:val="24"/>
          <w:szCs w:val="24"/>
          <w:lang w:eastAsia="zh-CN"/>
          <w14:textFill>
            <w14:solidFill>
              <w14:schemeClr w14:val="tx1"/>
            </w14:solidFill>
          </w14:textFill>
        </w:rPr>
        <w:t>安康市</w:t>
      </w:r>
      <w:r>
        <w:rPr>
          <w:rFonts w:hint="eastAsia" w:ascii="宋体" w:hAnsi="宋体" w:eastAsia="宋体" w:cs="宋体"/>
          <w:bCs/>
          <w:color w:val="000000" w:themeColor="text1"/>
          <w:sz w:val="24"/>
          <w:szCs w:val="24"/>
          <w14:textFill>
            <w14:solidFill>
              <w14:schemeClr w14:val="tx1"/>
            </w14:solidFill>
          </w14:textFill>
        </w:rPr>
        <w:t>财政局</w:t>
      </w:r>
    </w:p>
    <w:p w14:paraId="57121A5C">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53806E7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w:t>
      </w:r>
      <w:r>
        <w:rPr>
          <w:rFonts w:hint="eastAsia" w:ascii="宋体" w:hAnsi="宋体" w:eastAsia="宋体" w:cs="宋体"/>
          <w:bCs/>
          <w:sz w:val="24"/>
          <w:szCs w:val="24"/>
          <w:lang w:eastAsia="zh-CN"/>
        </w:rPr>
        <w:t>本次投标所需的</w:t>
      </w:r>
      <w:r>
        <w:rPr>
          <w:rFonts w:hint="eastAsia" w:ascii="宋体" w:hAnsi="宋体" w:eastAsia="宋体" w:cs="宋体"/>
          <w:bCs/>
          <w:sz w:val="24"/>
          <w:szCs w:val="24"/>
        </w:rPr>
        <w:t>各种形态和种类的物品。</w:t>
      </w:r>
    </w:p>
    <w:p w14:paraId="7D614E3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服务：指除了货物和工程外的其他政府采购对象。包含除货物以外规定由供应商承担的与货物有关的辅助服务。</w:t>
      </w:r>
    </w:p>
    <w:p w14:paraId="6BC40A16">
      <w:pPr>
        <w:widowControl/>
        <w:snapToGrid w:val="0"/>
        <w:spacing w:line="400" w:lineRule="exact"/>
        <w:ind w:right="-90" w:rightChars="-43" w:firstLine="482" w:firstLineChars="200"/>
        <w:jc w:val="left"/>
        <w:rPr>
          <w:rFonts w:ascii="宋体" w:hAnsi="宋体" w:cs="宋体"/>
          <w:b/>
          <w:bCs/>
          <w:sz w:val="24"/>
          <w:szCs w:val="24"/>
        </w:rPr>
      </w:pPr>
      <w:r>
        <w:rPr>
          <w:rFonts w:hint="eastAsia" w:ascii="宋体" w:hAnsi="宋体" w:cs="宋体"/>
          <w:b/>
          <w:bCs/>
          <w:sz w:val="24"/>
          <w:szCs w:val="24"/>
        </w:rPr>
        <w:t>3、合格的供应商</w:t>
      </w:r>
    </w:p>
    <w:p w14:paraId="2BCF41A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3.1具有本项目生产、制造、加工、供应或实施能力，符合、承认并承诺履行本磋商文件各项规定的国内供应商。</w:t>
      </w:r>
    </w:p>
    <w:p w14:paraId="77ECC94A">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3.2供应商应遵守有关的国家</w:t>
      </w:r>
      <w:r>
        <w:rPr>
          <w:rFonts w:hint="eastAsia" w:ascii="宋体" w:hAnsi="宋体" w:cs="宋体"/>
          <w:bCs/>
          <w:sz w:val="24"/>
          <w:szCs w:val="24"/>
          <w:lang w:eastAsia="zh-CN"/>
        </w:rPr>
        <w:t>法律法规</w:t>
      </w:r>
      <w:r>
        <w:rPr>
          <w:rFonts w:hint="eastAsia" w:ascii="宋体" w:hAnsi="宋体" w:cs="宋体"/>
          <w:bCs/>
          <w:sz w:val="24"/>
          <w:szCs w:val="24"/>
        </w:rPr>
        <w:t>和条例，具备《中华人民共和国政府采购法》和本文件中规定的条件：</w:t>
      </w:r>
    </w:p>
    <w:p w14:paraId="2CD17348">
      <w:pPr>
        <w:keepNext w:val="0"/>
        <w:keepLines w:val="0"/>
        <w:pageBreakBefore w:val="0"/>
        <w:widowControl/>
        <w:numPr>
          <w:ilvl w:val="0"/>
          <w:numId w:val="7"/>
        </w:numPr>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供应商</w:t>
      </w:r>
      <w:r>
        <w:rPr>
          <w:rFonts w:hint="eastAsia" w:ascii="宋体" w:hAnsi="宋体" w:cs="宋体"/>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sz w:val="24"/>
          <w:szCs w:val="24"/>
        </w:rPr>
        <w:t>；</w:t>
      </w:r>
    </w:p>
    <w:p w14:paraId="5D41E5AC">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 供应商具有良好的商业信誉和健全的财务会计制度；</w:t>
      </w:r>
    </w:p>
    <w:p w14:paraId="584E532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 xml:space="preserve"> </w:t>
      </w:r>
      <w:r>
        <w:rPr>
          <w:rFonts w:hint="eastAsia" w:ascii="宋体" w:hAnsi="宋体" w:cs="宋体"/>
          <w:bCs/>
          <w:sz w:val="24"/>
          <w:szCs w:val="24"/>
        </w:rPr>
        <w:t>供应商具有履行合同所必需的产品和专业技术能力；</w:t>
      </w:r>
    </w:p>
    <w:p w14:paraId="40E80D22">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sz w:val="24"/>
          <w:szCs w:val="24"/>
        </w:rPr>
      </w:pPr>
      <w:r>
        <w:rPr>
          <w:rFonts w:hint="eastAsia" w:ascii="宋体" w:hAnsi="宋体" w:cs="宋体"/>
          <w:bCs/>
          <w:sz w:val="24"/>
          <w:szCs w:val="24"/>
        </w:rPr>
        <w:t>（4）</w:t>
      </w:r>
      <w:r>
        <w:rPr>
          <w:rFonts w:hint="eastAsia" w:ascii="宋体" w:hAnsi="宋体" w:cs="宋体"/>
          <w:bCs/>
          <w:sz w:val="24"/>
          <w:szCs w:val="24"/>
          <w:lang w:val="en-US" w:eastAsia="zh-CN"/>
        </w:rPr>
        <w:t xml:space="preserve"> </w:t>
      </w:r>
      <w:r>
        <w:rPr>
          <w:rFonts w:hint="eastAsia" w:ascii="宋体" w:hAnsi="宋体" w:cs="宋体"/>
          <w:bCs/>
          <w:sz w:val="24"/>
          <w:szCs w:val="24"/>
        </w:rPr>
        <w:t>供应商参加此项采购活动前三年内，在经营活动中没有重大违法记录；</w:t>
      </w:r>
    </w:p>
    <w:p w14:paraId="5954F658">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rPr>
        <w:t>3.3</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5B8C279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 xml:space="preserve">3.4如供应商代表不是法定代表人，须持有《法定代表人授权委托书》 </w:t>
      </w:r>
      <w:r>
        <w:rPr>
          <w:rFonts w:hint="eastAsia" w:ascii="宋体" w:hAnsi="宋体" w:cs="宋体"/>
          <w:bCs/>
          <w:sz w:val="24"/>
          <w:szCs w:val="24"/>
          <w:lang w:eastAsia="zh-CN"/>
        </w:rPr>
        <w:t>（</w:t>
      </w:r>
      <w:r>
        <w:rPr>
          <w:rFonts w:hint="eastAsia" w:ascii="宋体" w:hAnsi="宋体" w:cs="宋体"/>
          <w:bCs/>
          <w:sz w:val="24"/>
          <w:szCs w:val="24"/>
        </w:rPr>
        <w:t>按磋商文件提供的格式填写</w:t>
      </w:r>
      <w:r>
        <w:rPr>
          <w:rFonts w:hint="eastAsia" w:ascii="宋体" w:hAnsi="宋体" w:cs="宋体"/>
          <w:bCs/>
          <w:sz w:val="24"/>
          <w:szCs w:val="24"/>
          <w:lang w:eastAsia="zh-CN"/>
        </w:rPr>
        <w:t>）</w:t>
      </w:r>
      <w:r>
        <w:rPr>
          <w:rFonts w:hint="eastAsia" w:ascii="宋体" w:hAnsi="宋体" w:cs="宋体"/>
          <w:bCs/>
          <w:sz w:val="24"/>
          <w:szCs w:val="24"/>
        </w:rPr>
        <w:t>。</w:t>
      </w:r>
    </w:p>
    <w:p w14:paraId="1AEB72C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3.5供应商应独立于采购人，不得直接或间接地与采购人为采购本次招标的货物或服务进行设计、编制技术规格</w:t>
      </w:r>
      <w:r>
        <w:rPr>
          <w:rFonts w:hint="eastAsia" w:ascii="宋体" w:hAnsi="宋体" w:cs="宋体"/>
          <w:bCs/>
          <w:sz w:val="24"/>
          <w:szCs w:val="24"/>
          <w:lang w:eastAsia="zh-CN"/>
        </w:rPr>
        <w:t>和其他</w:t>
      </w:r>
      <w:r>
        <w:rPr>
          <w:rFonts w:hint="eastAsia" w:ascii="宋体" w:hAnsi="宋体" w:cs="宋体"/>
          <w:bCs/>
          <w:sz w:val="24"/>
          <w:szCs w:val="24"/>
        </w:rPr>
        <w:t>文件所委托的咨询公司或其附属机构有任何关联。</w:t>
      </w:r>
    </w:p>
    <w:p w14:paraId="7F2EF3F7">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3.6供应商不得存在下列情形之一：</w:t>
      </w:r>
    </w:p>
    <w:p w14:paraId="6399623E">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（1）与采购人或采购代理机构存在隶属关系或者其他利害关系；</w:t>
      </w:r>
    </w:p>
    <w:p w14:paraId="17CEEEE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（2）与其他供应商的法定代表人（或者负责人）为同一人，或者与其他供应商存在直接控股、管理关系；</w:t>
      </w:r>
    </w:p>
    <w:p w14:paraId="416C73CF">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5FB6611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sz w:val="24"/>
          <w:szCs w:val="24"/>
          <w:lang w:eastAsia="zh-CN"/>
        </w:rPr>
        <w:t>。</w:t>
      </w:r>
    </w:p>
    <w:p w14:paraId="7BE69FE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4、政府采购政策支持</w:t>
      </w:r>
    </w:p>
    <w:p w14:paraId="2DF1996A">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2BE4ECEF">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50C247E5">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6D2DD316">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 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36C2991">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063AA777">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7407840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4"/>
          <w:szCs w:val="24"/>
          <w:lang w:val="en-US" w:eastAsia="zh-CN"/>
        </w:rPr>
        <w:t>磋商</w:t>
      </w:r>
      <w:r>
        <w:rPr>
          <w:rFonts w:hint="eastAsia" w:ascii="宋体" w:hAnsi="宋体"/>
          <w:sz w:val="24"/>
          <w:szCs w:val="24"/>
        </w:rPr>
        <w:t>文件规定的价格扣除，但不影响响应文件的有效性</w:t>
      </w:r>
      <w:r>
        <w:rPr>
          <w:rFonts w:hint="eastAsia" w:ascii="宋体" w:hAnsi="宋体"/>
          <w:sz w:val="24"/>
          <w:szCs w:val="24"/>
          <w:lang w:eastAsia="zh-CN"/>
        </w:rPr>
        <w:t>，</w:t>
      </w:r>
      <w:r>
        <w:rPr>
          <w:rFonts w:hint="eastAsia" w:ascii="宋体" w:hAnsi="宋体"/>
          <w:sz w:val="24"/>
          <w:szCs w:val="24"/>
        </w:rPr>
        <w:t>对既属于监狱企业、福利企业，同时又满足中小微企业规定的投标单位，其价格扣除仅适用一次。</w:t>
      </w:r>
    </w:p>
    <w:p w14:paraId="12240F65">
      <w:pPr>
        <w:spacing w:line="360" w:lineRule="auto"/>
        <w:ind w:firstLine="480" w:firstLineChars="200"/>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6D8BF53E">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402B3230">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2D52A3F1">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④环境标志产品根据《环境标志产品政府采购实施的意见》（财库[2006]90号）的规定，以中国政府采购网（http://www.ccgp.gov.cn/）公布的最新一期环境标志产品政府采购清单为准；</w:t>
      </w:r>
    </w:p>
    <w:p w14:paraId="400D40C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74DA2B91">
      <w:pPr>
        <w:ind w:firstLine="480" w:firstLineChars="200"/>
        <w:rPr>
          <w:rFonts w:ascii="Calibri" w:hAnsi="Calibri"/>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关于信用记录的查询和使用</w:t>
      </w:r>
    </w:p>
    <w:p w14:paraId="39861E75">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响应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8C5D03">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3D566972">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文件发售之日起至投标截止日前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24BE8DE0">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6</w:t>
      </w:r>
      <w:r>
        <w:rPr>
          <w:rFonts w:hint="eastAsia" w:ascii="宋体" w:hAnsi="宋体"/>
          <w:sz w:val="24"/>
          <w:szCs w:val="24"/>
          <w:lang w:val="zh-CN"/>
        </w:rPr>
        <w:t>）融资政策</w:t>
      </w:r>
    </w:p>
    <w:p w14:paraId="6A60096A">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1F8F3FC6">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5、费用承担</w:t>
      </w:r>
    </w:p>
    <w:p w14:paraId="068C67B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供应商准备和参加磋商活动发生的费用自理。</w:t>
      </w:r>
    </w:p>
    <w:p w14:paraId="5B6011E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6、保密</w:t>
      </w:r>
    </w:p>
    <w:p w14:paraId="7B3B646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3A09A092">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7、语言文字</w:t>
      </w:r>
    </w:p>
    <w:p w14:paraId="631B559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72320F4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8、计量单位</w:t>
      </w:r>
    </w:p>
    <w:p w14:paraId="661AFC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6497235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9、踏勘现场</w:t>
      </w:r>
    </w:p>
    <w:p w14:paraId="706FB25A">
      <w:pPr>
        <w:pStyle w:val="18"/>
        <w:pageBreakBefore w:val="0"/>
        <w:wordWrap/>
        <w:topLinePunct w:val="0"/>
        <w:autoSpaceDE/>
        <w:autoSpaceDN/>
        <w:bidi w:val="0"/>
        <w:spacing w:line="336"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4868458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10、偏离</w:t>
      </w:r>
    </w:p>
    <w:p w14:paraId="21EBA67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6BC0E6B1">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38" w:name="_Toc536429320"/>
      <w:bookmarkStart w:id="39" w:name="_Toc536202380"/>
      <w:bookmarkStart w:id="40" w:name="_Toc536202288"/>
      <w:bookmarkStart w:id="41" w:name="_Toc3976"/>
      <w:bookmarkStart w:id="42" w:name="_Toc536429373"/>
      <w:bookmarkStart w:id="43" w:name="_Toc19543337"/>
      <w:r>
        <w:rPr>
          <w:rFonts w:hint="eastAsia" w:ascii="宋体" w:hAnsi="宋体" w:eastAsia="宋体" w:cs="宋体"/>
          <w:b/>
          <w:bCs/>
          <w:kern w:val="0"/>
          <w:sz w:val="24"/>
          <w:szCs w:val="24"/>
        </w:rPr>
        <w:t>竞争性磋商文件</w:t>
      </w:r>
      <w:bookmarkEnd w:id="38"/>
      <w:bookmarkEnd w:id="39"/>
      <w:bookmarkEnd w:id="40"/>
      <w:bookmarkEnd w:id="41"/>
      <w:bookmarkEnd w:id="42"/>
      <w:bookmarkEnd w:id="43"/>
    </w:p>
    <w:p w14:paraId="65DDA592">
      <w:pPr>
        <w:pStyle w:val="4"/>
        <w:pageBreakBefore w:val="0"/>
        <w:numPr>
          <w:ilvl w:val="0"/>
          <w:numId w:val="8"/>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4" w:name="_Toc536202289"/>
      <w:bookmarkStart w:id="45" w:name="_Toc5801"/>
      <w:r>
        <w:rPr>
          <w:rFonts w:hint="eastAsia" w:ascii="宋体" w:hAnsi="宋体" w:eastAsia="宋体" w:cs="宋体"/>
          <w:sz w:val="24"/>
          <w:szCs w:val="24"/>
        </w:rPr>
        <w:t>竞争性磋商文件的构成</w:t>
      </w:r>
      <w:bookmarkEnd w:id="44"/>
      <w:bookmarkEnd w:id="45"/>
    </w:p>
    <w:p w14:paraId="2930F04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B607B4C">
      <w:pPr>
        <w:pageBreakBefore w:val="0"/>
        <w:numPr>
          <w:ilvl w:val="0"/>
          <w:numId w:val="9"/>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竞争性磋商公告；</w:t>
      </w:r>
    </w:p>
    <w:p w14:paraId="634351EC">
      <w:pPr>
        <w:pageBreakBefore w:val="0"/>
        <w:numPr>
          <w:ilvl w:val="0"/>
          <w:numId w:val="9"/>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供应商须知前附表；</w:t>
      </w:r>
    </w:p>
    <w:p w14:paraId="7C14D1F9">
      <w:pPr>
        <w:pageBreakBefore w:val="0"/>
        <w:numPr>
          <w:ilvl w:val="0"/>
          <w:numId w:val="9"/>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w:t>
      </w:r>
    </w:p>
    <w:p w14:paraId="0D8ADF00">
      <w:pPr>
        <w:pageBreakBefore w:val="0"/>
        <w:numPr>
          <w:ilvl w:val="0"/>
          <w:numId w:val="9"/>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评分标准；</w:t>
      </w:r>
    </w:p>
    <w:p w14:paraId="774C4A6E">
      <w:pPr>
        <w:pageBreakBefore w:val="0"/>
        <w:numPr>
          <w:ilvl w:val="0"/>
          <w:numId w:val="9"/>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采购要求；</w:t>
      </w:r>
    </w:p>
    <w:p w14:paraId="1EF3522B">
      <w:pPr>
        <w:pageBreakBefore w:val="0"/>
        <w:numPr>
          <w:ilvl w:val="0"/>
          <w:numId w:val="9"/>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合同条款；</w:t>
      </w:r>
    </w:p>
    <w:p w14:paraId="62166EF3">
      <w:pPr>
        <w:pageBreakBefore w:val="0"/>
        <w:numPr>
          <w:ilvl w:val="0"/>
          <w:numId w:val="9"/>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响应文件格式。</w:t>
      </w:r>
    </w:p>
    <w:p w14:paraId="6692AEE7">
      <w:pPr>
        <w:pStyle w:val="4"/>
        <w:pageBreakBefore w:val="0"/>
        <w:numPr>
          <w:ilvl w:val="0"/>
          <w:numId w:val="8"/>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6" w:name="_Toc536202290"/>
      <w:r>
        <w:rPr>
          <w:rFonts w:hint="eastAsia" w:ascii="宋体" w:hAnsi="宋体" w:eastAsia="宋体" w:cs="宋体"/>
          <w:sz w:val="24"/>
          <w:szCs w:val="24"/>
        </w:rPr>
        <w:t>磋商文件的检查及阅读</w:t>
      </w:r>
      <w:bookmarkEnd w:id="46"/>
    </w:p>
    <w:p w14:paraId="0D4C30F2">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4"/>
          <w:lang w:val="en-US" w:eastAsia="zh-CN"/>
        </w:rPr>
        <w:t>无效投标</w:t>
      </w:r>
      <w:r>
        <w:rPr>
          <w:rFonts w:hint="eastAsia" w:ascii="宋体" w:hAnsi="宋体" w:eastAsia="宋体" w:cs="宋体"/>
          <w:sz w:val="24"/>
          <w:szCs w:val="24"/>
        </w:rPr>
        <w:t>处理。</w:t>
      </w:r>
    </w:p>
    <w:p w14:paraId="778AD954">
      <w:pPr>
        <w:pStyle w:val="4"/>
        <w:pageBreakBefore w:val="0"/>
        <w:numPr>
          <w:ilvl w:val="0"/>
          <w:numId w:val="8"/>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7" w:name="_Toc536202292"/>
      <w:r>
        <w:rPr>
          <w:rFonts w:hint="eastAsia" w:ascii="宋体" w:hAnsi="宋体" w:eastAsia="宋体" w:cs="宋体"/>
          <w:color w:val="000000" w:themeColor="text1"/>
          <w:sz w:val="24"/>
          <w:szCs w:val="24"/>
          <w14:textFill>
            <w14:solidFill>
              <w14:schemeClr w14:val="tx1"/>
            </w14:solidFill>
          </w14:textFill>
        </w:rPr>
        <w:t>现场踏勘及磋商文件答疑</w:t>
      </w:r>
      <w:bookmarkEnd w:id="47"/>
    </w:p>
    <w:p w14:paraId="3D4345E6">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6035F7E4">
      <w:pPr>
        <w:pStyle w:val="4"/>
        <w:pageBreakBefore w:val="0"/>
        <w:numPr>
          <w:ilvl w:val="0"/>
          <w:numId w:val="8"/>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8" w:name="_Toc19797"/>
      <w:bookmarkStart w:id="49" w:name="_Toc536202293"/>
      <w:r>
        <w:rPr>
          <w:rFonts w:hint="eastAsia" w:ascii="宋体" w:hAnsi="宋体" w:eastAsia="宋体" w:cs="宋体"/>
          <w:sz w:val="24"/>
          <w:szCs w:val="24"/>
        </w:rPr>
        <w:t>竞争性磋商文件的澄清</w:t>
      </w:r>
      <w:bookmarkEnd w:id="48"/>
      <w:bookmarkEnd w:id="49"/>
    </w:p>
    <w:p w14:paraId="3042D64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4"/>
          <w:lang w:eastAsia="zh-CN"/>
        </w:rPr>
        <w:t>或</w:t>
      </w:r>
      <w:r>
        <w:rPr>
          <w:rFonts w:hint="eastAsia" w:ascii="宋体" w:hAnsi="宋体" w:eastAsia="宋体" w:cs="宋体"/>
          <w:sz w:val="24"/>
          <w:szCs w:val="24"/>
        </w:rPr>
        <w:t>因市场行情了解不清造成的后果和风险均由供应商自负。</w:t>
      </w:r>
    </w:p>
    <w:p w14:paraId="758DD06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3B3AC1A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6905F795">
      <w:pPr>
        <w:pStyle w:val="13"/>
        <w:pageBreakBefore w:val="0"/>
        <w:wordWrap/>
        <w:topLinePunct w:val="0"/>
        <w:autoSpaceDE/>
        <w:autoSpaceDN/>
        <w:bidi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投标人提出质疑应当有明确的请求和必要的证明材料。</w:t>
      </w:r>
    </w:p>
    <w:p w14:paraId="0786965C">
      <w:pPr>
        <w:pStyle w:val="4"/>
        <w:pageBreakBefore w:val="0"/>
        <w:numPr>
          <w:ilvl w:val="0"/>
          <w:numId w:val="8"/>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0" w:name="_Toc6390"/>
      <w:bookmarkStart w:id="51" w:name="_Toc536202294"/>
      <w:r>
        <w:rPr>
          <w:rFonts w:hint="eastAsia" w:ascii="宋体" w:hAnsi="宋体" w:eastAsia="宋体" w:cs="宋体"/>
          <w:sz w:val="24"/>
          <w:szCs w:val="24"/>
        </w:rPr>
        <w:t>竞争性磋商文件的修改</w:t>
      </w:r>
      <w:bookmarkEnd w:id="50"/>
      <w:bookmarkEnd w:id="51"/>
    </w:p>
    <w:p w14:paraId="72F18684">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lang w:eastAsia="zh-CN"/>
        </w:rPr>
        <w:t>，</w:t>
      </w:r>
      <w:r>
        <w:rPr>
          <w:rFonts w:hint="eastAsia" w:ascii="宋体" w:hAnsi="宋体" w:eastAsia="宋体" w:cs="宋体"/>
          <w:sz w:val="24"/>
          <w:szCs w:val="24"/>
        </w:rPr>
        <w:t>不足</w:t>
      </w:r>
      <w:r>
        <w:rPr>
          <w:rFonts w:hint="eastAsia" w:ascii="宋体" w:hAnsi="宋体" w:eastAsia="宋体" w:cs="宋体"/>
          <w:sz w:val="24"/>
          <w:szCs w:val="24"/>
          <w:lang w:val="en-US" w:eastAsia="zh-CN"/>
        </w:rPr>
        <w:t>5</w:t>
      </w:r>
      <w:r>
        <w:rPr>
          <w:rFonts w:hint="eastAsia" w:ascii="宋体" w:hAnsi="宋体" w:eastAsia="宋体" w:cs="宋体"/>
          <w:sz w:val="24"/>
          <w:szCs w:val="24"/>
        </w:rPr>
        <w:t>日的，顺延提交</w:t>
      </w:r>
      <w:r>
        <w:rPr>
          <w:rFonts w:hint="eastAsia" w:ascii="宋体" w:hAnsi="宋体" w:eastAsia="宋体" w:cs="宋体"/>
          <w:sz w:val="24"/>
          <w:szCs w:val="24"/>
          <w:lang w:eastAsia="zh-CN"/>
        </w:rPr>
        <w:t>响应</w:t>
      </w:r>
      <w:r>
        <w:rPr>
          <w:rFonts w:hint="eastAsia" w:ascii="宋体" w:hAnsi="宋体" w:eastAsia="宋体" w:cs="宋体"/>
          <w:sz w:val="24"/>
          <w:szCs w:val="24"/>
        </w:rPr>
        <w:t>文件的截止时间</w:t>
      </w:r>
      <w:r>
        <w:rPr>
          <w:rFonts w:hint="eastAsia" w:ascii="宋体" w:hAnsi="宋体" w:eastAsia="宋体" w:cs="宋体"/>
          <w:sz w:val="24"/>
          <w:szCs w:val="24"/>
          <w:lang w:eastAsia="zh-CN"/>
        </w:rPr>
        <w:t>，并</w:t>
      </w:r>
      <w:r>
        <w:rPr>
          <w:rFonts w:hint="eastAsia" w:ascii="宋体" w:hAnsi="宋体" w:eastAsia="宋体" w:cs="宋体"/>
          <w:sz w:val="24"/>
          <w:szCs w:val="24"/>
        </w:rPr>
        <w:t>在发布</w:t>
      </w:r>
      <w:r>
        <w:rPr>
          <w:rFonts w:hint="eastAsia" w:ascii="宋体" w:hAnsi="宋体" w:eastAsia="宋体" w:cs="宋体"/>
          <w:sz w:val="24"/>
          <w:szCs w:val="24"/>
          <w:lang w:eastAsia="zh-CN"/>
        </w:rPr>
        <w:t>磋商</w:t>
      </w:r>
      <w:r>
        <w:rPr>
          <w:rFonts w:hint="eastAsia" w:ascii="宋体" w:hAnsi="宋体" w:eastAsia="宋体" w:cs="宋体"/>
          <w:sz w:val="24"/>
          <w:szCs w:val="24"/>
        </w:rPr>
        <w:t>公告的财政部门指定媒体上由采购代理机构发布变更公告，并以书面形式通知所有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0190ECD9">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5164696B">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w:t>
      </w:r>
    </w:p>
    <w:p w14:paraId="2B5E0686">
      <w:pPr>
        <w:pStyle w:val="4"/>
        <w:pageBreakBefore w:val="0"/>
        <w:numPr>
          <w:ilvl w:val="0"/>
          <w:numId w:val="8"/>
        </w:numPr>
        <w:wordWrap/>
        <w:topLinePunct w:val="0"/>
        <w:autoSpaceDE/>
        <w:autoSpaceDN/>
        <w:bidi w:val="0"/>
        <w:spacing w:line="336" w:lineRule="auto"/>
        <w:textAlignment w:val="auto"/>
        <w:rPr>
          <w:rFonts w:hint="eastAsia" w:ascii="宋体" w:hAnsi="宋体" w:eastAsia="宋体" w:cs="宋体"/>
          <w:sz w:val="24"/>
          <w:szCs w:val="24"/>
        </w:rPr>
      </w:pPr>
      <w:bookmarkStart w:id="52" w:name="_Toc536202295"/>
      <w:bookmarkStart w:id="53" w:name="_Toc31188"/>
      <w:r>
        <w:rPr>
          <w:rFonts w:hint="eastAsia" w:ascii="宋体" w:hAnsi="宋体" w:eastAsia="宋体" w:cs="宋体"/>
          <w:sz w:val="24"/>
          <w:szCs w:val="24"/>
        </w:rPr>
        <w:t>质疑</w:t>
      </w:r>
    </w:p>
    <w:p w14:paraId="5C4EB2BA">
      <w:pPr>
        <w:pStyle w:val="4"/>
        <w:pageBreakBefore w:val="0"/>
        <w:wordWrap/>
        <w:topLinePunct w:val="0"/>
        <w:autoSpaceDE/>
        <w:autoSpaceDN/>
        <w:bidi w:val="0"/>
        <w:spacing w:line="336"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供应商认为磋商文件、招标过程和中标结果使自己的权益受到损害的，可以按《政府采购法》第52条执行。</w:t>
      </w:r>
    </w:p>
    <w:p w14:paraId="7F48C1CE">
      <w:pPr>
        <w:pStyle w:val="4"/>
        <w:pageBreakBefore w:val="0"/>
        <w:numPr>
          <w:ilvl w:val="0"/>
          <w:numId w:val="8"/>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竞争性磋商文件的获取</w:t>
      </w:r>
      <w:bookmarkEnd w:id="52"/>
      <w:bookmarkEnd w:id="53"/>
    </w:p>
    <w:p w14:paraId="33FEE821">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供应商必须从代理机构</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竞争性磋商文件，供应商自行转让或复制竞争性磋商文件视为无效。</w:t>
      </w:r>
    </w:p>
    <w:p w14:paraId="3AC6A58C">
      <w:pPr>
        <w:pStyle w:val="13"/>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bookmarkStart w:id="54" w:name="_Toc5095"/>
      <w:bookmarkStart w:id="55" w:name="_Toc536202296"/>
      <w:r>
        <w:rPr>
          <w:rFonts w:hint="eastAsia" w:ascii="宋体" w:hAnsi="宋体" w:eastAsia="宋体" w:cs="宋体"/>
          <w:sz w:val="24"/>
          <w:szCs w:val="24"/>
        </w:rPr>
        <w:t>8、</w:t>
      </w:r>
      <w:r>
        <w:rPr>
          <w:rFonts w:hint="eastAsia" w:ascii="宋体" w:hAnsi="宋体" w:eastAsia="宋体" w:cs="宋体"/>
          <w:b/>
          <w:bCs/>
          <w:sz w:val="24"/>
          <w:szCs w:val="24"/>
        </w:rPr>
        <w:t>竞争性磋商文件的解释权归代理机构</w:t>
      </w:r>
      <w:bookmarkEnd w:id="54"/>
      <w:bookmarkEnd w:id="55"/>
      <w:r>
        <w:rPr>
          <w:rFonts w:hint="eastAsia" w:ascii="宋体" w:hAnsi="宋体" w:eastAsia="宋体" w:cs="宋体"/>
          <w:sz w:val="24"/>
          <w:szCs w:val="24"/>
        </w:rPr>
        <w:t>（ 如发现</w:t>
      </w:r>
      <w:r>
        <w:rPr>
          <w:rFonts w:hint="eastAsia" w:ascii="宋体" w:hAnsi="宋体" w:cs="宋体"/>
          <w:sz w:val="24"/>
          <w:szCs w:val="24"/>
          <w:lang w:val="en-US" w:eastAsia="zh-CN"/>
        </w:rPr>
        <w:t>磋商</w:t>
      </w:r>
      <w:r>
        <w:rPr>
          <w:rFonts w:hint="eastAsia" w:ascii="宋体" w:hAnsi="宋体" w:eastAsia="宋体" w:cs="宋体"/>
          <w:sz w:val="24"/>
          <w:szCs w:val="24"/>
        </w:rPr>
        <w:t>文件内容与现行法律法规不相符的情况，以现行法律法规为准。</w:t>
      </w:r>
      <w:r>
        <w:rPr>
          <w:rFonts w:hint="eastAsia" w:ascii="宋体" w:hAnsi="宋体" w:cs="宋体"/>
          <w:sz w:val="24"/>
          <w:szCs w:val="24"/>
          <w:lang w:eastAsia="zh-CN"/>
        </w:rPr>
        <w:t>）</w:t>
      </w:r>
    </w:p>
    <w:p w14:paraId="60BF22EA">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56" w:name="_Toc19543338"/>
      <w:bookmarkStart w:id="57" w:name="_Toc536202297"/>
      <w:bookmarkStart w:id="58" w:name="_Toc536202381"/>
      <w:bookmarkStart w:id="59" w:name="_Toc622"/>
      <w:bookmarkStart w:id="60" w:name="_Toc536429321"/>
      <w:bookmarkStart w:id="61" w:name="_Toc536429374"/>
      <w:r>
        <w:rPr>
          <w:rFonts w:hint="eastAsia" w:ascii="宋体" w:hAnsi="宋体" w:eastAsia="宋体" w:cs="宋体"/>
          <w:b/>
          <w:bCs/>
          <w:kern w:val="0"/>
          <w:sz w:val="24"/>
          <w:szCs w:val="24"/>
        </w:rPr>
        <w:t>响应文件</w:t>
      </w:r>
      <w:bookmarkEnd w:id="56"/>
      <w:bookmarkEnd w:id="57"/>
      <w:bookmarkEnd w:id="58"/>
      <w:bookmarkEnd w:id="59"/>
      <w:bookmarkEnd w:id="60"/>
      <w:bookmarkEnd w:id="61"/>
    </w:p>
    <w:p w14:paraId="789061F9">
      <w:pPr>
        <w:pStyle w:val="4"/>
        <w:pageBreakBefore w:val="0"/>
        <w:numPr>
          <w:ilvl w:val="0"/>
          <w:numId w:val="1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响应文件编制的原则</w:t>
      </w:r>
    </w:p>
    <w:p w14:paraId="606CD8EF">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 xml:space="preserve">投标人应在认真阅读磋商文件所有内容的基础上，按照磋商文件的要求编制完整的响应文件。磋商文件中对响应文件格式有要求的，应按格式编制并逐项填写内容。响应文件中留有空项的或没有按格式制作的，将被视为不完整响应的响应文件，其投标将有可能被拒绝。 </w:t>
      </w:r>
    </w:p>
    <w:p w14:paraId="785B4557">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1.2</w:t>
      </w:r>
      <w:r>
        <w:rPr>
          <w:rFonts w:hint="eastAsia" w:ascii="宋体" w:hAnsi="宋体" w:eastAsia="宋体" w:cs="宋体"/>
          <w:bCs/>
          <w:kern w:val="0"/>
          <w:sz w:val="24"/>
          <w:szCs w:val="24"/>
        </w:rPr>
        <w:t>投标人必须保证响应文件所提供的全部资料真实可靠，并接受对其中任何资料进一步审查的要求。</w:t>
      </w:r>
    </w:p>
    <w:p w14:paraId="7ACDD8A0">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sz w:val="24"/>
          <w:szCs w:val="24"/>
        </w:rPr>
      </w:pPr>
      <w:r>
        <w:rPr>
          <w:rFonts w:hint="eastAsia" w:ascii="宋体" w:hAnsi="宋体" w:cs="宋体"/>
          <w:bCs/>
          <w:kern w:val="0"/>
          <w:sz w:val="24"/>
          <w:szCs w:val="24"/>
          <w:lang w:val="en-US" w:eastAsia="zh-CN"/>
        </w:rPr>
        <w:t>1.3响应</w:t>
      </w:r>
      <w:r>
        <w:rPr>
          <w:rFonts w:hint="eastAsia" w:ascii="宋体" w:hAnsi="宋体" w:eastAsia="宋体" w:cs="宋体"/>
          <w:bCs/>
          <w:kern w:val="0"/>
          <w:sz w:val="24"/>
          <w:szCs w:val="24"/>
        </w:rPr>
        <w:t>文件须对</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文件中的内容做出实质性和完整性的响应，否则其投标将被视为无效投标。</w:t>
      </w:r>
    </w:p>
    <w:p w14:paraId="3350C7B2">
      <w:pPr>
        <w:pStyle w:val="4"/>
        <w:pageBreakBefore w:val="0"/>
        <w:numPr>
          <w:ilvl w:val="0"/>
          <w:numId w:val="1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响应文件构成</w:t>
      </w:r>
    </w:p>
    <w:p w14:paraId="7658E8FE">
      <w:pPr>
        <w:widowControl/>
        <w:spacing w:line="360" w:lineRule="auto"/>
        <w:ind w:firstLine="480" w:firstLineChars="200"/>
        <w:outlineLvl w:val="1"/>
        <w:rPr>
          <w:rFonts w:hint="eastAsia" w:ascii="宋体" w:hAnsi="宋体" w:eastAsia="宋体" w:cs="宋体"/>
          <w:sz w:val="24"/>
          <w:szCs w:val="24"/>
        </w:rPr>
      </w:pPr>
      <w:r>
        <w:rPr>
          <w:rFonts w:hint="eastAsia" w:ascii="宋体" w:cs="Times New Roman"/>
          <w:bCs/>
          <w:kern w:val="0"/>
          <w:sz w:val="24"/>
          <w:szCs w:val="24"/>
        </w:rPr>
        <w:t>投标人应按照本须知响应文件构成和格式及第七部分提供的格式编写响应文件，不得缺少</w:t>
      </w:r>
      <w:r>
        <w:rPr>
          <w:rFonts w:hint="eastAsia" w:ascii="宋体" w:cs="Times New Roman"/>
          <w:bCs/>
          <w:kern w:val="0"/>
          <w:sz w:val="24"/>
          <w:szCs w:val="24"/>
          <w:lang w:val="en-US" w:eastAsia="zh-CN"/>
        </w:rPr>
        <w:t>磋商</w:t>
      </w:r>
      <w:r>
        <w:rPr>
          <w:rFonts w:hint="eastAsia" w:ascii="宋体" w:cs="Times New Roman"/>
          <w:bCs/>
          <w:kern w:val="0"/>
          <w:sz w:val="24"/>
          <w:szCs w:val="24"/>
        </w:rPr>
        <w:t>文件要求填写的表格或提交的资料。</w:t>
      </w:r>
    </w:p>
    <w:p w14:paraId="1524A46C">
      <w:pPr>
        <w:pStyle w:val="4"/>
        <w:pageBreakBefore w:val="0"/>
        <w:numPr>
          <w:ilvl w:val="0"/>
          <w:numId w:val="1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磋商报价</w:t>
      </w:r>
    </w:p>
    <w:p w14:paraId="3DDB39DD">
      <w:pPr>
        <w:spacing w:line="360" w:lineRule="auto"/>
        <w:ind w:firstLine="480" w:firstLineChars="200"/>
        <w:rPr>
          <w:rFonts w:ascii="宋体" w:hAnsi="宋体"/>
          <w:sz w:val="28"/>
          <w:szCs w:val="22"/>
          <w:highlight w:val="none"/>
        </w:rPr>
      </w:pPr>
      <w:bookmarkStart w:id="62" w:name="_Toc29200"/>
      <w:bookmarkStart w:id="63" w:name="_Toc536202300"/>
      <w:r>
        <w:rPr>
          <w:rFonts w:hint="eastAsia" w:ascii="宋体" w:hAnsi="宋体"/>
          <w:sz w:val="24"/>
          <w:highlight w:val="none"/>
          <w:lang w:val="en-US" w:eastAsia="zh-CN"/>
        </w:rPr>
        <w:t>3.1</w:t>
      </w:r>
      <w:r>
        <w:rPr>
          <w:rFonts w:hint="eastAsia" w:ascii="宋体" w:hAnsi="宋体"/>
          <w:sz w:val="24"/>
          <w:highlight w:val="none"/>
        </w:rPr>
        <w:t>磋商报价为供应商充分考虑磋商文件的各项条款和所掌握的市场情况及本项目的实际情况，根据自身情况自主报价。</w:t>
      </w:r>
    </w:p>
    <w:p w14:paraId="102FEAF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供应商可先到项目服务</w:t>
      </w:r>
      <w:r>
        <w:rPr>
          <w:rFonts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000000" w:themeColor="text1"/>
          <w:sz w:val="24"/>
          <w:highlight w:val="none"/>
          <w14:textFill>
            <w14:solidFill>
              <w14:schemeClr w14:val="tx1"/>
            </w14:solidFill>
          </w14:textFill>
        </w:rPr>
        <w:t xml:space="preserve"> </w:t>
      </w:r>
    </w:p>
    <w:p w14:paraId="0452A5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3.3</w:t>
      </w:r>
      <w:r>
        <w:rPr>
          <w:rFonts w:hint="eastAsia" w:ascii="宋体" w:hAnsi="宋体"/>
          <w:color w:val="000000" w:themeColor="text1"/>
          <w:sz w:val="24"/>
          <w:highlight w:val="none"/>
          <w14:textFill>
            <w14:solidFill>
              <w14:schemeClr w14:val="tx1"/>
            </w14:solidFill>
          </w14:textFill>
        </w:rPr>
        <w:t>凡本磋商文件要求（或允许）及供应商认为需要进行报价的各项费用项目，（不论是否要求进入报价）若磋商时未报或未在响应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中予以说明，采购人将按这些费用已包含在磋商报价中对待；</w:t>
      </w:r>
      <w:r>
        <w:rPr>
          <w:rFonts w:hint="eastAsia" w:ascii="宋体" w:hAnsi="宋体"/>
          <w:color w:val="000000" w:themeColor="text1"/>
          <w:spacing w:val="4"/>
          <w:sz w:val="24"/>
          <w:highlight w:val="none"/>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cs="宋体"/>
          <w:color w:val="000000" w:themeColor="text1"/>
          <w:sz w:val="24"/>
          <w:szCs w:val="24"/>
          <w:highlight w:val="none"/>
          <w14:textFill>
            <w14:solidFill>
              <w14:schemeClr w14:val="tx1"/>
            </w14:solidFill>
          </w14:textFill>
        </w:rPr>
        <w:t>采购人不再</w:t>
      </w:r>
      <w:r>
        <w:rPr>
          <w:rFonts w:hint="eastAsia" w:ascii="宋体" w:hAnsi="宋体" w:cs="宋体"/>
          <w:color w:val="000000" w:themeColor="text1"/>
          <w:sz w:val="24"/>
          <w:szCs w:val="24"/>
          <w:highlight w:val="none"/>
          <w:lang w:eastAsia="zh-CN"/>
          <w14:textFill>
            <w14:solidFill>
              <w14:schemeClr w14:val="tx1"/>
            </w14:solidFill>
          </w14:textFill>
        </w:rPr>
        <w:t>承担其他任何</w:t>
      </w:r>
      <w:r>
        <w:rPr>
          <w:rFonts w:hint="eastAsia" w:ascii="宋体" w:hAnsi="宋体" w:cs="宋体"/>
          <w:color w:val="000000" w:themeColor="text1"/>
          <w:sz w:val="24"/>
          <w:szCs w:val="24"/>
          <w:highlight w:val="none"/>
          <w14:textFill>
            <w14:solidFill>
              <w14:schemeClr w14:val="tx1"/>
            </w14:solidFill>
          </w14:textFill>
        </w:rPr>
        <w:t>费用</w:t>
      </w:r>
      <w:r>
        <w:rPr>
          <w:rFonts w:hint="eastAsia" w:ascii="宋体" w:hAnsi="宋体"/>
          <w:color w:val="000000" w:themeColor="text1"/>
          <w:spacing w:val="4"/>
          <w:sz w:val="24"/>
          <w:highlight w:val="none"/>
          <w14:textFill>
            <w14:solidFill>
              <w14:schemeClr w14:val="tx1"/>
            </w14:solidFill>
          </w14:textFill>
        </w:rPr>
        <w:t>。</w:t>
      </w:r>
    </w:p>
    <w:p w14:paraId="02273F4D">
      <w:pPr>
        <w:spacing w:line="360" w:lineRule="auto"/>
        <w:ind w:firstLine="480" w:firstLineChars="200"/>
        <w:rPr>
          <w:rFonts w:ascii="宋体" w:hAnsi="宋体"/>
          <w:sz w:val="24"/>
        </w:rPr>
      </w:pPr>
      <w:r>
        <w:rPr>
          <w:rFonts w:hint="eastAsia" w:ascii="宋体" w:hAnsi="宋体"/>
          <w:sz w:val="24"/>
          <w:lang w:val="en-US" w:eastAsia="zh-CN"/>
        </w:rPr>
        <w:t>3.4</w:t>
      </w:r>
      <w:r>
        <w:rPr>
          <w:rFonts w:hint="eastAsia" w:hAnsi="宋体"/>
          <w:sz w:val="24"/>
        </w:rPr>
        <w:t>响应报价表</w:t>
      </w:r>
      <w:r>
        <w:rPr>
          <w:rFonts w:hint="eastAsia" w:ascii="宋体" w:hAnsi="宋体"/>
          <w:sz w:val="24"/>
        </w:rPr>
        <w:t>应有法定代表人或被授权人的签字。</w:t>
      </w:r>
    </w:p>
    <w:p w14:paraId="7155CBC6">
      <w:pPr>
        <w:pStyle w:val="4"/>
        <w:pageBreakBefore w:val="0"/>
        <w:numPr>
          <w:ilvl w:val="0"/>
          <w:numId w:val="1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磋商货币</w:t>
      </w:r>
      <w:bookmarkEnd w:id="62"/>
      <w:bookmarkEnd w:id="63"/>
    </w:p>
    <w:p w14:paraId="4AA0E05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采购人只接受人民币作为唯一磋商货币。以人民币为投标货币。以元为报价单位，保留小数点后两位。</w:t>
      </w:r>
    </w:p>
    <w:p w14:paraId="40B46268">
      <w:pPr>
        <w:pStyle w:val="4"/>
        <w:pageBreakBefore w:val="0"/>
        <w:numPr>
          <w:ilvl w:val="0"/>
          <w:numId w:val="1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4" w:name="_Toc536202301"/>
      <w:bookmarkStart w:id="65" w:name="_Toc1311"/>
      <w:r>
        <w:rPr>
          <w:rFonts w:hint="eastAsia" w:ascii="宋体" w:hAnsi="宋体" w:eastAsia="宋体" w:cs="宋体"/>
          <w:sz w:val="24"/>
          <w:szCs w:val="24"/>
        </w:rPr>
        <w:t>磋商保证金</w:t>
      </w:r>
      <w:bookmarkEnd w:id="64"/>
      <w:bookmarkEnd w:id="65"/>
    </w:p>
    <w:p w14:paraId="63FF97AB">
      <w:pPr>
        <w:ind w:firstLine="480" w:firstLineChars="200"/>
        <w:rPr>
          <w:rFonts w:hint="eastAsia"/>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本项目不设置投标保证金</w:t>
      </w:r>
    </w:p>
    <w:p w14:paraId="7C8AC1E9">
      <w:pPr>
        <w:pStyle w:val="4"/>
        <w:pageBreakBefore w:val="0"/>
        <w:numPr>
          <w:ilvl w:val="0"/>
          <w:numId w:val="1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6" w:name="_Toc536202302"/>
      <w:r>
        <w:rPr>
          <w:rFonts w:hint="eastAsia" w:ascii="宋体" w:hAnsi="宋体" w:eastAsia="宋体" w:cs="宋体"/>
          <w:sz w:val="24"/>
          <w:szCs w:val="24"/>
        </w:rPr>
        <w:t>响应有效期</w:t>
      </w:r>
      <w:bookmarkEnd w:id="66"/>
    </w:p>
    <w:p w14:paraId="3E0766A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224481BE">
      <w:pPr>
        <w:pStyle w:val="4"/>
        <w:pageBreakBefore w:val="0"/>
        <w:numPr>
          <w:ilvl w:val="0"/>
          <w:numId w:val="1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7" w:name="_Toc536202303"/>
      <w:bookmarkStart w:id="68" w:name="_Toc24827"/>
      <w:r>
        <w:rPr>
          <w:rFonts w:hint="eastAsia" w:ascii="宋体" w:hAnsi="宋体" w:eastAsia="宋体" w:cs="宋体"/>
          <w:sz w:val="24"/>
          <w:szCs w:val="24"/>
        </w:rPr>
        <w:t>响应文件的格式</w:t>
      </w:r>
      <w:bookmarkEnd w:id="67"/>
      <w:bookmarkEnd w:id="68"/>
      <w:r>
        <w:rPr>
          <w:rFonts w:hint="eastAsia" w:ascii="宋体" w:hAnsi="宋体" w:cs="宋体"/>
          <w:sz w:val="24"/>
          <w:szCs w:val="24"/>
          <w:lang w:val="en-US" w:eastAsia="zh-CN"/>
        </w:rPr>
        <w:t>及签署</w:t>
      </w:r>
    </w:p>
    <w:p w14:paraId="4542BA1F">
      <w:pPr>
        <w:spacing w:line="360" w:lineRule="auto"/>
        <w:ind w:firstLine="480" w:firstLineChars="200"/>
        <w:rPr>
          <w:rFonts w:hint="eastAsia" w:ascii="宋体" w:hAnsi="宋体"/>
          <w:sz w:val="24"/>
          <w:szCs w:val="24"/>
        </w:rPr>
      </w:pPr>
      <w:r>
        <w:rPr>
          <w:rFonts w:hint="eastAsia" w:ascii="宋体" w:hAnsi="宋体" w:eastAsia="宋体" w:cs="宋体"/>
          <w:sz w:val="24"/>
          <w:szCs w:val="24"/>
        </w:rPr>
        <w:t>7.1供应商须依据竞争性磋商文件内容和响应文件格式的要求编制响应文件；</w:t>
      </w:r>
      <w:r>
        <w:rPr>
          <w:rFonts w:hint="eastAsia" w:ascii="宋体" w:hAnsi="宋体"/>
          <w:sz w:val="24"/>
          <w:szCs w:val="24"/>
        </w:rPr>
        <w:t>并编制目录和对应的页码。</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7.1.1</w:t>
      </w:r>
      <w:r>
        <w:rPr>
          <w:rFonts w:hint="eastAsia" w:ascii="宋体" w:hAnsi="宋体" w:cs="宋体"/>
          <w:bCs/>
          <w:kern w:val="0"/>
          <w:sz w:val="24"/>
          <w:szCs w:val="24"/>
          <w:highlight w:val="none"/>
        </w:rPr>
        <w:t>为确保采购项目顺利开展，本项目采用电子</w:t>
      </w:r>
      <w:bookmarkStart w:id="69" w:name="_Hlk34128658"/>
      <w:r>
        <w:rPr>
          <w:rFonts w:hint="eastAsia" w:ascii="宋体" w:hAnsi="宋体" w:cs="宋体"/>
          <w:bCs/>
          <w:kern w:val="0"/>
          <w:sz w:val="24"/>
          <w:szCs w:val="24"/>
          <w:highlight w:val="none"/>
        </w:rPr>
        <w:t>响应文件</w:t>
      </w:r>
      <w:bookmarkEnd w:id="69"/>
      <w:r>
        <w:rPr>
          <w:rFonts w:hint="eastAsia" w:ascii="宋体" w:hAnsi="宋体" w:cs="宋体"/>
          <w:bCs/>
          <w:kern w:val="0"/>
          <w:sz w:val="24"/>
          <w:szCs w:val="24"/>
          <w:highlight w:val="none"/>
        </w:rPr>
        <w:t>。投标人在投标前须提供电子响应文件。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7.2.2</w:t>
      </w:r>
      <w:r>
        <w:rPr>
          <w:rFonts w:hint="eastAsia" w:ascii="宋体" w:hAnsi="宋体"/>
          <w:color w:val="000000" w:themeColor="text1"/>
          <w:sz w:val="24"/>
          <w:highlight w:val="none"/>
          <w14:textFill>
            <w14:solidFill>
              <w14:schemeClr w14:val="tx1"/>
            </w14:solidFill>
          </w14:textFill>
        </w:rPr>
        <w:t>编制电子响应文件时，应使用最新发布的电子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文件及专用制作工具进行编制，导致电子文件上传失败，由供应商自行承担全部责任。</w:t>
      </w:r>
    </w:p>
    <w:p w14:paraId="6AFBEDB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eastAsia="宋体" w:cs="宋体"/>
          <w:sz w:val="24"/>
          <w:szCs w:val="24"/>
        </w:rPr>
        <w:t>响应文件的签署</w:t>
      </w:r>
    </w:p>
    <w:p w14:paraId="5D6D989E">
      <w:pPr>
        <w:pageBreakBefore w:val="0"/>
        <w:numPr>
          <w:ilvl w:val="0"/>
          <w:numId w:val="11"/>
        </w:numPr>
        <w:wordWrap/>
        <w:topLinePunct w:val="0"/>
        <w:autoSpaceDE/>
        <w:autoSpaceDN/>
        <w:bidi w:val="0"/>
        <w:spacing w:line="336"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供应商应在响应文件中指定的页面落款处填写供应商全称，并按要求加盖公章</w:t>
      </w:r>
      <w:r>
        <w:rPr>
          <w:rFonts w:hint="eastAsia" w:ascii="宋体" w:hAnsi="宋体" w:cs="宋体"/>
          <w:sz w:val="24"/>
          <w:szCs w:val="24"/>
          <w:lang w:eastAsia="zh-CN"/>
        </w:rPr>
        <w:t>（</w:t>
      </w:r>
      <w:r>
        <w:rPr>
          <w:rFonts w:hint="eastAsia" w:ascii="宋体" w:hAnsi="宋体" w:eastAsia="宋体" w:cs="宋体"/>
          <w:sz w:val="24"/>
          <w:szCs w:val="24"/>
        </w:rPr>
        <w:t>包括响应文件的封面）。</w:t>
      </w:r>
    </w:p>
    <w:p w14:paraId="56E3B459">
      <w:pPr>
        <w:pageBreakBefore w:val="0"/>
        <w:numPr>
          <w:ilvl w:val="0"/>
          <w:numId w:val="11"/>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响应文件应字迹清楚、内容齐全、不得涂改或增删。如有修改和增删，必须有供应商公章及法定代表人或其授权代表签字。</w:t>
      </w:r>
    </w:p>
    <w:p w14:paraId="2D385556">
      <w:pPr>
        <w:pageBreakBefore w:val="0"/>
        <w:numPr>
          <w:ilvl w:val="0"/>
          <w:numId w:val="11"/>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p w14:paraId="1473266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本次磋商只接受简体中文文字的响应文件；如响应文件中出现外文资料，必须配以中文译文。否则，由此引发的一切责任由供应商自负。</w:t>
      </w:r>
    </w:p>
    <w:p w14:paraId="5E42B16A">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cs="宋体"/>
          <w:kern w:val="0"/>
          <w:sz w:val="24"/>
          <w:szCs w:val="24"/>
          <w:lang w:val="en-US" w:eastAsia="zh-CN"/>
        </w:rPr>
        <w:t>4</w:t>
      </w:r>
      <w:r>
        <w:rPr>
          <w:rFonts w:hint="eastAsia" w:ascii="宋体" w:hAnsi="宋体" w:eastAsia="宋体" w:cs="宋体"/>
          <w:kern w:val="0"/>
          <w:sz w:val="24"/>
          <w:szCs w:val="24"/>
        </w:rPr>
        <w:t>拒绝接受以电话、传真、电子邮件形式的磋商。</w:t>
      </w:r>
    </w:p>
    <w:p w14:paraId="7A45DB00">
      <w:pPr>
        <w:pStyle w:val="4"/>
        <w:pageBreakBefore w:val="0"/>
        <w:numPr>
          <w:ilvl w:val="0"/>
          <w:numId w:val="10"/>
        </w:numPr>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70" w:name="_Toc536202304"/>
      <w:bookmarkStart w:id="71" w:name="_Toc22752"/>
      <w:r>
        <w:rPr>
          <w:rFonts w:hint="eastAsia" w:ascii="宋体" w:hAnsi="宋体" w:eastAsia="宋体" w:cs="宋体"/>
          <w:sz w:val="24"/>
          <w:szCs w:val="24"/>
        </w:rPr>
        <w:t>知识产权</w:t>
      </w:r>
      <w:bookmarkEnd w:id="70"/>
      <w:bookmarkEnd w:id="71"/>
    </w:p>
    <w:p w14:paraId="6752FDC2">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sz w:val="24"/>
          <w:szCs w:val="24"/>
          <w:lang w:eastAsia="zh-CN"/>
        </w:rPr>
        <w:t>或其他</w:t>
      </w:r>
      <w:r>
        <w:rPr>
          <w:rFonts w:hint="eastAsia" w:ascii="宋体" w:hAnsi="宋体" w:eastAsia="宋体" w:cs="宋体"/>
          <w:sz w:val="24"/>
          <w:szCs w:val="24"/>
        </w:rPr>
        <w:t>知识产权而引起法律纠纷和经济纠纷，由供应商承担所有相关责任。</w:t>
      </w:r>
    </w:p>
    <w:p w14:paraId="7AE5BBA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.2采购人享有本项目在实施过程中产生的知识成果及知识产权。</w:t>
      </w:r>
    </w:p>
    <w:p w14:paraId="39D8D9C3">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3C87384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.4如供应商所不拥有的知识产权，则在响应报价中必须包括合法获取该知识产权的相关费用。</w:t>
      </w:r>
    </w:p>
    <w:p w14:paraId="58825657">
      <w:pPr>
        <w:pageBreakBefore w:val="0"/>
        <w:widowControl/>
        <w:numPr>
          <w:ilvl w:val="0"/>
          <w:numId w:val="6"/>
        </w:numPr>
        <w:wordWrap/>
        <w:topLinePunct w:val="0"/>
        <w:autoSpaceDE/>
        <w:autoSpaceDN/>
        <w:bidi w:val="0"/>
        <w:spacing w:line="336" w:lineRule="auto"/>
        <w:jc w:val="center"/>
        <w:textAlignment w:val="auto"/>
        <w:outlineLvl w:val="1"/>
        <w:rPr>
          <w:rFonts w:hint="eastAsia" w:ascii="宋体" w:hAnsi="宋体" w:eastAsia="宋体" w:cs="宋体"/>
          <w:b/>
          <w:bCs/>
          <w:kern w:val="0"/>
          <w:sz w:val="24"/>
          <w:szCs w:val="24"/>
        </w:rPr>
      </w:pPr>
      <w:bookmarkStart w:id="72" w:name="_Toc3565"/>
      <w:bookmarkStart w:id="73" w:name="_Toc4747"/>
      <w:bookmarkStart w:id="74" w:name="_Toc536429322"/>
      <w:bookmarkStart w:id="75" w:name="_Toc536429375"/>
      <w:bookmarkStart w:id="76" w:name="_Toc19543339"/>
      <w:bookmarkStart w:id="77" w:name="_Toc536202382"/>
      <w:bookmarkStart w:id="78" w:name="_Toc536202305"/>
      <w:bookmarkStart w:id="79" w:name="_Toc3736"/>
      <w:r>
        <w:rPr>
          <w:rFonts w:hint="eastAsia" w:ascii="宋体" w:hAnsi="宋体" w:eastAsia="宋体" w:cs="宋体"/>
          <w:b/>
          <w:bCs/>
          <w:kern w:val="0"/>
          <w:sz w:val="24"/>
          <w:szCs w:val="24"/>
        </w:rPr>
        <w:t>响应文件的递交</w:t>
      </w:r>
      <w:bookmarkEnd w:id="72"/>
      <w:bookmarkEnd w:id="73"/>
      <w:bookmarkEnd w:id="74"/>
      <w:bookmarkEnd w:id="75"/>
      <w:bookmarkEnd w:id="76"/>
      <w:bookmarkEnd w:id="77"/>
      <w:bookmarkEnd w:id="78"/>
    </w:p>
    <w:bookmarkEnd w:id="79"/>
    <w:p w14:paraId="1D137CEB">
      <w:pPr>
        <w:keepNext/>
        <w:keepLines/>
        <w:spacing w:line="400" w:lineRule="exact"/>
        <w:ind w:firstLine="482" w:firstLineChars="200"/>
        <w:outlineLvl w:val="2"/>
        <w:rPr>
          <w:rFonts w:ascii="宋体" w:hAnsi="宋体" w:cs="宋体"/>
          <w:b/>
          <w:bCs/>
          <w:sz w:val="24"/>
          <w:szCs w:val="28"/>
        </w:rPr>
      </w:pPr>
      <w:bookmarkStart w:id="80" w:name="_Toc175"/>
      <w:bookmarkStart w:id="81" w:name="_Toc27066"/>
      <w:bookmarkStart w:id="82" w:name="_Toc536429323"/>
      <w:bookmarkStart w:id="83" w:name="_Toc536429376"/>
      <w:bookmarkStart w:id="84" w:name="_Toc536202308"/>
      <w:bookmarkStart w:id="85" w:name="_Toc14415"/>
      <w:bookmarkStart w:id="86" w:name="_Toc536202383"/>
      <w:bookmarkStart w:id="87" w:name="_Toc19543340"/>
      <w:r>
        <w:rPr>
          <w:rFonts w:hint="eastAsia" w:ascii="宋体" w:hAnsi="宋体" w:cs="宋体"/>
          <w:b/>
          <w:bCs/>
          <w:sz w:val="24"/>
          <w:szCs w:val="28"/>
          <w:lang w:val="en-US" w:eastAsia="zh-CN"/>
        </w:rPr>
        <w:t>1、</w:t>
      </w:r>
      <w:r>
        <w:rPr>
          <w:rFonts w:hint="eastAsia" w:ascii="宋体" w:hAnsi="宋体" w:eastAsia="宋体" w:cs="宋体"/>
          <w:b/>
          <w:bCs/>
          <w:kern w:val="0"/>
          <w:sz w:val="24"/>
          <w:szCs w:val="24"/>
        </w:rPr>
        <w:t>响应</w:t>
      </w:r>
      <w:r>
        <w:rPr>
          <w:rFonts w:hint="eastAsia" w:ascii="宋体" w:hAnsi="宋体" w:cs="宋体"/>
          <w:b/>
          <w:bCs/>
          <w:sz w:val="24"/>
          <w:szCs w:val="28"/>
        </w:rPr>
        <w:t>文件递交</w:t>
      </w:r>
    </w:p>
    <w:p w14:paraId="43B838AF">
      <w:pPr>
        <w:adjustRightInd w:val="0"/>
        <w:snapToGrid w:val="0"/>
        <w:spacing w:line="44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电子响应文件递交</w:t>
      </w:r>
    </w:p>
    <w:p w14:paraId="5A261D97">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电子响应文件可于提交响应文件截止时间前任意时段登录全国公共资源交易平台（陕西省）网站[电子交易平台</w:t>
      </w:r>
      <w:r>
        <w:rPr>
          <w:rFonts w:hint="eastAsia" w:ascii="宋体" w:hAnsi="宋体" w:cs="宋体"/>
          <w:kern w:val="0"/>
          <w:sz w:val="24"/>
          <w:szCs w:val="24"/>
          <w:lang w:eastAsia="zh-CN"/>
        </w:rPr>
        <w:t>－</w:t>
      </w:r>
      <w:r>
        <w:rPr>
          <w:rFonts w:hint="eastAsia" w:ascii="宋体" w:hAnsi="宋体" w:cs="宋体"/>
          <w:kern w:val="0"/>
          <w:sz w:val="24"/>
          <w:szCs w:val="24"/>
        </w:rPr>
        <w:t>企业端]进行提交，逾期系统将拒绝接收。提交时，供应商应登录全国公共资源交易中心平台（陕西省），选择“首页</w:t>
      </w:r>
      <w:r>
        <w:rPr>
          <w:rFonts w:hint="eastAsia" w:ascii="宋体" w:hAnsi="宋体" w:cs="宋体"/>
          <w:kern w:val="0"/>
          <w:sz w:val="24"/>
          <w:szCs w:val="24"/>
          <w:lang w:eastAsia="zh-CN"/>
        </w:rPr>
        <w:t>〉</w:t>
      </w:r>
      <w:r>
        <w:rPr>
          <w:rFonts w:hint="eastAsia" w:ascii="宋体" w:hAnsi="宋体" w:cs="宋体"/>
          <w:kern w:val="0"/>
          <w:sz w:val="24"/>
          <w:szCs w:val="24"/>
        </w:rPr>
        <w:t>电子交易平台</w:t>
      </w:r>
      <w:r>
        <w:rPr>
          <w:rFonts w:hint="eastAsia" w:ascii="宋体" w:hAnsi="宋体" w:cs="宋体"/>
          <w:kern w:val="0"/>
          <w:sz w:val="24"/>
          <w:szCs w:val="24"/>
          <w:lang w:eastAsia="zh-CN"/>
        </w:rPr>
        <w:t>〉</w:t>
      </w:r>
      <w:r>
        <w:rPr>
          <w:rFonts w:hint="eastAsia" w:ascii="宋体" w:hAnsi="宋体" w:cs="宋体"/>
          <w:kern w:val="0"/>
          <w:sz w:val="24"/>
          <w:szCs w:val="24"/>
        </w:rPr>
        <w:t>企业端</w:t>
      </w:r>
      <w:r>
        <w:rPr>
          <w:rFonts w:hint="eastAsia" w:ascii="宋体" w:hAnsi="宋体" w:cs="宋体"/>
          <w:kern w:val="0"/>
          <w:sz w:val="24"/>
          <w:szCs w:val="24"/>
          <w:lang w:eastAsia="zh-CN"/>
        </w:rPr>
        <w:t>〉</w:t>
      </w:r>
      <w:r>
        <w:rPr>
          <w:rFonts w:hint="eastAsia" w:ascii="宋体" w:hAnsi="宋体" w:cs="宋体"/>
          <w:kern w:val="0"/>
          <w:sz w:val="24"/>
          <w:szCs w:val="24"/>
        </w:rPr>
        <w:t>我的项目”，点击[项目流程]，在打开的[项目管理]对话框中选择[上传响应文件]，上传加密的电子响应文件（</w:t>
      </w:r>
      <w:r>
        <w:rPr>
          <w:rFonts w:hint="eastAsia" w:ascii="宋体" w:hAnsi="宋体" w:cs="宋体"/>
          <w:kern w:val="0"/>
          <w:sz w:val="24"/>
          <w:szCs w:val="24"/>
          <w:lang w:eastAsia="zh-CN"/>
        </w:rPr>
        <w:t xml:space="preserve">*  </w:t>
      </w:r>
      <w:r>
        <w:rPr>
          <w:rFonts w:hint="eastAsia" w:ascii="宋体" w:hAnsi="宋体" w:cs="宋体"/>
          <w:kern w:val="0"/>
          <w:sz w:val="24"/>
          <w:szCs w:val="24"/>
        </w:rPr>
        <w:t>.SXSTF），上传成功后，电子化平台将予以记录。</w:t>
      </w:r>
    </w:p>
    <w:p w14:paraId="715BB0CA">
      <w:pPr>
        <w:widowControl/>
        <w:tabs>
          <w:tab w:val="left" w:pos="0"/>
        </w:tabs>
        <w:spacing w:line="400" w:lineRule="exact"/>
        <w:ind w:firstLine="480" w:firstLineChars="200"/>
        <w:jc w:val="left"/>
        <w:rPr>
          <w:rFonts w:ascii="宋体" w:hAnsi="Calibri"/>
          <w:sz w:val="24"/>
          <w:szCs w:val="28"/>
        </w:rPr>
      </w:pPr>
      <w:r>
        <w:rPr>
          <w:rFonts w:hint="eastAsia" w:ascii="宋体" w:hAnsi="宋体" w:cs="宋体"/>
          <w:sz w:val="24"/>
          <w:szCs w:val="28"/>
          <w:lang w:val="en-US" w:eastAsia="zh-CN"/>
        </w:rPr>
        <w:t>1.2</w:t>
      </w:r>
      <w:r>
        <w:rPr>
          <w:rFonts w:hint="eastAsia" w:ascii="宋体" w:hAnsi="宋体" w:cs="宋体"/>
          <w:sz w:val="24"/>
          <w:szCs w:val="28"/>
        </w:rPr>
        <w:t>代理机构不接受邮寄的响应文件；</w:t>
      </w:r>
    </w:p>
    <w:p w14:paraId="3884C728">
      <w:pPr>
        <w:widowControl/>
        <w:tabs>
          <w:tab w:val="left" w:pos="0"/>
        </w:tabs>
        <w:spacing w:line="400" w:lineRule="exact"/>
        <w:ind w:firstLine="480" w:firstLineChars="200"/>
        <w:jc w:val="left"/>
        <w:rPr>
          <w:rFonts w:ascii="宋体" w:hAnsi="宋体" w:cs="宋体"/>
          <w:sz w:val="24"/>
          <w:szCs w:val="28"/>
        </w:rPr>
      </w:pPr>
      <w:r>
        <w:rPr>
          <w:rFonts w:hint="eastAsia" w:ascii="宋体" w:hAnsi="宋体" w:cs="宋体"/>
          <w:sz w:val="24"/>
          <w:szCs w:val="28"/>
          <w:lang w:val="en-US" w:eastAsia="zh-CN"/>
        </w:rPr>
        <w:t>1.3</w:t>
      </w:r>
      <w:r>
        <w:rPr>
          <w:rFonts w:hint="eastAsia" w:ascii="宋体" w:hAnsi="宋体" w:cs="宋体"/>
          <w:sz w:val="24"/>
          <w:szCs w:val="28"/>
        </w:rPr>
        <w:t>无论供应商成交与否，其响应文件恕不退还。</w:t>
      </w:r>
    </w:p>
    <w:p w14:paraId="04056ED4">
      <w:pPr>
        <w:pStyle w:val="4"/>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sz w:val="24"/>
          <w:szCs w:val="24"/>
        </w:rPr>
      </w:pPr>
      <w:bookmarkStart w:id="88" w:name="_Toc12741"/>
      <w:bookmarkStart w:id="89" w:name="_Toc536202307"/>
      <w:r>
        <w:rPr>
          <w:rFonts w:hint="eastAsia" w:ascii="宋体" w:hAnsi="宋体" w:cs="宋体"/>
          <w:sz w:val="24"/>
          <w:szCs w:val="24"/>
          <w:lang w:val="en-US" w:eastAsia="zh-CN"/>
        </w:rPr>
        <w:t>2、</w:t>
      </w:r>
      <w:r>
        <w:rPr>
          <w:rFonts w:hint="eastAsia" w:ascii="宋体" w:hAnsi="宋体" w:eastAsia="宋体" w:cs="宋体"/>
          <w:sz w:val="24"/>
          <w:szCs w:val="24"/>
        </w:rPr>
        <w:t>响应文件的修改和撤回</w:t>
      </w:r>
      <w:bookmarkEnd w:id="88"/>
      <w:bookmarkEnd w:id="89"/>
    </w:p>
    <w:p w14:paraId="541D2EA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2.1供应商在</w:t>
      </w:r>
      <w:r>
        <w:rPr>
          <w:rFonts w:hint="eastAsia" w:ascii="宋体" w:hAnsi="宋体" w:eastAsia="宋体" w:cs="宋体"/>
          <w:sz w:val="24"/>
          <w:szCs w:val="24"/>
          <w:lang w:val="en-US" w:eastAsia="zh-CN"/>
        </w:rPr>
        <w:t>上传响应</w:t>
      </w:r>
      <w:r>
        <w:rPr>
          <w:rFonts w:hint="eastAsia" w:ascii="宋体" w:hAnsi="宋体" w:eastAsia="宋体" w:cs="宋体"/>
          <w:sz w:val="24"/>
          <w:szCs w:val="24"/>
        </w:rPr>
        <w:t>文件以后，在规定的投标截止时间之前</w:t>
      </w:r>
      <w:r>
        <w:rPr>
          <w:rFonts w:hint="eastAsia" w:ascii="宋体" w:hAnsi="宋体" w:cs="宋体"/>
          <w:sz w:val="24"/>
          <w:szCs w:val="24"/>
          <w:lang w:eastAsia="zh-CN"/>
        </w:rPr>
        <w:t>，</w:t>
      </w:r>
      <w:r>
        <w:rPr>
          <w:rFonts w:hint="eastAsia" w:ascii="宋体" w:hAnsi="宋体" w:eastAsia="宋体" w:cs="宋体"/>
          <w:sz w:val="24"/>
          <w:szCs w:val="24"/>
        </w:rPr>
        <w:t>可以</w:t>
      </w:r>
      <w:r>
        <w:rPr>
          <w:rFonts w:hint="eastAsia" w:ascii="宋体" w:hAnsi="宋体" w:eastAsia="宋体" w:cs="宋体"/>
          <w:sz w:val="24"/>
          <w:szCs w:val="24"/>
          <w:lang w:val="en-US" w:eastAsia="zh-CN"/>
        </w:rPr>
        <w:t>对已</w:t>
      </w:r>
      <w:r>
        <w:rPr>
          <w:rFonts w:hint="eastAsia" w:ascii="宋体" w:hAnsi="宋体" w:eastAsia="宋体" w:cs="宋体"/>
          <w:sz w:val="24"/>
          <w:szCs w:val="24"/>
        </w:rPr>
        <w:t>递交的响应文件</w:t>
      </w:r>
      <w:r>
        <w:rPr>
          <w:rFonts w:hint="eastAsia" w:ascii="宋体" w:hAnsi="宋体" w:eastAsia="宋体" w:cs="宋体"/>
          <w:sz w:val="24"/>
          <w:szCs w:val="24"/>
          <w:lang w:val="en-US" w:eastAsia="zh-CN"/>
        </w:rPr>
        <w:t>进行修改、撤回</w:t>
      </w:r>
      <w:r>
        <w:rPr>
          <w:rFonts w:hint="eastAsia" w:ascii="宋体" w:hAnsi="宋体" w:eastAsia="宋体" w:cs="宋体"/>
          <w:sz w:val="24"/>
          <w:szCs w:val="24"/>
        </w:rPr>
        <w:t>。补充、修改的内容应当按</w:t>
      </w:r>
      <w:r>
        <w:rPr>
          <w:rFonts w:hint="eastAsia" w:ascii="宋体" w:hAnsi="宋体" w:cs="宋体"/>
          <w:sz w:val="24"/>
          <w:szCs w:val="24"/>
          <w:lang w:val="en-US" w:eastAsia="zh-CN"/>
        </w:rPr>
        <w:t>磋商</w:t>
      </w:r>
      <w:r>
        <w:rPr>
          <w:rFonts w:hint="eastAsia" w:ascii="宋体" w:hAnsi="宋体" w:eastAsia="宋体" w:cs="宋体"/>
          <w:sz w:val="24"/>
          <w:szCs w:val="24"/>
        </w:rPr>
        <w:t>文件要求</w:t>
      </w:r>
      <w:r>
        <w:rPr>
          <w:rFonts w:hint="eastAsia" w:ascii="宋体" w:hAnsi="宋体" w:eastAsia="宋体" w:cs="宋体"/>
          <w:sz w:val="24"/>
          <w:szCs w:val="24"/>
          <w:lang w:val="en-US" w:eastAsia="zh-CN"/>
        </w:rPr>
        <w:t>签章、加密上传。</w:t>
      </w:r>
    </w:p>
    <w:p w14:paraId="0D7347A7">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投标截止时间之后，供应商不得补充、修改响应文件。</w:t>
      </w:r>
    </w:p>
    <w:p w14:paraId="787E5D5F">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磋商、评审、定标</w:t>
      </w:r>
      <w:bookmarkEnd w:id="80"/>
      <w:bookmarkEnd w:id="81"/>
      <w:bookmarkEnd w:id="82"/>
      <w:bookmarkEnd w:id="83"/>
      <w:bookmarkEnd w:id="84"/>
      <w:bookmarkEnd w:id="85"/>
      <w:bookmarkEnd w:id="86"/>
      <w:bookmarkEnd w:id="87"/>
    </w:p>
    <w:p w14:paraId="54243062">
      <w:pPr>
        <w:pStyle w:val="4"/>
        <w:pageBreakBefore w:val="0"/>
        <w:numPr>
          <w:ilvl w:val="0"/>
          <w:numId w:val="12"/>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90" w:name="_Toc536202309"/>
      <w:bookmarkStart w:id="91" w:name="_Toc536202310"/>
      <w:r>
        <w:rPr>
          <w:rFonts w:hint="eastAsia" w:ascii="宋体" w:hAnsi="宋体" w:eastAsia="宋体" w:cs="宋体"/>
          <w:sz w:val="24"/>
          <w:szCs w:val="24"/>
        </w:rPr>
        <w:t>磋商</w:t>
      </w:r>
      <w:bookmarkEnd w:id="90"/>
    </w:p>
    <w:p w14:paraId="686C92F0">
      <w:pPr>
        <w:overflowPunct w:val="0"/>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1.1</w:t>
      </w:r>
      <w:r>
        <w:rPr>
          <w:rFonts w:ascii="宋体" w:hAnsi="宋体"/>
          <w:sz w:val="24"/>
          <w:szCs w:val="24"/>
        </w:rPr>
        <w:t>采购代理机构在</w:t>
      </w:r>
      <w:r>
        <w:rPr>
          <w:rFonts w:hint="eastAsia" w:ascii="宋体" w:hAnsi="宋体"/>
          <w:sz w:val="24"/>
          <w:szCs w:val="24"/>
          <w:lang w:val="en-US" w:eastAsia="zh-CN"/>
        </w:rPr>
        <w:t>磋商</w:t>
      </w:r>
      <w:r>
        <w:rPr>
          <w:rFonts w:hint="eastAsia" w:ascii="宋体" w:hAnsi="宋体"/>
          <w:sz w:val="24"/>
          <w:szCs w:val="24"/>
        </w:rPr>
        <w:t>文件</w:t>
      </w:r>
      <w:r>
        <w:rPr>
          <w:rFonts w:ascii="宋体" w:hAnsi="宋体"/>
          <w:sz w:val="24"/>
          <w:szCs w:val="24"/>
        </w:rPr>
        <w:t>规定的时间和地点组织</w:t>
      </w:r>
      <w:r>
        <w:rPr>
          <w:rFonts w:hint="eastAsia" w:ascii="宋体" w:hAnsi="宋体"/>
          <w:sz w:val="24"/>
          <w:szCs w:val="24"/>
          <w:lang w:val="en-US" w:eastAsia="zh-CN"/>
        </w:rPr>
        <w:t>开标会议</w:t>
      </w:r>
      <w:r>
        <w:rPr>
          <w:rFonts w:hint="eastAsia" w:ascii="宋体" w:hAnsi="宋体"/>
          <w:sz w:val="24"/>
          <w:szCs w:val="24"/>
          <w:lang w:eastAsia="zh-CN"/>
        </w:rPr>
        <w:t>，</w:t>
      </w:r>
      <w:r>
        <w:rPr>
          <w:rFonts w:hint="eastAsia" w:ascii="宋体" w:hAnsi="宋体" w:eastAsia="宋体" w:cs="宋体"/>
          <w:spacing w:val="-8"/>
          <w:w w:val="100"/>
          <w:sz w:val="24"/>
          <w:szCs w:val="24"/>
        </w:rPr>
        <w:t>整个过程受政府采购监管机构的监督、管理。</w:t>
      </w:r>
    </w:p>
    <w:p w14:paraId="2879D10E">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开标仪式由采购代理机构主持，采购人代表及有关人员参加。</w:t>
      </w:r>
    </w:p>
    <w:p w14:paraId="0A136734">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spacing w:val="-8"/>
          <w:w w:val="100"/>
          <w:sz w:val="24"/>
          <w:szCs w:val="24"/>
          <w:lang w:eastAsia="zh-CN"/>
        </w:rPr>
      </w:pPr>
      <w:r>
        <w:rPr>
          <w:rFonts w:hint="eastAsia" w:ascii="宋体" w:hAnsi="宋体" w:eastAsia="宋体"/>
          <w:sz w:val="24"/>
          <w:szCs w:val="24"/>
          <w:lang w:val="en-US" w:eastAsia="zh-CN"/>
        </w:rPr>
        <w:t>1.3</w:t>
      </w:r>
      <w:r>
        <w:rPr>
          <w:rFonts w:hint="eastAsia" w:ascii="宋体" w:hAnsi="宋体" w:eastAsia="宋体" w:cs="宋体"/>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spacing w:val="-8"/>
          <w:w w:val="100"/>
          <w:sz w:val="24"/>
          <w:szCs w:val="24"/>
          <w:lang w:eastAsia="zh-CN"/>
        </w:rPr>
        <w:t>。</w:t>
      </w:r>
    </w:p>
    <w:p w14:paraId="02CA996E">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default" w:ascii="宋体" w:hAnsi="宋体" w:eastAsia="宋体" w:cs="宋体"/>
          <w:spacing w:val="-8"/>
          <w:w w:val="100"/>
          <w:sz w:val="24"/>
          <w:szCs w:val="24"/>
          <w:lang w:val="en-US" w:eastAsia="zh-CN"/>
        </w:rPr>
      </w:pPr>
      <w:r>
        <w:rPr>
          <w:rFonts w:hint="eastAsia" w:ascii="宋体" w:hAnsi="宋体" w:eastAsia="宋体" w:cs="宋体"/>
          <w:spacing w:val="-8"/>
          <w:w w:val="100"/>
          <w:sz w:val="24"/>
          <w:szCs w:val="24"/>
          <w:lang w:val="en-US" w:eastAsia="zh-CN"/>
        </w:rPr>
        <w:t>1.3.1投标供应商在获取</w:t>
      </w:r>
      <w:r>
        <w:rPr>
          <w:rFonts w:hint="eastAsia" w:ascii="宋体" w:hAnsi="宋体" w:cs="宋体"/>
          <w:spacing w:val="-8"/>
          <w:w w:val="100"/>
          <w:sz w:val="24"/>
          <w:szCs w:val="24"/>
          <w:lang w:val="en-US" w:eastAsia="zh-CN"/>
        </w:rPr>
        <w:t>磋商</w:t>
      </w:r>
      <w:r>
        <w:rPr>
          <w:rFonts w:hint="eastAsia" w:ascii="宋体" w:hAnsi="宋体" w:eastAsia="宋体" w:cs="宋体"/>
          <w:spacing w:val="-8"/>
          <w:w w:val="100"/>
          <w:sz w:val="24"/>
          <w:szCs w:val="24"/>
          <w:lang w:val="en-US" w:eastAsia="zh-CN"/>
        </w:rPr>
        <w:t>文件后应在全国公共资源交易平台（陕西省.安康市）网站[新闻咨询→通知公告]中下载并详细阅读安康公共资源交易中心不见面开标系统（投标人）操作 http://www.sxggzyjy.cn/xwzx/002002/subPage.html，下载并详细阅读《关于陕西省公共资源交易平台多CA互认系统正式上线运行的通知》并下载最新版本驱动。</w:t>
      </w:r>
    </w:p>
    <w:p w14:paraId="41A5BDD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1.3.2</w:t>
      </w:r>
      <w:r>
        <w:rPr>
          <w:rFonts w:hint="eastAsia" w:ascii="宋体" w:hAnsi="宋体" w:eastAsia="宋体" w:cs="宋体"/>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7CDB398D">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1.3.3</w:t>
      </w:r>
      <w:r>
        <w:rPr>
          <w:rFonts w:hint="eastAsia" w:ascii="宋体" w:hAnsi="宋体" w:eastAsia="宋体" w:cs="宋体"/>
          <w:spacing w:val="-8"/>
          <w:w w:val="100"/>
          <w:sz w:val="24"/>
          <w:szCs w:val="24"/>
        </w:rPr>
        <w:t>投标人需注意 CA 锁一定要提前准备好，并确保 CA 锁为制作响应文件的 CA 锁。</w:t>
      </w:r>
    </w:p>
    <w:p w14:paraId="1066943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val="en-AU"/>
        </w:rPr>
      </w:pPr>
      <w:r>
        <w:rPr>
          <w:rFonts w:hint="eastAsia" w:ascii="宋体" w:hAnsi="宋体" w:eastAsia="宋体" w:cs="宋体"/>
          <w:spacing w:val="-8"/>
          <w:w w:val="100"/>
          <w:sz w:val="24"/>
          <w:szCs w:val="24"/>
          <w:lang w:val="en-AU"/>
        </w:rPr>
        <w:t>不见面开标方式因投标人不来开标现场，资格审查如需提供复印件，请按文件中要求， 在响应文件中上传电子版。</w:t>
      </w:r>
    </w:p>
    <w:p w14:paraId="7BAC806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eastAsia="zh-CN"/>
        </w:rPr>
      </w:pPr>
      <w:r>
        <w:rPr>
          <w:rFonts w:hint="eastAsia" w:ascii="宋体" w:hAnsi="宋体" w:eastAsia="宋体" w:cs="宋体"/>
          <w:spacing w:val="-8"/>
          <w:w w:val="100"/>
          <w:sz w:val="24"/>
          <w:szCs w:val="24"/>
          <w:lang w:val="en-US" w:eastAsia="zh-CN"/>
        </w:rPr>
        <w:t>1.3.4</w:t>
      </w:r>
      <w:r>
        <w:rPr>
          <w:rFonts w:hint="eastAsia" w:ascii="宋体" w:hAnsi="宋体" w:eastAsia="宋体" w:cs="宋体"/>
          <w:spacing w:val="-8"/>
          <w:w w:val="100"/>
          <w:sz w:val="24"/>
          <w:szCs w:val="24"/>
        </w:rPr>
        <w:t>开标时间到了之后就不能签到，建议投标人在开标前半小时登录不见面开标大厅， 并及时签到（开标前 60 分钟即可签到），遇到问题及时联系客服 029-88661292、88661267、88661241</w:t>
      </w:r>
      <w:r>
        <w:rPr>
          <w:rFonts w:hint="eastAsia" w:ascii="宋体" w:hAnsi="宋体" w:eastAsia="宋体" w:cs="宋体"/>
          <w:spacing w:val="-8"/>
          <w:w w:val="100"/>
          <w:sz w:val="24"/>
          <w:szCs w:val="24"/>
          <w:lang w:eastAsia="zh-CN"/>
        </w:rPr>
        <w:t>。</w:t>
      </w:r>
    </w:p>
    <w:p w14:paraId="18D5C3B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1.3.5</w:t>
      </w:r>
      <w:r>
        <w:rPr>
          <w:rFonts w:hint="eastAsia" w:ascii="宋体" w:hAnsi="宋体" w:eastAsia="宋体" w:cs="宋体"/>
          <w:spacing w:val="-8"/>
          <w:w w:val="100"/>
          <w:sz w:val="24"/>
          <w:szCs w:val="24"/>
        </w:rPr>
        <w:t>开标时，供应商须使用电子响应文件加密时所用的数字认证证书CA 锁在自备电脑上自行远程解密电子响应文件，由电子交易系统进行自动唱标。</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w:t>
      </w:r>
      <w:r>
        <w:rPr>
          <w:rFonts w:hint="eastAsia" w:ascii="宋体" w:hAnsi="宋体" w:eastAsia="宋体" w:cs="宋体"/>
          <w:spacing w:val="-8"/>
          <w:w w:val="100"/>
          <w:sz w:val="24"/>
          <w:szCs w:val="24"/>
        </w:rPr>
        <w:t>间规定内完成响应</w:t>
      </w:r>
      <w:r>
        <w:rPr>
          <w:rFonts w:hint="eastAsia" w:ascii="宋体" w:hAnsi="宋体" w:eastAsia="宋体" w:cs="宋体"/>
          <w:spacing w:val="-8"/>
          <w:w w:val="100"/>
          <w:sz w:val="24"/>
          <w:szCs w:val="24"/>
          <w:lang w:val="en-US" w:eastAsia="zh-CN"/>
        </w:rPr>
        <w:t>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时间内完成解密的，采购代理机构将在系统中退回未解密的响应文件，被退回的响应文件将不再参与后续的开标活动</w:t>
      </w:r>
      <w:r>
        <w:rPr>
          <w:rFonts w:hint="eastAsia" w:ascii="宋体" w:hAnsi="宋体" w:cs="宋体"/>
          <w:spacing w:val="-8"/>
          <w:sz w:val="24"/>
          <w:szCs w:val="24"/>
        </w:rPr>
        <w:t>。所有投标单位解密完成后由开标人员将响应文件导入开评标系统。</w:t>
      </w:r>
    </w:p>
    <w:p w14:paraId="34F6B02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1.4</w:t>
      </w:r>
      <w:r>
        <w:rPr>
          <w:rFonts w:hint="eastAsia" w:ascii="宋体" w:hAnsi="宋体" w:eastAsia="宋体" w:cs="宋体"/>
          <w:spacing w:val="-8"/>
          <w:w w:val="100"/>
          <w:sz w:val="24"/>
          <w:szCs w:val="24"/>
        </w:rPr>
        <w:t>特殊情形下的应急处置</w:t>
      </w:r>
    </w:p>
    <w:p w14:paraId="480FAD8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sz w:val="24"/>
          <w:szCs w:val="28"/>
        </w:rPr>
      </w:pPr>
      <w:r>
        <w:rPr>
          <w:rFonts w:hint="eastAsia" w:ascii="宋体" w:hAnsi="宋体" w:eastAsia="宋体" w:cs="宋体"/>
          <w:spacing w:val="-8"/>
          <w:w w:val="100"/>
          <w:sz w:val="24"/>
          <w:szCs w:val="24"/>
        </w:rPr>
        <w:t>在开标、评审过程中，如因停电、断网、电子化系统故障等原因导致电子 化开、评标无法正常进行时，将</w:t>
      </w:r>
      <w:r>
        <w:rPr>
          <w:rFonts w:hint="eastAsia" w:ascii="宋体" w:hAnsi="宋体" w:eastAsia="宋体" w:cs="宋体"/>
          <w:spacing w:val="-8"/>
          <w:w w:val="100"/>
          <w:sz w:val="24"/>
          <w:szCs w:val="24"/>
          <w:lang w:eastAsia="zh-CN"/>
        </w:rPr>
        <w:t>按照采购监管机构及公共资源交易中心统一安排部署</w:t>
      </w:r>
      <w:r>
        <w:rPr>
          <w:rFonts w:hint="eastAsia" w:ascii="宋体" w:hAnsi="宋体" w:eastAsia="宋体" w:cs="宋体"/>
          <w:spacing w:val="-8"/>
          <w:w w:val="100"/>
          <w:sz w:val="24"/>
          <w:szCs w:val="24"/>
        </w:rPr>
        <w:t>开展后续采购活动。</w:t>
      </w:r>
    </w:p>
    <w:p w14:paraId="6177C53D">
      <w:pPr>
        <w:pStyle w:val="4"/>
        <w:pageBreakBefore w:val="0"/>
        <w:numPr>
          <w:ilvl w:val="0"/>
          <w:numId w:val="12"/>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w:t>
      </w:r>
      <w:bookmarkEnd w:id="91"/>
    </w:p>
    <w:p w14:paraId="390F6B1E">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bookmarkStart w:id="92" w:name="_Toc27940"/>
      <w:bookmarkStart w:id="93" w:name="_Toc385958808"/>
      <w:bookmarkStart w:id="94" w:name="_Toc386129876"/>
      <w:bookmarkStart w:id="95" w:name="_Toc536202311"/>
      <w:bookmarkStart w:id="96" w:name="_Toc28085"/>
      <w:r>
        <w:rPr>
          <w:rFonts w:hint="eastAsia" w:ascii="宋体" w:hAnsi="宋体" w:eastAsia="宋体" w:cs="宋体"/>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A5A3CBD">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71C86C77">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w:t>
      </w:r>
      <w:r>
        <w:rPr>
          <w:rFonts w:hint="eastAsia" w:ascii="宋体" w:hAnsi="宋体" w:cs="宋体"/>
          <w:sz w:val="24"/>
          <w:szCs w:val="24"/>
          <w:lang w:eastAsia="zh-CN"/>
        </w:rPr>
        <w:t>作出评价</w:t>
      </w:r>
      <w:r>
        <w:rPr>
          <w:rFonts w:hint="eastAsia" w:ascii="宋体" w:hAnsi="宋体" w:eastAsia="宋体" w:cs="宋体"/>
          <w:sz w:val="24"/>
          <w:szCs w:val="24"/>
        </w:rPr>
        <w:t>；</w:t>
      </w:r>
    </w:p>
    <w:p w14:paraId="3755DB5B">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（3）按磋商文件规定的评审方法和标准，进行比较和评价；对供应商的价格分等客观评分项的评分应当一致；</w:t>
      </w:r>
    </w:p>
    <w:p w14:paraId="572FB3E2">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（4）要求供应商对响应文件有关事项作出解释或澄清；</w:t>
      </w:r>
    </w:p>
    <w:p w14:paraId="1764227F">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（5）要依法独立评审，按照磋商文件的要求和评标标准进行评标，推荐成交候选供应商名单，对评审意见承担个人责任；</w:t>
      </w:r>
    </w:p>
    <w:p w14:paraId="1B69CC2B">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 xml:space="preserve">       （6）对需要共同认定的事项存在争议的，按照少数服从多数的原则</w:t>
      </w:r>
      <w:r>
        <w:rPr>
          <w:rFonts w:hint="eastAsia" w:ascii="宋体" w:hAnsi="宋体" w:cs="宋体"/>
          <w:sz w:val="24"/>
          <w:szCs w:val="24"/>
          <w:lang w:eastAsia="zh-CN"/>
        </w:rPr>
        <w:t>作出</w:t>
      </w:r>
      <w:r>
        <w:rPr>
          <w:rFonts w:hint="eastAsia" w:ascii="宋体" w:hAnsi="宋体" w:eastAsia="宋体" w:cs="宋体"/>
          <w:sz w:val="24"/>
          <w:szCs w:val="24"/>
        </w:rPr>
        <w:t xml:space="preserve">结论。持不同意见的磋商小组成员应当在评审报告上签署不同意见并说明理由，否则视为同意； </w:t>
      </w:r>
    </w:p>
    <w:p w14:paraId="201371BC">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38B48272">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 配合财政部门的投诉处理工作；</w:t>
      </w:r>
    </w:p>
    <w:p w14:paraId="5238D913">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(9) 配合采购人、采购代理机构答复供应商提出的质疑。</w:t>
      </w:r>
    </w:p>
    <w:bookmarkEnd w:id="92"/>
    <w:bookmarkEnd w:id="93"/>
    <w:bookmarkEnd w:id="94"/>
    <w:bookmarkEnd w:id="95"/>
    <w:bookmarkEnd w:id="96"/>
    <w:p w14:paraId="578A0B60">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bookmarkStart w:id="97" w:name="_Toc536202313"/>
      <w:r>
        <w:rPr>
          <w:rFonts w:hint="eastAsia" w:ascii="宋体" w:hAnsi="宋体" w:eastAsia="宋体" w:cs="宋体"/>
          <w:b/>
          <w:sz w:val="24"/>
          <w:szCs w:val="24"/>
        </w:rPr>
        <w:t>3、响应文件的初审</w:t>
      </w:r>
    </w:p>
    <w:p w14:paraId="5DA70C8C">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（1）初审分为资格性审查和符合性审查。</w:t>
      </w:r>
    </w:p>
    <w:p w14:paraId="5EC034E6">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（2）资格性审查：依据法律法规和</w:t>
      </w:r>
      <w:r>
        <w:rPr>
          <w:rFonts w:hint="eastAsia" w:ascii="宋体" w:hAnsi="宋体" w:cs="宋体"/>
          <w:sz w:val="24"/>
          <w:szCs w:val="24"/>
          <w:lang w:val="en-US" w:eastAsia="zh-CN"/>
        </w:rPr>
        <w:t>磋商</w:t>
      </w:r>
      <w:r>
        <w:rPr>
          <w:rFonts w:hint="eastAsia" w:ascii="宋体" w:hAnsi="宋体" w:eastAsia="宋体" w:cs="宋体"/>
          <w:sz w:val="24"/>
          <w:szCs w:val="24"/>
        </w:rPr>
        <w:t>文件的规定，对投标人按照</w:t>
      </w:r>
      <w:r>
        <w:rPr>
          <w:rFonts w:hint="eastAsia" w:ascii="宋体" w:hAnsi="宋体" w:cs="宋体"/>
          <w:sz w:val="24"/>
          <w:szCs w:val="24"/>
          <w:lang w:val="en-US" w:eastAsia="zh-CN"/>
        </w:rPr>
        <w:t>磋商</w:t>
      </w:r>
      <w:r>
        <w:rPr>
          <w:rFonts w:hint="eastAsia" w:ascii="宋体" w:hAnsi="宋体" w:eastAsia="宋体" w:cs="宋体"/>
          <w:sz w:val="24"/>
          <w:szCs w:val="24"/>
        </w:rPr>
        <w:t>文件中投标人须知前附表资格要求进行资格审查，以确保投标人是否具备相应的投标资格，任意一条不符合要求的，按无效投标处理。</w:t>
      </w:r>
    </w:p>
    <w:p w14:paraId="1A7B5508">
      <w:pPr>
        <w:overflowPunct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（3）符合性审查：依据磋商文件规定，从响应文件的有效性、完整性和对磋商文件的响应程度进行审查</w:t>
      </w:r>
      <w:r>
        <w:rPr>
          <w:rFonts w:hint="eastAsia" w:ascii="宋体" w:hAnsi="宋体" w:cs="宋体"/>
          <w:sz w:val="24"/>
          <w:szCs w:val="24"/>
          <w:lang w:eastAsia="zh-CN"/>
        </w:rPr>
        <w:t>，</w:t>
      </w:r>
      <w:r>
        <w:rPr>
          <w:rFonts w:hint="eastAsia" w:ascii="宋体" w:hAnsi="宋体"/>
          <w:sz w:val="24"/>
          <w:szCs w:val="24"/>
        </w:rPr>
        <w:t>以确定是否对</w:t>
      </w:r>
      <w:r>
        <w:rPr>
          <w:rFonts w:hint="eastAsia" w:ascii="宋体" w:hAnsi="宋体"/>
          <w:sz w:val="24"/>
          <w:szCs w:val="24"/>
          <w:lang w:val="en-US" w:eastAsia="zh-CN"/>
        </w:rPr>
        <w:t>磋商</w:t>
      </w:r>
      <w:r>
        <w:rPr>
          <w:rFonts w:hint="eastAsia" w:ascii="宋体" w:hAnsi="宋体"/>
          <w:sz w:val="24"/>
          <w:szCs w:val="24"/>
        </w:rPr>
        <w:t>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58"/>
        <w:gridCol w:w="3760"/>
        <w:gridCol w:w="1004"/>
        <w:gridCol w:w="1493"/>
      </w:tblGrid>
      <w:tr w14:paraId="7517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47988991">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7FF0D2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D0CA44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7E1BDD">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5B97557">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18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671198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0C3E21B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文件封面、响应函、法定代表人委托授权书三处的项目名称、项目编号</w:t>
            </w:r>
          </w:p>
        </w:tc>
        <w:tc>
          <w:tcPr>
            <w:tcW w:w="2027" w:type="pct"/>
            <w:tcBorders>
              <w:top w:val="single" w:color="auto" w:sz="4" w:space="0"/>
              <w:left w:val="single" w:color="auto" w:sz="4" w:space="0"/>
              <w:bottom w:val="single" w:color="auto" w:sz="4" w:space="0"/>
              <w:right w:val="single" w:color="auto" w:sz="4" w:space="0"/>
            </w:tcBorders>
            <w:vAlign w:val="center"/>
          </w:tcPr>
          <w:p w14:paraId="3524078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63CEAF5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C9A044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59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0FE49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19A64C00">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10E4634C">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52A2F27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541" w:type="pct"/>
            <w:tcBorders>
              <w:top w:val="single" w:color="auto" w:sz="4" w:space="0"/>
              <w:left w:val="single" w:color="auto" w:sz="4" w:space="0"/>
              <w:bottom w:val="single" w:color="auto" w:sz="4" w:space="0"/>
              <w:right w:val="single" w:color="auto" w:sz="4" w:space="0"/>
            </w:tcBorders>
            <w:vAlign w:val="top"/>
          </w:tcPr>
          <w:p w14:paraId="01928C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638A9E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805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4CBC9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5376D144">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12D1A65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1B630A3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磋商响应函</w:t>
            </w:r>
          </w:p>
          <w:p w14:paraId="6A4D237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响应报价表</w:t>
            </w:r>
          </w:p>
          <w:p w14:paraId="5D3A2D77">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资格证明文件</w:t>
            </w:r>
          </w:p>
          <w:p w14:paraId="1759425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第四章   </w:t>
            </w:r>
            <w:r>
              <w:rPr>
                <w:rFonts w:hint="eastAsia" w:ascii="宋体" w:hAnsi="宋体" w:cs="宋体"/>
                <w:color w:val="auto"/>
                <w:sz w:val="24"/>
                <w:szCs w:val="24"/>
                <w:highlight w:val="none"/>
                <w:lang w:val="en-US" w:eastAsia="zh-CN"/>
              </w:rPr>
              <w:t>技术</w:t>
            </w:r>
            <w:bookmarkStart w:id="185" w:name="_GoBack"/>
            <w:bookmarkEnd w:id="185"/>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偏离表</w:t>
            </w:r>
          </w:p>
          <w:p w14:paraId="47A2B84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投标方案</w:t>
            </w:r>
          </w:p>
          <w:p w14:paraId="6409FB4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  投标人拒绝政府采购领域商业贿赂承诺书</w:t>
            </w:r>
          </w:p>
        </w:tc>
        <w:tc>
          <w:tcPr>
            <w:tcW w:w="541" w:type="pct"/>
            <w:tcBorders>
              <w:top w:val="single" w:color="auto" w:sz="4" w:space="0"/>
              <w:left w:val="single" w:color="auto" w:sz="4" w:space="0"/>
              <w:bottom w:val="single" w:color="auto" w:sz="4" w:space="0"/>
              <w:right w:val="single" w:color="auto" w:sz="4" w:space="0"/>
            </w:tcBorders>
            <w:vAlign w:val="top"/>
          </w:tcPr>
          <w:p w14:paraId="2B85C26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E35708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BC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C59200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59C463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104B19B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13D12B4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525331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B26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0C32049">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val="en-US" w:eastAsia="zh-CN"/>
              </w:rPr>
            </w:pPr>
          </w:p>
          <w:p w14:paraId="5D29AD6D">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1C59F18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2027" w:type="pct"/>
            <w:tcBorders>
              <w:top w:val="single" w:color="auto" w:sz="4" w:space="0"/>
              <w:left w:val="single" w:color="auto" w:sz="4" w:space="0"/>
              <w:bottom w:val="single" w:color="auto" w:sz="4" w:space="0"/>
              <w:right w:val="single" w:color="auto" w:sz="4" w:space="0"/>
            </w:tcBorders>
            <w:vAlign w:val="top"/>
          </w:tcPr>
          <w:p w14:paraId="112F602B">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报价符合唯一性要求：</w:t>
            </w:r>
          </w:p>
          <w:p w14:paraId="7C4CBC09">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（2）响应报价表填写符合要求；</w:t>
            </w:r>
          </w:p>
          <w:p w14:paraId="1D2D9463">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0B0F8BD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20C78E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242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2EBAF01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081FE28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6F70D3C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5F77273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D15F05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728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D4A60E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23AC58D2">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0BC6C9D3">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5296A63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322F23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D60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CDFD79F">
            <w:pPr>
              <w:keepNext w:val="0"/>
              <w:keepLines w:val="0"/>
              <w:pageBreakBefore w:val="0"/>
              <w:widowControl/>
              <w:kinsoku/>
              <w:wordWrap/>
              <w:overflowPunct/>
              <w:topLinePunct w:val="0"/>
              <w:autoSpaceDE/>
              <w:autoSpaceDN/>
              <w:bidi w:val="0"/>
              <w:adjustRightInd/>
              <w:snapToGrid/>
              <w:spacing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0674535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（4）磋商时，响应文件中出现下列情况，修正原则为：</w:t>
      </w:r>
    </w:p>
    <w:p w14:paraId="2A7BAA26">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4"/>
        </w:rPr>
        <w:t>A</w:t>
      </w:r>
      <w:r>
        <w:rPr>
          <w:rFonts w:hint="eastAsia" w:ascii="宋体" w:hAnsi="宋体" w:cs="宋体"/>
          <w:color w:val="000000"/>
          <w:sz w:val="24"/>
          <w:szCs w:val="24"/>
          <w:lang w:eastAsia="zh-CN"/>
        </w:rPr>
        <w:t>.</w:t>
      </w:r>
      <w:r>
        <w:rPr>
          <w:rFonts w:hint="eastAsia" w:ascii="宋体" w:hAnsi="宋体" w:eastAsia="宋体" w:cs="宋体"/>
          <w:color w:val="000000"/>
          <w:sz w:val="24"/>
          <w:szCs w:val="24"/>
        </w:rPr>
        <w:t>响应文件中响应报价表内容与响应文件中明细内容不一致的，以响应报价表为准；</w:t>
      </w:r>
    </w:p>
    <w:p w14:paraId="7A8028A8">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B</w:t>
      </w:r>
      <w:r>
        <w:rPr>
          <w:rFonts w:hint="eastAsia" w:ascii="宋体" w:hAnsi="宋体" w:cs="宋体"/>
          <w:sz w:val="24"/>
          <w:szCs w:val="24"/>
          <w:lang w:eastAsia="zh-CN"/>
        </w:rPr>
        <w:t>.</w:t>
      </w:r>
      <w:r>
        <w:rPr>
          <w:rFonts w:hint="eastAsia" w:ascii="宋体" w:hAnsi="宋体" w:eastAsia="宋体" w:cs="宋体"/>
          <w:sz w:val="24"/>
          <w:szCs w:val="24"/>
        </w:rPr>
        <w:t>大写金额和小写金额不一致的，以大写金额为准；</w:t>
      </w:r>
    </w:p>
    <w:p w14:paraId="48F1484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C</w:t>
      </w:r>
      <w:r>
        <w:rPr>
          <w:rFonts w:hint="eastAsia" w:ascii="宋体" w:hAnsi="宋体" w:cs="宋体"/>
          <w:sz w:val="24"/>
          <w:szCs w:val="24"/>
          <w:lang w:eastAsia="zh-CN"/>
        </w:rPr>
        <w:t>.</w:t>
      </w:r>
      <w:r>
        <w:rPr>
          <w:rFonts w:hint="eastAsia" w:ascii="宋体" w:hAnsi="宋体" w:eastAsia="宋体" w:cs="宋体"/>
          <w:sz w:val="24"/>
          <w:szCs w:val="24"/>
        </w:rPr>
        <w:t>单价金额小数点或者百分比有明显错位的，以</w:t>
      </w:r>
      <w:r>
        <w:rPr>
          <w:rFonts w:hint="eastAsia" w:ascii="宋体" w:hAnsi="宋体" w:eastAsia="宋体" w:cs="宋体"/>
          <w:color w:val="000000"/>
          <w:sz w:val="24"/>
          <w:szCs w:val="24"/>
        </w:rPr>
        <w:t>响应报价表</w:t>
      </w:r>
      <w:r>
        <w:rPr>
          <w:rFonts w:hint="eastAsia" w:ascii="宋体" w:hAnsi="宋体" w:eastAsia="宋体" w:cs="宋体"/>
          <w:sz w:val="24"/>
          <w:szCs w:val="24"/>
        </w:rPr>
        <w:t>的总价为准，并修改单价；</w:t>
      </w:r>
    </w:p>
    <w:p w14:paraId="066D2BDE">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 xml:space="preserve">总价金额与按单价汇总金额不一致的，以单价金额计算结果为准； </w:t>
      </w:r>
    </w:p>
    <w:p w14:paraId="12BAAC22">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多处内容交叉不符时，以磋商小组评审结果为准；</w:t>
      </w:r>
    </w:p>
    <w:p w14:paraId="3BBC09B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F.</w:t>
      </w:r>
      <w:r>
        <w:rPr>
          <w:rFonts w:hint="eastAsia" w:ascii="宋体" w:hAnsi="宋体" w:eastAsia="宋体" w:cs="宋体"/>
          <w:sz w:val="24"/>
          <w:szCs w:val="24"/>
        </w:rPr>
        <w:t>文字与图表不符的，以文字为准。</w:t>
      </w:r>
    </w:p>
    <w:p w14:paraId="09CE9AE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6CB2A780">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（5）磋商开始后，直到向成交供应商授予合同为止，凡审查、澄清、评价和比较磋商的有关资料，磋商小组成员均不得向供应商及与磋商无关的其他人透露。</w:t>
      </w:r>
    </w:p>
    <w:p w14:paraId="2B51B212">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4、出现下列情况之一者（但不限于），按无效文件处理：</w:t>
      </w:r>
    </w:p>
    <w:p w14:paraId="4658C36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供应商的响应报价不符合</w:t>
      </w:r>
      <w:r>
        <w:rPr>
          <w:rFonts w:hint="eastAsia" w:ascii="宋体" w:hAnsi="宋体" w:cs="宋体"/>
          <w:sz w:val="24"/>
          <w:szCs w:val="24"/>
          <w:lang w:val="en-US" w:eastAsia="zh-CN"/>
        </w:rPr>
        <w:t>磋商</w:t>
      </w:r>
      <w:r>
        <w:rPr>
          <w:rFonts w:hint="eastAsia" w:ascii="宋体" w:hAnsi="宋体" w:eastAsia="宋体" w:cs="宋体"/>
          <w:sz w:val="24"/>
          <w:szCs w:val="24"/>
        </w:rPr>
        <w:t>文件要求的；</w:t>
      </w:r>
    </w:p>
    <w:p w14:paraId="6952B4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供应商未经过正常渠道</w:t>
      </w:r>
      <w:r>
        <w:rPr>
          <w:rFonts w:hint="eastAsia" w:ascii="宋体" w:hAnsi="宋体" w:cs="宋体"/>
          <w:sz w:val="24"/>
          <w:szCs w:val="24"/>
          <w:lang w:val="en-US" w:eastAsia="zh-CN"/>
        </w:rPr>
        <w:t>获取</w:t>
      </w:r>
      <w:r>
        <w:rPr>
          <w:rFonts w:hint="eastAsia" w:ascii="宋体" w:hAnsi="宋体" w:eastAsia="宋体" w:cs="宋体"/>
          <w:sz w:val="24"/>
          <w:szCs w:val="24"/>
        </w:rPr>
        <w:t>磋商文件，或供应商名称与</w:t>
      </w:r>
      <w:r>
        <w:rPr>
          <w:rFonts w:hint="eastAsia" w:ascii="宋体" w:hAnsi="宋体" w:cs="宋体"/>
          <w:sz w:val="24"/>
          <w:szCs w:val="24"/>
          <w:lang w:val="en-US" w:eastAsia="zh-CN"/>
        </w:rPr>
        <w:t>获取</w:t>
      </w:r>
      <w:r>
        <w:rPr>
          <w:rFonts w:hint="eastAsia" w:ascii="宋体" w:hAnsi="宋体" w:eastAsia="宋体" w:cs="宋体"/>
          <w:sz w:val="24"/>
          <w:szCs w:val="24"/>
        </w:rPr>
        <w:t>磋商文件时登记的供应商名称不符的；</w:t>
      </w:r>
    </w:p>
    <w:p w14:paraId="56CF859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不同供应商单位负责人为同一人或者存在控股、管理关系的；</w:t>
      </w:r>
    </w:p>
    <w:p w14:paraId="3B9376E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响应文件的有效性和符合性不符合要求的；</w:t>
      </w:r>
    </w:p>
    <w:p w14:paraId="65757F8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实质性内容不满足或未响应的；</w:t>
      </w:r>
    </w:p>
    <w:p w14:paraId="22E0429E">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响应文件未按磋商文件要求签字、加盖公章的；</w:t>
      </w:r>
    </w:p>
    <w:p w14:paraId="0F0A11F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无磋商有效期或有效期达不到磋商文件要求的；</w:t>
      </w:r>
    </w:p>
    <w:p w14:paraId="187197C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H.</w:t>
      </w:r>
      <w:r>
        <w:rPr>
          <w:rFonts w:hint="eastAsia" w:ascii="宋体" w:hAnsi="宋体" w:eastAsia="宋体" w:cs="宋体"/>
          <w:sz w:val="24"/>
          <w:szCs w:val="24"/>
        </w:rPr>
        <w:t>供应商有串通投标、弄虚作假（包括但不限于虚假资质、虚假证明、虚假应答等）、行贿等违法行为的；</w:t>
      </w:r>
    </w:p>
    <w:p w14:paraId="61EE7A6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I.</w:t>
      </w:r>
      <w:r>
        <w:rPr>
          <w:rFonts w:hint="eastAsia" w:ascii="宋体" w:hAnsi="宋体" w:eastAsia="宋体" w:cs="宋体"/>
          <w:sz w:val="24"/>
          <w:szCs w:val="24"/>
        </w:rPr>
        <w:t>响应文件在商务响应方面附加了采购人难以接受的条件或条款的；</w:t>
      </w:r>
    </w:p>
    <w:p w14:paraId="6783420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J.</w:t>
      </w:r>
      <w:r>
        <w:rPr>
          <w:rFonts w:hint="eastAsia" w:ascii="宋体" w:hAnsi="宋体" w:eastAsia="宋体" w:cs="宋体"/>
          <w:sz w:val="24"/>
          <w:szCs w:val="24"/>
        </w:rPr>
        <w:t>在政府采购</w:t>
      </w:r>
      <w:r>
        <w:rPr>
          <w:rFonts w:hint="eastAsia" w:ascii="宋体" w:hAnsi="宋体" w:cs="宋体"/>
          <w:sz w:val="24"/>
          <w:szCs w:val="24"/>
          <w:lang w:eastAsia="zh-CN"/>
        </w:rPr>
        <w:t>或其他</w:t>
      </w:r>
      <w:r>
        <w:rPr>
          <w:rFonts w:hint="eastAsia" w:ascii="宋体" w:hAnsi="宋体" w:eastAsia="宋体" w:cs="宋体"/>
          <w:sz w:val="24"/>
          <w:szCs w:val="24"/>
        </w:rPr>
        <w:t>重大项目履约过程中有不良记录，未能按期履约的；</w:t>
      </w:r>
    </w:p>
    <w:p w14:paraId="146F88D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K.</w:t>
      </w:r>
      <w:r>
        <w:rPr>
          <w:rFonts w:hint="eastAsia" w:ascii="宋体" w:hAnsi="宋体" w:eastAsia="宋体" w:cs="宋体"/>
          <w:sz w:val="24"/>
          <w:szCs w:val="24"/>
        </w:rPr>
        <w:t>磋商报价与市场价格偏离较大、低于成本、形成不正当竞争的；</w:t>
      </w:r>
    </w:p>
    <w:p w14:paraId="37D1932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L.</w:t>
      </w:r>
      <w:r>
        <w:rPr>
          <w:rFonts w:hint="eastAsia" w:ascii="宋体" w:hAnsi="宋体" w:eastAsia="宋体" w:cs="宋体"/>
          <w:sz w:val="24"/>
          <w:szCs w:val="24"/>
        </w:rPr>
        <w:t>报价子目出现漏项或报价数量与要求不符的；</w:t>
      </w:r>
    </w:p>
    <w:p w14:paraId="1D65E1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M.</w:t>
      </w:r>
      <w:r>
        <w:rPr>
          <w:rFonts w:hint="eastAsia" w:ascii="宋体" w:hAnsi="宋体" w:eastAsia="宋体" w:cs="宋体"/>
          <w:sz w:val="24"/>
          <w:szCs w:val="24"/>
        </w:rPr>
        <w:t>响应文件的技术要求与磋商文件出现重大负偏差的；</w:t>
      </w:r>
    </w:p>
    <w:p w14:paraId="2DCCB4E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N.</w:t>
      </w:r>
      <w:r>
        <w:rPr>
          <w:rFonts w:hint="eastAsia" w:ascii="宋体" w:hAnsi="宋体" w:eastAsia="宋体" w:cs="宋体"/>
          <w:sz w:val="24"/>
          <w:szCs w:val="24"/>
        </w:rPr>
        <w:t>提供虚假技术指标的。</w:t>
      </w:r>
    </w:p>
    <w:p w14:paraId="68FA2272">
      <w:pPr>
        <w:pageBreakBefore w:val="0"/>
        <w:wordWrap/>
        <w:topLinePunct w:val="0"/>
        <w:autoSpaceDE/>
        <w:autoSpaceDN/>
        <w:bidi w:val="0"/>
        <w:spacing w:line="336" w:lineRule="auto"/>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5、有下列情形之一的，视为供应商串通投标，磋商小组应当认定其响应文件无效：</w:t>
      </w:r>
    </w:p>
    <w:p w14:paraId="2696E0AE">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不同供应商的响应文件由同一单位或者个人编制；</w:t>
      </w:r>
    </w:p>
    <w:p w14:paraId="394F2C72">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 xml:space="preserve">不同供应商委托同一单位或者个人办理磋商事宜； </w:t>
      </w:r>
    </w:p>
    <w:p w14:paraId="5BF17009">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不同供应商的响应文件载明的项目管理成员或者联系人员为同一人；</w:t>
      </w:r>
    </w:p>
    <w:p w14:paraId="1273F9FA">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不同供应商的响应文件异常一致或者磋商报价呈规律性差异；</w:t>
      </w:r>
    </w:p>
    <w:p w14:paraId="24DEFD17">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E</w:t>
      </w:r>
      <w:r>
        <w:rPr>
          <w:rFonts w:hint="eastAsia" w:ascii="宋体" w:hAnsi="宋体" w:cs="宋体"/>
          <w:sz w:val="24"/>
          <w:szCs w:val="24"/>
          <w:lang w:eastAsia="zh-CN"/>
        </w:rPr>
        <w:t>.</w:t>
      </w:r>
      <w:r>
        <w:rPr>
          <w:rFonts w:hint="eastAsia" w:ascii="宋体" w:hAnsi="宋体" w:eastAsia="宋体" w:cs="宋体"/>
          <w:sz w:val="24"/>
          <w:szCs w:val="24"/>
        </w:rPr>
        <w:t>不同供应商的响应文件相互混装；</w:t>
      </w:r>
    </w:p>
    <w:p w14:paraId="272C493E">
      <w:pPr>
        <w:pStyle w:val="4"/>
        <w:keepNext w:val="0"/>
        <w:keepLines w:val="0"/>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6、澄清</w:t>
      </w:r>
    </w:p>
    <w:p w14:paraId="71D62996">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7CF034">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FF0000"/>
          <w:sz w:val="24"/>
          <w:szCs w:val="24"/>
        </w:rPr>
      </w:pPr>
      <w:r>
        <w:rPr>
          <w:rFonts w:hint="eastAsia" w:ascii="宋体" w:hAnsi="宋体" w:eastAsia="宋体" w:cs="宋体"/>
          <w:sz w:val="24"/>
          <w:szCs w:val="24"/>
        </w:rPr>
        <w:t>（2）实质性内容包括但不限于：</w:t>
      </w:r>
      <w:r>
        <w:rPr>
          <w:rFonts w:hint="eastAsia" w:ascii="宋体" w:hAnsi="宋体" w:eastAsia="宋体" w:cs="宋体"/>
          <w:color w:val="000000" w:themeColor="text1"/>
          <w:sz w:val="24"/>
          <w:szCs w:val="24"/>
          <w14:textFill>
            <w14:solidFill>
              <w14:schemeClr w14:val="tx1"/>
            </w14:solidFill>
          </w14:textFill>
        </w:rPr>
        <w:t>服务期、付款方式、质量指标、主要技术指标等。</w:t>
      </w:r>
    </w:p>
    <w:p w14:paraId="0E79ED55">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（3）磋商小组要求供应商澄清、说明或者更正响应文件应当以书面形式作出，并由其法定代表人或被授权人签字。</w:t>
      </w:r>
    </w:p>
    <w:p w14:paraId="33EA8199">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7"/>
    <w:p w14:paraId="5FC4627F">
      <w:pPr>
        <w:pStyle w:val="4"/>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sz w:val="24"/>
          <w:szCs w:val="24"/>
        </w:rPr>
      </w:pPr>
      <w:bookmarkStart w:id="98" w:name="_Toc536202314"/>
      <w:bookmarkStart w:id="99" w:name="_Toc12947"/>
      <w:r>
        <w:rPr>
          <w:rFonts w:hint="eastAsia" w:ascii="宋体" w:hAnsi="宋体" w:eastAsia="宋体" w:cs="宋体"/>
          <w:sz w:val="24"/>
          <w:szCs w:val="24"/>
        </w:rPr>
        <w:t>7、评审方法及内容</w:t>
      </w:r>
      <w:r>
        <w:rPr>
          <w:rFonts w:hint="eastAsia" w:ascii="宋体" w:hAnsi="宋体" w:eastAsia="宋体" w:cs="宋体"/>
          <w:sz w:val="24"/>
          <w:szCs w:val="24"/>
        </w:rPr>
        <w:tab/>
      </w:r>
    </w:p>
    <w:p w14:paraId="4D13169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（1）按照磋商文件规定的评审方法和标准，对资格性审查和符合性审查合格的响应文件进行商务和技术评审，综合比较和评价。</w:t>
      </w:r>
    </w:p>
    <w:p w14:paraId="537AD1F8">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sz w:val="24"/>
          <w:szCs w:val="24"/>
          <w:lang w:eastAsia="zh-CN"/>
        </w:rPr>
        <w:t>和</w:t>
      </w:r>
      <w:r>
        <w:rPr>
          <w:rFonts w:hint="eastAsia" w:ascii="宋体" w:hAnsi="宋体" w:eastAsia="宋体" w:cs="宋体"/>
          <w:sz w:val="24"/>
          <w:szCs w:val="24"/>
        </w:rPr>
        <w:t>最后报价</w:t>
      </w:r>
      <w:r>
        <w:rPr>
          <w:rFonts w:hint="eastAsia" w:ascii="宋体" w:hAnsi="宋体" w:eastAsia="宋体" w:cs="宋体"/>
          <w:sz w:val="24"/>
          <w:szCs w:val="24"/>
          <w:lang w:eastAsia="zh-CN"/>
        </w:rPr>
        <w:t>都</w:t>
      </w:r>
      <w:r>
        <w:rPr>
          <w:rFonts w:hint="eastAsia" w:ascii="宋体" w:hAnsi="宋体" w:eastAsia="宋体" w:cs="宋体"/>
          <w:sz w:val="24"/>
          <w:szCs w:val="24"/>
        </w:rPr>
        <w:t>相同的，按照技术指标优劣顺序推荐。</w:t>
      </w:r>
    </w:p>
    <w:p w14:paraId="5337FCAA">
      <w:pPr>
        <w:pageBreakBefore w:val="0"/>
        <w:wordWrap/>
        <w:topLinePunct w:val="0"/>
        <w:autoSpaceDE/>
        <w:autoSpaceDN/>
        <w:bidi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D3FE76F">
      <w:pPr>
        <w:pStyle w:val="103"/>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）磋商小组须对畸高、畸低的重大差异评分进行复核或书面说明理由。</w:t>
      </w:r>
    </w:p>
    <w:p w14:paraId="3244F303">
      <w:pPr>
        <w:pStyle w:val="4"/>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8、定标</w:t>
      </w:r>
      <w:bookmarkEnd w:id="98"/>
      <w:bookmarkEnd w:id="99"/>
    </w:p>
    <w:p w14:paraId="1200981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04E2009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8.2代理机构收到采购单位“定标复函”后2日内，在财政部门指定的政府采购信息媒体上发布公告，并向成交供应商发出“成交通知书”。</w:t>
      </w:r>
    </w:p>
    <w:p w14:paraId="6F968636">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00" w:name="_Toc11870"/>
      <w:bookmarkStart w:id="101" w:name="_Toc536202384"/>
      <w:bookmarkStart w:id="102" w:name="_Toc19972"/>
      <w:bookmarkStart w:id="103" w:name="_Toc25308"/>
      <w:bookmarkStart w:id="104" w:name="_Toc19543341"/>
      <w:bookmarkStart w:id="105" w:name="_Toc536429324"/>
      <w:bookmarkStart w:id="106" w:name="_Toc536429377"/>
      <w:bookmarkStart w:id="107" w:name="_Toc536202315"/>
      <w:r>
        <w:rPr>
          <w:rFonts w:hint="eastAsia" w:ascii="宋体" w:hAnsi="宋体" w:eastAsia="宋体" w:cs="宋体"/>
          <w:b/>
          <w:bCs/>
          <w:kern w:val="0"/>
          <w:sz w:val="24"/>
          <w:szCs w:val="24"/>
        </w:rPr>
        <w:t>签订合同</w:t>
      </w:r>
      <w:bookmarkEnd w:id="100"/>
      <w:bookmarkEnd w:id="101"/>
      <w:bookmarkEnd w:id="102"/>
      <w:bookmarkEnd w:id="103"/>
      <w:bookmarkEnd w:id="104"/>
      <w:bookmarkEnd w:id="105"/>
      <w:bookmarkEnd w:id="106"/>
      <w:bookmarkEnd w:id="107"/>
    </w:p>
    <w:p w14:paraId="367C34B6">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交后，成交供应商在收到成交通知书后三十（30）个日历日内，应按磋商文件的要求与采购人洽谈合同条款，并签订供货合同，同时送监督机构备案，磋商文件及成交供应商的响应文件均作为合同的组成部分；</w:t>
      </w:r>
    </w:p>
    <w:p w14:paraId="7A192C69">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2、采购人不得向成交供应商提出超出磋商文件以外的任何要求作为签订合同的条件，不得与成交供应商订立背离磋商文件确定的合同文本以及采购服务要求实质性内容的协议。</w:t>
      </w:r>
    </w:p>
    <w:p w14:paraId="416995FF">
      <w:pPr>
        <w:pStyle w:val="103"/>
        <w:pageBreakBefore w:val="0"/>
        <w:numPr>
          <w:ilvl w:val="0"/>
          <w:numId w:val="12"/>
        </w:numPr>
        <w:wordWrap/>
        <w:topLinePunct w:val="0"/>
        <w:autoSpaceDE/>
        <w:autoSpaceDN/>
        <w:bidi w:val="0"/>
        <w:spacing w:line="336"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57D15B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政府采购合同在执行过程中，确需修改、变更时，应当按照相应的审核批准程序办理。</w:t>
      </w:r>
    </w:p>
    <w:p w14:paraId="40FBF5B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5、磋商文件、响应文件、澄清等为政府采购合同的组成部分，具有同等法律效力。</w:t>
      </w:r>
    </w:p>
    <w:p w14:paraId="35AE6DF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bookmarkStart w:id="108" w:name="_Toc536429325"/>
      <w:bookmarkStart w:id="109" w:name="_Toc536202385"/>
      <w:bookmarkStart w:id="110" w:name="_Toc28110"/>
      <w:bookmarkStart w:id="111" w:name="_Toc536202316"/>
      <w:bookmarkStart w:id="112" w:name="_Toc32237"/>
      <w:bookmarkStart w:id="113" w:name="_Toc536429378"/>
      <w:bookmarkStart w:id="114" w:name="_Toc26132"/>
      <w:r>
        <w:rPr>
          <w:rFonts w:hint="eastAsia" w:ascii="宋体" w:hAnsi="宋体" w:eastAsia="宋体" w:cs="宋体"/>
          <w:sz w:val="24"/>
          <w:szCs w:val="24"/>
        </w:rPr>
        <w:t>6、政府采购管理部门在合同履行期间以及履行期后，可以随时检查项目的执行情况，对采购标准、采购内容进行调查核实，并对发现的问题进行处理。</w:t>
      </w:r>
    </w:p>
    <w:p w14:paraId="61B7CD48">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15" w:name="_Toc19543342"/>
      <w:r>
        <w:rPr>
          <w:rFonts w:hint="eastAsia" w:ascii="宋体" w:hAnsi="宋体" w:eastAsia="宋体" w:cs="宋体"/>
          <w:b/>
          <w:bCs/>
          <w:kern w:val="0"/>
          <w:sz w:val="24"/>
          <w:szCs w:val="24"/>
        </w:rPr>
        <w:t>代理服务费</w:t>
      </w:r>
      <w:bookmarkEnd w:id="108"/>
      <w:bookmarkEnd w:id="109"/>
      <w:bookmarkEnd w:id="110"/>
      <w:bookmarkEnd w:id="111"/>
      <w:bookmarkEnd w:id="112"/>
      <w:bookmarkEnd w:id="113"/>
      <w:bookmarkEnd w:id="114"/>
      <w:bookmarkEnd w:id="115"/>
    </w:p>
    <w:p w14:paraId="749B753F">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olor w:val="auto"/>
          <w:sz w:val="24"/>
          <w:szCs w:val="24"/>
        </w:rPr>
        <w:t>中标人：需先缴纳足额服务费，凭借转账凭证前来领取中标通知书。</w:t>
      </w:r>
    </w:p>
    <w:p w14:paraId="46CECBB5">
      <w:pPr>
        <w:spacing w:line="360" w:lineRule="auto"/>
        <w:ind w:firstLine="480" w:firstLineChars="200"/>
        <w:rPr>
          <w:rFonts w:ascii="宋体" w:hAnsi="宋体"/>
          <w:sz w:val="24"/>
          <w:szCs w:val="24"/>
          <w:highlight w:val="none"/>
        </w:rPr>
      </w:pPr>
      <w:r>
        <w:rPr>
          <w:rFonts w:hint="eastAsia" w:ascii="宋体" w:hAnsi="宋体" w:cs="宋体"/>
          <w:color w:val="auto"/>
          <w:sz w:val="24"/>
          <w:szCs w:val="24"/>
          <w:lang w:val="en-US" w:eastAsia="zh-CN"/>
        </w:rPr>
        <w:t>2、</w:t>
      </w:r>
      <w:r>
        <w:rPr>
          <w:rFonts w:hint="eastAsia" w:ascii="宋体" w:hAnsi="宋体"/>
          <w:sz w:val="24"/>
          <w:szCs w:val="24"/>
        </w:rPr>
        <w:t>中标服务费参照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（计价格[2002]1980号）和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（发改办价格[2003]857号）规定标准计取。（采购代理机构开户名称：安康尚昊招标代理有限公司  开户行名称：中国建设银行股份有限公司安康分行营业部  帐      号：61050166371100000492）</w:t>
      </w:r>
    </w:p>
    <w:p w14:paraId="04C0DDCB">
      <w:pPr>
        <w:spacing w:line="360" w:lineRule="auto"/>
        <w:ind w:firstLine="480" w:firstLineChars="200"/>
        <w:rPr>
          <w:rFonts w:ascii="宋体" w:hAnsi="宋体"/>
          <w:sz w:val="24"/>
          <w:szCs w:val="24"/>
        </w:rPr>
      </w:pPr>
    </w:p>
    <w:p w14:paraId="7E42C4D5">
      <w:pPr>
        <w:pageBreakBefore w:val="0"/>
        <w:widowControl/>
        <w:numPr>
          <w:ilvl w:val="0"/>
          <w:numId w:val="6"/>
        </w:numPr>
        <w:wordWrap/>
        <w:topLinePunct w:val="0"/>
        <w:autoSpaceDE/>
        <w:autoSpaceDN/>
        <w:bidi w:val="0"/>
        <w:spacing w:line="336" w:lineRule="auto"/>
        <w:ind w:firstLine="0"/>
        <w:jc w:val="center"/>
        <w:textAlignment w:val="auto"/>
        <w:outlineLvl w:val="1"/>
        <w:rPr>
          <w:rFonts w:hint="eastAsia" w:ascii="宋体" w:hAnsi="宋体" w:eastAsia="宋体" w:cs="宋体"/>
          <w:b/>
          <w:bCs/>
          <w:kern w:val="0"/>
          <w:sz w:val="24"/>
          <w:szCs w:val="24"/>
        </w:rPr>
      </w:pPr>
      <w:bookmarkStart w:id="116" w:name="_Toc536202386"/>
      <w:bookmarkStart w:id="117" w:name="_Toc11491"/>
      <w:bookmarkStart w:id="118" w:name="_Toc536202317"/>
      <w:bookmarkStart w:id="119" w:name="_Toc536429379"/>
      <w:bookmarkStart w:id="120" w:name="_Toc536429326"/>
      <w:bookmarkStart w:id="121" w:name="_Toc19543343"/>
      <w:bookmarkStart w:id="122" w:name="_Toc664"/>
      <w:r>
        <w:rPr>
          <w:rFonts w:hint="eastAsia" w:ascii="宋体" w:hAnsi="宋体" w:eastAsia="宋体" w:cs="宋体"/>
          <w:b/>
          <w:bCs/>
          <w:kern w:val="0"/>
          <w:sz w:val="24"/>
          <w:szCs w:val="24"/>
        </w:rPr>
        <w:t>质疑和投诉</w:t>
      </w:r>
      <w:bookmarkEnd w:id="116"/>
      <w:bookmarkEnd w:id="117"/>
      <w:bookmarkEnd w:id="118"/>
      <w:bookmarkEnd w:id="119"/>
      <w:bookmarkEnd w:id="120"/>
      <w:bookmarkEnd w:id="121"/>
      <w:bookmarkEnd w:id="122"/>
    </w:p>
    <w:p w14:paraId="36C2008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质疑或投诉的接收和处理应当按照《中华人民共和国政府采购法》及其实施条例、《政府采购质疑和投诉办法</w:t>
      </w:r>
      <w:r>
        <w:rPr>
          <w:rFonts w:hint="eastAsia" w:ascii="宋体" w:hAnsi="宋体" w:cs="宋体"/>
          <w:sz w:val="24"/>
          <w:szCs w:val="24"/>
          <w:lang w:eastAsia="zh-CN"/>
        </w:rPr>
        <w:t>》《</w:t>
      </w:r>
      <w:r>
        <w:rPr>
          <w:rFonts w:hint="eastAsia" w:ascii="宋体" w:hAnsi="宋体" w:eastAsia="宋体" w:cs="宋体"/>
          <w:sz w:val="24"/>
          <w:szCs w:val="24"/>
        </w:rPr>
        <w:t>财政部关于加强政府采购供应商投诉受理审查工作的通知》等的相关规定办理。</w:t>
      </w:r>
    </w:p>
    <w:p w14:paraId="770C114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2D2E59B6">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（1）对采购文件提出质疑的，为收到采购文件之日或者采购文件公告期限届满之日；</w:t>
      </w:r>
    </w:p>
    <w:p w14:paraId="048E4854">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42C7CBBC">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189B70F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2、供应商应当在法定质疑期内一次性提出针对同一采购程序环节的质疑。</w:t>
      </w:r>
    </w:p>
    <w:p w14:paraId="0C1F5BB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3、质疑函应当包括下列主要内容：</w:t>
      </w:r>
    </w:p>
    <w:p w14:paraId="42C45DA6">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4521DF21">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（2）质疑项目的名称、编号；</w:t>
      </w:r>
    </w:p>
    <w:p w14:paraId="1FB1DBB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42ED5333">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（4）事实依据；</w:t>
      </w:r>
    </w:p>
    <w:p w14:paraId="5A790B3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（5）必要的法律依据；</w:t>
      </w:r>
    </w:p>
    <w:p w14:paraId="79CD10C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（6）提出质疑的日期。</w:t>
      </w:r>
    </w:p>
    <w:p w14:paraId="7133916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391D2A9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5、质疑函内容不得含有虚假、恶意</w:t>
      </w:r>
      <w:r>
        <w:rPr>
          <w:rFonts w:hint="eastAsia" w:ascii="宋体" w:hAnsi="宋体" w:cs="宋体"/>
          <w:sz w:val="24"/>
          <w:szCs w:val="24"/>
          <w:lang w:eastAsia="zh-CN"/>
        </w:rPr>
        <w:t>成分</w:t>
      </w:r>
      <w:r>
        <w:rPr>
          <w:rFonts w:hint="eastAsia" w:ascii="宋体" w:hAnsi="宋体" w:eastAsia="宋体" w:cs="宋体"/>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4"/>
          <w:lang w:eastAsia="zh-CN"/>
        </w:rPr>
        <w:t>滥用职权</w:t>
      </w:r>
      <w:r>
        <w:rPr>
          <w:rFonts w:hint="eastAsia" w:ascii="宋体" w:hAnsi="宋体" w:eastAsia="宋体" w:cs="宋体"/>
          <w:sz w:val="24"/>
          <w:szCs w:val="24"/>
        </w:rPr>
        <w:t>扰乱采购秩序的恶意质疑者，采购人、采购代理机构应当依法驳回。</w:t>
      </w:r>
    </w:p>
    <w:p w14:paraId="3883889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6、质疑函接收方式：由自然人本人或法定代表人或者其授权代表携带书面原件及身份证明原件到现场递交，否则不予受理 。 </w:t>
      </w:r>
    </w:p>
    <w:p w14:paraId="5F26F15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7、质疑受理部门：安康尚昊招标代理有限公司</w:t>
      </w:r>
    </w:p>
    <w:p w14:paraId="3EB9ADB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质疑受理电话：15991480332</w:t>
      </w:r>
    </w:p>
    <w:p w14:paraId="6B3B1F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8、提交质疑函地点：</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w:t>
      </w:r>
    </w:p>
    <w:p w14:paraId="2519209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9、本次采购活动中，采购代理机构对质疑函回复的书面文件的送达方式为现场取件。</w:t>
      </w:r>
    </w:p>
    <w:p w14:paraId="378ECB9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如所质疑的问题比较复杂，采购人或者采购代理机构在规定的答复时间内无法回复，应事先告知提出质疑的供应商，同时向同级政府采购监督管理部门报告。</w:t>
      </w:r>
    </w:p>
    <w:p w14:paraId="1B88A2E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10、质疑供应商对采购人、采购代理机构的答复不满意，或者采购人、采购代理机构未在规定的时间内作出答复的，可以在答复期满后15个工作日内向采购人的同级政府采购监督管理部门投诉。</w:t>
      </w:r>
    </w:p>
    <w:p w14:paraId="1CC0B65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11、质疑函应当使用中文。</w:t>
      </w:r>
    </w:p>
    <w:p w14:paraId="299DF236">
      <w:pPr>
        <w:keepNext w:val="0"/>
        <w:keepLines w:val="0"/>
        <w:pageBreakBefore w:val="0"/>
        <w:widowControl/>
        <w:numPr>
          <w:ilvl w:val="0"/>
          <w:numId w:val="6"/>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kern w:val="0"/>
          <w:sz w:val="24"/>
          <w:szCs w:val="24"/>
        </w:rPr>
      </w:pPr>
      <w:bookmarkStart w:id="123" w:name="_Toc536202318"/>
      <w:bookmarkStart w:id="124" w:name="_Toc536202387"/>
      <w:bookmarkStart w:id="125" w:name="_Toc19543344"/>
      <w:bookmarkStart w:id="126" w:name="_Toc536429327"/>
      <w:bookmarkStart w:id="127" w:name="_Toc536429380"/>
      <w:r>
        <w:rPr>
          <w:rFonts w:hint="eastAsia" w:ascii="宋体" w:hAnsi="宋体" w:eastAsia="宋体" w:cs="宋体"/>
          <w:b/>
          <w:bCs/>
          <w:kern w:val="0"/>
          <w:sz w:val="24"/>
          <w:szCs w:val="24"/>
        </w:rPr>
        <w:t>其他</w:t>
      </w:r>
      <w:bookmarkEnd w:id="123"/>
      <w:bookmarkEnd w:id="124"/>
      <w:bookmarkEnd w:id="125"/>
      <w:bookmarkEnd w:id="126"/>
      <w:bookmarkEnd w:id="127"/>
    </w:p>
    <w:p w14:paraId="39FE834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bookmarkStart w:id="128" w:name="_Toc3298"/>
      <w:r>
        <w:rPr>
          <w:rFonts w:hint="eastAsia" w:ascii="宋体" w:hAnsi="宋体" w:eastAsia="宋体" w:cs="宋体"/>
          <w:sz w:val="24"/>
          <w:szCs w:val="24"/>
        </w:rPr>
        <w:t>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7557C16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4A7AA67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634A791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39F245D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21CBE39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2、磋商失败后，除采购任务取消外，将重新组织采购</w:t>
      </w:r>
      <w:bookmarkEnd w:id="128"/>
      <w:bookmarkStart w:id="129" w:name="_Toc536429381"/>
      <w:bookmarkStart w:id="130" w:name="_Toc536202388"/>
      <w:bookmarkStart w:id="131" w:name="_Toc536429328"/>
      <w:bookmarkStart w:id="132" w:name="_Toc25345"/>
      <w:bookmarkStart w:id="133" w:name="_Toc536202319"/>
      <w:r>
        <w:rPr>
          <w:rFonts w:hint="eastAsia" w:ascii="宋体" w:hAnsi="宋体" w:eastAsia="宋体" w:cs="宋体"/>
          <w:sz w:val="24"/>
          <w:szCs w:val="24"/>
        </w:rPr>
        <w:t>。</w:t>
      </w:r>
      <w:bookmarkEnd w:id="129"/>
      <w:bookmarkEnd w:id="130"/>
      <w:bookmarkEnd w:id="131"/>
      <w:bookmarkEnd w:id="132"/>
      <w:bookmarkEnd w:id="133"/>
    </w:p>
    <w:p w14:paraId="5101203E">
      <w:pPr>
        <w:widowControl/>
        <w:jc w:val="left"/>
        <w:rPr>
          <w:rFonts w:asciiTheme="minorHAnsi" w:hAnsiTheme="minorHAnsi"/>
          <w:b/>
          <w:bCs/>
          <w:caps/>
          <w:color w:val="000000" w:themeColor="text1"/>
          <w:sz w:val="36"/>
          <w:szCs w:val="20"/>
          <w14:textFill>
            <w14:solidFill>
              <w14:schemeClr w14:val="tx1"/>
            </w14:solidFill>
          </w14:textFill>
        </w:rPr>
      </w:pPr>
      <w:bookmarkStart w:id="134" w:name="_Toc19543345"/>
      <w:r>
        <w:rPr>
          <w:color w:val="000000" w:themeColor="text1"/>
          <w:sz w:val="36"/>
          <w14:textFill>
            <w14:solidFill>
              <w14:schemeClr w14:val="tx1"/>
            </w14:solidFill>
          </w14:textFill>
        </w:rPr>
        <w:br w:type="page"/>
      </w:r>
    </w:p>
    <w:p w14:paraId="5B067F5F">
      <w:pPr>
        <w:pStyle w:val="31"/>
        <w:numPr>
          <w:ilvl w:val="0"/>
          <w:numId w:val="13"/>
        </w:numPr>
        <w:spacing w:before="0" w:after="0" w:line="420" w:lineRule="exact"/>
        <w:jc w:val="center"/>
        <w:outlineLvl w:val="0"/>
        <w:rPr>
          <w:color w:val="auto"/>
          <w:sz w:val="36"/>
        </w:rPr>
      </w:pPr>
      <w:r>
        <w:rPr>
          <w:rFonts w:hint="eastAsia"/>
          <w:color w:val="auto"/>
          <w:sz w:val="36"/>
        </w:rPr>
        <w:t xml:space="preserve"> </w:t>
      </w:r>
      <w:bookmarkStart w:id="135" w:name="_Toc3957"/>
      <w:r>
        <w:rPr>
          <w:rFonts w:hint="eastAsia"/>
          <w:color w:val="auto"/>
          <w:sz w:val="36"/>
        </w:rPr>
        <w:t>评分</w:t>
      </w:r>
      <w:r>
        <w:rPr>
          <w:color w:val="auto"/>
          <w:sz w:val="36"/>
        </w:rPr>
        <w:t>标准</w:t>
      </w:r>
      <w:bookmarkEnd w:id="134"/>
      <w:bookmarkEnd w:id="135"/>
      <w:bookmarkStart w:id="136" w:name="_Toc262"/>
    </w:p>
    <w:tbl>
      <w:tblPr>
        <w:tblStyle w:val="46"/>
        <w:tblW w:w="9635" w:type="dxa"/>
        <w:jc w:val="center"/>
        <w:tblLayout w:type="fixed"/>
        <w:tblCellMar>
          <w:top w:w="0" w:type="dxa"/>
          <w:left w:w="108" w:type="dxa"/>
          <w:bottom w:w="0" w:type="dxa"/>
          <w:right w:w="108" w:type="dxa"/>
        </w:tblCellMar>
      </w:tblPr>
      <w:tblGrid>
        <w:gridCol w:w="503"/>
        <w:gridCol w:w="1179"/>
        <w:gridCol w:w="7953"/>
      </w:tblGrid>
      <w:tr w14:paraId="09EC9E55">
        <w:tblPrEx>
          <w:tblCellMar>
            <w:top w:w="0" w:type="dxa"/>
            <w:left w:w="108" w:type="dxa"/>
            <w:bottom w:w="0" w:type="dxa"/>
            <w:right w:w="108" w:type="dxa"/>
          </w:tblCellMar>
        </w:tblPrEx>
        <w:trPr>
          <w:trHeight w:val="764" w:hRule="atLeast"/>
          <w:jc w:val="center"/>
        </w:trPr>
        <w:tc>
          <w:tcPr>
            <w:tcW w:w="503" w:type="dxa"/>
            <w:tcBorders>
              <w:top w:val="single" w:color="auto" w:sz="4" w:space="0"/>
              <w:left w:val="single" w:color="auto" w:sz="4" w:space="0"/>
              <w:bottom w:val="single" w:color="000000" w:sz="6" w:space="0"/>
              <w:right w:val="single" w:color="000000" w:sz="6" w:space="0"/>
            </w:tcBorders>
            <w:vAlign w:val="center"/>
          </w:tcPr>
          <w:p w14:paraId="7B1DF122">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179" w:type="dxa"/>
            <w:tcBorders>
              <w:top w:val="single" w:color="auto" w:sz="4" w:space="0"/>
              <w:left w:val="single" w:color="000000" w:sz="6" w:space="0"/>
              <w:bottom w:val="single" w:color="000000" w:sz="6" w:space="0"/>
              <w:right w:val="single" w:color="auto" w:sz="4" w:space="0"/>
            </w:tcBorders>
            <w:vAlign w:val="center"/>
          </w:tcPr>
          <w:p w14:paraId="6910340C">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评审因素</w:t>
            </w:r>
          </w:p>
          <w:p w14:paraId="7623FD4D">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及</w:t>
            </w:r>
            <w:r>
              <w:rPr>
                <w:rFonts w:hint="eastAsia" w:ascii="宋体" w:hAnsi="宋体" w:eastAsia="宋体" w:cs="宋体"/>
                <w:b w:val="0"/>
                <w:bCs/>
                <w:color w:val="auto"/>
                <w:kern w:val="0"/>
                <w:sz w:val="24"/>
                <w:szCs w:val="24"/>
              </w:rPr>
              <w:t>权值</w:t>
            </w:r>
          </w:p>
        </w:tc>
        <w:tc>
          <w:tcPr>
            <w:tcW w:w="7953" w:type="dxa"/>
            <w:tcBorders>
              <w:top w:val="single" w:color="auto" w:sz="4" w:space="0"/>
              <w:left w:val="single" w:color="000000" w:sz="6" w:space="0"/>
              <w:bottom w:val="single" w:color="000000" w:sz="6" w:space="0"/>
              <w:right w:val="single" w:color="auto" w:sz="4" w:space="0"/>
            </w:tcBorders>
            <w:vAlign w:val="center"/>
          </w:tcPr>
          <w:p w14:paraId="1E8CE894">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评审标准</w:t>
            </w:r>
          </w:p>
        </w:tc>
      </w:tr>
      <w:tr w14:paraId="2918B610">
        <w:tblPrEx>
          <w:tblCellMar>
            <w:top w:w="0" w:type="dxa"/>
            <w:left w:w="108" w:type="dxa"/>
            <w:bottom w:w="0" w:type="dxa"/>
            <w:right w:w="108" w:type="dxa"/>
          </w:tblCellMar>
        </w:tblPrEx>
        <w:trPr>
          <w:trHeight w:val="107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6173947B">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179" w:type="dxa"/>
            <w:tcBorders>
              <w:top w:val="single" w:color="000000" w:sz="6" w:space="0"/>
              <w:left w:val="single" w:color="000000" w:sz="6" w:space="0"/>
              <w:bottom w:val="single" w:color="000000" w:sz="6" w:space="0"/>
              <w:right w:val="single" w:color="auto" w:sz="4" w:space="0"/>
            </w:tcBorders>
            <w:vAlign w:val="center"/>
          </w:tcPr>
          <w:p w14:paraId="648B5ED7">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投标报价</w:t>
            </w:r>
          </w:p>
          <w:p w14:paraId="4E1DACA1">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000000" w:sz="6" w:space="0"/>
              <w:bottom w:val="single" w:color="000000" w:sz="6" w:space="0"/>
              <w:right w:val="single" w:color="auto" w:sz="4" w:space="0"/>
            </w:tcBorders>
            <w:vAlign w:val="center"/>
          </w:tcPr>
          <w:p w14:paraId="7040B400">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满足磋商文件要求且最后报价最低的供应商的价格为基准价得</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分，其他各供应商的最后报价得分按下列公式计：（基准价/投标报价）×</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%×100。</w:t>
            </w:r>
          </w:p>
        </w:tc>
      </w:tr>
      <w:tr w14:paraId="255AC418">
        <w:tblPrEx>
          <w:tblCellMar>
            <w:top w:w="0" w:type="dxa"/>
            <w:left w:w="108" w:type="dxa"/>
            <w:bottom w:w="0" w:type="dxa"/>
            <w:right w:w="108" w:type="dxa"/>
          </w:tblCellMar>
        </w:tblPrEx>
        <w:trPr>
          <w:trHeight w:val="9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44E32483">
            <w:pPr>
              <w:spacing w:line="360" w:lineRule="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w:t>
            </w:r>
          </w:p>
        </w:tc>
        <w:tc>
          <w:tcPr>
            <w:tcW w:w="1179" w:type="dxa"/>
            <w:tcBorders>
              <w:top w:val="single" w:color="000000" w:sz="6" w:space="0"/>
              <w:left w:val="single" w:color="000000" w:sz="6" w:space="0"/>
              <w:bottom w:val="single" w:color="000000" w:sz="6" w:space="0"/>
              <w:right w:val="single" w:color="auto" w:sz="4" w:space="0"/>
            </w:tcBorders>
            <w:vAlign w:val="center"/>
          </w:tcPr>
          <w:p w14:paraId="1C7778A6">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商务响应</w:t>
            </w:r>
          </w:p>
          <w:p w14:paraId="5D774241">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（5分）</w:t>
            </w:r>
          </w:p>
        </w:tc>
        <w:tc>
          <w:tcPr>
            <w:tcW w:w="7953" w:type="dxa"/>
            <w:tcBorders>
              <w:top w:val="single" w:color="000000" w:sz="6" w:space="0"/>
              <w:left w:val="single" w:color="000000" w:sz="6" w:space="0"/>
              <w:bottom w:val="single" w:color="000000" w:sz="6" w:space="0"/>
              <w:right w:val="single" w:color="auto" w:sz="4" w:space="0"/>
            </w:tcBorders>
            <w:vAlign w:val="center"/>
          </w:tcPr>
          <w:p w14:paraId="297E405A">
            <w:pPr>
              <w:spacing w:line="360" w:lineRule="auto"/>
              <w:rPr>
                <w:rFonts w:hint="eastAsia" w:ascii="宋体" w:hAnsi="宋体" w:eastAsia="宋体" w:cs="宋体"/>
                <w:b w:val="0"/>
                <w:bCs/>
                <w:color w:val="auto"/>
                <w:kern w:val="0"/>
                <w:sz w:val="24"/>
                <w:szCs w:val="24"/>
              </w:rPr>
            </w:pPr>
            <w:r>
              <w:rPr>
                <w:rFonts w:hint="eastAsia" w:ascii="宋体" w:hAnsi="宋体" w:eastAsia="宋体" w:cs="宋体"/>
                <w:color w:val="000000"/>
                <w:sz w:val="24"/>
                <w:szCs w:val="24"/>
                <w:highlight w:val="none"/>
                <w:lang w:val="zh-CN"/>
              </w:rPr>
              <w:t>经过有效性和符合性审核合格的投标人，对商务要求完全响应且优于</w:t>
            </w:r>
            <w:r>
              <w:rPr>
                <w:rFonts w:hint="eastAsia" w:ascii="宋体" w:hAnsi="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rPr>
              <w:t>文件要求的计5分</w:t>
            </w:r>
            <w:r>
              <w:rPr>
                <w:rFonts w:hint="eastAsia" w:ascii="宋体" w:hAnsi="宋体" w:eastAsia="宋体" w:cs="宋体"/>
                <w:color w:val="000000"/>
                <w:sz w:val="24"/>
                <w:szCs w:val="24"/>
                <w:highlight w:val="none"/>
              </w:rPr>
              <w:t>，未做详细响应的，按响应程度低于评标基准的赋1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4分。</w:t>
            </w:r>
          </w:p>
        </w:tc>
      </w:tr>
      <w:tr w14:paraId="25A47765">
        <w:tblPrEx>
          <w:tblCellMar>
            <w:top w:w="0" w:type="dxa"/>
            <w:left w:w="108" w:type="dxa"/>
            <w:bottom w:w="0" w:type="dxa"/>
            <w:right w:w="108" w:type="dxa"/>
          </w:tblCellMar>
        </w:tblPrEx>
        <w:trPr>
          <w:trHeight w:val="2710" w:hRule="atLeast"/>
          <w:jc w:val="center"/>
        </w:trPr>
        <w:tc>
          <w:tcPr>
            <w:tcW w:w="503" w:type="dxa"/>
            <w:vMerge w:val="restart"/>
            <w:tcBorders>
              <w:top w:val="single" w:color="000000" w:sz="6" w:space="0"/>
              <w:left w:val="single" w:color="auto" w:sz="4" w:space="0"/>
              <w:right w:val="single" w:color="000000" w:sz="6" w:space="0"/>
            </w:tcBorders>
            <w:vAlign w:val="center"/>
          </w:tcPr>
          <w:p w14:paraId="3AE8CBA2">
            <w:pPr>
              <w:spacing w:line="360" w:lineRule="auto"/>
              <w:rPr>
                <w:rFonts w:hint="eastAsia" w:ascii="宋体" w:hAnsi="宋体" w:eastAsia="宋体" w:cs="宋体"/>
                <w:b w:val="0"/>
                <w:bCs/>
                <w:color w:val="FF0000"/>
                <w:kern w:val="0"/>
                <w:sz w:val="24"/>
                <w:szCs w:val="24"/>
                <w:lang w:eastAsia="zh-CN"/>
              </w:rPr>
            </w:pPr>
            <w:r>
              <w:rPr>
                <w:rFonts w:hint="eastAsia" w:ascii="宋体" w:hAnsi="宋体" w:cs="宋体"/>
                <w:b w:val="0"/>
                <w:bCs/>
                <w:color w:val="auto"/>
                <w:kern w:val="0"/>
                <w:sz w:val="24"/>
                <w:szCs w:val="24"/>
                <w:lang w:val="en-US" w:eastAsia="zh-CN"/>
              </w:rPr>
              <w:t>3</w:t>
            </w:r>
          </w:p>
        </w:tc>
        <w:tc>
          <w:tcPr>
            <w:tcW w:w="1179" w:type="dxa"/>
            <w:vMerge w:val="restart"/>
            <w:tcBorders>
              <w:top w:val="single" w:color="000000" w:sz="6" w:space="0"/>
              <w:left w:val="single" w:color="000000" w:sz="6" w:space="0"/>
              <w:right w:val="single" w:color="auto" w:sz="4" w:space="0"/>
            </w:tcBorders>
            <w:vAlign w:val="center"/>
          </w:tcPr>
          <w:p w14:paraId="32BFD92A">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服务方案（</w:t>
            </w: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val="en-US" w:eastAsia="zh-CN"/>
              </w:rPr>
              <w:t>分）</w:t>
            </w:r>
          </w:p>
          <w:p w14:paraId="0DF983F6">
            <w:pPr>
              <w:spacing w:line="360" w:lineRule="auto"/>
              <w:jc w:val="center"/>
              <w:rPr>
                <w:rFonts w:hint="default" w:ascii="宋体" w:hAnsi="宋体" w:eastAsia="宋体" w:cs="宋体"/>
                <w:color w:val="000000"/>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5A2844A9">
            <w:pPr>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项目实施方案（15分）</w:t>
            </w:r>
          </w:p>
          <w:p w14:paraId="4EA345B3">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提供针对本项目的实施方案，要求具有针对性、科学性且能够完全满足采购人需求，包括但不限于整体维保服务方案（包含：日常、月度、年度维保方案）、工作方法、有详细的维保制度、维保计划、操作规程等。 </w:t>
            </w:r>
          </w:p>
          <w:p w14:paraId="5F028B0E">
            <w:pPr>
              <w:numPr>
                <w:ilvl w:val="0"/>
                <w:numId w:val="0"/>
              </w:num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highlight w:val="none"/>
                <w:lang w:val="en-US" w:eastAsia="zh-CN"/>
              </w:rPr>
              <w:t>实施方案操作性强、安全度高、方案清晰、方法合理、操作性强且满足采购需求的，计11-15 分；</w:t>
            </w:r>
          </w:p>
          <w:p w14:paraId="57C070A8">
            <w:pPr>
              <w:numPr>
                <w:ilvl w:val="0"/>
                <w:numId w:val="0"/>
              </w:numPr>
              <w:spacing w:line="360" w:lineRule="auto"/>
              <w:rPr>
                <w:rFonts w:hint="eastAsi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highlight w:val="none"/>
                <w:lang w:val="en-US" w:eastAsia="zh-CN"/>
              </w:rPr>
              <w:t>方案基本清晰、方法基本合理、能够满足采购人需求，得5-10 分； （3）方案及方法能够满足采购人部分需求的，得0-4 分。</w:t>
            </w:r>
          </w:p>
        </w:tc>
      </w:tr>
      <w:tr w14:paraId="6D8813DB">
        <w:tblPrEx>
          <w:tblCellMar>
            <w:top w:w="0" w:type="dxa"/>
            <w:left w:w="108" w:type="dxa"/>
            <w:bottom w:w="0" w:type="dxa"/>
            <w:right w:w="108" w:type="dxa"/>
          </w:tblCellMar>
        </w:tblPrEx>
        <w:trPr>
          <w:trHeight w:val="3168" w:hRule="atLeast"/>
          <w:jc w:val="center"/>
        </w:trPr>
        <w:tc>
          <w:tcPr>
            <w:tcW w:w="503" w:type="dxa"/>
            <w:vMerge w:val="continue"/>
            <w:tcBorders>
              <w:left w:val="single" w:color="auto" w:sz="4" w:space="0"/>
              <w:right w:val="single" w:color="000000" w:sz="6" w:space="0"/>
            </w:tcBorders>
            <w:vAlign w:val="center"/>
          </w:tcPr>
          <w:p w14:paraId="0052A05F">
            <w:pPr>
              <w:spacing w:line="360" w:lineRule="auto"/>
              <w:rPr>
                <w:rFonts w:hint="eastAsia" w:ascii="宋体" w:hAnsi="宋体" w:eastAsia="宋体" w:cs="宋体"/>
                <w:b w:val="0"/>
                <w:bCs/>
                <w:color w:val="FF0000"/>
                <w:kern w:val="0"/>
                <w:sz w:val="24"/>
                <w:szCs w:val="24"/>
              </w:rPr>
            </w:pPr>
          </w:p>
        </w:tc>
        <w:tc>
          <w:tcPr>
            <w:tcW w:w="1179" w:type="dxa"/>
            <w:vMerge w:val="continue"/>
            <w:tcBorders>
              <w:left w:val="single" w:color="000000" w:sz="6" w:space="0"/>
              <w:right w:val="single" w:color="auto" w:sz="4" w:space="0"/>
            </w:tcBorders>
            <w:vAlign w:val="center"/>
          </w:tcPr>
          <w:p w14:paraId="6F380934">
            <w:pPr>
              <w:spacing w:line="360" w:lineRule="auto"/>
              <w:jc w:val="center"/>
              <w:rPr>
                <w:rFonts w:hint="default" w:ascii="宋体" w:hAnsi="宋体" w:eastAsia="宋体" w:cs="宋体"/>
                <w:color w:val="000000"/>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7E75EF6E">
            <w:pPr>
              <w:numPr>
                <w:ilvl w:val="0"/>
                <w:numId w:val="0"/>
              </w:numPr>
              <w:spacing w:line="36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highlight w:val="none"/>
                <w:lang w:val="en-US" w:eastAsia="zh-CN"/>
              </w:rPr>
              <w:t>人员配置及组织架构（</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p w14:paraId="4E7F8D02">
            <w:pPr>
              <w:numPr>
                <w:ilvl w:val="0"/>
                <w:numId w:val="0"/>
              </w:numPr>
              <w:spacing w:line="360" w:lineRule="auto"/>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维保运行人员及专业设置合理、工作计划及轮换制度科学，项目管理组织架构合理、维保运行人员经 验丰富，提供职员主要资历、经验（提供相关材料， 如有经验应提供相关业绩证明）。 </w:t>
            </w:r>
          </w:p>
          <w:p w14:paraId="0EF26D31">
            <w:pPr>
              <w:numPr>
                <w:ilvl w:val="0"/>
                <w:numId w:val="0"/>
              </w:numPr>
              <w:spacing w:line="360" w:lineRule="auto"/>
              <w:jc w:val="left"/>
              <w:rPr>
                <w:rFonts w:ascii="宋体" w:hAnsi="宋体" w:eastAsia="宋体" w:cs="宋体"/>
                <w:b w:val="0"/>
                <w:bCs w:val="0"/>
                <w:color w:val="000000"/>
                <w:sz w:val="24"/>
                <w:szCs w:val="24"/>
              </w:rPr>
            </w:pPr>
            <w:r>
              <w:rPr>
                <w:rFonts w:ascii="宋体" w:hAnsi="宋体" w:eastAsia="宋体" w:cs="宋体"/>
                <w:b w:val="0"/>
                <w:bCs w:val="0"/>
                <w:color w:val="000000"/>
                <w:kern w:val="2"/>
                <w:sz w:val="24"/>
                <w:szCs w:val="24"/>
                <w:lang w:val="en-US" w:eastAsia="zh-CN" w:bidi="ar-SA"/>
              </w:rPr>
              <w:t>（1）</w:t>
            </w:r>
            <w:r>
              <w:rPr>
                <w:rFonts w:ascii="宋体" w:hAnsi="宋体" w:eastAsia="宋体" w:cs="宋体"/>
                <w:b w:val="0"/>
                <w:bCs w:val="0"/>
                <w:color w:val="000000"/>
                <w:sz w:val="24"/>
                <w:szCs w:val="24"/>
              </w:rPr>
              <w:t xml:space="preserve">组织架构合理，职员配备充足、专业设置合 理，维保运行人员经验丰富的计 11-15 分； </w:t>
            </w:r>
          </w:p>
          <w:p w14:paraId="766719E5">
            <w:pPr>
              <w:numPr>
                <w:ilvl w:val="0"/>
                <w:numId w:val="0"/>
              </w:numPr>
              <w:spacing w:line="360" w:lineRule="auto"/>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（2）项目架构基本合理，职员配备基本完整的计</w:t>
            </w:r>
            <w:r>
              <w:rPr>
                <w:rFonts w:hint="eastAsia" w:ascii="宋体" w:hAnsi="宋体" w:eastAsia="宋体" w:cs="宋体"/>
                <w:b w:val="0"/>
                <w:bCs w:val="0"/>
                <w:color w:val="000000"/>
                <w:sz w:val="24"/>
                <w:szCs w:val="24"/>
                <w:lang w:val="en-US" w:eastAsia="zh-CN"/>
              </w:rPr>
              <w:t>5</w:t>
            </w:r>
            <w:r>
              <w:rPr>
                <w:rFonts w:ascii="宋体" w:hAnsi="宋体" w:eastAsia="宋体" w:cs="宋体"/>
                <w:b w:val="0"/>
                <w:bCs w:val="0"/>
                <w:color w:val="000000"/>
                <w:sz w:val="24"/>
                <w:szCs w:val="24"/>
              </w:rPr>
              <w:t xml:space="preserve">-10 分； </w:t>
            </w:r>
          </w:p>
          <w:p w14:paraId="25E2BF64">
            <w:pPr>
              <w:numPr>
                <w:ilvl w:val="0"/>
                <w:numId w:val="0"/>
              </w:numPr>
              <w:spacing w:line="360" w:lineRule="auto"/>
              <w:jc w:val="left"/>
              <w:rPr>
                <w:rFonts w:hint="eastAsia" w:ascii="宋体" w:hAnsi="宋体" w:eastAsia="宋体" w:cs="宋体"/>
                <w:b w:val="0"/>
                <w:bCs/>
                <w:color w:val="FF0000"/>
                <w:kern w:val="0"/>
                <w:sz w:val="24"/>
                <w:szCs w:val="24"/>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）项目架构有缺陷，职员配备只能满足采购人部分需求的计0-</w:t>
            </w:r>
            <w:r>
              <w:rPr>
                <w:rFonts w:hint="eastAsia" w:ascii="宋体" w:hAnsi="宋体" w:eastAsia="宋体" w:cs="宋体"/>
                <w:b w:val="0"/>
                <w:bCs w:val="0"/>
                <w:color w:val="000000"/>
                <w:sz w:val="24"/>
                <w:szCs w:val="24"/>
                <w:lang w:val="en-US" w:eastAsia="zh-CN"/>
              </w:rPr>
              <w:t>4</w:t>
            </w:r>
            <w:r>
              <w:rPr>
                <w:rFonts w:ascii="宋体" w:hAnsi="宋体" w:eastAsia="宋体" w:cs="宋体"/>
                <w:b w:val="0"/>
                <w:bCs w:val="0"/>
                <w:color w:val="000000"/>
                <w:sz w:val="24"/>
                <w:szCs w:val="24"/>
              </w:rPr>
              <w:t xml:space="preserve"> 分。</w:t>
            </w:r>
          </w:p>
        </w:tc>
      </w:tr>
      <w:tr w14:paraId="09760653">
        <w:tblPrEx>
          <w:tblCellMar>
            <w:top w:w="0" w:type="dxa"/>
            <w:left w:w="108" w:type="dxa"/>
            <w:bottom w:w="0" w:type="dxa"/>
            <w:right w:w="108" w:type="dxa"/>
          </w:tblCellMar>
        </w:tblPrEx>
        <w:trPr>
          <w:trHeight w:val="3285" w:hRule="atLeast"/>
          <w:jc w:val="center"/>
        </w:trPr>
        <w:tc>
          <w:tcPr>
            <w:tcW w:w="503" w:type="dxa"/>
            <w:vMerge w:val="continue"/>
            <w:tcBorders>
              <w:left w:val="single" w:color="auto" w:sz="4" w:space="0"/>
              <w:right w:val="single" w:color="000000" w:sz="6" w:space="0"/>
            </w:tcBorders>
            <w:vAlign w:val="center"/>
          </w:tcPr>
          <w:p w14:paraId="05F92373">
            <w:pPr>
              <w:spacing w:line="360" w:lineRule="auto"/>
              <w:rPr>
                <w:rFonts w:hint="eastAsia" w:ascii="宋体" w:hAnsi="宋体" w:eastAsia="宋体" w:cs="宋体"/>
                <w:b w:val="0"/>
                <w:bCs/>
                <w:color w:val="FF0000"/>
                <w:kern w:val="0"/>
                <w:sz w:val="24"/>
                <w:szCs w:val="24"/>
              </w:rPr>
            </w:pPr>
          </w:p>
        </w:tc>
        <w:tc>
          <w:tcPr>
            <w:tcW w:w="1179" w:type="dxa"/>
            <w:vMerge w:val="continue"/>
            <w:tcBorders>
              <w:left w:val="single" w:color="000000" w:sz="6" w:space="0"/>
              <w:bottom w:val="single" w:color="000000" w:sz="6" w:space="0"/>
              <w:right w:val="single" w:color="auto" w:sz="4" w:space="0"/>
            </w:tcBorders>
            <w:vAlign w:val="center"/>
          </w:tcPr>
          <w:p w14:paraId="0C02A275">
            <w:pPr>
              <w:spacing w:line="360" w:lineRule="auto"/>
              <w:jc w:val="center"/>
              <w:rPr>
                <w:rFonts w:hint="default" w:ascii="宋体" w:hAnsi="宋体" w:eastAsia="宋体" w:cs="宋体"/>
                <w:b w:val="0"/>
                <w:bCs/>
                <w:color w:val="FF0000"/>
                <w:kern w:val="0"/>
                <w:sz w:val="24"/>
                <w:szCs w:val="24"/>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1EB50975">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维保服务分析（10分）</w:t>
            </w:r>
          </w:p>
          <w:p w14:paraId="28C7E8DA">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针对设备运行中可能出现的问题及重大故障，有</w:t>
            </w:r>
            <w:r>
              <w:rPr>
                <w:rFonts w:hint="eastAsia" w:ascii="宋体" w:hAnsi="宋体" w:eastAsia="宋体" w:cs="宋体"/>
                <w:color w:val="000000"/>
                <w:sz w:val="24"/>
                <w:szCs w:val="24"/>
                <w:highlight w:val="none"/>
                <w:lang w:val="zh-CN"/>
              </w:rPr>
              <w:t>行之有效</w:t>
            </w:r>
            <w:r>
              <w:rPr>
                <w:rFonts w:hint="eastAsia" w:ascii="宋体" w:hAnsi="宋体" w:eastAsia="宋体" w:cs="宋体"/>
                <w:color w:val="000000"/>
                <w:sz w:val="24"/>
                <w:szCs w:val="24"/>
                <w:highlight w:val="none"/>
                <w:lang w:val="zh-CN" w:eastAsia="zh-CN"/>
              </w:rPr>
              <w:t>的</w:t>
            </w:r>
            <w:r>
              <w:rPr>
                <w:rFonts w:hint="eastAsia" w:ascii="宋体" w:hAnsi="宋体" w:eastAsia="宋体" w:cs="宋体"/>
                <w:color w:val="000000"/>
                <w:sz w:val="24"/>
                <w:szCs w:val="24"/>
                <w:highlight w:val="none"/>
                <w:lang w:val="en-US" w:eastAsia="zh-CN"/>
              </w:rPr>
              <w:t>措施和</w:t>
            </w:r>
            <w:r>
              <w:rPr>
                <w:rFonts w:hint="eastAsia" w:ascii="宋体" w:hAnsi="宋体" w:eastAsia="宋体" w:cs="宋体"/>
                <w:color w:val="000000"/>
                <w:sz w:val="24"/>
                <w:szCs w:val="24"/>
                <w:highlight w:val="none"/>
                <w:lang w:val="zh-CN"/>
              </w:rPr>
              <w:t>详细具体</w:t>
            </w:r>
            <w:r>
              <w:rPr>
                <w:rFonts w:hint="eastAsia" w:ascii="宋体" w:hAnsi="宋体" w:eastAsia="宋体" w:cs="宋体"/>
                <w:color w:val="000000"/>
                <w:sz w:val="24"/>
                <w:szCs w:val="24"/>
                <w:highlight w:val="none"/>
                <w:lang w:val="zh-CN" w:eastAsia="zh-CN"/>
              </w:rPr>
              <w:t>的</w:t>
            </w:r>
            <w:r>
              <w:rPr>
                <w:rFonts w:hint="eastAsia" w:ascii="宋体" w:hAnsi="宋体" w:eastAsia="宋体" w:cs="宋体"/>
                <w:color w:val="000000"/>
                <w:sz w:val="24"/>
                <w:szCs w:val="24"/>
                <w:highlight w:val="none"/>
                <w:lang w:val="en-US" w:eastAsia="zh-CN"/>
              </w:rPr>
              <w:t>解决方案，对故障响应时间、维修服务时限及特殊情况下不能及时排除故障造成损失的赔偿方案等方面有明确的措施及承诺，</w:t>
            </w:r>
          </w:p>
          <w:p w14:paraId="4BC5B24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对故障及问题分析理解透彻，措施科学合理、承诺全面的计</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分析</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较为全面、措施及承诺基本满足采购需求的计4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793928E7">
            <w:pPr>
              <w:numPr>
                <w:ilvl w:val="0"/>
                <w:numId w:val="0"/>
              </w:numPr>
              <w:spacing w:line="360" w:lineRule="auto"/>
              <w:jc w:val="left"/>
              <w:rPr>
                <w:rFonts w:hint="eastAsia" w:ascii="宋体" w:hAnsi="宋体" w:eastAsia="宋体" w:cs="宋体"/>
                <w:b w:val="0"/>
                <w:bCs/>
                <w:color w:val="FF0000"/>
                <w:kern w:val="0"/>
                <w:sz w:val="24"/>
                <w:szCs w:val="24"/>
              </w:rPr>
            </w:pPr>
            <w:r>
              <w:rPr>
                <w:rFonts w:hint="eastAsia" w:ascii="宋体" w:hAnsi="宋体" w:eastAsia="宋体" w:cs="宋体"/>
                <w:b w:val="0"/>
                <w:bCs/>
                <w:color w:val="auto"/>
                <w:kern w:val="0"/>
                <w:sz w:val="24"/>
                <w:szCs w:val="24"/>
                <w:lang w:val="en-US" w:eastAsia="zh-CN" w:bidi="ar-SA"/>
              </w:rPr>
              <w:t>（</w:t>
            </w: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w:t>
            </w:r>
            <w:r>
              <w:rPr>
                <w:rFonts w:hint="eastAsia" w:ascii="宋体" w:hAnsi="宋体" w:eastAsia="宋体" w:cs="宋体"/>
                <w:color w:val="auto"/>
                <w:sz w:val="24"/>
                <w:szCs w:val="24"/>
                <w:highlight w:val="none"/>
                <w:lang w:val="en-US" w:eastAsia="zh-CN"/>
              </w:rPr>
              <w:t>分析及措施存在缺陷或不足、承诺无法满足采购需求的计0-3分。</w:t>
            </w:r>
          </w:p>
        </w:tc>
      </w:tr>
      <w:tr w14:paraId="693F0E97">
        <w:tblPrEx>
          <w:tblCellMar>
            <w:top w:w="0" w:type="dxa"/>
            <w:left w:w="108" w:type="dxa"/>
            <w:bottom w:w="0" w:type="dxa"/>
            <w:right w:w="108" w:type="dxa"/>
          </w:tblCellMar>
        </w:tblPrEx>
        <w:trPr>
          <w:trHeight w:val="1623" w:hRule="atLeast"/>
          <w:jc w:val="center"/>
        </w:trPr>
        <w:tc>
          <w:tcPr>
            <w:tcW w:w="503" w:type="dxa"/>
            <w:vMerge w:val="continue"/>
            <w:tcBorders>
              <w:left w:val="single" w:color="auto" w:sz="4" w:space="0"/>
              <w:right w:val="single" w:color="000000" w:sz="6" w:space="0"/>
            </w:tcBorders>
            <w:vAlign w:val="center"/>
          </w:tcPr>
          <w:p w14:paraId="5DDCFF4F">
            <w:pPr>
              <w:spacing w:line="360" w:lineRule="auto"/>
              <w:rPr>
                <w:rFonts w:hint="eastAsia" w:ascii="宋体" w:hAnsi="宋体" w:eastAsia="宋体" w:cs="宋体"/>
                <w:b w:val="0"/>
                <w:bCs/>
                <w:color w:val="FF0000"/>
                <w:kern w:val="0"/>
                <w:sz w:val="24"/>
                <w:szCs w:val="24"/>
              </w:rPr>
            </w:pPr>
          </w:p>
        </w:tc>
        <w:tc>
          <w:tcPr>
            <w:tcW w:w="1179" w:type="dxa"/>
            <w:vMerge w:val="restart"/>
            <w:tcBorders>
              <w:top w:val="single" w:color="000000" w:sz="6" w:space="0"/>
              <w:left w:val="single" w:color="000000" w:sz="6" w:space="0"/>
              <w:right w:val="single" w:color="auto" w:sz="4" w:space="0"/>
            </w:tcBorders>
            <w:vAlign w:val="center"/>
          </w:tcPr>
          <w:p w14:paraId="7B82FC71">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服务能力（</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zh-CN"/>
              </w:rPr>
              <w:t>分）</w:t>
            </w:r>
          </w:p>
        </w:tc>
        <w:tc>
          <w:tcPr>
            <w:tcW w:w="7953" w:type="dxa"/>
            <w:tcBorders>
              <w:top w:val="single" w:color="000000" w:sz="6" w:space="0"/>
              <w:left w:val="single" w:color="000000" w:sz="6" w:space="0"/>
              <w:bottom w:val="single" w:color="000000" w:sz="6" w:space="0"/>
              <w:right w:val="single" w:color="auto" w:sz="4" w:space="0"/>
            </w:tcBorders>
          </w:tcPr>
          <w:p w14:paraId="0FEF8DC2">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内控制度（</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分）</w:t>
            </w:r>
          </w:p>
          <w:p w14:paraId="7E33A863">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000000"/>
                <w:sz w:val="24"/>
                <w:szCs w:val="24"/>
                <w:highlight w:val="none"/>
                <w:lang w:val="en-US" w:eastAsia="zh-CN"/>
              </w:rPr>
              <w:t>投标人有健全的内控制度，有针对本项目的具体的工作方法、</w:t>
            </w:r>
            <w:r>
              <w:rPr>
                <w:rFonts w:hint="eastAsia" w:ascii="宋体" w:hAnsi="宋体" w:eastAsia="宋体" w:cs="宋体"/>
                <w:color w:val="000000"/>
                <w:sz w:val="24"/>
                <w:szCs w:val="24"/>
                <w:highlight w:val="none"/>
                <w:lang w:val="zh-CN"/>
              </w:rPr>
              <w:t>有详细的维保制度、维保计划、操作规程</w:t>
            </w:r>
            <w:r>
              <w:rPr>
                <w:rFonts w:hint="eastAsia" w:ascii="宋体" w:hAnsi="宋体" w:eastAsia="宋体" w:cs="宋体"/>
                <w:color w:val="000000"/>
                <w:sz w:val="24"/>
                <w:szCs w:val="24"/>
                <w:highlight w:val="none"/>
                <w:lang w:val="en-US" w:eastAsia="zh-CN"/>
              </w:rPr>
              <w:t>等计</w:t>
            </w:r>
            <w:r>
              <w:rPr>
                <w:rFonts w:hint="eastAsia" w:ascii="宋体" w:hAnsi="宋体" w:cs="宋体"/>
                <w:color w:val="000000"/>
                <w:sz w:val="24"/>
                <w:szCs w:val="24"/>
                <w:highlight w:val="none"/>
                <w:lang w:val="en-US" w:eastAsia="zh-CN"/>
              </w:rPr>
              <w:t>6—8</w:t>
            </w:r>
            <w:r>
              <w:rPr>
                <w:rFonts w:hint="eastAsia" w:ascii="宋体" w:hAnsi="宋体" w:eastAsia="宋体" w:cs="宋体"/>
                <w:color w:val="000000"/>
                <w:sz w:val="24"/>
                <w:szCs w:val="24"/>
                <w:highlight w:val="none"/>
                <w:lang w:val="en-US" w:eastAsia="zh-CN"/>
              </w:rPr>
              <w:t>分；</w:t>
            </w:r>
          </w:p>
          <w:p w14:paraId="224BC77E">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000000"/>
                <w:sz w:val="24"/>
                <w:szCs w:val="24"/>
                <w:highlight w:val="none"/>
                <w:lang w:val="en-US" w:eastAsia="zh-CN"/>
              </w:rPr>
              <w:t>内控制度较完善，工作方法较具体，维保制度、维保计划、操作规程基本详细的计</w:t>
            </w:r>
            <w:r>
              <w:rPr>
                <w:rFonts w:hint="eastAsia" w:ascii="宋体" w:hAnsi="宋体" w:cs="宋体"/>
                <w:color w:val="000000"/>
                <w:sz w:val="24"/>
                <w:szCs w:val="24"/>
                <w:highlight w:val="none"/>
                <w:lang w:val="en-US" w:eastAsia="zh-CN"/>
              </w:rPr>
              <w:t>3—5</w:t>
            </w:r>
            <w:r>
              <w:rPr>
                <w:rFonts w:hint="eastAsia" w:ascii="宋体" w:hAnsi="宋体" w:eastAsia="宋体" w:cs="宋体"/>
                <w:color w:val="000000"/>
                <w:sz w:val="24"/>
                <w:szCs w:val="24"/>
                <w:highlight w:val="none"/>
                <w:lang w:val="en-US" w:eastAsia="zh-CN"/>
              </w:rPr>
              <w:t>分；</w:t>
            </w:r>
          </w:p>
          <w:p w14:paraId="38491A4E">
            <w:pPr>
              <w:spacing w:line="360" w:lineRule="auto"/>
              <w:rPr>
                <w:rFonts w:hint="eastAsia" w:ascii="宋体" w:hAnsi="宋体" w:eastAsia="宋体" w:cs="宋体"/>
                <w:b w:val="0"/>
                <w:bCs/>
                <w:color w:val="FF0000"/>
                <w:kern w:val="0"/>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000000"/>
                <w:sz w:val="24"/>
                <w:szCs w:val="24"/>
                <w:highlight w:val="none"/>
                <w:lang w:val="en-US" w:eastAsia="zh-CN"/>
              </w:rPr>
              <w:t>工作方法不够具体，维保制度、维保计划、操作规程不够完善的计0-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tc>
      </w:tr>
      <w:tr w14:paraId="08ACBA12">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5FD0FC81">
            <w:pPr>
              <w:spacing w:line="360" w:lineRule="auto"/>
              <w:rPr>
                <w:rFonts w:hint="eastAsia" w:ascii="宋体" w:hAnsi="宋体" w:eastAsia="宋体" w:cs="宋体"/>
                <w:b w:val="0"/>
                <w:bCs/>
                <w:color w:val="FF0000"/>
                <w:kern w:val="0"/>
                <w:sz w:val="24"/>
                <w:szCs w:val="24"/>
              </w:rPr>
            </w:pPr>
          </w:p>
        </w:tc>
        <w:tc>
          <w:tcPr>
            <w:tcW w:w="1179" w:type="dxa"/>
            <w:vMerge w:val="continue"/>
            <w:tcBorders>
              <w:left w:val="single" w:color="000000" w:sz="6" w:space="0"/>
              <w:right w:val="single" w:color="auto" w:sz="4" w:space="0"/>
            </w:tcBorders>
            <w:vAlign w:val="center"/>
          </w:tcPr>
          <w:p w14:paraId="3C70D9C9">
            <w:pPr>
              <w:spacing w:line="360" w:lineRule="auto"/>
              <w:jc w:val="left"/>
              <w:rPr>
                <w:rFonts w:hint="default" w:ascii="宋体" w:hAnsi="宋体" w:eastAsia="宋体" w:cs="宋体"/>
                <w:color w:val="000000"/>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53F961D8">
            <w:pPr>
              <w:spacing w:line="360" w:lineRule="auto"/>
              <w:rPr>
                <w:rFonts w:hint="eastAsia" w:ascii="宋体" w:hAnsi="宋体" w:cs="宋体"/>
                <w:sz w:val="24"/>
                <w:szCs w:val="24"/>
              </w:rPr>
            </w:pPr>
            <w:r>
              <w:rPr>
                <w:rFonts w:hint="eastAsia" w:ascii="宋体" w:hAnsi="宋体" w:eastAsia="宋体" w:cs="宋体"/>
                <w:color w:val="000000"/>
                <w:sz w:val="24"/>
                <w:szCs w:val="24"/>
                <w:highlight w:val="none"/>
                <w:lang w:val="en-US" w:eastAsia="zh-CN"/>
              </w:rPr>
              <w:t>应急措施（6分）</w:t>
            </w:r>
          </w:p>
          <w:p w14:paraId="6FAF79EC">
            <w:pPr>
              <w:spacing w:line="360" w:lineRule="auto"/>
              <w:rPr>
                <w:rFonts w:hint="eastAsia" w:ascii="宋体" w:hAnsi="宋体"/>
                <w:sz w:val="24"/>
              </w:rPr>
            </w:pPr>
            <w:r>
              <w:rPr>
                <w:rFonts w:hint="eastAsia" w:ascii="宋体" w:hAnsi="宋体" w:cs="宋体"/>
                <w:sz w:val="24"/>
                <w:szCs w:val="24"/>
              </w:rPr>
              <w:t>针对本项目服务的应急预案措施，针对各类突发事件制定切实可行的应急预案措施</w:t>
            </w:r>
            <w:r>
              <w:rPr>
                <w:rFonts w:hint="eastAsia" w:ascii="宋体" w:hAnsi="宋体" w:cs="宋体"/>
                <w:sz w:val="24"/>
                <w:szCs w:val="24"/>
                <w:lang w:val="en-US" w:eastAsia="zh-CN"/>
              </w:rPr>
              <w:t>和</w:t>
            </w:r>
            <w:r>
              <w:rPr>
                <w:rFonts w:hint="eastAsia" w:ascii="宋体" w:hAnsi="宋体" w:cs="宋体"/>
                <w:sz w:val="24"/>
              </w:rPr>
              <w:t>应急演练方案</w:t>
            </w:r>
            <w:r>
              <w:rPr>
                <w:rFonts w:hint="eastAsia" w:ascii="宋体" w:hAnsi="宋体" w:cs="宋体"/>
                <w:sz w:val="24"/>
                <w:szCs w:val="24"/>
                <w:lang w:eastAsia="zh-CN"/>
              </w:rPr>
              <w:t>，</w:t>
            </w:r>
            <w:r>
              <w:rPr>
                <w:rFonts w:hint="eastAsia" w:ascii="宋体" w:hAnsi="宋体" w:cs="宋体"/>
                <w:sz w:val="24"/>
                <w:szCs w:val="24"/>
                <w:lang w:val="en-US" w:eastAsia="zh-CN"/>
              </w:rPr>
              <w:t>措施方案制定合理、完善</w:t>
            </w:r>
            <w:r>
              <w:rPr>
                <w:rFonts w:hint="eastAsia" w:ascii="宋体" w:hAnsi="宋体" w:cs="宋体"/>
                <w:sz w:val="24"/>
                <w:szCs w:val="24"/>
              </w:rPr>
              <w:t>详细</w:t>
            </w:r>
            <w:r>
              <w:rPr>
                <w:rFonts w:hint="eastAsia" w:ascii="宋体" w:hAnsi="宋体" w:cs="宋体"/>
                <w:sz w:val="24"/>
                <w:szCs w:val="24"/>
                <w:lang w:eastAsia="zh-CN"/>
              </w:rPr>
              <w:t>，</w:t>
            </w:r>
            <w:r>
              <w:rPr>
                <w:rFonts w:hint="eastAsia" w:ascii="宋体" w:hAnsi="宋体" w:cs="宋体"/>
                <w:sz w:val="24"/>
                <w:szCs w:val="24"/>
                <w:lang w:val="en-US" w:eastAsia="zh-CN"/>
              </w:rPr>
              <w:t>切实可行</w:t>
            </w:r>
            <w:r>
              <w:rPr>
                <w:rFonts w:hint="eastAsia" w:ascii="宋体" w:hAnsi="宋体" w:cs="宋体"/>
                <w:sz w:val="24"/>
                <w:szCs w:val="24"/>
              </w:rPr>
              <w:t>的计</w:t>
            </w:r>
            <w:r>
              <w:rPr>
                <w:rFonts w:hint="eastAsia" w:ascii="宋体" w:hAnsi="宋体" w:cs="宋体"/>
                <w:sz w:val="24"/>
                <w:szCs w:val="24"/>
                <w:lang w:val="en-US" w:eastAsia="zh-CN"/>
              </w:rPr>
              <w:t>5—6</w:t>
            </w:r>
            <w:r>
              <w:rPr>
                <w:rFonts w:hint="eastAsia" w:ascii="宋体" w:hAnsi="宋体" w:cs="宋体"/>
                <w:sz w:val="24"/>
                <w:szCs w:val="24"/>
              </w:rPr>
              <w:t>分，</w:t>
            </w:r>
            <w:r>
              <w:rPr>
                <w:rFonts w:hint="eastAsia" w:ascii="宋体" w:hAnsi="宋体" w:cs="宋体"/>
                <w:sz w:val="24"/>
                <w:szCs w:val="24"/>
                <w:lang w:val="en-US" w:eastAsia="zh-CN"/>
              </w:rPr>
              <w:t>措施方案制定较为合理，基本可行的3—4</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措施方案制定存在部分缺陷和不足的计0-2分</w:t>
            </w:r>
            <w:r>
              <w:rPr>
                <w:rFonts w:hint="eastAsia" w:ascii="宋体" w:hAnsi="宋体" w:cs="宋体"/>
                <w:color w:val="000000"/>
                <w:sz w:val="24"/>
                <w:szCs w:val="24"/>
              </w:rPr>
              <w:t>。</w:t>
            </w:r>
          </w:p>
        </w:tc>
      </w:tr>
      <w:tr w14:paraId="04A53847">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1C40811C">
            <w:pPr>
              <w:spacing w:line="360" w:lineRule="auto"/>
              <w:rPr>
                <w:rFonts w:hint="eastAsia" w:ascii="宋体" w:hAnsi="宋体" w:eastAsia="宋体" w:cs="宋体"/>
                <w:b w:val="0"/>
                <w:bCs/>
                <w:color w:val="FF0000"/>
                <w:kern w:val="0"/>
                <w:sz w:val="24"/>
                <w:szCs w:val="24"/>
              </w:rPr>
            </w:pPr>
          </w:p>
        </w:tc>
        <w:tc>
          <w:tcPr>
            <w:tcW w:w="1179" w:type="dxa"/>
            <w:vMerge w:val="continue"/>
            <w:tcBorders>
              <w:left w:val="single" w:color="000000" w:sz="6" w:space="0"/>
              <w:bottom w:val="single" w:color="auto" w:sz="4" w:space="0"/>
              <w:right w:val="single" w:color="auto" w:sz="4" w:space="0"/>
            </w:tcBorders>
            <w:vAlign w:val="center"/>
          </w:tcPr>
          <w:p w14:paraId="0527E2FF">
            <w:pPr>
              <w:spacing w:line="360" w:lineRule="auto"/>
              <w:jc w:val="left"/>
              <w:rPr>
                <w:rFonts w:hint="default" w:ascii="宋体" w:hAnsi="宋体" w:eastAsia="宋体" w:cs="宋体"/>
                <w:color w:val="000000"/>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732BBBE3">
            <w:pPr>
              <w:spacing w:line="360" w:lineRule="auto"/>
              <w:rPr>
                <w:rFonts w:hint="eastAsia" w:ascii="宋体" w:hAnsi="宋体"/>
                <w:sz w:val="24"/>
              </w:rPr>
            </w:pPr>
            <w:r>
              <w:rPr>
                <w:rFonts w:hint="eastAsia" w:ascii="宋体" w:hAnsi="宋体" w:eastAsia="宋体" w:cs="宋体"/>
                <w:color w:val="000000"/>
                <w:sz w:val="24"/>
                <w:szCs w:val="24"/>
                <w:highlight w:val="none"/>
                <w:lang w:val="en-US" w:eastAsia="zh-CN"/>
              </w:rPr>
              <w:t>工具仪器（6分）</w:t>
            </w:r>
          </w:p>
          <w:p w14:paraId="168C5194">
            <w:pPr>
              <w:spacing w:line="360" w:lineRule="auto"/>
              <w:rPr>
                <w:rFonts w:hint="eastAsia" w:ascii="宋体" w:hAnsi="宋体" w:eastAsia="宋体" w:cs="宋体"/>
                <w:b w:val="0"/>
                <w:bCs/>
                <w:color w:val="FF0000"/>
                <w:kern w:val="0"/>
                <w:sz w:val="24"/>
                <w:szCs w:val="24"/>
              </w:rPr>
            </w:pPr>
            <w:r>
              <w:rPr>
                <w:rFonts w:hint="eastAsia" w:ascii="宋体" w:hAnsi="宋体"/>
                <w:sz w:val="24"/>
              </w:rPr>
              <w:t>根据所配备的维保工具、仪器仪表、检测设备</w:t>
            </w:r>
            <w:r>
              <w:rPr>
                <w:rFonts w:hint="eastAsia" w:ascii="宋体" w:hAnsi="宋体"/>
                <w:sz w:val="24"/>
                <w:lang w:val="en-US" w:eastAsia="zh-CN"/>
              </w:rPr>
              <w:t>情况进行</w:t>
            </w:r>
            <w:r>
              <w:rPr>
                <w:rFonts w:hint="eastAsia" w:ascii="宋体" w:hAnsi="宋体"/>
                <w:sz w:val="24"/>
              </w:rPr>
              <w:t>综合赋分。设备齐全、功能完全满足本项目维保需要的，得</w:t>
            </w:r>
            <w:r>
              <w:rPr>
                <w:rFonts w:hint="eastAsia" w:ascii="宋体" w:hAnsi="宋体"/>
                <w:sz w:val="24"/>
                <w:lang w:val="en-US" w:eastAsia="zh-CN"/>
              </w:rPr>
              <w:t>5—6</w:t>
            </w:r>
            <w:r>
              <w:rPr>
                <w:rFonts w:hint="eastAsia" w:ascii="宋体" w:hAnsi="宋体"/>
                <w:sz w:val="24"/>
              </w:rPr>
              <w:t>分；设备基本齐全、能基本满足本项目维保需要的得</w:t>
            </w:r>
            <w:r>
              <w:rPr>
                <w:rFonts w:hint="eastAsia" w:ascii="宋体" w:hAnsi="宋体"/>
                <w:sz w:val="24"/>
                <w:lang w:val="en-US" w:eastAsia="zh-CN"/>
              </w:rPr>
              <w:t>3—4</w:t>
            </w:r>
            <w:r>
              <w:rPr>
                <w:rFonts w:hint="eastAsia" w:ascii="宋体" w:hAnsi="宋体"/>
                <w:sz w:val="24"/>
              </w:rPr>
              <w:t>分；设备不全、不能满足本项目维保需要的得0-</w:t>
            </w:r>
            <w:r>
              <w:rPr>
                <w:rFonts w:hint="eastAsia" w:ascii="宋体" w:hAnsi="宋体"/>
                <w:sz w:val="24"/>
                <w:lang w:val="en-US" w:eastAsia="zh-CN"/>
              </w:rPr>
              <w:t>2</w:t>
            </w:r>
            <w:r>
              <w:rPr>
                <w:rFonts w:hint="eastAsia" w:ascii="宋体" w:hAnsi="宋体"/>
                <w:sz w:val="24"/>
              </w:rPr>
              <w:t>分。</w:t>
            </w:r>
          </w:p>
        </w:tc>
      </w:tr>
      <w:tr w14:paraId="45D4040C">
        <w:tblPrEx>
          <w:tblCellMar>
            <w:top w:w="0" w:type="dxa"/>
            <w:left w:w="108" w:type="dxa"/>
            <w:bottom w:w="0" w:type="dxa"/>
            <w:right w:w="108" w:type="dxa"/>
          </w:tblCellMar>
        </w:tblPrEx>
        <w:trPr>
          <w:trHeight w:val="1070"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14:paraId="07A5845C">
            <w:pPr>
              <w:spacing w:line="360" w:lineRule="auto"/>
              <w:rPr>
                <w:rFonts w:hint="eastAsia" w:ascii="宋体" w:hAnsi="宋体" w:eastAsia="宋体" w:cs="宋体"/>
                <w:b w:val="0"/>
                <w:bCs/>
                <w:color w:val="FF0000"/>
                <w:kern w:val="0"/>
                <w:sz w:val="24"/>
                <w:szCs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B61C6BE">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业绩</w:t>
            </w:r>
          </w:p>
          <w:p w14:paraId="1C2010F0">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609BD157">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投标人提供</w:t>
            </w:r>
            <w:r>
              <w:rPr>
                <w:rFonts w:hint="eastAsia" w:ascii="宋体" w:hAnsi="宋体" w:cs="宋体"/>
                <w:b w:val="0"/>
                <w:bCs/>
                <w:color w:val="auto"/>
                <w:kern w:val="0"/>
                <w:sz w:val="24"/>
                <w:szCs w:val="24"/>
                <w:lang w:val="en-US" w:eastAsia="zh-CN"/>
              </w:rPr>
              <w:t>2021</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08</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01日</w:t>
            </w:r>
            <w:r>
              <w:rPr>
                <w:rFonts w:hint="eastAsia" w:ascii="宋体" w:hAnsi="宋体" w:eastAsia="宋体" w:cs="宋体"/>
                <w:b w:val="0"/>
                <w:bCs/>
                <w:color w:val="auto"/>
                <w:kern w:val="0"/>
                <w:sz w:val="24"/>
                <w:szCs w:val="24"/>
              </w:rPr>
              <w:t>（以合同签订时间为准）至今的</w:t>
            </w:r>
            <w:r>
              <w:rPr>
                <w:rFonts w:hint="eastAsia" w:ascii="宋体" w:hAnsi="宋体" w:eastAsia="宋体" w:cs="宋体"/>
                <w:b w:val="0"/>
                <w:bCs/>
                <w:color w:val="auto"/>
                <w:kern w:val="0"/>
                <w:sz w:val="24"/>
                <w:szCs w:val="24"/>
                <w:lang w:val="en-US" w:eastAsia="zh-CN"/>
              </w:rPr>
              <w:t>类似项目</w:t>
            </w:r>
            <w:r>
              <w:rPr>
                <w:rFonts w:hint="eastAsia" w:ascii="宋体" w:hAnsi="宋体" w:eastAsia="宋体" w:cs="宋体"/>
                <w:b w:val="0"/>
                <w:bCs/>
                <w:color w:val="auto"/>
                <w:kern w:val="0"/>
                <w:sz w:val="24"/>
                <w:szCs w:val="24"/>
              </w:rPr>
              <w:t>业绩，业绩以有效的合同为准，每提供一份类似项目业绩计</w:t>
            </w:r>
            <w:r>
              <w:rPr>
                <w:rFonts w:hint="eastAsia" w:ascii="宋体" w:hAnsi="宋体" w:cs="宋体"/>
                <w:b w:val="0"/>
                <w:bCs/>
                <w:color w:val="auto"/>
                <w:kern w:val="0"/>
                <w:sz w:val="24"/>
                <w:szCs w:val="24"/>
                <w:lang w:val="en-US" w:eastAsia="zh-CN"/>
              </w:rPr>
              <w:t>2</w:t>
            </w:r>
            <w:r>
              <w:rPr>
                <w:rFonts w:hint="eastAsia" w:ascii="宋体" w:hAnsi="宋体" w:eastAsia="宋体" w:cs="宋体"/>
                <w:b w:val="0"/>
                <w:bCs/>
                <w:color w:val="auto"/>
                <w:kern w:val="0"/>
                <w:sz w:val="24"/>
                <w:szCs w:val="24"/>
              </w:rPr>
              <w:t>分，最多得</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p>
        </w:tc>
      </w:tr>
      <w:tr w14:paraId="460EF5F0">
        <w:tblPrEx>
          <w:tblCellMar>
            <w:top w:w="0" w:type="dxa"/>
            <w:left w:w="108" w:type="dxa"/>
            <w:bottom w:w="0" w:type="dxa"/>
            <w:right w:w="108" w:type="dxa"/>
          </w:tblCellMar>
        </w:tblPrEx>
        <w:trPr>
          <w:trHeight w:val="49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0CDFC530">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1179" w:type="dxa"/>
            <w:tcBorders>
              <w:top w:val="single" w:color="auto" w:sz="4" w:space="0"/>
              <w:left w:val="single" w:color="auto" w:sz="4" w:space="0"/>
              <w:bottom w:val="single" w:color="auto" w:sz="4" w:space="0"/>
              <w:right w:val="single" w:color="auto" w:sz="4" w:space="0"/>
            </w:tcBorders>
            <w:vAlign w:val="center"/>
          </w:tcPr>
          <w:p w14:paraId="57065BDB">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备品配件</w:t>
            </w: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7FA8403A">
            <w:pPr>
              <w:spacing w:line="360" w:lineRule="auto"/>
              <w:rPr>
                <w:rFonts w:hint="eastAsia" w:ascii="宋体" w:hAnsi="宋体" w:eastAsia="宋体" w:cs="宋体"/>
                <w:b w:val="0"/>
                <w:bCs/>
                <w:color w:val="FF0000"/>
                <w:kern w:val="0"/>
                <w:sz w:val="24"/>
                <w:szCs w:val="24"/>
                <w:lang w:val="en-US" w:eastAsia="zh-CN"/>
              </w:rPr>
            </w:pPr>
            <w:r>
              <w:rPr>
                <w:rFonts w:hint="eastAsia" w:ascii="宋体" w:hAnsi="宋体"/>
                <w:color w:val="000000"/>
                <w:sz w:val="24"/>
              </w:rPr>
              <w:t>针对</w:t>
            </w:r>
            <w:r>
              <w:rPr>
                <w:rFonts w:hint="eastAsia" w:ascii="宋体" w:hAnsi="宋体"/>
                <w:color w:val="000000"/>
                <w:sz w:val="24"/>
                <w:lang w:val="en-US" w:eastAsia="zh-CN"/>
              </w:rPr>
              <w:t>项目</w:t>
            </w:r>
            <w:r>
              <w:rPr>
                <w:rFonts w:hint="eastAsia" w:ascii="宋体" w:hAnsi="宋体"/>
                <w:color w:val="000000"/>
                <w:sz w:val="24"/>
              </w:rPr>
              <w:t>目前设备现状，</w:t>
            </w:r>
            <w:r>
              <w:rPr>
                <w:rFonts w:hint="eastAsia" w:ascii="宋体" w:hAnsi="宋体"/>
                <w:spacing w:val="6"/>
                <w:sz w:val="24"/>
              </w:rPr>
              <w:t>备品、配件供应有保障，货源渠道正规，</w:t>
            </w:r>
            <w:r>
              <w:rPr>
                <w:rFonts w:hint="eastAsia" w:ascii="宋体" w:hAnsi="宋体"/>
                <w:sz w:val="24"/>
              </w:rPr>
              <w:t>承诺主要设备（制冷机组、冷却塔、水泵、风机盘管、空调机、新风机）的配件、耗材选用原厂品牌，并提供承诺书</w:t>
            </w:r>
            <w:r>
              <w:rPr>
                <w:rFonts w:hint="eastAsia" w:ascii="宋体" w:hAnsi="宋体"/>
                <w:sz w:val="24"/>
                <w:lang w:eastAsia="zh-CN"/>
              </w:rPr>
              <w:t>，</w:t>
            </w:r>
            <w:r>
              <w:rPr>
                <w:rFonts w:hint="eastAsia" w:ascii="宋体" w:hAnsi="宋体"/>
                <w:sz w:val="24"/>
                <w:lang w:val="en-US" w:eastAsia="zh-CN"/>
              </w:rPr>
              <w:t>根据响应程度计0-5</w:t>
            </w:r>
            <w:r>
              <w:rPr>
                <w:rFonts w:hint="eastAsia" w:ascii="宋体" w:hAnsi="宋体"/>
                <w:sz w:val="24"/>
              </w:rPr>
              <w:t>分。</w:t>
            </w:r>
          </w:p>
        </w:tc>
      </w:tr>
      <w:tr w14:paraId="2FBCF984">
        <w:tblPrEx>
          <w:tblCellMar>
            <w:top w:w="0" w:type="dxa"/>
            <w:left w:w="108" w:type="dxa"/>
            <w:bottom w:w="0" w:type="dxa"/>
            <w:right w:w="108" w:type="dxa"/>
          </w:tblCellMar>
        </w:tblPrEx>
        <w:trPr>
          <w:trHeight w:val="10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7E72029">
            <w:pPr>
              <w:spacing w:line="360" w:lineRule="auto"/>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w:t>
            </w:r>
          </w:p>
        </w:tc>
        <w:tc>
          <w:tcPr>
            <w:tcW w:w="1179" w:type="dxa"/>
            <w:tcBorders>
              <w:top w:val="single" w:color="auto" w:sz="4" w:space="0"/>
              <w:left w:val="single" w:color="auto" w:sz="4" w:space="0"/>
              <w:bottom w:val="single" w:color="auto" w:sz="4" w:space="0"/>
              <w:right w:val="single" w:color="auto" w:sz="4" w:space="0"/>
            </w:tcBorders>
            <w:vAlign w:val="center"/>
          </w:tcPr>
          <w:p w14:paraId="7C7B22EC">
            <w:pPr>
              <w:spacing w:line="360" w:lineRule="auto"/>
              <w:jc w:val="center"/>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合理化建议（4分）</w:t>
            </w:r>
          </w:p>
        </w:tc>
        <w:tc>
          <w:tcPr>
            <w:tcW w:w="7953" w:type="dxa"/>
            <w:tcBorders>
              <w:top w:val="single" w:color="000000" w:sz="6" w:space="0"/>
              <w:left w:val="single" w:color="auto" w:sz="4" w:space="0"/>
              <w:bottom w:val="single" w:color="000000" w:sz="6" w:space="0"/>
              <w:right w:val="single" w:color="auto" w:sz="4" w:space="0"/>
            </w:tcBorders>
          </w:tcPr>
          <w:p w14:paraId="68B92DAE">
            <w:pPr>
              <w:spacing w:line="360" w:lineRule="auto"/>
              <w:rPr>
                <w:rFonts w:hint="default" w:ascii="宋体" w:hAnsi="宋体" w:eastAsia="宋体"/>
                <w:color w:val="000000"/>
                <w:sz w:val="24"/>
                <w:lang w:val="en-US" w:eastAsia="zh-CN"/>
              </w:rPr>
            </w:pPr>
            <w:r>
              <w:rPr>
                <w:rFonts w:hint="eastAsia" w:ascii="宋体" w:hAnsi="宋体"/>
                <w:color w:val="000000"/>
                <w:sz w:val="24"/>
                <w:lang w:val="en-US" w:eastAsia="zh-CN"/>
              </w:rPr>
              <w:t>针对本项目提出合理化建议，</w:t>
            </w:r>
            <w:r>
              <w:rPr>
                <w:rFonts w:hint="eastAsia" w:ascii="宋体" w:hAnsi="宋体" w:cs="楷体"/>
                <w:sz w:val="24"/>
              </w:rPr>
              <w:t>综合考核投标人所提出合理化建议是否全面、提供的实施建议方案是否切实可行等，逐项详细说明的计</w:t>
            </w:r>
            <w:r>
              <w:rPr>
                <w:rFonts w:hint="eastAsia" w:ascii="宋体" w:hAnsi="宋体" w:cs="楷体"/>
                <w:sz w:val="24"/>
                <w:lang w:val="en-US" w:eastAsia="zh-CN"/>
              </w:rPr>
              <w:t>4</w:t>
            </w:r>
            <w:r>
              <w:rPr>
                <w:rFonts w:hint="eastAsia" w:ascii="宋体" w:hAnsi="宋体" w:cs="楷体"/>
                <w:sz w:val="24"/>
              </w:rPr>
              <w:t>分，未做详细响应的，按响应程度计 0-</w:t>
            </w:r>
            <w:r>
              <w:rPr>
                <w:rFonts w:hint="eastAsia" w:ascii="宋体" w:hAnsi="宋体" w:cs="楷体"/>
                <w:sz w:val="24"/>
                <w:lang w:val="en-US" w:eastAsia="zh-CN"/>
              </w:rPr>
              <w:t>3</w:t>
            </w:r>
            <w:r>
              <w:rPr>
                <w:rFonts w:hint="eastAsia" w:ascii="宋体" w:hAnsi="宋体" w:cs="楷体"/>
                <w:sz w:val="24"/>
              </w:rPr>
              <w:t>分。</w:t>
            </w:r>
          </w:p>
        </w:tc>
      </w:tr>
    </w:tbl>
    <w:p w14:paraId="175638E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cs="宋体" w:asciiTheme="minorEastAsia" w:hAnsiTheme="minorEastAsia" w:eastAsiaTheme="minorEastAsia"/>
          <w:b/>
          <w:bCs/>
          <w:sz w:val="24"/>
          <w:szCs w:val="24"/>
        </w:rPr>
      </w:pPr>
    </w:p>
    <w:p w14:paraId="0C979CAC">
      <w:pPr>
        <w:keepNext w:val="0"/>
        <w:keepLines w:val="0"/>
        <w:pageBreakBefore w:val="0"/>
        <w:widowControl w:val="0"/>
        <w:kinsoku/>
        <w:wordWrap/>
        <w:overflowPunct/>
        <w:topLinePunct w:val="0"/>
        <w:autoSpaceDE/>
        <w:autoSpaceDN/>
        <w:bidi w:val="0"/>
        <w:adjustRightInd/>
        <w:snapToGrid/>
        <w:spacing w:line="336" w:lineRule="auto"/>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0B819F7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1、以上各项打分均由评标委员会独立评分，评分相邻</w:t>
      </w:r>
      <w:r>
        <w:rPr>
          <w:rFonts w:hint="eastAsia" w:ascii="宋体" w:hAnsi="宋体" w:cs="宋体"/>
          <w:bCs/>
          <w:sz w:val="24"/>
          <w:szCs w:val="24"/>
          <w:lang w:eastAsia="zh-CN"/>
        </w:rPr>
        <w:t>两挡之间的</w:t>
      </w:r>
      <w:r>
        <w:rPr>
          <w:rFonts w:hint="eastAsia" w:ascii="宋体" w:hAnsi="宋体" w:eastAsia="宋体" w:cs="宋体"/>
          <w:bCs/>
          <w:sz w:val="24"/>
          <w:szCs w:val="24"/>
        </w:rPr>
        <w:t>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两档之间可取小数点进行打分，按评审后综合得分由高到低推荐一至三名中标候选人。</w:t>
      </w:r>
    </w:p>
    <w:p w14:paraId="1753064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2、对于非专门面向中小企业的项目，对小型和微型企业产品的价格给予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p w14:paraId="0B03665E">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3、对于非专门面向中小企业的项目、残疾人福利性单位的项目，对小型和微型企业，残疾人福利性单位产品的价格给予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6F84EB6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4、《关于政府采购支持监狱企业发展有关问题的通知》（财库[2014]68号）的规定，对监狱企业给予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761B704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9167C5">
      <w:pPr>
        <w:pStyle w:val="24"/>
        <w:spacing w:line="6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6、若出现综合得分并列时，按投标报价由低到高顺序排列。得分且投标报价相同的并列。响应文件满足</w:t>
      </w:r>
      <w:r>
        <w:rPr>
          <w:rFonts w:hint="eastAsia" w:hAnsi="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bookmarkEnd w:id="136"/>
    <w:p w14:paraId="30637CC6">
      <w:pPr>
        <w:pStyle w:val="3"/>
        <w:pageBreakBefore/>
        <w:numPr>
          <w:ilvl w:val="0"/>
          <w:numId w:val="13"/>
        </w:numPr>
        <w:ind w:left="0" w:leftChars="0" w:firstLine="0" w:firstLineChars="0"/>
        <w:rPr>
          <w:color w:val="auto"/>
          <w:highlight w:val="none"/>
        </w:rPr>
      </w:pPr>
      <w:bookmarkStart w:id="137" w:name="_Toc6835"/>
      <w:bookmarkStart w:id="138" w:name="_Toc15647"/>
      <w:r>
        <w:rPr>
          <w:rFonts w:ascii="宋体" w:hAnsi="宋体" w:cs="宋体"/>
          <w:color w:val="auto"/>
          <w:highlight w:val="none"/>
        </w:rPr>
        <w:t xml:space="preserve"> </w:t>
      </w:r>
      <w:bookmarkStart w:id="139" w:name="_Toc11999"/>
      <w:r>
        <w:rPr>
          <w:rFonts w:hint="eastAsia" w:ascii="宋体" w:hAnsi="宋体" w:cs="宋体"/>
          <w:color w:val="auto"/>
          <w:highlight w:val="none"/>
        </w:rPr>
        <w:t>采购内容及要求</w:t>
      </w:r>
      <w:bookmarkEnd w:id="139"/>
    </w:p>
    <w:p w14:paraId="68649A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一、</w:t>
      </w:r>
      <w:r>
        <w:rPr>
          <w:rFonts w:hint="eastAsia" w:ascii="宋体" w:hAnsi="宋体" w:eastAsia="宋体" w:cs="宋体"/>
          <w:iCs/>
          <w:color w:val="000000"/>
          <w:sz w:val="24"/>
          <w:szCs w:val="24"/>
        </w:rPr>
        <w:t>维护保养设备明细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3849"/>
        <w:gridCol w:w="1450"/>
        <w:gridCol w:w="2851"/>
      </w:tblGrid>
      <w:tr w14:paraId="75C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3FED60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序号</w:t>
            </w:r>
          </w:p>
        </w:tc>
        <w:tc>
          <w:tcPr>
            <w:tcW w:w="3849" w:type="dxa"/>
            <w:noWrap w:val="0"/>
            <w:vAlign w:val="center"/>
          </w:tcPr>
          <w:p w14:paraId="110952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设备名称</w:t>
            </w:r>
          </w:p>
        </w:tc>
        <w:tc>
          <w:tcPr>
            <w:tcW w:w="1450" w:type="dxa"/>
            <w:noWrap w:val="0"/>
            <w:vAlign w:val="center"/>
          </w:tcPr>
          <w:p w14:paraId="1C9544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数量</w:t>
            </w:r>
          </w:p>
        </w:tc>
        <w:tc>
          <w:tcPr>
            <w:tcW w:w="2851" w:type="dxa"/>
            <w:noWrap w:val="0"/>
            <w:vAlign w:val="center"/>
          </w:tcPr>
          <w:p w14:paraId="08443B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备注</w:t>
            </w:r>
          </w:p>
        </w:tc>
      </w:tr>
      <w:tr w14:paraId="018B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68048E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w:t>
            </w:r>
          </w:p>
        </w:tc>
        <w:tc>
          <w:tcPr>
            <w:tcW w:w="3849" w:type="dxa"/>
            <w:noWrap w:val="0"/>
            <w:vAlign w:val="center"/>
          </w:tcPr>
          <w:p w14:paraId="3F749F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水冷离心机组</w:t>
            </w:r>
          </w:p>
        </w:tc>
        <w:tc>
          <w:tcPr>
            <w:tcW w:w="1450" w:type="dxa"/>
            <w:noWrap w:val="0"/>
            <w:vAlign w:val="center"/>
          </w:tcPr>
          <w:p w14:paraId="7CB0B0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二台</w:t>
            </w:r>
          </w:p>
        </w:tc>
        <w:tc>
          <w:tcPr>
            <w:tcW w:w="2851" w:type="dxa"/>
            <w:noWrap w:val="0"/>
            <w:vAlign w:val="center"/>
          </w:tcPr>
          <w:p w14:paraId="06CA5B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制冷量：2285KW/台</w:t>
            </w:r>
          </w:p>
        </w:tc>
      </w:tr>
      <w:tr w14:paraId="5BE7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608DDA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2</w:t>
            </w:r>
          </w:p>
        </w:tc>
        <w:tc>
          <w:tcPr>
            <w:tcW w:w="3849" w:type="dxa"/>
            <w:noWrap w:val="0"/>
            <w:vAlign w:val="center"/>
          </w:tcPr>
          <w:p w14:paraId="155141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水冷螺杆机组</w:t>
            </w:r>
          </w:p>
        </w:tc>
        <w:tc>
          <w:tcPr>
            <w:tcW w:w="1450" w:type="dxa"/>
            <w:noWrap w:val="0"/>
            <w:vAlign w:val="center"/>
          </w:tcPr>
          <w:p w14:paraId="3F6323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一台</w:t>
            </w:r>
          </w:p>
        </w:tc>
        <w:tc>
          <w:tcPr>
            <w:tcW w:w="2851" w:type="dxa"/>
            <w:noWrap w:val="0"/>
            <w:vAlign w:val="center"/>
          </w:tcPr>
          <w:p w14:paraId="4B0816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制冷量：1230.3KW/台</w:t>
            </w:r>
          </w:p>
        </w:tc>
      </w:tr>
      <w:tr w14:paraId="6EED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440E21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3</w:t>
            </w:r>
          </w:p>
        </w:tc>
        <w:tc>
          <w:tcPr>
            <w:tcW w:w="3849" w:type="dxa"/>
            <w:noWrap w:val="0"/>
            <w:vAlign w:val="center"/>
          </w:tcPr>
          <w:p w14:paraId="72D0D2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冷却塔</w:t>
            </w:r>
          </w:p>
        </w:tc>
        <w:tc>
          <w:tcPr>
            <w:tcW w:w="1450" w:type="dxa"/>
            <w:noWrap w:val="0"/>
            <w:vAlign w:val="center"/>
          </w:tcPr>
          <w:p w14:paraId="78701D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三台</w:t>
            </w:r>
          </w:p>
        </w:tc>
        <w:tc>
          <w:tcPr>
            <w:tcW w:w="2851" w:type="dxa"/>
            <w:noWrap w:val="0"/>
            <w:vAlign w:val="center"/>
          </w:tcPr>
          <w:p w14:paraId="6A5B05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37BF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1ECDC2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4</w:t>
            </w:r>
          </w:p>
        </w:tc>
        <w:tc>
          <w:tcPr>
            <w:tcW w:w="3849" w:type="dxa"/>
            <w:noWrap w:val="0"/>
            <w:vAlign w:val="center"/>
          </w:tcPr>
          <w:p w14:paraId="1417CD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主系统冷却水循环水泵</w:t>
            </w:r>
          </w:p>
        </w:tc>
        <w:tc>
          <w:tcPr>
            <w:tcW w:w="1450" w:type="dxa"/>
            <w:noWrap w:val="0"/>
            <w:vAlign w:val="center"/>
          </w:tcPr>
          <w:p w14:paraId="7CB838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5台</w:t>
            </w:r>
          </w:p>
        </w:tc>
        <w:tc>
          <w:tcPr>
            <w:tcW w:w="2851" w:type="dxa"/>
            <w:noWrap w:val="0"/>
            <w:vAlign w:val="center"/>
          </w:tcPr>
          <w:p w14:paraId="651248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15DD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1AF993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5</w:t>
            </w:r>
          </w:p>
        </w:tc>
        <w:tc>
          <w:tcPr>
            <w:tcW w:w="3849" w:type="dxa"/>
            <w:noWrap w:val="0"/>
            <w:vAlign w:val="center"/>
          </w:tcPr>
          <w:p w14:paraId="5CFA30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主系统冷水循环水泵</w:t>
            </w:r>
          </w:p>
        </w:tc>
        <w:tc>
          <w:tcPr>
            <w:tcW w:w="1450" w:type="dxa"/>
            <w:noWrap w:val="0"/>
            <w:vAlign w:val="center"/>
          </w:tcPr>
          <w:p w14:paraId="2A465A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5台</w:t>
            </w:r>
          </w:p>
        </w:tc>
        <w:tc>
          <w:tcPr>
            <w:tcW w:w="2851" w:type="dxa"/>
            <w:noWrap w:val="0"/>
            <w:vAlign w:val="center"/>
          </w:tcPr>
          <w:p w14:paraId="7D8C32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7499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5BC4A3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6</w:t>
            </w:r>
          </w:p>
        </w:tc>
        <w:tc>
          <w:tcPr>
            <w:tcW w:w="3849" w:type="dxa"/>
            <w:noWrap w:val="0"/>
            <w:vAlign w:val="center"/>
          </w:tcPr>
          <w:p w14:paraId="175914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锅炉热水循环水泵</w:t>
            </w:r>
          </w:p>
        </w:tc>
        <w:tc>
          <w:tcPr>
            <w:tcW w:w="1450" w:type="dxa"/>
            <w:noWrap w:val="0"/>
            <w:vAlign w:val="center"/>
          </w:tcPr>
          <w:p w14:paraId="6E6835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3台</w:t>
            </w:r>
          </w:p>
        </w:tc>
        <w:tc>
          <w:tcPr>
            <w:tcW w:w="2851" w:type="dxa"/>
            <w:noWrap w:val="0"/>
            <w:vAlign w:val="center"/>
          </w:tcPr>
          <w:p w14:paraId="01F1D0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5110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3F915F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7</w:t>
            </w:r>
          </w:p>
        </w:tc>
        <w:tc>
          <w:tcPr>
            <w:tcW w:w="3849" w:type="dxa"/>
            <w:noWrap w:val="0"/>
            <w:vAlign w:val="center"/>
          </w:tcPr>
          <w:p w14:paraId="0087DF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主系统定压补水泵</w:t>
            </w:r>
          </w:p>
        </w:tc>
        <w:tc>
          <w:tcPr>
            <w:tcW w:w="1450" w:type="dxa"/>
            <w:noWrap w:val="0"/>
            <w:vAlign w:val="center"/>
          </w:tcPr>
          <w:p w14:paraId="4AA99F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2台</w:t>
            </w:r>
          </w:p>
        </w:tc>
        <w:tc>
          <w:tcPr>
            <w:tcW w:w="2851" w:type="dxa"/>
            <w:noWrap w:val="0"/>
            <w:vAlign w:val="center"/>
          </w:tcPr>
          <w:p w14:paraId="643ECF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000F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5B95B8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8</w:t>
            </w:r>
          </w:p>
        </w:tc>
        <w:tc>
          <w:tcPr>
            <w:tcW w:w="3849" w:type="dxa"/>
            <w:noWrap w:val="0"/>
            <w:vAlign w:val="center"/>
          </w:tcPr>
          <w:p w14:paraId="358FE1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主系统补水箱</w:t>
            </w:r>
          </w:p>
        </w:tc>
        <w:tc>
          <w:tcPr>
            <w:tcW w:w="1450" w:type="dxa"/>
            <w:noWrap w:val="0"/>
            <w:vAlign w:val="center"/>
          </w:tcPr>
          <w:p w14:paraId="12CA18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一套</w:t>
            </w:r>
          </w:p>
        </w:tc>
        <w:tc>
          <w:tcPr>
            <w:tcW w:w="2851" w:type="dxa"/>
            <w:noWrap w:val="0"/>
            <w:vAlign w:val="center"/>
          </w:tcPr>
          <w:p w14:paraId="659D9F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670D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79A4FB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9</w:t>
            </w:r>
          </w:p>
        </w:tc>
        <w:tc>
          <w:tcPr>
            <w:tcW w:w="3849" w:type="dxa"/>
            <w:noWrap w:val="0"/>
            <w:vAlign w:val="center"/>
          </w:tcPr>
          <w:p w14:paraId="0424B9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辅助系统补水箱</w:t>
            </w:r>
          </w:p>
        </w:tc>
        <w:tc>
          <w:tcPr>
            <w:tcW w:w="1450" w:type="dxa"/>
            <w:noWrap w:val="0"/>
            <w:vAlign w:val="center"/>
          </w:tcPr>
          <w:p w14:paraId="7DC635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一套</w:t>
            </w:r>
          </w:p>
        </w:tc>
        <w:tc>
          <w:tcPr>
            <w:tcW w:w="2851" w:type="dxa"/>
            <w:noWrap w:val="0"/>
            <w:vAlign w:val="center"/>
          </w:tcPr>
          <w:p w14:paraId="289FA2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306C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32EA5D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10</w:t>
            </w:r>
          </w:p>
        </w:tc>
        <w:tc>
          <w:tcPr>
            <w:tcW w:w="3849" w:type="dxa"/>
            <w:noWrap w:val="0"/>
            <w:vAlign w:val="center"/>
          </w:tcPr>
          <w:p w14:paraId="5E9D73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主系统冷却水管路</w:t>
            </w:r>
          </w:p>
        </w:tc>
        <w:tc>
          <w:tcPr>
            <w:tcW w:w="1450" w:type="dxa"/>
            <w:noWrap w:val="0"/>
            <w:vAlign w:val="center"/>
          </w:tcPr>
          <w:p w14:paraId="4DF7BB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一套</w:t>
            </w:r>
          </w:p>
        </w:tc>
        <w:tc>
          <w:tcPr>
            <w:tcW w:w="2851" w:type="dxa"/>
            <w:noWrap w:val="0"/>
            <w:vAlign w:val="center"/>
          </w:tcPr>
          <w:p w14:paraId="2FE5B0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3E46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5A28A2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11</w:t>
            </w:r>
          </w:p>
        </w:tc>
        <w:tc>
          <w:tcPr>
            <w:tcW w:w="3849" w:type="dxa"/>
            <w:noWrap w:val="0"/>
            <w:vAlign w:val="center"/>
          </w:tcPr>
          <w:p w14:paraId="27EE8A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主系统冷水管路</w:t>
            </w:r>
          </w:p>
        </w:tc>
        <w:tc>
          <w:tcPr>
            <w:tcW w:w="1450" w:type="dxa"/>
            <w:noWrap w:val="0"/>
            <w:vAlign w:val="center"/>
          </w:tcPr>
          <w:p w14:paraId="06B7B2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一套</w:t>
            </w:r>
          </w:p>
        </w:tc>
        <w:tc>
          <w:tcPr>
            <w:tcW w:w="2851" w:type="dxa"/>
            <w:noWrap w:val="0"/>
            <w:vAlign w:val="center"/>
          </w:tcPr>
          <w:p w14:paraId="172223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64F0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54A8FA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12</w:t>
            </w:r>
          </w:p>
        </w:tc>
        <w:tc>
          <w:tcPr>
            <w:tcW w:w="3849" w:type="dxa"/>
            <w:noWrap w:val="0"/>
            <w:vAlign w:val="center"/>
          </w:tcPr>
          <w:p w14:paraId="5682A6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软化水处理设备</w:t>
            </w:r>
          </w:p>
        </w:tc>
        <w:tc>
          <w:tcPr>
            <w:tcW w:w="1450" w:type="dxa"/>
            <w:noWrap w:val="0"/>
            <w:vAlign w:val="center"/>
          </w:tcPr>
          <w:p w14:paraId="49000E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一套</w:t>
            </w:r>
          </w:p>
        </w:tc>
        <w:tc>
          <w:tcPr>
            <w:tcW w:w="2851" w:type="dxa"/>
            <w:noWrap w:val="0"/>
            <w:vAlign w:val="center"/>
          </w:tcPr>
          <w:p w14:paraId="30829C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6B9C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23C5B5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13</w:t>
            </w:r>
          </w:p>
        </w:tc>
        <w:tc>
          <w:tcPr>
            <w:tcW w:w="3849" w:type="dxa"/>
            <w:noWrap w:val="0"/>
            <w:vAlign w:val="center"/>
          </w:tcPr>
          <w:p w14:paraId="1ADC86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电子水处理器</w:t>
            </w:r>
          </w:p>
        </w:tc>
        <w:tc>
          <w:tcPr>
            <w:tcW w:w="1450" w:type="dxa"/>
            <w:noWrap w:val="0"/>
            <w:vAlign w:val="center"/>
          </w:tcPr>
          <w:p w14:paraId="70A9E3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一套</w:t>
            </w:r>
          </w:p>
        </w:tc>
        <w:tc>
          <w:tcPr>
            <w:tcW w:w="2851" w:type="dxa"/>
            <w:noWrap w:val="0"/>
            <w:vAlign w:val="center"/>
          </w:tcPr>
          <w:p w14:paraId="7DAA06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14A7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5B385B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14</w:t>
            </w:r>
          </w:p>
        </w:tc>
        <w:tc>
          <w:tcPr>
            <w:tcW w:w="3849" w:type="dxa"/>
            <w:noWrap w:val="0"/>
            <w:vAlign w:val="center"/>
          </w:tcPr>
          <w:p w14:paraId="526071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新风机组</w:t>
            </w:r>
          </w:p>
        </w:tc>
        <w:tc>
          <w:tcPr>
            <w:tcW w:w="1450" w:type="dxa"/>
            <w:noWrap w:val="0"/>
            <w:vAlign w:val="center"/>
          </w:tcPr>
          <w:p w14:paraId="5D5C61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40台</w:t>
            </w:r>
          </w:p>
        </w:tc>
        <w:tc>
          <w:tcPr>
            <w:tcW w:w="2851" w:type="dxa"/>
            <w:noWrap w:val="0"/>
            <w:vAlign w:val="center"/>
          </w:tcPr>
          <w:p w14:paraId="33DDB9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4DE9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dxa"/>
            <w:noWrap w:val="0"/>
            <w:vAlign w:val="center"/>
          </w:tcPr>
          <w:p w14:paraId="3674A2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15</w:t>
            </w:r>
          </w:p>
        </w:tc>
        <w:tc>
          <w:tcPr>
            <w:tcW w:w="3849" w:type="dxa"/>
            <w:noWrap w:val="0"/>
            <w:vAlign w:val="center"/>
          </w:tcPr>
          <w:p w14:paraId="65FDA2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风机盘管</w:t>
            </w:r>
          </w:p>
        </w:tc>
        <w:tc>
          <w:tcPr>
            <w:tcW w:w="1450" w:type="dxa"/>
            <w:noWrap w:val="0"/>
            <w:vAlign w:val="center"/>
          </w:tcPr>
          <w:p w14:paraId="11D955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1269台</w:t>
            </w:r>
          </w:p>
        </w:tc>
        <w:tc>
          <w:tcPr>
            <w:tcW w:w="2851" w:type="dxa"/>
            <w:noWrap w:val="0"/>
            <w:vAlign w:val="center"/>
          </w:tcPr>
          <w:p w14:paraId="7B56FB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r>
      <w:tr w14:paraId="39B8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722A1E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16</w:t>
            </w:r>
          </w:p>
        </w:tc>
        <w:tc>
          <w:tcPr>
            <w:tcW w:w="3849" w:type="dxa"/>
            <w:noWrap w:val="0"/>
            <w:vAlign w:val="center"/>
          </w:tcPr>
          <w:p w14:paraId="08E17E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检验风冷模块机组</w:t>
            </w:r>
          </w:p>
        </w:tc>
        <w:tc>
          <w:tcPr>
            <w:tcW w:w="1450" w:type="dxa"/>
            <w:noWrap w:val="0"/>
            <w:vAlign w:val="center"/>
          </w:tcPr>
          <w:p w14:paraId="78BAF8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3台</w:t>
            </w:r>
          </w:p>
        </w:tc>
        <w:tc>
          <w:tcPr>
            <w:tcW w:w="2851" w:type="dxa"/>
            <w:noWrap w:val="0"/>
            <w:vAlign w:val="center"/>
          </w:tcPr>
          <w:p w14:paraId="0166D2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循环水泵2台</w:t>
            </w:r>
          </w:p>
        </w:tc>
      </w:tr>
      <w:tr w14:paraId="61FE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0924CD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17</w:t>
            </w:r>
          </w:p>
        </w:tc>
        <w:tc>
          <w:tcPr>
            <w:tcW w:w="3849" w:type="dxa"/>
            <w:noWrap w:val="0"/>
            <w:vAlign w:val="center"/>
          </w:tcPr>
          <w:p w14:paraId="361C80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地下影像中心风冷模块机组</w:t>
            </w:r>
          </w:p>
        </w:tc>
        <w:tc>
          <w:tcPr>
            <w:tcW w:w="1450" w:type="dxa"/>
            <w:noWrap w:val="0"/>
            <w:vAlign w:val="center"/>
          </w:tcPr>
          <w:p w14:paraId="5FEE51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3台</w:t>
            </w:r>
          </w:p>
        </w:tc>
        <w:tc>
          <w:tcPr>
            <w:tcW w:w="2851" w:type="dxa"/>
            <w:noWrap w:val="0"/>
            <w:vAlign w:val="center"/>
          </w:tcPr>
          <w:p w14:paraId="17AEFD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循环水泵2台</w:t>
            </w:r>
          </w:p>
        </w:tc>
      </w:tr>
      <w:tr w14:paraId="4708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21876B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18</w:t>
            </w:r>
          </w:p>
        </w:tc>
        <w:tc>
          <w:tcPr>
            <w:tcW w:w="3849" w:type="dxa"/>
            <w:noWrap w:val="0"/>
            <w:vAlign w:val="center"/>
          </w:tcPr>
          <w:p w14:paraId="344CDB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全科楼多联机系统</w:t>
            </w:r>
          </w:p>
        </w:tc>
        <w:tc>
          <w:tcPr>
            <w:tcW w:w="1450" w:type="dxa"/>
            <w:noWrap w:val="0"/>
            <w:vAlign w:val="center"/>
          </w:tcPr>
          <w:p w14:paraId="139440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8套</w:t>
            </w:r>
          </w:p>
        </w:tc>
        <w:tc>
          <w:tcPr>
            <w:tcW w:w="2851" w:type="dxa"/>
            <w:noWrap w:val="0"/>
            <w:vAlign w:val="center"/>
          </w:tcPr>
          <w:p w14:paraId="0BC398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主机25台，内机261台</w:t>
            </w:r>
          </w:p>
        </w:tc>
      </w:tr>
      <w:tr w14:paraId="2F8F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0F270D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19</w:t>
            </w:r>
          </w:p>
        </w:tc>
        <w:tc>
          <w:tcPr>
            <w:tcW w:w="3849" w:type="dxa"/>
            <w:noWrap w:val="0"/>
            <w:vAlign w:val="center"/>
          </w:tcPr>
          <w:p w14:paraId="266E86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全科楼新风系统</w:t>
            </w:r>
          </w:p>
        </w:tc>
        <w:tc>
          <w:tcPr>
            <w:tcW w:w="1450" w:type="dxa"/>
            <w:noWrap w:val="0"/>
            <w:vAlign w:val="center"/>
          </w:tcPr>
          <w:p w14:paraId="6DEA1B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9台</w:t>
            </w:r>
          </w:p>
        </w:tc>
        <w:tc>
          <w:tcPr>
            <w:tcW w:w="2851" w:type="dxa"/>
            <w:noWrap w:val="0"/>
            <w:vAlign w:val="center"/>
          </w:tcPr>
          <w:p w14:paraId="05CD77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主机9台，内机9台</w:t>
            </w:r>
          </w:p>
        </w:tc>
      </w:tr>
    </w:tbl>
    <w:p w14:paraId="1E5E33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sectPr>
          <w:headerReference r:id="rId12" w:type="default"/>
          <w:footerReference r:id="rId13"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546D0E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二、</w:t>
      </w:r>
      <w:r>
        <w:rPr>
          <w:rFonts w:hint="eastAsia" w:ascii="宋体" w:hAnsi="宋体" w:eastAsia="宋体" w:cs="宋体"/>
          <w:iCs/>
          <w:color w:val="000000"/>
          <w:sz w:val="24"/>
          <w:szCs w:val="24"/>
        </w:rPr>
        <w:t>维护保养内容</w:t>
      </w:r>
    </w:p>
    <w:tbl>
      <w:tblPr>
        <w:tblStyle w:val="46"/>
        <w:tblW w:w="0" w:type="auto"/>
        <w:tblInd w:w="-34" w:type="dxa"/>
        <w:tblLayout w:type="fixed"/>
        <w:tblCellMar>
          <w:top w:w="0" w:type="dxa"/>
          <w:left w:w="108" w:type="dxa"/>
          <w:bottom w:w="0" w:type="dxa"/>
          <w:right w:w="108" w:type="dxa"/>
        </w:tblCellMar>
      </w:tblPr>
      <w:tblGrid>
        <w:gridCol w:w="1318"/>
        <w:gridCol w:w="877"/>
        <w:gridCol w:w="1778"/>
        <w:gridCol w:w="4747"/>
      </w:tblGrid>
      <w:tr w14:paraId="322498E6">
        <w:tblPrEx>
          <w:tblCellMar>
            <w:top w:w="0" w:type="dxa"/>
            <w:left w:w="108" w:type="dxa"/>
            <w:bottom w:w="0" w:type="dxa"/>
            <w:right w:w="108" w:type="dxa"/>
          </w:tblCellMar>
        </w:tblPrEx>
        <w:trPr>
          <w:trHeight w:val="270" w:hRule="atLeast"/>
        </w:trPr>
        <w:tc>
          <w:tcPr>
            <w:tcW w:w="1318" w:type="dxa"/>
            <w:tcBorders>
              <w:top w:val="single" w:color="auto" w:sz="4" w:space="0"/>
              <w:left w:val="single" w:color="auto" w:sz="4" w:space="0"/>
              <w:bottom w:val="single" w:color="auto" w:sz="4" w:space="0"/>
              <w:right w:val="single" w:color="auto" w:sz="4" w:space="0"/>
            </w:tcBorders>
            <w:noWrap w:val="0"/>
            <w:vAlign w:val="center"/>
          </w:tcPr>
          <w:p w14:paraId="414927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设备名称</w:t>
            </w:r>
          </w:p>
        </w:tc>
        <w:tc>
          <w:tcPr>
            <w:tcW w:w="877" w:type="dxa"/>
            <w:tcBorders>
              <w:top w:val="single" w:color="auto" w:sz="4" w:space="0"/>
              <w:left w:val="nil"/>
              <w:bottom w:val="single" w:color="auto" w:sz="4" w:space="0"/>
              <w:right w:val="single" w:color="auto" w:sz="4" w:space="0"/>
            </w:tcBorders>
            <w:noWrap w:val="0"/>
            <w:vAlign w:val="center"/>
          </w:tcPr>
          <w:p w14:paraId="58D2B0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序号</w:t>
            </w:r>
          </w:p>
        </w:tc>
        <w:tc>
          <w:tcPr>
            <w:tcW w:w="1778" w:type="dxa"/>
            <w:tcBorders>
              <w:top w:val="single" w:color="auto" w:sz="4" w:space="0"/>
              <w:left w:val="nil"/>
              <w:bottom w:val="single" w:color="auto" w:sz="4" w:space="0"/>
              <w:right w:val="single" w:color="auto" w:sz="4" w:space="0"/>
            </w:tcBorders>
            <w:noWrap w:val="0"/>
            <w:vAlign w:val="center"/>
          </w:tcPr>
          <w:p w14:paraId="02BDDB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工程名称</w:t>
            </w:r>
          </w:p>
        </w:tc>
        <w:tc>
          <w:tcPr>
            <w:tcW w:w="4747" w:type="dxa"/>
            <w:tcBorders>
              <w:top w:val="single" w:color="auto" w:sz="4" w:space="0"/>
              <w:left w:val="nil"/>
              <w:bottom w:val="single" w:color="auto" w:sz="4" w:space="0"/>
              <w:right w:val="single" w:color="auto" w:sz="4" w:space="0"/>
            </w:tcBorders>
            <w:noWrap w:val="0"/>
            <w:vAlign w:val="center"/>
          </w:tcPr>
          <w:p w14:paraId="26825B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检查维护内容</w:t>
            </w:r>
          </w:p>
        </w:tc>
      </w:tr>
      <w:tr w14:paraId="2E257EC8">
        <w:tblPrEx>
          <w:tblCellMar>
            <w:top w:w="0" w:type="dxa"/>
            <w:left w:w="108" w:type="dxa"/>
            <w:bottom w:w="0" w:type="dxa"/>
            <w:right w:w="108" w:type="dxa"/>
          </w:tblCellMar>
        </w:tblPrEx>
        <w:trPr>
          <w:trHeight w:val="270" w:hRule="atLeast"/>
        </w:trPr>
        <w:tc>
          <w:tcPr>
            <w:tcW w:w="1318" w:type="dxa"/>
            <w:vMerge w:val="restart"/>
            <w:tcBorders>
              <w:top w:val="nil"/>
              <w:left w:val="single" w:color="auto" w:sz="4" w:space="0"/>
              <w:bottom w:val="single" w:color="auto" w:sz="4" w:space="0"/>
              <w:right w:val="single" w:color="auto" w:sz="4" w:space="0"/>
            </w:tcBorders>
            <w:noWrap w:val="0"/>
            <w:vAlign w:val="center"/>
          </w:tcPr>
          <w:p w14:paraId="2E8BDA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室内机</w:t>
            </w:r>
          </w:p>
        </w:tc>
        <w:tc>
          <w:tcPr>
            <w:tcW w:w="877" w:type="dxa"/>
            <w:tcBorders>
              <w:top w:val="nil"/>
              <w:left w:val="nil"/>
              <w:bottom w:val="single" w:color="auto" w:sz="4" w:space="0"/>
              <w:right w:val="single" w:color="auto" w:sz="4" w:space="0"/>
            </w:tcBorders>
            <w:noWrap w:val="0"/>
            <w:vAlign w:val="center"/>
          </w:tcPr>
          <w:p w14:paraId="49E08D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w:t>
            </w:r>
          </w:p>
        </w:tc>
        <w:tc>
          <w:tcPr>
            <w:tcW w:w="1778" w:type="dxa"/>
            <w:tcBorders>
              <w:top w:val="nil"/>
              <w:left w:val="nil"/>
              <w:bottom w:val="single" w:color="auto" w:sz="4" w:space="0"/>
              <w:right w:val="single" w:color="auto" w:sz="4" w:space="0"/>
            </w:tcBorders>
            <w:noWrap w:val="0"/>
            <w:vAlign w:val="center"/>
          </w:tcPr>
          <w:p w14:paraId="198642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空调回风滤网</w:t>
            </w:r>
          </w:p>
        </w:tc>
        <w:tc>
          <w:tcPr>
            <w:tcW w:w="4747" w:type="dxa"/>
            <w:tcBorders>
              <w:top w:val="nil"/>
              <w:left w:val="nil"/>
              <w:bottom w:val="single" w:color="auto" w:sz="4" w:space="0"/>
              <w:right w:val="single" w:color="auto" w:sz="4" w:space="0"/>
            </w:tcBorders>
            <w:noWrap w:val="0"/>
            <w:vAlign w:val="center"/>
          </w:tcPr>
          <w:p w14:paraId="534B8F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清洗回风滤网</w:t>
            </w:r>
          </w:p>
        </w:tc>
      </w:tr>
      <w:tr w14:paraId="7DF1747A">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2E8A72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3148B9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2</w:t>
            </w:r>
          </w:p>
        </w:tc>
        <w:tc>
          <w:tcPr>
            <w:tcW w:w="1778" w:type="dxa"/>
            <w:tcBorders>
              <w:top w:val="nil"/>
              <w:left w:val="nil"/>
              <w:bottom w:val="single" w:color="auto" w:sz="4" w:space="0"/>
              <w:right w:val="single" w:color="auto" w:sz="4" w:space="0"/>
            </w:tcBorders>
            <w:noWrap w:val="0"/>
            <w:vAlign w:val="center"/>
          </w:tcPr>
          <w:p w14:paraId="1ED62A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蒸发器</w:t>
            </w:r>
          </w:p>
        </w:tc>
        <w:tc>
          <w:tcPr>
            <w:tcW w:w="4747" w:type="dxa"/>
            <w:tcBorders>
              <w:top w:val="nil"/>
              <w:left w:val="nil"/>
              <w:bottom w:val="single" w:color="auto" w:sz="4" w:space="0"/>
              <w:right w:val="single" w:color="auto" w:sz="4" w:space="0"/>
            </w:tcBorders>
            <w:noWrap w:val="0"/>
            <w:vAlign w:val="center"/>
          </w:tcPr>
          <w:p w14:paraId="66E3CA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检查蒸发器并根据情况清洗</w:t>
            </w:r>
          </w:p>
        </w:tc>
      </w:tr>
      <w:tr w14:paraId="7CBA961E">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005D51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1C82BF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3</w:t>
            </w:r>
          </w:p>
        </w:tc>
        <w:tc>
          <w:tcPr>
            <w:tcW w:w="1778" w:type="dxa"/>
            <w:tcBorders>
              <w:top w:val="nil"/>
              <w:left w:val="nil"/>
              <w:bottom w:val="single" w:color="auto" w:sz="4" w:space="0"/>
              <w:right w:val="single" w:color="auto" w:sz="4" w:space="0"/>
            </w:tcBorders>
            <w:noWrap w:val="0"/>
            <w:vAlign w:val="center"/>
          </w:tcPr>
          <w:p w14:paraId="6B3C14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电子膨胀阀</w:t>
            </w:r>
          </w:p>
        </w:tc>
        <w:tc>
          <w:tcPr>
            <w:tcW w:w="4747" w:type="dxa"/>
            <w:tcBorders>
              <w:top w:val="nil"/>
              <w:left w:val="nil"/>
              <w:bottom w:val="single" w:color="auto" w:sz="4" w:space="0"/>
              <w:right w:val="single" w:color="auto" w:sz="4" w:space="0"/>
            </w:tcBorders>
            <w:noWrap w:val="0"/>
            <w:vAlign w:val="center"/>
          </w:tcPr>
          <w:p w14:paraId="18597D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检查电子膨胀阀执行动作是否正常</w:t>
            </w:r>
          </w:p>
        </w:tc>
      </w:tr>
      <w:tr w14:paraId="0E34773F">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09BE8F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5D9C94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4</w:t>
            </w:r>
          </w:p>
        </w:tc>
        <w:tc>
          <w:tcPr>
            <w:tcW w:w="1778" w:type="dxa"/>
            <w:tcBorders>
              <w:top w:val="nil"/>
              <w:left w:val="nil"/>
              <w:bottom w:val="single" w:color="auto" w:sz="4" w:space="0"/>
              <w:right w:val="single" w:color="auto" w:sz="4" w:space="0"/>
            </w:tcBorders>
            <w:noWrap w:val="0"/>
            <w:vAlign w:val="center"/>
          </w:tcPr>
          <w:p w14:paraId="3E82EE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温度传感器</w:t>
            </w:r>
          </w:p>
        </w:tc>
        <w:tc>
          <w:tcPr>
            <w:tcW w:w="4747" w:type="dxa"/>
            <w:tcBorders>
              <w:top w:val="nil"/>
              <w:left w:val="nil"/>
              <w:bottom w:val="single" w:color="auto" w:sz="4" w:space="0"/>
              <w:right w:val="single" w:color="auto" w:sz="4" w:space="0"/>
            </w:tcBorders>
            <w:noWrap w:val="0"/>
            <w:vAlign w:val="center"/>
          </w:tcPr>
          <w:p w14:paraId="047D78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检查并测量温度传感器阻值是否正常</w:t>
            </w:r>
          </w:p>
        </w:tc>
      </w:tr>
      <w:tr w14:paraId="32C0A791">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751E41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660185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5</w:t>
            </w:r>
          </w:p>
        </w:tc>
        <w:tc>
          <w:tcPr>
            <w:tcW w:w="1778" w:type="dxa"/>
            <w:tcBorders>
              <w:top w:val="nil"/>
              <w:left w:val="nil"/>
              <w:bottom w:val="single" w:color="auto" w:sz="4" w:space="0"/>
              <w:right w:val="single" w:color="auto" w:sz="4" w:space="0"/>
            </w:tcBorders>
            <w:noWrap w:val="0"/>
            <w:vAlign w:val="center"/>
          </w:tcPr>
          <w:p w14:paraId="6952F2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排水泵</w:t>
            </w:r>
          </w:p>
        </w:tc>
        <w:tc>
          <w:tcPr>
            <w:tcW w:w="4747" w:type="dxa"/>
            <w:tcBorders>
              <w:top w:val="nil"/>
              <w:left w:val="nil"/>
              <w:bottom w:val="single" w:color="auto" w:sz="4" w:space="0"/>
              <w:right w:val="single" w:color="auto" w:sz="4" w:space="0"/>
            </w:tcBorders>
            <w:noWrap w:val="0"/>
            <w:vAlign w:val="center"/>
          </w:tcPr>
          <w:p w14:paraId="1775CF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检查排水泵运转和排水是否正常</w:t>
            </w:r>
          </w:p>
        </w:tc>
      </w:tr>
      <w:tr w14:paraId="51944029">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74D470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2D64A2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6</w:t>
            </w:r>
          </w:p>
        </w:tc>
        <w:tc>
          <w:tcPr>
            <w:tcW w:w="1778" w:type="dxa"/>
            <w:tcBorders>
              <w:top w:val="nil"/>
              <w:left w:val="nil"/>
              <w:bottom w:val="single" w:color="auto" w:sz="4" w:space="0"/>
              <w:right w:val="single" w:color="auto" w:sz="4" w:space="0"/>
            </w:tcBorders>
            <w:noWrap w:val="0"/>
            <w:vAlign w:val="center"/>
          </w:tcPr>
          <w:p w14:paraId="423782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冷凝排水系统</w:t>
            </w:r>
          </w:p>
        </w:tc>
        <w:tc>
          <w:tcPr>
            <w:tcW w:w="4747" w:type="dxa"/>
            <w:tcBorders>
              <w:top w:val="nil"/>
              <w:left w:val="nil"/>
              <w:bottom w:val="single" w:color="auto" w:sz="4" w:space="0"/>
              <w:right w:val="single" w:color="auto" w:sz="4" w:space="0"/>
            </w:tcBorders>
            <w:noWrap w:val="0"/>
            <w:vAlign w:val="center"/>
          </w:tcPr>
          <w:p w14:paraId="075465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检查冷凝排水系统是否正常</w:t>
            </w:r>
          </w:p>
        </w:tc>
      </w:tr>
      <w:tr w14:paraId="27165C0B">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7A1094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4D4708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7</w:t>
            </w:r>
          </w:p>
        </w:tc>
        <w:tc>
          <w:tcPr>
            <w:tcW w:w="1778" w:type="dxa"/>
            <w:tcBorders>
              <w:top w:val="nil"/>
              <w:left w:val="nil"/>
              <w:bottom w:val="single" w:color="auto" w:sz="4" w:space="0"/>
              <w:right w:val="single" w:color="auto" w:sz="4" w:space="0"/>
            </w:tcBorders>
            <w:noWrap w:val="0"/>
            <w:vAlign w:val="center"/>
          </w:tcPr>
          <w:p w14:paraId="190820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冷媒管保温</w:t>
            </w:r>
          </w:p>
        </w:tc>
        <w:tc>
          <w:tcPr>
            <w:tcW w:w="4747" w:type="dxa"/>
            <w:tcBorders>
              <w:top w:val="nil"/>
              <w:left w:val="nil"/>
              <w:bottom w:val="single" w:color="auto" w:sz="4" w:space="0"/>
              <w:right w:val="single" w:color="auto" w:sz="4" w:space="0"/>
            </w:tcBorders>
            <w:noWrap w:val="0"/>
            <w:vAlign w:val="center"/>
          </w:tcPr>
          <w:p w14:paraId="1E1666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检查保温是否完好并修复</w:t>
            </w:r>
          </w:p>
        </w:tc>
      </w:tr>
      <w:tr w14:paraId="1D582459">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6DDAD0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144DC8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8</w:t>
            </w:r>
          </w:p>
        </w:tc>
        <w:tc>
          <w:tcPr>
            <w:tcW w:w="1778" w:type="dxa"/>
            <w:tcBorders>
              <w:top w:val="nil"/>
              <w:left w:val="nil"/>
              <w:bottom w:val="single" w:color="auto" w:sz="4" w:space="0"/>
              <w:right w:val="single" w:color="auto" w:sz="4" w:space="0"/>
            </w:tcBorders>
            <w:noWrap w:val="0"/>
            <w:vAlign w:val="center"/>
          </w:tcPr>
          <w:p w14:paraId="245359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风扇电机</w:t>
            </w:r>
          </w:p>
        </w:tc>
        <w:tc>
          <w:tcPr>
            <w:tcW w:w="4747" w:type="dxa"/>
            <w:tcBorders>
              <w:top w:val="nil"/>
              <w:left w:val="nil"/>
              <w:bottom w:val="single" w:color="auto" w:sz="4" w:space="0"/>
              <w:right w:val="single" w:color="auto" w:sz="4" w:space="0"/>
            </w:tcBorders>
            <w:noWrap w:val="0"/>
            <w:vAlign w:val="center"/>
          </w:tcPr>
          <w:p w14:paraId="53B8CD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检查电机轴承、电机绝缘阻值、风机扇叶动平衡</w:t>
            </w:r>
          </w:p>
        </w:tc>
      </w:tr>
      <w:tr w14:paraId="05B77BE5">
        <w:tblPrEx>
          <w:tblCellMar>
            <w:top w:w="0" w:type="dxa"/>
            <w:left w:w="108" w:type="dxa"/>
            <w:bottom w:w="0" w:type="dxa"/>
            <w:right w:w="108" w:type="dxa"/>
          </w:tblCellMar>
        </w:tblPrEx>
        <w:trPr>
          <w:trHeight w:val="81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1CA26F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166C60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9</w:t>
            </w:r>
          </w:p>
        </w:tc>
        <w:tc>
          <w:tcPr>
            <w:tcW w:w="1778" w:type="dxa"/>
            <w:tcBorders>
              <w:top w:val="nil"/>
              <w:left w:val="nil"/>
              <w:bottom w:val="single" w:color="auto" w:sz="4" w:space="0"/>
              <w:right w:val="single" w:color="auto" w:sz="4" w:space="0"/>
            </w:tcBorders>
            <w:noWrap w:val="0"/>
            <w:vAlign w:val="center"/>
          </w:tcPr>
          <w:p w14:paraId="164AB9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线控器</w:t>
            </w:r>
          </w:p>
        </w:tc>
        <w:tc>
          <w:tcPr>
            <w:tcW w:w="4747" w:type="dxa"/>
            <w:tcBorders>
              <w:top w:val="nil"/>
              <w:left w:val="nil"/>
              <w:bottom w:val="single" w:color="auto" w:sz="4" w:space="0"/>
              <w:right w:val="single" w:color="auto" w:sz="4" w:space="0"/>
            </w:tcBorders>
            <w:noWrap w:val="0"/>
            <w:vAlign w:val="center"/>
          </w:tcPr>
          <w:p w14:paraId="15A35F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检查线控器输入输出是否正常</w:t>
            </w:r>
          </w:p>
          <w:p w14:paraId="5839EF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液晶显示是否正常</w:t>
            </w:r>
          </w:p>
          <w:p w14:paraId="015499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菜单设置是否正常</w:t>
            </w:r>
          </w:p>
        </w:tc>
      </w:tr>
      <w:tr w14:paraId="497E48B6">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4009A9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2E983A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10</w:t>
            </w:r>
          </w:p>
        </w:tc>
        <w:tc>
          <w:tcPr>
            <w:tcW w:w="1778" w:type="dxa"/>
            <w:tcBorders>
              <w:top w:val="nil"/>
              <w:left w:val="nil"/>
              <w:bottom w:val="single" w:color="auto" w:sz="4" w:space="0"/>
              <w:right w:val="single" w:color="auto" w:sz="4" w:space="0"/>
            </w:tcBorders>
            <w:noWrap w:val="0"/>
            <w:vAlign w:val="center"/>
          </w:tcPr>
          <w:p w14:paraId="60A827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接线端子</w:t>
            </w:r>
          </w:p>
        </w:tc>
        <w:tc>
          <w:tcPr>
            <w:tcW w:w="4747" w:type="dxa"/>
            <w:tcBorders>
              <w:top w:val="nil"/>
              <w:left w:val="nil"/>
              <w:bottom w:val="single" w:color="auto" w:sz="4" w:space="0"/>
              <w:right w:val="single" w:color="auto" w:sz="4" w:space="0"/>
            </w:tcBorders>
            <w:noWrap w:val="0"/>
            <w:vAlign w:val="center"/>
          </w:tcPr>
          <w:p w14:paraId="1648DC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检查并紧固接线端子</w:t>
            </w:r>
          </w:p>
        </w:tc>
      </w:tr>
      <w:tr w14:paraId="370695EF">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711E0C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71C845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11</w:t>
            </w:r>
          </w:p>
        </w:tc>
        <w:tc>
          <w:tcPr>
            <w:tcW w:w="1778" w:type="dxa"/>
            <w:tcBorders>
              <w:top w:val="nil"/>
              <w:left w:val="nil"/>
              <w:bottom w:val="single" w:color="auto" w:sz="4" w:space="0"/>
              <w:right w:val="single" w:color="auto" w:sz="4" w:space="0"/>
            </w:tcBorders>
            <w:noWrap w:val="0"/>
            <w:vAlign w:val="center"/>
          </w:tcPr>
          <w:p w14:paraId="539813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供电电源</w:t>
            </w:r>
          </w:p>
        </w:tc>
        <w:tc>
          <w:tcPr>
            <w:tcW w:w="4747" w:type="dxa"/>
            <w:tcBorders>
              <w:top w:val="nil"/>
              <w:left w:val="nil"/>
              <w:bottom w:val="single" w:color="auto" w:sz="4" w:space="0"/>
              <w:right w:val="single" w:color="auto" w:sz="4" w:space="0"/>
            </w:tcBorders>
            <w:noWrap w:val="0"/>
            <w:vAlign w:val="center"/>
          </w:tcPr>
          <w:p w14:paraId="51CB9A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测量供电电源是否正常</w:t>
            </w:r>
          </w:p>
        </w:tc>
      </w:tr>
      <w:tr w14:paraId="7A8CE513">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49D156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76BB3A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12</w:t>
            </w:r>
          </w:p>
        </w:tc>
        <w:tc>
          <w:tcPr>
            <w:tcW w:w="1778" w:type="dxa"/>
            <w:tcBorders>
              <w:top w:val="nil"/>
              <w:left w:val="nil"/>
              <w:bottom w:val="single" w:color="auto" w:sz="4" w:space="0"/>
              <w:right w:val="single" w:color="auto" w:sz="4" w:space="0"/>
            </w:tcBorders>
            <w:noWrap w:val="0"/>
            <w:vAlign w:val="center"/>
          </w:tcPr>
          <w:p w14:paraId="01FD07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电路板</w:t>
            </w:r>
          </w:p>
        </w:tc>
        <w:tc>
          <w:tcPr>
            <w:tcW w:w="4747" w:type="dxa"/>
            <w:tcBorders>
              <w:top w:val="nil"/>
              <w:left w:val="nil"/>
              <w:bottom w:val="single" w:color="auto" w:sz="4" w:space="0"/>
              <w:right w:val="single" w:color="auto" w:sz="4" w:space="0"/>
            </w:tcBorders>
            <w:noWrap w:val="0"/>
            <w:vAlign w:val="center"/>
          </w:tcPr>
          <w:p w14:paraId="5686DA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检测电脑版各项输入输出是否正常</w:t>
            </w:r>
          </w:p>
        </w:tc>
      </w:tr>
      <w:tr w14:paraId="627943F4">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1556E2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0CEA1C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13</w:t>
            </w:r>
          </w:p>
        </w:tc>
        <w:tc>
          <w:tcPr>
            <w:tcW w:w="1778" w:type="dxa"/>
            <w:tcBorders>
              <w:top w:val="nil"/>
              <w:left w:val="nil"/>
              <w:bottom w:val="single" w:color="auto" w:sz="4" w:space="0"/>
              <w:right w:val="single" w:color="auto" w:sz="4" w:space="0"/>
            </w:tcBorders>
            <w:noWrap w:val="0"/>
            <w:vAlign w:val="center"/>
          </w:tcPr>
          <w:p w14:paraId="48C3A5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冷凝水脱水盘</w:t>
            </w:r>
          </w:p>
        </w:tc>
        <w:tc>
          <w:tcPr>
            <w:tcW w:w="4747" w:type="dxa"/>
            <w:tcBorders>
              <w:top w:val="nil"/>
              <w:left w:val="nil"/>
              <w:bottom w:val="single" w:color="auto" w:sz="4" w:space="0"/>
              <w:right w:val="single" w:color="auto" w:sz="4" w:space="0"/>
            </w:tcBorders>
            <w:noWrap w:val="0"/>
            <w:vAlign w:val="center"/>
          </w:tcPr>
          <w:p w14:paraId="065F86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检查并清理脱水盘杂物</w:t>
            </w:r>
          </w:p>
        </w:tc>
      </w:tr>
      <w:tr w14:paraId="2950C089">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6757F7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4C3E38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14</w:t>
            </w:r>
          </w:p>
        </w:tc>
        <w:tc>
          <w:tcPr>
            <w:tcW w:w="1778" w:type="dxa"/>
            <w:tcBorders>
              <w:top w:val="nil"/>
              <w:left w:val="nil"/>
              <w:bottom w:val="single" w:color="auto" w:sz="4" w:space="0"/>
              <w:right w:val="single" w:color="auto" w:sz="4" w:space="0"/>
            </w:tcBorders>
            <w:noWrap w:val="0"/>
            <w:vAlign w:val="center"/>
          </w:tcPr>
          <w:p w14:paraId="5B6312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送风温度</w:t>
            </w:r>
          </w:p>
        </w:tc>
        <w:tc>
          <w:tcPr>
            <w:tcW w:w="4747" w:type="dxa"/>
            <w:tcBorders>
              <w:top w:val="nil"/>
              <w:left w:val="nil"/>
              <w:bottom w:val="single" w:color="auto" w:sz="4" w:space="0"/>
              <w:right w:val="single" w:color="auto" w:sz="4" w:space="0"/>
            </w:tcBorders>
            <w:noWrap w:val="0"/>
            <w:vAlign w:val="center"/>
          </w:tcPr>
          <w:p w14:paraId="1BF9BE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测量空调送风温度是否符合标准</w:t>
            </w:r>
          </w:p>
        </w:tc>
      </w:tr>
      <w:tr w14:paraId="25DDDCB3">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33B181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377AAF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15</w:t>
            </w:r>
          </w:p>
        </w:tc>
        <w:tc>
          <w:tcPr>
            <w:tcW w:w="1778" w:type="dxa"/>
            <w:tcBorders>
              <w:top w:val="nil"/>
              <w:left w:val="nil"/>
              <w:bottom w:val="single" w:color="auto" w:sz="4" w:space="0"/>
              <w:right w:val="single" w:color="auto" w:sz="4" w:space="0"/>
            </w:tcBorders>
            <w:noWrap w:val="0"/>
            <w:vAlign w:val="center"/>
          </w:tcPr>
          <w:p w14:paraId="582D2C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送风量</w:t>
            </w:r>
          </w:p>
        </w:tc>
        <w:tc>
          <w:tcPr>
            <w:tcW w:w="4747" w:type="dxa"/>
            <w:tcBorders>
              <w:top w:val="nil"/>
              <w:left w:val="nil"/>
              <w:bottom w:val="single" w:color="auto" w:sz="4" w:space="0"/>
              <w:right w:val="single" w:color="auto" w:sz="4" w:space="0"/>
            </w:tcBorders>
            <w:noWrap w:val="0"/>
            <w:vAlign w:val="center"/>
          </w:tcPr>
          <w:p w14:paraId="36F43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测量空调送风量是否符合标准</w:t>
            </w:r>
          </w:p>
        </w:tc>
      </w:tr>
      <w:tr w14:paraId="5AB0A779">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5E4C8E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598988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16</w:t>
            </w:r>
          </w:p>
        </w:tc>
        <w:tc>
          <w:tcPr>
            <w:tcW w:w="1778" w:type="dxa"/>
            <w:tcBorders>
              <w:top w:val="nil"/>
              <w:left w:val="nil"/>
              <w:bottom w:val="single" w:color="auto" w:sz="4" w:space="0"/>
              <w:right w:val="single" w:color="auto" w:sz="4" w:space="0"/>
            </w:tcBorders>
            <w:noWrap w:val="0"/>
            <w:vAlign w:val="center"/>
          </w:tcPr>
          <w:p w14:paraId="42EBA2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设备接地及绝缘</w:t>
            </w:r>
          </w:p>
        </w:tc>
        <w:tc>
          <w:tcPr>
            <w:tcW w:w="4747" w:type="dxa"/>
            <w:tcBorders>
              <w:top w:val="nil"/>
              <w:left w:val="nil"/>
              <w:bottom w:val="single" w:color="auto" w:sz="4" w:space="0"/>
              <w:right w:val="single" w:color="auto" w:sz="4" w:space="0"/>
            </w:tcBorders>
            <w:noWrap w:val="0"/>
            <w:vAlign w:val="center"/>
          </w:tcPr>
          <w:p w14:paraId="0A3D9C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测量设备绝缘是否良好</w:t>
            </w:r>
          </w:p>
        </w:tc>
      </w:tr>
      <w:tr w14:paraId="64E3E9AB">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07022C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760138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17</w:t>
            </w:r>
          </w:p>
        </w:tc>
        <w:tc>
          <w:tcPr>
            <w:tcW w:w="1778" w:type="dxa"/>
            <w:tcBorders>
              <w:top w:val="nil"/>
              <w:left w:val="nil"/>
              <w:bottom w:val="single" w:color="auto" w:sz="4" w:space="0"/>
              <w:right w:val="single" w:color="auto" w:sz="4" w:space="0"/>
            </w:tcBorders>
            <w:noWrap w:val="0"/>
            <w:vAlign w:val="center"/>
          </w:tcPr>
          <w:p w14:paraId="2FB5F1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固定设施</w:t>
            </w:r>
          </w:p>
        </w:tc>
        <w:tc>
          <w:tcPr>
            <w:tcW w:w="4747" w:type="dxa"/>
            <w:tcBorders>
              <w:top w:val="nil"/>
              <w:left w:val="nil"/>
              <w:bottom w:val="single" w:color="auto" w:sz="4" w:space="0"/>
              <w:right w:val="single" w:color="auto" w:sz="4" w:space="0"/>
            </w:tcBorders>
            <w:noWrap w:val="0"/>
            <w:vAlign w:val="center"/>
          </w:tcPr>
          <w:p w14:paraId="07E2A6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检查并紧固设备固定螺丝及支架</w:t>
            </w:r>
          </w:p>
        </w:tc>
      </w:tr>
      <w:tr w14:paraId="235A49B0">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29910F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39D4F9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18</w:t>
            </w:r>
          </w:p>
        </w:tc>
        <w:tc>
          <w:tcPr>
            <w:tcW w:w="1778" w:type="dxa"/>
            <w:tcBorders>
              <w:top w:val="nil"/>
              <w:left w:val="nil"/>
              <w:bottom w:val="single" w:color="auto" w:sz="4" w:space="0"/>
              <w:right w:val="single" w:color="auto" w:sz="4" w:space="0"/>
            </w:tcBorders>
            <w:noWrap w:val="0"/>
            <w:vAlign w:val="center"/>
          </w:tcPr>
          <w:p w14:paraId="04DEB2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空调面板</w:t>
            </w:r>
          </w:p>
        </w:tc>
        <w:tc>
          <w:tcPr>
            <w:tcW w:w="4747" w:type="dxa"/>
            <w:tcBorders>
              <w:top w:val="nil"/>
              <w:left w:val="nil"/>
              <w:bottom w:val="single" w:color="auto" w:sz="4" w:space="0"/>
              <w:right w:val="single" w:color="auto" w:sz="4" w:space="0"/>
            </w:tcBorders>
            <w:noWrap w:val="0"/>
            <w:vAlign w:val="center"/>
          </w:tcPr>
          <w:p w14:paraId="189DAF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检查清洁空调面板</w:t>
            </w:r>
          </w:p>
        </w:tc>
      </w:tr>
      <w:tr w14:paraId="73E12AD7">
        <w:tblPrEx>
          <w:tblCellMar>
            <w:top w:w="0" w:type="dxa"/>
            <w:left w:w="108" w:type="dxa"/>
            <w:bottom w:w="0" w:type="dxa"/>
            <w:right w:w="108" w:type="dxa"/>
          </w:tblCellMar>
        </w:tblPrEx>
        <w:trPr>
          <w:trHeight w:val="54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3C3AB5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31B44E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19</w:t>
            </w:r>
          </w:p>
        </w:tc>
        <w:tc>
          <w:tcPr>
            <w:tcW w:w="1778" w:type="dxa"/>
            <w:tcBorders>
              <w:top w:val="nil"/>
              <w:left w:val="nil"/>
              <w:bottom w:val="single" w:color="auto" w:sz="4" w:space="0"/>
              <w:right w:val="single" w:color="auto" w:sz="4" w:space="0"/>
            </w:tcBorders>
            <w:noWrap w:val="0"/>
            <w:vAlign w:val="center"/>
          </w:tcPr>
          <w:p w14:paraId="3ABE64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传感器</w:t>
            </w:r>
          </w:p>
        </w:tc>
        <w:tc>
          <w:tcPr>
            <w:tcW w:w="4747" w:type="dxa"/>
            <w:tcBorders>
              <w:top w:val="nil"/>
              <w:left w:val="nil"/>
              <w:bottom w:val="single" w:color="auto" w:sz="4" w:space="0"/>
              <w:right w:val="single" w:color="auto" w:sz="4" w:space="0"/>
            </w:tcBorders>
            <w:noWrap w:val="0"/>
            <w:vAlign w:val="center"/>
          </w:tcPr>
          <w:p w14:paraId="16AC0C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检查回风温度传感器是否良好</w:t>
            </w:r>
          </w:p>
          <w:p w14:paraId="5CD057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检查蒸发盘管温度传感器是否良好</w:t>
            </w:r>
          </w:p>
        </w:tc>
      </w:tr>
      <w:tr w14:paraId="28BE9BD3">
        <w:tblPrEx>
          <w:tblCellMar>
            <w:top w:w="0" w:type="dxa"/>
            <w:left w:w="108" w:type="dxa"/>
            <w:bottom w:w="0" w:type="dxa"/>
            <w:right w:w="108" w:type="dxa"/>
          </w:tblCellMar>
        </w:tblPrEx>
        <w:trPr>
          <w:trHeight w:val="1080" w:hRule="atLeast"/>
        </w:trPr>
        <w:tc>
          <w:tcPr>
            <w:tcW w:w="1318" w:type="dxa"/>
            <w:vMerge w:val="restart"/>
            <w:tcBorders>
              <w:top w:val="nil"/>
              <w:left w:val="single" w:color="auto" w:sz="4" w:space="0"/>
              <w:bottom w:val="single" w:color="auto" w:sz="4" w:space="0"/>
              <w:right w:val="single" w:color="auto" w:sz="4" w:space="0"/>
            </w:tcBorders>
            <w:noWrap w:val="0"/>
            <w:vAlign w:val="center"/>
          </w:tcPr>
          <w:p w14:paraId="34D546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室外机</w:t>
            </w:r>
          </w:p>
        </w:tc>
        <w:tc>
          <w:tcPr>
            <w:tcW w:w="877" w:type="dxa"/>
            <w:tcBorders>
              <w:top w:val="nil"/>
              <w:left w:val="nil"/>
              <w:bottom w:val="single" w:color="auto" w:sz="4" w:space="0"/>
              <w:right w:val="single" w:color="auto" w:sz="4" w:space="0"/>
            </w:tcBorders>
            <w:noWrap w:val="0"/>
            <w:vAlign w:val="center"/>
          </w:tcPr>
          <w:p w14:paraId="100134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w:t>
            </w:r>
          </w:p>
        </w:tc>
        <w:tc>
          <w:tcPr>
            <w:tcW w:w="1778" w:type="dxa"/>
            <w:tcBorders>
              <w:top w:val="nil"/>
              <w:left w:val="nil"/>
              <w:bottom w:val="single" w:color="auto" w:sz="4" w:space="0"/>
              <w:right w:val="single" w:color="auto" w:sz="4" w:space="0"/>
            </w:tcBorders>
            <w:noWrap w:val="0"/>
            <w:vAlign w:val="center"/>
          </w:tcPr>
          <w:p w14:paraId="6DAD55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压缩及局部</w:t>
            </w:r>
          </w:p>
        </w:tc>
        <w:tc>
          <w:tcPr>
            <w:tcW w:w="4747" w:type="dxa"/>
            <w:tcBorders>
              <w:top w:val="nil"/>
              <w:left w:val="nil"/>
              <w:bottom w:val="single" w:color="auto" w:sz="4" w:space="0"/>
              <w:right w:val="single" w:color="auto" w:sz="4" w:space="0"/>
            </w:tcBorders>
            <w:noWrap w:val="0"/>
            <w:vAlign w:val="center"/>
          </w:tcPr>
          <w:p w14:paraId="54CCD4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检测压缩机绝缘电阻</w:t>
            </w:r>
          </w:p>
          <w:p w14:paraId="6BAD50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检测压缩机电流</w:t>
            </w:r>
          </w:p>
          <w:p w14:paraId="139769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检测压缩机冷却</w:t>
            </w:r>
          </w:p>
          <w:p w14:paraId="548DFD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检测压缩器排气温度</w:t>
            </w:r>
          </w:p>
        </w:tc>
      </w:tr>
      <w:tr w14:paraId="60F42966">
        <w:tblPrEx>
          <w:tblCellMar>
            <w:top w:w="0" w:type="dxa"/>
            <w:left w:w="108" w:type="dxa"/>
            <w:bottom w:w="0" w:type="dxa"/>
            <w:right w:w="108" w:type="dxa"/>
          </w:tblCellMar>
        </w:tblPrEx>
        <w:trPr>
          <w:trHeight w:val="108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0EF02F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165297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2</w:t>
            </w:r>
          </w:p>
        </w:tc>
        <w:tc>
          <w:tcPr>
            <w:tcW w:w="1778" w:type="dxa"/>
            <w:tcBorders>
              <w:top w:val="nil"/>
              <w:left w:val="nil"/>
              <w:bottom w:val="single" w:color="auto" w:sz="4" w:space="0"/>
              <w:right w:val="single" w:color="auto" w:sz="4" w:space="0"/>
            </w:tcBorders>
            <w:noWrap w:val="0"/>
            <w:vAlign w:val="center"/>
          </w:tcPr>
          <w:p w14:paraId="3FBA4D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制冷系统</w:t>
            </w:r>
          </w:p>
        </w:tc>
        <w:tc>
          <w:tcPr>
            <w:tcW w:w="4747" w:type="dxa"/>
            <w:tcBorders>
              <w:top w:val="nil"/>
              <w:left w:val="nil"/>
              <w:bottom w:val="single" w:color="auto" w:sz="4" w:space="0"/>
              <w:right w:val="single" w:color="auto" w:sz="4" w:space="0"/>
            </w:tcBorders>
            <w:noWrap w:val="0"/>
            <w:vAlign w:val="center"/>
          </w:tcPr>
          <w:p w14:paraId="59E1F2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检测系统排气压力</w:t>
            </w:r>
          </w:p>
          <w:p w14:paraId="03E70E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检测系统吸气压力</w:t>
            </w:r>
          </w:p>
          <w:p w14:paraId="2B02A5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检查系统有无漏点</w:t>
            </w:r>
          </w:p>
          <w:p w14:paraId="51D3C9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检测系统冷媒量是否充足</w:t>
            </w:r>
          </w:p>
        </w:tc>
      </w:tr>
      <w:tr w14:paraId="66193D77">
        <w:tblPrEx>
          <w:tblCellMar>
            <w:top w:w="0" w:type="dxa"/>
            <w:left w:w="108" w:type="dxa"/>
            <w:bottom w:w="0" w:type="dxa"/>
            <w:right w:w="108" w:type="dxa"/>
          </w:tblCellMar>
        </w:tblPrEx>
        <w:trPr>
          <w:trHeight w:val="108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7C33A4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34B20F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3</w:t>
            </w:r>
          </w:p>
        </w:tc>
        <w:tc>
          <w:tcPr>
            <w:tcW w:w="1778" w:type="dxa"/>
            <w:tcBorders>
              <w:top w:val="nil"/>
              <w:left w:val="nil"/>
              <w:bottom w:val="single" w:color="auto" w:sz="4" w:space="0"/>
              <w:right w:val="single" w:color="auto" w:sz="4" w:space="0"/>
            </w:tcBorders>
            <w:noWrap w:val="0"/>
            <w:vAlign w:val="center"/>
          </w:tcPr>
          <w:p w14:paraId="6A5C6C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冷冻油</w:t>
            </w:r>
          </w:p>
        </w:tc>
        <w:tc>
          <w:tcPr>
            <w:tcW w:w="4747" w:type="dxa"/>
            <w:tcBorders>
              <w:top w:val="nil"/>
              <w:left w:val="nil"/>
              <w:bottom w:val="single" w:color="auto" w:sz="4" w:space="0"/>
              <w:right w:val="single" w:color="auto" w:sz="4" w:space="0"/>
            </w:tcBorders>
            <w:noWrap w:val="0"/>
            <w:vAlign w:val="center"/>
          </w:tcPr>
          <w:p w14:paraId="57093B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检测压缩机绝缘电阻</w:t>
            </w:r>
          </w:p>
          <w:p w14:paraId="0C252C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检测压缩机电流</w:t>
            </w:r>
          </w:p>
          <w:p w14:paraId="1D139B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检测压缩机冷却</w:t>
            </w:r>
          </w:p>
          <w:p w14:paraId="7DF774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检测压缩机冷冻油是否充足</w:t>
            </w:r>
          </w:p>
        </w:tc>
      </w:tr>
      <w:tr w14:paraId="08D6EB38">
        <w:tblPrEx>
          <w:tblCellMar>
            <w:top w:w="0" w:type="dxa"/>
            <w:left w:w="108" w:type="dxa"/>
            <w:bottom w:w="0" w:type="dxa"/>
            <w:right w:w="108" w:type="dxa"/>
          </w:tblCellMar>
        </w:tblPrEx>
        <w:trPr>
          <w:trHeight w:val="81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131E01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164E9B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4</w:t>
            </w:r>
          </w:p>
        </w:tc>
        <w:tc>
          <w:tcPr>
            <w:tcW w:w="1778" w:type="dxa"/>
            <w:tcBorders>
              <w:top w:val="nil"/>
              <w:left w:val="nil"/>
              <w:bottom w:val="single" w:color="auto" w:sz="4" w:space="0"/>
              <w:right w:val="single" w:color="auto" w:sz="4" w:space="0"/>
            </w:tcBorders>
            <w:noWrap w:val="0"/>
            <w:vAlign w:val="center"/>
          </w:tcPr>
          <w:p w14:paraId="7AED9C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四通阀</w:t>
            </w:r>
          </w:p>
        </w:tc>
        <w:tc>
          <w:tcPr>
            <w:tcW w:w="4747" w:type="dxa"/>
            <w:tcBorders>
              <w:top w:val="nil"/>
              <w:left w:val="nil"/>
              <w:bottom w:val="single" w:color="auto" w:sz="4" w:space="0"/>
              <w:right w:val="single" w:color="auto" w:sz="4" w:space="0"/>
            </w:tcBorders>
            <w:noWrap w:val="0"/>
            <w:vAlign w:val="center"/>
          </w:tcPr>
          <w:p w14:paraId="2B54A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检查四通换向阀制冷制热切换是否正常</w:t>
            </w:r>
          </w:p>
          <w:p w14:paraId="1F7039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检查四通换向阀是否串气</w:t>
            </w:r>
          </w:p>
          <w:p w14:paraId="64DB00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检查四通阀线圈是否正常</w:t>
            </w:r>
          </w:p>
        </w:tc>
      </w:tr>
      <w:tr w14:paraId="4C34DE1F">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30A475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71A0A8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5</w:t>
            </w:r>
          </w:p>
        </w:tc>
        <w:tc>
          <w:tcPr>
            <w:tcW w:w="1778" w:type="dxa"/>
            <w:tcBorders>
              <w:top w:val="nil"/>
              <w:left w:val="nil"/>
              <w:bottom w:val="single" w:color="auto" w:sz="4" w:space="0"/>
              <w:right w:val="single" w:color="auto" w:sz="4" w:space="0"/>
            </w:tcBorders>
            <w:noWrap w:val="0"/>
            <w:vAlign w:val="center"/>
          </w:tcPr>
          <w:p w14:paraId="145FF7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过滤器</w:t>
            </w:r>
          </w:p>
        </w:tc>
        <w:tc>
          <w:tcPr>
            <w:tcW w:w="4747" w:type="dxa"/>
            <w:tcBorders>
              <w:top w:val="nil"/>
              <w:left w:val="nil"/>
              <w:bottom w:val="single" w:color="auto" w:sz="4" w:space="0"/>
              <w:right w:val="single" w:color="auto" w:sz="4" w:space="0"/>
            </w:tcBorders>
            <w:noWrap w:val="0"/>
            <w:vAlign w:val="center"/>
          </w:tcPr>
          <w:p w14:paraId="4F3F86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检查过滤器是否有阻塞</w:t>
            </w:r>
          </w:p>
        </w:tc>
      </w:tr>
      <w:tr w14:paraId="66183B51">
        <w:tblPrEx>
          <w:tblCellMar>
            <w:top w:w="0" w:type="dxa"/>
            <w:left w:w="108" w:type="dxa"/>
            <w:bottom w:w="0" w:type="dxa"/>
            <w:right w:w="108" w:type="dxa"/>
          </w:tblCellMar>
        </w:tblPrEx>
        <w:trPr>
          <w:trHeight w:val="54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1E39EC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33A2F6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6</w:t>
            </w:r>
          </w:p>
        </w:tc>
        <w:tc>
          <w:tcPr>
            <w:tcW w:w="1778" w:type="dxa"/>
            <w:tcBorders>
              <w:top w:val="nil"/>
              <w:left w:val="nil"/>
              <w:bottom w:val="single" w:color="auto" w:sz="4" w:space="0"/>
              <w:right w:val="single" w:color="auto" w:sz="4" w:space="0"/>
            </w:tcBorders>
            <w:noWrap w:val="0"/>
            <w:vAlign w:val="center"/>
          </w:tcPr>
          <w:p w14:paraId="05FCC7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膨胀阀</w:t>
            </w:r>
          </w:p>
        </w:tc>
        <w:tc>
          <w:tcPr>
            <w:tcW w:w="4747" w:type="dxa"/>
            <w:tcBorders>
              <w:top w:val="nil"/>
              <w:left w:val="nil"/>
              <w:bottom w:val="single" w:color="auto" w:sz="4" w:space="0"/>
              <w:right w:val="single" w:color="auto" w:sz="4" w:space="0"/>
            </w:tcBorders>
            <w:noWrap w:val="0"/>
            <w:vAlign w:val="center"/>
          </w:tcPr>
          <w:p w14:paraId="0AAFC2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检查电子膨胀阀节流调节是否正常</w:t>
            </w:r>
          </w:p>
          <w:p w14:paraId="4E5862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检测电子膨胀阀线圈工作是否正常</w:t>
            </w:r>
          </w:p>
        </w:tc>
      </w:tr>
      <w:tr w14:paraId="056F78EF">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11BAC8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6C033A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7</w:t>
            </w:r>
          </w:p>
        </w:tc>
        <w:tc>
          <w:tcPr>
            <w:tcW w:w="1778" w:type="dxa"/>
            <w:tcBorders>
              <w:top w:val="nil"/>
              <w:left w:val="nil"/>
              <w:bottom w:val="single" w:color="auto" w:sz="4" w:space="0"/>
              <w:right w:val="single" w:color="auto" w:sz="4" w:space="0"/>
            </w:tcBorders>
            <w:noWrap w:val="0"/>
            <w:vAlign w:val="center"/>
          </w:tcPr>
          <w:p w14:paraId="169B9C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储液罐</w:t>
            </w:r>
          </w:p>
        </w:tc>
        <w:tc>
          <w:tcPr>
            <w:tcW w:w="4747" w:type="dxa"/>
            <w:tcBorders>
              <w:top w:val="nil"/>
              <w:left w:val="nil"/>
              <w:bottom w:val="single" w:color="auto" w:sz="4" w:space="0"/>
              <w:right w:val="single" w:color="auto" w:sz="4" w:space="0"/>
            </w:tcBorders>
            <w:noWrap w:val="0"/>
            <w:vAlign w:val="center"/>
          </w:tcPr>
          <w:p w14:paraId="042368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检查储液罐是否良好</w:t>
            </w:r>
          </w:p>
        </w:tc>
      </w:tr>
      <w:tr w14:paraId="466E02E7">
        <w:tblPrEx>
          <w:tblCellMar>
            <w:top w:w="0" w:type="dxa"/>
            <w:left w:w="108" w:type="dxa"/>
            <w:bottom w:w="0" w:type="dxa"/>
            <w:right w:w="108" w:type="dxa"/>
          </w:tblCellMar>
        </w:tblPrEx>
        <w:trPr>
          <w:trHeight w:val="54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5505E7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1E47E4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8</w:t>
            </w:r>
          </w:p>
        </w:tc>
        <w:tc>
          <w:tcPr>
            <w:tcW w:w="1778" w:type="dxa"/>
            <w:tcBorders>
              <w:top w:val="nil"/>
              <w:left w:val="nil"/>
              <w:bottom w:val="single" w:color="auto" w:sz="4" w:space="0"/>
              <w:right w:val="single" w:color="auto" w:sz="4" w:space="0"/>
            </w:tcBorders>
            <w:noWrap w:val="0"/>
            <w:vAlign w:val="center"/>
          </w:tcPr>
          <w:p w14:paraId="3B00B2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高压开关</w:t>
            </w:r>
          </w:p>
        </w:tc>
        <w:tc>
          <w:tcPr>
            <w:tcW w:w="4747" w:type="dxa"/>
            <w:tcBorders>
              <w:top w:val="nil"/>
              <w:left w:val="nil"/>
              <w:bottom w:val="single" w:color="auto" w:sz="4" w:space="0"/>
              <w:right w:val="single" w:color="auto" w:sz="4" w:space="0"/>
            </w:tcBorders>
            <w:noWrap w:val="0"/>
            <w:vAlign w:val="center"/>
          </w:tcPr>
          <w:p w14:paraId="337046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检测高压保护开关动作是否正常</w:t>
            </w:r>
          </w:p>
          <w:p w14:paraId="2F1AF1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校正高压保护开关点是否正确</w:t>
            </w:r>
          </w:p>
        </w:tc>
      </w:tr>
      <w:tr w14:paraId="6C97A246">
        <w:tblPrEx>
          <w:tblCellMar>
            <w:top w:w="0" w:type="dxa"/>
            <w:left w:w="108" w:type="dxa"/>
            <w:bottom w:w="0" w:type="dxa"/>
            <w:right w:w="108" w:type="dxa"/>
          </w:tblCellMar>
        </w:tblPrEx>
        <w:trPr>
          <w:trHeight w:val="54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3AFDB2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44A4F0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9</w:t>
            </w:r>
          </w:p>
        </w:tc>
        <w:tc>
          <w:tcPr>
            <w:tcW w:w="1778" w:type="dxa"/>
            <w:tcBorders>
              <w:top w:val="nil"/>
              <w:left w:val="nil"/>
              <w:bottom w:val="single" w:color="auto" w:sz="4" w:space="0"/>
              <w:right w:val="single" w:color="auto" w:sz="4" w:space="0"/>
            </w:tcBorders>
            <w:noWrap w:val="0"/>
            <w:vAlign w:val="center"/>
          </w:tcPr>
          <w:p w14:paraId="36549F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低压开关</w:t>
            </w:r>
          </w:p>
        </w:tc>
        <w:tc>
          <w:tcPr>
            <w:tcW w:w="4747" w:type="dxa"/>
            <w:tcBorders>
              <w:top w:val="nil"/>
              <w:left w:val="nil"/>
              <w:bottom w:val="single" w:color="auto" w:sz="4" w:space="0"/>
              <w:right w:val="single" w:color="auto" w:sz="4" w:space="0"/>
            </w:tcBorders>
            <w:noWrap w:val="0"/>
            <w:vAlign w:val="center"/>
          </w:tcPr>
          <w:p w14:paraId="6F6363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检测低压保护开关动作是否正常</w:t>
            </w:r>
          </w:p>
          <w:p w14:paraId="0040C0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校正低压保护开关点是否正确</w:t>
            </w:r>
          </w:p>
        </w:tc>
      </w:tr>
      <w:tr w14:paraId="16CE83BF">
        <w:tblPrEx>
          <w:tblCellMar>
            <w:top w:w="0" w:type="dxa"/>
            <w:left w:w="108" w:type="dxa"/>
            <w:bottom w:w="0" w:type="dxa"/>
            <w:right w:w="108" w:type="dxa"/>
          </w:tblCellMar>
        </w:tblPrEx>
        <w:trPr>
          <w:trHeight w:val="135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168069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2E6C55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10</w:t>
            </w:r>
          </w:p>
        </w:tc>
        <w:tc>
          <w:tcPr>
            <w:tcW w:w="1778" w:type="dxa"/>
            <w:tcBorders>
              <w:top w:val="nil"/>
              <w:left w:val="nil"/>
              <w:bottom w:val="single" w:color="auto" w:sz="4" w:space="0"/>
              <w:right w:val="single" w:color="auto" w:sz="4" w:space="0"/>
            </w:tcBorders>
            <w:noWrap w:val="0"/>
            <w:vAlign w:val="center"/>
          </w:tcPr>
          <w:p w14:paraId="7FBF08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传感器</w:t>
            </w:r>
          </w:p>
        </w:tc>
        <w:tc>
          <w:tcPr>
            <w:tcW w:w="4747" w:type="dxa"/>
            <w:tcBorders>
              <w:top w:val="nil"/>
              <w:left w:val="nil"/>
              <w:bottom w:val="single" w:color="auto" w:sz="4" w:space="0"/>
              <w:right w:val="single" w:color="auto" w:sz="4" w:space="0"/>
            </w:tcBorders>
            <w:noWrap w:val="0"/>
            <w:vAlign w:val="center"/>
          </w:tcPr>
          <w:p w14:paraId="7C9A35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检查排气温度传感器是否正常</w:t>
            </w:r>
          </w:p>
          <w:p w14:paraId="6F8C6E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检查排气压力传感器是否正常</w:t>
            </w:r>
          </w:p>
          <w:p w14:paraId="7F6B1D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检查吸气压力传感器是否正常</w:t>
            </w:r>
          </w:p>
          <w:p w14:paraId="798D5C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检查环境温度传感器是否正常</w:t>
            </w:r>
          </w:p>
          <w:p w14:paraId="5C83D8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检查盘管温度传感器是否正常</w:t>
            </w:r>
          </w:p>
        </w:tc>
      </w:tr>
      <w:tr w14:paraId="4ED75DE7">
        <w:tblPrEx>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743FB4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756048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11</w:t>
            </w:r>
          </w:p>
        </w:tc>
        <w:tc>
          <w:tcPr>
            <w:tcW w:w="1778" w:type="dxa"/>
            <w:tcBorders>
              <w:top w:val="nil"/>
              <w:left w:val="nil"/>
              <w:bottom w:val="single" w:color="auto" w:sz="4" w:space="0"/>
              <w:right w:val="single" w:color="auto" w:sz="4" w:space="0"/>
            </w:tcBorders>
            <w:noWrap w:val="0"/>
            <w:vAlign w:val="center"/>
          </w:tcPr>
          <w:p w14:paraId="184583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单向阀</w:t>
            </w:r>
          </w:p>
        </w:tc>
        <w:tc>
          <w:tcPr>
            <w:tcW w:w="4747" w:type="dxa"/>
            <w:tcBorders>
              <w:top w:val="nil"/>
              <w:left w:val="nil"/>
              <w:bottom w:val="single" w:color="auto" w:sz="4" w:space="0"/>
              <w:right w:val="single" w:color="auto" w:sz="4" w:space="0"/>
            </w:tcBorders>
            <w:noWrap w:val="0"/>
            <w:vAlign w:val="center"/>
          </w:tcPr>
          <w:p w14:paraId="4007A1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检查单向阀工作是否正常</w:t>
            </w:r>
          </w:p>
        </w:tc>
      </w:tr>
      <w:tr w14:paraId="3BE54EBD">
        <w:tblPrEx>
          <w:tblCellMar>
            <w:top w:w="0" w:type="dxa"/>
            <w:left w:w="108" w:type="dxa"/>
            <w:bottom w:w="0" w:type="dxa"/>
            <w:right w:w="108" w:type="dxa"/>
          </w:tblCellMar>
        </w:tblPrEx>
        <w:trPr>
          <w:trHeight w:val="135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26B7CC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69D6BF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12</w:t>
            </w:r>
          </w:p>
        </w:tc>
        <w:tc>
          <w:tcPr>
            <w:tcW w:w="1778" w:type="dxa"/>
            <w:tcBorders>
              <w:top w:val="nil"/>
              <w:left w:val="nil"/>
              <w:bottom w:val="single" w:color="auto" w:sz="4" w:space="0"/>
              <w:right w:val="single" w:color="auto" w:sz="4" w:space="0"/>
            </w:tcBorders>
            <w:noWrap w:val="0"/>
            <w:vAlign w:val="center"/>
          </w:tcPr>
          <w:p w14:paraId="4FCC1C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冷凝风机</w:t>
            </w:r>
          </w:p>
        </w:tc>
        <w:tc>
          <w:tcPr>
            <w:tcW w:w="4747" w:type="dxa"/>
            <w:tcBorders>
              <w:top w:val="nil"/>
              <w:left w:val="nil"/>
              <w:bottom w:val="single" w:color="auto" w:sz="4" w:space="0"/>
              <w:right w:val="single" w:color="auto" w:sz="4" w:space="0"/>
            </w:tcBorders>
            <w:noWrap w:val="0"/>
            <w:vAlign w:val="center"/>
          </w:tcPr>
          <w:p w14:paraId="1A9F7D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检查电机电流</w:t>
            </w:r>
          </w:p>
          <w:p w14:paraId="2DA619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检查电机电源</w:t>
            </w:r>
          </w:p>
          <w:p w14:paraId="69183A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检查电机轴承是否良好</w:t>
            </w:r>
          </w:p>
          <w:p w14:paraId="4E8DC2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检查风机扇叶是否良好</w:t>
            </w:r>
          </w:p>
          <w:p w14:paraId="6AF96F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检查风机动平衡是否正常</w:t>
            </w:r>
          </w:p>
        </w:tc>
      </w:tr>
      <w:tr w14:paraId="57E817D1">
        <w:tblPrEx>
          <w:tblCellMar>
            <w:top w:w="0" w:type="dxa"/>
            <w:left w:w="108" w:type="dxa"/>
            <w:bottom w:w="0" w:type="dxa"/>
            <w:right w:w="108" w:type="dxa"/>
          </w:tblCellMar>
        </w:tblPrEx>
        <w:trPr>
          <w:trHeight w:val="81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034B35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1CF099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13</w:t>
            </w:r>
          </w:p>
        </w:tc>
        <w:tc>
          <w:tcPr>
            <w:tcW w:w="1778" w:type="dxa"/>
            <w:tcBorders>
              <w:top w:val="nil"/>
              <w:left w:val="nil"/>
              <w:bottom w:val="single" w:color="auto" w:sz="4" w:space="0"/>
              <w:right w:val="single" w:color="auto" w:sz="4" w:space="0"/>
            </w:tcBorders>
            <w:noWrap w:val="0"/>
            <w:vAlign w:val="center"/>
          </w:tcPr>
          <w:p w14:paraId="65D82E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冷凝器</w:t>
            </w:r>
          </w:p>
        </w:tc>
        <w:tc>
          <w:tcPr>
            <w:tcW w:w="4747" w:type="dxa"/>
            <w:tcBorders>
              <w:top w:val="nil"/>
              <w:left w:val="nil"/>
              <w:bottom w:val="single" w:color="auto" w:sz="4" w:space="0"/>
              <w:right w:val="single" w:color="auto" w:sz="4" w:space="0"/>
            </w:tcBorders>
            <w:noWrap w:val="0"/>
            <w:vAlign w:val="center"/>
          </w:tcPr>
          <w:p w14:paraId="5099A8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检查冷凝器是否散热良好</w:t>
            </w:r>
          </w:p>
          <w:p w14:paraId="328270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 xml:space="preserve">检查冷凝器翅片是否有脏堵                                  </w:t>
            </w:r>
          </w:p>
          <w:p w14:paraId="0F8656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药剂清洗冷凝器翅片除尘、除垢</w:t>
            </w:r>
          </w:p>
        </w:tc>
      </w:tr>
      <w:tr w14:paraId="32835281">
        <w:tblPrEx>
          <w:tblCellMar>
            <w:top w:w="0" w:type="dxa"/>
            <w:left w:w="108" w:type="dxa"/>
            <w:bottom w:w="0" w:type="dxa"/>
            <w:right w:w="108" w:type="dxa"/>
          </w:tblCellMar>
        </w:tblPrEx>
        <w:trPr>
          <w:trHeight w:val="81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37B64D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5EF2F1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14</w:t>
            </w:r>
          </w:p>
        </w:tc>
        <w:tc>
          <w:tcPr>
            <w:tcW w:w="1778" w:type="dxa"/>
            <w:tcBorders>
              <w:top w:val="nil"/>
              <w:left w:val="nil"/>
              <w:bottom w:val="single" w:color="auto" w:sz="4" w:space="0"/>
              <w:right w:val="single" w:color="auto" w:sz="4" w:space="0"/>
            </w:tcBorders>
            <w:noWrap w:val="0"/>
            <w:vAlign w:val="center"/>
          </w:tcPr>
          <w:p w14:paraId="6A1E0D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供电电源</w:t>
            </w:r>
          </w:p>
        </w:tc>
        <w:tc>
          <w:tcPr>
            <w:tcW w:w="4747" w:type="dxa"/>
            <w:tcBorders>
              <w:top w:val="nil"/>
              <w:left w:val="nil"/>
              <w:bottom w:val="single" w:color="auto" w:sz="4" w:space="0"/>
              <w:right w:val="single" w:color="auto" w:sz="4" w:space="0"/>
            </w:tcBorders>
            <w:noWrap w:val="0"/>
            <w:vAlign w:val="center"/>
          </w:tcPr>
          <w:p w14:paraId="3F6FCC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检查供电电缆是否正常</w:t>
            </w:r>
          </w:p>
          <w:p w14:paraId="60B4EE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检查并紧固接线端子</w:t>
            </w:r>
          </w:p>
          <w:p w14:paraId="590B3D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检测供电电源电压是否正常</w:t>
            </w:r>
          </w:p>
        </w:tc>
      </w:tr>
      <w:tr w14:paraId="12C2BAFF">
        <w:tblPrEx>
          <w:tblCellMar>
            <w:top w:w="0" w:type="dxa"/>
            <w:left w:w="108" w:type="dxa"/>
            <w:bottom w:w="0" w:type="dxa"/>
            <w:right w:w="108" w:type="dxa"/>
          </w:tblCellMar>
        </w:tblPrEx>
        <w:trPr>
          <w:trHeight w:val="81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3ED795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538DB6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15</w:t>
            </w:r>
          </w:p>
        </w:tc>
        <w:tc>
          <w:tcPr>
            <w:tcW w:w="1778" w:type="dxa"/>
            <w:tcBorders>
              <w:top w:val="nil"/>
              <w:left w:val="nil"/>
              <w:bottom w:val="single" w:color="auto" w:sz="4" w:space="0"/>
              <w:right w:val="single" w:color="auto" w:sz="4" w:space="0"/>
            </w:tcBorders>
            <w:noWrap w:val="0"/>
            <w:vAlign w:val="center"/>
          </w:tcPr>
          <w:p w14:paraId="6FF8B1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电控局部</w:t>
            </w:r>
          </w:p>
        </w:tc>
        <w:tc>
          <w:tcPr>
            <w:tcW w:w="4747" w:type="dxa"/>
            <w:tcBorders>
              <w:top w:val="nil"/>
              <w:left w:val="nil"/>
              <w:bottom w:val="single" w:color="auto" w:sz="4" w:space="0"/>
              <w:right w:val="single" w:color="auto" w:sz="4" w:space="0"/>
            </w:tcBorders>
            <w:noWrap w:val="0"/>
            <w:vAlign w:val="center"/>
          </w:tcPr>
          <w:p w14:paraId="54C67B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检查电脑主板供电电源是否正常</w:t>
            </w:r>
          </w:p>
          <w:p w14:paraId="50EAE7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电脑版输入输出是否正常</w:t>
            </w:r>
          </w:p>
          <w:p w14:paraId="1F9196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电脑版除尘处理</w:t>
            </w:r>
          </w:p>
        </w:tc>
      </w:tr>
      <w:tr w14:paraId="5005346A">
        <w:tblPrEx>
          <w:tblCellMar>
            <w:top w:w="0" w:type="dxa"/>
            <w:left w:w="108" w:type="dxa"/>
            <w:bottom w:w="0" w:type="dxa"/>
            <w:right w:w="108" w:type="dxa"/>
          </w:tblCellMar>
        </w:tblPrEx>
        <w:trPr>
          <w:trHeight w:val="108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07D03E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6686A8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16</w:t>
            </w:r>
          </w:p>
        </w:tc>
        <w:tc>
          <w:tcPr>
            <w:tcW w:w="1778" w:type="dxa"/>
            <w:tcBorders>
              <w:top w:val="nil"/>
              <w:left w:val="nil"/>
              <w:bottom w:val="single" w:color="auto" w:sz="4" w:space="0"/>
              <w:right w:val="single" w:color="auto" w:sz="4" w:space="0"/>
            </w:tcBorders>
            <w:noWrap w:val="0"/>
            <w:vAlign w:val="center"/>
          </w:tcPr>
          <w:p w14:paraId="71BDAB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变频控制局部</w:t>
            </w:r>
          </w:p>
        </w:tc>
        <w:tc>
          <w:tcPr>
            <w:tcW w:w="4747" w:type="dxa"/>
            <w:tcBorders>
              <w:top w:val="nil"/>
              <w:left w:val="nil"/>
              <w:bottom w:val="single" w:color="auto" w:sz="4" w:space="0"/>
              <w:right w:val="single" w:color="auto" w:sz="4" w:space="0"/>
            </w:tcBorders>
            <w:noWrap w:val="0"/>
            <w:vAlign w:val="center"/>
          </w:tcPr>
          <w:p w14:paraId="01ED38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检测变频板是否工作正常</w:t>
            </w:r>
          </w:p>
          <w:p w14:paraId="6C4964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检查变频器散热风机工作是否正常</w:t>
            </w:r>
          </w:p>
          <w:p w14:paraId="58355B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检测整流电路是否工作正常</w:t>
            </w:r>
          </w:p>
          <w:p w14:paraId="43F94C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检测变频模块工作是否正常</w:t>
            </w:r>
          </w:p>
        </w:tc>
      </w:tr>
      <w:tr w14:paraId="51D548B9">
        <w:tblPrEx>
          <w:tblCellMar>
            <w:top w:w="0" w:type="dxa"/>
            <w:left w:w="108" w:type="dxa"/>
            <w:bottom w:w="0" w:type="dxa"/>
            <w:right w:w="108" w:type="dxa"/>
          </w:tblCellMar>
        </w:tblPrEx>
        <w:trPr>
          <w:trHeight w:val="54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051CE9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2AFC09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17</w:t>
            </w:r>
          </w:p>
        </w:tc>
        <w:tc>
          <w:tcPr>
            <w:tcW w:w="1778" w:type="dxa"/>
            <w:tcBorders>
              <w:top w:val="nil"/>
              <w:left w:val="nil"/>
              <w:bottom w:val="single" w:color="auto" w:sz="4" w:space="0"/>
              <w:right w:val="single" w:color="auto" w:sz="4" w:space="0"/>
            </w:tcBorders>
            <w:noWrap w:val="0"/>
            <w:vAlign w:val="center"/>
          </w:tcPr>
          <w:p w14:paraId="2FB26E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冷媒管</w:t>
            </w:r>
          </w:p>
        </w:tc>
        <w:tc>
          <w:tcPr>
            <w:tcW w:w="4747" w:type="dxa"/>
            <w:tcBorders>
              <w:top w:val="nil"/>
              <w:left w:val="nil"/>
              <w:bottom w:val="single" w:color="auto" w:sz="4" w:space="0"/>
              <w:right w:val="single" w:color="auto" w:sz="4" w:space="0"/>
            </w:tcBorders>
            <w:noWrap w:val="0"/>
            <w:vAlign w:val="center"/>
          </w:tcPr>
          <w:p w14:paraId="2C9DFE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检查冷媒管保温是否完好</w:t>
            </w:r>
          </w:p>
          <w:p w14:paraId="0E6495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检查冷媒管是否有漏点</w:t>
            </w:r>
          </w:p>
        </w:tc>
      </w:tr>
      <w:tr w14:paraId="2F84B910">
        <w:tblPrEx>
          <w:tblCellMar>
            <w:top w:w="0" w:type="dxa"/>
            <w:left w:w="108" w:type="dxa"/>
            <w:bottom w:w="0" w:type="dxa"/>
            <w:right w:w="108" w:type="dxa"/>
          </w:tblCellMar>
        </w:tblPrEx>
        <w:trPr>
          <w:trHeight w:val="540" w:hRule="atLeast"/>
        </w:trPr>
        <w:tc>
          <w:tcPr>
            <w:tcW w:w="1318" w:type="dxa"/>
            <w:vMerge w:val="continue"/>
            <w:tcBorders>
              <w:top w:val="nil"/>
              <w:left w:val="single" w:color="auto" w:sz="4" w:space="0"/>
              <w:bottom w:val="single" w:color="auto" w:sz="4" w:space="0"/>
              <w:right w:val="single" w:color="auto" w:sz="4" w:space="0"/>
            </w:tcBorders>
            <w:noWrap w:val="0"/>
            <w:vAlign w:val="center"/>
          </w:tcPr>
          <w:p w14:paraId="569B6F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p>
        </w:tc>
        <w:tc>
          <w:tcPr>
            <w:tcW w:w="877" w:type="dxa"/>
            <w:tcBorders>
              <w:top w:val="nil"/>
              <w:left w:val="nil"/>
              <w:bottom w:val="single" w:color="auto" w:sz="4" w:space="0"/>
              <w:right w:val="single" w:color="auto" w:sz="4" w:space="0"/>
            </w:tcBorders>
            <w:noWrap w:val="0"/>
            <w:vAlign w:val="center"/>
          </w:tcPr>
          <w:p w14:paraId="066DD7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18</w:t>
            </w:r>
          </w:p>
        </w:tc>
        <w:tc>
          <w:tcPr>
            <w:tcW w:w="1778" w:type="dxa"/>
            <w:tcBorders>
              <w:top w:val="nil"/>
              <w:left w:val="nil"/>
              <w:bottom w:val="single" w:color="auto" w:sz="4" w:space="0"/>
              <w:right w:val="single" w:color="auto" w:sz="4" w:space="0"/>
            </w:tcBorders>
            <w:noWrap w:val="0"/>
            <w:vAlign w:val="center"/>
          </w:tcPr>
          <w:p w14:paraId="6D5BEC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设备固定及巩固部件</w:t>
            </w:r>
          </w:p>
        </w:tc>
        <w:tc>
          <w:tcPr>
            <w:tcW w:w="4747" w:type="dxa"/>
            <w:tcBorders>
              <w:top w:val="nil"/>
              <w:left w:val="nil"/>
              <w:bottom w:val="single" w:color="auto" w:sz="4" w:space="0"/>
              <w:right w:val="single" w:color="auto" w:sz="4" w:space="0"/>
            </w:tcBorders>
            <w:noWrap w:val="0"/>
            <w:vAlign w:val="center"/>
          </w:tcPr>
          <w:p w14:paraId="458E12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检查设备固定装置是否完好</w:t>
            </w:r>
          </w:p>
          <w:p w14:paraId="03E733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t>紧固松动的螺丝及部件</w:t>
            </w:r>
          </w:p>
        </w:tc>
      </w:tr>
    </w:tbl>
    <w:p w14:paraId="3888A1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iCs/>
          <w:color w:val="000000"/>
          <w:sz w:val="24"/>
          <w:szCs w:val="24"/>
        </w:rPr>
        <w:t>维护保养要求</w:t>
      </w:r>
    </w:p>
    <w:p w14:paraId="53DAB9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.每月定期清洁设备内外表面、过滤网、换热器等，并做好清洁记录；</w:t>
      </w:r>
    </w:p>
    <w:p w14:paraId="2E24C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.在夏季和冬季开机前对风机盘管进行清洗：夏季开机前对冷却塔进行清洗；</w:t>
      </w:r>
    </w:p>
    <w:p w14:paraId="7AF83A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.年度保养（一年1次）：包括空调末端、压缩机、制冷主机冷凝器清洗、保养零件更换以及其他常规检查等保养内容；</w:t>
      </w:r>
    </w:p>
    <w:p w14:paraId="05D58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.紧急抢修：及时响应故障报修，迅速排除故障，修复已损坏的空调制冷主机设备，并做好维修记录；</w:t>
      </w:r>
    </w:p>
    <w:p w14:paraId="2494A9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rPr>
        <w:t>压缩机检修：根据服务标准，当压缩机运行每1000到1300小时应进行压缩机高速部分（ST-3）检修；当压缩机运行每2000到2200小时应进行压缩机整机（ST-6）检修。注：每次启动可折算约等于4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6小时的运行。</w:t>
      </w:r>
    </w:p>
    <w:p w14:paraId="10E99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.定期对设备性能进行测试和调整，并做好测试记录；</w:t>
      </w:r>
    </w:p>
    <w:p w14:paraId="4D4E1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.根据实际需要更换磨损或损坏的零部件，并做好更换记录；</w:t>
      </w:r>
    </w:p>
    <w:p w14:paraId="1BBB6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.严格遵守相关规章制度，对设备及相关信息严格保密；</w:t>
      </w:r>
    </w:p>
    <w:p w14:paraId="3AFBF0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.及时向使用方报告设备重大问题和安全隐患；</w:t>
      </w:r>
    </w:p>
    <w:p w14:paraId="7D8FD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.在制冷制热季，需安排专业人员常驻医院，服从甲方管理，并在接到报修电话30分钟内务必到达现场，进行处理；</w:t>
      </w:r>
    </w:p>
    <w:p w14:paraId="7F9BEC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.负责机房的清洁卫生工作，保持机房环境整洁；</w:t>
      </w:r>
    </w:p>
    <w:p w14:paraId="2AC8A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12.维保单位需要安排固定工作人员，</w:t>
      </w:r>
      <w:r>
        <w:rPr>
          <w:rFonts w:hint="eastAsia" w:ascii="宋体" w:hAnsi="宋体" w:cs="宋体"/>
          <w:color w:val="auto"/>
          <w:sz w:val="24"/>
          <w:szCs w:val="24"/>
          <w:highlight w:val="none"/>
          <w:lang w:val="en-US" w:eastAsia="zh-CN"/>
        </w:rPr>
        <w:t>维保</w:t>
      </w:r>
      <w:r>
        <w:rPr>
          <w:rFonts w:hint="eastAsia" w:ascii="宋体" w:hAnsi="宋体" w:eastAsia="宋体" w:cs="宋体"/>
          <w:color w:val="auto"/>
          <w:sz w:val="24"/>
          <w:szCs w:val="24"/>
          <w:highlight w:val="none"/>
          <w:lang w:val="en-US" w:eastAsia="zh-CN"/>
        </w:rPr>
        <w:t>工作人员必须持有《特种作业操作证（制冷与空调作业证、电工证、焊工证、高空作业证）》；</w:t>
      </w:r>
    </w:p>
    <w:p w14:paraId="0EDDB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.安全巡检需按照空调要求完善记录表；</w:t>
      </w:r>
    </w:p>
    <w:p w14:paraId="511A5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单价1000元以内配件免费更换，不允许配件费用累积叠加计算；1000.00元以上配件或设备的费用由采购人承担，但成交单位应将维修保养记录单报采购人审核。需要更换的配件需经采购方确定签字后才可更换，否则配件更换费用由乙方负责。</w:t>
      </w:r>
    </w:p>
    <w:p w14:paraId="0CC79D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.所有维修记录必须临床科室签字确认，公共区域维修需工程部确认；</w:t>
      </w:r>
    </w:p>
    <w:p w14:paraId="5C0025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商务要求</w:t>
      </w:r>
    </w:p>
    <w:p w14:paraId="6936A5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1.</w:t>
      </w:r>
      <w:r>
        <w:rPr>
          <w:rFonts w:hint="eastAsia" w:ascii="宋体" w:hAnsi="宋体" w:eastAsia="宋体" w:cs="宋体"/>
          <w:iCs/>
          <w:color w:val="000000"/>
          <w:sz w:val="24"/>
          <w:szCs w:val="24"/>
        </w:rPr>
        <w:t>服务期限</w:t>
      </w:r>
      <w:r>
        <w:rPr>
          <w:rFonts w:hint="eastAsia" w:ascii="宋体" w:hAnsi="宋体" w:eastAsia="宋体" w:cs="宋体"/>
          <w:iCs/>
          <w:color w:val="000000"/>
          <w:sz w:val="24"/>
          <w:szCs w:val="24"/>
          <w:lang w:eastAsia="zh-CN"/>
        </w:rPr>
        <w:t>：</w:t>
      </w:r>
      <w:r>
        <w:rPr>
          <w:rFonts w:hint="eastAsia" w:ascii="宋体" w:hAnsi="宋体" w:eastAsia="宋体" w:cs="宋体"/>
          <w:iCs/>
          <w:color w:val="000000"/>
          <w:sz w:val="24"/>
          <w:szCs w:val="24"/>
        </w:rPr>
        <w:t>1年。</w:t>
      </w:r>
    </w:p>
    <w:p w14:paraId="065107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2.</w:t>
      </w:r>
      <w:r>
        <w:rPr>
          <w:rFonts w:hint="eastAsia" w:ascii="宋体" w:hAnsi="宋体" w:eastAsia="宋体" w:cs="宋体"/>
          <w:iCs/>
          <w:color w:val="000000"/>
          <w:sz w:val="24"/>
          <w:szCs w:val="24"/>
        </w:rPr>
        <w:t>服务地点：安康市中心医院北院区</w:t>
      </w:r>
    </w:p>
    <w:p w14:paraId="56CF3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3.</w:t>
      </w:r>
      <w:r>
        <w:rPr>
          <w:rFonts w:hint="eastAsia" w:ascii="宋体" w:hAnsi="宋体" w:eastAsia="宋体" w:cs="宋体"/>
          <w:iCs/>
          <w:color w:val="000000"/>
          <w:sz w:val="24"/>
          <w:szCs w:val="24"/>
        </w:rPr>
        <w:t>付款方式：自合同签字生效后，维保服务满半年且满足维保服务的各项要求，支付合同总额的50％费用，维保服务满一年</w:t>
      </w:r>
      <w:r>
        <w:rPr>
          <w:rFonts w:hint="eastAsia" w:ascii="宋体" w:hAnsi="宋体" w:eastAsia="宋体" w:cs="宋体"/>
          <w:iCs/>
          <w:color w:val="000000"/>
          <w:sz w:val="24"/>
          <w:szCs w:val="24"/>
          <w:lang w:eastAsia="zh-CN"/>
        </w:rPr>
        <w:t>后</w:t>
      </w:r>
      <w:r>
        <w:rPr>
          <w:rFonts w:hint="eastAsia" w:ascii="宋体" w:hAnsi="宋体" w:eastAsia="宋体" w:cs="宋体"/>
          <w:iCs/>
          <w:color w:val="000000"/>
          <w:sz w:val="24"/>
          <w:szCs w:val="24"/>
        </w:rPr>
        <w:t>且满足维保服务的各项要求，支付合同总额的另外50％费用。</w:t>
      </w:r>
    </w:p>
    <w:p w14:paraId="6C80EB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4.</w:t>
      </w:r>
      <w:r>
        <w:rPr>
          <w:rFonts w:hint="eastAsia" w:ascii="宋体" w:hAnsi="宋体" w:eastAsia="宋体" w:cs="宋体"/>
          <w:iCs/>
          <w:color w:val="000000"/>
          <w:sz w:val="24"/>
          <w:szCs w:val="24"/>
        </w:rPr>
        <w:t>合同实施：</w:t>
      </w:r>
    </w:p>
    <w:p w14:paraId="165F6C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4.1</w:t>
      </w:r>
      <w:r>
        <w:rPr>
          <w:rFonts w:hint="eastAsia" w:ascii="宋体" w:hAnsi="宋体" w:eastAsia="宋体" w:cs="宋体"/>
          <w:iCs/>
          <w:color w:val="000000"/>
          <w:sz w:val="24"/>
          <w:szCs w:val="24"/>
        </w:rPr>
        <w:t>成交单位应在合同签订后2个日历内安排人员与采购人对接等工作进行安排、部署。</w:t>
      </w:r>
    </w:p>
    <w:p w14:paraId="01739D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4.2</w:t>
      </w:r>
      <w:r>
        <w:rPr>
          <w:rFonts w:hint="eastAsia" w:ascii="宋体" w:hAnsi="宋体" w:eastAsia="宋体" w:cs="宋体"/>
          <w:iCs/>
          <w:color w:val="000000"/>
          <w:sz w:val="24"/>
          <w:szCs w:val="24"/>
        </w:rPr>
        <w:t>若未能在服务期内完成合同规定的义务，由此对采购人造成的延误和一切损失，由成交单位承担和赔偿。</w:t>
      </w:r>
    </w:p>
    <w:p w14:paraId="34FF5A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5.</w:t>
      </w:r>
      <w:r>
        <w:rPr>
          <w:rFonts w:hint="eastAsia" w:ascii="宋体" w:hAnsi="宋体" w:eastAsia="宋体" w:cs="宋体"/>
          <w:iCs/>
          <w:color w:val="000000"/>
          <w:sz w:val="24"/>
          <w:szCs w:val="24"/>
        </w:rPr>
        <w:t>违约责任：</w:t>
      </w:r>
    </w:p>
    <w:p w14:paraId="2AA7CC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5.1</w:t>
      </w:r>
      <w:r>
        <w:rPr>
          <w:rFonts w:hint="eastAsia" w:ascii="宋体" w:hAnsi="宋体" w:eastAsia="宋体" w:cs="宋体"/>
          <w:iCs/>
          <w:color w:val="000000"/>
          <w:sz w:val="24"/>
          <w:szCs w:val="24"/>
        </w:rPr>
        <w:t>按《中华人民共和国民法典》中的相关条款执行。</w:t>
      </w:r>
    </w:p>
    <w:p w14:paraId="31A656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5.2</w:t>
      </w:r>
      <w:r>
        <w:rPr>
          <w:rFonts w:hint="eastAsia" w:ascii="宋体" w:hAnsi="宋体" w:eastAsia="宋体" w:cs="宋体"/>
          <w:iCs/>
          <w:color w:val="000000"/>
          <w:sz w:val="24"/>
          <w:szCs w:val="24"/>
        </w:rPr>
        <w:t>未经采购人同意，出现随意变动实施人员或后期提供服务跟进不到位等问题的，采购人有权终止合同。</w:t>
      </w:r>
    </w:p>
    <w:p w14:paraId="2BFC72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lang w:val="en-US" w:eastAsia="zh-CN"/>
        </w:rPr>
        <w:t>5.3</w:t>
      </w:r>
      <w:r>
        <w:rPr>
          <w:rFonts w:hint="eastAsia" w:ascii="宋体" w:hAnsi="宋体" w:eastAsia="宋体" w:cs="宋体"/>
          <w:iCs/>
          <w:color w:val="000000"/>
          <w:sz w:val="24"/>
          <w:szCs w:val="24"/>
        </w:rPr>
        <w:t>未按合同要求提供服务或服务质量不能满足采购人要求，采购人有权终止合同，同时报请政府采购管理部门对其违约行为进行追究。</w:t>
      </w:r>
    </w:p>
    <w:p w14:paraId="247DAC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7E8785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7DD24F84">
      <w:pPr>
        <w:rPr>
          <w:rFonts w:hint="eastAsia" w:ascii="宋体" w:hAnsi="宋体" w:cs="宋体"/>
          <w:color w:val="auto"/>
          <w:highlight w:val="none"/>
        </w:rPr>
      </w:pPr>
    </w:p>
    <w:p w14:paraId="4A739E00">
      <w:pPr>
        <w:pStyle w:val="3"/>
        <w:keepNext/>
        <w:keepLines/>
        <w:pageBreakBefore/>
        <w:widowControl w:val="0"/>
        <w:numPr>
          <w:ilvl w:val="0"/>
          <w:numId w:val="13"/>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14:textFill>
            <w14:solidFill>
              <w14:schemeClr w14:val="tx1"/>
            </w14:solidFill>
          </w14:textFill>
        </w:rPr>
      </w:pPr>
      <w:bookmarkStart w:id="140" w:name="_Toc536202391"/>
      <w:bookmarkStart w:id="141" w:name="_Toc10286"/>
      <w:bookmarkStart w:id="142" w:name="_Toc536429384"/>
      <w:bookmarkStart w:id="143" w:name="_Toc536429331"/>
      <w:bookmarkStart w:id="144" w:name="_Toc536202322"/>
      <w:bookmarkStart w:id="145" w:name="_Toc19543347"/>
      <w:bookmarkStart w:id="146" w:name="_Toc30668"/>
      <w:r>
        <w:rPr>
          <w:rFonts w:ascii="宋体" w:hAnsi="宋体" w:cs="宋体"/>
          <w:color w:val="000000" w:themeColor="text1"/>
          <w14:textFill>
            <w14:solidFill>
              <w14:schemeClr w14:val="tx1"/>
            </w14:solidFill>
          </w14:textFill>
        </w:rPr>
        <w:t xml:space="preserve"> </w:t>
      </w:r>
      <w:bookmarkEnd w:id="137"/>
      <w:bookmarkEnd w:id="138"/>
      <w:bookmarkEnd w:id="140"/>
      <w:bookmarkEnd w:id="141"/>
      <w:bookmarkEnd w:id="142"/>
      <w:bookmarkEnd w:id="143"/>
      <w:bookmarkEnd w:id="144"/>
      <w:bookmarkStart w:id="147" w:name="_Toc5186"/>
      <w:bookmarkStart w:id="148" w:name="_Toc3837039"/>
      <w:r>
        <w:rPr>
          <w:rFonts w:hint="eastAsia" w:ascii="宋体" w:hAnsi="宋体" w:cs="宋体"/>
          <w:color w:val="000000" w:themeColor="text1"/>
          <w14:textFill>
            <w14:solidFill>
              <w14:schemeClr w14:val="tx1"/>
            </w14:solidFill>
          </w14:textFill>
        </w:rPr>
        <w:t>合同主要条款</w:t>
      </w:r>
      <w:bookmarkEnd w:id="145"/>
      <w:bookmarkEnd w:id="146"/>
      <w:bookmarkEnd w:id="147"/>
      <w:bookmarkEnd w:id="148"/>
    </w:p>
    <w:p w14:paraId="38059F01">
      <w:pPr>
        <w:jc w:val="center"/>
        <w:rPr>
          <w:rFonts w:hint="eastAsia" w:ascii="宋体" w:hAnsi="宋体" w:eastAsia="宋体" w:cs="宋体"/>
          <w:sz w:val="56"/>
          <w:szCs w:val="56"/>
          <w:lang w:val="en-US" w:eastAsia="zh-CN"/>
        </w:rPr>
      </w:pPr>
      <w:bookmarkStart w:id="149" w:name="_Toc13998"/>
      <w:bookmarkStart w:id="150" w:name="_Toc536429332"/>
      <w:bookmarkStart w:id="151" w:name="_Toc19543348"/>
      <w:bookmarkStart w:id="152" w:name="_Toc536429385"/>
      <w:bookmarkStart w:id="153" w:name="_Toc2234"/>
      <w:bookmarkStart w:id="154" w:name="_Toc536202392"/>
      <w:bookmarkStart w:id="155" w:name="_Toc536202323"/>
    </w:p>
    <w:p w14:paraId="44505CE3">
      <w:pPr>
        <w:keepNext w:val="0"/>
        <w:keepLines w:val="0"/>
        <w:widowControl/>
        <w:suppressLineNumbers w:val="0"/>
        <w:jc w:val="center"/>
        <w:rPr>
          <w:rFonts w:hint="eastAsia" w:ascii="仿宋" w:hAnsi="仿宋" w:eastAsia="仿宋" w:cs="仿宋"/>
          <w:b/>
          <w:bCs/>
          <w:color w:val="000000"/>
          <w:kern w:val="0"/>
          <w:sz w:val="52"/>
          <w:szCs w:val="52"/>
          <w:lang w:val="en-US" w:eastAsia="zh-CN" w:bidi="ar"/>
        </w:rPr>
      </w:pPr>
    </w:p>
    <w:p w14:paraId="22EA13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 xml:space="preserve">安康市中心医院 </w:t>
      </w:r>
      <w:r>
        <w:rPr>
          <w:rFonts w:hint="eastAsia" w:asciiTheme="minorEastAsia" w:hAnsiTheme="minorEastAsia" w:eastAsiaTheme="minorEastAsia" w:cstheme="minorEastAsia"/>
          <w:b/>
          <w:bCs/>
          <w:sz w:val="44"/>
          <w:szCs w:val="44"/>
          <w:lang w:eastAsia="zh-CN"/>
        </w:rPr>
        <w:t>（</w:t>
      </w:r>
      <w:r>
        <w:rPr>
          <w:rFonts w:hint="eastAsia" w:asciiTheme="minorEastAsia" w:hAnsiTheme="minorEastAsia" w:eastAsiaTheme="minorEastAsia" w:cstheme="minorEastAsia"/>
          <w:b/>
          <w:bCs/>
          <w:sz w:val="44"/>
          <w:szCs w:val="44"/>
        </w:rPr>
        <w:t>北院区</w:t>
      </w:r>
      <w:r>
        <w:rPr>
          <w:rFonts w:hint="eastAsia" w:asciiTheme="minorEastAsia" w:hAnsiTheme="minorEastAsia" w:eastAsiaTheme="minorEastAsia" w:cstheme="minorEastAsia"/>
          <w:b/>
          <w:bCs/>
          <w:sz w:val="44"/>
          <w:szCs w:val="44"/>
          <w:lang w:eastAsia="zh-CN"/>
        </w:rPr>
        <w:t>）</w:t>
      </w:r>
      <w:r>
        <w:rPr>
          <w:rFonts w:hint="eastAsia" w:asciiTheme="minorEastAsia" w:hAnsiTheme="minorEastAsia" w:eastAsiaTheme="minorEastAsia" w:cstheme="minorEastAsia"/>
          <w:b/>
          <w:bCs/>
          <w:sz w:val="44"/>
          <w:szCs w:val="44"/>
        </w:rPr>
        <w:t xml:space="preserve"> 中央空调维保</w:t>
      </w:r>
    </w:p>
    <w:p w14:paraId="1A1488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采购项目服务合同</w:t>
      </w:r>
    </w:p>
    <w:p w14:paraId="2499A5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合同编号：</w:t>
      </w:r>
    </w:p>
    <w:p w14:paraId="55D347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73F548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3E09CC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55791A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70FDB7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0AC2A7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01AF60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622F16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28F05E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32"/>
          <w:szCs w:val="32"/>
        </w:rPr>
      </w:pPr>
    </w:p>
    <w:p w14:paraId="247E46DC">
      <w:pPr>
        <w:keepNext w:val="0"/>
        <w:keepLines w:val="0"/>
        <w:pageBreakBefore w:val="0"/>
        <w:widowControl/>
        <w:kinsoku w:val="0"/>
        <w:wordWrap/>
        <w:overflowPunct/>
        <w:topLinePunct w:val="0"/>
        <w:autoSpaceDE w:val="0"/>
        <w:autoSpaceDN w:val="0"/>
        <w:bidi w:val="0"/>
        <w:adjustRightInd w:val="0"/>
        <w:snapToGrid w:val="0"/>
        <w:spacing w:line="360" w:lineRule="auto"/>
        <w:ind w:firstLine="1928" w:firstLineChars="600"/>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甲</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方</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安康市中心医院</w:t>
      </w:r>
    </w:p>
    <w:p w14:paraId="5B054018">
      <w:pPr>
        <w:keepNext w:val="0"/>
        <w:keepLines w:val="0"/>
        <w:pageBreakBefore w:val="0"/>
        <w:widowControl/>
        <w:kinsoku w:val="0"/>
        <w:wordWrap/>
        <w:overflowPunct/>
        <w:topLinePunct w:val="0"/>
        <w:autoSpaceDE w:val="0"/>
        <w:autoSpaceDN w:val="0"/>
        <w:bidi w:val="0"/>
        <w:adjustRightInd w:val="0"/>
        <w:snapToGrid w:val="0"/>
        <w:spacing w:line="360" w:lineRule="auto"/>
        <w:ind w:firstLine="1928" w:firstLineChars="600"/>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乙</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方</w:t>
      </w:r>
      <w:r>
        <w:rPr>
          <w:rFonts w:hint="eastAsia" w:asciiTheme="minorEastAsia" w:hAnsiTheme="minorEastAsia" w:eastAsiaTheme="minorEastAsia" w:cstheme="minorEastAsia"/>
          <w:b/>
          <w:bCs/>
          <w:sz w:val="32"/>
          <w:szCs w:val="32"/>
          <w:lang w:eastAsia="zh-CN"/>
        </w:rPr>
        <w:t>：</w:t>
      </w:r>
    </w:p>
    <w:p w14:paraId="32D1FCFB">
      <w:pPr>
        <w:keepNext w:val="0"/>
        <w:keepLines w:val="0"/>
        <w:pageBreakBefore w:val="0"/>
        <w:widowControl/>
        <w:kinsoku w:val="0"/>
        <w:wordWrap/>
        <w:overflowPunct/>
        <w:topLinePunct w:val="0"/>
        <w:autoSpaceDE w:val="0"/>
        <w:autoSpaceDN w:val="0"/>
        <w:bidi w:val="0"/>
        <w:adjustRightInd w:val="0"/>
        <w:snapToGrid w:val="0"/>
        <w:spacing w:line="360" w:lineRule="auto"/>
        <w:ind w:firstLine="1928" w:firstLineChars="600"/>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时</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间</w:t>
      </w:r>
      <w:r>
        <w:rPr>
          <w:rFonts w:hint="eastAsia" w:asciiTheme="minorEastAsia" w:hAnsiTheme="minorEastAsia" w:eastAsiaTheme="minorEastAsia" w:cstheme="minorEastAsia"/>
          <w:b/>
          <w:bCs/>
          <w:sz w:val="32"/>
          <w:szCs w:val="32"/>
          <w:lang w:eastAsia="zh-CN"/>
        </w:rPr>
        <w:t>：</w:t>
      </w:r>
    </w:p>
    <w:p w14:paraId="555F8A70">
      <w:pPr>
        <w:pStyle w:val="17"/>
        <w:rPr>
          <w:rFonts w:hint="eastAsia" w:ascii="宋体" w:hAnsi="宋体" w:eastAsia="宋体" w:cs="宋体"/>
        </w:rPr>
      </w:pPr>
    </w:p>
    <w:p w14:paraId="7FE13C78">
      <w:pPr>
        <w:pStyle w:val="17"/>
        <w:rPr>
          <w:rFonts w:hint="eastAsia" w:ascii="宋体" w:hAnsi="宋体" w:eastAsia="宋体" w:cs="宋体"/>
        </w:rPr>
      </w:pPr>
    </w:p>
    <w:p w14:paraId="1BC7C711">
      <w:pPr>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（说明：本合同作为合同的基本格式，不作为最终合同，甲方有权在签订合同时对合同的相关条款及内容作进一步的细化和修改。）</w:t>
      </w:r>
    </w:p>
    <w:p w14:paraId="2B40CB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z w:val="28"/>
          <w:szCs w:val="28"/>
        </w:rPr>
      </w:pPr>
      <w:bookmarkStart w:id="156" w:name="_Toc32731"/>
    </w:p>
    <w:p w14:paraId="746262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sz w:val="24"/>
          <w:szCs w:val="24"/>
        </w:rPr>
      </w:pPr>
      <w:r>
        <w:rPr>
          <w:rFonts w:hint="eastAsia" w:ascii="宋体" w:hAnsi="宋体" w:eastAsia="宋体" w:cs="宋体"/>
          <w:b/>
          <w:bCs/>
          <w:sz w:val="24"/>
          <w:szCs w:val="24"/>
        </w:rPr>
        <w:t>甲方：安康市中心医院</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以下简称甲方</w:t>
      </w:r>
      <w:r>
        <w:rPr>
          <w:rFonts w:hint="eastAsia" w:ascii="宋体" w:hAnsi="宋体" w:eastAsia="宋体" w:cs="宋体"/>
          <w:b/>
          <w:bCs/>
          <w:sz w:val="24"/>
          <w:szCs w:val="24"/>
          <w:lang w:eastAsia="zh-CN"/>
        </w:rPr>
        <w:t>）</w:t>
      </w:r>
    </w:p>
    <w:p w14:paraId="7384B1A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以下简称乙方</w:t>
      </w:r>
      <w:r>
        <w:rPr>
          <w:rFonts w:hint="eastAsia" w:ascii="宋体" w:hAnsi="宋体" w:eastAsia="宋体" w:cs="宋体"/>
          <w:b/>
          <w:bCs/>
          <w:sz w:val="24"/>
          <w:szCs w:val="24"/>
          <w:lang w:eastAsia="zh-CN"/>
        </w:rPr>
        <w:t>）</w:t>
      </w:r>
    </w:p>
    <w:p w14:paraId="61E850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安康市中心医院所需安康市中心医院北院区中央空调系统维保服务采购项目，经磋商文件进行竞争性磋商。经评审小组确定</w:t>
      </w:r>
      <w:r>
        <w:rPr>
          <w:rFonts w:hint="eastAsia" w:ascii="宋体" w:hAnsi="宋体" w:eastAsia="宋体" w:cs="宋体"/>
          <w:sz w:val="24"/>
          <w:szCs w:val="24"/>
          <w:lang w:val="en-US" w:eastAsia="zh-CN"/>
        </w:rPr>
        <w:t>XXXX</w:t>
      </w:r>
      <w:r>
        <w:rPr>
          <w:rFonts w:hint="eastAsia" w:ascii="宋体" w:hAnsi="宋体" w:eastAsia="宋体" w:cs="宋体"/>
          <w:sz w:val="24"/>
          <w:szCs w:val="24"/>
        </w:rPr>
        <w:t>为中标人。 双方根据《中华人民共和国民法典》 、《中华人民共和国政府采购 法》及其他</w:t>
      </w:r>
      <w:r>
        <w:rPr>
          <w:rFonts w:hint="eastAsia" w:ascii="宋体" w:hAnsi="宋体" w:eastAsia="宋体" w:cs="宋体"/>
          <w:sz w:val="24"/>
          <w:szCs w:val="24"/>
          <w:lang w:eastAsia="zh-CN"/>
        </w:rPr>
        <w:t>法律法规</w:t>
      </w:r>
      <w:r>
        <w:rPr>
          <w:rFonts w:hint="eastAsia" w:ascii="宋体" w:hAnsi="宋体" w:eastAsia="宋体" w:cs="宋体"/>
          <w:sz w:val="24"/>
          <w:szCs w:val="24"/>
        </w:rPr>
        <w:t>的规定，并按照平等、自愿的原则，同意按照下面的条款和条件，签署本合同。</w:t>
      </w:r>
    </w:p>
    <w:p w14:paraId="01542B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drawing>
          <wp:inline distT="0" distB="0" distL="0" distR="0">
            <wp:extent cx="252095" cy="121285"/>
            <wp:effectExtent l="0" t="0" r="14605" b="12065"/>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22"/>
                    <a:stretch>
                      <a:fillRect/>
                    </a:stretch>
                  </pic:blipFill>
                  <pic:spPr>
                    <a:xfrm>
                      <a:off x="0" y="0"/>
                      <a:ext cx="252476" cy="121322"/>
                    </a:xfrm>
                    <a:prstGeom prst="rect">
                      <a:avLst/>
                    </a:prstGeom>
                  </pic:spPr>
                </pic:pic>
              </a:graphicData>
            </a:graphic>
          </wp:inline>
        </w:drawing>
      </w:r>
      <w:r>
        <w:rPr>
          <w:rFonts w:hint="eastAsia" w:ascii="宋体" w:hAnsi="宋体" w:eastAsia="宋体" w:cs="宋体"/>
          <w:b/>
          <w:bCs/>
          <w:sz w:val="24"/>
          <w:szCs w:val="24"/>
        </w:rPr>
        <w:t xml:space="preserve"> 承包期限</w:t>
      </w:r>
    </w:p>
    <w:p w14:paraId="0B4B6A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u w:val="single"/>
          <w:lang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本合同承包期限为</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u w:val="single"/>
        </w:rPr>
        <w:t>壹</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u w:val="single"/>
        </w:rPr>
        <w:t>从 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年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日至</w:t>
      </w:r>
      <w:r>
        <w:rPr>
          <w:rFonts w:hint="eastAsia" w:ascii="宋体" w:hAnsi="宋体" w:eastAsia="宋体" w:cs="宋体"/>
          <w:sz w:val="24"/>
          <w:szCs w:val="24"/>
          <w:u w:val="single"/>
          <w:lang w:val="en-US" w:eastAsia="zh-CN"/>
        </w:rPr>
        <w:t xml:space="preserve">2025年  </w:t>
      </w:r>
      <w:r>
        <w:rPr>
          <w:rFonts w:hint="eastAsia" w:ascii="宋体" w:hAnsi="宋体" w:eastAsia="宋体" w:cs="宋体"/>
          <w:sz w:val="24"/>
          <w:szCs w:val="24"/>
          <w:u w:val="single"/>
        </w:rPr>
        <w:t xml:space="preserve">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日止</w:t>
      </w:r>
      <w:r>
        <w:rPr>
          <w:rFonts w:hint="eastAsia" w:ascii="宋体" w:hAnsi="宋体" w:eastAsia="宋体" w:cs="宋体"/>
          <w:sz w:val="24"/>
          <w:szCs w:val="24"/>
          <w:u w:val="single"/>
          <w:lang w:eastAsia="zh-CN"/>
        </w:rPr>
        <w:t>。</w:t>
      </w:r>
    </w:p>
    <w:p w14:paraId="0D9D8C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中标价：</w:t>
      </w:r>
      <w:r>
        <w:rPr>
          <w:rFonts w:hint="eastAsia" w:ascii="宋体" w:hAnsi="宋体" w:eastAsia="宋体" w:cs="宋体"/>
          <w:b/>
          <w:bCs/>
          <w:sz w:val="24"/>
          <w:szCs w:val="24"/>
          <w:lang w:val="en-US" w:eastAsia="zh-CN"/>
        </w:rPr>
        <w:t>XXX整</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XX</w:t>
      </w:r>
      <w:r>
        <w:rPr>
          <w:rFonts w:hint="eastAsia" w:ascii="宋体" w:hAnsi="宋体" w:eastAsia="宋体" w:cs="宋体"/>
          <w:b/>
          <w:bCs/>
          <w:sz w:val="24"/>
          <w:szCs w:val="24"/>
        </w:rPr>
        <w:t xml:space="preserve"> 元/年</w:t>
      </w:r>
      <w:r>
        <w:rPr>
          <w:rFonts w:hint="eastAsia" w:ascii="宋体" w:hAnsi="宋体" w:eastAsia="宋体" w:cs="宋体"/>
          <w:b/>
          <w:bCs/>
          <w:sz w:val="24"/>
          <w:szCs w:val="24"/>
          <w:lang w:eastAsia="zh-CN"/>
        </w:rPr>
        <w:t>）</w:t>
      </w:r>
      <w:r>
        <w:rPr>
          <w:rFonts w:hint="eastAsia" w:ascii="宋体" w:hAnsi="宋体" w:eastAsia="宋体" w:cs="宋体"/>
          <w:sz w:val="24"/>
          <w:szCs w:val="24"/>
        </w:rPr>
        <w:t xml:space="preserve"> 。</w:t>
      </w:r>
    </w:p>
    <w:p w14:paraId="10B49EA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付款方式，合同签订乙方维保服务满半年（6个月）</w:t>
      </w:r>
      <w:r>
        <w:rPr>
          <w:rFonts w:hint="eastAsia" w:ascii="宋体" w:hAnsi="宋体" w:eastAsia="宋体" w:cs="宋体"/>
          <w:sz w:val="24"/>
          <w:szCs w:val="24"/>
          <w:lang w:eastAsia="zh-CN"/>
        </w:rPr>
        <w:t>，</w:t>
      </w:r>
      <w:r>
        <w:rPr>
          <w:rFonts w:hint="eastAsia" w:ascii="宋体" w:hAnsi="宋体" w:eastAsia="宋体" w:cs="宋体"/>
          <w:sz w:val="24"/>
          <w:szCs w:val="24"/>
        </w:rPr>
        <w:t>且维保服务满足合同要求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10个工作日内</w:t>
      </w:r>
      <w:r>
        <w:rPr>
          <w:rFonts w:hint="eastAsia" w:ascii="宋体" w:hAnsi="宋体" w:eastAsia="宋体" w:cs="宋体"/>
          <w:sz w:val="24"/>
          <w:szCs w:val="24"/>
        </w:rPr>
        <w:t>甲方支付给乙方维保服务合同款的 50%（即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元），服务期满后且维保服务满足合同要求，</w:t>
      </w:r>
      <w:r>
        <w:rPr>
          <w:rFonts w:hint="eastAsia" w:ascii="宋体" w:hAnsi="宋体" w:eastAsia="宋体" w:cs="宋体"/>
          <w:sz w:val="24"/>
          <w:szCs w:val="24"/>
          <w:lang w:val="en-US" w:eastAsia="zh-CN"/>
        </w:rPr>
        <w:t>20个工作日内</w:t>
      </w:r>
      <w:r>
        <w:rPr>
          <w:rFonts w:hint="eastAsia" w:ascii="宋体" w:hAnsi="宋体" w:eastAsia="宋体" w:cs="宋体"/>
          <w:sz w:val="24"/>
          <w:szCs w:val="24"/>
        </w:rPr>
        <w:t>甲方支付合同款的另外 50%（即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1E4D79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drawing>
          <wp:inline distT="0" distB="0" distL="0" distR="0">
            <wp:extent cx="235585" cy="149225"/>
            <wp:effectExtent l="0" t="0" r="12065" b="3175"/>
            <wp:docPr id="2" name="IM 12"/>
            <wp:cNvGraphicFramePr/>
            <a:graphic xmlns:a="http://schemas.openxmlformats.org/drawingml/2006/main">
              <a:graphicData uri="http://schemas.openxmlformats.org/drawingml/2006/picture">
                <pic:pic xmlns:pic="http://schemas.openxmlformats.org/drawingml/2006/picture">
                  <pic:nvPicPr>
                    <pic:cNvPr id="2" name="IM 12"/>
                    <pic:cNvPicPr/>
                  </pic:nvPicPr>
                  <pic:blipFill>
                    <a:blip r:embed="rId23"/>
                    <a:stretch>
                      <a:fillRect/>
                    </a:stretch>
                  </pic:blipFill>
                  <pic:spPr>
                    <a:xfrm>
                      <a:off x="0" y="0"/>
                      <a:ext cx="235846" cy="149466"/>
                    </a:xfrm>
                    <a:prstGeom prst="rect">
                      <a:avLst/>
                    </a:prstGeom>
                  </pic:spPr>
                </pic:pic>
              </a:graphicData>
            </a:graphic>
          </wp:inline>
        </w:drawing>
      </w:r>
      <w:r>
        <w:rPr>
          <w:rFonts w:hint="eastAsia" w:ascii="宋体" w:hAnsi="宋体" w:eastAsia="宋体" w:cs="宋体"/>
          <w:b/>
          <w:bCs/>
          <w:sz w:val="24"/>
          <w:szCs w:val="24"/>
        </w:rPr>
        <w:t xml:space="preserve"> 甲方现有制冷及供暖设备统计如下</w:t>
      </w:r>
      <w:r>
        <w:rPr>
          <w:rFonts w:hint="eastAsia" w:ascii="宋体" w:hAnsi="宋体" w:eastAsia="宋体" w:cs="宋体"/>
          <w:b/>
          <w:bCs/>
          <w:sz w:val="24"/>
          <w:szCs w:val="24"/>
          <w:lang w:eastAsia="zh-CN"/>
        </w:rPr>
        <w:t>：</w:t>
      </w:r>
    </w:p>
    <w:p w14:paraId="2F0254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水冷离心机组：</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台 </w:t>
      </w:r>
      <w:r>
        <w:rPr>
          <w:rFonts w:hint="eastAsia" w:ascii="宋体" w:hAnsi="宋体" w:eastAsia="宋体" w:cs="宋体"/>
          <w:sz w:val="24"/>
          <w:szCs w:val="24"/>
          <w:lang w:eastAsia="zh-CN"/>
        </w:rPr>
        <w:t>（</w:t>
      </w:r>
      <w:r>
        <w:rPr>
          <w:rFonts w:hint="eastAsia" w:ascii="宋体" w:hAnsi="宋体" w:eastAsia="宋体" w:cs="宋体"/>
          <w:sz w:val="24"/>
          <w:szCs w:val="24"/>
        </w:rPr>
        <w:t>制冷量：2285KW/台</w:t>
      </w:r>
      <w:r>
        <w:rPr>
          <w:rFonts w:hint="eastAsia" w:ascii="宋体" w:hAnsi="宋体" w:eastAsia="宋体" w:cs="宋体"/>
          <w:sz w:val="24"/>
          <w:szCs w:val="24"/>
          <w:lang w:eastAsia="zh-CN"/>
        </w:rPr>
        <w:t>）</w:t>
      </w:r>
    </w:p>
    <w:p w14:paraId="48D19E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水冷螺杆机组：</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台 </w:t>
      </w:r>
      <w:r>
        <w:rPr>
          <w:rFonts w:hint="eastAsia" w:ascii="宋体" w:hAnsi="宋体" w:eastAsia="宋体" w:cs="宋体"/>
          <w:sz w:val="24"/>
          <w:szCs w:val="24"/>
          <w:lang w:eastAsia="zh-CN"/>
        </w:rPr>
        <w:t>（</w:t>
      </w:r>
      <w:r>
        <w:rPr>
          <w:rFonts w:hint="eastAsia" w:ascii="宋体" w:hAnsi="宋体" w:eastAsia="宋体" w:cs="宋体"/>
          <w:sz w:val="24"/>
          <w:szCs w:val="24"/>
        </w:rPr>
        <w:t>制冷量：1230.3KW/台</w:t>
      </w:r>
      <w:r>
        <w:rPr>
          <w:rFonts w:hint="eastAsia" w:ascii="宋体" w:hAnsi="宋体" w:eastAsia="宋体" w:cs="宋体"/>
          <w:sz w:val="24"/>
          <w:szCs w:val="24"/>
          <w:lang w:eastAsia="zh-CN"/>
        </w:rPr>
        <w:t>）</w:t>
      </w:r>
    </w:p>
    <w:p w14:paraId="1D99B2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3.冷却塔：</w:t>
      </w:r>
      <w:r>
        <w:rPr>
          <w:rFonts w:hint="eastAsia" w:ascii="宋体" w:hAnsi="宋体" w:eastAsia="宋体" w:cs="宋体"/>
          <w:sz w:val="24"/>
          <w:szCs w:val="24"/>
          <w:lang w:val="en-US" w:eastAsia="zh-CN"/>
        </w:rPr>
        <w:t>3</w:t>
      </w:r>
      <w:r>
        <w:rPr>
          <w:rFonts w:hint="eastAsia" w:ascii="宋体" w:hAnsi="宋体" w:eastAsia="宋体" w:cs="宋体"/>
          <w:sz w:val="24"/>
          <w:szCs w:val="24"/>
        </w:rPr>
        <w:t>台</w:t>
      </w:r>
    </w:p>
    <w:p w14:paraId="461467F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4.主系统冷却水循环水泵：5 台</w:t>
      </w:r>
    </w:p>
    <w:p w14:paraId="2F3A6F7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5.主系统冷水循环水泵：5 台</w:t>
      </w:r>
    </w:p>
    <w:p w14:paraId="0D11A4E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6.锅炉热水循环水泵：3 台</w:t>
      </w:r>
    </w:p>
    <w:p w14:paraId="220462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7.主系统定压补水泵：2 台</w:t>
      </w:r>
    </w:p>
    <w:p w14:paraId="55D53B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8.主系统补水箱：</w:t>
      </w:r>
      <w:r>
        <w:rPr>
          <w:rFonts w:hint="eastAsia" w:ascii="宋体" w:hAnsi="宋体" w:eastAsia="宋体" w:cs="宋体"/>
          <w:sz w:val="24"/>
          <w:szCs w:val="24"/>
          <w:lang w:val="en-US" w:eastAsia="zh-CN"/>
        </w:rPr>
        <w:t>1</w:t>
      </w:r>
      <w:r>
        <w:rPr>
          <w:rFonts w:hint="eastAsia" w:ascii="宋体" w:hAnsi="宋体" w:eastAsia="宋体" w:cs="宋体"/>
          <w:sz w:val="24"/>
          <w:szCs w:val="24"/>
        </w:rPr>
        <w:t>套</w:t>
      </w:r>
    </w:p>
    <w:p w14:paraId="74F1C6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9.辅助系统补水箱：</w:t>
      </w:r>
      <w:r>
        <w:rPr>
          <w:rFonts w:hint="eastAsia" w:ascii="宋体" w:hAnsi="宋体" w:eastAsia="宋体" w:cs="宋体"/>
          <w:sz w:val="24"/>
          <w:szCs w:val="24"/>
          <w:lang w:val="en-US" w:eastAsia="zh-CN"/>
        </w:rPr>
        <w:t>1</w:t>
      </w:r>
      <w:r>
        <w:rPr>
          <w:rFonts w:hint="eastAsia" w:ascii="宋体" w:hAnsi="宋体" w:eastAsia="宋体" w:cs="宋体"/>
          <w:sz w:val="24"/>
          <w:szCs w:val="24"/>
        </w:rPr>
        <w:t>套</w:t>
      </w:r>
    </w:p>
    <w:p w14:paraId="21555D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10.主系统冷却水管路：</w:t>
      </w:r>
      <w:r>
        <w:rPr>
          <w:rFonts w:hint="eastAsia" w:ascii="宋体" w:hAnsi="宋体" w:eastAsia="宋体" w:cs="宋体"/>
          <w:sz w:val="24"/>
          <w:szCs w:val="24"/>
          <w:lang w:val="en-US" w:eastAsia="zh-CN"/>
        </w:rPr>
        <w:t>1</w:t>
      </w:r>
      <w:r>
        <w:rPr>
          <w:rFonts w:hint="eastAsia" w:ascii="宋体" w:hAnsi="宋体" w:eastAsia="宋体" w:cs="宋体"/>
          <w:sz w:val="24"/>
          <w:szCs w:val="24"/>
        </w:rPr>
        <w:t>套</w:t>
      </w:r>
    </w:p>
    <w:p w14:paraId="0D552F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11.主系统冷水管路：</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套 </w:t>
      </w:r>
      <w:r>
        <w:rPr>
          <w:rFonts w:hint="eastAsia" w:ascii="宋体" w:hAnsi="宋体" w:eastAsia="宋体" w:cs="宋体"/>
          <w:sz w:val="24"/>
          <w:szCs w:val="24"/>
          <w:lang w:eastAsia="zh-CN"/>
        </w:rPr>
        <w:t>（</w:t>
      </w:r>
      <w:r>
        <w:rPr>
          <w:rFonts w:hint="eastAsia" w:ascii="宋体" w:hAnsi="宋体" w:eastAsia="宋体" w:cs="宋体"/>
          <w:sz w:val="24"/>
          <w:szCs w:val="24"/>
        </w:rPr>
        <w:t>主系统一套</w:t>
      </w:r>
      <w:r>
        <w:rPr>
          <w:rFonts w:hint="eastAsia" w:ascii="宋体" w:hAnsi="宋体" w:eastAsia="宋体" w:cs="宋体"/>
          <w:sz w:val="24"/>
          <w:szCs w:val="24"/>
          <w:lang w:eastAsia="zh-CN"/>
        </w:rPr>
        <w:t>）</w:t>
      </w:r>
    </w:p>
    <w:p w14:paraId="5F823D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12.软化水处理设备：</w:t>
      </w:r>
      <w:r>
        <w:rPr>
          <w:rFonts w:hint="eastAsia" w:ascii="宋体" w:hAnsi="宋体" w:eastAsia="宋体" w:cs="宋体"/>
          <w:sz w:val="24"/>
          <w:szCs w:val="24"/>
          <w:lang w:val="en-US" w:eastAsia="zh-CN"/>
        </w:rPr>
        <w:t>1</w:t>
      </w:r>
      <w:r>
        <w:rPr>
          <w:rFonts w:hint="eastAsia" w:ascii="宋体" w:hAnsi="宋体" w:eastAsia="宋体" w:cs="宋体"/>
          <w:sz w:val="24"/>
          <w:szCs w:val="24"/>
        </w:rPr>
        <w:t>套</w:t>
      </w:r>
    </w:p>
    <w:p w14:paraId="5BA434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13.电子水处理器：</w:t>
      </w:r>
      <w:r>
        <w:rPr>
          <w:rFonts w:hint="eastAsia" w:ascii="宋体" w:hAnsi="宋体" w:eastAsia="宋体" w:cs="宋体"/>
          <w:sz w:val="24"/>
          <w:szCs w:val="24"/>
          <w:lang w:val="en-US" w:eastAsia="zh-CN"/>
        </w:rPr>
        <w:t>1</w:t>
      </w:r>
      <w:r>
        <w:rPr>
          <w:rFonts w:hint="eastAsia" w:ascii="宋体" w:hAnsi="宋体" w:eastAsia="宋体" w:cs="宋体"/>
          <w:sz w:val="24"/>
          <w:szCs w:val="24"/>
        </w:rPr>
        <w:t>套</w:t>
      </w:r>
    </w:p>
    <w:p w14:paraId="694704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14.新风机组：40台</w:t>
      </w:r>
      <w:r>
        <w:rPr>
          <w:rFonts w:hint="eastAsia" w:ascii="宋体" w:hAnsi="宋体" w:eastAsia="宋体" w:cs="宋体"/>
          <w:sz w:val="24"/>
          <w:szCs w:val="24"/>
          <w:lang w:eastAsia="zh-CN"/>
        </w:rPr>
        <w:t>（</w:t>
      </w:r>
      <w:r>
        <w:rPr>
          <w:rFonts w:hint="eastAsia" w:ascii="宋体" w:hAnsi="宋体" w:eastAsia="宋体" w:cs="宋体"/>
          <w:sz w:val="24"/>
          <w:szCs w:val="24"/>
        </w:rPr>
        <w:t>末端设备</w:t>
      </w:r>
      <w:r>
        <w:rPr>
          <w:rFonts w:hint="eastAsia" w:ascii="宋体" w:hAnsi="宋体" w:eastAsia="宋体" w:cs="宋体"/>
          <w:sz w:val="24"/>
          <w:szCs w:val="24"/>
          <w:lang w:eastAsia="zh-CN"/>
        </w:rPr>
        <w:t>）</w:t>
      </w:r>
      <w:r>
        <w:rPr>
          <w:rFonts w:hint="eastAsia" w:ascii="宋体" w:hAnsi="宋体" w:eastAsia="宋体" w:cs="宋体"/>
          <w:sz w:val="24"/>
          <w:szCs w:val="24"/>
        </w:rPr>
        <w:t>门诊综合楼：16 台，住院楼：24 台</w:t>
      </w:r>
    </w:p>
    <w:p w14:paraId="69D176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15.风机盘管：1269台</w:t>
      </w:r>
      <w:r>
        <w:rPr>
          <w:rFonts w:hint="eastAsia" w:ascii="宋体" w:hAnsi="宋体" w:eastAsia="宋体" w:cs="宋体"/>
          <w:sz w:val="24"/>
          <w:szCs w:val="24"/>
          <w:lang w:eastAsia="zh-CN"/>
        </w:rPr>
        <w:t>（</w:t>
      </w:r>
      <w:r>
        <w:rPr>
          <w:rFonts w:hint="eastAsia" w:ascii="宋体" w:hAnsi="宋体" w:eastAsia="宋体" w:cs="宋体"/>
          <w:sz w:val="24"/>
          <w:szCs w:val="24"/>
        </w:rPr>
        <w:t>末端设备</w:t>
      </w:r>
      <w:r>
        <w:rPr>
          <w:rFonts w:hint="eastAsia" w:ascii="宋体" w:hAnsi="宋体" w:eastAsia="宋体" w:cs="宋体"/>
          <w:sz w:val="24"/>
          <w:szCs w:val="24"/>
          <w:lang w:eastAsia="zh-CN"/>
        </w:rPr>
        <w:t>）</w:t>
      </w:r>
      <w:r>
        <w:rPr>
          <w:rFonts w:hint="eastAsia" w:ascii="宋体" w:hAnsi="宋体" w:eastAsia="宋体" w:cs="宋体"/>
          <w:sz w:val="24"/>
          <w:szCs w:val="24"/>
        </w:rPr>
        <w:t>门诊综合楼：621台，住院楼：648 台</w:t>
      </w:r>
    </w:p>
    <w:p w14:paraId="481AB5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16.检验风冷模块机组 3 台，循环水泵 2 台</w:t>
      </w:r>
    </w:p>
    <w:p w14:paraId="2BBDD9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17.地下影像中心风冷模块机组 3 台，循环水泵 2 台</w:t>
      </w:r>
    </w:p>
    <w:p w14:paraId="5112B7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18.全科楼多联机系统 8 套，主机 25 台，内机 261 台</w:t>
      </w:r>
    </w:p>
    <w:p w14:paraId="337670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19.全科楼新风系统 9 台，主机 9 台，内机 9 台</w:t>
      </w:r>
    </w:p>
    <w:p w14:paraId="355A85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三、 服务要求</w:t>
      </w:r>
      <w:r>
        <w:rPr>
          <w:rFonts w:hint="eastAsia" w:ascii="宋体" w:hAnsi="宋体" w:eastAsia="宋体" w:cs="宋体"/>
          <w:b/>
          <w:bCs/>
          <w:sz w:val="24"/>
          <w:szCs w:val="24"/>
        </w:rPr>
        <w:drawing>
          <wp:inline distT="0" distB="0" distL="0" distR="0">
            <wp:extent cx="59055" cy="103505"/>
            <wp:effectExtent l="0" t="0" r="17145" b="10795"/>
            <wp:docPr id="7" name="IM 16"/>
            <wp:cNvGraphicFramePr/>
            <a:graphic xmlns:a="http://schemas.openxmlformats.org/drawingml/2006/main">
              <a:graphicData uri="http://schemas.openxmlformats.org/drawingml/2006/picture">
                <pic:pic xmlns:pic="http://schemas.openxmlformats.org/drawingml/2006/picture">
                  <pic:nvPicPr>
                    <pic:cNvPr id="7" name="IM 16"/>
                    <pic:cNvPicPr/>
                  </pic:nvPicPr>
                  <pic:blipFill>
                    <a:blip r:embed="rId24"/>
                    <a:stretch>
                      <a:fillRect/>
                    </a:stretch>
                  </pic:blipFill>
                  <pic:spPr>
                    <a:xfrm>
                      <a:off x="0" y="0"/>
                      <a:ext cx="59118" cy="103923"/>
                    </a:xfrm>
                    <a:prstGeom prst="rect">
                      <a:avLst/>
                    </a:prstGeom>
                  </pic:spPr>
                </pic:pic>
              </a:graphicData>
            </a:graphic>
          </wp:inline>
        </w:drawing>
      </w:r>
      <w:r>
        <w:rPr>
          <w:rFonts w:hint="eastAsia" w:ascii="宋体" w:hAnsi="宋体" w:eastAsia="宋体" w:cs="宋体"/>
          <w:b/>
          <w:bCs/>
          <w:sz w:val="24"/>
          <w:szCs w:val="24"/>
        </w:rPr>
        <w:t xml:space="preserve">  </w:t>
      </w:r>
    </w:p>
    <w:p w14:paraId="7D8C99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color w:val="auto"/>
          <w:sz w:val="24"/>
          <w:szCs w:val="24"/>
        </w:rPr>
        <w:t>乙方负责甲方空调的日常巡检、保养和维修，免费提供空调热交换器清理、水质管理用药品。通过对甲方设备的日常巡检、保养以及维修等服务手段，使甲方设备正常、安全</w:t>
      </w: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rPr>
        <w:t>运行。在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"https://www.diyifanwen.com/fanwen/hetongfanwen/"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合同</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期内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空调</w:t>
      </w:r>
      <w:r>
        <w:rPr>
          <w:rFonts w:hint="eastAsia" w:ascii="宋体" w:hAnsi="宋体" w:eastAsia="宋体" w:cs="宋体"/>
          <w:color w:val="auto"/>
          <w:sz w:val="24"/>
          <w:szCs w:val="24"/>
          <w:lang w:eastAsia="zh-CN"/>
        </w:rPr>
        <w:t>主</w:t>
      </w:r>
      <w:r>
        <w:rPr>
          <w:rFonts w:hint="eastAsia" w:ascii="宋体" w:hAnsi="宋体" w:eastAsia="宋体" w:cs="宋体"/>
          <w:color w:val="auto"/>
          <w:sz w:val="24"/>
          <w:szCs w:val="24"/>
        </w:rPr>
        <w:t>机所有零部件如需更换或维修，配件费用按照合同附件</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u w:val="none"/>
          <w:lang w:eastAsia="zh-CN"/>
        </w:rPr>
        <w:t>中，</w:t>
      </w:r>
      <w:r>
        <w:rPr>
          <w:rFonts w:hint="eastAsia" w:ascii="宋体" w:hAnsi="宋体" w:eastAsia="宋体" w:cs="宋体"/>
          <w:color w:val="auto"/>
          <w:sz w:val="24"/>
          <w:szCs w:val="24"/>
          <w:lang w:eastAsia="zh-CN"/>
        </w:rPr>
        <w:t>配件报价表格中的配件</w:t>
      </w:r>
      <w:r>
        <w:rPr>
          <w:rFonts w:hint="eastAsia" w:ascii="宋体" w:hAnsi="宋体" w:eastAsia="宋体" w:cs="宋体"/>
          <w:color w:val="auto"/>
          <w:sz w:val="24"/>
          <w:szCs w:val="24"/>
        </w:rPr>
        <w:t>维保服务维修</w:t>
      </w:r>
      <w:r>
        <w:rPr>
          <w:rFonts w:hint="eastAsia" w:ascii="宋体" w:hAnsi="宋体" w:eastAsia="宋体" w:cs="宋体"/>
          <w:color w:val="auto"/>
          <w:sz w:val="24"/>
          <w:szCs w:val="24"/>
          <w:lang w:val="en-US" w:eastAsia="zh-CN"/>
        </w:rPr>
        <w:t>空调主机</w:t>
      </w:r>
      <w:r>
        <w:rPr>
          <w:rFonts w:hint="eastAsia" w:ascii="宋体" w:hAnsi="宋体" w:eastAsia="宋体" w:cs="宋体"/>
          <w:color w:val="auto"/>
          <w:sz w:val="24"/>
          <w:szCs w:val="24"/>
        </w:rPr>
        <w:t>所需的单项主材费在1000元以上的由院方另行采购，1000元以下</w:t>
      </w:r>
      <w:r>
        <w:rPr>
          <w:rFonts w:hint="eastAsia" w:ascii="宋体" w:hAnsi="宋体" w:eastAsia="宋体" w:cs="宋体"/>
          <w:color w:val="auto"/>
          <w:sz w:val="24"/>
          <w:szCs w:val="24"/>
          <w:lang w:val="en-US" w:eastAsia="zh-CN"/>
        </w:rPr>
        <w:t>空调主机配件</w:t>
      </w:r>
      <w:r>
        <w:rPr>
          <w:rFonts w:hint="eastAsia" w:ascii="宋体" w:hAnsi="宋体" w:eastAsia="宋体" w:cs="宋体"/>
          <w:color w:val="auto"/>
          <w:sz w:val="24"/>
          <w:szCs w:val="24"/>
        </w:rPr>
        <w:t>由维保单位承担（后附配件报价表3）。维保单位负责清洗过滤</w:t>
      </w:r>
      <w:r>
        <w:rPr>
          <w:rFonts w:hint="eastAsia" w:ascii="宋体" w:hAnsi="宋体" w:eastAsia="宋体" w:cs="宋体"/>
          <w:sz w:val="24"/>
          <w:szCs w:val="24"/>
          <w:lang w:eastAsia="zh-CN"/>
        </w:rPr>
        <w:t>网及部分损坏的过滤网材料</w:t>
      </w:r>
      <w:r>
        <w:rPr>
          <w:rFonts w:hint="eastAsia" w:ascii="宋体" w:hAnsi="宋体" w:eastAsia="宋体" w:cs="宋体"/>
          <w:sz w:val="24"/>
          <w:szCs w:val="24"/>
        </w:rPr>
        <w:t>，负责中央空调及新风机组维护维修技术服务及调试、人工费；环境及设备自行检测费。</w:t>
      </w:r>
      <w:r>
        <w:rPr>
          <w:rFonts w:hint="eastAsia" w:ascii="宋体" w:hAnsi="宋体" w:eastAsia="宋体" w:cs="宋体"/>
          <w:sz w:val="24"/>
          <w:szCs w:val="24"/>
          <w:lang w:eastAsia="zh-CN"/>
        </w:rPr>
        <w:t>制冷剂和末端耗材及</w:t>
      </w:r>
      <w:r>
        <w:rPr>
          <w:rFonts w:hint="eastAsia" w:ascii="宋体" w:hAnsi="宋体" w:eastAsia="宋体" w:cs="宋体"/>
          <w:sz w:val="24"/>
          <w:szCs w:val="24"/>
        </w:rPr>
        <w:t>全部需要更换的配件需经采购方确定签字后才可</w:t>
      </w:r>
      <w:r>
        <w:rPr>
          <w:rFonts w:hint="eastAsia" w:ascii="宋体" w:hAnsi="宋体" w:eastAsia="宋体" w:cs="宋体"/>
          <w:sz w:val="24"/>
          <w:szCs w:val="24"/>
          <w:lang w:eastAsia="zh-CN"/>
        </w:rPr>
        <w:t>维修、</w:t>
      </w:r>
      <w:r>
        <w:rPr>
          <w:rFonts w:hint="eastAsia" w:ascii="宋体" w:hAnsi="宋体" w:eastAsia="宋体" w:cs="宋体"/>
          <w:sz w:val="24"/>
          <w:szCs w:val="24"/>
        </w:rPr>
        <w:t>更换，否则配件更换费用由乙方负责。</w:t>
      </w:r>
    </w:p>
    <w:p w14:paraId="4CDD2E5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四、服务内容：</w:t>
      </w:r>
    </w:p>
    <w:p w14:paraId="791F29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年度保养（一年1次）：包括空调末端、制冷主机冷凝器清洗、保养</w:t>
      </w:r>
      <w:r>
        <w:rPr>
          <w:rFonts w:hint="eastAsia" w:ascii="宋体" w:hAnsi="宋体" w:eastAsia="宋体" w:cs="宋体"/>
          <w:sz w:val="24"/>
          <w:szCs w:val="24"/>
          <w:lang w:eastAsia="zh-CN"/>
        </w:rPr>
        <w:t>零星配</w:t>
      </w:r>
      <w:r>
        <w:rPr>
          <w:rFonts w:hint="eastAsia" w:ascii="宋体" w:hAnsi="宋体" w:eastAsia="宋体" w:cs="宋体"/>
          <w:sz w:val="24"/>
          <w:szCs w:val="24"/>
        </w:rPr>
        <w:t>件更换以及其他常规检查等保养内容。</w:t>
      </w:r>
    </w:p>
    <w:p w14:paraId="117ABA9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定期检查（制冷季每月 1 次）：制冷季每月对机组进行运行状态检查并提出相关建议。</w:t>
      </w:r>
    </w:p>
    <w:p w14:paraId="57E332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紧急抢修：检查并修复已损坏的空调制冷主机设备。</w:t>
      </w:r>
    </w:p>
    <w:p w14:paraId="58AEF3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压缩机检修：根据服务标准，当压缩机运行每1000到1300小时应进行压缩机高速部分（ST-3）检修；当压缩机运行每2000到2200小时应进行压缩机整机（ST-6）检修。注：每次启动可折算约等于4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6小时的运行。</w:t>
      </w:r>
    </w:p>
    <w:p w14:paraId="2BD5F7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五、双方的权利和义务</w:t>
      </w:r>
      <w:r>
        <w:rPr>
          <w:rFonts w:hint="eastAsia" w:ascii="宋体" w:hAnsi="宋体" w:eastAsia="宋体" w:cs="宋体"/>
          <w:b/>
          <w:bCs/>
          <w:sz w:val="24"/>
          <w:szCs w:val="24"/>
          <w:lang w:eastAsia="zh-CN"/>
        </w:rPr>
        <w:t>：</w:t>
      </w:r>
    </w:p>
    <w:p w14:paraId="05B678BB">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甲、乙双方各派技术代表一名，负责协调维修工程中需要协调的各种问题。</w:t>
      </w:r>
      <w:r>
        <w:rPr>
          <w:rFonts w:hint="eastAsia" w:ascii="宋体" w:hAnsi="宋体" w:eastAsia="宋体" w:cs="宋体"/>
          <w:sz w:val="24"/>
          <w:szCs w:val="24"/>
          <w:lang w:eastAsia="zh-CN"/>
        </w:rPr>
        <w:t>（</w:t>
      </w:r>
      <w:r>
        <w:rPr>
          <w:rFonts w:hint="eastAsia" w:ascii="宋体" w:hAnsi="宋体" w:eastAsia="宋体" w:cs="宋体"/>
          <w:sz w:val="24"/>
          <w:szCs w:val="24"/>
        </w:rPr>
        <w:t>甲方代表为</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乙方代表为</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）空调出现故障，乙方接到甲方电话通知2小时内派维修代表到达现场并在派工单上签字确认后安排维修，甲方安排专人跟踪；维修完成双方检查确认后，甲乙双方代表、负责人分别</w:t>
      </w:r>
      <w:r>
        <w:rPr>
          <w:rFonts w:hint="eastAsia" w:ascii="宋体" w:hAnsi="宋体" w:eastAsia="宋体" w:cs="宋体"/>
          <w:sz w:val="24"/>
          <w:szCs w:val="24"/>
          <w:lang w:eastAsia="zh-CN"/>
        </w:rPr>
        <w:t>在</w:t>
      </w:r>
      <w:r>
        <w:rPr>
          <w:rFonts w:hint="eastAsia" w:ascii="宋体" w:hAnsi="宋体" w:eastAsia="宋体" w:cs="宋体"/>
          <w:sz w:val="24"/>
          <w:szCs w:val="24"/>
        </w:rPr>
        <w:t>《</w:t>
      </w:r>
      <w:r>
        <w:rPr>
          <w:rFonts w:hint="eastAsia" w:ascii="宋体" w:hAnsi="宋体" w:eastAsia="宋体" w:cs="宋体"/>
          <w:sz w:val="24"/>
          <w:szCs w:val="24"/>
          <w:lang w:eastAsia="zh-CN"/>
        </w:rPr>
        <w:t>维修、</w:t>
      </w:r>
      <w:r>
        <w:rPr>
          <w:rFonts w:hint="eastAsia" w:ascii="宋体" w:hAnsi="宋体" w:eastAsia="宋体" w:cs="宋体"/>
          <w:sz w:val="24"/>
          <w:szCs w:val="24"/>
        </w:rPr>
        <w:t>保养服务报告》签字</w:t>
      </w:r>
      <w:r>
        <w:rPr>
          <w:rFonts w:hint="eastAsia" w:ascii="宋体" w:hAnsi="宋体" w:eastAsia="宋体" w:cs="宋体"/>
          <w:sz w:val="24"/>
          <w:szCs w:val="24"/>
          <w:lang w:val="en-US" w:eastAsia="zh-CN"/>
        </w:rPr>
        <w:t>。</w:t>
      </w:r>
    </w:p>
    <w:p w14:paraId="750045EE">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乙方的权利及义务</w:t>
      </w:r>
    </w:p>
    <w:p w14:paraId="11313A4A">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乙方按照甲方认可的以上条款对空调机组每月进行定期维护、检修</w:t>
      </w:r>
      <w:r>
        <w:rPr>
          <w:rFonts w:hint="eastAsia" w:ascii="宋体" w:hAnsi="宋体" w:eastAsia="宋体" w:cs="宋体"/>
          <w:color w:val="auto"/>
          <w:sz w:val="24"/>
          <w:szCs w:val="24"/>
          <w:lang w:eastAsia="zh-CN"/>
        </w:rPr>
        <w:t>并且每天安排人员巡检一次</w:t>
      </w:r>
      <w:r>
        <w:rPr>
          <w:rFonts w:hint="eastAsia" w:ascii="宋体" w:hAnsi="宋体" w:eastAsia="宋体" w:cs="宋体"/>
          <w:color w:val="auto"/>
          <w:sz w:val="24"/>
          <w:szCs w:val="24"/>
        </w:rPr>
        <w:t>。</w:t>
      </w:r>
    </w:p>
    <w:p w14:paraId="76C4ECD1">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（2）乙方按甲方认可的以上条款进行作业，每次定期作业完后填写报告单，双方签字并存档，作为巡检依据。</w:t>
      </w:r>
    </w:p>
    <w:p w14:paraId="5BE31279">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（3）在维护作业期间，需维修更换的零部件材料需经甲方工程部负责人确认签字后按服务要求和配件价格表执行，乙方应先保证质量合格</w:t>
      </w:r>
      <w:r>
        <w:rPr>
          <w:rFonts w:hint="eastAsia" w:ascii="宋体" w:hAnsi="宋体" w:eastAsia="宋体" w:cs="宋体"/>
          <w:sz w:val="24"/>
          <w:szCs w:val="24"/>
          <w:lang w:eastAsia="zh-CN"/>
        </w:rPr>
        <w:t>，</w:t>
      </w:r>
      <w:r>
        <w:rPr>
          <w:rFonts w:hint="eastAsia" w:ascii="宋体" w:hAnsi="宋体" w:eastAsia="宋体" w:cs="宋体"/>
          <w:sz w:val="24"/>
          <w:szCs w:val="24"/>
        </w:rPr>
        <w:t xml:space="preserve"> 以确保空调机组正常运行。</w:t>
      </w:r>
    </w:p>
    <w:p w14:paraId="7543756A">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若乙方人员在保养或维修设备工作过程中因疏忽或失职，或者提供的服务发生其他不符合本合同规定要求的情况，造成甲方设施、设备、其他财产或任何人身损害，负责全部由乙方负责。对因不可抗力因素造成的损失或延误，乙方不负责任，但有义务尽最大努力和最快速度协助甲方维修机组，使之尽快恢复正常使用。</w:t>
      </w:r>
    </w:p>
    <w:p w14:paraId="15F6B829">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（5）乙方维护人员必须严格遵守工作现场安全，保密和技术安全规范。</w:t>
      </w:r>
    </w:p>
    <w:p w14:paraId="25D1699C">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（6）故障抢修</w:t>
      </w:r>
      <w:r>
        <w:rPr>
          <w:rFonts w:hint="eastAsia" w:ascii="宋体" w:hAnsi="宋体" w:eastAsia="宋体" w:cs="宋体"/>
          <w:sz w:val="24"/>
          <w:szCs w:val="24"/>
          <w:lang w:eastAsia="zh-CN"/>
        </w:rPr>
        <w:t>：</w:t>
      </w:r>
      <w:r>
        <w:rPr>
          <w:rFonts w:hint="eastAsia" w:ascii="宋体" w:hAnsi="宋体" w:eastAsia="宋体" w:cs="宋体"/>
          <w:sz w:val="24"/>
          <w:szCs w:val="24"/>
        </w:rPr>
        <w:t>在合同维保期接到抢修通知，乙方须在</w:t>
      </w:r>
      <w:r>
        <w:rPr>
          <w:rFonts w:hint="eastAsia" w:ascii="宋体" w:hAnsi="宋体" w:eastAsia="宋体" w:cs="宋体"/>
          <w:sz w:val="24"/>
          <w:szCs w:val="24"/>
          <w:lang w:val="en-US" w:eastAsia="zh-CN"/>
        </w:rPr>
        <w:t>2小时</w:t>
      </w:r>
      <w:r>
        <w:rPr>
          <w:rFonts w:hint="eastAsia" w:ascii="宋体" w:hAnsi="宋体" w:eastAsia="宋体" w:cs="宋体"/>
          <w:sz w:val="24"/>
          <w:szCs w:val="24"/>
        </w:rPr>
        <w:t>内到达现场进行处理，乙方到现场维修应尽快排除故障直到机组运行正常</w:t>
      </w:r>
      <w:r>
        <w:rPr>
          <w:rFonts w:hint="eastAsia" w:ascii="宋体" w:hAnsi="宋体" w:eastAsia="宋体" w:cs="宋体"/>
          <w:sz w:val="24"/>
          <w:szCs w:val="24"/>
          <w:lang w:eastAsia="zh-CN"/>
        </w:rPr>
        <w:t>，</w:t>
      </w:r>
      <w:r>
        <w:rPr>
          <w:rFonts w:hint="eastAsia" w:ascii="宋体" w:hAnsi="宋体" w:eastAsia="宋体" w:cs="宋体"/>
          <w:sz w:val="24"/>
          <w:szCs w:val="24"/>
        </w:rPr>
        <w:t>重大故障或需等零件时需向甲方说明原因，并提出维修方案和修复时间。</w:t>
      </w:r>
    </w:p>
    <w:p w14:paraId="75F03C97">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（7）对空调机组设备进行合同规定的维修、维护后 ，及时向甲方提交报告。</w:t>
      </w:r>
    </w:p>
    <w:p w14:paraId="7A90C2F7">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甲方的权利和义务</w:t>
      </w:r>
    </w:p>
    <w:p w14:paraId="2FE42DD3">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 甲方应及时按合同向乙方支付维保费</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rPr>
        <w:t>无</w:t>
      </w:r>
      <w:r>
        <w:rPr>
          <w:rFonts w:hint="eastAsia" w:ascii="宋体" w:hAnsi="宋体" w:eastAsia="宋体" w:cs="宋体"/>
          <w:sz w:val="24"/>
          <w:szCs w:val="24"/>
        </w:rPr>
        <w:t>特殊原因未能按照本合</w:t>
      </w:r>
      <w:r>
        <w:rPr>
          <w:rFonts w:hint="eastAsia" w:ascii="宋体" w:hAnsi="宋体" w:eastAsia="宋体" w:cs="宋体"/>
          <w:color w:val="auto"/>
          <w:kern w:val="0"/>
          <w:sz w:val="24"/>
          <w:szCs w:val="24"/>
        </w:rPr>
        <w:t>同约定的</w:t>
      </w:r>
      <w:r>
        <w:rPr>
          <w:rFonts w:hint="eastAsia" w:ascii="宋体" w:hAnsi="宋体" w:eastAsia="宋体" w:cs="宋体"/>
          <w:sz w:val="24"/>
          <w:szCs w:val="24"/>
        </w:rPr>
        <w:t>向乙方支付合同价款的，经乙方催告后仍未付款的，每逾期1日，应按照逾期付款金额的1%向乙方支付违约金</w:t>
      </w:r>
      <w:r>
        <w:rPr>
          <w:rFonts w:hint="eastAsia" w:ascii="宋体" w:hAnsi="宋体" w:eastAsia="宋体" w:cs="宋体"/>
          <w:sz w:val="24"/>
          <w:szCs w:val="24"/>
          <w:lang w:eastAsia="zh-CN"/>
        </w:rPr>
        <w:t>。</w:t>
      </w:r>
    </w:p>
    <w:p w14:paraId="7D1AC590">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甲方为乙方提供材料、设备等工具临时存放场所，以及乙方施工现场出入通道及通行证件。</w:t>
      </w:r>
    </w:p>
    <w:p w14:paraId="0E1AC8C6">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按乙方要求如实提供服务设备相关技术资料、必要的技术参数、使用历史及设备现状等信息。</w:t>
      </w:r>
    </w:p>
    <w:p w14:paraId="6DEE192B">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在维保过程中甲方安排人员全程协同乙方施工，以备协调工作关系，避免影响甲方正常工作。</w:t>
      </w:r>
    </w:p>
    <w:p w14:paraId="3E73AAF7">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六、</w:t>
      </w:r>
      <w:r>
        <w:rPr>
          <w:rFonts w:hint="eastAsia" w:ascii="宋体" w:hAnsi="宋体" w:eastAsia="宋体" w:cs="宋体"/>
          <w:sz w:val="24"/>
          <w:szCs w:val="24"/>
        </w:rPr>
        <w:t>双方</w:t>
      </w:r>
      <w:r>
        <w:rPr>
          <w:rFonts w:hint="eastAsia" w:ascii="宋体" w:hAnsi="宋体" w:eastAsia="宋体" w:cs="宋体"/>
          <w:sz w:val="24"/>
          <w:szCs w:val="24"/>
          <w:lang w:eastAsia="zh-CN"/>
        </w:rPr>
        <w:t>签字盖章</w:t>
      </w:r>
      <w:r>
        <w:rPr>
          <w:rFonts w:hint="eastAsia" w:ascii="宋体" w:hAnsi="宋体" w:eastAsia="宋体" w:cs="宋体"/>
          <w:sz w:val="24"/>
          <w:szCs w:val="24"/>
        </w:rPr>
        <w:t>此协议生效后，乙方将在一周内开始合同中的第一次巡检，对巡检发现的故障进行处理。所涉及的在第一次巡检时发现损坏的配件经甲方人员在场确认后</w:t>
      </w:r>
      <w:r>
        <w:rPr>
          <w:rFonts w:hint="eastAsia" w:ascii="宋体" w:hAnsi="宋体" w:eastAsia="宋体" w:cs="宋体"/>
          <w:sz w:val="24"/>
          <w:szCs w:val="24"/>
          <w:lang w:eastAsia="zh-CN"/>
        </w:rPr>
        <w:t>维修，维修的材料配件费用由甲方支付，</w:t>
      </w:r>
      <w:r>
        <w:rPr>
          <w:rFonts w:hint="eastAsia" w:ascii="宋体" w:hAnsi="宋体" w:eastAsia="宋体" w:cs="宋体"/>
          <w:sz w:val="24"/>
          <w:szCs w:val="24"/>
        </w:rPr>
        <w:t>乙方保证巡检报告的真实性。</w:t>
      </w:r>
    </w:p>
    <w:p w14:paraId="68A053CB">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七、</w:t>
      </w:r>
      <w:r>
        <w:rPr>
          <w:rFonts w:hint="eastAsia" w:ascii="宋体" w:hAnsi="宋体" w:eastAsia="宋体" w:cs="宋体"/>
          <w:sz w:val="24"/>
          <w:szCs w:val="24"/>
        </w:rPr>
        <w:t>本协议未尽事宜，由双方共同协商解决。</w:t>
      </w:r>
    </w:p>
    <w:p w14:paraId="4F15EC04">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sz w:val="24"/>
          <w:szCs w:val="24"/>
          <w:lang w:eastAsia="zh-CN"/>
        </w:rPr>
      </w:pPr>
      <w:r>
        <w:rPr>
          <w:rFonts w:hint="eastAsia" w:ascii="宋体" w:hAnsi="宋体" w:eastAsia="宋体" w:cs="宋体"/>
          <w:b/>
          <w:bCs/>
          <w:sz w:val="24"/>
          <w:szCs w:val="24"/>
        </w:rPr>
        <w:t>八、</w:t>
      </w:r>
      <w:r>
        <w:rPr>
          <w:rFonts w:hint="eastAsia" w:ascii="宋体" w:hAnsi="宋体" w:eastAsia="宋体" w:cs="宋体"/>
          <w:sz w:val="24"/>
          <w:szCs w:val="24"/>
        </w:rPr>
        <w:t>本协议一式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份，经双方签字盖章后生效。 甲乙方各持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份，均具同等效力</w:t>
      </w:r>
      <w:r>
        <w:rPr>
          <w:rFonts w:hint="eastAsia" w:ascii="宋体" w:hAnsi="宋体" w:eastAsia="宋体" w:cs="宋体"/>
          <w:sz w:val="24"/>
          <w:szCs w:val="24"/>
          <w:lang w:eastAsia="zh-CN"/>
        </w:rPr>
        <w:t>。</w:t>
      </w:r>
    </w:p>
    <w:p w14:paraId="0A753B1F">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九、</w:t>
      </w:r>
      <w:r>
        <w:rPr>
          <w:rFonts w:hint="eastAsia" w:ascii="宋体" w:hAnsi="宋体" w:eastAsia="宋体" w:cs="宋体"/>
          <w:sz w:val="24"/>
          <w:szCs w:val="24"/>
        </w:rPr>
        <w:t>招投标文件、合同、附加为合同的组成部分具有同等法律效力</w:t>
      </w:r>
    </w:p>
    <w:p w14:paraId="719EB858">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rPr>
        <w:t>附件： 中标通知书 ，工程量清单，配件价格表。</w:t>
      </w:r>
    </w:p>
    <w:p w14:paraId="7A931A9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以下为签字页：</w:t>
      </w:r>
    </w:p>
    <w:p w14:paraId="466483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sz w:val="24"/>
          <w:szCs w:val="24"/>
        </w:rPr>
      </w:pPr>
    </w:p>
    <w:p w14:paraId="61E041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sz w:val="24"/>
          <w:szCs w:val="24"/>
        </w:rPr>
      </w:pPr>
    </w:p>
    <w:p w14:paraId="46D107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rPr>
        <w:t>甲方单位：</w:t>
      </w:r>
      <w:r>
        <w:rPr>
          <w:rFonts w:hint="eastAsia" w:ascii="宋体" w:hAnsi="宋体" w:eastAsia="宋体" w:cs="宋体"/>
          <w:sz w:val="24"/>
          <w:szCs w:val="24"/>
        </w:rPr>
        <w:t xml:space="preserve">安康市中心医院  </w:t>
      </w:r>
      <w:r>
        <w:rPr>
          <w:rFonts w:hint="eastAsia" w:ascii="宋体" w:hAnsi="宋体" w:eastAsia="宋体" w:cs="宋体"/>
          <w:b/>
          <w:bCs/>
          <w:sz w:val="24"/>
          <w:szCs w:val="24"/>
        </w:rPr>
        <w:t>乙方单位：</w:t>
      </w:r>
      <w:r>
        <w:rPr>
          <w:rFonts w:hint="eastAsia" w:ascii="宋体" w:hAnsi="宋体" w:eastAsia="宋体" w:cs="宋体"/>
          <w:sz w:val="24"/>
          <w:szCs w:val="24"/>
          <w:lang w:val="en-US" w:eastAsia="zh-CN"/>
        </w:rPr>
        <w:t>XXXXXX</w:t>
      </w:r>
    </w:p>
    <w:p w14:paraId="4E5799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sz w:val="24"/>
          <w:szCs w:val="24"/>
        </w:rPr>
      </w:pPr>
    </w:p>
    <w:p w14:paraId="708B58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sz w:val="24"/>
          <w:szCs w:val="24"/>
        </w:rPr>
      </w:pPr>
      <w:r>
        <w:rPr>
          <w:rFonts w:hint="eastAsia" w:ascii="宋体" w:hAnsi="宋体" w:eastAsia="宋体" w:cs="宋体"/>
          <w:b/>
          <w:bCs/>
          <w:sz w:val="24"/>
          <w:szCs w:val="24"/>
        </w:rPr>
        <w:t>法定代表：</w:t>
      </w:r>
      <w:r>
        <w:rPr>
          <w:rFonts w:hint="eastAsia" w:ascii="宋体" w:hAnsi="宋体" w:eastAsia="宋体" w:cs="宋体"/>
          <w:sz w:val="24"/>
          <w:szCs w:val="24"/>
        </w:rPr>
        <w:t xml:space="preserve">                </w:t>
      </w:r>
      <w:r>
        <w:rPr>
          <w:rFonts w:hint="eastAsia" w:ascii="宋体" w:hAnsi="宋体" w:eastAsia="宋体" w:cs="宋体"/>
          <w:b/>
          <w:bCs/>
          <w:sz w:val="24"/>
          <w:szCs w:val="24"/>
        </w:rPr>
        <w:t>法定代表：</w:t>
      </w:r>
    </w:p>
    <w:p w14:paraId="0ED5B7FF">
      <w:pPr>
        <w:keepNext w:val="0"/>
        <w:keepLines w:val="0"/>
        <w:pageBreakBefore w:val="0"/>
        <w:wordWrap/>
        <w:overflowPunct/>
        <w:topLinePunct w:val="0"/>
        <w:bidi w:val="0"/>
        <w:spacing w:line="360" w:lineRule="auto"/>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70024C22">
      <w:pPr>
        <w:keepNext w:val="0"/>
        <w:keepLines w:val="0"/>
        <w:pageBreakBefore w:val="0"/>
        <w:wordWrap/>
        <w:overflowPunct/>
        <w:topLinePunct w:val="0"/>
        <w:bidi w:val="0"/>
        <w:spacing w:line="360" w:lineRule="auto"/>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公司地址：</w:t>
      </w:r>
    </w:p>
    <w:p w14:paraId="4EE719B4">
      <w:pPr>
        <w:keepNext w:val="0"/>
        <w:keepLines w:val="0"/>
        <w:pageBreakBefore w:val="0"/>
        <w:widowControl/>
        <w:kinsoku w:val="0"/>
        <w:wordWrap/>
        <w:overflowPunct/>
        <w:topLinePunct w:val="0"/>
        <w:autoSpaceDE w:val="0"/>
        <w:autoSpaceDN w:val="0"/>
        <w:bidi w:val="0"/>
        <w:adjustRightInd w:val="0"/>
        <w:snapToGrid w:val="0"/>
        <w:spacing w:line="360" w:lineRule="auto"/>
        <w:ind w:left="1205" w:leftChars="0" w:hanging="1205" w:hangingChars="500"/>
        <w:textAlignment w:val="baseline"/>
        <w:rPr>
          <w:rFonts w:hint="eastAsia" w:ascii="宋体" w:hAnsi="宋体" w:eastAsia="宋体" w:cs="宋体"/>
          <w:sz w:val="24"/>
          <w:szCs w:val="24"/>
        </w:rPr>
      </w:pPr>
      <w:r>
        <w:rPr>
          <w:rFonts w:hint="eastAsia" w:ascii="宋体" w:hAnsi="宋体" w:eastAsia="宋体" w:cs="宋体"/>
          <w:b/>
          <w:bCs/>
          <w:sz w:val="24"/>
          <w:szCs w:val="24"/>
        </w:rPr>
        <w:t>开户银行：</w:t>
      </w:r>
    </w:p>
    <w:p w14:paraId="6BF6B7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3132" w:firstLineChars="1300"/>
        <w:textAlignment w:val="baseline"/>
        <w:rPr>
          <w:rFonts w:hint="eastAsia" w:ascii="宋体" w:hAnsi="宋体" w:eastAsia="宋体" w:cs="宋体"/>
          <w:b/>
          <w:bCs/>
          <w:sz w:val="24"/>
          <w:szCs w:val="24"/>
        </w:rPr>
      </w:pPr>
      <w:r>
        <w:rPr>
          <w:rFonts w:hint="eastAsia" w:ascii="宋体" w:hAnsi="宋体" w:eastAsia="宋体" w:cs="宋体"/>
          <w:b/>
          <w:bCs/>
          <w:sz w:val="24"/>
          <w:szCs w:val="24"/>
        </w:rPr>
        <w:t>账   号：</w:t>
      </w:r>
    </w:p>
    <w:p w14:paraId="47F683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3132" w:firstLineChars="1300"/>
        <w:textAlignment w:val="baseline"/>
        <w:rPr>
          <w:rFonts w:hint="eastAsia" w:ascii="宋体" w:hAnsi="宋体" w:eastAsia="宋体" w:cs="宋体"/>
          <w:b/>
          <w:bCs/>
          <w:sz w:val="24"/>
          <w:szCs w:val="24"/>
        </w:rPr>
      </w:pPr>
      <w:r>
        <w:rPr>
          <w:rFonts w:hint="eastAsia" w:ascii="宋体" w:hAnsi="宋体" w:eastAsia="宋体" w:cs="宋体"/>
          <w:b/>
          <w:bCs/>
          <w:sz w:val="24"/>
          <w:szCs w:val="24"/>
        </w:rPr>
        <w:t>联系电话：</w:t>
      </w:r>
    </w:p>
    <w:p w14:paraId="5F9E85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3132" w:firstLineChars="1300"/>
        <w:textAlignment w:val="baseline"/>
        <w:rPr>
          <w:rFonts w:hint="eastAsia" w:ascii="宋体" w:hAnsi="宋体" w:eastAsia="宋体" w:cs="宋体"/>
          <w:b/>
          <w:bCs/>
          <w:sz w:val="24"/>
          <w:szCs w:val="24"/>
        </w:rPr>
      </w:pPr>
      <w:r>
        <w:rPr>
          <w:rFonts w:hint="eastAsia" w:ascii="宋体" w:hAnsi="宋体" w:eastAsia="宋体" w:cs="宋体"/>
          <w:b/>
          <w:bCs/>
          <w:sz w:val="24"/>
          <w:szCs w:val="24"/>
        </w:rPr>
        <w:t>联 系 人：</w:t>
      </w:r>
    </w:p>
    <w:p w14:paraId="5DECF2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sz w:val="24"/>
          <w:szCs w:val="24"/>
        </w:rPr>
      </w:pPr>
    </w:p>
    <w:p w14:paraId="4714F3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bCs/>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签订日期</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2024</w:t>
      </w:r>
      <w:r>
        <w:rPr>
          <w:rFonts w:hint="eastAsia" w:ascii="宋体" w:hAnsi="宋体" w:eastAsia="宋体" w:cs="宋体"/>
          <w:b/>
          <w:bCs/>
          <w:sz w:val="24"/>
          <w:szCs w:val="24"/>
        </w:rPr>
        <w:t>年   月   日</w:t>
      </w:r>
      <w:bookmarkStart w:id="157" w:name="bookmark6"/>
      <w:bookmarkEnd w:id="157"/>
    </w:p>
    <w:p w14:paraId="74F584A0">
      <w:pPr>
        <w:pStyle w:val="3"/>
        <w:keepNext/>
        <w:keepLines/>
        <w:pageBreakBefore/>
        <w:widowControl w:val="0"/>
        <w:numPr>
          <w:ilvl w:val="0"/>
          <w:numId w:val="13"/>
        </w:numPr>
        <w:kinsoku/>
        <w:wordWrap/>
        <w:overflowPunct/>
        <w:topLinePunct w:val="0"/>
        <w:autoSpaceDE/>
        <w:autoSpaceDN/>
        <w:bidi w:val="0"/>
        <w:adjustRightInd/>
        <w:snapToGrid/>
        <w:ind w:left="0" w:leftChars="0" w:firstLine="0" w:firstLineChars="0"/>
        <w:textAlignment w:val="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bookmarkStart w:id="158" w:name="_Toc23847"/>
      <w:r>
        <w:rPr>
          <w:rFonts w:hint="eastAsia" w:ascii="宋体" w:hAnsi="宋体" w:cs="宋体"/>
          <w:color w:val="000000" w:themeColor="text1"/>
          <w14:textFill>
            <w14:solidFill>
              <w14:schemeClr w14:val="tx1"/>
            </w14:solidFill>
          </w14:textFill>
        </w:rPr>
        <w:t>响应文件格式</w:t>
      </w:r>
      <w:bookmarkEnd w:id="149"/>
      <w:bookmarkEnd w:id="150"/>
      <w:bookmarkEnd w:id="151"/>
      <w:bookmarkEnd w:id="152"/>
      <w:bookmarkEnd w:id="153"/>
      <w:bookmarkEnd w:id="154"/>
      <w:bookmarkEnd w:id="155"/>
      <w:bookmarkEnd w:id="156"/>
      <w:bookmarkEnd w:id="158"/>
    </w:p>
    <w:p w14:paraId="599101E6">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61A93B0B">
      <w:pPr>
        <w:widowControl/>
        <w:spacing w:line="440" w:lineRule="exact"/>
        <w:rPr>
          <w:rFonts w:hint="default" w:cs="仿宋" w:asciiTheme="minorEastAsia" w:hAnsiTheme="minorEastAsia" w:eastAsiaTheme="minorEastAsia"/>
          <w:bCs/>
          <w:sz w:val="32"/>
          <w:szCs w:val="32"/>
          <w:lang w:val="en-US"/>
        </w:rPr>
      </w:pPr>
      <w:r>
        <w:rPr>
          <w:rFonts w:hint="eastAsia" w:ascii="宋体" w:hAnsi="宋体" w:cs="宋体"/>
          <w:b/>
          <w:bCs/>
          <w:kern w:val="44"/>
          <w:sz w:val="32"/>
          <w:szCs w:val="32"/>
          <w:lang w:eastAsia="zh-CN"/>
        </w:rPr>
        <w:t>项目</w:t>
      </w:r>
      <w:r>
        <w:rPr>
          <w:rFonts w:hint="eastAsia" w:ascii="宋体" w:hAnsi="宋体" w:cs="宋体"/>
          <w:b/>
          <w:bCs/>
          <w:kern w:val="44"/>
          <w:sz w:val="32"/>
          <w:szCs w:val="32"/>
        </w:rPr>
        <w:t>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r>
        <w:rPr>
          <w:rFonts w:hint="eastAsia" w:cs="仿宋" w:asciiTheme="minorEastAsia" w:hAnsiTheme="minorEastAsia" w:eastAsiaTheme="minorEastAsia"/>
          <w:bCs/>
          <w:sz w:val="32"/>
          <w:szCs w:val="32"/>
          <w:lang w:val="en-US" w:eastAsia="zh-CN"/>
        </w:rPr>
        <w:t>AKSH2024-ZCS-095</w:t>
      </w:r>
    </w:p>
    <w:p w14:paraId="3E657748">
      <w:pPr>
        <w:widowControl/>
        <w:spacing w:line="600" w:lineRule="exact"/>
        <w:rPr>
          <w:rFonts w:cs="仿宋" w:asciiTheme="minorEastAsia" w:hAnsiTheme="minorEastAsia" w:eastAsiaTheme="minorEastAsia"/>
          <w:bCs/>
          <w:spacing w:val="20"/>
          <w:kern w:val="0"/>
          <w:sz w:val="84"/>
          <w:szCs w:val="84"/>
        </w:rPr>
      </w:pPr>
    </w:p>
    <w:p w14:paraId="65865A3C">
      <w:pPr>
        <w:pStyle w:val="5"/>
      </w:pPr>
    </w:p>
    <w:p w14:paraId="5927CC44">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C5CDB99">
      <w:pPr>
        <w:widowControl/>
        <w:spacing w:before="158" w:beforeLines="50" w:line="800" w:lineRule="exact"/>
        <w:jc w:val="center"/>
        <w:rPr>
          <w:rFonts w:hint="eastAsia" w:cs="仿宋" w:asciiTheme="minorEastAsia" w:hAnsiTheme="minorEastAsia" w:eastAsiaTheme="minorEastAsia"/>
          <w:b/>
          <w:spacing w:val="20"/>
          <w:kern w:val="0"/>
          <w:sz w:val="52"/>
          <w:szCs w:val="52"/>
          <w:lang w:val="en-US" w:eastAsia="zh-CN"/>
        </w:rPr>
      </w:pPr>
      <w:r>
        <w:rPr>
          <w:rFonts w:hint="eastAsia" w:cs="仿宋" w:asciiTheme="minorEastAsia" w:hAnsiTheme="minorEastAsia" w:eastAsiaTheme="minorEastAsia"/>
          <w:b/>
          <w:spacing w:val="20"/>
          <w:kern w:val="0"/>
          <w:sz w:val="52"/>
          <w:szCs w:val="52"/>
          <w:u w:val="single"/>
          <w:lang w:val="en-US" w:eastAsia="zh-CN"/>
        </w:rPr>
        <w:t xml:space="preserve">         </w:t>
      </w:r>
      <w:r>
        <w:rPr>
          <w:rFonts w:hint="eastAsia" w:cs="仿宋" w:asciiTheme="minorEastAsia" w:hAnsiTheme="minorEastAsia" w:eastAsiaTheme="minorEastAsia"/>
          <w:b/>
          <w:spacing w:val="20"/>
          <w:kern w:val="0"/>
          <w:sz w:val="52"/>
          <w:szCs w:val="52"/>
          <w:lang w:val="en-US" w:eastAsia="zh-CN"/>
        </w:rPr>
        <w:t xml:space="preserve">项目 </w:t>
      </w:r>
    </w:p>
    <w:p w14:paraId="1B9DB742">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76D073FC">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9852FBC">
      <w:pPr>
        <w:pStyle w:val="29"/>
      </w:pPr>
    </w:p>
    <w:p w14:paraId="12B72847">
      <w:pPr>
        <w:pStyle w:val="29"/>
      </w:pPr>
    </w:p>
    <w:p w14:paraId="443742EE">
      <w:pPr>
        <w:widowControl/>
        <w:spacing w:before="158"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2D11C751">
      <w:pPr>
        <w:pStyle w:val="29"/>
      </w:pPr>
    </w:p>
    <w:p w14:paraId="2C8B951A">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p>
    <w:p w14:paraId="3B48E8A4">
      <w:pPr>
        <w:widowControl/>
        <w:spacing w:line="400" w:lineRule="exact"/>
        <w:rPr>
          <w:rFonts w:cs="仿宋" w:asciiTheme="minorEastAsia" w:hAnsiTheme="minorEastAsia" w:eastAsiaTheme="minorEastAsia"/>
          <w:bCs/>
          <w:sz w:val="18"/>
          <w:szCs w:val="18"/>
        </w:rPr>
      </w:pPr>
    </w:p>
    <w:p w14:paraId="13DB574C">
      <w:pPr>
        <w:widowControl/>
        <w:spacing w:line="400" w:lineRule="exact"/>
        <w:rPr>
          <w:rFonts w:cs="仿宋" w:asciiTheme="minorEastAsia" w:hAnsiTheme="minorEastAsia" w:eastAsiaTheme="minorEastAsia"/>
          <w:bCs/>
          <w:sz w:val="18"/>
          <w:szCs w:val="18"/>
        </w:rPr>
      </w:pPr>
    </w:p>
    <w:p w14:paraId="459AE8F3">
      <w:pPr>
        <w:widowControl/>
        <w:spacing w:line="480" w:lineRule="auto"/>
        <w:rPr>
          <w:rFonts w:cs="仿宋" w:asciiTheme="minorEastAsia" w:hAnsiTheme="minorEastAsia" w:eastAsiaTheme="minorEastAsia"/>
          <w:bCs/>
          <w:sz w:val="36"/>
          <w:szCs w:val="36"/>
        </w:rPr>
      </w:pPr>
    </w:p>
    <w:p w14:paraId="0466A9B6">
      <w:pPr>
        <w:pStyle w:val="18"/>
      </w:pPr>
    </w:p>
    <w:p w14:paraId="58E20C2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33A41D94">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sz w:val="24"/>
          <w:szCs w:val="24"/>
        </w:rPr>
      </w:pPr>
      <w:r>
        <w:rPr>
          <w:rFonts w:hint="eastAsia" w:ascii="宋体" w:hAnsi="宋体" w:cs="宋体"/>
          <w:sz w:val="24"/>
          <w:szCs w:val="24"/>
          <w:lang w:val="zh-CN"/>
        </w:rPr>
        <w:t>法定代表人</w:t>
      </w:r>
      <w:r>
        <w:rPr>
          <w:rFonts w:hint="eastAsia" w:ascii="宋体" w:hAnsi="宋体" w:cs="宋体"/>
          <w:sz w:val="24"/>
          <w:szCs w:val="24"/>
          <w:lang w:val="en-US" w:eastAsia="zh-CN"/>
        </w:rPr>
        <w:t>或</w:t>
      </w:r>
      <w:r>
        <w:rPr>
          <w:rFonts w:hint="eastAsia" w:ascii="宋体" w:hAnsi="宋体" w:cs="宋体"/>
          <w:sz w:val="24"/>
          <w:szCs w:val="24"/>
          <w:lang w:val="zh-CN"/>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lang w:val="zh-CN"/>
        </w:rPr>
        <w:t>）：</w:t>
      </w:r>
      <w:r>
        <w:rPr>
          <w:rFonts w:hint="eastAsia" w:ascii="宋体" w:hAnsi="宋体" w:cs="宋体"/>
          <w:sz w:val="24"/>
          <w:szCs w:val="24"/>
        </w:rPr>
        <w:t>________________________</w:t>
      </w:r>
    </w:p>
    <w:p w14:paraId="254880E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w:t>
      </w:r>
      <w:bookmarkEnd w:id="0"/>
    </w:p>
    <w:p w14:paraId="4744FD44">
      <w:pPr>
        <w:pStyle w:val="73"/>
        <w:rPr>
          <w:rFonts w:hint="eastAsia" w:ascii="宋体" w:hAnsi="宋体" w:cs="宋体"/>
          <w:sz w:val="24"/>
          <w:szCs w:val="24"/>
        </w:rPr>
      </w:pPr>
    </w:p>
    <w:p w14:paraId="085425E2">
      <w:pPr>
        <w:pStyle w:val="73"/>
        <w:rPr>
          <w:rFonts w:hint="eastAsia" w:ascii="宋体" w:hAnsi="宋体" w:cs="宋体"/>
          <w:sz w:val="24"/>
          <w:szCs w:val="24"/>
        </w:rPr>
      </w:pPr>
    </w:p>
    <w:p w14:paraId="3A95A66E">
      <w:pPr>
        <w:pStyle w:val="29"/>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eastAsia="宋体"/>
          <w:sz w:val="48"/>
          <w:szCs w:val="44"/>
          <w:lang w:val="en-US" w:eastAsia="zh-CN"/>
        </w:rPr>
      </w:pPr>
      <w:r>
        <w:rPr>
          <w:rFonts w:hint="eastAsia" w:ascii="宋体" w:hAnsi="宋体"/>
          <w:sz w:val="48"/>
          <w:szCs w:val="44"/>
          <w:lang w:val="en-US" w:eastAsia="zh-CN"/>
        </w:rPr>
        <w:t>目   录</w:t>
      </w:r>
    </w:p>
    <w:p w14:paraId="4CED17AA">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sz w:val="32"/>
          <w:szCs w:val="28"/>
        </w:rPr>
      </w:pPr>
    </w:p>
    <w:p w14:paraId="40899523">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第一章 </w:t>
      </w:r>
      <w:r>
        <w:rPr>
          <w:rFonts w:ascii="宋体" w:hAnsi="宋体"/>
          <w:sz w:val="32"/>
          <w:szCs w:val="28"/>
        </w:rPr>
        <w:t xml:space="preserve">  </w:t>
      </w:r>
      <w:r>
        <w:rPr>
          <w:rFonts w:hint="eastAsia" w:ascii="宋体" w:hAnsi="宋体"/>
          <w:sz w:val="32"/>
          <w:szCs w:val="28"/>
        </w:rPr>
        <w:t>磋商响应函</w:t>
      </w:r>
    </w:p>
    <w:p w14:paraId="77C69E28">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第二章 </w:t>
      </w:r>
      <w:r>
        <w:rPr>
          <w:rFonts w:ascii="宋体" w:hAnsi="宋体"/>
          <w:sz w:val="32"/>
          <w:szCs w:val="28"/>
        </w:rPr>
        <w:t xml:space="preserve">  </w:t>
      </w:r>
      <w:r>
        <w:rPr>
          <w:rFonts w:hint="eastAsia" w:ascii="宋体" w:hAnsi="宋体"/>
          <w:sz w:val="32"/>
          <w:szCs w:val="28"/>
        </w:rPr>
        <w:t>响应报价表</w:t>
      </w:r>
    </w:p>
    <w:p w14:paraId="412845C7">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第三章  </w:t>
      </w:r>
      <w:r>
        <w:rPr>
          <w:rFonts w:ascii="宋体" w:hAnsi="宋体"/>
          <w:sz w:val="32"/>
          <w:szCs w:val="28"/>
        </w:rPr>
        <w:t xml:space="preserve"> </w:t>
      </w:r>
      <w:r>
        <w:rPr>
          <w:rFonts w:hint="eastAsia" w:ascii="宋体" w:hAnsi="宋体"/>
          <w:sz w:val="32"/>
          <w:szCs w:val="28"/>
        </w:rPr>
        <w:t>资格证明文件</w:t>
      </w:r>
    </w:p>
    <w:p w14:paraId="67BE46C0">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第四章   技术商务偏离表</w:t>
      </w:r>
    </w:p>
    <w:p w14:paraId="50A8AA10">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第五章   </w:t>
      </w:r>
      <w:r>
        <w:rPr>
          <w:rFonts w:hint="eastAsia" w:ascii="宋体" w:hAnsi="宋体"/>
          <w:sz w:val="32"/>
          <w:szCs w:val="28"/>
          <w:lang w:val="en-US" w:eastAsia="zh-CN"/>
        </w:rPr>
        <w:t>响应</w:t>
      </w:r>
      <w:r>
        <w:rPr>
          <w:rFonts w:hint="eastAsia" w:ascii="宋体" w:hAnsi="宋体"/>
          <w:sz w:val="32"/>
          <w:szCs w:val="28"/>
        </w:rPr>
        <w:t>方案</w:t>
      </w:r>
    </w:p>
    <w:p w14:paraId="1A36E7B1">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第</w:t>
      </w:r>
      <w:r>
        <w:rPr>
          <w:rFonts w:hint="eastAsia" w:ascii="宋体" w:hAnsi="宋体"/>
          <w:sz w:val="32"/>
          <w:szCs w:val="28"/>
          <w:lang w:eastAsia="zh-CN"/>
        </w:rPr>
        <w:t>六</w:t>
      </w:r>
      <w:r>
        <w:rPr>
          <w:rFonts w:hint="eastAsia" w:ascii="宋体" w:hAnsi="宋体"/>
          <w:sz w:val="32"/>
          <w:szCs w:val="28"/>
        </w:rPr>
        <w:t>章   投标人拒绝政府采购领域商业贿赂承诺书</w:t>
      </w:r>
    </w:p>
    <w:p w14:paraId="2633B98F">
      <w:pPr>
        <w:keepNext w:val="0"/>
        <w:keepLines w:val="0"/>
        <w:pageBreakBefore w:val="0"/>
        <w:widowControl w:val="0"/>
        <w:kinsoku/>
        <w:wordWrap/>
        <w:overflowPunct/>
        <w:topLinePunct w:val="0"/>
        <w:autoSpaceDE/>
        <w:autoSpaceDN/>
        <w:bidi w:val="0"/>
        <w:adjustRightInd/>
        <w:snapToGrid/>
        <w:spacing w:line="600" w:lineRule="exact"/>
        <w:ind w:firstLine="1044" w:firstLineChars="290"/>
        <w:textAlignment w:val="auto"/>
        <w:rPr>
          <w:rFonts w:ascii="Times New Roman" w:hAnsi="宋体" w:cs="Times New Roman"/>
          <w:b w:val="0"/>
          <w:bCs/>
          <w:sz w:val="36"/>
          <w:szCs w:val="36"/>
        </w:rPr>
      </w:pPr>
    </w:p>
    <w:p w14:paraId="7FD30BF8">
      <w:pPr>
        <w:pStyle w:val="29"/>
        <w:spacing w:line="360" w:lineRule="auto"/>
        <w:ind w:left="1155" w:leftChars="550"/>
        <w:rPr>
          <w:rFonts w:ascii="宋体" w:hAnsi="宋体"/>
          <w:sz w:val="32"/>
          <w:szCs w:val="28"/>
        </w:rPr>
      </w:pPr>
    </w:p>
    <w:p w14:paraId="12073045">
      <w:pPr>
        <w:pStyle w:val="29"/>
        <w:spacing w:line="480" w:lineRule="auto"/>
        <w:ind w:left="945" w:leftChars="450"/>
      </w:pPr>
      <w:r>
        <w:rPr>
          <w:rFonts w:hint="eastAsia"/>
          <w:sz w:val="30"/>
          <w:szCs w:val="30"/>
        </w:rPr>
        <w:tab/>
      </w:r>
    </w:p>
    <w:p w14:paraId="76A5430C">
      <w:pPr>
        <w:widowControl/>
        <w:jc w:val="left"/>
        <w:rPr>
          <w:rFonts w:hAnsi="宋体"/>
          <w:b/>
          <w:sz w:val="32"/>
          <w:szCs w:val="32"/>
        </w:rPr>
      </w:pPr>
      <w:bookmarkStart w:id="159" w:name="_Toc536429343"/>
      <w:bookmarkStart w:id="160" w:name="_Toc536429396"/>
      <w:bookmarkStart w:id="161" w:name="_Toc25514"/>
      <w:bookmarkStart w:id="162" w:name="_Toc536202403"/>
      <w:bookmarkStart w:id="163" w:name="_Toc536202334"/>
      <w:r>
        <w:rPr>
          <w:rFonts w:hAnsi="宋体"/>
          <w:b/>
          <w:sz w:val="32"/>
          <w:szCs w:val="32"/>
        </w:rPr>
        <w:br w:type="page"/>
      </w:r>
    </w:p>
    <w:p w14:paraId="3A8E1432">
      <w:pPr>
        <w:autoSpaceDE w:val="0"/>
        <w:autoSpaceDN w:val="0"/>
        <w:adjustRightInd w:val="0"/>
        <w:snapToGrid w:val="0"/>
        <w:spacing w:line="600" w:lineRule="exact"/>
        <w:ind w:firstLine="3213" w:firstLineChars="1000"/>
        <w:rPr>
          <w:rFonts w:hAnsi="宋体"/>
          <w:b/>
          <w:sz w:val="32"/>
          <w:szCs w:val="32"/>
        </w:rPr>
      </w:pPr>
      <w:r>
        <w:rPr>
          <w:rFonts w:hint="eastAsia" w:hAnsi="宋体"/>
          <w:b/>
          <w:sz w:val="32"/>
          <w:szCs w:val="32"/>
          <w:lang w:val="en-US" w:eastAsia="zh-CN"/>
        </w:rPr>
        <w:t xml:space="preserve">第一章 </w:t>
      </w:r>
      <w:r>
        <w:rPr>
          <w:rFonts w:hint="eastAsia" w:hAnsi="宋体"/>
          <w:b/>
          <w:sz w:val="32"/>
          <w:szCs w:val="32"/>
        </w:rPr>
        <w:t>磋商响应函</w:t>
      </w:r>
    </w:p>
    <w:p w14:paraId="477C3F0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sz w:val="24"/>
          <w:szCs w:val="24"/>
        </w:rPr>
      </w:pPr>
      <w:r>
        <w:rPr>
          <w:rFonts w:hint="eastAsia" w:ascii="宋体" w:hAnsi="宋体" w:cs="宋体"/>
          <w:sz w:val="24"/>
          <w:szCs w:val="24"/>
        </w:rPr>
        <w:t>安康尚昊招标代理有限公司：</w:t>
      </w:r>
    </w:p>
    <w:p w14:paraId="3952F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sz w:val="24"/>
          <w:szCs w:val="24"/>
        </w:rPr>
        <w:t>我单位收到贵公司</w:t>
      </w:r>
      <w:r>
        <w:rPr>
          <w:rFonts w:ascii="宋体" w:hAnsi="宋体" w:cs="宋体"/>
          <w:sz w:val="24"/>
          <w:szCs w:val="24"/>
          <w:u w:val="single"/>
        </w:rPr>
        <w:t xml:space="preserve">  </w:t>
      </w:r>
      <w:r>
        <w:rPr>
          <w:rFonts w:hint="eastAsia" w:ascii="宋体" w:hAnsi="宋体"/>
          <w:sz w:val="24"/>
          <w:szCs w:val="24"/>
          <w:u w:val="single"/>
        </w:rPr>
        <w:t>（项目名称） （项目编号）</w:t>
      </w:r>
      <w:r>
        <w:rPr>
          <w:rFonts w:ascii="宋体" w:hAnsi="宋体" w:cs="宋体"/>
          <w:sz w:val="24"/>
          <w:szCs w:val="24"/>
          <w:u w:val="single"/>
        </w:rPr>
        <w:t xml:space="preserve">     </w:t>
      </w:r>
      <w:r>
        <w:rPr>
          <w:rFonts w:hint="eastAsia" w:ascii="宋体" w:hAnsi="宋体" w:cs="宋体"/>
          <w:sz w:val="24"/>
          <w:szCs w:val="24"/>
        </w:rPr>
        <w:t>的竞争性磋商文件，经详细研究，我公司决定参加本次磋商活动。为此，我方郑重承诺以下诸点，并负法律责任。</w:t>
      </w:r>
    </w:p>
    <w:p w14:paraId="1ABC4C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ascii="宋体" w:hAnsi="宋体" w:cs="宋体"/>
          <w:sz w:val="24"/>
          <w:szCs w:val="24"/>
        </w:rPr>
        <w:t>1</w:t>
      </w:r>
      <w:r>
        <w:rPr>
          <w:rFonts w:hint="eastAsia" w:ascii="宋体" w:hAnsi="宋体" w:cs="宋体"/>
          <w:sz w:val="24"/>
          <w:szCs w:val="24"/>
        </w:rPr>
        <w:t>、愿意按照竞争性磋商文件中的全部要求，提供合格的产品及完善的技术服务，履行合同的责任和义务。</w:t>
      </w:r>
    </w:p>
    <w:p w14:paraId="2350B4B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sz w:val="24"/>
          <w:szCs w:val="24"/>
        </w:rPr>
      </w:pPr>
      <w:r>
        <w:rPr>
          <w:rFonts w:ascii="宋体" w:hAnsi="宋体" w:cs="宋体"/>
          <w:sz w:val="24"/>
          <w:szCs w:val="24"/>
        </w:rPr>
        <w:t>2</w:t>
      </w:r>
      <w:r>
        <w:rPr>
          <w:rFonts w:hint="eastAsia" w:ascii="宋体" w:hAnsi="宋体" w:cs="宋体"/>
          <w:sz w:val="24"/>
          <w:szCs w:val="24"/>
        </w:rPr>
        <w:t>、按照竞争性磋商文件的规定，我公司的响应总报价为：</w:t>
      </w:r>
    </w:p>
    <w:p w14:paraId="0053D4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人民币（大写）：______________元；（小写）￥：______元；</w:t>
      </w:r>
    </w:p>
    <w:p w14:paraId="55B0F1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3</w:t>
      </w:r>
      <w:r>
        <w:rPr>
          <w:rFonts w:hint="eastAsia" w:ascii="宋体" w:hAnsi="宋体" w:cs="宋体"/>
          <w:sz w:val="24"/>
          <w:szCs w:val="24"/>
        </w:rPr>
        <w:t>、我们已详细阅读了竞争性磋商文件，完全理解并同意放弃提出含糊不清和误解问题的权力。</w:t>
      </w:r>
    </w:p>
    <w:p w14:paraId="112448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4</w:t>
      </w:r>
      <w:r>
        <w:rPr>
          <w:rFonts w:hint="eastAsia" w:ascii="宋体" w:hAnsi="宋体" w:cs="宋体"/>
          <w:sz w:val="24"/>
          <w:szCs w:val="24"/>
        </w:rPr>
        <w:t>、如果我方在磋商后到规定的响应有效期内撤回响应文件及承诺，我们的保证金将被对方没收。</w:t>
      </w:r>
    </w:p>
    <w:p w14:paraId="6C610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5</w:t>
      </w:r>
      <w:r>
        <w:rPr>
          <w:rFonts w:hint="eastAsia" w:ascii="宋体" w:hAnsi="宋体" w:cs="宋体"/>
          <w:sz w:val="24"/>
          <w:szCs w:val="24"/>
        </w:rPr>
        <w:t>、同意向贵方提供贵方可能要求的、与本次磋商有关的任何证据资料。</w:t>
      </w:r>
    </w:p>
    <w:p w14:paraId="3F65C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6</w:t>
      </w:r>
      <w:r>
        <w:rPr>
          <w:rFonts w:hint="eastAsia" w:ascii="宋体" w:hAnsi="宋体" w:cs="宋体"/>
          <w:sz w:val="24"/>
          <w:szCs w:val="24"/>
        </w:rPr>
        <w:t>、我方承诺响应有效期为磋商后______日历日内有效。</w:t>
      </w:r>
    </w:p>
    <w:p w14:paraId="713EC7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7</w:t>
      </w:r>
      <w:r>
        <w:rPr>
          <w:rFonts w:hint="eastAsia" w:ascii="宋体" w:hAnsi="宋体" w:cs="宋体"/>
          <w:sz w:val="24"/>
          <w:szCs w:val="24"/>
        </w:rPr>
        <w:t>、所有关于本次磋商的函电，请按下列地址联系：</w:t>
      </w:r>
    </w:p>
    <w:p w14:paraId="1529C2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rPr>
      </w:pPr>
    </w:p>
    <w:p w14:paraId="20DCFC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供应商（单位名称及公章）：__________</w:t>
      </w:r>
      <w:r>
        <w:rPr>
          <w:rFonts w:hint="eastAsia" w:ascii="宋体" w:hAnsi="宋体" w:cs="宋体"/>
          <w:sz w:val="24"/>
          <w:szCs w:val="24"/>
          <w:u w:val="none"/>
        </w:rPr>
        <w:t>____________</w:t>
      </w:r>
      <w:r>
        <w:rPr>
          <w:rFonts w:hint="eastAsia" w:ascii="宋体" w:hAnsi="宋体" w:cs="宋体"/>
          <w:sz w:val="24"/>
          <w:szCs w:val="24"/>
        </w:rPr>
        <w:t>____</w:t>
      </w:r>
    </w:p>
    <w:p w14:paraId="369BC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w:t>
      </w:r>
    </w:p>
    <w:p w14:paraId="2C915E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08FB1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开户银行：___________________________________</w:t>
      </w:r>
    </w:p>
    <w:p w14:paraId="33E07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617360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6311B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1D314F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74584969">
      <w:pPr>
        <w:autoSpaceDE w:val="0"/>
        <w:autoSpaceDN w:val="0"/>
        <w:adjustRightInd w:val="0"/>
        <w:snapToGrid w:val="0"/>
        <w:spacing w:line="360" w:lineRule="auto"/>
        <w:jc w:val="center"/>
        <w:rPr>
          <w:b/>
          <w:sz w:val="24"/>
        </w:rPr>
      </w:pPr>
      <w:r>
        <w:rPr>
          <w:rFonts w:hint="eastAsia" w:hAnsi="宋体"/>
          <w:b/>
          <w:sz w:val="32"/>
          <w:szCs w:val="32"/>
          <w:lang w:val="en-US" w:eastAsia="zh-CN"/>
        </w:rPr>
        <w:t>第二章 响应</w:t>
      </w:r>
      <w:r>
        <w:rPr>
          <w:rFonts w:hint="eastAsia" w:hAnsi="宋体"/>
          <w:b/>
          <w:sz w:val="32"/>
          <w:szCs w:val="32"/>
        </w:rPr>
        <w:t>报价表</w:t>
      </w:r>
    </w:p>
    <w:p w14:paraId="1C21EA0C">
      <w:pPr>
        <w:autoSpaceDE w:val="0"/>
        <w:autoSpaceDN w:val="0"/>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14:paraId="52A017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0D225F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cs="Times New Roman" w:eastAsiaTheme="minorEastAsia"/>
          <w:sz w:val="24"/>
          <w:szCs w:val="24"/>
          <w:lang w:val="en-US" w:eastAsia="zh-CN"/>
        </w:rPr>
      </w:pPr>
      <w:r>
        <w:rPr>
          <w:rFonts w:hint="eastAsia" w:ascii="宋体" w:hAnsi="宋体" w:eastAsia="宋体" w:cs="宋体"/>
          <w:sz w:val="24"/>
          <w:szCs w:val="24"/>
        </w:rPr>
        <w:t xml:space="preserve">项目名称：  </w:t>
      </w: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u w:val="none"/>
        </w:rPr>
        <w:t xml:space="preserve"> </w:t>
      </w:r>
      <w:r>
        <w:rPr>
          <w:rFonts w:hint="eastAsia" w:cs="Times New Roman" w:asciiTheme="minorEastAsia" w:hAnsiTheme="minorEastAsia" w:eastAsiaTheme="minorEastAsia"/>
          <w:sz w:val="28"/>
          <w:szCs w:val="28"/>
        </w:rPr>
        <w:t xml:space="preserve">    </w:t>
      </w:r>
    </w:p>
    <w:tbl>
      <w:tblPr>
        <w:tblStyle w:val="46"/>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450"/>
        <w:gridCol w:w="2156"/>
        <w:gridCol w:w="2387"/>
      </w:tblGrid>
      <w:tr w14:paraId="594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845" w:type="dxa"/>
            <w:tcBorders>
              <w:tl2br w:val="single" w:color="auto" w:sz="4" w:space="0"/>
            </w:tcBorders>
          </w:tcPr>
          <w:p w14:paraId="069D61D3">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47CF473D">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7B5F65F6">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41069F1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5F4A26EE">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2450" w:type="dxa"/>
            <w:vAlign w:val="center"/>
          </w:tcPr>
          <w:p w14:paraId="13C8C452">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2E633325">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2156" w:type="dxa"/>
            <w:vAlign w:val="center"/>
          </w:tcPr>
          <w:p w14:paraId="77198D60">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合同履行期</w:t>
            </w:r>
          </w:p>
        </w:tc>
        <w:tc>
          <w:tcPr>
            <w:tcW w:w="2387" w:type="dxa"/>
            <w:vAlign w:val="center"/>
          </w:tcPr>
          <w:p w14:paraId="13231F7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r>
              <w:rPr>
                <w:rFonts w:hint="eastAsia" w:ascii="宋体" w:hAnsi="宋体" w:cs="Times New Roman"/>
                <w:sz w:val="24"/>
                <w:szCs w:val="24"/>
              </w:rPr>
              <w:t>备注</w:t>
            </w:r>
          </w:p>
          <w:p w14:paraId="72127529">
            <w:pPr>
              <w:keepNext w:val="0"/>
              <w:keepLines w:val="0"/>
              <w:suppressLineNumbers w:val="0"/>
              <w:kinsoku w:val="0"/>
              <w:spacing w:before="0" w:beforeAutospacing="0" w:after="0" w:afterAutospacing="0" w:line="500" w:lineRule="exact"/>
              <w:ind w:left="0" w:right="0"/>
              <w:jc w:val="center"/>
              <w:rPr>
                <w:rFonts w:hint="eastAsia" w:ascii="宋体" w:hAnsi="宋体" w:cs="Times New Roman"/>
                <w:sz w:val="24"/>
                <w:szCs w:val="24"/>
              </w:rPr>
            </w:pPr>
            <w:r>
              <w:rPr>
                <w:rFonts w:hint="eastAsia" w:ascii="宋体" w:hAnsi="宋体" w:cs="Times New Roman"/>
                <w:sz w:val="24"/>
                <w:szCs w:val="24"/>
              </w:rPr>
              <w:t>（小型、微型企业）</w:t>
            </w:r>
          </w:p>
        </w:tc>
      </w:tr>
      <w:tr w14:paraId="3810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6CFF8B1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450" w:type="dxa"/>
            <w:vAlign w:val="center"/>
          </w:tcPr>
          <w:p w14:paraId="570DFCA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2156" w:type="dxa"/>
            <w:vAlign w:val="center"/>
          </w:tcPr>
          <w:p w14:paraId="79EB412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387" w:type="dxa"/>
            <w:vAlign w:val="center"/>
          </w:tcPr>
          <w:p w14:paraId="62552FBE">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3976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838" w:type="dxa"/>
            <w:gridSpan w:val="4"/>
            <w:vAlign w:val="center"/>
          </w:tcPr>
          <w:p w14:paraId="66AEBA5C">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723B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38" w:type="dxa"/>
            <w:gridSpan w:val="4"/>
            <w:vAlign w:val="center"/>
          </w:tcPr>
          <w:p w14:paraId="3FB4E57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54163544">
      <w:pPr>
        <w:spacing w:line="360" w:lineRule="auto"/>
        <w:jc w:val="left"/>
        <w:rPr>
          <w:rFonts w:hint="eastAsia" w:ascii="宋体" w:hAnsi="宋体" w:cs="仿宋"/>
          <w:sz w:val="24"/>
          <w:szCs w:val="24"/>
        </w:rPr>
      </w:pPr>
    </w:p>
    <w:p w14:paraId="1AC186A8">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6CA559F0">
      <w:pPr>
        <w:spacing w:line="360" w:lineRule="auto"/>
        <w:ind w:firstLine="360" w:firstLineChars="150"/>
        <w:jc w:val="left"/>
        <w:rPr>
          <w:rFonts w:hint="eastAsia" w:ascii="宋体" w:hAnsi="宋体" w:eastAsia="宋体" w:cs="仿宋"/>
          <w:sz w:val="24"/>
          <w:szCs w:val="24"/>
          <w:lang w:eastAsia="zh-CN"/>
        </w:rPr>
      </w:pPr>
      <w:r>
        <w:rPr>
          <w:rFonts w:hint="eastAsia" w:ascii="宋体" w:hAnsi="宋体" w:cs="仿宋"/>
          <w:sz w:val="24"/>
          <w:szCs w:val="24"/>
        </w:rPr>
        <w:t>投标人所报的价格应考虑到可能发生的所有与完成本项目相关服务及履行合同义务有关的一切费用。</w:t>
      </w:r>
    </w:p>
    <w:p w14:paraId="072AF1DE">
      <w:pPr>
        <w:kinsoku w:val="0"/>
        <w:spacing w:line="360" w:lineRule="auto"/>
        <w:jc w:val="left"/>
        <w:rPr>
          <w:rFonts w:ascii="宋体" w:cs="Times New Roman"/>
          <w:sz w:val="24"/>
          <w:szCs w:val="24"/>
        </w:rPr>
      </w:pPr>
    </w:p>
    <w:p w14:paraId="68DDC03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4F8E7F10">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0BF8B098">
      <w:pPr>
        <w:adjustRightInd w:val="0"/>
        <w:snapToGrid w:val="0"/>
        <w:spacing w:line="480" w:lineRule="auto"/>
        <w:rPr>
          <w:rFonts w:hint="eastAsia" w:ascii="宋体" w:hAnsi="宋体" w:cs="宋体"/>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049F194B">
      <w:pPr>
        <w:spacing w:line="500" w:lineRule="exact"/>
        <w:jc w:val="center"/>
        <w:rPr>
          <w:rFonts w:hint="eastAsia" w:ascii="Calibri Light" w:hAnsi="Calibri Light" w:eastAsia="宋体" w:cs="Times New Roman"/>
          <w:b/>
          <w:bCs/>
          <w:kern w:val="2"/>
          <w:sz w:val="32"/>
          <w:szCs w:val="32"/>
          <w:highlight w:val="none"/>
          <w:lang w:val="en-US" w:eastAsia="zh-CN" w:bidi="ar-SA"/>
        </w:rPr>
      </w:pPr>
      <w:r>
        <w:rPr>
          <w:rFonts w:hint="eastAsia" w:ascii="Calibri Light" w:hAnsi="Calibri Light" w:eastAsia="宋体" w:cs="Times New Roman"/>
          <w:b/>
          <w:bCs/>
          <w:kern w:val="2"/>
          <w:sz w:val="32"/>
          <w:szCs w:val="32"/>
          <w:highlight w:val="none"/>
          <w:lang w:val="en-US" w:eastAsia="zh-CN" w:bidi="ar-SA"/>
        </w:rPr>
        <w:t>投标分项报价表</w:t>
      </w:r>
    </w:p>
    <w:p w14:paraId="0837AB16">
      <w:pPr>
        <w:tabs>
          <w:tab w:val="right" w:pos="8435"/>
        </w:tabs>
        <w:ind w:firstLine="280" w:firstLineChars="100"/>
        <w:rPr>
          <w:rFonts w:hint="eastAsia" w:ascii="宋体" w:hAnsi="宋体" w:eastAsia="宋体" w:cs="Times New Roman"/>
          <w:sz w:val="28"/>
          <w:szCs w:val="28"/>
          <w:lang w:val="en-US" w:eastAsia="zh-CN"/>
        </w:rPr>
      </w:pPr>
      <w:r>
        <w:rPr>
          <w:rFonts w:hint="eastAsia" w:ascii="宋体" w:hAnsi="宋体" w:eastAsia="宋体" w:cs="Times New Roman"/>
          <w:sz w:val="28"/>
          <w:szCs w:val="28"/>
        </w:rPr>
        <w:t>供应商名称：</w:t>
      </w:r>
      <w:r>
        <w:rPr>
          <w:rFonts w:hint="eastAsia" w:ascii="宋体" w:hAnsi="宋体" w:eastAsia="宋体" w:cs="Times New Roman"/>
          <w:sz w:val="28"/>
          <w:szCs w:val="28"/>
        </w:rPr>
        <w:tab/>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rPr>
        <w:t>金额单位：人民币 （元</w:t>
      </w:r>
      <w:r>
        <w:rPr>
          <w:rFonts w:hint="default" w:ascii="宋体" w:hAnsi="宋体" w:eastAsia="宋体" w:cs="Times New Roman"/>
          <w:sz w:val="28"/>
          <w:szCs w:val="28"/>
        </w:rPr>
        <w:t>）</w:t>
      </w:r>
      <w:r>
        <w:rPr>
          <w:rFonts w:hint="eastAsia" w:ascii="宋体" w:hAnsi="宋体" w:cs="Times New Roman"/>
          <w:sz w:val="28"/>
          <w:szCs w:val="28"/>
          <w:lang w:val="en-US" w:eastAsia="zh-CN"/>
        </w:rPr>
        <w:t xml:space="preserve"> </w:t>
      </w:r>
    </w:p>
    <w:tbl>
      <w:tblPr>
        <w:tblStyle w:val="46"/>
        <w:tblW w:w="4926"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99"/>
        <w:gridCol w:w="2040"/>
        <w:gridCol w:w="1243"/>
        <w:gridCol w:w="1243"/>
        <w:gridCol w:w="1243"/>
        <w:gridCol w:w="452"/>
        <w:gridCol w:w="2318"/>
      </w:tblGrid>
      <w:tr w14:paraId="2EFB94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7" w:hRule="atLeast"/>
        </w:trPr>
        <w:tc>
          <w:tcPr>
            <w:tcW w:w="328" w:type="pct"/>
            <w:vAlign w:val="center"/>
          </w:tcPr>
          <w:p w14:paraId="77C8715F">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序号</w:t>
            </w:r>
          </w:p>
        </w:tc>
        <w:tc>
          <w:tcPr>
            <w:tcW w:w="1116" w:type="pct"/>
            <w:vAlign w:val="center"/>
          </w:tcPr>
          <w:p w14:paraId="255AFA43">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服务内容</w:t>
            </w:r>
          </w:p>
        </w:tc>
        <w:tc>
          <w:tcPr>
            <w:tcW w:w="680" w:type="pct"/>
            <w:vAlign w:val="center"/>
          </w:tcPr>
          <w:p w14:paraId="4530F67D">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数量</w:t>
            </w:r>
          </w:p>
        </w:tc>
        <w:tc>
          <w:tcPr>
            <w:tcW w:w="680" w:type="pct"/>
            <w:vAlign w:val="center"/>
          </w:tcPr>
          <w:p w14:paraId="752D074D">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单价</w:t>
            </w:r>
          </w:p>
        </w:tc>
        <w:tc>
          <w:tcPr>
            <w:tcW w:w="680" w:type="pct"/>
            <w:vAlign w:val="center"/>
          </w:tcPr>
          <w:p w14:paraId="1BA98B7D">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总价</w:t>
            </w:r>
          </w:p>
        </w:tc>
        <w:tc>
          <w:tcPr>
            <w:tcW w:w="1514" w:type="pct"/>
            <w:gridSpan w:val="2"/>
            <w:vAlign w:val="center"/>
          </w:tcPr>
          <w:p w14:paraId="3B7EC79A">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p>
          <w:p w14:paraId="35E30AC5">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备注</w:t>
            </w:r>
          </w:p>
          <w:p w14:paraId="15FD0903">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p>
        </w:tc>
      </w:tr>
      <w:tr w14:paraId="48B0FA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8" w:type="pct"/>
            <w:vAlign w:val="center"/>
          </w:tcPr>
          <w:p w14:paraId="7D121FB6">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1</w:t>
            </w:r>
          </w:p>
        </w:tc>
        <w:tc>
          <w:tcPr>
            <w:tcW w:w="1116" w:type="pct"/>
            <w:vAlign w:val="center"/>
          </w:tcPr>
          <w:p w14:paraId="4DAABC67">
            <w:pPr>
              <w:pStyle w:val="72"/>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1E71A62F">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1AB9D60E">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4FE08FFB">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63AA1921">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0C9C67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8" w:type="pct"/>
            <w:vAlign w:val="center"/>
          </w:tcPr>
          <w:p w14:paraId="3AAD070A">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2</w:t>
            </w:r>
          </w:p>
        </w:tc>
        <w:tc>
          <w:tcPr>
            <w:tcW w:w="1116" w:type="pct"/>
            <w:vAlign w:val="center"/>
          </w:tcPr>
          <w:p w14:paraId="5D4D3B26">
            <w:pPr>
              <w:pStyle w:val="72"/>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1FF7E334">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E62A6C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1D6C90A">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3CC7D8AF">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0288A0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8" w:type="pct"/>
            <w:vAlign w:val="center"/>
          </w:tcPr>
          <w:p w14:paraId="136ED935">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3</w:t>
            </w:r>
          </w:p>
        </w:tc>
        <w:tc>
          <w:tcPr>
            <w:tcW w:w="1116" w:type="pct"/>
            <w:vAlign w:val="center"/>
          </w:tcPr>
          <w:p w14:paraId="49CC3B79">
            <w:pPr>
              <w:pStyle w:val="72"/>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3228EFE4">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788A320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BF66810">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0CBF4275">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3B749C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8" w:type="pct"/>
            <w:vAlign w:val="center"/>
          </w:tcPr>
          <w:p w14:paraId="6033BEEF">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4</w:t>
            </w:r>
          </w:p>
        </w:tc>
        <w:tc>
          <w:tcPr>
            <w:tcW w:w="1116" w:type="pct"/>
            <w:vAlign w:val="center"/>
          </w:tcPr>
          <w:p w14:paraId="2ECD8591">
            <w:pPr>
              <w:pStyle w:val="72"/>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14CD1E6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45A213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75E815D1">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77C1E0C6">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6879C7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8" w:type="pct"/>
            <w:vAlign w:val="center"/>
          </w:tcPr>
          <w:p w14:paraId="72FED139">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5</w:t>
            </w:r>
          </w:p>
        </w:tc>
        <w:tc>
          <w:tcPr>
            <w:tcW w:w="1116" w:type="pct"/>
            <w:vAlign w:val="center"/>
          </w:tcPr>
          <w:p w14:paraId="5D05B1D4">
            <w:pPr>
              <w:pStyle w:val="72"/>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2995928E">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7FAE29F8">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199CF42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319A5782">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07AC0C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8" w:type="pct"/>
            <w:vAlign w:val="center"/>
          </w:tcPr>
          <w:p w14:paraId="538E0830">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6</w:t>
            </w:r>
          </w:p>
        </w:tc>
        <w:tc>
          <w:tcPr>
            <w:tcW w:w="1116" w:type="pct"/>
            <w:vAlign w:val="center"/>
          </w:tcPr>
          <w:p w14:paraId="02404D32">
            <w:pPr>
              <w:pStyle w:val="72"/>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3D75B1AE">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4D019AFC">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14C3F76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32849E0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67E945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328" w:type="pct"/>
            <w:vAlign w:val="center"/>
          </w:tcPr>
          <w:p w14:paraId="3E92CCF9">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7</w:t>
            </w:r>
          </w:p>
        </w:tc>
        <w:tc>
          <w:tcPr>
            <w:tcW w:w="1116" w:type="pct"/>
            <w:vAlign w:val="center"/>
          </w:tcPr>
          <w:p w14:paraId="20FDE806">
            <w:pPr>
              <w:keepNext w:val="0"/>
              <w:keepLines w:val="0"/>
              <w:suppressLineNumbers w:val="0"/>
              <w:spacing w:before="0" w:beforeAutospacing="0" w:after="0" w:afterAutospacing="0"/>
              <w:ind w:left="0" w:right="0"/>
              <w:jc w:val="center"/>
              <w:rPr>
                <w:rFonts w:hint="default" w:ascii="宋体" w:hAnsi="宋体" w:eastAsia="宋体" w:cs="Times New Roman"/>
                <w:sz w:val="28"/>
                <w:szCs w:val="28"/>
                <w:lang w:val="en-US" w:eastAsia="zh-CN"/>
              </w:rPr>
            </w:pPr>
          </w:p>
        </w:tc>
        <w:tc>
          <w:tcPr>
            <w:tcW w:w="680" w:type="pct"/>
            <w:vAlign w:val="center"/>
          </w:tcPr>
          <w:p w14:paraId="2892D4BB">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396C9DBA">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61A3F4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78CF23EE">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339818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328" w:type="pct"/>
            <w:vAlign w:val="center"/>
          </w:tcPr>
          <w:p w14:paraId="1468857C">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8</w:t>
            </w:r>
          </w:p>
        </w:tc>
        <w:tc>
          <w:tcPr>
            <w:tcW w:w="1116" w:type="pct"/>
            <w:vAlign w:val="center"/>
          </w:tcPr>
          <w:p w14:paraId="10D75611">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c>
          <w:tcPr>
            <w:tcW w:w="680" w:type="pct"/>
            <w:vAlign w:val="center"/>
          </w:tcPr>
          <w:p w14:paraId="72B4B3C5">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10CACC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16B3D3FE">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2BDFC53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1BAEB3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328" w:type="pct"/>
            <w:vAlign w:val="center"/>
          </w:tcPr>
          <w:p w14:paraId="32DB0707">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116" w:type="pct"/>
            <w:vAlign w:val="center"/>
          </w:tcPr>
          <w:p w14:paraId="3E1D7AA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1E805BF2">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6C52E8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7424ACD7">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4" w:type="pct"/>
            <w:gridSpan w:val="2"/>
            <w:vAlign w:val="center"/>
          </w:tcPr>
          <w:p w14:paraId="45A4ACA6">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09A6DD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3731" w:type="pct"/>
            <w:gridSpan w:val="6"/>
            <w:vAlign w:val="center"/>
          </w:tcPr>
          <w:p w14:paraId="1051820C">
            <w:pPr>
              <w:keepNext w:val="0"/>
              <w:keepLines w:val="0"/>
              <w:suppressLineNumbers w:val="0"/>
              <w:spacing w:before="0" w:beforeAutospacing="0" w:after="0" w:afterAutospacing="0"/>
              <w:ind w:left="0" w:right="0"/>
              <w:rPr>
                <w:rFonts w:hint="eastAsia" w:ascii="宋体" w:hAnsi="宋体" w:eastAsia="宋体" w:cs="Times New Roman"/>
                <w:sz w:val="28"/>
                <w:szCs w:val="28"/>
              </w:rPr>
            </w:pPr>
            <w:r>
              <w:rPr>
                <w:rFonts w:hint="eastAsia" w:ascii="宋体" w:hAnsi="宋体" w:eastAsia="宋体" w:cs="Times New Roman"/>
                <w:sz w:val="28"/>
                <w:szCs w:val="28"/>
              </w:rPr>
              <w:t>总计（大写</w:t>
            </w:r>
            <w:r>
              <w:rPr>
                <w:rFonts w:hint="default" w:ascii="宋体" w:hAnsi="宋体" w:eastAsia="宋体" w:cs="Times New Roman"/>
                <w:sz w:val="28"/>
                <w:szCs w:val="28"/>
              </w:rPr>
              <w:t>）</w:t>
            </w:r>
            <w:r>
              <w:rPr>
                <w:rFonts w:hint="eastAsia" w:ascii="宋体" w:hAnsi="宋体" w:eastAsia="宋体" w:cs="Times New Roman"/>
                <w:sz w:val="28"/>
                <w:szCs w:val="28"/>
              </w:rPr>
              <w:t>：</w:t>
            </w:r>
          </w:p>
        </w:tc>
        <w:tc>
          <w:tcPr>
            <w:tcW w:w="1268" w:type="pct"/>
            <w:vAlign w:val="center"/>
          </w:tcPr>
          <w:p w14:paraId="4E5C5149">
            <w:pPr>
              <w:keepNext w:val="0"/>
              <w:keepLines w:val="0"/>
              <w:suppressLineNumbers w:val="0"/>
              <w:spacing w:before="0" w:beforeAutospacing="0" w:after="0" w:afterAutospacing="0"/>
              <w:ind w:left="0" w:right="0"/>
              <w:rPr>
                <w:rFonts w:hint="eastAsia" w:ascii="宋体" w:hAnsi="宋体" w:eastAsia="宋体" w:cs="Times New Roman"/>
                <w:sz w:val="28"/>
                <w:szCs w:val="28"/>
              </w:rPr>
            </w:pPr>
            <w:r>
              <w:rPr>
                <w:rFonts w:hint="eastAsia" w:ascii="宋体" w:hAnsi="宋体" w:eastAsia="宋体" w:cs="Times New Roman"/>
                <w:sz w:val="28"/>
                <w:szCs w:val="28"/>
              </w:rPr>
              <w:t>小写</w:t>
            </w:r>
            <w:r>
              <w:rPr>
                <w:rFonts w:hint="default" w:ascii="宋体" w:hAnsi="宋体" w:eastAsia="宋体" w:cs="Times New Roman"/>
                <w:sz w:val="28"/>
                <w:szCs w:val="28"/>
              </w:rPr>
              <w:t>：</w:t>
            </w:r>
          </w:p>
        </w:tc>
      </w:tr>
    </w:tbl>
    <w:p w14:paraId="3339A574">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6B4616CE">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2.如果分项报价合计与投标总报价不一致，以分项报价合计为准进行结算。</w:t>
      </w:r>
    </w:p>
    <w:p w14:paraId="71562874">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w:t>
      </w:r>
      <w:r>
        <w:rPr>
          <w:rFonts w:hint="eastAsia" w:ascii="宋体" w:hAnsi="宋体" w:cs="仿宋"/>
          <w:sz w:val="24"/>
          <w:szCs w:val="24"/>
          <w:highlight w:val="none"/>
          <w:lang w:val="en-US" w:eastAsia="zh-CN"/>
        </w:rPr>
        <w:t>磋商</w:t>
      </w:r>
      <w:r>
        <w:rPr>
          <w:rFonts w:hint="eastAsia" w:ascii="宋体" w:hAnsi="宋体" w:cs="仿宋"/>
          <w:sz w:val="24"/>
          <w:szCs w:val="24"/>
          <w:highlight w:val="none"/>
        </w:rPr>
        <w:t>文件。</w:t>
      </w:r>
    </w:p>
    <w:p w14:paraId="7D174E92">
      <w:pPr>
        <w:pStyle w:val="18"/>
        <w:ind w:firstLine="480" w:firstLineChars="200"/>
        <w:rPr>
          <w:rFonts w:hint="default" w:ascii="宋体" w:hAnsi="宋体" w:eastAsia="宋体" w:cs="仿宋"/>
          <w:kern w:val="2"/>
          <w:sz w:val="24"/>
          <w:szCs w:val="24"/>
          <w:highlight w:val="none"/>
          <w:lang w:val="en-US" w:eastAsia="zh-CN" w:bidi="ar-SA"/>
        </w:rPr>
      </w:pPr>
      <w:r>
        <w:rPr>
          <w:rFonts w:hint="eastAsia" w:ascii="宋体" w:hAnsi="宋体" w:eastAsia="宋体" w:cs="仿宋"/>
          <w:kern w:val="2"/>
          <w:sz w:val="24"/>
          <w:szCs w:val="24"/>
          <w:highlight w:val="none"/>
          <w:lang w:val="en-US" w:eastAsia="zh-CN" w:bidi="ar-SA"/>
        </w:rPr>
        <w:t>4.如中标，本表内容将作为采购人验收、查找内容之一。</w:t>
      </w:r>
    </w:p>
    <w:p w14:paraId="23DF08E8">
      <w:pPr>
        <w:numPr>
          <w:ilvl w:val="0"/>
          <w:numId w:val="0"/>
        </w:numPr>
        <w:spacing w:line="440" w:lineRule="exact"/>
        <w:ind w:leftChars="0"/>
        <w:jc w:val="center"/>
        <w:outlineLvl w:val="1"/>
        <w:rPr>
          <w:rFonts w:hint="eastAsia" w:hAnsi="宋体"/>
          <w:b/>
          <w:bCs/>
          <w:sz w:val="32"/>
          <w:szCs w:val="32"/>
          <w:lang w:val="en-US" w:eastAsia="zh-CN"/>
        </w:rPr>
      </w:pPr>
    </w:p>
    <w:p w14:paraId="1EA0951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40CA1BDC">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11C87EDC">
      <w:pPr>
        <w:adjustRightInd w:val="0"/>
        <w:snapToGrid w:val="0"/>
        <w:spacing w:line="480" w:lineRule="auto"/>
        <w:rPr>
          <w:rFonts w:hint="eastAsia" w:ascii="宋体" w:hAnsi="宋体" w:cs="宋体"/>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2606C722">
      <w:pPr>
        <w:numPr>
          <w:ilvl w:val="0"/>
          <w:numId w:val="0"/>
        </w:numPr>
        <w:spacing w:line="440" w:lineRule="exact"/>
        <w:ind w:leftChars="0"/>
        <w:jc w:val="center"/>
        <w:outlineLvl w:val="1"/>
        <w:rPr>
          <w:rFonts w:hint="eastAsia" w:hAnsi="宋体"/>
          <w:b/>
          <w:bCs/>
          <w:sz w:val="32"/>
          <w:szCs w:val="32"/>
        </w:rPr>
      </w:pPr>
      <w:r>
        <w:rPr>
          <w:rFonts w:hint="eastAsia" w:hAnsi="宋体"/>
          <w:b/>
          <w:bCs/>
          <w:sz w:val="32"/>
          <w:szCs w:val="32"/>
          <w:lang w:val="en-US" w:eastAsia="zh-CN"/>
        </w:rPr>
        <w:t xml:space="preserve">第三章 </w:t>
      </w:r>
      <w:r>
        <w:rPr>
          <w:rFonts w:hint="eastAsia" w:hAnsi="宋体"/>
          <w:b/>
          <w:bCs/>
          <w:sz w:val="32"/>
          <w:szCs w:val="32"/>
        </w:rPr>
        <w:t>资格证明文件</w:t>
      </w:r>
    </w:p>
    <w:p w14:paraId="54C38F7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1F047B02">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法定代表人授权书及被授权人身份证。（法定代表人直接投标</w:t>
      </w:r>
      <w:r>
        <w:rPr>
          <w:rFonts w:hint="eastAsia" w:ascii="宋体" w:hAnsi="宋体" w:cs="宋体"/>
          <w:sz w:val="24"/>
          <w:szCs w:val="24"/>
          <w:lang w:val="en-US" w:eastAsia="zh-CN"/>
        </w:rPr>
        <w:t>只需</w:t>
      </w:r>
      <w:r>
        <w:rPr>
          <w:rFonts w:hint="eastAsia" w:ascii="宋体" w:hAnsi="宋体" w:eastAsia="宋体" w:cs="宋体"/>
          <w:sz w:val="24"/>
          <w:szCs w:val="24"/>
          <w:lang w:val="en-US" w:eastAsia="zh-CN"/>
        </w:rPr>
        <w:t>提交其身份证明资料）</w:t>
      </w:r>
    </w:p>
    <w:p w14:paraId="6B4BCC7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信用记录：投标人通过“信用中国”网站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、中国政府采购网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等渠道查询相关主体无失信记录。对列入失信被执行人、重大税收违法案件当事人名单、政府采购严重违法失信行为记录名单的投标人，将拒绝其参与政府采购活动；以“信用中国”网站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或中国政府采购</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查询结果为准（响应文件中提供查询结果网页截图并加盖投标人公章，查询日期为从</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文件发售之日起至投标截止日前，评标现场通过网站对信用记录进行核实）。</w:t>
      </w:r>
    </w:p>
    <w:p w14:paraId="6A30397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书面声明：投标人必须提供参加政府采购活动前3年内在经营活动中没有重大违法记录的书面声明。</w:t>
      </w:r>
    </w:p>
    <w:p w14:paraId="56C97CB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财务状况报告：提供</w:t>
      </w:r>
      <w:r>
        <w:rPr>
          <w:rFonts w:hint="eastAsia" w:ascii="宋体" w:hAnsi="宋体" w:cs="宋体"/>
          <w:sz w:val="24"/>
          <w:szCs w:val="24"/>
          <w:lang w:val="en-US" w:eastAsia="zh-CN"/>
        </w:rPr>
        <w:t>2023</w:t>
      </w:r>
      <w:r>
        <w:rPr>
          <w:rFonts w:hint="eastAsia" w:ascii="宋体" w:hAnsi="宋体" w:eastAsia="宋体" w:cs="宋体"/>
          <w:sz w:val="24"/>
          <w:szCs w:val="24"/>
          <w:lang w:val="en-US" w:eastAsia="zh-CN"/>
        </w:rPr>
        <w:t>年度经审计的财务审计报告或投标截止时间前六个月内基本开户银行出具的资信证明（成立时间至提交响应文件截止时间不足一年的可提供成立后任意时段的资产负债表）。</w:t>
      </w:r>
    </w:p>
    <w:p w14:paraId="76CAE94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税收缴纳证明：提供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A10F4D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社会保障资金缴纳证明：提供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2EF66D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w:t>
      </w:r>
      <w:r>
        <w:rPr>
          <w:rFonts w:hint="eastAsia" w:ascii="宋体" w:hAnsi="宋体" w:cs="宋体"/>
          <w:kern w:val="0"/>
          <w:sz w:val="24"/>
          <w:szCs w:val="24"/>
          <w:lang w:val="en-US" w:eastAsia="zh-CN"/>
        </w:rPr>
        <w:t>投标人须具备建设行政主管部门核发的有效的机电设备安装工程专业承包叁级（含叁级）及以上或机电安装总承包三级及以上资质，并具有有效的安全生产许可证。</w:t>
      </w:r>
    </w:p>
    <w:p w14:paraId="1087AD4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本项目专门面向中小企业采购，投标人须提供《中小企业声明函》。</w:t>
      </w:r>
    </w:p>
    <w:p w14:paraId="4DDAC4BB">
      <w:pPr>
        <w:spacing w:line="520" w:lineRule="exact"/>
        <w:ind w:firstLine="480" w:firstLineChars="200"/>
        <w:jc w:val="left"/>
        <w:rPr>
          <w:rFonts w:hint="eastAsia" w:ascii="宋体" w:hAnsi="宋体" w:eastAsia="宋体" w:cs="宋体"/>
          <w:color w:val="000000"/>
          <w:sz w:val="24"/>
          <w:szCs w:val="24"/>
        </w:rPr>
      </w:pPr>
    </w:p>
    <w:p w14:paraId="4C5D608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3E5EA18">
      <w:pPr>
        <w:rPr>
          <w:rFonts w:hint="eastAsia"/>
          <w:lang w:val="en-US" w:eastAsia="zh-CN"/>
        </w:rPr>
      </w:pPr>
    </w:p>
    <w:p w14:paraId="0C238BE0">
      <w:pPr>
        <w:widowControl/>
        <w:jc w:val="center"/>
        <w:rPr>
          <w:rFonts w:hAnsi="宋体"/>
          <w:b/>
          <w:sz w:val="28"/>
          <w:szCs w:val="32"/>
        </w:rPr>
      </w:pPr>
      <w:r>
        <w:rPr>
          <w:rFonts w:hint="eastAsia" w:hAnsi="宋体"/>
          <w:b/>
          <w:sz w:val="28"/>
          <w:szCs w:val="32"/>
        </w:rPr>
        <w:t>法定代表人证明书</w:t>
      </w:r>
    </w:p>
    <w:p w14:paraId="0C4789DC">
      <w:r>
        <w:rPr>
          <w:rFonts w:hint="eastAsia"/>
        </w:rPr>
        <w:t xml:space="preserve"> </w:t>
      </w:r>
    </w:p>
    <w:tbl>
      <w:tblPr>
        <w:tblStyle w:val="46"/>
        <w:tblW w:w="93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6"/>
        <w:gridCol w:w="2129"/>
        <w:gridCol w:w="1448"/>
        <w:gridCol w:w="2575"/>
      </w:tblGrid>
      <w:tr w14:paraId="3BC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20" w:type="dxa"/>
            <w:gridSpan w:val="5"/>
            <w:tcBorders>
              <w:top w:val="single" w:color="auto" w:sz="4" w:space="0"/>
              <w:left w:val="single" w:color="auto" w:sz="4" w:space="0"/>
              <w:bottom w:val="single" w:color="auto" w:sz="4" w:space="0"/>
              <w:right w:val="single" w:color="auto" w:sz="4" w:space="0"/>
            </w:tcBorders>
          </w:tcPr>
          <w:p w14:paraId="7AAD95DD">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致：安</w:t>
            </w:r>
            <w:r>
              <w:rPr>
                <w:rFonts w:hint="eastAsia" w:ascii="宋体" w:hAnsi="宋体" w:cs="仿宋"/>
                <w:bCs/>
                <w:sz w:val="24"/>
                <w:szCs w:val="24"/>
              </w:rPr>
              <w:t>康尚昊招标代理有限公司</w:t>
            </w:r>
          </w:p>
        </w:tc>
      </w:tr>
      <w:tr w14:paraId="106E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tcPr>
          <w:p w14:paraId="7BC47A87">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p>
          <w:p w14:paraId="114B7B23">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p>
          <w:p w14:paraId="2F000D01">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企</w:t>
            </w:r>
          </w:p>
          <w:p w14:paraId="5AB92262">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业</w:t>
            </w:r>
          </w:p>
          <w:p w14:paraId="62691A91">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法</w:t>
            </w:r>
          </w:p>
          <w:p w14:paraId="6EB354F2">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5798FCC5">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企 业 名 称 </w:t>
            </w:r>
          </w:p>
        </w:tc>
        <w:tc>
          <w:tcPr>
            <w:tcW w:w="6152" w:type="dxa"/>
            <w:gridSpan w:val="3"/>
            <w:tcBorders>
              <w:top w:val="single" w:color="auto" w:sz="4" w:space="0"/>
              <w:left w:val="single" w:color="auto" w:sz="4" w:space="0"/>
              <w:bottom w:val="single" w:color="auto" w:sz="4" w:space="0"/>
              <w:right w:val="single" w:color="auto" w:sz="4" w:space="0"/>
            </w:tcBorders>
          </w:tcPr>
          <w:p w14:paraId="3C4812B9">
            <w:pPr>
              <w:tabs>
                <w:tab w:val="right" w:leader="dot" w:pos="9022"/>
              </w:tabs>
              <w:autoSpaceDE w:val="0"/>
              <w:autoSpaceDN w:val="0"/>
              <w:adjustRightInd w:val="0"/>
              <w:spacing w:line="500" w:lineRule="exact"/>
              <w:jc w:val="left"/>
              <w:rPr>
                <w:rFonts w:ascii="宋体" w:hAnsi="宋体" w:cs="仿宋"/>
                <w:bCs/>
                <w:caps/>
                <w:sz w:val="24"/>
                <w:szCs w:val="24"/>
              </w:rPr>
            </w:pPr>
          </w:p>
        </w:tc>
      </w:tr>
      <w:tr w14:paraId="3224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BFD742B">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0B2DBFF">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 定 地 址</w:t>
            </w:r>
          </w:p>
        </w:tc>
        <w:tc>
          <w:tcPr>
            <w:tcW w:w="6152" w:type="dxa"/>
            <w:gridSpan w:val="3"/>
            <w:tcBorders>
              <w:top w:val="single" w:color="auto" w:sz="4" w:space="0"/>
              <w:left w:val="single" w:color="auto" w:sz="4" w:space="0"/>
              <w:bottom w:val="single" w:color="auto" w:sz="4" w:space="0"/>
              <w:right w:val="single" w:color="auto" w:sz="4" w:space="0"/>
            </w:tcBorders>
          </w:tcPr>
          <w:p w14:paraId="3930095B">
            <w:pPr>
              <w:tabs>
                <w:tab w:val="right" w:leader="dot" w:pos="9022"/>
              </w:tabs>
              <w:autoSpaceDE w:val="0"/>
              <w:autoSpaceDN w:val="0"/>
              <w:adjustRightInd w:val="0"/>
              <w:spacing w:line="500" w:lineRule="exact"/>
              <w:jc w:val="left"/>
              <w:rPr>
                <w:rFonts w:ascii="宋体" w:hAnsi="宋体" w:cs="仿宋"/>
                <w:bCs/>
                <w:caps/>
                <w:sz w:val="24"/>
                <w:szCs w:val="24"/>
              </w:rPr>
            </w:pPr>
          </w:p>
        </w:tc>
      </w:tr>
      <w:tr w14:paraId="67D4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9652EDA">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DB5773">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邮 政 编 码</w:t>
            </w:r>
          </w:p>
        </w:tc>
        <w:tc>
          <w:tcPr>
            <w:tcW w:w="6152" w:type="dxa"/>
            <w:gridSpan w:val="3"/>
            <w:tcBorders>
              <w:top w:val="single" w:color="auto" w:sz="4" w:space="0"/>
              <w:left w:val="single" w:color="auto" w:sz="4" w:space="0"/>
              <w:bottom w:val="single" w:color="auto" w:sz="4" w:space="0"/>
              <w:right w:val="single" w:color="auto" w:sz="4" w:space="0"/>
            </w:tcBorders>
          </w:tcPr>
          <w:p w14:paraId="2F405AC6">
            <w:pPr>
              <w:tabs>
                <w:tab w:val="right" w:leader="dot" w:pos="9022"/>
              </w:tabs>
              <w:autoSpaceDE w:val="0"/>
              <w:autoSpaceDN w:val="0"/>
              <w:adjustRightInd w:val="0"/>
              <w:spacing w:line="500" w:lineRule="exact"/>
              <w:jc w:val="left"/>
              <w:rPr>
                <w:rFonts w:ascii="宋体" w:hAnsi="宋体" w:cs="仿宋"/>
                <w:bCs/>
                <w:caps/>
                <w:sz w:val="24"/>
                <w:szCs w:val="24"/>
              </w:rPr>
            </w:pPr>
          </w:p>
        </w:tc>
      </w:tr>
      <w:tr w14:paraId="3FEC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B2A8F49">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5296C5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网       址</w:t>
            </w:r>
          </w:p>
        </w:tc>
        <w:tc>
          <w:tcPr>
            <w:tcW w:w="6152" w:type="dxa"/>
            <w:gridSpan w:val="3"/>
            <w:tcBorders>
              <w:top w:val="single" w:color="auto" w:sz="4" w:space="0"/>
              <w:left w:val="single" w:color="auto" w:sz="4" w:space="0"/>
              <w:bottom w:val="single" w:color="auto" w:sz="4" w:space="0"/>
              <w:right w:val="single" w:color="auto" w:sz="4" w:space="0"/>
            </w:tcBorders>
          </w:tcPr>
          <w:p w14:paraId="3909498D">
            <w:pPr>
              <w:tabs>
                <w:tab w:val="right" w:leader="dot" w:pos="9022"/>
              </w:tabs>
              <w:autoSpaceDE w:val="0"/>
              <w:autoSpaceDN w:val="0"/>
              <w:adjustRightInd w:val="0"/>
              <w:spacing w:line="500" w:lineRule="exact"/>
              <w:jc w:val="left"/>
              <w:rPr>
                <w:rFonts w:ascii="宋体" w:hAnsi="宋体" w:cs="仿宋"/>
                <w:bCs/>
                <w:caps/>
                <w:sz w:val="24"/>
                <w:szCs w:val="24"/>
              </w:rPr>
            </w:pPr>
          </w:p>
        </w:tc>
      </w:tr>
      <w:tr w14:paraId="45A4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F0056DD">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65EBF0E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工商登记机关</w:t>
            </w:r>
          </w:p>
        </w:tc>
        <w:tc>
          <w:tcPr>
            <w:tcW w:w="6152" w:type="dxa"/>
            <w:gridSpan w:val="3"/>
            <w:tcBorders>
              <w:top w:val="single" w:color="auto" w:sz="4" w:space="0"/>
              <w:left w:val="single" w:color="auto" w:sz="4" w:space="0"/>
              <w:bottom w:val="single" w:color="auto" w:sz="4" w:space="0"/>
              <w:right w:val="single" w:color="auto" w:sz="4" w:space="0"/>
            </w:tcBorders>
          </w:tcPr>
          <w:p w14:paraId="669EF38E">
            <w:pPr>
              <w:tabs>
                <w:tab w:val="right" w:leader="dot" w:pos="9022"/>
              </w:tabs>
              <w:autoSpaceDE w:val="0"/>
              <w:autoSpaceDN w:val="0"/>
              <w:adjustRightInd w:val="0"/>
              <w:spacing w:line="500" w:lineRule="exact"/>
              <w:ind w:firstLine="2400" w:firstLineChars="1000"/>
              <w:jc w:val="left"/>
              <w:rPr>
                <w:rFonts w:ascii="宋体" w:hAnsi="宋体" w:cs="仿宋"/>
                <w:bCs/>
                <w:caps/>
                <w:sz w:val="24"/>
                <w:szCs w:val="24"/>
              </w:rPr>
            </w:pPr>
          </w:p>
        </w:tc>
      </w:tr>
      <w:tr w14:paraId="58FF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327499C">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0DD38C96">
            <w:pPr>
              <w:tabs>
                <w:tab w:val="right" w:leader="dot" w:pos="9022"/>
              </w:tabs>
              <w:autoSpaceDE w:val="0"/>
              <w:autoSpaceDN w:val="0"/>
              <w:adjustRightInd w:val="0"/>
              <w:spacing w:line="500" w:lineRule="exact"/>
              <w:rPr>
                <w:rFonts w:ascii="宋体" w:hAnsi="宋体" w:cs="仿宋"/>
                <w:bCs/>
                <w:caps/>
                <w:sz w:val="24"/>
                <w:szCs w:val="24"/>
              </w:rPr>
            </w:pPr>
            <w:r>
              <w:rPr>
                <w:rFonts w:hint="eastAsia" w:ascii="宋体" w:hAnsi="宋体" w:cs="仿宋"/>
                <w:bCs/>
                <w:caps/>
                <w:sz w:val="24"/>
                <w:szCs w:val="24"/>
              </w:rPr>
              <w:t>税务登记机关</w:t>
            </w:r>
          </w:p>
        </w:tc>
        <w:tc>
          <w:tcPr>
            <w:tcW w:w="6152" w:type="dxa"/>
            <w:gridSpan w:val="3"/>
            <w:tcBorders>
              <w:top w:val="single" w:color="auto" w:sz="4" w:space="0"/>
              <w:left w:val="single" w:color="auto" w:sz="4" w:space="0"/>
              <w:bottom w:val="single" w:color="auto" w:sz="4" w:space="0"/>
              <w:right w:val="single" w:color="auto" w:sz="4" w:space="0"/>
            </w:tcBorders>
          </w:tcPr>
          <w:p w14:paraId="1ADB0224">
            <w:pPr>
              <w:tabs>
                <w:tab w:val="right" w:leader="dot" w:pos="9022"/>
              </w:tabs>
              <w:autoSpaceDE w:val="0"/>
              <w:autoSpaceDN w:val="0"/>
              <w:adjustRightInd w:val="0"/>
              <w:spacing w:line="500" w:lineRule="exact"/>
              <w:jc w:val="left"/>
              <w:rPr>
                <w:rFonts w:ascii="宋体" w:hAnsi="宋体" w:cs="仿宋"/>
                <w:bCs/>
                <w:caps/>
                <w:sz w:val="24"/>
                <w:szCs w:val="24"/>
              </w:rPr>
            </w:pPr>
          </w:p>
        </w:tc>
      </w:tr>
      <w:tr w14:paraId="6949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AB519F8">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FE7B165">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机构代码证号</w:t>
            </w:r>
          </w:p>
        </w:tc>
        <w:tc>
          <w:tcPr>
            <w:tcW w:w="6152" w:type="dxa"/>
            <w:gridSpan w:val="3"/>
            <w:tcBorders>
              <w:top w:val="single" w:color="auto" w:sz="4" w:space="0"/>
              <w:left w:val="single" w:color="auto" w:sz="4" w:space="0"/>
              <w:bottom w:val="single" w:color="auto" w:sz="4" w:space="0"/>
              <w:right w:val="single" w:color="auto" w:sz="4" w:space="0"/>
            </w:tcBorders>
          </w:tcPr>
          <w:p w14:paraId="4545384F">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kern w:val="0"/>
                <w:sz w:val="24"/>
                <w:szCs w:val="24"/>
              </w:rPr>
              <w:t>（若三证合一则填统一信用代码证号）</w:t>
            </w:r>
          </w:p>
        </w:tc>
      </w:tr>
      <w:tr w14:paraId="4778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51418EF6">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 定</w:t>
            </w:r>
          </w:p>
          <w:p w14:paraId="416FD19E">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代 表</w:t>
            </w:r>
          </w:p>
          <w:p w14:paraId="46B4650C">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48E02F93">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姓    名</w:t>
            </w:r>
          </w:p>
        </w:tc>
        <w:tc>
          <w:tcPr>
            <w:tcW w:w="2129" w:type="dxa"/>
            <w:tcBorders>
              <w:top w:val="single" w:color="auto" w:sz="4" w:space="0"/>
              <w:left w:val="single" w:color="auto" w:sz="4" w:space="0"/>
              <w:bottom w:val="single" w:color="auto" w:sz="4" w:space="0"/>
              <w:right w:val="single" w:color="auto" w:sz="4" w:space="0"/>
            </w:tcBorders>
          </w:tcPr>
          <w:p w14:paraId="5DB095A0">
            <w:pPr>
              <w:tabs>
                <w:tab w:val="right" w:leader="dot" w:pos="9022"/>
              </w:tabs>
              <w:autoSpaceDE w:val="0"/>
              <w:autoSpaceDN w:val="0"/>
              <w:adjustRightInd w:val="0"/>
              <w:spacing w:line="500" w:lineRule="exact"/>
              <w:jc w:val="left"/>
              <w:rPr>
                <w:rFonts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251FB5A4">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性    别</w:t>
            </w:r>
          </w:p>
        </w:tc>
        <w:tc>
          <w:tcPr>
            <w:tcW w:w="2575" w:type="dxa"/>
            <w:tcBorders>
              <w:top w:val="single" w:color="auto" w:sz="4" w:space="0"/>
              <w:left w:val="single" w:color="auto" w:sz="4" w:space="0"/>
              <w:bottom w:val="single" w:color="auto" w:sz="4" w:space="0"/>
              <w:right w:val="single" w:color="auto" w:sz="4" w:space="0"/>
            </w:tcBorders>
          </w:tcPr>
          <w:p w14:paraId="4807CF23">
            <w:pPr>
              <w:tabs>
                <w:tab w:val="right" w:leader="dot" w:pos="9022"/>
              </w:tabs>
              <w:autoSpaceDE w:val="0"/>
              <w:autoSpaceDN w:val="0"/>
              <w:adjustRightInd w:val="0"/>
              <w:spacing w:line="500" w:lineRule="exact"/>
              <w:jc w:val="left"/>
              <w:rPr>
                <w:rFonts w:ascii="宋体" w:hAnsi="宋体" w:cs="仿宋"/>
                <w:bCs/>
                <w:caps/>
                <w:sz w:val="24"/>
                <w:szCs w:val="24"/>
              </w:rPr>
            </w:pPr>
          </w:p>
        </w:tc>
      </w:tr>
      <w:tr w14:paraId="7255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8323BC0">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A5F2C8F">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职    务</w:t>
            </w:r>
          </w:p>
        </w:tc>
        <w:tc>
          <w:tcPr>
            <w:tcW w:w="2129" w:type="dxa"/>
            <w:tcBorders>
              <w:top w:val="single" w:color="auto" w:sz="4" w:space="0"/>
              <w:left w:val="single" w:color="auto" w:sz="4" w:space="0"/>
              <w:bottom w:val="single" w:color="auto" w:sz="4" w:space="0"/>
              <w:right w:val="single" w:color="auto" w:sz="4" w:space="0"/>
            </w:tcBorders>
          </w:tcPr>
          <w:p w14:paraId="31355100">
            <w:pPr>
              <w:tabs>
                <w:tab w:val="right" w:leader="dot" w:pos="9022"/>
              </w:tabs>
              <w:autoSpaceDE w:val="0"/>
              <w:autoSpaceDN w:val="0"/>
              <w:adjustRightInd w:val="0"/>
              <w:spacing w:line="500" w:lineRule="exact"/>
              <w:jc w:val="left"/>
              <w:rPr>
                <w:rFonts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5E4AE5EE">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联系电话</w:t>
            </w:r>
          </w:p>
        </w:tc>
        <w:tc>
          <w:tcPr>
            <w:tcW w:w="2575" w:type="dxa"/>
            <w:tcBorders>
              <w:top w:val="single" w:color="auto" w:sz="4" w:space="0"/>
              <w:left w:val="single" w:color="auto" w:sz="4" w:space="0"/>
              <w:bottom w:val="single" w:color="auto" w:sz="4" w:space="0"/>
              <w:right w:val="single" w:color="auto" w:sz="4" w:space="0"/>
            </w:tcBorders>
          </w:tcPr>
          <w:p w14:paraId="6010BB07">
            <w:pPr>
              <w:tabs>
                <w:tab w:val="right" w:leader="dot" w:pos="9022"/>
              </w:tabs>
              <w:autoSpaceDE w:val="0"/>
              <w:autoSpaceDN w:val="0"/>
              <w:adjustRightInd w:val="0"/>
              <w:spacing w:line="500" w:lineRule="exact"/>
              <w:jc w:val="left"/>
              <w:rPr>
                <w:rFonts w:ascii="宋体" w:hAnsi="宋体" w:cs="仿宋"/>
                <w:bCs/>
                <w:caps/>
                <w:sz w:val="24"/>
                <w:szCs w:val="24"/>
              </w:rPr>
            </w:pPr>
          </w:p>
        </w:tc>
      </w:tr>
      <w:tr w14:paraId="01D3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6180A86">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17407CB1">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传    真</w:t>
            </w:r>
          </w:p>
        </w:tc>
        <w:tc>
          <w:tcPr>
            <w:tcW w:w="6152" w:type="dxa"/>
            <w:gridSpan w:val="3"/>
            <w:tcBorders>
              <w:top w:val="single" w:color="auto" w:sz="4" w:space="0"/>
              <w:left w:val="single" w:color="auto" w:sz="4" w:space="0"/>
              <w:bottom w:val="single" w:color="auto" w:sz="4" w:space="0"/>
              <w:right w:val="single" w:color="auto" w:sz="4" w:space="0"/>
            </w:tcBorders>
          </w:tcPr>
          <w:p w14:paraId="2CC37110">
            <w:pPr>
              <w:tabs>
                <w:tab w:val="right" w:leader="dot" w:pos="9022"/>
              </w:tabs>
              <w:autoSpaceDE w:val="0"/>
              <w:autoSpaceDN w:val="0"/>
              <w:adjustRightInd w:val="0"/>
              <w:spacing w:line="500" w:lineRule="exact"/>
              <w:jc w:val="left"/>
              <w:rPr>
                <w:rFonts w:ascii="宋体" w:hAnsi="宋体" w:cs="仿宋"/>
                <w:bCs/>
                <w:caps/>
                <w:sz w:val="24"/>
                <w:szCs w:val="24"/>
              </w:rPr>
            </w:pPr>
          </w:p>
        </w:tc>
      </w:tr>
      <w:tr w14:paraId="7CD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22" w:type="dxa"/>
            <w:vMerge w:val="restart"/>
            <w:tcBorders>
              <w:top w:val="single" w:color="auto" w:sz="4" w:space="0"/>
              <w:left w:val="single" w:color="auto" w:sz="4" w:space="0"/>
              <w:bottom w:val="single" w:color="auto" w:sz="4" w:space="0"/>
              <w:right w:val="single" w:color="auto" w:sz="4" w:space="0"/>
            </w:tcBorders>
          </w:tcPr>
          <w:p w14:paraId="22B55F0F">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2EED03B7">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法定代表人身份证复印件</w:t>
            </w:r>
          </w:p>
        </w:tc>
        <w:tc>
          <w:tcPr>
            <w:tcW w:w="4275" w:type="dxa"/>
            <w:gridSpan w:val="2"/>
            <w:vMerge w:val="restart"/>
            <w:tcBorders>
              <w:top w:val="single" w:color="auto" w:sz="4" w:space="0"/>
              <w:left w:val="single" w:color="auto" w:sz="4" w:space="0"/>
              <w:bottom w:val="single" w:color="auto" w:sz="4" w:space="0"/>
              <w:right w:val="single" w:color="auto" w:sz="4" w:space="0"/>
            </w:tcBorders>
            <w:vAlign w:val="center"/>
          </w:tcPr>
          <w:p w14:paraId="60E43217">
            <w:pPr>
              <w:widowControl/>
              <w:tabs>
                <w:tab w:val="right" w:leader="dot" w:pos="9022"/>
              </w:tabs>
              <w:autoSpaceDE w:val="0"/>
              <w:autoSpaceDN w:val="0"/>
              <w:adjustRightInd w:val="0"/>
              <w:spacing w:line="500" w:lineRule="exact"/>
              <w:jc w:val="center"/>
              <w:rPr>
                <w:rFonts w:ascii="宋体" w:hAnsi="宋体" w:cs="仿宋"/>
                <w:bCs/>
                <w:caps/>
                <w:sz w:val="24"/>
                <w:szCs w:val="24"/>
              </w:rPr>
            </w:pPr>
          </w:p>
          <w:p w14:paraId="510948F9">
            <w:pPr>
              <w:widowControl/>
              <w:tabs>
                <w:tab w:val="right" w:leader="dot" w:pos="9022"/>
              </w:tabs>
              <w:autoSpaceDE w:val="0"/>
              <w:autoSpaceDN w:val="0"/>
              <w:adjustRightInd w:val="0"/>
              <w:spacing w:line="500" w:lineRule="exact"/>
              <w:jc w:val="center"/>
              <w:rPr>
                <w:rFonts w:ascii="宋体" w:hAnsi="宋体" w:cs="仿宋"/>
                <w:bCs/>
                <w:caps/>
                <w:sz w:val="24"/>
                <w:szCs w:val="24"/>
              </w:rPr>
            </w:pPr>
          </w:p>
          <w:p w14:paraId="014FF8FB">
            <w:pPr>
              <w:widowControl/>
              <w:tabs>
                <w:tab w:val="right" w:leader="dot" w:pos="9022"/>
              </w:tabs>
              <w:autoSpaceDE w:val="0"/>
              <w:autoSpaceDN w:val="0"/>
              <w:adjustRightInd w:val="0"/>
              <w:spacing w:line="500" w:lineRule="exact"/>
              <w:jc w:val="center"/>
              <w:rPr>
                <w:rFonts w:ascii="宋体" w:hAnsi="宋体" w:cs="仿宋"/>
                <w:bCs/>
                <w:caps/>
                <w:sz w:val="24"/>
                <w:szCs w:val="24"/>
              </w:rPr>
            </w:pPr>
            <w:r>
              <w:rPr>
                <w:rFonts w:hint="eastAsia" w:ascii="宋体" w:hAnsi="宋体" w:cs="仿宋"/>
                <w:bCs/>
                <w:spacing w:val="-4"/>
                <w:sz w:val="24"/>
                <w:szCs w:val="24"/>
              </w:rPr>
              <w:t>二代身份证正、反两面都需复印</w:t>
            </w:r>
          </w:p>
          <w:p w14:paraId="3BE73F45">
            <w:pPr>
              <w:widowControl/>
              <w:tabs>
                <w:tab w:val="right" w:leader="dot" w:pos="9022"/>
              </w:tabs>
              <w:autoSpaceDE w:val="0"/>
              <w:autoSpaceDN w:val="0"/>
              <w:adjustRightInd w:val="0"/>
              <w:spacing w:line="500" w:lineRule="exact"/>
              <w:ind w:firstLine="960" w:firstLineChars="400"/>
              <w:jc w:val="center"/>
              <w:rPr>
                <w:rFonts w:ascii="宋体" w:hAnsi="宋体" w:cs="仿宋"/>
                <w:bCs/>
                <w:caps/>
                <w:sz w:val="24"/>
                <w:szCs w:val="24"/>
              </w:rPr>
            </w:pPr>
          </w:p>
          <w:p w14:paraId="0C528BF1">
            <w:pPr>
              <w:tabs>
                <w:tab w:val="right" w:leader="dot" w:pos="9022"/>
              </w:tabs>
              <w:autoSpaceDE w:val="0"/>
              <w:autoSpaceDN w:val="0"/>
              <w:adjustRightInd w:val="0"/>
              <w:spacing w:line="500" w:lineRule="exact"/>
              <w:jc w:val="center"/>
              <w:rPr>
                <w:rFonts w:ascii="宋体" w:hAnsi="宋体" w:cs="仿宋"/>
                <w:bCs/>
                <w:caps/>
                <w:sz w:val="24"/>
                <w:szCs w:val="24"/>
              </w:rPr>
            </w:pPr>
            <w:r>
              <w:rPr>
                <w:rFonts w:hint="eastAsia" w:ascii="宋体" w:hAnsi="宋体" w:cs="仿宋"/>
                <w:bCs/>
                <w:caps/>
                <w:sz w:val="24"/>
                <w:szCs w:val="24"/>
              </w:rPr>
              <w:t>（粘贴处）</w:t>
            </w:r>
          </w:p>
        </w:tc>
        <w:tc>
          <w:tcPr>
            <w:tcW w:w="4023" w:type="dxa"/>
            <w:gridSpan w:val="2"/>
            <w:tcBorders>
              <w:top w:val="single" w:color="auto" w:sz="4" w:space="0"/>
              <w:left w:val="single" w:color="auto" w:sz="4" w:space="0"/>
              <w:bottom w:val="single" w:color="auto" w:sz="4" w:space="0"/>
              <w:right w:val="single" w:color="auto" w:sz="4" w:space="0"/>
            </w:tcBorders>
          </w:tcPr>
          <w:p w14:paraId="7CAF746E">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w:t>
            </w:r>
          </w:p>
          <w:p w14:paraId="649B7F4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（法定代表人</w:t>
            </w:r>
            <w:r>
              <w:rPr>
                <w:rFonts w:hint="eastAsia" w:ascii="宋体" w:hAnsi="宋体" w:eastAsia="宋体" w:cs="宋体"/>
                <w:spacing w:val="4"/>
                <w:sz w:val="24"/>
                <w:lang w:val="en-US" w:eastAsia="zh-CN"/>
              </w:rPr>
              <w:t>签字或盖章</w:t>
            </w:r>
            <w:r>
              <w:rPr>
                <w:rFonts w:hint="eastAsia" w:ascii="宋体" w:hAnsi="宋体" w:cs="仿宋"/>
                <w:bCs/>
                <w:caps/>
                <w:sz w:val="24"/>
                <w:szCs w:val="24"/>
              </w:rPr>
              <w:t>）</w:t>
            </w:r>
          </w:p>
        </w:tc>
      </w:tr>
      <w:tr w14:paraId="2510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A1EC6C2">
            <w:pPr>
              <w:widowControl/>
              <w:spacing w:line="400" w:lineRule="exact"/>
              <w:jc w:val="left"/>
              <w:rPr>
                <w:rFonts w:ascii="宋体" w:hAnsi="宋体" w:cs="仿宋"/>
                <w:bCs/>
                <w:caps/>
                <w:sz w:val="24"/>
                <w:szCs w:val="24"/>
              </w:rPr>
            </w:pPr>
          </w:p>
        </w:tc>
        <w:tc>
          <w:tcPr>
            <w:tcW w:w="4275" w:type="dxa"/>
            <w:gridSpan w:val="2"/>
            <w:vMerge w:val="continue"/>
            <w:tcBorders>
              <w:top w:val="single" w:color="auto" w:sz="4" w:space="0"/>
              <w:left w:val="single" w:color="auto" w:sz="4" w:space="0"/>
              <w:bottom w:val="single" w:color="auto" w:sz="4" w:space="0"/>
              <w:right w:val="single" w:color="auto" w:sz="4" w:space="0"/>
            </w:tcBorders>
            <w:vAlign w:val="center"/>
          </w:tcPr>
          <w:p w14:paraId="1ACFD846">
            <w:pPr>
              <w:widowControl/>
              <w:spacing w:line="400" w:lineRule="exact"/>
              <w:jc w:val="left"/>
              <w:rPr>
                <w:rFonts w:ascii="宋体" w:hAnsi="宋体" w:cs="仿宋"/>
                <w:bCs/>
                <w:caps/>
                <w:sz w:val="24"/>
                <w:szCs w:val="24"/>
              </w:rPr>
            </w:pPr>
          </w:p>
        </w:tc>
        <w:tc>
          <w:tcPr>
            <w:tcW w:w="4023" w:type="dxa"/>
            <w:gridSpan w:val="2"/>
            <w:tcBorders>
              <w:top w:val="single" w:color="auto" w:sz="4" w:space="0"/>
              <w:left w:val="single" w:color="auto" w:sz="4" w:space="0"/>
              <w:bottom w:val="single" w:color="auto" w:sz="4" w:space="0"/>
              <w:right w:val="single" w:color="auto" w:sz="4" w:space="0"/>
            </w:tcBorders>
          </w:tcPr>
          <w:p w14:paraId="42B100F9">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7AFC10EA">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4018CE3A">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0FA80143">
            <w:pPr>
              <w:widowControl/>
              <w:tabs>
                <w:tab w:val="right" w:leader="dot" w:pos="9022"/>
              </w:tabs>
              <w:autoSpaceDE w:val="0"/>
              <w:autoSpaceDN w:val="0"/>
              <w:adjustRightInd w:val="0"/>
              <w:spacing w:line="500" w:lineRule="exact"/>
              <w:ind w:firstLine="120" w:firstLineChars="50"/>
              <w:jc w:val="left"/>
              <w:rPr>
                <w:rFonts w:ascii="宋体" w:hAnsi="宋体" w:cs="仿宋"/>
                <w:bCs/>
                <w:caps/>
                <w:sz w:val="24"/>
                <w:szCs w:val="24"/>
              </w:rPr>
            </w:pPr>
            <w:r>
              <w:rPr>
                <w:rFonts w:hint="eastAsia" w:ascii="宋体" w:hAnsi="宋体" w:cs="仿宋"/>
                <w:bCs/>
                <w:caps/>
                <w:sz w:val="24"/>
                <w:szCs w:val="24"/>
              </w:rPr>
              <w:t>（企业公章）</w:t>
            </w:r>
          </w:p>
          <w:p w14:paraId="45067FF4">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w:t>
            </w:r>
          </w:p>
          <w:p w14:paraId="43CBE8A7">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13731489">
            <w:pPr>
              <w:tabs>
                <w:tab w:val="right" w:leader="dot" w:pos="9022"/>
              </w:tabs>
              <w:autoSpaceDE w:val="0"/>
              <w:autoSpaceDN w:val="0"/>
              <w:adjustRightInd w:val="0"/>
              <w:spacing w:line="500" w:lineRule="exact"/>
              <w:ind w:firstLine="1440" w:firstLineChars="600"/>
              <w:jc w:val="left"/>
              <w:rPr>
                <w:rFonts w:ascii="宋体" w:hAnsi="宋体" w:cs="仿宋"/>
                <w:bCs/>
                <w:caps/>
                <w:sz w:val="24"/>
                <w:szCs w:val="24"/>
              </w:rPr>
            </w:pPr>
            <w:r>
              <w:rPr>
                <w:rFonts w:hint="eastAsia" w:ascii="宋体" w:hAnsi="宋体" w:cs="仿宋"/>
                <w:bCs/>
                <w:caps/>
                <w:sz w:val="24"/>
                <w:szCs w:val="24"/>
              </w:rPr>
              <w:t>年  月  日</w:t>
            </w:r>
          </w:p>
        </w:tc>
      </w:tr>
    </w:tbl>
    <w:p w14:paraId="130375D2">
      <w:pPr>
        <w:tabs>
          <w:tab w:val="left" w:pos="210"/>
        </w:tabs>
        <w:spacing w:line="320" w:lineRule="exact"/>
        <w:jc w:val="center"/>
        <w:rPr>
          <w:rFonts w:ascii="宋体" w:hAnsi="宋体" w:cs="Arial"/>
          <w:kern w:val="0"/>
          <w:sz w:val="24"/>
          <w:szCs w:val="20"/>
        </w:rPr>
      </w:pPr>
      <w:r>
        <w:rPr>
          <w:rFonts w:hint="eastAsia" w:ascii="宋体" w:hAnsi="宋体" w:cs="Arial"/>
          <w:kern w:val="0"/>
          <w:sz w:val="24"/>
          <w:szCs w:val="20"/>
        </w:rPr>
        <w:t>（法定代表人直接</w:t>
      </w:r>
      <w:r>
        <w:rPr>
          <w:rFonts w:hint="eastAsia" w:ascii="宋体" w:hAnsi="宋体" w:cs="Arial"/>
          <w:kern w:val="0"/>
          <w:sz w:val="24"/>
          <w:szCs w:val="20"/>
          <w:lang w:eastAsia="zh-CN"/>
        </w:rPr>
        <w:t>磋商</w:t>
      </w:r>
      <w:r>
        <w:rPr>
          <w:rFonts w:hint="eastAsia" w:ascii="宋体" w:hAnsi="宋体" w:cs="Arial"/>
          <w:kern w:val="0"/>
          <w:sz w:val="24"/>
          <w:szCs w:val="20"/>
        </w:rPr>
        <w:t>，</w:t>
      </w:r>
      <w:r>
        <w:rPr>
          <w:rFonts w:hint="eastAsia" w:ascii="宋体" w:hAnsi="宋体" w:cs="Arial"/>
          <w:kern w:val="0"/>
          <w:sz w:val="24"/>
          <w:szCs w:val="20"/>
          <w:lang w:eastAsia="zh-CN"/>
        </w:rPr>
        <w:t>只需</w:t>
      </w:r>
      <w:r>
        <w:rPr>
          <w:rFonts w:hint="eastAsia" w:ascii="宋体" w:hAnsi="宋体" w:cs="Arial"/>
          <w:kern w:val="0"/>
          <w:sz w:val="24"/>
          <w:szCs w:val="20"/>
        </w:rPr>
        <w:t>提供法定代表人证明书及身份证</w:t>
      </w:r>
      <w:r>
        <w:rPr>
          <w:rFonts w:hint="eastAsia" w:ascii="宋体" w:hAnsi="宋体" w:cs="Arial"/>
          <w:kern w:val="0"/>
          <w:sz w:val="24"/>
          <w:szCs w:val="20"/>
          <w:lang w:val="en-US" w:eastAsia="zh-CN"/>
        </w:rPr>
        <w:t>资料</w:t>
      </w:r>
      <w:r>
        <w:rPr>
          <w:rFonts w:hint="eastAsia" w:ascii="宋体" w:hAnsi="宋体" w:cs="Arial"/>
          <w:kern w:val="0"/>
          <w:sz w:val="24"/>
          <w:szCs w:val="20"/>
        </w:rPr>
        <w:t>）</w:t>
      </w:r>
    </w:p>
    <w:p w14:paraId="21C0DE24">
      <w:pPr>
        <w:tabs>
          <w:tab w:val="left" w:pos="210"/>
        </w:tabs>
        <w:spacing w:line="320" w:lineRule="exact"/>
        <w:jc w:val="center"/>
        <w:rPr>
          <w:rFonts w:ascii="宋体" w:hAnsi="宋体" w:cs="Arial"/>
          <w:kern w:val="0"/>
          <w:sz w:val="24"/>
          <w:szCs w:val="20"/>
        </w:rPr>
      </w:pPr>
    </w:p>
    <w:p w14:paraId="00A2491C"/>
    <w:p w14:paraId="35E0BD2B">
      <w:pPr>
        <w:tabs>
          <w:tab w:val="left" w:pos="3300"/>
        </w:tabs>
        <w:bidi w:val="0"/>
        <w:jc w:val="left"/>
        <w:rPr>
          <w:rFonts w:hint="eastAsia"/>
          <w:lang w:val="en-US" w:eastAsia="zh-CN"/>
        </w:rPr>
      </w:pPr>
      <w:r>
        <w:rPr>
          <w:rFonts w:hint="eastAsia"/>
          <w:lang w:val="en-US" w:eastAsia="zh-CN"/>
        </w:rPr>
        <w:tab/>
      </w:r>
    </w:p>
    <w:p w14:paraId="088B872D">
      <w:pPr>
        <w:tabs>
          <w:tab w:val="left" w:pos="3300"/>
        </w:tabs>
        <w:bidi w:val="0"/>
        <w:jc w:val="center"/>
        <w:rPr>
          <w:rFonts w:ascii="宋体" w:cs="Times New Roman"/>
          <w:b/>
          <w:bCs/>
          <w:kern w:val="0"/>
          <w:sz w:val="24"/>
          <w:szCs w:val="24"/>
        </w:rPr>
      </w:pPr>
      <w:r>
        <w:rPr>
          <w:rFonts w:hint="eastAsia" w:ascii="宋体" w:hAnsi="宋体" w:cs="宋体"/>
          <w:b/>
          <w:bCs/>
          <w:kern w:val="0"/>
          <w:sz w:val="24"/>
          <w:szCs w:val="24"/>
        </w:rPr>
        <w:t>法定代表人授权书</w:t>
      </w:r>
    </w:p>
    <w:p w14:paraId="11EEBB22">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rPr>
      </w:pPr>
      <w:r>
        <w:rPr>
          <w:rFonts w:hint="eastAsia" w:ascii="宋体" w:hAnsi="宋体" w:cs="宋体"/>
          <w:sz w:val="24"/>
          <w:szCs w:val="24"/>
        </w:rPr>
        <w:t>安康尚昊招标代理有限公司：</w:t>
      </w:r>
    </w:p>
    <w:p w14:paraId="7FC89C77">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w:t>
      </w:r>
      <w:r>
        <w:rPr>
          <w:rFonts w:hint="eastAsia" w:ascii="宋体" w:hAnsi="宋体" w:cs="宋体"/>
          <w:sz w:val="24"/>
          <w:szCs w:val="24"/>
          <w:lang w:eastAsia="zh-CN"/>
        </w:rPr>
        <w:t>磋商</w:t>
      </w:r>
      <w:r>
        <w:rPr>
          <w:rFonts w:hint="eastAsia" w:ascii="宋体" w:hAnsi="宋体" w:cs="宋体"/>
          <w:sz w:val="24"/>
          <w:szCs w:val="24"/>
        </w:rPr>
        <w:t>、签订合同以及执行合同等一切事宜。</w:t>
      </w:r>
    </w:p>
    <w:p w14:paraId="6FE5F1A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Times New Roman"/>
          <w:sz w:val="24"/>
          <w:szCs w:val="24"/>
        </w:rPr>
      </w:pPr>
      <w:r>
        <w:rPr>
          <w:rFonts w:hint="eastAsia" w:ascii="宋体" w:hAnsi="宋体" w:cs="宋体"/>
          <w:sz w:val="24"/>
          <w:szCs w:val="24"/>
        </w:rPr>
        <w:t>有效期自</w:t>
      </w:r>
      <w:r>
        <w:rPr>
          <w:rFonts w:hint="eastAsia" w:ascii="宋体" w:hAnsi="宋体" w:cs="宋体"/>
          <w:sz w:val="24"/>
          <w:szCs w:val="24"/>
          <w:lang w:eastAsia="zh-CN"/>
        </w:rPr>
        <w:t>磋商</w:t>
      </w:r>
      <w:r>
        <w:rPr>
          <w:rFonts w:hint="eastAsia" w:ascii="宋体" w:hAnsi="宋体" w:cs="宋体"/>
          <w:sz w:val="24"/>
          <w:szCs w:val="24"/>
        </w:rPr>
        <w:t>之日起</w:t>
      </w:r>
      <w:r>
        <w:rPr>
          <w:rFonts w:hint="eastAsia" w:ascii="宋体" w:hAnsi="宋体" w:cs="宋体"/>
          <w:sz w:val="24"/>
          <w:szCs w:val="24"/>
          <w:u w:val="single"/>
          <w:lang w:val="en-US" w:eastAsia="zh-CN"/>
        </w:rPr>
        <w:t xml:space="preserve">     </w:t>
      </w:r>
      <w:r>
        <w:rPr>
          <w:rFonts w:hint="eastAsia" w:ascii="宋体" w:hAnsi="宋体" w:cs="宋体"/>
          <w:sz w:val="24"/>
          <w:szCs w:val="24"/>
        </w:rPr>
        <w:t>日历日，特此声明。</w:t>
      </w:r>
    </w:p>
    <w:p w14:paraId="57D0E1B8">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rPr>
        <w:t>供应商（单位名称及公章）：</w:t>
      </w:r>
      <w:r>
        <w:rPr>
          <w:rFonts w:ascii="宋体" w:hAnsi="宋体" w:cs="宋体"/>
          <w:sz w:val="24"/>
          <w:szCs w:val="24"/>
        </w:rPr>
        <w:t>________</w:t>
      </w:r>
    </w:p>
    <w:p w14:paraId="730E4833">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u w:val="single"/>
        </w:rPr>
      </w:pPr>
      <w:r>
        <w:rPr>
          <w:rFonts w:hint="eastAsia" w:ascii="宋体" w:hAnsi="宋体" w:cs="宋体"/>
          <w:sz w:val="24"/>
          <w:szCs w:val="24"/>
        </w:rPr>
        <w:t>法定代表人（签字或盖章）：</w:t>
      </w:r>
      <w:r>
        <w:rPr>
          <w:rFonts w:ascii="宋体" w:hAnsi="宋体" w:cs="宋体"/>
          <w:sz w:val="24"/>
          <w:szCs w:val="24"/>
        </w:rPr>
        <w:t>________</w:t>
      </w:r>
    </w:p>
    <w:p w14:paraId="2526901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rPr>
      </w:pP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w:t>
      </w:r>
      <w:r>
        <w:rPr>
          <w:rFonts w:ascii="宋体" w:hAnsi="宋体" w:cs="宋体"/>
          <w:sz w:val="24"/>
          <w:szCs w:val="24"/>
        </w:rPr>
        <w:t>________</w:t>
      </w:r>
      <w:r>
        <w:rPr>
          <w:rFonts w:hint="eastAsia" w:ascii="宋体" w:hAnsi="宋体" w:cs="宋体"/>
          <w:sz w:val="24"/>
          <w:szCs w:val="24"/>
        </w:rPr>
        <w:t>性别：</w:t>
      </w:r>
      <w:r>
        <w:rPr>
          <w:rFonts w:ascii="宋体" w:hAnsi="宋体" w:cs="宋体"/>
          <w:sz w:val="24"/>
          <w:szCs w:val="24"/>
        </w:rPr>
        <w:t>________</w:t>
      </w:r>
    </w:p>
    <w:p w14:paraId="0722ECB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u w:val="single"/>
        </w:rPr>
      </w:pPr>
      <w:r>
        <w:rPr>
          <w:rFonts w:hint="eastAsia" w:ascii="宋体" w:hAnsi="宋体" w:cs="宋体"/>
          <w:sz w:val="24"/>
          <w:szCs w:val="24"/>
        </w:rPr>
        <w:t>联系地址：</w:t>
      </w:r>
      <w:r>
        <w:rPr>
          <w:rFonts w:ascii="宋体" w:hAnsi="宋体" w:cs="宋体"/>
          <w:sz w:val="24"/>
          <w:szCs w:val="24"/>
        </w:rPr>
        <w:t>________________</w:t>
      </w:r>
    </w:p>
    <w:p w14:paraId="36CB8FB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u w:val="single"/>
        </w:rPr>
      </w:pPr>
      <w:r>
        <w:rPr>
          <w:rFonts w:hint="eastAsia" w:ascii="宋体" w:hAnsi="宋体" w:cs="宋体"/>
          <w:sz w:val="24"/>
          <w:szCs w:val="24"/>
        </w:rPr>
        <w:t>联系电话：</w:t>
      </w:r>
      <w:r>
        <w:rPr>
          <w:rFonts w:ascii="宋体" w:hAnsi="宋体" w:cs="宋体"/>
          <w:sz w:val="24"/>
          <w:szCs w:val="24"/>
        </w:rPr>
        <w:t>________________</w:t>
      </w:r>
    </w:p>
    <w:p w14:paraId="5DF90A7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rPr>
      </w:pPr>
      <w:r>
        <w:rPr>
          <w:rFonts w:hint="eastAsia" w:ascii="宋体" w:hAnsi="宋体" w:cs="宋体"/>
          <w:sz w:val="24"/>
          <w:szCs w:val="24"/>
        </w:rPr>
        <w:t>法定代表人及被授权人身份证复印件（注：身份证复印件须加盖企业公章）</w:t>
      </w:r>
    </w:p>
    <w:tbl>
      <w:tblPr>
        <w:tblStyle w:val="46"/>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7420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3AC3C4C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法定代表人身份证复印件（正面）</w:t>
            </w:r>
          </w:p>
        </w:tc>
        <w:tc>
          <w:tcPr>
            <w:tcW w:w="4483" w:type="dxa"/>
            <w:shd w:val="clear" w:color="auto" w:fill="D9D9D9"/>
            <w:vAlign w:val="center"/>
          </w:tcPr>
          <w:p w14:paraId="4AA7EE1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被授权人身份证复印件（正面）</w:t>
            </w:r>
          </w:p>
        </w:tc>
      </w:tr>
      <w:tr w14:paraId="7EAA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7561C3EB">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法定代表人身份证复印件（反面）</w:t>
            </w:r>
          </w:p>
        </w:tc>
        <w:tc>
          <w:tcPr>
            <w:tcW w:w="4483" w:type="dxa"/>
            <w:shd w:val="clear" w:color="auto" w:fill="D9D9D9"/>
            <w:vAlign w:val="center"/>
          </w:tcPr>
          <w:p w14:paraId="04C91B9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被授权人身份证复印件（反面）</w:t>
            </w:r>
          </w:p>
        </w:tc>
      </w:tr>
    </w:tbl>
    <w:p w14:paraId="7B92D1D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rPr>
        <w:t>说明：</w:t>
      </w:r>
    </w:p>
    <w:p w14:paraId="58CB06BF">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．本授权书有效期自</w:t>
      </w:r>
      <w:r>
        <w:rPr>
          <w:rFonts w:hint="eastAsia" w:ascii="宋体" w:hAnsi="宋体" w:cs="宋体"/>
          <w:sz w:val="24"/>
          <w:szCs w:val="24"/>
          <w:lang w:val="en-US" w:eastAsia="zh-CN"/>
        </w:rPr>
        <w:t>投标截止</w:t>
      </w:r>
      <w:r>
        <w:rPr>
          <w:rFonts w:hint="eastAsia" w:ascii="宋体" w:hAnsi="宋体" w:cs="宋体"/>
          <w:sz w:val="24"/>
          <w:szCs w:val="24"/>
        </w:rPr>
        <w:t>之日计算不得少于</w:t>
      </w:r>
      <w:r>
        <w:rPr>
          <w:rFonts w:ascii="宋体" w:hAnsi="宋体" w:cs="宋体"/>
          <w:sz w:val="24"/>
          <w:szCs w:val="24"/>
        </w:rPr>
        <w:t>90</w:t>
      </w:r>
      <w:r>
        <w:rPr>
          <w:rFonts w:hint="eastAsia" w:ascii="宋体" w:hAnsi="宋体" w:cs="宋体"/>
          <w:sz w:val="24"/>
          <w:szCs w:val="24"/>
        </w:rPr>
        <w:t>日历日。</w:t>
      </w:r>
    </w:p>
    <w:p w14:paraId="14BD45A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Ansi="宋体"/>
          <w:b/>
          <w:sz w:val="24"/>
          <w:szCs w:val="24"/>
        </w:rPr>
      </w:pPr>
      <w:r>
        <w:rPr>
          <w:rFonts w:ascii="宋体" w:hAnsi="宋体" w:cs="宋体"/>
          <w:sz w:val="24"/>
          <w:szCs w:val="24"/>
        </w:rPr>
        <w:t>2</w:t>
      </w:r>
      <w:r>
        <w:rPr>
          <w:rFonts w:hint="eastAsia" w:ascii="宋体" w:hAnsi="宋体" w:cs="宋体"/>
          <w:sz w:val="24"/>
          <w:szCs w:val="24"/>
        </w:rPr>
        <w:t>．授权书内容填写要明确，文字要工整清楚，涂改无效。</w:t>
      </w:r>
    </w:p>
    <w:p w14:paraId="36B2569B">
      <w:pPr>
        <w:spacing w:line="520" w:lineRule="exact"/>
        <w:jc w:val="center"/>
        <w:rPr>
          <w:rFonts w:hAnsi="宋体"/>
          <w:b/>
          <w:bCs/>
          <w:sz w:val="32"/>
          <w:szCs w:val="32"/>
        </w:rPr>
      </w:pPr>
    </w:p>
    <w:p w14:paraId="4232E2AA">
      <w:pPr>
        <w:pStyle w:val="2"/>
        <w:jc w:val="center"/>
        <w:rPr>
          <w:rFonts w:hint="eastAsia" w:ascii="宋体" w:hAnsi="宋体" w:eastAsia="宋体" w:cs="宋体"/>
        </w:rPr>
      </w:pPr>
      <w:bookmarkStart w:id="164" w:name="_Toc24284"/>
      <w:r>
        <w:rPr>
          <w:rFonts w:hint="eastAsia" w:ascii="宋体" w:hAnsi="宋体" w:eastAsia="宋体" w:cs="宋体"/>
        </w:rPr>
        <w:t>无重大违法记录声明</w:t>
      </w:r>
      <w:bookmarkEnd w:id="164"/>
    </w:p>
    <w:p w14:paraId="454F1B1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1E3489C">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4D8ECF7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3C91A4B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30D81C99">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7DEEF03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注：在对响应文件中此声明函真实性和有效性进行审查、验证时，如有造假/情况不一致/未按要求提供的，按无效文件处理。</w:t>
      </w:r>
    </w:p>
    <w:p w14:paraId="34151B28">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p>
    <w:p w14:paraId="27B4ADF6">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356A335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1A1B1CBA">
      <w:pPr>
        <w:adjustRightInd w:val="0"/>
        <w:snapToGrid w:val="0"/>
        <w:spacing w:line="480" w:lineRule="auto"/>
        <w:rPr>
          <w:rFonts w:hint="eastAsia" w:ascii="宋体" w:hAnsi="宋体" w:cs="宋体"/>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6AD8AE66">
      <w:pPr>
        <w:adjustRightInd w:val="0"/>
        <w:snapToGrid w:val="0"/>
        <w:spacing w:line="360" w:lineRule="auto"/>
        <w:jc w:val="center"/>
        <w:rPr>
          <w:rFonts w:hint="eastAsia" w:ascii="宋体" w:hAnsi="宋体" w:eastAsia="宋体" w:cs="宋体"/>
          <w:b/>
          <w:bCs/>
          <w:sz w:val="28"/>
          <w:szCs w:val="28"/>
        </w:rPr>
      </w:pPr>
    </w:p>
    <w:p w14:paraId="3AD92DFF">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投标人非联合体投标声明</w:t>
      </w:r>
    </w:p>
    <w:p w14:paraId="509C4D6B">
      <w:pPr>
        <w:adjustRightInd w:val="0"/>
        <w:snapToGrid w:val="0"/>
        <w:spacing w:line="360" w:lineRule="auto"/>
        <w:rPr>
          <w:rFonts w:hint="eastAsia" w:ascii="仿宋" w:hAnsi="仿宋" w:eastAsia="仿宋" w:cs="黑体"/>
          <w:bCs/>
          <w:sz w:val="28"/>
          <w:szCs w:val="28"/>
        </w:rPr>
      </w:pPr>
    </w:p>
    <w:p w14:paraId="072557C5">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2755F89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）招标内容，参与投标，提供采购人需求中规定的全部内容。本公司就参加投标工作，作出郑重声明：</w:t>
      </w:r>
    </w:p>
    <w:p w14:paraId="2857EA8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1.本公司保证在本项目投标中不与其他单位围标、串标，不出让投标资格，不向采购人、采购代理机构和评标委员会成员行贿。</w:t>
      </w:r>
    </w:p>
    <w:p w14:paraId="1D7930F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634DC7D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370C275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特此声明。</w:t>
      </w:r>
    </w:p>
    <w:p w14:paraId="7726C23C">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5B493B92">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6FC3F0D5">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7EB21A7A">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0B646EE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0EABEDA2">
      <w:pPr>
        <w:adjustRightInd w:val="0"/>
        <w:snapToGrid w:val="0"/>
        <w:spacing w:line="480" w:lineRule="auto"/>
        <w:rPr>
          <w:rFonts w:hint="eastAsia" w:ascii="宋体" w:hAnsi="宋体" w:cs="宋体"/>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5E2C02E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605FD24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F021B1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3B482F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5855FE">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3C82A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B1FF35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1212E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53C1BD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5DCA603">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345C419">
      <w:pPr>
        <w:pStyle w:val="130"/>
        <w:rPr>
          <w:rFonts w:hint="eastAsia"/>
          <w:lang w:val="en-US" w:eastAsia="zh-CN"/>
        </w:rPr>
      </w:pPr>
    </w:p>
    <w:p w14:paraId="6C7B3C5D">
      <w:pPr>
        <w:pStyle w:val="4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70D4B7D">
      <w:pPr>
        <w:pStyle w:val="18"/>
        <w:rPr>
          <w:rFonts w:hint="eastAsia" w:ascii="宋体" w:hAnsi="宋体" w:eastAsia="宋体" w:cs="宋体"/>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5E8D4E14">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中小企业声明函（货物）</w:t>
      </w:r>
    </w:p>
    <w:p w14:paraId="6A3E9EB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53EE50C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5530BBE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720497D1">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98DF16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337F1F7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30"/>
        <w:rPr>
          <w:rFonts w:hint="eastAsia"/>
          <w:lang w:val="en-US" w:eastAsia="zh-CN"/>
        </w:rPr>
      </w:pPr>
    </w:p>
    <w:p w14:paraId="1FC9E77D">
      <w:pPr>
        <w:pStyle w:val="4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28D45FF6">
      <w:pPr>
        <w:pStyle w:val="73"/>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5D4991C8">
      <w:pPr>
        <w:pStyle w:val="2"/>
        <w:ind w:firstLine="482" w:firstLineChars="150"/>
        <w:jc w:val="center"/>
        <w:rPr>
          <w:rFonts w:hint="eastAsia" w:eastAsia="宋体"/>
        </w:rPr>
      </w:pPr>
      <w:r>
        <w:rPr>
          <w:rFonts w:hint="eastAsia" w:ascii="Calibri Light" w:hAnsi="Calibri Light" w:cs="Times New Roman"/>
          <w:b/>
          <w:bCs/>
          <w:sz w:val="32"/>
          <w:szCs w:val="32"/>
          <w:lang w:val="en-US" w:eastAsia="zh-CN"/>
        </w:rPr>
        <w:t>四、</w:t>
      </w:r>
      <w:r>
        <w:rPr>
          <w:rFonts w:hint="eastAsia" w:eastAsia="宋体"/>
        </w:rPr>
        <w:t>技术</w:t>
      </w:r>
      <w:r>
        <w:rPr>
          <w:rFonts w:hint="eastAsia" w:eastAsia="宋体"/>
          <w:lang w:eastAsia="zh-CN"/>
        </w:rPr>
        <w:t>商务</w:t>
      </w:r>
      <w:r>
        <w:rPr>
          <w:rFonts w:hint="eastAsia" w:eastAsia="宋体"/>
        </w:rPr>
        <w:t>偏离表</w:t>
      </w:r>
    </w:p>
    <w:p w14:paraId="1655DDB2">
      <w:pPr>
        <w:pStyle w:val="2"/>
        <w:ind w:firstLine="422" w:firstLineChars="150"/>
        <w:jc w:val="center"/>
        <w:rPr>
          <w:rFonts w:hint="eastAsia"/>
        </w:rPr>
      </w:pPr>
      <w:r>
        <w:rPr>
          <w:rFonts w:hint="eastAsia"/>
        </w:rPr>
        <w:t>技术响应偏离表</w:t>
      </w:r>
    </w:p>
    <w:tbl>
      <w:tblPr>
        <w:tblStyle w:val="46"/>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E9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13CAF0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序号</w:t>
            </w:r>
          </w:p>
        </w:tc>
        <w:tc>
          <w:tcPr>
            <w:tcW w:w="2050" w:type="dxa"/>
            <w:vAlign w:val="center"/>
          </w:tcPr>
          <w:p w14:paraId="21BAA237">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b/>
                <w:szCs w:val="21"/>
                <w:lang w:val="en-US" w:eastAsia="zh-CN"/>
              </w:rPr>
            </w:pPr>
            <w:r>
              <w:rPr>
                <w:rFonts w:hint="eastAsia" w:ascii="宋体" w:hAnsi="宋体" w:eastAsia="宋体" w:cs="宋体"/>
                <w:b/>
                <w:szCs w:val="21"/>
                <w:lang w:val="en-US" w:eastAsia="zh-CN"/>
              </w:rPr>
              <w:t>磋商文件技术要</w:t>
            </w:r>
            <w:r>
              <w:rPr>
                <w:rFonts w:hint="eastAsia" w:ascii="宋体" w:hAnsi="宋体" w:cs="宋体"/>
                <w:b/>
                <w:szCs w:val="21"/>
                <w:lang w:val="en-US" w:eastAsia="zh-CN"/>
              </w:rPr>
              <w:t>求</w:t>
            </w:r>
          </w:p>
        </w:tc>
        <w:tc>
          <w:tcPr>
            <w:tcW w:w="3934" w:type="dxa"/>
            <w:vAlign w:val="center"/>
          </w:tcPr>
          <w:p w14:paraId="148DEA1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响应文件中主要技术</w:t>
            </w:r>
            <w:r>
              <w:rPr>
                <w:rFonts w:hint="eastAsia" w:ascii="宋体" w:hAnsi="宋体" w:cs="宋体"/>
                <w:b/>
                <w:szCs w:val="21"/>
                <w:lang w:val="en-US" w:eastAsia="zh-CN"/>
              </w:rPr>
              <w:t>应答</w:t>
            </w:r>
          </w:p>
        </w:tc>
        <w:tc>
          <w:tcPr>
            <w:tcW w:w="1583" w:type="dxa"/>
            <w:vAlign w:val="center"/>
          </w:tcPr>
          <w:p w14:paraId="6A2C7147">
            <w:pPr>
              <w:wordWrap w:val="0"/>
              <w:jc w:val="center"/>
              <w:rPr>
                <w:rFonts w:hint="eastAsia" w:ascii="宋体" w:hAnsi="宋体" w:eastAsia="宋体" w:cs="宋体"/>
                <w:b/>
                <w:szCs w:val="21"/>
              </w:rPr>
            </w:pPr>
            <w:r>
              <w:rPr>
                <w:rFonts w:hint="eastAsia" w:ascii="宋体" w:hAnsi="宋体" w:eastAsia="宋体" w:cs="宋体"/>
                <w:b/>
                <w:szCs w:val="21"/>
              </w:rPr>
              <w:t>偏离</w:t>
            </w:r>
          </w:p>
          <w:p w14:paraId="4CA3149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Cs w:val="21"/>
              </w:rPr>
              <w:t>（无/正/负）</w:t>
            </w:r>
          </w:p>
        </w:tc>
        <w:tc>
          <w:tcPr>
            <w:tcW w:w="1369" w:type="dxa"/>
            <w:vAlign w:val="center"/>
          </w:tcPr>
          <w:p w14:paraId="0E348E7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偏离简述</w:t>
            </w:r>
          </w:p>
        </w:tc>
      </w:tr>
      <w:tr w14:paraId="65E4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9867C8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050" w:type="dxa"/>
          </w:tcPr>
          <w:p w14:paraId="530E0E9B">
            <w:pPr>
              <w:jc w:val="center"/>
              <w:rPr>
                <w:rFonts w:ascii="宋体" w:hAnsi="宋体"/>
                <w:sz w:val="24"/>
                <w:szCs w:val="24"/>
              </w:rPr>
            </w:pPr>
          </w:p>
        </w:tc>
        <w:tc>
          <w:tcPr>
            <w:tcW w:w="3934" w:type="dxa"/>
          </w:tcPr>
          <w:p w14:paraId="34416A58">
            <w:pPr>
              <w:jc w:val="center"/>
              <w:rPr>
                <w:rFonts w:ascii="宋体" w:hAnsi="宋体"/>
                <w:sz w:val="24"/>
                <w:szCs w:val="24"/>
              </w:rPr>
            </w:pPr>
          </w:p>
        </w:tc>
        <w:tc>
          <w:tcPr>
            <w:tcW w:w="1583" w:type="dxa"/>
          </w:tcPr>
          <w:p w14:paraId="300122C1">
            <w:pPr>
              <w:jc w:val="center"/>
              <w:rPr>
                <w:rFonts w:ascii="宋体" w:hAnsi="宋体"/>
                <w:sz w:val="24"/>
                <w:szCs w:val="24"/>
              </w:rPr>
            </w:pPr>
          </w:p>
        </w:tc>
        <w:tc>
          <w:tcPr>
            <w:tcW w:w="1369" w:type="dxa"/>
          </w:tcPr>
          <w:p w14:paraId="5FD41A5A">
            <w:pPr>
              <w:jc w:val="center"/>
              <w:rPr>
                <w:rFonts w:ascii="宋体" w:hAnsi="宋体"/>
                <w:sz w:val="24"/>
                <w:szCs w:val="24"/>
              </w:rPr>
            </w:pPr>
          </w:p>
        </w:tc>
      </w:tr>
      <w:tr w14:paraId="4049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501ACF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050" w:type="dxa"/>
          </w:tcPr>
          <w:p w14:paraId="3D89E69F">
            <w:pPr>
              <w:jc w:val="center"/>
              <w:rPr>
                <w:rFonts w:ascii="宋体" w:hAnsi="宋体"/>
                <w:sz w:val="24"/>
                <w:szCs w:val="24"/>
              </w:rPr>
            </w:pPr>
          </w:p>
        </w:tc>
        <w:tc>
          <w:tcPr>
            <w:tcW w:w="3934" w:type="dxa"/>
          </w:tcPr>
          <w:p w14:paraId="744DA4C8">
            <w:pPr>
              <w:jc w:val="center"/>
              <w:rPr>
                <w:rFonts w:ascii="宋体" w:hAnsi="宋体"/>
                <w:sz w:val="24"/>
                <w:szCs w:val="24"/>
              </w:rPr>
            </w:pPr>
          </w:p>
        </w:tc>
        <w:tc>
          <w:tcPr>
            <w:tcW w:w="1583" w:type="dxa"/>
          </w:tcPr>
          <w:p w14:paraId="6A5C7C50">
            <w:pPr>
              <w:jc w:val="center"/>
              <w:rPr>
                <w:rFonts w:ascii="宋体" w:hAnsi="宋体"/>
                <w:sz w:val="24"/>
                <w:szCs w:val="24"/>
              </w:rPr>
            </w:pPr>
          </w:p>
        </w:tc>
        <w:tc>
          <w:tcPr>
            <w:tcW w:w="1369" w:type="dxa"/>
          </w:tcPr>
          <w:p w14:paraId="06966578">
            <w:pPr>
              <w:jc w:val="center"/>
              <w:rPr>
                <w:rFonts w:ascii="宋体" w:hAnsi="宋体"/>
                <w:sz w:val="24"/>
                <w:szCs w:val="24"/>
              </w:rPr>
            </w:pPr>
          </w:p>
        </w:tc>
      </w:tr>
      <w:tr w14:paraId="0673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F51253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050" w:type="dxa"/>
          </w:tcPr>
          <w:p w14:paraId="256EF2AC">
            <w:pPr>
              <w:jc w:val="center"/>
              <w:rPr>
                <w:rFonts w:ascii="宋体" w:hAnsi="宋体"/>
                <w:sz w:val="24"/>
                <w:szCs w:val="24"/>
              </w:rPr>
            </w:pPr>
          </w:p>
        </w:tc>
        <w:tc>
          <w:tcPr>
            <w:tcW w:w="3934" w:type="dxa"/>
          </w:tcPr>
          <w:p w14:paraId="44EABCF8">
            <w:pPr>
              <w:jc w:val="center"/>
              <w:rPr>
                <w:rFonts w:ascii="宋体" w:hAnsi="宋体"/>
                <w:sz w:val="24"/>
                <w:szCs w:val="24"/>
              </w:rPr>
            </w:pPr>
          </w:p>
        </w:tc>
        <w:tc>
          <w:tcPr>
            <w:tcW w:w="1583" w:type="dxa"/>
          </w:tcPr>
          <w:p w14:paraId="7FCB0B35">
            <w:pPr>
              <w:jc w:val="center"/>
              <w:rPr>
                <w:rFonts w:ascii="宋体" w:hAnsi="宋体"/>
                <w:sz w:val="24"/>
                <w:szCs w:val="24"/>
              </w:rPr>
            </w:pPr>
          </w:p>
        </w:tc>
        <w:tc>
          <w:tcPr>
            <w:tcW w:w="1369" w:type="dxa"/>
          </w:tcPr>
          <w:p w14:paraId="486179E2">
            <w:pPr>
              <w:jc w:val="center"/>
              <w:rPr>
                <w:rFonts w:ascii="宋体" w:hAnsi="宋体"/>
                <w:sz w:val="24"/>
                <w:szCs w:val="24"/>
              </w:rPr>
            </w:pPr>
          </w:p>
        </w:tc>
      </w:tr>
      <w:tr w14:paraId="18FE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6CC8C5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4</w:t>
            </w:r>
          </w:p>
        </w:tc>
        <w:tc>
          <w:tcPr>
            <w:tcW w:w="2050" w:type="dxa"/>
          </w:tcPr>
          <w:p w14:paraId="4C582A9C">
            <w:pPr>
              <w:jc w:val="center"/>
              <w:rPr>
                <w:rFonts w:ascii="宋体" w:hAnsi="宋体"/>
                <w:sz w:val="24"/>
                <w:szCs w:val="24"/>
              </w:rPr>
            </w:pPr>
          </w:p>
        </w:tc>
        <w:tc>
          <w:tcPr>
            <w:tcW w:w="3934" w:type="dxa"/>
          </w:tcPr>
          <w:p w14:paraId="5BC8E2DA">
            <w:pPr>
              <w:jc w:val="center"/>
              <w:rPr>
                <w:rFonts w:ascii="宋体" w:hAnsi="宋体"/>
                <w:sz w:val="24"/>
                <w:szCs w:val="24"/>
              </w:rPr>
            </w:pPr>
          </w:p>
        </w:tc>
        <w:tc>
          <w:tcPr>
            <w:tcW w:w="1583" w:type="dxa"/>
          </w:tcPr>
          <w:p w14:paraId="76C35AE7">
            <w:pPr>
              <w:jc w:val="center"/>
              <w:rPr>
                <w:rFonts w:ascii="宋体" w:hAnsi="宋体"/>
                <w:sz w:val="24"/>
                <w:szCs w:val="24"/>
              </w:rPr>
            </w:pPr>
          </w:p>
        </w:tc>
        <w:tc>
          <w:tcPr>
            <w:tcW w:w="1369" w:type="dxa"/>
          </w:tcPr>
          <w:p w14:paraId="5E353A19">
            <w:pPr>
              <w:jc w:val="center"/>
              <w:rPr>
                <w:rFonts w:ascii="宋体" w:hAnsi="宋体"/>
                <w:sz w:val="24"/>
                <w:szCs w:val="24"/>
              </w:rPr>
            </w:pPr>
          </w:p>
        </w:tc>
      </w:tr>
      <w:tr w14:paraId="6497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C5905F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w:t>
            </w:r>
          </w:p>
        </w:tc>
        <w:tc>
          <w:tcPr>
            <w:tcW w:w="2050" w:type="dxa"/>
          </w:tcPr>
          <w:p w14:paraId="197FFD7D">
            <w:pPr>
              <w:jc w:val="center"/>
              <w:rPr>
                <w:rFonts w:ascii="宋体" w:hAnsi="宋体"/>
                <w:sz w:val="24"/>
                <w:szCs w:val="24"/>
              </w:rPr>
            </w:pPr>
          </w:p>
        </w:tc>
        <w:tc>
          <w:tcPr>
            <w:tcW w:w="3934" w:type="dxa"/>
          </w:tcPr>
          <w:p w14:paraId="292E8518">
            <w:pPr>
              <w:jc w:val="center"/>
              <w:rPr>
                <w:rFonts w:ascii="宋体" w:hAnsi="宋体"/>
                <w:sz w:val="24"/>
                <w:szCs w:val="24"/>
              </w:rPr>
            </w:pPr>
          </w:p>
        </w:tc>
        <w:tc>
          <w:tcPr>
            <w:tcW w:w="1583" w:type="dxa"/>
          </w:tcPr>
          <w:p w14:paraId="140F3CCF">
            <w:pPr>
              <w:jc w:val="center"/>
              <w:rPr>
                <w:rFonts w:ascii="宋体" w:hAnsi="宋体"/>
                <w:sz w:val="24"/>
                <w:szCs w:val="24"/>
              </w:rPr>
            </w:pPr>
          </w:p>
        </w:tc>
        <w:tc>
          <w:tcPr>
            <w:tcW w:w="1369" w:type="dxa"/>
          </w:tcPr>
          <w:p w14:paraId="598B296F">
            <w:pPr>
              <w:jc w:val="center"/>
              <w:rPr>
                <w:rFonts w:ascii="宋体" w:hAnsi="宋体"/>
                <w:sz w:val="24"/>
                <w:szCs w:val="24"/>
              </w:rPr>
            </w:pPr>
          </w:p>
        </w:tc>
      </w:tr>
    </w:tbl>
    <w:p w14:paraId="50450740">
      <w:pPr>
        <w:spacing w:line="360" w:lineRule="auto"/>
        <w:rPr>
          <w:rFonts w:hint="eastAsia" w:ascii="宋体" w:hAnsi="宋体" w:cs="仿宋"/>
          <w:sz w:val="24"/>
          <w:szCs w:val="24"/>
        </w:rPr>
      </w:pPr>
      <w:r>
        <w:rPr>
          <w:rFonts w:hint="eastAsia" w:ascii="宋体" w:hAnsi="宋体" w:cs="仿宋"/>
          <w:sz w:val="24"/>
          <w:szCs w:val="24"/>
        </w:rPr>
        <w:t>注：投标人</w:t>
      </w:r>
      <w:r>
        <w:rPr>
          <w:rFonts w:hint="eastAsia" w:ascii="宋体" w:hAnsi="宋体" w:cs="仿宋"/>
          <w:sz w:val="24"/>
          <w:szCs w:val="24"/>
          <w:lang w:val="en-US" w:eastAsia="zh-CN"/>
        </w:rPr>
        <w:t>根据采购要求编写，</w:t>
      </w:r>
      <w:r>
        <w:rPr>
          <w:rFonts w:hint="eastAsia" w:ascii="宋体" w:hAnsi="宋体" w:cs="仿宋"/>
          <w:sz w:val="24"/>
          <w:szCs w:val="24"/>
        </w:rPr>
        <w:t>可根据实际情况自行扩展表格细项。</w:t>
      </w:r>
    </w:p>
    <w:p w14:paraId="78853C99">
      <w:pPr>
        <w:pStyle w:val="29"/>
      </w:pPr>
    </w:p>
    <w:p w14:paraId="76B4D890">
      <w:pPr>
        <w:pStyle w:val="29"/>
      </w:pPr>
    </w:p>
    <w:p w14:paraId="1F146BF0">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5A9FF24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70ACD71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079587AC">
      <w:pPr>
        <w:widowControl/>
        <w:jc w:val="left"/>
        <w:rPr>
          <w:sz w:val="18"/>
          <w:szCs w:val="18"/>
        </w:rPr>
      </w:pPr>
      <w:r>
        <w:br w:type="page"/>
      </w:r>
    </w:p>
    <w:p w14:paraId="78631FAF">
      <w:pPr>
        <w:pStyle w:val="2"/>
        <w:ind w:firstLine="422" w:firstLineChars="150"/>
        <w:jc w:val="center"/>
      </w:pPr>
      <w:bookmarkStart w:id="165" w:name="_Toc23258629"/>
      <w:bookmarkStart w:id="166" w:name="_Toc26541340"/>
      <w:r>
        <w:rPr>
          <w:rFonts w:hint="eastAsia"/>
        </w:rPr>
        <w:t>商务响应偏离表</w:t>
      </w:r>
      <w:bookmarkEnd w:id="165"/>
      <w:bookmarkEnd w:id="166"/>
    </w:p>
    <w:tbl>
      <w:tblPr>
        <w:tblStyle w:val="4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1EFC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ACB9A02">
            <w:pPr>
              <w:wordWrap w:val="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6DE9B4FE">
            <w:pPr>
              <w:wordWrap w:val="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21521F3F">
            <w:pPr>
              <w:wordWrap w:val="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6B0DC7AC">
            <w:pPr>
              <w:wordWrap w:val="0"/>
              <w:jc w:val="center"/>
              <w:rPr>
                <w:rFonts w:hint="eastAsia" w:ascii="宋体" w:hAnsi="宋体" w:eastAsia="宋体" w:cs="宋体"/>
                <w:b/>
                <w:szCs w:val="21"/>
              </w:rPr>
            </w:pPr>
            <w:r>
              <w:rPr>
                <w:rFonts w:hint="eastAsia" w:ascii="宋体" w:hAnsi="宋体" w:eastAsia="宋体" w:cs="宋体"/>
                <w:b/>
                <w:szCs w:val="21"/>
              </w:rPr>
              <w:t>偏离</w:t>
            </w:r>
          </w:p>
          <w:p w14:paraId="23AABE2F">
            <w:pPr>
              <w:wordWrap w:val="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C275ABB">
            <w:pPr>
              <w:wordWrap w:val="0"/>
              <w:jc w:val="center"/>
              <w:rPr>
                <w:rFonts w:hint="eastAsia" w:ascii="宋体" w:hAnsi="宋体" w:eastAsia="宋体" w:cs="宋体"/>
                <w:b/>
                <w:szCs w:val="21"/>
              </w:rPr>
            </w:pPr>
            <w:r>
              <w:rPr>
                <w:rFonts w:hint="eastAsia" w:ascii="宋体" w:hAnsi="宋体" w:eastAsia="宋体" w:cs="宋体"/>
                <w:b/>
                <w:szCs w:val="21"/>
              </w:rPr>
              <w:t>偏离简述</w:t>
            </w:r>
          </w:p>
        </w:tc>
      </w:tr>
      <w:tr w14:paraId="109A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4C032AF">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3CF8BD6E">
            <w:pPr>
              <w:spacing w:line="360" w:lineRule="auto"/>
              <w:rPr>
                <w:rFonts w:ascii="宋体" w:hAnsi="宋体"/>
                <w:sz w:val="24"/>
                <w:szCs w:val="24"/>
              </w:rPr>
            </w:pPr>
          </w:p>
        </w:tc>
        <w:tc>
          <w:tcPr>
            <w:tcW w:w="2552" w:type="dxa"/>
            <w:vAlign w:val="center"/>
          </w:tcPr>
          <w:p w14:paraId="7725B65F">
            <w:pPr>
              <w:spacing w:line="360" w:lineRule="auto"/>
              <w:rPr>
                <w:rFonts w:ascii="宋体" w:hAnsi="宋体"/>
                <w:sz w:val="24"/>
                <w:szCs w:val="24"/>
              </w:rPr>
            </w:pPr>
          </w:p>
        </w:tc>
        <w:tc>
          <w:tcPr>
            <w:tcW w:w="1516" w:type="dxa"/>
            <w:vAlign w:val="center"/>
          </w:tcPr>
          <w:p w14:paraId="05C14792">
            <w:pPr>
              <w:spacing w:line="360" w:lineRule="auto"/>
              <w:rPr>
                <w:rFonts w:ascii="宋体" w:hAnsi="宋体"/>
                <w:sz w:val="24"/>
                <w:szCs w:val="24"/>
              </w:rPr>
            </w:pPr>
          </w:p>
        </w:tc>
        <w:tc>
          <w:tcPr>
            <w:tcW w:w="1516" w:type="dxa"/>
            <w:vAlign w:val="center"/>
          </w:tcPr>
          <w:p w14:paraId="00466A86">
            <w:pPr>
              <w:spacing w:line="360" w:lineRule="auto"/>
              <w:rPr>
                <w:rFonts w:ascii="宋体" w:hAnsi="宋体"/>
                <w:sz w:val="24"/>
                <w:szCs w:val="24"/>
              </w:rPr>
            </w:pPr>
          </w:p>
        </w:tc>
      </w:tr>
      <w:tr w14:paraId="3E30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C437417">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303DC111">
            <w:pPr>
              <w:spacing w:line="360" w:lineRule="auto"/>
              <w:rPr>
                <w:rFonts w:ascii="宋体" w:hAnsi="宋体"/>
                <w:sz w:val="24"/>
                <w:szCs w:val="24"/>
              </w:rPr>
            </w:pPr>
          </w:p>
        </w:tc>
        <w:tc>
          <w:tcPr>
            <w:tcW w:w="2552" w:type="dxa"/>
            <w:vAlign w:val="center"/>
          </w:tcPr>
          <w:p w14:paraId="24B64B89">
            <w:pPr>
              <w:spacing w:line="360" w:lineRule="auto"/>
              <w:rPr>
                <w:rFonts w:ascii="宋体" w:hAnsi="宋体"/>
                <w:sz w:val="24"/>
                <w:szCs w:val="24"/>
              </w:rPr>
            </w:pPr>
          </w:p>
        </w:tc>
        <w:tc>
          <w:tcPr>
            <w:tcW w:w="1516" w:type="dxa"/>
            <w:vAlign w:val="center"/>
          </w:tcPr>
          <w:p w14:paraId="51142167">
            <w:pPr>
              <w:spacing w:line="360" w:lineRule="auto"/>
              <w:rPr>
                <w:rFonts w:ascii="宋体" w:hAnsi="宋体"/>
                <w:sz w:val="24"/>
                <w:szCs w:val="24"/>
              </w:rPr>
            </w:pPr>
          </w:p>
        </w:tc>
        <w:tc>
          <w:tcPr>
            <w:tcW w:w="1516" w:type="dxa"/>
            <w:vAlign w:val="center"/>
          </w:tcPr>
          <w:p w14:paraId="6C57C2AB">
            <w:pPr>
              <w:spacing w:line="360" w:lineRule="auto"/>
              <w:rPr>
                <w:rFonts w:ascii="宋体" w:hAnsi="宋体"/>
                <w:sz w:val="24"/>
                <w:szCs w:val="24"/>
              </w:rPr>
            </w:pPr>
          </w:p>
        </w:tc>
      </w:tr>
      <w:tr w14:paraId="1FC4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1E1459A">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7CAA0750">
            <w:pPr>
              <w:spacing w:line="360" w:lineRule="auto"/>
              <w:rPr>
                <w:rFonts w:ascii="宋体" w:hAnsi="宋体"/>
                <w:sz w:val="24"/>
                <w:szCs w:val="24"/>
              </w:rPr>
            </w:pPr>
          </w:p>
        </w:tc>
        <w:tc>
          <w:tcPr>
            <w:tcW w:w="2552" w:type="dxa"/>
            <w:vAlign w:val="center"/>
          </w:tcPr>
          <w:p w14:paraId="4D743329">
            <w:pPr>
              <w:spacing w:line="360" w:lineRule="auto"/>
              <w:rPr>
                <w:rFonts w:ascii="宋体" w:hAnsi="宋体"/>
                <w:sz w:val="24"/>
                <w:szCs w:val="24"/>
              </w:rPr>
            </w:pPr>
          </w:p>
        </w:tc>
        <w:tc>
          <w:tcPr>
            <w:tcW w:w="1516" w:type="dxa"/>
            <w:vAlign w:val="center"/>
          </w:tcPr>
          <w:p w14:paraId="1B5E1AEF">
            <w:pPr>
              <w:spacing w:line="360" w:lineRule="auto"/>
              <w:rPr>
                <w:rFonts w:ascii="宋体" w:hAnsi="宋体"/>
                <w:sz w:val="24"/>
                <w:szCs w:val="24"/>
              </w:rPr>
            </w:pPr>
          </w:p>
        </w:tc>
        <w:tc>
          <w:tcPr>
            <w:tcW w:w="1516" w:type="dxa"/>
            <w:vAlign w:val="center"/>
          </w:tcPr>
          <w:p w14:paraId="7D94F33D">
            <w:pPr>
              <w:spacing w:line="360" w:lineRule="auto"/>
              <w:rPr>
                <w:rFonts w:ascii="宋体" w:hAnsi="宋体"/>
                <w:sz w:val="24"/>
                <w:szCs w:val="24"/>
              </w:rPr>
            </w:pPr>
          </w:p>
        </w:tc>
      </w:tr>
      <w:tr w14:paraId="67D8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9CBC6FC">
            <w:pPr>
              <w:wordWrap w:val="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0B707F92">
            <w:pPr>
              <w:spacing w:line="360" w:lineRule="auto"/>
              <w:rPr>
                <w:rFonts w:ascii="宋体" w:hAnsi="宋体"/>
                <w:sz w:val="24"/>
                <w:szCs w:val="24"/>
              </w:rPr>
            </w:pPr>
          </w:p>
        </w:tc>
        <w:tc>
          <w:tcPr>
            <w:tcW w:w="2552" w:type="dxa"/>
            <w:vAlign w:val="center"/>
          </w:tcPr>
          <w:p w14:paraId="6EBE9150">
            <w:pPr>
              <w:spacing w:line="360" w:lineRule="auto"/>
              <w:rPr>
                <w:rFonts w:ascii="宋体" w:hAnsi="宋体"/>
                <w:sz w:val="24"/>
                <w:szCs w:val="24"/>
              </w:rPr>
            </w:pPr>
          </w:p>
        </w:tc>
        <w:tc>
          <w:tcPr>
            <w:tcW w:w="1516" w:type="dxa"/>
            <w:vAlign w:val="center"/>
          </w:tcPr>
          <w:p w14:paraId="77FB67CC">
            <w:pPr>
              <w:spacing w:line="360" w:lineRule="auto"/>
              <w:rPr>
                <w:rFonts w:ascii="宋体" w:hAnsi="宋体"/>
                <w:sz w:val="24"/>
                <w:szCs w:val="24"/>
              </w:rPr>
            </w:pPr>
          </w:p>
        </w:tc>
        <w:tc>
          <w:tcPr>
            <w:tcW w:w="1516" w:type="dxa"/>
            <w:vAlign w:val="center"/>
          </w:tcPr>
          <w:p w14:paraId="6B968A46">
            <w:pPr>
              <w:spacing w:line="360" w:lineRule="auto"/>
              <w:rPr>
                <w:rFonts w:ascii="宋体" w:hAnsi="宋体"/>
                <w:sz w:val="24"/>
                <w:szCs w:val="24"/>
              </w:rPr>
            </w:pPr>
          </w:p>
        </w:tc>
      </w:tr>
    </w:tbl>
    <w:p w14:paraId="4859D595">
      <w:pPr>
        <w:spacing w:line="360" w:lineRule="auto"/>
        <w:ind w:firstLine="482" w:firstLineChars="200"/>
        <w:rPr>
          <w:b/>
          <w:bCs/>
          <w:sz w:val="24"/>
          <w:szCs w:val="24"/>
        </w:rPr>
      </w:pPr>
      <w:r>
        <w:rPr>
          <w:rFonts w:hint="eastAsia" w:ascii="宋体" w:hAnsi="宋体"/>
          <w:b/>
          <w:bCs/>
          <w:sz w:val="24"/>
          <w:szCs w:val="24"/>
        </w:rPr>
        <w:t>注：对</w:t>
      </w:r>
      <w:r>
        <w:rPr>
          <w:rFonts w:hint="eastAsia" w:ascii="宋体" w:hAnsi="宋体"/>
          <w:b/>
          <w:bCs/>
          <w:sz w:val="24"/>
          <w:szCs w:val="24"/>
          <w:lang w:val="en-US" w:eastAsia="zh-CN"/>
        </w:rPr>
        <w:t>磋商</w:t>
      </w:r>
      <w:r>
        <w:rPr>
          <w:rFonts w:hint="eastAsia" w:ascii="宋体" w:hAnsi="宋体"/>
          <w:b/>
          <w:bCs/>
          <w:sz w:val="24"/>
          <w:szCs w:val="24"/>
        </w:rPr>
        <w:t>文件中要求的商务条款逐条响应并详细说明。</w:t>
      </w:r>
    </w:p>
    <w:p w14:paraId="50D8BD79">
      <w:pPr>
        <w:rPr>
          <w:sz w:val="24"/>
          <w:szCs w:val="24"/>
        </w:rPr>
      </w:pPr>
    </w:p>
    <w:p w14:paraId="190AEAFA">
      <w:pPr>
        <w:spacing w:line="360" w:lineRule="auto"/>
        <w:ind w:firstLine="420" w:firstLineChars="175"/>
        <w:rPr>
          <w:rFonts w:ascii="宋体" w:hAnsi="宋体"/>
          <w:sz w:val="24"/>
          <w:szCs w:val="24"/>
        </w:rPr>
      </w:pPr>
      <w:r>
        <w:rPr>
          <w:rFonts w:ascii="宋体" w:hAnsi="宋体"/>
          <w:sz w:val="24"/>
          <w:szCs w:val="24"/>
        </w:rPr>
        <w:t xml:space="preserve">    </w:t>
      </w:r>
    </w:p>
    <w:p w14:paraId="12E2E872">
      <w:pPr>
        <w:spacing w:line="360" w:lineRule="auto"/>
        <w:ind w:firstLine="420" w:firstLineChars="175"/>
        <w:rPr>
          <w:rFonts w:hint="eastAsia" w:ascii="宋体" w:hAnsi="宋体" w:cs="Times New Roman"/>
          <w:b/>
          <w:bCs/>
          <w:sz w:val="24"/>
          <w:szCs w:val="24"/>
        </w:rPr>
      </w:pPr>
      <w:r>
        <w:rPr>
          <w:rFonts w:hint="eastAsia" w:ascii="宋体" w:hAnsi="宋体"/>
          <w:sz w:val="24"/>
          <w:szCs w:val="24"/>
        </w:rPr>
        <w:t xml:space="preserve">   </w:t>
      </w:r>
    </w:p>
    <w:p w14:paraId="36B214C5">
      <w:pPr>
        <w:pStyle w:val="29"/>
      </w:pPr>
    </w:p>
    <w:p w14:paraId="1FB3987A">
      <w:pPr>
        <w:pStyle w:val="29"/>
      </w:pPr>
    </w:p>
    <w:p w14:paraId="114B3466">
      <w:pPr>
        <w:pStyle w:val="29"/>
      </w:pPr>
    </w:p>
    <w:p w14:paraId="6B5ADB94">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4F1659FC">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275EC82C">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28A6187">
      <w:pPr>
        <w:pStyle w:val="29"/>
      </w:pPr>
    </w:p>
    <w:p w14:paraId="583DB0CC">
      <w:pPr>
        <w:adjustRightInd w:val="0"/>
        <w:snapToGrid w:val="0"/>
        <w:spacing w:line="480" w:lineRule="auto"/>
        <w:rPr>
          <w:rFonts w:ascii="宋体" w:cs="Times New Roman"/>
          <w:sz w:val="24"/>
          <w:szCs w:val="24"/>
        </w:rPr>
      </w:pPr>
    </w:p>
    <w:p w14:paraId="3BB3723F">
      <w:pPr>
        <w:pStyle w:val="29"/>
      </w:pPr>
    </w:p>
    <w:p w14:paraId="7FDA4F4D">
      <w:pPr>
        <w:pStyle w:val="2"/>
        <w:pageBreakBefore/>
        <w:rPr>
          <w:rFonts w:ascii="宋体" w:hAnsi="宋体" w:cs="宋体"/>
        </w:rPr>
      </w:pPr>
      <w:bookmarkStart w:id="167" w:name="_Toc9172"/>
      <w:bookmarkStart w:id="168" w:name="_Toc536429339"/>
      <w:bookmarkStart w:id="169" w:name="_Toc536202399"/>
      <w:bookmarkStart w:id="170" w:name="_Toc536429392"/>
      <w:bookmarkStart w:id="171" w:name="_Toc19543359"/>
      <w:bookmarkStart w:id="172" w:name="_Toc536202330"/>
      <w:bookmarkStart w:id="173" w:name="_Toc14937"/>
      <w:bookmarkStart w:id="174" w:name="_Toc1803"/>
      <w:r>
        <w:rPr>
          <w:rFonts w:hint="eastAsia" w:ascii="宋体" w:hAnsi="宋体" w:cs="宋体"/>
        </w:rPr>
        <w:t>第五章</w:t>
      </w:r>
      <w:r>
        <w:rPr>
          <w:rFonts w:ascii="宋体" w:hAnsi="宋体" w:cs="宋体"/>
        </w:rPr>
        <w:t xml:space="preserve">  </w:t>
      </w:r>
      <w:bookmarkEnd w:id="167"/>
      <w:r>
        <w:rPr>
          <w:rFonts w:hint="eastAsia" w:ascii="宋体" w:hAnsi="宋体" w:cs="宋体"/>
          <w:lang w:val="en-US" w:eastAsia="zh-CN"/>
        </w:rPr>
        <w:t>响应</w:t>
      </w:r>
      <w:r>
        <w:rPr>
          <w:rFonts w:hint="eastAsia" w:ascii="宋体" w:hAnsi="宋体" w:cs="宋体"/>
        </w:rPr>
        <w:t>方案</w:t>
      </w:r>
      <w:bookmarkEnd w:id="168"/>
      <w:bookmarkEnd w:id="169"/>
      <w:bookmarkEnd w:id="170"/>
      <w:bookmarkEnd w:id="171"/>
      <w:bookmarkEnd w:id="172"/>
      <w:bookmarkEnd w:id="173"/>
    </w:p>
    <w:p w14:paraId="7A0A435B">
      <w:pPr>
        <w:overflowPunct/>
        <w:topLinePunct w:val="0"/>
        <w:bidi w:val="0"/>
        <w:spacing w:line="500" w:lineRule="atLeast"/>
        <w:ind w:firstLine="482" w:firstLineChars="200"/>
        <w:rPr>
          <w:rFonts w:hint="eastAsia" w:ascii="宋体" w:hAnsi="宋体" w:eastAsia="宋体" w:cs="宋体"/>
          <w:b/>
          <w:bCs/>
          <w:sz w:val="24"/>
          <w:szCs w:val="24"/>
        </w:rPr>
      </w:pPr>
      <w:bookmarkStart w:id="175" w:name="_Toc23258631"/>
      <w:bookmarkStart w:id="176" w:name="_Toc528240834"/>
      <w:bookmarkStart w:id="177" w:name="_Toc26541342"/>
      <w:bookmarkStart w:id="178" w:name="_Toc484198844"/>
      <w:bookmarkStart w:id="179"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w:t>
      </w:r>
      <w:r>
        <w:rPr>
          <w:rFonts w:hint="eastAsia" w:ascii="宋体" w:hAnsi="宋体" w:eastAsia="宋体" w:cs="宋体"/>
          <w:b/>
          <w:bCs/>
          <w:color w:val="auto"/>
          <w:sz w:val="24"/>
          <w:szCs w:val="24"/>
        </w:rPr>
        <w:t>合《</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rPr>
        <w:t>内容及要求》和编制的投标方案说明书，投标方案由供应商自行编写，无具体格式，包含但不限于以下内</w:t>
      </w:r>
      <w:r>
        <w:rPr>
          <w:rFonts w:hint="eastAsia" w:ascii="宋体" w:hAnsi="宋体" w:eastAsia="宋体" w:cs="宋体"/>
          <w:b/>
          <w:bCs/>
          <w:sz w:val="24"/>
          <w:szCs w:val="24"/>
        </w:rPr>
        <w:t>容：</w:t>
      </w:r>
    </w:p>
    <w:p w14:paraId="2F98BDCF">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1.总体实施方案</w:t>
      </w:r>
    </w:p>
    <w:p w14:paraId="2623934C">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2.人员配置及组织架构</w:t>
      </w:r>
    </w:p>
    <w:p w14:paraId="4B2700B2">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3.维保服务分析</w:t>
      </w:r>
    </w:p>
    <w:p w14:paraId="790F19CB">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4.企业内控制度</w:t>
      </w:r>
    </w:p>
    <w:p w14:paraId="6F1FFDF0">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5.应急事件处理预案</w:t>
      </w:r>
    </w:p>
    <w:p w14:paraId="2EEFEA02">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6.工具仪器</w:t>
      </w:r>
    </w:p>
    <w:p w14:paraId="23F85098">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7.类似项目业绩</w:t>
      </w:r>
    </w:p>
    <w:p w14:paraId="45081AF3">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8.备品配件质量保证及承诺</w:t>
      </w:r>
    </w:p>
    <w:p w14:paraId="6555F71F">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9.服务承诺和建议</w:t>
      </w:r>
    </w:p>
    <w:p w14:paraId="1F5A2DB4">
      <w:pPr>
        <w:keepNext w:val="0"/>
        <w:keepLines w:val="0"/>
        <w:pageBreakBefore w:val="0"/>
        <w:widowControl/>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10.供应商认为有必要提供的其他证明材料及情况说明</w:t>
      </w:r>
    </w:p>
    <w:p w14:paraId="07C51120">
      <w:pPr>
        <w:pStyle w:val="5"/>
        <w:keepNext/>
        <w:keepLines/>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宋体"/>
          <w:b w:val="0"/>
          <w:bCs w:val="0"/>
          <w:lang w:val="en-US" w:eastAsia="zh-CN"/>
        </w:rPr>
      </w:pPr>
      <w:r>
        <w:rPr>
          <w:rFonts w:hint="eastAsia" w:ascii="微软雅黑" w:hAnsi="微软雅黑" w:eastAsia="微软雅黑" w:cs="微软雅黑"/>
          <w:b w:val="0"/>
          <w:bCs w:val="0"/>
          <w:lang w:val="en-US" w:eastAsia="zh-CN"/>
        </w:rPr>
        <w:t>……</w:t>
      </w:r>
    </w:p>
    <w:p w14:paraId="2D214313">
      <w:pPr>
        <w:spacing w:line="520" w:lineRule="exact"/>
        <w:ind w:left="420" w:leftChars="200" w:firstLine="480" w:firstLineChars="200"/>
        <w:rPr>
          <w:rFonts w:ascii="宋体" w:hAnsi="宋体" w:cs="宋体"/>
          <w:color w:val="FF0000"/>
          <w:sz w:val="24"/>
        </w:rPr>
      </w:pPr>
    </w:p>
    <w:p w14:paraId="41F898A0">
      <w:pPr>
        <w:spacing w:line="460" w:lineRule="exact"/>
        <w:ind w:firstLine="480" w:firstLineChars="200"/>
        <w:jc w:val="left"/>
        <w:rPr>
          <w:rFonts w:hint="eastAsia" w:ascii="宋体" w:hAnsi="宋体" w:eastAsia="宋体" w:cs="宋体"/>
          <w:bCs/>
          <w:color w:val="auto"/>
          <w:sz w:val="24"/>
          <w:highlight w:val="none"/>
          <w:lang w:val="en-US" w:eastAsia="zh-CN"/>
        </w:rPr>
      </w:pPr>
    </w:p>
    <w:p w14:paraId="5C0522EF">
      <w:pPr>
        <w:pStyle w:val="70"/>
        <w:rPr>
          <w:rFonts w:hint="eastAsia"/>
        </w:rPr>
      </w:pPr>
    </w:p>
    <w:p w14:paraId="02FAF739">
      <w:pPr>
        <w:widowControl/>
        <w:jc w:val="left"/>
        <w:rPr>
          <w:rFonts w:ascii="宋体" w:hAnsi="宋体" w:cs="Times New Roman"/>
          <w:sz w:val="24"/>
          <w:szCs w:val="24"/>
        </w:rPr>
      </w:pPr>
      <w:r>
        <w:rPr>
          <w:rFonts w:ascii="宋体" w:hAnsi="宋体" w:cs="Times New Roman"/>
          <w:sz w:val="24"/>
          <w:szCs w:val="24"/>
        </w:rPr>
        <w:br w:type="page"/>
      </w:r>
    </w:p>
    <w:bookmarkEnd w:id="175"/>
    <w:bookmarkEnd w:id="176"/>
    <w:bookmarkEnd w:id="177"/>
    <w:bookmarkEnd w:id="178"/>
    <w:p w14:paraId="24A9A834">
      <w:pPr>
        <w:spacing w:line="360" w:lineRule="auto"/>
        <w:ind w:firstLine="482" w:firstLineChars="200"/>
        <w:jc w:val="center"/>
        <w:rPr>
          <w:rFonts w:hint="eastAsia" w:ascii="宋体" w:hAnsi="宋体"/>
          <w:b/>
          <w:bCs/>
          <w:sz w:val="24"/>
          <w:szCs w:val="24"/>
        </w:rPr>
      </w:pPr>
      <w:bookmarkStart w:id="180" w:name="_Hlt491766019"/>
      <w:bookmarkEnd w:id="180"/>
      <w:bookmarkStart w:id="181" w:name="_Hlt491765868"/>
      <w:bookmarkEnd w:id="181"/>
      <w:bookmarkStart w:id="182" w:name="_Hlt491572882"/>
      <w:bookmarkEnd w:id="182"/>
      <w:bookmarkStart w:id="183" w:name="_Hlt491765944"/>
      <w:bookmarkEnd w:id="183"/>
      <w:bookmarkStart w:id="184" w:name="_Hlt491573425"/>
      <w:bookmarkEnd w:id="184"/>
    </w:p>
    <w:bookmarkEnd w:id="179"/>
    <w:p w14:paraId="2964FF13">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拟担任本项目主要人员汇总表</w:t>
      </w:r>
    </w:p>
    <w:tbl>
      <w:tblPr>
        <w:tblStyle w:val="46"/>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72"/>
        <w:gridCol w:w="1153"/>
        <w:gridCol w:w="1442"/>
        <w:gridCol w:w="1441"/>
        <w:gridCol w:w="1543"/>
        <w:gridCol w:w="1332"/>
      </w:tblGrid>
      <w:tr w14:paraId="2A0C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2415" w:type="dxa"/>
            <w:gridSpan w:val="2"/>
            <w:vAlign w:val="center"/>
          </w:tcPr>
          <w:p w14:paraId="71F6CE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岗位名称   </w:t>
            </w:r>
          </w:p>
        </w:tc>
        <w:tc>
          <w:tcPr>
            <w:tcW w:w="1153" w:type="dxa"/>
            <w:vAlign w:val="center"/>
          </w:tcPr>
          <w:p w14:paraId="0953947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442" w:type="dxa"/>
            <w:vAlign w:val="center"/>
          </w:tcPr>
          <w:p w14:paraId="43F7643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学历、专业</w:t>
            </w:r>
          </w:p>
        </w:tc>
        <w:tc>
          <w:tcPr>
            <w:tcW w:w="1441" w:type="dxa"/>
            <w:vAlign w:val="center"/>
          </w:tcPr>
          <w:p w14:paraId="72184AE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从事年限、经验</w:t>
            </w:r>
          </w:p>
        </w:tc>
        <w:tc>
          <w:tcPr>
            <w:tcW w:w="1543" w:type="dxa"/>
            <w:vAlign w:val="center"/>
          </w:tcPr>
          <w:p w14:paraId="615C07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拟在该项目中担任的职务</w:t>
            </w:r>
          </w:p>
        </w:tc>
        <w:tc>
          <w:tcPr>
            <w:tcW w:w="1332" w:type="dxa"/>
            <w:vAlign w:val="center"/>
          </w:tcPr>
          <w:p w14:paraId="5984B1E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2445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43" w:type="dxa"/>
            <w:vMerge w:val="restart"/>
            <w:vAlign w:val="center"/>
          </w:tcPr>
          <w:p w14:paraId="32E7AB2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p w14:paraId="48DFED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目</w:t>
            </w:r>
          </w:p>
          <w:p w14:paraId="647EBD6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w:t>
            </w:r>
          </w:p>
          <w:p w14:paraId="0352F5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要</w:t>
            </w:r>
          </w:p>
          <w:p w14:paraId="6E9A964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p w14:paraId="0BFF19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员</w:t>
            </w:r>
          </w:p>
        </w:tc>
        <w:tc>
          <w:tcPr>
            <w:tcW w:w="1872" w:type="dxa"/>
            <w:vAlign w:val="center"/>
          </w:tcPr>
          <w:p w14:paraId="36B238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1153" w:type="dxa"/>
            <w:vAlign w:val="center"/>
          </w:tcPr>
          <w:p w14:paraId="6B2F0D3D">
            <w:pPr>
              <w:spacing w:line="360" w:lineRule="auto"/>
              <w:jc w:val="center"/>
              <w:rPr>
                <w:rFonts w:hint="eastAsia" w:ascii="宋体" w:hAnsi="宋体" w:eastAsia="宋体" w:cs="宋体"/>
                <w:sz w:val="24"/>
                <w:szCs w:val="24"/>
              </w:rPr>
            </w:pPr>
          </w:p>
        </w:tc>
        <w:tc>
          <w:tcPr>
            <w:tcW w:w="1442" w:type="dxa"/>
            <w:vAlign w:val="center"/>
          </w:tcPr>
          <w:p w14:paraId="0C7C5B51">
            <w:pPr>
              <w:spacing w:line="360" w:lineRule="auto"/>
              <w:jc w:val="center"/>
              <w:rPr>
                <w:rFonts w:hint="eastAsia" w:ascii="宋体" w:hAnsi="宋体" w:eastAsia="宋体" w:cs="宋体"/>
                <w:sz w:val="24"/>
                <w:szCs w:val="24"/>
              </w:rPr>
            </w:pPr>
          </w:p>
        </w:tc>
        <w:tc>
          <w:tcPr>
            <w:tcW w:w="1441" w:type="dxa"/>
            <w:vAlign w:val="center"/>
          </w:tcPr>
          <w:p w14:paraId="1B3F1032">
            <w:pPr>
              <w:spacing w:line="360" w:lineRule="auto"/>
              <w:jc w:val="center"/>
              <w:rPr>
                <w:rFonts w:hint="eastAsia" w:ascii="宋体" w:hAnsi="宋体" w:eastAsia="宋体" w:cs="宋体"/>
                <w:sz w:val="24"/>
                <w:szCs w:val="24"/>
              </w:rPr>
            </w:pPr>
          </w:p>
        </w:tc>
        <w:tc>
          <w:tcPr>
            <w:tcW w:w="1543" w:type="dxa"/>
            <w:vAlign w:val="center"/>
          </w:tcPr>
          <w:p w14:paraId="2475C5F4">
            <w:pPr>
              <w:spacing w:line="360" w:lineRule="auto"/>
              <w:jc w:val="center"/>
              <w:rPr>
                <w:rFonts w:hint="eastAsia" w:ascii="宋体" w:hAnsi="宋体" w:eastAsia="宋体" w:cs="宋体"/>
                <w:sz w:val="24"/>
                <w:szCs w:val="24"/>
              </w:rPr>
            </w:pPr>
          </w:p>
        </w:tc>
        <w:tc>
          <w:tcPr>
            <w:tcW w:w="1332" w:type="dxa"/>
            <w:vAlign w:val="center"/>
          </w:tcPr>
          <w:p w14:paraId="2E111FB4">
            <w:pPr>
              <w:spacing w:line="360" w:lineRule="auto"/>
              <w:jc w:val="center"/>
              <w:rPr>
                <w:rFonts w:hint="eastAsia" w:ascii="宋体" w:hAnsi="宋体" w:eastAsia="宋体" w:cs="宋体"/>
                <w:sz w:val="24"/>
                <w:szCs w:val="24"/>
              </w:rPr>
            </w:pPr>
          </w:p>
        </w:tc>
      </w:tr>
      <w:tr w14:paraId="7B83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43" w:type="dxa"/>
            <w:vMerge w:val="continue"/>
            <w:vAlign w:val="center"/>
          </w:tcPr>
          <w:p w14:paraId="24F2B51E">
            <w:pPr>
              <w:spacing w:line="360" w:lineRule="auto"/>
              <w:jc w:val="center"/>
              <w:rPr>
                <w:rFonts w:hint="eastAsia" w:ascii="宋体" w:hAnsi="宋体" w:eastAsia="宋体" w:cs="宋体"/>
                <w:sz w:val="24"/>
                <w:szCs w:val="24"/>
              </w:rPr>
            </w:pPr>
          </w:p>
        </w:tc>
        <w:tc>
          <w:tcPr>
            <w:tcW w:w="1872" w:type="dxa"/>
            <w:vAlign w:val="center"/>
          </w:tcPr>
          <w:p w14:paraId="64ADC280">
            <w:pPr>
              <w:spacing w:line="360" w:lineRule="auto"/>
              <w:jc w:val="center"/>
              <w:rPr>
                <w:rFonts w:hint="eastAsia" w:ascii="宋体" w:hAnsi="宋体" w:eastAsia="宋体" w:cs="宋体"/>
                <w:sz w:val="24"/>
                <w:szCs w:val="24"/>
              </w:rPr>
            </w:pPr>
          </w:p>
        </w:tc>
        <w:tc>
          <w:tcPr>
            <w:tcW w:w="1153" w:type="dxa"/>
            <w:vAlign w:val="center"/>
          </w:tcPr>
          <w:p w14:paraId="401B00AA">
            <w:pPr>
              <w:spacing w:line="360" w:lineRule="auto"/>
              <w:jc w:val="center"/>
              <w:rPr>
                <w:rFonts w:hint="eastAsia" w:ascii="宋体" w:hAnsi="宋体" w:eastAsia="宋体" w:cs="宋体"/>
                <w:sz w:val="24"/>
                <w:szCs w:val="24"/>
              </w:rPr>
            </w:pPr>
          </w:p>
        </w:tc>
        <w:tc>
          <w:tcPr>
            <w:tcW w:w="1442" w:type="dxa"/>
            <w:vAlign w:val="center"/>
          </w:tcPr>
          <w:p w14:paraId="0F22617E">
            <w:pPr>
              <w:spacing w:line="360" w:lineRule="auto"/>
              <w:jc w:val="center"/>
              <w:rPr>
                <w:rFonts w:hint="eastAsia" w:ascii="宋体" w:hAnsi="宋体" w:eastAsia="宋体" w:cs="宋体"/>
                <w:sz w:val="24"/>
                <w:szCs w:val="24"/>
              </w:rPr>
            </w:pPr>
          </w:p>
        </w:tc>
        <w:tc>
          <w:tcPr>
            <w:tcW w:w="1441" w:type="dxa"/>
            <w:vAlign w:val="center"/>
          </w:tcPr>
          <w:p w14:paraId="750C1DB1">
            <w:pPr>
              <w:spacing w:line="360" w:lineRule="auto"/>
              <w:jc w:val="center"/>
              <w:rPr>
                <w:rFonts w:hint="eastAsia" w:ascii="宋体" w:hAnsi="宋体" w:eastAsia="宋体" w:cs="宋体"/>
                <w:sz w:val="24"/>
                <w:szCs w:val="24"/>
              </w:rPr>
            </w:pPr>
          </w:p>
        </w:tc>
        <w:tc>
          <w:tcPr>
            <w:tcW w:w="1543" w:type="dxa"/>
            <w:vAlign w:val="center"/>
          </w:tcPr>
          <w:p w14:paraId="419B5E2F">
            <w:pPr>
              <w:spacing w:line="360" w:lineRule="auto"/>
              <w:jc w:val="center"/>
              <w:rPr>
                <w:rFonts w:hint="eastAsia" w:ascii="宋体" w:hAnsi="宋体" w:eastAsia="宋体" w:cs="宋体"/>
                <w:sz w:val="24"/>
                <w:szCs w:val="24"/>
              </w:rPr>
            </w:pPr>
          </w:p>
        </w:tc>
        <w:tc>
          <w:tcPr>
            <w:tcW w:w="1332" w:type="dxa"/>
            <w:vAlign w:val="center"/>
          </w:tcPr>
          <w:p w14:paraId="697610C1">
            <w:pPr>
              <w:spacing w:line="360" w:lineRule="auto"/>
              <w:jc w:val="center"/>
              <w:rPr>
                <w:rFonts w:hint="eastAsia" w:ascii="宋体" w:hAnsi="宋体" w:eastAsia="宋体" w:cs="宋体"/>
                <w:sz w:val="24"/>
                <w:szCs w:val="24"/>
              </w:rPr>
            </w:pPr>
          </w:p>
        </w:tc>
      </w:tr>
      <w:tr w14:paraId="6C1D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43" w:type="dxa"/>
            <w:vMerge w:val="continue"/>
            <w:vAlign w:val="center"/>
          </w:tcPr>
          <w:p w14:paraId="460C94DE">
            <w:pPr>
              <w:spacing w:line="360" w:lineRule="auto"/>
              <w:jc w:val="center"/>
              <w:rPr>
                <w:rFonts w:hint="eastAsia" w:ascii="宋体" w:hAnsi="宋体" w:eastAsia="宋体" w:cs="宋体"/>
                <w:sz w:val="24"/>
                <w:szCs w:val="24"/>
              </w:rPr>
            </w:pPr>
          </w:p>
        </w:tc>
        <w:tc>
          <w:tcPr>
            <w:tcW w:w="1872" w:type="dxa"/>
            <w:vAlign w:val="center"/>
          </w:tcPr>
          <w:p w14:paraId="022DE1A5">
            <w:pPr>
              <w:spacing w:line="360" w:lineRule="auto"/>
              <w:jc w:val="center"/>
              <w:rPr>
                <w:rFonts w:hint="eastAsia" w:ascii="宋体" w:hAnsi="宋体" w:eastAsia="宋体" w:cs="宋体"/>
                <w:sz w:val="24"/>
                <w:szCs w:val="24"/>
              </w:rPr>
            </w:pPr>
          </w:p>
        </w:tc>
        <w:tc>
          <w:tcPr>
            <w:tcW w:w="1153" w:type="dxa"/>
            <w:vAlign w:val="center"/>
          </w:tcPr>
          <w:p w14:paraId="6D6792D8">
            <w:pPr>
              <w:spacing w:line="360" w:lineRule="auto"/>
              <w:jc w:val="center"/>
              <w:rPr>
                <w:rFonts w:hint="eastAsia" w:ascii="宋体" w:hAnsi="宋体" w:eastAsia="宋体" w:cs="宋体"/>
                <w:sz w:val="24"/>
                <w:szCs w:val="24"/>
              </w:rPr>
            </w:pPr>
          </w:p>
        </w:tc>
        <w:tc>
          <w:tcPr>
            <w:tcW w:w="1442" w:type="dxa"/>
            <w:vAlign w:val="center"/>
          </w:tcPr>
          <w:p w14:paraId="055D8809">
            <w:pPr>
              <w:spacing w:line="360" w:lineRule="auto"/>
              <w:jc w:val="center"/>
              <w:rPr>
                <w:rFonts w:hint="eastAsia" w:ascii="宋体" w:hAnsi="宋体" w:eastAsia="宋体" w:cs="宋体"/>
                <w:sz w:val="24"/>
                <w:szCs w:val="24"/>
              </w:rPr>
            </w:pPr>
          </w:p>
        </w:tc>
        <w:tc>
          <w:tcPr>
            <w:tcW w:w="1441" w:type="dxa"/>
            <w:vAlign w:val="center"/>
          </w:tcPr>
          <w:p w14:paraId="09813069">
            <w:pPr>
              <w:spacing w:line="360" w:lineRule="auto"/>
              <w:jc w:val="center"/>
              <w:rPr>
                <w:rFonts w:hint="eastAsia" w:ascii="宋体" w:hAnsi="宋体" w:eastAsia="宋体" w:cs="宋体"/>
                <w:sz w:val="24"/>
                <w:szCs w:val="24"/>
              </w:rPr>
            </w:pPr>
          </w:p>
        </w:tc>
        <w:tc>
          <w:tcPr>
            <w:tcW w:w="1543" w:type="dxa"/>
            <w:vAlign w:val="center"/>
          </w:tcPr>
          <w:p w14:paraId="4B00E980">
            <w:pPr>
              <w:spacing w:line="360" w:lineRule="auto"/>
              <w:jc w:val="center"/>
              <w:rPr>
                <w:rFonts w:hint="eastAsia" w:ascii="宋体" w:hAnsi="宋体" w:eastAsia="宋体" w:cs="宋体"/>
                <w:sz w:val="24"/>
                <w:szCs w:val="24"/>
              </w:rPr>
            </w:pPr>
          </w:p>
        </w:tc>
        <w:tc>
          <w:tcPr>
            <w:tcW w:w="1332" w:type="dxa"/>
            <w:vAlign w:val="center"/>
          </w:tcPr>
          <w:p w14:paraId="31F441E8">
            <w:pPr>
              <w:spacing w:line="360" w:lineRule="auto"/>
              <w:jc w:val="center"/>
              <w:rPr>
                <w:rFonts w:hint="eastAsia" w:ascii="宋体" w:hAnsi="宋体" w:eastAsia="宋体" w:cs="宋体"/>
                <w:sz w:val="24"/>
                <w:szCs w:val="24"/>
              </w:rPr>
            </w:pPr>
          </w:p>
        </w:tc>
      </w:tr>
      <w:tr w14:paraId="2D09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3" w:type="dxa"/>
            <w:vMerge w:val="continue"/>
            <w:vAlign w:val="center"/>
          </w:tcPr>
          <w:p w14:paraId="491C8289">
            <w:pPr>
              <w:spacing w:line="360" w:lineRule="auto"/>
              <w:jc w:val="center"/>
              <w:rPr>
                <w:rFonts w:hint="eastAsia" w:ascii="宋体" w:hAnsi="宋体" w:eastAsia="宋体" w:cs="宋体"/>
                <w:sz w:val="24"/>
                <w:szCs w:val="24"/>
              </w:rPr>
            </w:pPr>
          </w:p>
        </w:tc>
        <w:tc>
          <w:tcPr>
            <w:tcW w:w="1872" w:type="dxa"/>
            <w:vAlign w:val="center"/>
          </w:tcPr>
          <w:p w14:paraId="1E251D65">
            <w:pPr>
              <w:spacing w:line="360" w:lineRule="auto"/>
              <w:jc w:val="center"/>
              <w:rPr>
                <w:rFonts w:hint="eastAsia" w:ascii="宋体" w:hAnsi="宋体" w:eastAsia="宋体" w:cs="宋体"/>
                <w:sz w:val="24"/>
                <w:szCs w:val="24"/>
              </w:rPr>
            </w:pPr>
          </w:p>
        </w:tc>
        <w:tc>
          <w:tcPr>
            <w:tcW w:w="1153" w:type="dxa"/>
            <w:vAlign w:val="center"/>
          </w:tcPr>
          <w:p w14:paraId="3EF70565">
            <w:pPr>
              <w:spacing w:line="360" w:lineRule="auto"/>
              <w:jc w:val="center"/>
              <w:rPr>
                <w:rFonts w:hint="eastAsia" w:ascii="宋体" w:hAnsi="宋体" w:eastAsia="宋体" w:cs="宋体"/>
                <w:sz w:val="24"/>
                <w:szCs w:val="24"/>
              </w:rPr>
            </w:pPr>
          </w:p>
        </w:tc>
        <w:tc>
          <w:tcPr>
            <w:tcW w:w="1442" w:type="dxa"/>
            <w:vAlign w:val="center"/>
          </w:tcPr>
          <w:p w14:paraId="6F2B72B7">
            <w:pPr>
              <w:spacing w:line="360" w:lineRule="auto"/>
              <w:jc w:val="center"/>
              <w:rPr>
                <w:rFonts w:hint="eastAsia" w:ascii="宋体" w:hAnsi="宋体" w:eastAsia="宋体" w:cs="宋体"/>
                <w:sz w:val="24"/>
                <w:szCs w:val="24"/>
              </w:rPr>
            </w:pPr>
          </w:p>
        </w:tc>
        <w:tc>
          <w:tcPr>
            <w:tcW w:w="1441" w:type="dxa"/>
            <w:vAlign w:val="center"/>
          </w:tcPr>
          <w:p w14:paraId="34DCEDC4">
            <w:pPr>
              <w:spacing w:line="360" w:lineRule="auto"/>
              <w:jc w:val="center"/>
              <w:rPr>
                <w:rFonts w:hint="eastAsia" w:ascii="宋体" w:hAnsi="宋体" w:eastAsia="宋体" w:cs="宋体"/>
                <w:sz w:val="24"/>
                <w:szCs w:val="24"/>
              </w:rPr>
            </w:pPr>
          </w:p>
        </w:tc>
        <w:tc>
          <w:tcPr>
            <w:tcW w:w="1543" w:type="dxa"/>
            <w:vAlign w:val="center"/>
          </w:tcPr>
          <w:p w14:paraId="36CC4DC2">
            <w:pPr>
              <w:spacing w:line="360" w:lineRule="auto"/>
              <w:jc w:val="center"/>
              <w:rPr>
                <w:rFonts w:hint="eastAsia" w:ascii="宋体" w:hAnsi="宋体" w:eastAsia="宋体" w:cs="宋体"/>
                <w:sz w:val="24"/>
                <w:szCs w:val="24"/>
              </w:rPr>
            </w:pPr>
          </w:p>
        </w:tc>
        <w:tc>
          <w:tcPr>
            <w:tcW w:w="1332" w:type="dxa"/>
            <w:vAlign w:val="center"/>
          </w:tcPr>
          <w:p w14:paraId="106C5A08">
            <w:pPr>
              <w:spacing w:line="360" w:lineRule="auto"/>
              <w:jc w:val="center"/>
              <w:rPr>
                <w:rFonts w:hint="eastAsia" w:ascii="宋体" w:hAnsi="宋体" w:eastAsia="宋体" w:cs="宋体"/>
                <w:sz w:val="24"/>
                <w:szCs w:val="24"/>
              </w:rPr>
            </w:pPr>
          </w:p>
        </w:tc>
      </w:tr>
      <w:tr w14:paraId="6BCA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3" w:type="dxa"/>
            <w:vMerge w:val="continue"/>
            <w:vAlign w:val="center"/>
          </w:tcPr>
          <w:p w14:paraId="6695F6DB">
            <w:pPr>
              <w:spacing w:line="360" w:lineRule="auto"/>
              <w:jc w:val="center"/>
              <w:rPr>
                <w:rFonts w:hint="eastAsia" w:ascii="宋体" w:hAnsi="宋体" w:eastAsia="宋体" w:cs="宋体"/>
                <w:sz w:val="24"/>
                <w:szCs w:val="24"/>
              </w:rPr>
            </w:pPr>
          </w:p>
        </w:tc>
        <w:tc>
          <w:tcPr>
            <w:tcW w:w="1872" w:type="dxa"/>
            <w:vAlign w:val="center"/>
          </w:tcPr>
          <w:p w14:paraId="4824B506">
            <w:pPr>
              <w:spacing w:line="360" w:lineRule="auto"/>
              <w:jc w:val="center"/>
              <w:rPr>
                <w:rFonts w:hint="eastAsia" w:ascii="宋体" w:hAnsi="宋体" w:eastAsia="宋体" w:cs="宋体"/>
                <w:sz w:val="24"/>
                <w:szCs w:val="24"/>
              </w:rPr>
            </w:pPr>
          </w:p>
        </w:tc>
        <w:tc>
          <w:tcPr>
            <w:tcW w:w="1153" w:type="dxa"/>
            <w:vAlign w:val="center"/>
          </w:tcPr>
          <w:p w14:paraId="122C221C">
            <w:pPr>
              <w:spacing w:line="360" w:lineRule="auto"/>
              <w:jc w:val="center"/>
              <w:rPr>
                <w:rFonts w:hint="eastAsia" w:ascii="宋体" w:hAnsi="宋体" w:eastAsia="宋体" w:cs="宋体"/>
                <w:sz w:val="24"/>
                <w:szCs w:val="24"/>
              </w:rPr>
            </w:pPr>
          </w:p>
        </w:tc>
        <w:tc>
          <w:tcPr>
            <w:tcW w:w="1442" w:type="dxa"/>
            <w:vAlign w:val="center"/>
          </w:tcPr>
          <w:p w14:paraId="55766E68">
            <w:pPr>
              <w:spacing w:line="360" w:lineRule="auto"/>
              <w:jc w:val="center"/>
              <w:rPr>
                <w:rFonts w:hint="eastAsia" w:ascii="宋体" w:hAnsi="宋体" w:eastAsia="宋体" w:cs="宋体"/>
                <w:sz w:val="24"/>
                <w:szCs w:val="24"/>
              </w:rPr>
            </w:pPr>
          </w:p>
        </w:tc>
        <w:tc>
          <w:tcPr>
            <w:tcW w:w="1441" w:type="dxa"/>
            <w:vAlign w:val="center"/>
          </w:tcPr>
          <w:p w14:paraId="430FFBDD">
            <w:pPr>
              <w:spacing w:line="360" w:lineRule="auto"/>
              <w:jc w:val="center"/>
              <w:rPr>
                <w:rFonts w:hint="eastAsia" w:ascii="宋体" w:hAnsi="宋体" w:eastAsia="宋体" w:cs="宋体"/>
                <w:sz w:val="24"/>
                <w:szCs w:val="24"/>
              </w:rPr>
            </w:pPr>
          </w:p>
        </w:tc>
        <w:tc>
          <w:tcPr>
            <w:tcW w:w="1543" w:type="dxa"/>
            <w:vAlign w:val="center"/>
          </w:tcPr>
          <w:p w14:paraId="69B8442F">
            <w:pPr>
              <w:spacing w:line="360" w:lineRule="auto"/>
              <w:jc w:val="center"/>
              <w:rPr>
                <w:rFonts w:hint="eastAsia" w:ascii="宋体" w:hAnsi="宋体" w:eastAsia="宋体" w:cs="宋体"/>
                <w:sz w:val="24"/>
                <w:szCs w:val="24"/>
              </w:rPr>
            </w:pPr>
          </w:p>
        </w:tc>
        <w:tc>
          <w:tcPr>
            <w:tcW w:w="1332" w:type="dxa"/>
            <w:vAlign w:val="center"/>
          </w:tcPr>
          <w:p w14:paraId="6FD59A40">
            <w:pPr>
              <w:spacing w:line="360" w:lineRule="auto"/>
              <w:jc w:val="center"/>
              <w:rPr>
                <w:rFonts w:hint="eastAsia" w:ascii="宋体" w:hAnsi="宋体" w:eastAsia="宋体" w:cs="宋体"/>
                <w:sz w:val="24"/>
                <w:szCs w:val="24"/>
              </w:rPr>
            </w:pPr>
          </w:p>
        </w:tc>
      </w:tr>
      <w:tr w14:paraId="2B05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43" w:type="dxa"/>
            <w:vMerge w:val="continue"/>
            <w:vAlign w:val="center"/>
          </w:tcPr>
          <w:p w14:paraId="64A60942">
            <w:pPr>
              <w:spacing w:line="360" w:lineRule="auto"/>
              <w:jc w:val="center"/>
              <w:rPr>
                <w:rFonts w:hint="eastAsia" w:ascii="宋体" w:hAnsi="宋体" w:eastAsia="宋体" w:cs="宋体"/>
                <w:sz w:val="24"/>
                <w:szCs w:val="24"/>
              </w:rPr>
            </w:pPr>
          </w:p>
        </w:tc>
        <w:tc>
          <w:tcPr>
            <w:tcW w:w="1872" w:type="dxa"/>
            <w:vAlign w:val="center"/>
          </w:tcPr>
          <w:p w14:paraId="765E2A62">
            <w:pPr>
              <w:spacing w:line="360" w:lineRule="auto"/>
              <w:jc w:val="center"/>
              <w:rPr>
                <w:rFonts w:hint="eastAsia" w:ascii="宋体" w:hAnsi="宋体" w:eastAsia="宋体" w:cs="宋体"/>
                <w:sz w:val="24"/>
                <w:szCs w:val="24"/>
              </w:rPr>
            </w:pPr>
          </w:p>
        </w:tc>
        <w:tc>
          <w:tcPr>
            <w:tcW w:w="1153" w:type="dxa"/>
            <w:vAlign w:val="center"/>
          </w:tcPr>
          <w:p w14:paraId="1B25EEF1">
            <w:pPr>
              <w:spacing w:line="360" w:lineRule="auto"/>
              <w:jc w:val="center"/>
              <w:rPr>
                <w:rFonts w:hint="eastAsia" w:ascii="宋体" w:hAnsi="宋体" w:eastAsia="宋体" w:cs="宋体"/>
                <w:sz w:val="24"/>
                <w:szCs w:val="24"/>
              </w:rPr>
            </w:pPr>
          </w:p>
        </w:tc>
        <w:tc>
          <w:tcPr>
            <w:tcW w:w="1442" w:type="dxa"/>
            <w:vAlign w:val="center"/>
          </w:tcPr>
          <w:p w14:paraId="4A749040">
            <w:pPr>
              <w:spacing w:line="360" w:lineRule="auto"/>
              <w:jc w:val="center"/>
              <w:rPr>
                <w:rFonts w:hint="eastAsia" w:ascii="宋体" w:hAnsi="宋体" w:eastAsia="宋体" w:cs="宋体"/>
                <w:sz w:val="24"/>
                <w:szCs w:val="24"/>
              </w:rPr>
            </w:pPr>
          </w:p>
        </w:tc>
        <w:tc>
          <w:tcPr>
            <w:tcW w:w="1441" w:type="dxa"/>
            <w:vAlign w:val="center"/>
          </w:tcPr>
          <w:p w14:paraId="1F9281D0">
            <w:pPr>
              <w:spacing w:line="360" w:lineRule="auto"/>
              <w:jc w:val="center"/>
              <w:rPr>
                <w:rFonts w:hint="eastAsia" w:ascii="宋体" w:hAnsi="宋体" w:eastAsia="宋体" w:cs="宋体"/>
                <w:sz w:val="24"/>
                <w:szCs w:val="24"/>
              </w:rPr>
            </w:pPr>
          </w:p>
        </w:tc>
        <w:tc>
          <w:tcPr>
            <w:tcW w:w="1543" w:type="dxa"/>
            <w:vAlign w:val="center"/>
          </w:tcPr>
          <w:p w14:paraId="6AC714AE">
            <w:pPr>
              <w:spacing w:line="360" w:lineRule="auto"/>
              <w:jc w:val="center"/>
              <w:rPr>
                <w:rFonts w:hint="eastAsia" w:ascii="宋体" w:hAnsi="宋体" w:eastAsia="宋体" w:cs="宋体"/>
                <w:sz w:val="24"/>
                <w:szCs w:val="24"/>
              </w:rPr>
            </w:pPr>
          </w:p>
        </w:tc>
        <w:tc>
          <w:tcPr>
            <w:tcW w:w="1332" w:type="dxa"/>
            <w:vAlign w:val="center"/>
          </w:tcPr>
          <w:p w14:paraId="442E50A4">
            <w:pPr>
              <w:spacing w:line="360" w:lineRule="auto"/>
              <w:jc w:val="center"/>
              <w:rPr>
                <w:rFonts w:hint="eastAsia" w:ascii="宋体" w:hAnsi="宋体" w:eastAsia="宋体" w:cs="宋体"/>
                <w:sz w:val="24"/>
                <w:szCs w:val="24"/>
              </w:rPr>
            </w:pPr>
          </w:p>
        </w:tc>
      </w:tr>
    </w:tbl>
    <w:p w14:paraId="0C0CE31D">
      <w:pPr>
        <w:spacing w:line="360" w:lineRule="auto"/>
        <w:ind w:right="-161"/>
        <w:rPr>
          <w:rFonts w:hint="eastAsia" w:ascii="宋体" w:hAnsi="宋体" w:cs="Times New Roman"/>
          <w:sz w:val="24"/>
          <w:szCs w:val="24"/>
        </w:rPr>
      </w:pPr>
    </w:p>
    <w:p w14:paraId="5C3D5D0E">
      <w:pPr>
        <w:jc w:val="left"/>
        <w:rPr>
          <w:rFonts w:hint="eastAsia"/>
        </w:rPr>
      </w:pPr>
      <w:r>
        <w:rPr>
          <w:rFonts w:hint="eastAsia" w:ascii="宋体" w:hAnsi="宋体" w:cs="宋体"/>
          <w:b/>
          <w:bCs/>
          <w:sz w:val="24"/>
          <w:szCs w:val="24"/>
          <w:lang w:val="en-US" w:eastAsia="zh-CN"/>
        </w:rPr>
        <w:t>备注：需提供拟投入技术人员的相关证明材料。</w:t>
      </w:r>
    </w:p>
    <w:p w14:paraId="6B80DBE0">
      <w:pPr>
        <w:adjustRightInd w:val="0"/>
        <w:snapToGrid w:val="0"/>
        <w:spacing w:line="480" w:lineRule="auto"/>
        <w:jc w:val="left"/>
        <w:rPr>
          <w:rFonts w:hint="eastAsia" w:cs="宋体" w:asciiTheme="minorEastAsia" w:hAnsiTheme="minorEastAsia" w:eastAsiaTheme="minorEastAsia"/>
          <w:sz w:val="28"/>
          <w:szCs w:val="28"/>
        </w:rPr>
      </w:pPr>
    </w:p>
    <w:p w14:paraId="4F8D0458">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6FD9C88C">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被授权人（签字）：</w:t>
      </w:r>
      <w:r>
        <w:rPr>
          <w:rFonts w:cs="宋体" w:asciiTheme="minorEastAsia" w:hAnsiTheme="minorEastAsia" w:eastAsiaTheme="minorEastAsia"/>
          <w:sz w:val="28"/>
          <w:szCs w:val="28"/>
        </w:rPr>
        <w:t>____________________</w:t>
      </w:r>
    </w:p>
    <w:p w14:paraId="179CA6B6">
      <w:pPr>
        <w:jc w:val="left"/>
        <w:rPr>
          <w:rFonts w:hint="default" w:ascii="宋体" w:hAnsi="宋体" w:eastAsia="宋体" w:cs="宋体"/>
          <w:b/>
          <w:bCs/>
          <w:sz w:val="24"/>
          <w:szCs w:val="24"/>
          <w:lang w:val="en-US" w:eastAsia="zh-CN"/>
        </w:rPr>
        <w:sectPr>
          <w:footerReference r:id="rId14"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498949B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业绩情况一览表</w:t>
      </w:r>
    </w:p>
    <w:p w14:paraId="15AE1F4A">
      <w:pPr>
        <w:pStyle w:val="69"/>
        <w:rPr>
          <w:rFonts w:hint="eastAsia"/>
          <w:lang w:val="en-US" w:eastAsia="zh-CN"/>
        </w:rPr>
      </w:pPr>
    </w:p>
    <w:tbl>
      <w:tblPr>
        <w:tblStyle w:val="4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6C38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BB71DDD">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1B479B0F">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0F3D80D4">
            <w:pPr>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5FB0F91F">
            <w:pPr>
              <w:wordWrap w:val="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677294E2">
            <w:pPr>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06671BAF">
            <w:pPr>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70FF023F">
            <w:pPr>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6F01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5E29CF">
            <w:pPr>
              <w:ind w:left="120"/>
              <w:jc w:val="center"/>
              <w:rPr>
                <w:rFonts w:ascii="宋体" w:hAnsi="宋体"/>
                <w:sz w:val="24"/>
                <w:szCs w:val="24"/>
              </w:rPr>
            </w:pPr>
            <w:r>
              <w:rPr>
                <w:rFonts w:hint="eastAsia" w:ascii="宋体" w:hAnsi="宋体"/>
                <w:sz w:val="24"/>
                <w:szCs w:val="24"/>
              </w:rPr>
              <w:t>1</w:t>
            </w:r>
          </w:p>
        </w:tc>
        <w:tc>
          <w:tcPr>
            <w:tcW w:w="1404" w:type="dxa"/>
            <w:vAlign w:val="center"/>
          </w:tcPr>
          <w:p w14:paraId="17A1E0F6">
            <w:pPr>
              <w:jc w:val="center"/>
              <w:rPr>
                <w:rFonts w:ascii="宋体" w:hAnsi="宋体"/>
                <w:sz w:val="24"/>
                <w:szCs w:val="24"/>
              </w:rPr>
            </w:pPr>
          </w:p>
        </w:tc>
        <w:tc>
          <w:tcPr>
            <w:tcW w:w="2069" w:type="dxa"/>
            <w:vAlign w:val="center"/>
          </w:tcPr>
          <w:p w14:paraId="16411B55">
            <w:pPr>
              <w:jc w:val="center"/>
              <w:rPr>
                <w:rFonts w:ascii="宋体" w:hAnsi="宋体"/>
                <w:sz w:val="24"/>
                <w:szCs w:val="24"/>
              </w:rPr>
            </w:pPr>
          </w:p>
        </w:tc>
        <w:tc>
          <w:tcPr>
            <w:tcW w:w="1244" w:type="dxa"/>
          </w:tcPr>
          <w:p w14:paraId="6422AF9A">
            <w:pPr>
              <w:jc w:val="center"/>
              <w:rPr>
                <w:rFonts w:ascii="宋体" w:hAnsi="宋体"/>
                <w:sz w:val="24"/>
                <w:szCs w:val="24"/>
              </w:rPr>
            </w:pPr>
          </w:p>
        </w:tc>
        <w:tc>
          <w:tcPr>
            <w:tcW w:w="1820" w:type="dxa"/>
          </w:tcPr>
          <w:p w14:paraId="10049A98">
            <w:pPr>
              <w:jc w:val="center"/>
              <w:rPr>
                <w:rFonts w:ascii="宋体" w:hAnsi="宋体"/>
                <w:sz w:val="24"/>
                <w:szCs w:val="24"/>
              </w:rPr>
            </w:pPr>
          </w:p>
        </w:tc>
        <w:tc>
          <w:tcPr>
            <w:tcW w:w="1820" w:type="dxa"/>
          </w:tcPr>
          <w:p w14:paraId="570C5603">
            <w:pPr>
              <w:jc w:val="center"/>
              <w:rPr>
                <w:rFonts w:ascii="宋体" w:hAnsi="宋体"/>
                <w:sz w:val="24"/>
                <w:szCs w:val="24"/>
              </w:rPr>
            </w:pPr>
          </w:p>
        </w:tc>
      </w:tr>
      <w:tr w14:paraId="1B74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13C4DD1">
            <w:pPr>
              <w:ind w:left="120"/>
              <w:jc w:val="center"/>
              <w:rPr>
                <w:rFonts w:ascii="宋体" w:hAnsi="宋体"/>
                <w:sz w:val="24"/>
                <w:szCs w:val="24"/>
              </w:rPr>
            </w:pPr>
            <w:r>
              <w:rPr>
                <w:rFonts w:hint="eastAsia" w:ascii="宋体" w:hAnsi="宋体"/>
                <w:sz w:val="24"/>
                <w:szCs w:val="24"/>
              </w:rPr>
              <w:t>2</w:t>
            </w:r>
          </w:p>
        </w:tc>
        <w:tc>
          <w:tcPr>
            <w:tcW w:w="1404" w:type="dxa"/>
            <w:vAlign w:val="center"/>
          </w:tcPr>
          <w:p w14:paraId="76D47358">
            <w:pPr>
              <w:jc w:val="center"/>
              <w:rPr>
                <w:rFonts w:ascii="宋体" w:hAnsi="宋体"/>
                <w:sz w:val="24"/>
                <w:szCs w:val="24"/>
              </w:rPr>
            </w:pPr>
          </w:p>
        </w:tc>
        <w:tc>
          <w:tcPr>
            <w:tcW w:w="2069" w:type="dxa"/>
            <w:vAlign w:val="center"/>
          </w:tcPr>
          <w:p w14:paraId="47B29965">
            <w:pPr>
              <w:jc w:val="center"/>
              <w:rPr>
                <w:rFonts w:ascii="宋体" w:hAnsi="宋体"/>
                <w:sz w:val="24"/>
                <w:szCs w:val="24"/>
              </w:rPr>
            </w:pPr>
          </w:p>
        </w:tc>
        <w:tc>
          <w:tcPr>
            <w:tcW w:w="1244" w:type="dxa"/>
          </w:tcPr>
          <w:p w14:paraId="3692751A">
            <w:pPr>
              <w:jc w:val="center"/>
              <w:rPr>
                <w:rFonts w:ascii="宋体" w:hAnsi="宋体"/>
                <w:sz w:val="24"/>
                <w:szCs w:val="24"/>
              </w:rPr>
            </w:pPr>
          </w:p>
        </w:tc>
        <w:tc>
          <w:tcPr>
            <w:tcW w:w="1820" w:type="dxa"/>
          </w:tcPr>
          <w:p w14:paraId="3C96E8F5">
            <w:pPr>
              <w:jc w:val="center"/>
              <w:rPr>
                <w:rFonts w:ascii="宋体" w:hAnsi="宋体"/>
                <w:sz w:val="24"/>
                <w:szCs w:val="24"/>
              </w:rPr>
            </w:pPr>
          </w:p>
        </w:tc>
        <w:tc>
          <w:tcPr>
            <w:tcW w:w="1820" w:type="dxa"/>
          </w:tcPr>
          <w:p w14:paraId="556C102B">
            <w:pPr>
              <w:jc w:val="center"/>
              <w:rPr>
                <w:rFonts w:ascii="宋体" w:hAnsi="宋体"/>
                <w:sz w:val="24"/>
                <w:szCs w:val="24"/>
              </w:rPr>
            </w:pPr>
          </w:p>
        </w:tc>
      </w:tr>
      <w:tr w14:paraId="420D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95E64A5">
            <w:pPr>
              <w:ind w:left="120"/>
              <w:jc w:val="center"/>
              <w:rPr>
                <w:rFonts w:ascii="宋体" w:hAnsi="宋体"/>
                <w:sz w:val="24"/>
                <w:szCs w:val="24"/>
              </w:rPr>
            </w:pPr>
            <w:r>
              <w:rPr>
                <w:rFonts w:hint="eastAsia" w:ascii="宋体" w:hAnsi="宋体"/>
                <w:sz w:val="24"/>
                <w:szCs w:val="24"/>
              </w:rPr>
              <w:t>3</w:t>
            </w:r>
          </w:p>
        </w:tc>
        <w:tc>
          <w:tcPr>
            <w:tcW w:w="1404" w:type="dxa"/>
            <w:vAlign w:val="center"/>
          </w:tcPr>
          <w:p w14:paraId="3B9E1437">
            <w:pPr>
              <w:jc w:val="center"/>
              <w:rPr>
                <w:rFonts w:ascii="宋体" w:hAnsi="宋体"/>
                <w:sz w:val="24"/>
                <w:szCs w:val="24"/>
              </w:rPr>
            </w:pPr>
          </w:p>
        </w:tc>
        <w:tc>
          <w:tcPr>
            <w:tcW w:w="2069" w:type="dxa"/>
            <w:vAlign w:val="center"/>
          </w:tcPr>
          <w:p w14:paraId="273487FA">
            <w:pPr>
              <w:jc w:val="center"/>
              <w:rPr>
                <w:rFonts w:ascii="宋体" w:hAnsi="宋体"/>
                <w:sz w:val="24"/>
                <w:szCs w:val="24"/>
              </w:rPr>
            </w:pPr>
          </w:p>
        </w:tc>
        <w:tc>
          <w:tcPr>
            <w:tcW w:w="1244" w:type="dxa"/>
          </w:tcPr>
          <w:p w14:paraId="293481EF">
            <w:pPr>
              <w:jc w:val="center"/>
              <w:rPr>
                <w:rFonts w:ascii="宋体" w:hAnsi="宋体"/>
                <w:sz w:val="24"/>
                <w:szCs w:val="24"/>
              </w:rPr>
            </w:pPr>
          </w:p>
        </w:tc>
        <w:tc>
          <w:tcPr>
            <w:tcW w:w="1820" w:type="dxa"/>
          </w:tcPr>
          <w:p w14:paraId="713CE457">
            <w:pPr>
              <w:jc w:val="center"/>
              <w:rPr>
                <w:rFonts w:ascii="宋体" w:hAnsi="宋体"/>
                <w:sz w:val="24"/>
                <w:szCs w:val="24"/>
              </w:rPr>
            </w:pPr>
          </w:p>
        </w:tc>
        <w:tc>
          <w:tcPr>
            <w:tcW w:w="1820" w:type="dxa"/>
          </w:tcPr>
          <w:p w14:paraId="1A1D3F15">
            <w:pPr>
              <w:jc w:val="center"/>
              <w:rPr>
                <w:rFonts w:ascii="宋体" w:hAnsi="宋体"/>
                <w:sz w:val="24"/>
                <w:szCs w:val="24"/>
              </w:rPr>
            </w:pPr>
          </w:p>
        </w:tc>
      </w:tr>
      <w:tr w14:paraId="5B7B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52637B2">
            <w:pPr>
              <w:ind w:left="120"/>
              <w:jc w:val="center"/>
              <w:rPr>
                <w:rFonts w:ascii="宋体" w:hAnsi="宋体"/>
                <w:sz w:val="24"/>
                <w:szCs w:val="24"/>
              </w:rPr>
            </w:pPr>
            <w:r>
              <w:rPr>
                <w:rFonts w:hint="eastAsia" w:ascii="宋体" w:hAnsi="宋体"/>
                <w:sz w:val="24"/>
                <w:szCs w:val="24"/>
              </w:rPr>
              <w:t>4</w:t>
            </w:r>
          </w:p>
        </w:tc>
        <w:tc>
          <w:tcPr>
            <w:tcW w:w="1404" w:type="dxa"/>
            <w:vAlign w:val="center"/>
          </w:tcPr>
          <w:p w14:paraId="1EB51CE4">
            <w:pPr>
              <w:jc w:val="center"/>
              <w:rPr>
                <w:rFonts w:ascii="宋体" w:hAnsi="宋体"/>
                <w:sz w:val="24"/>
                <w:szCs w:val="24"/>
              </w:rPr>
            </w:pPr>
          </w:p>
        </w:tc>
        <w:tc>
          <w:tcPr>
            <w:tcW w:w="2069" w:type="dxa"/>
            <w:vAlign w:val="center"/>
          </w:tcPr>
          <w:p w14:paraId="0E52423F">
            <w:pPr>
              <w:jc w:val="center"/>
              <w:rPr>
                <w:rFonts w:ascii="宋体" w:hAnsi="宋体"/>
                <w:sz w:val="24"/>
                <w:szCs w:val="24"/>
              </w:rPr>
            </w:pPr>
          </w:p>
        </w:tc>
        <w:tc>
          <w:tcPr>
            <w:tcW w:w="1244" w:type="dxa"/>
          </w:tcPr>
          <w:p w14:paraId="7677DBF8">
            <w:pPr>
              <w:jc w:val="center"/>
              <w:rPr>
                <w:rFonts w:ascii="宋体" w:hAnsi="宋体"/>
                <w:sz w:val="24"/>
                <w:szCs w:val="24"/>
              </w:rPr>
            </w:pPr>
          </w:p>
        </w:tc>
        <w:tc>
          <w:tcPr>
            <w:tcW w:w="1820" w:type="dxa"/>
          </w:tcPr>
          <w:p w14:paraId="057F5E37">
            <w:pPr>
              <w:jc w:val="center"/>
              <w:rPr>
                <w:rFonts w:ascii="宋体" w:hAnsi="宋体"/>
                <w:sz w:val="24"/>
                <w:szCs w:val="24"/>
              </w:rPr>
            </w:pPr>
          </w:p>
        </w:tc>
        <w:tc>
          <w:tcPr>
            <w:tcW w:w="1820" w:type="dxa"/>
          </w:tcPr>
          <w:p w14:paraId="4FDD939D">
            <w:pPr>
              <w:jc w:val="center"/>
              <w:rPr>
                <w:rFonts w:ascii="宋体" w:hAnsi="宋体"/>
                <w:sz w:val="24"/>
                <w:szCs w:val="24"/>
              </w:rPr>
            </w:pPr>
          </w:p>
        </w:tc>
      </w:tr>
      <w:tr w14:paraId="6E4F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9151603">
            <w:pPr>
              <w:ind w:left="120"/>
              <w:jc w:val="center"/>
              <w:rPr>
                <w:rFonts w:ascii="宋体" w:hAnsi="宋体"/>
                <w:sz w:val="24"/>
                <w:szCs w:val="24"/>
              </w:rPr>
            </w:pPr>
            <w:r>
              <w:rPr>
                <w:rFonts w:hint="eastAsia" w:ascii="宋体" w:hAnsi="宋体"/>
                <w:sz w:val="24"/>
                <w:szCs w:val="24"/>
              </w:rPr>
              <w:t>5</w:t>
            </w:r>
          </w:p>
        </w:tc>
        <w:tc>
          <w:tcPr>
            <w:tcW w:w="1404" w:type="dxa"/>
            <w:vAlign w:val="center"/>
          </w:tcPr>
          <w:p w14:paraId="6B745497">
            <w:pPr>
              <w:jc w:val="center"/>
              <w:rPr>
                <w:rFonts w:ascii="宋体" w:hAnsi="宋体"/>
                <w:sz w:val="24"/>
                <w:szCs w:val="24"/>
              </w:rPr>
            </w:pPr>
          </w:p>
        </w:tc>
        <w:tc>
          <w:tcPr>
            <w:tcW w:w="2069" w:type="dxa"/>
            <w:vAlign w:val="center"/>
          </w:tcPr>
          <w:p w14:paraId="186890EE">
            <w:pPr>
              <w:jc w:val="center"/>
              <w:rPr>
                <w:rFonts w:ascii="宋体" w:hAnsi="宋体"/>
                <w:sz w:val="24"/>
                <w:szCs w:val="24"/>
              </w:rPr>
            </w:pPr>
          </w:p>
        </w:tc>
        <w:tc>
          <w:tcPr>
            <w:tcW w:w="1244" w:type="dxa"/>
          </w:tcPr>
          <w:p w14:paraId="5E3137F2">
            <w:pPr>
              <w:jc w:val="center"/>
              <w:rPr>
                <w:rFonts w:ascii="宋体" w:hAnsi="宋体"/>
                <w:sz w:val="24"/>
                <w:szCs w:val="24"/>
              </w:rPr>
            </w:pPr>
          </w:p>
        </w:tc>
        <w:tc>
          <w:tcPr>
            <w:tcW w:w="1820" w:type="dxa"/>
          </w:tcPr>
          <w:p w14:paraId="7BC70707">
            <w:pPr>
              <w:jc w:val="center"/>
              <w:rPr>
                <w:rFonts w:ascii="宋体" w:hAnsi="宋体"/>
                <w:sz w:val="24"/>
                <w:szCs w:val="24"/>
              </w:rPr>
            </w:pPr>
          </w:p>
        </w:tc>
        <w:tc>
          <w:tcPr>
            <w:tcW w:w="1820" w:type="dxa"/>
          </w:tcPr>
          <w:p w14:paraId="3F37CCCF">
            <w:pPr>
              <w:jc w:val="center"/>
              <w:rPr>
                <w:rFonts w:ascii="宋体" w:hAnsi="宋体"/>
                <w:sz w:val="24"/>
                <w:szCs w:val="24"/>
              </w:rPr>
            </w:pPr>
          </w:p>
        </w:tc>
      </w:tr>
      <w:tr w14:paraId="34F2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54F7DF8">
            <w:pPr>
              <w:jc w:val="center"/>
              <w:rPr>
                <w:rFonts w:ascii="宋体" w:hAnsi="宋体"/>
                <w:sz w:val="24"/>
                <w:szCs w:val="24"/>
              </w:rPr>
            </w:pPr>
            <w:r>
              <w:rPr>
                <w:rFonts w:hint="eastAsia" w:ascii="宋体" w:hAnsi="宋体"/>
                <w:sz w:val="24"/>
                <w:szCs w:val="24"/>
              </w:rPr>
              <w:t>…</w:t>
            </w:r>
          </w:p>
        </w:tc>
        <w:tc>
          <w:tcPr>
            <w:tcW w:w="1404" w:type="dxa"/>
            <w:vAlign w:val="center"/>
          </w:tcPr>
          <w:p w14:paraId="3DEB1F21">
            <w:pPr>
              <w:jc w:val="center"/>
              <w:rPr>
                <w:rFonts w:ascii="宋体" w:hAnsi="宋体"/>
                <w:sz w:val="24"/>
                <w:szCs w:val="24"/>
              </w:rPr>
            </w:pPr>
          </w:p>
        </w:tc>
        <w:tc>
          <w:tcPr>
            <w:tcW w:w="2069" w:type="dxa"/>
            <w:vAlign w:val="center"/>
          </w:tcPr>
          <w:p w14:paraId="54B3E807">
            <w:pPr>
              <w:jc w:val="center"/>
              <w:rPr>
                <w:rFonts w:ascii="宋体" w:hAnsi="宋体"/>
                <w:sz w:val="24"/>
                <w:szCs w:val="24"/>
              </w:rPr>
            </w:pPr>
          </w:p>
        </w:tc>
        <w:tc>
          <w:tcPr>
            <w:tcW w:w="1244" w:type="dxa"/>
          </w:tcPr>
          <w:p w14:paraId="2B90D311">
            <w:pPr>
              <w:jc w:val="center"/>
              <w:rPr>
                <w:rFonts w:ascii="宋体" w:hAnsi="宋体"/>
                <w:sz w:val="24"/>
                <w:szCs w:val="24"/>
              </w:rPr>
            </w:pPr>
          </w:p>
        </w:tc>
        <w:tc>
          <w:tcPr>
            <w:tcW w:w="1820" w:type="dxa"/>
          </w:tcPr>
          <w:p w14:paraId="01913BD7">
            <w:pPr>
              <w:jc w:val="center"/>
              <w:rPr>
                <w:rFonts w:ascii="宋体" w:hAnsi="宋体"/>
                <w:sz w:val="24"/>
                <w:szCs w:val="24"/>
              </w:rPr>
            </w:pPr>
          </w:p>
        </w:tc>
        <w:tc>
          <w:tcPr>
            <w:tcW w:w="1820" w:type="dxa"/>
          </w:tcPr>
          <w:p w14:paraId="079E0F83">
            <w:pPr>
              <w:jc w:val="center"/>
              <w:rPr>
                <w:rFonts w:ascii="宋体" w:hAnsi="宋体"/>
                <w:sz w:val="24"/>
                <w:szCs w:val="24"/>
              </w:rPr>
            </w:pPr>
          </w:p>
        </w:tc>
      </w:tr>
    </w:tbl>
    <w:p w14:paraId="13B481A2">
      <w:pPr>
        <w:tabs>
          <w:tab w:val="left" w:pos="8782"/>
        </w:tabs>
        <w:snapToGrid w:val="0"/>
        <w:spacing w:line="360" w:lineRule="auto"/>
        <w:rPr>
          <w:rFonts w:ascii="宋体" w:hAnsi="宋体"/>
          <w:sz w:val="24"/>
          <w:szCs w:val="24"/>
        </w:rPr>
      </w:pPr>
      <w:r>
        <w:rPr>
          <w:rFonts w:hint="eastAsia" w:ascii="宋体" w:hAnsi="宋体"/>
          <w:sz w:val="24"/>
          <w:szCs w:val="24"/>
        </w:rPr>
        <w:t>注：1.投标人应如实列出以上情况，如有隐瞒，一经查实将导致其报价申请被拒绝。</w:t>
      </w:r>
    </w:p>
    <w:p w14:paraId="4C8684C2">
      <w:pPr>
        <w:tabs>
          <w:tab w:val="left" w:pos="8782"/>
        </w:tabs>
        <w:snapToGrid w:val="0"/>
        <w:spacing w:line="360" w:lineRule="auto"/>
        <w:ind w:firstLine="480" w:firstLineChars="200"/>
        <w:rPr>
          <w:rFonts w:ascii="宋体" w:hAnsi="宋体"/>
          <w:sz w:val="24"/>
          <w:szCs w:val="24"/>
        </w:rPr>
      </w:pPr>
      <w:r>
        <w:rPr>
          <w:rFonts w:hint="eastAsia" w:ascii="宋体" w:hAnsi="宋体"/>
          <w:sz w:val="24"/>
          <w:szCs w:val="24"/>
        </w:rPr>
        <w:t>2.投标人应提供双方签订的合同（合同复印件加盖公章</w:t>
      </w:r>
      <w:r>
        <w:rPr>
          <w:rFonts w:hint="eastAsia" w:ascii="宋体" w:hAnsi="宋体"/>
          <w:sz w:val="24"/>
          <w:szCs w:val="24"/>
          <w:lang w:val="en-US" w:eastAsia="zh-CN"/>
        </w:rPr>
        <w:t>附</w:t>
      </w:r>
      <w:r>
        <w:rPr>
          <w:rFonts w:hint="eastAsia" w:ascii="宋体" w:hAnsi="宋体"/>
          <w:sz w:val="24"/>
          <w:szCs w:val="24"/>
        </w:rPr>
        <w:t xml:space="preserve">在响应文件中）。 </w:t>
      </w:r>
    </w:p>
    <w:p w14:paraId="64A8A6EE">
      <w:pPr>
        <w:tabs>
          <w:tab w:val="left" w:pos="8782"/>
        </w:tabs>
        <w:snapToGrid w:val="0"/>
        <w:spacing w:line="360" w:lineRule="auto"/>
        <w:ind w:firstLine="840" w:firstLineChars="350"/>
        <w:rPr>
          <w:rFonts w:ascii="宋体" w:hAnsi="宋体"/>
          <w:sz w:val="24"/>
          <w:szCs w:val="24"/>
        </w:rPr>
      </w:pPr>
    </w:p>
    <w:p w14:paraId="39129BC0">
      <w:pPr>
        <w:pStyle w:val="29"/>
      </w:pPr>
    </w:p>
    <w:p w14:paraId="120A86E4">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508C425">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w:t>
      </w:r>
      <w:r>
        <w:rPr>
          <w:rFonts w:hint="eastAsia" w:ascii="宋体" w:hAnsi="宋体" w:eastAsia="宋体" w:cs="宋体"/>
          <w:spacing w:val="4"/>
          <w:sz w:val="24"/>
          <w:lang w:val="en-US" w:eastAsia="zh-CN"/>
        </w:rPr>
        <w:t>签字或盖章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4D0B0778">
      <w:pPr>
        <w:adjustRightInd w:val="0"/>
        <w:snapToGrid w:val="0"/>
        <w:spacing w:line="480" w:lineRule="auto"/>
        <w:rPr>
          <w:rFonts w:hint="eastAsia" w:cs="宋体" w:asciiTheme="minorEastAsia" w:hAnsiTheme="minorEastAsia" w:eastAsiaTheme="minorEastAsia"/>
          <w:sz w:val="28"/>
          <w:szCs w:val="28"/>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7795016C"/>
    <w:bookmarkEnd w:id="174"/>
    <w:p w14:paraId="64C7F12F">
      <w:pPr>
        <w:widowControl/>
        <w:jc w:val="center"/>
        <w:rPr>
          <w:rFonts w:hAnsi="宋体" w:cs="宋体"/>
          <w:b/>
          <w:bCs/>
          <w:sz w:val="32"/>
          <w:szCs w:val="32"/>
        </w:rPr>
      </w:pPr>
      <w:r>
        <w:rPr>
          <w:rFonts w:hint="eastAsia" w:hAnsi="宋体"/>
          <w:b/>
          <w:bCs/>
          <w:sz w:val="32"/>
          <w:szCs w:val="32"/>
          <w:lang w:val="en-US" w:eastAsia="zh-CN"/>
        </w:rPr>
        <w:t xml:space="preserve">第六章 </w:t>
      </w:r>
      <w:r>
        <w:rPr>
          <w:rFonts w:hint="eastAsia" w:hAnsi="宋体" w:cs="宋体"/>
          <w:b/>
          <w:bCs/>
          <w:sz w:val="32"/>
          <w:szCs w:val="32"/>
        </w:rPr>
        <w:t>投标人</w:t>
      </w:r>
      <w:r>
        <w:rPr>
          <w:rFonts w:hAnsi="宋体" w:cs="宋体"/>
          <w:b/>
          <w:bCs/>
          <w:sz w:val="32"/>
          <w:szCs w:val="32"/>
        </w:rPr>
        <w:t>拒绝政府采购领域商业贿赂承诺书</w:t>
      </w:r>
    </w:p>
    <w:p w14:paraId="7404D12A">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162275C3">
      <w:pPr>
        <w:widowControl/>
        <w:spacing w:line="240" w:lineRule="exact"/>
        <w:ind w:firstLine="420" w:firstLineChars="200"/>
        <w:jc w:val="left"/>
        <w:rPr>
          <w:rFonts w:cs="仿宋" w:asciiTheme="minorEastAsia" w:hAnsiTheme="minorEastAsia" w:eastAsiaTheme="minorEastAsia"/>
          <w:bCs/>
          <w:kern w:val="0"/>
        </w:rPr>
      </w:pPr>
    </w:p>
    <w:p w14:paraId="75464DE1">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3861E9C2">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1、在参与政府采购活动中遵纪守法、诚信经营、公平竞标。 </w:t>
      </w:r>
    </w:p>
    <w:p w14:paraId="0FB3AC0A">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2、不向采购人、招标代理机构和政府采购评审专家进行任何形式的商业贿赂以谋取交易机会。 </w:t>
      </w:r>
    </w:p>
    <w:p w14:paraId="18F382B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3、不向政府采购招标代理机构和采购人提供虚假资质文件或采用虚假应标方式参与政府采购市场竞争并谋取成交、成交。 </w:t>
      </w:r>
    </w:p>
    <w:p w14:paraId="3391EDE6">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4、不采取“围标、陪标”等商业欺诈手段获得政府采购</w:t>
      </w:r>
      <w:r>
        <w:rPr>
          <w:rFonts w:hint="eastAsia" w:cs="仿宋" w:asciiTheme="minorEastAsia" w:hAnsiTheme="minorEastAsia" w:eastAsiaTheme="minorEastAsia"/>
          <w:bCs/>
          <w:kern w:val="0"/>
          <w:sz w:val="24"/>
          <w:szCs w:val="28"/>
          <w:lang w:eastAsia="zh-CN"/>
        </w:rPr>
        <w:t>订单</w:t>
      </w:r>
      <w:r>
        <w:rPr>
          <w:rFonts w:hint="eastAsia" w:cs="仿宋" w:asciiTheme="minorEastAsia" w:hAnsiTheme="minorEastAsia" w:eastAsiaTheme="minorEastAsia"/>
          <w:bCs/>
          <w:kern w:val="0"/>
          <w:sz w:val="24"/>
          <w:szCs w:val="28"/>
        </w:rPr>
        <w:t xml:space="preserve">。 </w:t>
      </w:r>
    </w:p>
    <w:p w14:paraId="25E031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5、不采取不正当手段</w:t>
      </w:r>
      <w:r>
        <w:rPr>
          <w:rFonts w:hint="eastAsia" w:cs="仿宋" w:asciiTheme="minorEastAsia" w:hAnsiTheme="minorEastAsia" w:eastAsiaTheme="minorEastAsia"/>
          <w:bCs/>
          <w:kern w:val="0"/>
          <w:sz w:val="24"/>
          <w:szCs w:val="28"/>
          <w:lang w:eastAsia="zh-CN"/>
        </w:rPr>
        <w:t>诋毁</w:t>
      </w:r>
      <w:r>
        <w:rPr>
          <w:rFonts w:hint="eastAsia" w:cs="仿宋" w:asciiTheme="minorEastAsia" w:hAnsiTheme="minorEastAsia" w:eastAsiaTheme="minorEastAsia"/>
          <w:bCs/>
          <w:kern w:val="0"/>
          <w:sz w:val="24"/>
          <w:szCs w:val="28"/>
        </w:rPr>
        <w:t xml:space="preserve">、排挤其他供应商。 </w:t>
      </w:r>
    </w:p>
    <w:p w14:paraId="3A958BA9">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6、</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0634BF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7、不与采购人、招标代理机构政府采购评审专家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3B940F9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8、尊重和接受政府采购监督管理部门的监督和政府招标代理机构招标要求，承担因违约行为给采购人造成的损失。 </w:t>
      </w:r>
    </w:p>
    <w:p w14:paraId="22E11617">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 xml:space="preserve">　　9、不发生其他有悖于政府采购公开、公平、公正和诚信原则的行为。 </w:t>
      </w:r>
    </w:p>
    <w:p w14:paraId="67248491">
      <w:pPr>
        <w:widowControl/>
        <w:spacing w:line="440" w:lineRule="exact"/>
        <w:ind w:firstLine="960" w:firstLineChars="400"/>
        <w:rPr>
          <w:rFonts w:cs="仿宋" w:asciiTheme="minorEastAsia" w:hAnsiTheme="minorEastAsia" w:eastAsiaTheme="minorEastAsia"/>
          <w:bCs/>
          <w:kern w:val="0"/>
          <w:sz w:val="24"/>
          <w:szCs w:val="28"/>
        </w:rPr>
      </w:pPr>
    </w:p>
    <w:p w14:paraId="6D4B79DD">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01D6CA68">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kern w:val="0"/>
          <w:sz w:val="24"/>
          <w:szCs w:val="28"/>
        </w:rPr>
        <w:t xml:space="preserve">） </w:t>
      </w:r>
    </w:p>
    <w:p w14:paraId="53081901">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FD85C09">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xml:space="preserve">　　                     </w:t>
      </w:r>
      <w:r>
        <w:rPr>
          <w:rFonts w:hint="eastAsia" w:cs="仿宋" w:asciiTheme="minorEastAsia" w:hAnsiTheme="minorEastAsia" w:eastAsiaTheme="minorEastAsia"/>
          <w:bCs/>
          <w:kern w:val="0"/>
          <w:sz w:val="24"/>
          <w:szCs w:val="28"/>
        </w:rPr>
        <w:t>   </w:t>
      </w:r>
    </w:p>
    <w:p w14:paraId="6A4AF8B3">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u w:val="single"/>
          <w:lang w:val="en-US" w:eastAsia="zh-CN"/>
        </w:rPr>
        <w:t xml:space="preserve"> </w:t>
      </w:r>
      <w:r>
        <w:rPr>
          <w:rFonts w:hint="eastAsia" w:cs="仿宋" w:asciiTheme="minorEastAsia" w:hAnsiTheme="minorEastAsia" w:eastAsiaTheme="minorEastAsia"/>
          <w:bCs/>
          <w:kern w:val="0"/>
          <w:sz w:val="24"/>
          <w:szCs w:val="28"/>
        </w:rPr>
        <w:t xml:space="preserve">　　 </w:t>
      </w:r>
    </w:p>
    <w:p w14:paraId="20496E94">
      <w:pPr>
        <w:widowControl/>
        <w:spacing w:line="340" w:lineRule="exact"/>
        <w:rPr>
          <w:rFonts w:cs="仿宋" w:asciiTheme="minorEastAsia" w:hAnsiTheme="minorEastAsia" w:eastAsiaTheme="minorEastAsia"/>
          <w:bCs/>
          <w:kern w:val="0"/>
          <w:sz w:val="24"/>
          <w:szCs w:val="28"/>
        </w:rPr>
      </w:pPr>
    </w:p>
    <w:p w14:paraId="23E92C87">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636BF632">
      <w:pPr>
        <w:widowControl/>
        <w:spacing w:line="640" w:lineRule="exact"/>
        <w:jc w:val="center"/>
        <w:rPr>
          <w:rFonts w:cs="仿宋" w:asciiTheme="minorEastAsia" w:hAnsiTheme="minorEastAsia" w:eastAsiaTheme="minorEastAsia"/>
          <w:bCs/>
          <w:sz w:val="36"/>
          <w:szCs w:val="40"/>
        </w:rPr>
      </w:pPr>
    </w:p>
    <w:p w14:paraId="22ACB332">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4CCA78FA">
      <w:pPr>
        <w:widowControl/>
        <w:jc w:val="left"/>
        <w:rPr>
          <w:rFonts w:cs="仿宋" w:asciiTheme="minorEastAsia" w:hAnsiTheme="minorEastAsia" w:eastAsiaTheme="minorEastAsia"/>
          <w:bCs/>
          <w:color w:val="000000"/>
          <w:kern w:val="0"/>
          <w:sz w:val="32"/>
          <w:szCs w:val="32"/>
        </w:rPr>
      </w:pPr>
    </w:p>
    <w:p w14:paraId="403FB369">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kern w:val="0"/>
          <w:sz w:val="24"/>
          <w:szCs w:val="24"/>
        </w:rPr>
      </w:pPr>
      <w:r>
        <w:rPr>
          <w:rFonts w:hint="eastAsia" w:cs="仿宋" w:asciiTheme="minorEastAsia" w:hAnsiTheme="minorEastAsia" w:eastAsiaTheme="minorEastAsia"/>
          <w:bCs/>
          <w:color w:val="000000"/>
          <w:kern w:val="0"/>
          <w:sz w:val="32"/>
          <w:szCs w:val="32"/>
        </w:rPr>
        <w:t>承诺书Ⅱ</w:t>
      </w:r>
    </w:p>
    <w:p w14:paraId="035839A4">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45A9A349">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1609810F">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1、参加采购代理机构组织的政府采购活动时，严格按照磋商文件的规定和要求提供所需的相关材料，并对所提供的各类资料的真实性负责，不虚假应标，不虚列业绩。</w:t>
      </w:r>
    </w:p>
    <w:p w14:paraId="70B8C10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2、尊重参与政府采购活动各相关方的合法行为，接受政府采购活动依法形成的意见、结果。</w:t>
      </w:r>
    </w:p>
    <w:p w14:paraId="2D0EC3C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ACB64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4、作为参加贵公司组织的采购项目的响应单位，本公司承诺：在参加本项目磋商之前不存在被依法禁止经营行为、财产被接管或冻结的情况，如有隐瞒实情，愿承担一切责任及后果。</w:t>
      </w:r>
    </w:p>
    <w:p w14:paraId="4FA4939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6A75D40">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6、参加本次磋商提交的所有资质证明文件及业绩证明是真实的、有效的，如有隐瞒实情，愿承担一切责任及后果。</w:t>
      </w:r>
    </w:p>
    <w:p w14:paraId="60F5AB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7、积极推动政府采购活动健康开展，对采购活动有疑问、异议时，按法律规定的程序实名（加盖单位章和法定代表人签名）反映情况，不恶意中伤、无事生非，以和谐、平等的心态参加政府采购活动。</w:t>
      </w:r>
    </w:p>
    <w:p w14:paraId="25DF511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8、认真履行成交单位应承担的责任和义务，全面执行采购合同规定的各项内容，保质保量地按时提供采购物品。</w:t>
      </w:r>
    </w:p>
    <w:p w14:paraId="53C4636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12F0C049">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358E1D0D">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4665B991">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color w:val="000000"/>
          <w:kern w:val="0"/>
          <w:sz w:val="24"/>
          <w:szCs w:val="28"/>
        </w:rPr>
        <w:t>）</w:t>
      </w:r>
    </w:p>
    <w:p w14:paraId="1FEDBA13">
      <w:pPr>
        <w:widowControl/>
        <w:shd w:val="clear" w:color="auto" w:fill="FFFFFF"/>
        <w:spacing w:line="440" w:lineRule="exact"/>
        <w:ind w:firstLine="4310" w:firstLineChars="1796"/>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p w14:paraId="33BDC67D">
      <w:pPr>
        <w:pStyle w:val="2"/>
        <w:adjustRightInd w:val="0"/>
        <w:spacing w:line="416" w:lineRule="atLeast"/>
        <w:textAlignment w:val="baseline"/>
        <w:rPr>
          <w:rFonts w:ascii="宋体" w:hAnsi="宋体" w:cs="宋体"/>
        </w:rPr>
      </w:pPr>
    </w:p>
    <w:p w14:paraId="18902AEF">
      <w:pPr>
        <w:outlineLvl w:val="0"/>
        <w:rPr>
          <w:rFonts w:ascii="宋体" w:hAnsi="宋体"/>
          <w:b/>
          <w:sz w:val="32"/>
          <w:szCs w:val="32"/>
        </w:rPr>
      </w:pPr>
    </w:p>
    <w:bookmarkEnd w:id="159"/>
    <w:bookmarkEnd w:id="160"/>
    <w:bookmarkEnd w:id="161"/>
    <w:bookmarkEnd w:id="162"/>
    <w:bookmarkEnd w:id="163"/>
    <w:p w14:paraId="61FBA502">
      <w:pPr>
        <w:widowControl/>
        <w:jc w:val="left"/>
        <w:rPr>
          <w:sz w:val="24"/>
          <w:szCs w:val="28"/>
        </w:rPr>
      </w:pPr>
    </w:p>
    <w:p w14:paraId="0C47AA76">
      <w:pPr>
        <w:pStyle w:val="29"/>
        <w:rPr>
          <w:rFonts w:hint="eastAsia"/>
        </w:rPr>
        <w:sectPr>
          <w:headerReference r:id="rId15" w:type="first"/>
          <w:footerReference r:id="rId17" w:type="first"/>
          <w:footerReference r:id="rId16"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04A8172">
      <w:pPr>
        <w:pStyle w:val="29"/>
        <w:rPr>
          <w:rFonts w:hint="eastAsia"/>
        </w:rPr>
      </w:pPr>
    </w:p>
    <w:p w14:paraId="63DA51CF">
      <w:pPr>
        <w:pStyle w:val="29"/>
        <w:rPr>
          <w:rFonts w:hint="eastAsia"/>
        </w:rPr>
      </w:pPr>
    </w:p>
    <w:p w14:paraId="09C0C7DB">
      <w:pPr>
        <w:pStyle w:val="29"/>
        <w:rPr>
          <w:rFonts w:hint="eastAsia"/>
        </w:rPr>
      </w:pPr>
    </w:p>
    <w:p w14:paraId="4E6F887E">
      <w:pPr>
        <w:pStyle w:val="29"/>
        <w:rPr>
          <w:rFonts w:hint="eastAsia"/>
        </w:rPr>
      </w:pPr>
    </w:p>
    <w:p w14:paraId="61261DC6">
      <w:pPr>
        <w:pStyle w:val="29"/>
        <w:rPr>
          <w:rFonts w:hint="eastAsia"/>
        </w:rPr>
      </w:pPr>
    </w:p>
    <w:p w14:paraId="4A080DBA">
      <w:pPr>
        <w:pStyle w:val="29"/>
        <w:rPr>
          <w:rFonts w:hint="eastAsia"/>
        </w:rPr>
      </w:pPr>
    </w:p>
    <w:p w14:paraId="2B613484">
      <w:pPr>
        <w:pStyle w:val="29"/>
        <w:rPr>
          <w:rFonts w:hint="eastAsia"/>
        </w:rPr>
      </w:pPr>
    </w:p>
    <w:p w14:paraId="17707C22">
      <w:pPr>
        <w:pStyle w:val="29"/>
        <w:rPr>
          <w:rFonts w:hint="eastAsia"/>
        </w:rPr>
      </w:pPr>
    </w:p>
    <w:p w14:paraId="0B8F148C">
      <w:pPr>
        <w:pStyle w:val="29"/>
        <w:rPr>
          <w:rFonts w:hint="eastAsia"/>
        </w:rPr>
      </w:pPr>
    </w:p>
    <w:p w14:paraId="5B4EE5C7">
      <w:pPr>
        <w:pStyle w:val="29"/>
        <w:rPr>
          <w:rFonts w:hint="eastAsia"/>
        </w:rPr>
      </w:pPr>
    </w:p>
    <w:p w14:paraId="04C3BB87">
      <w:pPr>
        <w:pStyle w:val="29"/>
        <w:rPr>
          <w:rFonts w:hint="eastAsia"/>
        </w:rPr>
      </w:pPr>
    </w:p>
    <w:p w14:paraId="691DD362">
      <w:pPr>
        <w:pStyle w:val="29"/>
        <w:rPr>
          <w:rFonts w:hint="eastAsia"/>
        </w:rPr>
      </w:pPr>
    </w:p>
    <w:p w14:paraId="7D5A86BC">
      <w:pPr>
        <w:pStyle w:val="29"/>
        <w:rPr>
          <w:rFonts w:hint="eastAsia"/>
        </w:rPr>
      </w:pPr>
    </w:p>
    <w:p w14:paraId="673E7B4A">
      <w:pPr>
        <w:pStyle w:val="29"/>
        <w:rPr>
          <w:rFonts w:hint="eastAsia"/>
        </w:rPr>
      </w:pPr>
    </w:p>
    <w:p w14:paraId="5FA77CDC">
      <w:pPr>
        <w:pStyle w:val="29"/>
        <w:rPr>
          <w:rFonts w:hint="eastAsia"/>
        </w:rPr>
      </w:pPr>
    </w:p>
    <w:p w14:paraId="552B835C">
      <w:pPr>
        <w:pStyle w:val="29"/>
        <w:rPr>
          <w:rFonts w:hint="eastAsia"/>
        </w:rPr>
      </w:pPr>
    </w:p>
    <w:p w14:paraId="474998DC">
      <w:pPr>
        <w:pStyle w:val="29"/>
        <w:rPr>
          <w:rFonts w:hint="eastAsia"/>
        </w:rPr>
      </w:pPr>
    </w:p>
    <w:p w14:paraId="3C2949B0">
      <w:pPr>
        <w:pStyle w:val="29"/>
        <w:rPr>
          <w:rFonts w:hint="eastAsia"/>
        </w:rPr>
      </w:pPr>
    </w:p>
    <w:p w14:paraId="2484D03F">
      <w:pPr>
        <w:pStyle w:val="29"/>
        <w:rPr>
          <w:rFonts w:hint="eastAsia"/>
        </w:rPr>
      </w:pPr>
    </w:p>
    <w:p w14:paraId="3F93571C">
      <w:pPr>
        <w:pStyle w:val="29"/>
        <w:rPr>
          <w:rFonts w:hint="eastAsia"/>
        </w:rPr>
      </w:pPr>
    </w:p>
    <w:p w14:paraId="73ADF051">
      <w:pPr>
        <w:pStyle w:val="29"/>
        <w:rPr>
          <w:rFonts w:hint="eastAsia"/>
        </w:rPr>
      </w:pPr>
    </w:p>
    <w:p w14:paraId="70BCC872">
      <w:pPr>
        <w:pStyle w:val="29"/>
        <w:rPr>
          <w:rFonts w:hint="eastAsia"/>
        </w:rPr>
      </w:pPr>
    </w:p>
    <w:p w14:paraId="070E1C78">
      <w:pPr>
        <w:pStyle w:val="29"/>
        <w:rPr>
          <w:rFonts w:hint="eastAsia"/>
        </w:rPr>
      </w:pPr>
    </w:p>
    <w:p w14:paraId="428232F4">
      <w:pPr>
        <w:pStyle w:val="29"/>
        <w:rPr>
          <w:rFonts w:hint="eastAsia"/>
        </w:rPr>
      </w:pPr>
    </w:p>
    <w:p w14:paraId="2A9F646E">
      <w:pPr>
        <w:pStyle w:val="29"/>
        <w:rPr>
          <w:rFonts w:hint="eastAsia"/>
        </w:rPr>
      </w:pPr>
    </w:p>
    <w:p w14:paraId="2E0962EC">
      <w:pPr>
        <w:pStyle w:val="29"/>
        <w:rPr>
          <w:rFonts w:hint="eastAsia"/>
        </w:rPr>
      </w:pPr>
    </w:p>
    <w:p w14:paraId="105A3AC2">
      <w:pPr>
        <w:pStyle w:val="29"/>
        <w:rPr>
          <w:rFonts w:hint="eastAsia"/>
        </w:rPr>
      </w:pPr>
    </w:p>
    <w:p w14:paraId="3AFD59FA">
      <w:pPr>
        <w:pStyle w:val="29"/>
        <w:rPr>
          <w:rFonts w:hint="eastAsia"/>
        </w:rPr>
      </w:pPr>
    </w:p>
    <w:p w14:paraId="4E610700">
      <w:pPr>
        <w:pStyle w:val="29"/>
        <w:rPr>
          <w:rFonts w:hint="eastAsia"/>
        </w:rPr>
      </w:pPr>
    </w:p>
    <w:p w14:paraId="5304836C">
      <w:pPr>
        <w:pStyle w:val="29"/>
        <w:rPr>
          <w:rFonts w:hint="eastAsia" w:eastAsia="宋体"/>
          <w:lang w:val="en-US" w:eastAsia="zh-CN"/>
        </w:rPr>
      </w:pPr>
      <w:r>
        <w:rPr>
          <w:rFonts w:hint="eastAsia"/>
          <w:lang w:val="en-US" w:eastAsia="zh-CN"/>
        </w:rPr>
        <w:t xml:space="preserve"> </w:t>
      </w:r>
    </w:p>
    <w:p w14:paraId="63C44CF5">
      <w:pPr>
        <w:pStyle w:val="29"/>
        <w:rPr>
          <w:rFonts w:hint="eastAsia"/>
        </w:rPr>
      </w:pPr>
    </w:p>
    <w:p w14:paraId="789715C7">
      <w:pPr>
        <w:pStyle w:val="29"/>
        <w:rPr>
          <w:rFonts w:hint="eastAsia"/>
        </w:rPr>
      </w:pPr>
    </w:p>
    <w:p w14:paraId="14FEB6AA">
      <w:pPr>
        <w:pStyle w:val="29"/>
        <w:rPr>
          <w:rFonts w:hint="eastAsia"/>
        </w:rPr>
      </w:pPr>
    </w:p>
    <w:p w14:paraId="35503F18">
      <w:pPr>
        <w:pStyle w:val="29"/>
        <w:rPr>
          <w:rFonts w:hint="eastAsia"/>
        </w:rPr>
      </w:pPr>
    </w:p>
    <w:p w14:paraId="534EA711">
      <w:pPr>
        <w:pStyle w:val="29"/>
        <w:rPr>
          <w:rFonts w:hint="eastAsia"/>
        </w:rPr>
      </w:pPr>
    </w:p>
    <w:p w14:paraId="076A1E23">
      <w:pPr>
        <w:pStyle w:val="29"/>
        <w:rPr>
          <w:rFonts w:hint="eastAsia"/>
        </w:rPr>
      </w:pPr>
    </w:p>
    <w:p w14:paraId="59AE993D">
      <w:pPr>
        <w:pStyle w:val="29"/>
        <w:rPr>
          <w:rFonts w:hint="eastAsia"/>
        </w:rPr>
      </w:pPr>
    </w:p>
    <w:p w14:paraId="7F22CAC6">
      <w:pPr>
        <w:pStyle w:val="29"/>
        <w:rPr>
          <w:rFonts w:hint="eastAsia"/>
        </w:rPr>
      </w:pPr>
    </w:p>
    <w:p w14:paraId="47C71BC1">
      <w:pPr>
        <w:pStyle w:val="29"/>
        <w:rPr>
          <w:rFonts w:hint="eastAsia"/>
        </w:rPr>
      </w:pPr>
    </w:p>
    <w:p w14:paraId="3D0FE9B0">
      <w:pPr>
        <w:pStyle w:val="29"/>
        <w:rPr>
          <w:rFonts w:hint="eastAsia"/>
        </w:rPr>
      </w:pPr>
    </w:p>
    <w:p w14:paraId="4A3A2504">
      <w:pPr>
        <w:pStyle w:val="29"/>
        <w:rPr>
          <w:rFonts w:hint="eastAsia"/>
        </w:rPr>
      </w:pPr>
    </w:p>
    <w:p w14:paraId="02CEB92E">
      <w:pPr>
        <w:pStyle w:val="29"/>
        <w:rPr>
          <w:rFonts w:hint="eastAsia"/>
        </w:rPr>
      </w:pPr>
      <w:r>
        <w:rPr>
          <w:rFonts w:hint="eastAsia"/>
        </w:rPr>
        <w:drawing>
          <wp:anchor distT="0" distB="0" distL="114300" distR="114300" simplePos="0" relativeHeight="251664384"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21"/>
                    <a:stretch>
                      <a:fillRect/>
                    </a:stretch>
                  </pic:blipFill>
                  <pic:spPr>
                    <a:xfrm>
                      <a:off x="0" y="0"/>
                      <a:ext cx="353060" cy="255905"/>
                    </a:xfrm>
                    <a:prstGeom prst="rect">
                      <a:avLst/>
                    </a:prstGeom>
                  </pic:spPr>
                </pic:pic>
              </a:graphicData>
            </a:graphic>
          </wp:anchor>
        </w:drawing>
      </w:r>
    </w:p>
    <w:p w14:paraId="09722398">
      <w:pPr>
        <w:spacing w:line="440" w:lineRule="exact"/>
        <w:jc w:val="both"/>
        <w:rPr>
          <w:rFonts w:hint="eastAsia"/>
          <w:sz w:val="32"/>
          <w:szCs w:val="32"/>
        </w:rPr>
      </w:pPr>
      <w:r>
        <w:rPr>
          <w:rFonts w:hint="eastAsia"/>
          <w:sz w:val="32"/>
          <w:szCs w:val="32"/>
        </w:rPr>
        <w:t>安康尚昊招标代理有限公司</w:t>
      </w:r>
    </w:p>
    <w:p w14:paraId="50381FC2">
      <w:pPr>
        <w:spacing w:line="440" w:lineRule="exact"/>
        <w:jc w:val="center"/>
        <w:rPr>
          <w:rFonts w:hint="eastAsia"/>
          <w:sz w:val="32"/>
          <w:szCs w:val="32"/>
        </w:rPr>
      </w:pPr>
      <w:r>
        <w:rPr>
          <w:rFonts w:hint="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2DD0AEA8">
      <w:pPr>
        <w:autoSpaceDE w:val="0"/>
        <w:autoSpaceDN w:val="0"/>
        <w:spacing w:line="440" w:lineRule="exact"/>
        <w:ind w:firstLine="129" w:firstLineChars="50"/>
        <w:rPr>
          <w:rFonts w:hint="eastAsia" w:hAnsi="宋体"/>
          <w:spacing w:val="-6"/>
          <w:sz w:val="24"/>
          <w:szCs w:val="24"/>
          <w:lang w:val="en-US" w:eastAsia="zh-CN"/>
        </w:rPr>
      </w:pPr>
      <w:r>
        <w:rPr>
          <w:rFonts w:hint="eastAsia" w:hAnsi="宋体"/>
          <w:spacing w:val="9"/>
          <w:w w:val="100"/>
          <w:kern w:val="0"/>
          <w:sz w:val="24"/>
          <w:szCs w:val="24"/>
          <w:fitText w:val="1050" w:id="1936280221"/>
        </w:rPr>
        <w:t xml:space="preserve">地    </w:t>
      </w:r>
      <w:r>
        <w:rPr>
          <w:rFonts w:hint="eastAsia" w:hAnsi="宋体"/>
          <w:spacing w:val="0"/>
          <w:w w:val="100"/>
          <w:kern w:val="0"/>
          <w:sz w:val="24"/>
          <w:szCs w:val="24"/>
          <w:fitText w:val="1050" w:id="1936280221"/>
        </w:rPr>
        <w:t>址</w:t>
      </w:r>
      <w:r>
        <w:rPr>
          <w:rFonts w:hint="eastAsia" w:hAnsi="宋体"/>
          <w:spacing w:val="-6"/>
          <w:sz w:val="24"/>
          <w:szCs w:val="24"/>
        </w:rPr>
        <w:t>：</w:t>
      </w:r>
      <w:r>
        <w:rPr>
          <w:rFonts w:hint="eastAsia" w:hAnsi="宋体"/>
          <w:spacing w:val="-6"/>
          <w:sz w:val="24"/>
          <w:szCs w:val="24"/>
          <w:lang w:val="en-US" w:eastAsia="zh-CN"/>
        </w:rPr>
        <w:t>安康市高新区高新观澜8幢2单元801室</w:t>
      </w:r>
    </w:p>
    <w:p w14:paraId="4315500A">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724858664"/>
        </w:rPr>
        <w:t xml:space="preserve">邮    </w:t>
      </w:r>
      <w:r>
        <w:rPr>
          <w:rFonts w:hint="eastAsia" w:hAnsi="宋体"/>
          <w:spacing w:val="0"/>
          <w:w w:val="100"/>
          <w:kern w:val="0"/>
          <w:sz w:val="24"/>
          <w:szCs w:val="24"/>
          <w:fitText w:val="1050" w:id="724858664"/>
        </w:rPr>
        <w:t>编</w:t>
      </w:r>
      <w:r>
        <w:rPr>
          <w:rFonts w:hint="eastAsia" w:hAnsi="宋体"/>
          <w:sz w:val="24"/>
          <w:szCs w:val="24"/>
        </w:rPr>
        <w:t>：725000</w:t>
      </w:r>
    </w:p>
    <w:p w14:paraId="65844B98">
      <w:pPr>
        <w:autoSpaceDE w:val="0"/>
        <w:autoSpaceDN w:val="0"/>
        <w:spacing w:line="440" w:lineRule="exact"/>
        <w:ind w:firstLine="129" w:firstLineChars="50"/>
        <w:rPr>
          <w:rFonts w:hint="default" w:hAnsi="宋体" w:eastAsia="宋体"/>
          <w:sz w:val="24"/>
          <w:szCs w:val="24"/>
          <w:lang w:val="en-US" w:eastAsia="zh-CN"/>
        </w:rPr>
      </w:pPr>
      <w:r>
        <w:rPr>
          <w:rFonts w:hint="eastAsia" w:hAnsi="宋体"/>
          <w:spacing w:val="9"/>
          <w:w w:val="100"/>
          <w:kern w:val="0"/>
          <w:sz w:val="24"/>
          <w:szCs w:val="24"/>
          <w:fitText w:val="1050" w:id="1093690409"/>
        </w:rPr>
        <w:t xml:space="preserve">电    </w:t>
      </w:r>
      <w:r>
        <w:rPr>
          <w:rFonts w:hint="eastAsia" w:hAnsi="宋体"/>
          <w:spacing w:val="0"/>
          <w:w w:val="100"/>
          <w:kern w:val="0"/>
          <w:sz w:val="24"/>
          <w:szCs w:val="24"/>
          <w:fitText w:val="1050" w:id="1093690409"/>
        </w:rPr>
        <w:t>话</w:t>
      </w:r>
      <w:r>
        <w:rPr>
          <w:rFonts w:hint="eastAsia" w:hAnsi="宋体"/>
          <w:sz w:val="24"/>
          <w:szCs w:val="24"/>
        </w:rPr>
        <w:t>：</w:t>
      </w:r>
      <w:r>
        <w:rPr>
          <w:rFonts w:hint="eastAsia" w:hAnsi="宋体"/>
          <w:sz w:val="24"/>
          <w:szCs w:val="24"/>
          <w:lang w:val="en-US" w:eastAsia="zh-CN"/>
        </w:rPr>
        <w:t>15991480332</w:t>
      </w:r>
    </w:p>
    <w:p w14:paraId="041202CF">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1382890708"/>
          <w:lang w:eastAsia="zh-CN"/>
        </w:rPr>
        <w:t>公司名</w:t>
      </w:r>
      <w:r>
        <w:rPr>
          <w:rFonts w:hint="eastAsia" w:hAnsi="宋体"/>
          <w:spacing w:val="0"/>
          <w:w w:val="100"/>
          <w:kern w:val="0"/>
          <w:sz w:val="24"/>
          <w:szCs w:val="24"/>
          <w:fitText w:val="1050" w:id="1382890708"/>
          <w:lang w:eastAsia="zh-CN"/>
        </w:rPr>
        <w:t>称</w:t>
      </w:r>
      <w:r>
        <w:rPr>
          <w:rFonts w:hint="eastAsia" w:hAnsi="宋体"/>
          <w:sz w:val="24"/>
          <w:szCs w:val="24"/>
        </w:rPr>
        <w:t>：安康尚昊招标代理有限公司</w:t>
      </w:r>
    </w:p>
    <w:p w14:paraId="6A15F499">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610825726"/>
        </w:rPr>
        <w:t>开户银</w:t>
      </w:r>
      <w:r>
        <w:rPr>
          <w:rFonts w:hint="eastAsia" w:hAnsi="宋体"/>
          <w:spacing w:val="0"/>
          <w:w w:val="100"/>
          <w:kern w:val="0"/>
          <w:sz w:val="24"/>
          <w:szCs w:val="24"/>
          <w:fitText w:val="1050" w:id="610825726"/>
        </w:rPr>
        <w:t>行</w:t>
      </w:r>
      <w:r>
        <w:rPr>
          <w:rFonts w:hint="eastAsia" w:hAnsi="宋体"/>
          <w:sz w:val="24"/>
          <w:szCs w:val="24"/>
        </w:rPr>
        <w:t>：中国建设银行股份有限公司安康分行营业部</w:t>
      </w:r>
    </w:p>
    <w:p w14:paraId="04D27F77">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135150406"/>
        </w:rPr>
        <w:t xml:space="preserve">账    </w:t>
      </w:r>
      <w:r>
        <w:rPr>
          <w:rFonts w:hint="eastAsia" w:hAnsi="宋体"/>
          <w:spacing w:val="0"/>
          <w:w w:val="100"/>
          <w:kern w:val="0"/>
          <w:sz w:val="24"/>
          <w:szCs w:val="24"/>
          <w:fitText w:val="1050" w:id="135150406"/>
        </w:rPr>
        <w:t>号</w:t>
      </w:r>
      <w:r>
        <w:rPr>
          <w:rFonts w:hint="eastAsia" w:hAnsi="宋体"/>
          <w:sz w:val="24"/>
          <w:szCs w:val="24"/>
        </w:rPr>
        <w:t>：</w:t>
      </w:r>
      <w:r>
        <w:rPr>
          <w:rFonts w:hint="eastAsia" w:ascii="宋体" w:hAnsi="宋体" w:cs="宋体"/>
          <w:sz w:val="24"/>
          <w:szCs w:val="28"/>
        </w:rPr>
        <w:t>61050166371100000492</w:t>
      </w:r>
      <w:r>
        <w:rPr>
          <w:rFonts w:hint="eastAsia"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1D887507">
      <w:pPr>
        <w:pStyle w:val="73"/>
      </w:pPr>
    </w:p>
    <w:sectPr>
      <w:footerReference r:id="rId19" w:type="first"/>
      <w:footerReference r:id="rId18"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2CA9">
    <w:pPr>
      <w:pStyle w:val="29"/>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2A77">
    <w:pPr>
      <w:pStyle w:val="29"/>
      <w:tabs>
        <w:tab w:val="center" w:pos="4819"/>
        <w:tab w:val="left" w:pos="7440"/>
      </w:tabs>
    </w:pPr>
    <w:r>
      <w:tab/>
    </w:r>
  </w:p>
  <w:p w14:paraId="095BE27B">
    <w:pPr>
      <w:pStyle w:val="29"/>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D6C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36D0">
    <w:pPr>
      <w:pStyle w:val="29"/>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514A1">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D0514A1">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r>
      <w:tab/>
    </w:r>
  </w:p>
  <w:p w14:paraId="6316236C">
    <w:pPr>
      <w:pStyle w:val="29"/>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2D49">
    <w:pPr>
      <w:pStyle w:val="29"/>
    </w:pPr>
    <w:r>
      <w:rPr>
        <w:sz w:val="18"/>
      </w:rPr>
      <mc:AlternateContent>
        <mc:Choice Requires="wps">
          <w:drawing>
            <wp:anchor distT="0" distB="0" distL="114300" distR="114300" simplePos="0" relativeHeight="251660288" behindDoc="0" locked="0" layoutInCell="1" allowOverlap="1">
              <wp:simplePos x="0" y="0"/>
              <wp:positionH relativeFrom="margin">
                <wp:posOffset>2350135</wp:posOffset>
              </wp:positionH>
              <wp:positionV relativeFrom="paragraph">
                <wp:posOffset>11430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9AD19">
                          <w:pPr>
                            <w:pStyle w:val="29"/>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58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05pt;margin-top:0.9pt;height:144pt;width:144pt;mso-position-horizontal-relative:margin;mso-wrap-style:none;z-index:251660288;mso-width-relative:page;mso-height-relative:page;" filled="f" stroked="f" coordsize="21600,21600" o:gfxdata="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IjzQtUAAAAJ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14:paraId="36B9AD19">
                    <w:pPr>
                      <w:pStyle w:val="29"/>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58</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7C83">
    <w:pPr>
      <w:pStyle w:val="29"/>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E4364">
                          <w:pPr>
                            <w:pStyle w:val="2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3FE4364">
                    <w:pPr>
                      <w:pStyle w:val="2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58</w:t>
                    </w:r>
                    <w:r>
                      <w:t>页</w:t>
                    </w:r>
                  </w:p>
                </w:txbxContent>
              </v:textbox>
            </v:shape>
          </w:pict>
        </mc:Fallback>
      </mc:AlternateContent>
    </w:r>
    <w:r>
      <w:tab/>
    </w:r>
  </w:p>
  <w:p w14:paraId="36850509">
    <w:pPr>
      <w:pStyle w:val="29"/>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3690">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0F6D">
                          <w:pPr>
                            <w:pStyle w:val="2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0B0F6D">
                    <w:pPr>
                      <w:pStyle w:val="2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58</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5938">
    <w:pPr>
      <w:spacing w:line="184" w:lineRule="auto"/>
      <w:ind w:left="5059"/>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3FADF">
                          <w:pPr>
                            <w:pStyle w:val="29"/>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58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83FADF">
                    <w:pPr>
                      <w:pStyle w:val="29"/>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58</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2976">
    <w:pPr>
      <w:pStyle w:val="29"/>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F1370">
                          <w:pPr>
                            <w:pStyle w:val="2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49F1370">
                    <w:pPr>
                      <w:pStyle w:val="2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58</w:t>
                    </w:r>
                    <w:r>
                      <w:t>页</w:t>
                    </w:r>
                  </w:p>
                </w:txbxContent>
              </v:textbox>
            </v:shape>
          </w:pict>
        </mc:Fallback>
      </mc:AlternateContent>
    </w:r>
    <w:r>
      <w:tab/>
    </w:r>
  </w:p>
  <w:p w14:paraId="5728065F">
    <w:pPr>
      <w:pStyle w:val="29"/>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61A7">
    <w:pPr>
      <w:pStyle w:val="29"/>
      <w:tabs>
        <w:tab w:val="center" w:pos="4819"/>
        <w:tab w:val="left" w:pos="7440"/>
      </w:tabs>
      <w:rPr>
        <w:rFonts w:ascii="宋体"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5DB5F">
                          <w:pPr>
                            <w:pStyle w:val="29"/>
                          </w:pPr>
                          <w:r>
                            <w:t xml:space="preserve">第 </w:t>
                          </w:r>
                          <w:r>
                            <w:fldChar w:fldCharType="begin"/>
                          </w:r>
                          <w:r>
                            <w:instrText xml:space="preserve"> PAGE  \* MERGEFORMAT </w:instrText>
                          </w:r>
                          <w:r>
                            <w:fldChar w:fldCharType="separate"/>
                          </w:r>
                          <w:r>
                            <w:t>51</w:t>
                          </w:r>
                          <w:r>
                            <w:fldChar w:fldCharType="end"/>
                          </w:r>
                          <w:r>
                            <w:t xml:space="preserve"> 页 共</w:t>
                          </w:r>
                          <w:r>
                            <w:rPr>
                              <w:rFonts w:hint="eastAsia"/>
                              <w:lang w:val="en-US" w:eastAsia="zh-CN"/>
                            </w:rPr>
                            <w:t>58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B75DB5F">
                    <w:pPr>
                      <w:pStyle w:val="29"/>
                    </w:pPr>
                    <w:r>
                      <w:t xml:space="preserve">第 </w:t>
                    </w:r>
                    <w:r>
                      <w:fldChar w:fldCharType="begin"/>
                    </w:r>
                    <w:r>
                      <w:instrText xml:space="preserve"> PAGE  \* MERGEFORMAT </w:instrText>
                    </w:r>
                    <w:r>
                      <w:fldChar w:fldCharType="separate"/>
                    </w:r>
                    <w:r>
                      <w:t>51</w:t>
                    </w:r>
                    <w:r>
                      <w:fldChar w:fldCharType="end"/>
                    </w:r>
                    <w:r>
                      <w:t xml:space="preserve"> 页 共</w:t>
                    </w:r>
                    <w:r>
                      <w:rPr>
                        <w:rFonts w:hint="eastAsia"/>
                        <w:lang w:val="en-US" w:eastAsia="zh-CN"/>
                      </w:rPr>
                      <w:t>58</w:t>
                    </w:r>
                    <w:r>
                      <w:t>页</w:t>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D804">
    <w:pPr>
      <w:pStyle w:val="2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76752">
                          <w:pPr>
                            <w:pStyle w:val="29"/>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58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BB76752">
                    <w:pPr>
                      <w:pStyle w:val="29"/>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58</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D266">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676B">
    <w:pPr>
      <w:pStyle w:val="30"/>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D79D1">
    <w:pPr>
      <w:pStyle w:val="30"/>
      <w:pBdr>
        <w:bottom w:val="single" w:color="auto" w:sz="4" w:space="1"/>
      </w:pBdr>
      <w:jc w:val="left"/>
      <w:rPr>
        <w:rFonts w:hint="default" w:ascii="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安康市中心医院北院区中央空调维保服务采购项目      项目编号：AKSH2024-ZCS-095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77A6">
    <w:pPr>
      <w:pStyle w:val="30"/>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安康市中心医院北院区中央空调维保服务采购项目      项目编号：AKSH2024-ZCS-095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A06E9">
    <w:pPr>
      <w:pStyle w:val="30"/>
      <w:pBdr>
        <w:bottom w:val="single" w:color="auto" w:sz="4" w:space="1"/>
      </w:pBdr>
      <w:jc w:val="left"/>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安康市中心医院北院区中央空调维保服务采购项目   项目编号：AKSH2024-ZCS-095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0A9D">
    <w:pPr>
      <w:pStyle w:val="30"/>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安康市中心医院北院区中央空调维保服务采购项目   项目编号：AKSH2024-ZCS-095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CC260F63"/>
    <w:multiLevelType w:val="singleLevel"/>
    <w:tmpl w:val="CC260F63"/>
    <w:lvl w:ilvl="0" w:tentative="0">
      <w:start w:val="1"/>
      <w:numFmt w:val="decimal"/>
      <w:pStyle w:val="12"/>
      <w:lvlText w:val="%1."/>
      <w:lvlJc w:val="left"/>
      <w:pPr>
        <w:tabs>
          <w:tab w:val="left" w:pos="780"/>
        </w:tabs>
        <w:ind w:left="780" w:hanging="360"/>
      </w:pPr>
    </w:lvl>
  </w:abstractNum>
  <w:abstractNum w:abstractNumId="2">
    <w:nsid w:val="09362F92"/>
    <w:multiLevelType w:val="singleLevel"/>
    <w:tmpl w:val="09362F92"/>
    <w:lvl w:ilvl="0" w:tentative="0">
      <w:start w:val="1"/>
      <w:numFmt w:val="decimal"/>
      <w:suff w:val="space"/>
      <w:lvlText w:val="（%1）"/>
      <w:lvlJc w:val="left"/>
    </w:lvl>
  </w:abstractNum>
  <w:abstractNum w:abstractNumId="3">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D455AD"/>
    <w:multiLevelType w:val="singleLevel"/>
    <w:tmpl w:val="24D455AD"/>
    <w:lvl w:ilvl="0" w:tentative="0">
      <w:start w:val="1"/>
      <w:numFmt w:val="chineseCounting"/>
      <w:suff w:val="nothing"/>
      <w:lvlText w:val="%1、"/>
      <w:lvlJc w:val="left"/>
      <w:rPr>
        <w:rFonts w:hint="eastAsia"/>
      </w:r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BE4BC8"/>
    <w:multiLevelType w:val="singleLevel"/>
    <w:tmpl w:val="58BE4BC8"/>
    <w:lvl w:ilvl="0" w:tentative="0">
      <w:start w:val="1"/>
      <w:numFmt w:val="decimal"/>
      <w:suff w:val="nothing"/>
      <w:lvlText w:val="%1、"/>
      <w:lvlJc w:val="left"/>
      <w:pPr>
        <w:ind w:firstLine="420"/>
      </w:pPr>
      <w:rPr>
        <w:rFonts w:hint="default"/>
      </w:rPr>
    </w:lvl>
  </w:abstractNum>
  <w:abstractNum w:abstractNumId="7">
    <w:nsid w:val="58BE6519"/>
    <w:multiLevelType w:val="singleLevel"/>
    <w:tmpl w:val="58BE6519"/>
    <w:lvl w:ilvl="0" w:tentative="0">
      <w:start w:val="1"/>
      <w:numFmt w:val="decimal"/>
      <w:suff w:val="nothing"/>
      <w:lvlText w:val="%1、"/>
      <w:lvlJc w:val="left"/>
      <w:pPr>
        <w:ind w:firstLine="420"/>
      </w:pPr>
      <w:rPr>
        <w:rFonts w:hint="default"/>
      </w:rPr>
    </w:lvl>
  </w:abstractNum>
  <w:abstractNum w:abstractNumId="8">
    <w:nsid w:val="58BE6CCA"/>
    <w:multiLevelType w:val="singleLevel"/>
    <w:tmpl w:val="58BE6CCA"/>
    <w:lvl w:ilvl="0" w:tentative="0">
      <w:start w:val="1"/>
      <w:numFmt w:val="decimal"/>
      <w:suff w:val="nothing"/>
      <w:lvlText w:val="%1、"/>
      <w:lvlJc w:val="left"/>
      <w:pPr>
        <w:ind w:firstLine="420"/>
      </w:pPr>
      <w:rPr>
        <w:rFonts w:hint="default"/>
      </w:rPr>
    </w:lvl>
  </w:abstractNum>
  <w:abstractNum w:abstractNumId="9">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10">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11">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53"/>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abstractNum w:abstractNumId="12">
    <w:nsid w:val="73E8FBA8"/>
    <w:multiLevelType w:val="singleLevel"/>
    <w:tmpl w:val="73E8FBA8"/>
    <w:lvl w:ilvl="0" w:tentative="0">
      <w:start w:val="1"/>
      <w:numFmt w:val="decimal"/>
      <w:suff w:val="nothing"/>
      <w:lvlText w:val="（%1）"/>
      <w:lvlJc w:val="left"/>
    </w:lvl>
  </w:abstractNum>
  <w:num w:numId="1">
    <w:abstractNumId w:val="1"/>
  </w:num>
  <w:num w:numId="2">
    <w:abstractNumId w:val="11"/>
  </w:num>
  <w:num w:numId="3">
    <w:abstractNumId w:val="4"/>
  </w:num>
  <w:num w:numId="4">
    <w:abstractNumId w:val="12"/>
  </w:num>
  <w:num w:numId="5">
    <w:abstractNumId w:val="3"/>
  </w:num>
  <w:num w:numId="6">
    <w:abstractNumId w:val="5"/>
  </w:num>
  <w:num w:numId="7">
    <w:abstractNumId w:val="2"/>
  </w:num>
  <w:num w:numId="8">
    <w:abstractNumId w:val="8"/>
  </w:num>
  <w:num w:numId="9">
    <w:abstractNumId w:val="9"/>
  </w:num>
  <w:num w:numId="10">
    <w:abstractNumId w:val="6"/>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HorizontalSpacing w:val="210"/>
  <w:drawingGridVerticalSpacing w:val="16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2NmIzODMyNmM4ZWRlMzQ2NzE2ODNmZGMxZDZjMWE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2D88"/>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3A223F"/>
    <w:rsid w:val="01525A0A"/>
    <w:rsid w:val="015F531D"/>
    <w:rsid w:val="016A454D"/>
    <w:rsid w:val="017D3840"/>
    <w:rsid w:val="018E640A"/>
    <w:rsid w:val="01920D21"/>
    <w:rsid w:val="01A4012F"/>
    <w:rsid w:val="01AC2FBF"/>
    <w:rsid w:val="01BC4501"/>
    <w:rsid w:val="01DA363D"/>
    <w:rsid w:val="01F90F7C"/>
    <w:rsid w:val="020600F6"/>
    <w:rsid w:val="02064B47"/>
    <w:rsid w:val="022D433C"/>
    <w:rsid w:val="02374638"/>
    <w:rsid w:val="023C7D0C"/>
    <w:rsid w:val="02854F8C"/>
    <w:rsid w:val="029300CA"/>
    <w:rsid w:val="02AD4E24"/>
    <w:rsid w:val="02C56FBB"/>
    <w:rsid w:val="02CB14A4"/>
    <w:rsid w:val="02E57ADC"/>
    <w:rsid w:val="02F61685"/>
    <w:rsid w:val="02FA17E2"/>
    <w:rsid w:val="02FD5BFC"/>
    <w:rsid w:val="02FE73C3"/>
    <w:rsid w:val="030A0C9E"/>
    <w:rsid w:val="03226FE8"/>
    <w:rsid w:val="03442B37"/>
    <w:rsid w:val="03442ED4"/>
    <w:rsid w:val="034C725D"/>
    <w:rsid w:val="0378082D"/>
    <w:rsid w:val="03982137"/>
    <w:rsid w:val="03AB6F4F"/>
    <w:rsid w:val="03C10C9F"/>
    <w:rsid w:val="03C921C1"/>
    <w:rsid w:val="03FD053E"/>
    <w:rsid w:val="040B7728"/>
    <w:rsid w:val="040D5331"/>
    <w:rsid w:val="042475F2"/>
    <w:rsid w:val="044912F8"/>
    <w:rsid w:val="045B26AD"/>
    <w:rsid w:val="045F7B15"/>
    <w:rsid w:val="046D2F85"/>
    <w:rsid w:val="049D3F5A"/>
    <w:rsid w:val="04B43E82"/>
    <w:rsid w:val="04CB26A7"/>
    <w:rsid w:val="04CD0688"/>
    <w:rsid w:val="04CE3D21"/>
    <w:rsid w:val="04D502BA"/>
    <w:rsid w:val="04DA7FAF"/>
    <w:rsid w:val="04DF4866"/>
    <w:rsid w:val="04E96780"/>
    <w:rsid w:val="04F06D3D"/>
    <w:rsid w:val="050438CD"/>
    <w:rsid w:val="052B0940"/>
    <w:rsid w:val="053973B5"/>
    <w:rsid w:val="05402991"/>
    <w:rsid w:val="054E1CE0"/>
    <w:rsid w:val="055E230D"/>
    <w:rsid w:val="056C728C"/>
    <w:rsid w:val="057A7F6E"/>
    <w:rsid w:val="05A377A7"/>
    <w:rsid w:val="05D137D6"/>
    <w:rsid w:val="05D27302"/>
    <w:rsid w:val="05FA123D"/>
    <w:rsid w:val="05FB4E02"/>
    <w:rsid w:val="05FF224E"/>
    <w:rsid w:val="060454DB"/>
    <w:rsid w:val="06110D47"/>
    <w:rsid w:val="063F6A07"/>
    <w:rsid w:val="06587E65"/>
    <w:rsid w:val="065A46B0"/>
    <w:rsid w:val="065B3B93"/>
    <w:rsid w:val="066D1D57"/>
    <w:rsid w:val="06B12629"/>
    <w:rsid w:val="06BD3616"/>
    <w:rsid w:val="06BE30D0"/>
    <w:rsid w:val="06CD112D"/>
    <w:rsid w:val="06D505D2"/>
    <w:rsid w:val="06DC7813"/>
    <w:rsid w:val="06E56C12"/>
    <w:rsid w:val="06FC54BA"/>
    <w:rsid w:val="06FD5DC2"/>
    <w:rsid w:val="07224610"/>
    <w:rsid w:val="073278A0"/>
    <w:rsid w:val="073E5E68"/>
    <w:rsid w:val="07621A18"/>
    <w:rsid w:val="077166EC"/>
    <w:rsid w:val="07892C9E"/>
    <w:rsid w:val="07B56E3D"/>
    <w:rsid w:val="07E562BD"/>
    <w:rsid w:val="07FC0B21"/>
    <w:rsid w:val="07FC0D88"/>
    <w:rsid w:val="08145F16"/>
    <w:rsid w:val="08366DA4"/>
    <w:rsid w:val="084D4872"/>
    <w:rsid w:val="0852506A"/>
    <w:rsid w:val="085A28FF"/>
    <w:rsid w:val="087D1536"/>
    <w:rsid w:val="089E6E52"/>
    <w:rsid w:val="08B16FB6"/>
    <w:rsid w:val="08B8390C"/>
    <w:rsid w:val="08E53CD3"/>
    <w:rsid w:val="08E74CA6"/>
    <w:rsid w:val="090A42F6"/>
    <w:rsid w:val="092266DC"/>
    <w:rsid w:val="09271A18"/>
    <w:rsid w:val="0949327F"/>
    <w:rsid w:val="097A7578"/>
    <w:rsid w:val="099106B6"/>
    <w:rsid w:val="09913C41"/>
    <w:rsid w:val="09A147B1"/>
    <w:rsid w:val="09AA6D36"/>
    <w:rsid w:val="09C33728"/>
    <w:rsid w:val="09CF513B"/>
    <w:rsid w:val="09E25AD9"/>
    <w:rsid w:val="09EA213D"/>
    <w:rsid w:val="0A0976BB"/>
    <w:rsid w:val="0A14041D"/>
    <w:rsid w:val="0A182BFC"/>
    <w:rsid w:val="0A367760"/>
    <w:rsid w:val="0A3E3F88"/>
    <w:rsid w:val="0A672A35"/>
    <w:rsid w:val="0A706A46"/>
    <w:rsid w:val="0A891706"/>
    <w:rsid w:val="0A9E72DA"/>
    <w:rsid w:val="0AE54C46"/>
    <w:rsid w:val="0AEE50E0"/>
    <w:rsid w:val="0AFC5610"/>
    <w:rsid w:val="0B224DC6"/>
    <w:rsid w:val="0B561C5B"/>
    <w:rsid w:val="0B5D1A85"/>
    <w:rsid w:val="0B5D1E36"/>
    <w:rsid w:val="0B651A2B"/>
    <w:rsid w:val="0B741EC5"/>
    <w:rsid w:val="0B7679BC"/>
    <w:rsid w:val="0BB5243F"/>
    <w:rsid w:val="0BE50B71"/>
    <w:rsid w:val="0BED26A5"/>
    <w:rsid w:val="0BF91A7F"/>
    <w:rsid w:val="0C0A394D"/>
    <w:rsid w:val="0C495E24"/>
    <w:rsid w:val="0C4A5A7C"/>
    <w:rsid w:val="0C5F0865"/>
    <w:rsid w:val="0C786384"/>
    <w:rsid w:val="0C943AA2"/>
    <w:rsid w:val="0CB5191B"/>
    <w:rsid w:val="0CB6728F"/>
    <w:rsid w:val="0CCE2B10"/>
    <w:rsid w:val="0CE1187B"/>
    <w:rsid w:val="0CFD25BD"/>
    <w:rsid w:val="0D1F6213"/>
    <w:rsid w:val="0D231009"/>
    <w:rsid w:val="0D2E7A52"/>
    <w:rsid w:val="0D371B9D"/>
    <w:rsid w:val="0D452987"/>
    <w:rsid w:val="0D462DD6"/>
    <w:rsid w:val="0D62596E"/>
    <w:rsid w:val="0D6C19EE"/>
    <w:rsid w:val="0D7A1E67"/>
    <w:rsid w:val="0D7B32BC"/>
    <w:rsid w:val="0D933F5C"/>
    <w:rsid w:val="0DA67FA3"/>
    <w:rsid w:val="0DA800E4"/>
    <w:rsid w:val="0DC3433B"/>
    <w:rsid w:val="0E005C7A"/>
    <w:rsid w:val="0E0C42FA"/>
    <w:rsid w:val="0E2A28DC"/>
    <w:rsid w:val="0E381521"/>
    <w:rsid w:val="0E475B7F"/>
    <w:rsid w:val="0E69691F"/>
    <w:rsid w:val="0EA7065B"/>
    <w:rsid w:val="0EA91CC7"/>
    <w:rsid w:val="0EC875FE"/>
    <w:rsid w:val="0EE00EC5"/>
    <w:rsid w:val="0EEC44E6"/>
    <w:rsid w:val="0EFD2AF6"/>
    <w:rsid w:val="0F03025E"/>
    <w:rsid w:val="0F1C13DE"/>
    <w:rsid w:val="0F393446"/>
    <w:rsid w:val="0F3F00D1"/>
    <w:rsid w:val="0F4A7075"/>
    <w:rsid w:val="0F537409"/>
    <w:rsid w:val="0F79260C"/>
    <w:rsid w:val="0F987E27"/>
    <w:rsid w:val="0FBB76E3"/>
    <w:rsid w:val="0FC54506"/>
    <w:rsid w:val="0FC66DA3"/>
    <w:rsid w:val="100E0796"/>
    <w:rsid w:val="101D1E30"/>
    <w:rsid w:val="10204FBD"/>
    <w:rsid w:val="10252948"/>
    <w:rsid w:val="10372E26"/>
    <w:rsid w:val="103966FB"/>
    <w:rsid w:val="103D6845"/>
    <w:rsid w:val="1043262A"/>
    <w:rsid w:val="10656183"/>
    <w:rsid w:val="106C132D"/>
    <w:rsid w:val="108E6DDE"/>
    <w:rsid w:val="10DD209D"/>
    <w:rsid w:val="10FF1E8F"/>
    <w:rsid w:val="114535BD"/>
    <w:rsid w:val="115C7E46"/>
    <w:rsid w:val="118013C7"/>
    <w:rsid w:val="118D5872"/>
    <w:rsid w:val="119963B1"/>
    <w:rsid w:val="11B361D3"/>
    <w:rsid w:val="11BB4D58"/>
    <w:rsid w:val="11BB6630"/>
    <w:rsid w:val="125155EC"/>
    <w:rsid w:val="12793BBE"/>
    <w:rsid w:val="127B5FEA"/>
    <w:rsid w:val="127C4C76"/>
    <w:rsid w:val="128C33F4"/>
    <w:rsid w:val="12EF690E"/>
    <w:rsid w:val="12FD5E15"/>
    <w:rsid w:val="131A7145"/>
    <w:rsid w:val="131C06AC"/>
    <w:rsid w:val="133A4EB7"/>
    <w:rsid w:val="13487675"/>
    <w:rsid w:val="13631AD8"/>
    <w:rsid w:val="137447B2"/>
    <w:rsid w:val="13830E2C"/>
    <w:rsid w:val="138D11BC"/>
    <w:rsid w:val="139D2FCC"/>
    <w:rsid w:val="13AD288D"/>
    <w:rsid w:val="13D84C83"/>
    <w:rsid w:val="13EA285B"/>
    <w:rsid w:val="142468C7"/>
    <w:rsid w:val="143C5260"/>
    <w:rsid w:val="14661880"/>
    <w:rsid w:val="149C20CC"/>
    <w:rsid w:val="14A2463C"/>
    <w:rsid w:val="14AF4B49"/>
    <w:rsid w:val="14B45A92"/>
    <w:rsid w:val="14F838A9"/>
    <w:rsid w:val="15164403"/>
    <w:rsid w:val="15273101"/>
    <w:rsid w:val="153062F0"/>
    <w:rsid w:val="153E2DB6"/>
    <w:rsid w:val="15550B09"/>
    <w:rsid w:val="155550C1"/>
    <w:rsid w:val="15576ACE"/>
    <w:rsid w:val="1568217F"/>
    <w:rsid w:val="15761223"/>
    <w:rsid w:val="15784E47"/>
    <w:rsid w:val="157C2A57"/>
    <w:rsid w:val="159517A5"/>
    <w:rsid w:val="15A74B21"/>
    <w:rsid w:val="15B17473"/>
    <w:rsid w:val="15E23CA8"/>
    <w:rsid w:val="15F75500"/>
    <w:rsid w:val="15FA6095"/>
    <w:rsid w:val="166B3507"/>
    <w:rsid w:val="166F203B"/>
    <w:rsid w:val="16C2284B"/>
    <w:rsid w:val="16CB423B"/>
    <w:rsid w:val="16D95682"/>
    <w:rsid w:val="17062F69"/>
    <w:rsid w:val="171750B3"/>
    <w:rsid w:val="17423544"/>
    <w:rsid w:val="17450DD5"/>
    <w:rsid w:val="17575561"/>
    <w:rsid w:val="1779199A"/>
    <w:rsid w:val="17907B2D"/>
    <w:rsid w:val="17982E60"/>
    <w:rsid w:val="179944DC"/>
    <w:rsid w:val="17A06173"/>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A25EE0"/>
    <w:rsid w:val="18AD6D67"/>
    <w:rsid w:val="18D3007D"/>
    <w:rsid w:val="18D53492"/>
    <w:rsid w:val="190144BB"/>
    <w:rsid w:val="190D3CF6"/>
    <w:rsid w:val="190E1B7D"/>
    <w:rsid w:val="192F739D"/>
    <w:rsid w:val="196C2D76"/>
    <w:rsid w:val="19DC5DE9"/>
    <w:rsid w:val="19E42EEC"/>
    <w:rsid w:val="19E7490A"/>
    <w:rsid w:val="19FC4F49"/>
    <w:rsid w:val="1A206E13"/>
    <w:rsid w:val="1A324F2D"/>
    <w:rsid w:val="1A462475"/>
    <w:rsid w:val="1A542986"/>
    <w:rsid w:val="1A6612FE"/>
    <w:rsid w:val="1A6E4083"/>
    <w:rsid w:val="1A754C02"/>
    <w:rsid w:val="1A855D7B"/>
    <w:rsid w:val="1AB71087"/>
    <w:rsid w:val="1AC06A39"/>
    <w:rsid w:val="1ACC4F36"/>
    <w:rsid w:val="1AD357E3"/>
    <w:rsid w:val="1AE043B8"/>
    <w:rsid w:val="1AF11218"/>
    <w:rsid w:val="1AF44A0B"/>
    <w:rsid w:val="1B0742EF"/>
    <w:rsid w:val="1B115D3C"/>
    <w:rsid w:val="1B151932"/>
    <w:rsid w:val="1B1E0896"/>
    <w:rsid w:val="1B306794"/>
    <w:rsid w:val="1B3B23A6"/>
    <w:rsid w:val="1B483F91"/>
    <w:rsid w:val="1B614048"/>
    <w:rsid w:val="1B6C2973"/>
    <w:rsid w:val="1B6C41BD"/>
    <w:rsid w:val="1B807337"/>
    <w:rsid w:val="1BA47C58"/>
    <w:rsid w:val="1BB80F43"/>
    <w:rsid w:val="1BC170B5"/>
    <w:rsid w:val="1BC63CDD"/>
    <w:rsid w:val="1BC85289"/>
    <w:rsid w:val="1BDC02C0"/>
    <w:rsid w:val="1BEB4B83"/>
    <w:rsid w:val="1BF0529D"/>
    <w:rsid w:val="1C415F19"/>
    <w:rsid w:val="1C446BE5"/>
    <w:rsid w:val="1C594016"/>
    <w:rsid w:val="1C5A0FCE"/>
    <w:rsid w:val="1C6D0873"/>
    <w:rsid w:val="1C915866"/>
    <w:rsid w:val="1CC22F08"/>
    <w:rsid w:val="1CC96E50"/>
    <w:rsid w:val="1CD84A63"/>
    <w:rsid w:val="1CE4569C"/>
    <w:rsid w:val="1CF15954"/>
    <w:rsid w:val="1D295B40"/>
    <w:rsid w:val="1D385997"/>
    <w:rsid w:val="1D395687"/>
    <w:rsid w:val="1D5E31C4"/>
    <w:rsid w:val="1D6B0D1C"/>
    <w:rsid w:val="1D8D5C15"/>
    <w:rsid w:val="1DA31A6F"/>
    <w:rsid w:val="1DB51F23"/>
    <w:rsid w:val="1DC65199"/>
    <w:rsid w:val="1DE55082"/>
    <w:rsid w:val="1DEB7A42"/>
    <w:rsid w:val="1DF97E9A"/>
    <w:rsid w:val="1E086E80"/>
    <w:rsid w:val="1E0B7D87"/>
    <w:rsid w:val="1E4B44C2"/>
    <w:rsid w:val="1E5E18A6"/>
    <w:rsid w:val="1EC30958"/>
    <w:rsid w:val="1EC331FD"/>
    <w:rsid w:val="1F1F3A24"/>
    <w:rsid w:val="1F206854"/>
    <w:rsid w:val="1F244EC9"/>
    <w:rsid w:val="1F514A73"/>
    <w:rsid w:val="1F5A3842"/>
    <w:rsid w:val="1F690A75"/>
    <w:rsid w:val="1F78690B"/>
    <w:rsid w:val="1F7977EE"/>
    <w:rsid w:val="1F895E51"/>
    <w:rsid w:val="1FA073B6"/>
    <w:rsid w:val="1FB12B7F"/>
    <w:rsid w:val="20025D99"/>
    <w:rsid w:val="203A68C1"/>
    <w:rsid w:val="2054435F"/>
    <w:rsid w:val="205E2FD5"/>
    <w:rsid w:val="20670906"/>
    <w:rsid w:val="20875DE4"/>
    <w:rsid w:val="20933A77"/>
    <w:rsid w:val="20971013"/>
    <w:rsid w:val="209D643B"/>
    <w:rsid w:val="20A77C09"/>
    <w:rsid w:val="20E03EA8"/>
    <w:rsid w:val="211D78B0"/>
    <w:rsid w:val="212E72D0"/>
    <w:rsid w:val="213C76E2"/>
    <w:rsid w:val="213E32F0"/>
    <w:rsid w:val="2149131F"/>
    <w:rsid w:val="2149340F"/>
    <w:rsid w:val="214D73DD"/>
    <w:rsid w:val="214E43E5"/>
    <w:rsid w:val="21B53414"/>
    <w:rsid w:val="21E5038E"/>
    <w:rsid w:val="21E8206B"/>
    <w:rsid w:val="21EF529B"/>
    <w:rsid w:val="220426D8"/>
    <w:rsid w:val="223E6CF8"/>
    <w:rsid w:val="224156DA"/>
    <w:rsid w:val="2243364A"/>
    <w:rsid w:val="226823A3"/>
    <w:rsid w:val="22750CD5"/>
    <w:rsid w:val="227C1E95"/>
    <w:rsid w:val="22A73267"/>
    <w:rsid w:val="22AF5BBC"/>
    <w:rsid w:val="22C677C0"/>
    <w:rsid w:val="22CD1033"/>
    <w:rsid w:val="22DD3C85"/>
    <w:rsid w:val="22E25187"/>
    <w:rsid w:val="22FA0357"/>
    <w:rsid w:val="231F34A9"/>
    <w:rsid w:val="23740A0F"/>
    <w:rsid w:val="23773046"/>
    <w:rsid w:val="238A31D0"/>
    <w:rsid w:val="23A2444D"/>
    <w:rsid w:val="23B42767"/>
    <w:rsid w:val="23E303FA"/>
    <w:rsid w:val="23EB5574"/>
    <w:rsid w:val="23F911BA"/>
    <w:rsid w:val="23FE56CB"/>
    <w:rsid w:val="23FF49C8"/>
    <w:rsid w:val="242D516F"/>
    <w:rsid w:val="245247ED"/>
    <w:rsid w:val="24575A93"/>
    <w:rsid w:val="24BB763A"/>
    <w:rsid w:val="24BF3406"/>
    <w:rsid w:val="24FE0C07"/>
    <w:rsid w:val="2508212D"/>
    <w:rsid w:val="251D0807"/>
    <w:rsid w:val="252B038C"/>
    <w:rsid w:val="252E1698"/>
    <w:rsid w:val="2542651B"/>
    <w:rsid w:val="25543DDA"/>
    <w:rsid w:val="255F7AD2"/>
    <w:rsid w:val="2562439C"/>
    <w:rsid w:val="256D4FBD"/>
    <w:rsid w:val="25777033"/>
    <w:rsid w:val="257E016B"/>
    <w:rsid w:val="259057D7"/>
    <w:rsid w:val="25A84311"/>
    <w:rsid w:val="25A928A3"/>
    <w:rsid w:val="25AA58E4"/>
    <w:rsid w:val="25AD6D4C"/>
    <w:rsid w:val="25B52A47"/>
    <w:rsid w:val="25C10491"/>
    <w:rsid w:val="25C46D47"/>
    <w:rsid w:val="25CE035B"/>
    <w:rsid w:val="25E074E7"/>
    <w:rsid w:val="25EE4017"/>
    <w:rsid w:val="25F97290"/>
    <w:rsid w:val="26217CFD"/>
    <w:rsid w:val="26223B26"/>
    <w:rsid w:val="26241D26"/>
    <w:rsid w:val="2627224F"/>
    <w:rsid w:val="26461511"/>
    <w:rsid w:val="265B0A5D"/>
    <w:rsid w:val="266360FF"/>
    <w:rsid w:val="266B72B6"/>
    <w:rsid w:val="266C4868"/>
    <w:rsid w:val="269D762C"/>
    <w:rsid w:val="26A10A3D"/>
    <w:rsid w:val="26B75F6B"/>
    <w:rsid w:val="26C976F8"/>
    <w:rsid w:val="26EF72E5"/>
    <w:rsid w:val="26FB2A32"/>
    <w:rsid w:val="26FC4A2E"/>
    <w:rsid w:val="26FF3381"/>
    <w:rsid w:val="27004A9E"/>
    <w:rsid w:val="270B0E4A"/>
    <w:rsid w:val="2714654E"/>
    <w:rsid w:val="27180E6A"/>
    <w:rsid w:val="271E393C"/>
    <w:rsid w:val="271E669F"/>
    <w:rsid w:val="272E6A36"/>
    <w:rsid w:val="27333A9E"/>
    <w:rsid w:val="273D5A6D"/>
    <w:rsid w:val="274023D4"/>
    <w:rsid w:val="274253D5"/>
    <w:rsid w:val="27663E92"/>
    <w:rsid w:val="276D74EC"/>
    <w:rsid w:val="276F6A21"/>
    <w:rsid w:val="27701D30"/>
    <w:rsid w:val="278A534F"/>
    <w:rsid w:val="27BF77CD"/>
    <w:rsid w:val="27C7445F"/>
    <w:rsid w:val="27D163B4"/>
    <w:rsid w:val="282B36F9"/>
    <w:rsid w:val="284B4DA9"/>
    <w:rsid w:val="287813D0"/>
    <w:rsid w:val="28A813E1"/>
    <w:rsid w:val="28AB3CCD"/>
    <w:rsid w:val="28B92E20"/>
    <w:rsid w:val="28B93CEB"/>
    <w:rsid w:val="28BE3C7A"/>
    <w:rsid w:val="28E02A8F"/>
    <w:rsid w:val="28E1683E"/>
    <w:rsid w:val="29125D60"/>
    <w:rsid w:val="292B1C11"/>
    <w:rsid w:val="2960365F"/>
    <w:rsid w:val="29A02DFD"/>
    <w:rsid w:val="29D10A88"/>
    <w:rsid w:val="2A1A3264"/>
    <w:rsid w:val="2A1A46E9"/>
    <w:rsid w:val="2A2A2452"/>
    <w:rsid w:val="2A3717F0"/>
    <w:rsid w:val="2A441BE1"/>
    <w:rsid w:val="2A4836B1"/>
    <w:rsid w:val="2A4A0382"/>
    <w:rsid w:val="2A7E55B1"/>
    <w:rsid w:val="2A851BD9"/>
    <w:rsid w:val="2A863893"/>
    <w:rsid w:val="2A932720"/>
    <w:rsid w:val="2AA02867"/>
    <w:rsid w:val="2AB357E7"/>
    <w:rsid w:val="2ABF038A"/>
    <w:rsid w:val="2AC9578D"/>
    <w:rsid w:val="2ACC5C5A"/>
    <w:rsid w:val="2AF04F6E"/>
    <w:rsid w:val="2B000827"/>
    <w:rsid w:val="2B136A9C"/>
    <w:rsid w:val="2B305649"/>
    <w:rsid w:val="2B420288"/>
    <w:rsid w:val="2B421328"/>
    <w:rsid w:val="2B56310A"/>
    <w:rsid w:val="2B641D7F"/>
    <w:rsid w:val="2B674942"/>
    <w:rsid w:val="2B6D3C7A"/>
    <w:rsid w:val="2B786D85"/>
    <w:rsid w:val="2B955445"/>
    <w:rsid w:val="2BB23B01"/>
    <w:rsid w:val="2BB32D41"/>
    <w:rsid w:val="2BC069D0"/>
    <w:rsid w:val="2BC367B8"/>
    <w:rsid w:val="2BE960EF"/>
    <w:rsid w:val="2C071A15"/>
    <w:rsid w:val="2C1B0D4A"/>
    <w:rsid w:val="2C2D3420"/>
    <w:rsid w:val="2C3D0449"/>
    <w:rsid w:val="2C3D09FE"/>
    <w:rsid w:val="2C55425C"/>
    <w:rsid w:val="2C7B4E8C"/>
    <w:rsid w:val="2C8A0D2C"/>
    <w:rsid w:val="2C9446A0"/>
    <w:rsid w:val="2CA04D25"/>
    <w:rsid w:val="2CED77C1"/>
    <w:rsid w:val="2CF617E0"/>
    <w:rsid w:val="2D16631A"/>
    <w:rsid w:val="2D18099A"/>
    <w:rsid w:val="2D4C5A5E"/>
    <w:rsid w:val="2D5A4743"/>
    <w:rsid w:val="2D5E5546"/>
    <w:rsid w:val="2D681179"/>
    <w:rsid w:val="2D6F134E"/>
    <w:rsid w:val="2D944CD1"/>
    <w:rsid w:val="2DBB723B"/>
    <w:rsid w:val="2DC37DF1"/>
    <w:rsid w:val="2DCE0619"/>
    <w:rsid w:val="2DD35AE8"/>
    <w:rsid w:val="2DE64BF5"/>
    <w:rsid w:val="2DE84AF7"/>
    <w:rsid w:val="2E0D173F"/>
    <w:rsid w:val="2E2267BD"/>
    <w:rsid w:val="2E307DB7"/>
    <w:rsid w:val="2E3E5270"/>
    <w:rsid w:val="2E4C5B33"/>
    <w:rsid w:val="2E6011D7"/>
    <w:rsid w:val="2E961606"/>
    <w:rsid w:val="2EB116BB"/>
    <w:rsid w:val="2ED81367"/>
    <w:rsid w:val="2EFE7D6E"/>
    <w:rsid w:val="2F0565BD"/>
    <w:rsid w:val="2F26688E"/>
    <w:rsid w:val="2F58679B"/>
    <w:rsid w:val="2F664AF6"/>
    <w:rsid w:val="2F89313C"/>
    <w:rsid w:val="2F984ABB"/>
    <w:rsid w:val="2FAD1FDF"/>
    <w:rsid w:val="2FC00511"/>
    <w:rsid w:val="2FC17E5A"/>
    <w:rsid w:val="30171D7B"/>
    <w:rsid w:val="302C39C4"/>
    <w:rsid w:val="30561692"/>
    <w:rsid w:val="30AA13BF"/>
    <w:rsid w:val="30ED32FC"/>
    <w:rsid w:val="30F524B2"/>
    <w:rsid w:val="31195802"/>
    <w:rsid w:val="312A74ED"/>
    <w:rsid w:val="313533BC"/>
    <w:rsid w:val="313E4759"/>
    <w:rsid w:val="314B1C9B"/>
    <w:rsid w:val="31602DF6"/>
    <w:rsid w:val="31612184"/>
    <w:rsid w:val="3163384A"/>
    <w:rsid w:val="317D0C73"/>
    <w:rsid w:val="318872A5"/>
    <w:rsid w:val="318B24CE"/>
    <w:rsid w:val="31926D16"/>
    <w:rsid w:val="3194218A"/>
    <w:rsid w:val="31A40595"/>
    <w:rsid w:val="31A57943"/>
    <w:rsid w:val="31B444D7"/>
    <w:rsid w:val="31C21577"/>
    <w:rsid w:val="31C342A2"/>
    <w:rsid w:val="31F83438"/>
    <w:rsid w:val="31FC5556"/>
    <w:rsid w:val="32170FF5"/>
    <w:rsid w:val="322D0CB7"/>
    <w:rsid w:val="32356B5E"/>
    <w:rsid w:val="324474DF"/>
    <w:rsid w:val="324E226E"/>
    <w:rsid w:val="326C7167"/>
    <w:rsid w:val="32746E3F"/>
    <w:rsid w:val="32C1086E"/>
    <w:rsid w:val="32D4454C"/>
    <w:rsid w:val="32F341BB"/>
    <w:rsid w:val="330001A2"/>
    <w:rsid w:val="332A6927"/>
    <w:rsid w:val="33434A04"/>
    <w:rsid w:val="334713E7"/>
    <w:rsid w:val="335C0F0C"/>
    <w:rsid w:val="3363480C"/>
    <w:rsid w:val="337A41F8"/>
    <w:rsid w:val="338257CE"/>
    <w:rsid w:val="338B39C2"/>
    <w:rsid w:val="33CB6B29"/>
    <w:rsid w:val="33D47543"/>
    <w:rsid w:val="33EA4F8B"/>
    <w:rsid w:val="340B2F67"/>
    <w:rsid w:val="341A1198"/>
    <w:rsid w:val="341C7ECE"/>
    <w:rsid w:val="344A5CAF"/>
    <w:rsid w:val="34627E84"/>
    <w:rsid w:val="346C4843"/>
    <w:rsid w:val="34761B3D"/>
    <w:rsid w:val="347C6980"/>
    <w:rsid w:val="347D55E3"/>
    <w:rsid w:val="34861646"/>
    <w:rsid w:val="34AE6BFF"/>
    <w:rsid w:val="34ED2EF3"/>
    <w:rsid w:val="34FB6280"/>
    <w:rsid w:val="35184C6D"/>
    <w:rsid w:val="351B1E01"/>
    <w:rsid w:val="353D1B92"/>
    <w:rsid w:val="356A2C20"/>
    <w:rsid w:val="35773F4E"/>
    <w:rsid w:val="3584155B"/>
    <w:rsid w:val="358B1967"/>
    <w:rsid w:val="35906410"/>
    <w:rsid w:val="35BE61A8"/>
    <w:rsid w:val="35D903FF"/>
    <w:rsid w:val="35DB2555"/>
    <w:rsid w:val="35E1119D"/>
    <w:rsid w:val="35EF609A"/>
    <w:rsid w:val="360E3D96"/>
    <w:rsid w:val="361E3E3A"/>
    <w:rsid w:val="36462289"/>
    <w:rsid w:val="36657B90"/>
    <w:rsid w:val="368178C2"/>
    <w:rsid w:val="36892FDF"/>
    <w:rsid w:val="36897EB8"/>
    <w:rsid w:val="369301F2"/>
    <w:rsid w:val="369F5F8F"/>
    <w:rsid w:val="36A1205A"/>
    <w:rsid w:val="36A46172"/>
    <w:rsid w:val="36CD7058"/>
    <w:rsid w:val="36D90673"/>
    <w:rsid w:val="36DB7F8A"/>
    <w:rsid w:val="370666E5"/>
    <w:rsid w:val="373511EA"/>
    <w:rsid w:val="37454D4A"/>
    <w:rsid w:val="374E3698"/>
    <w:rsid w:val="375111F8"/>
    <w:rsid w:val="37785578"/>
    <w:rsid w:val="379501B2"/>
    <w:rsid w:val="37AB75F3"/>
    <w:rsid w:val="37C4304B"/>
    <w:rsid w:val="3818637F"/>
    <w:rsid w:val="38414AE1"/>
    <w:rsid w:val="385F1A9D"/>
    <w:rsid w:val="3883540B"/>
    <w:rsid w:val="38910707"/>
    <w:rsid w:val="389712F2"/>
    <w:rsid w:val="38B42B1B"/>
    <w:rsid w:val="38DD3307"/>
    <w:rsid w:val="38EC0F5C"/>
    <w:rsid w:val="390447E4"/>
    <w:rsid w:val="390F1C92"/>
    <w:rsid w:val="39293DB0"/>
    <w:rsid w:val="3932357B"/>
    <w:rsid w:val="398630C2"/>
    <w:rsid w:val="39945775"/>
    <w:rsid w:val="39A03524"/>
    <w:rsid w:val="39B13AE1"/>
    <w:rsid w:val="39BC76D4"/>
    <w:rsid w:val="39D0223F"/>
    <w:rsid w:val="39E83444"/>
    <w:rsid w:val="39E901AB"/>
    <w:rsid w:val="39F36619"/>
    <w:rsid w:val="3A015BD2"/>
    <w:rsid w:val="3A0D284C"/>
    <w:rsid w:val="3A376E72"/>
    <w:rsid w:val="3A5E6443"/>
    <w:rsid w:val="3A5F0C68"/>
    <w:rsid w:val="3A6E01EF"/>
    <w:rsid w:val="3A8D3267"/>
    <w:rsid w:val="3A9A5F88"/>
    <w:rsid w:val="3A9B3EA5"/>
    <w:rsid w:val="3A9E0B45"/>
    <w:rsid w:val="3AAC6062"/>
    <w:rsid w:val="3AD30754"/>
    <w:rsid w:val="3AD31A4B"/>
    <w:rsid w:val="3AD63FAA"/>
    <w:rsid w:val="3AD82BC6"/>
    <w:rsid w:val="3AFE2C6B"/>
    <w:rsid w:val="3B176C14"/>
    <w:rsid w:val="3B1866F7"/>
    <w:rsid w:val="3B1952ED"/>
    <w:rsid w:val="3B25014C"/>
    <w:rsid w:val="3B376687"/>
    <w:rsid w:val="3B3E6939"/>
    <w:rsid w:val="3B4F12B2"/>
    <w:rsid w:val="3B5E1424"/>
    <w:rsid w:val="3B730A2C"/>
    <w:rsid w:val="3B807805"/>
    <w:rsid w:val="3BAE5839"/>
    <w:rsid w:val="3BBB34FE"/>
    <w:rsid w:val="3BBF7182"/>
    <w:rsid w:val="3BDB763B"/>
    <w:rsid w:val="3BFB5246"/>
    <w:rsid w:val="3C0A04BB"/>
    <w:rsid w:val="3C0F6AFE"/>
    <w:rsid w:val="3C3360EC"/>
    <w:rsid w:val="3C3643F9"/>
    <w:rsid w:val="3C452831"/>
    <w:rsid w:val="3C5D17C0"/>
    <w:rsid w:val="3C7057AE"/>
    <w:rsid w:val="3CA53C3A"/>
    <w:rsid w:val="3CA74A0B"/>
    <w:rsid w:val="3CA97F92"/>
    <w:rsid w:val="3CC1259B"/>
    <w:rsid w:val="3CEA08C2"/>
    <w:rsid w:val="3CEA1C78"/>
    <w:rsid w:val="3CEC0EB8"/>
    <w:rsid w:val="3CF0119C"/>
    <w:rsid w:val="3D37642D"/>
    <w:rsid w:val="3D390680"/>
    <w:rsid w:val="3D4B442E"/>
    <w:rsid w:val="3D672756"/>
    <w:rsid w:val="3D6D69CE"/>
    <w:rsid w:val="3D8D5B29"/>
    <w:rsid w:val="3DB13B3B"/>
    <w:rsid w:val="3DC065C6"/>
    <w:rsid w:val="3DC70F93"/>
    <w:rsid w:val="3DDC0B07"/>
    <w:rsid w:val="3DEF5B24"/>
    <w:rsid w:val="3E0169BD"/>
    <w:rsid w:val="3E3D3FF6"/>
    <w:rsid w:val="3E4D1237"/>
    <w:rsid w:val="3E5700F6"/>
    <w:rsid w:val="3E7B17BF"/>
    <w:rsid w:val="3EB721C8"/>
    <w:rsid w:val="3EC7628C"/>
    <w:rsid w:val="3EF472CF"/>
    <w:rsid w:val="3F197280"/>
    <w:rsid w:val="3F217B27"/>
    <w:rsid w:val="3F372FE2"/>
    <w:rsid w:val="3F4B496B"/>
    <w:rsid w:val="3F4B6BB2"/>
    <w:rsid w:val="3F5A6CFB"/>
    <w:rsid w:val="3FA46EF8"/>
    <w:rsid w:val="3FEA02AB"/>
    <w:rsid w:val="3FEC6BE3"/>
    <w:rsid w:val="401A45DC"/>
    <w:rsid w:val="402203F5"/>
    <w:rsid w:val="4028158A"/>
    <w:rsid w:val="405427A2"/>
    <w:rsid w:val="40574F8A"/>
    <w:rsid w:val="40AC4CCB"/>
    <w:rsid w:val="40AE5034"/>
    <w:rsid w:val="40B35057"/>
    <w:rsid w:val="41303C39"/>
    <w:rsid w:val="41364AA2"/>
    <w:rsid w:val="413F5D03"/>
    <w:rsid w:val="41436921"/>
    <w:rsid w:val="41486006"/>
    <w:rsid w:val="414F74CB"/>
    <w:rsid w:val="415B6654"/>
    <w:rsid w:val="41636FFF"/>
    <w:rsid w:val="41662EBF"/>
    <w:rsid w:val="416745BC"/>
    <w:rsid w:val="417C2EE6"/>
    <w:rsid w:val="418D41A3"/>
    <w:rsid w:val="41BB761A"/>
    <w:rsid w:val="41CC7416"/>
    <w:rsid w:val="41D10E44"/>
    <w:rsid w:val="41D12A32"/>
    <w:rsid w:val="41D301C3"/>
    <w:rsid w:val="41D623AF"/>
    <w:rsid w:val="41E62FB4"/>
    <w:rsid w:val="41F6377C"/>
    <w:rsid w:val="41F67CB0"/>
    <w:rsid w:val="41F8370A"/>
    <w:rsid w:val="420B66EE"/>
    <w:rsid w:val="42170C1E"/>
    <w:rsid w:val="422F49B3"/>
    <w:rsid w:val="423767ED"/>
    <w:rsid w:val="424B6BAB"/>
    <w:rsid w:val="426E68C9"/>
    <w:rsid w:val="427D5F12"/>
    <w:rsid w:val="42802614"/>
    <w:rsid w:val="42AE5ABE"/>
    <w:rsid w:val="42B01704"/>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A24887"/>
    <w:rsid w:val="43AA0EDA"/>
    <w:rsid w:val="43E72CA9"/>
    <w:rsid w:val="43F715ED"/>
    <w:rsid w:val="44000E21"/>
    <w:rsid w:val="440D15A1"/>
    <w:rsid w:val="44394188"/>
    <w:rsid w:val="444B4C5F"/>
    <w:rsid w:val="445B6724"/>
    <w:rsid w:val="44623562"/>
    <w:rsid w:val="44655A6C"/>
    <w:rsid w:val="4467168F"/>
    <w:rsid w:val="44766B6D"/>
    <w:rsid w:val="447E15BF"/>
    <w:rsid w:val="44864A89"/>
    <w:rsid w:val="448F50C0"/>
    <w:rsid w:val="44984355"/>
    <w:rsid w:val="449E046C"/>
    <w:rsid w:val="44A8226D"/>
    <w:rsid w:val="44AA08C6"/>
    <w:rsid w:val="44EF4A70"/>
    <w:rsid w:val="451E064E"/>
    <w:rsid w:val="452364C9"/>
    <w:rsid w:val="45342FB5"/>
    <w:rsid w:val="454C0370"/>
    <w:rsid w:val="4550153F"/>
    <w:rsid w:val="45631ACD"/>
    <w:rsid w:val="45660998"/>
    <w:rsid w:val="4585213C"/>
    <w:rsid w:val="458B3F95"/>
    <w:rsid w:val="45AA2F38"/>
    <w:rsid w:val="45CF1BC3"/>
    <w:rsid w:val="45DC3D7A"/>
    <w:rsid w:val="4601483F"/>
    <w:rsid w:val="46025A85"/>
    <w:rsid w:val="461A266E"/>
    <w:rsid w:val="465530CB"/>
    <w:rsid w:val="465C6807"/>
    <w:rsid w:val="46760020"/>
    <w:rsid w:val="467C4143"/>
    <w:rsid w:val="46982676"/>
    <w:rsid w:val="46A0105D"/>
    <w:rsid w:val="46A7659A"/>
    <w:rsid w:val="46B06807"/>
    <w:rsid w:val="47024B89"/>
    <w:rsid w:val="4722388C"/>
    <w:rsid w:val="474B4C0A"/>
    <w:rsid w:val="47630D4C"/>
    <w:rsid w:val="476A5FE9"/>
    <w:rsid w:val="4790205D"/>
    <w:rsid w:val="479804CC"/>
    <w:rsid w:val="47B75E90"/>
    <w:rsid w:val="48082BD4"/>
    <w:rsid w:val="483319A6"/>
    <w:rsid w:val="483413B6"/>
    <w:rsid w:val="48383932"/>
    <w:rsid w:val="483F377D"/>
    <w:rsid w:val="48490A61"/>
    <w:rsid w:val="4876346A"/>
    <w:rsid w:val="487657D6"/>
    <w:rsid w:val="487B2340"/>
    <w:rsid w:val="48B16866"/>
    <w:rsid w:val="48D664FA"/>
    <w:rsid w:val="49001E86"/>
    <w:rsid w:val="49081412"/>
    <w:rsid w:val="492A223F"/>
    <w:rsid w:val="49500C1A"/>
    <w:rsid w:val="495B1646"/>
    <w:rsid w:val="496D50BB"/>
    <w:rsid w:val="498E1308"/>
    <w:rsid w:val="49953FD2"/>
    <w:rsid w:val="49A67FEA"/>
    <w:rsid w:val="49AA4032"/>
    <w:rsid w:val="49B42357"/>
    <w:rsid w:val="49CC282C"/>
    <w:rsid w:val="49D14C7B"/>
    <w:rsid w:val="49ED7A5F"/>
    <w:rsid w:val="49F1378E"/>
    <w:rsid w:val="49F64E88"/>
    <w:rsid w:val="4A442DE8"/>
    <w:rsid w:val="4A4C3C76"/>
    <w:rsid w:val="4A582F08"/>
    <w:rsid w:val="4A5C19ED"/>
    <w:rsid w:val="4A713EF7"/>
    <w:rsid w:val="4A71669A"/>
    <w:rsid w:val="4A836030"/>
    <w:rsid w:val="4A990DB8"/>
    <w:rsid w:val="4AB30EDE"/>
    <w:rsid w:val="4AE87797"/>
    <w:rsid w:val="4B140282"/>
    <w:rsid w:val="4B341F77"/>
    <w:rsid w:val="4B536B77"/>
    <w:rsid w:val="4B762FA5"/>
    <w:rsid w:val="4B7D207A"/>
    <w:rsid w:val="4B875EB6"/>
    <w:rsid w:val="4B8D42B7"/>
    <w:rsid w:val="4BC63073"/>
    <w:rsid w:val="4C3D761E"/>
    <w:rsid w:val="4C5621CF"/>
    <w:rsid w:val="4C7D1FFD"/>
    <w:rsid w:val="4C7E4E04"/>
    <w:rsid w:val="4C7E75E5"/>
    <w:rsid w:val="4C8A275C"/>
    <w:rsid w:val="4C8B5C81"/>
    <w:rsid w:val="4CCA7F5B"/>
    <w:rsid w:val="4CE938F8"/>
    <w:rsid w:val="4CF5763E"/>
    <w:rsid w:val="4D1819AE"/>
    <w:rsid w:val="4D1E7969"/>
    <w:rsid w:val="4D2A0882"/>
    <w:rsid w:val="4D3F7CBF"/>
    <w:rsid w:val="4D7D19AE"/>
    <w:rsid w:val="4DA65831"/>
    <w:rsid w:val="4DA8651E"/>
    <w:rsid w:val="4DB14640"/>
    <w:rsid w:val="4DB41F2C"/>
    <w:rsid w:val="4DBD01E1"/>
    <w:rsid w:val="4DC46301"/>
    <w:rsid w:val="4DCB331F"/>
    <w:rsid w:val="4DCD6596"/>
    <w:rsid w:val="4DF71CA3"/>
    <w:rsid w:val="4DF807D9"/>
    <w:rsid w:val="4DFE3CC8"/>
    <w:rsid w:val="4E1230AB"/>
    <w:rsid w:val="4E151227"/>
    <w:rsid w:val="4E4B32B9"/>
    <w:rsid w:val="4E4E418E"/>
    <w:rsid w:val="4E8167AD"/>
    <w:rsid w:val="4EA902EC"/>
    <w:rsid w:val="4EB2612F"/>
    <w:rsid w:val="4ED44C8F"/>
    <w:rsid w:val="4EDE24FE"/>
    <w:rsid w:val="4F0A7123"/>
    <w:rsid w:val="4F2A3762"/>
    <w:rsid w:val="4F2E0DB1"/>
    <w:rsid w:val="4F3A75B6"/>
    <w:rsid w:val="4F686F94"/>
    <w:rsid w:val="4F802128"/>
    <w:rsid w:val="4F90653F"/>
    <w:rsid w:val="4FD41C1D"/>
    <w:rsid w:val="4FD64C5B"/>
    <w:rsid w:val="4FE30C63"/>
    <w:rsid w:val="4FED2322"/>
    <w:rsid w:val="4FFD53C6"/>
    <w:rsid w:val="4FFE7E2F"/>
    <w:rsid w:val="501040B3"/>
    <w:rsid w:val="50321789"/>
    <w:rsid w:val="50353485"/>
    <w:rsid w:val="503D1B16"/>
    <w:rsid w:val="506D7517"/>
    <w:rsid w:val="507D0FA7"/>
    <w:rsid w:val="508E47DC"/>
    <w:rsid w:val="50A41AD5"/>
    <w:rsid w:val="50AE3F83"/>
    <w:rsid w:val="50CF7A4B"/>
    <w:rsid w:val="50E92709"/>
    <w:rsid w:val="510065DD"/>
    <w:rsid w:val="51030026"/>
    <w:rsid w:val="51064DEA"/>
    <w:rsid w:val="5123342E"/>
    <w:rsid w:val="51252A80"/>
    <w:rsid w:val="51354115"/>
    <w:rsid w:val="5137564E"/>
    <w:rsid w:val="514E0A72"/>
    <w:rsid w:val="51576FE4"/>
    <w:rsid w:val="515D0EE9"/>
    <w:rsid w:val="5173793E"/>
    <w:rsid w:val="518B40E7"/>
    <w:rsid w:val="519F488C"/>
    <w:rsid w:val="51C5493F"/>
    <w:rsid w:val="520713EF"/>
    <w:rsid w:val="520923F4"/>
    <w:rsid w:val="5222282D"/>
    <w:rsid w:val="52302A27"/>
    <w:rsid w:val="52547F54"/>
    <w:rsid w:val="525A311A"/>
    <w:rsid w:val="526957D2"/>
    <w:rsid w:val="527833CA"/>
    <w:rsid w:val="527F07B8"/>
    <w:rsid w:val="529A6D62"/>
    <w:rsid w:val="529D4EC7"/>
    <w:rsid w:val="529E7DC9"/>
    <w:rsid w:val="52A1157D"/>
    <w:rsid w:val="53033126"/>
    <w:rsid w:val="5306295B"/>
    <w:rsid w:val="530B2D71"/>
    <w:rsid w:val="530B5DAD"/>
    <w:rsid w:val="532452B2"/>
    <w:rsid w:val="53300208"/>
    <w:rsid w:val="535B4CF0"/>
    <w:rsid w:val="535F52BB"/>
    <w:rsid w:val="53693CDD"/>
    <w:rsid w:val="538006C3"/>
    <w:rsid w:val="53B05F43"/>
    <w:rsid w:val="53BA08AE"/>
    <w:rsid w:val="53BC278B"/>
    <w:rsid w:val="53FF6296"/>
    <w:rsid w:val="5400093A"/>
    <w:rsid w:val="541A1B62"/>
    <w:rsid w:val="54387BD1"/>
    <w:rsid w:val="543B6670"/>
    <w:rsid w:val="543E150A"/>
    <w:rsid w:val="54760CFA"/>
    <w:rsid w:val="547747B8"/>
    <w:rsid w:val="547F24EC"/>
    <w:rsid w:val="548E36E3"/>
    <w:rsid w:val="54E164AC"/>
    <w:rsid w:val="551B6B41"/>
    <w:rsid w:val="55230827"/>
    <w:rsid w:val="55411377"/>
    <w:rsid w:val="55992746"/>
    <w:rsid w:val="55A15285"/>
    <w:rsid w:val="55A96275"/>
    <w:rsid w:val="55C15F9E"/>
    <w:rsid w:val="56063D5E"/>
    <w:rsid w:val="561F5757"/>
    <w:rsid w:val="5625421C"/>
    <w:rsid w:val="563D1257"/>
    <w:rsid w:val="564306A0"/>
    <w:rsid w:val="564E3912"/>
    <w:rsid w:val="565B2641"/>
    <w:rsid w:val="56783F58"/>
    <w:rsid w:val="569B59A6"/>
    <w:rsid w:val="56AC02FC"/>
    <w:rsid w:val="570B0F42"/>
    <w:rsid w:val="57132F95"/>
    <w:rsid w:val="572664EB"/>
    <w:rsid w:val="572D4E3F"/>
    <w:rsid w:val="572D56F6"/>
    <w:rsid w:val="5732287F"/>
    <w:rsid w:val="57606393"/>
    <w:rsid w:val="57733E7E"/>
    <w:rsid w:val="57894A0E"/>
    <w:rsid w:val="57A6492F"/>
    <w:rsid w:val="57C02302"/>
    <w:rsid w:val="57C372F9"/>
    <w:rsid w:val="57C63600"/>
    <w:rsid w:val="57C87053"/>
    <w:rsid w:val="57E4643B"/>
    <w:rsid w:val="57E8417C"/>
    <w:rsid w:val="57F06DD9"/>
    <w:rsid w:val="581D479D"/>
    <w:rsid w:val="58315DB1"/>
    <w:rsid w:val="583A23D4"/>
    <w:rsid w:val="58430210"/>
    <w:rsid w:val="585838C1"/>
    <w:rsid w:val="5863214C"/>
    <w:rsid w:val="58717162"/>
    <w:rsid w:val="58857496"/>
    <w:rsid w:val="58B96227"/>
    <w:rsid w:val="58ED44C3"/>
    <w:rsid w:val="59024877"/>
    <w:rsid w:val="593F5822"/>
    <w:rsid w:val="594B20C2"/>
    <w:rsid w:val="59647B33"/>
    <w:rsid w:val="596C7E01"/>
    <w:rsid w:val="596F18FE"/>
    <w:rsid w:val="597B5739"/>
    <w:rsid w:val="597F1615"/>
    <w:rsid w:val="59801346"/>
    <w:rsid w:val="59914276"/>
    <w:rsid w:val="59B158D6"/>
    <w:rsid w:val="59B6154D"/>
    <w:rsid w:val="59DC43D8"/>
    <w:rsid w:val="5A270225"/>
    <w:rsid w:val="5A400973"/>
    <w:rsid w:val="5A6C1C98"/>
    <w:rsid w:val="5A7F451A"/>
    <w:rsid w:val="5A893F04"/>
    <w:rsid w:val="5A9A799F"/>
    <w:rsid w:val="5AA549B2"/>
    <w:rsid w:val="5AC9449E"/>
    <w:rsid w:val="5ADC7386"/>
    <w:rsid w:val="5B207E02"/>
    <w:rsid w:val="5B231846"/>
    <w:rsid w:val="5B5104F9"/>
    <w:rsid w:val="5B5D0855"/>
    <w:rsid w:val="5B7764CD"/>
    <w:rsid w:val="5B817F90"/>
    <w:rsid w:val="5B9118FE"/>
    <w:rsid w:val="5BAC4E3A"/>
    <w:rsid w:val="5BB1170A"/>
    <w:rsid w:val="5BB20871"/>
    <w:rsid w:val="5BBD471D"/>
    <w:rsid w:val="5BC87CA3"/>
    <w:rsid w:val="5BE21C71"/>
    <w:rsid w:val="5C012B8C"/>
    <w:rsid w:val="5C362AF4"/>
    <w:rsid w:val="5C3E4720"/>
    <w:rsid w:val="5C526BB4"/>
    <w:rsid w:val="5C615D0C"/>
    <w:rsid w:val="5C694A3B"/>
    <w:rsid w:val="5C9B09C7"/>
    <w:rsid w:val="5CC85BD5"/>
    <w:rsid w:val="5CDC5954"/>
    <w:rsid w:val="5CE018DD"/>
    <w:rsid w:val="5CE714C9"/>
    <w:rsid w:val="5CFC62EF"/>
    <w:rsid w:val="5D1B01A7"/>
    <w:rsid w:val="5D503C8D"/>
    <w:rsid w:val="5D5B7D4A"/>
    <w:rsid w:val="5DA460CD"/>
    <w:rsid w:val="5DB554E1"/>
    <w:rsid w:val="5DD81845"/>
    <w:rsid w:val="5DE871DF"/>
    <w:rsid w:val="5E074110"/>
    <w:rsid w:val="5E084769"/>
    <w:rsid w:val="5E0B0171"/>
    <w:rsid w:val="5E477499"/>
    <w:rsid w:val="5E6200F2"/>
    <w:rsid w:val="5E795C4D"/>
    <w:rsid w:val="5E8E1E7B"/>
    <w:rsid w:val="5E933865"/>
    <w:rsid w:val="5E9D308B"/>
    <w:rsid w:val="5EAB1F71"/>
    <w:rsid w:val="5EB1181D"/>
    <w:rsid w:val="5EC52109"/>
    <w:rsid w:val="5EDC6635"/>
    <w:rsid w:val="5EDF242A"/>
    <w:rsid w:val="5EEC4CC9"/>
    <w:rsid w:val="5EF03EB9"/>
    <w:rsid w:val="5EF85E29"/>
    <w:rsid w:val="5EFC424F"/>
    <w:rsid w:val="5F0861B2"/>
    <w:rsid w:val="5F0C62EC"/>
    <w:rsid w:val="5F1C2834"/>
    <w:rsid w:val="5F387DD8"/>
    <w:rsid w:val="5F5A0265"/>
    <w:rsid w:val="5F610F9A"/>
    <w:rsid w:val="5F6601DC"/>
    <w:rsid w:val="5F706225"/>
    <w:rsid w:val="5F712D16"/>
    <w:rsid w:val="5F925D02"/>
    <w:rsid w:val="5FA6205D"/>
    <w:rsid w:val="5FB477AB"/>
    <w:rsid w:val="5FBD7E8C"/>
    <w:rsid w:val="5FC00571"/>
    <w:rsid w:val="5FC72CEE"/>
    <w:rsid w:val="5FE17054"/>
    <w:rsid w:val="5FF04AF3"/>
    <w:rsid w:val="602A655E"/>
    <w:rsid w:val="602C20DD"/>
    <w:rsid w:val="6039156C"/>
    <w:rsid w:val="60442474"/>
    <w:rsid w:val="60452D1D"/>
    <w:rsid w:val="604D1429"/>
    <w:rsid w:val="60A42833"/>
    <w:rsid w:val="60B12374"/>
    <w:rsid w:val="60B12B22"/>
    <w:rsid w:val="60B8658C"/>
    <w:rsid w:val="60CB5CDD"/>
    <w:rsid w:val="60E7163C"/>
    <w:rsid w:val="611C7D9F"/>
    <w:rsid w:val="61224919"/>
    <w:rsid w:val="615A5895"/>
    <w:rsid w:val="61623A9A"/>
    <w:rsid w:val="617519E8"/>
    <w:rsid w:val="618A7FBC"/>
    <w:rsid w:val="618C4EA3"/>
    <w:rsid w:val="61B42655"/>
    <w:rsid w:val="61EB04E9"/>
    <w:rsid w:val="622F4266"/>
    <w:rsid w:val="62462A72"/>
    <w:rsid w:val="6259166C"/>
    <w:rsid w:val="625E4FBF"/>
    <w:rsid w:val="62793B49"/>
    <w:rsid w:val="62846CDE"/>
    <w:rsid w:val="62B22A23"/>
    <w:rsid w:val="62B95A2A"/>
    <w:rsid w:val="62EA6460"/>
    <w:rsid w:val="63030F14"/>
    <w:rsid w:val="63257F98"/>
    <w:rsid w:val="634F2183"/>
    <w:rsid w:val="63607EDD"/>
    <w:rsid w:val="636440AD"/>
    <w:rsid w:val="637C0957"/>
    <w:rsid w:val="63806113"/>
    <w:rsid w:val="638306D0"/>
    <w:rsid w:val="63942F1D"/>
    <w:rsid w:val="63D26110"/>
    <w:rsid w:val="63D57637"/>
    <w:rsid w:val="63E477B4"/>
    <w:rsid w:val="63ED6827"/>
    <w:rsid w:val="642E1717"/>
    <w:rsid w:val="6437274E"/>
    <w:rsid w:val="6453132F"/>
    <w:rsid w:val="6470710A"/>
    <w:rsid w:val="649B6252"/>
    <w:rsid w:val="64A036C7"/>
    <w:rsid w:val="64C22BED"/>
    <w:rsid w:val="64D82908"/>
    <w:rsid w:val="64D91523"/>
    <w:rsid w:val="64DB2E27"/>
    <w:rsid w:val="64DD0CB7"/>
    <w:rsid w:val="64EC5F80"/>
    <w:rsid w:val="65122A16"/>
    <w:rsid w:val="6514280C"/>
    <w:rsid w:val="653E5C84"/>
    <w:rsid w:val="654B1ECF"/>
    <w:rsid w:val="65585BAA"/>
    <w:rsid w:val="656E52FB"/>
    <w:rsid w:val="65851F22"/>
    <w:rsid w:val="658D680B"/>
    <w:rsid w:val="659D4F99"/>
    <w:rsid w:val="65A12770"/>
    <w:rsid w:val="65F60066"/>
    <w:rsid w:val="66035B03"/>
    <w:rsid w:val="661462F7"/>
    <w:rsid w:val="66150AEC"/>
    <w:rsid w:val="6650158D"/>
    <w:rsid w:val="665A22F4"/>
    <w:rsid w:val="667D14DA"/>
    <w:rsid w:val="668B5CC3"/>
    <w:rsid w:val="66D238E8"/>
    <w:rsid w:val="66E30E48"/>
    <w:rsid w:val="67010AE3"/>
    <w:rsid w:val="670118C6"/>
    <w:rsid w:val="67251571"/>
    <w:rsid w:val="67322B5A"/>
    <w:rsid w:val="67412446"/>
    <w:rsid w:val="67817451"/>
    <w:rsid w:val="6783286B"/>
    <w:rsid w:val="678A5539"/>
    <w:rsid w:val="6794124F"/>
    <w:rsid w:val="67C373D8"/>
    <w:rsid w:val="67EE40CD"/>
    <w:rsid w:val="67F035BE"/>
    <w:rsid w:val="68002120"/>
    <w:rsid w:val="6808604B"/>
    <w:rsid w:val="68183231"/>
    <w:rsid w:val="687112E4"/>
    <w:rsid w:val="68811569"/>
    <w:rsid w:val="688D5AAB"/>
    <w:rsid w:val="6897117D"/>
    <w:rsid w:val="689D58BF"/>
    <w:rsid w:val="689F47D3"/>
    <w:rsid w:val="68B64DE1"/>
    <w:rsid w:val="68E814B4"/>
    <w:rsid w:val="68F91EAB"/>
    <w:rsid w:val="69071751"/>
    <w:rsid w:val="69121E3A"/>
    <w:rsid w:val="69154D60"/>
    <w:rsid w:val="691F4D9F"/>
    <w:rsid w:val="69206401"/>
    <w:rsid w:val="692430D7"/>
    <w:rsid w:val="693879CC"/>
    <w:rsid w:val="693E71F2"/>
    <w:rsid w:val="694859D6"/>
    <w:rsid w:val="694A6DBA"/>
    <w:rsid w:val="6968596A"/>
    <w:rsid w:val="69723EB6"/>
    <w:rsid w:val="699954C4"/>
    <w:rsid w:val="699D36D6"/>
    <w:rsid w:val="699E4CF1"/>
    <w:rsid w:val="69A7578F"/>
    <w:rsid w:val="69AF73BD"/>
    <w:rsid w:val="69B779BF"/>
    <w:rsid w:val="69C21B11"/>
    <w:rsid w:val="69C53AC8"/>
    <w:rsid w:val="69CD7FDE"/>
    <w:rsid w:val="69E017FD"/>
    <w:rsid w:val="69F06D97"/>
    <w:rsid w:val="6A07214F"/>
    <w:rsid w:val="6A097C8B"/>
    <w:rsid w:val="6A2979C3"/>
    <w:rsid w:val="6A2E2210"/>
    <w:rsid w:val="6A2F7723"/>
    <w:rsid w:val="6A7A0D56"/>
    <w:rsid w:val="6A7E510F"/>
    <w:rsid w:val="6A9F44B9"/>
    <w:rsid w:val="6AA10091"/>
    <w:rsid w:val="6AB5342E"/>
    <w:rsid w:val="6ADB2F03"/>
    <w:rsid w:val="6ADF496C"/>
    <w:rsid w:val="6AE2354A"/>
    <w:rsid w:val="6AEB5722"/>
    <w:rsid w:val="6AF8649D"/>
    <w:rsid w:val="6AFB24CA"/>
    <w:rsid w:val="6AFE1987"/>
    <w:rsid w:val="6AFF2463"/>
    <w:rsid w:val="6B0874EA"/>
    <w:rsid w:val="6B1F10AD"/>
    <w:rsid w:val="6B22477C"/>
    <w:rsid w:val="6B320A31"/>
    <w:rsid w:val="6B3555BC"/>
    <w:rsid w:val="6B491DA4"/>
    <w:rsid w:val="6B594672"/>
    <w:rsid w:val="6B5D28FD"/>
    <w:rsid w:val="6B5E4D2E"/>
    <w:rsid w:val="6BA77929"/>
    <w:rsid w:val="6BA81B12"/>
    <w:rsid w:val="6BB05F5F"/>
    <w:rsid w:val="6BE116D3"/>
    <w:rsid w:val="6BE84004"/>
    <w:rsid w:val="6C104DE4"/>
    <w:rsid w:val="6C2A7865"/>
    <w:rsid w:val="6C620EF9"/>
    <w:rsid w:val="6C627CF4"/>
    <w:rsid w:val="6C6A54FD"/>
    <w:rsid w:val="6C730D81"/>
    <w:rsid w:val="6C950FE9"/>
    <w:rsid w:val="6CD75710"/>
    <w:rsid w:val="6CF6746A"/>
    <w:rsid w:val="6D127D3D"/>
    <w:rsid w:val="6D2D03F9"/>
    <w:rsid w:val="6D631B19"/>
    <w:rsid w:val="6D700C91"/>
    <w:rsid w:val="6D8538A3"/>
    <w:rsid w:val="6D9E588E"/>
    <w:rsid w:val="6DA94262"/>
    <w:rsid w:val="6DB70CB4"/>
    <w:rsid w:val="6DD163E6"/>
    <w:rsid w:val="6E054D8C"/>
    <w:rsid w:val="6E094352"/>
    <w:rsid w:val="6E0A2C2C"/>
    <w:rsid w:val="6E135B2D"/>
    <w:rsid w:val="6E2F1FF3"/>
    <w:rsid w:val="6E361E1A"/>
    <w:rsid w:val="6E4B50D7"/>
    <w:rsid w:val="6E5864AC"/>
    <w:rsid w:val="6E7579F1"/>
    <w:rsid w:val="6E796191"/>
    <w:rsid w:val="6E92195E"/>
    <w:rsid w:val="6E9D66DB"/>
    <w:rsid w:val="6ECE3012"/>
    <w:rsid w:val="6EEA2BEE"/>
    <w:rsid w:val="6F19182E"/>
    <w:rsid w:val="6F1F64EE"/>
    <w:rsid w:val="6F3626B6"/>
    <w:rsid w:val="6F3F40AE"/>
    <w:rsid w:val="6F815117"/>
    <w:rsid w:val="6FAD7EFC"/>
    <w:rsid w:val="6FC12833"/>
    <w:rsid w:val="70234308"/>
    <w:rsid w:val="702A2DF0"/>
    <w:rsid w:val="7072050B"/>
    <w:rsid w:val="708020B9"/>
    <w:rsid w:val="708F3F4F"/>
    <w:rsid w:val="709771CD"/>
    <w:rsid w:val="70BC647D"/>
    <w:rsid w:val="70C04C9F"/>
    <w:rsid w:val="70DA275C"/>
    <w:rsid w:val="71155E1B"/>
    <w:rsid w:val="71393588"/>
    <w:rsid w:val="714D6812"/>
    <w:rsid w:val="7170308B"/>
    <w:rsid w:val="719E503F"/>
    <w:rsid w:val="71A5799C"/>
    <w:rsid w:val="71A73954"/>
    <w:rsid w:val="71AC3D91"/>
    <w:rsid w:val="71CC455D"/>
    <w:rsid w:val="71CF1B05"/>
    <w:rsid w:val="71E65261"/>
    <w:rsid w:val="71E72A8A"/>
    <w:rsid w:val="71FD57F9"/>
    <w:rsid w:val="71FF0740"/>
    <w:rsid w:val="71FF0BB1"/>
    <w:rsid w:val="720712C4"/>
    <w:rsid w:val="7238693B"/>
    <w:rsid w:val="723D27EE"/>
    <w:rsid w:val="72554388"/>
    <w:rsid w:val="72856C67"/>
    <w:rsid w:val="72873C71"/>
    <w:rsid w:val="72896FE0"/>
    <w:rsid w:val="728E5F19"/>
    <w:rsid w:val="72952BD1"/>
    <w:rsid w:val="729F5F11"/>
    <w:rsid w:val="72A31F40"/>
    <w:rsid w:val="72C02CDD"/>
    <w:rsid w:val="73013FCC"/>
    <w:rsid w:val="73245D0B"/>
    <w:rsid w:val="73300DA0"/>
    <w:rsid w:val="733866F9"/>
    <w:rsid w:val="73526991"/>
    <w:rsid w:val="73547991"/>
    <w:rsid w:val="736938A6"/>
    <w:rsid w:val="736D75D5"/>
    <w:rsid w:val="73796EEC"/>
    <w:rsid w:val="738E6C88"/>
    <w:rsid w:val="739169F9"/>
    <w:rsid w:val="739D39C9"/>
    <w:rsid w:val="73A52AED"/>
    <w:rsid w:val="73BE0C18"/>
    <w:rsid w:val="73CD33BB"/>
    <w:rsid w:val="73EA2AA9"/>
    <w:rsid w:val="74031DA5"/>
    <w:rsid w:val="742D4234"/>
    <w:rsid w:val="74326F65"/>
    <w:rsid w:val="743F4CBA"/>
    <w:rsid w:val="747E4A8C"/>
    <w:rsid w:val="748A000B"/>
    <w:rsid w:val="748B62B1"/>
    <w:rsid w:val="749330FE"/>
    <w:rsid w:val="74942EB6"/>
    <w:rsid w:val="749E119A"/>
    <w:rsid w:val="74A356E3"/>
    <w:rsid w:val="74D33EF6"/>
    <w:rsid w:val="74D81279"/>
    <w:rsid w:val="74DD4D68"/>
    <w:rsid w:val="75324A75"/>
    <w:rsid w:val="757356C1"/>
    <w:rsid w:val="7585337A"/>
    <w:rsid w:val="75A41F9F"/>
    <w:rsid w:val="75B3265C"/>
    <w:rsid w:val="75B456A9"/>
    <w:rsid w:val="75C404DC"/>
    <w:rsid w:val="75C50AA6"/>
    <w:rsid w:val="75D94171"/>
    <w:rsid w:val="75EA51DF"/>
    <w:rsid w:val="75EB4A8F"/>
    <w:rsid w:val="76051776"/>
    <w:rsid w:val="760B6FB5"/>
    <w:rsid w:val="76177C1A"/>
    <w:rsid w:val="764B2F46"/>
    <w:rsid w:val="769D4442"/>
    <w:rsid w:val="76AF515A"/>
    <w:rsid w:val="76B61F68"/>
    <w:rsid w:val="76BE7161"/>
    <w:rsid w:val="76C4477C"/>
    <w:rsid w:val="76CC1292"/>
    <w:rsid w:val="76F65C52"/>
    <w:rsid w:val="77070825"/>
    <w:rsid w:val="77210231"/>
    <w:rsid w:val="773D64AD"/>
    <w:rsid w:val="775070C7"/>
    <w:rsid w:val="77752345"/>
    <w:rsid w:val="777703EE"/>
    <w:rsid w:val="778902AB"/>
    <w:rsid w:val="77A33763"/>
    <w:rsid w:val="77B106E0"/>
    <w:rsid w:val="77B77A99"/>
    <w:rsid w:val="77CD7881"/>
    <w:rsid w:val="77D01510"/>
    <w:rsid w:val="77D71C53"/>
    <w:rsid w:val="77E2543A"/>
    <w:rsid w:val="77E52A96"/>
    <w:rsid w:val="77FE6267"/>
    <w:rsid w:val="78193D4D"/>
    <w:rsid w:val="78203AD8"/>
    <w:rsid w:val="78437924"/>
    <w:rsid w:val="78531D63"/>
    <w:rsid w:val="78615D56"/>
    <w:rsid w:val="787D4EA5"/>
    <w:rsid w:val="788C71F2"/>
    <w:rsid w:val="78A15077"/>
    <w:rsid w:val="78A21DC2"/>
    <w:rsid w:val="78B54873"/>
    <w:rsid w:val="78C445BB"/>
    <w:rsid w:val="78C83AD2"/>
    <w:rsid w:val="790106AE"/>
    <w:rsid w:val="794D21B0"/>
    <w:rsid w:val="79516F63"/>
    <w:rsid w:val="79565544"/>
    <w:rsid w:val="79614697"/>
    <w:rsid w:val="796946E1"/>
    <w:rsid w:val="796E1666"/>
    <w:rsid w:val="798A5C60"/>
    <w:rsid w:val="79A07515"/>
    <w:rsid w:val="79A9103A"/>
    <w:rsid w:val="79AB36F9"/>
    <w:rsid w:val="79DD1D32"/>
    <w:rsid w:val="79EF06E6"/>
    <w:rsid w:val="79F06745"/>
    <w:rsid w:val="7A00729F"/>
    <w:rsid w:val="7A1B7BD6"/>
    <w:rsid w:val="7A2C6BF7"/>
    <w:rsid w:val="7A3B7866"/>
    <w:rsid w:val="7A3D749F"/>
    <w:rsid w:val="7A3E7628"/>
    <w:rsid w:val="7A402138"/>
    <w:rsid w:val="7A4A4C3A"/>
    <w:rsid w:val="7A51551F"/>
    <w:rsid w:val="7A5C78B1"/>
    <w:rsid w:val="7A793768"/>
    <w:rsid w:val="7AB212CD"/>
    <w:rsid w:val="7ACA5466"/>
    <w:rsid w:val="7AD45C10"/>
    <w:rsid w:val="7AD522D5"/>
    <w:rsid w:val="7AE240F9"/>
    <w:rsid w:val="7AE318EE"/>
    <w:rsid w:val="7AE61E56"/>
    <w:rsid w:val="7B07175A"/>
    <w:rsid w:val="7B0A6A9B"/>
    <w:rsid w:val="7B0D2818"/>
    <w:rsid w:val="7B716095"/>
    <w:rsid w:val="7B92467D"/>
    <w:rsid w:val="7B994E29"/>
    <w:rsid w:val="7B9D745B"/>
    <w:rsid w:val="7B9E5BEB"/>
    <w:rsid w:val="7BAD3F83"/>
    <w:rsid w:val="7BB12C0A"/>
    <w:rsid w:val="7BC96E50"/>
    <w:rsid w:val="7BE00437"/>
    <w:rsid w:val="7C00577C"/>
    <w:rsid w:val="7C005CAF"/>
    <w:rsid w:val="7C176EDF"/>
    <w:rsid w:val="7C25032B"/>
    <w:rsid w:val="7C254F1C"/>
    <w:rsid w:val="7C374CF9"/>
    <w:rsid w:val="7C425CF3"/>
    <w:rsid w:val="7C4C2BF6"/>
    <w:rsid w:val="7C60651C"/>
    <w:rsid w:val="7C640CBC"/>
    <w:rsid w:val="7C796B8F"/>
    <w:rsid w:val="7C812178"/>
    <w:rsid w:val="7CB82DCD"/>
    <w:rsid w:val="7CB9026D"/>
    <w:rsid w:val="7CBC3199"/>
    <w:rsid w:val="7CD66DE6"/>
    <w:rsid w:val="7CD84E2D"/>
    <w:rsid w:val="7CE57657"/>
    <w:rsid w:val="7D3F20B7"/>
    <w:rsid w:val="7D5C585E"/>
    <w:rsid w:val="7D6F1CD1"/>
    <w:rsid w:val="7D8E3A4A"/>
    <w:rsid w:val="7D9A2209"/>
    <w:rsid w:val="7DA93B03"/>
    <w:rsid w:val="7DA9460F"/>
    <w:rsid w:val="7DC80B9A"/>
    <w:rsid w:val="7DD47EE4"/>
    <w:rsid w:val="7DE03DE0"/>
    <w:rsid w:val="7DE65FBE"/>
    <w:rsid w:val="7DFF6F70"/>
    <w:rsid w:val="7E2461C2"/>
    <w:rsid w:val="7E252460"/>
    <w:rsid w:val="7E397349"/>
    <w:rsid w:val="7E3B2283"/>
    <w:rsid w:val="7E7E7C85"/>
    <w:rsid w:val="7E826950"/>
    <w:rsid w:val="7E904003"/>
    <w:rsid w:val="7E9064E4"/>
    <w:rsid w:val="7EA66AB7"/>
    <w:rsid w:val="7EB76F44"/>
    <w:rsid w:val="7EBB18A6"/>
    <w:rsid w:val="7EC30AC6"/>
    <w:rsid w:val="7EFF5CB3"/>
    <w:rsid w:val="7F0A35C9"/>
    <w:rsid w:val="7F113622"/>
    <w:rsid w:val="7F314CA2"/>
    <w:rsid w:val="7F4A08A0"/>
    <w:rsid w:val="7F5F6C47"/>
    <w:rsid w:val="7F7057E9"/>
    <w:rsid w:val="7F7405C7"/>
    <w:rsid w:val="7F7F75D9"/>
    <w:rsid w:val="7F917565"/>
    <w:rsid w:val="7FAF6BB9"/>
    <w:rsid w:val="7FBE2AC9"/>
    <w:rsid w:val="7FD62549"/>
    <w:rsid w:val="7FD77D9C"/>
    <w:rsid w:val="7FDF55E5"/>
    <w:rsid w:val="7FE41DDB"/>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74"/>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2">
    <w:name w:val="heading 2"/>
    <w:basedOn w:val="1"/>
    <w:next w:val="1"/>
    <w:link w:val="75"/>
    <w:autoRedefine/>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76"/>
    <w:autoRedefine/>
    <w:qFormat/>
    <w:uiPriority w:val="0"/>
    <w:pPr>
      <w:keepNext/>
      <w:keepLines/>
      <w:spacing w:line="413" w:lineRule="auto"/>
      <w:outlineLvl w:val="2"/>
    </w:pPr>
    <w:rPr>
      <w:b/>
      <w:bCs/>
      <w:sz w:val="32"/>
      <w:szCs w:val="32"/>
    </w:rPr>
  </w:style>
  <w:style w:type="paragraph" w:styleId="5">
    <w:name w:val="heading 4"/>
    <w:basedOn w:val="1"/>
    <w:next w:val="1"/>
    <w:link w:val="77"/>
    <w:autoRedefine/>
    <w:qFormat/>
    <w:uiPriority w:val="0"/>
    <w:pPr>
      <w:keepNext/>
      <w:keepLines/>
      <w:jc w:val="left"/>
      <w:outlineLvl w:val="3"/>
    </w:pPr>
    <w:rPr>
      <w:rFonts w:ascii="Arial" w:hAnsi="Arial" w:cs="Arial"/>
      <w:b/>
      <w:bCs/>
      <w:sz w:val="32"/>
      <w:szCs w:val="32"/>
    </w:rPr>
  </w:style>
  <w:style w:type="paragraph" w:styleId="6">
    <w:name w:val="heading 5"/>
    <w:basedOn w:val="1"/>
    <w:next w:val="1"/>
    <w:link w:val="163"/>
    <w:autoRedefine/>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7">
    <w:name w:val="heading 6"/>
    <w:basedOn w:val="6"/>
    <w:next w:val="1"/>
    <w:link w:val="164"/>
    <w:autoRedefine/>
    <w:qFormat/>
    <w:uiPriority w:val="0"/>
    <w:pPr>
      <w:tabs>
        <w:tab w:val="left" w:pos="1440"/>
      </w:tabs>
      <w:spacing w:before="260" w:after="260" w:line="360" w:lineRule="auto"/>
      <w:outlineLvl w:val="5"/>
    </w:pPr>
    <w:rPr>
      <w:sz w:val="30"/>
      <w:szCs w:val="18"/>
    </w:rPr>
  </w:style>
  <w:style w:type="paragraph" w:styleId="8">
    <w:name w:val="heading 7"/>
    <w:basedOn w:val="7"/>
    <w:next w:val="1"/>
    <w:link w:val="166"/>
    <w:autoRedefine/>
    <w:qFormat/>
    <w:uiPriority w:val="0"/>
    <w:pPr>
      <w:tabs>
        <w:tab w:val="left" w:pos="1800"/>
        <w:tab w:val="clear" w:pos="1440"/>
      </w:tabs>
      <w:outlineLvl w:val="6"/>
    </w:pPr>
  </w:style>
  <w:style w:type="paragraph" w:styleId="9">
    <w:name w:val="heading 8"/>
    <w:basedOn w:val="8"/>
    <w:next w:val="1"/>
    <w:link w:val="167"/>
    <w:autoRedefine/>
    <w:qFormat/>
    <w:uiPriority w:val="0"/>
    <w:pPr>
      <w:outlineLvl w:val="7"/>
    </w:pPr>
  </w:style>
  <w:style w:type="paragraph" w:styleId="10">
    <w:name w:val="heading 9"/>
    <w:basedOn w:val="9"/>
    <w:next w:val="1"/>
    <w:link w:val="168"/>
    <w:autoRedefine/>
    <w:qFormat/>
    <w:uiPriority w:val="0"/>
    <w:pPr>
      <w:tabs>
        <w:tab w:val="left" w:pos="2160"/>
        <w:tab w:val="clear" w:pos="1800"/>
      </w:tabs>
      <w:outlineLvl w:val="8"/>
    </w:p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sz w:val="18"/>
      <w:szCs w:val="18"/>
    </w:rPr>
  </w:style>
  <w:style w:type="paragraph" w:styleId="12">
    <w:name w:val="List Number 2"/>
    <w:basedOn w:val="1"/>
    <w:autoRedefine/>
    <w:qFormat/>
    <w:uiPriority w:val="0"/>
    <w:pPr>
      <w:numPr>
        <w:ilvl w:val="0"/>
        <w:numId w:val="1"/>
      </w:numPr>
    </w:pPr>
  </w:style>
  <w:style w:type="paragraph" w:styleId="13">
    <w:name w:val="Normal Indent"/>
    <w:basedOn w:val="1"/>
    <w:next w:val="14"/>
    <w:autoRedefine/>
    <w:qFormat/>
    <w:uiPriority w:val="0"/>
    <w:pPr>
      <w:ind w:firstLine="420"/>
    </w:pPr>
  </w:style>
  <w:style w:type="paragraph" w:styleId="14">
    <w:name w:val="toc 4"/>
    <w:basedOn w:val="1"/>
    <w:next w:val="1"/>
    <w:autoRedefine/>
    <w:qFormat/>
    <w:uiPriority w:val="39"/>
    <w:pPr>
      <w:ind w:left="630"/>
      <w:jc w:val="left"/>
    </w:pPr>
    <w:rPr>
      <w:rFonts w:asciiTheme="minorHAnsi" w:hAnsiTheme="minorHAnsi"/>
      <w:sz w:val="18"/>
      <w:szCs w:val="18"/>
    </w:rPr>
  </w:style>
  <w:style w:type="paragraph" w:styleId="15">
    <w:name w:val="Document Map"/>
    <w:basedOn w:val="1"/>
    <w:link w:val="174"/>
    <w:autoRedefine/>
    <w:qFormat/>
    <w:uiPriority w:val="0"/>
    <w:pPr>
      <w:spacing w:line="360" w:lineRule="auto"/>
      <w:ind w:firstLine="420" w:firstLineChars="200"/>
      <w:jc w:val="left"/>
    </w:pPr>
    <w:rPr>
      <w:rFonts w:ascii="宋体" w:hAnsi="Times New Roman" w:eastAsia="宋体" w:cs="Times New Roman"/>
      <w:sz w:val="18"/>
      <w:szCs w:val="18"/>
    </w:rPr>
  </w:style>
  <w:style w:type="paragraph" w:styleId="16">
    <w:name w:val="annotation text"/>
    <w:basedOn w:val="1"/>
    <w:link w:val="78"/>
    <w:autoRedefine/>
    <w:qFormat/>
    <w:uiPriority w:val="0"/>
    <w:pPr>
      <w:jc w:val="left"/>
    </w:pPr>
    <w:rPr>
      <w:rFonts w:ascii="宋体" w:cs="宋体"/>
      <w:kern w:val="0"/>
      <w:sz w:val="34"/>
      <w:szCs w:val="34"/>
    </w:rPr>
  </w:style>
  <w:style w:type="paragraph" w:styleId="17">
    <w:name w:val="Body Text 3"/>
    <w:basedOn w:val="1"/>
    <w:link w:val="176"/>
    <w:autoRedefine/>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8">
    <w:name w:val="Body Text"/>
    <w:basedOn w:val="1"/>
    <w:next w:val="1"/>
    <w:link w:val="79"/>
    <w:autoRedefine/>
    <w:qFormat/>
    <w:uiPriority w:val="0"/>
  </w:style>
  <w:style w:type="paragraph" w:styleId="19">
    <w:name w:val="Body Text Indent"/>
    <w:basedOn w:val="1"/>
    <w:next w:val="20"/>
    <w:link w:val="80"/>
    <w:autoRedefine/>
    <w:qFormat/>
    <w:uiPriority w:val="0"/>
    <w:pPr>
      <w:spacing w:after="120"/>
      <w:ind w:left="420" w:leftChars="200"/>
    </w:p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styleId="21">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2">
    <w:name w:val="toc 5"/>
    <w:basedOn w:val="1"/>
    <w:next w:val="1"/>
    <w:autoRedefine/>
    <w:qFormat/>
    <w:uiPriority w:val="39"/>
    <w:pPr>
      <w:ind w:left="840"/>
      <w:jc w:val="left"/>
    </w:pPr>
    <w:rPr>
      <w:rFonts w:asciiTheme="minorHAnsi" w:hAnsiTheme="minorHAnsi"/>
      <w:sz w:val="18"/>
      <w:szCs w:val="18"/>
    </w:rPr>
  </w:style>
  <w:style w:type="paragraph" w:styleId="23">
    <w:name w:val="toc 3"/>
    <w:basedOn w:val="1"/>
    <w:next w:val="1"/>
    <w:autoRedefine/>
    <w:qFormat/>
    <w:uiPriority w:val="39"/>
    <w:pPr>
      <w:ind w:left="420"/>
      <w:jc w:val="left"/>
    </w:pPr>
    <w:rPr>
      <w:rFonts w:asciiTheme="minorHAnsi" w:hAnsiTheme="minorHAnsi"/>
      <w:i/>
      <w:iCs/>
      <w:sz w:val="20"/>
      <w:szCs w:val="20"/>
    </w:rPr>
  </w:style>
  <w:style w:type="paragraph" w:styleId="24">
    <w:name w:val="Plain Text"/>
    <w:basedOn w:val="1"/>
    <w:link w:val="81"/>
    <w:autoRedefine/>
    <w:qFormat/>
    <w:uiPriority w:val="0"/>
    <w:pPr>
      <w:spacing w:line="324" w:lineRule="auto"/>
    </w:pPr>
    <w:rPr>
      <w:rFonts w:ascii="宋体" w:hAnsi="Courier New" w:cs="宋体"/>
    </w:rPr>
  </w:style>
  <w:style w:type="paragraph" w:styleId="25">
    <w:name w:val="toc 8"/>
    <w:basedOn w:val="1"/>
    <w:next w:val="1"/>
    <w:autoRedefine/>
    <w:qFormat/>
    <w:uiPriority w:val="39"/>
    <w:pPr>
      <w:ind w:left="1470"/>
      <w:jc w:val="left"/>
    </w:pPr>
    <w:rPr>
      <w:rFonts w:asciiTheme="minorHAnsi" w:hAnsiTheme="minorHAnsi"/>
      <w:sz w:val="18"/>
      <w:szCs w:val="18"/>
    </w:rPr>
  </w:style>
  <w:style w:type="paragraph" w:styleId="26">
    <w:name w:val="Date"/>
    <w:basedOn w:val="1"/>
    <w:next w:val="1"/>
    <w:link w:val="105"/>
    <w:autoRedefine/>
    <w:qFormat/>
    <w:uiPriority w:val="0"/>
    <w:pPr>
      <w:ind w:left="100" w:leftChars="2500"/>
    </w:pPr>
  </w:style>
  <w:style w:type="paragraph" w:styleId="27">
    <w:name w:val="Body Text Indent 2"/>
    <w:basedOn w:val="1"/>
    <w:link w:val="82"/>
    <w:autoRedefine/>
    <w:qFormat/>
    <w:uiPriority w:val="0"/>
    <w:pPr>
      <w:spacing w:after="120" w:line="480" w:lineRule="auto"/>
      <w:ind w:left="420" w:leftChars="200"/>
    </w:pPr>
  </w:style>
  <w:style w:type="paragraph" w:styleId="28">
    <w:name w:val="Balloon Text"/>
    <w:basedOn w:val="1"/>
    <w:link w:val="83"/>
    <w:autoRedefine/>
    <w:qFormat/>
    <w:uiPriority w:val="0"/>
    <w:rPr>
      <w:sz w:val="18"/>
      <w:szCs w:val="18"/>
    </w:rPr>
  </w:style>
  <w:style w:type="paragraph" w:styleId="29">
    <w:name w:val="footer"/>
    <w:basedOn w:val="1"/>
    <w:link w:val="84"/>
    <w:autoRedefine/>
    <w:qFormat/>
    <w:uiPriority w:val="99"/>
    <w:pPr>
      <w:tabs>
        <w:tab w:val="center" w:pos="4153"/>
        <w:tab w:val="right" w:pos="8306"/>
      </w:tabs>
      <w:snapToGrid w:val="0"/>
      <w:jc w:val="left"/>
    </w:pPr>
    <w:rPr>
      <w:sz w:val="18"/>
      <w:szCs w:val="18"/>
    </w:rPr>
  </w:style>
  <w:style w:type="paragraph" w:styleId="30">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2"/>
    <w:next w:val="1"/>
    <w:autoRedefine/>
    <w:qFormat/>
    <w:uiPriority w:val="39"/>
    <w:pPr>
      <w:spacing w:before="120" w:after="120"/>
      <w:jc w:val="left"/>
    </w:pPr>
    <w:rPr>
      <w:rFonts w:asciiTheme="minorHAnsi" w:hAnsiTheme="minorHAnsi"/>
      <w:b/>
      <w:bCs/>
      <w:caps/>
      <w:sz w:val="20"/>
      <w:szCs w:val="20"/>
    </w:rPr>
  </w:style>
  <w:style w:type="paragraph" w:styleId="32">
    <w:name w:val="index 1"/>
    <w:basedOn w:val="1"/>
    <w:next w:val="1"/>
    <w:autoRedefine/>
    <w:qFormat/>
    <w:uiPriority w:val="0"/>
    <w:pPr>
      <w:spacing w:line="360" w:lineRule="auto"/>
      <w:ind w:firstLine="420" w:firstLineChars="200"/>
      <w:jc w:val="left"/>
    </w:pPr>
    <w:rPr>
      <w:rFonts w:ascii="Times New Roman" w:hAnsi="Times New Roman" w:eastAsia="宋体" w:cs="Times New Roman"/>
      <w:szCs w:val="24"/>
    </w:rPr>
  </w:style>
  <w:style w:type="paragraph" w:styleId="33">
    <w:name w:val="index heading"/>
    <w:basedOn w:val="1"/>
    <w:next w:val="32"/>
    <w:autoRedefine/>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4">
    <w:name w:val="footnote text"/>
    <w:basedOn w:val="1"/>
    <w:autoRedefine/>
    <w:semiHidden/>
    <w:unhideWhenUsed/>
    <w:qFormat/>
    <w:uiPriority w:val="0"/>
    <w:pPr>
      <w:snapToGrid w:val="0"/>
      <w:jc w:val="left"/>
    </w:pPr>
    <w:rPr>
      <w:sz w:val="18"/>
    </w:rPr>
  </w:style>
  <w:style w:type="paragraph" w:styleId="35">
    <w:name w:val="toc 6"/>
    <w:basedOn w:val="1"/>
    <w:next w:val="1"/>
    <w:autoRedefine/>
    <w:qFormat/>
    <w:uiPriority w:val="39"/>
    <w:pPr>
      <w:ind w:left="1050"/>
      <w:jc w:val="left"/>
    </w:pPr>
    <w:rPr>
      <w:rFonts w:asciiTheme="minorHAnsi" w:hAnsiTheme="minorHAnsi"/>
      <w:sz w:val="18"/>
      <w:szCs w:val="18"/>
    </w:rPr>
  </w:style>
  <w:style w:type="paragraph" w:styleId="36">
    <w:name w:val="Body Text Indent 3"/>
    <w:basedOn w:val="1"/>
    <w:link w:val="173"/>
    <w:autoRedefine/>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7">
    <w:name w:val="toc 2"/>
    <w:basedOn w:val="1"/>
    <w:next w:val="1"/>
    <w:autoRedefine/>
    <w:qFormat/>
    <w:uiPriority w:val="39"/>
    <w:pPr>
      <w:ind w:left="210"/>
      <w:jc w:val="left"/>
    </w:pPr>
    <w:rPr>
      <w:rFonts w:asciiTheme="minorHAnsi" w:hAnsiTheme="minorHAnsi"/>
      <w:smallCaps/>
      <w:sz w:val="20"/>
      <w:szCs w:val="20"/>
    </w:rPr>
  </w:style>
  <w:style w:type="paragraph" w:styleId="38">
    <w:name w:val="toc 9"/>
    <w:basedOn w:val="1"/>
    <w:next w:val="1"/>
    <w:autoRedefine/>
    <w:qFormat/>
    <w:uiPriority w:val="39"/>
    <w:pPr>
      <w:ind w:left="1680"/>
      <w:jc w:val="left"/>
    </w:pPr>
    <w:rPr>
      <w:rFonts w:asciiTheme="minorHAnsi" w:hAnsiTheme="minorHAnsi"/>
      <w:sz w:val="18"/>
      <w:szCs w:val="18"/>
    </w:rPr>
  </w:style>
  <w:style w:type="paragraph" w:styleId="39">
    <w:name w:val="Body Text 2"/>
    <w:basedOn w:val="1"/>
    <w:link w:val="86"/>
    <w:autoRedefine/>
    <w:qFormat/>
    <w:uiPriority w:val="0"/>
    <w:pPr>
      <w:jc w:val="center"/>
    </w:pPr>
    <w:rPr>
      <w:b/>
      <w:bCs/>
      <w:spacing w:val="-20"/>
      <w:w w:val="130"/>
      <w:sz w:val="48"/>
      <w:szCs w:val="48"/>
    </w:rPr>
  </w:style>
  <w:style w:type="paragraph" w:styleId="40">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2">
    <w:name w:val="Title"/>
    <w:basedOn w:val="1"/>
    <w:link w:val="165"/>
    <w:autoRedefine/>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3">
    <w:name w:val="annotation subject"/>
    <w:basedOn w:val="16"/>
    <w:next w:val="1"/>
    <w:link w:val="115"/>
    <w:autoRedefine/>
    <w:semiHidden/>
    <w:unhideWhenUsed/>
    <w:qFormat/>
    <w:uiPriority w:val="0"/>
    <w:rPr>
      <w:rFonts w:ascii="Calibri" w:cs="Calibri"/>
      <w:b/>
      <w:bCs/>
      <w:kern w:val="2"/>
      <w:sz w:val="21"/>
      <w:szCs w:val="21"/>
    </w:rPr>
  </w:style>
  <w:style w:type="paragraph" w:styleId="44">
    <w:name w:val="Body Text First Indent"/>
    <w:basedOn w:val="18"/>
    <w:link w:val="171"/>
    <w:autoRedefine/>
    <w:qFormat/>
    <w:uiPriority w:val="0"/>
    <w:pPr>
      <w:ind w:firstLine="420" w:firstLineChars="100"/>
    </w:pPr>
    <w:rPr>
      <w:sz w:val="34"/>
    </w:rPr>
  </w:style>
  <w:style w:type="paragraph" w:styleId="45">
    <w:name w:val="Body Text First Indent 2"/>
    <w:basedOn w:val="19"/>
    <w:next w:val="1"/>
    <w:autoRedefine/>
    <w:semiHidden/>
    <w:unhideWhenUsed/>
    <w:qFormat/>
    <w:uiPriority w:val="0"/>
    <w:pPr>
      <w:tabs>
        <w:tab w:val="left" w:pos="4900"/>
      </w:tabs>
      <w:ind w:firstLine="420" w:firstLineChars="200"/>
    </w:pPr>
  </w:style>
  <w:style w:type="table" w:styleId="47">
    <w:name w:val="Table Grid"/>
    <w:basedOn w:val="46"/>
    <w:autoRedefine/>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bCs/>
      <w:sz w:val="24"/>
      <w:szCs w:val="24"/>
    </w:rPr>
  </w:style>
  <w:style w:type="character" w:styleId="50">
    <w:name w:val="page number"/>
    <w:basedOn w:val="48"/>
    <w:autoRedefine/>
    <w:qFormat/>
    <w:uiPriority w:val="0"/>
  </w:style>
  <w:style w:type="character" w:styleId="51">
    <w:name w:val="FollowedHyperlink"/>
    <w:basedOn w:val="48"/>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semiHidden/>
    <w:unhideWhenUsed/>
    <w:qFormat/>
    <w:uiPriority w:val="0"/>
  </w:style>
  <w:style w:type="character" w:styleId="54">
    <w:name w:val="HTML Typewriter"/>
    <w:basedOn w:val="48"/>
    <w:autoRedefine/>
    <w:semiHidden/>
    <w:unhideWhenUsed/>
    <w:qFormat/>
    <w:uiPriority w:val="0"/>
    <w:rPr>
      <w:rFonts w:hint="default" w:ascii="monospace" w:hAnsi="monospace" w:eastAsia="monospace" w:cs="monospace"/>
      <w:sz w:val="20"/>
    </w:rPr>
  </w:style>
  <w:style w:type="character" w:styleId="55">
    <w:name w:val="HTML Acronym"/>
    <w:basedOn w:val="48"/>
    <w:autoRedefine/>
    <w:semiHidden/>
    <w:unhideWhenUsed/>
    <w:qFormat/>
    <w:uiPriority w:val="0"/>
  </w:style>
  <w:style w:type="character" w:styleId="56">
    <w:name w:val="HTML Variable"/>
    <w:basedOn w:val="48"/>
    <w:autoRedefine/>
    <w:semiHidden/>
    <w:unhideWhenUsed/>
    <w:qFormat/>
    <w:uiPriority w:val="0"/>
  </w:style>
  <w:style w:type="character" w:styleId="57">
    <w:name w:val="Hyperlink"/>
    <w:autoRedefine/>
    <w:qFormat/>
    <w:uiPriority w:val="99"/>
    <w:rPr>
      <w:color w:val="0000FF"/>
      <w:u w:val="single"/>
    </w:rPr>
  </w:style>
  <w:style w:type="character" w:styleId="58">
    <w:name w:val="HTML Code"/>
    <w:basedOn w:val="48"/>
    <w:autoRedefine/>
    <w:semiHidden/>
    <w:unhideWhenUsed/>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semiHidden/>
    <w:unhideWhenUsed/>
    <w:qFormat/>
    <w:uiPriority w:val="0"/>
    <w:rPr>
      <w:sz w:val="24"/>
      <w:szCs w:val="24"/>
    </w:rPr>
  </w:style>
  <w:style w:type="character" w:styleId="61">
    <w:name w:val="footnote reference"/>
    <w:basedOn w:val="48"/>
    <w:autoRedefine/>
    <w:semiHidden/>
    <w:unhideWhenUsed/>
    <w:qFormat/>
    <w:uiPriority w:val="0"/>
    <w:rPr>
      <w:vertAlign w:val="superscript"/>
    </w:rPr>
  </w:style>
  <w:style w:type="character" w:styleId="62">
    <w:name w:val="HTML Keyboard"/>
    <w:basedOn w:val="48"/>
    <w:autoRedefine/>
    <w:semiHidden/>
    <w:unhideWhenUsed/>
    <w:qFormat/>
    <w:uiPriority w:val="0"/>
    <w:rPr>
      <w:rFonts w:ascii="monospace" w:hAnsi="monospace" w:eastAsia="monospace" w:cs="monospace"/>
      <w:sz w:val="20"/>
    </w:rPr>
  </w:style>
  <w:style w:type="character" w:styleId="63">
    <w:name w:val="HTML Sample"/>
    <w:basedOn w:val="48"/>
    <w:autoRedefine/>
    <w:semiHidden/>
    <w:unhideWhenUsed/>
    <w:qFormat/>
    <w:uiPriority w:val="0"/>
    <w:rPr>
      <w:rFonts w:hint="default" w:ascii="monospace" w:hAnsi="monospace" w:eastAsia="monospace" w:cs="monospace"/>
    </w:rPr>
  </w:style>
  <w:style w:type="paragraph" w:customStyle="1" w:styleId="64">
    <w:name w:val="样式1"/>
    <w:basedOn w:val="1"/>
    <w:link w:val="193"/>
    <w:autoRedefine/>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65">
    <w:name w:val="style4"/>
    <w:basedOn w:val="66"/>
    <w:next w:val="68"/>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6">
    <w:name w:val="正文1"/>
    <w:next w:val="67"/>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67">
    <w:name w:val="正文文本1"/>
    <w:basedOn w:val="66"/>
    <w:next w:val="65"/>
    <w:autoRedefine/>
    <w:qFormat/>
    <w:uiPriority w:val="0"/>
    <w:pPr>
      <w:spacing w:after="120"/>
    </w:pPr>
    <w:rPr>
      <w:rFonts w:ascii="Times New Roman" w:hAnsi="Times New Roman" w:eastAsia="宋体" w:cs="Times New Roman"/>
      <w:kern w:val="0"/>
      <w:sz w:val="20"/>
    </w:rPr>
  </w:style>
  <w:style w:type="paragraph" w:customStyle="1" w:styleId="68">
    <w:name w:val="2"/>
    <w:basedOn w:val="1"/>
    <w:next w:val="1"/>
    <w:link w:val="191"/>
    <w:autoRedefine/>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69">
    <w:name w:val="TOC 标题1"/>
    <w:basedOn w:val="3"/>
    <w:next w:val="1"/>
    <w:autoRedefine/>
    <w:qFormat/>
    <w:uiPriority w:val="99"/>
    <w:pPr>
      <w:spacing w:before="480" w:after="0" w:line="276" w:lineRule="auto"/>
      <w:outlineLvl w:val="9"/>
    </w:pPr>
    <w:rPr>
      <w:rFonts w:ascii="仿宋" w:hAnsi="仿宋" w:eastAsia="仿宋" w:cs="仿宋"/>
      <w:color w:val="000000"/>
      <w:kern w:val="0"/>
    </w:rPr>
  </w:style>
  <w:style w:type="paragraph" w:customStyle="1" w:styleId="7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列出段落1"/>
    <w:basedOn w:val="1"/>
    <w:autoRedefine/>
    <w:qFormat/>
    <w:uiPriority w:val="99"/>
    <w:pPr>
      <w:ind w:firstLine="420" w:firstLineChars="200"/>
    </w:pPr>
  </w:style>
  <w:style w:type="paragraph" w:customStyle="1" w:styleId="72">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73">
    <w:name w:val="+正文"/>
    <w:basedOn w:val="1"/>
    <w:autoRedefine/>
    <w:qFormat/>
    <w:uiPriority w:val="99"/>
    <w:pPr>
      <w:spacing w:line="360" w:lineRule="auto"/>
      <w:ind w:firstLine="200" w:firstLineChars="200"/>
    </w:pPr>
  </w:style>
  <w:style w:type="character" w:customStyle="1" w:styleId="74">
    <w:name w:val="标题 1 Char"/>
    <w:link w:val="3"/>
    <w:autoRedefine/>
    <w:qFormat/>
    <w:locked/>
    <w:uiPriority w:val="99"/>
    <w:rPr>
      <w:rFonts w:ascii="Calibri" w:hAnsi="Calibri" w:cs="Calibri"/>
      <w:b/>
      <w:bCs/>
      <w:kern w:val="44"/>
      <w:sz w:val="44"/>
      <w:szCs w:val="44"/>
    </w:rPr>
  </w:style>
  <w:style w:type="character" w:customStyle="1" w:styleId="75">
    <w:name w:val="标题 2 Char"/>
    <w:link w:val="2"/>
    <w:autoRedefine/>
    <w:qFormat/>
    <w:locked/>
    <w:uiPriority w:val="99"/>
    <w:rPr>
      <w:rFonts w:ascii="Cambria" w:hAnsi="Cambria" w:eastAsia="宋体" w:cs="Cambria"/>
      <w:b/>
      <w:bCs/>
      <w:sz w:val="32"/>
      <w:szCs w:val="32"/>
    </w:rPr>
  </w:style>
  <w:style w:type="character" w:customStyle="1" w:styleId="76">
    <w:name w:val="标题 3 Char"/>
    <w:link w:val="4"/>
    <w:autoRedefine/>
    <w:semiHidden/>
    <w:qFormat/>
    <w:locked/>
    <w:uiPriority w:val="99"/>
    <w:rPr>
      <w:rFonts w:ascii="Calibri" w:hAnsi="Calibri" w:cs="Calibri"/>
      <w:b/>
      <w:bCs/>
      <w:sz w:val="32"/>
      <w:szCs w:val="32"/>
    </w:rPr>
  </w:style>
  <w:style w:type="character" w:customStyle="1" w:styleId="77">
    <w:name w:val="标题 4 Char"/>
    <w:link w:val="5"/>
    <w:autoRedefine/>
    <w:semiHidden/>
    <w:qFormat/>
    <w:uiPriority w:val="9"/>
    <w:rPr>
      <w:rFonts w:ascii="Cambria" w:hAnsi="Cambria" w:eastAsia="宋体" w:cs="Times New Roman"/>
      <w:b/>
      <w:bCs/>
      <w:sz w:val="28"/>
      <w:szCs w:val="28"/>
    </w:rPr>
  </w:style>
  <w:style w:type="character" w:customStyle="1" w:styleId="78">
    <w:name w:val="批注文字 Char"/>
    <w:link w:val="16"/>
    <w:autoRedefine/>
    <w:qFormat/>
    <w:locked/>
    <w:uiPriority w:val="99"/>
    <w:rPr>
      <w:rFonts w:ascii="宋体" w:hAnsi="Calibri" w:eastAsia="宋体" w:cs="宋体"/>
      <w:sz w:val="22"/>
      <w:szCs w:val="22"/>
    </w:rPr>
  </w:style>
  <w:style w:type="character" w:customStyle="1" w:styleId="79">
    <w:name w:val="正文文本 Char"/>
    <w:link w:val="18"/>
    <w:autoRedefine/>
    <w:semiHidden/>
    <w:qFormat/>
    <w:locked/>
    <w:uiPriority w:val="99"/>
    <w:rPr>
      <w:rFonts w:ascii="Calibri" w:hAnsi="Calibri" w:cs="Calibri"/>
    </w:rPr>
  </w:style>
  <w:style w:type="character" w:customStyle="1" w:styleId="80">
    <w:name w:val="正文文本缩进 Char"/>
    <w:link w:val="19"/>
    <w:autoRedefine/>
    <w:semiHidden/>
    <w:qFormat/>
    <w:uiPriority w:val="99"/>
    <w:rPr>
      <w:rFonts w:ascii="Calibri" w:hAnsi="Calibri" w:cs="Calibri"/>
      <w:szCs w:val="21"/>
    </w:rPr>
  </w:style>
  <w:style w:type="character" w:customStyle="1" w:styleId="81">
    <w:name w:val="纯文本 Char"/>
    <w:link w:val="24"/>
    <w:autoRedefine/>
    <w:qFormat/>
    <w:locked/>
    <w:uiPriority w:val="0"/>
    <w:rPr>
      <w:rFonts w:ascii="宋体" w:hAnsi="Courier New" w:cs="宋体"/>
      <w:sz w:val="21"/>
      <w:szCs w:val="21"/>
    </w:rPr>
  </w:style>
  <w:style w:type="character" w:customStyle="1" w:styleId="82">
    <w:name w:val="正文文本缩进 2 Char"/>
    <w:link w:val="27"/>
    <w:autoRedefine/>
    <w:semiHidden/>
    <w:qFormat/>
    <w:locked/>
    <w:uiPriority w:val="99"/>
    <w:rPr>
      <w:rFonts w:ascii="Calibri" w:hAnsi="Calibri" w:cs="Calibri"/>
    </w:rPr>
  </w:style>
  <w:style w:type="character" w:customStyle="1" w:styleId="83">
    <w:name w:val="批注框文本 Char"/>
    <w:link w:val="28"/>
    <w:autoRedefine/>
    <w:qFormat/>
    <w:locked/>
    <w:uiPriority w:val="99"/>
    <w:rPr>
      <w:rFonts w:ascii="Calibri" w:hAnsi="Calibri" w:eastAsia="宋体" w:cs="Calibri"/>
      <w:kern w:val="2"/>
      <w:sz w:val="18"/>
      <w:szCs w:val="18"/>
    </w:rPr>
  </w:style>
  <w:style w:type="character" w:customStyle="1" w:styleId="84">
    <w:name w:val="页脚 Char"/>
    <w:basedOn w:val="48"/>
    <w:link w:val="29"/>
    <w:autoRedefine/>
    <w:qFormat/>
    <w:locked/>
    <w:uiPriority w:val="99"/>
    <w:rPr>
      <w:rFonts w:ascii="Calibri" w:hAnsi="Calibri" w:cs="Calibri"/>
      <w:sz w:val="18"/>
      <w:szCs w:val="18"/>
    </w:rPr>
  </w:style>
  <w:style w:type="character" w:customStyle="1" w:styleId="85">
    <w:name w:val="页眉 Char"/>
    <w:basedOn w:val="48"/>
    <w:link w:val="30"/>
    <w:autoRedefine/>
    <w:qFormat/>
    <w:locked/>
    <w:uiPriority w:val="99"/>
    <w:rPr>
      <w:rFonts w:ascii="Calibri" w:hAnsi="Calibri" w:cs="Calibri"/>
      <w:sz w:val="18"/>
      <w:szCs w:val="18"/>
    </w:rPr>
  </w:style>
  <w:style w:type="character" w:customStyle="1" w:styleId="86">
    <w:name w:val="正文文本 2 Char"/>
    <w:link w:val="39"/>
    <w:autoRedefine/>
    <w:semiHidden/>
    <w:qFormat/>
    <w:locked/>
    <w:uiPriority w:val="99"/>
    <w:rPr>
      <w:rFonts w:ascii="Calibri" w:hAnsi="Calibri" w:cs="Calibri"/>
    </w:rPr>
  </w:style>
  <w:style w:type="paragraph" w:customStyle="1" w:styleId="87">
    <w:name w:val="Char2 Char Char Char"/>
    <w:basedOn w:val="1"/>
    <w:autoRedefine/>
    <w:qFormat/>
    <w:uiPriority w:val="99"/>
    <w:rPr>
      <w:rFonts w:ascii="Tahoma" w:hAnsi="Tahoma" w:cs="Tahoma"/>
      <w:sz w:val="24"/>
      <w:szCs w:val="24"/>
    </w:rPr>
  </w:style>
  <w:style w:type="character" w:customStyle="1" w:styleId="88">
    <w:name w:val="10"/>
    <w:autoRedefine/>
    <w:qFormat/>
    <w:uiPriority w:val="99"/>
    <w:rPr>
      <w:rFonts w:ascii="Calibri" w:hAnsi="Calibri" w:cs="Calibri"/>
    </w:rPr>
  </w:style>
  <w:style w:type="character" w:customStyle="1" w:styleId="89">
    <w:name w:val="15"/>
    <w:autoRedefine/>
    <w:qFormat/>
    <w:uiPriority w:val="99"/>
    <w:rPr>
      <w:rFonts w:ascii="Calibri" w:hAnsi="Calibri" w:cs="Calibri"/>
      <w:i/>
      <w:iCs/>
    </w:rPr>
  </w:style>
  <w:style w:type="paragraph" w:customStyle="1" w:styleId="90">
    <w:name w:val="_Style 2"/>
    <w:basedOn w:val="1"/>
    <w:autoRedefine/>
    <w:qFormat/>
    <w:uiPriority w:val="99"/>
    <w:pPr>
      <w:ind w:firstLine="420" w:firstLineChars="200"/>
    </w:pPr>
  </w:style>
  <w:style w:type="character" w:customStyle="1" w:styleId="91">
    <w:name w:val="apple-style-span"/>
    <w:autoRedefine/>
    <w:qFormat/>
    <w:uiPriority w:val="99"/>
  </w:style>
  <w:style w:type="character" w:customStyle="1" w:styleId="92">
    <w:name w:val="del"/>
    <w:basedOn w:val="48"/>
    <w:autoRedefine/>
    <w:qFormat/>
    <w:uiPriority w:val="99"/>
  </w:style>
  <w:style w:type="character" w:customStyle="1" w:styleId="93">
    <w:name w:val="del1"/>
    <w:autoRedefine/>
    <w:qFormat/>
    <w:uiPriority w:val="99"/>
    <w:rPr>
      <w:vanish/>
      <w:color w:val="auto"/>
      <w:sz w:val="18"/>
      <w:szCs w:val="18"/>
      <w:u w:val="single"/>
    </w:rPr>
  </w:style>
  <w:style w:type="character" w:customStyle="1" w:styleId="94">
    <w:name w:val="del2"/>
    <w:autoRedefine/>
    <w:qFormat/>
    <w:uiPriority w:val="99"/>
    <w:rPr>
      <w:vanish/>
    </w:rPr>
  </w:style>
  <w:style w:type="character" w:customStyle="1" w:styleId="95">
    <w:name w:val="del3"/>
    <w:autoRedefine/>
    <w:qFormat/>
    <w:uiPriority w:val="99"/>
    <w:rPr>
      <w:vanish/>
    </w:rPr>
  </w:style>
  <w:style w:type="paragraph" w:customStyle="1" w:styleId="96">
    <w:name w:val="_Style 4"/>
    <w:basedOn w:val="1"/>
    <w:autoRedefine/>
    <w:qFormat/>
    <w:uiPriority w:val="99"/>
    <w:pPr>
      <w:ind w:firstLine="420" w:firstLineChars="200"/>
    </w:pPr>
  </w:style>
  <w:style w:type="paragraph" w:customStyle="1" w:styleId="97">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9">
    <w:name w:val="font101"/>
    <w:basedOn w:val="48"/>
    <w:autoRedefine/>
    <w:qFormat/>
    <w:uiPriority w:val="0"/>
    <w:rPr>
      <w:rFonts w:hint="eastAsia" w:ascii="宋体" w:hAnsi="宋体" w:eastAsia="宋体" w:cs="宋体"/>
      <w:color w:val="000000"/>
      <w:sz w:val="24"/>
      <w:szCs w:val="24"/>
      <w:u w:val="none"/>
    </w:rPr>
  </w:style>
  <w:style w:type="character" w:customStyle="1" w:styleId="100">
    <w:name w:val="font91"/>
    <w:basedOn w:val="48"/>
    <w:autoRedefine/>
    <w:qFormat/>
    <w:uiPriority w:val="0"/>
    <w:rPr>
      <w:rFonts w:hint="eastAsia" w:ascii="宋体" w:hAnsi="宋体" w:eastAsia="宋体" w:cs="宋体"/>
      <w:color w:val="000000"/>
      <w:sz w:val="24"/>
      <w:szCs w:val="24"/>
      <w:u w:val="none"/>
    </w:rPr>
  </w:style>
  <w:style w:type="character" w:customStyle="1" w:styleId="101">
    <w:name w:val="font41"/>
    <w:basedOn w:val="48"/>
    <w:autoRedefine/>
    <w:qFormat/>
    <w:uiPriority w:val="0"/>
    <w:rPr>
      <w:rFonts w:hint="eastAsia" w:ascii="宋体" w:hAnsi="宋体" w:eastAsia="宋体" w:cs="宋体"/>
      <w:color w:val="000000"/>
      <w:sz w:val="24"/>
      <w:szCs w:val="24"/>
      <w:u w:val="none"/>
    </w:rPr>
  </w:style>
  <w:style w:type="character" w:customStyle="1" w:styleId="102">
    <w:name w:val="font21"/>
    <w:basedOn w:val="48"/>
    <w:autoRedefine/>
    <w:qFormat/>
    <w:uiPriority w:val="0"/>
    <w:rPr>
      <w:rFonts w:hint="eastAsia" w:ascii="宋体" w:hAnsi="宋体" w:eastAsia="宋体" w:cs="宋体"/>
      <w:color w:val="000000"/>
      <w:sz w:val="24"/>
      <w:szCs w:val="24"/>
      <w:u w:val="none"/>
    </w:rPr>
  </w:style>
  <w:style w:type="paragraph" w:styleId="103">
    <w:name w:val="List Paragraph"/>
    <w:basedOn w:val="1"/>
    <w:autoRedefine/>
    <w:qFormat/>
    <w:uiPriority w:val="99"/>
    <w:pPr>
      <w:ind w:firstLine="420" w:firstLineChars="200"/>
    </w:pPr>
  </w:style>
  <w:style w:type="table" w:customStyle="1" w:styleId="104">
    <w:name w:val="TableGrid"/>
    <w:autoRedefine/>
    <w:qFormat/>
    <w:uiPriority w:val="0"/>
    <w:rPr>
      <w:kern w:val="2"/>
      <w:sz w:val="21"/>
      <w:szCs w:val="22"/>
    </w:rPr>
    <w:tblPr>
      <w:tblCellMar>
        <w:top w:w="0" w:type="dxa"/>
        <w:left w:w="0" w:type="dxa"/>
        <w:bottom w:w="0" w:type="dxa"/>
        <w:right w:w="0" w:type="dxa"/>
      </w:tblCellMar>
    </w:tblPr>
  </w:style>
  <w:style w:type="character" w:customStyle="1" w:styleId="105">
    <w:name w:val="日期 Char"/>
    <w:basedOn w:val="48"/>
    <w:link w:val="26"/>
    <w:autoRedefine/>
    <w:qFormat/>
    <w:uiPriority w:val="0"/>
    <w:rPr>
      <w:rFonts w:ascii="Calibri" w:hAnsi="Calibri" w:cs="Calibri"/>
      <w:kern w:val="2"/>
      <w:sz w:val="21"/>
      <w:szCs w:val="21"/>
    </w:rPr>
  </w:style>
  <w:style w:type="character" w:customStyle="1" w:styleId="106">
    <w:name w:val="List Paragraph Char1"/>
    <w:link w:val="107"/>
    <w:autoRedefine/>
    <w:qFormat/>
    <w:locked/>
    <w:uiPriority w:val="0"/>
    <w:rPr>
      <w:sz w:val="24"/>
    </w:rPr>
  </w:style>
  <w:style w:type="paragraph" w:customStyle="1" w:styleId="107">
    <w:name w:val="列出段落2"/>
    <w:basedOn w:val="1"/>
    <w:link w:val="106"/>
    <w:autoRedefine/>
    <w:qFormat/>
    <w:uiPriority w:val="0"/>
    <w:pPr>
      <w:ind w:firstLine="420" w:firstLineChars="200"/>
    </w:pPr>
    <w:rPr>
      <w:rFonts w:ascii="Times New Roman" w:hAnsi="Times New Roman" w:cs="Times New Roman"/>
      <w:kern w:val="0"/>
      <w:sz w:val="24"/>
      <w:szCs w:val="20"/>
    </w:rPr>
  </w:style>
  <w:style w:type="table" w:customStyle="1" w:styleId="108">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9">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0">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2">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115">
    <w:name w:val="批注主题 Char"/>
    <w:basedOn w:val="78"/>
    <w:link w:val="43"/>
    <w:autoRedefine/>
    <w:semiHidden/>
    <w:qFormat/>
    <w:uiPriority w:val="99"/>
    <w:rPr>
      <w:rFonts w:ascii="Calibri" w:hAnsi="Calibri" w:eastAsia="宋体" w:cs="Calibri"/>
      <w:b/>
      <w:bCs/>
      <w:kern w:val="2"/>
      <w:sz w:val="21"/>
      <w:szCs w:val="21"/>
    </w:rPr>
  </w:style>
  <w:style w:type="paragraph" w:customStyle="1" w:styleId="116">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117">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TableGrid9"/>
    <w:autoRedefine/>
    <w:qFormat/>
    <w:uiPriority w:val="0"/>
    <w:rPr>
      <w:kern w:val="2"/>
      <w:sz w:val="21"/>
      <w:szCs w:val="22"/>
    </w:rPr>
    <w:tblPr>
      <w:tblCellMar>
        <w:top w:w="0" w:type="dxa"/>
        <w:left w:w="0" w:type="dxa"/>
        <w:bottom w:w="0" w:type="dxa"/>
        <w:right w:w="0" w:type="dxa"/>
      </w:tblCellMar>
    </w:tblPr>
  </w:style>
  <w:style w:type="table" w:customStyle="1" w:styleId="119">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0">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1">
    <w:name w:val="TableGrid12"/>
    <w:autoRedefine/>
    <w:qFormat/>
    <w:uiPriority w:val="0"/>
    <w:rPr>
      <w:kern w:val="2"/>
      <w:sz w:val="21"/>
      <w:szCs w:val="22"/>
    </w:rPr>
    <w:tblPr>
      <w:tblCellMar>
        <w:top w:w="0" w:type="dxa"/>
        <w:left w:w="0" w:type="dxa"/>
        <w:bottom w:w="0" w:type="dxa"/>
        <w:right w:w="0" w:type="dxa"/>
      </w:tblCellMar>
    </w:tblPr>
  </w:style>
  <w:style w:type="table" w:customStyle="1" w:styleId="122">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3">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4">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5">
    <w:name w:val="网格型1"/>
    <w:basedOn w:val="4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high-light-bg4"/>
    <w:basedOn w:val="48"/>
    <w:autoRedefine/>
    <w:qFormat/>
    <w:uiPriority w:val="0"/>
  </w:style>
  <w:style w:type="paragraph" w:customStyle="1" w:styleId="127">
    <w:name w:val="!正文"/>
    <w:autoRedefine/>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8">
    <w:name w:val="font71"/>
    <w:basedOn w:val="48"/>
    <w:autoRedefine/>
    <w:qFormat/>
    <w:uiPriority w:val="0"/>
    <w:rPr>
      <w:rFonts w:hint="eastAsia" w:ascii="宋体" w:hAnsi="宋体" w:eastAsia="宋体" w:cs="宋体"/>
      <w:color w:val="000000"/>
      <w:sz w:val="24"/>
      <w:szCs w:val="24"/>
      <w:u w:val="none"/>
    </w:rPr>
  </w:style>
  <w:style w:type="paragraph" w:customStyle="1" w:styleId="129">
    <w:name w:val="Table Paragraph"/>
    <w:basedOn w:val="1"/>
    <w:autoRedefine/>
    <w:unhideWhenUsed/>
    <w:qFormat/>
    <w:uiPriority w:val="1"/>
    <w:rPr>
      <w:rFonts w:hint="default"/>
      <w:sz w:val="24"/>
    </w:rPr>
  </w:style>
  <w:style w:type="paragraph" w:customStyle="1" w:styleId="130">
    <w:name w:val="正文格式"/>
    <w:basedOn w:val="1"/>
    <w:autoRedefine/>
    <w:qFormat/>
    <w:uiPriority w:val="0"/>
    <w:pPr>
      <w:adjustRightInd w:val="0"/>
      <w:snapToGrid w:val="0"/>
      <w:spacing w:line="400" w:lineRule="atLeast"/>
      <w:ind w:firstLine="482"/>
      <w:textAlignment w:val="baseline"/>
    </w:pPr>
  </w:style>
  <w:style w:type="paragraph" w:customStyle="1" w:styleId="131">
    <w:name w:val="xl29"/>
    <w:basedOn w:val="1"/>
    <w:autoRedefine/>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32">
    <w:name w:val="正文无缩进"/>
    <w:basedOn w:val="1"/>
    <w:autoRedefine/>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3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Char Char1"/>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35">
    <w:name w:val="4"/>
    <w:basedOn w:val="1"/>
    <w:autoRedefine/>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6">
    <w:name w:val="Char"/>
    <w:basedOn w:val="1"/>
    <w:autoRedefine/>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7">
    <w:name w:val="Char Char3 Char Char Char Char"/>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8">
    <w:name w:val="Char Char Char Char"/>
    <w:basedOn w:val="15"/>
    <w:autoRedefine/>
    <w:qFormat/>
    <w:uiPriority w:val="0"/>
    <w:pPr>
      <w:widowControl/>
      <w:shd w:val="clear" w:color="auto" w:fill="000080"/>
      <w:ind w:firstLine="454"/>
    </w:pPr>
    <w:rPr>
      <w:rFonts w:ascii="Tahoma" w:hAnsi="Tahoma" w:cs="宋体"/>
      <w:kern w:val="0"/>
      <w:sz w:val="21"/>
      <w:szCs w:val="20"/>
    </w:rPr>
  </w:style>
  <w:style w:type="paragraph" w:customStyle="1" w:styleId="139">
    <w:name w:val="Indent Normal"/>
    <w:basedOn w:val="1"/>
    <w:autoRedefine/>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40">
    <w:name w:val="助手文本"/>
    <w:basedOn w:val="1"/>
    <w:autoRedefine/>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41">
    <w:name w:val="正文--表格内正文"/>
    <w:basedOn w:val="1"/>
    <w:autoRedefine/>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42">
    <w:name w:val="Char Char1 Char Char Char Char Char Char"/>
    <w:basedOn w:val="1"/>
    <w:autoRedefine/>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43">
    <w:name w:val="样式4 Char"/>
    <w:basedOn w:val="1"/>
    <w:autoRedefine/>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44">
    <w:name w:val="paragraphindent"/>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5">
    <w:name w:val="FA正文"/>
    <w:basedOn w:val="1"/>
    <w:link w:val="175"/>
    <w:autoRedefine/>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6">
    <w:name w:val="14_black"/>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7">
    <w:name w:val="È±Ê¡ÎÄ±¾"/>
    <w:basedOn w:val="1"/>
    <w:autoRedefine/>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8">
    <w:name w:val="样式2"/>
    <w:basedOn w:val="1"/>
    <w:link w:val="179"/>
    <w:autoRedefine/>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9">
    <w:name w:val="样式3"/>
    <w:basedOn w:val="30"/>
    <w:link w:val="180"/>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0">
    <w:name w:val="样式4"/>
    <w:basedOn w:val="149"/>
    <w:link w:val="181"/>
    <w:autoRedefine/>
    <w:qFormat/>
    <w:uiPriority w:val="0"/>
  </w:style>
  <w:style w:type="paragraph" w:customStyle="1" w:styleId="151">
    <w:name w:val="样式5"/>
    <w:basedOn w:val="30"/>
    <w:link w:val="182"/>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2">
    <w:name w:val="样式6"/>
    <w:basedOn w:val="30"/>
    <w:link w:val="183"/>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3">
    <w:name w:val="样式7"/>
    <w:basedOn w:val="4"/>
    <w:link w:val="184"/>
    <w:autoRedefine/>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54">
    <w:name w:val="样式8"/>
    <w:basedOn w:val="29"/>
    <w:link w:val="185"/>
    <w:autoRedefine/>
    <w:qFormat/>
    <w:uiPriority w:val="0"/>
    <w:pPr>
      <w:spacing w:line="360" w:lineRule="auto"/>
      <w:ind w:firstLine="0" w:firstLineChars="0"/>
      <w:jc w:val="left"/>
    </w:pPr>
    <w:rPr>
      <w:rFonts w:ascii="Times New Roman" w:hAnsi="Times New Roman" w:eastAsia="宋体" w:cs="Times New Roman"/>
    </w:rPr>
  </w:style>
  <w:style w:type="paragraph" w:customStyle="1" w:styleId="155">
    <w:name w:val="样式9"/>
    <w:basedOn w:val="154"/>
    <w:link w:val="186"/>
    <w:autoRedefine/>
    <w:qFormat/>
    <w:uiPriority w:val="0"/>
    <w:pPr>
      <w:jc w:val="center"/>
    </w:pPr>
  </w:style>
  <w:style w:type="paragraph" w:customStyle="1" w:styleId="156">
    <w:name w:val="样式10"/>
    <w:basedOn w:val="155"/>
    <w:link w:val="187"/>
    <w:autoRedefine/>
    <w:qFormat/>
    <w:uiPriority w:val="0"/>
    <w:pPr>
      <w:pBdr>
        <w:top w:val="single" w:color="76923C" w:sz="24" w:space="1"/>
      </w:pBdr>
    </w:pPr>
  </w:style>
  <w:style w:type="paragraph" w:customStyle="1" w:styleId="157">
    <w:name w:val="样式11"/>
    <w:basedOn w:val="156"/>
    <w:link w:val="188"/>
    <w:autoRedefine/>
    <w:qFormat/>
    <w:uiPriority w:val="0"/>
    <w:pPr>
      <w:pBdr>
        <w:top w:val="none" w:color="auto" w:sz="0" w:space="0"/>
      </w:pBdr>
    </w:pPr>
  </w:style>
  <w:style w:type="paragraph" w:customStyle="1" w:styleId="158">
    <w:name w:val="样式12"/>
    <w:basedOn w:val="157"/>
    <w:link w:val="189"/>
    <w:autoRedefine/>
    <w:qFormat/>
    <w:uiPriority w:val="0"/>
  </w:style>
  <w:style w:type="paragraph" w:customStyle="1" w:styleId="159">
    <w:name w:val="样式13"/>
    <w:basedOn w:val="153"/>
    <w:link w:val="190"/>
    <w:autoRedefine/>
    <w:qFormat/>
    <w:uiPriority w:val="0"/>
  </w:style>
  <w:style w:type="paragraph" w:customStyle="1" w:styleId="160">
    <w:name w:val="1"/>
    <w:basedOn w:val="1"/>
    <w:link w:val="192"/>
    <w:autoRedefine/>
    <w:qFormat/>
    <w:uiPriority w:val="0"/>
    <w:pPr>
      <w:spacing w:line="360" w:lineRule="auto"/>
      <w:ind w:firstLine="0" w:firstLineChars="0"/>
      <w:jc w:val="left"/>
    </w:pPr>
    <w:rPr>
      <w:rFonts w:ascii="Times New Roman" w:hAnsi="Times New Roman" w:eastAsia="宋体" w:cs="Times New Roman"/>
      <w:szCs w:val="24"/>
    </w:rPr>
  </w:style>
  <w:style w:type="paragraph" w:customStyle="1" w:styleId="161">
    <w:name w:val="飞越型"/>
    <w:autoRedefine/>
    <w:qFormat/>
    <w:uiPriority w:val="0"/>
    <w:pPr>
      <w:spacing w:after="200" w:line="276" w:lineRule="auto"/>
    </w:pPr>
    <w:rPr>
      <w:rFonts w:ascii="Calibri" w:hAnsi="Calibri" w:eastAsia="宋体" w:cs="黑体"/>
      <w:sz w:val="22"/>
      <w:szCs w:val="22"/>
      <w:lang w:val="en-US" w:eastAsia="zh-CN" w:bidi="ar-SA"/>
    </w:rPr>
  </w:style>
  <w:style w:type="paragraph" w:customStyle="1" w:styleId="162">
    <w:name w:val="无间隔1"/>
    <w:autoRedefine/>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63">
    <w:name w:val="标题 5 Char"/>
    <w:link w:val="6"/>
    <w:autoRedefine/>
    <w:qFormat/>
    <w:uiPriority w:val="0"/>
    <w:rPr>
      <w:rFonts w:ascii="Times New Roman" w:hAnsi="Times New Roman" w:eastAsia="宋体" w:cs="Times New Roman"/>
      <w:b/>
      <w:bCs/>
      <w:sz w:val="28"/>
      <w:szCs w:val="28"/>
    </w:rPr>
  </w:style>
  <w:style w:type="character" w:customStyle="1" w:styleId="164">
    <w:name w:val="标题 6 Char"/>
    <w:link w:val="7"/>
    <w:autoRedefine/>
    <w:qFormat/>
    <w:uiPriority w:val="0"/>
    <w:rPr>
      <w:rFonts w:ascii="Times New Roman" w:hAnsi="Times New Roman" w:eastAsia="宋体" w:cs="Times New Roman"/>
      <w:sz w:val="30"/>
      <w:szCs w:val="18"/>
    </w:rPr>
  </w:style>
  <w:style w:type="character" w:customStyle="1" w:styleId="165">
    <w:name w:val="标题 Char"/>
    <w:link w:val="42"/>
    <w:autoRedefine/>
    <w:qFormat/>
    <w:uiPriority w:val="0"/>
    <w:rPr>
      <w:rFonts w:ascii="Arial" w:hAnsi="Arial" w:eastAsia="宋体" w:cs="Arial"/>
      <w:b/>
      <w:bCs/>
      <w:sz w:val="32"/>
      <w:szCs w:val="32"/>
    </w:rPr>
  </w:style>
  <w:style w:type="character" w:customStyle="1" w:styleId="166">
    <w:name w:val="标题 7 Char"/>
    <w:link w:val="8"/>
    <w:autoRedefine/>
    <w:qFormat/>
    <w:uiPriority w:val="0"/>
    <w:rPr>
      <w:rFonts w:ascii="Times New Roman" w:hAnsi="Times New Roman" w:eastAsia="宋体" w:cs="Times New Roman"/>
    </w:rPr>
  </w:style>
  <w:style w:type="character" w:customStyle="1" w:styleId="167">
    <w:name w:val="标题 8 Char"/>
    <w:link w:val="9"/>
    <w:autoRedefine/>
    <w:qFormat/>
    <w:uiPriority w:val="0"/>
    <w:rPr>
      <w:rFonts w:ascii="Times New Roman" w:hAnsi="Times New Roman" w:eastAsia="宋体" w:cs="Times New Roman"/>
    </w:rPr>
  </w:style>
  <w:style w:type="character" w:customStyle="1" w:styleId="168">
    <w:name w:val="标题 9 Char"/>
    <w:link w:val="10"/>
    <w:autoRedefine/>
    <w:qFormat/>
    <w:uiPriority w:val="0"/>
    <w:rPr>
      <w:rFonts w:ascii="Times New Roman" w:hAnsi="Times New Roman" w:eastAsia="宋体" w:cs="Times New Roman"/>
    </w:rPr>
  </w:style>
  <w:style w:type="character" w:customStyle="1" w:styleId="169">
    <w:name w:val="large1"/>
    <w:autoRedefine/>
    <w:qFormat/>
    <w:uiPriority w:val="0"/>
    <w:rPr>
      <w:rFonts w:hint="eastAsia" w:ascii="宋体" w:hAnsi="宋体" w:eastAsia="宋体" w:cs="Times New Roman"/>
      <w:sz w:val="22"/>
      <w:szCs w:val="22"/>
    </w:rPr>
  </w:style>
  <w:style w:type="character" w:customStyle="1" w:styleId="170">
    <w:name w:val="14_black1"/>
    <w:autoRedefine/>
    <w:qFormat/>
    <w:uiPriority w:val="0"/>
    <w:rPr>
      <w:rFonts w:ascii="Times New Roman" w:hAnsi="Times New Roman" w:eastAsia="宋体" w:cs="Times New Roman"/>
      <w:color w:val="000000"/>
      <w:sz w:val="23"/>
      <w:szCs w:val="23"/>
    </w:rPr>
  </w:style>
  <w:style w:type="character" w:customStyle="1" w:styleId="171">
    <w:name w:val="正文首行缩进 Char"/>
    <w:link w:val="44"/>
    <w:autoRedefine/>
    <w:qFormat/>
    <w:uiPriority w:val="0"/>
    <w:rPr>
      <w:rFonts w:ascii="Times New Roman" w:hAnsi="Times New Roman" w:eastAsia="宋体" w:cs="Times New Roman"/>
      <w:sz w:val="34"/>
    </w:rPr>
  </w:style>
  <w:style w:type="character" w:customStyle="1" w:styleId="172">
    <w:name w:val="f141"/>
    <w:autoRedefine/>
    <w:qFormat/>
    <w:uiPriority w:val="0"/>
    <w:rPr>
      <w:rFonts w:ascii="Times New Roman" w:hAnsi="Times New Roman" w:eastAsia="宋体" w:cs="Times New Roman"/>
      <w:sz w:val="21"/>
      <w:szCs w:val="21"/>
    </w:rPr>
  </w:style>
  <w:style w:type="character" w:customStyle="1" w:styleId="173">
    <w:name w:val="正文文本缩进 3 Char"/>
    <w:link w:val="36"/>
    <w:autoRedefine/>
    <w:qFormat/>
    <w:uiPriority w:val="0"/>
    <w:rPr>
      <w:rFonts w:ascii="Times New Roman" w:hAnsi="Times New Roman" w:eastAsia="宋体" w:cs="Times New Roman"/>
      <w:sz w:val="16"/>
      <w:szCs w:val="16"/>
    </w:rPr>
  </w:style>
  <w:style w:type="character" w:customStyle="1" w:styleId="174">
    <w:name w:val="文档结构图 Char"/>
    <w:link w:val="15"/>
    <w:autoRedefine/>
    <w:qFormat/>
    <w:uiPriority w:val="0"/>
    <w:rPr>
      <w:rFonts w:ascii="宋体" w:hAnsi="Times New Roman" w:eastAsia="宋体" w:cs="Times New Roman"/>
      <w:sz w:val="18"/>
      <w:szCs w:val="18"/>
    </w:rPr>
  </w:style>
  <w:style w:type="character" w:customStyle="1" w:styleId="175">
    <w:name w:val="FA正文 Char"/>
    <w:link w:val="145"/>
    <w:autoRedefine/>
    <w:qFormat/>
    <w:uiPriority w:val="0"/>
    <w:rPr>
      <w:rFonts w:ascii="宋体" w:hAnsi="宋体" w:eastAsia="宋体" w:cs="Times New Roman"/>
      <w:spacing w:val="10"/>
      <w:sz w:val="24"/>
    </w:rPr>
  </w:style>
  <w:style w:type="character" w:customStyle="1" w:styleId="176">
    <w:name w:val="正文文本 3 Char"/>
    <w:link w:val="17"/>
    <w:autoRedefine/>
    <w:qFormat/>
    <w:uiPriority w:val="0"/>
    <w:rPr>
      <w:rFonts w:ascii="Times New Roman" w:hAnsi="Times New Roman" w:eastAsia="宋体" w:cs="Times New Roman"/>
      <w:sz w:val="16"/>
      <w:szCs w:val="16"/>
    </w:rPr>
  </w:style>
  <w:style w:type="character" w:customStyle="1" w:styleId="177">
    <w:name w:val="Indent Normal Char"/>
    <w:autoRedefine/>
    <w:qFormat/>
    <w:uiPriority w:val="0"/>
    <w:rPr>
      <w:rFonts w:ascii="Times New Roman" w:hAnsi="Times New Roman" w:eastAsia="宋体" w:cs="Times New Roman"/>
      <w:kern w:val="2"/>
      <w:sz w:val="21"/>
      <w:szCs w:val="24"/>
      <w:lang w:val="en-US" w:eastAsia="zh-CN" w:bidi="ar-SA"/>
    </w:rPr>
  </w:style>
  <w:style w:type="character" w:customStyle="1" w:styleId="178">
    <w:name w:val="p11b1"/>
    <w:autoRedefine/>
    <w:qFormat/>
    <w:uiPriority w:val="0"/>
    <w:rPr>
      <w:rFonts w:ascii="Times New Roman" w:hAnsi="Times New Roman" w:eastAsia="宋体" w:cs="Times New Roman"/>
      <w:color w:val="000000"/>
      <w:spacing w:val="320"/>
      <w:sz w:val="20"/>
      <w:szCs w:val="20"/>
      <w:u w:val="none"/>
    </w:rPr>
  </w:style>
  <w:style w:type="character" w:customStyle="1" w:styleId="179">
    <w:name w:val="样式2 Char"/>
    <w:link w:val="148"/>
    <w:autoRedefine/>
    <w:qFormat/>
    <w:uiPriority w:val="0"/>
    <w:rPr>
      <w:rFonts w:ascii="Times New Roman" w:hAnsi="Times New Roman" w:eastAsia="宋体" w:cs="Times New Roman"/>
      <w:b/>
      <w:sz w:val="30"/>
    </w:rPr>
  </w:style>
  <w:style w:type="character" w:customStyle="1" w:styleId="180">
    <w:name w:val="样式3 Char"/>
    <w:link w:val="149"/>
    <w:autoRedefine/>
    <w:qFormat/>
    <w:uiPriority w:val="0"/>
    <w:rPr>
      <w:rFonts w:ascii="Times New Roman" w:hAnsi="Times New Roman" w:eastAsia="宋体" w:cs="Times New Roman"/>
    </w:rPr>
  </w:style>
  <w:style w:type="character" w:customStyle="1" w:styleId="181">
    <w:name w:val="样式4 Char1"/>
    <w:link w:val="150"/>
    <w:autoRedefine/>
    <w:qFormat/>
    <w:uiPriority w:val="0"/>
    <w:rPr>
      <w:rFonts w:ascii="Times New Roman" w:hAnsi="Times New Roman" w:eastAsia="宋体" w:cs="Times New Roman"/>
    </w:rPr>
  </w:style>
  <w:style w:type="character" w:customStyle="1" w:styleId="182">
    <w:name w:val="样式5 Char"/>
    <w:link w:val="151"/>
    <w:autoRedefine/>
    <w:qFormat/>
    <w:uiPriority w:val="0"/>
    <w:rPr>
      <w:rFonts w:ascii="Times New Roman" w:hAnsi="Times New Roman" w:eastAsia="宋体" w:cs="Times New Roman"/>
    </w:rPr>
  </w:style>
  <w:style w:type="character" w:customStyle="1" w:styleId="183">
    <w:name w:val="样式6 Char"/>
    <w:link w:val="152"/>
    <w:autoRedefine/>
    <w:qFormat/>
    <w:uiPriority w:val="0"/>
    <w:rPr>
      <w:rFonts w:ascii="Times New Roman" w:hAnsi="Times New Roman" w:eastAsia="宋体" w:cs="Times New Roman"/>
    </w:rPr>
  </w:style>
  <w:style w:type="character" w:customStyle="1" w:styleId="184">
    <w:name w:val="样式7 Char"/>
    <w:link w:val="153"/>
    <w:autoRedefine/>
    <w:qFormat/>
    <w:uiPriority w:val="0"/>
    <w:rPr>
      <w:rFonts w:ascii="Times New Roman" w:hAnsi="Times New Roman" w:eastAsia="宋体" w:cs="Times New Roman"/>
    </w:rPr>
  </w:style>
  <w:style w:type="character" w:customStyle="1" w:styleId="185">
    <w:name w:val="样式8 Char"/>
    <w:link w:val="154"/>
    <w:autoRedefine/>
    <w:qFormat/>
    <w:uiPriority w:val="0"/>
    <w:rPr>
      <w:rFonts w:ascii="Times New Roman" w:hAnsi="Times New Roman" w:eastAsia="宋体" w:cs="Times New Roman"/>
    </w:rPr>
  </w:style>
  <w:style w:type="character" w:customStyle="1" w:styleId="186">
    <w:name w:val="样式9 Char"/>
    <w:link w:val="155"/>
    <w:autoRedefine/>
    <w:qFormat/>
    <w:uiPriority w:val="0"/>
    <w:rPr>
      <w:rFonts w:ascii="Times New Roman" w:hAnsi="Times New Roman" w:eastAsia="宋体" w:cs="Times New Roman"/>
    </w:rPr>
  </w:style>
  <w:style w:type="character" w:customStyle="1" w:styleId="187">
    <w:name w:val="样式10 Char"/>
    <w:link w:val="156"/>
    <w:autoRedefine/>
    <w:qFormat/>
    <w:uiPriority w:val="0"/>
    <w:rPr>
      <w:rFonts w:ascii="Times New Roman" w:hAnsi="Times New Roman" w:eastAsia="宋体" w:cs="Times New Roman"/>
    </w:rPr>
  </w:style>
  <w:style w:type="character" w:customStyle="1" w:styleId="188">
    <w:name w:val="样式11 Char"/>
    <w:link w:val="157"/>
    <w:autoRedefine/>
    <w:qFormat/>
    <w:uiPriority w:val="0"/>
    <w:rPr>
      <w:rFonts w:ascii="Times New Roman" w:hAnsi="Times New Roman" w:eastAsia="宋体" w:cs="Times New Roman"/>
    </w:rPr>
  </w:style>
  <w:style w:type="character" w:customStyle="1" w:styleId="189">
    <w:name w:val="样式12 Char"/>
    <w:link w:val="158"/>
    <w:autoRedefine/>
    <w:qFormat/>
    <w:uiPriority w:val="0"/>
    <w:rPr>
      <w:rFonts w:ascii="Times New Roman" w:hAnsi="Times New Roman" w:eastAsia="宋体" w:cs="Times New Roman"/>
    </w:rPr>
  </w:style>
  <w:style w:type="character" w:customStyle="1" w:styleId="190">
    <w:name w:val="样式13 Char"/>
    <w:link w:val="159"/>
    <w:autoRedefine/>
    <w:qFormat/>
    <w:uiPriority w:val="0"/>
    <w:rPr>
      <w:rFonts w:ascii="Times New Roman" w:hAnsi="Times New Roman" w:eastAsia="宋体" w:cs="Times New Roman"/>
    </w:rPr>
  </w:style>
  <w:style w:type="character" w:customStyle="1" w:styleId="191">
    <w:name w:val="2 Char"/>
    <w:link w:val="68"/>
    <w:autoRedefine/>
    <w:qFormat/>
    <w:uiPriority w:val="0"/>
    <w:rPr>
      <w:rFonts w:ascii="Times New Roman" w:hAnsi="Times New Roman" w:eastAsia="宋体" w:cs="Times New Roman"/>
      <w:spacing w:val="4"/>
    </w:rPr>
  </w:style>
  <w:style w:type="character" w:customStyle="1" w:styleId="192">
    <w:name w:val="1 Char"/>
    <w:link w:val="160"/>
    <w:autoRedefine/>
    <w:qFormat/>
    <w:uiPriority w:val="0"/>
    <w:rPr>
      <w:rFonts w:ascii="Times New Roman" w:hAnsi="Times New Roman" w:eastAsia="宋体" w:cs="Times New Roman"/>
    </w:rPr>
  </w:style>
  <w:style w:type="character" w:customStyle="1" w:styleId="193">
    <w:name w:val="样式1 Char"/>
    <w:link w:val="64"/>
    <w:autoRedefine/>
    <w:qFormat/>
    <w:uiPriority w:val="0"/>
    <w:rPr>
      <w:rFonts w:ascii="Times New Roman" w:hAnsi="Times New Roman" w:eastAsia="宋体" w:cs="Times New Roman"/>
      <w:sz w:val="24"/>
    </w:rPr>
  </w:style>
  <w:style w:type="paragraph" w:styleId="194">
    <w:name w:val="No Spacing"/>
    <w:autoRedefine/>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character" w:customStyle="1" w:styleId="195">
    <w:name w:val="layui-layer-tabnow"/>
    <w:basedOn w:val="48"/>
    <w:autoRedefine/>
    <w:qFormat/>
    <w:uiPriority w:val="0"/>
    <w:rPr>
      <w:bdr w:val="single" w:color="CCCCCC" w:sz="6" w:space="0"/>
      <w:shd w:val="clear" w:fill="FFFFFF"/>
    </w:rPr>
  </w:style>
  <w:style w:type="character" w:customStyle="1" w:styleId="196">
    <w:name w:val="first-child"/>
    <w:basedOn w:val="48"/>
    <w:autoRedefine/>
    <w:qFormat/>
    <w:uiPriority w:val="0"/>
  </w:style>
  <w:style w:type="paragraph" w:customStyle="1" w:styleId="197">
    <w:name w:val="p0"/>
    <w:basedOn w:val="1"/>
    <w:autoRedefine/>
    <w:qFormat/>
    <w:uiPriority w:val="0"/>
    <w:pPr>
      <w:widowControl/>
    </w:pPr>
    <w:rPr>
      <w:rFonts w:ascii="Times New Roman" w:hAnsi="Times New Roman"/>
      <w:kern w:val="0"/>
      <w:szCs w:val="21"/>
    </w:rPr>
  </w:style>
  <w:style w:type="paragraph" w:customStyle="1" w:styleId="198">
    <w:name w:val="标题 2 Char1"/>
    <w:basedOn w:val="1"/>
    <w:autoRedefine/>
    <w:qFormat/>
    <w:uiPriority w:val="0"/>
  </w:style>
  <w:style w:type="paragraph" w:customStyle="1" w:styleId="199">
    <w:name w:val="Table Text"/>
    <w:basedOn w:val="1"/>
    <w:autoRedefine/>
    <w:semiHidden/>
    <w:qFormat/>
    <w:uiPriority w:val="0"/>
    <w:rPr>
      <w:rFonts w:ascii="宋体" w:hAnsi="宋体" w:eastAsia="宋体" w:cs="宋体"/>
      <w:sz w:val="20"/>
      <w:szCs w:val="20"/>
      <w:lang w:val="en-US" w:eastAsia="en-US" w:bidi="ar-SA"/>
    </w:rPr>
  </w:style>
  <w:style w:type="paragraph" w:customStyle="1" w:styleId="200">
    <w:name w:val="正文空2格  1."/>
    <w:autoRedefine/>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20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character" w:customStyle="1" w:styleId="204">
    <w:name w:val="font31"/>
    <w:basedOn w:val="4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7B851-2727-4D10-8EA5-5903B1DBCED7}">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60</Pages>
  <Words>29219</Words>
  <Characters>31721</Characters>
  <Lines>36</Lines>
  <Paragraphs>10</Paragraphs>
  <TotalTime>10</TotalTime>
  <ScaleCrop>false</ScaleCrop>
  <LinksUpToDate>false</LinksUpToDate>
  <CharactersWithSpaces>33171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2024-03-08T03:44:00Z</cp:lastPrinted>
  <dcterms:modified xsi:type="dcterms:W3CDTF">2024-08-27T09:39:03Z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AD297D848AF042FD8A95E9989EF4C5FC_13</vt:lpwstr>
  </property>
</Properties>
</file>