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7DCBEF0">
      <w:pPr>
        <w:pStyle w:val="12"/>
        <w:ind w:left="0" w:leftChars="0" w:firstLine="0" w:firstLineChars="0"/>
        <w:jc w:val="both"/>
        <w:rPr>
          <w:rFonts w:hint="eastAsia" w:ascii="宋体" w:hAnsi="宋体" w:eastAsia="宋体" w:cs="宋体"/>
          <w:b/>
          <w:color w:val="auto"/>
          <w:sz w:val="28"/>
          <w:szCs w:val="24"/>
          <w:highlight w:val="none"/>
          <w:lang w:val="en-US" w:eastAsia="zh-CN"/>
        </w:rPr>
      </w:pPr>
      <w:bookmarkStart w:id="0" w:name="_Toc519"/>
      <w:bookmarkStart w:id="1" w:name="_Toc13847"/>
      <w:bookmarkStart w:id="2" w:name="_Toc9683"/>
      <w:bookmarkStart w:id="3" w:name="_Toc19479"/>
      <w:r>
        <w:rPr>
          <w:rFonts w:hint="eastAsia" w:ascii="宋体" w:hAnsi="宋体" w:eastAsia="宋体" w:cs="宋体"/>
          <w:b/>
          <w:color w:val="auto"/>
          <w:sz w:val="28"/>
          <w:szCs w:val="24"/>
          <w:highlight w:val="none"/>
        </w:rPr>
        <w:t>项目编号：</w:t>
      </w:r>
      <w:bookmarkEnd w:id="0"/>
      <w:bookmarkEnd w:id="1"/>
      <w:bookmarkEnd w:id="2"/>
      <w:bookmarkEnd w:id="3"/>
      <w:r>
        <w:rPr>
          <w:rFonts w:hint="eastAsia" w:ascii="宋体" w:hAnsi="宋体" w:eastAsia="宋体" w:cs="宋体"/>
          <w:b/>
          <w:color w:val="auto"/>
          <w:sz w:val="28"/>
          <w:szCs w:val="24"/>
          <w:highlight w:val="none"/>
          <w:lang w:eastAsia="zh-CN"/>
        </w:rPr>
        <w:t>HSDY采-2025007-1</w:t>
      </w:r>
    </w:p>
    <w:p w14:paraId="4FC54D38">
      <w:pPr>
        <w:pStyle w:val="13"/>
        <w:rPr>
          <w:rFonts w:hint="eastAsia" w:ascii="宋体" w:hAnsi="宋体" w:eastAsia="宋体" w:cs="宋体"/>
          <w:b/>
          <w:color w:val="auto"/>
          <w:sz w:val="28"/>
          <w:szCs w:val="24"/>
          <w:highlight w:val="none"/>
          <w:lang w:val="en-US" w:eastAsia="zh-CN"/>
        </w:rPr>
      </w:pPr>
    </w:p>
    <w:p w14:paraId="05E7DF95">
      <w:pPr>
        <w:rPr>
          <w:rFonts w:hint="eastAsia" w:ascii="宋体" w:hAnsi="宋体" w:eastAsia="宋体" w:cs="宋体"/>
          <w:b/>
          <w:color w:val="auto"/>
          <w:sz w:val="28"/>
          <w:szCs w:val="24"/>
          <w:highlight w:val="none"/>
          <w:lang w:val="en-US" w:eastAsia="zh-CN"/>
        </w:rPr>
      </w:pPr>
    </w:p>
    <w:p w14:paraId="2CD73B95">
      <w:pPr>
        <w:pStyle w:val="23"/>
        <w:rPr>
          <w:rFonts w:hint="eastAsia" w:ascii="宋体" w:hAnsi="宋体" w:eastAsia="宋体" w:cs="宋体"/>
          <w:color w:val="auto"/>
          <w:highlight w:val="none"/>
          <w:lang w:val="en-US" w:eastAsia="zh-CN"/>
        </w:rPr>
      </w:pPr>
    </w:p>
    <w:p w14:paraId="5C2976D2">
      <w:pPr>
        <w:pStyle w:val="12"/>
        <w:ind w:left="0" w:leftChars="0" w:firstLine="0" w:firstLineChars="0"/>
        <w:jc w:val="center"/>
        <w:rPr>
          <w:rFonts w:hint="eastAsia" w:ascii="宋体" w:hAnsi="宋体" w:eastAsia="宋体" w:cs="宋体"/>
          <w:b/>
          <w:bCs/>
          <w:color w:val="auto"/>
          <w:sz w:val="52"/>
          <w:szCs w:val="52"/>
          <w:highlight w:val="none"/>
          <w:lang w:val="en-US" w:eastAsia="zh-CN"/>
        </w:rPr>
      </w:pPr>
      <w:r>
        <w:rPr>
          <w:rFonts w:hint="eastAsia" w:ascii="宋体" w:hAnsi="宋体" w:eastAsia="宋体" w:cs="宋体"/>
          <w:b/>
          <w:bCs/>
          <w:color w:val="auto"/>
          <w:sz w:val="52"/>
          <w:szCs w:val="52"/>
          <w:highlight w:val="none"/>
          <w:lang w:val="en-US" w:eastAsia="zh-CN"/>
        </w:rPr>
        <w:t>2025-2026年度高低压配电室年度维保采购项目</w:t>
      </w:r>
    </w:p>
    <w:p w14:paraId="6E137ACD">
      <w:pPr>
        <w:pStyle w:val="12"/>
        <w:jc w:val="left"/>
        <w:rPr>
          <w:rFonts w:hint="eastAsia" w:ascii="宋体" w:hAnsi="宋体" w:eastAsia="宋体" w:cs="宋体"/>
          <w:b/>
          <w:bCs/>
          <w:color w:val="auto"/>
          <w:sz w:val="56"/>
          <w:szCs w:val="56"/>
          <w:highlight w:val="none"/>
          <w:lang w:eastAsia="zh-CN"/>
        </w:rPr>
      </w:pPr>
    </w:p>
    <w:p w14:paraId="3AD3139A">
      <w:pPr>
        <w:pStyle w:val="12"/>
        <w:jc w:val="left"/>
        <w:rPr>
          <w:rFonts w:hint="eastAsia" w:ascii="宋体" w:hAnsi="宋体" w:eastAsia="宋体" w:cs="宋体"/>
          <w:b/>
          <w:bCs/>
          <w:color w:val="auto"/>
          <w:sz w:val="56"/>
          <w:szCs w:val="56"/>
          <w:highlight w:val="none"/>
          <w:lang w:eastAsia="zh-CN"/>
        </w:rPr>
      </w:pPr>
      <w:r>
        <w:rPr>
          <w:rFonts w:hint="eastAsia" w:ascii="宋体" w:hAnsi="宋体" w:eastAsia="宋体" w:cs="宋体"/>
          <w:b/>
          <w:color w:val="auto"/>
          <w:kern w:val="0"/>
          <w:sz w:val="52"/>
          <w:szCs w:val="24"/>
          <w:highlight w:val="none"/>
        </w:rPr>
        <w:drawing>
          <wp:anchor distT="0" distB="0" distL="114300" distR="114300" simplePos="0" relativeHeight="251662336" behindDoc="0" locked="0" layoutInCell="1" allowOverlap="1">
            <wp:simplePos x="0" y="0"/>
            <wp:positionH relativeFrom="column">
              <wp:posOffset>2141855</wp:posOffset>
            </wp:positionH>
            <wp:positionV relativeFrom="paragraph">
              <wp:posOffset>17145</wp:posOffset>
            </wp:positionV>
            <wp:extent cx="1607820" cy="1346200"/>
            <wp:effectExtent l="0" t="0" r="11430" b="6350"/>
            <wp:wrapNone/>
            <wp:docPr id="6" name="图片 2" descr="公司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2" descr="公司logo"/>
                    <pic:cNvPicPr>
                      <a:picLocks noChangeAspect="1"/>
                    </pic:cNvPicPr>
                  </pic:nvPicPr>
                  <pic:blipFill>
                    <a:blip r:embed="rId13"/>
                    <a:stretch>
                      <a:fillRect/>
                    </a:stretch>
                  </pic:blipFill>
                  <pic:spPr>
                    <a:xfrm>
                      <a:off x="0" y="0"/>
                      <a:ext cx="1607820" cy="1346200"/>
                    </a:xfrm>
                    <a:prstGeom prst="rect">
                      <a:avLst/>
                    </a:prstGeom>
                    <a:noFill/>
                    <a:ln>
                      <a:noFill/>
                    </a:ln>
                  </pic:spPr>
                </pic:pic>
              </a:graphicData>
            </a:graphic>
          </wp:anchor>
        </w:drawing>
      </w:r>
    </w:p>
    <w:p w14:paraId="1637B54F">
      <w:pPr>
        <w:pStyle w:val="12"/>
        <w:jc w:val="left"/>
        <w:rPr>
          <w:rFonts w:hint="eastAsia" w:ascii="宋体" w:hAnsi="宋体" w:eastAsia="宋体" w:cs="宋体"/>
          <w:b/>
          <w:bCs/>
          <w:color w:val="auto"/>
          <w:sz w:val="56"/>
          <w:szCs w:val="56"/>
          <w:highlight w:val="none"/>
          <w:lang w:eastAsia="zh-CN"/>
        </w:rPr>
      </w:pPr>
    </w:p>
    <w:p w14:paraId="7980FD1B">
      <w:pPr>
        <w:pStyle w:val="12"/>
        <w:jc w:val="left"/>
        <w:rPr>
          <w:rFonts w:hint="eastAsia" w:ascii="宋体" w:hAnsi="宋体" w:eastAsia="宋体" w:cs="宋体"/>
          <w:b/>
          <w:bCs/>
          <w:color w:val="auto"/>
          <w:sz w:val="56"/>
          <w:szCs w:val="56"/>
          <w:highlight w:val="none"/>
          <w:lang w:eastAsia="zh-CN"/>
        </w:rPr>
      </w:pPr>
    </w:p>
    <w:p w14:paraId="6DC2FBA3">
      <w:pPr>
        <w:pStyle w:val="12"/>
        <w:ind w:firstLine="2811" w:firstLineChars="500"/>
        <w:jc w:val="left"/>
        <w:rPr>
          <w:rFonts w:hint="eastAsia" w:ascii="宋体" w:hAnsi="宋体" w:eastAsia="宋体" w:cs="宋体"/>
          <w:b/>
          <w:bCs/>
          <w:color w:val="auto"/>
          <w:sz w:val="56"/>
          <w:szCs w:val="56"/>
          <w:highlight w:val="none"/>
        </w:rPr>
      </w:pPr>
      <w:r>
        <w:rPr>
          <w:rFonts w:hint="eastAsia" w:ascii="宋体" w:hAnsi="宋体" w:eastAsia="宋体" w:cs="宋体"/>
          <w:b/>
          <w:bCs/>
          <w:color w:val="auto"/>
          <w:sz w:val="56"/>
          <w:szCs w:val="56"/>
          <w:highlight w:val="none"/>
          <w:lang w:val="en-US" w:eastAsia="zh-CN"/>
        </w:rPr>
        <w:t>竞争性磋商文件</w:t>
      </w:r>
    </w:p>
    <w:p w14:paraId="7D00A795">
      <w:pPr>
        <w:pStyle w:val="13"/>
        <w:rPr>
          <w:rFonts w:hint="eastAsia" w:ascii="宋体" w:hAnsi="宋体" w:eastAsia="宋体" w:cs="宋体"/>
          <w:color w:val="auto"/>
          <w:highlight w:val="none"/>
        </w:rPr>
      </w:pPr>
    </w:p>
    <w:p w14:paraId="6314FB6D">
      <w:pPr>
        <w:pStyle w:val="13"/>
        <w:rPr>
          <w:rFonts w:hint="eastAsia" w:ascii="宋体" w:hAnsi="宋体" w:eastAsia="宋体" w:cs="宋体"/>
          <w:color w:val="auto"/>
          <w:highlight w:val="none"/>
        </w:rPr>
      </w:pPr>
    </w:p>
    <w:p w14:paraId="67190245">
      <w:pPr>
        <w:rPr>
          <w:rFonts w:hint="eastAsia" w:ascii="宋体" w:hAnsi="宋体" w:eastAsia="宋体" w:cs="宋体"/>
          <w:color w:val="auto"/>
          <w:highlight w:val="none"/>
        </w:rPr>
      </w:pPr>
    </w:p>
    <w:p w14:paraId="3A168B18">
      <w:pPr>
        <w:pStyle w:val="27"/>
        <w:rPr>
          <w:rFonts w:hint="eastAsia" w:ascii="宋体" w:hAnsi="宋体" w:eastAsia="宋体" w:cs="宋体"/>
          <w:color w:val="auto"/>
          <w:highlight w:val="none"/>
        </w:rPr>
      </w:pPr>
    </w:p>
    <w:p w14:paraId="266A15DC">
      <w:pPr>
        <w:pStyle w:val="27"/>
        <w:rPr>
          <w:rFonts w:hint="eastAsia" w:ascii="宋体" w:hAnsi="宋体" w:eastAsia="宋体" w:cs="宋体"/>
          <w:color w:val="auto"/>
          <w:highlight w:val="none"/>
        </w:rPr>
      </w:pPr>
    </w:p>
    <w:p w14:paraId="5350A9FF">
      <w:pPr>
        <w:pStyle w:val="27"/>
        <w:rPr>
          <w:rFonts w:hint="eastAsia" w:ascii="宋体" w:hAnsi="宋体" w:eastAsia="宋体" w:cs="宋体"/>
          <w:color w:val="auto"/>
          <w:highlight w:val="none"/>
        </w:rPr>
      </w:pPr>
    </w:p>
    <w:p w14:paraId="02373DDA">
      <w:pPr>
        <w:pStyle w:val="27"/>
        <w:rPr>
          <w:rFonts w:hint="eastAsia" w:ascii="宋体" w:hAnsi="宋体" w:eastAsia="宋体" w:cs="宋体"/>
          <w:color w:val="auto"/>
          <w:highlight w:val="none"/>
        </w:rPr>
      </w:pPr>
    </w:p>
    <w:p w14:paraId="36572560">
      <w:pPr>
        <w:pStyle w:val="27"/>
        <w:rPr>
          <w:rFonts w:hint="eastAsia" w:ascii="宋体" w:hAnsi="宋体" w:eastAsia="宋体" w:cs="宋体"/>
          <w:color w:val="auto"/>
          <w:highlight w:val="none"/>
        </w:rPr>
      </w:pPr>
    </w:p>
    <w:p w14:paraId="09064978">
      <w:pPr>
        <w:rPr>
          <w:rFonts w:hint="eastAsia" w:ascii="宋体" w:hAnsi="宋体" w:eastAsia="宋体" w:cs="宋体"/>
          <w:color w:val="auto"/>
          <w:highlight w:val="none"/>
        </w:rPr>
      </w:pPr>
    </w:p>
    <w:p w14:paraId="2B05FD9D">
      <w:pPr>
        <w:pStyle w:val="12"/>
        <w:ind w:left="0" w:leftChars="0" w:firstLine="1606" w:firstLineChars="500"/>
        <w:jc w:val="both"/>
        <w:rPr>
          <w:rFonts w:hint="default" w:ascii="宋体" w:hAnsi="宋体" w:eastAsia="宋体" w:cs="宋体"/>
          <w:b/>
          <w:bCs/>
          <w:color w:val="auto"/>
          <w:sz w:val="32"/>
          <w:szCs w:val="32"/>
          <w:highlight w:val="none"/>
          <w:lang w:val="en-US" w:eastAsia="zh-CN"/>
        </w:rPr>
      </w:pPr>
      <w:r>
        <w:rPr>
          <w:rFonts w:hint="eastAsia" w:ascii="宋体" w:hAnsi="宋体" w:eastAsia="宋体" w:cs="宋体"/>
          <w:b/>
          <w:color w:val="auto"/>
          <w:kern w:val="2"/>
          <w:sz w:val="32"/>
          <w:szCs w:val="24"/>
          <w:highlight w:val="none"/>
        </w:rPr>
        <w:t>采   购   人：</w:t>
      </w:r>
      <w:r>
        <w:rPr>
          <w:rFonts w:hint="eastAsia" w:ascii="宋体" w:hAnsi="宋体" w:eastAsia="宋体" w:cs="宋体"/>
          <w:b/>
          <w:bCs/>
          <w:color w:val="auto"/>
          <w:sz w:val="32"/>
          <w:szCs w:val="32"/>
          <w:highlight w:val="none"/>
          <w:lang w:val="en-US" w:eastAsia="zh-CN"/>
        </w:rPr>
        <w:t>安康市人民医院</w:t>
      </w:r>
    </w:p>
    <w:p w14:paraId="5C56BF18">
      <w:pPr>
        <w:pStyle w:val="13"/>
        <w:ind w:left="0"/>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rPr>
        <w:t xml:space="preserve">           </w:t>
      </w:r>
      <w:r>
        <w:rPr>
          <w:rFonts w:hint="eastAsia" w:ascii="宋体" w:hAnsi="宋体" w:eastAsia="宋体" w:cs="宋体"/>
          <w:b/>
          <w:color w:val="auto"/>
          <w:sz w:val="32"/>
          <w:szCs w:val="24"/>
          <w:highlight w:val="none"/>
        </w:rPr>
        <w:t>采购代理机构：陕西华晟鼎业项目管理有限公司</w:t>
      </w:r>
    </w:p>
    <w:p w14:paraId="5A3C66DB">
      <w:pPr>
        <w:pStyle w:val="16"/>
        <w:ind w:firstLine="1606" w:firstLineChars="500"/>
        <w:jc w:val="both"/>
        <w:rPr>
          <w:rFonts w:hint="eastAsia" w:ascii="宋体" w:hAnsi="宋体" w:eastAsia="宋体" w:cs="宋体"/>
          <w:b/>
          <w:color w:val="auto"/>
          <w:kern w:val="2"/>
          <w:sz w:val="32"/>
          <w:szCs w:val="24"/>
          <w:highlight w:val="none"/>
        </w:rPr>
      </w:pPr>
      <w:r>
        <w:rPr>
          <w:rFonts w:hint="eastAsia" w:ascii="宋体" w:hAnsi="宋体" w:eastAsia="宋体" w:cs="宋体"/>
          <w:b/>
          <w:color w:val="auto"/>
          <w:kern w:val="2"/>
          <w:sz w:val="32"/>
          <w:szCs w:val="24"/>
          <w:highlight w:val="none"/>
        </w:rPr>
        <w:t>日        期：二零二五年</w:t>
      </w:r>
      <w:r>
        <w:rPr>
          <w:rFonts w:hint="eastAsia" w:ascii="宋体" w:hAnsi="宋体" w:eastAsia="宋体" w:cs="宋体"/>
          <w:b/>
          <w:color w:val="auto"/>
          <w:kern w:val="2"/>
          <w:sz w:val="32"/>
          <w:szCs w:val="24"/>
          <w:highlight w:val="none"/>
          <w:lang w:val="en-US" w:eastAsia="zh-CN"/>
        </w:rPr>
        <w:t>四</w:t>
      </w:r>
      <w:r>
        <w:rPr>
          <w:rFonts w:hint="eastAsia" w:ascii="宋体" w:hAnsi="宋体" w:eastAsia="宋体" w:cs="宋体"/>
          <w:b/>
          <w:color w:val="auto"/>
          <w:kern w:val="2"/>
          <w:sz w:val="32"/>
          <w:szCs w:val="24"/>
          <w:highlight w:val="none"/>
        </w:rPr>
        <w:t>月</w:t>
      </w:r>
    </w:p>
    <w:p w14:paraId="053FD03D">
      <w:pPr>
        <w:pStyle w:val="16"/>
        <w:jc w:val="center"/>
        <w:rPr>
          <w:rFonts w:hint="eastAsia" w:ascii="宋体" w:hAnsi="宋体" w:eastAsia="宋体" w:cs="宋体"/>
          <w:b/>
          <w:color w:val="auto"/>
          <w:kern w:val="2"/>
          <w:sz w:val="32"/>
          <w:szCs w:val="32"/>
          <w:highlight w:val="none"/>
        </w:rPr>
        <w:sectPr>
          <w:headerReference r:id="rId3" w:type="default"/>
          <w:footerReference r:id="rId4" w:type="default"/>
          <w:pgSz w:w="11906" w:h="16838"/>
          <w:pgMar w:top="1417" w:right="1417" w:bottom="1417" w:left="1417" w:header="567" w:footer="1020" w:gutter="0"/>
          <w:pgNumType w:start="1"/>
          <w:cols w:space="720" w:num="1"/>
          <w:docGrid w:type="lines" w:linePitch="312" w:charSpace="0"/>
        </w:sectPr>
      </w:pPr>
    </w:p>
    <w:p w14:paraId="1BEC6E8E">
      <w:pPr>
        <w:jc w:val="center"/>
        <w:rPr>
          <w:rFonts w:hint="eastAsia" w:ascii="宋体" w:hAnsi="宋体" w:eastAsia="宋体" w:cs="宋体"/>
          <w:b/>
          <w:bCs/>
          <w:color w:val="auto"/>
          <w:sz w:val="32"/>
          <w:szCs w:val="32"/>
          <w:highlight w:val="none"/>
        </w:rPr>
      </w:pPr>
      <w:r>
        <w:rPr>
          <w:rFonts w:hint="eastAsia" w:ascii="宋体" w:hAnsi="宋体" w:eastAsia="宋体" w:cs="宋体"/>
          <w:b/>
          <w:bCs/>
          <w:color w:val="auto"/>
          <w:sz w:val="32"/>
          <w:szCs w:val="32"/>
          <w:highlight w:val="none"/>
        </w:rPr>
        <w:t>特别提醒</w:t>
      </w:r>
    </w:p>
    <w:p w14:paraId="6807B49F">
      <w:pPr>
        <w:spacing w:line="600" w:lineRule="exact"/>
        <w:ind w:firstLine="482" w:firstLineChars="200"/>
        <w:rPr>
          <w:rFonts w:hint="eastAsia" w:ascii="宋体" w:hAnsi="宋体" w:eastAsia="宋体" w:cs="宋体"/>
          <w:b/>
          <w:bCs/>
          <w:color w:val="auto"/>
          <w:sz w:val="24"/>
          <w:szCs w:val="32"/>
          <w:highlight w:val="none"/>
        </w:rPr>
      </w:pPr>
      <w:r>
        <w:rPr>
          <w:rFonts w:hint="eastAsia" w:ascii="宋体" w:hAnsi="宋体" w:eastAsia="宋体" w:cs="宋体"/>
          <w:b/>
          <w:bCs/>
          <w:color w:val="auto"/>
          <w:sz w:val="24"/>
          <w:szCs w:val="32"/>
          <w:highlight w:val="none"/>
        </w:rPr>
        <w:t>1、本项目采用电子化投标及远程不见面开标（无需提供纸质版文件，无需到开标现场），投标供应商须使用数字认证证书对电子投标文件进行签章、加密、递交及开标时解密等相关招投标事宜。开标时请务必携带数字认证证书，如因供应商自身原因未携带数字认证证书造成无法解密投标文件，按无效投标对待。</w:t>
      </w:r>
    </w:p>
    <w:p w14:paraId="581288AF">
      <w:pPr>
        <w:spacing w:line="600" w:lineRule="exact"/>
        <w:ind w:firstLine="482" w:firstLineChars="200"/>
        <w:rPr>
          <w:rFonts w:hint="eastAsia" w:ascii="宋体" w:hAnsi="宋体" w:eastAsia="宋体" w:cs="宋体"/>
          <w:b/>
          <w:bCs/>
          <w:color w:val="auto"/>
          <w:sz w:val="24"/>
          <w:szCs w:val="32"/>
          <w:highlight w:val="none"/>
        </w:rPr>
      </w:pPr>
      <w:r>
        <w:rPr>
          <w:rFonts w:hint="eastAsia" w:ascii="宋体" w:hAnsi="宋体" w:eastAsia="宋体" w:cs="宋体"/>
          <w:b/>
          <w:bCs/>
          <w:color w:val="auto"/>
          <w:sz w:val="24"/>
          <w:szCs w:val="32"/>
          <w:highlight w:val="none"/>
        </w:rPr>
        <w:t>“不见面大厅”登录网址为：</w:t>
      </w:r>
    </w:p>
    <w:p w14:paraId="0F5A276D">
      <w:pPr>
        <w:spacing w:line="600" w:lineRule="exact"/>
        <w:ind w:firstLine="482" w:firstLineChars="200"/>
        <w:rPr>
          <w:rFonts w:hint="eastAsia" w:ascii="宋体" w:hAnsi="宋体" w:eastAsia="宋体" w:cs="宋体"/>
          <w:b/>
          <w:bCs/>
          <w:color w:val="auto"/>
          <w:sz w:val="24"/>
          <w:szCs w:val="32"/>
          <w:highlight w:val="none"/>
        </w:rPr>
      </w:pPr>
      <w:r>
        <w:rPr>
          <w:rFonts w:hint="eastAsia" w:ascii="宋体" w:hAnsi="宋体" w:eastAsia="宋体" w:cs="宋体"/>
          <w:b/>
          <w:bCs/>
          <w:color w:val="auto"/>
          <w:sz w:val="24"/>
          <w:highlight w:val="none"/>
        </w:rPr>
        <w:t>http://219.145.206.209/BidOpeningHall/bidopeninghallaction/hall/login（请各投标人下载最新驱动，详细操作请关注《关于陕西省公共资源交易平台多CA互认系统正式上线运行的通知》）电子开标、评标无法进行时，按照《安康市公共资源交易平台电子化交易应急处置管理办法(试行)》规定执行。</w:t>
      </w:r>
    </w:p>
    <w:p w14:paraId="4EB44412">
      <w:pPr>
        <w:spacing w:line="600" w:lineRule="exact"/>
        <w:ind w:firstLine="482" w:firstLineChars="200"/>
        <w:rPr>
          <w:rFonts w:hint="eastAsia" w:ascii="宋体" w:hAnsi="宋体" w:eastAsia="宋体" w:cs="宋体"/>
          <w:b/>
          <w:bCs/>
          <w:color w:val="auto"/>
          <w:sz w:val="24"/>
          <w:szCs w:val="32"/>
          <w:highlight w:val="none"/>
        </w:rPr>
      </w:pPr>
      <w:r>
        <w:rPr>
          <w:rFonts w:hint="eastAsia" w:ascii="宋体" w:hAnsi="宋体" w:eastAsia="宋体" w:cs="宋体"/>
          <w:b/>
          <w:bCs/>
          <w:color w:val="auto"/>
          <w:sz w:val="24"/>
          <w:szCs w:val="32"/>
          <w:highlight w:val="none"/>
        </w:rPr>
        <w:t>2、制作电子投标文件</w:t>
      </w:r>
    </w:p>
    <w:p w14:paraId="4087F3B5">
      <w:pPr>
        <w:spacing w:line="600" w:lineRule="exact"/>
        <w:ind w:firstLine="482" w:firstLineChars="200"/>
        <w:rPr>
          <w:rFonts w:hint="eastAsia" w:ascii="宋体" w:hAnsi="宋体" w:eastAsia="宋体" w:cs="宋体"/>
          <w:b/>
          <w:bCs/>
          <w:color w:val="auto"/>
          <w:sz w:val="24"/>
          <w:szCs w:val="32"/>
          <w:highlight w:val="none"/>
        </w:rPr>
      </w:pPr>
      <w:r>
        <w:rPr>
          <w:rFonts w:hint="eastAsia" w:ascii="宋体" w:hAnsi="宋体" w:eastAsia="宋体" w:cs="宋体"/>
          <w:b/>
          <w:bCs/>
          <w:color w:val="auto"/>
          <w:sz w:val="24"/>
          <w:szCs w:val="32"/>
          <w:highlight w:val="none"/>
        </w:rPr>
        <w:t>投标供应商须在“全国公共资源交易中心平台（陕西省）（http://www.sxggzyjy.cn/）”的“服务指南”栏目“下载专区”中，免费下载“陕西省公共资源交易平台政府采购电子标书制作工具(V8.0.0.43)”，并升级至最新版本，使用该客户端制作电子投标文件，制作扩展名为“.SXSTF”的电子投标文件。”</w:t>
      </w:r>
    </w:p>
    <w:p w14:paraId="56153085">
      <w:pPr>
        <w:spacing w:line="600" w:lineRule="exact"/>
        <w:ind w:firstLine="482" w:firstLineChars="200"/>
        <w:rPr>
          <w:rFonts w:hint="eastAsia" w:ascii="宋体" w:hAnsi="宋体" w:eastAsia="宋体" w:cs="宋体"/>
          <w:b/>
          <w:bCs/>
          <w:color w:val="auto"/>
          <w:sz w:val="24"/>
          <w:szCs w:val="32"/>
          <w:highlight w:val="none"/>
        </w:rPr>
      </w:pPr>
      <w:r>
        <w:rPr>
          <w:rFonts w:hint="eastAsia" w:ascii="宋体" w:hAnsi="宋体" w:eastAsia="宋体" w:cs="宋体"/>
          <w:b/>
          <w:bCs/>
          <w:color w:val="auto"/>
          <w:sz w:val="24"/>
          <w:szCs w:val="32"/>
          <w:highlight w:val="none"/>
        </w:rPr>
        <w:t>3、递交电子投标文件</w:t>
      </w:r>
    </w:p>
    <w:p w14:paraId="0856CF84">
      <w:pPr>
        <w:pStyle w:val="16"/>
        <w:spacing w:line="600" w:lineRule="exact"/>
        <w:ind w:firstLine="482" w:firstLineChars="200"/>
        <w:rPr>
          <w:rFonts w:hint="eastAsia" w:ascii="宋体" w:hAnsi="宋体" w:eastAsia="宋体" w:cs="宋体"/>
          <w:b/>
          <w:bCs/>
          <w:color w:val="auto"/>
          <w:kern w:val="2"/>
          <w:szCs w:val="32"/>
          <w:highlight w:val="none"/>
        </w:rPr>
      </w:pPr>
      <w:r>
        <w:rPr>
          <w:rFonts w:hint="eastAsia" w:ascii="宋体" w:hAnsi="宋体" w:eastAsia="宋体" w:cs="宋体"/>
          <w:b/>
          <w:bCs/>
          <w:color w:val="auto"/>
          <w:szCs w:val="32"/>
          <w:highlight w:val="none"/>
        </w:rPr>
        <w:t>登</w:t>
      </w:r>
      <w:r>
        <w:rPr>
          <w:rFonts w:hint="eastAsia" w:ascii="宋体" w:hAnsi="宋体" w:eastAsia="宋体" w:cs="宋体"/>
          <w:b/>
          <w:bCs/>
          <w:color w:val="auto"/>
          <w:kern w:val="2"/>
          <w:szCs w:val="32"/>
          <w:highlight w:val="none"/>
        </w:rPr>
        <w:t>录全国公共资源交易中心平台（陕西省）（http://www.sxggzyjy.cn/），选择“电子交易平台—陕西政府采购交易系统—企业端”进行登录，登录后选择“交易乙方”身份进入，进入菜单“采购业务—我的项目——项目流程——上传响应文件”，上传加密的电子投标文件。上传成功后，电子化平台将予以记录。</w:t>
      </w:r>
    </w:p>
    <w:p w14:paraId="7D8C6CF6">
      <w:pPr>
        <w:pStyle w:val="16"/>
        <w:jc w:val="center"/>
        <w:rPr>
          <w:rFonts w:hint="eastAsia" w:ascii="宋体" w:hAnsi="宋体" w:eastAsia="宋体" w:cs="宋体"/>
          <w:b/>
          <w:color w:val="auto"/>
          <w:kern w:val="2"/>
          <w:sz w:val="32"/>
          <w:szCs w:val="24"/>
          <w:highlight w:val="none"/>
        </w:rPr>
      </w:pPr>
    </w:p>
    <w:p w14:paraId="1C3F30D3">
      <w:pPr>
        <w:rPr>
          <w:rFonts w:hint="eastAsia" w:ascii="宋体" w:hAnsi="宋体" w:eastAsia="宋体" w:cs="宋体"/>
          <w:color w:val="auto"/>
          <w:highlight w:val="none"/>
        </w:rPr>
      </w:pPr>
    </w:p>
    <w:p w14:paraId="3127ADF2">
      <w:pPr>
        <w:keepNext w:val="0"/>
        <w:keepLines w:val="0"/>
        <w:pageBreakBefore w:val="0"/>
        <w:widowControl w:val="0"/>
        <w:kinsoku/>
        <w:wordWrap/>
        <w:overflowPunct/>
        <w:topLinePunct w:val="0"/>
        <w:autoSpaceDE/>
        <w:autoSpaceDN/>
        <w:bidi w:val="0"/>
        <w:adjustRightInd/>
        <w:snapToGrid/>
        <w:spacing w:line="1000" w:lineRule="exact"/>
        <w:jc w:val="center"/>
        <w:textAlignment w:val="auto"/>
        <w:rPr>
          <w:rFonts w:hint="eastAsia" w:ascii="宋体" w:hAnsi="宋体" w:eastAsia="宋体" w:cs="宋体"/>
          <w:b/>
          <w:bCs w:val="0"/>
          <w:color w:val="auto"/>
          <w:sz w:val="36"/>
          <w:szCs w:val="36"/>
          <w:highlight w:val="none"/>
        </w:rPr>
        <w:sectPr>
          <w:headerReference r:id="rId5" w:type="default"/>
          <w:footerReference r:id="rId6" w:type="default"/>
          <w:pgSz w:w="11906" w:h="16838"/>
          <w:pgMar w:top="1417" w:right="1417" w:bottom="1417" w:left="1417" w:header="567" w:footer="1020" w:gutter="0"/>
          <w:pgNumType w:start="1"/>
          <w:cols w:space="720" w:num="1"/>
          <w:docGrid w:type="lines" w:linePitch="312" w:charSpace="0"/>
        </w:sectPr>
      </w:pPr>
    </w:p>
    <w:p w14:paraId="77271122">
      <w:pPr>
        <w:keepNext w:val="0"/>
        <w:keepLines w:val="0"/>
        <w:pageBreakBefore w:val="0"/>
        <w:widowControl w:val="0"/>
        <w:kinsoku/>
        <w:wordWrap/>
        <w:overflowPunct/>
        <w:topLinePunct w:val="0"/>
        <w:autoSpaceDE/>
        <w:autoSpaceDN/>
        <w:bidi w:val="0"/>
        <w:adjustRightInd/>
        <w:snapToGrid/>
        <w:spacing w:line="1000" w:lineRule="exact"/>
        <w:jc w:val="center"/>
        <w:textAlignment w:val="auto"/>
        <w:rPr>
          <w:rFonts w:hint="eastAsia" w:ascii="宋体" w:hAnsi="宋体" w:eastAsia="宋体" w:cs="宋体"/>
          <w:b/>
          <w:bCs w:val="0"/>
          <w:color w:val="auto"/>
          <w:sz w:val="36"/>
          <w:szCs w:val="36"/>
          <w:highlight w:val="none"/>
        </w:rPr>
      </w:pPr>
      <w:r>
        <w:rPr>
          <w:rFonts w:hint="eastAsia" w:ascii="宋体" w:hAnsi="宋体" w:eastAsia="宋体" w:cs="宋体"/>
          <w:b/>
          <w:bCs w:val="0"/>
          <w:color w:val="auto"/>
          <w:sz w:val="36"/>
          <w:szCs w:val="36"/>
          <w:highlight w:val="none"/>
        </w:rPr>
        <w:t>目   录</w:t>
      </w:r>
    </w:p>
    <w:p w14:paraId="45CE5A24">
      <w:pPr>
        <w:pStyle w:val="30"/>
        <w:keepNext w:val="0"/>
        <w:keepLines w:val="0"/>
        <w:pageBreakBefore w:val="0"/>
        <w:widowControl w:val="0"/>
        <w:tabs>
          <w:tab w:val="right" w:leader="dot" w:pos="9072"/>
          <w:tab w:val="clear" w:pos="8494"/>
        </w:tabs>
        <w:kinsoku/>
        <w:wordWrap/>
        <w:overflowPunct/>
        <w:topLinePunct w:val="0"/>
        <w:autoSpaceDE/>
        <w:autoSpaceDN/>
        <w:bidi w:val="0"/>
        <w:adjustRightInd/>
        <w:snapToGrid/>
        <w:spacing w:line="1000" w:lineRule="exact"/>
        <w:textAlignment w:val="auto"/>
        <w:rPr>
          <w:rFonts w:hint="eastAsia" w:ascii="宋体" w:hAnsi="宋体" w:eastAsia="宋体" w:cs="宋体"/>
          <w:b/>
          <w:bCs w:val="0"/>
          <w:color w:val="auto"/>
          <w:sz w:val="36"/>
          <w:szCs w:val="36"/>
          <w:highlight w:val="none"/>
        </w:rPr>
      </w:pPr>
      <w:r>
        <w:rPr>
          <w:rFonts w:hint="eastAsia" w:ascii="宋体" w:hAnsi="宋体" w:eastAsia="宋体" w:cs="宋体"/>
          <w:b/>
          <w:bCs w:val="0"/>
          <w:color w:val="auto"/>
          <w:sz w:val="36"/>
          <w:szCs w:val="36"/>
          <w:highlight w:val="none"/>
        </w:rPr>
        <w:fldChar w:fldCharType="begin"/>
      </w:r>
      <w:r>
        <w:rPr>
          <w:rFonts w:hint="eastAsia" w:ascii="宋体" w:hAnsi="宋体" w:eastAsia="宋体" w:cs="宋体"/>
          <w:b/>
          <w:bCs w:val="0"/>
          <w:color w:val="auto"/>
          <w:sz w:val="36"/>
          <w:szCs w:val="36"/>
          <w:highlight w:val="none"/>
        </w:rPr>
        <w:instrText xml:space="preserve"> TOC \o "1-3" \h \z \u </w:instrText>
      </w:r>
      <w:r>
        <w:rPr>
          <w:rFonts w:hint="eastAsia" w:ascii="宋体" w:hAnsi="宋体" w:eastAsia="宋体" w:cs="宋体"/>
          <w:b/>
          <w:bCs w:val="0"/>
          <w:color w:val="auto"/>
          <w:sz w:val="36"/>
          <w:szCs w:val="36"/>
          <w:highlight w:val="none"/>
        </w:rPr>
        <w:fldChar w:fldCharType="separate"/>
      </w:r>
      <w:r>
        <w:rPr>
          <w:rFonts w:hint="eastAsia" w:ascii="宋体" w:hAnsi="宋体" w:eastAsia="宋体" w:cs="宋体"/>
          <w:b/>
          <w:bCs w:val="0"/>
          <w:color w:val="auto"/>
          <w:sz w:val="36"/>
          <w:szCs w:val="36"/>
          <w:highlight w:val="none"/>
        </w:rPr>
        <w:fldChar w:fldCharType="begin"/>
      </w:r>
      <w:r>
        <w:rPr>
          <w:rFonts w:hint="eastAsia" w:ascii="宋体" w:hAnsi="宋体" w:eastAsia="宋体" w:cs="宋体"/>
          <w:b/>
          <w:bCs w:val="0"/>
          <w:color w:val="auto"/>
          <w:sz w:val="36"/>
          <w:szCs w:val="36"/>
          <w:highlight w:val="none"/>
        </w:rPr>
        <w:instrText xml:space="preserve"> HYPERLINK \l _Toc5564 </w:instrText>
      </w:r>
      <w:r>
        <w:rPr>
          <w:rFonts w:hint="eastAsia" w:ascii="宋体" w:hAnsi="宋体" w:eastAsia="宋体" w:cs="宋体"/>
          <w:b/>
          <w:bCs w:val="0"/>
          <w:color w:val="auto"/>
          <w:sz w:val="36"/>
          <w:szCs w:val="36"/>
          <w:highlight w:val="none"/>
        </w:rPr>
        <w:fldChar w:fldCharType="separate"/>
      </w:r>
      <w:r>
        <w:rPr>
          <w:rFonts w:hint="eastAsia" w:ascii="宋体" w:hAnsi="宋体" w:eastAsia="宋体" w:cs="宋体"/>
          <w:b/>
          <w:bCs w:val="0"/>
          <w:color w:val="auto"/>
          <w:sz w:val="36"/>
          <w:szCs w:val="36"/>
          <w:highlight w:val="none"/>
        </w:rPr>
        <w:t>第一章 竞争性磋商公告</w:t>
      </w:r>
      <w:r>
        <w:rPr>
          <w:rFonts w:hint="eastAsia" w:ascii="宋体" w:hAnsi="宋体" w:eastAsia="宋体" w:cs="宋体"/>
          <w:b/>
          <w:bCs w:val="0"/>
          <w:color w:val="auto"/>
          <w:sz w:val="36"/>
          <w:szCs w:val="36"/>
          <w:highlight w:val="none"/>
        </w:rPr>
        <w:tab/>
      </w:r>
      <w:r>
        <w:rPr>
          <w:rFonts w:hint="eastAsia" w:ascii="宋体" w:hAnsi="宋体" w:eastAsia="宋体" w:cs="宋体"/>
          <w:b/>
          <w:bCs w:val="0"/>
          <w:color w:val="auto"/>
          <w:sz w:val="36"/>
          <w:szCs w:val="36"/>
          <w:highlight w:val="none"/>
        </w:rPr>
        <w:fldChar w:fldCharType="begin"/>
      </w:r>
      <w:r>
        <w:rPr>
          <w:rFonts w:hint="eastAsia" w:ascii="宋体" w:hAnsi="宋体" w:eastAsia="宋体" w:cs="宋体"/>
          <w:b/>
          <w:bCs w:val="0"/>
          <w:color w:val="auto"/>
          <w:sz w:val="36"/>
          <w:szCs w:val="36"/>
          <w:highlight w:val="none"/>
        </w:rPr>
        <w:instrText xml:space="preserve"> PAGEREF _Toc5564 \h </w:instrText>
      </w:r>
      <w:r>
        <w:rPr>
          <w:rFonts w:hint="eastAsia" w:ascii="宋体" w:hAnsi="宋体" w:eastAsia="宋体" w:cs="宋体"/>
          <w:b/>
          <w:bCs w:val="0"/>
          <w:color w:val="auto"/>
          <w:sz w:val="36"/>
          <w:szCs w:val="36"/>
          <w:highlight w:val="none"/>
        </w:rPr>
        <w:fldChar w:fldCharType="separate"/>
      </w:r>
      <w:r>
        <w:rPr>
          <w:rFonts w:hint="eastAsia" w:ascii="宋体" w:hAnsi="宋体" w:eastAsia="宋体" w:cs="宋体"/>
          <w:b/>
          <w:bCs w:val="0"/>
          <w:color w:val="auto"/>
          <w:sz w:val="36"/>
          <w:szCs w:val="36"/>
          <w:highlight w:val="none"/>
        </w:rPr>
        <w:t>1</w:t>
      </w:r>
      <w:r>
        <w:rPr>
          <w:rFonts w:hint="eastAsia" w:ascii="宋体" w:hAnsi="宋体" w:eastAsia="宋体" w:cs="宋体"/>
          <w:b/>
          <w:bCs w:val="0"/>
          <w:color w:val="auto"/>
          <w:sz w:val="36"/>
          <w:szCs w:val="36"/>
          <w:highlight w:val="none"/>
        </w:rPr>
        <w:fldChar w:fldCharType="end"/>
      </w:r>
      <w:r>
        <w:rPr>
          <w:rFonts w:hint="eastAsia" w:ascii="宋体" w:hAnsi="宋体" w:eastAsia="宋体" w:cs="宋体"/>
          <w:b/>
          <w:bCs w:val="0"/>
          <w:color w:val="auto"/>
          <w:sz w:val="36"/>
          <w:szCs w:val="36"/>
          <w:highlight w:val="none"/>
        </w:rPr>
        <w:fldChar w:fldCharType="end"/>
      </w:r>
    </w:p>
    <w:p w14:paraId="66DFB4EE">
      <w:pPr>
        <w:pStyle w:val="30"/>
        <w:keepNext w:val="0"/>
        <w:keepLines w:val="0"/>
        <w:pageBreakBefore w:val="0"/>
        <w:widowControl w:val="0"/>
        <w:tabs>
          <w:tab w:val="right" w:leader="dot" w:pos="9072"/>
          <w:tab w:val="clear" w:pos="8494"/>
        </w:tabs>
        <w:kinsoku/>
        <w:wordWrap/>
        <w:overflowPunct/>
        <w:topLinePunct w:val="0"/>
        <w:autoSpaceDE/>
        <w:autoSpaceDN/>
        <w:bidi w:val="0"/>
        <w:adjustRightInd/>
        <w:snapToGrid/>
        <w:spacing w:line="1000" w:lineRule="exact"/>
        <w:textAlignment w:val="auto"/>
        <w:rPr>
          <w:rFonts w:hint="eastAsia" w:ascii="宋体" w:hAnsi="宋体" w:eastAsia="宋体" w:cs="宋体"/>
          <w:b/>
          <w:bCs w:val="0"/>
          <w:color w:val="auto"/>
          <w:sz w:val="36"/>
          <w:szCs w:val="36"/>
          <w:highlight w:val="none"/>
        </w:rPr>
      </w:pPr>
      <w:r>
        <w:rPr>
          <w:rFonts w:hint="eastAsia" w:ascii="宋体" w:hAnsi="宋体" w:eastAsia="宋体" w:cs="宋体"/>
          <w:b/>
          <w:bCs w:val="0"/>
          <w:color w:val="auto"/>
          <w:sz w:val="36"/>
          <w:szCs w:val="36"/>
          <w:highlight w:val="none"/>
        </w:rPr>
        <w:fldChar w:fldCharType="begin"/>
      </w:r>
      <w:r>
        <w:rPr>
          <w:rFonts w:hint="eastAsia" w:ascii="宋体" w:hAnsi="宋体" w:eastAsia="宋体" w:cs="宋体"/>
          <w:b/>
          <w:bCs w:val="0"/>
          <w:color w:val="auto"/>
          <w:sz w:val="36"/>
          <w:szCs w:val="36"/>
          <w:highlight w:val="none"/>
        </w:rPr>
        <w:instrText xml:space="preserve"> HYPERLINK \l _Toc29350 </w:instrText>
      </w:r>
      <w:r>
        <w:rPr>
          <w:rFonts w:hint="eastAsia" w:ascii="宋体" w:hAnsi="宋体" w:eastAsia="宋体" w:cs="宋体"/>
          <w:b/>
          <w:bCs w:val="0"/>
          <w:color w:val="auto"/>
          <w:sz w:val="36"/>
          <w:szCs w:val="36"/>
          <w:highlight w:val="none"/>
        </w:rPr>
        <w:fldChar w:fldCharType="separate"/>
      </w:r>
      <w:r>
        <w:rPr>
          <w:rFonts w:hint="eastAsia" w:ascii="宋体" w:hAnsi="宋体" w:eastAsia="宋体" w:cs="宋体"/>
          <w:b/>
          <w:bCs w:val="0"/>
          <w:color w:val="auto"/>
          <w:sz w:val="36"/>
          <w:szCs w:val="36"/>
          <w:highlight w:val="none"/>
        </w:rPr>
        <w:t>第二章 供应商须知</w:t>
      </w:r>
      <w:r>
        <w:rPr>
          <w:rFonts w:hint="eastAsia" w:ascii="宋体" w:hAnsi="宋体" w:eastAsia="宋体" w:cs="宋体"/>
          <w:b/>
          <w:bCs w:val="0"/>
          <w:color w:val="auto"/>
          <w:sz w:val="36"/>
          <w:szCs w:val="36"/>
          <w:highlight w:val="none"/>
        </w:rPr>
        <w:tab/>
      </w:r>
      <w:r>
        <w:rPr>
          <w:rFonts w:hint="eastAsia" w:ascii="宋体" w:hAnsi="宋体" w:eastAsia="宋体" w:cs="宋体"/>
          <w:b/>
          <w:bCs w:val="0"/>
          <w:color w:val="auto"/>
          <w:sz w:val="36"/>
          <w:szCs w:val="36"/>
          <w:highlight w:val="none"/>
        </w:rPr>
        <w:fldChar w:fldCharType="begin"/>
      </w:r>
      <w:r>
        <w:rPr>
          <w:rFonts w:hint="eastAsia" w:ascii="宋体" w:hAnsi="宋体" w:eastAsia="宋体" w:cs="宋体"/>
          <w:b/>
          <w:bCs w:val="0"/>
          <w:color w:val="auto"/>
          <w:sz w:val="36"/>
          <w:szCs w:val="36"/>
          <w:highlight w:val="none"/>
        </w:rPr>
        <w:instrText xml:space="preserve"> PAGEREF _Toc29350 \h </w:instrText>
      </w:r>
      <w:r>
        <w:rPr>
          <w:rFonts w:hint="eastAsia" w:ascii="宋体" w:hAnsi="宋体" w:eastAsia="宋体" w:cs="宋体"/>
          <w:b/>
          <w:bCs w:val="0"/>
          <w:color w:val="auto"/>
          <w:sz w:val="36"/>
          <w:szCs w:val="36"/>
          <w:highlight w:val="none"/>
        </w:rPr>
        <w:fldChar w:fldCharType="separate"/>
      </w:r>
      <w:r>
        <w:rPr>
          <w:rFonts w:hint="eastAsia" w:ascii="宋体" w:hAnsi="宋体" w:eastAsia="宋体" w:cs="宋体"/>
          <w:b/>
          <w:bCs w:val="0"/>
          <w:color w:val="auto"/>
          <w:sz w:val="36"/>
          <w:szCs w:val="36"/>
          <w:highlight w:val="none"/>
        </w:rPr>
        <w:t>6</w:t>
      </w:r>
      <w:r>
        <w:rPr>
          <w:rFonts w:hint="eastAsia" w:ascii="宋体" w:hAnsi="宋体" w:eastAsia="宋体" w:cs="宋体"/>
          <w:b/>
          <w:bCs w:val="0"/>
          <w:color w:val="auto"/>
          <w:sz w:val="36"/>
          <w:szCs w:val="36"/>
          <w:highlight w:val="none"/>
        </w:rPr>
        <w:fldChar w:fldCharType="end"/>
      </w:r>
      <w:r>
        <w:rPr>
          <w:rFonts w:hint="eastAsia" w:ascii="宋体" w:hAnsi="宋体" w:eastAsia="宋体" w:cs="宋体"/>
          <w:b/>
          <w:bCs w:val="0"/>
          <w:color w:val="auto"/>
          <w:sz w:val="36"/>
          <w:szCs w:val="36"/>
          <w:highlight w:val="none"/>
        </w:rPr>
        <w:fldChar w:fldCharType="end"/>
      </w:r>
    </w:p>
    <w:p w14:paraId="4DC3628A">
      <w:pPr>
        <w:pStyle w:val="30"/>
        <w:keepNext w:val="0"/>
        <w:keepLines w:val="0"/>
        <w:pageBreakBefore w:val="0"/>
        <w:widowControl w:val="0"/>
        <w:tabs>
          <w:tab w:val="right" w:leader="dot" w:pos="9072"/>
          <w:tab w:val="clear" w:pos="8494"/>
        </w:tabs>
        <w:kinsoku/>
        <w:wordWrap/>
        <w:overflowPunct/>
        <w:topLinePunct w:val="0"/>
        <w:autoSpaceDE/>
        <w:autoSpaceDN/>
        <w:bidi w:val="0"/>
        <w:adjustRightInd/>
        <w:snapToGrid/>
        <w:spacing w:line="1000" w:lineRule="exact"/>
        <w:textAlignment w:val="auto"/>
        <w:rPr>
          <w:rFonts w:hint="eastAsia" w:ascii="宋体" w:hAnsi="宋体" w:eastAsia="宋体" w:cs="宋体"/>
          <w:b/>
          <w:bCs w:val="0"/>
          <w:color w:val="auto"/>
          <w:sz w:val="36"/>
          <w:szCs w:val="36"/>
          <w:highlight w:val="none"/>
        </w:rPr>
      </w:pPr>
      <w:r>
        <w:rPr>
          <w:rFonts w:hint="eastAsia" w:ascii="宋体" w:hAnsi="宋体" w:eastAsia="宋体" w:cs="宋体"/>
          <w:b/>
          <w:bCs w:val="0"/>
          <w:color w:val="auto"/>
          <w:sz w:val="36"/>
          <w:szCs w:val="36"/>
          <w:highlight w:val="none"/>
        </w:rPr>
        <w:fldChar w:fldCharType="begin"/>
      </w:r>
      <w:r>
        <w:rPr>
          <w:rFonts w:hint="eastAsia" w:ascii="宋体" w:hAnsi="宋体" w:eastAsia="宋体" w:cs="宋体"/>
          <w:b/>
          <w:bCs w:val="0"/>
          <w:color w:val="auto"/>
          <w:sz w:val="36"/>
          <w:szCs w:val="36"/>
          <w:highlight w:val="none"/>
        </w:rPr>
        <w:instrText xml:space="preserve"> HYPERLINK \l _Toc5587 </w:instrText>
      </w:r>
      <w:r>
        <w:rPr>
          <w:rFonts w:hint="eastAsia" w:ascii="宋体" w:hAnsi="宋体" w:eastAsia="宋体" w:cs="宋体"/>
          <w:b/>
          <w:bCs w:val="0"/>
          <w:color w:val="auto"/>
          <w:sz w:val="36"/>
          <w:szCs w:val="36"/>
          <w:highlight w:val="none"/>
        </w:rPr>
        <w:fldChar w:fldCharType="separate"/>
      </w:r>
      <w:r>
        <w:rPr>
          <w:rFonts w:hint="eastAsia" w:ascii="宋体" w:hAnsi="宋体" w:eastAsia="宋体" w:cs="宋体"/>
          <w:b/>
          <w:bCs w:val="0"/>
          <w:color w:val="auto"/>
          <w:sz w:val="36"/>
          <w:szCs w:val="36"/>
          <w:highlight w:val="none"/>
        </w:rPr>
        <w:t>第三章 采购内容及服务要求</w:t>
      </w:r>
      <w:r>
        <w:rPr>
          <w:rFonts w:hint="eastAsia" w:ascii="宋体" w:hAnsi="宋体" w:eastAsia="宋体" w:cs="宋体"/>
          <w:b/>
          <w:bCs w:val="0"/>
          <w:color w:val="auto"/>
          <w:sz w:val="36"/>
          <w:szCs w:val="36"/>
          <w:highlight w:val="none"/>
        </w:rPr>
        <w:tab/>
      </w:r>
      <w:r>
        <w:rPr>
          <w:rFonts w:hint="eastAsia" w:ascii="宋体" w:hAnsi="宋体" w:eastAsia="宋体" w:cs="宋体"/>
          <w:b/>
          <w:bCs w:val="0"/>
          <w:color w:val="auto"/>
          <w:sz w:val="36"/>
          <w:szCs w:val="36"/>
          <w:highlight w:val="none"/>
        </w:rPr>
        <w:fldChar w:fldCharType="begin"/>
      </w:r>
      <w:r>
        <w:rPr>
          <w:rFonts w:hint="eastAsia" w:ascii="宋体" w:hAnsi="宋体" w:eastAsia="宋体" w:cs="宋体"/>
          <w:b/>
          <w:bCs w:val="0"/>
          <w:color w:val="auto"/>
          <w:sz w:val="36"/>
          <w:szCs w:val="36"/>
          <w:highlight w:val="none"/>
        </w:rPr>
        <w:instrText xml:space="preserve"> PAGEREF _Toc5587 \h </w:instrText>
      </w:r>
      <w:r>
        <w:rPr>
          <w:rFonts w:hint="eastAsia" w:ascii="宋体" w:hAnsi="宋体" w:eastAsia="宋体" w:cs="宋体"/>
          <w:b/>
          <w:bCs w:val="0"/>
          <w:color w:val="auto"/>
          <w:sz w:val="36"/>
          <w:szCs w:val="36"/>
          <w:highlight w:val="none"/>
        </w:rPr>
        <w:fldChar w:fldCharType="separate"/>
      </w:r>
      <w:r>
        <w:rPr>
          <w:rFonts w:hint="eastAsia" w:ascii="宋体" w:hAnsi="宋体" w:eastAsia="宋体" w:cs="宋体"/>
          <w:b/>
          <w:bCs w:val="0"/>
          <w:color w:val="auto"/>
          <w:sz w:val="36"/>
          <w:szCs w:val="36"/>
          <w:highlight w:val="none"/>
        </w:rPr>
        <w:t>33</w:t>
      </w:r>
      <w:r>
        <w:rPr>
          <w:rFonts w:hint="eastAsia" w:ascii="宋体" w:hAnsi="宋体" w:eastAsia="宋体" w:cs="宋体"/>
          <w:b/>
          <w:bCs w:val="0"/>
          <w:color w:val="auto"/>
          <w:sz w:val="36"/>
          <w:szCs w:val="36"/>
          <w:highlight w:val="none"/>
        </w:rPr>
        <w:fldChar w:fldCharType="end"/>
      </w:r>
      <w:r>
        <w:rPr>
          <w:rFonts w:hint="eastAsia" w:ascii="宋体" w:hAnsi="宋体" w:eastAsia="宋体" w:cs="宋体"/>
          <w:b/>
          <w:bCs w:val="0"/>
          <w:color w:val="auto"/>
          <w:sz w:val="36"/>
          <w:szCs w:val="36"/>
          <w:highlight w:val="none"/>
        </w:rPr>
        <w:fldChar w:fldCharType="end"/>
      </w:r>
    </w:p>
    <w:p w14:paraId="31BA2C9B">
      <w:pPr>
        <w:pStyle w:val="30"/>
        <w:keepNext w:val="0"/>
        <w:keepLines w:val="0"/>
        <w:pageBreakBefore w:val="0"/>
        <w:widowControl w:val="0"/>
        <w:tabs>
          <w:tab w:val="right" w:leader="dot" w:pos="9072"/>
          <w:tab w:val="clear" w:pos="8494"/>
        </w:tabs>
        <w:kinsoku/>
        <w:wordWrap/>
        <w:overflowPunct/>
        <w:topLinePunct w:val="0"/>
        <w:autoSpaceDE/>
        <w:autoSpaceDN/>
        <w:bidi w:val="0"/>
        <w:adjustRightInd/>
        <w:snapToGrid/>
        <w:spacing w:line="1000" w:lineRule="exact"/>
        <w:textAlignment w:val="auto"/>
        <w:rPr>
          <w:rFonts w:hint="eastAsia" w:ascii="宋体" w:hAnsi="宋体" w:eastAsia="宋体" w:cs="宋体"/>
          <w:b/>
          <w:bCs w:val="0"/>
          <w:color w:val="auto"/>
          <w:sz w:val="36"/>
          <w:szCs w:val="36"/>
          <w:highlight w:val="none"/>
        </w:rPr>
      </w:pPr>
      <w:r>
        <w:rPr>
          <w:rFonts w:hint="eastAsia" w:ascii="宋体" w:hAnsi="宋体" w:eastAsia="宋体" w:cs="宋体"/>
          <w:b/>
          <w:bCs w:val="0"/>
          <w:color w:val="auto"/>
          <w:sz w:val="36"/>
          <w:szCs w:val="36"/>
          <w:highlight w:val="none"/>
        </w:rPr>
        <w:fldChar w:fldCharType="begin"/>
      </w:r>
      <w:r>
        <w:rPr>
          <w:rFonts w:hint="eastAsia" w:ascii="宋体" w:hAnsi="宋体" w:eastAsia="宋体" w:cs="宋体"/>
          <w:b/>
          <w:bCs w:val="0"/>
          <w:color w:val="auto"/>
          <w:sz w:val="36"/>
          <w:szCs w:val="36"/>
          <w:highlight w:val="none"/>
        </w:rPr>
        <w:instrText xml:space="preserve"> HYPERLINK \l _Toc32634 </w:instrText>
      </w:r>
      <w:r>
        <w:rPr>
          <w:rFonts w:hint="eastAsia" w:ascii="宋体" w:hAnsi="宋体" w:eastAsia="宋体" w:cs="宋体"/>
          <w:b/>
          <w:bCs w:val="0"/>
          <w:color w:val="auto"/>
          <w:sz w:val="36"/>
          <w:szCs w:val="36"/>
          <w:highlight w:val="none"/>
        </w:rPr>
        <w:fldChar w:fldCharType="separate"/>
      </w:r>
      <w:r>
        <w:rPr>
          <w:rFonts w:hint="eastAsia" w:ascii="宋体" w:hAnsi="宋体" w:eastAsia="宋体" w:cs="宋体"/>
          <w:b/>
          <w:bCs w:val="0"/>
          <w:color w:val="auto"/>
          <w:sz w:val="36"/>
          <w:szCs w:val="36"/>
          <w:highlight w:val="none"/>
        </w:rPr>
        <w:t xml:space="preserve">第四章 </w:t>
      </w:r>
      <w:r>
        <w:rPr>
          <w:rFonts w:hint="eastAsia" w:ascii="宋体" w:hAnsi="宋体" w:eastAsia="宋体" w:cs="宋体"/>
          <w:b/>
          <w:bCs w:val="0"/>
          <w:color w:val="auto"/>
          <w:sz w:val="36"/>
          <w:szCs w:val="36"/>
          <w:highlight w:val="none"/>
          <w:lang w:val="en-US" w:eastAsia="zh-CN"/>
        </w:rPr>
        <w:t>商务条款</w:t>
      </w:r>
      <w:r>
        <w:rPr>
          <w:rFonts w:hint="eastAsia" w:ascii="宋体" w:hAnsi="宋体" w:eastAsia="宋体" w:cs="宋体"/>
          <w:b/>
          <w:bCs w:val="0"/>
          <w:color w:val="auto"/>
          <w:sz w:val="36"/>
          <w:szCs w:val="36"/>
          <w:highlight w:val="none"/>
        </w:rPr>
        <w:tab/>
      </w:r>
      <w:r>
        <w:rPr>
          <w:rFonts w:hint="eastAsia" w:ascii="宋体" w:hAnsi="宋体" w:eastAsia="宋体" w:cs="宋体"/>
          <w:b/>
          <w:bCs w:val="0"/>
          <w:color w:val="auto"/>
          <w:sz w:val="36"/>
          <w:szCs w:val="36"/>
          <w:highlight w:val="none"/>
        </w:rPr>
        <w:fldChar w:fldCharType="begin"/>
      </w:r>
      <w:r>
        <w:rPr>
          <w:rFonts w:hint="eastAsia" w:ascii="宋体" w:hAnsi="宋体" w:eastAsia="宋体" w:cs="宋体"/>
          <w:b/>
          <w:bCs w:val="0"/>
          <w:color w:val="auto"/>
          <w:sz w:val="36"/>
          <w:szCs w:val="36"/>
          <w:highlight w:val="none"/>
        </w:rPr>
        <w:instrText xml:space="preserve"> PAGEREF _Toc32634 \h </w:instrText>
      </w:r>
      <w:r>
        <w:rPr>
          <w:rFonts w:hint="eastAsia" w:ascii="宋体" w:hAnsi="宋体" w:eastAsia="宋体" w:cs="宋体"/>
          <w:b/>
          <w:bCs w:val="0"/>
          <w:color w:val="auto"/>
          <w:sz w:val="36"/>
          <w:szCs w:val="36"/>
          <w:highlight w:val="none"/>
        </w:rPr>
        <w:fldChar w:fldCharType="separate"/>
      </w:r>
      <w:r>
        <w:rPr>
          <w:rFonts w:hint="eastAsia" w:ascii="宋体" w:hAnsi="宋体" w:eastAsia="宋体" w:cs="宋体"/>
          <w:b/>
          <w:bCs w:val="0"/>
          <w:color w:val="auto"/>
          <w:sz w:val="36"/>
          <w:szCs w:val="36"/>
          <w:highlight w:val="none"/>
        </w:rPr>
        <w:t>41</w:t>
      </w:r>
      <w:r>
        <w:rPr>
          <w:rFonts w:hint="eastAsia" w:ascii="宋体" w:hAnsi="宋体" w:eastAsia="宋体" w:cs="宋体"/>
          <w:b/>
          <w:bCs w:val="0"/>
          <w:color w:val="auto"/>
          <w:sz w:val="36"/>
          <w:szCs w:val="36"/>
          <w:highlight w:val="none"/>
        </w:rPr>
        <w:fldChar w:fldCharType="end"/>
      </w:r>
      <w:r>
        <w:rPr>
          <w:rFonts w:hint="eastAsia" w:ascii="宋体" w:hAnsi="宋体" w:eastAsia="宋体" w:cs="宋体"/>
          <w:b/>
          <w:bCs w:val="0"/>
          <w:color w:val="auto"/>
          <w:sz w:val="36"/>
          <w:szCs w:val="36"/>
          <w:highlight w:val="none"/>
        </w:rPr>
        <w:fldChar w:fldCharType="end"/>
      </w:r>
    </w:p>
    <w:p w14:paraId="5880BCDB">
      <w:pPr>
        <w:pStyle w:val="30"/>
        <w:keepNext w:val="0"/>
        <w:keepLines w:val="0"/>
        <w:pageBreakBefore w:val="0"/>
        <w:widowControl w:val="0"/>
        <w:tabs>
          <w:tab w:val="right" w:leader="dot" w:pos="9072"/>
          <w:tab w:val="clear" w:pos="8494"/>
        </w:tabs>
        <w:kinsoku/>
        <w:wordWrap/>
        <w:overflowPunct/>
        <w:topLinePunct w:val="0"/>
        <w:autoSpaceDE/>
        <w:autoSpaceDN/>
        <w:bidi w:val="0"/>
        <w:adjustRightInd/>
        <w:snapToGrid/>
        <w:spacing w:line="1000" w:lineRule="exact"/>
        <w:textAlignment w:val="auto"/>
        <w:rPr>
          <w:rFonts w:hint="eastAsia" w:ascii="宋体" w:hAnsi="宋体" w:eastAsia="宋体" w:cs="宋体"/>
          <w:b/>
          <w:bCs w:val="0"/>
          <w:color w:val="auto"/>
          <w:sz w:val="36"/>
          <w:szCs w:val="36"/>
          <w:highlight w:val="none"/>
        </w:rPr>
      </w:pPr>
      <w:r>
        <w:rPr>
          <w:rFonts w:hint="eastAsia" w:ascii="宋体" w:hAnsi="宋体" w:eastAsia="宋体" w:cs="宋体"/>
          <w:b/>
          <w:bCs w:val="0"/>
          <w:color w:val="auto"/>
          <w:sz w:val="36"/>
          <w:szCs w:val="36"/>
          <w:highlight w:val="none"/>
        </w:rPr>
        <w:fldChar w:fldCharType="begin"/>
      </w:r>
      <w:r>
        <w:rPr>
          <w:rFonts w:hint="eastAsia" w:ascii="宋体" w:hAnsi="宋体" w:eastAsia="宋体" w:cs="宋体"/>
          <w:b/>
          <w:bCs w:val="0"/>
          <w:color w:val="auto"/>
          <w:sz w:val="36"/>
          <w:szCs w:val="36"/>
          <w:highlight w:val="none"/>
        </w:rPr>
        <w:instrText xml:space="preserve"> HYPERLINK \l _Toc12173 </w:instrText>
      </w:r>
      <w:r>
        <w:rPr>
          <w:rFonts w:hint="eastAsia" w:ascii="宋体" w:hAnsi="宋体" w:eastAsia="宋体" w:cs="宋体"/>
          <w:b/>
          <w:bCs w:val="0"/>
          <w:color w:val="auto"/>
          <w:sz w:val="36"/>
          <w:szCs w:val="36"/>
          <w:highlight w:val="none"/>
        </w:rPr>
        <w:fldChar w:fldCharType="separate"/>
      </w:r>
      <w:r>
        <w:rPr>
          <w:rFonts w:hint="eastAsia" w:ascii="宋体" w:hAnsi="宋体" w:eastAsia="宋体" w:cs="宋体"/>
          <w:b/>
          <w:bCs w:val="0"/>
          <w:color w:val="auto"/>
          <w:sz w:val="36"/>
          <w:szCs w:val="36"/>
          <w:highlight w:val="none"/>
          <w:lang w:val="en-US" w:eastAsia="zh-CN"/>
        </w:rPr>
        <w:t xml:space="preserve">第五章 </w:t>
      </w:r>
      <w:r>
        <w:rPr>
          <w:rFonts w:hint="eastAsia" w:ascii="宋体" w:hAnsi="宋体" w:eastAsia="宋体" w:cs="宋体"/>
          <w:b/>
          <w:bCs w:val="0"/>
          <w:color w:val="auto"/>
          <w:sz w:val="36"/>
          <w:szCs w:val="36"/>
          <w:highlight w:val="none"/>
        </w:rPr>
        <w:t>磋商响应文件格式</w:t>
      </w:r>
      <w:r>
        <w:rPr>
          <w:rFonts w:hint="eastAsia" w:ascii="宋体" w:hAnsi="宋体" w:eastAsia="宋体" w:cs="宋体"/>
          <w:b/>
          <w:bCs w:val="0"/>
          <w:color w:val="auto"/>
          <w:sz w:val="36"/>
          <w:szCs w:val="36"/>
          <w:highlight w:val="none"/>
        </w:rPr>
        <w:tab/>
      </w:r>
      <w:r>
        <w:rPr>
          <w:rFonts w:hint="eastAsia" w:ascii="宋体" w:hAnsi="宋体" w:eastAsia="宋体" w:cs="宋体"/>
          <w:b/>
          <w:bCs w:val="0"/>
          <w:color w:val="auto"/>
          <w:sz w:val="36"/>
          <w:szCs w:val="36"/>
          <w:highlight w:val="none"/>
        </w:rPr>
        <w:fldChar w:fldCharType="begin"/>
      </w:r>
      <w:r>
        <w:rPr>
          <w:rFonts w:hint="eastAsia" w:ascii="宋体" w:hAnsi="宋体" w:eastAsia="宋体" w:cs="宋体"/>
          <w:b/>
          <w:bCs w:val="0"/>
          <w:color w:val="auto"/>
          <w:sz w:val="36"/>
          <w:szCs w:val="36"/>
          <w:highlight w:val="none"/>
        </w:rPr>
        <w:instrText xml:space="preserve"> PAGEREF _Toc12173 \h </w:instrText>
      </w:r>
      <w:r>
        <w:rPr>
          <w:rFonts w:hint="eastAsia" w:ascii="宋体" w:hAnsi="宋体" w:eastAsia="宋体" w:cs="宋体"/>
          <w:b/>
          <w:bCs w:val="0"/>
          <w:color w:val="auto"/>
          <w:sz w:val="36"/>
          <w:szCs w:val="36"/>
          <w:highlight w:val="none"/>
        </w:rPr>
        <w:fldChar w:fldCharType="separate"/>
      </w:r>
      <w:r>
        <w:rPr>
          <w:rFonts w:hint="eastAsia" w:ascii="宋体" w:hAnsi="宋体" w:eastAsia="宋体" w:cs="宋体"/>
          <w:b/>
          <w:bCs w:val="0"/>
          <w:color w:val="auto"/>
          <w:sz w:val="36"/>
          <w:szCs w:val="36"/>
          <w:highlight w:val="none"/>
        </w:rPr>
        <w:t>45</w:t>
      </w:r>
      <w:r>
        <w:rPr>
          <w:rFonts w:hint="eastAsia" w:ascii="宋体" w:hAnsi="宋体" w:eastAsia="宋体" w:cs="宋体"/>
          <w:b/>
          <w:bCs w:val="0"/>
          <w:color w:val="auto"/>
          <w:sz w:val="36"/>
          <w:szCs w:val="36"/>
          <w:highlight w:val="none"/>
        </w:rPr>
        <w:fldChar w:fldCharType="end"/>
      </w:r>
      <w:r>
        <w:rPr>
          <w:rFonts w:hint="eastAsia" w:ascii="宋体" w:hAnsi="宋体" w:eastAsia="宋体" w:cs="宋体"/>
          <w:b/>
          <w:bCs w:val="0"/>
          <w:color w:val="auto"/>
          <w:sz w:val="36"/>
          <w:szCs w:val="36"/>
          <w:highlight w:val="none"/>
        </w:rPr>
        <w:fldChar w:fldCharType="end"/>
      </w:r>
    </w:p>
    <w:p w14:paraId="68DE041B">
      <w:pPr>
        <w:keepNext w:val="0"/>
        <w:keepLines w:val="0"/>
        <w:pageBreakBefore w:val="0"/>
        <w:widowControl w:val="0"/>
        <w:kinsoku/>
        <w:wordWrap/>
        <w:overflowPunct/>
        <w:topLinePunct w:val="0"/>
        <w:autoSpaceDE/>
        <w:autoSpaceDN/>
        <w:bidi w:val="0"/>
        <w:adjustRightInd/>
        <w:snapToGrid/>
        <w:spacing w:after="120" w:line="1000" w:lineRule="exact"/>
        <w:jc w:val="center"/>
        <w:textAlignment w:val="auto"/>
        <w:rPr>
          <w:rFonts w:hint="eastAsia" w:ascii="宋体" w:hAnsi="宋体" w:eastAsia="宋体" w:cs="宋体"/>
          <w:b/>
          <w:bCs/>
          <w:color w:val="auto"/>
          <w:sz w:val="28"/>
          <w:szCs w:val="28"/>
          <w:highlight w:val="none"/>
        </w:rPr>
      </w:pPr>
      <w:r>
        <w:rPr>
          <w:rFonts w:hint="eastAsia" w:ascii="宋体" w:hAnsi="宋体" w:eastAsia="宋体" w:cs="宋体"/>
          <w:b/>
          <w:bCs w:val="0"/>
          <w:color w:val="auto"/>
          <w:sz w:val="36"/>
          <w:szCs w:val="36"/>
          <w:highlight w:val="none"/>
        </w:rPr>
        <w:fldChar w:fldCharType="end"/>
      </w:r>
      <w:r>
        <w:rPr>
          <w:rFonts w:hint="eastAsia" w:ascii="宋体" w:hAnsi="宋体" w:eastAsia="宋体" w:cs="宋体"/>
          <w:b/>
          <w:bCs/>
          <w:color w:val="auto"/>
          <w:sz w:val="28"/>
          <w:szCs w:val="28"/>
          <w:highlight w:val="none"/>
        </w:rPr>
        <w:t xml:space="preserve">     </w:t>
      </w:r>
    </w:p>
    <w:p w14:paraId="140A0155">
      <w:pPr>
        <w:spacing w:after="120" w:line="520" w:lineRule="exact"/>
        <w:jc w:val="center"/>
        <w:outlineLvl w:val="0"/>
        <w:rPr>
          <w:rFonts w:hint="eastAsia" w:ascii="宋体" w:hAnsi="宋体" w:eastAsia="宋体" w:cs="宋体"/>
          <w:b/>
          <w:color w:val="auto"/>
          <w:kern w:val="1"/>
          <w:sz w:val="32"/>
          <w:szCs w:val="32"/>
          <w:highlight w:val="none"/>
        </w:rPr>
        <w:sectPr>
          <w:footerReference r:id="rId7" w:type="default"/>
          <w:pgSz w:w="11906" w:h="16838"/>
          <w:pgMar w:top="1417" w:right="1417" w:bottom="1417" w:left="1417" w:header="567" w:footer="1020" w:gutter="0"/>
          <w:pgNumType w:start="1"/>
          <w:cols w:space="720" w:num="1"/>
          <w:docGrid w:type="lines" w:linePitch="312" w:charSpace="0"/>
        </w:sectPr>
      </w:pPr>
    </w:p>
    <w:p w14:paraId="1BE03C7B">
      <w:pPr>
        <w:bidi w:val="0"/>
        <w:jc w:val="center"/>
        <w:rPr>
          <w:rFonts w:hint="eastAsia" w:ascii="宋体" w:hAnsi="宋体" w:eastAsia="宋体" w:cs="宋体"/>
          <w:b/>
          <w:bCs/>
          <w:color w:val="auto"/>
          <w:sz w:val="32"/>
          <w:szCs w:val="32"/>
          <w:highlight w:val="none"/>
        </w:rPr>
      </w:pPr>
      <w:bookmarkStart w:id="4" w:name="_Toc5564"/>
      <w:r>
        <w:rPr>
          <w:rFonts w:hint="eastAsia" w:ascii="宋体" w:hAnsi="宋体" w:eastAsia="宋体" w:cs="宋体"/>
          <w:b/>
          <w:bCs/>
          <w:color w:val="auto"/>
          <w:sz w:val="32"/>
          <w:szCs w:val="32"/>
          <w:highlight w:val="none"/>
          <w:lang w:val="en-US" w:eastAsia="zh-CN"/>
        </w:rPr>
        <w:t xml:space="preserve">第一章 </w:t>
      </w:r>
      <w:r>
        <w:rPr>
          <w:rFonts w:hint="eastAsia" w:ascii="宋体" w:hAnsi="宋体" w:eastAsia="宋体" w:cs="宋体"/>
          <w:b/>
          <w:bCs/>
          <w:color w:val="auto"/>
          <w:sz w:val="32"/>
          <w:szCs w:val="32"/>
          <w:highlight w:val="none"/>
        </w:rPr>
        <w:t>竞争性磋商公告</w:t>
      </w:r>
      <w:bookmarkEnd w:id="4"/>
    </w:p>
    <w:p w14:paraId="47E7A234">
      <w:pPr>
        <w:keepNext w:val="0"/>
        <w:keepLines w:val="0"/>
        <w:pageBreakBefore w:val="0"/>
        <w:widowControl/>
        <w:numPr>
          <w:ilvl w:val="0"/>
          <w:numId w:val="0"/>
        </w:numPr>
        <w:kinsoku/>
        <w:wordWrap/>
        <w:overflowPunct/>
        <w:topLinePunct w:val="0"/>
        <w:autoSpaceDE w:val="0"/>
        <w:autoSpaceDN/>
        <w:bidi w:val="0"/>
        <w:adjustRightInd/>
        <w:snapToGrid/>
        <w:spacing w:line="440" w:lineRule="exact"/>
        <w:ind w:firstLine="482" w:firstLineChars="200"/>
        <w:textAlignment w:val="auto"/>
        <w:rPr>
          <w:rFonts w:hint="eastAsia" w:ascii="宋体" w:hAnsi="宋体" w:eastAsia="宋体" w:cs="宋体"/>
          <w:b/>
          <w:bCs/>
          <w:i w:val="0"/>
          <w:iCs w:val="0"/>
          <w:caps w:val="0"/>
          <w:color w:val="auto"/>
          <w:spacing w:val="0"/>
          <w:kern w:val="0"/>
          <w:sz w:val="24"/>
          <w:szCs w:val="24"/>
          <w:highlight w:val="none"/>
          <w:shd w:val="clear" w:fill="FFFFFF"/>
          <w:vertAlign w:val="baseline"/>
          <w:lang w:val="en-US" w:eastAsia="zh-CN" w:bidi="ar-SA"/>
        </w:rPr>
      </w:pPr>
      <w:r>
        <w:rPr>
          <w:rFonts w:hint="eastAsia" w:ascii="宋体" w:hAnsi="宋体" w:eastAsia="宋体" w:cs="宋体"/>
          <w:b/>
          <w:bCs/>
          <w:i w:val="0"/>
          <w:iCs w:val="0"/>
          <w:caps w:val="0"/>
          <w:color w:val="auto"/>
          <w:spacing w:val="0"/>
          <w:kern w:val="0"/>
          <w:sz w:val="24"/>
          <w:szCs w:val="24"/>
          <w:highlight w:val="none"/>
          <w:shd w:val="clear" w:fill="FFFFFF"/>
          <w:vertAlign w:val="baseline"/>
          <w:lang w:val="en-US" w:eastAsia="zh-CN" w:bidi="ar-SA"/>
        </w:rPr>
        <w:t>项目概况</w:t>
      </w:r>
    </w:p>
    <w:p w14:paraId="1BF8F2CB">
      <w:pPr>
        <w:pStyle w:val="12"/>
        <w:keepNext w:val="0"/>
        <w:keepLines w:val="0"/>
        <w:pageBreakBefore w:val="0"/>
        <w:kinsoku/>
        <w:wordWrap/>
        <w:overflowPunct/>
        <w:topLinePunct w:val="0"/>
        <w:autoSpaceDN/>
        <w:bidi w:val="0"/>
        <w:snapToGrid/>
        <w:spacing w:line="440" w:lineRule="exact"/>
        <w:ind w:left="0" w:leftChars="0" w:firstLine="0" w:firstLineChars="0"/>
        <w:jc w:val="left"/>
        <w:rPr>
          <w:rFonts w:hint="eastAsia" w:ascii="宋体" w:hAnsi="宋体" w:eastAsia="宋体" w:cs="宋体"/>
          <w:i w:val="0"/>
          <w:iCs w:val="0"/>
          <w:caps w:val="0"/>
          <w:color w:val="auto"/>
          <w:spacing w:val="0"/>
          <w:kern w:val="0"/>
          <w:sz w:val="24"/>
          <w:szCs w:val="24"/>
          <w:highlight w:val="none"/>
          <w:shd w:val="clear" w:fill="FFFFFF"/>
          <w:vertAlign w:val="baseline"/>
          <w:lang w:val="en-US" w:eastAsia="zh-CN" w:bidi="ar-SA"/>
        </w:rPr>
      </w:pPr>
      <w:r>
        <w:rPr>
          <w:rFonts w:hint="eastAsia" w:ascii="宋体" w:hAnsi="宋体" w:eastAsia="宋体" w:cs="宋体"/>
          <w:i w:val="0"/>
          <w:iCs w:val="0"/>
          <w:caps w:val="0"/>
          <w:color w:val="auto"/>
          <w:spacing w:val="0"/>
          <w:kern w:val="0"/>
          <w:sz w:val="24"/>
          <w:szCs w:val="24"/>
          <w:highlight w:val="none"/>
          <w:shd w:val="clear" w:fill="FFFFFF"/>
          <w:vertAlign w:val="baseline"/>
          <w:lang w:val="en-US" w:eastAsia="zh-CN" w:bidi="ar-SA"/>
        </w:rPr>
        <w:t xml:space="preserve">    2025-2026年度高低压配电室年度维保采购项目的潜在供应商应在</w:t>
      </w:r>
      <w:r>
        <w:rPr>
          <w:rFonts w:hint="eastAsia" w:ascii="宋体" w:hAnsi="宋体" w:eastAsia="宋体" w:cs="宋体"/>
          <w:color w:val="auto"/>
          <w:kern w:val="0"/>
          <w:sz w:val="24"/>
          <w:szCs w:val="24"/>
          <w:highlight w:val="none"/>
        </w:rPr>
        <w:t>全国公共资源交易平台（陕西省·安康市）电子交易平台</w:t>
      </w:r>
      <w:r>
        <w:rPr>
          <w:rFonts w:hint="eastAsia" w:ascii="宋体" w:hAnsi="宋体" w:eastAsia="宋体" w:cs="宋体"/>
          <w:i w:val="0"/>
          <w:iCs w:val="0"/>
          <w:caps w:val="0"/>
          <w:color w:val="auto"/>
          <w:spacing w:val="0"/>
          <w:kern w:val="0"/>
          <w:sz w:val="24"/>
          <w:szCs w:val="24"/>
          <w:highlight w:val="none"/>
          <w:shd w:val="clear" w:fill="FFFFFF"/>
          <w:vertAlign w:val="baseline"/>
          <w:lang w:val="en-US" w:eastAsia="zh-CN" w:bidi="ar-SA"/>
        </w:rPr>
        <w:t>获取采购文件，并于 2025年 6月11日9时00分（北京时间）前提交响应文件。</w:t>
      </w:r>
    </w:p>
    <w:p w14:paraId="5C02E6E9">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N/>
        <w:bidi w:val="0"/>
        <w:snapToGrid/>
        <w:spacing w:before="150" w:beforeAutospacing="0" w:after="0" w:afterAutospacing="0" w:line="480" w:lineRule="exact"/>
        <w:ind w:left="0" w:right="0" w:firstLine="0"/>
        <w:jc w:val="left"/>
        <w:textAlignment w:val="baseline"/>
        <w:rPr>
          <w:rFonts w:hint="eastAsia" w:ascii="宋体" w:hAnsi="宋体" w:eastAsia="宋体" w:cs="宋体"/>
          <w:b w:val="0"/>
          <w:bCs w:val="0"/>
          <w:i w:val="0"/>
          <w:iCs w:val="0"/>
          <w:caps w:val="0"/>
          <w:color w:val="auto"/>
          <w:spacing w:val="0"/>
          <w:sz w:val="24"/>
          <w:szCs w:val="24"/>
          <w:highlight w:val="none"/>
        </w:rPr>
      </w:pPr>
      <w:r>
        <w:rPr>
          <w:rStyle w:val="44"/>
          <w:rFonts w:hint="eastAsia" w:ascii="宋体" w:hAnsi="宋体" w:eastAsia="宋体" w:cs="宋体"/>
          <w:b/>
          <w:bCs/>
          <w:i w:val="0"/>
          <w:iCs w:val="0"/>
          <w:caps w:val="0"/>
          <w:color w:val="auto"/>
          <w:spacing w:val="0"/>
          <w:sz w:val="24"/>
          <w:szCs w:val="24"/>
          <w:highlight w:val="none"/>
          <w:shd w:val="clear" w:fill="FFFFFF"/>
          <w:vertAlign w:val="baseline"/>
        </w:rPr>
        <w:t>一、项目基本情况</w:t>
      </w:r>
    </w:p>
    <w:p w14:paraId="7E83FDFA">
      <w:pPr>
        <w:keepNext w:val="0"/>
        <w:keepLines w:val="0"/>
        <w:pageBreakBefore w:val="0"/>
        <w:widowControl/>
        <w:numPr>
          <w:ilvl w:val="0"/>
          <w:numId w:val="0"/>
        </w:numPr>
        <w:kinsoku/>
        <w:wordWrap/>
        <w:overflowPunct/>
        <w:topLinePunct w:val="0"/>
        <w:autoSpaceDE w:val="0"/>
        <w:autoSpaceDN/>
        <w:bidi w:val="0"/>
        <w:adjustRightInd/>
        <w:snapToGrid/>
        <w:spacing w:line="460" w:lineRule="exact"/>
        <w:ind w:firstLine="480" w:firstLineChars="200"/>
        <w:jc w:val="left"/>
        <w:textAlignment w:val="auto"/>
        <w:rPr>
          <w:rFonts w:hint="eastAsia" w:ascii="宋体" w:hAnsi="宋体" w:cs="宋体"/>
          <w:color w:val="auto"/>
          <w:kern w:val="0"/>
          <w:sz w:val="24"/>
          <w:szCs w:val="24"/>
          <w:highlight w:val="none"/>
          <w:lang w:val="en-US" w:eastAsia="zh-CN"/>
        </w:rPr>
      </w:pPr>
      <w:r>
        <w:rPr>
          <w:rFonts w:hint="eastAsia" w:ascii="宋体" w:hAnsi="宋体" w:cs="宋体"/>
          <w:color w:val="auto"/>
          <w:kern w:val="0"/>
          <w:sz w:val="24"/>
          <w:szCs w:val="24"/>
          <w:highlight w:val="none"/>
          <w:lang w:eastAsia="zh-CN"/>
        </w:rPr>
        <w:t>项目编号：</w:t>
      </w:r>
      <w:r>
        <w:rPr>
          <w:rFonts w:hint="eastAsia" w:ascii="宋体" w:hAnsi="宋体" w:cs="宋体"/>
          <w:color w:val="auto"/>
          <w:kern w:val="0"/>
          <w:sz w:val="24"/>
          <w:szCs w:val="24"/>
          <w:highlight w:val="none"/>
          <w:lang w:val="en-US" w:eastAsia="zh-CN"/>
        </w:rPr>
        <w:t>HSDY采-2025007-1</w:t>
      </w:r>
    </w:p>
    <w:p w14:paraId="614568F3">
      <w:pPr>
        <w:keepNext w:val="0"/>
        <w:keepLines w:val="0"/>
        <w:pageBreakBefore w:val="0"/>
        <w:widowControl/>
        <w:numPr>
          <w:ilvl w:val="0"/>
          <w:numId w:val="0"/>
        </w:numPr>
        <w:kinsoku/>
        <w:wordWrap/>
        <w:overflowPunct/>
        <w:topLinePunct w:val="0"/>
        <w:autoSpaceDE w:val="0"/>
        <w:autoSpaceDN/>
        <w:bidi w:val="0"/>
        <w:adjustRightInd/>
        <w:snapToGrid/>
        <w:spacing w:line="460" w:lineRule="exact"/>
        <w:ind w:firstLine="480" w:firstLineChars="200"/>
        <w:jc w:val="left"/>
        <w:textAlignment w:val="auto"/>
        <w:rPr>
          <w:rFonts w:hint="eastAsia" w:ascii="宋体" w:hAnsi="宋体" w:cs="宋体"/>
          <w:color w:val="auto"/>
          <w:kern w:val="0"/>
          <w:sz w:val="24"/>
          <w:szCs w:val="24"/>
          <w:highlight w:val="none"/>
          <w:lang w:eastAsia="zh-CN"/>
        </w:rPr>
      </w:pPr>
      <w:r>
        <w:rPr>
          <w:rFonts w:hint="eastAsia" w:ascii="宋体" w:hAnsi="宋体" w:cs="宋体"/>
          <w:color w:val="auto"/>
          <w:kern w:val="0"/>
          <w:sz w:val="24"/>
          <w:szCs w:val="24"/>
          <w:highlight w:val="none"/>
          <w:lang w:eastAsia="zh-CN"/>
        </w:rPr>
        <w:t>项目名称：</w:t>
      </w:r>
      <w:r>
        <w:rPr>
          <w:rFonts w:hint="eastAsia" w:ascii="宋体" w:hAnsi="宋体" w:cs="宋体"/>
          <w:color w:val="auto"/>
          <w:kern w:val="0"/>
          <w:sz w:val="24"/>
          <w:szCs w:val="24"/>
          <w:highlight w:val="none"/>
          <w:lang w:val="en-US" w:eastAsia="zh-CN"/>
        </w:rPr>
        <w:t>2025-2026年度高低压配电室年度维保采购项目</w:t>
      </w:r>
    </w:p>
    <w:p w14:paraId="5D4B7D1F">
      <w:pPr>
        <w:keepNext w:val="0"/>
        <w:keepLines w:val="0"/>
        <w:pageBreakBefore w:val="0"/>
        <w:widowControl/>
        <w:numPr>
          <w:ilvl w:val="0"/>
          <w:numId w:val="0"/>
        </w:numPr>
        <w:kinsoku/>
        <w:wordWrap/>
        <w:overflowPunct/>
        <w:topLinePunct w:val="0"/>
        <w:autoSpaceDE w:val="0"/>
        <w:autoSpaceDN/>
        <w:bidi w:val="0"/>
        <w:adjustRightInd/>
        <w:snapToGrid/>
        <w:spacing w:line="460" w:lineRule="exact"/>
        <w:ind w:firstLine="480" w:firstLineChars="200"/>
        <w:jc w:val="left"/>
        <w:textAlignment w:val="auto"/>
        <w:rPr>
          <w:rFonts w:hint="eastAsia" w:ascii="宋体" w:hAnsi="宋体" w:cs="宋体"/>
          <w:color w:val="auto"/>
          <w:kern w:val="0"/>
          <w:sz w:val="24"/>
          <w:szCs w:val="24"/>
          <w:highlight w:val="none"/>
          <w:lang w:eastAsia="zh-CN"/>
        </w:rPr>
      </w:pPr>
      <w:r>
        <w:rPr>
          <w:rFonts w:hint="eastAsia" w:ascii="宋体" w:hAnsi="宋体" w:cs="宋体"/>
          <w:color w:val="auto"/>
          <w:kern w:val="0"/>
          <w:sz w:val="24"/>
          <w:szCs w:val="24"/>
          <w:highlight w:val="none"/>
          <w:lang w:eastAsia="zh-CN"/>
        </w:rPr>
        <w:t>采购方式：竞争性磋商</w:t>
      </w:r>
    </w:p>
    <w:p w14:paraId="67770581">
      <w:pPr>
        <w:keepNext w:val="0"/>
        <w:keepLines w:val="0"/>
        <w:pageBreakBefore w:val="0"/>
        <w:widowControl/>
        <w:numPr>
          <w:ilvl w:val="0"/>
          <w:numId w:val="0"/>
        </w:numPr>
        <w:kinsoku/>
        <w:wordWrap/>
        <w:overflowPunct/>
        <w:topLinePunct w:val="0"/>
        <w:autoSpaceDE w:val="0"/>
        <w:autoSpaceDN/>
        <w:bidi w:val="0"/>
        <w:adjustRightInd/>
        <w:snapToGrid/>
        <w:spacing w:line="460" w:lineRule="exact"/>
        <w:ind w:firstLine="480" w:firstLineChars="200"/>
        <w:jc w:val="left"/>
        <w:textAlignment w:val="auto"/>
        <w:rPr>
          <w:rFonts w:hint="eastAsia" w:ascii="宋体" w:hAnsi="宋体" w:cs="宋体"/>
          <w:color w:val="auto"/>
          <w:kern w:val="0"/>
          <w:sz w:val="24"/>
          <w:szCs w:val="24"/>
          <w:highlight w:val="none"/>
          <w:lang w:eastAsia="zh-CN"/>
        </w:rPr>
      </w:pPr>
      <w:r>
        <w:rPr>
          <w:rFonts w:hint="eastAsia" w:ascii="宋体" w:hAnsi="宋体" w:cs="宋体"/>
          <w:color w:val="auto"/>
          <w:kern w:val="0"/>
          <w:sz w:val="24"/>
          <w:szCs w:val="24"/>
          <w:highlight w:val="none"/>
          <w:lang w:eastAsia="zh-CN"/>
        </w:rPr>
        <w:t>预算金额：</w:t>
      </w:r>
      <w:r>
        <w:rPr>
          <w:rFonts w:hint="eastAsia" w:ascii="宋体" w:hAnsi="宋体" w:cs="宋体"/>
          <w:color w:val="auto"/>
          <w:kern w:val="0"/>
          <w:sz w:val="24"/>
          <w:szCs w:val="24"/>
          <w:highlight w:val="none"/>
          <w:lang w:val="en-US" w:eastAsia="zh-CN"/>
        </w:rPr>
        <w:t>300000.00</w:t>
      </w:r>
      <w:r>
        <w:rPr>
          <w:rFonts w:hint="eastAsia" w:ascii="宋体" w:hAnsi="宋体" w:cs="宋体"/>
          <w:color w:val="auto"/>
          <w:kern w:val="0"/>
          <w:sz w:val="24"/>
          <w:szCs w:val="24"/>
          <w:highlight w:val="none"/>
          <w:lang w:eastAsia="zh-CN"/>
        </w:rPr>
        <w:t>元</w:t>
      </w:r>
    </w:p>
    <w:p w14:paraId="65717B72">
      <w:pPr>
        <w:keepNext w:val="0"/>
        <w:keepLines w:val="0"/>
        <w:pageBreakBefore w:val="0"/>
        <w:widowControl/>
        <w:numPr>
          <w:ilvl w:val="0"/>
          <w:numId w:val="0"/>
        </w:numPr>
        <w:kinsoku/>
        <w:wordWrap/>
        <w:overflowPunct/>
        <w:topLinePunct w:val="0"/>
        <w:autoSpaceDE w:val="0"/>
        <w:autoSpaceDN/>
        <w:bidi w:val="0"/>
        <w:adjustRightInd/>
        <w:snapToGrid/>
        <w:spacing w:line="460" w:lineRule="exact"/>
        <w:ind w:firstLine="480" w:firstLineChars="200"/>
        <w:jc w:val="left"/>
        <w:textAlignment w:val="auto"/>
        <w:rPr>
          <w:rFonts w:hint="eastAsia" w:ascii="宋体" w:hAnsi="宋体" w:cs="宋体"/>
          <w:color w:val="auto"/>
          <w:kern w:val="0"/>
          <w:sz w:val="24"/>
          <w:szCs w:val="24"/>
          <w:highlight w:val="none"/>
          <w:lang w:eastAsia="zh-CN"/>
        </w:rPr>
      </w:pPr>
      <w:r>
        <w:rPr>
          <w:rFonts w:hint="eastAsia" w:ascii="宋体" w:hAnsi="宋体" w:cs="宋体"/>
          <w:color w:val="auto"/>
          <w:kern w:val="0"/>
          <w:sz w:val="24"/>
          <w:szCs w:val="24"/>
          <w:highlight w:val="none"/>
          <w:lang w:eastAsia="zh-CN"/>
        </w:rPr>
        <w:t>采购需求：</w:t>
      </w:r>
    </w:p>
    <w:p w14:paraId="6E67B119">
      <w:pPr>
        <w:keepNext w:val="0"/>
        <w:keepLines w:val="0"/>
        <w:pageBreakBefore w:val="0"/>
        <w:widowControl/>
        <w:numPr>
          <w:ilvl w:val="0"/>
          <w:numId w:val="0"/>
        </w:numPr>
        <w:kinsoku/>
        <w:wordWrap/>
        <w:overflowPunct/>
        <w:topLinePunct w:val="0"/>
        <w:autoSpaceDE w:val="0"/>
        <w:autoSpaceDN/>
        <w:bidi w:val="0"/>
        <w:adjustRightInd/>
        <w:snapToGrid/>
        <w:spacing w:line="460" w:lineRule="exact"/>
        <w:ind w:firstLine="480" w:firstLineChars="200"/>
        <w:jc w:val="left"/>
        <w:textAlignment w:val="auto"/>
        <w:rPr>
          <w:rFonts w:hint="eastAsia" w:ascii="宋体" w:hAnsi="宋体" w:cs="宋体"/>
          <w:color w:val="auto"/>
          <w:kern w:val="0"/>
          <w:sz w:val="24"/>
          <w:szCs w:val="24"/>
          <w:highlight w:val="none"/>
          <w:lang w:eastAsia="zh-CN"/>
        </w:rPr>
      </w:pPr>
      <w:r>
        <w:rPr>
          <w:rFonts w:hint="eastAsia" w:ascii="宋体" w:hAnsi="宋体" w:cs="宋体"/>
          <w:color w:val="auto"/>
          <w:kern w:val="0"/>
          <w:sz w:val="24"/>
          <w:szCs w:val="24"/>
          <w:highlight w:val="none"/>
          <w:lang w:eastAsia="zh-CN"/>
        </w:rPr>
        <w:t>合同包1(</w:t>
      </w:r>
      <w:r>
        <w:rPr>
          <w:rFonts w:hint="eastAsia" w:ascii="宋体" w:hAnsi="宋体" w:cs="宋体"/>
          <w:color w:val="auto"/>
          <w:kern w:val="0"/>
          <w:sz w:val="24"/>
          <w:szCs w:val="24"/>
          <w:highlight w:val="none"/>
          <w:lang w:val="en-US" w:eastAsia="zh-CN"/>
        </w:rPr>
        <w:t>2025-2026年度高低压配电室年度维保采购项目</w:t>
      </w:r>
      <w:r>
        <w:rPr>
          <w:rFonts w:hint="eastAsia" w:ascii="宋体" w:hAnsi="宋体" w:cs="宋体"/>
          <w:color w:val="auto"/>
          <w:kern w:val="0"/>
          <w:sz w:val="24"/>
          <w:szCs w:val="24"/>
          <w:highlight w:val="none"/>
          <w:lang w:eastAsia="zh-CN"/>
        </w:rPr>
        <w:t>):</w:t>
      </w:r>
    </w:p>
    <w:p w14:paraId="0ABDFFDA">
      <w:pPr>
        <w:keepNext w:val="0"/>
        <w:keepLines w:val="0"/>
        <w:pageBreakBefore w:val="0"/>
        <w:widowControl/>
        <w:numPr>
          <w:ilvl w:val="0"/>
          <w:numId w:val="0"/>
        </w:numPr>
        <w:kinsoku/>
        <w:wordWrap/>
        <w:overflowPunct/>
        <w:topLinePunct w:val="0"/>
        <w:autoSpaceDE w:val="0"/>
        <w:autoSpaceDN/>
        <w:bidi w:val="0"/>
        <w:adjustRightInd/>
        <w:snapToGrid/>
        <w:spacing w:line="460" w:lineRule="exact"/>
        <w:ind w:firstLine="480" w:firstLineChars="200"/>
        <w:jc w:val="left"/>
        <w:textAlignment w:val="auto"/>
        <w:rPr>
          <w:rFonts w:hint="eastAsia" w:ascii="宋体" w:hAnsi="宋体" w:cs="宋体"/>
          <w:color w:val="auto"/>
          <w:kern w:val="0"/>
          <w:sz w:val="24"/>
          <w:szCs w:val="24"/>
          <w:highlight w:val="none"/>
          <w:lang w:eastAsia="zh-CN"/>
        </w:rPr>
      </w:pPr>
      <w:r>
        <w:rPr>
          <w:rFonts w:hint="eastAsia" w:ascii="宋体" w:hAnsi="宋体" w:cs="宋体"/>
          <w:color w:val="auto"/>
          <w:kern w:val="0"/>
          <w:sz w:val="24"/>
          <w:szCs w:val="24"/>
          <w:highlight w:val="none"/>
          <w:lang w:eastAsia="zh-CN"/>
        </w:rPr>
        <w:t>合同包预算金额：</w:t>
      </w:r>
      <w:r>
        <w:rPr>
          <w:rFonts w:hint="eastAsia" w:ascii="宋体" w:hAnsi="宋体" w:cs="宋体"/>
          <w:color w:val="auto"/>
          <w:kern w:val="0"/>
          <w:sz w:val="24"/>
          <w:szCs w:val="24"/>
          <w:highlight w:val="none"/>
          <w:lang w:val="en-US" w:eastAsia="zh-CN"/>
        </w:rPr>
        <w:t>300000.00</w:t>
      </w:r>
      <w:r>
        <w:rPr>
          <w:rFonts w:hint="eastAsia" w:ascii="宋体" w:hAnsi="宋体" w:cs="宋体"/>
          <w:color w:val="auto"/>
          <w:kern w:val="0"/>
          <w:sz w:val="24"/>
          <w:szCs w:val="24"/>
          <w:highlight w:val="none"/>
          <w:lang w:eastAsia="zh-CN"/>
        </w:rPr>
        <w:t>元</w:t>
      </w:r>
    </w:p>
    <w:p w14:paraId="7E75F47A">
      <w:pPr>
        <w:keepNext w:val="0"/>
        <w:keepLines w:val="0"/>
        <w:pageBreakBefore w:val="0"/>
        <w:widowControl/>
        <w:numPr>
          <w:ilvl w:val="0"/>
          <w:numId w:val="0"/>
        </w:numPr>
        <w:kinsoku/>
        <w:wordWrap/>
        <w:overflowPunct/>
        <w:topLinePunct w:val="0"/>
        <w:autoSpaceDE w:val="0"/>
        <w:autoSpaceDN/>
        <w:bidi w:val="0"/>
        <w:adjustRightInd/>
        <w:snapToGrid/>
        <w:spacing w:line="460" w:lineRule="exact"/>
        <w:ind w:firstLine="480" w:firstLineChars="200"/>
        <w:jc w:val="left"/>
        <w:textAlignment w:val="auto"/>
        <w:rPr>
          <w:rFonts w:hint="eastAsia" w:ascii="宋体" w:hAnsi="宋体" w:cs="宋体"/>
          <w:color w:val="auto"/>
          <w:kern w:val="0"/>
          <w:sz w:val="24"/>
          <w:szCs w:val="24"/>
          <w:highlight w:val="none"/>
          <w:lang w:eastAsia="zh-CN"/>
        </w:rPr>
      </w:pPr>
      <w:r>
        <w:rPr>
          <w:rFonts w:hint="eastAsia" w:ascii="宋体" w:hAnsi="宋体" w:cs="宋体"/>
          <w:color w:val="auto"/>
          <w:kern w:val="0"/>
          <w:sz w:val="24"/>
          <w:szCs w:val="24"/>
          <w:highlight w:val="none"/>
          <w:lang w:eastAsia="zh-CN"/>
        </w:rPr>
        <w:t>合同包最高限价：</w:t>
      </w:r>
      <w:r>
        <w:rPr>
          <w:rFonts w:hint="eastAsia" w:ascii="宋体" w:hAnsi="宋体" w:cs="宋体"/>
          <w:color w:val="auto"/>
          <w:kern w:val="0"/>
          <w:sz w:val="24"/>
          <w:szCs w:val="24"/>
          <w:highlight w:val="none"/>
          <w:lang w:val="en-US" w:eastAsia="zh-CN"/>
        </w:rPr>
        <w:t>300000.00</w:t>
      </w:r>
      <w:r>
        <w:rPr>
          <w:rFonts w:hint="eastAsia" w:ascii="宋体" w:hAnsi="宋体" w:cs="宋体"/>
          <w:color w:val="auto"/>
          <w:kern w:val="0"/>
          <w:sz w:val="24"/>
          <w:szCs w:val="24"/>
          <w:highlight w:val="none"/>
          <w:lang w:eastAsia="zh-CN"/>
        </w:rPr>
        <w:t>元</w:t>
      </w:r>
    </w:p>
    <w:tbl>
      <w:tblPr>
        <w:tblStyle w:val="41"/>
        <w:tblW w:w="9546"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
      <w:tblGrid>
        <w:gridCol w:w="731"/>
        <w:gridCol w:w="1467"/>
        <w:gridCol w:w="1883"/>
        <w:gridCol w:w="1088"/>
        <w:gridCol w:w="1750"/>
        <w:gridCol w:w="1331"/>
        <w:gridCol w:w="1296"/>
      </w:tblGrid>
      <w:tr w14:paraId="4588377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731" w:type="dxa"/>
          </w:tcPr>
          <w:p w14:paraId="41D03811">
            <w:pPr>
              <w:keepNext w:val="0"/>
              <w:keepLines w:val="0"/>
              <w:pageBreakBefore w:val="0"/>
              <w:widowControl/>
              <w:numPr>
                <w:ilvl w:val="0"/>
                <w:numId w:val="0"/>
              </w:numPr>
              <w:kinsoku/>
              <w:wordWrap/>
              <w:overflowPunct/>
              <w:topLinePunct w:val="0"/>
              <w:autoSpaceDE w:val="0"/>
              <w:autoSpaceDN/>
              <w:bidi w:val="0"/>
              <w:adjustRightInd/>
              <w:snapToGrid/>
              <w:spacing w:line="460" w:lineRule="exact"/>
              <w:jc w:val="center"/>
              <w:textAlignment w:val="auto"/>
              <w:rPr>
                <w:rFonts w:hint="eastAsia" w:ascii="宋体" w:hAnsi="宋体" w:cs="宋体"/>
                <w:color w:val="auto"/>
                <w:kern w:val="0"/>
                <w:sz w:val="24"/>
                <w:szCs w:val="24"/>
                <w:highlight w:val="none"/>
                <w:lang w:eastAsia="zh-CN"/>
              </w:rPr>
            </w:pPr>
            <w:r>
              <w:rPr>
                <w:rFonts w:hint="eastAsia" w:ascii="宋体" w:hAnsi="宋体" w:cs="宋体"/>
                <w:color w:val="auto"/>
                <w:kern w:val="0"/>
                <w:sz w:val="24"/>
                <w:szCs w:val="24"/>
                <w:highlight w:val="none"/>
                <w:lang w:eastAsia="zh-CN"/>
              </w:rPr>
              <w:t>品目号</w:t>
            </w:r>
          </w:p>
        </w:tc>
        <w:tc>
          <w:tcPr>
            <w:tcW w:w="1467" w:type="dxa"/>
          </w:tcPr>
          <w:p w14:paraId="7DBB40E7">
            <w:pPr>
              <w:keepNext w:val="0"/>
              <w:keepLines w:val="0"/>
              <w:pageBreakBefore w:val="0"/>
              <w:widowControl/>
              <w:numPr>
                <w:ilvl w:val="0"/>
                <w:numId w:val="0"/>
              </w:numPr>
              <w:kinsoku/>
              <w:wordWrap/>
              <w:overflowPunct/>
              <w:topLinePunct w:val="0"/>
              <w:autoSpaceDE w:val="0"/>
              <w:autoSpaceDN/>
              <w:bidi w:val="0"/>
              <w:adjustRightInd/>
              <w:snapToGrid/>
              <w:spacing w:line="460" w:lineRule="exact"/>
              <w:jc w:val="center"/>
              <w:textAlignment w:val="auto"/>
              <w:rPr>
                <w:rFonts w:hint="eastAsia" w:ascii="宋体" w:hAnsi="宋体" w:cs="宋体"/>
                <w:color w:val="auto"/>
                <w:kern w:val="0"/>
                <w:sz w:val="24"/>
                <w:szCs w:val="24"/>
                <w:highlight w:val="none"/>
                <w:lang w:eastAsia="zh-CN"/>
              </w:rPr>
            </w:pPr>
            <w:r>
              <w:rPr>
                <w:rFonts w:hint="eastAsia" w:ascii="宋体" w:hAnsi="宋体" w:cs="宋体"/>
                <w:color w:val="auto"/>
                <w:kern w:val="0"/>
                <w:sz w:val="24"/>
                <w:szCs w:val="24"/>
                <w:highlight w:val="none"/>
                <w:lang w:eastAsia="zh-CN"/>
              </w:rPr>
              <w:t>品目名称</w:t>
            </w:r>
          </w:p>
        </w:tc>
        <w:tc>
          <w:tcPr>
            <w:tcW w:w="1883" w:type="dxa"/>
          </w:tcPr>
          <w:p w14:paraId="6F57AA3A">
            <w:pPr>
              <w:keepNext w:val="0"/>
              <w:keepLines w:val="0"/>
              <w:pageBreakBefore w:val="0"/>
              <w:widowControl/>
              <w:numPr>
                <w:ilvl w:val="0"/>
                <w:numId w:val="0"/>
              </w:numPr>
              <w:kinsoku/>
              <w:wordWrap/>
              <w:overflowPunct/>
              <w:topLinePunct w:val="0"/>
              <w:autoSpaceDE w:val="0"/>
              <w:autoSpaceDN/>
              <w:bidi w:val="0"/>
              <w:adjustRightInd/>
              <w:snapToGrid/>
              <w:spacing w:line="460" w:lineRule="exact"/>
              <w:jc w:val="center"/>
              <w:textAlignment w:val="auto"/>
              <w:rPr>
                <w:rFonts w:hint="eastAsia" w:ascii="宋体" w:hAnsi="宋体" w:cs="宋体"/>
                <w:color w:val="auto"/>
                <w:kern w:val="0"/>
                <w:sz w:val="24"/>
                <w:szCs w:val="24"/>
                <w:highlight w:val="none"/>
                <w:lang w:eastAsia="zh-CN"/>
              </w:rPr>
            </w:pPr>
            <w:r>
              <w:rPr>
                <w:rFonts w:hint="eastAsia" w:ascii="宋体" w:hAnsi="宋体" w:cs="宋体"/>
                <w:color w:val="auto"/>
                <w:kern w:val="0"/>
                <w:sz w:val="24"/>
                <w:szCs w:val="24"/>
                <w:highlight w:val="none"/>
                <w:lang w:eastAsia="zh-CN"/>
              </w:rPr>
              <w:t>采购标的</w:t>
            </w:r>
          </w:p>
        </w:tc>
        <w:tc>
          <w:tcPr>
            <w:tcW w:w="1088" w:type="dxa"/>
          </w:tcPr>
          <w:p w14:paraId="32B8BFDC">
            <w:pPr>
              <w:keepNext w:val="0"/>
              <w:keepLines w:val="0"/>
              <w:pageBreakBefore w:val="0"/>
              <w:widowControl/>
              <w:numPr>
                <w:ilvl w:val="0"/>
                <w:numId w:val="0"/>
              </w:numPr>
              <w:kinsoku/>
              <w:wordWrap/>
              <w:overflowPunct/>
              <w:topLinePunct w:val="0"/>
              <w:autoSpaceDE w:val="0"/>
              <w:autoSpaceDN/>
              <w:bidi w:val="0"/>
              <w:adjustRightInd/>
              <w:snapToGrid/>
              <w:spacing w:line="460" w:lineRule="exact"/>
              <w:jc w:val="center"/>
              <w:textAlignment w:val="auto"/>
              <w:rPr>
                <w:rFonts w:hint="eastAsia" w:ascii="宋体" w:hAnsi="宋体" w:cs="宋体"/>
                <w:color w:val="auto"/>
                <w:kern w:val="0"/>
                <w:sz w:val="24"/>
                <w:szCs w:val="24"/>
                <w:highlight w:val="none"/>
                <w:lang w:eastAsia="zh-CN"/>
              </w:rPr>
            </w:pPr>
            <w:r>
              <w:rPr>
                <w:rFonts w:hint="eastAsia" w:ascii="宋体" w:hAnsi="宋体" w:cs="宋体"/>
                <w:color w:val="auto"/>
                <w:kern w:val="0"/>
                <w:sz w:val="24"/>
                <w:szCs w:val="24"/>
                <w:highlight w:val="none"/>
                <w:lang w:eastAsia="zh-CN"/>
              </w:rPr>
              <w:t>数量</w:t>
            </w:r>
          </w:p>
          <w:p w14:paraId="60207FFC">
            <w:pPr>
              <w:keepNext w:val="0"/>
              <w:keepLines w:val="0"/>
              <w:pageBreakBefore w:val="0"/>
              <w:widowControl/>
              <w:numPr>
                <w:ilvl w:val="0"/>
                <w:numId w:val="0"/>
              </w:numPr>
              <w:kinsoku/>
              <w:wordWrap/>
              <w:overflowPunct/>
              <w:topLinePunct w:val="0"/>
              <w:autoSpaceDE w:val="0"/>
              <w:autoSpaceDN/>
              <w:bidi w:val="0"/>
              <w:adjustRightInd/>
              <w:snapToGrid/>
              <w:spacing w:line="460" w:lineRule="exact"/>
              <w:jc w:val="center"/>
              <w:textAlignment w:val="auto"/>
              <w:rPr>
                <w:rFonts w:hint="eastAsia" w:ascii="宋体" w:hAnsi="宋体" w:cs="宋体"/>
                <w:color w:val="auto"/>
                <w:kern w:val="0"/>
                <w:sz w:val="24"/>
                <w:szCs w:val="24"/>
                <w:highlight w:val="none"/>
                <w:lang w:eastAsia="zh-CN"/>
              </w:rPr>
            </w:pPr>
            <w:r>
              <w:rPr>
                <w:rFonts w:hint="eastAsia" w:ascii="宋体" w:hAnsi="宋体" w:cs="宋体"/>
                <w:color w:val="auto"/>
                <w:kern w:val="0"/>
                <w:sz w:val="24"/>
                <w:szCs w:val="24"/>
                <w:highlight w:val="none"/>
                <w:lang w:eastAsia="zh-CN"/>
              </w:rPr>
              <w:t>（单位）</w:t>
            </w:r>
          </w:p>
        </w:tc>
        <w:tc>
          <w:tcPr>
            <w:tcW w:w="1750" w:type="dxa"/>
          </w:tcPr>
          <w:p w14:paraId="57D055F9">
            <w:pPr>
              <w:keepNext w:val="0"/>
              <w:keepLines w:val="0"/>
              <w:pageBreakBefore w:val="0"/>
              <w:widowControl/>
              <w:numPr>
                <w:ilvl w:val="0"/>
                <w:numId w:val="0"/>
              </w:numPr>
              <w:kinsoku/>
              <w:wordWrap/>
              <w:overflowPunct/>
              <w:topLinePunct w:val="0"/>
              <w:autoSpaceDE w:val="0"/>
              <w:autoSpaceDN/>
              <w:bidi w:val="0"/>
              <w:adjustRightInd/>
              <w:snapToGrid/>
              <w:spacing w:line="460" w:lineRule="exact"/>
              <w:jc w:val="center"/>
              <w:textAlignment w:val="auto"/>
              <w:rPr>
                <w:rFonts w:hint="eastAsia" w:ascii="宋体" w:hAnsi="宋体" w:cs="宋体"/>
                <w:color w:val="auto"/>
                <w:kern w:val="0"/>
                <w:sz w:val="24"/>
                <w:szCs w:val="24"/>
                <w:highlight w:val="none"/>
                <w:lang w:eastAsia="zh-CN"/>
              </w:rPr>
            </w:pPr>
            <w:r>
              <w:rPr>
                <w:rFonts w:hint="eastAsia" w:ascii="宋体" w:hAnsi="宋体" w:cs="宋体"/>
                <w:color w:val="auto"/>
                <w:kern w:val="0"/>
                <w:sz w:val="24"/>
                <w:szCs w:val="24"/>
                <w:highlight w:val="none"/>
                <w:lang w:eastAsia="zh-CN"/>
              </w:rPr>
              <w:t>技术规格、参数及要求</w:t>
            </w:r>
          </w:p>
        </w:tc>
        <w:tc>
          <w:tcPr>
            <w:tcW w:w="1331" w:type="dxa"/>
          </w:tcPr>
          <w:p w14:paraId="01F2EC59">
            <w:pPr>
              <w:keepNext w:val="0"/>
              <w:keepLines w:val="0"/>
              <w:pageBreakBefore w:val="0"/>
              <w:widowControl/>
              <w:numPr>
                <w:ilvl w:val="0"/>
                <w:numId w:val="0"/>
              </w:numPr>
              <w:kinsoku/>
              <w:wordWrap/>
              <w:overflowPunct/>
              <w:topLinePunct w:val="0"/>
              <w:autoSpaceDE w:val="0"/>
              <w:autoSpaceDN/>
              <w:bidi w:val="0"/>
              <w:adjustRightInd/>
              <w:snapToGrid/>
              <w:spacing w:line="460" w:lineRule="exact"/>
              <w:jc w:val="center"/>
              <w:textAlignment w:val="auto"/>
              <w:rPr>
                <w:rFonts w:hint="eastAsia" w:ascii="宋体" w:hAnsi="宋体" w:cs="宋体"/>
                <w:color w:val="auto"/>
                <w:kern w:val="0"/>
                <w:sz w:val="24"/>
                <w:szCs w:val="24"/>
                <w:highlight w:val="none"/>
                <w:lang w:eastAsia="zh-CN"/>
              </w:rPr>
            </w:pPr>
            <w:r>
              <w:rPr>
                <w:rFonts w:hint="eastAsia" w:ascii="宋体" w:hAnsi="宋体" w:cs="宋体"/>
                <w:color w:val="auto"/>
                <w:kern w:val="0"/>
                <w:sz w:val="24"/>
                <w:szCs w:val="24"/>
                <w:highlight w:val="none"/>
                <w:lang w:eastAsia="zh-CN"/>
              </w:rPr>
              <w:t>品目预算</w:t>
            </w:r>
          </w:p>
          <w:p w14:paraId="4054DAA8">
            <w:pPr>
              <w:keepNext w:val="0"/>
              <w:keepLines w:val="0"/>
              <w:pageBreakBefore w:val="0"/>
              <w:widowControl/>
              <w:numPr>
                <w:ilvl w:val="0"/>
                <w:numId w:val="0"/>
              </w:numPr>
              <w:kinsoku/>
              <w:wordWrap/>
              <w:overflowPunct/>
              <w:topLinePunct w:val="0"/>
              <w:autoSpaceDE w:val="0"/>
              <w:autoSpaceDN/>
              <w:bidi w:val="0"/>
              <w:adjustRightInd/>
              <w:snapToGrid/>
              <w:spacing w:line="460" w:lineRule="exact"/>
              <w:jc w:val="center"/>
              <w:textAlignment w:val="auto"/>
              <w:rPr>
                <w:rFonts w:hint="eastAsia" w:ascii="宋体" w:hAnsi="宋体" w:cs="宋体"/>
                <w:color w:val="auto"/>
                <w:kern w:val="0"/>
                <w:sz w:val="24"/>
                <w:szCs w:val="24"/>
                <w:highlight w:val="none"/>
                <w:lang w:eastAsia="zh-CN"/>
              </w:rPr>
            </w:pPr>
            <w:r>
              <w:rPr>
                <w:rFonts w:hint="eastAsia" w:ascii="宋体" w:hAnsi="宋体" w:cs="宋体"/>
                <w:color w:val="auto"/>
                <w:kern w:val="0"/>
                <w:sz w:val="24"/>
                <w:szCs w:val="24"/>
                <w:highlight w:val="none"/>
                <w:lang w:eastAsia="zh-CN"/>
              </w:rPr>
              <w:t>(元)</w:t>
            </w:r>
          </w:p>
        </w:tc>
        <w:tc>
          <w:tcPr>
            <w:tcW w:w="1296" w:type="dxa"/>
          </w:tcPr>
          <w:p w14:paraId="11463507">
            <w:pPr>
              <w:keepNext w:val="0"/>
              <w:keepLines w:val="0"/>
              <w:pageBreakBefore w:val="0"/>
              <w:widowControl/>
              <w:numPr>
                <w:ilvl w:val="0"/>
                <w:numId w:val="0"/>
              </w:numPr>
              <w:kinsoku/>
              <w:wordWrap/>
              <w:overflowPunct/>
              <w:topLinePunct w:val="0"/>
              <w:autoSpaceDE w:val="0"/>
              <w:autoSpaceDN/>
              <w:bidi w:val="0"/>
              <w:adjustRightInd/>
              <w:snapToGrid/>
              <w:spacing w:line="460" w:lineRule="exact"/>
              <w:jc w:val="center"/>
              <w:textAlignment w:val="auto"/>
              <w:rPr>
                <w:rFonts w:hint="eastAsia" w:ascii="宋体" w:hAnsi="宋体" w:cs="宋体"/>
                <w:color w:val="auto"/>
                <w:kern w:val="0"/>
                <w:sz w:val="24"/>
                <w:szCs w:val="24"/>
                <w:highlight w:val="none"/>
                <w:lang w:eastAsia="zh-CN"/>
              </w:rPr>
            </w:pPr>
            <w:r>
              <w:rPr>
                <w:rFonts w:hint="eastAsia" w:ascii="宋体" w:hAnsi="宋体" w:cs="宋体"/>
                <w:color w:val="auto"/>
                <w:kern w:val="0"/>
                <w:sz w:val="24"/>
                <w:szCs w:val="24"/>
                <w:highlight w:val="none"/>
                <w:lang w:eastAsia="zh-CN"/>
              </w:rPr>
              <w:t>最高限价</w:t>
            </w:r>
          </w:p>
          <w:p w14:paraId="1E5009A4">
            <w:pPr>
              <w:keepNext w:val="0"/>
              <w:keepLines w:val="0"/>
              <w:pageBreakBefore w:val="0"/>
              <w:widowControl/>
              <w:numPr>
                <w:ilvl w:val="0"/>
                <w:numId w:val="0"/>
              </w:numPr>
              <w:kinsoku/>
              <w:wordWrap/>
              <w:overflowPunct/>
              <w:topLinePunct w:val="0"/>
              <w:autoSpaceDE w:val="0"/>
              <w:autoSpaceDN/>
              <w:bidi w:val="0"/>
              <w:adjustRightInd/>
              <w:snapToGrid/>
              <w:spacing w:line="460" w:lineRule="exact"/>
              <w:jc w:val="center"/>
              <w:textAlignment w:val="auto"/>
              <w:rPr>
                <w:rFonts w:hint="eastAsia" w:ascii="宋体" w:hAnsi="宋体" w:cs="宋体"/>
                <w:color w:val="auto"/>
                <w:kern w:val="0"/>
                <w:sz w:val="24"/>
                <w:szCs w:val="24"/>
                <w:highlight w:val="none"/>
                <w:lang w:eastAsia="zh-CN"/>
              </w:rPr>
            </w:pPr>
            <w:r>
              <w:rPr>
                <w:rFonts w:hint="eastAsia" w:ascii="宋体" w:hAnsi="宋体" w:cs="宋体"/>
                <w:color w:val="auto"/>
                <w:kern w:val="0"/>
                <w:sz w:val="24"/>
                <w:szCs w:val="24"/>
                <w:highlight w:val="none"/>
                <w:lang w:eastAsia="zh-CN"/>
              </w:rPr>
              <w:t>(元)</w:t>
            </w:r>
          </w:p>
        </w:tc>
      </w:tr>
      <w:tr w14:paraId="3A5A38A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731" w:type="dxa"/>
            <w:vAlign w:val="center"/>
          </w:tcPr>
          <w:p w14:paraId="075FB90D">
            <w:pPr>
              <w:keepNext w:val="0"/>
              <w:keepLines w:val="0"/>
              <w:pageBreakBefore w:val="0"/>
              <w:widowControl/>
              <w:numPr>
                <w:ilvl w:val="0"/>
                <w:numId w:val="0"/>
              </w:numPr>
              <w:kinsoku/>
              <w:wordWrap/>
              <w:overflowPunct/>
              <w:topLinePunct w:val="0"/>
              <w:autoSpaceDE w:val="0"/>
              <w:autoSpaceDN/>
              <w:bidi w:val="0"/>
              <w:adjustRightInd/>
              <w:snapToGrid/>
              <w:spacing w:line="460" w:lineRule="exact"/>
              <w:jc w:val="center"/>
              <w:textAlignment w:val="auto"/>
              <w:rPr>
                <w:rFonts w:hint="eastAsia" w:ascii="宋体" w:hAnsi="宋体" w:cs="宋体"/>
                <w:color w:val="auto"/>
                <w:kern w:val="0"/>
                <w:sz w:val="24"/>
                <w:szCs w:val="24"/>
                <w:highlight w:val="none"/>
                <w:lang w:eastAsia="zh-CN"/>
              </w:rPr>
            </w:pPr>
            <w:r>
              <w:rPr>
                <w:rFonts w:hint="eastAsia" w:ascii="宋体" w:hAnsi="宋体" w:cs="宋体"/>
                <w:color w:val="auto"/>
                <w:kern w:val="0"/>
                <w:sz w:val="24"/>
                <w:szCs w:val="24"/>
                <w:highlight w:val="none"/>
                <w:lang w:eastAsia="zh-CN"/>
              </w:rPr>
              <w:t>1-1</w:t>
            </w:r>
          </w:p>
        </w:tc>
        <w:tc>
          <w:tcPr>
            <w:tcW w:w="1467" w:type="dxa"/>
            <w:vAlign w:val="center"/>
          </w:tcPr>
          <w:p w14:paraId="60526D8F">
            <w:pPr>
              <w:keepNext w:val="0"/>
              <w:keepLines w:val="0"/>
              <w:pageBreakBefore w:val="0"/>
              <w:widowControl/>
              <w:numPr>
                <w:ilvl w:val="0"/>
                <w:numId w:val="0"/>
              </w:numPr>
              <w:kinsoku/>
              <w:wordWrap/>
              <w:overflowPunct/>
              <w:topLinePunct w:val="0"/>
              <w:autoSpaceDE w:val="0"/>
              <w:autoSpaceDN/>
              <w:bidi w:val="0"/>
              <w:adjustRightInd/>
              <w:snapToGrid/>
              <w:spacing w:line="460" w:lineRule="exact"/>
              <w:jc w:val="center"/>
              <w:textAlignment w:val="auto"/>
              <w:rPr>
                <w:rFonts w:hint="eastAsia" w:ascii="宋体" w:hAnsi="宋体" w:cs="宋体"/>
                <w:color w:val="auto"/>
                <w:kern w:val="0"/>
                <w:sz w:val="24"/>
                <w:szCs w:val="24"/>
                <w:highlight w:val="none"/>
                <w:lang w:val="en-US" w:eastAsia="zh-CN"/>
              </w:rPr>
            </w:pPr>
            <w:r>
              <w:rPr>
                <w:rFonts w:hint="eastAsia" w:ascii="宋体" w:hAnsi="宋体" w:cs="宋体"/>
                <w:color w:val="auto"/>
                <w:kern w:val="0"/>
                <w:sz w:val="24"/>
                <w:szCs w:val="24"/>
                <w:highlight w:val="none"/>
                <w:lang w:val="en-US" w:eastAsia="zh-CN"/>
              </w:rPr>
              <w:t>其他维修和保养服务</w:t>
            </w:r>
          </w:p>
        </w:tc>
        <w:tc>
          <w:tcPr>
            <w:tcW w:w="1883" w:type="dxa"/>
            <w:vAlign w:val="center"/>
          </w:tcPr>
          <w:p w14:paraId="1D436D36">
            <w:pPr>
              <w:keepNext w:val="0"/>
              <w:keepLines w:val="0"/>
              <w:pageBreakBefore w:val="0"/>
              <w:widowControl/>
              <w:numPr>
                <w:ilvl w:val="0"/>
                <w:numId w:val="0"/>
              </w:numPr>
              <w:kinsoku/>
              <w:wordWrap/>
              <w:overflowPunct/>
              <w:topLinePunct w:val="0"/>
              <w:autoSpaceDE w:val="0"/>
              <w:autoSpaceDN/>
              <w:bidi w:val="0"/>
              <w:adjustRightInd/>
              <w:snapToGrid/>
              <w:spacing w:line="460" w:lineRule="exact"/>
              <w:jc w:val="center"/>
              <w:textAlignment w:val="auto"/>
              <w:rPr>
                <w:rFonts w:hint="eastAsia" w:ascii="宋体" w:hAnsi="宋体" w:cs="宋体"/>
                <w:color w:val="auto"/>
                <w:kern w:val="0"/>
                <w:sz w:val="24"/>
                <w:szCs w:val="24"/>
                <w:highlight w:val="none"/>
                <w:lang w:val="en-US" w:eastAsia="zh-CN"/>
              </w:rPr>
            </w:pPr>
            <w:r>
              <w:rPr>
                <w:rFonts w:hint="eastAsia" w:ascii="宋体" w:hAnsi="宋体" w:cs="宋体"/>
                <w:color w:val="auto"/>
                <w:kern w:val="0"/>
                <w:sz w:val="24"/>
                <w:szCs w:val="24"/>
                <w:highlight w:val="none"/>
                <w:lang w:val="en-US" w:eastAsia="zh-CN"/>
              </w:rPr>
              <w:t>高低压配电室年度维保</w:t>
            </w:r>
            <w:bookmarkStart w:id="31" w:name="_GoBack"/>
            <w:bookmarkEnd w:id="31"/>
          </w:p>
        </w:tc>
        <w:tc>
          <w:tcPr>
            <w:tcW w:w="1088" w:type="dxa"/>
            <w:vAlign w:val="center"/>
          </w:tcPr>
          <w:p w14:paraId="61DA7166">
            <w:pPr>
              <w:keepNext w:val="0"/>
              <w:keepLines w:val="0"/>
              <w:pageBreakBefore w:val="0"/>
              <w:widowControl/>
              <w:numPr>
                <w:ilvl w:val="0"/>
                <w:numId w:val="0"/>
              </w:numPr>
              <w:kinsoku/>
              <w:wordWrap/>
              <w:overflowPunct/>
              <w:topLinePunct w:val="0"/>
              <w:autoSpaceDE w:val="0"/>
              <w:autoSpaceDN/>
              <w:bidi w:val="0"/>
              <w:adjustRightInd/>
              <w:snapToGrid/>
              <w:spacing w:line="460" w:lineRule="exact"/>
              <w:jc w:val="center"/>
              <w:textAlignment w:val="auto"/>
              <w:rPr>
                <w:rFonts w:hint="eastAsia" w:ascii="宋体" w:hAnsi="宋体" w:cs="宋体"/>
                <w:color w:val="auto"/>
                <w:kern w:val="0"/>
                <w:sz w:val="24"/>
                <w:szCs w:val="24"/>
                <w:highlight w:val="none"/>
                <w:lang w:eastAsia="zh-CN"/>
              </w:rPr>
            </w:pPr>
            <w:r>
              <w:rPr>
                <w:rFonts w:hint="eastAsia" w:ascii="宋体" w:hAnsi="宋体" w:cs="宋体"/>
                <w:color w:val="auto"/>
                <w:kern w:val="0"/>
                <w:sz w:val="24"/>
                <w:szCs w:val="24"/>
                <w:highlight w:val="none"/>
                <w:lang w:eastAsia="zh-CN"/>
              </w:rPr>
              <w:t>1(</w:t>
            </w:r>
            <w:r>
              <w:rPr>
                <w:rFonts w:hint="eastAsia" w:ascii="宋体" w:hAnsi="宋体" w:cs="宋体"/>
                <w:color w:val="auto"/>
                <w:kern w:val="0"/>
                <w:sz w:val="24"/>
                <w:szCs w:val="24"/>
                <w:highlight w:val="none"/>
                <w:lang w:val="en-US" w:eastAsia="zh-CN"/>
              </w:rPr>
              <w:t>年</w:t>
            </w:r>
            <w:r>
              <w:rPr>
                <w:rFonts w:hint="eastAsia" w:ascii="宋体" w:hAnsi="宋体" w:cs="宋体"/>
                <w:color w:val="auto"/>
                <w:kern w:val="0"/>
                <w:sz w:val="24"/>
                <w:szCs w:val="24"/>
                <w:highlight w:val="none"/>
                <w:lang w:eastAsia="zh-CN"/>
              </w:rPr>
              <w:t>)</w:t>
            </w:r>
          </w:p>
        </w:tc>
        <w:tc>
          <w:tcPr>
            <w:tcW w:w="1750" w:type="dxa"/>
            <w:vAlign w:val="center"/>
          </w:tcPr>
          <w:p w14:paraId="4F824CA4">
            <w:pPr>
              <w:keepNext w:val="0"/>
              <w:keepLines w:val="0"/>
              <w:pageBreakBefore w:val="0"/>
              <w:widowControl/>
              <w:numPr>
                <w:ilvl w:val="0"/>
                <w:numId w:val="0"/>
              </w:numPr>
              <w:kinsoku/>
              <w:wordWrap/>
              <w:overflowPunct/>
              <w:topLinePunct w:val="0"/>
              <w:autoSpaceDE w:val="0"/>
              <w:autoSpaceDN/>
              <w:bidi w:val="0"/>
              <w:adjustRightInd/>
              <w:snapToGrid/>
              <w:spacing w:line="460" w:lineRule="exact"/>
              <w:jc w:val="center"/>
              <w:textAlignment w:val="auto"/>
              <w:rPr>
                <w:rFonts w:hint="eastAsia" w:ascii="宋体" w:hAnsi="宋体" w:cs="宋体"/>
                <w:color w:val="auto"/>
                <w:kern w:val="0"/>
                <w:sz w:val="24"/>
                <w:szCs w:val="24"/>
                <w:highlight w:val="none"/>
                <w:lang w:eastAsia="zh-CN"/>
              </w:rPr>
            </w:pPr>
            <w:r>
              <w:rPr>
                <w:rFonts w:hint="eastAsia" w:ascii="宋体" w:hAnsi="宋体" w:cs="宋体"/>
                <w:color w:val="auto"/>
                <w:kern w:val="0"/>
                <w:sz w:val="24"/>
                <w:szCs w:val="24"/>
                <w:highlight w:val="none"/>
                <w:lang w:eastAsia="zh-CN"/>
              </w:rPr>
              <w:t>详见采购文件</w:t>
            </w:r>
          </w:p>
        </w:tc>
        <w:tc>
          <w:tcPr>
            <w:tcW w:w="1331" w:type="dxa"/>
            <w:vAlign w:val="center"/>
          </w:tcPr>
          <w:p w14:paraId="7DA01950">
            <w:pPr>
              <w:keepNext w:val="0"/>
              <w:keepLines w:val="0"/>
              <w:pageBreakBefore w:val="0"/>
              <w:widowControl/>
              <w:numPr>
                <w:ilvl w:val="0"/>
                <w:numId w:val="0"/>
              </w:numPr>
              <w:kinsoku/>
              <w:wordWrap/>
              <w:overflowPunct/>
              <w:topLinePunct w:val="0"/>
              <w:autoSpaceDE w:val="0"/>
              <w:autoSpaceDN/>
              <w:bidi w:val="0"/>
              <w:adjustRightInd/>
              <w:snapToGrid/>
              <w:spacing w:line="460" w:lineRule="exact"/>
              <w:jc w:val="center"/>
              <w:textAlignment w:val="auto"/>
              <w:rPr>
                <w:rFonts w:hint="default" w:ascii="宋体" w:hAnsi="宋体" w:cs="宋体"/>
                <w:color w:val="auto"/>
                <w:kern w:val="0"/>
                <w:sz w:val="24"/>
                <w:szCs w:val="24"/>
                <w:highlight w:val="none"/>
                <w:lang w:val="en-US" w:eastAsia="zh-CN"/>
              </w:rPr>
            </w:pPr>
            <w:r>
              <w:rPr>
                <w:rFonts w:hint="eastAsia" w:ascii="宋体" w:hAnsi="宋体" w:cs="宋体"/>
                <w:color w:val="auto"/>
                <w:kern w:val="0"/>
                <w:sz w:val="24"/>
                <w:szCs w:val="24"/>
                <w:highlight w:val="none"/>
                <w:lang w:val="en-US" w:eastAsia="zh-CN"/>
              </w:rPr>
              <w:t>300000.00</w:t>
            </w:r>
          </w:p>
        </w:tc>
        <w:tc>
          <w:tcPr>
            <w:tcW w:w="1296" w:type="dxa"/>
            <w:vAlign w:val="center"/>
          </w:tcPr>
          <w:p w14:paraId="113AD1DA">
            <w:pPr>
              <w:keepNext w:val="0"/>
              <w:keepLines w:val="0"/>
              <w:pageBreakBefore w:val="0"/>
              <w:widowControl/>
              <w:numPr>
                <w:ilvl w:val="0"/>
                <w:numId w:val="0"/>
              </w:numPr>
              <w:kinsoku/>
              <w:wordWrap/>
              <w:overflowPunct/>
              <w:topLinePunct w:val="0"/>
              <w:autoSpaceDE w:val="0"/>
              <w:autoSpaceDN/>
              <w:bidi w:val="0"/>
              <w:adjustRightInd/>
              <w:snapToGrid/>
              <w:spacing w:line="460" w:lineRule="exact"/>
              <w:jc w:val="center"/>
              <w:textAlignment w:val="auto"/>
              <w:rPr>
                <w:rFonts w:hint="eastAsia" w:ascii="宋体" w:hAnsi="宋体" w:cs="宋体"/>
                <w:color w:val="auto"/>
                <w:kern w:val="0"/>
                <w:sz w:val="24"/>
                <w:szCs w:val="24"/>
                <w:highlight w:val="none"/>
                <w:lang w:eastAsia="zh-CN"/>
              </w:rPr>
            </w:pPr>
            <w:r>
              <w:rPr>
                <w:rFonts w:hint="eastAsia" w:ascii="宋体" w:hAnsi="宋体" w:cs="宋体"/>
                <w:color w:val="auto"/>
                <w:kern w:val="0"/>
                <w:sz w:val="24"/>
                <w:szCs w:val="24"/>
                <w:highlight w:val="none"/>
                <w:lang w:val="en-US" w:eastAsia="zh-CN"/>
              </w:rPr>
              <w:t>300000.00</w:t>
            </w:r>
          </w:p>
        </w:tc>
      </w:tr>
    </w:tbl>
    <w:p w14:paraId="197FDEFE">
      <w:pPr>
        <w:keepNext w:val="0"/>
        <w:keepLines w:val="0"/>
        <w:pageBreakBefore w:val="0"/>
        <w:widowControl/>
        <w:numPr>
          <w:ilvl w:val="0"/>
          <w:numId w:val="0"/>
        </w:numPr>
        <w:kinsoku/>
        <w:wordWrap/>
        <w:overflowPunct/>
        <w:topLinePunct w:val="0"/>
        <w:autoSpaceDE w:val="0"/>
        <w:autoSpaceDN/>
        <w:bidi w:val="0"/>
        <w:adjustRightInd/>
        <w:snapToGrid/>
        <w:spacing w:line="460" w:lineRule="exact"/>
        <w:ind w:firstLine="480" w:firstLineChars="200"/>
        <w:textAlignment w:val="auto"/>
        <w:rPr>
          <w:rFonts w:hint="eastAsia" w:ascii="宋体" w:hAnsi="宋体" w:cs="宋体"/>
          <w:color w:val="auto"/>
          <w:kern w:val="0"/>
          <w:sz w:val="24"/>
          <w:highlight w:val="none"/>
          <w:lang w:eastAsia="zh-CN"/>
        </w:rPr>
      </w:pPr>
      <w:r>
        <w:rPr>
          <w:rFonts w:hint="eastAsia" w:ascii="宋体" w:hAnsi="宋体" w:cs="宋体"/>
          <w:color w:val="auto"/>
          <w:kern w:val="0"/>
          <w:sz w:val="24"/>
          <w:highlight w:val="none"/>
          <w:lang w:eastAsia="zh-CN"/>
        </w:rPr>
        <w:t xml:space="preserve"> 本合同包不接受联合体投标</w:t>
      </w:r>
    </w:p>
    <w:p w14:paraId="50E13FF1">
      <w:pPr>
        <w:keepNext w:val="0"/>
        <w:keepLines w:val="0"/>
        <w:pageBreakBefore w:val="0"/>
        <w:widowControl/>
        <w:numPr>
          <w:ilvl w:val="0"/>
          <w:numId w:val="0"/>
        </w:numPr>
        <w:kinsoku/>
        <w:wordWrap/>
        <w:overflowPunct/>
        <w:topLinePunct w:val="0"/>
        <w:autoSpaceDE w:val="0"/>
        <w:autoSpaceDN/>
        <w:bidi w:val="0"/>
        <w:adjustRightInd/>
        <w:snapToGrid/>
        <w:spacing w:line="460" w:lineRule="exact"/>
        <w:ind w:firstLine="480" w:firstLineChars="200"/>
        <w:textAlignment w:val="auto"/>
        <w:rPr>
          <w:rFonts w:hint="eastAsia" w:ascii="宋体" w:hAnsi="宋体" w:cs="宋体"/>
          <w:color w:val="auto"/>
          <w:kern w:val="0"/>
          <w:sz w:val="24"/>
          <w:highlight w:val="none"/>
          <w:lang w:eastAsia="zh-CN"/>
        </w:rPr>
      </w:pPr>
      <w:r>
        <w:rPr>
          <w:rFonts w:hint="eastAsia" w:ascii="宋体" w:hAnsi="宋体" w:cs="宋体"/>
          <w:color w:val="auto"/>
          <w:kern w:val="0"/>
          <w:sz w:val="24"/>
          <w:highlight w:val="none"/>
          <w:lang w:eastAsia="zh-CN"/>
        </w:rPr>
        <w:t xml:space="preserve"> 合同履行期限：</w:t>
      </w:r>
      <w:r>
        <w:rPr>
          <w:rFonts w:hint="eastAsia" w:ascii="宋体" w:hAnsi="宋体" w:cs="宋体"/>
          <w:color w:val="auto"/>
          <w:kern w:val="0"/>
          <w:sz w:val="24"/>
          <w:highlight w:val="none"/>
          <w:lang w:val="en-US" w:eastAsia="zh-CN"/>
        </w:rPr>
        <w:t>自合同签订之日起1年</w:t>
      </w:r>
    </w:p>
    <w:p w14:paraId="27EA7124">
      <w:pPr>
        <w:keepNext w:val="0"/>
        <w:keepLines w:val="0"/>
        <w:pageBreakBefore w:val="0"/>
        <w:widowControl/>
        <w:numPr>
          <w:ilvl w:val="0"/>
          <w:numId w:val="0"/>
        </w:numPr>
        <w:kinsoku/>
        <w:wordWrap/>
        <w:overflowPunct/>
        <w:topLinePunct w:val="0"/>
        <w:autoSpaceDE w:val="0"/>
        <w:autoSpaceDN/>
        <w:bidi w:val="0"/>
        <w:adjustRightInd/>
        <w:snapToGrid/>
        <w:spacing w:line="460" w:lineRule="exact"/>
        <w:ind w:firstLine="482" w:firstLineChars="200"/>
        <w:textAlignment w:val="auto"/>
        <w:rPr>
          <w:rFonts w:hint="eastAsia" w:ascii="宋体" w:hAnsi="宋体" w:cs="宋体"/>
          <w:b/>
          <w:bCs/>
          <w:color w:val="auto"/>
          <w:kern w:val="0"/>
          <w:sz w:val="24"/>
          <w:highlight w:val="none"/>
          <w:lang w:eastAsia="zh-CN"/>
        </w:rPr>
      </w:pPr>
      <w:r>
        <w:rPr>
          <w:rFonts w:hint="eastAsia" w:ascii="宋体" w:hAnsi="宋体" w:cs="宋体"/>
          <w:b/>
          <w:bCs/>
          <w:color w:val="auto"/>
          <w:kern w:val="0"/>
          <w:sz w:val="24"/>
          <w:highlight w:val="none"/>
          <w:lang w:eastAsia="zh-CN"/>
        </w:rPr>
        <w:t>二、申请人的资格要求：</w:t>
      </w:r>
    </w:p>
    <w:p w14:paraId="493C31E1">
      <w:pPr>
        <w:keepNext w:val="0"/>
        <w:keepLines w:val="0"/>
        <w:pageBreakBefore w:val="0"/>
        <w:widowControl/>
        <w:numPr>
          <w:ilvl w:val="0"/>
          <w:numId w:val="0"/>
        </w:numPr>
        <w:kinsoku/>
        <w:wordWrap/>
        <w:overflowPunct/>
        <w:topLinePunct w:val="0"/>
        <w:autoSpaceDE w:val="0"/>
        <w:autoSpaceDN/>
        <w:bidi w:val="0"/>
        <w:adjustRightInd/>
        <w:snapToGrid/>
        <w:spacing w:line="460" w:lineRule="exact"/>
        <w:ind w:firstLine="482" w:firstLineChars="200"/>
        <w:textAlignment w:val="auto"/>
        <w:rPr>
          <w:rFonts w:hint="eastAsia" w:ascii="宋体" w:hAnsi="宋体" w:cs="宋体"/>
          <w:b/>
          <w:bCs/>
          <w:color w:val="auto"/>
          <w:kern w:val="0"/>
          <w:sz w:val="24"/>
          <w:highlight w:val="none"/>
          <w:lang w:eastAsia="zh-CN"/>
        </w:rPr>
      </w:pPr>
      <w:r>
        <w:rPr>
          <w:rFonts w:hint="eastAsia" w:ascii="宋体" w:hAnsi="宋体" w:cs="宋体"/>
          <w:b/>
          <w:bCs/>
          <w:color w:val="auto"/>
          <w:kern w:val="0"/>
          <w:sz w:val="24"/>
          <w:highlight w:val="none"/>
          <w:lang w:eastAsia="zh-CN"/>
        </w:rPr>
        <w:t>1.满足《中华人民共和国政府采购法》第二十二条规定;</w:t>
      </w:r>
    </w:p>
    <w:p w14:paraId="23CA08B0">
      <w:pPr>
        <w:keepNext w:val="0"/>
        <w:keepLines w:val="0"/>
        <w:pageBreakBefore w:val="0"/>
        <w:widowControl/>
        <w:numPr>
          <w:ilvl w:val="0"/>
          <w:numId w:val="0"/>
        </w:numPr>
        <w:kinsoku/>
        <w:wordWrap/>
        <w:overflowPunct/>
        <w:topLinePunct w:val="0"/>
        <w:autoSpaceDE w:val="0"/>
        <w:autoSpaceDN/>
        <w:bidi w:val="0"/>
        <w:adjustRightInd/>
        <w:snapToGrid/>
        <w:spacing w:line="460" w:lineRule="exact"/>
        <w:ind w:firstLine="482" w:firstLineChars="200"/>
        <w:textAlignment w:val="auto"/>
        <w:rPr>
          <w:rFonts w:hint="eastAsia" w:ascii="宋体" w:hAnsi="宋体" w:cs="宋体"/>
          <w:b/>
          <w:bCs/>
          <w:color w:val="auto"/>
          <w:kern w:val="0"/>
          <w:sz w:val="24"/>
          <w:highlight w:val="none"/>
          <w:lang w:eastAsia="zh-CN"/>
        </w:rPr>
      </w:pPr>
      <w:r>
        <w:rPr>
          <w:rFonts w:hint="eastAsia" w:ascii="宋体" w:hAnsi="宋体" w:cs="宋体"/>
          <w:b/>
          <w:bCs/>
          <w:color w:val="auto"/>
          <w:kern w:val="0"/>
          <w:sz w:val="24"/>
          <w:highlight w:val="none"/>
          <w:lang w:eastAsia="zh-CN"/>
        </w:rPr>
        <w:t>2.落实政府采购政策需满足的资格要求：</w:t>
      </w:r>
    </w:p>
    <w:p w14:paraId="64C5D1C3">
      <w:pPr>
        <w:pStyle w:val="37"/>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N/>
        <w:bidi w:val="0"/>
        <w:snapToGrid/>
        <w:spacing w:before="0" w:beforeAutospacing="0" w:after="0" w:afterAutospacing="0" w:line="480" w:lineRule="exact"/>
        <w:ind w:left="0" w:right="0" w:firstLine="480"/>
        <w:jc w:val="both"/>
        <w:textAlignment w:val="baseline"/>
        <w:rPr>
          <w:rFonts w:hint="eastAsia" w:ascii="宋体" w:hAnsi="宋体" w:cs="宋体"/>
          <w:color w:val="auto"/>
          <w:kern w:val="0"/>
          <w:sz w:val="24"/>
          <w:highlight w:val="none"/>
          <w:lang w:eastAsia="zh-CN"/>
        </w:rPr>
      </w:pPr>
      <w:r>
        <w:rPr>
          <w:rFonts w:hint="eastAsia" w:ascii="宋体" w:hAnsi="宋体" w:cs="宋体"/>
          <w:b/>
          <w:bCs/>
          <w:color w:val="auto"/>
          <w:kern w:val="0"/>
          <w:sz w:val="24"/>
          <w:highlight w:val="none"/>
          <w:lang w:eastAsia="zh-CN"/>
        </w:rPr>
        <w:t>合同包1</w:t>
      </w:r>
      <w:r>
        <w:rPr>
          <w:rFonts w:hint="eastAsia" w:ascii="宋体" w:hAnsi="宋体" w:eastAsia="宋体" w:cs="宋体"/>
          <w:b/>
          <w:bCs/>
          <w:i w:val="0"/>
          <w:iCs w:val="0"/>
          <w:caps w:val="0"/>
          <w:color w:val="auto"/>
          <w:spacing w:val="0"/>
          <w:sz w:val="24"/>
          <w:szCs w:val="24"/>
          <w:highlight w:val="none"/>
          <w:shd w:val="clear" w:fill="FFFFFF"/>
          <w:vertAlign w:val="baseline"/>
        </w:rPr>
        <w:t>(</w:t>
      </w:r>
      <w:r>
        <w:rPr>
          <w:rFonts w:hint="eastAsia" w:cs="宋体"/>
          <w:b/>
          <w:bCs/>
          <w:i w:val="0"/>
          <w:iCs w:val="0"/>
          <w:caps w:val="0"/>
          <w:color w:val="auto"/>
          <w:spacing w:val="0"/>
          <w:sz w:val="24"/>
          <w:szCs w:val="24"/>
          <w:highlight w:val="none"/>
          <w:shd w:val="clear" w:fill="FFFFFF"/>
          <w:vertAlign w:val="baseline"/>
          <w:lang w:val="en-US" w:eastAsia="zh-CN"/>
        </w:rPr>
        <w:t>2025-2026年度高低压配电室年度维保采购项目</w:t>
      </w:r>
      <w:r>
        <w:rPr>
          <w:rFonts w:hint="eastAsia" w:ascii="宋体" w:hAnsi="宋体" w:eastAsia="宋体" w:cs="宋体"/>
          <w:b/>
          <w:bCs/>
          <w:i w:val="0"/>
          <w:iCs w:val="0"/>
          <w:caps w:val="0"/>
          <w:color w:val="auto"/>
          <w:spacing w:val="0"/>
          <w:sz w:val="24"/>
          <w:szCs w:val="24"/>
          <w:highlight w:val="none"/>
          <w:shd w:val="clear" w:fill="FFFFFF"/>
          <w:vertAlign w:val="baseline"/>
        </w:rPr>
        <w:t>)</w:t>
      </w:r>
      <w:r>
        <w:rPr>
          <w:rFonts w:hint="eastAsia" w:ascii="宋体" w:hAnsi="宋体" w:cs="宋体"/>
          <w:b/>
          <w:bCs/>
          <w:color w:val="auto"/>
          <w:kern w:val="0"/>
          <w:sz w:val="24"/>
          <w:highlight w:val="none"/>
          <w:lang w:eastAsia="zh-CN"/>
        </w:rPr>
        <w:t>落实政府采购政策需满足的资格要求如下</w:t>
      </w:r>
      <w:r>
        <w:rPr>
          <w:rFonts w:hint="eastAsia" w:ascii="宋体" w:hAnsi="宋体" w:cs="宋体"/>
          <w:color w:val="auto"/>
          <w:kern w:val="0"/>
          <w:sz w:val="24"/>
          <w:highlight w:val="none"/>
          <w:lang w:eastAsia="zh-CN"/>
        </w:rPr>
        <w:t>:</w:t>
      </w:r>
    </w:p>
    <w:p w14:paraId="6B38F901">
      <w:pPr>
        <w:keepNext w:val="0"/>
        <w:keepLines w:val="0"/>
        <w:pageBreakBefore w:val="0"/>
        <w:widowControl/>
        <w:numPr>
          <w:ilvl w:val="0"/>
          <w:numId w:val="0"/>
        </w:numPr>
        <w:kinsoku/>
        <w:wordWrap/>
        <w:overflowPunct/>
        <w:topLinePunct w:val="0"/>
        <w:autoSpaceDE w:val="0"/>
        <w:autoSpaceDN/>
        <w:bidi w:val="0"/>
        <w:adjustRightInd/>
        <w:snapToGrid/>
        <w:spacing w:line="460" w:lineRule="exact"/>
        <w:ind w:firstLine="480" w:firstLineChars="200"/>
        <w:textAlignment w:val="auto"/>
        <w:rPr>
          <w:rFonts w:hint="eastAsia" w:ascii="宋体" w:hAnsi="宋体" w:cs="宋体"/>
          <w:color w:val="auto"/>
          <w:kern w:val="0"/>
          <w:sz w:val="24"/>
          <w:highlight w:val="none"/>
          <w:lang w:eastAsia="zh-CN"/>
        </w:rPr>
      </w:pPr>
      <w:r>
        <w:rPr>
          <w:rFonts w:hint="eastAsia" w:ascii="宋体" w:hAnsi="宋体" w:cs="宋体"/>
          <w:color w:val="auto"/>
          <w:kern w:val="0"/>
          <w:sz w:val="24"/>
          <w:highlight w:val="none"/>
          <w:lang w:eastAsia="zh-CN"/>
        </w:rPr>
        <w:t>（1）《政府采购促进中小企业发展管理办法》（财库〔2020〕46号）、财政部关于进一步加大政府采购支持中小企业力度的通知（财库〔2022〕19号）；</w:t>
      </w:r>
      <w:r>
        <w:rPr>
          <w:rFonts w:hint="eastAsia" w:ascii="宋体" w:hAnsi="宋体" w:cs="宋体"/>
          <w:color w:val="auto"/>
          <w:kern w:val="0"/>
          <w:sz w:val="24"/>
          <w:highlight w:val="none"/>
          <w:lang w:eastAsia="zh-CN"/>
        </w:rPr>
        <w:br w:type="textWrapping"/>
      </w:r>
      <w:r>
        <w:rPr>
          <w:rFonts w:hint="eastAsia" w:ascii="宋体" w:hAnsi="宋体" w:cs="宋体"/>
          <w:color w:val="auto"/>
          <w:kern w:val="0"/>
          <w:sz w:val="24"/>
          <w:highlight w:val="none"/>
          <w:lang w:val="en-US" w:eastAsia="zh-CN"/>
        </w:rPr>
        <w:t xml:space="preserve">   </w:t>
      </w:r>
      <w:r>
        <w:rPr>
          <w:rFonts w:hint="eastAsia" w:ascii="宋体" w:hAnsi="宋体" w:cs="宋体"/>
          <w:color w:val="auto"/>
          <w:kern w:val="0"/>
          <w:sz w:val="24"/>
          <w:highlight w:val="none"/>
          <w:lang w:eastAsia="zh-CN"/>
        </w:rPr>
        <w:t>（2）《财政部司法部关于政府采购支持监狱企业发展有关问题的通知》（财库〔2014〕68号）；</w:t>
      </w:r>
      <w:r>
        <w:rPr>
          <w:rFonts w:hint="eastAsia" w:ascii="宋体" w:hAnsi="宋体" w:cs="宋体"/>
          <w:color w:val="auto"/>
          <w:kern w:val="0"/>
          <w:sz w:val="24"/>
          <w:highlight w:val="none"/>
          <w:lang w:eastAsia="zh-CN"/>
        </w:rPr>
        <w:br w:type="textWrapping"/>
      </w:r>
      <w:r>
        <w:rPr>
          <w:rFonts w:hint="eastAsia" w:ascii="宋体" w:hAnsi="宋体" w:cs="宋体"/>
          <w:color w:val="auto"/>
          <w:kern w:val="0"/>
          <w:sz w:val="24"/>
          <w:highlight w:val="none"/>
          <w:lang w:val="en-US" w:eastAsia="zh-CN"/>
        </w:rPr>
        <w:t xml:space="preserve">   </w:t>
      </w:r>
      <w:r>
        <w:rPr>
          <w:rFonts w:hint="eastAsia" w:ascii="宋体" w:hAnsi="宋体" w:cs="宋体"/>
          <w:color w:val="auto"/>
          <w:kern w:val="0"/>
          <w:sz w:val="24"/>
          <w:highlight w:val="none"/>
          <w:lang w:eastAsia="zh-CN"/>
        </w:rPr>
        <w:t>（3）《财政部发展改革委生态环境部市场监管总局关于调整优化节能产品环境标志产品政府采购执行机制的通知》（财库〔2019〕9号）；</w:t>
      </w:r>
      <w:r>
        <w:rPr>
          <w:rFonts w:hint="eastAsia" w:ascii="宋体" w:hAnsi="宋体" w:cs="宋体"/>
          <w:color w:val="auto"/>
          <w:kern w:val="0"/>
          <w:sz w:val="24"/>
          <w:highlight w:val="none"/>
          <w:lang w:eastAsia="zh-CN"/>
        </w:rPr>
        <w:br w:type="textWrapping"/>
      </w:r>
      <w:r>
        <w:rPr>
          <w:rFonts w:hint="eastAsia" w:ascii="宋体" w:hAnsi="宋体" w:cs="宋体"/>
          <w:color w:val="auto"/>
          <w:kern w:val="0"/>
          <w:sz w:val="24"/>
          <w:highlight w:val="none"/>
          <w:lang w:val="en-US" w:eastAsia="zh-CN"/>
        </w:rPr>
        <w:t xml:space="preserve">   </w:t>
      </w:r>
      <w:r>
        <w:rPr>
          <w:rFonts w:hint="eastAsia" w:ascii="宋体" w:hAnsi="宋体" w:cs="宋体"/>
          <w:color w:val="auto"/>
          <w:kern w:val="0"/>
          <w:sz w:val="24"/>
          <w:highlight w:val="none"/>
          <w:lang w:eastAsia="zh-CN"/>
        </w:rPr>
        <w:t>（4）《环境标志产品政府采购品目清单》（财库〔2019〕18号）；</w:t>
      </w:r>
      <w:r>
        <w:rPr>
          <w:rFonts w:hint="eastAsia" w:ascii="宋体" w:hAnsi="宋体" w:cs="宋体"/>
          <w:color w:val="auto"/>
          <w:kern w:val="0"/>
          <w:sz w:val="24"/>
          <w:highlight w:val="none"/>
          <w:lang w:eastAsia="zh-CN"/>
        </w:rPr>
        <w:br w:type="textWrapping"/>
      </w:r>
      <w:r>
        <w:rPr>
          <w:rFonts w:hint="eastAsia" w:ascii="宋体" w:hAnsi="宋体" w:cs="宋体"/>
          <w:color w:val="auto"/>
          <w:kern w:val="0"/>
          <w:sz w:val="24"/>
          <w:highlight w:val="none"/>
          <w:lang w:val="en-US" w:eastAsia="zh-CN"/>
        </w:rPr>
        <w:t xml:space="preserve">   </w:t>
      </w:r>
      <w:r>
        <w:rPr>
          <w:rFonts w:hint="eastAsia" w:ascii="宋体" w:hAnsi="宋体" w:cs="宋体"/>
          <w:color w:val="auto"/>
          <w:kern w:val="0"/>
          <w:sz w:val="24"/>
          <w:highlight w:val="none"/>
          <w:lang w:eastAsia="zh-CN"/>
        </w:rPr>
        <w:t>（5）《三部门联合发布关于促进残疾人就业政府采购政策的通知》（财库〔2017〕141号）；</w:t>
      </w:r>
      <w:r>
        <w:rPr>
          <w:rFonts w:hint="eastAsia" w:ascii="宋体" w:hAnsi="宋体" w:cs="宋体"/>
          <w:color w:val="auto"/>
          <w:kern w:val="0"/>
          <w:sz w:val="24"/>
          <w:highlight w:val="none"/>
          <w:lang w:eastAsia="zh-CN"/>
        </w:rPr>
        <w:br w:type="textWrapping"/>
      </w:r>
      <w:r>
        <w:rPr>
          <w:rFonts w:hint="eastAsia" w:ascii="宋体" w:hAnsi="宋体" w:cs="宋体"/>
          <w:color w:val="auto"/>
          <w:kern w:val="0"/>
          <w:sz w:val="24"/>
          <w:highlight w:val="none"/>
          <w:lang w:val="en-US" w:eastAsia="zh-CN"/>
        </w:rPr>
        <w:t xml:space="preserve">   </w:t>
      </w:r>
      <w:r>
        <w:rPr>
          <w:rFonts w:hint="eastAsia" w:ascii="宋体" w:hAnsi="宋体" w:cs="宋体"/>
          <w:color w:val="auto"/>
          <w:kern w:val="0"/>
          <w:sz w:val="24"/>
          <w:highlight w:val="none"/>
          <w:lang w:eastAsia="zh-CN"/>
        </w:rPr>
        <w:t>（6）《关于运用政府采购政策支持乡村产业振兴的通知》（财库〔2021〕19号）；</w:t>
      </w:r>
      <w:r>
        <w:rPr>
          <w:rFonts w:hint="eastAsia" w:ascii="宋体" w:hAnsi="宋体" w:cs="宋体"/>
          <w:color w:val="auto"/>
          <w:kern w:val="0"/>
          <w:sz w:val="24"/>
          <w:highlight w:val="none"/>
          <w:lang w:eastAsia="zh-CN"/>
        </w:rPr>
        <w:br w:type="textWrapping"/>
      </w:r>
      <w:r>
        <w:rPr>
          <w:rFonts w:hint="eastAsia" w:ascii="宋体" w:hAnsi="宋体" w:cs="宋体"/>
          <w:color w:val="auto"/>
          <w:kern w:val="0"/>
          <w:sz w:val="24"/>
          <w:highlight w:val="none"/>
          <w:lang w:val="en-US" w:eastAsia="zh-CN"/>
        </w:rPr>
        <w:t xml:space="preserve">   </w:t>
      </w:r>
      <w:r>
        <w:rPr>
          <w:rFonts w:hint="eastAsia" w:ascii="宋体" w:hAnsi="宋体" w:cs="宋体"/>
          <w:color w:val="auto"/>
          <w:kern w:val="0"/>
          <w:sz w:val="24"/>
          <w:highlight w:val="none"/>
          <w:lang w:eastAsia="zh-CN"/>
        </w:rPr>
        <w:t>（7）《国务院办公厅关于建立政府强制采购节能产品制度的通知》（国办发〔2007〕51号）；</w:t>
      </w:r>
      <w:r>
        <w:rPr>
          <w:rFonts w:hint="eastAsia" w:ascii="宋体" w:hAnsi="宋体" w:cs="宋体"/>
          <w:color w:val="auto"/>
          <w:kern w:val="0"/>
          <w:sz w:val="24"/>
          <w:highlight w:val="none"/>
          <w:lang w:eastAsia="zh-CN"/>
        </w:rPr>
        <w:br w:type="textWrapping"/>
      </w:r>
      <w:r>
        <w:rPr>
          <w:rFonts w:hint="eastAsia" w:ascii="宋体" w:hAnsi="宋体" w:cs="宋体"/>
          <w:color w:val="auto"/>
          <w:kern w:val="0"/>
          <w:sz w:val="24"/>
          <w:highlight w:val="none"/>
          <w:lang w:val="en-US" w:eastAsia="zh-CN"/>
        </w:rPr>
        <w:t xml:space="preserve">   </w:t>
      </w:r>
      <w:r>
        <w:rPr>
          <w:rFonts w:hint="eastAsia" w:ascii="宋体" w:hAnsi="宋体" w:cs="宋体"/>
          <w:color w:val="auto"/>
          <w:kern w:val="0"/>
          <w:sz w:val="24"/>
          <w:highlight w:val="none"/>
          <w:lang w:eastAsia="zh-CN"/>
        </w:rPr>
        <w:t>（8）陕西省财政厅关于印发《陕西省中小企业政府采购信用融资办法》（陕财办采〔2018〕23号）、《陕西省财政厅中国人民银行西安分行关于深入推进政府采购信用融资业务的通知》陕财办采〔2023〕5号；</w:t>
      </w:r>
      <w:r>
        <w:rPr>
          <w:rFonts w:hint="eastAsia" w:ascii="宋体" w:hAnsi="宋体" w:cs="宋体"/>
          <w:color w:val="auto"/>
          <w:kern w:val="0"/>
          <w:sz w:val="24"/>
          <w:highlight w:val="none"/>
          <w:lang w:eastAsia="zh-CN"/>
        </w:rPr>
        <w:br w:type="textWrapping"/>
      </w:r>
      <w:r>
        <w:rPr>
          <w:rFonts w:hint="eastAsia" w:ascii="宋体" w:hAnsi="宋体" w:cs="宋体"/>
          <w:color w:val="auto"/>
          <w:kern w:val="0"/>
          <w:sz w:val="24"/>
          <w:highlight w:val="none"/>
          <w:lang w:val="en-US" w:eastAsia="zh-CN"/>
        </w:rPr>
        <w:t xml:space="preserve">   </w:t>
      </w:r>
      <w:r>
        <w:rPr>
          <w:rFonts w:hint="eastAsia" w:ascii="宋体" w:hAnsi="宋体" w:cs="宋体"/>
          <w:color w:val="auto"/>
          <w:kern w:val="0"/>
          <w:sz w:val="24"/>
          <w:highlight w:val="none"/>
          <w:lang w:eastAsia="zh-CN"/>
        </w:rPr>
        <w:t>（9）陕西省财政厅《关于进一步加强政府绿色采购有关问题的通知》陕财办采〔2021〕29号；</w:t>
      </w:r>
      <w:r>
        <w:rPr>
          <w:rFonts w:hint="eastAsia" w:ascii="宋体" w:hAnsi="宋体" w:cs="宋体"/>
          <w:color w:val="auto"/>
          <w:kern w:val="0"/>
          <w:sz w:val="24"/>
          <w:highlight w:val="none"/>
          <w:lang w:eastAsia="zh-CN"/>
        </w:rPr>
        <w:br w:type="textWrapping"/>
      </w:r>
      <w:r>
        <w:rPr>
          <w:rFonts w:hint="eastAsia" w:ascii="宋体" w:hAnsi="宋体" w:cs="宋体"/>
          <w:color w:val="auto"/>
          <w:kern w:val="0"/>
          <w:sz w:val="24"/>
          <w:highlight w:val="none"/>
          <w:lang w:val="en-US" w:eastAsia="zh-CN"/>
        </w:rPr>
        <w:t xml:space="preserve">   </w:t>
      </w:r>
      <w:r>
        <w:rPr>
          <w:rFonts w:hint="eastAsia" w:ascii="宋体" w:hAnsi="宋体" w:cs="宋体"/>
          <w:color w:val="auto"/>
          <w:kern w:val="0"/>
          <w:sz w:val="24"/>
          <w:highlight w:val="none"/>
          <w:lang w:eastAsia="zh-CN"/>
        </w:rPr>
        <w:t>（10）陕西省财政厅《关于进一步优化政府采购营商环境有关事项的通知》陕财办采〔2023〕4号；</w:t>
      </w:r>
      <w:r>
        <w:rPr>
          <w:rFonts w:hint="eastAsia" w:ascii="宋体" w:hAnsi="宋体" w:cs="宋体"/>
          <w:color w:val="auto"/>
          <w:kern w:val="0"/>
          <w:sz w:val="24"/>
          <w:highlight w:val="none"/>
          <w:lang w:eastAsia="zh-CN"/>
        </w:rPr>
        <w:br w:type="textWrapping"/>
      </w:r>
      <w:r>
        <w:rPr>
          <w:rFonts w:hint="eastAsia" w:ascii="宋体" w:hAnsi="宋体" w:cs="宋体"/>
          <w:color w:val="auto"/>
          <w:kern w:val="0"/>
          <w:sz w:val="24"/>
          <w:highlight w:val="none"/>
          <w:lang w:val="en-US" w:eastAsia="zh-CN"/>
        </w:rPr>
        <w:t xml:space="preserve">   </w:t>
      </w:r>
      <w:r>
        <w:rPr>
          <w:rFonts w:hint="eastAsia" w:ascii="宋体" w:hAnsi="宋体" w:cs="宋体"/>
          <w:color w:val="auto"/>
          <w:kern w:val="0"/>
          <w:sz w:val="24"/>
          <w:highlight w:val="none"/>
          <w:lang w:eastAsia="zh-CN"/>
        </w:rPr>
        <w:t>（11）如有最新颁布的政府采购政策，按最新的文件执行。</w:t>
      </w:r>
    </w:p>
    <w:p w14:paraId="27B093E3">
      <w:pPr>
        <w:keepNext w:val="0"/>
        <w:keepLines w:val="0"/>
        <w:pageBreakBefore w:val="0"/>
        <w:widowControl/>
        <w:numPr>
          <w:ilvl w:val="0"/>
          <w:numId w:val="0"/>
        </w:numPr>
        <w:kinsoku/>
        <w:wordWrap/>
        <w:overflowPunct/>
        <w:topLinePunct w:val="0"/>
        <w:autoSpaceDE w:val="0"/>
        <w:autoSpaceDN/>
        <w:bidi w:val="0"/>
        <w:adjustRightInd/>
        <w:snapToGrid/>
        <w:spacing w:line="460" w:lineRule="exact"/>
        <w:ind w:firstLine="482" w:firstLineChars="200"/>
        <w:textAlignment w:val="auto"/>
        <w:rPr>
          <w:rFonts w:hint="eastAsia" w:ascii="宋体" w:hAnsi="宋体" w:cs="宋体"/>
          <w:b/>
          <w:bCs/>
          <w:color w:val="auto"/>
          <w:kern w:val="0"/>
          <w:sz w:val="24"/>
          <w:highlight w:val="none"/>
          <w:lang w:eastAsia="zh-CN"/>
        </w:rPr>
      </w:pPr>
      <w:r>
        <w:rPr>
          <w:rFonts w:hint="eastAsia" w:ascii="宋体" w:hAnsi="宋体" w:cs="宋体"/>
          <w:b/>
          <w:bCs/>
          <w:color w:val="auto"/>
          <w:kern w:val="0"/>
          <w:sz w:val="24"/>
          <w:highlight w:val="none"/>
          <w:lang w:eastAsia="zh-CN"/>
        </w:rPr>
        <w:t>3.本项目的特定资格要求：</w:t>
      </w:r>
    </w:p>
    <w:p w14:paraId="3F402C81">
      <w:pPr>
        <w:pStyle w:val="3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N/>
        <w:bidi w:val="0"/>
        <w:adjustRightInd/>
        <w:snapToGrid/>
        <w:spacing w:before="0" w:beforeAutospacing="0" w:after="0" w:afterAutospacing="0" w:line="560" w:lineRule="exact"/>
        <w:ind w:left="0" w:right="0" w:firstLine="480" w:firstLineChars="200"/>
        <w:jc w:val="both"/>
        <w:textAlignment w:val="baseline"/>
        <w:rPr>
          <w:rFonts w:hint="eastAsia" w:ascii="宋体" w:hAnsi="宋体" w:cs="宋体"/>
          <w:color w:val="auto"/>
          <w:kern w:val="0"/>
          <w:sz w:val="24"/>
          <w:highlight w:val="none"/>
          <w:lang w:eastAsia="zh-CN"/>
        </w:rPr>
      </w:pPr>
      <w:r>
        <w:rPr>
          <w:rFonts w:hint="eastAsia" w:ascii="宋体" w:hAnsi="宋体" w:cs="宋体"/>
          <w:color w:val="auto"/>
          <w:kern w:val="0"/>
          <w:sz w:val="24"/>
          <w:highlight w:val="none"/>
          <w:lang w:eastAsia="zh-CN"/>
        </w:rPr>
        <w:t>合同包1</w:t>
      </w:r>
      <w:r>
        <w:rPr>
          <w:rFonts w:hint="eastAsia" w:ascii="宋体" w:hAnsi="宋体" w:eastAsia="宋体" w:cs="宋体"/>
          <w:i w:val="0"/>
          <w:iCs w:val="0"/>
          <w:caps w:val="0"/>
          <w:color w:val="auto"/>
          <w:spacing w:val="0"/>
          <w:sz w:val="24"/>
          <w:szCs w:val="24"/>
          <w:highlight w:val="none"/>
          <w:shd w:val="clear" w:fill="FFFFFF"/>
          <w:vertAlign w:val="baseline"/>
        </w:rPr>
        <w:t>(</w:t>
      </w:r>
      <w:r>
        <w:rPr>
          <w:rFonts w:hint="eastAsia" w:cs="宋体"/>
          <w:i w:val="0"/>
          <w:iCs w:val="0"/>
          <w:caps w:val="0"/>
          <w:color w:val="auto"/>
          <w:spacing w:val="0"/>
          <w:sz w:val="24"/>
          <w:szCs w:val="24"/>
          <w:highlight w:val="none"/>
          <w:shd w:val="clear" w:fill="FFFFFF"/>
          <w:vertAlign w:val="baseline"/>
          <w:lang w:val="en-US" w:eastAsia="zh-CN"/>
        </w:rPr>
        <w:t>2025-2026年度高低压配电室年度维保采购项目</w:t>
      </w:r>
      <w:r>
        <w:rPr>
          <w:rFonts w:hint="eastAsia" w:ascii="宋体" w:hAnsi="宋体" w:eastAsia="宋体" w:cs="宋体"/>
          <w:i w:val="0"/>
          <w:iCs w:val="0"/>
          <w:caps w:val="0"/>
          <w:color w:val="auto"/>
          <w:spacing w:val="0"/>
          <w:sz w:val="24"/>
          <w:szCs w:val="24"/>
          <w:highlight w:val="none"/>
          <w:shd w:val="clear" w:fill="FFFFFF"/>
          <w:vertAlign w:val="baseline"/>
        </w:rPr>
        <w:t>)</w:t>
      </w:r>
      <w:r>
        <w:rPr>
          <w:rFonts w:hint="eastAsia" w:ascii="宋体" w:hAnsi="宋体" w:cs="宋体"/>
          <w:color w:val="auto"/>
          <w:kern w:val="0"/>
          <w:sz w:val="24"/>
          <w:highlight w:val="none"/>
          <w:lang w:eastAsia="zh-CN"/>
        </w:rPr>
        <w:t>特定资格要求如下:</w:t>
      </w:r>
    </w:p>
    <w:p w14:paraId="4C624F30">
      <w:pPr>
        <w:pStyle w:val="3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N/>
        <w:bidi w:val="0"/>
        <w:adjustRightInd/>
        <w:snapToGrid/>
        <w:spacing w:before="0" w:beforeAutospacing="0" w:after="0" w:afterAutospacing="0" w:line="560" w:lineRule="exact"/>
        <w:ind w:left="480" w:right="0" w:firstLine="480" w:firstLineChars="200"/>
        <w:rPr>
          <w:rFonts w:hint="default"/>
          <w:color w:val="auto"/>
          <w:highlight w:val="none"/>
          <w:lang w:val="en-US"/>
        </w:rPr>
      </w:pPr>
      <w:r>
        <w:rPr>
          <w:rFonts w:hint="eastAsia" w:ascii="宋体" w:hAnsi="宋体" w:cs="宋体"/>
          <w:b w:val="0"/>
          <w:bCs w:val="0"/>
          <w:color w:val="auto"/>
          <w:kern w:val="0"/>
          <w:sz w:val="24"/>
          <w:highlight w:val="none"/>
          <w:lang w:eastAsia="zh-CN"/>
        </w:rPr>
        <w:t>（1）具有独立承担民事责任能力的法人、非法人组织或自然人，提供合法有效的营业执照/事业单位法人证书/专业服务机构执业许可证/民办非企业单位登记证书等相关证明，自然人参与的提供其身份证明；</w:t>
      </w:r>
      <w:r>
        <w:rPr>
          <w:rFonts w:hint="eastAsia" w:ascii="宋体" w:hAnsi="宋体" w:cs="宋体"/>
          <w:b w:val="0"/>
          <w:bCs w:val="0"/>
          <w:color w:val="auto"/>
          <w:kern w:val="0"/>
          <w:sz w:val="24"/>
          <w:highlight w:val="none"/>
          <w:lang w:eastAsia="zh-CN"/>
        </w:rPr>
        <w:br w:type="textWrapping"/>
      </w:r>
      <w:r>
        <w:rPr>
          <w:rFonts w:hint="eastAsia" w:ascii="宋体" w:hAnsi="宋体" w:cs="宋体"/>
          <w:b w:val="0"/>
          <w:bCs w:val="0"/>
          <w:color w:val="auto"/>
          <w:kern w:val="0"/>
          <w:sz w:val="24"/>
          <w:highlight w:val="none"/>
          <w:lang w:val="en-US" w:eastAsia="zh-CN"/>
        </w:rPr>
        <w:t xml:space="preserve">   </w:t>
      </w:r>
      <w:r>
        <w:rPr>
          <w:rFonts w:hint="eastAsia" w:ascii="宋体" w:hAnsi="宋体" w:cs="宋体"/>
          <w:b w:val="0"/>
          <w:bCs w:val="0"/>
          <w:color w:val="auto"/>
          <w:kern w:val="0"/>
          <w:sz w:val="24"/>
          <w:highlight w:val="none"/>
          <w:lang w:eastAsia="zh-CN"/>
        </w:rPr>
        <w:t>（2）法定代表人委托授权书（后附法定代表人、被授权人身份证复印件）及被授权人身份证原件；法定代表人直接投标时，只提供本人身份证原件；</w:t>
      </w:r>
      <w:r>
        <w:rPr>
          <w:rFonts w:hint="eastAsia" w:ascii="宋体" w:hAnsi="宋体" w:cs="宋体"/>
          <w:b w:val="0"/>
          <w:bCs w:val="0"/>
          <w:color w:val="auto"/>
          <w:kern w:val="0"/>
          <w:sz w:val="24"/>
          <w:highlight w:val="none"/>
          <w:lang w:eastAsia="zh-CN"/>
        </w:rPr>
        <w:br w:type="textWrapping"/>
      </w:r>
      <w:r>
        <w:rPr>
          <w:rFonts w:hint="eastAsia" w:ascii="宋体" w:hAnsi="宋体" w:cs="宋体"/>
          <w:b w:val="0"/>
          <w:bCs w:val="0"/>
          <w:color w:val="auto"/>
          <w:kern w:val="0"/>
          <w:sz w:val="24"/>
          <w:highlight w:val="none"/>
          <w:lang w:val="en-US" w:eastAsia="zh-CN"/>
        </w:rPr>
        <w:t xml:space="preserve">   </w:t>
      </w:r>
      <w:r>
        <w:rPr>
          <w:rFonts w:hint="eastAsia" w:ascii="宋体" w:hAnsi="宋体" w:cs="宋体"/>
          <w:b w:val="0"/>
          <w:bCs w:val="0"/>
          <w:color w:val="auto"/>
          <w:kern w:val="0"/>
          <w:sz w:val="24"/>
          <w:highlight w:val="none"/>
          <w:lang w:eastAsia="zh-CN"/>
        </w:rPr>
        <w:t>（3）财务状况报告：提供经审计的202</w:t>
      </w:r>
      <w:r>
        <w:rPr>
          <w:rFonts w:hint="eastAsia" w:ascii="宋体" w:hAnsi="宋体" w:cs="宋体"/>
          <w:b w:val="0"/>
          <w:bCs w:val="0"/>
          <w:color w:val="auto"/>
          <w:kern w:val="0"/>
          <w:sz w:val="24"/>
          <w:highlight w:val="none"/>
          <w:lang w:val="en-US" w:eastAsia="zh-CN"/>
        </w:rPr>
        <w:t>3</w:t>
      </w:r>
      <w:r>
        <w:rPr>
          <w:rFonts w:hint="eastAsia" w:ascii="宋体" w:hAnsi="宋体" w:cs="宋体"/>
          <w:b w:val="0"/>
          <w:bCs w:val="0"/>
          <w:color w:val="auto"/>
          <w:kern w:val="0"/>
          <w:sz w:val="24"/>
          <w:highlight w:val="none"/>
          <w:lang w:eastAsia="zh-CN"/>
        </w:rPr>
        <w:t>年度或202</w:t>
      </w:r>
      <w:r>
        <w:rPr>
          <w:rFonts w:hint="eastAsia" w:ascii="宋体" w:hAnsi="宋体" w:cs="宋体"/>
          <w:b w:val="0"/>
          <w:bCs w:val="0"/>
          <w:color w:val="auto"/>
          <w:kern w:val="0"/>
          <w:sz w:val="24"/>
          <w:highlight w:val="none"/>
          <w:lang w:val="en-US" w:eastAsia="zh-CN"/>
        </w:rPr>
        <w:t>4</w:t>
      </w:r>
      <w:r>
        <w:rPr>
          <w:rFonts w:hint="eastAsia" w:ascii="宋体" w:hAnsi="宋体" w:cs="宋体"/>
          <w:b w:val="0"/>
          <w:bCs w:val="0"/>
          <w:color w:val="auto"/>
          <w:kern w:val="0"/>
          <w:sz w:val="24"/>
          <w:highlight w:val="none"/>
          <w:lang w:eastAsia="zh-CN"/>
        </w:rPr>
        <w:t>年度审计报告（至少应包含资产负债表、利润表和现金流量表）或银行出具的资信证明（公司成立时间至提交响应文件截止时间不足三个月的可不提供）；</w:t>
      </w:r>
      <w:r>
        <w:rPr>
          <w:rFonts w:hint="eastAsia" w:ascii="宋体" w:hAnsi="宋体" w:cs="宋体"/>
          <w:b w:val="0"/>
          <w:bCs w:val="0"/>
          <w:color w:val="auto"/>
          <w:kern w:val="0"/>
          <w:sz w:val="24"/>
          <w:highlight w:val="none"/>
          <w:lang w:eastAsia="zh-CN"/>
        </w:rPr>
        <w:br w:type="textWrapping"/>
      </w:r>
      <w:r>
        <w:rPr>
          <w:rFonts w:hint="eastAsia" w:ascii="宋体" w:hAnsi="宋体" w:cs="宋体"/>
          <w:b w:val="0"/>
          <w:bCs w:val="0"/>
          <w:color w:val="auto"/>
          <w:kern w:val="0"/>
          <w:sz w:val="24"/>
          <w:highlight w:val="none"/>
          <w:lang w:val="en-US" w:eastAsia="zh-CN"/>
        </w:rPr>
        <w:t xml:space="preserve">   </w:t>
      </w:r>
      <w:r>
        <w:rPr>
          <w:rFonts w:hint="eastAsia" w:ascii="宋体" w:hAnsi="宋体" w:cs="宋体"/>
          <w:b w:val="0"/>
          <w:bCs w:val="0"/>
          <w:color w:val="auto"/>
          <w:kern w:val="0"/>
          <w:sz w:val="24"/>
          <w:highlight w:val="none"/>
          <w:lang w:eastAsia="zh-CN"/>
        </w:rPr>
        <w:t>（4）社会保障资金缴纳证明：提供投标截止日前一年内任意三个月的社会保障资金缴存单据或社保机构开具的社会保险参保缴费情况证明，成立不足一年的公司提供自成立后至今连续缴存社会保障资金缴存单据或社保机构开具的社会保险参保缴费情况证明，单据或证明上应有社保机构或代收机构的公章或业务专用章（公司成立时间至提交响应文件截止时间不足三个月的可不提供）；</w:t>
      </w:r>
      <w:r>
        <w:rPr>
          <w:rFonts w:hint="eastAsia" w:ascii="宋体" w:hAnsi="宋体" w:cs="宋体"/>
          <w:b w:val="0"/>
          <w:bCs w:val="0"/>
          <w:color w:val="auto"/>
          <w:kern w:val="0"/>
          <w:sz w:val="24"/>
          <w:highlight w:val="none"/>
          <w:lang w:eastAsia="zh-CN"/>
        </w:rPr>
        <w:br w:type="textWrapping"/>
      </w:r>
      <w:r>
        <w:rPr>
          <w:rFonts w:hint="eastAsia" w:ascii="宋体" w:hAnsi="宋体" w:cs="宋体"/>
          <w:b w:val="0"/>
          <w:bCs w:val="0"/>
          <w:color w:val="auto"/>
          <w:kern w:val="0"/>
          <w:sz w:val="24"/>
          <w:highlight w:val="none"/>
          <w:lang w:val="en-US" w:eastAsia="zh-CN"/>
        </w:rPr>
        <w:t xml:space="preserve">   </w:t>
      </w:r>
      <w:r>
        <w:rPr>
          <w:rFonts w:hint="eastAsia" w:ascii="宋体" w:hAnsi="宋体" w:cs="宋体"/>
          <w:b w:val="0"/>
          <w:bCs w:val="0"/>
          <w:color w:val="auto"/>
          <w:kern w:val="0"/>
          <w:sz w:val="24"/>
          <w:highlight w:val="none"/>
          <w:lang w:eastAsia="zh-CN"/>
        </w:rPr>
        <w:t>（5）税收缴纳证明：提供投标截止日前一年内任意三个月的纳税证明或完税证明，单据应有代收机构或税务机关的公章或业务专用章；依法免税的单位应提供相关证明材料（公司成立时间至提交响应文件截止时间不足三个月的可不提供）；</w:t>
      </w:r>
      <w:r>
        <w:rPr>
          <w:rFonts w:hint="eastAsia" w:ascii="宋体" w:hAnsi="宋体" w:cs="宋体"/>
          <w:b w:val="0"/>
          <w:bCs w:val="0"/>
          <w:color w:val="auto"/>
          <w:kern w:val="0"/>
          <w:sz w:val="24"/>
          <w:highlight w:val="none"/>
          <w:lang w:eastAsia="zh-CN"/>
        </w:rPr>
        <w:br w:type="textWrapping"/>
      </w:r>
      <w:r>
        <w:rPr>
          <w:rFonts w:hint="eastAsia" w:ascii="宋体" w:hAnsi="宋体" w:cs="宋体"/>
          <w:b w:val="0"/>
          <w:bCs w:val="0"/>
          <w:color w:val="auto"/>
          <w:kern w:val="0"/>
          <w:sz w:val="24"/>
          <w:highlight w:val="none"/>
          <w:lang w:val="en-US" w:eastAsia="zh-CN"/>
        </w:rPr>
        <w:t xml:space="preserve">   </w:t>
      </w:r>
      <w:r>
        <w:rPr>
          <w:rFonts w:hint="eastAsia" w:ascii="宋体" w:hAnsi="宋体" w:cs="宋体"/>
          <w:b w:val="0"/>
          <w:bCs w:val="0"/>
          <w:color w:val="auto"/>
          <w:kern w:val="0"/>
          <w:sz w:val="24"/>
          <w:highlight w:val="none"/>
          <w:lang w:eastAsia="zh-CN"/>
        </w:rPr>
        <w:t>（6）供应商通过“信用中国”网(www.creditchina.gov.cn)和中国政府采购网(www.ccgp.gov.cn) 查询相关主体信用记录，截止时点为招标文件发出至投标截止时间内，网页截图加盖投标供应商公章。对列入失信被执行人、重大税收违法案件当事人名单、政府采购严重违法失信行为记录名单及其他不符合《中华人民共和国政府采购法》第二十二条规定条件的供应商，将被视为不合格供应商；</w:t>
      </w:r>
      <w:r>
        <w:rPr>
          <w:rFonts w:hint="eastAsia" w:ascii="宋体" w:hAnsi="宋体" w:cs="宋体"/>
          <w:b w:val="0"/>
          <w:bCs w:val="0"/>
          <w:color w:val="auto"/>
          <w:kern w:val="0"/>
          <w:sz w:val="24"/>
          <w:highlight w:val="none"/>
          <w:lang w:eastAsia="zh-CN"/>
        </w:rPr>
        <w:br w:type="textWrapping"/>
      </w:r>
      <w:r>
        <w:rPr>
          <w:rFonts w:hint="eastAsia" w:ascii="宋体" w:hAnsi="宋体" w:cs="宋体"/>
          <w:b w:val="0"/>
          <w:bCs w:val="0"/>
          <w:color w:val="auto"/>
          <w:kern w:val="0"/>
          <w:sz w:val="24"/>
          <w:highlight w:val="none"/>
          <w:lang w:val="en-US" w:eastAsia="zh-CN"/>
        </w:rPr>
        <w:t xml:space="preserve">   </w:t>
      </w:r>
      <w:r>
        <w:rPr>
          <w:rFonts w:hint="eastAsia" w:ascii="宋体" w:hAnsi="宋体" w:cs="宋体"/>
          <w:b w:val="0"/>
          <w:bCs w:val="0"/>
          <w:color w:val="auto"/>
          <w:kern w:val="0"/>
          <w:sz w:val="24"/>
          <w:highlight w:val="none"/>
          <w:lang w:eastAsia="zh-CN"/>
        </w:rPr>
        <w:t>（7）书面声明：投标人必须提供参加本次采购活动前3年内在经营活动中没有重大违法记录的书面声明；</w:t>
      </w:r>
      <w:r>
        <w:rPr>
          <w:rFonts w:hint="eastAsia" w:ascii="宋体" w:hAnsi="宋体" w:cs="宋体"/>
          <w:b w:val="0"/>
          <w:bCs w:val="0"/>
          <w:color w:val="auto"/>
          <w:kern w:val="0"/>
          <w:sz w:val="24"/>
          <w:highlight w:val="none"/>
          <w:lang w:eastAsia="zh-CN"/>
        </w:rPr>
        <w:br w:type="textWrapping"/>
      </w:r>
      <w:r>
        <w:rPr>
          <w:rFonts w:hint="eastAsia" w:ascii="宋体" w:hAnsi="宋体" w:cs="宋体"/>
          <w:b w:val="0"/>
          <w:bCs w:val="0"/>
          <w:color w:val="auto"/>
          <w:kern w:val="0"/>
          <w:sz w:val="24"/>
          <w:highlight w:val="none"/>
          <w:lang w:val="en-US" w:eastAsia="zh-CN"/>
        </w:rPr>
        <w:t xml:space="preserve">  </w:t>
      </w:r>
      <w:r>
        <w:rPr>
          <w:rFonts w:hint="eastAsia" w:ascii="宋体" w:hAnsi="宋体" w:eastAsia="宋体" w:cs="宋体"/>
          <w:b w:val="0"/>
          <w:bCs w:val="0"/>
          <w:color w:val="auto"/>
          <w:kern w:val="0"/>
          <w:sz w:val="24"/>
          <w:szCs w:val="24"/>
          <w:highlight w:val="none"/>
          <w:lang w:val="en-US" w:eastAsia="zh-CN" w:bidi="ar-SA"/>
        </w:rPr>
        <w:t xml:space="preserve"> （8）本项目专门</w:t>
      </w:r>
      <w:r>
        <w:rPr>
          <w:rFonts w:hint="eastAsia" w:cs="宋体"/>
          <w:b w:val="0"/>
          <w:bCs w:val="0"/>
          <w:color w:val="auto"/>
          <w:kern w:val="0"/>
          <w:sz w:val="24"/>
          <w:szCs w:val="24"/>
          <w:highlight w:val="none"/>
          <w:lang w:val="en-US" w:eastAsia="zh-CN" w:bidi="ar-SA"/>
        </w:rPr>
        <w:t>面</w:t>
      </w:r>
      <w:r>
        <w:rPr>
          <w:rFonts w:hint="eastAsia" w:ascii="宋体" w:hAnsi="宋体" w:eastAsia="宋体" w:cs="宋体"/>
          <w:b w:val="0"/>
          <w:bCs w:val="0"/>
          <w:color w:val="auto"/>
          <w:kern w:val="0"/>
          <w:sz w:val="24"/>
          <w:szCs w:val="24"/>
          <w:highlight w:val="none"/>
          <w:lang w:val="en-US" w:eastAsia="zh-CN" w:bidi="ar-SA"/>
        </w:rPr>
        <w:t>向小微企业，供应商须提供小微企业声明函。供应商自行根据《国民经济行业分类》（GB/T4754-2017）、《国家统计局关于印发&lt;统计上大中小微型企业划分办法（2017）&gt;的通知》国统字〔2017〕213 号、工信部联企业〔2011〕300 号文件自行划分，若声明与实际不符须承担相应责任</w:t>
      </w:r>
      <w:r>
        <w:rPr>
          <w:rFonts w:hint="eastAsia" w:ascii="宋体" w:hAnsi="宋体" w:eastAsia="宋体" w:cs="宋体"/>
          <w:color w:val="auto"/>
          <w:kern w:val="0"/>
          <w:sz w:val="24"/>
          <w:szCs w:val="24"/>
          <w:highlight w:val="none"/>
          <w:lang w:val="en-US"/>
        </w:rPr>
        <w:t>；</w:t>
      </w:r>
    </w:p>
    <w:p w14:paraId="5BCA28B6">
      <w:pPr>
        <w:keepNext w:val="0"/>
        <w:keepLines w:val="0"/>
        <w:pageBreakBefore w:val="0"/>
        <w:widowControl/>
        <w:numPr>
          <w:ilvl w:val="0"/>
          <w:numId w:val="0"/>
        </w:numPr>
        <w:kinsoku/>
        <w:wordWrap/>
        <w:overflowPunct/>
        <w:topLinePunct w:val="0"/>
        <w:autoSpaceDE w:val="0"/>
        <w:autoSpaceDN/>
        <w:bidi w:val="0"/>
        <w:adjustRightInd/>
        <w:snapToGrid/>
        <w:spacing w:line="560" w:lineRule="exact"/>
        <w:ind w:firstLine="480" w:firstLineChars="200"/>
        <w:textAlignment w:val="auto"/>
        <w:rPr>
          <w:rFonts w:hint="eastAsia" w:ascii="宋体" w:hAnsi="宋体" w:cs="宋体"/>
          <w:b w:val="0"/>
          <w:bCs w:val="0"/>
          <w:color w:val="auto"/>
          <w:kern w:val="0"/>
          <w:sz w:val="24"/>
          <w:highlight w:val="none"/>
          <w:lang w:eastAsia="zh-CN"/>
        </w:rPr>
      </w:pPr>
      <w:r>
        <w:rPr>
          <w:rFonts w:hint="eastAsia" w:ascii="宋体" w:hAnsi="宋体" w:cs="宋体"/>
          <w:b w:val="0"/>
          <w:bCs w:val="0"/>
          <w:color w:val="auto"/>
          <w:kern w:val="0"/>
          <w:sz w:val="24"/>
          <w:highlight w:val="none"/>
          <w:lang w:eastAsia="zh-CN"/>
        </w:rPr>
        <w:t>（9）需具备电力工程施工总承包三级及以上资质或输变电工程专业承包三级</w:t>
      </w:r>
      <w:r>
        <w:rPr>
          <w:rFonts w:hint="eastAsia" w:ascii="宋体" w:hAnsi="宋体" w:cs="宋体"/>
          <w:b w:val="0"/>
          <w:bCs w:val="0"/>
          <w:color w:val="auto"/>
          <w:kern w:val="0"/>
          <w:sz w:val="24"/>
          <w:highlight w:val="none"/>
          <w:lang w:val="en-US" w:eastAsia="zh-CN"/>
        </w:rPr>
        <w:t>及</w:t>
      </w:r>
      <w:r>
        <w:rPr>
          <w:rFonts w:hint="eastAsia" w:ascii="宋体" w:hAnsi="宋体" w:cs="宋体"/>
          <w:b w:val="0"/>
          <w:bCs w:val="0"/>
          <w:color w:val="auto"/>
          <w:kern w:val="0"/>
          <w:sz w:val="24"/>
          <w:highlight w:val="none"/>
          <w:lang w:eastAsia="zh-CN"/>
        </w:rPr>
        <w:t>以上资质；且同时具备电力设施承装、承修、承试五级及以上资质；具备合格有效的安全生产许可证；拟派项目负责人具有机电工程贰级及以上注册建造师证及安全生产考核合格证。</w:t>
      </w:r>
      <w:r>
        <w:rPr>
          <w:rFonts w:hint="eastAsia" w:ascii="宋体" w:hAnsi="宋体" w:cs="宋体"/>
          <w:b w:val="0"/>
          <w:bCs w:val="0"/>
          <w:color w:val="auto"/>
          <w:kern w:val="0"/>
          <w:sz w:val="24"/>
          <w:highlight w:val="none"/>
          <w:lang w:eastAsia="zh-CN"/>
        </w:rPr>
        <w:br w:type="textWrapping"/>
      </w:r>
      <w:r>
        <w:rPr>
          <w:rFonts w:hint="eastAsia" w:ascii="宋体" w:hAnsi="宋体" w:cs="宋体"/>
          <w:b w:val="0"/>
          <w:bCs w:val="0"/>
          <w:color w:val="auto"/>
          <w:kern w:val="0"/>
          <w:sz w:val="24"/>
          <w:highlight w:val="none"/>
          <w:lang w:val="en-US" w:eastAsia="zh-CN"/>
        </w:rPr>
        <w:t xml:space="preserve">  </w:t>
      </w:r>
      <w:r>
        <w:rPr>
          <w:rFonts w:hint="eastAsia" w:ascii="宋体" w:hAnsi="宋体" w:cs="宋体"/>
          <w:b w:val="0"/>
          <w:bCs w:val="0"/>
          <w:color w:val="auto"/>
          <w:kern w:val="0"/>
          <w:sz w:val="24"/>
          <w:highlight w:val="none"/>
          <w:lang w:eastAsia="zh-CN"/>
        </w:rPr>
        <w:t>（10）提供本项目不接受联合体的声明函。</w:t>
      </w:r>
    </w:p>
    <w:p w14:paraId="79C9D471">
      <w:pPr>
        <w:keepNext w:val="0"/>
        <w:keepLines w:val="0"/>
        <w:pageBreakBefore w:val="0"/>
        <w:widowControl/>
        <w:numPr>
          <w:ilvl w:val="0"/>
          <w:numId w:val="0"/>
        </w:numPr>
        <w:kinsoku/>
        <w:wordWrap/>
        <w:overflowPunct/>
        <w:topLinePunct w:val="0"/>
        <w:autoSpaceDE w:val="0"/>
        <w:autoSpaceDN/>
        <w:bidi w:val="0"/>
        <w:adjustRightInd/>
        <w:snapToGrid/>
        <w:spacing w:line="460" w:lineRule="exact"/>
        <w:ind w:firstLine="482" w:firstLineChars="200"/>
        <w:textAlignment w:val="auto"/>
        <w:rPr>
          <w:rFonts w:hint="eastAsia" w:ascii="宋体" w:hAnsi="宋体" w:cs="宋体"/>
          <w:b/>
          <w:bCs/>
          <w:color w:val="auto"/>
          <w:kern w:val="0"/>
          <w:sz w:val="24"/>
          <w:highlight w:val="none"/>
          <w:lang w:eastAsia="zh-CN"/>
        </w:rPr>
      </w:pPr>
      <w:r>
        <w:rPr>
          <w:rFonts w:hint="eastAsia" w:ascii="宋体" w:hAnsi="宋体" w:cs="宋体"/>
          <w:b/>
          <w:bCs/>
          <w:color w:val="auto"/>
          <w:kern w:val="0"/>
          <w:sz w:val="24"/>
          <w:highlight w:val="none"/>
          <w:lang w:eastAsia="zh-CN"/>
        </w:rPr>
        <w:t>三、招标文件的获取方式</w:t>
      </w:r>
    </w:p>
    <w:p w14:paraId="0E9314C8">
      <w:pPr>
        <w:keepNext w:val="0"/>
        <w:keepLines w:val="0"/>
        <w:pageBreakBefore w:val="0"/>
        <w:widowControl/>
        <w:numPr>
          <w:ilvl w:val="0"/>
          <w:numId w:val="0"/>
        </w:numPr>
        <w:kinsoku/>
        <w:wordWrap/>
        <w:overflowPunct/>
        <w:topLinePunct w:val="0"/>
        <w:autoSpaceDE w:val="0"/>
        <w:autoSpaceDN/>
        <w:bidi w:val="0"/>
        <w:adjustRightInd/>
        <w:snapToGrid/>
        <w:spacing w:line="460" w:lineRule="exact"/>
        <w:ind w:firstLine="480" w:firstLineChars="200"/>
        <w:textAlignment w:val="auto"/>
        <w:rPr>
          <w:rFonts w:hint="eastAsia" w:ascii="宋体" w:hAnsi="宋体" w:cs="宋体"/>
          <w:b w:val="0"/>
          <w:bCs w:val="0"/>
          <w:color w:val="auto"/>
          <w:kern w:val="0"/>
          <w:sz w:val="24"/>
          <w:highlight w:val="none"/>
          <w:lang w:eastAsia="zh-CN"/>
        </w:rPr>
      </w:pPr>
      <w:r>
        <w:rPr>
          <w:rFonts w:hint="eastAsia" w:ascii="宋体" w:hAnsi="宋体" w:cs="宋体"/>
          <w:b w:val="0"/>
          <w:bCs w:val="0"/>
          <w:color w:val="auto"/>
          <w:kern w:val="0"/>
          <w:sz w:val="24"/>
          <w:highlight w:val="none"/>
          <w:lang w:eastAsia="zh-CN"/>
        </w:rPr>
        <w:t>时间：2025年</w:t>
      </w:r>
      <w:r>
        <w:rPr>
          <w:rFonts w:hint="eastAsia" w:ascii="宋体" w:hAnsi="宋体" w:cs="宋体"/>
          <w:b w:val="0"/>
          <w:bCs w:val="0"/>
          <w:color w:val="auto"/>
          <w:kern w:val="0"/>
          <w:sz w:val="24"/>
          <w:highlight w:val="none"/>
          <w:lang w:val="en-US" w:eastAsia="zh-CN"/>
        </w:rPr>
        <w:t>5</w:t>
      </w:r>
      <w:r>
        <w:rPr>
          <w:rFonts w:hint="eastAsia" w:ascii="宋体" w:hAnsi="宋体" w:cs="宋体"/>
          <w:b w:val="0"/>
          <w:bCs w:val="0"/>
          <w:color w:val="auto"/>
          <w:kern w:val="0"/>
          <w:sz w:val="24"/>
          <w:highlight w:val="none"/>
          <w:lang w:eastAsia="zh-CN"/>
        </w:rPr>
        <w:t>月</w:t>
      </w:r>
      <w:r>
        <w:rPr>
          <w:rFonts w:hint="eastAsia" w:ascii="宋体" w:hAnsi="宋体" w:cs="宋体"/>
          <w:b w:val="0"/>
          <w:bCs w:val="0"/>
          <w:color w:val="auto"/>
          <w:kern w:val="0"/>
          <w:sz w:val="24"/>
          <w:highlight w:val="none"/>
          <w:lang w:val="en-US" w:eastAsia="zh-CN"/>
        </w:rPr>
        <w:t>29</w:t>
      </w:r>
      <w:r>
        <w:rPr>
          <w:rFonts w:hint="eastAsia" w:ascii="宋体" w:hAnsi="宋体" w:cs="宋体"/>
          <w:b w:val="0"/>
          <w:bCs w:val="0"/>
          <w:color w:val="auto"/>
          <w:kern w:val="0"/>
          <w:sz w:val="24"/>
          <w:highlight w:val="none"/>
          <w:lang w:eastAsia="zh-CN"/>
        </w:rPr>
        <w:t>日至2025年</w:t>
      </w:r>
      <w:r>
        <w:rPr>
          <w:rFonts w:hint="eastAsia" w:ascii="宋体" w:hAnsi="宋体" w:cs="宋体"/>
          <w:b w:val="0"/>
          <w:bCs w:val="0"/>
          <w:color w:val="auto"/>
          <w:kern w:val="0"/>
          <w:sz w:val="24"/>
          <w:highlight w:val="none"/>
          <w:lang w:val="en-US" w:eastAsia="zh-CN"/>
        </w:rPr>
        <w:t>6</w:t>
      </w:r>
      <w:r>
        <w:rPr>
          <w:rFonts w:hint="eastAsia" w:ascii="宋体" w:hAnsi="宋体" w:cs="宋体"/>
          <w:b w:val="0"/>
          <w:bCs w:val="0"/>
          <w:color w:val="auto"/>
          <w:kern w:val="0"/>
          <w:sz w:val="24"/>
          <w:highlight w:val="none"/>
          <w:lang w:eastAsia="zh-CN"/>
        </w:rPr>
        <w:t>月</w:t>
      </w:r>
      <w:r>
        <w:rPr>
          <w:rFonts w:hint="eastAsia" w:ascii="宋体" w:hAnsi="宋体" w:cs="宋体"/>
          <w:b w:val="0"/>
          <w:bCs w:val="0"/>
          <w:color w:val="auto"/>
          <w:kern w:val="0"/>
          <w:sz w:val="24"/>
          <w:highlight w:val="none"/>
          <w:lang w:val="en-US" w:eastAsia="zh-CN"/>
        </w:rPr>
        <w:t>5</w:t>
      </w:r>
      <w:r>
        <w:rPr>
          <w:rFonts w:hint="eastAsia" w:ascii="宋体" w:hAnsi="宋体" w:cs="宋体"/>
          <w:b w:val="0"/>
          <w:bCs w:val="0"/>
          <w:color w:val="auto"/>
          <w:kern w:val="0"/>
          <w:sz w:val="24"/>
          <w:highlight w:val="none"/>
          <w:lang w:eastAsia="zh-CN"/>
        </w:rPr>
        <w:t>日</w:t>
      </w:r>
    </w:p>
    <w:p w14:paraId="1FDB0878">
      <w:pPr>
        <w:pStyle w:val="3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N/>
        <w:bidi w:val="0"/>
        <w:snapToGrid/>
        <w:spacing w:before="0" w:beforeAutospacing="0" w:after="0" w:afterAutospacing="0" w:line="480" w:lineRule="exact"/>
        <w:ind w:left="0" w:right="0" w:firstLine="480"/>
        <w:jc w:val="both"/>
        <w:textAlignment w:val="baseline"/>
        <w:rPr>
          <w:rFonts w:hint="eastAsia" w:ascii="宋体" w:hAnsi="宋体" w:cs="宋体"/>
          <w:b w:val="0"/>
          <w:bCs w:val="0"/>
          <w:color w:val="auto"/>
          <w:kern w:val="0"/>
          <w:sz w:val="24"/>
          <w:highlight w:val="none"/>
          <w:lang w:eastAsia="zh-CN"/>
        </w:rPr>
      </w:pPr>
      <w:r>
        <w:rPr>
          <w:rFonts w:hint="eastAsia" w:ascii="宋体" w:hAnsi="宋体" w:eastAsia="宋体" w:cs="宋体"/>
          <w:i w:val="0"/>
          <w:iCs w:val="0"/>
          <w:caps w:val="0"/>
          <w:color w:val="auto"/>
          <w:spacing w:val="0"/>
          <w:sz w:val="24"/>
          <w:szCs w:val="24"/>
          <w:highlight w:val="none"/>
          <w:shd w:val="clear" w:fill="FFFFFF"/>
          <w:vertAlign w:val="baseline"/>
        </w:rPr>
        <w:t>每天上午08:30:00至12:00:00，下午14:30:00至17:00:00（北京时间）</w:t>
      </w:r>
    </w:p>
    <w:p w14:paraId="08BC1830">
      <w:pPr>
        <w:keepNext w:val="0"/>
        <w:keepLines w:val="0"/>
        <w:pageBreakBefore w:val="0"/>
        <w:widowControl/>
        <w:numPr>
          <w:ilvl w:val="0"/>
          <w:numId w:val="0"/>
        </w:numPr>
        <w:kinsoku/>
        <w:wordWrap/>
        <w:overflowPunct/>
        <w:topLinePunct w:val="0"/>
        <w:autoSpaceDE w:val="0"/>
        <w:autoSpaceDN/>
        <w:bidi w:val="0"/>
        <w:adjustRightInd/>
        <w:snapToGrid/>
        <w:spacing w:line="460" w:lineRule="exact"/>
        <w:ind w:firstLine="480" w:firstLineChars="200"/>
        <w:textAlignment w:val="auto"/>
        <w:rPr>
          <w:rFonts w:hint="eastAsia" w:ascii="宋体" w:hAnsi="宋体" w:cs="宋体"/>
          <w:b w:val="0"/>
          <w:bCs w:val="0"/>
          <w:color w:val="auto"/>
          <w:kern w:val="0"/>
          <w:sz w:val="24"/>
          <w:highlight w:val="none"/>
          <w:lang w:eastAsia="zh-CN"/>
        </w:rPr>
      </w:pPr>
      <w:r>
        <w:rPr>
          <w:rFonts w:hint="eastAsia" w:ascii="宋体" w:hAnsi="宋体" w:cs="宋体"/>
          <w:b w:val="0"/>
          <w:bCs w:val="0"/>
          <w:color w:val="auto"/>
          <w:kern w:val="0"/>
          <w:sz w:val="24"/>
          <w:highlight w:val="none"/>
          <w:lang w:eastAsia="zh-CN"/>
        </w:rPr>
        <w:t>途径：全国公共资源交易平台（陕西省·安康市）网站〖首页〉电子交易平台〉陕西政府采购交易系统〉企业端〗。</w:t>
      </w:r>
    </w:p>
    <w:p w14:paraId="7548B990">
      <w:pPr>
        <w:keepNext w:val="0"/>
        <w:keepLines w:val="0"/>
        <w:pageBreakBefore w:val="0"/>
        <w:widowControl/>
        <w:numPr>
          <w:ilvl w:val="0"/>
          <w:numId w:val="0"/>
        </w:numPr>
        <w:kinsoku/>
        <w:wordWrap/>
        <w:overflowPunct/>
        <w:topLinePunct w:val="0"/>
        <w:autoSpaceDE w:val="0"/>
        <w:autoSpaceDN/>
        <w:bidi w:val="0"/>
        <w:adjustRightInd/>
        <w:snapToGrid/>
        <w:spacing w:line="460" w:lineRule="exact"/>
        <w:ind w:firstLine="480" w:firstLineChars="200"/>
        <w:textAlignment w:val="auto"/>
        <w:rPr>
          <w:rFonts w:hint="eastAsia" w:ascii="宋体" w:hAnsi="宋体" w:cs="宋体"/>
          <w:b w:val="0"/>
          <w:bCs w:val="0"/>
          <w:color w:val="auto"/>
          <w:kern w:val="0"/>
          <w:sz w:val="24"/>
          <w:highlight w:val="none"/>
          <w:lang w:eastAsia="zh-CN"/>
        </w:rPr>
      </w:pPr>
      <w:r>
        <w:rPr>
          <w:rFonts w:hint="eastAsia" w:ascii="宋体" w:hAnsi="宋体" w:cs="宋体"/>
          <w:b w:val="0"/>
          <w:bCs w:val="0"/>
          <w:color w:val="auto"/>
          <w:kern w:val="0"/>
          <w:sz w:val="24"/>
          <w:highlight w:val="none"/>
          <w:lang w:eastAsia="zh-CN"/>
        </w:rPr>
        <w:t>方式：在线获取</w:t>
      </w:r>
    </w:p>
    <w:p w14:paraId="76EBA89C">
      <w:pPr>
        <w:keepNext w:val="0"/>
        <w:keepLines w:val="0"/>
        <w:pageBreakBefore w:val="0"/>
        <w:widowControl/>
        <w:numPr>
          <w:ilvl w:val="0"/>
          <w:numId w:val="0"/>
        </w:numPr>
        <w:kinsoku/>
        <w:wordWrap/>
        <w:overflowPunct/>
        <w:topLinePunct w:val="0"/>
        <w:autoSpaceDE w:val="0"/>
        <w:autoSpaceDN/>
        <w:bidi w:val="0"/>
        <w:adjustRightInd/>
        <w:snapToGrid/>
        <w:spacing w:line="460" w:lineRule="exact"/>
        <w:ind w:firstLine="480" w:firstLineChars="200"/>
        <w:textAlignment w:val="auto"/>
        <w:rPr>
          <w:rFonts w:hint="eastAsia" w:ascii="宋体" w:hAnsi="宋体" w:cs="宋体"/>
          <w:b w:val="0"/>
          <w:bCs w:val="0"/>
          <w:color w:val="auto"/>
          <w:kern w:val="0"/>
          <w:sz w:val="24"/>
          <w:highlight w:val="none"/>
          <w:lang w:eastAsia="zh-CN"/>
        </w:rPr>
      </w:pPr>
      <w:r>
        <w:rPr>
          <w:rFonts w:hint="eastAsia" w:ascii="宋体" w:hAnsi="宋体" w:cs="宋体"/>
          <w:b w:val="0"/>
          <w:bCs w:val="0"/>
          <w:color w:val="auto"/>
          <w:kern w:val="0"/>
          <w:sz w:val="24"/>
          <w:highlight w:val="none"/>
          <w:lang w:eastAsia="zh-CN"/>
        </w:rPr>
        <w:t>售价：0元</w:t>
      </w:r>
    </w:p>
    <w:p w14:paraId="4D311A0B">
      <w:pPr>
        <w:keepNext w:val="0"/>
        <w:keepLines w:val="0"/>
        <w:pageBreakBefore w:val="0"/>
        <w:widowControl/>
        <w:numPr>
          <w:ilvl w:val="0"/>
          <w:numId w:val="0"/>
        </w:numPr>
        <w:kinsoku/>
        <w:wordWrap/>
        <w:overflowPunct/>
        <w:topLinePunct w:val="0"/>
        <w:autoSpaceDE w:val="0"/>
        <w:autoSpaceDN/>
        <w:bidi w:val="0"/>
        <w:adjustRightInd/>
        <w:snapToGrid/>
        <w:spacing w:line="460" w:lineRule="exact"/>
        <w:ind w:firstLine="482" w:firstLineChars="200"/>
        <w:textAlignment w:val="auto"/>
        <w:rPr>
          <w:rFonts w:hint="eastAsia" w:ascii="宋体" w:hAnsi="宋体" w:cs="宋体"/>
          <w:b/>
          <w:bCs/>
          <w:color w:val="auto"/>
          <w:kern w:val="0"/>
          <w:sz w:val="24"/>
          <w:highlight w:val="none"/>
          <w:lang w:eastAsia="zh-CN"/>
        </w:rPr>
      </w:pPr>
      <w:r>
        <w:rPr>
          <w:rFonts w:hint="eastAsia" w:ascii="宋体" w:hAnsi="宋体" w:cs="宋体"/>
          <w:b/>
          <w:bCs/>
          <w:color w:val="auto"/>
          <w:kern w:val="0"/>
          <w:sz w:val="24"/>
          <w:highlight w:val="none"/>
          <w:lang w:eastAsia="zh-CN"/>
        </w:rPr>
        <w:t>四、响应文件提交</w:t>
      </w:r>
    </w:p>
    <w:p w14:paraId="6D5A423D">
      <w:pPr>
        <w:keepNext w:val="0"/>
        <w:keepLines w:val="0"/>
        <w:pageBreakBefore w:val="0"/>
        <w:widowControl/>
        <w:numPr>
          <w:ilvl w:val="0"/>
          <w:numId w:val="0"/>
        </w:numPr>
        <w:kinsoku/>
        <w:wordWrap/>
        <w:overflowPunct/>
        <w:topLinePunct w:val="0"/>
        <w:autoSpaceDE w:val="0"/>
        <w:autoSpaceDN/>
        <w:bidi w:val="0"/>
        <w:adjustRightInd/>
        <w:snapToGrid/>
        <w:spacing w:line="460" w:lineRule="exact"/>
        <w:ind w:firstLine="480" w:firstLineChars="200"/>
        <w:textAlignment w:val="auto"/>
        <w:rPr>
          <w:rFonts w:hint="eastAsia" w:ascii="宋体" w:hAnsi="宋体" w:cs="宋体"/>
          <w:color w:val="auto"/>
          <w:kern w:val="0"/>
          <w:sz w:val="24"/>
          <w:highlight w:val="none"/>
          <w:lang w:eastAsia="zh-CN"/>
        </w:rPr>
      </w:pPr>
      <w:r>
        <w:rPr>
          <w:rFonts w:hint="eastAsia" w:ascii="宋体" w:hAnsi="宋体" w:cs="宋体"/>
          <w:color w:val="auto"/>
          <w:kern w:val="0"/>
          <w:sz w:val="24"/>
          <w:highlight w:val="none"/>
          <w:lang w:eastAsia="zh-CN"/>
        </w:rPr>
        <w:t>截止时间：2025年</w:t>
      </w:r>
      <w:r>
        <w:rPr>
          <w:rFonts w:hint="eastAsia" w:ascii="宋体" w:hAnsi="宋体" w:cs="宋体"/>
          <w:color w:val="auto"/>
          <w:kern w:val="0"/>
          <w:sz w:val="24"/>
          <w:highlight w:val="none"/>
          <w:lang w:val="en-US" w:eastAsia="zh-CN"/>
        </w:rPr>
        <w:t>6</w:t>
      </w:r>
      <w:r>
        <w:rPr>
          <w:rFonts w:hint="eastAsia" w:ascii="宋体" w:hAnsi="宋体" w:cs="宋体"/>
          <w:color w:val="auto"/>
          <w:kern w:val="0"/>
          <w:sz w:val="24"/>
          <w:highlight w:val="none"/>
          <w:lang w:eastAsia="zh-CN"/>
        </w:rPr>
        <w:t>月</w:t>
      </w:r>
      <w:r>
        <w:rPr>
          <w:rFonts w:hint="eastAsia" w:ascii="宋体" w:hAnsi="宋体" w:cs="宋体"/>
          <w:color w:val="auto"/>
          <w:kern w:val="0"/>
          <w:sz w:val="24"/>
          <w:highlight w:val="none"/>
          <w:lang w:val="en-US" w:eastAsia="zh-CN"/>
        </w:rPr>
        <w:t>11</w:t>
      </w:r>
      <w:r>
        <w:rPr>
          <w:rFonts w:hint="eastAsia" w:ascii="宋体" w:hAnsi="宋体" w:cs="宋体"/>
          <w:color w:val="auto"/>
          <w:kern w:val="0"/>
          <w:sz w:val="24"/>
          <w:highlight w:val="none"/>
          <w:lang w:eastAsia="zh-CN"/>
        </w:rPr>
        <w:t>日</w:t>
      </w:r>
      <w:r>
        <w:rPr>
          <w:rFonts w:hint="eastAsia" w:ascii="宋体" w:hAnsi="宋体" w:cs="宋体"/>
          <w:color w:val="auto"/>
          <w:kern w:val="0"/>
          <w:sz w:val="24"/>
          <w:highlight w:val="none"/>
          <w:lang w:val="en-US" w:eastAsia="zh-CN"/>
        </w:rPr>
        <w:t>09</w:t>
      </w:r>
      <w:r>
        <w:rPr>
          <w:rFonts w:hint="eastAsia" w:ascii="宋体" w:hAnsi="宋体" w:cs="宋体"/>
          <w:color w:val="auto"/>
          <w:kern w:val="0"/>
          <w:sz w:val="24"/>
          <w:highlight w:val="none"/>
          <w:lang w:eastAsia="zh-CN"/>
        </w:rPr>
        <w:t>时</w:t>
      </w:r>
      <w:r>
        <w:rPr>
          <w:rFonts w:hint="eastAsia" w:ascii="宋体" w:hAnsi="宋体" w:cs="宋体"/>
          <w:color w:val="auto"/>
          <w:kern w:val="0"/>
          <w:sz w:val="24"/>
          <w:highlight w:val="none"/>
          <w:lang w:val="en-US" w:eastAsia="zh-CN"/>
        </w:rPr>
        <w:t>00</w:t>
      </w:r>
      <w:r>
        <w:rPr>
          <w:rFonts w:hint="eastAsia" w:ascii="宋体" w:hAnsi="宋体" w:cs="宋体"/>
          <w:color w:val="auto"/>
          <w:kern w:val="0"/>
          <w:sz w:val="24"/>
          <w:highlight w:val="none"/>
          <w:lang w:eastAsia="zh-CN"/>
        </w:rPr>
        <w:t>分00秒（北京时间）</w:t>
      </w:r>
    </w:p>
    <w:p w14:paraId="5A285C8F">
      <w:pPr>
        <w:spacing w:line="440" w:lineRule="exact"/>
        <w:ind w:firstLine="480" w:firstLineChars="200"/>
        <w:rPr>
          <w:rFonts w:ascii="宋体" w:hAnsi="宋体" w:cs="宋体"/>
          <w:color w:val="auto"/>
          <w:sz w:val="24"/>
          <w:highlight w:val="none"/>
        </w:rPr>
      </w:pPr>
      <w:r>
        <w:rPr>
          <w:rFonts w:hint="eastAsia" w:ascii="宋体" w:hAnsi="宋体" w:cs="宋体"/>
          <w:color w:val="auto"/>
          <w:sz w:val="24"/>
          <w:highlight w:val="none"/>
        </w:rPr>
        <w:t>提交投标文件地点：全国公共资源交易平台（陕西省·安康市）电子交易平台</w:t>
      </w:r>
    </w:p>
    <w:p w14:paraId="39F4322E">
      <w:pPr>
        <w:keepNext w:val="0"/>
        <w:keepLines w:val="0"/>
        <w:pageBreakBefore w:val="0"/>
        <w:widowControl/>
        <w:numPr>
          <w:ilvl w:val="0"/>
          <w:numId w:val="0"/>
        </w:numPr>
        <w:kinsoku/>
        <w:wordWrap/>
        <w:overflowPunct/>
        <w:topLinePunct w:val="0"/>
        <w:autoSpaceDE w:val="0"/>
        <w:autoSpaceDN/>
        <w:bidi w:val="0"/>
        <w:adjustRightInd/>
        <w:snapToGrid/>
        <w:spacing w:line="460" w:lineRule="exact"/>
        <w:ind w:firstLine="482" w:firstLineChars="200"/>
        <w:textAlignment w:val="auto"/>
        <w:rPr>
          <w:rFonts w:hint="eastAsia" w:ascii="宋体" w:hAnsi="宋体" w:cs="宋体"/>
          <w:b/>
          <w:bCs/>
          <w:color w:val="auto"/>
          <w:kern w:val="0"/>
          <w:sz w:val="24"/>
          <w:highlight w:val="none"/>
          <w:lang w:eastAsia="zh-CN"/>
        </w:rPr>
      </w:pPr>
      <w:r>
        <w:rPr>
          <w:rFonts w:hint="eastAsia" w:ascii="宋体" w:hAnsi="宋体" w:cs="宋体"/>
          <w:b/>
          <w:bCs/>
          <w:color w:val="auto"/>
          <w:kern w:val="0"/>
          <w:sz w:val="24"/>
          <w:highlight w:val="none"/>
          <w:lang w:eastAsia="zh-CN"/>
        </w:rPr>
        <w:t>五、开启</w:t>
      </w:r>
    </w:p>
    <w:p w14:paraId="04711392">
      <w:pPr>
        <w:keepNext w:val="0"/>
        <w:keepLines w:val="0"/>
        <w:pageBreakBefore w:val="0"/>
        <w:widowControl/>
        <w:numPr>
          <w:ilvl w:val="0"/>
          <w:numId w:val="0"/>
        </w:numPr>
        <w:kinsoku/>
        <w:wordWrap/>
        <w:overflowPunct/>
        <w:topLinePunct w:val="0"/>
        <w:autoSpaceDE w:val="0"/>
        <w:autoSpaceDN/>
        <w:bidi w:val="0"/>
        <w:adjustRightInd/>
        <w:snapToGrid/>
        <w:spacing w:line="460" w:lineRule="exact"/>
        <w:ind w:firstLine="480" w:firstLineChars="200"/>
        <w:textAlignment w:val="auto"/>
        <w:rPr>
          <w:rFonts w:hint="eastAsia" w:ascii="宋体" w:hAnsi="宋体" w:cs="宋体"/>
          <w:color w:val="auto"/>
          <w:kern w:val="0"/>
          <w:sz w:val="24"/>
          <w:highlight w:val="none"/>
          <w:lang w:eastAsia="zh-CN"/>
        </w:rPr>
      </w:pPr>
      <w:r>
        <w:rPr>
          <w:rFonts w:hint="eastAsia" w:ascii="宋体" w:hAnsi="宋体" w:cs="宋体"/>
          <w:color w:val="auto"/>
          <w:kern w:val="0"/>
          <w:sz w:val="24"/>
          <w:highlight w:val="none"/>
          <w:lang w:eastAsia="zh-CN"/>
        </w:rPr>
        <w:t>时间：2025年</w:t>
      </w:r>
      <w:r>
        <w:rPr>
          <w:rFonts w:hint="eastAsia" w:ascii="宋体" w:hAnsi="宋体" w:cs="宋体"/>
          <w:color w:val="auto"/>
          <w:kern w:val="0"/>
          <w:sz w:val="24"/>
          <w:highlight w:val="none"/>
          <w:lang w:val="en-US" w:eastAsia="zh-CN"/>
        </w:rPr>
        <w:t>6</w:t>
      </w:r>
      <w:r>
        <w:rPr>
          <w:rFonts w:hint="eastAsia" w:ascii="宋体" w:hAnsi="宋体" w:cs="宋体"/>
          <w:color w:val="auto"/>
          <w:kern w:val="0"/>
          <w:sz w:val="24"/>
          <w:highlight w:val="none"/>
          <w:lang w:eastAsia="zh-CN"/>
        </w:rPr>
        <w:t>月</w:t>
      </w:r>
      <w:r>
        <w:rPr>
          <w:rFonts w:hint="eastAsia" w:ascii="宋体" w:hAnsi="宋体" w:cs="宋体"/>
          <w:color w:val="auto"/>
          <w:kern w:val="0"/>
          <w:sz w:val="24"/>
          <w:highlight w:val="none"/>
          <w:lang w:val="en-US" w:eastAsia="zh-CN"/>
        </w:rPr>
        <w:t>11</w:t>
      </w:r>
      <w:r>
        <w:rPr>
          <w:rFonts w:hint="eastAsia" w:ascii="宋体" w:hAnsi="宋体" w:cs="宋体"/>
          <w:color w:val="auto"/>
          <w:kern w:val="0"/>
          <w:sz w:val="24"/>
          <w:highlight w:val="none"/>
          <w:lang w:eastAsia="zh-CN"/>
        </w:rPr>
        <w:t>日</w:t>
      </w:r>
      <w:r>
        <w:rPr>
          <w:rFonts w:hint="eastAsia" w:ascii="宋体" w:hAnsi="宋体" w:cs="宋体"/>
          <w:color w:val="auto"/>
          <w:kern w:val="0"/>
          <w:sz w:val="24"/>
          <w:highlight w:val="none"/>
          <w:lang w:val="en-US" w:eastAsia="zh-CN"/>
        </w:rPr>
        <w:t>09</w:t>
      </w:r>
      <w:r>
        <w:rPr>
          <w:rFonts w:hint="eastAsia" w:ascii="宋体" w:hAnsi="宋体" w:cs="宋体"/>
          <w:color w:val="auto"/>
          <w:kern w:val="0"/>
          <w:sz w:val="24"/>
          <w:highlight w:val="none"/>
          <w:lang w:eastAsia="zh-CN"/>
        </w:rPr>
        <w:t>时</w:t>
      </w:r>
      <w:r>
        <w:rPr>
          <w:rFonts w:hint="eastAsia" w:ascii="宋体" w:hAnsi="宋体" w:cs="宋体"/>
          <w:color w:val="auto"/>
          <w:kern w:val="0"/>
          <w:sz w:val="24"/>
          <w:highlight w:val="none"/>
          <w:lang w:val="en-US" w:eastAsia="zh-CN"/>
        </w:rPr>
        <w:t>00</w:t>
      </w:r>
      <w:r>
        <w:rPr>
          <w:rFonts w:hint="eastAsia" w:ascii="宋体" w:hAnsi="宋体" w:cs="宋体"/>
          <w:color w:val="auto"/>
          <w:kern w:val="0"/>
          <w:sz w:val="24"/>
          <w:highlight w:val="none"/>
          <w:lang w:eastAsia="zh-CN"/>
        </w:rPr>
        <w:t>分00秒（北京时间）</w:t>
      </w:r>
    </w:p>
    <w:p w14:paraId="08BB64B0">
      <w:pPr>
        <w:spacing w:line="440" w:lineRule="exact"/>
        <w:ind w:firstLine="480" w:firstLineChars="200"/>
        <w:rPr>
          <w:rFonts w:ascii="宋体" w:hAnsi="宋体" w:cs="宋体"/>
          <w:color w:val="auto"/>
          <w:sz w:val="24"/>
          <w:highlight w:val="none"/>
        </w:rPr>
      </w:pPr>
      <w:r>
        <w:rPr>
          <w:rFonts w:hint="eastAsia" w:ascii="宋体" w:hAnsi="宋体" w:cs="宋体"/>
          <w:color w:val="auto"/>
          <w:sz w:val="24"/>
          <w:highlight w:val="none"/>
          <w:shd w:val="clear" w:color="auto" w:fill="FFFFFF"/>
        </w:rPr>
        <w:t>开标地点：</w:t>
      </w:r>
      <w:r>
        <w:rPr>
          <w:rFonts w:hint="eastAsia" w:ascii="宋体" w:hAnsi="宋体" w:cs="宋体"/>
          <w:color w:val="auto"/>
          <w:sz w:val="24"/>
          <w:highlight w:val="none"/>
        </w:rPr>
        <w:t>全国公共资源交易平台（陕西省.安康市）不见面开标大厅</w:t>
      </w:r>
    </w:p>
    <w:p w14:paraId="217CBEF2">
      <w:pPr>
        <w:keepNext w:val="0"/>
        <w:keepLines w:val="0"/>
        <w:pageBreakBefore w:val="0"/>
        <w:widowControl/>
        <w:numPr>
          <w:ilvl w:val="0"/>
          <w:numId w:val="0"/>
        </w:numPr>
        <w:kinsoku/>
        <w:wordWrap/>
        <w:overflowPunct/>
        <w:topLinePunct w:val="0"/>
        <w:autoSpaceDE w:val="0"/>
        <w:autoSpaceDN/>
        <w:bidi w:val="0"/>
        <w:adjustRightInd/>
        <w:snapToGrid/>
        <w:spacing w:line="460" w:lineRule="exact"/>
        <w:ind w:firstLine="482" w:firstLineChars="200"/>
        <w:textAlignment w:val="auto"/>
        <w:rPr>
          <w:rFonts w:hint="eastAsia" w:ascii="宋体" w:hAnsi="宋体" w:cs="宋体"/>
          <w:b/>
          <w:bCs/>
          <w:color w:val="auto"/>
          <w:kern w:val="0"/>
          <w:sz w:val="24"/>
          <w:highlight w:val="none"/>
          <w:lang w:eastAsia="zh-CN"/>
        </w:rPr>
      </w:pPr>
      <w:r>
        <w:rPr>
          <w:rFonts w:hint="eastAsia" w:ascii="宋体" w:hAnsi="宋体" w:cs="宋体"/>
          <w:b/>
          <w:bCs/>
          <w:color w:val="auto"/>
          <w:kern w:val="0"/>
          <w:sz w:val="24"/>
          <w:highlight w:val="none"/>
          <w:lang w:eastAsia="zh-CN"/>
        </w:rPr>
        <w:t>六、公告期限</w:t>
      </w:r>
    </w:p>
    <w:p w14:paraId="204F0B3E">
      <w:pPr>
        <w:keepNext w:val="0"/>
        <w:keepLines w:val="0"/>
        <w:pageBreakBefore w:val="0"/>
        <w:widowControl/>
        <w:numPr>
          <w:ilvl w:val="0"/>
          <w:numId w:val="0"/>
        </w:numPr>
        <w:kinsoku/>
        <w:wordWrap/>
        <w:overflowPunct/>
        <w:topLinePunct w:val="0"/>
        <w:autoSpaceDE w:val="0"/>
        <w:autoSpaceDN/>
        <w:bidi w:val="0"/>
        <w:adjustRightInd/>
        <w:snapToGrid/>
        <w:spacing w:line="460" w:lineRule="exact"/>
        <w:ind w:firstLine="480" w:firstLineChars="200"/>
        <w:textAlignment w:val="auto"/>
        <w:rPr>
          <w:rFonts w:hint="eastAsia" w:ascii="宋体" w:hAnsi="宋体" w:cs="宋体"/>
          <w:color w:val="auto"/>
          <w:kern w:val="0"/>
          <w:sz w:val="24"/>
          <w:highlight w:val="none"/>
          <w:lang w:eastAsia="zh-CN"/>
        </w:rPr>
      </w:pPr>
      <w:r>
        <w:rPr>
          <w:rFonts w:hint="eastAsia" w:ascii="宋体" w:hAnsi="宋体" w:cs="宋体"/>
          <w:color w:val="auto"/>
          <w:kern w:val="0"/>
          <w:sz w:val="24"/>
          <w:highlight w:val="none"/>
          <w:lang w:eastAsia="zh-CN"/>
        </w:rPr>
        <w:t>自本公告发布之日起3个工作日。</w:t>
      </w:r>
    </w:p>
    <w:p w14:paraId="3332F57A">
      <w:pPr>
        <w:keepNext w:val="0"/>
        <w:keepLines w:val="0"/>
        <w:pageBreakBefore w:val="0"/>
        <w:widowControl/>
        <w:numPr>
          <w:ilvl w:val="0"/>
          <w:numId w:val="0"/>
        </w:numPr>
        <w:kinsoku/>
        <w:wordWrap/>
        <w:overflowPunct/>
        <w:topLinePunct w:val="0"/>
        <w:autoSpaceDE w:val="0"/>
        <w:autoSpaceDN/>
        <w:bidi w:val="0"/>
        <w:adjustRightInd/>
        <w:snapToGrid/>
        <w:spacing w:line="460" w:lineRule="exact"/>
        <w:ind w:firstLine="482" w:firstLineChars="200"/>
        <w:textAlignment w:val="auto"/>
        <w:rPr>
          <w:rFonts w:hint="eastAsia" w:ascii="宋体" w:hAnsi="宋体" w:cs="宋体"/>
          <w:b/>
          <w:bCs/>
          <w:color w:val="auto"/>
          <w:kern w:val="0"/>
          <w:sz w:val="24"/>
          <w:highlight w:val="none"/>
          <w:lang w:eastAsia="zh-CN"/>
        </w:rPr>
      </w:pPr>
      <w:r>
        <w:rPr>
          <w:rFonts w:hint="eastAsia" w:ascii="宋体" w:hAnsi="宋体" w:cs="宋体"/>
          <w:b/>
          <w:bCs/>
          <w:color w:val="auto"/>
          <w:kern w:val="0"/>
          <w:sz w:val="24"/>
          <w:highlight w:val="none"/>
          <w:lang w:eastAsia="zh-CN"/>
        </w:rPr>
        <w:t>七、其他补充事宜</w:t>
      </w:r>
    </w:p>
    <w:p w14:paraId="245F7038">
      <w:pPr>
        <w:spacing w:line="440" w:lineRule="exact"/>
        <w:ind w:firstLine="480" w:firstLineChars="200"/>
        <w:rPr>
          <w:rFonts w:ascii="宋体" w:hAnsi="宋体" w:cs="宋体"/>
          <w:color w:val="auto"/>
          <w:kern w:val="0"/>
          <w:sz w:val="24"/>
          <w:highlight w:val="none"/>
        </w:rPr>
      </w:pPr>
      <w:r>
        <w:rPr>
          <w:rFonts w:hint="eastAsia" w:ascii="宋体" w:hAnsi="宋体" w:cs="宋体"/>
          <w:color w:val="auto"/>
          <w:sz w:val="24"/>
          <w:highlight w:val="none"/>
        </w:rPr>
        <w:t>（1）获取须知：投标供应商使用捆绑CA证书登录安康市公共资源交易中心（http://ak.sxggzyjy.cn/），选择电子交易平台中的陕西政府采购交易系统（http://www.sxggzyjy.cn:9002/TPBidder）进行登录，登录后选择“交易乙方”身份进入供应商界面进行报名。网络平台机构：安康市公共资源交易中心，联系方式：0915-2110976。</w:t>
      </w:r>
      <w:r>
        <w:rPr>
          <w:rFonts w:hint="eastAsia" w:ascii="宋体" w:hAnsi="宋体" w:cs="宋体"/>
          <w:color w:val="auto"/>
          <w:kern w:val="0"/>
          <w:sz w:val="24"/>
          <w:highlight w:val="none"/>
        </w:rPr>
        <w:t xml:space="preserve"> </w:t>
      </w:r>
      <w:r>
        <w:rPr>
          <w:rFonts w:ascii="微软雅黑" w:hAnsi="微软雅黑" w:eastAsia="微软雅黑" w:cs="微软雅黑"/>
          <w:i w:val="0"/>
          <w:iCs w:val="0"/>
          <w:caps w:val="0"/>
          <w:color w:val="auto"/>
          <w:spacing w:val="0"/>
          <w:sz w:val="21"/>
          <w:szCs w:val="21"/>
          <w:highlight w:val="none"/>
          <w:shd w:val="clear" w:fill="FFFFFF"/>
        </w:rPr>
        <w:t> </w:t>
      </w:r>
    </w:p>
    <w:p w14:paraId="56B7E9F9">
      <w:pPr>
        <w:spacing w:line="440" w:lineRule="exact"/>
        <w:ind w:firstLine="480" w:firstLineChars="200"/>
        <w:rPr>
          <w:rFonts w:hint="eastAsia" w:ascii="宋体" w:hAnsi="宋体" w:cs="宋体"/>
          <w:color w:val="auto"/>
          <w:sz w:val="24"/>
          <w:highlight w:val="none"/>
        </w:rPr>
      </w:pPr>
      <w:r>
        <w:rPr>
          <w:rFonts w:hint="eastAsia" w:ascii="宋体" w:hAnsi="宋体" w:cs="宋体"/>
          <w:color w:val="auto"/>
          <w:sz w:val="24"/>
          <w:highlight w:val="none"/>
        </w:rPr>
        <w:t>（</w:t>
      </w:r>
      <w:r>
        <w:rPr>
          <w:rFonts w:hint="eastAsia" w:ascii="宋体" w:hAnsi="宋体" w:cs="宋体"/>
          <w:color w:val="auto"/>
          <w:sz w:val="24"/>
          <w:highlight w:val="none"/>
          <w:lang w:val="en-US" w:eastAsia="zh-CN"/>
        </w:rPr>
        <w:t>2</w:t>
      </w:r>
      <w:r>
        <w:rPr>
          <w:rFonts w:hint="eastAsia" w:ascii="宋体" w:hAnsi="宋体" w:cs="宋体"/>
          <w:color w:val="auto"/>
          <w:sz w:val="24"/>
          <w:highlight w:val="none"/>
        </w:rPr>
        <w:t>）使用捆绑省交易平台的CA锁登录电子交易平台，通过政府采购系统企业端进入，点击我要投标，完善相关投标信息，下载采购文件。未完成网上操作的，无法完成后续流程，后果自负。</w:t>
      </w:r>
    </w:p>
    <w:p w14:paraId="2D96B5A7">
      <w:pPr>
        <w:spacing w:line="440" w:lineRule="exact"/>
        <w:ind w:firstLine="480" w:firstLineChars="200"/>
        <w:rPr>
          <w:rFonts w:hint="eastAsia" w:ascii="宋体" w:hAnsi="宋体" w:cs="宋体"/>
          <w:color w:val="auto"/>
          <w:sz w:val="24"/>
          <w:highlight w:val="none"/>
        </w:rPr>
      </w:pPr>
      <w:r>
        <w:rPr>
          <w:rFonts w:hint="eastAsia" w:ascii="宋体" w:hAnsi="宋体" w:cs="宋体"/>
          <w:color w:val="auto"/>
          <w:sz w:val="24"/>
          <w:highlight w:val="none"/>
        </w:rPr>
        <w:t xml:space="preserve"> （</w:t>
      </w:r>
      <w:r>
        <w:rPr>
          <w:rFonts w:hint="eastAsia" w:ascii="宋体" w:hAnsi="宋体" w:cs="宋体"/>
          <w:color w:val="auto"/>
          <w:sz w:val="24"/>
          <w:highlight w:val="none"/>
          <w:lang w:val="en-US" w:eastAsia="zh-CN"/>
        </w:rPr>
        <w:t>3</w:t>
      </w:r>
      <w:r>
        <w:rPr>
          <w:rFonts w:hint="eastAsia" w:ascii="宋体" w:hAnsi="宋体" w:cs="宋体"/>
          <w:color w:val="auto"/>
          <w:sz w:val="24"/>
          <w:highlight w:val="none"/>
        </w:rPr>
        <w:t>）投标供应商在线上报名成功后请将</w:t>
      </w:r>
      <w:r>
        <w:rPr>
          <w:rFonts w:hint="eastAsia" w:ascii="宋体" w:hAnsi="宋体" w:cs="宋体"/>
          <w:color w:val="auto"/>
          <w:sz w:val="24"/>
          <w:highlight w:val="none"/>
          <w:lang w:val="en-US" w:eastAsia="zh-CN"/>
        </w:rPr>
        <w:t>营业执照复印件加盖单位公章、</w:t>
      </w:r>
      <w:r>
        <w:rPr>
          <w:rFonts w:hint="eastAsia" w:ascii="宋体" w:hAnsi="宋体" w:cs="宋体"/>
          <w:color w:val="auto"/>
          <w:sz w:val="24"/>
          <w:highlight w:val="none"/>
        </w:rPr>
        <w:t>法定代表人投标（须提供法定代表人身份证明）或法定代表人授权委托书（后附法定代表人、被授权人身份证复印件、联系电话、邮箱）加盖公章扫描发送至陕西华晟鼎业项目管理有限公司邮箱内（1902304598@qq.com）。</w:t>
      </w:r>
    </w:p>
    <w:p w14:paraId="6B47E22B">
      <w:pPr>
        <w:spacing w:line="440" w:lineRule="exact"/>
        <w:ind w:firstLine="480" w:firstLineChars="200"/>
        <w:rPr>
          <w:rFonts w:ascii="宋体" w:hAnsi="宋体" w:cs="宋体"/>
          <w:color w:val="auto"/>
          <w:sz w:val="24"/>
          <w:highlight w:val="none"/>
        </w:rPr>
      </w:pPr>
      <w:r>
        <w:rPr>
          <w:rFonts w:hint="eastAsia" w:ascii="宋体" w:hAnsi="宋体" w:cs="宋体"/>
          <w:color w:val="auto"/>
          <w:sz w:val="24"/>
          <w:highlight w:val="none"/>
        </w:rPr>
        <w:t>（4）本项目采用电子化投标的方式，相关操作流程详见全国公共资源交易平台（陕西省）网站[服务指南-下载专区]中的《陕西省公共资源交易中心政府采购项目投标指南》；</w:t>
      </w:r>
    </w:p>
    <w:p w14:paraId="5EC8E38F">
      <w:pPr>
        <w:spacing w:line="440" w:lineRule="exact"/>
        <w:ind w:firstLine="480" w:firstLineChars="200"/>
        <w:rPr>
          <w:rFonts w:ascii="宋体" w:hAnsi="宋体" w:cs="宋体"/>
          <w:color w:val="auto"/>
          <w:sz w:val="24"/>
          <w:highlight w:val="none"/>
        </w:rPr>
      </w:pPr>
      <w:r>
        <w:rPr>
          <w:rFonts w:hint="eastAsia" w:ascii="宋体" w:hAnsi="宋体" w:cs="宋体"/>
          <w:color w:val="auto"/>
          <w:sz w:val="24"/>
          <w:highlight w:val="none"/>
        </w:rPr>
        <w:t>（5）电子招标文件技术支持：4009280095、4009980000；</w:t>
      </w:r>
    </w:p>
    <w:p w14:paraId="12765DDD">
      <w:pPr>
        <w:widowControl/>
        <w:tabs>
          <w:tab w:val="left" w:pos="0"/>
        </w:tabs>
        <w:autoSpaceDE w:val="0"/>
        <w:spacing w:line="500" w:lineRule="exact"/>
        <w:ind w:firstLine="480" w:firstLineChars="200"/>
        <w:rPr>
          <w:rFonts w:ascii="宋体" w:hAnsi="宋体" w:cs="宋体"/>
          <w:b/>
          <w:bCs/>
          <w:color w:val="auto"/>
          <w:kern w:val="0"/>
          <w:sz w:val="24"/>
          <w:highlight w:val="none"/>
        </w:rPr>
      </w:pPr>
      <w:r>
        <w:rPr>
          <w:rFonts w:hint="eastAsia" w:ascii="宋体" w:hAnsi="宋体" w:cs="宋体"/>
          <w:color w:val="auto"/>
          <w:sz w:val="24"/>
          <w:highlight w:val="none"/>
        </w:rPr>
        <w:t>（6）请各供应商获取文件后，按照陕西省财政厅《关于政府采购供应商注册登记有关事项的通知》要求，通过陕西省政府采购网注册登记加入陕西省政府采购供应商库。</w:t>
      </w:r>
    </w:p>
    <w:p w14:paraId="5A6B8B89">
      <w:pPr>
        <w:keepNext w:val="0"/>
        <w:keepLines w:val="0"/>
        <w:pageBreakBefore w:val="0"/>
        <w:widowControl/>
        <w:numPr>
          <w:ilvl w:val="0"/>
          <w:numId w:val="0"/>
        </w:numPr>
        <w:kinsoku/>
        <w:wordWrap/>
        <w:overflowPunct/>
        <w:topLinePunct w:val="0"/>
        <w:autoSpaceDE w:val="0"/>
        <w:autoSpaceDN/>
        <w:bidi w:val="0"/>
        <w:adjustRightInd/>
        <w:snapToGrid/>
        <w:spacing w:line="460" w:lineRule="exact"/>
        <w:ind w:firstLine="482" w:firstLineChars="200"/>
        <w:textAlignment w:val="auto"/>
        <w:rPr>
          <w:rFonts w:hint="eastAsia" w:ascii="宋体" w:hAnsi="宋体" w:cs="宋体"/>
          <w:b/>
          <w:bCs/>
          <w:color w:val="auto"/>
          <w:kern w:val="0"/>
          <w:sz w:val="24"/>
          <w:highlight w:val="none"/>
          <w:lang w:eastAsia="zh-CN"/>
        </w:rPr>
      </w:pPr>
      <w:r>
        <w:rPr>
          <w:rFonts w:hint="eastAsia" w:ascii="宋体" w:hAnsi="宋体" w:cs="宋体"/>
          <w:b/>
          <w:bCs/>
          <w:color w:val="auto"/>
          <w:kern w:val="0"/>
          <w:sz w:val="24"/>
          <w:highlight w:val="none"/>
          <w:lang w:eastAsia="zh-CN"/>
        </w:rPr>
        <w:t>八、对本次招标提出询问，请按以下方式联系。</w:t>
      </w:r>
    </w:p>
    <w:p w14:paraId="06379D63">
      <w:pPr>
        <w:keepNext w:val="0"/>
        <w:keepLines w:val="0"/>
        <w:pageBreakBefore w:val="0"/>
        <w:widowControl/>
        <w:numPr>
          <w:ilvl w:val="0"/>
          <w:numId w:val="0"/>
        </w:numPr>
        <w:kinsoku/>
        <w:wordWrap/>
        <w:overflowPunct/>
        <w:topLinePunct w:val="0"/>
        <w:autoSpaceDE w:val="0"/>
        <w:autoSpaceDN/>
        <w:bidi w:val="0"/>
        <w:adjustRightInd/>
        <w:snapToGrid/>
        <w:spacing w:line="460" w:lineRule="exact"/>
        <w:ind w:firstLine="480" w:firstLineChars="200"/>
        <w:textAlignment w:val="auto"/>
        <w:rPr>
          <w:rFonts w:hint="eastAsia" w:ascii="宋体" w:hAnsi="宋体" w:cs="宋体"/>
          <w:color w:val="auto"/>
          <w:kern w:val="0"/>
          <w:sz w:val="24"/>
          <w:highlight w:val="none"/>
          <w:lang w:eastAsia="zh-CN"/>
        </w:rPr>
      </w:pPr>
      <w:r>
        <w:rPr>
          <w:rFonts w:hint="eastAsia" w:ascii="宋体" w:hAnsi="宋体" w:cs="宋体"/>
          <w:color w:val="auto"/>
          <w:kern w:val="0"/>
          <w:sz w:val="24"/>
          <w:highlight w:val="none"/>
          <w:lang w:eastAsia="zh-CN"/>
        </w:rPr>
        <w:t>1.采购人信息</w:t>
      </w:r>
    </w:p>
    <w:p w14:paraId="5F5305F3">
      <w:pPr>
        <w:keepNext w:val="0"/>
        <w:keepLines w:val="0"/>
        <w:pageBreakBefore w:val="0"/>
        <w:widowControl/>
        <w:numPr>
          <w:ilvl w:val="0"/>
          <w:numId w:val="0"/>
        </w:numPr>
        <w:kinsoku/>
        <w:wordWrap/>
        <w:overflowPunct/>
        <w:topLinePunct w:val="0"/>
        <w:autoSpaceDE w:val="0"/>
        <w:autoSpaceDN/>
        <w:bidi w:val="0"/>
        <w:adjustRightInd/>
        <w:snapToGrid/>
        <w:spacing w:line="460" w:lineRule="exact"/>
        <w:ind w:firstLine="480" w:firstLineChars="200"/>
        <w:textAlignment w:val="auto"/>
        <w:rPr>
          <w:rFonts w:hint="default" w:ascii="宋体" w:hAnsi="宋体" w:cs="宋体"/>
          <w:color w:val="auto"/>
          <w:kern w:val="0"/>
          <w:sz w:val="24"/>
          <w:highlight w:val="none"/>
          <w:lang w:val="en-US" w:eastAsia="zh-CN"/>
        </w:rPr>
      </w:pPr>
      <w:r>
        <w:rPr>
          <w:rFonts w:hint="eastAsia" w:ascii="宋体" w:hAnsi="宋体" w:cs="宋体"/>
          <w:color w:val="auto"/>
          <w:kern w:val="0"/>
          <w:sz w:val="24"/>
          <w:highlight w:val="none"/>
          <w:lang w:eastAsia="zh-CN"/>
        </w:rPr>
        <w:t>名称：安康市</w:t>
      </w:r>
      <w:r>
        <w:rPr>
          <w:rFonts w:hint="eastAsia" w:ascii="宋体" w:hAnsi="宋体" w:cs="宋体"/>
          <w:color w:val="auto"/>
          <w:kern w:val="0"/>
          <w:sz w:val="24"/>
          <w:highlight w:val="none"/>
          <w:lang w:val="en-US" w:eastAsia="zh-CN"/>
        </w:rPr>
        <w:t>人民医院</w:t>
      </w:r>
    </w:p>
    <w:p w14:paraId="1E9D5023">
      <w:pPr>
        <w:keepNext w:val="0"/>
        <w:keepLines w:val="0"/>
        <w:pageBreakBefore w:val="0"/>
        <w:widowControl/>
        <w:numPr>
          <w:ilvl w:val="0"/>
          <w:numId w:val="0"/>
        </w:numPr>
        <w:kinsoku/>
        <w:wordWrap/>
        <w:overflowPunct/>
        <w:topLinePunct w:val="0"/>
        <w:autoSpaceDE w:val="0"/>
        <w:autoSpaceDN/>
        <w:bidi w:val="0"/>
        <w:adjustRightInd/>
        <w:snapToGrid/>
        <w:spacing w:line="460" w:lineRule="exact"/>
        <w:ind w:firstLine="480" w:firstLineChars="200"/>
        <w:textAlignment w:val="auto"/>
        <w:rPr>
          <w:rFonts w:hint="eastAsia" w:ascii="宋体" w:hAnsi="宋体" w:cs="宋体"/>
          <w:color w:val="auto"/>
          <w:kern w:val="0"/>
          <w:sz w:val="24"/>
          <w:highlight w:val="none"/>
          <w:lang w:val="en-US" w:eastAsia="zh-CN"/>
        </w:rPr>
      </w:pPr>
      <w:r>
        <w:rPr>
          <w:rFonts w:hint="eastAsia" w:ascii="宋体" w:hAnsi="宋体" w:cs="宋体"/>
          <w:color w:val="auto"/>
          <w:kern w:val="0"/>
          <w:sz w:val="24"/>
          <w:highlight w:val="none"/>
          <w:lang w:eastAsia="zh-CN"/>
        </w:rPr>
        <w:t>地址：安康市江北大道</w:t>
      </w:r>
      <w:r>
        <w:rPr>
          <w:rFonts w:hint="eastAsia" w:ascii="宋体" w:hAnsi="宋体" w:cs="宋体"/>
          <w:color w:val="auto"/>
          <w:kern w:val="0"/>
          <w:sz w:val="24"/>
          <w:highlight w:val="none"/>
          <w:lang w:val="en-US" w:eastAsia="zh-CN"/>
        </w:rPr>
        <w:t>38号</w:t>
      </w:r>
    </w:p>
    <w:p w14:paraId="4712BA43">
      <w:pPr>
        <w:keepNext w:val="0"/>
        <w:keepLines w:val="0"/>
        <w:pageBreakBefore w:val="0"/>
        <w:widowControl/>
        <w:numPr>
          <w:ilvl w:val="0"/>
          <w:numId w:val="0"/>
        </w:numPr>
        <w:kinsoku/>
        <w:wordWrap/>
        <w:overflowPunct/>
        <w:topLinePunct w:val="0"/>
        <w:autoSpaceDE w:val="0"/>
        <w:autoSpaceDN/>
        <w:bidi w:val="0"/>
        <w:adjustRightInd/>
        <w:snapToGrid/>
        <w:spacing w:line="460" w:lineRule="exact"/>
        <w:ind w:firstLine="480" w:firstLineChars="200"/>
        <w:textAlignment w:val="auto"/>
        <w:rPr>
          <w:rFonts w:hint="default" w:ascii="宋体" w:hAnsi="宋体" w:cs="宋体"/>
          <w:color w:val="auto"/>
          <w:kern w:val="0"/>
          <w:sz w:val="24"/>
          <w:highlight w:val="none"/>
          <w:lang w:val="en-US" w:eastAsia="zh-CN"/>
        </w:rPr>
      </w:pPr>
      <w:r>
        <w:rPr>
          <w:rFonts w:hint="eastAsia" w:ascii="宋体" w:hAnsi="宋体" w:cs="宋体"/>
          <w:color w:val="auto"/>
          <w:kern w:val="0"/>
          <w:sz w:val="24"/>
          <w:highlight w:val="none"/>
          <w:lang w:val="en-US" w:eastAsia="zh-CN"/>
        </w:rPr>
        <w:t>联系人：胡先生</w:t>
      </w:r>
    </w:p>
    <w:p w14:paraId="5C9D10EF">
      <w:pPr>
        <w:keepNext w:val="0"/>
        <w:keepLines w:val="0"/>
        <w:pageBreakBefore w:val="0"/>
        <w:widowControl/>
        <w:numPr>
          <w:ilvl w:val="0"/>
          <w:numId w:val="0"/>
        </w:numPr>
        <w:kinsoku/>
        <w:wordWrap/>
        <w:overflowPunct/>
        <w:topLinePunct w:val="0"/>
        <w:autoSpaceDE w:val="0"/>
        <w:autoSpaceDN/>
        <w:bidi w:val="0"/>
        <w:adjustRightInd/>
        <w:snapToGrid/>
        <w:spacing w:line="460" w:lineRule="exact"/>
        <w:ind w:firstLine="480" w:firstLineChars="200"/>
        <w:textAlignment w:val="auto"/>
        <w:rPr>
          <w:rFonts w:hint="eastAsia" w:ascii="宋体" w:hAnsi="宋体" w:cs="宋体"/>
          <w:color w:val="auto"/>
          <w:kern w:val="0"/>
          <w:sz w:val="24"/>
          <w:highlight w:val="none"/>
          <w:lang w:eastAsia="zh-CN"/>
        </w:rPr>
      </w:pPr>
      <w:r>
        <w:rPr>
          <w:rFonts w:hint="eastAsia" w:ascii="宋体" w:hAnsi="宋体" w:cs="宋体"/>
          <w:color w:val="auto"/>
          <w:kern w:val="0"/>
          <w:sz w:val="24"/>
          <w:highlight w:val="none"/>
          <w:lang w:eastAsia="zh-CN"/>
        </w:rPr>
        <w:t>联系方式：</w:t>
      </w:r>
      <w:r>
        <w:rPr>
          <w:rFonts w:hint="eastAsia" w:ascii="宋体" w:hAnsi="宋体" w:cs="宋体"/>
          <w:color w:val="auto"/>
          <w:kern w:val="0"/>
          <w:sz w:val="24"/>
          <w:highlight w:val="none"/>
          <w:lang w:val="en-US" w:eastAsia="zh-CN"/>
        </w:rPr>
        <w:t>0915-3360133</w:t>
      </w:r>
      <w:r>
        <w:rPr>
          <w:rFonts w:hint="eastAsia" w:ascii="宋体" w:hAnsi="宋体" w:cs="宋体"/>
          <w:color w:val="auto"/>
          <w:kern w:val="0"/>
          <w:sz w:val="24"/>
          <w:highlight w:val="none"/>
          <w:lang w:eastAsia="zh-CN"/>
        </w:rPr>
        <w:t xml:space="preserve"> </w:t>
      </w:r>
    </w:p>
    <w:p w14:paraId="3D4B252C">
      <w:pPr>
        <w:keepNext w:val="0"/>
        <w:keepLines w:val="0"/>
        <w:pageBreakBefore w:val="0"/>
        <w:widowControl/>
        <w:numPr>
          <w:ilvl w:val="0"/>
          <w:numId w:val="0"/>
        </w:numPr>
        <w:kinsoku/>
        <w:wordWrap/>
        <w:overflowPunct/>
        <w:topLinePunct w:val="0"/>
        <w:autoSpaceDE w:val="0"/>
        <w:autoSpaceDN/>
        <w:bidi w:val="0"/>
        <w:adjustRightInd/>
        <w:snapToGrid/>
        <w:spacing w:line="460" w:lineRule="exact"/>
        <w:ind w:firstLine="480" w:firstLineChars="200"/>
        <w:textAlignment w:val="auto"/>
        <w:rPr>
          <w:rFonts w:hint="eastAsia" w:ascii="宋体" w:hAnsi="宋体" w:cs="宋体"/>
          <w:color w:val="auto"/>
          <w:kern w:val="0"/>
          <w:sz w:val="24"/>
          <w:highlight w:val="none"/>
          <w:lang w:eastAsia="zh-CN"/>
        </w:rPr>
      </w:pPr>
      <w:r>
        <w:rPr>
          <w:rFonts w:hint="eastAsia" w:ascii="宋体" w:hAnsi="宋体" w:cs="宋体"/>
          <w:color w:val="auto"/>
          <w:kern w:val="0"/>
          <w:sz w:val="24"/>
          <w:highlight w:val="none"/>
          <w:lang w:eastAsia="zh-CN"/>
        </w:rPr>
        <w:t>2.采购代理机构信息</w:t>
      </w:r>
    </w:p>
    <w:p w14:paraId="767A27E9">
      <w:pPr>
        <w:keepNext w:val="0"/>
        <w:keepLines w:val="0"/>
        <w:pageBreakBefore w:val="0"/>
        <w:widowControl/>
        <w:numPr>
          <w:ilvl w:val="0"/>
          <w:numId w:val="0"/>
        </w:numPr>
        <w:kinsoku/>
        <w:wordWrap/>
        <w:overflowPunct/>
        <w:topLinePunct w:val="0"/>
        <w:autoSpaceDE w:val="0"/>
        <w:autoSpaceDN/>
        <w:bidi w:val="0"/>
        <w:adjustRightInd/>
        <w:snapToGrid/>
        <w:spacing w:line="460" w:lineRule="exact"/>
        <w:ind w:firstLine="480" w:firstLineChars="200"/>
        <w:textAlignment w:val="auto"/>
        <w:rPr>
          <w:rFonts w:hint="eastAsia" w:ascii="宋体" w:hAnsi="宋体" w:cs="宋体"/>
          <w:color w:val="auto"/>
          <w:kern w:val="0"/>
          <w:sz w:val="24"/>
          <w:highlight w:val="none"/>
          <w:lang w:eastAsia="zh-CN"/>
        </w:rPr>
      </w:pPr>
      <w:r>
        <w:rPr>
          <w:rFonts w:hint="eastAsia" w:ascii="宋体" w:hAnsi="宋体" w:cs="宋体"/>
          <w:color w:val="auto"/>
          <w:kern w:val="0"/>
          <w:sz w:val="24"/>
          <w:highlight w:val="none"/>
          <w:lang w:eastAsia="zh-CN"/>
        </w:rPr>
        <w:t>名称：陕西华晟鼎业项目管理有限公司</w:t>
      </w:r>
    </w:p>
    <w:p w14:paraId="41A69014">
      <w:pPr>
        <w:keepNext w:val="0"/>
        <w:keepLines w:val="0"/>
        <w:pageBreakBefore w:val="0"/>
        <w:widowControl/>
        <w:numPr>
          <w:ilvl w:val="0"/>
          <w:numId w:val="0"/>
        </w:numPr>
        <w:kinsoku/>
        <w:wordWrap/>
        <w:overflowPunct/>
        <w:topLinePunct w:val="0"/>
        <w:autoSpaceDE w:val="0"/>
        <w:autoSpaceDN/>
        <w:bidi w:val="0"/>
        <w:adjustRightInd/>
        <w:snapToGrid/>
        <w:spacing w:line="460" w:lineRule="exact"/>
        <w:ind w:firstLine="480" w:firstLineChars="200"/>
        <w:textAlignment w:val="auto"/>
        <w:rPr>
          <w:rFonts w:hint="eastAsia" w:ascii="宋体" w:hAnsi="宋体" w:cs="宋体"/>
          <w:color w:val="auto"/>
          <w:kern w:val="0"/>
          <w:sz w:val="24"/>
          <w:highlight w:val="none"/>
          <w:lang w:eastAsia="zh-CN"/>
        </w:rPr>
      </w:pPr>
      <w:r>
        <w:rPr>
          <w:rFonts w:hint="eastAsia" w:ascii="宋体" w:hAnsi="宋体" w:cs="宋体"/>
          <w:color w:val="auto"/>
          <w:kern w:val="0"/>
          <w:sz w:val="24"/>
          <w:highlight w:val="none"/>
          <w:lang w:eastAsia="zh-CN"/>
        </w:rPr>
        <w:t>地址：陕西省安康市汉滨区新城街道办事处教场社区巴山中路102号元辰国际B栋1302室</w:t>
      </w:r>
    </w:p>
    <w:p w14:paraId="09F92D7F">
      <w:pPr>
        <w:keepNext w:val="0"/>
        <w:keepLines w:val="0"/>
        <w:pageBreakBefore w:val="0"/>
        <w:widowControl/>
        <w:numPr>
          <w:ilvl w:val="0"/>
          <w:numId w:val="0"/>
        </w:numPr>
        <w:kinsoku/>
        <w:wordWrap/>
        <w:overflowPunct/>
        <w:topLinePunct w:val="0"/>
        <w:autoSpaceDE w:val="0"/>
        <w:autoSpaceDN/>
        <w:bidi w:val="0"/>
        <w:adjustRightInd/>
        <w:snapToGrid/>
        <w:spacing w:line="460" w:lineRule="exact"/>
        <w:ind w:firstLine="480" w:firstLineChars="200"/>
        <w:textAlignment w:val="auto"/>
        <w:rPr>
          <w:rFonts w:hint="eastAsia" w:ascii="宋体" w:hAnsi="宋体" w:cs="宋体"/>
          <w:color w:val="auto"/>
          <w:kern w:val="0"/>
          <w:sz w:val="24"/>
          <w:highlight w:val="none"/>
          <w:lang w:eastAsia="zh-CN"/>
        </w:rPr>
      </w:pPr>
      <w:r>
        <w:rPr>
          <w:rFonts w:hint="eastAsia" w:ascii="宋体" w:hAnsi="宋体" w:cs="宋体"/>
          <w:color w:val="auto"/>
          <w:kern w:val="0"/>
          <w:sz w:val="24"/>
          <w:highlight w:val="none"/>
          <w:lang w:eastAsia="zh-CN"/>
        </w:rPr>
        <w:t>联系方式：15332695156</w:t>
      </w:r>
    </w:p>
    <w:p w14:paraId="12851598">
      <w:pPr>
        <w:keepNext w:val="0"/>
        <w:keepLines w:val="0"/>
        <w:pageBreakBefore w:val="0"/>
        <w:widowControl/>
        <w:numPr>
          <w:ilvl w:val="0"/>
          <w:numId w:val="0"/>
        </w:numPr>
        <w:kinsoku/>
        <w:wordWrap/>
        <w:overflowPunct/>
        <w:topLinePunct w:val="0"/>
        <w:autoSpaceDE w:val="0"/>
        <w:autoSpaceDN/>
        <w:bidi w:val="0"/>
        <w:adjustRightInd/>
        <w:snapToGrid/>
        <w:spacing w:line="460" w:lineRule="exact"/>
        <w:ind w:firstLine="480" w:firstLineChars="200"/>
        <w:textAlignment w:val="auto"/>
        <w:rPr>
          <w:rFonts w:hint="eastAsia" w:ascii="宋体" w:hAnsi="宋体" w:cs="宋体"/>
          <w:color w:val="auto"/>
          <w:kern w:val="0"/>
          <w:sz w:val="24"/>
          <w:highlight w:val="none"/>
          <w:lang w:eastAsia="zh-CN"/>
        </w:rPr>
      </w:pPr>
      <w:r>
        <w:rPr>
          <w:rFonts w:hint="eastAsia" w:ascii="宋体" w:hAnsi="宋体" w:cs="宋体"/>
          <w:color w:val="auto"/>
          <w:kern w:val="0"/>
          <w:sz w:val="24"/>
          <w:highlight w:val="none"/>
          <w:lang w:eastAsia="zh-CN"/>
        </w:rPr>
        <w:t>3.项目联系方式</w:t>
      </w:r>
    </w:p>
    <w:p w14:paraId="0AB485AF">
      <w:pPr>
        <w:keepNext w:val="0"/>
        <w:keepLines w:val="0"/>
        <w:pageBreakBefore w:val="0"/>
        <w:widowControl/>
        <w:numPr>
          <w:ilvl w:val="0"/>
          <w:numId w:val="0"/>
        </w:numPr>
        <w:kinsoku/>
        <w:wordWrap/>
        <w:overflowPunct/>
        <w:topLinePunct w:val="0"/>
        <w:autoSpaceDE w:val="0"/>
        <w:autoSpaceDN/>
        <w:bidi w:val="0"/>
        <w:adjustRightInd/>
        <w:snapToGrid/>
        <w:spacing w:line="460" w:lineRule="exact"/>
        <w:ind w:firstLine="480" w:firstLineChars="200"/>
        <w:textAlignment w:val="auto"/>
        <w:rPr>
          <w:rFonts w:hint="eastAsia" w:ascii="宋体" w:hAnsi="宋体" w:cs="宋体"/>
          <w:color w:val="auto"/>
          <w:kern w:val="0"/>
          <w:sz w:val="24"/>
          <w:highlight w:val="none"/>
          <w:lang w:eastAsia="zh-CN"/>
        </w:rPr>
      </w:pPr>
      <w:r>
        <w:rPr>
          <w:rFonts w:hint="eastAsia" w:ascii="宋体" w:hAnsi="宋体" w:cs="宋体"/>
          <w:color w:val="auto"/>
          <w:kern w:val="0"/>
          <w:sz w:val="24"/>
          <w:highlight w:val="none"/>
          <w:lang w:eastAsia="zh-CN"/>
        </w:rPr>
        <w:t>项目联系人：贺工</w:t>
      </w:r>
    </w:p>
    <w:p w14:paraId="68338605">
      <w:pPr>
        <w:keepNext w:val="0"/>
        <w:keepLines w:val="0"/>
        <w:pageBreakBefore w:val="0"/>
        <w:widowControl/>
        <w:numPr>
          <w:ilvl w:val="0"/>
          <w:numId w:val="0"/>
        </w:numPr>
        <w:kinsoku/>
        <w:wordWrap/>
        <w:overflowPunct/>
        <w:topLinePunct w:val="0"/>
        <w:autoSpaceDE w:val="0"/>
        <w:autoSpaceDN/>
        <w:bidi w:val="0"/>
        <w:adjustRightInd/>
        <w:snapToGrid/>
        <w:spacing w:line="460" w:lineRule="exact"/>
        <w:ind w:firstLine="480" w:firstLineChars="200"/>
        <w:textAlignment w:val="auto"/>
        <w:rPr>
          <w:rFonts w:hint="eastAsia" w:ascii="宋体" w:hAnsi="宋体" w:cs="宋体"/>
          <w:color w:val="auto"/>
          <w:kern w:val="0"/>
          <w:sz w:val="24"/>
          <w:highlight w:val="none"/>
          <w:lang w:eastAsia="zh-CN"/>
        </w:rPr>
      </w:pPr>
      <w:r>
        <w:rPr>
          <w:rFonts w:hint="eastAsia" w:ascii="宋体" w:hAnsi="宋体" w:cs="宋体"/>
          <w:color w:val="auto"/>
          <w:kern w:val="0"/>
          <w:sz w:val="24"/>
          <w:highlight w:val="none"/>
          <w:lang w:eastAsia="zh-CN"/>
        </w:rPr>
        <w:t>电话：15332695156</w:t>
      </w:r>
    </w:p>
    <w:p w14:paraId="2A5B15FE">
      <w:pPr>
        <w:keepNext w:val="0"/>
        <w:keepLines w:val="0"/>
        <w:pageBreakBefore w:val="0"/>
        <w:widowControl/>
        <w:kinsoku/>
        <w:wordWrap/>
        <w:overflowPunct/>
        <w:topLinePunct w:val="0"/>
        <w:autoSpaceDE w:val="0"/>
        <w:autoSpaceDN/>
        <w:bidi w:val="0"/>
        <w:adjustRightInd/>
        <w:snapToGrid/>
        <w:spacing w:line="460" w:lineRule="exact"/>
        <w:jc w:val="right"/>
        <w:textAlignment w:val="auto"/>
        <w:rPr>
          <w:rFonts w:hint="eastAsia" w:ascii="宋体" w:hAnsi="宋体" w:cs="宋体"/>
          <w:color w:val="auto"/>
          <w:kern w:val="0"/>
          <w:sz w:val="24"/>
          <w:highlight w:val="none"/>
        </w:rPr>
      </w:pPr>
    </w:p>
    <w:p w14:paraId="2CBCDE8C">
      <w:pPr>
        <w:keepNext w:val="0"/>
        <w:keepLines w:val="0"/>
        <w:pageBreakBefore w:val="0"/>
        <w:widowControl/>
        <w:kinsoku/>
        <w:wordWrap/>
        <w:overflowPunct/>
        <w:topLinePunct w:val="0"/>
        <w:autoSpaceDE w:val="0"/>
        <w:autoSpaceDN/>
        <w:bidi w:val="0"/>
        <w:adjustRightInd/>
        <w:snapToGrid/>
        <w:spacing w:line="460" w:lineRule="exact"/>
        <w:jc w:val="right"/>
        <w:textAlignment w:val="auto"/>
        <w:rPr>
          <w:rFonts w:ascii="宋体" w:hAnsi="宋体" w:cs="宋体"/>
          <w:color w:val="auto"/>
          <w:kern w:val="0"/>
          <w:sz w:val="24"/>
          <w:highlight w:val="none"/>
        </w:rPr>
      </w:pPr>
      <w:r>
        <w:rPr>
          <w:rFonts w:hint="eastAsia" w:ascii="宋体" w:hAnsi="宋体" w:cs="宋体"/>
          <w:color w:val="auto"/>
          <w:kern w:val="0"/>
          <w:sz w:val="24"/>
          <w:highlight w:val="none"/>
        </w:rPr>
        <w:t xml:space="preserve"> 陕西华晟鼎业项目管理有限公司</w:t>
      </w:r>
    </w:p>
    <w:p w14:paraId="57EF008F">
      <w:pPr>
        <w:keepNext w:val="0"/>
        <w:keepLines w:val="0"/>
        <w:pageBreakBefore w:val="0"/>
        <w:kinsoku/>
        <w:wordWrap/>
        <w:overflowPunct/>
        <w:topLinePunct w:val="0"/>
        <w:autoSpaceDN/>
        <w:bidi w:val="0"/>
        <w:adjustRightInd/>
        <w:snapToGrid/>
        <w:spacing w:line="460" w:lineRule="exact"/>
        <w:jc w:val="center"/>
        <w:textAlignment w:val="auto"/>
        <w:rPr>
          <w:rFonts w:ascii="宋体" w:hAnsi="宋体" w:cs="宋体"/>
          <w:color w:val="auto"/>
          <w:sz w:val="24"/>
          <w:highlight w:val="none"/>
        </w:rPr>
      </w:pPr>
      <w:r>
        <w:rPr>
          <w:rFonts w:hint="eastAsia" w:ascii="宋体" w:hAnsi="宋体" w:cs="宋体"/>
          <w:color w:val="auto"/>
          <w:kern w:val="0"/>
          <w:sz w:val="24"/>
          <w:highlight w:val="none"/>
        </w:rPr>
        <w:t xml:space="preserve">                                                   2025年</w:t>
      </w:r>
      <w:r>
        <w:rPr>
          <w:rFonts w:hint="eastAsia" w:ascii="宋体" w:hAnsi="宋体" w:cs="宋体"/>
          <w:color w:val="auto"/>
          <w:kern w:val="0"/>
          <w:sz w:val="24"/>
          <w:highlight w:val="none"/>
          <w:lang w:val="en-US" w:eastAsia="zh-CN"/>
        </w:rPr>
        <w:t>5</w:t>
      </w:r>
      <w:r>
        <w:rPr>
          <w:rFonts w:hint="eastAsia" w:ascii="宋体" w:hAnsi="宋体" w:cs="宋体"/>
          <w:color w:val="auto"/>
          <w:kern w:val="0"/>
          <w:sz w:val="24"/>
          <w:highlight w:val="none"/>
        </w:rPr>
        <w:t>月</w:t>
      </w:r>
      <w:r>
        <w:rPr>
          <w:rFonts w:hint="eastAsia" w:ascii="宋体" w:hAnsi="宋体" w:cs="宋体"/>
          <w:color w:val="auto"/>
          <w:kern w:val="0"/>
          <w:sz w:val="24"/>
          <w:highlight w:val="none"/>
          <w:lang w:val="en-US" w:eastAsia="zh-CN"/>
        </w:rPr>
        <w:t>28</w:t>
      </w:r>
      <w:r>
        <w:rPr>
          <w:rFonts w:hint="eastAsia" w:ascii="宋体" w:hAnsi="宋体" w:cs="宋体"/>
          <w:color w:val="auto"/>
          <w:kern w:val="0"/>
          <w:sz w:val="24"/>
          <w:highlight w:val="none"/>
        </w:rPr>
        <w:t>日</w:t>
      </w:r>
    </w:p>
    <w:p w14:paraId="043447C7">
      <w:pPr>
        <w:spacing w:line="560" w:lineRule="exact"/>
        <w:jc w:val="center"/>
        <w:outlineLvl w:val="0"/>
        <w:rPr>
          <w:rFonts w:hint="eastAsia" w:ascii="宋体" w:hAnsi="宋体" w:eastAsia="宋体" w:cs="宋体"/>
          <w:b/>
          <w:bCs/>
          <w:color w:val="auto"/>
          <w:sz w:val="28"/>
          <w:szCs w:val="28"/>
          <w:highlight w:val="none"/>
        </w:rPr>
      </w:pPr>
    </w:p>
    <w:p w14:paraId="62FBD89D">
      <w:pPr>
        <w:spacing w:line="560" w:lineRule="exact"/>
        <w:jc w:val="center"/>
        <w:outlineLvl w:val="0"/>
        <w:rPr>
          <w:rFonts w:hint="eastAsia" w:ascii="宋体" w:hAnsi="宋体" w:eastAsia="宋体" w:cs="宋体"/>
          <w:b/>
          <w:bCs/>
          <w:color w:val="auto"/>
          <w:sz w:val="28"/>
          <w:szCs w:val="28"/>
          <w:highlight w:val="none"/>
        </w:rPr>
      </w:pPr>
    </w:p>
    <w:p w14:paraId="1E24D3AB">
      <w:pPr>
        <w:spacing w:line="560" w:lineRule="exact"/>
        <w:jc w:val="center"/>
        <w:outlineLvl w:val="0"/>
        <w:rPr>
          <w:rFonts w:hint="eastAsia" w:ascii="宋体" w:hAnsi="宋体" w:eastAsia="宋体" w:cs="宋体"/>
          <w:b/>
          <w:bCs/>
          <w:color w:val="auto"/>
          <w:sz w:val="28"/>
          <w:szCs w:val="28"/>
          <w:highlight w:val="none"/>
        </w:rPr>
      </w:pPr>
    </w:p>
    <w:p w14:paraId="6BB6321B">
      <w:pPr>
        <w:pStyle w:val="2"/>
        <w:bidi w:val="0"/>
        <w:jc w:val="left"/>
        <w:rPr>
          <w:rFonts w:hint="eastAsia" w:ascii="宋体" w:hAnsi="宋体" w:eastAsia="宋体" w:cs="宋体"/>
          <w:color w:val="auto"/>
          <w:highlight w:val="none"/>
        </w:rPr>
      </w:pPr>
      <w:bookmarkStart w:id="5" w:name="_Toc29350"/>
      <w:r>
        <w:rPr>
          <w:rFonts w:hint="eastAsia" w:ascii="宋体" w:hAnsi="宋体" w:eastAsia="宋体" w:cs="宋体"/>
          <w:color w:val="auto"/>
          <w:sz w:val="32"/>
          <w:szCs w:val="32"/>
          <w:highlight w:val="none"/>
        </w:rPr>
        <w:t>第二章  供应商须知</w:t>
      </w:r>
      <w:bookmarkEnd w:id="5"/>
    </w:p>
    <w:p w14:paraId="702B1629">
      <w:pPr>
        <w:spacing w:line="560" w:lineRule="exact"/>
        <w:jc w:val="center"/>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rPr>
        <w:t>一、 总 则</w:t>
      </w:r>
    </w:p>
    <w:p w14:paraId="64A71B3E">
      <w:pPr>
        <w:spacing w:line="56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本次招标依据《中华人民共和国政府采购法》、《中华人民共和国政府采购法实施条例》（国务院令第658号）、《政府采购货物和服务招标投标管理办法》（财政部令第87号）及国家现行有关法律法规执行。</w:t>
      </w:r>
    </w:p>
    <w:p w14:paraId="6FA523CC">
      <w:pPr>
        <w:spacing w:line="560" w:lineRule="exact"/>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（一）采购人、采购代理机构</w:t>
      </w:r>
    </w:p>
    <w:p w14:paraId="50D8A49C">
      <w:pPr>
        <w:spacing w:line="560" w:lineRule="exact"/>
        <w:ind w:firstLine="480" w:firstLineChars="200"/>
        <w:rPr>
          <w:rFonts w:hint="eastAsia" w:ascii="宋体" w:hAnsi="宋体" w:eastAsia="宋体" w:cs="宋体"/>
          <w:color w:val="auto"/>
          <w:sz w:val="24"/>
          <w:highlight w:val="none"/>
          <w:lang w:eastAsia="zh-CN"/>
        </w:rPr>
      </w:pPr>
      <w:r>
        <w:rPr>
          <w:rFonts w:hint="eastAsia" w:ascii="宋体" w:hAnsi="宋体" w:eastAsia="宋体" w:cs="宋体"/>
          <w:color w:val="auto"/>
          <w:sz w:val="24"/>
          <w:highlight w:val="none"/>
        </w:rPr>
        <w:t>1、采   购   人：</w:t>
      </w:r>
      <w:r>
        <w:rPr>
          <w:rFonts w:hint="eastAsia" w:ascii="宋体" w:hAnsi="宋体" w:cs="宋体"/>
          <w:color w:val="auto"/>
          <w:kern w:val="0"/>
          <w:sz w:val="24"/>
          <w:highlight w:val="none"/>
          <w:lang w:eastAsia="zh-CN"/>
        </w:rPr>
        <w:t>安康市</w:t>
      </w:r>
      <w:r>
        <w:rPr>
          <w:rFonts w:hint="eastAsia" w:ascii="宋体" w:hAnsi="宋体" w:cs="宋体"/>
          <w:color w:val="auto"/>
          <w:kern w:val="0"/>
          <w:sz w:val="24"/>
          <w:highlight w:val="none"/>
          <w:lang w:val="en-US" w:eastAsia="zh-CN"/>
        </w:rPr>
        <w:t>人民医院</w:t>
      </w:r>
    </w:p>
    <w:p w14:paraId="0C8B9D59">
      <w:pPr>
        <w:spacing w:line="56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2、采购代理机构：陕西华晟鼎业项目管理有限公司</w:t>
      </w:r>
    </w:p>
    <w:p w14:paraId="63B91338">
      <w:pPr>
        <w:spacing w:line="560" w:lineRule="exact"/>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（二）合格的供应商、合格的服务</w:t>
      </w:r>
    </w:p>
    <w:p w14:paraId="451992D2">
      <w:pPr>
        <w:spacing w:line="560" w:lineRule="exact"/>
        <w:ind w:firstLine="482" w:firstLineChars="200"/>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1、合格的供应商</w:t>
      </w:r>
    </w:p>
    <w:p w14:paraId="3A585F2E">
      <w:pPr>
        <w:spacing w:line="56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凡符合资格要求且有能力提供采购服务的供应商均可参加采购活动。</w:t>
      </w:r>
    </w:p>
    <w:p w14:paraId="754AAE0D">
      <w:pPr>
        <w:spacing w:line="560" w:lineRule="exact"/>
        <w:ind w:firstLine="482" w:firstLineChars="200"/>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1.1满足《中华人民共和国政府采购法》第二十二条的规定；</w:t>
      </w:r>
    </w:p>
    <w:p w14:paraId="5E24793F">
      <w:pPr>
        <w:spacing w:line="560" w:lineRule="exact"/>
        <w:ind w:firstLine="482" w:firstLineChars="200"/>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 xml:space="preserve">1.2特定资格要求： </w:t>
      </w:r>
    </w:p>
    <w:p w14:paraId="6120CCA4">
      <w:pPr>
        <w:keepNext w:val="0"/>
        <w:keepLines w:val="0"/>
        <w:pageBreakBefore w:val="0"/>
        <w:widowControl/>
        <w:numPr>
          <w:ilvl w:val="0"/>
          <w:numId w:val="5"/>
        </w:numPr>
        <w:kinsoku/>
        <w:wordWrap/>
        <w:overflowPunct/>
        <w:topLinePunct w:val="0"/>
        <w:autoSpaceDE w:val="0"/>
        <w:autoSpaceDN/>
        <w:bidi w:val="0"/>
        <w:adjustRightInd/>
        <w:snapToGrid/>
        <w:spacing w:line="460" w:lineRule="exact"/>
        <w:ind w:firstLine="480" w:firstLineChars="200"/>
        <w:textAlignment w:val="auto"/>
        <w:rPr>
          <w:rFonts w:hint="eastAsia" w:ascii="宋体" w:hAnsi="宋体" w:eastAsia="宋体" w:cs="宋体"/>
          <w:color w:val="auto"/>
          <w:kern w:val="0"/>
          <w:sz w:val="24"/>
          <w:szCs w:val="24"/>
          <w:highlight w:val="none"/>
          <w:lang w:val="en-US"/>
        </w:rPr>
      </w:pPr>
      <w:r>
        <w:rPr>
          <w:rFonts w:hint="eastAsia" w:ascii="宋体" w:hAnsi="宋体" w:cs="宋体"/>
          <w:color w:val="auto"/>
          <w:kern w:val="0"/>
          <w:sz w:val="24"/>
          <w:highlight w:val="none"/>
          <w:lang w:eastAsia="zh-CN"/>
        </w:rPr>
        <w:t>具有独立承担民事责任能力的法人、非法人组织或自然人，提供合法有效的营业执照/事业单位法人证书/专业服务机构执业许可证/民办非企业单位登记证书等相关证明，自然人参与的提供其身份证明；</w:t>
      </w:r>
      <w:r>
        <w:rPr>
          <w:rFonts w:hint="eastAsia" w:ascii="宋体" w:hAnsi="宋体" w:cs="宋体"/>
          <w:color w:val="auto"/>
          <w:kern w:val="0"/>
          <w:sz w:val="24"/>
          <w:highlight w:val="none"/>
          <w:lang w:eastAsia="zh-CN"/>
        </w:rPr>
        <w:br w:type="textWrapping"/>
      </w:r>
      <w:r>
        <w:rPr>
          <w:rFonts w:hint="eastAsia" w:ascii="宋体" w:hAnsi="宋体" w:cs="宋体"/>
          <w:color w:val="auto"/>
          <w:kern w:val="0"/>
          <w:sz w:val="24"/>
          <w:highlight w:val="none"/>
          <w:lang w:val="en-US" w:eastAsia="zh-CN"/>
        </w:rPr>
        <w:t xml:space="preserve">   </w:t>
      </w:r>
      <w:r>
        <w:rPr>
          <w:rFonts w:hint="eastAsia" w:ascii="宋体" w:hAnsi="宋体" w:cs="宋体"/>
          <w:color w:val="auto"/>
          <w:kern w:val="0"/>
          <w:sz w:val="24"/>
          <w:highlight w:val="none"/>
          <w:lang w:eastAsia="zh-CN"/>
        </w:rPr>
        <w:t>（2）法定代表人委托授权书（后附法定代表人、被授权人身份证复印件）及被授权人身份证原件；法定代表人直接投标时，只提供本人身份证原件；</w:t>
      </w:r>
      <w:r>
        <w:rPr>
          <w:rFonts w:hint="eastAsia" w:ascii="宋体" w:hAnsi="宋体" w:cs="宋体"/>
          <w:color w:val="auto"/>
          <w:kern w:val="0"/>
          <w:sz w:val="24"/>
          <w:highlight w:val="none"/>
          <w:lang w:eastAsia="zh-CN"/>
        </w:rPr>
        <w:br w:type="textWrapping"/>
      </w:r>
      <w:r>
        <w:rPr>
          <w:rFonts w:hint="eastAsia" w:ascii="宋体" w:hAnsi="宋体" w:cs="宋体"/>
          <w:color w:val="auto"/>
          <w:kern w:val="0"/>
          <w:sz w:val="24"/>
          <w:highlight w:val="none"/>
          <w:lang w:val="en-US" w:eastAsia="zh-CN"/>
        </w:rPr>
        <w:t xml:space="preserve">   </w:t>
      </w:r>
      <w:r>
        <w:rPr>
          <w:rFonts w:hint="eastAsia" w:ascii="宋体" w:hAnsi="宋体" w:cs="宋体"/>
          <w:color w:val="auto"/>
          <w:kern w:val="0"/>
          <w:sz w:val="24"/>
          <w:highlight w:val="none"/>
          <w:lang w:eastAsia="zh-CN"/>
        </w:rPr>
        <w:t>（3）财务状况报告：提供经审计的202</w:t>
      </w:r>
      <w:r>
        <w:rPr>
          <w:rFonts w:hint="eastAsia" w:ascii="宋体" w:hAnsi="宋体" w:cs="宋体"/>
          <w:color w:val="auto"/>
          <w:kern w:val="0"/>
          <w:sz w:val="24"/>
          <w:highlight w:val="none"/>
          <w:lang w:val="en-US" w:eastAsia="zh-CN"/>
        </w:rPr>
        <w:t>3</w:t>
      </w:r>
      <w:r>
        <w:rPr>
          <w:rFonts w:hint="eastAsia" w:ascii="宋体" w:hAnsi="宋体" w:cs="宋体"/>
          <w:color w:val="auto"/>
          <w:kern w:val="0"/>
          <w:sz w:val="24"/>
          <w:highlight w:val="none"/>
          <w:lang w:eastAsia="zh-CN"/>
        </w:rPr>
        <w:t>年度或202</w:t>
      </w:r>
      <w:r>
        <w:rPr>
          <w:rFonts w:hint="eastAsia" w:ascii="宋体" w:hAnsi="宋体" w:cs="宋体"/>
          <w:color w:val="auto"/>
          <w:kern w:val="0"/>
          <w:sz w:val="24"/>
          <w:highlight w:val="none"/>
          <w:lang w:val="en-US" w:eastAsia="zh-CN"/>
        </w:rPr>
        <w:t>4</w:t>
      </w:r>
      <w:r>
        <w:rPr>
          <w:rFonts w:hint="eastAsia" w:ascii="宋体" w:hAnsi="宋体" w:cs="宋体"/>
          <w:color w:val="auto"/>
          <w:kern w:val="0"/>
          <w:sz w:val="24"/>
          <w:highlight w:val="none"/>
          <w:lang w:eastAsia="zh-CN"/>
        </w:rPr>
        <w:t>年度审计报告（至少应包含资产负债表、利润表和现金流量表）或银行出具的资信证明（公司成立时间至提交响应文件截止时间不足三个月的可不提供）；</w:t>
      </w:r>
      <w:r>
        <w:rPr>
          <w:rFonts w:hint="eastAsia" w:ascii="宋体" w:hAnsi="宋体" w:cs="宋体"/>
          <w:color w:val="auto"/>
          <w:kern w:val="0"/>
          <w:sz w:val="24"/>
          <w:highlight w:val="none"/>
          <w:lang w:eastAsia="zh-CN"/>
        </w:rPr>
        <w:br w:type="textWrapping"/>
      </w:r>
      <w:r>
        <w:rPr>
          <w:rFonts w:hint="eastAsia" w:ascii="宋体" w:hAnsi="宋体" w:cs="宋体"/>
          <w:color w:val="auto"/>
          <w:kern w:val="0"/>
          <w:sz w:val="24"/>
          <w:highlight w:val="none"/>
          <w:lang w:val="en-US" w:eastAsia="zh-CN"/>
        </w:rPr>
        <w:t xml:space="preserve">   </w:t>
      </w:r>
      <w:r>
        <w:rPr>
          <w:rFonts w:hint="eastAsia" w:ascii="宋体" w:hAnsi="宋体" w:cs="宋体"/>
          <w:color w:val="auto"/>
          <w:kern w:val="0"/>
          <w:sz w:val="24"/>
          <w:highlight w:val="none"/>
          <w:lang w:eastAsia="zh-CN"/>
        </w:rPr>
        <w:t>（4）社会保障资金缴纳证明：提供投标截止日前一年内任意三个月的社会保障资金缴存单据或社保机构开具的社会保险参保缴费情况证明，成立不足一年的公司提供自成立后至今连续缴存社会保障资金缴存单据或社保机构开具的社会保险参保缴费情况证明，单据或证明上应有社保机构或代收机构的公章或业务专用章（公司成立时间至提交响应文件截止时间不足三个月的可不提供）；</w:t>
      </w:r>
      <w:r>
        <w:rPr>
          <w:rFonts w:hint="eastAsia" w:ascii="宋体" w:hAnsi="宋体" w:cs="宋体"/>
          <w:color w:val="auto"/>
          <w:kern w:val="0"/>
          <w:sz w:val="24"/>
          <w:highlight w:val="none"/>
          <w:lang w:eastAsia="zh-CN"/>
        </w:rPr>
        <w:br w:type="textWrapping"/>
      </w:r>
      <w:r>
        <w:rPr>
          <w:rFonts w:hint="eastAsia" w:ascii="宋体" w:hAnsi="宋体" w:cs="宋体"/>
          <w:color w:val="auto"/>
          <w:kern w:val="0"/>
          <w:sz w:val="24"/>
          <w:highlight w:val="none"/>
          <w:lang w:val="en-US" w:eastAsia="zh-CN"/>
        </w:rPr>
        <w:t xml:space="preserve">   </w:t>
      </w:r>
      <w:r>
        <w:rPr>
          <w:rFonts w:hint="eastAsia" w:ascii="宋体" w:hAnsi="宋体" w:cs="宋体"/>
          <w:color w:val="auto"/>
          <w:kern w:val="0"/>
          <w:sz w:val="24"/>
          <w:highlight w:val="none"/>
          <w:lang w:eastAsia="zh-CN"/>
        </w:rPr>
        <w:t>（5）税收缴纳证明：提供投标截止日前一年内任意三个月的纳税证明或完税证明，单据应有代收机构或税务机关的公章或业务专用章；依法免税的单位应提供相关证明材料（公司成立时间至提交响应文件截止时间不足三个月的可不提供）；</w:t>
      </w:r>
      <w:r>
        <w:rPr>
          <w:rFonts w:hint="eastAsia" w:ascii="宋体" w:hAnsi="宋体" w:cs="宋体"/>
          <w:color w:val="auto"/>
          <w:kern w:val="0"/>
          <w:sz w:val="24"/>
          <w:highlight w:val="none"/>
          <w:lang w:eastAsia="zh-CN"/>
        </w:rPr>
        <w:br w:type="textWrapping"/>
      </w:r>
      <w:r>
        <w:rPr>
          <w:rFonts w:hint="eastAsia" w:ascii="宋体" w:hAnsi="宋体" w:cs="宋体"/>
          <w:color w:val="auto"/>
          <w:kern w:val="0"/>
          <w:sz w:val="24"/>
          <w:highlight w:val="none"/>
          <w:lang w:val="en-US" w:eastAsia="zh-CN"/>
        </w:rPr>
        <w:t xml:space="preserve">   </w:t>
      </w:r>
      <w:r>
        <w:rPr>
          <w:rFonts w:hint="eastAsia" w:ascii="宋体" w:hAnsi="宋体" w:cs="宋体"/>
          <w:color w:val="auto"/>
          <w:kern w:val="0"/>
          <w:sz w:val="24"/>
          <w:highlight w:val="none"/>
          <w:lang w:eastAsia="zh-CN"/>
        </w:rPr>
        <w:t>（6）供应商通过“信用中国”网(www.creditchina.gov.cn)和中国政府采购网(www.ccgp.gov.cn) 查询相关主体信用记录，截止时点为招标文件发出至投标截止时间内，网页截图加盖投标供应商公章。对列入失信被执行人、重大税收违法案件当事人名单、政府采购严重违法失信行为记录名单及其他不符合《中华人民共和国政府采购法》第二十二条规定条件的供应商，将被视为不合格供应商；</w:t>
      </w:r>
      <w:r>
        <w:rPr>
          <w:rFonts w:hint="eastAsia" w:ascii="宋体" w:hAnsi="宋体" w:cs="宋体"/>
          <w:color w:val="auto"/>
          <w:kern w:val="0"/>
          <w:sz w:val="24"/>
          <w:highlight w:val="none"/>
          <w:lang w:eastAsia="zh-CN"/>
        </w:rPr>
        <w:br w:type="textWrapping"/>
      </w:r>
      <w:r>
        <w:rPr>
          <w:rFonts w:hint="eastAsia" w:ascii="宋体" w:hAnsi="宋体" w:cs="宋体"/>
          <w:color w:val="auto"/>
          <w:kern w:val="0"/>
          <w:sz w:val="24"/>
          <w:highlight w:val="none"/>
          <w:lang w:val="en-US" w:eastAsia="zh-CN"/>
        </w:rPr>
        <w:t xml:space="preserve">   </w:t>
      </w:r>
      <w:r>
        <w:rPr>
          <w:rFonts w:hint="eastAsia" w:ascii="宋体" w:hAnsi="宋体" w:cs="宋体"/>
          <w:color w:val="auto"/>
          <w:kern w:val="0"/>
          <w:sz w:val="24"/>
          <w:highlight w:val="none"/>
          <w:lang w:eastAsia="zh-CN"/>
        </w:rPr>
        <w:t>（7）书面声明：投标人必须提供参加本次采购活动前3年内在经营活动中没有重大违法记录的书面声明；</w:t>
      </w:r>
      <w:r>
        <w:rPr>
          <w:rFonts w:hint="eastAsia" w:ascii="宋体" w:hAnsi="宋体" w:cs="宋体"/>
          <w:color w:val="auto"/>
          <w:kern w:val="0"/>
          <w:sz w:val="24"/>
          <w:highlight w:val="none"/>
          <w:lang w:eastAsia="zh-CN"/>
        </w:rPr>
        <w:br w:type="textWrapping"/>
      </w:r>
      <w:r>
        <w:rPr>
          <w:rFonts w:hint="eastAsia" w:ascii="宋体" w:hAnsi="宋体" w:cs="宋体"/>
          <w:color w:val="auto"/>
          <w:kern w:val="0"/>
          <w:sz w:val="24"/>
          <w:highlight w:val="none"/>
          <w:lang w:val="en-US" w:eastAsia="zh-CN"/>
        </w:rPr>
        <w:t xml:space="preserve">  </w:t>
      </w:r>
      <w:r>
        <w:rPr>
          <w:rFonts w:hint="eastAsia" w:ascii="宋体" w:hAnsi="宋体" w:eastAsia="宋体" w:cs="宋体"/>
          <w:b w:val="0"/>
          <w:bCs w:val="0"/>
          <w:color w:val="auto"/>
          <w:kern w:val="0"/>
          <w:sz w:val="24"/>
          <w:szCs w:val="24"/>
          <w:highlight w:val="none"/>
          <w:lang w:val="en-US" w:eastAsia="zh-CN" w:bidi="ar-SA"/>
        </w:rPr>
        <w:t>（8）本项目专门</w:t>
      </w:r>
      <w:r>
        <w:rPr>
          <w:rFonts w:hint="eastAsia" w:ascii="宋体" w:hAnsi="宋体" w:cs="宋体"/>
          <w:b w:val="0"/>
          <w:bCs w:val="0"/>
          <w:color w:val="auto"/>
          <w:kern w:val="0"/>
          <w:sz w:val="24"/>
          <w:szCs w:val="24"/>
          <w:highlight w:val="none"/>
          <w:lang w:val="en-US" w:eastAsia="zh-CN" w:bidi="ar-SA"/>
        </w:rPr>
        <w:t>面</w:t>
      </w:r>
      <w:r>
        <w:rPr>
          <w:rFonts w:hint="eastAsia" w:ascii="宋体" w:hAnsi="宋体" w:eastAsia="宋体" w:cs="宋体"/>
          <w:b w:val="0"/>
          <w:bCs w:val="0"/>
          <w:color w:val="auto"/>
          <w:kern w:val="0"/>
          <w:sz w:val="24"/>
          <w:szCs w:val="24"/>
          <w:highlight w:val="none"/>
          <w:lang w:val="en-US" w:eastAsia="zh-CN" w:bidi="ar-SA"/>
        </w:rPr>
        <w:t>向小微企业，供应商须提供小微企业声明函。供应商自行根据《国民经济行业分类》（GB/T4754-2017）、《国家统计局关于印发&lt;统计上大中小微型企业划分办法（2017）&gt;的通知》国统字〔2017〕213 号、工信部联企业〔2011〕300 号文件自行划分，若声明与实际不符须承担相应责任</w:t>
      </w:r>
      <w:r>
        <w:rPr>
          <w:rFonts w:hint="eastAsia" w:ascii="宋体" w:hAnsi="宋体" w:eastAsia="宋体" w:cs="宋体"/>
          <w:color w:val="auto"/>
          <w:kern w:val="0"/>
          <w:sz w:val="24"/>
          <w:szCs w:val="24"/>
          <w:highlight w:val="none"/>
          <w:lang w:val="en-US"/>
        </w:rPr>
        <w:t>；</w:t>
      </w:r>
    </w:p>
    <w:p w14:paraId="4B0241E7">
      <w:pPr>
        <w:keepNext w:val="0"/>
        <w:keepLines w:val="0"/>
        <w:pageBreakBefore w:val="0"/>
        <w:widowControl/>
        <w:numPr>
          <w:ilvl w:val="0"/>
          <w:numId w:val="0"/>
        </w:numPr>
        <w:kinsoku/>
        <w:wordWrap/>
        <w:overflowPunct/>
        <w:topLinePunct w:val="0"/>
        <w:autoSpaceDE w:val="0"/>
        <w:autoSpaceDN/>
        <w:bidi w:val="0"/>
        <w:adjustRightInd/>
        <w:snapToGrid/>
        <w:spacing w:line="460" w:lineRule="exact"/>
        <w:ind w:firstLine="480" w:firstLineChars="200"/>
        <w:textAlignment w:val="auto"/>
        <w:rPr>
          <w:rFonts w:hint="eastAsia" w:ascii="宋体" w:hAnsi="宋体" w:cs="宋体"/>
          <w:color w:val="auto"/>
          <w:kern w:val="0"/>
          <w:sz w:val="24"/>
          <w:highlight w:val="none"/>
          <w:lang w:eastAsia="zh-CN"/>
        </w:rPr>
      </w:pPr>
      <w:r>
        <w:rPr>
          <w:rFonts w:hint="eastAsia" w:ascii="宋体" w:hAnsi="宋体" w:cs="宋体"/>
          <w:color w:val="auto"/>
          <w:kern w:val="0"/>
          <w:sz w:val="24"/>
          <w:highlight w:val="none"/>
          <w:lang w:eastAsia="zh-CN"/>
        </w:rPr>
        <w:t>（9）需具备电力工程施工总承包三级及以上资质或输变电工程专业承包三级</w:t>
      </w:r>
      <w:r>
        <w:rPr>
          <w:rFonts w:hint="eastAsia" w:ascii="宋体" w:hAnsi="宋体" w:cs="宋体"/>
          <w:color w:val="auto"/>
          <w:kern w:val="0"/>
          <w:sz w:val="24"/>
          <w:highlight w:val="none"/>
          <w:lang w:val="en-US" w:eastAsia="zh-CN"/>
        </w:rPr>
        <w:t>及</w:t>
      </w:r>
      <w:r>
        <w:rPr>
          <w:rFonts w:hint="eastAsia" w:ascii="宋体" w:hAnsi="宋体" w:cs="宋体"/>
          <w:color w:val="auto"/>
          <w:kern w:val="0"/>
          <w:sz w:val="24"/>
          <w:highlight w:val="none"/>
          <w:lang w:eastAsia="zh-CN"/>
        </w:rPr>
        <w:t>以上资质；且同时具备电力设施承装、承修、承试五级及以上资质；具备合格有效的安全生产许可证；拟派项目负责人具有机电工程贰级及以上注册建造师证及安全生产考核合格证。</w:t>
      </w:r>
      <w:r>
        <w:rPr>
          <w:rFonts w:hint="eastAsia" w:ascii="宋体" w:hAnsi="宋体" w:cs="宋体"/>
          <w:color w:val="auto"/>
          <w:kern w:val="0"/>
          <w:sz w:val="24"/>
          <w:highlight w:val="none"/>
          <w:lang w:eastAsia="zh-CN"/>
        </w:rPr>
        <w:br w:type="textWrapping"/>
      </w:r>
      <w:r>
        <w:rPr>
          <w:rFonts w:hint="eastAsia" w:ascii="宋体" w:hAnsi="宋体" w:cs="宋体"/>
          <w:color w:val="auto"/>
          <w:kern w:val="0"/>
          <w:sz w:val="24"/>
          <w:highlight w:val="none"/>
          <w:lang w:val="en-US" w:eastAsia="zh-CN"/>
        </w:rPr>
        <w:t xml:space="preserve">  </w:t>
      </w:r>
      <w:r>
        <w:rPr>
          <w:rFonts w:hint="eastAsia" w:ascii="宋体" w:hAnsi="宋体" w:cs="宋体"/>
          <w:color w:val="auto"/>
          <w:kern w:val="0"/>
          <w:sz w:val="24"/>
          <w:highlight w:val="none"/>
          <w:lang w:eastAsia="zh-CN"/>
        </w:rPr>
        <w:t>（10）提供本项目不接受联合体的声明函。</w:t>
      </w:r>
    </w:p>
    <w:p w14:paraId="5D7E2263">
      <w:pPr>
        <w:spacing w:line="56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1.3单位负责人为同一人或者存在直接控股、管理关系的不同供应商，不得同时参加本项目的投标。</w:t>
      </w:r>
    </w:p>
    <w:p w14:paraId="7B89FAB9">
      <w:pPr>
        <w:spacing w:line="560" w:lineRule="exact"/>
        <w:ind w:firstLine="482" w:firstLineChars="200"/>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1.4根据《陕西省财政厅关于政府采购供应商注册登记有关事项的通知》的要求，参加本项目投标且符合《政府采购法》第二十二条规定的合格供应商须通过陕西省政府采购网（http://www.ccgp-shaanxi.gov.cn/）注册登记加入陕西省政府采购供应商库，以便中标后能顺利录入中标单位信息，若未办理入库手续，造成不能发布中标公告，责任自负；</w:t>
      </w:r>
    </w:p>
    <w:p w14:paraId="5A823AAF">
      <w:pPr>
        <w:keepNext w:val="0"/>
        <w:keepLines w:val="0"/>
        <w:pageBreakBefore w:val="0"/>
        <w:widowControl w:val="0"/>
        <w:kinsoku/>
        <w:wordWrap/>
        <w:overflowPunct/>
        <w:topLinePunct w:val="0"/>
        <w:autoSpaceDE w:val="0"/>
        <w:autoSpaceDN w:val="0"/>
        <w:bidi w:val="0"/>
        <w:adjustRightInd w:val="0"/>
        <w:snapToGrid w:val="0"/>
        <w:spacing w:line="500" w:lineRule="exact"/>
        <w:ind w:firstLine="482"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b/>
          <w:bCs/>
          <w:color w:val="auto"/>
          <w:sz w:val="24"/>
          <w:highlight w:val="none"/>
        </w:rPr>
        <w:t>1.5</w:t>
      </w:r>
      <w:r>
        <w:rPr>
          <w:rFonts w:hint="eastAsia" w:ascii="宋体" w:hAnsi="宋体" w:eastAsia="宋体" w:cs="宋体"/>
          <w:b/>
          <w:bCs/>
          <w:color w:val="auto"/>
          <w:sz w:val="24"/>
          <w:highlight w:val="none"/>
          <w:lang w:val="en-US" w:eastAsia="zh-CN"/>
        </w:rPr>
        <w:t xml:space="preserve"> </w:t>
      </w:r>
      <w:r>
        <w:rPr>
          <w:rFonts w:hint="eastAsia" w:ascii="宋体" w:hAnsi="宋体" w:eastAsia="宋体" w:cs="宋体"/>
          <w:color w:val="auto"/>
          <w:kern w:val="2"/>
          <w:sz w:val="24"/>
          <w:szCs w:val="24"/>
          <w:highlight w:val="none"/>
          <w:lang w:val="en-US" w:eastAsia="zh-CN" w:bidi="ar-SA"/>
        </w:rPr>
        <w:t>供应商须在采购代理机构进行投标登记备案，未在采购代理机构登记备案的潜在供应商均无资格参加投标。</w:t>
      </w:r>
    </w:p>
    <w:p w14:paraId="1C074ED3">
      <w:pPr>
        <w:spacing w:line="560" w:lineRule="exact"/>
        <w:ind w:firstLine="482" w:firstLineChars="200"/>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2、合格的服务</w:t>
      </w:r>
    </w:p>
    <w:p w14:paraId="19F7A0A1">
      <w:pPr>
        <w:spacing w:line="56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2.1投标所有关服务，均应来自第二章（二）第1条所规定的合格供应商。</w:t>
      </w:r>
    </w:p>
    <w:p w14:paraId="37B4F1E1">
      <w:pPr>
        <w:spacing w:line="56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2.2服务系指供应商按招标文件规定，向采购人提供的符合招标文件要求的相关的服务。</w:t>
      </w:r>
    </w:p>
    <w:p w14:paraId="7830C7ED">
      <w:pPr>
        <w:spacing w:line="560" w:lineRule="exact"/>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（三）投标费用</w:t>
      </w:r>
    </w:p>
    <w:p w14:paraId="53FEA2CA">
      <w:pPr>
        <w:spacing w:line="56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供应商应承担所有与准备和参加投标有关的费用。</w:t>
      </w:r>
    </w:p>
    <w:p w14:paraId="35514A72">
      <w:pPr>
        <w:spacing w:line="560" w:lineRule="exact"/>
        <w:jc w:val="center"/>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rPr>
        <w:t>二、磋商文件</w:t>
      </w:r>
    </w:p>
    <w:p w14:paraId="2CAC97A6">
      <w:pPr>
        <w:spacing w:line="560" w:lineRule="exact"/>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（四）招标文件构成</w:t>
      </w:r>
    </w:p>
    <w:p w14:paraId="219D6EC4">
      <w:pPr>
        <w:spacing w:line="56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磋商文件包括下列内容：</w:t>
      </w:r>
    </w:p>
    <w:p w14:paraId="30865A99">
      <w:pPr>
        <w:spacing w:line="56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第一章  竞争性磋商公告</w:t>
      </w:r>
    </w:p>
    <w:p w14:paraId="4EDB2D57">
      <w:pPr>
        <w:spacing w:line="56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第二章  供应商须知</w:t>
      </w:r>
    </w:p>
    <w:p w14:paraId="71FECF4E">
      <w:pPr>
        <w:spacing w:line="56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第三章  采购内容及服务要求</w:t>
      </w:r>
    </w:p>
    <w:p w14:paraId="6FF6322D">
      <w:pPr>
        <w:spacing w:line="560" w:lineRule="exact"/>
        <w:ind w:firstLine="480" w:firstLineChars="200"/>
        <w:rPr>
          <w:rFonts w:hint="eastAsia" w:ascii="宋体" w:hAnsi="宋体" w:eastAsia="宋体" w:cs="宋体"/>
          <w:color w:val="auto"/>
          <w:sz w:val="24"/>
          <w:highlight w:val="none"/>
          <w:lang w:eastAsia="zh-CN"/>
        </w:rPr>
      </w:pPr>
      <w:r>
        <w:rPr>
          <w:rFonts w:hint="eastAsia" w:ascii="宋体" w:hAnsi="宋体" w:eastAsia="宋体" w:cs="宋体"/>
          <w:color w:val="auto"/>
          <w:sz w:val="24"/>
          <w:highlight w:val="none"/>
        </w:rPr>
        <w:t xml:space="preserve">第四章  </w:t>
      </w:r>
      <w:r>
        <w:rPr>
          <w:rFonts w:hint="eastAsia" w:ascii="宋体" w:hAnsi="宋体" w:eastAsia="宋体" w:cs="宋体"/>
          <w:color w:val="auto"/>
          <w:sz w:val="24"/>
          <w:highlight w:val="none"/>
          <w:lang w:val="en-US" w:eastAsia="zh-CN"/>
        </w:rPr>
        <w:t>商务</w:t>
      </w:r>
      <w:r>
        <w:rPr>
          <w:rFonts w:hint="eastAsia" w:ascii="宋体" w:hAnsi="宋体" w:eastAsia="宋体" w:cs="宋体"/>
          <w:color w:val="auto"/>
          <w:sz w:val="24"/>
          <w:highlight w:val="none"/>
          <w:lang w:eastAsia="zh-CN"/>
        </w:rPr>
        <w:t>条款</w:t>
      </w:r>
    </w:p>
    <w:p w14:paraId="6E44D14A">
      <w:pPr>
        <w:spacing w:line="56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 xml:space="preserve">第五章 </w:t>
      </w:r>
      <w:r>
        <w:rPr>
          <w:rFonts w:hint="eastAsia" w:ascii="宋体" w:hAnsi="宋体" w:eastAsia="宋体" w:cs="宋体"/>
          <w:color w:val="auto"/>
          <w:sz w:val="24"/>
          <w:highlight w:val="none"/>
          <w:lang w:val="en-US" w:eastAsia="zh-CN"/>
        </w:rPr>
        <w:t xml:space="preserve"> </w:t>
      </w:r>
      <w:r>
        <w:rPr>
          <w:rFonts w:hint="eastAsia" w:ascii="宋体" w:hAnsi="宋体" w:eastAsia="宋体" w:cs="宋体"/>
          <w:color w:val="auto"/>
          <w:sz w:val="24"/>
          <w:highlight w:val="none"/>
        </w:rPr>
        <w:t>磋商响应文件格式</w:t>
      </w:r>
    </w:p>
    <w:p w14:paraId="28D4B4FB">
      <w:pPr>
        <w:spacing w:line="440" w:lineRule="exact"/>
        <w:rPr>
          <w:rFonts w:hint="eastAsia" w:ascii="宋体" w:hAnsi="宋体" w:eastAsia="宋体" w:cs="宋体"/>
          <w:b/>
          <w:color w:val="auto"/>
          <w:sz w:val="24"/>
          <w:highlight w:val="none"/>
        </w:rPr>
      </w:pPr>
      <w:r>
        <w:rPr>
          <w:rFonts w:hint="eastAsia" w:ascii="宋体" w:hAnsi="宋体" w:eastAsia="宋体" w:cs="宋体"/>
          <w:b/>
          <w:bCs/>
          <w:color w:val="auto"/>
          <w:sz w:val="24"/>
          <w:highlight w:val="none"/>
        </w:rPr>
        <w:t>（五）</w:t>
      </w:r>
      <w:r>
        <w:rPr>
          <w:rFonts w:hint="eastAsia" w:ascii="宋体" w:hAnsi="宋体" w:eastAsia="宋体" w:cs="宋体"/>
          <w:b/>
          <w:color w:val="auto"/>
          <w:sz w:val="24"/>
          <w:highlight w:val="none"/>
        </w:rPr>
        <w:t>磋商文件的澄清和修改</w:t>
      </w:r>
    </w:p>
    <w:p w14:paraId="1E92C47F">
      <w:pPr>
        <w:spacing w:line="44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1、提交首次磋商响应文件截止之日前，</w:t>
      </w:r>
      <w:r>
        <w:rPr>
          <w:rFonts w:hint="eastAsia" w:ascii="宋体" w:hAnsi="宋体" w:eastAsia="宋体" w:cs="宋体"/>
          <w:color w:val="auto"/>
          <w:sz w:val="24"/>
          <w:highlight w:val="none"/>
          <w:lang w:eastAsia="zh-CN"/>
        </w:rPr>
        <w:t>采购人</w:t>
      </w:r>
      <w:r>
        <w:rPr>
          <w:rFonts w:hint="eastAsia" w:ascii="宋体" w:hAnsi="宋体" w:eastAsia="宋体" w:cs="宋体"/>
          <w:color w:val="auto"/>
          <w:sz w:val="24"/>
          <w:highlight w:val="none"/>
        </w:rPr>
        <w:t>可以对已发出的磋商文件进行必要的澄清或者修改，澄清或者修改的内容作为磋商文件的组成部分。澄清或者修改的内容可能影响磋商响应文件编制的，</w:t>
      </w:r>
      <w:r>
        <w:rPr>
          <w:rFonts w:hint="eastAsia" w:ascii="宋体" w:hAnsi="宋体" w:eastAsia="宋体" w:cs="宋体"/>
          <w:color w:val="auto"/>
          <w:sz w:val="24"/>
          <w:highlight w:val="none"/>
          <w:lang w:eastAsia="zh-CN"/>
        </w:rPr>
        <w:t>采购人</w:t>
      </w:r>
      <w:r>
        <w:rPr>
          <w:rFonts w:hint="eastAsia" w:ascii="宋体" w:hAnsi="宋体" w:eastAsia="宋体" w:cs="宋体"/>
          <w:color w:val="auto"/>
          <w:sz w:val="24"/>
          <w:highlight w:val="none"/>
        </w:rPr>
        <w:t>在提交首次磋商响应文件截止时间5日前，</w:t>
      </w:r>
      <w:r>
        <w:rPr>
          <w:rFonts w:hint="eastAsia" w:ascii="宋体" w:hAnsi="宋体" w:eastAsia="宋体" w:cs="宋体"/>
          <w:color w:val="auto"/>
          <w:sz w:val="24"/>
          <w:highlight w:val="none"/>
          <w:lang w:val="en-US" w:eastAsia="zh-CN"/>
        </w:rPr>
        <w:t>并</w:t>
      </w:r>
      <w:r>
        <w:rPr>
          <w:rFonts w:hint="eastAsia" w:ascii="宋体" w:hAnsi="宋体" w:eastAsia="宋体" w:cs="宋体"/>
          <w:color w:val="auto"/>
          <w:sz w:val="24"/>
          <w:highlight w:val="none"/>
        </w:rPr>
        <w:t>以书面形式通知所有获取磋商文件的供应商；不足5日的，</w:t>
      </w:r>
      <w:r>
        <w:rPr>
          <w:rFonts w:hint="eastAsia" w:ascii="宋体" w:hAnsi="宋体" w:eastAsia="宋体" w:cs="宋体"/>
          <w:color w:val="auto"/>
          <w:sz w:val="24"/>
          <w:highlight w:val="none"/>
          <w:lang w:eastAsia="zh-CN"/>
        </w:rPr>
        <w:t>采购人</w:t>
      </w:r>
      <w:r>
        <w:rPr>
          <w:rFonts w:hint="eastAsia" w:ascii="宋体" w:hAnsi="宋体" w:eastAsia="宋体" w:cs="宋体"/>
          <w:color w:val="auto"/>
          <w:sz w:val="24"/>
          <w:highlight w:val="none"/>
        </w:rPr>
        <w:t>应顺延提交首次磋商响应文件截止时间。</w:t>
      </w:r>
    </w:p>
    <w:p w14:paraId="0EF77EA8">
      <w:pPr>
        <w:spacing w:line="56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2、任何要求对磋商文件进行澄清的供应商均应在磋商响应文件递交截止期3日前以书面形式通知采购代理机构，采购代理机构对供应商所要求澄清的内容以书面形式予以答复。供应商在规定的时间内未要求对磋商文件澄清或提出疑问的，将视其为无异议。对磋商文件中描述有歧意或前后不一致的地方，磋商小组有权进行评判，但对同一条款的评判应适用于每个供应商。</w:t>
      </w:r>
    </w:p>
    <w:p w14:paraId="3C4AC7DA">
      <w:pPr>
        <w:spacing w:line="44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3、采购代理机构对磋商文件的修改将以书面形式发给所有磋商文件收受人，该修改书将构成磋商文件的一部分,对供应商有约束力。</w:t>
      </w:r>
      <w:r>
        <w:rPr>
          <w:rFonts w:hint="eastAsia" w:ascii="宋体" w:hAnsi="宋体" w:eastAsia="宋体" w:cs="宋体"/>
          <w:b/>
          <w:color w:val="auto"/>
          <w:sz w:val="24"/>
          <w:highlight w:val="none"/>
        </w:rPr>
        <w:t>供应商在收到后应立即以书面形式（</w:t>
      </w:r>
      <w:r>
        <w:rPr>
          <w:rFonts w:hint="eastAsia" w:ascii="宋体" w:hAnsi="宋体" w:eastAsia="宋体" w:cs="宋体"/>
          <w:b/>
          <w:bCs/>
          <w:color w:val="auto"/>
          <w:sz w:val="24"/>
          <w:highlight w:val="none"/>
        </w:rPr>
        <w:t>电子邮件发送至采购代理机构邮箱：1902304598@qq.com</w:t>
      </w:r>
      <w:r>
        <w:rPr>
          <w:rFonts w:hint="eastAsia" w:ascii="宋体" w:hAnsi="宋体" w:eastAsia="宋体" w:cs="宋体"/>
          <w:b/>
          <w:color w:val="auto"/>
          <w:sz w:val="24"/>
          <w:highlight w:val="none"/>
        </w:rPr>
        <w:t>）</w:t>
      </w:r>
      <w:r>
        <w:rPr>
          <w:rFonts w:hint="eastAsia" w:ascii="宋体" w:hAnsi="宋体" w:eastAsia="宋体" w:cs="宋体"/>
          <w:color w:val="auto"/>
          <w:sz w:val="24"/>
          <w:highlight w:val="none"/>
        </w:rPr>
        <w:t>予以确认。</w:t>
      </w:r>
    </w:p>
    <w:p w14:paraId="651FF244">
      <w:pPr>
        <w:spacing w:line="44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4、在磋商过程中，磋商文件如有实质性变动的，磋商小组应当以书面形式通知所有参加磋商的供应商。</w:t>
      </w:r>
    </w:p>
    <w:p w14:paraId="28A26F52">
      <w:pPr>
        <w:spacing w:line="44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lang w:val="en-US" w:eastAsia="zh-CN"/>
        </w:rPr>
        <w:t>5、</w:t>
      </w:r>
      <w:r>
        <w:rPr>
          <w:rFonts w:hint="eastAsia" w:ascii="宋体" w:hAnsi="宋体" w:eastAsia="宋体" w:cs="宋体"/>
          <w:color w:val="auto"/>
          <w:sz w:val="24"/>
          <w:highlight w:val="none"/>
          <w:lang w:eastAsia="zh-CN"/>
        </w:rPr>
        <w:t>采购人</w:t>
      </w:r>
      <w:r>
        <w:rPr>
          <w:rFonts w:hint="eastAsia" w:ascii="宋体" w:hAnsi="宋体" w:eastAsia="宋体" w:cs="宋体"/>
          <w:color w:val="auto"/>
          <w:sz w:val="24"/>
          <w:highlight w:val="none"/>
        </w:rPr>
        <w:t>可以视采购具体情况，延长磋商文件提交截止时间和磋商时间，并将变更时间</w:t>
      </w:r>
      <w:r>
        <w:rPr>
          <w:rFonts w:hint="eastAsia" w:ascii="宋体" w:hAnsi="宋体" w:eastAsia="宋体" w:cs="宋体"/>
          <w:color w:val="auto"/>
          <w:sz w:val="24"/>
          <w:highlight w:val="none"/>
          <w:lang w:val="en-US" w:eastAsia="zh-CN"/>
        </w:rPr>
        <w:t>以</w:t>
      </w:r>
      <w:r>
        <w:rPr>
          <w:rFonts w:hint="eastAsia" w:ascii="宋体" w:hAnsi="宋体" w:eastAsia="宋体" w:cs="宋体"/>
          <w:color w:val="auto"/>
          <w:sz w:val="24"/>
          <w:highlight w:val="none"/>
        </w:rPr>
        <w:t>书面</w:t>
      </w:r>
      <w:r>
        <w:rPr>
          <w:rFonts w:hint="eastAsia" w:ascii="宋体" w:hAnsi="宋体" w:eastAsia="宋体" w:cs="宋体"/>
          <w:color w:val="auto"/>
          <w:sz w:val="24"/>
          <w:highlight w:val="none"/>
          <w:lang w:val="en-US" w:eastAsia="zh-CN"/>
        </w:rPr>
        <w:t>形式</w:t>
      </w:r>
      <w:r>
        <w:rPr>
          <w:rFonts w:hint="eastAsia" w:ascii="宋体" w:hAnsi="宋体" w:eastAsia="宋体" w:cs="宋体"/>
          <w:color w:val="auto"/>
          <w:sz w:val="24"/>
          <w:highlight w:val="none"/>
        </w:rPr>
        <w:t>（电子邮件）通知所有磋商文件收受人。</w:t>
      </w:r>
    </w:p>
    <w:p w14:paraId="277EAFA9">
      <w:pPr>
        <w:spacing w:line="560" w:lineRule="exact"/>
        <w:ind w:firstLine="482" w:firstLineChars="200"/>
        <w:rPr>
          <w:rFonts w:hint="eastAsia" w:ascii="宋体" w:hAnsi="宋体" w:eastAsia="宋体" w:cs="宋体"/>
          <w:b/>
          <w:bCs/>
          <w:color w:val="auto"/>
          <w:sz w:val="24"/>
          <w:highlight w:val="none"/>
          <w:lang w:val="en-US" w:eastAsia="zh-CN"/>
        </w:rPr>
      </w:pPr>
      <w:r>
        <w:rPr>
          <w:rFonts w:hint="eastAsia" w:ascii="宋体" w:hAnsi="宋体" w:eastAsia="宋体" w:cs="宋体"/>
          <w:b/>
          <w:bCs/>
          <w:color w:val="auto"/>
          <w:sz w:val="24"/>
          <w:highlight w:val="none"/>
          <w:lang w:val="en-US" w:eastAsia="zh-CN"/>
        </w:rPr>
        <w:t>6、</w:t>
      </w:r>
      <w:r>
        <w:rPr>
          <w:rFonts w:hint="eastAsia" w:ascii="宋体" w:hAnsi="宋体" w:eastAsia="宋体" w:cs="宋体"/>
          <w:b/>
          <w:bCs/>
          <w:color w:val="auto"/>
          <w:sz w:val="24"/>
          <w:highlight w:val="none"/>
        </w:rPr>
        <w:t>磋商文件的解释权归采购代理机构。</w:t>
      </w:r>
    </w:p>
    <w:p w14:paraId="6C8F9339">
      <w:pPr>
        <w:jc w:val="center"/>
        <w:outlineLvl w:val="9"/>
        <w:rPr>
          <w:rFonts w:hint="eastAsia" w:ascii="宋体" w:hAnsi="宋体" w:eastAsia="宋体" w:cs="宋体"/>
          <w:b/>
          <w:color w:val="auto"/>
          <w:sz w:val="30"/>
          <w:szCs w:val="30"/>
          <w:highlight w:val="none"/>
        </w:rPr>
      </w:pPr>
      <w:r>
        <w:rPr>
          <w:rFonts w:hint="eastAsia" w:ascii="宋体" w:hAnsi="宋体" w:eastAsia="宋体" w:cs="宋体"/>
          <w:b/>
          <w:bCs/>
          <w:color w:val="auto"/>
          <w:sz w:val="28"/>
          <w:szCs w:val="28"/>
          <w:highlight w:val="none"/>
        </w:rPr>
        <w:t>三、</w:t>
      </w:r>
      <w:r>
        <w:rPr>
          <w:rFonts w:hint="eastAsia" w:ascii="宋体" w:hAnsi="宋体" w:eastAsia="宋体" w:cs="宋体"/>
          <w:b/>
          <w:color w:val="auto"/>
          <w:sz w:val="30"/>
          <w:szCs w:val="30"/>
          <w:highlight w:val="none"/>
        </w:rPr>
        <w:t>磋商响应文件的编制</w:t>
      </w:r>
    </w:p>
    <w:p w14:paraId="5110A138">
      <w:pPr>
        <w:spacing w:line="560" w:lineRule="exact"/>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（六）编制要求</w:t>
      </w:r>
    </w:p>
    <w:p w14:paraId="7E588EF3">
      <w:pPr>
        <w:spacing w:line="56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供应商应认真阅读招标文件的所有内容，严格按照招标文件的要求编制和提供磋商响应文件，并保证所提供的全部资料的真实性，使磋商响应文件对磋商文件作出实质性响应。如果投标人在磋商响应文件中没有按照磋商文件要求提交全部资料或者磋商响应文件没有对磋商文件在各方面都做出实质性响应，其投标将被拒绝。</w:t>
      </w:r>
    </w:p>
    <w:p w14:paraId="6F2DFF3A">
      <w:pPr>
        <w:spacing w:line="56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2、投标人提交的磋商响应文件以及投标人与采购代理机构就有关磋商的所有来往函电均应以中文书写。</w:t>
      </w:r>
    </w:p>
    <w:p w14:paraId="3F5C1748">
      <w:pPr>
        <w:spacing w:line="440" w:lineRule="exact"/>
        <w:ind w:firstLine="482" w:firstLineChars="200"/>
        <w:rPr>
          <w:rFonts w:hint="eastAsia" w:ascii="宋体" w:hAnsi="宋体" w:eastAsia="宋体" w:cs="宋体"/>
          <w:b/>
          <w:color w:val="auto"/>
          <w:sz w:val="24"/>
          <w:highlight w:val="none"/>
        </w:rPr>
      </w:pPr>
      <w:r>
        <w:rPr>
          <w:rFonts w:hint="eastAsia" w:ascii="宋体" w:hAnsi="宋体" w:eastAsia="宋体" w:cs="宋体"/>
          <w:b/>
          <w:bCs/>
          <w:color w:val="auto"/>
          <w:sz w:val="24"/>
          <w:highlight w:val="none"/>
        </w:rPr>
        <w:t>（七）</w:t>
      </w:r>
      <w:r>
        <w:rPr>
          <w:rFonts w:hint="eastAsia" w:ascii="宋体" w:hAnsi="宋体" w:eastAsia="宋体" w:cs="宋体"/>
          <w:b/>
          <w:color w:val="auto"/>
          <w:sz w:val="24"/>
          <w:highlight w:val="none"/>
        </w:rPr>
        <w:t>磋商响应文件构成和格式</w:t>
      </w:r>
    </w:p>
    <w:p w14:paraId="3FD97EC1">
      <w:pPr>
        <w:spacing w:line="44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lang w:val="en-US" w:eastAsia="zh-CN"/>
        </w:rPr>
        <w:t>1.</w:t>
      </w:r>
      <w:r>
        <w:rPr>
          <w:rFonts w:hint="eastAsia" w:ascii="宋体" w:hAnsi="宋体" w:eastAsia="宋体" w:cs="宋体"/>
          <w:color w:val="auto"/>
          <w:sz w:val="24"/>
          <w:highlight w:val="none"/>
        </w:rPr>
        <w:t>投标人编写的磋商响应文件应包括，但不限于下列部分，请按磋商文件提供的相应格式并依照下列顺序编写：</w:t>
      </w:r>
    </w:p>
    <w:p w14:paraId="34A009E8">
      <w:pPr>
        <w:spacing w:line="360" w:lineRule="auto"/>
        <w:ind w:firstLine="480" w:firstLineChars="200"/>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（1）</w:t>
      </w:r>
      <w:r>
        <w:rPr>
          <w:rFonts w:hint="eastAsia" w:ascii="宋体" w:hAnsi="宋体" w:eastAsia="宋体" w:cs="宋体"/>
          <w:color w:val="auto"/>
          <w:sz w:val="24"/>
          <w:highlight w:val="none"/>
        </w:rPr>
        <w:t>磋商响应函</w:t>
      </w:r>
    </w:p>
    <w:p w14:paraId="5FD470A7">
      <w:pPr>
        <w:spacing w:line="360" w:lineRule="auto"/>
        <w:ind w:firstLine="480" w:firstLineChars="200"/>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（2）法定代表人身份证明、法定代表人授权委托书</w:t>
      </w:r>
    </w:p>
    <w:p w14:paraId="3EEA84E1">
      <w:pPr>
        <w:spacing w:line="360" w:lineRule="auto"/>
        <w:ind w:firstLine="480" w:firstLineChars="200"/>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（3）开标一览表</w:t>
      </w:r>
    </w:p>
    <w:p w14:paraId="0ED8B76F">
      <w:pPr>
        <w:spacing w:line="360" w:lineRule="auto"/>
        <w:ind w:firstLine="480" w:firstLineChars="200"/>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（4）分项报价表</w:t>
      </w:r>
    </w:p>
    <w:p w14:paraId="3485B82F">
      <w:pPr>
        <w:spacing w:line="360" w:lineRule="auto"/>
        <w:ind w:firstLine="480" w:firstLineChars="200"/>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（5）服务偏离表</w:t>
      </w:r>
    </w:p>
    <w:p w14:paraId="0A4BCFAC">
      <w:pPr>
        <w:spacing w:line="360" w:lineRule="auto"/>
        <w:ind w:firstLine="480" w:firstLineChars="200"/>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（6）</w:t>
      </w:r>
      <w:r>
        <w:rPr>
          <w:rFonts w:hint="eastAsia" w:ascii="宋体" w:hAnsi="宋体" w:eastAsia="宋体" w:cs="宋体"/>
          <w:bCs/>
          <w:color w:val="auto"/>
          <w:sz w:val="24"/>
          <w:highlight w:val="none"/>
          <w:lang w:val="en-US" w:eastAsia="zh-CN"/>
        </w:rPr>
        <w:t>商务</w:t>
      </w:r>
      <w:r>
        <w:rPr>
          <w:rFonts w:hint="eastAsia" w:ascii="宋体" w:hAnsi="宋体" w:eastAsia="宋体" w:cs="宋体"/>
          <w:bCs/>
          <w:color w:val="auto"/>
          <w:sz w:val="24"/>
          <w:highlight w:val="none"/>
        </w:rPr>
        <w:t>偏离表</w:t>
      </w:r>
    </w:p>
    <w:p w14:paraId="3D25007F">
      <w:pPr>
        <w:spacing w:line="360" w:lineRule="auto"/>
        <w:ind w:firstLine="480" w:firstLineChars="200"/>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（7）资格证明文件</w:t>
      </w:r>
    </w:p>
    <w:p w14:paraId="5D47527A">
      <w:pPr>
        <w:spacing w:line="360" w:lineRule="auto"/>
        <w:ind w:firstLine="480" w:firstLineChars="200"/>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（8）投标服务方案说明</w:t>
      </w:r>
    </w:p>
    <w:p w14:paraId="5A46C97F">
      <w:pPr>
        <w:spacing w:line="360" w:lineRule="auto"/>
        <w:ind w:firstLine="480" w:firstLineChars="200"/>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（9）本项目拟投入人员汇总表</w:t>
      </w:r>
    </w:p>
    <w:p w14:paraId="0F9F3FE5">
      <w:pPr>
        <w:spacing w:line="360" w:lineRule="auto"/>
        <w:ind w:firstLine="480" w:firstLineChars="200"/>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（10）近3年业绩有关证明材料</w:t>
      </w:r>
    </w:p>
    <w:p w14:paraId="38C91746">
      <w:pPr>
        <w:spacing w:line="360" w:lineRule="auto"/>
        <w:ind w:firstLine="480" w:firstLineChars="200"/>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（11）供应商拒绝政府采购领域商业贿赂承诺书</w:t>
      </w:r>
    </w:p>
    <w:p w14:paraId="1D61FA19">
      <w:pPr>
        <w:spacing w:line="360" w:lineRule="auto"/>
        <w:ind w:firstLine="480" w:firstLineChars="200"/>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（12）中小企业声明函（工程、服务）</w:t>
      </w:r>
    </w:p>
    <w:p w14:paraId="01A8BDAB">
      <w:pPr>
        <w:spacing w:line="360" w:lineRule="auto"/>
        <w:ind w:firstLine="480" w:firstLineChars="200"/>
        <w:rPr>
          <w:rFonts w:hint="eastAsia" w:ascii="宋体" w:hAnsi="宋体" w:eastAsia="宋体" w:cs="宋体"/>
          <w:bCs/>
          <w:color w:val="auto"/>
          <w:sz w:val="24"/>
          <w:highlight w:val="none"/>
          <w:lang w:val="en-US" w:eastAsia="zh-CN"/>
        </w:rPr>
      </w:pPr>
      <w:r>
        <w:rPr>
          <w:rFonts w:hint="eastAsia" w:ascii="宋体" w:hAnsi="宋体" w:eastAsia="宋体" w:cs="宋体"/>
          <w:bCs/>
          <w:color w:val="auto"/>
          <w:sz w:val="24"/>
          <w:highlight w:val="none"/>
          <w:lang w:eastAsia="zh-CN"/>
        </w:rPr>
        <w:t>（</w:t>
      </w:r>
      <w:r>
        <w:rPr>
          <w:rFonts w:hint="eastAsia" w:ascii="宋体" w:hAnsi="宋体" w:eastAsia="宋体" w:cs="宋体"/>
          <w:bCs/>
          <w:color w:val="auto"/>
          <w:sz w:val="24"/>
          <w:highlight w:val="none"/>
          <w:lang w:val="en-US" w:eastAsia="zh-CN"/>
        </w:rPr>
        <w:t>13）投标人认为有必要补充说明的事宜</w:t>
      </w:r>
    </w:p>
    <w:p w14:paraId="6533FE5A">
      <w:pPr>
        <w:spacing w:line="56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2、供应商应按照第二章（七）及第五章提供的格式编写投标文件，不得缺少磋商文件要求填写的表格或提交的资料。</w:t>
      </w:r>
    </w:p>
    <w:p w14:paraId="35C2C486">
      <w:pPr>
        <w:spacing w:line="560" w:lineRule="exact"/>
        <w:ind w:firstLine="480" w:firstLineChars="200"/>
        <w:rPr>
          <w:rFonts w:hint="eastAsia" w:ascii="宋体" w:hAnsi="宋体" w:eastAsia="宋体" w:cs="宋体"/>
          <w:color w:val="auto"/>
          <w:sz w:val="24"/>
          <w:highlight w:val="none"/>
          <w:lang w:eastAsia="zh-CN"/>
        </w:rPr>
      </w:pPr>
      <w:r>
        <w:rPr>
          <w:rFonts w:hint="eastAsia" w:ascii="宋体" w:hAnsi="宋体" w:eastAsia="宋体" w:cs="宋体"/>
          <w:color w:val="auto"/>
          <w:sz w:val="24"/>
          <w:highlight w:val="none"/>
        </w:rPr>
        <w:t>3、供应商应将投标文件按第二章（七）投标文件构成和格式规定的顺序编排、并应编制目录，逐页标注连续页码</w:t>
      </w:r>
      <w:r>
        <w:rPr>
          <w:rFonts w:hint="eastAsia" w:ascii="宋体" w:hAnsi="宋体" w:eastAsia="宋体" w:cs="宋体"/>
          <w:b/>
          <w:color w:val="auto"/>
          <w:sz w:val="24"/>
          <w:highlight w:val="none"/>
        </w:rPr>
        <w:t>。</w:t>
      </w:r>
    </w:p>
    <w:p w14:paraId="387B7317">
      <w:pPr>
        <w:spacing w:line="560" w:lineRule="exact"/>
        <w:rPr>
          <w:rFonts w:hint="eastAsia" w:ascii="宋体" w:hAnsi="宋体" w:eastAsia="宋体" w:cs="宋体"/>
          <w:b/>
          <w:bCs/>
          <w:color w:val="auto"/>
          <w:sz w:val="24"/>
          <w:highlight w:val="none"/>
          <w:lang w:val="en-US" w:eastAsia="zh-CN"/>
        </w:rPr>
      </w:pPr>
      <w:r>
        <w:rPr>
          <w:rFonts w:hint="eastAsia" w:ascii="宋体" w:hAnsi="宋体" w:eastAsia="宋体" w:cs="宋体"/>
          <w:b/>
          <w:bCs/>
          <w:color w:val="auto"/>
          <w:sz w:val="24"/>
          <w:highlight w:val="none"/>
        </w:rPr>
        <w:t>（八）</w:t>
      </w:r>
      <w:r>
        <w:rPr>
          <w:rFonts w:hint="eastAsia" w:ascii="宋体" w:hAnsi="宋体" w:eastAsia="宋体" w:cs="宋体"/>
          <w:b/>
          <w:color w:val="auto"/>
          <w:sz w:val="24"/>
          <w:highlight w:val="none"/>
        </w:rPr>
        <w:t>磋商报</w:t>
      </w:r>
      <w:r>
        <w:rPr>
          <w:rFonts w:hint="eastAsia" w:ascii="宋体" w:hAnsi="宋体" w:eastAsia="宋体" w:cs="宋体"/>
          <w:b/>
          <w:color w:val="auto"/>
          <w:sz w:val="24"/>
          <w:highlight w:val="none"/>
          <w:lang w:val="en-US" w:eastAsia="zh-CN"/>
        </w:rPr>
        <w:t>价</w:t>
      </w:r>
    </w:p>
    <w:p w14:paraId="6E67983F">
      <w:pPr>
        <w:spacing w:line="56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1、磋商报价应为完成本项目所要求服务的全部内容</w:t>
      </w:r>
      <w:r>
        <w:rPr>
          <w:rFonts w:hint="eastAsia" w:ascii="宋体" w:hAnsi="宋体" w:eastAsia="宋体" w:cs="宋体"/>
          <w:color w:val="auto"/>
          <w:sz w:val="24"/>
          <w:highlight w:val="none"/>
          <w:lang w:val="zh-CN"/>
        </w:rPr>
        <w:t>及</w:t>
      </w:r>
      <w:r>
        <w:rPr>
          <w:rFonts w:hint="eastAsia" w:ascii="宋体" w:hAnsi="宋体" w:eastAsia="宋体" w:cs="宋体"/>
          <w:color w:val="auto"/>
          <w:sz w:val="24"/>
          <w:highlight w:val="none"/>
        </w:rPr>
        <w:t>国家按现行税收政策征收的一切税费。</w:t>
      </w:r>
    </w:p>
    <w:p w14:paraId="43EFFE82">
      <w:pPr>
        <w:spacing w:line="560" w:lineRule="exact"/>
        <w:ind w:firstLine="480" w:firstLineChars="200"/>
        <w:rPr>
          <w:rFonts w:hint="eastAsia" w:ascii="宋体" w:hAnsi="宋体" w:eastAsia="宋体" w:cs="宋体"/>
          <w:color w:val="auto"/>
          <w:sz w:val="24"/>
          <w:highlight w:val="none"/>
        </w:rPr>
      </w:pPr>
      <w:r>
        <w:rPr>
          <w:rFonts w:hint="eastAsia" w:ascii="宋体" w:hAnsi="宋体" w:eastAsia="宋体" w:cs="宋体"/>
          <w:snapToGrid w:val="0"/>
          <w:color w:val="auto"/>
          <w:sz w:val="24"/>
          <w:highlight w:val="none"/>
        </w:rPr>
        <w:t>2、供应商须对</w:t>
      </w:r>
      <w:r>
        <w:rPr>
          <w:rFonts w:hint="eastAsia" w:ascii="宋体" w:hAnsi="宋体" w:eastAsia="宋体" w:cs="宋体"/>
          <w:color w:val="auto"/>
          <w:sz w:val="24"/>
          <w:highlight w:val="none"/>
        </w:rPr>
        <w:t>服务要求进行完整报价。采购人拒绝只对部分服务进行报价的投标。供应商应在投标响应文件中的分项报价表上标明对本次采购拟提供服务的单价和总价，任何有选择的报价将不予接受。</w:t>
      </w:r>
    </w:p>
    <w:p w14:paraId="280A9B86">
      <w:pPr>
        <w:spacing w:line="56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3、所有根据合同或其它原因应由供应商支付的税款和其它应交纳的费用都要包括在供应商提交的投标报价中。</w:t>
      </w:r>
    </w:p>
    <w:p w14:paraId="5A04A288">
      <w:pPr>
        <w:spacing w:line="560" w:lineRule="exact"/>
        <w:ind w:firstLine="480" w:firstLineChars="200"/>
        <w:rPr>
          <w:rFonts w:hint="eastAsia" w:ascii="宋体" w:hAnsi="宋体" w:eastAsia="宋体" w:cs="宋体"/>
          <w:b/>
          <w:bCs/>
          <w:color w:val="auto"/>
          <w:sz w:val="24"/>
          <w:highlight w:val="none"/>
        </w:rPr>
      </w:pPr>
      <w:r>
        <w:rPr>
          <w:rFonts w:hint="eastAsia" w:ascii="宋体" w:hAnsi="宋体" w:eastAsia="宋体" w:cs="宋体"/>
          <w:b w:val="0"/>
          <w:bCs w:val="0"/>
          <w:color w:val="auto"/>
          <w:sz w:val="24"/>
          <w:highlight w:val="none"/>
          <w:lang w:val="en-US" w:eastAsia="zh-CN"/>
        </w:rPr>
        <w:t>4</w:t>
      </w:r>
      <w:r>
        <w:rPr>
          <w:rFonts w:hint="eastAsia" w:ascii="宋体" w:hAnsi="宋体" w:eastAsia="宋体" w:cs="宋体"/>
          <w:b w:val="0"/>
          <w:bCs w:val="0"/>
          <w:color w:val="auto"/>
          <w:sz w:val="24"/>
          <w:highlight w:val="none"/>
        </w:rPr>
        <w:t>、</w:t>
      </w:r>
      <w:r>
        <w:rPr>
          <w:rFonts w:hint="eastAsia" w:ascii="宋体" w:hAnsi="宋体" w:eastAsia="宋体" w:cs="宋体"/>
          <w:color w:val="auto"/>
          <w:sz w:val="24"/>
          <w:highlight w:val="none"/>
        </w:rPr>
        <w:t>供应商须对服务要求进行完整报价。招标采购单位拒绝只对部分服务进行报价的投标。供应商应在投标文件中的投标分项报价表上标明对本次招标拟提供服务的单价和总价，任何有选择的报价将不予接受。</w:t>
      </w:r>
    </w:p>
    <w:p w14:paraId="18E638CE">
      <w:pPr>
        <w:spacing w:line="560" w:lineRule="exact"/>
        <w:ind w:firstLine="482" w:firstLineChars="200"/>
        <w:rPr>
          <w:rFonts w:hint="eastAsia" w:ascii="宋体" w:hAnsi="宋体" w:eastAsia="宋体" w:cs="宋体"/>
          <w:color w:val="auto"/>
          <w:sz w:val="24"/>
          <w:highlight w:val="none"/>
        </w:rPr>
      </w:pPr>
      <w:r>
        <w:rPr>
          <w:rFonts w:hint="eastAsia" w:ascii="宋体" w:hAnsi="宋体" w:eastAsia="宋体" w:cs="宋体"/>
          <w:b/>
          <w:color w:val="auto"/>
          <w:sz w:val="24"/>
          <w:highlight w:val="none"/>
          <w:lang w:val="en-US" w:eastAsia="zh-CN"/>
        </w:rPr>
        <w:t>5、</w:t>
      </w:r>
      <w:r>
        <w:rPr>
          <w:rFonts w:hint="eastAsia" w:ascii="宋体" w:hAnsi="宋体" w:eastAsia="宋体" w:cs="宋体"/>
          <w:b/>
          <w:bCs/>
          <w:color w:val="auto"/>
          <w:sz w:val="24"/>
          <w:highlight w:val="none"/>
        </w:rPr>
        <w:t>本项目</w:t>
      </w:r>
      <w:r>
        <w:rPr>
          <w:rFonts w:hint="eastAsia" w:ascii="宋体" w:hAnsi="宋体" w:eastAsia="宋体" w:cs="宋体"/>
          <w:b/>
          <w:bCs/>
          <w:color w:val="auto"/>
          <w:sz w:val="24"/>
          <w:highlight w:val="none"/>
          <w:lang w:val="en-US" w:eastAsia="zh-CN"/>
        </w:rPr>
        <w:t>最高限价</w:t>
      </w:r>
      <w:r>
        <w:rPr>
          <w:rFonts w:hint="eastAsia" w:ascii="宋体" w:hAnsi="宋体" w:eastAsia="宋体" w:cs="宋体"/>
          <w:b/>
          <w:bCs/>
          <w:color w:val="auto"/>
          <w:sz w:val="24"/>
          <w:highlight w:val="none"/>
        </w:rPr>
        <w:t>为</w:t>
      </w:r>
      <w:r>
        <w:rPr>
          <w:rFonts w:hint="eastAsia" w:ascii="宋体" w:hAnsi="宋体" w:eastAsia="宋体" w:cs="宋体"/>
          <w:b/>
          <w:bCs/>
          <w:color w:val="auto"/>
          <w:sz w:val="24"/>
          <w:highlight w:val="none"/>
          <w:lang w:eastAsia="zh-CN"/>
        </w:rPr>
        <w:t>：</w:t>
      </w:r>
      <w:r>
        <w:rPr>
          <w:rFonts w:hint="eastAsia" w:ascii="宋体" w:hAnsi="宋体" w:eastAsia="宋体" w:cs="宋体"/>
          <w:b/>
          <w:color w:val="auto"/>
          <w:sz w:val="24"/>
          <w:highlight w:val="none"/>
          <w:lang w:val="en-US" w:eastAsia="zh-CN"/>
        </w:rPr>
        <w:t>人民币</w:t>
      </w:r>
      <w:r>
        <w:rPr>
          <w:rFonts w:hint="eastAsia" w:ascii="宋体" w:hAnsi="宋体" w:cs="宋体"/>
          <w:b/>
          <w:color w:val="auto"/>
          <w:sz w:val="24"/>
          <w:highlight w:val="none"/>
          <w:lang w:val="en-US" w:eastAsia="zh-CN"/>
        </w:rPr>
        <w:t>：叁拾万元整</w:t>
      </w:r>
      <w:r>
        <w:rPr>
          <w:rFonts w:hint="eastAsia" w:ascii="宋体" w:hAnsi="宋体" w:eastAsia="宋体" w:cs="宋体"/>
          <w:b/>
          <w:color w:val="auto"/>
          <w:sz w:val="24"/>
          <w:highlight w:val="none"/>
          <w:lang w:val="en-US" w:eastAsia="zh-CN"/>
        </w:rPr>
        <w:t xml:space="preserve"> </w:t>
      </w:r>
      <w:r>
        <w:rPr>
          <w:rFonts w:hint="eastAsia" w:ascii="宋体" w:hAnsi="宋体" w:eastAsia="宋体" w:cs="宋体"/>
          <w:b/>
          <w:bCs/>
          <w:color w:val="auto"/>
          <w:sz w:val="24"/>
          <w:highlight w:val="none"/>
        </w:rPr>
        <w:t>（￥</w:t>
      </w:r>
      <w:r>
        <w:rPr>
          <w:rFonts w:hint="eastAsia" w:ascii="宋体" w:hAnsi="宋体" w:eastAsia="宋体" w:cs="宋体"/>
          <w:b/>
          <w:bCs/>
          <w:color w:val="auto"/>
          <w:sz w:val="24"/>
          <w:highlight w:val="none"/>
          <w:lang w:eastAsia="zh-CN"/>
        </w:rPr>
        <w:t>：</w:t>
      </w:r>
      <w:r>
        <w:rPr>
          <w:rFonts w:hint="eastAsia" w:ascii="宋体" w:hAnsi="宋体" w:cs="宋体"/>
          <w:b/>
          <w:color w:val="auto"/>
          <w:sz w:val="24"/>
          <w:highlight w:val="none"/>
          <w:lang w:val="en-US" w:eastAsia="zh-CN"/>
        </w:rPr>
        <w:t>30</w:t>
      </w:r>
      <w:r>
        <w:rPr>
          <w:rFonts w:hint="eastAsia" w:ascii="宋体" w:hAnsi="宋体" w:eastAsia="宋体" w:cs="宋体"/>
          <w:b/>
          <w:color w:val="auto"/>
          <w:sz w:val="24"/>
          <w:highlight w:val="none"/>
          <w:lang w:val="en-US" w:eastAsia="zh-CN"/>
        </w:rPr>
        <w:t>0000.00元</w:t>
      </w:r>
      <w:r>
        <w:rPr>
          <w:rFonts w:hint="eastAsia" w:ascii="宋体" w:hAnsi="宋体" w:eastAsia="宋体" w:cs="宋体"/>
          <w:b/>
          <w:bCs/>
          <w:color w:val="auto"/>
          <w:sz w:val="24"/>
          <w:highlight w:val="none"/>
        </w:rPr>
        <w:t>）报价超过</w:t>
      </w:r>
      <w:r>
        <w:rPr>
          <w:rFonts w:hint="eastAsia" w:ascii="宋体" w:hAnsi="宋体" w:eastAsia="宋体" w:cs="宋体"/>
          <w:b/>
          <w:bCs/>
          <w:color w:val="auto"/>
          <w:sz w:val="24"/>
          <w:highlight w:val="none"/>
          <w:lang w:val="en-US" w:eastAsia="zh-CN"/>
        </w:rPr>
        <w:t>最高限价</w:t>
      </w:r>
      <w:r>
        <w:rPr>
          <w:rFonts w:hint="eastAsia" w:ascii="宋体" w:hAnsi="宋体" w:eastAsia="宋体" w:cs="宋体"/>
          <w:b/>
          <w:bCs/>
          <w:color w:val="auto"/>
          <w:sz w:val="24"/>
          <w:highlight w:val="none"/>
        </w:rPr>
        <w:t>则视为废标。</w:t>
      </w:r>
    </w:p>
    <w:p w14:paraId="44F7C768">
      <w:pPr>
        <w:spacing w:line="560" w:lineRule="exact"/>
        <w:ind w:firstLine="482" w:firstLineChars="200"/>
        <w:rPr>
          <w:rFonts w:hint="eastAsia" w:ascii="宋体" w:hAnsi="宋体" w:eastAsia="宋体" w:cs="宋体"/>
          <w:color w:val="auto"/>
          <w:sz w:val="24"/>
          <w:highlight w:val="none"/>
        </w:rPr>
      </w:pPr>
      <w:r>
        <w:rPr>
          <w:rFonts w:hint="eastAsia" w:ascii="宋体" w:hAnsi="宋体" w:eastAsia="宋体" w:cs="宋体"/>
          <w:b/>
          <w:bCs/>
          <w:color w:val="auto"/>
          <w:sz w:val="24"/>
          <w:highlight w:val="none"/>
          <w:lang w:val="en-US" w:eastAsia="zh-CN"/>
        </w:rPr>
        <w:t>6、</w:t>
      </w:r>
      <w:r>
        <w:rPr>
          <w:rFonts w:hint="eastAsia" w:ascii="宋体" w:hAnsi="宋体" w:eastAsia="宋体" w:cs="宋体"/>
          <w:b/>
          <w:bCs/>
          <w:color w:val="auto"/>
          <w:sz w:val="24"/>
          <w:highlight w:val="none"/>
        </w:rPr>
        <w:t>磋商小组认为磋商响应单位的报价明显低于其他通过符合性审查磋商响应单位的投标报价，有可能影响</w:t>
      </w:r>
      <w:r>
        <w:rPr>
          <w:rFonts w:hint="eastAsia" w:ascii="宋体" w:hAnsi="宋体" w:eastAsia="宋体" w:cs="宋体"/>
          <w:b/>
          <w:bCs/>
          <w:color w:val="auto"/>
          <w:sz w:val="24"/>
          <w:highlight w:val="none"/>
          <w:lang w:val="en-US" w:eastAsia="zh-CN"/>
        </w:rPr>
        <w:t>服务</w:t>
      </w:r>
      <w:r>
        <w:rPr>
          <w:rFonts w:hint="eastAsia" w:ascii="宋体" w:hAnsi="宋体" w:eastAsia="宋体" w:cs="宋体"/>
          <w:b/>
          <w:bCs/>
          <w:color w:val="auto"/>
          <w:sz w:val="24"/>
          <w:highlight w:val="none"/>
        </w:rPr>
        <w:t>质量或者不能诚信履约的，应当要求其在磋商现场</w:t>
      </w:r>
      <w:r>
        <w:rPr>
          <w:rFonts w:hint="eastAsia" w:ascii="宋体" w:hAnsi="宋体" w:eastAsia="宋体" w:cs="宋体"/>
          <w:b/>
          <w:bCs/>
          <w:color w:val="auto"/>
          <w:sz w:val="24"/>
          <w:highlight w:val="none"/>
          <w:lang w:val="en-US" w:eastAsia="zh-CN"/>
        </w:rPr>
        <w:t>规定</w:t>
      </w:r>
      <w:r>
        <w:rPr>
          <w:rFonts w:hint="eastAsia" w:ascii="宋体" w:hAnsi="宋体" w:eastAsia="宋体" w:cs="宋体"/>
          <w:b/>
          <w:bCs/>
          <w:color w:val="auto"/>
          <w:sz w:val="24"/>
          <w:highlight w:val="none"/>
        </w:rPr>
        <w:t>的时间内提供书面说明，必要时提交相关证明材料。磋商响应单位不能证明其报价合理性的或磋商小组确定其理由不成立的，其报价无效</w:t>
      </w:r>
      <w:r>
        <w:rPr>
          <w:rFonts w:hint="eastAsia" w:ascii="宋体" w:hAnsi="宋体" w:eastAsia="宋体" w:cs="宋体"/>
          <w:b/>
          <w:bCs/>
          <w:color w:val="auto"/>
          <w:sz w:val="24"/>
          <w:highlight w:val="none"/>
          <w:lang w:eastAsia="zh-CN"/>
        </w:rPr>
        <w:t>，</w:t>
      </w:r>
      <w:r>
        <w:rPr>
          <w:rFonts w:hint="eastAsia" w:ascii="宋体" w:hAnsi="宋体" w:eastAsia="宋体" w:cs="宋体"/>
          <w:b/>
          <w:color w:val="auto"/>
          <w:sz w:val="24"/>
          <w:highlight w:val="none"/>
        </w:rPr>
        <w:t>则按无效标处理。</w:t>
      </w:r>
    </w:p>
    <w:p w14:paraId="1B090453">
      <w:pPr>
        <w:spacing w:line="440" w:lineRule="exact"/>
        <w:rPr>
          <w:rFonts w:hint="eastAsia" w:ascii="宋体" w:hAnsi="宋体" w:eastAsia="宋体" w:cs="宋体"/>
          <w:b/>
          <w:color w:val="auto"/>
          <w:sz w:val="24"/>
          <w:highlight w:val="none"/>
        </w:rPr>
      </w:pPr>
      <w:r>
        <w:rPr>
          <w:rFonts w:hint="eastAsia" w:ascii="宋体" w:hAnsi="宋体" w:eastAsia="宋体" w:cs="宋体"/>
          <w:b/>
          <w:bCs/>
          <w:color w:val="auto"/>
          <w:sz w:val="24"/>
          <w:highlight w:val="none"/>
        </w:rPr>
        <w:t>（九）</w:t>
      </w:r>
      <w:r>
        <w:rPr>
          <w:rFonts w:hint="eastAsia" w:ascii="宋体" w:hAnsi="宋体" w:eastAsia="宋体" w:cs="宋体"/>
          <w:b/>
          <w:color w:val="auto"/>
          <w:sz w:val="24"/>
          <w:highlight w:val="none"/>
        </w:rPr>
        <w:t>磋商货币</w:t>
      </w:r>
    </w:p>
    <w:p w14:paraId="4C318000">
      <w:pPr>
        <w:spacing w:line="56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供应商提供的服务一律以人民币报价。</w:t>
      </w:r>
    </w:p>
    <w:p w14:paraId="2A0FE219">
      <w:pPr>
        <w:spacing w:line="560" w:lineRule="exact"/>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（十）</w:t>
      </w:r>
      <w:r>
        <w:rPr>
          <w:rFonts w:hint="eastAsia" w:ascii="宋体" w:hAnsi="宋体" w:eastAsia="宋体" w:cs="宋体"/>
          <w:b/>
          <w:color w:val="auto"/>
          <w:sz w:val="24"/>
          <w:highlight w:val="none"/>
        </w:rPr>
        <w:t>磋商</w:t>
      </w:r>
      <w:r>
        <w:rPr>
          <w:rFonts w:hint="eastAsia" w:ascii="宋体" w:hAnsi="宋体" w:eastAsia="宋体" w:cs="宋体"/>
          <w:b/>
          <w:bCs/>
          <w:color w:val="auto"/>
          <w:sz w:val="24"/>
          <w:highlight w:val="none"/>
        </w:rPr>
        <w:t>保证金</w:t>
      </w:r>
    </w:p>
    <w:p w14:paraId="28CBC1D6">
      <w:pPr>
        <w:spacing w:line="560" w:lineRule="exact"/>
        <w:ind w:firstLine="482" w:firstLineChars="200"/>
        <w:rPr>
          <w:rFonts w:hint="eastAsia" w:ascii="宋体" w:hAnsi="宋体" w:eastAsia="宋体" w:cs="宋体"/>
          <w:color w:val="auto"/>
          <w:sz w:val="24"/>
          <w:highlight w:val="none"/>
        </w:rPr>
      </w:pPr>
      <w:r>
        <w:rPr>
          <w:rFonts w:hint="eastAsia" w:ascii="宋体" w:hAnsi="宋体" w:eastAsia="宋体" w:cs="宋体"/>
          <w:b/>
          <w:color w:val="auto"/>
          <w:sz w:val="24"/>
          <w:highlight w:val="none"/>
          <w:lang w:val="en-US" w:eastAsia="zh-CN"/>
        </w:rPr>
        <w:t>根据安财采管【2022】4号文件《安康市财政局关于全面取消政府采购保证金等有关事项的通知》相关要求，本项目不要求缴纳投标保证金。供应商在本次政府采购活动中违反政府采购相关规定给采购人、采购代理机构造成损失的，其失信行为将被纳入诚信系统，并且负有赔偿责任，赔偿金额不超过采购预算金额的2%。</w:t>
      </w:r>
    </w:p>
    <w:p w14:paraId="6D9DE9A9">
      <w:pPr>
        <w:spacing w:line="560" w:lineRule="exact"/>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（十一）</w:t>
      </w:r>
      <w:r>
        <w:rPr>
          <w:rFonts w:hint="eastAsia" w:ascii="宋体" w:hAnsi="宋体" w:eastAsia="宋体" w:cs="宋体"/>
          <w:b/>
          <w:color w:val="auto"/>
          <w:sz w:val="24"/>
          <w:highlight w:val="none"/>
        </w:rPr>
        <w:t>磋商响应文件有效期</w:t>
      </w:r>
    </w:p>
    <w:p w14:paraId="78D77968">
      <w:pPr>
        <w:autoSpaceDE w:val="0"/>
        <w:autoSpaceDN w:val="0"/>
        <w:spacing w:line="44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lang w:val="en-US" w:eastAsia="zh-CN"/>
        </w:rPr>
        <w:t>1、</w:t>
      </w:r>
      <w:r>
        <w:rPr>
          <w:rFonts w:hint="eastAsia" w:ascii="宋体" w:hAnsi="宋体" w:eastAsia="宋体" w:cs="宋体"/>
          <w:b/>
          <w:color w:val="auto"/>
          <w:sz w:val="24"/>
          <w:highlight w:val="none"/>
        </w:rPr>
        <w:t>磋商响应文件有效期为磋商之日起</w:t>
      </w:r>
      <w:r>
        <w:rPr>
          <w:rFonts w:hint="eastAsia" w:ascii="宋体" w:hAnsi="宋体" w:eastAsia="宋体" w:cs="宋体"/>
          <w:b/>
          <w:color w:val="auto"/>
          <w:sz w:val="24"/>
          <w:highlight w:val="none"/>
          <w:lang w:val="en-US" w:eastAsia="zh-CN"/>
        </w:rPr>
        <w:t>九</w:t>
      </w:r>
      <w:r>
        <w:rPr>
          <w:rFonts w:hint="eastAsia" w:ascii="宋体" w:hAnsi="宋体" w:eastAsia="宋体" w:cs="宋体"/>
          <w:b/>
          <w:color w:val="auto"/>
          <w:sz w:val="24"/>
          <w:highlight w:val="none"/>
        </w:rPr>
        <w:t>十（</w:t>
      </w:r>
      <w:r>
        <w:rPr>
          <w:rFonts w:hint="eastAsia" w:ascii="宋体" w:hAnsi="宋体" w:eastAsia="宋体" w:cs="宋体"/>
          <w:b/>
          <w:color w:val="auto"/>
          <w:sz w:val="24"/>
          <w:highlight w:val="none"/>
          <w:lang w:val="en-US" w:eastAsia="zh-CN"/>
        </w:rPr>
        <w:t>9</w:t>
      </w:r>
      <w:r>
        <w:rPr>
          <w:rFonts w:hint="eastAsia" w:ascii="宋体" w:hAnsi="宋体" w:eastAsia="宋体" w:cs="宋体"/>
          <w:b/>
          <w:color w:val="auto"/>
          <w:sz w:val="24"/>
          <w:highlight w:val="none"/>
        </w:rPr>
        <w:t>0）日历日</w:t>
      </w:r>
      <w:r>
        <w:rPr>
          <w:rFonts w:hint="eastAsia" w:ascii="宋体" w:hAnsi="宋体" w:eastAsia="宋体" w:cs="宋体"/>
          <w:color w:val="auto"/>
          <w:sz w:val="24"/>
          <w:highlight w:val="none"/>
        </w:rPr>
        <w:t>（</w:t>
      </w:r>
      <w:r>
        <w:rPr>
          <w:rFonts w:hint="eastAsia" w:ascii="宋体" w:hAnsi="宋体" w:eastAsia="宋体" w:cs="宋体"/>
          <w:color w:val="auto"/>
          <w:kern w:val="2"/>
          <w:sz w:val="24"/>
          <w:szCs w:val="24"/>
          <w:highlight w:val="none"/>
        </w:rPr>
        <w:t>成交供应商</w:t>
      </w:r>
      <w:r>
        <w:rPr>
          <w:rFonts w:hint="eastAsia" w:ascii="宋体" w:hAnsi="宋体" w:eastAsia="宋体" w:cs="宋体"/>
          <w:color w:val="auto"/>
          <w:sz w:val="24"/>
          <w:highlight w:val="none"/>
        </w:rPr>
        <w:t>的磋商响应文件有效期与合同有效期一致）。</w:t>
      </w:r>
      <w:r>
        <w:rPr>
          <w:rFonts w:hint="eastAsia" w:ascii="宋体" w:hAnsi="宋体" w:eastAsia="宋体" w:cs="宋体"/>
          <w:color w:val="auto"/>
          <w:kern w:val="2"/>
          <w:sz w:val="24"/>
          <w:szCs w:val="24"/>
          <w:highlight w:val="none"/>
        </w:rPr>
        <w:t>供应商</w:t>
      </w:r>
      <w:r>
        <w:rPr>
          <w:rFonts w:hint="eastAsia" w:ascii="宋体" w:hAnsi="宋体" w:eastAsia="宋体" w:cs="宋体"/>
          <w:color w:val="auto"/>
          <w:sz w:val="24"/>
          <w:highlight w:val="none"/>
        </w:rPr>
        <w:t>的磋商响应文件有效期比磋商文件规定短的将被视为非响应性而予以拒绝。</w:t>
      </w:r>
    </w:p>
    <w:p w14:paraId="3F3B7A1E">
      <w:pPr>
        <w:spacing w:line="56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lang w:val="en-US" w:eastAsia="zh-CN"/>
        </w:rPr>
        <w:t>2、</w:t>
      </w:r>
      <w:r>
        <w:rPr>
          <w:rFonts w:hint="eastAsia" w:ascii="宋体" w:hAnsi="宋体" w:eastAsia="宋体" w:cs="宋体"/>
          <w:color w:val="auto"/>
          <w:sz w:val="24"/>
          <w:highlight w:val="none"/>
        </w:rPr>
        <w:t>特殊情况下，在原磋商响应文件有效期期满之前，</w:t>
      </w:r>
      <w:r>
        <w:rPr>
          <w:rFonts w:hint="eastAsia" w:ascii="宋体" w:hAnsi="宋体" w:eastAsia="宋体" w:cs="宋体"/>
          <w:color w:val="auto"/>
          <w:sz w:val="24"/>
          <w:highlight w:val="none"/>
          <w:lang w:eastAsia="zh-CN"/>
        </w:rPr>
        <w:t>采购人</w:t>
      </w:r>
      <w:r>
        <w:rPr>
          <w:rFonts w:hint="eastAsia" w:ascii="宋体" w:hAnsi="宋体" w:eastAsia="宋体" w:cs="宋体"/>
          <w:color w:val="auto"/>
          <w:sz w:val="24"/>
          <w:highlight w:val="none"/>
        </w:rPr>
        <w:t>可征得</w:t>
      </w:r>
      <w:r>
        <w:rPr>
          <w:rFonts w:hint="eastAsia" w:ascii="宋体" w:hAnsi="宋体" w:eastAsia="宋体" w:cs="宋体"/>
          <w:color w:val="auto"/>
          <w:kern w:val="2"/>
          <w:sz w:val="24"/>
          <w:szCs w:val="24"/>
          <w:highlight w:val="none"/>
        </w:rPr>
        <w:t>供应商</w:t>
      </w:r>
      <w:r>
        <w:rPr>
          <w:rFonts w:hint="eastAsia" w:ascii="宋体" w:hAnsi="宋体" w:eastAsia="宋体" w:cs="宋体"/>
          <w:color w:val="auto"/>
          <w:sz w:val="24"/>
          <w:highlight w:val="none"/>
        </w:rPr>
        <w:t>同意延长磋商响应文件有效期。这种要求与答复均应为书面形式提交。</w:t>
      </w:r>
    </w:p>
    <w:p w14:paraId="53957E06">
      <w:pPr>
        <w:spacing w:line="560" w:lineRule="exact"/>
        <w:ind w:firstLine="482" w:firstLineChars="200"/>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3</w:t>
      </w:r>
      <w:r>
        <w:rPr>
          <w:rFonts w:hint="eastAsia" w:ascii="宋体" w:hAnsi="宋体" w:eastAsia="宋体" w:cs="宋体"/>
          <w:b/>
          <w:bCs/>
          <w:color w:val="auto"/>
          <w:sz w:val="24"/>
          <w:highlight w:val="none"/>
          <w:lang w:eastAsia="zh-CN"/>
        </w:rPr>
        <w:t>、</w:t>
      </w:r>
      <w:r>
        <w:rPr>
          <w:rFonts w:hint="eastAsia" w:ascii="宋体" w:hAnsi="宋体" w:eastAsia="宋体" w:cs="宋体"/>
          <w:b/>
          <w:bCs/>
          <w:color w:val="auto"/>
          <w:kern w:val="2"/>
          <w:sz w:val="24"/>
          <w:szCs w:val="24"/>
          <w:highlight w:val="none"/>
        </w:rPr>
        <w:t>磋商响应文件</w:t>
      </w:r>
      <w:r>
        <w:rPr>
          <w:rFonts w:hint="eastAsia" w:ascii="宋体" w:hAnsi="宋体" w:eastAsia="宋体" w:cs="宋体"/>
          <w:b/>
          <w:bCs/>
          <w:color w:val="auto"/>
          <w:sz w:val="24"/>
          <w:highlight w:val="none"/>
        </w:rPr>
        <w:t>的制作和签署（电子文件中法人或授权委托人需签字的地方，请不要使用机打方式签名。）</w:t>
      </w:r>
    </w:p>
    <w:p w14:paraId="10E99906">
      <w:pPr>
        <w:spacing w:line="560" w:lineRule="exact"/>
        <w:ind w:firstLine="482" w:firstLineChars="200"/>
        <w:rPr>
          <w:rFonts w:hint="eastAsia" w:ascii="宋体" w:hAnsi="宋体" w:eastAsia="宋体" w:cs="宋体"/>
          <w:color w:val="auto"/>
          <w:sz w:val="24"/>
          <w:highlight w:val="none"/>
        </w:rPr>
      </w:pPr>
      <w:r>
        <w:rPr>
          <w:rFonts w:hint="eastAsia" w:ascii="宋体" w:hAnsi="宋体" w:eastAsia="宋体" w:cs="宋体"/>
          <w:b/>
          <w:bCs/>
          <w:color w:val="auto"/>
          <w:sz w:val="24"/>
          <w:highlight w:val="none"/>
        </w:rPr>
        <w:t>为确保采购项目顺利开展，本项目采用电子投标的方式。</w:t>
      </w:r>
      <w:r>
        <w:rPr>
          <w:rFonts w:hint="eastAsia" w:ascii="宋体" w:hAnsi="宋体" w:eastAsia="宋体" w:cs="宋体"/>
          <w:color w:val="auto"/>
          <w:sz w:val="24"/>
          <w:highlight w:val="none"/>
        </w:rPr>
        <w:t>供应商在投标时须提供电子投标文件（*.SXSTF）格式，若未按要求导致废标或未中标，投标供应商自行承担责任。</w:t>
      </w:r>
    </w:p>
    <w:p w14:paraId="7B89859B">
      <w:pPr>
        <w:spacing w:line="500" w:lineRule="exact"/>
        <w:rPr>
          <w:rFonts w:hint="eastAsia" w:ascii="宋体" w:hAnsi="宋体" w:eastAsia="宋体" w:cs="宋体"/>
          <w:color w:val="auto"/>
          <w:sz w:val="24"/>
          <w:highlight w:val="none"/>
        </w:rPr>
      </w:pPr>
      <w:r>
        <w:rPr>
          <w:rFonts w:hint="eastAsia" w:ascii="宋体" w:hAnsi="宋体" w:eastAsia="宋体" w:cs="宋体"/>
          <w:b/>
          <w:bCs/>
          <w:color w:val="auto"/>
          <w:sz w:val="24"/>
          <w:highlight w:val="none"/>
        </w:rPr>
        <w:t>（十二）电子投标文件</w:t>
      </w:r>
    </w:p>
    <w:p w14:paraId="17D48218">
      <w:pPr>
        <w:spacing w:line="56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编制电子投标文件时，应使用最新发布的电子招标文件及专用制作工具进行编制。并使用数字认证证书（CA）对电子投标文件进行签署、加密、递交及开标时解密等相关操作。</w:t>
      </w:r>
      <w:r>
        <w:rPr>
          <w:rFonts w:hint="eastAsia" w:ascii="宋体" w:hAnsi="宋体" w:eastAsia="宋体" w:cs="宋体"/>
          <w:b/>
          <w:bCs/>
          <w:color w:val="auto"/>
          <w:sz w:val="24"/>
          <w:highlight w:val="none"/>
        </w:rPr>
        <w:t>磋商响应文件中需要法人或授权委托人签字的地方，请不要使用机打方式签名；</w:t>
      </w:r>
      <w:r>
        <w:rPr>
          <w:rFonts w:hint="eastAsia" w:ascii="宋体" w:hAnsi="宋体" w:eastAsia="宋体" w:cs="宋体"/>
          <w:color w:val="auto"/>
          <w:sz w:val="24"/>
          <w:highlight w:val="none"/>
        </w:rPr>
        <w:t>需要加盖供应商公章的地方，请使用“企业 CA”进行盖章。加密和解密应当使用同一CA，否则将会导致解密失败。</w:t>
      </w:r>
    </w:p>
    <w:p w14:paraId="640A47AE">
      <w:pPr>
        <w:spacing w:line="560" w:lineRule="exact"/>
        <w:ind w:firstLine="482" w:firstLineChars="200"/>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（1）电子招标文件下载</w:t>
      </w:r>
    </w:p>
    <w:p w14:paraId="4EAA637E">
      <w:pPr>
        <w:spacing w:line="56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供应商登录全国公共资源交易平台（陕西省）网站[电子交易平台-企业端]后，在[我的项目]中点击“项目流程-交易文件下载”下载电子招标文件（*.SXSZF）；</w:t>
      </w:r>
      <w:r>
        <w:rPr>
          <w:rFonts w:hint="eastAsia" w:ascii="宋体" w:hAnsi="宋体" w:eastAsia="宋体" w:cs="宋体"/>
          <w:b/>
          <w:bCs/>
          <w:color w:val="auto"/>
          <w:sz w:val="24"/>
          <w:szCs w:val="32"/>
          <w:highlight w:val="none"/>
        </w:rPr>
        <w:t>投标供应商须在投标文件发售截止日期前登录电子交易平台下载招标文件，否则责任自负；</w:t>
      </w:r>
    </w:p>
    <w:p w14:paraId="489CB2B2">
      <w:pPr>
        <w:spacing w:line="560" w:lineRule="exact"/>
        <w:ind w:firstLine="482" w:firstLineChars="200"/>
        <w:rPr>
          <w:rFonts w:hint="eastAsia" w:ascii="宋体" w:hAnsi="宋体" w:eastAsia="宋体" w:cs="宋体"/>
          <w:b/>
          <w:bCs/>
          <w:color w:val="auto"/>
          <w:sz w:val="24"/>
          <w:szCs w:val="32"/>
          <w:highlight w:val="none"/>
        </w:rPr>
      </w:pPr>
      <w:r>
        <w:rPr>
          <w:rFonts w:hint="eastAsia" w:ascii="宋体" w:hAnsi="宋体" w:eastAsia="宋体" w:cs="宋体"/>
          <w:b/>
          <w:bCs/>
          <w:color w:val="auto"/>
          <w:sz w:val="24"/>
          <w:szCs w:val="32"/>
          <w:highlight w:val="none"/>
        </w:rPr>
        <w:t>特别注意：</w:t>
      </w:r>
    </w:p>
    <w:p w14:paraId="793C6354">
      <w:pPr>
        <w:spacing w:line="56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该项目如有变更文件，则应点击“项目流程&gt;答疑文件下载”下载更新后的电子招标文件（*.SXSCF），使用旧版电子招标文件制作的电子投标文件，系统将拒绝接收。</w:t>
      </w:r>
    </w:p>
    <w:p w14:paraId="788815BB">
      <w:pPr>
        <w:spacing w:line="560" w:lineRule="exact"/>
        <w:ind w:firstLine="482" w:firstLineChars="200"/>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（2）电子招标文件需要使用专用软件打开、浏览</w:t>
      </w:r>
    </w:p>
    <w:p w14:paraId="5A47F087">
      <w:pPr>
        <w:spacing w:line="56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供应商登录全国公共资源交易平台（陕西省）网站[服务指南-下载专区]免费下载《陕西省公共资源交易平台政府采购电子标书制作工具(V8.0.0.43)》，并升级至最新版本，使用该客户端可以打开电子招标文件。软件操作手册详见全国公共资源交易平台（陕西省）网站[服务指南-下载专区]中的《陕西省公共资源交易（政府采购类）投标文件制作软件操作手册》；</w:t>
      </w:r>
    </w:p>
    <w:p w14:paraId="12099718">
      <w:pPr>
        <w:spacing w:line="560" w:lineRule="exact"/>
        <w:ind w:firstLine="482" w:firstLineChars="200"/>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（3）制作电子投标文件</w:t>
      </w:r>
    </w:p>
    <w:p w14:paraId="47541D06">
      <w:pPr>
        <w:spacing w:line="56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电子投标文件同样需要使用上述软件进行编制。在编制过程中，如有技术性问题，请先翻阅操作手册或致电软件开发商，技术支持热线：4009280095、4009980000</w:t>
      </w:r>
    </w:p>
    <w:p w14:paraId="5633CBDF">
      <w:pPr>
        <w:pStyle w:val="118"/>
        <w:spacing w:line="440" w:lineRule="exact"/>
        <w:ind w:firstLine="482"/>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（4）投标文件</w:t>
      </w:r>
    </w:p>
    <w:p w14:paraId="6CC88C18">
      <w:pPr>
        <w:spacing w:line="560" w:lineRule="exact"/>
        <w:ind w:firstLine="482" w:firstLineChars="200"/>
        <w:rPr>
          <w:rFonts w:hint="eastAsia" w:ascii="宋体" w:hAnsi="宋体" w:eastAsia="宋体" w:cs="宋体"/>
          <w:bCs/>
          <w:color w:val="auto"/>
          <w:sz w:val="24"/>
          <w:highlight w:val="none"/>
        </w:rPr>
      </w:pPr>
      <w:r>
        <w:rPr>
          <w:rFonts w:hint="eastAsia" w:ascii="宋体" w:hAnsi="宋体" w:eastAsia="宋体" w:cs="宋体"/>
          <w:b/>
          <w:bCs/>
          <w:color w:val="auto"/>
          <w:sz w:val="24"/>
          <w:highlight w:val="none"/>
        </w:rPr>
        <w:t>4.1投标文件构成和格式</w:t>
      </w:r>
    </w:p>
    <w:p w14:paraId="797A30C1">
      <w:pPr>
        <w:spacing w:line="440" w:lineRule="exact"/>
        <w:ind w:firstLine="480" w:firstLineChars="200"/>
        <w:rPr>
          <w:rFonts w:hint="eastAsia" w:ascii="宋体" w:hAnsi="宋体" w:eastAsia="宋体" w:cs="宋体"/>
          <w:color w:val="auto"/>
          <w:kern w:val="1"/>
          <w:sz w:val="24"/>
          <w:highlight w:val="none"/>
        </w:rPr>
      </w:pPr>
      <w:r>
        <w:rPr>
          <w:rFonts w:hint="eastAsia" w:ascii="宋体" w:hAnsi="宋体" w:eastAsia="宋体" w:cs="宋体"/>
          <w:color w:val="auto"/>
          <w:sz w:val="24"/>
          <w:highlight w:val="none"/>
        </w:rPr>
        <w:t>（1）</w:t>
      </w:r>
      <w:r>
        <w:rPr>
          <w:rFonts w:hint="eastAsia" w:ascii="宋体" w:hAnsi="宋体" w:eastAsia="宋体" w:cs="宋体"/>
          <w:color w:val="auto"/>
          <w:kern w:val="1"/>
          <w:sz w:val="24"/>
          <w:highlight w:val="none"/>
        </w:rPr>
        <w:t>供应商应按照本须知</w:t>
      </w:r>
      <w:r>
        <w:rPr>
          <w:rFonts w:hint="eastAsia" w:ascii="宋体" w:hAnsi="宋体" w:eastAsia="宋体" w:cs="宋体"/>
          <w:color w:val="auto"/>
          <w:sz w:val="24"/>
          <w:highlight w:val="none"/>
        </w:rPr>
        <w:t>第二章（七）</w:t>
      </w:r>
      <w:r>
        <w:rPr>
          <w:rFonts w:hint="eastAsia" w:ascii="宋体" w:hAnsi="宋体" w:eastAsia="宋体" w:cs="宋体"/>
          <w:color w:val="auto"/>
          <w:kern w:val="1"/>
          <w:sz w:val="24"/>
          <w:highlight w:val="none"/>
        </w:rPr>
        <w:t>第1条的内容及第五章提供的格式编写投标文件，不得缺少招标文件要求填写的表格或提交的资料。</w:t>
      </w:r>
    </w:p>
    <w:p w14:paraId="0A9C8BE5">
      <w:pPr>
        <w:spacing w:line="56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（2）供应商应将投标文件按本须知第二章（七）</w:t>
      </w:r>
      <w:r>
        <w:rPr>
          <w:rFonts w:hint="eastAsia" w:ascii="宋体" w:hAnsi="宋体" w:eastAsia="宋体" w:cs="宋体"/>
          <w:color w:val="auto"/>
          <w:kern w:val="1"/>
          <w:sz w:val="24"/>
          <w:highlight w:val="none"/>
        </w:rPr>
        <w:t>第1条</w:t>
      </w:r>
      <w:r>
        <w:rPr>
          <w:rFonts w:hint="eastAsia" w:ascii="宋体" w:hAnsi="宋体" w:eastAsia="宋体" w:cs="宋体"/>
          <w:color w:val="auto"/>
          <w:sz w:val="24"/>
          <w:highlight w:val="none"/>
        </w:rPr>
        <w:t>规定的顺序编排并应编制目录，逐页标注连续页码</w:t>
      </w:r>
      <w:r>
        <w:rPr>
          <w:rFonts w:hint="eastAsia" w:ascii="宋体" w:hAnsi="宋体" w:eastAsia="宋体" w:cs="宋体"/>
          <w:b/>
          <w:color w:val="auto"/>
          <w:sz w:val="24"/>
          <w:highlight w:val="none"/>
        </w:rPr>
        <w:t>。</w:t>
      </w:r>
    </w:p>
    <w:p w14:paraId="62F59A21">
      <w:pPr>
        <w:spacing w:line="56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4.2</w:t>
      </w:r>
      <w:r>
        <w:rPr>
          <w:rFonts w:hint="eastAsia" w:ascii="宋体" w:hAnsi="宋体" w:eastAsia="宋体" w:cs="宋体"/>
          <w:b/>
          <w:bCs/>
          <w:color w:val="auto"/>
          <w:sz w:val="24"/>
          <w:szCs w:val="24"/>
          <w:highlight w:val="none"/>
          <w:lang w:val="en-US" w:eastAsia="zh-CN"/>
        </w:rPr>
        <w:t>中标（成交）</w:t>
      </w:r>
      <w:r>
        <w:rPr>
          <w:rFonts w:hint="eastAsia" w:ascii="宋体" w:hAnsi="宋体" w:eastAsia="宋体" w:cs="宋体"/>
          <w:b/>
          <w:bCs/>
          <w:color w:val="auto"/>
          <w:sz w:val="24"/>
          <w:highlight w:val="none"/>
        </w:rPr>
        <w:t>供应商在领取中标（成交）通知书时请</w:t>
      </w:r>
      <w:r>
        <w:rPr>
          <w:rFonts w:hint="eastAsia" w:ascii="宋体" w:hAnsi="宋体" w:eastAsia="宋体" w:cs="宋体"/>
          <w:b/>
          <w:bCs/>
          <w:color w:val="auto"/>
          <w:sz w:val="24"/>
          <w:szCs w:val="28"/>
          <w:highlight w:val="none"/>
        </w:rPr>
        <w:t>提供加盖公章的投标文件扫描件</w:t>
      </w:r>
      <w:r>
        <w:rPr>
          <w:rFonts w:hint="eastAsia" w:ascii="宋体" w:hAnsi="宋体" w:eastAsia="宋体" w:cs="宋体"/>
          <w:b/>
          <w:bCs/>
          <w:color w:val="auto"/>
          <w:sz w:val="24"/>
          <w:highlight w:val="none"/>
        </w:rPr>
        <w:t>U盘</w:t>
      </w:r>
      <w:r>
        <w:rPr>
          <w:rFonts w:hint="eastAsia" w:ascii="宋体" w:hAnsi="宋体" w:eastAsia="宋体" w:cs="宋体"/>
          <w:b/>
          <w:bCs/>
          <w:color w:val="auto"/>
          <w:sz w:val="24"/>
          <w:highlight w:val="none"/>
          <w:lang w:val="en-US" w:eastAsia="zh-CN"/>
        </w:rPr>
        <w:t>1</w:t>
      </w:r>
      <w:r>
        <w:rPr>
          <w:rFonts w:hint="eastAsia" w:ascii="宋体" w:hAnsi="宋体" w:eastAsia="宋体" w:cs="宋体"/>
          <w:b/>
          <w:bCs/>
          <w:color w:val="auto"/>
          <w:sz w:val="24"/>
          <w:highlight w:val="none"/>
        </w:rPr>
        <w:t>个及纸质版投标文件</w:t>
      </w:r>
      <w:r>
        <w:rPr>
          <w:rFonts w:hint="eastAsia" w:ascii="宋体" w:hAnsi="宋体" w:eastAsia="宋体" w:cs="宋体"/>
          <w:b/>
          <w:bCs/>
          <w:color w:val="auto"/>
          <w:sz w:val="24"/>
          <w:highlight w:val="none"/>
          <w:lang w:val="en-US" w:eastAsia="zh-CN"/>
        </w:rPr>
        <w:t>两</w:t>
      </w:r>
      <w:r>
        <w:rPr>
          <w:rFonts w:hint="eastAsia" w:ascii="宋体" w:hAnsi="宋体" w:eastAsia="宋体" w:cs="宋体"/>
          <w:b/>
          <w:bCs/>
          <w:color w:val="auto"/>
          <w:sz w:val="24"/>
          <w:highlight w:val="none"/>
        </w:rPr>
        <w:t>份，采购人及代理公司做存档使用。</w:t>
      </w:r>
    </w:p>
    <w:p w14:paraId="40DC89C0">
      <w:pPr>
        <w:spacing w:line="56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4.3</w:t>
      </w:r>
      <w:r>
        <w:rPr>
          <w:rFonts w:hint="eastAsia" w:ascii="宋体" w:hAnsi="宋体" w:eastAsia="宋体" w:cs="宋体"/>
          <w:b/>
          <w:bCs/>
          <w:color w:val="auto"/>
          <w:sz w:val="24"/>
          <w:highlight w:val="none"/>
        </w:rPr>
        <w:t>投标文件按要求均应逐页加盖供应商印章</w:t>
      </w:r>
      <w:r>
        <w:rPr>
          <w:rFonts w:hint="eastAsia" w:ascii="宋体" w:hAnsi="宋体" w:eastAsia="宋体" w:cs="宋体"/>
          <w:color w:val="auto"/>
          <w:sz w:val="24"/>
          <w:highlight w:val="none"/>
        </w:rPr>
        <w:t>，并经法定代表人或其委托代理人签字或盖章。由委托代理人签字或盖章的，在投标文件中须同时提交法定代表人授权委托书。</w:t>
      </w:r>
    </w:p>
    <w:p w14:paraId="17B7B52C">
      <w:pPr>
        <w:spacing w:line="560" w:lineRule="atLeas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4.4投标文件因表述不清所引起的后果由供应商负责。</w:t>
      </w:r>
    </w:p>
    <w:p w14:paraId="091FED89">
      <w:pPr>
        <w:spacing w:line="60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4.5如未按第二章（十二）规定的招标文件，按无效文件处理。</w:t>
      </w:r>
    </w:p>
    <w:p w14:paraId="029CA4A0">
      <w:pPr>
        <w:spacing w:line="560" w:lineRule="exact"/>
        <w:jc w:val="center"/>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rPr>
        <w:t>四、</w:t>
      </w:r>
      <w:r>
        <w:rPr>
          <w:rFonts w:hint="eastAsia" w:ascii="宋体" w:hAnsi="宋体" w:eastAsia="宋体" w:cs="宋体"/>
          <w:b/>
          <w:color w:val="auto"/>
          <w:sz w:val="30"/>
          <w:szCs w:val="30"/>
          <w:highlight w:val="none"/>
        </w:rPr>
        <w:t>磋商响应文件的递交</w:t>
      </w:r>
    </w:p>
    <w:p w14:paraId="12C97264">
      <w:pPr>
        <w:spacing w:line="560" w:lineRule="exact"/>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（十三）电子投标文件的提交</w:t>
      </w:r>
    </w:p>
    <w:p w14:paraId="2FAB9278">
      <w:pPr>
        <w:spacing w:line="560" w:lineRule="exact"/>
        <w:ind w:firstLine="482" w:firstLineChars="200"/>
        <w:rPr>
          <w:rFonts w:hint="eastAsia" w:ascii="宋体" w:hAnsi="宋体" w:eastAsia="宋体" w:cs="宋体"/>
          <w:color w:val="auto"/>
          <w:sz w:val="24"/>
          <w:highlight w:val="none"/>
        </w:rPr>
      </w:pPr>
      <w:r>
        <w:rPr>
          <w:rFonts w:hint="eastAsia" w:ascii="宋体" w:hAnsi="宋体" w:eastAsia="宋体" w:cs="宋体"/>
          <w:b/>
          <w:bCs/>
          <w:color w:val="auto"/>
          <w:sz w:val="24"/>
          <w:highlight w:val="none"/>
        </w:rPr>
        <w:t>电子投标文件可于提交投标文件截止时间前任意时段登录全国公共资源交易平台（陕西省）网站[电子交易平台-企业端]进行提交，逾期系统将拒绝接收。提交时，供应商应登录全国公共资源交易中心平台（陕西省），选择[“首页&gt;电子交易平台&gt;企业端&gt;我的项目”，点击[项目流程]，在打开的[项目管理]对话框中选择[上传响应文件]，上传加密的电子投标文件（*.SXSTF），上传成功后，电子化平台将予以记录。</w:t>
      </w:r>
    </w:p>
    <w:p w14:paraId="7F97EC51">
      <w:pPr>
        <w:spacing w:line="500" w:lineRule="exact"/>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（十四）投标截止日期</w:t>
      </w:r>
    </w:p>
    <w:p w14:paraId="01A71000">
      <w:pPr>
        <w:spacing w:line="560" w:lineRule="exact"/>
        <w:ind w:firstLine="480" w:firstLineChars="200"/>
        <w:rPr>
          <w:rFonts w:hint="eastAsia" w:ascii="宋体" w:hAnsi="宋体" w:eastAsia="宋体" w:cs="宋体"/>
          <w:b/>
          <w:bCs/>
          <w:color w:val="auto"/>
          <w:sz w:val="24"/>
          <w:highlight w:val="none"/>
        </w:rPr>
      </w:pPr>
      <w:r>
        <w:rPr>
          <w:rFonts w:hint="eastAsia" w:ascii="宋体" w:hAnsi="宋体" w:eastAsia="宋体" w:cs="宋体"/>
          <w:color w:val="auto"/>
          <w:sz w:val="24"/>
          <w:highlight w:val="none"/>
        </w:rPr>
        <w:t>1</w:t>
      </w: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rPr>
        <w:t>供应商应在不迟于招标文件中规定的投标截止时间将投标文件递交至</w:t>
      </w:r>
      <w:r>
        <w:rPr>
          <w:rFonts w:hint="eastAsia" w:ascii="宋体" w:hAnsi="宋体" w:eastAsia="宋体" w:cs="宋体"/>
          <w:b/>
          <w:bCs/>
          <w:color w:val="auto"/>
          <w:sz w:val="24"/>
          <w:highlight w:val="none"/>
        </w:rPr>
        <w:t>全国公共资源交易平台（陕西省·安康市）电子交易平台。</w:t>
      </w:r>
    </w:p>
    <w:p w14:paraId="60A138A3">
      <w:pPr>
        <w:spacing w:line="56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lang w:val="en-US" w:eastAsia="zh-CN"/>
        </w:rPr>
        <w:t>2、</w:t>
      </w:r>
      <w:r>
        <w:rPr>
          <w:rFonts w:hint="eastAsia" w:ascii="宋体" w:hAnsi="宋体" w:eastAsia="宋体" w:cs="宋体"/>
          <w:color w:val="auto"/>
          <w:sz w:val="24"/>
          <w:highlight w:val="none"/>
        </w:rPr>
        <w:t>采购代理机构可以按本须知第</w:t>
      </w:r>
      <w:r>
        <w:rPr>
          <w:rFonts w:hint="eastAsia" w:ascii="宋体" w:hAnsi="宋体" w:eastAsia="宋体" w:cs="宋体"/>
          <w:color w:val="auto"/>
          <w:sz w:val="24"/>
          <w:highlight w:val="none"/>
          <w:lang w:val="en-US" w:eastAsia="zh-CN"/>
        </w:rPr>
        <w:t>二章</w:t>
      </w: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lang w:val="en-US" w:eastAsia="zh-CN"/>
        </w:rPr>
        <w:t>五</w:t>
      </w: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rPr>
        <w:t>3条规定，通知因修改磋商文件而适当延长磋商截止期。在此情况下，</w:t>
      </w:r>
      <w:r>
        <w:rPr>
          <w:rFonts w:hint="eastAsia" w:ascii="宋体" w:hAnsi="宋体" w:eastAsia="宋体" w:cs="宋体"/>
          <w:color w:val="auto"/>
          <w:sz w:val="24"/>
          <w:highlight w:val="none"/>
          <w:lang w:eastAsia="zh-CN"/>
        </w:rPr>
        <w:t>采购人</w:t>
      </w:r>
      <w:r>
        <w:rPr>
          <w:rFonts w:hint="eastAsia" w:ascii="宋体" w:hAnsi="宋体" w:eastAsia="宋体" w:cs="宋体"/>
          <w:color w:val="auto"/>
          <w:sz w:val="24"/>
          <w:highlight w:val="none"/>
        </w:rPr>
        <w:t>和投标人受磋商截止期制约的所有权利和义务均应延长至新的截止期。</w:t>
      </w:r>
    </w:p>
    <w:p w14:paraId="739EE4CB">
      <w:pPr>
        <w:spacing w:line="560" w:lineRule="exact"/>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（十五）迟交的投标文件</w:t>
      </w:r>
    </w:p>
    <w:p w14:paraId="7C0C29B5">
      <w:pPr>
        <w:spacing w:line="44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采购代理机构将拒绝接收磋商截止期后送达的任何磋商响应文件。</w:t>
      </w:r>
    </w:p>
    <w:p w14:paraId="401B74CC">
      <w:pPr>
        <w:numPr>
          <w:ilvl w:val="0"/>
          <w:numId w:val="0"/>
        </w:numPr>
        <w:spacing w:line="560" w:lineRule="exact"/>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lang w:eastAsia="zh-CN"/>
        </w:rPr>
        <w:t>（</w:t>
      </w:r>
      <w:r>
        <w:rPr>
          <w:rFonts w:hint="eastAsia" w:ascii="宋体" w:hAnsi="宋体" w:eastAsia="宋体" w:cs="宋体"/>
          <w:b/>
          <w:bCs/>
          <w:color w:val="auto"/>
          <w:sz w:val="24"/>
          <w:highlight w:val="none"/>
          <w:lang w:val="en-US" w:eastAsia="zh-CN"/>
        </w:rPr>
        <w:t>十六）</w:t>
      </w:r>
      <w:r>
        <w:rPr>
          <w:rFonts w:hint="eastAsia" w:ascii="宋体" w:hAnsi="宋体" w:eastAsia="宋体" w:cs="宋体"/>
          <w:b/>
          <w:bCs/>
          <w:color w:val="auto"/>
          <w:sz w:val="24"/>
          <w:highlight w:val="none"/>
        </w:rPr>
        <w:t>磋商响应文件的修改和撤回</w:t>
      </w:r>
    </w:p>
    <w:p w14:paraId="7767CF51">
      <w:pPr>
        <w:spacing w:line="56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w:t>
      </w: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rPr>
        <w:t>供应商在递交投标文件后，投标截止时间前，可以修改或撤回其电子投标文件。</w:t>
      </w:r>
    </w:p>
    <w:p w14:paraId="573A56D4">
      <w:pPr>
        <w:spacing w:line="56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2</w:t>
      </w: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rPr>
        <w:t>在投标截止日期之后，供应商不得对其投标文件做任何修改。</w:t>
      </w:r>
      <w:r>
        <w:rPr>
          <w:rFonts w:hint="eastAsia" w:ascii="宋体" w:hAnsi="宋体" w:eastAsia="宋体" w:cs="宋体"/>
          <w:color w:val="auto"/>
          <w:kern w:val="2"/>
          <w:sz w:val="24"/>
          <w:szCs w:val="24"/>
          <w:highlight w:val="none"/>
        </w:rPr>
        <w:t>是否进行撤回文件操作，由投标供应商决定，责任由投标供应商自行承担</w:t>
      </w:r>
      <w:r>
        <w:rPr>
          <w:rFonts w:hint="eastAsia" w:ascii="宋体" w:hAnsi="宋体" w:eastAsia="宋体" w:cs="宋体"/>
          <w:color w:val="auto"/>
          <w:kern w:val="2"/>
          <w:sz w:val="24"/>
          <w:szCs w:val="24"/>
          <w:highlight w:val="none"/>
          <w:lang w:eastAsia="zh-CN"/>
        </w:rPr>
        <w:t>。</w:t>
      </w:r>
    </w:p>
    <w:p w14:paraId="4B43A5F3">
      <w:pPr>
        <w:spacing w:line="56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3</w:t>
      </w: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rPr>
        <w:t>从投标截止期始至招标文件确定的投标有效期期满这段时间内，供应商不得撤回其投标。</w:t>
      </w:r>
    </w:p>
    <w:p w14:paraId="7F29CD07">
      <w:pPr>
        <w:spacing w:line="480" w:lineRule="auto"/>
        <w:jc w:val="center"/>
        <w:rPr>
          <w:rFonts w:hint="eastAsia" w:ascii="宋体" w:hAnsi="宋体" w:eastAsia="宋体" w:cs="宋体"/>
          <w:b/>
          <w:bCs/>
          <w:color w:val="auto"/>
          <w:sz w:val="28"/>
          <w:szCs w:val="28"/>
          <w:highlight w:val="none"/>
        </w:rPr>
      </w:pPr>
      <w:r>
        <w:rPr>
          <w:rFonts w:hint="eastAsia" w:ascii="宋体" w:hAnsi="宋体" w:eastAsia="宋体" w:cs="宋体"/>
          <w:b/>
          <w:bCs/>
          <w:color w:val="auto"/>
          <w:sz w:val="30"/>
          <w:szCs w:val="30"/>
          <w:highlight w:val="none"/>
        </w:rPr>
        <w:t>五、</w:t>
      </w:r>
      <w:r>
        <w:rPr>
          <w:rFonts w:hint="eastAsia" w:ascii="宋体" w:hAnsi="宋体" w:eastAsia="宋体" w:cs="宋体"/>
          <w:b/>
          <w:color w:val="auto"/>
          <w:sz w:val="30"/>
          <w:szCs w:val="30"/>
          <w:highlight w:val="none"/>
        </w:rPr>
        <w:t>磋商与评审</w:t>
      </w:r>
    </w:p>
    <w:p w14:paraId="1EEDCCC1">
      <w:pPr>
        <w:spacing w:line="480" w:lineRule="auto"/>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（十七）</w:t>
      </w:r>
      <w:r>
        <w:rPr>
          <w:rFonts w:hint="eastAsia" w:ascii="宋体" w:hAnsi="宋体" w:eastAsia="宋体" w:cs="宋体"/>
          <w:b/>
          <w:color w:val="auto"/>
          <w:sz w:val="24"/>
          <w:highlight w:val="none"/>
        </w:rPr>
        <w:t>磋商响应文件开启和评审</w:t>
      </w:r>
    </w:p>
    <w:p w14:paraId="0440148B">
      <w:pPr>
        <w:keepNext w:val="0"/>
        <w:keepLines w:val="0"/>
        <w:pageBreakBefore w:val="0"/>
        <w:widowControl w:val="0"/>
        <w:kinsoku/>
        <w:wordWrap/>
        <w:overflowPunct/>
        <w:topLinePunct w:val="0"/>
        <w:autoSpaceDE/>
        <w:autoSpaceDN/>
        <w:bidi w:val="0"/>
        <w:spacing w:line="500" w:lineRule="exact"/>
        <w:ind w:firstLine="480" w:firstLineChars="200"/>
        <w:textAlignment w:val="auto"/>
        <w:rPr>
          <w:rFonts w:hint="eastAsia" w:ascii="宋体" w:hAnsi="宋体" w:eastAsia="宋体" w:cs="宋体"/>
          <w:color w:val="auto"/>
          <w:kern w:val="2"/>
          <w:sz w:val="24"/>
          <w:szCs w:val="28"/>
          <w:highlight w:val="none"/>
        </w:rPr>
      </w:pPr>
      <w:r>
        <w:rPr>
          <w:rFonts w:hint="eastAsia" w:ascii="宋体" w:hAnsi="宋体" w:eastAsia="宋体" w:cs="宋体"/>
          <w:color w:val="auto"/>
          <w:kern w:val="2"/>
          <w:sz w:val="24"/>
          <w:szCs w:val="28"/>
          <w:highlight w:val="none"/>
        </w:rPr>
        <w:t>1</w:t>
      </w:r>
      <w:r>
        <w:rPr>
          <w:rFonts w:hint="eastAsia" w:ascii="宋体" w:hAnsi="宋体" w:eastAsia="宋体" w:cs="宋体"/>
          <w:color w:val="auto"/>
          <w:kern w:val="2"/>
          <w:sz w:val="24"/>
          <w:szCs w:val="28"/>
          <w:highlight w:val="none"/>
          <w:lang w:eastAsia="zh-CN"/>
        </w:rPr>
        <w:t>、</w:t>
      </w:r>
      <w:r>
        <w:rPr>
          <w:rFonts w:hint="eastAsia" w:ascii="宋体" w:hAnsi="宋体" w:eastAsia="宋体" w:cs="宋体"/>
          <w:color w:val="auto"/>
          <w:kern w:val="2"/>
          <w:sz w:val="24"/>
          <w:szCs w:val="28"/>
          <w:highlight w:val="none"/>
        </w:rPr>
        <w:t>采购代理机构组织磋商、</w:t>
      </w:r>
      <w:r>
        <w:rPr>
          <w:rFonts w:hint="eastAsia" w:ascii="宋体" w:hAnsi="宋体" w:eastAsia="宋体" w:cs="宋体"/>
          <w:color w:val="auto"/>
          <w:kern w:val="2"/>
          <w:sz w:val="24"/>
          <w:szCs w:val="24"/>
          <w:highlight w:val="none"/>
        </w:rPr>
        <w:t>文件解密</w:t>
      </w:r>
      <w:r>
        <w:rPr>
          <w:rFonts w:hint="eastAsia" w:ascii="宋体" w:hAnsi="宋体" w:eastAsia="宋体" w:cs="宋体"/>
          <w:color w:val="auto"/>
          <w:kern w:val="2"/>
          <w:sz w:val="24"/>
          <w:szCs w:val="28"/>
          <w:highlight w:val="none"/>
        </w:rPr>
        <w:t>、评审工作，磋商整个过程接受监督部门的监督。</w:t>
      </w:r>
    </w:p>
    <w:p w14:paraId="6DC3C4E7">
      <w:pPr>
        <w:keepNext w:val="0"/>
        <w:keepLines w:val="0"/>
        <w:pageBreakBefore w:val="0"/>
        <w:widowControl w:val="0"/>
        <w:kinsoku/>
        <w:wordWrap/>
        <w:overflowPunct/>
        <w:topLinePunct w:val="0"/>
        <w:autoSpaceDE/>
        <w:autoSpaceDN/>
        <w:bidi w:val="0"/>
        <w:spacing w:line="500" w:lineRule="exact"/>
        <w:ind w:firstLine="480" w:firstLineChars="200"/>
        <w:textAlignment w:val="auto"/>
        <w:rPr>
          <w:rFonts w:hint="eastAsia" w:ascii="宋体" w:hAnsi="宋体" w:eastAsia="宋体" w:cs="宋体"/>
          <w:color w:val="auto"/>
          <w:kern w:val="2"/>
          <w:sz w:val="24"/>
          <w:szCs w:val="28"/>
          <w:highlight w:val="none"/>
        </w:rPr>
      </w:pPr>
      <w:r>
        <w:rPr>
          <w:rFonts w:hint="eastAsia" w:ascii="宋体" w:hAnsi="宋体" w:eastAsia="宋体" w:cs="宋体"/>
          <w:color w:val="auto"/>
          <w:kern w:val="2"/>
          <w:sz w:val="24"/>
          <w:szCs w:val="28"/>
          <w:highlight w:val="none"/>
        </w:rPr>
        <w:t>2</w:t>
      </w:r>
      <w:r>
        <w:rPr>
          <w:rFonts w:hint="eastAsia" w:ascii="宋体" w:hAnsi="宋体" w:eastAsia="宋体" w:cs="宋体"/>
          <w:color w:val="auto"/>
          <w:kern w:val="2"/>
          <w:sz w:val="24"/>
          <w:szCs w:val="28"/>
          <w:highlight w:val="none"/>
          <w:lang w:eastAsia="zh-CN"/>
        </w:rPr>
        <w:t>、</w:t>
      </w:r>
      <w:r>
        <w:rPr>
          <w:rFonts w:hint="eastAsia" w:ascii="宋体" w:hAnsi="宋体" w:eastAsia="宋体" w:cs="宋体"/>
          <w:color w:val="auto"/>
          <w:kern w:val="2"/>
          <w:sz w:val="24"/>
          <w:szCs w:val="28"/>
          <w:highlight w:val="none"/>
        </w:rPr>
        <w:t>采购代理机构在规定的时间和地点组织磋商，供应商在投标截止前30分钟进行线上签到。</w:t>
      </w:r>
    </w:p>
    <w:p w14:paraId="4C1584FC">
      <w:pPr>
        <w:keepNext w:val="0"/>
        <w:keepLines w:val="0"/>
        <w:pageBreakBefore w:val="0"/>
        <w:widowControl w:val="0"/>
        <w:kinsoku/>
        <w:wordWrap/>
        <w:overflowPunct/>
        <w:topLinePunct w:val="0"/>
        <w:autoSpaceDE/>
        <w:autoSpaceDN/>
        <w:bidi w:val="0"/>
        <w:spacing w:line="500" w:lineRule="exact"/>
        <w:ind w:firstLine="480" w:firstLineChars="200"/>
        <w:textAlignment w:val="auto"/>
        <w:rPr>
          <w:rFonts w:hint="eastAsia" w:ascii="宋体" w:hAnsi="宋体" w:eastAsia="宋体" w:cs="宋体"/>
          <w:color w:val="auto"/>
          <w:kern w:val="2"/>
          <w:sz w:val="24"/>
          <w:szCs w:val="28"/>
          <w:highlight w:val="none"/>
        </w:rPr>
      </w:pPr>
      <w:r>
        <w:rPr>
          <w:rFonts w:hint="eastAsia" w:ascii="宋体" w:hAnsi="宋体" w:eastAsia="宋体" w:cs="宋体"/>
          <w:color w:val="auto"/>
          <w:kern w:val="2"/>
          <w:sz w:val="24"/>
          <w:szCs w:val="28"/>
          <w:highlight w:val="none"/>
        </w:rPr>
        <w:t>3</w:t>
      </w:r>
      <w:r>
        <w:rPr>
          <w:rFonts w:hint="eastAsia" w:ascii="宋体" w:hAnsi="宋体" w:eastAsia="宋体" w:cs="宋体"/>
          <w:color w:val="auto"/>
          <w:kern w:val="2"/>
          <w:sz w:val="24"/>
          <w:szCs w:val="28"/>
          <w:highlight w:val="none"/>
          <w:lang w:eastAsia="zh-CN"/>
        </w:rPr>
        <w:t>、</w:t>
      </w:r>
      <w:r>
        <w:rPr>
          <w:rFonts w:hint="eastAsia" w:ascii="宋体" w:hAnsi="宋体" w:eastAsia="宋体" w:cs="宋体"/>
          <w:color w:val="auto"/>
          <w:kern w:val="2"/>
          <w:sz w:val="24"/>
          <w:szCs w:val="28"/>
          <w:highlight w:val="none"/>
        </w:rPr>
        <w:t>开标时，供应商须使用电子投标文件加密时所用的数字认证证书（CA锁）自行解密电子投标文件（系统默认解密时长为30分钟），投标单位需在解密时间规定内完成标书解密。所有投标单位解密完成后由开标人员将响应文件导入开评标系统。</w:t>
      </w:r>
    </w:p>
    <w:p w14:paraId="6FCDBF44">
      <w:pPr>
        <w:keepNext w:val="0"/>
        <w:keepLines w:val="0"/>
        <w:pageBreakBefore w:val="0"/>
        <w:widowControl w:val="0"/>
        <w:kinsoku/>
        <w:wordWrap/>
        <w:overflowPunct/>
        <w:topLinePunct w:val="0"/>
        <w:autoSpaceDE/>
        <w:autoSpaceDN/>
        <w:bidi w:val="0"/>
        <w:spacing w:line="50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4</w:t>
      </w: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rPr>
        <w:t>开标时，供应商须使用电子磋商响应文件加密时所用的数字认证证书（CA 锁）在全国公共资源交易平台（陕西省）不见面开标系统自行解密电子磋商响应文件。涉及到二次报价的，一定主锁报价，只有主锁才有签章功能，二次报价才能完成。</w:t>
      </w:r>
    </w:p>
    <w:p w14:paraId="1B40CA6A">
      <w:pPr>
        <w:keepNext w:val="0"/>
        <w:keepLines w:val="0"/>
        <w:pageBreakBefore w:val="0"/>
        <w:widowControl w:val="0"/>
        <w:kinsoku/>
        <w:wordWrap/>
        <w:overflowPunct/>
        <w:topLinePunct w:val="0"/>
        <w:autoSpaceDE/>
        <w:autoSpaceDN/>
        <w:bidi w:val="0"/>
        <w:spacing w:line="50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5</w:t>
      </w: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rPr>
        <w:t>二次报价网上操作流程：</w:t>
      </w:r>
    </w:p>
    <w:p w14:paraId="05487737">
      <w:pPr>
        <w:keepNext w:val="0"/>
        <w:keepLines w:val="0"/>
        <w:pageBreakBefore w:val="0"/>
        <w:widowControl w:val="0"/>
        <w:kinsoku/>
        <w:wordWrap/>
        <w:overflowPunct/>
        <w:topLinePunct w:val="0"/>
        <w:autoSpaceDE/>
        <w:autoSpaceDN/>
        <w:bidi w:val="0"/>
        <w:spacing w:line="50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5.1插CA锁 ，登录陕西省公共资源交易平台网站（http://www.sxggzyjy.cn/）；</w:t>
      </w:r>
    </w:p>
    <w:p w14:paraId="2F7DF071">
      <w:pPr>
        <w:keepNext w:val="0"/>
        <w:keepLines w:val="0"/>
        <w:pageBreakBefore w:val="0"/>
        <w:widowControl w:val="0"/>
        <w:kinsoku/>
        <w:wordWrap/>
        <w:overflowPunct/>
        <w:topLinePunct w:val="0"/>
        <w:autoSpaceDE/>
        <w:autoSpaceDN/>
        <w:bidi w:val="0"/>
        <w:spacing w:line="50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5.2点击右上角我的项目，选择本次开标项目，点击项目流程；</w:t>
      </w:r>
    </w:p>
    <w:p w14:paraId="140A500A">
      <w:pPr>
        <w:keepNext w:val="0"/>
        <w:keepLines w:val="0"/>
        <w:pageBreakBefore w:val="0"/>
        <w:widowControl w:val="0"/>
        <w:kinsoku/>
        <w:wordWrap/>
        <w:overflowPunct/>
        <w:topLinePunct w:val="0"/>
        <w:autoSpaceDE/>
        <w:autoSpaceDN/>
        <w:bidi w:val="0"/>
        <w:spacing w:line="50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5.3点击网上报价；</w:t>
      </w:r>
    </w:p>
    <w:p w14:paraId="137A7D82">
      <w:pPr>
        <w:keepNext w:val="0"/>
        <w:keepLines w:val="0"/>
        <w:pageBreakBefore w:val="0"/>
        <w:widowControl w:val="0"/>
        <w:kinsoku/>
        <w:wordWrap/>
        <w:overflowPunct/>
        <w:topLinePunct w:val="0"/>
        <w:autoSpaceDE/>
        <w:autoSpaceDN/>
        <w:bidi w:val="0"/>
        <w:spacing w:line="50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5.4报价：点击报价，输入金额（注意大小写一致）；</w:t>
      </w:r>
    </w:p>
    <w:p w14:paraId="12E093D5">
      <w:pPr>
        <w:keepNext w:val="0"/>
        <w:keepLines w:val="0"/>
        <w:pageBreakBefore w:val="0"/>
        <w:widowControl w:val="0"/>
        <w:kinsoku/>
        <w:wordWrap/>
        <w:overflowPunct/>
        <w:topLinePunct w:val="0"/>
        <w:autoSpaceDE/>
        <w:autoSpaceDN/>
        <w:bidi w:val="0"/>
        <w:spacing w:line="50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5.5签章查看：点击 ，选择单页签章，点击报价表右下角签章；</w:t>
      </w:r>
    </w:p>
    <w:p w14:paraId="7D1E26F0">
      <w:pPr>
        <w:pageBreakBefore w:val="0"/>
        <w:widowControl w:val="0"/>
        <w:kinsoku/>
        <w:wordWrap/>
        <w:overflowPunct/>
        <w:topLinePunct w:val="0"/>
        <w:bidi w:val="0"/>
        <w:spacing w:line="500" w:lineRule="exact"/>
        <w:ind w:firstLine="42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highlight w:val="none"/>
        </w:rPr>
        <w:drawing>
          <wp:anchor distT="0" distB="0" distL="114300" distR="114300" simplePos="0" relativeHeight="251661312" behindDoc="0" locked="0" layoutInCell="1" allowOverlap="1">
            <wp:simplePos x="0" y="0"/>
            <wp:positionH relativeFrom="column">
              <wp:posOffset>1532255</wp:posOffset>
            </wp:positionH>
            <wp:positionV relativeFrom="paragraph">
              <wp:posOffset>141605</wp:posOffset>
            </wp:positionV>
            <wp:extent cx="4067810" cy="685800"/>
            <wp:effectExtent l="0" t="0" r="8890" b="0"/>
            <wp:wrapNone/>
            <wp:docPr id="2"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5"/>
                    <pic:cNvPicPr>
                      <a:picLocks noChangeAspect="1"/>
                    </pic:cNvPicPr>
                  </pic:nvPicPr>
                  <pic:blipFill>
                    <a:blip r:embed="rId14"/>
                    <a:stretch>
                      <a:fillRect/>
                    </a:stretch>
                  </pic:blipFill>
                  <pic:spPr>
                    <a:xfrm>
                      <a:off x="0" y="0"/>
                      <a:ext cx="4067810" cy="685800"/>
                    </a:xfrm>
                    <a:prstGeom prst="rect">
                      <a:avLst/>
                    </a:prstGeom>
                    <a:noFill/>
                    <a:ln>
                      <a:noFill/>
                    </a:ln>
                  </pic:spPr>
                </pic:pic>
              </a:graphicData>
            </a:graphic>
          </wp:anchor>
        </w:drawing>
      </w:r>
      <w:r>
        <w:rPr>
          <w:rFonts w:hint="eastAsia" w:ascii="宋体" w:hAnsi="宋体" w:eastAsia="宋体" w:cs="宋体"/>
          <w:color w:val="auto"/>
          <w:sz w:val="24"/>
          <w:highlight w:val="none"/>
        </w:rPr>
        <w:t>确认无误如图：</w:t>
      </w:r>
    </w:p>
    <w:p w14:paraId="63C35B7B">
      <w:pPr>
        <w:pStyle w:val="58"/>
        <w:pageBreakBefore w:val="0"/>
        <w:widowControl w:val="0"/>
        <w:kinsoku/>
        <w:wordWrap/>
        <w:overflowPunct/>
        <w:topLinePunct w:val="0"/>
        <w:bidi w:val="0"/>
        <w:spacing w:line="500" w:lineRule="exact"/>
        <w:ind w:left="0" w:leftChars="0" w:firstLine="482" w:firstLineChars="200"/>
        <w:textAlignment w:val="auto"/>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5.6提交。</w:t>
      </w:r>
    </w:p>
    <w:p w14:paraId="5073B627">
      <w:pPr>
        <w:pageBreakBefore w:val="0"/>
        <w:widowControl w:val="0"/>
        <w:kinsoku/>
        <w:wordWrap/>
        <w:overflowPunct/>
        <w:topLinePunct w:val="0"/>
        <w:bidi w:val="0"/>
        <w:spacing w:line="500" w:lineRule="exact"/>
        <w:ind w:firstLine="480" w:firstLineChars="200"/>
        <w:textAlignment w:val="auto"/>
        <w:rPr>
          <w:rFonts w:hint="eastAsia" w:ascii="宋体" w:hAnsi="宋体" w:eastAsia="宋体" w:cs="宋体"/>
          <w:color w:val="auto"/>
          <w:kern w:val="2"/>
          <w:sz w:val="24"/>
          <w:szCs w:val="28"/>
          <w:highlight w:val="none"/>
        </w:rPr>
      </w:pPr>
      <w:r>
        <w:rPr>
          <w:rFonts w:hint="eastAsia" w:ascii="宋体" w:hAnsi="宋体" w:eastAsia="宋体" w:cs="宋体"/>
          <w:color w:val="auto"/>
          <w:kern w:val="2"/>
          <w:sz w:val="24"/>
          <w:szCs w:val="28"/>
          <w:highlight w:val="none"/>
        </w:rPr>
        <w:t>6</w:t>
      </w:r>
      <w:r>
        <w:rPr>
          <w:rFonts w:hint="eastAsia" w:ascii="宋体" w:hAnsi="宋体" w:eastAsia="宋体" w:cs="宋体"/>
          <w:color w:val="auto"/>
          <w:kern w:val="2"/>
          <w:sz w:val="24"/>
          <w:szCs w:val="28"/>
          <w:highlight w:val="none"/>
          <w:lang w:eastAsia="zh-CN"/>
        </w:rPr>
        <w:t>、</w:t>
      </w:r>
      <w:r>
        <w:rPr>
          <w:rFonts w:hint="eastAsia" w:ascii="宋体" w:hAnsi="宋体" w:eastAsia="宋体" w:cs="宋体"/>
          <w:color w:val="auto"/>
          <w:kern w:val="2"/>
          <w:sz w:val="24"/>
          <w:szCs w:val="28"/>
          <w:highlight w:val="none"/>
        </w:rPr>
        <w:t>在开标环节出现下列情况之一的，其电子投标文件视为无效文件：</w:t>
      </w:r>
    </w:p>
    <w:p w14:paraId="1F503F1F">
      <w:pPr>
        <w:pageBreakBefore w:val="0"/>
        <w:widowControl w:val="0"/>
        <w:kinsoku/>
        <w:wordWrap/>
        <w:overflowPunct/>
        <w:topLinePunct w:val="0"/>
        <w:bidi w:val="0"/>
        <w:spacing w:line="500" w:lineRule="exact"/>
        <w:ind w:firstLine="480" w:firstLineChars="200"/>
        <w:textAlignment w:val="auto"/>
        <w:rPr>
          <w:rFonts w:hint="eastAsia" w:ascii="宋体" w:hAnsi="宋体" w:eastAsia="宋体" w:cs="宋体"/>
          <w:color w:val="auto"/>
          <w:kern w:val="2"/>
          <w:sz w:val="24"/>
          <w:szCs w:val="28"/>
          <w:highlight w:val="none"/>
        </w:rPr>
      </w:pPr>
      <w:r>
        <w:rPr>
          <w:rFonts w:hint="eastAsia" w:ascii="宋体" w:hAnsi="宋体" w:eastAsia="宋体" w:cs="宋体"/>
          <w:color w:val="auto"/>
          <w:kern w:val="2"/>
          <w:sz w:val="24"/>
          <w:szCs w:val="28"/>
          <w:highlight w:val="none"/>
          <w:lang w:val="en-US" w:eastAsia="zh-CN"/>
        </w:rPr>
        <w:t>6.1</w:t>
      </w:r>
      <w:r>
        <w:rPr>
          <w:rFonts w:hint="eastAsia" w:ascii="宋体" w:hAnsi="宋体" w:eastAsia="宋体" w:cs="宋体"/>
          <w:color w:val="auto"/>
          <w:kern w:val="2"/>
          <w:sz w:val="24"/>
          <w:szCs w:val="28"/>
          <w:highlight w:val="none"/>
        </w:rPr>
        <w:t>供应商拒绝对电子投标文件进行解密的；</w:t>
      </w:r>
    </w:p>
    <w:p w14:paraId="5ED0D8B3">
      <w:pPr>
        <w:pageBreakBefore w:val="0"/>
        <w:widowControl w:val="0"/>
        <w:kinsoku/>
        <w:wordWrap/>
        <w:overflowPunct/>
        <w:topLinePunct w:val="0"/>
        <w:bidi w:val="0"/>
        <w:spacing w:line="500" w:lineRule="exact"/>
        <w:ind w:firstLine="480" w:firstLineChars="200"/>
        <w:textAlignment w:val="auto"/>
        <w:rPr>
          <w:rFonts w:hint="eastAsia" w:ascii="宋体" w:hAnsi="宋体" w:eastAsia="宋体" w:cs="宋体"/>
          <w:color w:val="auto"/>
          <w:kern w:val="2"/>
          <w:sz w:val="24"/>
          <w:szCs w:val="28"/>
          <w:highlight w:val="none"/>
        </w:rPr>
      </w:pPr>
      <w:r>
        <w:rPr>
          <w:rFonts w:hint="eastAsia" w:ascii="宋体" w:hAnsi="宋体" w:eastAsia="宋体" w:cs="宋体"/>
          <w:color w:val="auto"/>
          <w:kern w:val="2"/>
          <w:sz w:val="24"/>
          <w:szCs w:val="28"/>
          <w:highlight w:val="none"/>
          <w:lang w:val="en-US" w:eastAsia="zh-CN"/>
        </w:rPr>
        <w:t>6.2</w:t>
      </w:r>
      <w:r>
        <w:rPr>
          <w:rFonts w:hint="eastAsia" w:ascii="宋体" w:hAnsi="宋体" w:eastAsia="宋体" w:cs="宋体"/>
          <w:color w:val="auto"/>
          <w:kern w:val="2"/>
          <w:sz w:val="24"/>
          <w:szCs w:val="28"/>
          <w:highlight w:val="none"/>
        </w:rPr>
        <w:t>因供应商自身原因（如CA锁与制作电子投标文件使用的CA锁不一致、或沿用旧版招标文件编制投标文件等情形），导致在规定时间内无法解密投标文件的；</w:t>
      </w:r>
    </w:p>
    <w:p w14:paraId="5289980F">
      <w:pPr>
        <w:pageBreakBefore w:val="0"/>
        <w:widowControl w:val="0"/>
        <w:kinsoku/>
        <w:wordWrap/>
        <w:overflowPunct/>
        <w:topLinePunct w:val="0"/>
        <w:bidi w:val="0"/>
        <w:spacing w:line="500" w:lineRule="exact"/>
        <w:ind w:firstLine="480" w:firstLineChars="200"/>
        <w:textAlignment w:val="auto"/>
        <w:rPr>
          <w:rFonts w:hint="eastAsia" w:ascii="宋体" w:hAnsi="宋体" w:eastAsia="宋体" w:cs="宋体"/>
          <w:color w:val="auto"/>
          <w:kern w:val="2"/>
          <w:sz w:val="24"/>
          <w:szCs w:val="28"/>
          <w:highlight w:val="none"/>
        </w:rPr>
      </w:pPr>
      <w:r>
        <w:rPr>
          <w:rFonts w:hint="eastAsia" w:ascii="宋体" w:hAnsi="宋体" w:eastAsia="宋体" w:cs="宋体"/>
          <w:color w:val="auto"/>
          <w:kern w:val="2"/>
          <w:sz w:val="24"/>
          <w:szCs w:val="28"/>
          <w:highlight w:val="none"/>
          <w:lang w:val="en-US" w:eastAsia="zh-CN"/>
        </w:rPr>
        <w:t>6.3</w:t>
      </w:r>
      <w:r>
        <w:rPr>
          <w:rFonts w:hint="eastAsia" w:ascii="宋体" w:hAnsi="宋体" w:eastAsia="宋体" w:cs="宋体"/>
          <w:color w:val="auto"/>
          <w:kern w:val="2"/>
          <w:sz w:val="24"/>
          <w:szCs w:val="28"/>
          <w:highlight w:val="none"/>
        </w:rPr>
        <w:t>上传的电子投标文件无法打开的；</w:t>
      </w:r>
    </w:p>
    <w:p w14:paraId="014B2928">
      <w:pPr>
        <w:spacing w:line="560" w:lineRule="exact"/>
        <w:ind w:firstLine="480" w:firstLineChars="200"/>
        <w:rPr>
          <w:rFonts w:hint="eastAsia" w:ascii="宋体" w:hAnsi="宋体" w:eastAsia="宋体" w:cs="宋体"/>
          <w:color w:val="auto"/>
          <w:kern w:val="2"/>
          <w:sz w:val="24"/>
          <w:szCs w:val="28"/>
          <w:highlight w:val="none"/>
        </w:rPr>
      </w:pPr>
      <w:r>
        <w:rPr>
          <w:rFonts w:hint="eastAsia" w:ascii="宋体" w:hAnsi="宋体" w:eastAsia="宋体" w:cs="宋体"/>
          <w:color w:val="auto"/>
          <w:kern w:val="2"/>
          <w:sz w:val="24"/>
          <w:szCs w:val="28"/>
          <w:highlight w:val="none"/>
          <w:lang w:val="en-US" w:eastAsia="zh-CN"/>
        </w:rPr>
        <w:t>6.4</w:t>
      </w:r>
      <w:r>
        <w:rPr>
          <w:rFonts w:hint="eastAsia" w:ascii="宋体" w:hAnsi="宋体" w:eastAsia="宋体" w:cs="宋体"/>
          <w:color w:val="auto"/>
          <w:kern w:val="2"/>
          <w:sz w:val="24"/>
          <w:szCs w:val="28"/>
          <w:highlight w:val="none"/>
        </w:rPr>
        <w:t>政府采购法律法规规定的其他无效情形。</w:t>
      </w:r>
    </w:p>
    <w:p w14:paraId="1779A8AC">
      <w:pPr>
        <w:spacing w:line="56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lang w:val="en-US" w:eastAsia="zh-CN"/>
        </w:rPr>
        <w:t>7、</w:t>
      </w:r>
      <w:r>
        <w:rPr>
          <w:rFonts w:hint="eastAsia" w:ascii="宋体" w:hAnsi="宋体" w:eastAsia="宋体" w:cs="宋体"/>
          <w:color w:val="auto"/>
          <w:sz w:val="24"/>
          <w:highlight w:val="none"/>
        </w:rPr>
        <w:t>特殊情形下的应急处置</w:t>
      </w:r>
    </w:p>
    <w:p w14:paraId="375A2AA7">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参照《安康市公共资源交易平台电子化交易应急处置管理办法（试行）》第五条 出现以下情形的，可延续电子开评标流程：</w:t>
      </w:r>
    </w:p>
    <w:p w14:paraId="4F2B072B">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lang w:val="en-US" w:eastAsia="zh-CN"/>
        </w:rPr>
        <w:t>7.1</w:t>
      </w:r>
      <w:r>
        <w:rPr>
          <w:rFonts w:hint="eastAsia" w:ascii="宋体" w:hAnsi="宋体" w:eastAsia="宋体" w:cs="宋体"/>
          <w:color w:val="auto"/>
          <w:sz w:val="24"/>
          <w:highlight w:val="none"/>
        </w:rPr>
        <w:t>在开评标过程中出现硬件设备（包括电脑、打印机、投影仪等）故障导致招标代理机构无法使用进行正常开评标的，代理机构应及时与公共资源交易中心工作人员联系，通知交易中心信息技术保障人员迅速判断、检查、排除设备故障，修理或更换有问题的设备。故障在2小时内可修复的，可延续电子开标评标流程。</w:t>
      </w:r>
    </w:p>
    <w:p w14:paraId="5E2D41CC">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lang w:val="en-US" w:eastAsia="zh-CN"/>
        </w:rPr>
        <w:t>7.2</w:t>
      </w:r>
      <w:r>
        <w:rPr>
          <w:rFonts w:hint="eastAsia" w:ascii="宋体" w:hAnsi="宋体" w:eastAsia="宋体" w:cs="宋体"/>
          <w:color w:val="auto"/>
          <w:sz w:val="24"/>
          <w:highlight w:val="none"/>
        </w:rPr>
        <w:t>出现电子交易系统和网络异常情况，导致代理机构无法进行正常开评标时，代理机构要及时联系交易中心信息技术保障人员迅速判断、及时排除系统信息故障。首先可尝试使用无线、移动数据等其它应急网络继续开评标。若更换网络或简单维修后，仍无法正常进行的，应联系电子政务办，将电子政务外网转换为内网运行。故障在2小时内可修复的，可延续电子开标评标流程。</w:t>
      </w:r>
    </w:p>
    <w:p w14:paraId="4BD070BB">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lang w:val="en-US" w:eastAsia="zh-CN"/>
        </w:rPr>
        <w:t>7.3</w:t>
      </w:r>
      <w:r>
        <w:rPr>
          <w:rFonts w:hint="eastAsia" w:ascii="宋体" w:hAnsi="宋体" w:eastAsia="宋体" w:cs="宋体"/>
          <w:color w:val="auto"/>
          <w:sz w:val="24"/>
          <w:highlight w:val="none"/>
        </w:rPr>
        <w:t>交易中心出现临时停电断电的紧急情况，代理机构应及时通知交易中心的后勤保障服务人员，迅速查找停电原因，进行修理尽快恢复供电。故障在2小时内可修复的，可延续电子开标评标流程。</w:t>
      </w:r>
    </w:p>
    <w:p w14:paraId="291BA5CA">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lang w:val="en-US" w:eastAsia="zh-CN"/>
        </w:rPr>
        <w:t>8、两</w:t>
      </w:r>
      <w:r>
        <w:rPr>
          <w:rFonts w:hint="eastAsia" w:ascii="宋体" w:hAnsi="宋体" w:eastAsia="宋体" w:cs="宋体"/>
          <w:color w:val="auto"/>
          <w:sz w:val="24"/>
          <w:highlight w:val="none"/>
        </w:rPr>
        <w:t>小时内无法修复的，由代理机构根据招标人意见，可按照以下解决方案进行。</w:t>
      </w:r>
    </w:p>
    <w:p w14:paraId="4B9E0933">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方案一：延续电子开评标流程。经招标人同意后，由代理机构向交易中心出具电子开评标情况说明，并由招标人、代理机构、评审专家等相关人员签字盖章，确定新的开评标时间，待故障排除后再继续完成电子开评标流程。</w:t>
      </w:r>
    </w:p>
    <w:p w14:paraId="61AEFE82">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方案二：另行择期开评标。由招标人征求所有投标人同意，并报监管部门备案后公布。待故障修复后，由招标代理原文发布至统一交易平台，重新确定时间开评标。重新开评标时间自补充通知之日起不少于1个工作日。</w:t>
      </w:r>
    </w:p>
    <w:p w14:paraId="1218B6D6">
      <w:pPr>
        <w:spacing w:line="56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lang w:val="en-US" w:eastAsia="zh-CN"/>
        </w:rPr>
        <w:t>9、</w:t>
      </w:r>
      <w:r>
        <w:rPr>
          <w:rFonts w:hint="eastAsia" w:ascii="宋体" w:hAnsi="宋体" w:eastAsia="宋体" w:cs="宋体"/>
          <w:color w:val="auto"/>
          <w:sz w:val="24"/>
          <w:highlight w:val="none"/>
        </w:rPr>
        <w:t>故障修复期间，招标人、代理机构等相关人员要严格做好开评标信息保密工作，同时安排评标专家至休息地点等候，待故障修复后继续在指定地点开标、评标。评标专家有特殊情况确实不能继续参与评标的，予以补抽专家。择期另行开评标的，评标专家需重新抽取。</w:t>
      </w:r>
    </w:p>
    <w:p w14:paraId="4C7A6EB7">
      <w:pPr>
        <w:spacing w:line="560" w:lineRule="exact"/>
        <w:ind w:firstLine="480" w:firstLineChars="200"/>
        <w:rPr>
          <w:rFonts w:hint="eastAsia" w:ascii="宋体" w:hAnsi="宋体" w:eastAsia="宋体" w:cs="宋体"/>
          <w:b/>
          <w:bCs/>
          <w:color w:val="auto"/>
          <w:sz w:val="24"/>
          <w:highlight w:val="none"/>
        </w:rPr>
      </w:pPr>
      <w:r>
        <w:rPr>
          <w:rFonts w:hint="eastAsia" w:ascii="宋体" w:hAnsi="宋体" w:eastAsia="宋体" w:cs="宋体"/>
          <w:color w:val="auto"/>
          <w:sz w:val="24"/>
          <w:highlight w:val="none"/>
          <w:lang w:val="en-US" w:eastAsia="zh-CN"/>
        </w:rPr>
        <w:t>10、</w:t>
      </w:r>
      <w:r>
        <w:rPr>
          <w:rFonts w:hint="eastAsia" w:ascii="宋体" w:hAnsi="宋体" w:eastAsia="宋体" w:cs="宋体"/>
          <w:color w:val="auto"/>
          <w:sz w:val="24"/>
          <w:highlight w:val="none"/>
        </w:rPr>
        <w:t>延时情况说明由代理机构将突发情况的原因、经过、解决措施，延时时间等进行详细准确的书面记录，再由招标人和代理机构等相关人员签字确认。</w:t>
      </w:r>
    </w:p>
    <w:p w14:paraId="63AAD84B">
      <w:pPr>
        <w:spacing w:line="500" w:lineRule="exact"/>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（十八）</w:t>
      </w:r>
      <w:r>
        <w:rPr>
          <w:rFonts w:hint="eastAsia" w:ascii="宋体" w:hAnsi="宋体" w:eastAsia="宋体" w:cs="宋体"/>
          <w:b/>
          <w:color w:val="auto"/>
          <w:sz w:val="24"/>
          <w:highlight w:val="none"/>
        </w:rPr>
        <w:t>磋商小组</w:t>
      </w:r>
    </w:p>
    <w:p w14:paraId="26B779B3">
      <w:pPr>
        <w:spacing w:line="50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w:t>
      </w:r>
      <w:r>
        <w:rPr>
          <w:rFonts w:hint="eastAsia" w:ascii="宋体" w:hAnsi="宋体" w:eastAsia="宋体" w:cs="宋体"/>
          <w:color w:val="auto"/>
          <w:sz w:val="24"/>
          <w:highlight w:val="none"/>
          <w:lang w:eastAsia="zh-CN"/>
        </w:rPr>
        <w:t>、</w:t>
      </w:r>
      <w:r>
        <w:rPr>
          <w:rFonts w:hint="eastAsia" w:ascii="宋体" w:hAnsi="宋体" w:eastAsia="宋体" w:cs="宋体"/>
          <w:color w:val="auto"/>
          <w:kern w:val="2"/>
          <w:sz w:val="24"/>
          <w:szCs w:val="24"/>
          <w:highlight w:val="none"/>
        </w:rPr>
        <w:t>采购人</w:t>
      </w:r>
      <w:r>
        <w:rPr>
          <w:rFonts w:hint="eastAsia" w:ascii="宋体" w:hAnsi="宋体" w:eastAsia="宋体" w:cs="宋体"/>
          <w:color w:val="auto"/>
          <w:sz w:val="24"/>
          <w:highlight w:val="none"/>
        </w:rPr>
        <w:t>将按照《政府采购法实施条例》、《</w:t>
      </w:r>
      <w:r>
        <w:rPr>
          <w:rFonts w:hint="eastAsia" w:ascii="宋体" w:hAnsi="宋体" w:eastAsia="宋体" w:cs="宋体"/>
          <w:color w:val="auto"/>
          <w:kern w:val="2"/>
          <w:sz w:val="24"/>
          <w:szCs w:val="24"/>
          <w:highlight w:val="none"/>
        </w:rPr>
        <w:t>政府采购竞争性磋商采购方式管理暂行办法</w:t>
      </w:r>
      <w:r>
        <w:rPr>
          <w:rFonts w:hint="eastAsia" w:ascii="宋体" w:hAnsi="宋体" w:eastAsia="宋体" w:cs="宋体"/>
          <w:color w:val="auto"/>
          <w:sz w:val="24"/>
          <w:highlight w:val="none"/>
        </w:rPr>
        <w:t>》及有关规定组建磋商小组。</w:t>
      </w:r>
    </w:p>
    <w:p w14:paraId="0B76C327">
      <w:pPr>
        <w:spacing w:line="50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2</w:t>
      </w: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rPr>
        <w:t>磋商小组由</w:t>
      </w:r>
      <w:r>
        <w:rPr>
          <w:rFonts w:hint="eastAsia" w:ascii="宋体" w:hAnsi="宋体" w:eastAsia="宋体" w:cs="宋体"/>
          <w:color w:val="auto"/>
          <w:sz w:val="24"/>
          <w:highlight w:val="none"/>
          <w:lang w:eastAsia="zh-CN"/>
        </w:rPr>
        <w:t>采购人</w:t>
      </w:r>
      <w:r>
        <w:rPr>
          <w:rFonts w:hint="eastAsia" w:ascii="宋体" w:hAnsi="宋体" w:eastAsia="宋体" w:cs="宋体"/>
          <w:color w:val="auto"/>
          <w:sz w:val="24"/>
          <w:highlight w:val="none"/>
        </w:rPr>
        <w:t>代表及评审专家组成，评审专家从陕西省政府采购专家库中随机抽取产生。</w:t>
      </w:r>
    </w:p>
    <w:p w14:paraId="5DAF54AC">
      <w:pPr>
        <w:spacing w:line="50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3</w:t>
      </w: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rPr>
        <w:t>磋商小组负责磋商工作，对磋商响应文件进行审查和评估，并向</w:t>
      </w:r>
      <w:r>
        <w:rPr>
          <w:rFonts w:hint="eastAsia" w:ascii="宋体" w:hAnsi="宋体" w:eastAsia="宋体" w:cs="宋体"/>
          <w:color w:val="auto"/>
          <w:sz w:val="24"/>
          <w:highlight w:val="none"/>
          <w:lang w:eastAsia="zh-CN"/>
        </w:rPr>
        <w:t>采购人</w:t>
      </w:r>
      <w:r>
        <w:rPr>
          <w:rFonts w:hint="eastAsia" w:ascii="宋体" w:hAnsi="宋体" w:eastAsia="宋体" w:cs="宋体"/>
          <w:color w:val="auto"/>
          <w:sz w:val="24"/>
          <w:highlight w:val="none"/>
        </w:rPr>
        <w:t>提交书面评审报告，推荐成交候选人。</w:t>
      </w:r>
    </w:p>
    <w:p w14:paraId="3FAFBE5A">
      <w:pPr>
        <w:spacing w:line="50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lang w:val="en-US" w:eastAsia="zh-CN"/>
        </w:rPr>
        <w:t>4、</w:t>
      </w:r>
      <w:r>
        <w:rPr>
          <w:rFonts w:hint="eastAsia" w:ascii="宋体" w:hAnsi="宋体" w:eastAsia="宋体" w:cs="宋体"/>
          <w:color w:val="auto"/>
          <w:kern w:val="2"/>
          <w:sz w:val="24"/>
          <w:szCs w:val="24"/>
          <w:highlight w:val="none"/>
          <w:lang w:val="en-US" w:eastAsia="zh-CN"/>
        </w:rPr>
        <w:t>电子</w:t>
      </w:r>
      <w:r>
        <w:rPr>
          <w:rFonts w:hint="eastAsia" w:ascii="宋体" w:hAnsi="宋体" w:eastAsia="宋体" w:cs="宋体"/>
          <w:color w:val="auto"/>
          <w:sz w:val="24"/>
          <w:highlight w:val="none"/>
        </w:rPr>
        <w:t>文件开启后，直到向成交的投标人授予承包合同为止，凡与审查、澄清、评价和比较磋商的有关资料及授标意见等内容，磋商小组均不得向其他投标人及与磋商无关的其他人透露。</w:t>
      </w:r>
    </w:p>
    <w:p w14:paraId="56D50145">
      <w:pPr>
        <w:spacing w:line="500" w:lineRule="exact"/>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（十九）评标过程的保密性</w:t>
      </w:r>
    </w:p>
    <w:p w14:paraId="0B8BEE46">
      <w:pPr>
        <w:spacing w:line="50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w:t>
      </w: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lang w:val="en-US" w:eastAsia="zh-CN"/>
        </w:rPr>
        <w:t>开标</w:t>
      </w:r>
      <w:r>
        <w:rPr>
          <w:rFonts w:hint="eastAsia" w:ascii="宋体" w:hAnsi="宋体" w:eastAsia="宋体" w:cs="宋体"/>
          <w:color w:val="auto"/>
          <w:sz w:val="24"/>
          <w:highlight w:val="none"/>
        </w:rPr>
        <w:t>后，直至发布中标公告时止，凡与审查、澄清、评价和比较投标的有关资料以及授标意见等，均属保密范围，磋商小组及招标工作人员不得向供应商及与评标无关的其他人透露。</w:t>
      </w:r>
    </w:p>
    <w:p w14:paraId="7A5F0F49">
      <w:pPr>
        <w:spacing w:line="50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2</w:t>
      </w: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rPr>
        <w:t>在评标过程中，如果供应商试图在</w:t>
      </w:r>
      <w:r>
        <w:rPr>
          <w:rFonts w:hint="eastAsia" w:ascii="宋体" w:hAnsi="宋体" w:eastAsia="宋体" w:cs="宋体"/>
          <w:color w:val="auto"/>
          <w:sz w:val="24"/>
          <w:highlight w:val="none"/>
          <w:lang w:val="en-US" w:eastAsia="zh-CN"/>
        </w:rPr>
        <w:t>磋商响应</w:t>
      </w:r>
      <w:r>
        <w:rPr>
          <w:rFonts w:hint="eastAsia" w:ascii="宋体" w:hAnsi="宋体" w:eastAsia="宋体" w:cs="宋体"/>
          <w:color w:val="auto"/>
          <w:sz w:val="24"/>
          <w:highlight w:val="none"/>
        </w:rPr>
        <w:t>文件审查、澄清、比较及授予合同方面向磋商小组或采购</w:t>
      </w:r>
      <w:r>
        <w:rPr>
          <w:rFonts w:hint="eastAsia" w:ascii="宋体" w:hAnsi="宋体" w:eastAsia="宋体" w:cs="宋体"/>
          <w:color w:val="auto"/>
          <w:sz w:val="24"/>
          <w:highlight w:val="none"/>
          <w:lang w:val="en-US" w:eastAsia="zh-CN"/>
        </w:rPr>
        <w:t>人</w:t>
      </w:r>
      <w:r>
        <w:rPr>
          <w:rFonts w:hint="eastAsia" w:ascii="宋体" w:hAnsi="宋体" w:eastAsia="宋体" w:cs="宋体"/>
          <w:color w:val="auto"/>
          <w:sz w:val="24"/>
          <w:highlight w:val="none"/>
        </w:rPr>
        <w:t>施加任何影响，其投标将被拒绝。</w:t>
      </w:r>
    </w:p>
    <w:p w14:paraId="02195402">
      <w:pPr>
        <w:spacing w:line="560" w:lineRule="exact"/>
        <w:ind w:firstLine="241" w:firstLineChars="100"/>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（二十）</w:t>
      </w:r>
      <w:r>
        <w:rPr>
          <w:rFonts w:hint="eastAsia" w:ascii="宋体" w:hAnsi="宋体" w:eastAsia="宋体" w:cs="宋体"/>
          <w:b/>
          <w:bCs/>
          <w:color w:val="auto"/>
          <w:sz w:val="24"/>
          <w:highlight w:val="none"/>
          <w:lang w:val="en-US" w:eastAsia="zh-CN"/>
        </w:rPr>
        <w:t>磋商</w:t>
      </w:r>
      <w:r>
        <w:rPr>
          <w:rFonts w:hint="eastAsia" w:ascii="宋体" w:hAnsi="宋体" w:eastAsia="宋体" w:cs="宋体"/>
          <w:b/>
          <w:bCs/>
          <w:color w:val="auto"/>
          <w:sz w:val="24"/>
          <w:highlight w:val="none"/>
        </w:rPr>
        <w:t>文件的澄清</w:t>
      </w:r>
    </w:p>
    <w:p w14:paraId="1C0B0456">
      <w:pPr>
        <w:spacing w:line="56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在评</w:t>
      </w:r>
      <w:r>
        <w:rPr>
          <w:rFonts w:hint="eastAsia" w:ascii="宋体" w:hAnsi="宋体" w:eastAsia="宋体" w:cs="宋体"/>
          <w:color w:val="auto"/>
          <w:sz w:val="24"/>
          <w:highlight w:val="none"/>
          <w:lang w:val="en-US" w:eastAsia="zh-CN"/>
        </w:rPr>
        <w:t>审</w:t>
      </w:r>
      <w:r>
        <w:rPr>
          <w:rFonts w:hint="eastAsia" w:ascii="宋体" w:hAnsi="宋体" w:eastAsia="宋体" w:cs="宋体"/>
          <w:color w:val="auto"/>
          <w:sz w:val="24"/>
          <w:highlight w:val="none"/>
        </w:rPr>
        <w:t>期间，为有助于对</w:t>
      </w:r>
      <w:r>
        <w:rPr>
          <w:rFonts w:hint="eastAsia" w:ascii="宋体" w:hAnsi="宋体" w:eastAsia="宋体" w:cs="宋体"/>
          <w:color w:val="auto"/>
          <w:sz w:val="24"/>
          <w:highlight w:val="none"/>
          <w:lang w:val="en-US" w:eastAsia="zh-CN"/>
        </w:rPr>
        <w:t>响应</w:t>
      </w:r>
      <w:r>
        <w:rPr>
          <w:rFonts w:hint="eastAsia" w:ascii="宋体" w:hAnsi="宋体" w:eastAsia="宋体" w:cs="宋体"/>
          <w:color w:val="auto"/>
          <w:sz w:val="24"/>
          <w:highlight w:val="none"/>
        </w:rPr>
        <w:t>文件的审查、评价和比较，</w:t>
      </w:r>
      <w:r>
        <w:rPr>
          <w:rFonts w:hint="eastAsia" w:ascii="宋体" w:hAnsi="宋体" w:eastAsia="宋体" w:cs="宋体"/>
          <w:color w:val="auto"/>
          <w:sz w:val="24"/>
          <w:highlight w:val="none"/>
          <w:lang w:val="en-US" w:eastAsia="zh-CN"/>
        </w:rPr>
        <w:t>磋商小组</w:t>
      </w:r>
      <w:r>
        <w:rPr>
          <w:rFonts w:hint="eastAsia" w:ascii="宋体" w:hAnsi="宋体" w:eastAsia="宋体" w:cs="宋体"/>
          <w:color w:val="auto"/>
          <w:sz w:val="24"/>
          <w:highlight w:val="none"/>
        </w:rPr>
        <w:t>可分别要求供应商对其投标文件进行澄清或说明，有关澄清或说明的要求和答复应以书面形式提交。澄清和说明的内容不得超出投标文件的范围或改变投标文件实质性内容。</w:t>
      </w:r>
    </w:p>
    <w:p w14:paraId="63CEBD26">
      <w:pPr>
        <w:spacing w:line="560" w:lineRule="exact"/>
        <w:ind w:firstLine="482" w:firstLineChars="200"/>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（二十一）</w:t>
      </w:r>
      <w:r>
        <w:rPr>
          <w:rFonts w:hint="eastAsia" w:ascii="宋体" w:hAnsi="宋体" w:eastAsia="宋体" w:cs="宋体"/>
          <w:b/>
          <w:color w:val="auto"/>
          <w:sz w:val="24"/>
          <w:highlight w:val="none"/>
        </w:rPr>
        <w:t>磋商办法及内容</w:t>
      </w:r>
    </w:p>
    <w:p w14:paraId="32780F0E">
      <w:pPr>
        <w:adjustRightInd w:val="0"/>
        <w:snapToGrid w:val="0"/>
        <w:spacing w:line="440" w:lineRule="exact"/>
        <w:ind w:firstLine="480" w:firstLineChars="200"/>
        <w:rPr>
          <w:rFonts w:hint="eastAsia" w:ascii="宋体" w:hAnsi="宋体" w:eastAsia="宋体" w:cs="宋体"/>
          <w:b/>
          <w:bCs/>
          <w:color w:val="auto"/>
          <w:sz w:val="24"/>
          <w:highlight w:val="none"/>
        </w:rPr>
      </w:pPr>
      <w:r>
        <w:rPr>
          <w:rFonts w:hint="eastAsia" w:ascii="宋体" w:hAnsi="宋体" w:eastAsia="宋体" w:cs="宋体"/>
          <w:color w:val="auto"/>
          <w:sz w:val="24"/>
          <w:highlight w:val="none"/>
          <w:lang w:val="en-US" w:eastAsia="zh-CN"/>
        </w:rPr>
        <w:t>1、</w:t>
      </w:r>
      <w:r>
        <w:rPr>
          <w:rFonts w:hint="eastAsia" w:ascii="宋体" w:hAnsi="宋体" w:eastAsia="宋体" w:cs="宋体"/>
          <w:b/>
          <w:color w:val="auto"/>
          <w:sz w:val="24"/>
          <w:highlight w:val="none"/>
        </w:rPr>
        <w:t>磋商原则：</w:t>
      </w:r>
    </w:p>
    <w:p w14:paraId="161EA690">
      <w:pPr>
        <w:spacing w:line="56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（1）坚持磋商机会均等，</w:t>
      </w:r>
      <w:r>
        <w:rPr>
          <w:rFonts w:hint="eastAsia" w:ascii="宋体" w:hAnsi="宋体" w:eastAsia="宋体" w:cs="宋体"/>
          <w:color w:val="auto"/>
          <w:sz w:val="24"/>
          <w:highlight w:val="none"/>
          <w:lang w:eastAsia="zh-CN"/>
        </w:rPr>
        <w:t>竞争性磋商</w:t>
      </w:r>
      <w:r>
        <w:rPr>
          <w:rFonts w:hint="eastAsia" w:ascii="宋体" w:hAnsi="宋体" w:eastAsia="宋体" w:cs="宋体"/>
          <w:color w:val="auto"/>
          <w:sz w:val="24"/>
          <w:highlight w:val="none"/>
        </w:rPr>
        <w:t xml:space="preserve">，公平竞争的原则。  </w:t>
      </w:r>
    </w:p>
    <w:p w14:paraId="1FBB7461">
      <w:pPr>
        <w:spacing w:line="56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（2）坚持竞争性、经济实效性和公平性原则。</w:t>
      </w:r>
    </w:p>
    <w:p w14:paraId="4CF4F45A">
      <w:pPr>
        <w:spacing w:line="56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（3）综合评估，择优选择技术方案优、业绩好、服务有保证的成交单位。</w:t>
      </w:r>
    </w:p>
    <w:p w14:paraId="31E5BABA">
      <w:pPr>
        <w:spacing w:line="560" w:lineRule="exact"/>
        <w:ind w:firstLine="482" w:firstLineChars="200"/>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lang w:val="en-US" w:eastAsia="zh-CN"/>
        </w:rPr>
        <w:t>2、</w:t>
      </w:r>
      <w:r>
        <w:rPr>
          <w:rFonts w:hint="eastAsia" w:ascii="宋体" w:hAnsi="宋体" w:eastAsia="宋体" w:cs="宋体"/>
          <w:b/>
          <w:bCs/>
          <w:color w:val="auto"/>
          <w:sz w:val="24"/>
          <w:highlight w:val="none"/>
        </w:rPr>
        <w:t xml:space="preserve">磋商程序： </w:t>
      </w:r>
    </w:p>
    <w:p w14:paraId="60F167A2">
      <w:pPr>
        <w:spacing w:line="56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磋商的全过程分为第一次报价（磋商响应文件上的报价）、资质审查、磋商过程、最后报价、最终评审五个阶段。</w:t>
      </w:r>
      <w:r>
        <w:rPr>
          <w:rFonts w:hint="eastAsia" w:ascii="宋体" w:hAnsi="宋体" w:eastAsia="宋体" w:cs="宋体"/>
          <w:color w:val="auto"/>
          <w:kern w:val="2"/>
          <w:sz w:val="24"/>
          <w:szCs w:val="24"/>
          <w:highlight w:val="none"/>
          <w:lang w:val="en-US" w:eastAsia="zh-CN"/>
        </w:rPr>
        <w:t>最后</w:t>
      </w:r>
      <w:r>
        <w:rPr>
          <w:rFonts w:hint="eastAsia" w:ascii="宋体" w:hAnsi="宋体" w:eastAsia="宋体" w:cs="宋体"/>
          <w:color w:val="auto"/>
          <w:kern w:val="2"/>
          <w:sz w:val="24"/>
          <w:szCs w:val="24"/>
          <w:highlight w:val="none"/>
        </w:rPr>
        <w:t>报价均采取</w:t>
      </w:r>
      <w:r>
        <w:rPr>
          <w:rFonts w:hint="eastAsia" w:ascii="宋体" w:hAnsi="宋体" w:eastAsia="宋体" w:cs="宋体"/>
          <w:color w:val="auto"/>
          <w:kern w:val="2"/>
          <w:sz w:val="24"/>
          <w:szCs w:val="24"/>
          <w:highlight w:val="none"/>
          <w:lang w:val="en-US" w:eastAsia="zh-CN"/>
        </w:rPr>
        <w:t>电子</w:t>
      </w:r>
      <w:r>
        <w:rPr>
          <w:rFonts w:hint="eastAsia" w:ascii="宋体" w:hAnsi="宋体" w:eastAsia="宋体" w:cs="宋体"/>
          <w:color w:val="auto"/>
          <w:kern w:val="2"/>
          <w:sz w:val="24"/>
          <w:szCs w:val="24"/>
          <w:highlight w:val="none"/>
        </w:rPr>
        <w:t>报价形式。</w:t>
      </w:r>
    </w:p>
    <w:p w14:paraId="0974A90D">
      <w:pPr>
        <w:spacing w:line="56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2</w:t>
      </w:r>
      <w:r>
        <w:rPr>
          <w:rFonts w:hint="eastAsia" w:ascii="宋体" w:hAnsi="宋体" w:eastAsia="宋体" w:cs="宋体"/>
          <w:color w:val="auto"/>
          <w:sz w:val="24"/>
          <w:highlight w:val="none"/>
          <w:lang w:val="en-US" w:eastAsia="zh-CN"/>
        </w:rPr>
        <w:t>.</w:t>
      </w:r>
      <w:r>
        <w:rPr>
          <w:rFonts w:hint="eastAsia" w:ascii="宋体" w:hAnsi="宋体" w:eastAsia="宋体" w:cs="宋体"/>
          <w:color w:val="auto"/>
          <w:sz w:val="24"/>
          <w:highlight w:val="none"/>
        </w:rPr>
        <w:t>1 依据程序磋商报价不予以公布。</w:t>
      </w:r>
    </w:p>
    <w:p w14:paraId="7AFAF4F9">
      <w:pPr>
        <w:spacing w:line="56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2.2 资质有效性评审：本次磋商所要求的必备资质证明文件，缺其中一项或某项达不到磋商要求，均按无效文件处理。</w:t>
      </w:r>
    </w:p>
    <w:tbl>
      <w:tblPr>
        <w:tblStyle w:val="41"/>
        <w:tblW w:w="925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7" w:type="dxa"/>
          <w:left w:w="57" w:type="dxa"/>
          <w:bottom w:w="57" w:type="dxa"/>
          <w:right w:w="57" w:type="dxa"/>
        </w:tblCellMar>
      </w:tblPr>
      <w:tblGrid>
        <w:gridCol w:w="1009"/>
        <w:gridCol w:w="1871"/>
        <w:gridCol w:w="6373"/>
      </w:tblGrid>
      <w:tr w14:paraId="439C00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641" w:hRule="exact"/>
          <w:jc w:val="center"/>
        </w:trPr>
        <w:tc>
          <w:tcPr>
            <w:tcW w:w="1009" w:type="dxa"/>
            <w:tcBorders>
              <w:top w:val="single" w:color="auto" w:sz="4" w:space="0"/>
              <w:left w:val="single" w:color="auto" w:sz="4" w:space="0"/>
              <w:bottom w:val="single" w:color="auto" w:sz="4" w:space="0"/>
              <w:right w:val="single" w:color="auto" w:sz="4" w:space="0"/>
            </w:tcBorders>
            <w:vAlign w:val="center"/>
          </w:tcPr>
          <w:p w14:paraId="790BDA3C">
            <w:pPr>
              <w:spacing w:line="500" w:lineRule="exact"/>
              <w:jc w:val="center"/>
              <w:rPr>
                <w:rFonts w:hint="eastAsia" w:ascii="宋体" w:hAnsi="宋体" w:eastAsia="宋体" w:cs="宋体"/>
                <w:b/>
                <w:color w:val="auto"/>
                <w:sz w:val="24"/>
                <w:highlight w:val="none"/>
                <w:lang w:val="en-US" w:eastAsia="zh-CN"/>
              </w:rPr>
            </w:pPr>
            <w:r>
              <w:rPr>
                <w:rFonts w:hint="eastAsia" w:ascii="宋体" w:hAnsi="宋体" w:eastAsia="宋体" w:cs="宋体"/>
                <w:b/>
                <w:color w:val="auto"/>
                <w:sz w:val="24"/>
                <w:highlight w:val="none"/>
                <w:lang w:val="en-US" w:eastAsia="zh-CN"/>
              </w:rPr>
              <w:t>序号</w:t>
            </w:r>
          </w:p>
        </w:tc>
        <w:tc>
          <w:tcPr>
            <w:tcW w:w="1871" w:type="dxa"/>
            <w:tcBorders>
              <w:top w:val="single" w:color="auto" w:sz="4" w:space="0"/>
              <w:left w:val="single" w:color="auto" w:sz="4" w:space="0"/>
              <w:bottom w:val="single" w:color="auto" w:sz="4" w:space="0"/>
              <w:right w:val="single" w:color="auto" w:sz="4" w:space="0"/>
            </w:tcBorders>
            <w:vAlign w:val="center"/>
          </w:tcPr>
          <w:p w14:paraId="4932497E">
            <w:pPr>
              <w:spacing w:line="500" w:lineRule="exact"/>
              <w:jc w:val="center"/>
              <w:rPr>
                <w:rFonts w:hint="eastAsia" w:ascii="宋体" w:hAnsi="宋体" w:eastAsia="宋体" w:cs="宋体"/>
                <w:b/>
                <w:color w:val="auto"/>
                <w:sz w:val="24"/>
                <w:highlight w:val="none"/>
              </w:rPr>
            </w:pPr>
            <w:r>
              <w:rPr>
                <w:rFonts w:hint="eastAsia" w:ascii="宋体" w:hAnsi="宋体" w:eastAsia="宋体" w:cs="宋体"/>
                <w:b/>
                <w:color w:val="auto"/>
                <w:sz w:val="24"/>
                <w:highlight w:val="none"/>
              </w:rPr>
              <w:t>审查因素</w:t>
            </w:r>
          </w:p>
        </w:tc>
        <w:tc>
          <w:tcPr>
            <w:tcW w:w="6373" w:type="dxa"/>
            <w:tcBorders>
              <w:top w:val="single" w:color="auto" w:sz="4" w:space="0"/>
              <w:left w:val="single" w:color="auto" w:sz="4" w:space="0"/>
              <w:bottom w:val="single" w:color="auto" w:sz="4" w:space="0"/>
              <w:right w:val="single" w:color="auto" w:sz="4" w:space="0"/>
            </w:tcBorders>
            <w:vAlign w:val="center"/>
          </w:tcPr>
          <w:p w14:paraId="2435A819">
            <w:pPr>
              <w:spacing w:line="500" w:lineRule="exact"/>
              <w:jc w:val="center"/>
              <w:rPr>
                <w:rFonts w:hint="eastAsia" w:ascii="宋体" w:hAnsi="宋体" w:eastAsia="宋体" w:cs="宋体"/>
                <w:b/>
                <w:color w:val="auto"/>
                <w:sz w:val="24"/>
                <w:highlight w:val="none"/>
              </w:rPr>
            </w:pPr>
            <w:r>
              <w:rPr>
                <w:rFonts w:hint="eastAsia" w:ascii="宋体" w:hAnsi="宋体" w:eastAsia="宋体" w:cs="宋体"/>
                <w:b/>
                <w:color w:val="auto"/>
                <w:sz w:val="24"/>
                <w:highlight w:val="none"/>
              </w:rPr>
              <w:t>审查标准</w:t>
            </w:r>
          </w:p>
        </w:tc>
      </w:tr>
      <w:tr w14:paraId="4D6FD5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143" w:hRule="exact"/>
          <w:jc w:val="center"/>
        </w:trPr>
        <w:tc>
          <w:tcPr>
            <w:tcW w:w="1009" w:type="dxa"/>
            <w:tcBorders>
              <w:top w:val="single" w:color="auto" w:sz="4" w:space="0"/>
              <w:left w:val="single" w:color="auto" w:sz="4" w:space="0"/>
              <w:right w:val="single" w:color="auto" w:sz="4" w:space="0"/>
            </w:tcBorders>
            <w:vAlign w:val="center"/>
          </w:tcPr>
          <w:p w14:paraId="60B8F02D">
            <w:pPr>
              <w:spacing w:line="500" w:lineRule="exact"/>
              <w:jc w:val="center"/>
              <w:rPr>
                <w:rFonts w:hint="eastAsia" w:ascii="宋体" w:hAnsi="宋体" w:eastAsia="宋体" w:cs="宋体"/>
                <w:b/>
                <w:bCs w:val="0"/>
                <w:color w:val="auto"/>
                <w:sz w:val="24"/>
                <w:highlight w:val="none"/>
              </w:rPr>
            </w:pPr>
            <w:r>
              <w:rPr>
                <w:rFonts w:hint="eastAsia" w:ascii="宋体" w:hAnsi="宋体" w:eastAsia="宋体" w:cs="宋体"/>
                <w:b/>
                <w:bCs w:val="0"/>
                <w:color w:val="auto"/>
                <w:sz w:val="24"/>
                <w:highlight w:val="none"/>
                <w:lang w:val="en-US" w:eastAsia="zh-CN"/>
              </w:rPr>
              <w:t>1</w:t>
            </w:r>
          </w:p>
        </w:tc>
        <w:tc>
          <w:tcPr>
            <w:tcW w:w="1871" w:type="dxa"/>
            <w:tcBorders>
              <w:top w:val="single" w:color="auto" w:sz="4" w:space="0"/>
              <w:left w:val="single" w:color="auto" w:sz="4" w:space="0"/>
              <w:bottom w:val="single" w:color="auto" w:sz="4" w:space="0"/>
              <w:right w:val="single" w:color="auto" w:sz="4" w:space="0"/>
            </w:tcBorders>
            <w:vAlign w:val="center"/>
          </w:tcPr>
          <w:p w14:paraId="51CD3AB9">
            <w:pPr>
              <w:spacing w:line="500" w:lineRule="exact"/>
              <w:jc w:val="center"/>
              <w:rPr>
                <w:rFonts w:hint="eastAsia" w:ascii="宋体" w:hAnsi="宋体" w:eastAsia="宋体" w:cs="宋体"/>
                <w:b/>
                <w:bCs w:val="0"/>
                <w:color w:val="auto"/>
                <w:sz w:val="24"/>
                <w:highlight w:val="none"/>
              </w:rPr>
            </w:pPr>
            <w:r>
              <w:rPr>
                <w:rFonts w:hint="eastAsia" w:ascii="宋体" w:hAnsi="宋体" w:eastAsia="宋体" w:cs="宋体"/>
                <w:b/>
                <w:bCs w:val="0"/>
                <w:color w:val="auto"/>
                <w:sz w:val="24"/>
                <w:highlight w:val="none"/>
              </w:rPr>
              <w:t>主体</w:t>
            </w:r>
          </w:p>
        </w:tc>
        <w:tc>
          <w:tcPr>
            <w:tcW w:w="6373" w:type="dxa"/>
            <w:tcBorders>
              <w:top w:val="single" w:color="auto" w:sz="4" w:space="0"/>
              <w:left w:val="single" w:color="auto" w:sz="4" w:space="0"/>
              <w:bottom w:val="single" w:color="auto" w:sz="4" w:space="0"/>
              <w:right w:val="single" w:color="auto" w:sz="4" w:space="0"/>
            </w:tcBorders>
            <w:vAlign w:val="center"/>
          </w:tcPr>
          <w:p w14:paraId="2BF42122">
            <w:pPr>
              <w:keepNext w:val="0"/>
              <w:keepLines w:val="0"/>
              <w:pageBreakBefore w:val="0"/>
              <w:widowControl w:val="0"/>
              <w:kinsoku/>
              <w:wordWrap/>
              <w:overflowPunct/>
              <w:topLinePunct w:val="0"/>
              <w:autoSpaceDE w:val="0"/>
              <w:autoSpaceDN w:val="0"/>
              <w:bidi w:val="0"/>
              <w:adjustRightInd w:val="0"/>
              <w:snapToGrid/>
              <w:spacing w:line="500" w:lineRule="exact"/>
              <w:ind w:firstLine="480" w:firstLineChars="200"/>
              <w:jc w:val="both"/>
              <w:textAlignment w:val="auto"/>
              <w:rPr>
                <w:rFonts w:hint="eastAsia" w:ascii="宋体" w:hAnsi="宋体" w:eastAsia="宋体" w:cs="宋体"/>
                <w:color w:val="auto"/>
                <w:sz w:val="24"/>
                <w:highlight w:val="none"/>
              </w:rPr>
            </w:pPr>
            <w:r>
              <w:rPr>
                <w:rFonts w:hint="eastAsia" w:ascii="宋体" w:hAnsi="宋体" w:eastAsia="宋体" w:cs="宋体"/>
                <w:color w:val="auto"/>
                <w:kern w:val="0"/>
                <w:sz w:val="24"/>
                <w:szCs w:val="24"/>
                <w:highlight w:val="none"/>
                <w:lang w:val="en-US"/>
              </w:rPr>
              <w:t>具有独立承担民事责任能力的法人、非法人组织或自然人，提供合法有效的营业执照/事业单位法人证书/专业服务机构执业许可证/民办非企业单位登记证书等相关证明，自然人参与的提供其身份证明；</w:t>
            </w:r>
          </w:p>
        </w:tc>
      </w:tr>
      <w:tr w14:paraId="223F76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1659" w:hRule="exact"/>
          <w:jc w:val="center"/>
        </w:trPr>
        <w:tc>
          <w:tcPr>
            <w:tcW w:w="1009" w:type="dxa"/>
            <w:tcBorders>
              <w:top w:val="single" w:color="auto" w:sz="4" w:space="0"/>
              <w:left w:val="single" w:color="auto" w:sz="4" w:space="0"/>
              <w:right w:val="single" w:color="auto" w:sz="4" w:space="0"/>
            </w:tcBorders>
            <w:vAlign w:val="center"/>
          </w:tcPr>
          <w:p w14:paraId="40880839">
            <w:pPr>
              <w:spacing w:line="240" w:lineRule="exact"/>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2</w:t>
            </w:r>
          </w:p>
        </w:tc>
        <w:tc>
          <w:tcPr>
            <w:tcW w:w="1871" w:type="dxa"/>
            <w:tcBorders>
              <w:top w:val="single" w:color="auto" w:sz="4" w:space="0"/>
              <w:left w:val="single" w:color="auto" w:sz="4" w:space="0"/>
              <w:bottom w:val="single" w:color="auto" w:sz="4" w:space="0"/>
              <w:right w:val="single" w:color="auto" w:sz="4" w:space="0"/>
            </w:tcBorders>
            <w:shd w:val="clear" w:color="auto" w:fill="auto"/>
            <w:vAlign w:val="center"/>
          </w:tcPr>
          <w:p w14:paraId="369F5680">
            <w:pPr>
              <w:spacing w:line="500" w:lineRule="exact"/>
              <w:jc w:val="center"/>
              <w:rPr>
                <w:rFonts w:hint="eastAsia" w:ascii="宋体" w:hAnsi="宋体" w:eastAsia="宋体" w:cs="宋体"/>
                <w:b/>
                <w:color w:val="auto"/>
                <w:kern w:val="2"/>
                <w:sz w:val="24"/>
                <w:szCs w:val="24"/>
                <w:highlight w:val="none"/>
                <w:lang w:val="en-US" w:eastAsia="zh-CN" w:bidi="ar-SA"/>
              </w:rPr>
            </w:pPr>
            <w:r>
              <w:rPr>
                <w:rFonts w:hint="eastAsia" w:ascii="宋体" w:hAnsi="宋体" w:eastAsia="宋体" w:cs="宋体"/>
                <w:b/>
                <w:color w:val="auto"/>
                <w:sz w:val="24"/>
                <w:highlight w:val="none"/>
              </w:rPr>
              <w:t>授权委托书</w:t>
            </w:r>
          </w:p>
        </w:tc>
        <w:tc>
          <w:tcPr>
            <w:tcW w:w="6373" w:type="dxa"/>
            <w:tcBorders>
              <w:top w:val="single" w:color="auto" w:sz="4" w:space="0"/>
              <w:left w:val="single" w:color="auto" w:sz="4" w:space="0"/>
              <w:bottom w:val="single" w:color="auto" w:sz="4" w:space="0"/>
              <w:right w:val="single" w:color="auto" w:sz="4" w:space="0"/>
            </w:tcBorders>
            <w:shd w:val="clear" w:color="auto" w:fill="auto"/>
            <w:vAlign w:val="center"/>
          </w:tcPr>
          <w:p w14:paraId="3A647339">
            <w:pPr>
              <w:keepNext w:val="0"/>
              <w:keepLines w:val="0"/>
              <w:pageBreakBefore w:val="0"/>
              <w:widowControl w:val="0"/>
              <w:kinsoku/>
              <w:wordWrap/>
              <w:overflowPunct/>
              <w:topLinePunct w:val="0"/>
              <w:autoSpaceDE w:val="0"/>
              <w:autoSpaceDN w:val="0"/>
              <w:bidi w:val="0"/>
              <w:adjustRightInd w:val="0"/>
              <w:snapToGrid/>
              <w:spacing w:line="500" w:lineRule="exact"/>
              <w:ind w:firstLine="480" w:firstLineChars="200"/>
              <w:jc w:val="both"/>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0"/>
                <w:sz w:val="24"/>
                <w:szCs w:val="24"/>
                <w:highlight w:val="none"/>
                <w:lang w:val="en-US"/>
              </w:rPr>
              <w:t>法定代表人委托授权书（后附法定代表人、被授权人身份证复印件）及被授权人身份证原件；法定代表人直接投标时，只提供本人身份证原件；</w:t>
            </w:r>
          </w:p>
        </w:tc>
      </w:tr>
      <w:tr w14:paraId="4F761E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108" w:hRule="exact"/>
          <w:jc w:val="center"/>
        </w:trPr>
        <w:tc>
          <w:tcPr>
            <w:tcW w:w="1009" w:type="dxa"/>
            <w:tcBorders>
              <w:top w:val="single" w:color="auto" w:sz="4" w:space="0"/>
              <w:left w:val="single" w:color="auto" w:sz="4" w:space="0"/>
              <w:right w:val="single" w:color="auto" w:sz="4" w:space="0"/>
            </w:tcBorders>
            <w:vAlign w:val="center"/>
          </w:tcPr>
          <w:p w14:paraId="5AC677E4">
            <w:pPr>
              <w:spacing w:line="240" w:lineRule="exact"/>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3</w:t>
            </w:r>
          </w:p>
        </w:tc>
        <w:tc>
          <w:tcPr>
            <w:tcW w:w="1871" w:type="dxa"/>
            <w:tcBorders>
              <w:top w:val="single" w:color="auto" w:sz="4" w:space="0"/>
              <w:left w:val="single" w:color="auto" w:sz="4" w:space="0"/>
              <w:bottom w:val="single" w:color="auto" w:sz="4" w:space="0"/>
              <w:right w:val="single" w:color="auto" w:sz="4" w:space="0"/>
            </w:tcBorders>
            <w:shd w:val="clear" w:color="auto" w:fill="auto"/>
            <w:vAlign w:val="center"/>
          </w:tcPr>
          <w:p w14:paraId="438C593B">
            <w:pPr>
              <w:spacing w:line="500" w:lineRule="exact"/>
              <w:jc w:val="center"/>
              <w:rPr>
                <w:rFonts w:hint="eastAsia" w:ascii="宋体" w:hAnsi="宋体" w:eastAsia="宋体" w:cs="宋体"/>
                <w:b/>
                <w:color w:val="auto"/>
                <w:kern w:val="2"/>
                <w:sz w:val="24"/>
                <w:szCs w:val="24"/>
                <w:highlight w:val="none"/>
                <w:lang w:val="en-US" w:eastAsia="zh-CN" w:bidi="ar-SA"/>
              </w:rPr>
            </w:pPr>
            <w:r>
              <w:rPr>
                <w:rFonts w:hint="eastAsia" w:ascii="宋体" w:hAnsi="宋体" w:eastAsia="宋体" w:cs="宋体"/>
                <w:b/>
                <w:color w:val="auto"/>
                <w:sz w:val="24"/>
                <w:highlight w:val="none"/>
              </w:rPr>
              <w:t>财务状况报告</w:t>
            </w:r>
          </w:p>
        </w:tc>
        <w:tc>
          <w:tcPr>
            <w:tcW w:w="6373" w:type="dxa"/>
            <w:tcBorders>
              <w:top w:val="single" w:color="auto" w:sz="4" w:space="0"/>
              <w:left w:val="single" w:color="auto" w:sz="4" w:space="0"/>
              <w:bottom w:val="single" w:color="auto" w:sz="4" w:space="0"/>
              <w:right w:val="single" w:color="auto" w:sz="4" w:space="0"/>
            </w:tcBorders>
            <w:shd w:val="clear" w:color="auto" w:fill="auto"/>
            <w:vAlign w:val="center"/>
          </w:tcPr>
          <w:p w14:paraId="7B4F56A6">
            <w:pPr>
              <w:keepNext w:val="0"/>
              <w:keepLines w:val="0"/>
              <w:pageBreakBefore w:val="0"/>
              <w:widowControl w:val="0"/>
              <w:kinsoku/>
              <w:wordWrap/>
              <w:overflowPunct/>
              <w:topLinePunct w:val="0"/>
              <w:autoSpaceDE w:val="0"/>
              <w:autoSpaceDN w:val="0"/>
              <w:bidi w:val="0"/>
              <w:adjustRightInd w:val="0"/>
              <w:snapToGrid/>
              <w:spacing w:line="500" w:lineRule="exact"/>
              <w:ind w:firstLine="480" w:firstLineChars="200"/>
              <w:jc w:val="both"/>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0"/>
                <w:sz w:val="24"/>
                <w:szCs w:val="24"/>
                <w:highlight w:val="none"/>
                <w:lang w:val="en-US"/>
              </w:rPr>
              <w:t>提供经审计的202</w:t>
            </w:r>
            <w:r>
              <w:rPr>
                <w:rFonts w:hint="eastAsia" w:ascii="宋体" w:hAnsi="宋体" w:cs="宋体"/>
                <w:color w:val="auto"/>
                <w:kern w:val="0"/>
                <w:sz w:val="24"/>
                <w:szCs w:val="24"/>
                <w:highlight w:val="none"/>
                <w:lang w:val="en-US" w:eastAsia="zh-CN"/>
              </w:rPr>
              <w:t>3</w:t>
            </w:r>
            <w:r>
              <w:rPr>
                <w:rFonts w:hint="eastAsia" w:ascii="宋体" w:hAnsi="宋体" w:eastAsia="宋体" w:cs="宋体"/>
                <w:color w:val="auto"/>
                <w:kern w:val="0"/>
                <w:sz w:val="24"/>
                <w:szCs w:val="24"/>
                <w:highlight w:val="none"/>
                <w:lang w:val="en-US"/>
              </w:rPr>
              <w:t>年度或202</w:t>
            </w:r>
            <w:r>
              <w:rPr>
                <w:rFonts w:hint="eastAsia" w:ascii="宋体" w:hAnsi="宋体" w:cs="宋体"/>
                <w:color w:val="auto"/>
                <w:kern w:val="0"/>
                <w:sz w:val="24"/>
                <w:szCs w:val="24"/>
                <w:highlight w:val="none"/>
                <w:lang w:val="en-US" w:eastAsia="zh-CN"/>
              </w:rPr>
              <w:t>4</w:t>
            </w:r>
            <w:r>
              <w:rPr>
                <w:rFonts w:hint="eastAsia" w:ascii="宋体" w:hAnsi="宋体" w:eastAsia="宋体" w:cs="宋体"/>
                <w:color w:val="auto"/>
                <w:kern w:val="0"/>
                <w:sz w:val="24"/>
                <w:szCs w:val="24"/>
                <w:highlight w:val="none"/>
                <w:lang w:val="en-US"/>
              </w:rPr>
              <w:t>年度审计报告（至少应包含资产负债表、利润表和现金流量表）或银行出具的资信证明（公司成立时间至提交响应文件截止时间不足三个月的可不提供）；</w:t>
            </w:r>
          </w:p>
        </w:tc>
      </w:tr>
      <w:tr w14:paraId="580A13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3660" w:hRule="exact"/>
          <w:jc w:val="center"/>
        </w:trPr>
        <w:tc>
          <w:tcPr>
            <w:tcW w:w="1009" w:type="dxa"/>
            <w:tcBorders>
              <w:top w:val="single" w:color="auto" w:sz="4" w:space="0"/>
              <w:left w:val="single" w:color="auto" w:sz="4" w:space="0"/>
              <w:right w:val="single" w:color="auto" w:sz="4" w:space="0"/>
            </w:tcBorders>
            <w:vAlign w:val="center"/>
          </w:tcPr>
          <w:p w14:paraId="10BC6906">
            <w:pPr>
              <w:spacing w:line="240" w:lineRule="exact"/>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4</w:t>
            </w:r>
          </w:p>
        </w:tc>
        <w:tc>
          <w:tcPr>
            <w:tcW w:w="1871" w:type="dxa"/>
            <w:tcBorders>
              <w:top w:val="single" w:color="auto" w:sz="4" w:space="0"/>
              <w:left w:val="single" w:color="auto" w:sz="4" w:space="0"/>
              <w:bottom w:val="single" w:color="auto" w:sz="4" w:space="0"/>
              <w:right w:val="single" w:color="auto" w:sz="4" w:space="0"/>
            </w:tcBorders>
            <w:shd w:val="clear" w:color="auto" w:fill="auto"/>
            <w:vAlign w:val="center"/>
          </w:tcPr>
          <w:p w14:paraId="48C69746">
            <w:pPr>
              <w:spacing w:line="500" w:lineRule="exact"/>
              <w:jc w:val="center"/>
              <w:rPr>
                <w:rFonts w:hint="eastAsia" w:ascii="宋体" w:hAnsi="宋体" w:eastAsia="宋体" w:cs="宋体"/>
                <w:b/>
                <w:color w:val="auto"/>
                <w:kern w:val="2"/>
                <w:sz w:val="24"/>
                <w:szCs w:val="24"/>
                <w:highlight w:val="none"/>
                <w:lang w:val="en-US" w:eastAsia="zh-CN" w:bidi="ar-SA"/>
              </w:rPr>
            </w:pPr>
            <w:r>
              <w:rPr>
                <w:rFonts w:hint="eastAsia" w:ascii="宋体" w:hAnsi="宋体" w:eastAsia="宋体" w:cs="宋体"/>
                <w:b/>
                <w:color w:val="auto"/>
                <w:sz w:val="24"/>
                <w:highlight w:val="none"/>
              </w:rPr>
              <w:t>社会保障资金缴纳证明</w:t>
            </w:r>
          </w:p>
        </w:tc>
        <w:tc>
          <w:tcPr>
            <w:tcW w:w="6373" w:type="dxa"/>
            <w:tcBorders>
              <w:top w:val="single" w:color="auto" w:sz="4" w:space="0"/>
              <w:left w:val="single" w:color="auto" w:sz="4" w:space="0"/>
              <w:bottom w:val="single" w:color="auto" w:sz="4" w:space="0"/>
              <w:right w:val="single" w:color="auto" w:sz="4" w:space="0"/>
            </w:tcBorders>
            <w:shd w:val="clear" w:color="auto" w:fill="auto"/>
            <w:vAlign w:val="center"/>
          </w:tcPr>
          <w:p w14:paraId="619CD2A0">
            <w:pPr>
              <w:keepNext w:val="0"/>
              <w:keepLines w:val="0"/>
              <w:pageBreakBefore w:val="0"/>
              <w:widowControl w:val="0"/>
              <w:kinsoku/>
              <w:wordWrap/>
              <w:overflowPunct/>
              <w:topLinePunct w:val="0"/>
              <w:autoSpaceDE w:val="0"/>
              <w:autoSpaceDN w:val="0"/>
              <w:bidi w:val="0"/>
              <w:adjustRightInd w:val="0"/>
              <w:snapToGrid/>
              <w:spacing w:line="500" w:lineRule="exact"/>
              <w:ind w:firstLine="480" w:firstLineChars="200"/>
              <w:jc w:val="both"/>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cs="宋体"/>
                <w:b w:val="0"/>
                <w:bCs w:val="0"/>
                <w:color w:val="auto"/>
                <w:kern w:val="0"/>
                <w:sz w:val="24"/>
                <w:highlight w:val="none"/>
                <w:lang w:eastAsia="zh-CN"/>
              </w:rPr>
              <w:t>提供投标截止日前一年内任意三个月的社会保障资金缴存单据或社保机构开具的社会保险参保缴费情况证明，成立不足一年的公司提供自成立后至今连续缴存社会保障资金缴存单据或社保机构开具的社会保险参保缴费情况证明，单据或证明上应有社保机构或代收机构的公章或业务专用章（公司成立时间至提交响应文件截止时间不足三个月的可不提供）；</w:t>
            </w:r>
          </w:p>
        </w:tc>
      </w:tr>
      <w:tr w14:paraId="3078B3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172" w:hRule="exact"/>
          <w:jc w:val="center"/>
        </w:trPr>
        <w:tc>
          <w:tcPr>
            <w:tcW w:w="1009" w:type="dxa"/>
            <w:tcBorders>
              <w:top w:val="single" w:color="auto" w:sz="4" w:space="0"/>
              <w:left w:val="single" w:color="auto" w:sz="4" w:space="0"/>
              <w:right w:val="single" w:color="auto" w:sz="4" w:space="0"/>
            </w:tcBorders>
            <w:vAlign w:val="center"/>
          </w:tcPr>
          <w:p w14:paraId="3409B8FA">
            <w:pPr>
              <w:spacing w:line="240" w:lineRule="exact"/>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5</w:t>
            </w:r>
          </w:p>
        </w:tc>
        <w:tc>
          <w:tcPr>
            <w:tcW w:w="1871" w:type="dxa"/>
            <w:tcBorders>
              <w:top w:val="single" w:color="auto" w:sz="4" w:space="0"/>
              <w:left w:val="single" w:color="auto" w:sz="4" w:space="0"/>
              <w:bottom w:val="single" w:color="auto" w:sz="4" w:space="0"/>
              <w:right w:val="single" w:color="auto" w:sz="4" w:space="0"/>
            </w:tcBorders>
            <w:vAlign w:val="center"/>
          </w:tcPr>
          <w:p w14:paraId="60B601A3">
            <w:pPr>
              <w:spacing w:line="500" w:lineRule="exact"/>
              <w:jc w:val="center"/>
              <w:rPr>
                <w:rFonts w:hint="eastAsia" w:ascii="宋体" w:hAnsi="宋体" w:eastAsia="宋体" w:cs="宋体"/>
                <w:b/>
                <w:color w:val="auto"/>
                <w:sz w:val="24"/>
                <w:highlight w:val="none"/>
              </w:rPr>
            </w:pPr>
            <w:r>
              <w:rPr>
                <w:rFonts w:hint="eastAsia" w:ascii="宋体" w:hAnsi="宋体" w:eastAsia="宋体" w:cs="宋体"/>
                <w:b/>
                <w:color w:val="auto"/>
                <w:sz w:val="24"/>
                <w:highlight w:val="none"/>
              </w:rPr>
              <w:t>税收缴纳证明</w:t>
            </w:r>
          </w:p>
        </w:tc>
        <w:tc>
          <w:tcPr>
            <w:tcW w:w="6373" w:type="dxa"/>
            <w:tcBorders>
              <w:top w:val="single" w:color="auto" w:sz="4" w:space="0"/>
              <w:left w:val="single" w:color="auto" w:sz="4" w:space="0"/>
              <w:bottom w:val="single" w:color="auto" w:sz="4" w:space="0"/>
              <w:right w:val="single" w:color="auto" w:sz="4" w:space="0"/>
            </w:tcBorders>
            <w:vAlign w:val="center"/>
          </w:tcPr>
          <w:p w14:paraId="099D5BC1">
            <w:pPr>
              <w:keepNext w:val="0"/>
              <w:keepLines w:val="0"/>
              <w:pageBreakBefore w:val="0"/>
              <w:widowControl w:val="0"/>
              <w:kinsoku/>
              <w:wordWrap/>
              <w:overflowPunct/>
              <w:topLinePunct w:val="0"/>
              <w:autoSpaceDE w:val="0"/>
              <w:autoSpaceDN w:val="0"/>
              <w:bidi w:val="0"/>
              <w:adjustRightInd w:val="0"/>
              <w:snapToGrid/>
              <w:spacing w:line="500" w:lineRule="exact"/>
              <w:ind w:firstLine="480" w:firstLineChars="200"/>
              <w:jc w:val="both"/>
              <w:textAlignment w:val="auto"/>
              <w:rPr>
                <w:rFonts w:hint="eastAsia" w:ascii="宋体" w:hAnsi="宋体" w:eastAsia="宋体" w:cs="宋体"/>
                <w:color w:val="auto"/>
                <w:sz w:val="24"/>
                <w:highlight w:val="none"/>
              </w:rPr>
            </w:pPr>
            <w:r>
              <w:rPr>
                <w:rFonts w:hint="eastAsia" w:ascii="宋体" w:hAnsi="宋体" w:cs="宋体"/>
                <w:b w:val="0"/>
                <w:bCs w:val="0"/>
                <w:color w:val="auto"/>
                <w:kern w:val="0"/>
                <w:sz w:val="24"/>
                <w:highlight w:val="none"/>
                <w:lang w:eastAsia="zh-CN"/>
              </w:rPr>
              <w:t>提供投标截止日前一年内任意三个月的纳税证明或完税证明，单据应有代收机构或税务机关的公章或业务专用章；依法免税的单位应提供相关证明材料（公司成立时间至提交响应文件截止时间不足三个月的可不提供）；</w:t>
            </w:r>
            <w:r>
              <w:rPr>
                <w:rFonts w:hint="eastAsia" w:ascii="宋体" w:hAnsi="宋体" w:cs="宋体"/>
                <w:b w:val="0"/>
                <w:bCs w:val="0"/>
                <w:color w:val="auto"/>
                <w:kern w:val="0"/>
                <w:sz w:val="24"/>
                <w:highlight w:val="none"/>
                <w:lang w:eastAsia="zh-CN"/>
              </w:rPr>
              <w:br w:type="textWrapping"/>
            </w:r>
          </w:p>
        </w:tc>
      </w:tr>
      <w:tr w14:paraId="660730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866" w:hRule="atLeast"/>
          <w:jc w:val="center"/>
        </w:trPr>
        <w:tc>
          <w:tcPr>
            <w:tcW w:w="1009" w:type="dxa"/>
            <w:tcBorders>
              <w:left w:val="single" w:color="auto" w:sz="4" w:space="0"/>
              <w:right w:val="single" w:color="auto" w:sz="4" w:space="0"/>
            </w:tcBorders>
            <w:vAlign w:val="center"/>
          </w:tcPr>
          <w:p w14:paraId="2619ADFC">
            <w:pPr>
              <w:spacing w:line="240" w:lineRule="exact"/>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6</w:t>
            </w:r>
          </w:p>
        </w:tc>
        <w:tc>
          <w:tcPr>
            <w:tcW w:w="1871" w:type="dxa"/>
            <w:tcBorders>
              <w:top w:val="single" w:color="auto" w:sz="4" w:space="0"/>
              <w:left w:val="single" w:color="auto" w:sz="4" w:space="0"/>
              <w:bottom w:val="single" w:color="auto" w:sz="4" w:space="0"/>
              <w:right w:val="single" w:color="auto" w:sz="4" w:space="0"/>
            </w:tcBorders>
            <w:vAlign w:val="center"/>
          </w:tcPr>
          <w:p w14:paraId="22A83466">
            <w:pPr>
              <w:spacing w:line="500" w:lineRule="exact"/>
              <w:jc w:val="center"/>
              <w:rPr>
                <w:rFonts w:hint="eastAsia" w:ascii="宋体" w:hAnsi="宋体" w:eastAsia="宋体" w:cs="宋体"/>
                <w:b/>
                <w:color w:val="auto"/>
                <w:sz w:val="24"/>
                <w:highlight w:val="none"/>
              </w:rPr>
            </w:pPr>
            <w:r>
              <w:rPr>
                <w:rFonts w:hint="eastAsia" w:ascii="宋体" w:hAnsi="宋体" w:eastAsia="宋体" w:cs="宋体"/>
                <w:b/>
                <w:color w:val="auto"/>
                <w:sz w:val="24"/>
                <w:highlight w:val="none"/>
              </w:rPr>
              <w:t>主体信用查</w:t>
            </w:r>
          </w:p>
          <w:p w14:paraId="138F03B1">
            <w:pPr>
              <w:spacing w:line="500" w:lineRule="exact"/>
              <w:jc w:val="center"/>
              <w:rPr>
                <w:rFonts w:hint="eastAsia" w:ascii="宋体" w:hAnsi="宋体" w:eastAsia="宋体" w:cs="宋体"/>
                <w:b/>
                <w:color w:val="auto"/>
                <w:sz w:val="24"/>
                <w:highlight w:val="none"/>
              </w:rPr>
            </w:pPr>
            <w:r>
              <w:rPr>
                <w:rFonts w:hint="eastAsia" w:ascii="宋体" w:hAnsi="宋体" w:eastAsia="宋体" w:cs="宋体"/>
                <w:b/>
                <w:color w:val="auto"/>
                <w:sz w:val="24"/>
                <w:highlight w:val="none"/>
              </w:rPr>
              <w:t>询记录</w:t>
            </w:r>
          </w:p>
        </w:tc>
        <w:tc>
          <w:tcPr>
            <w:tcW w:w="6373" w:type="dxa"/>
            <w:tcBorders>
              <w:top w:val="single" w:color="auto" w:sz="4" w:space="0"/>
              <w:left w:val="single" w:color="auto" w:sz="4" w:space="0"/>
              <w:bottom w:val="single" w:color="auto" w:sz="4" w:space="0"/>
              <w:right w:val="single" w:color="auto" w:sz="4" w:space="0"/>
            </w:tcBorders>
            <w:vAlign w:val="center"/>
          </w:tcPr>
          <w:p w14:paraId="3C3297D1">
            <w:pPr>
              <w:keepNext w:val="0"/>
              <w:keepLines w:val="0"/>
              <w:pageBreakBefore w:val="0"/>
              <w:widowControl w:val="0"/>
              <w:kinsoku/>
              <w:wordWrap/>
              <w:overflowPunct/>
              <w:topLinePunct w:val="0"/>
              <w:autoSpaceDE w:val="0"/>
              <w:autoSpaceDN w:val="0"/>
              <w:bidi w:val="0"/>
              <w:adjustRightInd w:val="0"/>
              <w:snapToGrid/>
              <w:spacing w:line="500" w:lineRule="exact"/>
              <w:ind w:firstLine="480" w:firstLineChars="200"/>
              <w:jc w:val="both"/>
              <w:textAlignment w:val="auto"/>
              <w:rPr>
                <w:rFonts w:hint="eastAsia" w:ascii="宋体" w:hAnsi="宋体" w:eastAsia="宋体" w:cs="宋体"/>
                <w:color w:val="auto"/>
                <w:sz w:val="24"/>
                <w:highlight w:val="none"/>
              </w:rPr>
            </w:pPr>
            <w:r>
              <w:rPr>
                <w:rFonts w:hint="eastAsia" w:ascii="宋体" w:hAnsi="宋体" w:eastAsia="宋体" w:cs="宋体"/>
                <w:color w:val="auto"/>
                <w:kern w:val="0"/>
                <w:sz w:val="24"/>
                <w:szCs w:val="24"/>
                <w:highlight w:val="none"/>
                <w:lang w:val="en-US"/>
              </w:rPr>
              <w:t>供应商通过“信用中国”网站(www.creditchina.gov.cn)和中国政府采购网(www.ccgp.gov.cn) 查询相关主体信用记录，截止时点为招标文件发出至投标截止时间内，</w:t>
            </w:r>
            <w:r>
              <w:rPr>
                <w:rFonts w:hint="eastAsia" w:ascii="宋体" w:hAnsi="宋体" w:eastAsia="宋体" w:cs="宋体"/>
                <w:b/>
                <w:bCs/>
                <w:color w:val="auto"/>
                <w:kern w:val="0"/>
                <w:sz w:val="24"/>
                <w:szCs w:val="24"/>
                <w:highlight w:val="none"/>
                <w:lang w:val="en-US"/>
              </w:rPr>
              <w:t>网页截图加盖投标供应商公章</w:t>
            </w:r>
            <w:r>
              <w:rPr>
                <w:rFonts w:hint="eastAsia" w:ascii="宋体" w:hAnsi="宋体" w:eastAsia="宋体" w:cs="宋体"/>
                <w:color w:val="auto"/>
                <w:kern w:val="0"/>
                <w:sz w:val="24"/>
                <w:szCs w:val="24"/>
                <w:highlight w:val="none"/>
                <w:lang w:val="en-US"/>
              </w:rPr>
              <w:t>。对列入失信被执行人、重大税收违法案件当事人名单、政府采购严重违法失信行为记录名单及其他不符合《中华人民共和国政府采购法》第二十二条规定条件的供应商，将被视为不合格供应商；</w:t>
            </w:r>
          </w:p>
        </w:tc>
      </w:tr>
      <w:tr w14:paraId="5B051F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1162" w:hRule="atLeast"/>
          <w:jc w:val="center"/>
        </w:trPr>
        <w:tc>
          <w:tcPr>
            <w:tcW w:w="1009" w:type="dxa"/>
            <w:tcBorders>
              <w:left w:val="single" w:color="auto" w:sz="4" w:space="0"/>
              <w:right w:val="single" w:color="auto" w:sz="4" w:space="0"/>
            </w:tcBorders>
            <w:vAlign w:val="center"/>
          </w:tcPr>
          <w:p w14:paraId="6CA767F2">
            <w:pPr>
              <w:spacing w:line="240" w:lineRule="exact"/>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7</w:t>
            </w:r>
          </w:p>
        </w:tc>
        <w:tc>
          <w:tcPr>
            <w:tcW w:w="1871" w:type="dxa"/>
            <w:tcBorders>
              <w:top w:val="single" w:color="auto" w:sz="4" w:space="0"/>
              <w:left w:val="single" w:color="auto" w:sz="4" w:space="0"/>
              <w:bottom w:val="single" w:color="auto" w:sz="4" w:space="0"/>
              <w:right w:val="single" w:color="auto" w:sz="4" w:space="0"/>
            </w:tcBorders>
            <w:vAlign w:val="center"/>
          </w:tcPr>
          <w:p w14:paraId="27186A1C">
            <w:pPr>
              <w:spacing w:line="500" w:lineRule="exact"/>
              <w:jc w:val="center"/>
              <w:rPr>
                <w:rFonts w:hint="eastAsia" w:ascii="宋体" w:hAnsi="宋体" w:eastAsia="宋体" w:cs="宋体"/>
                <w:b/>
                <w:color w:val="auto"/>
                <w:sz w:val="24"/>
                <w:highlight w:val="none"/>
              </w:rPr>
            </w:pPr>
            <w:r>
              <w:rPr>
                <w:rFonts w:hint="eastAsia" w:ascii="宋体" w:hAnsi="宋体" w:eastAsia="宋体" w:cs="宋体"/>
                <w:b/>
                <w:color w:val="auto"/>
                <w:sz w:val="24"/>
                <w:highlight w:val="none"/>
              </w:rPr>
              <w:t>书面声明</w:t>
            </w:r>
          </w:p>
        </w:tc>
        <w:tc>
          <w:tcPr>
            <w:tcW w:w="6373" w:type="dxa"/>
            <w:tcBorders>
              <w:top w:val="single" w:color="auto" w:sz="4" w:space="0"/>
              <w:left w:val="single" w:color="auto" w:sz="4" w:space="0"/>
              <w:bottom w:val="single" w:color="auto" w:sz="4" w:space="0"/>
              <w:right w:val="single" w:color="auto" w:sz="4" w:space="0"/>
            </w:tcBorders>
            <w:vAlign w:val="center"/>
          </w:tcPr>
          <w:p w14:paraId="47A147F7">
            <w:pPr>
              <w:keepNext w:val="0"/>
              <w:keepLines w:val="0"/>
              <w:pageBreakBefore w:val="0"/>
              <w:widowControl w:val="0"/>
              <w:kinsoku/>
              <w:wordWrap/>
              <w:overflowPunct/>
              <w:topLinePunct w:val="0"/>
              <w:autoSpaceDE w:val="0"/>
              <w:autoSpaceDN w:val="0"/>
              <w:bidi w:val="0"/>
              <w:adjustRightInd w:val="0"/>
              <w:snapToGrid/>
              <w:spacing w:line="500" w:lineRule="exact"/>
              <w:ind w:firstLine="480" w:firstLineChars="200"/>
              <w:jc w:val="both"/>
              <w:textAlignment w:val="auto"/>
              <w:rPr>
                <w:rFonts w:hint="eastAsia" w:ascii="宋体" w:hAnsi="宋体" w:eastAsia="宋体" w:cs="宋体"/>
                <w:color w:val="auto"/>
                <w:sz w:val="24"/>
                <w:highlight w:val="none"/>
              </w:rPr>
            </w:pPr>
            <w:r>
              <w:rPr>
                <w:rFonts w:hint="eastAsia" w:ascii="宋体" w:hAnsi="宋体" w:eastAsia="宋体" w:cs="宋体"/>
                <w:color w:val="auto"/>
                <w:kern w:val="0"/>
                <w:sz w:val="24"/>
                <w:szCs w:val="24"/>
                <w:highlight w:val="none"/>
                <w:lang w:val="en-US"/>
              </w:rPr>
              <w:t>书面声明：投标人必须提供参加政府采购活动前3年内在经营活动中没有重大违法记录的书面声明。</w:t>
            </w:r>
          </w:p>
        </w:tc>
      </w:tr>
      <w:tr w14:paraId="136B25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395" w:hRule="atLeast"/>
          <w:jc w:val="center"/>
        </w:trPr>
        <w:tc>
          <w:tcPr>
            <w:tcW w:w="1009" w:type="dxa"/>
            <w:tcBorders>
              <w:left w:val="single" w:color="auto" w:sz="4" w:space="0"/>
              <w:right w:val="single" w:color="auto" w:sz="4" w:space="0"/>
            </w:tcBorders>
            <w:vAlign w:val="center"/>
          </w:tcPr>
          <w:p w14:paraId="2672FC8C">
            <w:pPr>
              <w:spacing w:line="240" w:lineRule="exact"/>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8</w:t>
            </w:r>
          </w:p>
        </w:tc>
        <w:tc>
          <w:tcPr>
            <w:tcW w:w="1871" w:type="dxa"/>
            <w:tcBorders>
              <w:top w:val="single" w:color="auto" w:sz="4" w:space="0"/>
              <w:left w:val="single" w:color="auto" w:sz="4" w:space="0"/>
              <w:right w:val="single" w:color="auto" w:sz="4" w:space="0"/>
            </w:tcBorders>
            <w:shd w:val="clear" w:color="auto" w:fill="auto"/>
            <w:vAlign w:val="center"/>
          </w:tcPr>
          <w:p w14:paraId="3C31C0E2">
            <w:pPr>
              <w:spacing w:line="500" w:lineRule="exact"/>
              <w:jc w:val="center"/>
              <w:rPr>
                <w:rFonts w:hint="eastAsia" w:ascii="宋体" w:hAnsi="宋体" w:eastAsia="宋体" w:cs="宋体"/>
                <w:b/>
                <w:color w:val="auto"/>
                <w:kern w:val="2"/>
                <w:sz w:val="24"/>
                <w:szCs w:val="24"/>
                <w:highlight w:val="none"/>
                <w:lang w:val="en-US" w:eastAsia="zh-CN" w:bidi="ar-SA"/>
              </w:rPr>
            </w:pPr>
            <w:r>
              <w:rPr>
                <w:rFonts w:hint="eastAsia" w:ascii="宋体" w:hAnsi="宋体" w:eastAsia="宋体" w:cs="宋体"/>
                <w:b/>
                <w:color w:val="auto"/>
                <w:sz w:val="24"/>
                <w:highlight w:val="none"/>
              </w:rPr>
              <w:t>小</w:t>
            </w:r>
            <w:r>
              <w:rPr>
                <w:rFonts w:hint="eastAsia" w:ascii="宋体" w:hAnsi="宋体" w:cs="宋体"/>
                <w:b/>
                <w:color w:val="auto"/>
                <w:sz w:val="24"/>
                <w:highlight w:val="none"/>
                <w:lang w:val="en-US" w:eastAsia="zh-CN"/>
              </w:rPr>
              <w:t>微</w:t>
            </w:r>
            <w:r>
              <w:rPr>
                <w:rFonts w:hint="eastAsia" w:ascii="宋体" w:hAnsi="宋体" w:eastAsia="宋体" w:cs="宋体"/>
                <w:b/>
                <w:color w:val="auto"/>
                <w:sz w:val="24"/>
                <w:highlight w:val="none"/>
              </w:rPr>
              <w:t>企业声明函</w:t>
            </w:r>
          </w:p>
        </w:tc>
        <w:tc>
          <w:tcPr>
            <w:tcW w:w="6373" w:type="dxa"/>
            <w:tcBorders>
              <w:top w:val="single" w:color="auto" w:sz="4" w:space="0"/>
              <w:left w:val="single" w:color="auto" w:sz="4" w:space="0"/>
              <w:right w:val="single" w:color="auto" w:sz="4" w:space="0"/>
            </w:tcBorders>
            <w:shd w:val="clear" w:color="auto" w:fill="auto"/>
            <w:vAlign w:val="center"/>
          </w:tcPr>
          <w:p w14:paraId="661DE168">
            <w:pPr>
              <w:keepNext w:val="0"/>
              <w:keepLines w:val="0"/>
              <w:pageBreakBefore w:val="0"/>
              <w:widowControl w:val="0"/>
              <w:kinsoku/>
              <w:wordWrap/>
              <w:overflowPunct/>
              <w:topLinePunct w:val="0"/>
              <w:autoSpaceDE w:val="0"/>
              <w:autoSpaceDN w:val="0"/>
              <w:bidi w:val="0"/>
              <w:adjustRightInd w:val="0"/>
              <w:snapToGrid/>
              <w:spacing w:line="500" w:lineRule="exact"/>
              <w:ind w:firstLine="480" w:firstLineChars="200"/>
              <w:jc w:val="both"/>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b w:val="0"/>
                <w:bCs w:val="0"/>
                <w:color w:val="auto"/>
                <w:kern w:val="0"/>
                <w:sz w:val="24"/>
                <w:szCs w:val="24"/>
                <w:highlight w:val="none"/>
                <w:lang w:val="en-US" w:eastAsia="zh-CN" w:bidi="ar-SA"/>
              </w:rPr>
              <w:t>本项目专门</w:t>
            </w:r>
            <w:r>
              <w:rPr>
                <w:rFonts w:hint="eastAsia" w:ascii="宋体" w:hAnsi="宋体" w:cs="宋体"/>
                <w:b w:val="0"/>
                <w:bCs w:val="0"/>
                <w:color w:val="auto"/>
                <w:kern w:val="0"/>
                <w:sz w:val="24"/>
                <w:szCs w:val="24"/>
                <w:highlight w:val="none"/>
                <w:lang w:val="en-US" w:eastAsia="zh-CN" w:bidi="ar-SA"/>
              </w:rPr>
              <w:t>面</w:t>
            </w:r>
            <w:r>
              <w:rPr>
                <w:rFonts w:hint="eastAsia" w:ascii="宋体" w:hAnsi="宋体" w:eastAsia="宋体" w:cs="宋体"/>
                <w:b w:val="0"/>
                <w:bCs w:val="0"/>
                <w:color w:val="auto"/>
                <w:kern w:val="0"/>
                <w:sz w:val="24"/>
                <w:szCs w:val="24"/>
                <w:highlight w:val="none"/>
                <w:lang w:val="en-US" w:eastAsia="zh-CN" w:bidi="ar-SA"/>
              </w:rPr>
              <w:t>向小微企业，供应商须提供小微企业声明函。供应商自行根据《国民经济行业分类》（GB/T4754-2017）、《国家统计局关于印发&lt;统计上大中小微型企业划分办法（2017）&gt;的通知》国统字〔2017〕213 号、工信部联企业〔2011〕300 号文件自行划分，若声明与实际不符须承担相应责任</w:t>
            </w:r>
            <w:r>
              <w:rPr>
                <w:rFonts w:hint="eastAsia" w:ascii="宋体" w:hAnsi="宋体" w:eastAsia="宋体" w:cs="宋体"/>
                <w:color w:val="auto"/>
                <w:kern w:val="0"/>
                <w:sz w:val="24"/>
                <w:szCs w:val="24"/>
                <w:highlight w:val="none"/>
                <w:lang w:val="en-US"/>
              </w:rPr>
              <w:t>；</w:t>
            </w:r>
          </w:p>
        </w:tc>
      </w:tr>
      <w:tr w14:paraId="5C5548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395" w:hRule="atLeast"/>
          <w:jc w:val="center"/>
        </w:trPr>
        <w:tc>
          <w:tcPr>
            <w:tcW w:w="1009" w:type="dxa"/>
            <w:tcBorders>
              <w:left w:val="single" w:color="auto" w:sz="4" w:space="0"/>
              <w:right w:val="single" w:color="auto" w:sz="4" w:space="0"/>
            </w:tcBorders>
            <w:vAlign w:val="center"/>
          </w:tcPr>
          <w:p w14:paraId="094AE462">
            <w:pPr>
              <w:spacing w:line="240" w:lineRule="exact"/>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9</w:t>
            </w:r>
          </w:p>
        </w:tc>
        <w:tc>
          <w:tcPr>
            <w:tcW w:w="1871" w:type="dxa"/>
            <w:tcBorders>
              <w:top w:val="single" w:color="auto" w:sz="4" w:space="0"/>
              <w:left w:val="single" w:color="auto" w:sz="4" w:space="0"/>
              <w:right w:val="single" w:color="auto" w:sz="4" w:space="0"/>
            </w:tcBorders>
            <w:vAlign w:val="center"/>
          </w:tcPr>
          <w:p w14:paraId="023D4067">
            <w:pPr>
              <w:spacing w:line="500" w:lineRule="exact"/>
              <w:jc w:val="center"/>
              <w:rPr>
                <w:rFonts w:hint="eastAsia" w:ascii="宋体" w:hAnsi="宋体" w:eastAsia="宋体" w:cs="宋体"/>
                <w:b/>
                <w:color w:val="auto"/>
                <w:sz w:val="24"/>
                <w:highlight w:val="none"/>
              </w:rPr>
            </w:pPr>
            <w:r>
              <w:rPr>
                <w:rFonts w:hint="eastAsia" w:ascii="宋体" w:hAnsi="宋体" w:eastAsia="宋体" w:cs="宋体"/>
                <w:b/>
                <w:color w:val="auto"/>
                <w:sz w:val="24"/>
                <w:highlight w:val="none"/>
              </w:rPr>
              <w:t>有效资质</w:t>
            </w:r>
          </w:p>
        </w:tc>
        <w:tc>
          <w:tcPr>
            <w:tcW w:w="6373" w:type="dxa"/>
            <w:tcBorders>
              <w:top w:val="single" w:color="auto" w:sz="4" w:space="0"/>
              <w:left w:val="single" w:color="auto" w:sz="4" w:space="0"/>
              <w:right w:val="single" w:color="auto" w:sz="4" w:space="0"/>
            </w:tcBorders>
            <w:vAlign w:val="center"/>
          </w:tcPr>
          <w:p w14:paraId="40EB3283">
            <w:pPr>
              <w:widowControl/>
              <w:autoSpaceDE w:val="0"/>
              <w:spacing w:line="50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kern w:val="0"/>
                <w:sz w:val="24"/>
                <w:szCs w:val="24"/>
                <w:highlight w:val="none"/>
                <w:lang w:val="en-US" w:eastAsia="zh-CN"/>
              </w:rPr>
              <w:t>需具备电力工程施工总承包三级及以上资质或输变电工程专业承包三级及以上资质；且同时具备电力设施承装、承修、承试五级及以上资质；具备合格有效的安全生产许可证；拟派项目负责人具有机电工程贰级及以上注册建造师证及安全生产考核合格证。</w:t>
            </w:r>
          </w:p>
        </w:tc>
      </w:tr>
      <w:tr w14:paraId="0F259D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395" w:hRule="atLeast"/>
          <w:jc w:val="center"/>
        </w:trPr>
        <w:tc>
          <w:tcPr>
            <w:tcW w:w="1009" w:type="dxa"/>
            <w:tcBorders>
              <w:left w:val="single" w:color="auto" w:sz="4" w:space="0"/>
              <w:right w:val="single" w:color="auto" w:sz="4" w:space="0"/>
            </w:tcBorders>
            <w:vAlign w:val="center"/>
          </w:tcPr>
          <w:p w14:paraId="34D2E38F">
            <w:pPr>
              <w:spacing w:line="240" w:lineRule="exact"/>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10</w:t>
            </w:r>
          </w:p>
        </w:tc>
        <w:tc>
          <w:tcPr>
            <w:tcW w:w="1871" w:type="dxa"/>
            <w:tcBorders>
              <w:top w:val="single" w:color="auto" w:sz="4" w:space="0"/>
              <w:left w:val="single" w:color="auto" w:sz="4" w:space="0"/>
              <w:right w:val="single" w:color="auto" w:sz="4" w:space="0"/>
            </w:tcBorders>
            <w:vAlign w:val="center"/>
          </w:tcPr>
          <w:p w14:paraId="190F21E9">
            <w:pPr>
              <w:spacing w:line="500" w:lineRule="exact"/>
              <w:jc w:val="center"/>
              <w:rPr>
                <w:rFonts w:hint="eastAsia" w:ascii="宋体" w:hAnsi="宋体" w:eastAsia="宋体" w:cs="宋体"/>
                <w:b/>
                <w:color w:val="auto"/>
                <w:sz w:val="24"/>
                <w:highlight w:val="none"/>
              </w:rPr>
            </w:pPr>
            <w:r>
              <w:rPr>
                <w:rFonts w:hint="eastAsia" w:ascii="宋体" w:hAnsi="宋体" w:eastAsia="宋体" w:cs="宋体"/>
                <w:b/>
                <w:color w:val="auto"/>
                <w:sz w:val="24"/>
                <w:highlight w:val="none"/>
              </w:rPr>
              <w:t>不接受联合体的声明</w:t>
            </w:r>
          </w:p>
        </w:tc>
        <w:tc>
          <w:tcPr>
            <w:tcW w:w="6373" w:type="dxa"/>
            <w:tcBorders>
              <w:top w:val="single" w:color="auto" w:sz="4" w:space="0"/>
              <w:left w:val="single" w:color="auto" w:sz="4" w:space="0"/>
              <w:right w:val="single" w:color="auto" w:sz="4" w:space="0"/>
            </w:tcBorders>
            <w:vAlign w:val="center"/>
          </w:tcPr>
          <w:p w14:paraId="24E13BCD">
            <w:pPr>
              <w:adjustRightInd w:val="0"/>
              <w:spacing w:line="360" w:lineRule="exact"/>
              <w:ind w:firstLine="480" w:firstLineChars="200"/>
              <w:jc w:val="both"/>
              <w:textAlignment w:val="baseline"/>
              <w:rPr>
                <w:rFonts w:hint="eastAsia" w:ascii="宋体" w:hAnsi="宋体" w:eastAsia="宋体" w:cs="宋体"/>
                <w:color w:val="auto"/>
                <w:sz w:val="24"/>
                <w:highlight w:val="none"/>
              </w:rPr>
            </w:pPr>
            <w:r>
              <w:rPr>
                <w:rFonts w:hint="eastAsia" w:ascii="宋体" w:hAnsi="宋体" w:eastAsia="宋体" w:cs="宋体"/>
                <w:color w:val="auto"/>
                <w:sz w:val="24"/>
                <w:highlight w:val="none"/>
              </w:rPr>
              <w:t>提供本项目不接受联合体的声明函。</w:t>
            </w:r>
          </w:p>
        </w:tc>
      </w:tr>
      <w:tr w14:paraId="1AC31C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446" w:hRule="atLeast"/>
          <w:jc w:val="center"/>
        </w:trPr>
        <w:tc>
          <w:tcPr>
            <w:tcW w:w="9253" w:type="dxa"/>
            <w:gridSpan w:val="3"/>
            <w:tcBorders>
              <w:left w:val="single" w:color="auto" w:sz="4" w:space="0"/>
              <w:bottom w:val="single" w:color="auto" w:sz="4" w:space="0"/>
              <w:right w:val="single" w:color="auto" w:sz="4" w:space="0"/>
            </w:tcBorders>
            <w:vAlign w:val="center"/>
          </w:tcPr>
          <w:p w14:paraId="5A99E8B4">
            <w:pPr>
              <w:spacing w:line="300" w:lineRule="exact"/>
              <w:rPr>
                <w:rFonts w:hint="eastAsia" w:ascii="宋体" w:hAnsi="宋体" w:eastAsia="宋体" w:cs="宋体"/>
                <w:b/>
                <w:color w:val="auto"/>
                <w:sz w:val="24"/>
                <w:highlight w:val="none"/>
              </w:rPr>
            </w:pPr>
            <w:r>
              <w:rPr>
                <w:rFonts w:hint="eastAsia" w:ascii="宋体" w:hAnsi="宋体" w:eastAsia="宋体" w:cs="宋体"/>
                <w:b/>
                <w:color w:val="auto"/>
                <w:sz w:val="24"/>
                <w:highlight w:val="none"/>
              </w:rPr>
              <w:t>注：以上资料审查不合格将视为非响应投标。</w:t>
            </w:r>
          </w:p>
        </w:tc>
      </w:tr>
    </w:tbl>
    <w:p w14:paraId="4F5B78DF">
      <w:pPr>
        <w:spacing w:line="560" w:lineRule="exact"/>
        <w:ind w:firstLine="482" w:firstLineChars="200"/>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3、符合性审查</w:t>
      </w:r>
    </w:p>
    <w:p w14:paraId="06789590">
      <w:pPr>
        <w:keepNext w:val="0"/>
        <w:keepLines w:val="0"/>
        <w:pageBreakBefore w:val="0"/>
        <w:widowControl w:val="0"/>
        <w:kinsoku/>
        <w:wordWrap/>
        <w:overflowPunct/>
        <w:topLinePunct w:val="0"/>
        <w:autoSpaceDE w:val="0"/>
        <w:autoSpaceDN w:val="0"/>
        <w:bidi w:val="0"/>
        <w:adjustRightInd w:val="0"/>
        <w:snapToGrid/>
        <w:spacing w:line="500" w:lineRule="exact"/>
        <w:ind w:firstLine="480" w:firstLineChars="200"/>
        <w:jc w:val="both"/>
        <w:textAlignment w:val="auto"/>
        <w:rPr>
          <w:rFonts w:hint="eastAsia" w:ascii="宋体" w:hAnsi="宋体" w:eastAsia="宋体" w:cs="宋体"/>
          <w:color w:val="auto"/>
          <w:kern w:val="0"/>
          <w:sz w:val="24"/>
          <w:szCs w:val="24"/>
          <w:highlight w:val="none"/>
          <w:lang w:val="en-US"/>
        </w:rPr>
      </w:pPr>
      <w:r>
        <w:rPr>
          <w:rFonts w:hint="eastAsia" w:ascii="宋体" w:hAnsi="宋体" w:eastAsia="宋体" w:cs="宋体"/>
          <w:color w:val="auto"/>
          <w:kern w:val="0"/>
          <w:sz w:val="24"/>
          <w:szCs w:val="24"/>
          <w:highlight w:val="none"/>
          <w:lang w:val="en-US"/>
        </w:rPr>
        <w:t>依据磋商文件规定，从响应文件的有效性、完整性和对磋商文件的响应程度进行审查。审查要求如下（包含但不限于），有一项不满足，不得进入下一轮评审：</w:t>
      </w:r>
    </w:p>
    <w:p w14:paraId="6FDC520E">
      <w:pPr>
        <w:keepNext w:val="0"/>
        <w:keepLines w:val="0"/>
        <w:pageBreakBefore w:val="0"/>
        <w:widowControl w:val="0"/>
        <w:kinsoku/>
        <w:wordWrap/>
        <w:overflowPunct/>
        <w:topLinePunct w:val="0"/>
        <w:autoSpaceDE w:val="0"/>
        <w:autoSpaceDN w:val="0"/>
        <w:bidi w:val="0"/>
        <w:adjustRightInd w:val="0"/>
        <w:snapToGrid/>
        <w:spacing w:line="500" w:lineRule="exact"/>
        <w:ind w:firstLine="480" w:firstLineChars="200"/>
        <w:jc w:val="both"/>
        <w:textAlignment w:val="auto"/>
        <w:rPr>
          <w:rFonts w:hint="eastAsia" w:ascii="宋体" w:hAnsi="宋体" w:eastAsia="宋体" w:cs="宋体"/>
          <w:color w:val="auto"/>
          <w:kern w:val="0"/>
          <w:sz w:val="24"/>
          <w:szCs w:val="24"/>
          <w:highlight w:val="none"/>
          <w:lang w:val="en-US"/>
        </w:rPr>
      </w:pPr>
      <w:r>
        <w:rPr>
          <w:rFonts w:hint="eastAsia" w:ascii="宋体" w:hAnsi="宋体" w:eastAsia="宋体" w:cs="宋体"/>
          <w:color w:val="auto"/>
          <w:kern w:val="0"/>
          <w:sz w:val="24"/>
          <w:szCs w:val="24"/>
          <w:highlight w:val="none"/>
          <w:lang w:val="en-US"/>
        </w:rPr>
        <w:t xml:space="preserve">A、响应文件是否按磋商文件要求的数量和方式胶装、签字、加盖公章； </w:t>
      </w:r>
    </w:p>
    <w:p w14:paraId="3FF1E9BA">
      <w:pPr>
        <w:keepNext w:val="0"/>
        <w:keepLines w:val="0"/>
        <w:pageBreakBefore w:val="0"/>
        <w:widowControl w:val="0"/>
        <w:kinsoku/>
        <w:wordWrap/>
        <w:overflowPunct/>
        <w:topLinePunct w:val="0"/>
        <w:autoSpaceDE w:val="0"/>
        <w:autoSpaceDN w:val="0"/>
        <w:bidi w:val="0"/>
        <w:adjustRightInd w:val="0"/>
        <w:snapToGrid/>
        <w:spacing w:line="500" w:lineRule="exact"/>
        <w:ind w:firstLine="480" w:firstLineChars="200"/>
        <w:jc w:val="both"/>
        <w:textAlignment w:val="auto"/>
        <w:rPr>
          <w:rFonts w:hint="eastAsia" w:ascii="宋体" w:hAnsi="宋体" w:eastAsia="宋体" w:cs="宋体"/>
          <w:color w:val="auto"/>
          <w:kern w:val="0"/>
          <w:sz w:val="24"/>
          <w:szCs w:val="24"/>
          <w:highlight w:val="none"/>
          <w:lang w:val="en-US"/>
        </w:rPr>
      </w:pPr>
      <w:r>
        <w:rPr>
          <w:rFonts w:hint="eastAsia" w:ascii="宋体" w:hAnsi="宋体" w:eastAsia="宋体" w:cs="宋体"/>
          <w:color w:val="auto"/>
          <w:kern w:val="0"/>
          <w:sz w:val="24"/>
          <w:szCs w:val="24"/>
          <w:highlight w:val="none"/>
          <w:lang w:val="en-US"/>
        </w:rPr>
        <w:t>B、响应文件的语言、计量单位、报价货币、知识产权是否满足磋商文件要求；</w:t>
      </w:r>
    </w:p>
    <w:p w14:paraId="7C63798C">
      <w:pPr>
        <w:keepNext w:val="0"/>
        <w:keepLines w:val="0"/>
        <w:pageBreakBefore w:val="0"/>
        <w:widowControl w:val="0"/>
        <w:kinsoku/>
        <w:wordWrap/>
        <w:overflowPunct/>
        <w:topLinePunct w:val="0"/>
        <w:autoSpaceDE w:val="0"/>
        <w:autoSpaceDN w:val="0"/>
        <w:bidi w:val="0"/>
        <w:adjustRightInd w:val="0"/>
        <w:snapToGrid/>
        <w:spacing w:line="500" w:lineRule="exact"/>
        <w:ind w:firstLine="480" w:firstLineChars="200"/>
        <w:jc w:val="both"/>
        <w:textAlignment w:val="auto"/>
        <w:rPr>
          <w:rFonts w:hint="eastAsia" w:ascii="宋体" w:hAnsi="宋体" w:eastAsia="宋体" w:cs="宋体"/>
          <w:color w:val="auto"/>
          <w:kern w:val="0"/>
          <w:sz w:val="24"/>
          <w:szCs w:val="24"/>
          <w:highlight w:val="none"/>
          <w:lang w:val="en-US"/>
        </w:rPr>
      </w:pPr>
      <w:r>
        <w:rPr>
          <w:rFonts w:hint="eastAsia" w:ascii="宋体" w:hAnsi="宋体" w:eastAsia="宋体" w:cs="宋体"/>
          <w:color w:val="auto"/>
          <w:kern w:val="0"/>
          <w:sz w:val="24"/>
          <w:szCs w:val="24"/>
          <w:highlight w:val="none"/>
          <w:lang w:val="en-US"/>
        </w:rPr>
        <w:t>C、磋商有效期是否达到磋商文件要求；</w:t>
      </w:r>
    </w:p>
    <w:p w14:paraId="5D5D81D6">
      <w:pPr>
        <w:keepNext w:val="0"/>
        <w:keepLines w:val="0"/>
        <w:pageBreakBefore w:val="0"/>
        <w:widowControl w:val="0"/>
        <w:kinsoku/>
        <w:wordWrap/>
        <w:overflowPunct/>
        <w:topLinePunct w:val="0"/>
        <w:autoSpaceDE w:val="0"/>
        <w:autoSpaceDN w:val="0"/>
        <w:bidi w:val="0"/>
        <w:adjustRightInd w:val="0"/>
        <w:snapToGrid/>
        <w:spacing w:line="500" w:lineRule="exact"/>
        <w:ind w:firstLine="480" w:firstLineChars="200"/>
        <w:jc w:val="both"/>
        <w:textAlignment w:val="auto"/>
        <w:rPr>
          <w:rFonts w:hint="eastAsia" w:ascii="宋体" w:hAnsi="宋体" w:eastAsia="宋体" w:cs="宋体"/>
          <w:color w:val="auto"/>
          <w:kern w:val="0"/>
          <w:sz w:val="24"/>
          <w:szCs w:val="24"/>
          <w:highlight w:val="none"/>
          <w:lang w:val="en-US"/>
        </w:rPr>
      </w:pPr>
      <w:r>
        <w:rPr>
          <w:rFonts w:hint="eastAsia" w:ascii="宋体" w:hAnsi="宋体" w:eastAsia="宋体" w:cs="宋体"/>
          <w:color w:val="auto"/>
          <w:kern w:val="0"/>
          <w:sz w:val="24"/>
          <w:szCs w:val="24"/>
          <w:highlight w:val="none"/>
          <w:lang w:val="en-US"/>
        </w:rPr>
        <w:t>D、是否符合法律、法规和磋商文件中规定的其他实质性要求。</w:t>
      </w:r>
    </w:p>
    <w:p w14:paraId="4DABCD33">
      <w:pPr>
        <w:keepNext w:val="0"/>
        <w:keepLines w:val="0"/>
        <w:pageBreakBefore w:val="0"/>
        <w:widowControl w:val="0"/>
        <w:kinsoku/>
        <w:wordWrap/>
        <w:overflowPunct/>
        <w:topLinePunct w:val="0"/>
        <w:autoSpaceDE w:val="0"/>
        <w:autoSpaceDN w:val="0"/>
        <w:bidi w:val="0"/>
        <w:adjustRightInd w:val="0"/>
        <w:snapToGrid/>
        <w:spacing w:line="500" w:lineRule="exact"/>
        <w:ind w:firstLine="482" w:firstLineChars="200"/>
        <w:jc w:val="both"/>
        <w:textAlignment w:val="auto"/>
        <w:rPr>
          <w:rFonts w:hint="eastAsia" w:ascii="宋体" w:hAnsi="宋体" w:eastAsia="宋体" w:cs="宋体"/>
          <w:b/>
          <w:bCs/>
          <w:color w:val="auto"/>
          <w:kern w:val="0"/>
          <w:sz w:val="24"/>
          <w:szCs w:val="24"/>
          <w:highlight w:val="none"/>
          <w:lang w:val="en-US"/>
        </w:rPr>
      </w:pPr>
      <w:r>
        <w:rPr>
          <w:rFonts w:hint="eastAsia" w:ascii="宋体" w:hAnsi="宋体" w:eastAsia="宋体" w:cs="宋体"/>
          <w:b/>
          <w:bCs/>
          <w:color w:val="auto"/>
          <w:kern w:val="0"/>
          <w:sz w:val="24"/>
          <w:szCs w:val="24"/>
          <w:highlight w:val="none"/>
          <w:lang w:val="en-US" w:eastAsia="zh-CN"/>
        </w:rPr>
        <w:t>4、</w:t>
      </w:r>
      <w:r>
        <w:rPr>
          <w:rFonts w:hint="eastAsia" w:ascii="宋体" w:hAnsi="宋体" w:eastAsia="宋体" w:cs="宋体"/>
          <w:b/>
          <w:bCs/>
          <w:color w:val="auto"/>
          <w:kern w:val="0"/>
          <w:sz w:val="24"/>
          <w:szCs w:val="24"/>
          <w:highlight w:val="none"/>
          <w:lang w:val="en-US"/>
        </w:rPr>
        <w:t>磋商时，响应文件中出现下列情况，修正原则为：</w:t>
      </w:r>
    </w:p>
    <w:p w14:paraId="69BFDB06">
      <w:pPr>
        <w:keepNext w:val="0"/>
        <w:keepLines w:val="0"/>
        <w:pageBreakBefore w:val="0"/>
        <w:widowControl w:val="0"/>
        <w:kinsoku/>
        <w:wordWrap/>
        <w:overflowPunct/>
        <w:topLinePunct w:val="0"/>
        <w:autoSpaceDE w:val="0"/>
        <w:autoSpaceDN w:val="0"/>
        <w:bidi w:val="0"/>
        <w:adjustRightInd w:val="0"/>
        <w:snapToGrid/>
        <w:spacing w:line="500" w:lineRule="exact"/>
        <w:ind w:firstLine="480" w:firstLineChars="200"/>
        <w:jc w:val="both"/>
        <w:textAlignment w:val="auto"/>
        <w:rPr>
          <w:rFonts w:hint="eastAsia" w:ascii="宋体" w:hAnsi="宋体" w:eastAsia="宋体" w:cs="宋体"/>
          <w:color w:val="auto"/>
          <w:kern w:val="0"/>
          <w:sz w:val="24"/>
          <w:szCs w:val="24"/>
          <w:highlight w:val="none"/>
          <w:lang w:val="en-US"/>
        </w:rPr>
      </w:pPr>
      <w:r>
        <w:rPr>
          <w:rFonts w:hint="eastAsia" w:ascii="宋体" w:hAnsi="宋体" w:eastAsia="宋体" w:cs="宋体"/>
          <w:color w:val="auto"/>
          <w:kern w:val="0"/>
          <w:sz w:val="24"/>
          <w:szCs w:val="24"/>
          <w:highlight w:val="none"/>
          <w:lang w:val="en-US"/>
        </w:rPr>
        <w:t>A、响应文件中响应报价表内容与响应文件中明细内容不一致的，以响应报价表为准；</w:t>
      </w:r>
    </w:p>
    <w:p w14:paraId="57A8172B">
      <w:pPr>
        <w:keepNext w:val="0"/>
        <w:keepLines w:val="0"/>
        <w:pageBreakBefore w:val="0"/>
        <w:widowControl w:val="0"/>
        <w:kinsoku/>
        <w:wordWrap/>
        <w:overflowPunct/>
        <w:topLinePunct w:val="0"/>
        <w:autoSpaceDE w:val="0"/>
        <w:autoSpaceDN w:val="0"/>
        <w:bidi w:val="0"/>
        <w:adjustRightInd w:val="0"/>
        <w:snapToGrid/>
        <w:spacing w:line="500" w:lineRule="exact"/>
        <w:ind w:firstLine="480" w:firstLineChars="200"/>
        <w:jc w:val="both"/>
        <w:textAlignment w:val="auto"/>
        <w:rPr>
          <w:rFonts w:hint="eastAsia" w:ascii="宋体" w:hAnsi="宋体" w:eastAsia="宋体" w:cs="宋体"/>
          <w:color w:val="auto"/>
          <w:kern w:val="0"/>
          <w:sz w:val="24"/>
          <w:szCs w:val="24"/>
          <w:highlight w:val="none"/>
          <w:lang w:val="en-US"/>
        </w:rPr>
      </w:pPr>
      <w:r>
        <w:rPr>
          <w:rFonts w:hint="eastAsia" w:ascii="宋体" w:hAnsi="宋体" w:eastAsia="宋体" w:cs="宋体"/>
          <w:color w:val="auto"/>
          <w:kern w:val="0"/>
          <w:sz w:val="24"/>
          <w:szCs w:val="24"/>
          <w:highlight w:val="none"/>
          <w:lang w:val="en-US"/>
        </w:rPr>
        <w:t>B、大写金额和小写金额不一致的，以大写金额为准；</w:t>
      </w:r>
    </w:p>
    <w:p w14:paraId="5578BEE0">
      <w:pPr>
        <w:keepNext w:val="0"/>
        <w:keepLines w:val="0"/>
        <w:pageBreakBefore w:val="0"/>
        <w:widowControl w:val="0"/>
        <w:kinsoku/>
        <w:wordWrap/>
        <w:overflowPunct/>
        <w:topLinePunct w:val="0"/>
        <w:autoSpaceDE w:val="0"/>
        <w:autoSpaceDN w:val="0"/>
        <w:bidi w:val="0"/>
        <w:adjustRightInd w:val="0"/>
        <w:snapToGrid/>
        <w:spacing w:line="500" w:lineRule="exact"/>
        <w:ind w:firstLine="480" w:firstLineChars="200"/>
        <w:jc w:val="both"/>
        <w:textAlignment w:val="auto"/>
        <w:rPr>
          <w:rFonts w:hint="eastAsia" w:ascii="宋体" w:hAnsi="宋体" w:eastAsia="宋体" w:cs="宋体"/>
          <w:color w:val="auto"/>
          <w:kern w:val="0"/>
          <w:sz w:val="24"/>
          <w:szCs w:val="24"/>
          <w:highlight w:val="none"/>
          <w:lang w:val="en-US"/>
        </w:rPr>
      </w:pPr>
      <w:r>
        <w:rPr>
          <w:rFonts w:hint="eastAsia" w:ascii="宋体" w:hAnsi="宋体" w:eastAsia="宋体" w:cs="宋体"/>
          <w:color w:val="auto"/>
          <w:kern w:val="0"/>
          <w:sz w:val="24"/>
          <w:szCs w:val="24"/>
          <w:highlight w:val="none"/>
          <w:lang w:val="en-US"/>
        </w:rPr>
        <w:t>C、单价金额小数点或者百分比有明显错位的，以响应报价表的总价为准，并修改单价；</w:t>
      </w:r>
    </w:p>
    <w:p w14:paraId="27C71B7A">
      <w:pPr>
        <w:keepNext w:val="0"/>
        <w:keepLines w:val="0"/>
        <w:pageBreakBefore w:val="0"/>
        <w:widowControl w:val="0"/>
        <w:kinsoku/>
        <w:wordWrap/>
        <w:overflowPunct/>
        <w:topLinePunct w:val="0"/>
        <w:autoSpaceDE w:val="0"/>
        <w:autoSpaceDN w:val="0"/>
        <w:bidi w:val="0"/>
        <w:adjustRightInd w:val="0"/>
        <w:snapToGrid/>
        <w:spacing w:line="500" w:lineRule="exact"/>
        <w:ind w:firstLine="480" w:firstLineChars="200"/>
        <w:jc w:val="both"/>
        <w:textAlignment w:val="auto"/>
        <w:rPr>
          <w:rFonts w:hint="eastAsia" w:ascii="宋体" w:hAnsi="宋体" w:eastAsia="宋体" w:cs="宋体"/>
          <w:color w:val="auto"/>
          <w:kern w:val="0"/>
          <w:sz w:val="24"/>
          <w:szCs w:val="24"/>
          <w:highlight w:val="none"/>
          <w:lang w:val="en-US"/>
        </w:rPr>
      </w:pPr>
      <w:r>
        <w:rPr>
          <w:rFonts w:hint="eastAsia" w:ascii="宋体" w:hAnsi="宋体" w:eastAsia="宋体" w:cs="宋体"/>
          <w:color w:val="auto"/>
          <w:kern w:val="0"/>
          <w:sz w:val="24"/>
          <w:szCs w:val="24"/>
          <w:highlight w:val="none"/>
          <w:lang w:val="en-US"/>
        </w:rPr>
        <w:t xml:space="preserve">D、总价金额与按单价汇总金额不一致的，以单价金额计算结果为准； </w:t>
      </w:r>
    </w:p>
    <w:p w14:paraId="3FA9E3B9">
      <w:pPr>
        <w:keepNext w:val="0"/>
        <w:keepLines w:val="0"/>
        <w:pageBreakBefore w:val="0"/>
        <w:widowControl w:val="0"/>
        <w:kinsoku/>
        <w:wordWrap/>
        <w:overflowPunct/>
        <w:topLinePunct w:val="0"/>
        <w:autoSpaceDE w:val="0"/>
        <w:autoSpaceDN w:val="0"/>
        <w:bidi w:val="0"/>
        <w:adjustRightInd w:val="0"/>
        <w:snapToGrid/>
        <w:spacing w:line="500" w:lineRule="exact"/>
        <w:ind w:firstLine="480" w:firstLineChars="200"/>
        <w:jc w:val="both"/>
        <w:textAlignment w:val="auto"/>
        <w:rPr>
          <w:rFonts w:hint="eastAsia" w:ascii="宋体" w:hAnsi="宋体" w:eastAsia="宋体" w:cs="宋体"/>
          <w:color w:val="auto"/>
          <w:kern w:val="0"/>
          <w:sz w:val="24"/>
          <w:szCs w:val="24"/>
          <w:highlight w:val="none"/>
          <w:lang w:val="en-US"/>
        </w:rPr>
      </w:pPr>
      <w:r>
        <w:rPr>
          <w:rFonts w:hint="eastAsia" w:ascii="宋体" w:hAnsi="宋体" w:eastAsia="宋体" w:cs="宋体"/>
          <w:color w:val="auto"/>
          <w:kern w:val="0"/>
          <w:sz w:val="24"/>
          <w:szCs w:val="24"/>
          <w:highlight w:val="none"/>
          <w:lang w:val="en-US"/>
        </w:rPr>
        <w:t>E、响应文件正本与副本不一致的，以正本为准；</w:t>
      </w:r>
    </w:p>
    <w:p w14:paraId="532DC21B">
      <w:pPr>
        <w:keepNext w:val="0"/>
        <w:keepLines w:val="0"/>
        <w:pageBreakBefore w:val="0"/>
        <w:widowControl w:val="0"/>
        <w:kinsoku/>
        <w:wordWrap/>
        <w:overflowPunct/>
        <w:topLinePunct w:val="0"/>
        <w:autoSpaceDE w:val="0"/>
        <w:autoSpaceDN w:val="0"/>
        <w:bidi w:val="0"/>
        <w:adjustRightInd w:val="0"/>
        <w:snapToGrid/>
        <w:spacing w:line="500" w:lineRule="exact"/>
        <w:ind w:firstLine="480" w:firstLineChars="200"/>
        <w:jc w:val="both"/>
        <w:textAlignment w:val="auto"/>
        <w:rPr>
          <w:rFonts w:hint="eastAsia" w:ascii="宋体" w:hAnsi="宋体" w:eastAsia="宋体" w:cs="宋体"/>
          <w:color w:val="auto"/>
          <w:kern w:val="0"/>
          <w:sz w:val="24"/>
          <w:szCs w:val="24"/>
          <w:highlight w:val="none"/>
          <w:lang w:val="en-US"/>
        </w:rPr>
      </w:pPr>
      <w:r>
        <w:rPr>
          <w:rFonts w:hint="eastAsia" w:ascii="宋体" w:hAnsi="宋体" w:eastAsia="宋体" w:cs="宋体"/>
          <w:color w:val="auto"/>
          <w:kern w:val="0"/>
          <w:sz w:val="24"/>
          <w:szCs w:val="24"/>
          <w:highlight w:val="none"/>
          <w:lang w:val="en-US"/>
        </w:rPr>
        <w:t>F、多处内容交叉不符时，以磋商小组评审结果为准；</w:t>
      </w:r>
    </w:p>
    <w:p w14:paraId="221070AF">
      <w:pPr>
        <w:keepNext w:val="0"/>
        <w:keepLines w:val="0"/>
        <w:pageBreakBefore w:val="0"/>
        <w:widowControl w:val="0"/>
        <w:kinsoku/>
        <w:wordWrap/>
        <w:overflowPunct/>
        <w:topLinePunct w:val="0"/>
        <w:autoSpaceDE w:val="0"/>
        <w:autoSpaceDN w:val="0"/>
        <w:bidi w:val="0"/>
        <w:adjustRightInd w:val="0"/>
        <w:snapToGrid/>
        <w:spacing w:line="500" w:lineRule="exact"/>
        <w:ind w:firstLine="480" w:firstLineChars="200"/>
        <w:jc w:val="both"/>
        <w:textAlignment w:val="auto"/>
        <w:rPr>
          <w:rFonts w:hint="eastAsia" w:ascii="宋体" w:hAnsi="宋体" w:eastAsia="宋体" w:cs="宋体"/>
          <w:color w:val="auto"/>
          <w:kern w:val="0"/>
          <w:sz w:val="24"/>
          <w:szCs w:val="24"/>
          <w:highlight w:val="none"/>
          <w:lang w:val="en-US"/>
        </w:rPr>
      </w:pPr>
      <w:r>
        <w:rPr>
          <w:rFonts w:hint="eastAsia" w:ascii="宋体" w:hAnsi="宋体" w:eastAsia="宋体" w:cs="宋体"/>
          <w:color w:val="auto"/>
          <w:kern w:val="0"/>
          <w:sz w:val="24"/>
          <w:szCs w:val="24"/>
          <w:highlight w:val="none"/>
          <w:lang w:val="en-US"/>
        </w:rPr>
        <w:t>G、文字与图表不符的，以文字为准。</w:t>
      </w:r>
    </w:p>
    <w:p w14:paraId="5AE1DD5D">
      <w:pPr>
        <w:keepNext w:val="0"/>
        <w:keepLines w:val="0"/>
        <w:pageBreakBefore w:val="0"/>
        <w:widowControl w:val="0"/>
        <w:kinsoku/>
        <w:wordWrap/>
        <w:overflowPunct/>
        <w:topLinePunct w:val="0"/>
        <w:autoSpaceDE w:val="0"/>
        <w:autoSpaceDN w:val="0"/>
        <w:bidi w:val="0"/>
        <w:adjustRightInd w:val="0"/>
        <w:snapToGrid/>
        <w:spacing w:line="500" w:lineRule="exact"/>
        <w:ind w:firstLine="480" w:firstLineChars="200"/>
        <w:jc w:val="both"/>
        <w:textAlignment w:val="auto"/>
        <w:rPr>
          <w:rFonts w:hint="eastAsia" w:ascii="宋体" w:hAnsi="宋体" w:eastAsia="宋体" w:cs="宋体"/>
          <w:color w:val="auto"/>
          <w:kern w:val="0"/>
          <w:sz w:val="24"/>
          <w:szCs w:val="24"/>
          <w:highlight w:val="none"/>
          <w:lang w:val="en-US"/>
        </w:rPr>
      </w:pPr>
      <w:r>
        <w:rPr>
          <w:rFonts w:hint="eastAsia" w:ascii="宋体" w:hAnsi="宋体" w:eastAsia="宋体" w:cs="宋体"/>
          <w:color w:val="auto"/>
          <w:kern w:val="0"/>
          <w:sz w:val="24"/>
          <w:szCs w:val="24"/>
          <w:highlight w:val="none"/>
          <w:lang w:val="en-US"/>
        </w:rPr>
        <w:t>同时出现两种以上不一致的，按照前款规定的顺序修正。按上述修正错误的原则及方法调整或修正响应文件的报价和内容，供应商同意后，调整后的报价和内容对供应商起约束作用。如果供应商不接受修正后的报价和内容，则其响应文件无效。</w:t>
      </w:r>
    </w:p>
    <w:p w14:paraId="5E5B33D3">
      <w:pPr>
        <w:keepNext w:val="0"/>
        <w:keepLines w:val="0"/>
        <w:pageBreakBefore w:val="0"/>
        <w:widowControl w:val="0"/>
        <w:kinsoku/>
        <w:wordWrap/>
        <w:overflowPunct/>
        <w:topLinePunct w:val="0"/>
        <w:autoSpaceDE w:val="0"/>
        <w:autoSpaceDN w:val="0"/>
        <w:bidi w:val="0"/>
        <w:adjustRightInd w:val="0"/>
        <w:snapToGrid/>
        <w:spacing w:line="500" w:lineRule="exact"/>
        <w:ind w:firstLine="482" w:firstLineChars="200"/>
        <w:jc w:val="both"/>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b/>
          <w:bCs/>
          <w:color w:val="auto"/>
          <w:kern w:val="0"/>
          <w:sz w:val="24"/>
          <w:szCs w:val="24"/>
          <w:highlight w:val="none"/>
          <w:lang w:val="en-US" w:eastAsia="zh-CN"/>
        </w:rPr>
        <w:t>5、磋商小组对磋商响应文件进行审查时，出现下列情况之一者（但不限于）按无效文件处理。</w:t>
      </w:r>
    </w:p>
    <w:p w14:paraId="1C3CCA90">
      <w:pPr>
        <w:keepNext w:val="0"/>
        <w:keepLines w:val="0"/>
        <w:pageBreakBefore w:val="0"/>
        <w:widowControl w:val="0"/>
        <w:kinsoku/>
        <w:wordWrap/>
        <w:overflowPunct/>
        <w:topLinePunct w:val="0"/>
        <w:autoSpaceDE w:val="0"/>
        <w:autoSpaceDN w:val="0"/>
        <w:bidi w:val="0"/>
        <w:adjustRightInd w:val="0"/>
        <w:snapToGrid/>
        <w:spacing w:line="500" w:lineRule="exact"/>
        <w:ind w:firstLine="480" w:firstLineChars="200"/>
        <w:jc w:val="both"/>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（1）供应商的响应报价不符合招标文件要求的；</w:t>
      </w:r>
    </w:p>
    <w:p w14:paraId="0AAD4A1A">
      <w:pPr>
        <w:keepNext w:val="0"/>
        <w:keepLines w:val="0"/>
        <w:pageBreakBefore w:val="0"/>
        <w:widowControl w:val="0"/>
        <w:kinsoku/>
        <w:wordWrap/>
        <w:overflowPunct/>
        <w:topLinePunct w:val="0"/>
        <w:autoSpaceDE w:val="0"/>
        <w:autoSpaceDN w:val="0"/>
        <w:bidi w:val="0"/>
        <w:adjustRightInd w:val="0"/>
        <w:snapToGrid/>
        <w:spacing w:line="500" w:lineRule="exact"/>
        <w:ind w:firstLine="480" w:firstLineChars="200"/>
        <w:jc w:val="both"/>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（2）各供应商未经过正常渠道购买竞争性磋商文件，或参加磋商的各供应商名称与购买磋商文件时登记的单位名称不符。</w:t>
      </w:r>
    </w:p>
    <w:p w14:paraId="2AAC390F">
      <w:pPr>
        <w:keepNext w:val="0"/>
        <w:keepLines w:val="0"/>
        <w:pageBreakBefore w:val="0"/>
        <w:widowControl w:val="0"/>
        <w:kinsoku/>
        <w:wordWrap/>
        <w:overflowPunct/>
        <w:topLinePunct w:val="0"/>
        <w:autoSpaceDE w:val="0"/>
        <w:autoSpaceDN w:val="0"/>
        <w:bidi w:val="0"/>
        <w:adjustRightInd w:val="0"/>
        <w:snapToGrid/>
        <w:spacing w:line="500" w:lineRule="exact"/>
        <w:ind w:firstLine="480" w:firstLineChars="200"/>
        <w:jc w:val="both"/>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（3）不同供应商单位负责人为同一人或者存在控股、管理关系的；</w:t>
      </w:r>
    </w:p>
    <w:p w14:paraId="3539CEF2">
      <w:pPr>
        <w:keepNext w:val="0"/>
        <w:keepLines w:val="0"/>
        <w:pageBreakBefore w:val="0"/>
        <w:widowControl w:val="0"/>
        <w:kinsoku/>
        <w:wordWrap/>
        <w:overflowPunct/>
        <w:topLinePunct w:val="0"/>
        <w:autoSpaceDE w:val="0"/>
        <w:autoSpaceDN w:val="0"/>
        <w:bidi w:val="0"/>
        <w:adjustRightInd w:val="0"/>
        <w:snapToGrid/>
        <w:spacing w:line="500" w:lineRule="exact"/>
        <w:ind w:firstLine="480" w:firstLineChars="200"/>
        <w:jc w:val="both"/>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（4）响应文件的有效性和符合性不符合要求的；</w:t>
      </w:r>
    </w:p>
    <w:p w14:paraId="77FF76AD">
      <w:pPr>
        <w:keepNext w:val="0"/>
        <w:keepLines w:val="0"/>
        <w:pageBreakBefore w:val="0"/>
        <w:widowControl w:val="0"/>
        <w:kinsoku/>
        <w:wordWrap/>
        <w:overflowPunct/>
        <w:topLinePunct w:val="0"/>
        <w:autoSpaceDE w:val="0"/>
        <w:autoSpaceDN w:val="0"/>
        <w:bidi w:val="0"/>
        <w:adjustRightInd w:val="0"/>
        <w:snapToGrid/>
        <w:spacing w:line="500" w:lineRule="exact"/>
        <w:ind w:firstLine="480" w:firstLineChars="200"/>
        <w:jc w:val="both"/>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（5）供应商未提供法定代表人授权书（法定代表人直接参加磋商的除外）或授权书不符合竞争性磋商文件要求的。</w:t>
      </w:r>
    </w:p>
    <w:p w14:paraId="503914A4">
      <w:pPr>
        <w:keepNext w:val="0"/>
        <w:keepLines w:val="0"/>
        <w:pageBreakBefore w:val="0"/>
        <w:widowControl w:val="0"/>
        <w:kinsoku/>
        <w:wordWrap/>
        <w:overflowPunct/>
        <w:topLinePunct w:val="0"/>
        <w:autoSpaceDE w:val="0"/>
        <w:autoSpaceDN w:val="0"/>
        <w:bidi w:val="0"/>
        <w:adjustRightInd w:val="0"/>
        <w:snapToGrid/>
        <w:spacing w:line="500" w:lineRule="exact"/>
        <w:ind w:firstLine="480" w:firstLineChars="200"/>
        <w:jc w:val="both"/>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（6）实质性内容不满足或未响应的；</w:t>
      </w:r>
    </w:p>
    <w:p w14:paraId="640AE303">
      <w:pPr>
        <w:keepNext w:val="0"/>
        <w:keepLines w:val="0"/>
        <w:pageBreakBefore w:val="0"/>
        <w:widowControl w:val="0"/>
        <w:kinsoku/>
        <w:wordWrap/>
        <w:overflowPunct/>
        <w:topLinePunct w:val="0"/>
        <w:autoSpaceDE w:val="0"/>
        <w:autoSpaceDN w:val="0"/>
        <w:bidi w:val="0"/>
        <w:adjustRightInd w:val="0"/>
        <w:snapToGrid/>
        <w:spacing w:line="500" w:lineRule="exact"/>
        <w:ind w:firstLine="480" w:firstLineChars="200"/>
        <w:jc w:val="both"/>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（7）磋商响应文件要求加盖供应商公章或签字处未执行文件规定、磋商响应文件有效期或有效期未能达到竞争性磋商文件的要求的。</w:t>
      </w:r>
    </w:p>
    <w:p w14:paraId="26AFA199">
      <w:pPr>
        <w:keepNext w:val="0"/>
        <w:keepLines w:val="0"/>
        <w:pageBreakBefore w:val="0"/>
        <w:widowControl w:val="0"/>
        <w:kinsoku/>
        <w:wordWrap/>
        <w:overflowPunct/>
        <w:topLinePunct w:val="0"/>
        <w:autoSpaceDE w:val="0"/>
        <w:autoSpaceDN w:val="0"/>
        <w:bidi w:val="0"/>
        <w:adjustRightInd w:val="0"/>
        <w:snapToGrid/>
        <w:spacing w:line="500" w:lineRule="exact"/>
        <w:ind w:firstLine="480" w:firstLineChars="200"/>
        <w:jc w:val="both"/>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（8）供应商针对同一项目递交两份或多份内容不同的响应文件，未书面声明哪一份是有效的或出现选择性报价的；</w:t>
      </w:r>
    </w:p>
    <w:p w14:paraId="4CF59090">
      <w:pPr>
        <w:keepNext w:val="0"/>
        <w:keepLines w:val="0"/>
        <w:pageBreakBefore w:val="0"/>
        <w:widowControl w:val="0"/>
        <w:kinsoku/>
        <w:wordWrap/>
        <w:overflowPunct/>
        <w:topLinePunct w:val="0"/>
        <w:autoSpaceDE w:val="0"/>
        <w:autoSpaceDN w:val="0"/>
        <w:bidi w:val="0"/>
        <w:adjustRightInd w:val="0"/>
        <w:snapToGrid/>
        <w:spacing w:line="500" w:lineRule="exact"/>
        <w:ind w:firstLine="480" w:firstLineChars="200"/>
        <w:jc w:val="both"/>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（9）提供虚假证明（包括第三方提供的虚假证明、证件），开具虚假业绩，除按无效文件处理外，按有关规定进行相应的处罚。</w:t>
      </w:r>
    </w:p>
    <w:p w14:paraId="2493D904">
      <w:pPr>
        <w:keepNext w:val="0"/>
        <w:keepLines w:val="0"/>
        <w:pageBreakBefore w:val="0"/>
        <w:widowControl w:val="0"/>
        <w:kinsoku/>
        <w:wordWrap/>
        <w:overflowPunct/>
        <w:topLinePunct w:val="0"/>
        <w:autoSpaceDE w:val="0"/>
        <w:autoSpaceDN w:val="0"/>
        <w:bidi w:val="0"/>
        <w:adjustRightInd w:val="0"/>
        <w:snapToGrid/>
        <w:spacing w:line="500" w:lineRule="exact"/>
        <w:ind w:firstLine="480" w:firstLineChars="200"/>
        <w:jc w:val="both"/>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（10）响应文件在商务响应方面附加了采购人难以接受的条件或条款的；</w:t>
      </w:r>
    </w:p>
    <w:p w14:paraId="3107FFAD">
      <w:pPr>
        <w:keepNext w:val="0"/>
        <w:keepLines w:val="0"/>
        <w:pageBreakBefore w:val="0"/>
        <w:widowControl w:val="0"/>
        <w:kinsoku/>
        <w:wordWrap/>
        <w:overflowPunct/>
        <w:topLinePunct w:val="0"/>
        <w:autoSpaceDE w:val="0"/>
        <w:autoSpaceDN w:val="0"/>
        <w:bidi w:val="0"/>
        <w:adjustRightInd w:val="0"/>
        <w:snapToGrid/>
        <w:spacing w:line="500" w:lineRule="exact"/>
        <w:ind w:firstLine="480" w:firstLineChars="200"/>
        <w:jc w:val="both"/>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（11）在重大项目履约过程中有不良记录，不能按期履约的。</w:t>
      </w:r>
    </w:p>
    <w:p w14:paraId="1ADAE025">
      <w:pPr>
        <w:keepNext w:val="0"/>
        <w:keepLines w:val="0"/>
        <w:pageBreakBefore w:val="0"/>
        <w:widowControl w:val="0"/>
        <w:kinsoku/>
        <w:wordWrap/>
        <w:overflowPunct/>
        <w:topLinePunct w:val="0"/>
        <w:autoSpaceDE w:val="0"/>
        <w:autoSpaceDN w:val="0"/>
        <w:bidi w:val="0"/>
        <w:adjustRightInd w:val="0"/>
        <w:snapToGrid/>
        <w:spacing w:line="500" w:lineRule="exact"/>
        <w:ind w:firstLine="480" w:firstLineChars="200"/>
        <w:jc w:val="both"/>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（12）磋商报价与市场价格偏离较大、低于成本、形成不正当竞争的；</w:t>
      </w:r>
    </w:p>
    <w:p w14:paraId="228E9BA7">
      <w:pPr>
        <w:keepNext w:val="0"/>
        <w:keepLines w:val="0"/>
        <w:pageBreakBefore w:val="0"/>
        <w:widowControl w:val="0"/>
        <w:kinsoku/>
        <w:wordWrap/>
        <w:overflowPunct/>
        <w:topLinePunct w:val="0"/>
        <w:autoSpaceDE w:val="0"/>
        <w:autoSpaceDN w:val="0"/>
        <w:bidi w:val="0"/>
        <w:adjustRightInd w:val="0"/>
        <w:snapToGrid/>
        <w:spacing w:line="500" w:lineRule="exact"/>
        <w:ind w:firstLine="480" w:firstLineChars="200"/>
        <w:jc w:val="both"/>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（13）报价子目出现漏项或报价数量与要求不符的；</w:t>
      </w:r>
    </w:p>
    <w:p w14:paraId="09C58389">
      <w:pPr>
        <w:keepNext w:val="0"/>
        <w:keepLines w:val="0"/>
        <w:pageBreakBefore w:val="0"/>
        <w:widowControl w:val="0"/>
        <w:kinsoku/>
        <w:wordWrap/>
        <w:overflowPunct/>
        <w:topLinePunct w:val="0"/>
        <w:autoSpaceDE w:val="0"/>
        <w:autoSpaceDN w:val="0"/>
        <w:bidi w:val="0"/>
        <w:adjustRightInd w:val="0"/>
        <w:snapToGrid/>
        <w:spacing w:line="500" w:lineRule="exact"/>
        <w:ind w:firstLine="480" w:firstLineChars="200"/>
        <w:jc w:val="both"/>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（14）响应文件的技术要求与磋商文件出现重大负偏差的；</w:t>
      </w:r>
    </w:p>
    <w:p w14:paraId="388E7893">
      <w:pPr>
        <w:keepNext w:val="0"/>
        <w:keepLines w:val="0"/>
        <w:pageBreakBefore w:val="0"/>
        <w:widowControl w:val="0"/>
        <w:kinsoku/>
        <w:wordWrap/>
        <w:overflowPunct/>
        <w:topLinePunct w:val="0"/>
        <w:autoSpaceDE w:val="0"/>
        <w:autoSpaceDN w:val="0"/>
        <w:bidi w:val="0"/>
        <w:adjustRightInd w:val="0"/>
        <w:snapToGrid/>
        <w:spacing w:line="500" w:lineRule="exact"/>
        <w:ind w:firstLine="480" w:firstLineChars="200"/>
        <w:jc w:val="both"/>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（15）提供虚假技术指标的。</w:t>
      </w:r>
    </w:p>
    <w:p w14:paraId="0F0898EA">
      <w:pPr>
        <w:keepNext w:val="0"/>
        <w:keepLines w:val="0"/>
        <w:pageBreakBefore w:val="0"/>
        <w:kinsoku/>
        <w:wordWrap/>
        <w:overflowPunct/>
        <w:topLinePunct w:val="0"/>
        <w:autoSpaceDE/>
        <w:autoSpaceDN/>
        <w:bidi w:val="0"/>
        <w:adjustRightInd/>
        <w:snapToGrid/>
        <w:spacing w:line="520" w:lineRule="exact"/>
        <w:ind w:firstLine="482" w:firstLineChars="200"/>
        <w:textAlignment w:val="auto"/>
        <w:rPr>
          <w:rFonts w:hint="eastAsia" w:ascii="宋体" w:hAnsi="宋体" w:eastAsia="宋体" w:cs="宋体"/>
          <w:b/>
          <w:color w:val="auto"/>
          <w:sz w:val="24"/>
          <w:highlight w:val="none"/>
        </w:rPr>
      </w:pPr>
      <w:r>
        <w:rPr>
          <w:rFonts w:hint="eastAsia" w:ascii="宋体" w:hAnsi="宋体" w:eastAsia="宋体" w:cs="宋体"/>
          <w:b/>
          <w:bCs/>
          <w:color w:val="auto"/>
          <w:sz w:val="24"/>
          <w:highlight w:val="none"/>
        </w:rPr>
        <w:t>6、</w:t>
      </w:r>
      <w:r>
        <w:rPr>
          <w:rFonts w:hint="eastAsia" w:ascii="宋体" w:hAnsi="宋体" w:eastAsia="宋体" w:cs="宋体"/>
          <w:b/>
          <w:color w:val="auto"/>
          <w:sz w:val="24"/>
          <w:highlight w:val="none"/>
        </w:rPr>
        <w:t>有下列情形之一的，视为供应商串通投标，磋商小组应当认定其响应文件无效：</w:t>
      </w:r>
    </w:p>
    <w:p w14:paraId="23E99EFB">
      <w:pPr>
        <w:keepNext w:val="0"/>
        <w:keepLines w:val="0"/>
        <w:pageBreakBefore w:val="0"/>
        <w:kinsoku/>
        <w:wordWrap/>
        <w:overflowPunct/>
        <w:topLinePunct w:val="0"/>
        <w:autoSpaceDE/>
        <w:autoSpaceDN/>
        <w:bidi w:val="0"/>
        <w:adjustRightInd/>
        <w:snapToGrid/>
        <w:spacing w:line="520" w:lineRule="exact"/>
        <w:ind w:firstLine="480" w:firstLineChars="200"/>
        <w:textAlignment w:val="auto"/>
        <w:rPr>
          <w:rFonts w:hint="eastAsia" w:ascii="宋体" w:hAnsi="宋体" w:eastAsia="宋体" w:cs="宋体"/>
          <w:color w:val="auto"/>
          <w:kern w:val="0"/>
          <w:sz w:val="22"/>
          <w:szCs w:val="22"/>
          <w:highlight w:val="none"/>
        </w:rPr>
      </w:pP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lang w:val="en-US" w:eastAsia="zh-CN"/>
        </w:rPr>
        <w:t>1</w:t>
      </w: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rPr>
        <w:t>不同供应商的响应文件由同一单位或者个人编制；</w:t>
      </w:r>
    </w:p>
    <w:p w14:paraId="3038E6E7">
      <w:pPr>
        <w:keepNext w:val="0"/>
        <w:keepLines w:val="0"/>
        <w:pageBreakBefore w:val="0"/>
        <w:widowControl/>
        <w:kinsoku/>
        <w:wordWrap/>
        <w:overflowPunct/>
        <w:topLinePunct w:val="0"/>
        <w:autoSpaceDE/>
        <w:autoSpaceDN/>
        <w:bidi w:val="0"/>
        <w:adjustRightInd/>
        <w:snapToGrid/>
        <w:spacing w:line="52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lang w:val="en-US" w:eastAsia="zh-CN"/>
        </w:rPr>
        <w:t>2</w:t>
      </w: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rPr>
        <w:t xml:space="preserve">不同供应商委托同一单位或者个人办理磋商事宜； </w:t>
      </w:r>
    </w:p>
    <w:p w14:paraId="40965EE0">
      <w:pPr>
        <w:keepNext w:val="0"/>
        <w:keepLines w:val="0"/>
        <w:pageBreakBefore w:val="0"/>
        <w:widowControl/>
        <w:kinsoku/>
        <w:wordWrap/>
        <w:overflowPunct/>
        <w:topLinePunct w:val="0"/>
        <w:autoSpaceDE/>
        <w:autoSpaceDN/>
        <w:bidi w:val="0"/>
        <w:adjustRightInd/>
        <w:snapToGrid/>
        <w:spacing w:line="52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lang w:val="en-US" w:eastAsia="zh-CN"/>
        </w:rPr>
        <w:t>3</w:t>
      </w: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rPr>
        <w:t>不同供应商的响应文件载明的项目管理成员或者联系人员为同一人；</w:t>
      </w:r>
    </w:p>
    <w:p w14:paraId="099034CE">
      <w:pPr>
        <w:keepNext w:val="0"/>
        <w:keepLines w:val="0"/>
        <w:pageBreakBefore w:val="0"/>
        <w:widowControl/>
        <w:kinsoku/>
        <w:wordWrap/>
        <w:overflowPunct/>
        <w:topLinePunct w:val="0"/>
        <w:autoSpaceDE/>
        <w:autoSpaceDN/>
        <w:bidi w:val="0"/>
        <w:adjustRightInd/>
        <w:snapToGrid/>
        <w:spacing w:line="52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lang w:val="en-US" w:eastAsia="zh-CN"/>
        </w:rPr>
        <w:t>4</w:t>
      </w: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rPr>
        <w:t>不同供应商的响应文件异常一致或者磋商报价呈规律性差异；</w:t>
      </w:r>
    </w:p>
    <w:p w14:paraId="2A65CFC2">
      <w:pPr>
        <w:keepNext w:val="0"/>
        <w:keepLines w:val="0"/>
        <w:pageBreakBefore w:val="0"/>
        <w:widowControl/>
        <w:kinsoku/>
        <w:wordWrap/>
        <w:overflowPunct/>
        <w:topLinePunct w:val="0"/>
        <w:autoSpaceDE/>
        <w:autoSpaceDN/>
        <w:bidi w:val="0"/>
        <w:adjustRightInd/>
        <w:snapToGrid/>
        <w:spacing w:line="52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lang w:val="en-US" w:eastAsia="zh-CN"/>
        </w:rPr>
        <w:t>5</w:t>
      </w: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rPr>
        <w:t>不同供应商的响应文件相互混装；</w:t>
      </w:r>
    </w:p>
    <w:p w14:paraId="0E6A0053">
      <w:pPr>
        <w:keepNext w:val="0"/>
        <w:keepLines w:val="0"/>
        <w:pageBreakBefore w:val="0"/>
        <w:kinsoku/>
        <w:wordWrap/>
        <w:overflowPunct/>
        <w:topLinePunct w:val="0"/>
        <w:autoSpaceDE/>
        <w:autoSpaceDN/>
        <w:bidi w:val="0"/>
        <w:adjustRightInd/>
        <w:snapToGrid/>
        <w:spacing w:line="520" w:lineRule="exact"/>
        <w:ind w:firstLine="480" w:firstLineChars="200"/>
        <w:textAlignment w:val="auto"/>
        <w:rPr>
          <w:rFonts w:hint="eastAsia" w:ascii="宋体" w:hAnsi="宋体" w:eastAsia="宋体" w:cs="宋体"/>
          <w:color w:val="auto"/>
          <w:sz w:val="24"/>
          <w:highlight w:val="none"/>
          <w:lang w:eastAsia="zh-CN"/>
        </w:rPr>
      </w:pPr>
      <w:r>
        <w:rPr>
          <w:rFonts w:hint="eastAsia" w:ascii="宋体" w:hAnsi="宋体" w:eastAsia="宋体" w:cs="宋体"/>
          <w:color w:val="auto"/>
          <w:sz w:val="24"/>
          <w:highlight w:val="none"/>
          <w:lang w:val="en-US" w:eastAsia="zh-CN"/>
        </w:rPr>
        <w:t>7、</w:t>
      </w:r>
      <w:r>
        <w:rPr>
          <w:rFonts w:hint="eastAsia" w:ascii="宋体" w:hAnsi="宋体" w:eastAsia="宋体" w:cs="宋体"/>
          <w:color w:val="auto"/>
          <w:sz w:val="24"/>
          <w:highlight w:val="none"/>
          <w:lang w:eastAsia="zh-CN"/>
        </w:rPr>
        <w:t xml:space="preserve">磋商小组在对磋商响应文件的有效性、完整性和响应程度进行审查时，可以要求供应商对磋商响应文件中含义不明确、同类问题表述不一致或者有明显文字和计算错误的内容等做出必要的澄清、说明或者更正。供应商的澄清、说明或者更正不得超出磋商响应文件的范围或者改变磋商响应文件的实质性内容。 </w:t>
      </w:r>
    </w:p>
    <w:p w14:paraId="24635945">
      <w:pPr>
        <w:keepNext w:val="0"/>
        <w:keepLines w:val="0"/>
        <w:pageBreakBefore w:val="0"/>
        <w:kinsoku/>
        <w:wordWrap/>
        <w:overflowPunct/>
        <w:topLinePunct w:val="0"/>
        <w:autoSpaceDE/>
        <w:autoSpaceDN/>
        <w:bidi w:val="0"/>
        <w:adjustRightInd/>
        <w:snapToGrid/>
        <w:spacing w:line="520" w:lineRule="exact"/>
        <w:ind w:firstLine="480" w:firstLineChars="200"/>
        <w:textAlignment w:val="auto"/>
        <w:rPr>
          <w:rFonts w:hint="eastAsia" w:ascii="宋体" w:hAnsi="宋体" w:eastAsia="宋体" w:cs="宋体"/>
          <w:color w:val="auto"/>
          <w:sz w:val="24"/>
          <w:highlight w:val="none"/>
          <w:lang w:eastAsia="zh-CN"/>
        </w:rPr>
      </w:pPr>
      <w:r>
        <w:rPr>
          <w:rFonts w:hint="eastAsia" w:ascii="宋体" w:hAnsi="宋体" w:eastAsia="宋体" w:cs="宋体"/>
          <w:color w:val="auto"/>
          <w:sz w:val="24"/>
          <w:highlight w:val="none"/>
          <w:lang w:eastAsia="zh-CN"/>
        </w:rPr>
        <w:t>磋商小组要求供应商澄清、说明或者更正磋商响应文件应当以书面形式做出。供应商的澄清、说明或者更正应当由法定代表人或其授权代表签字或者加盖公章。由授权代表签字的，应当附法定代表人授权书。供应商为自然人的，应当由本人签字并附身份证明。</w:t>
      </w:r>
    </w:p>
    <w:p w14:paraId="11E29797">
      <w:pPr>
        <w:keepNext w:val="0"/>
        <w:keepLines w:val="0"/>
        <w:pageBreakBefore w:val="0"/>
        <w:kinsoku/>
        <w:wordWrap/>
        <w:overflowPunct/>
        <w:topLinePunct w:val="0"/>
        <w:autoSpaceDE/>
        <w:autoSpaceDN/>
        <w:bidi w:val="0"/>
        <w:adjustRightInd/>
        <w:snapToGrid/>
        <w:spacing w:line="520" w:lineRule="exact"/>
        <w:ind w:firstLine="482" w:firstLineChars="200"/>
        <w:textAlignment w:val="auto"/>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（二十二）磋商过程</w:t>
      </w:r>
    </w:p>
    <w:p w14:paraId="11A90B31">
      <w:pPr>
        <w:keepNext w:val="0"/>
        <w:keepLines w:val="0"/>
        <w:pageBreakBefore w:val="0"/>
        <w:numPr>
          <w:ilvl w:val="0"/>
          <w:numId w:val="6"/>
        </w:numPr>
        <w:kinsoku/>
        <w:wordWrap/>
        <w:overflowPunct/>
        <w:topLinePunct w:val="0"/>
        <w:autoSpaceDE/>
        <w:autoSpaceDN/>
        <w:bidi w:val="0"/>
        <w:adjustRightInd/>
        <w:snapToGrid/>
        <w:spacing w:line="52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磋商小组所有成员应当集中与单一供应商分别进行磋商，并给予所有参加磋商的供应商平等的磋商机会。</w:t>
      </w:r>
    </w:p>
    <w:p w14:paraId="54BCE2CB">
      <w:pPr>
        <w:keepNext w:val="0"/>
        <w:keepLines w:val="0"/>
        <w:pageBreakBefore w:val="0"/>
        <w:numPr>
          <w:ilvl w:val="0"/>
          <w:numId w:val="0"/>
        </w:numPr>
        <w:kinsoku/>
        <w:wordWrap/>
        <w:overflowPunct/>
        <w:topLinePunct w:val="0"/>
        <w:autoSpaceDE/>
        <w:autoSpaceDN/>
        <w:bidi w:val="0"/>
        <w:adjustRightInd/>
        <w:snapToGrid/>
        <w:spacing w:line="52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lang w:val="en-US" w:eastAsia="zh-CN"/>
        </w:rPr>
        <w:t>2、</w:t>
      </w:r>
      <w:r>
        <w:rPr>
          <w:rFonts w:hint="eastAsia" w:ascii="宋体" w:hAnsi="宋体" w:eastAsia="宋体" w:cs="宋体"/>
          <w:color w:val="auto"/>
          <w:sz w:val="24"/>
          <w:highlight w:val="none"/>
        </w:rPr>
        <w:t>在磋商过程中，磋商小组可以根据磋商文件和磋商情况实质性变动采购需求中的技术、服务要求以及合同草案条款，但不得变动磋商文件中的其他内容。实质性变动的内容，须经</w:t>
      </w:r>
      <w:r>
        <w:rPr>
          <w:rFonts w:hint="eastAsia" w:ascii="宋体" w:hAnsi="宋体" w:eastAsia="宋体" w:cs="宋体"/>
          <w:color w:val="auto"/>
          <w:sz w:val="24"/>
          <w:highlight w:val="none"/>
          <w:lang w:eastAsia="zh-CN"/>
        </w:rPr>
        <w:t>采购人</w:t>
      </w:r>
      <w:r>
        <w:rPr>
          <w:rFonts w:hint="eastAsia" w:ascii="宋体" w:hAnsi="宋体" w:eastAsia="宋体" w:cs="宋体"/>
          <w:color w:val="auto"/>
          <w:sz w:val="24"/>
          <w:highlight w:val="none"/>
        </w:rPr>
        <w:t>代表确认。</w:t>
      </w:r>
    </w:p>
    <w:p w14:paraId="16C25635">
      <w:pPr>
        <w:keepNext w:val="0"/>
        <w:keepLines w:val="0"/>
        <w:pageBreakBefore w:val="0"/>
        <w:widowControl/>
        <w:kinsoku/>
        <w:wordWrap/>
        <w:overflowPunct/>
        <w:topLinePunct w:val="0"/>
        <w:autoSpaceDE/>
        <w:autoSpaceDN/>
        <w:bidi w:val="0"/>
        <w:adjustRightInd/>
        <w:snapToGrid/>
        <w:spacing w:line="520" w:lineRule="exact"/>
        <w:ind w:firstLine="480"/>
        <w:jc w:val="left"/>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lang w:val="en-US" w:eastAsia="zh-CN"/>
        </w:rPr>
        <w:t>3、</w:t>
      </w:r>
      <w:r>
        <w:rPr>
          <w:rFonts w:hint="eastAsia" w:ascii="宋体" w:hAnsi="宋体" w:eastAsia="宋体" w:cs="宋体"/>
          <w:color w:val="auto"/>
          <w:sz w:val="24"/>
          <w:highlight w:val="none"/>
        </w:rPr>
        <w:t xml:space="preserve">对磋商文件做出的实质性变动是磋商文件的有效组成部分，磋商小组应当及时以书面形式同时通知所有参加磋商的投标人。 </w:t>
      </w:r>
    </w:p>
    <w:p w14:paraId="59C24000">
      <w:pPr>
        <w:keepNext w:val="0"/>
        <w:keepLines w:val="0"/>
        <w:pageBreakBefore w:val="0"/>
        <w:widowControl/>
        <w:kinsoku/>
        <w:wordWrap/>
        <w:overflowPunct/>
        <w:topLinePunct w:val="0"/>
        <w:autoSpaceDE/>
        <w:autoSpaceDN/>
        <w:bidi w:val="0"/>
        <w:adjustRightInd/>
        <w:snapToGrid/>
        <w:spacing w:line="520" w:lineRule="exact"/>
        <w:ind w:firstLine="480"/>
        <w:jc w:val="left"/>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lang w:val="en-US" w:eastAsia="zh-CN"/>
        </w:rPr>
        <w:t>4、</w:t>
      </w:r>
      <w:r>
        <w:rPr>
          <w:rFonts w:hint="eastAsia" w:ascii="宋体" w:hAnsi="宋体" w:eastAsia="宋体" w:cs="宋体"/>
          <w:color w:val="auto"/>
          <w:sz w:val="24"/>
          <w:highlight w:val="none"/>
        </w:rPr>
        <w:t>投标人应当按照磋商文件的变动情况和磋商小组的要求重新提交磋商响应文件，并由其法定代表人或授权代表签字或者加盖公章。由授权代表签字的，应当</w:t>
      </w:r>
      <w:r>
        <w:rPr>
          <w:rFonts w:hint="eastAsia" w:ascii="宋体" w:hAnsi="宋体" w:eastAsia="宋体" w:cs="宋体"/>
          <w:color w:val="auto"/>
          <w:sz w:val="24"/>
          <w:highlight w:val="none"/>
          <w:lang w:val="en-US" w:eastAsia="zh-CN"/>
        </w:rPr>
        <w:t>附</w:t>
      </w:r>
      <w:r>
        <w:rPr>
          <w:rFonts w:hint="eastAsia" w:ascii="宋体" w:hAnsi="宋体" w:eastAsia="宋体" w:cs="宋体"/>
          <w:color w:val="auto"/>
          <w:sz w:val="24"/>
          <w:highlight w:val="none"/>
        </w:rPr>
        <w:t>法定代表人/负责人授权书。投标人为自然人的，应当由本人签字并附身份证明。</w:t>
      </w:r>
    </w:p>
    <w:p w14:paraId="2EF07078">
      <w:pPr>
        <w:keepNext w:val="0"/>
        <w:keepLines w:val="0"/>
        <w:pageBreakBefore w:val="0"/>
        <w:kinsoku/>
        <w:wordWrap/>
        <w:overflowPunct/>
        <w:topLinePunct w:val="0"/>
        <w:autoSpaceDE/>
        <w:autoSpaceDN/>
        <w:bidi w:val="0"/>
        <w:adjustRightInd/>
        <w:snapToGrid/>
        <w:spacing w:line="520" w:lineRule="exact"/>
        <w:ind w:firstLine="472" w:firstLineChars="196"/>
        <w:textAlignment w:val="auto"/>
        <w:rPr>
          <w:rFonts w:hint="eastAsia" w:ascii="宋体" w:hAnsi="宋体" w:eastAsia="宋体" w:cs="宋体"/>
          <w:b/>
          <w:color w:val="auto"/>
          <w:sz w:val="24"/>
          <w:highlight w:val="none"/>
        </w:rPr>
      </w:pPr>
      <w:r>
        <w:rPr>
          <w:rFonts w:hint="eastAsia" w:ascii="宋体" w:hAnsi="宋体" w:eastAsia="宋体" w:cs="宋体"/>
          <w:b/>
          <w:bCs/>
          <w:color w:val="auto"/>
          <w:sz w:val="24"/>
          <w:highlight w:val="none"/>
          <w:lang w:eastAsia="zh-CN"/>
        </w:rPr>
        <w:t>（</w:t>
      </w:r>
      <w:r>
        <w:rPr>
          <w:rFonts w:hint="eastAsia" w:ascii="宋体" w:hAnsi="宋体" w:eastAsia="宋体" w:cs="宋体"/>
          <w:b/>
          <w:bCs/>
          <w:color w:val="auto"/>
          <w:sz w:val="24"/>
          <w:highlight w:val="none"/>
          <w:lang w:val="en-US" w:eastAsia="zh-CN"/>
        </w:rPr>
        <w:t>二十三）</w:t>
      </w:r>
      <w:r>
        <w:rPr>
          <w:rFonts w:hint="eastAsia" w:ascii="宋体" w:hAnsi="宋体" w:eastAsia="宋体" w:cs="宋体"/>
          <w:b/>
          <w:color w:val="auto"/>
          <w:sz w:val="24"/>
          <w:highlight w:val="none"/>
        </w:rPr>
        <w:t>最后报价</w:t>
      </w:r>
    </w:p>
    <w:p w14:paraId="0E15827F">
      <w:pPr>
        <w:keepNext w:val="0"/>
        <w:keepLines w:val="0"/>
        <w:pageBreakBefore w:val="0"/>
        <w:widowControl/>
        <w:kinsoku/>
        <w:wordWrap/>
        <w:overflowPunct/>
        <w:topLinePunct w:val="0"/>
        <w:autoSpaceDE/>
        <w:autoSpaceDN/>
        <w:bidi w:val="0"/>
        <w:adjustRightInd/>
        <w:snapToGrid/>
        <w:spacing w:line="520" w:lineRule="exact"/>
        <w:ind w:firstLine="480"/>
        <w:jc w:val="left"/>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磋商文件能够详细列明采购标的技术、服务要求的，磋商结束后，所有实质性响应的投标人应在规定时间内提交最后报价；</w:t>
      </w:r>
    </w:p>
    <w:p w14:paraId="63F55047">
      <w:pPr>
        <w:keepNext w:val="0"/>
        <w:keepLines w:val="0"/>
        <w:pageBreakBefore w:val="0"/>
        <w:widowControl/>
        <w:kinsoku/>
        <w:wordWrap/>
        <w:overflowPunct/>
        <w:topLinePunct w:val="0"/>
        <w:autoSpaceDE/>
        <w:autoSpaceDN/>
        <w:bidi w:val="0"/>
        <w:adjustRightInd/>
        <w:snapToGrid/>
        <w:spacing w:line="520" w:lineRule="exact"/>
        <w:ind w:firstLine="480"/>
        <w:jc w:val="left"/>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 xml:space="preserve">磋商文件不能详细列明采购标的技术、服务要求，需经磋商由投标人提供最终设计方案或解决方案的，磋商结束后，磋商小组应当按照少数服从多数的原则投票推荐3家以上投标人的设计方案或者解决方案，并要求其在规定时间内提交最后报价。 </w:t>
      </w:r>
    </w:p>
    <w:p w14:paraId="1320B7DA">
      <w:pPr>
        <w:keepNext w:val="0"/>
        <w:keepLines w:val="0"/>
        <w:pageBreakBefore w:val="0"/>
        <w:widowControl/>
        <w:kinsoku/>
        <w:wordWrap/>
        <w:overflowPunct/>
        <w:topLinePunct w:val="0"/>
        <w:autoSpaceDE/>
        <w:autoSpaceDN/>
        <w:bidi w:val="0"/>
        <w:adjustRightInd/>
        <w:snapToGrid/>
        <w:spacing w:line="520" w:lineRule="exact"/>
        <w:ind w:firstLine="480"/>
        <w:jc w:val="left"/>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最后报价是投标人磋商响应文件的有效组成部分。</w:t>
      </w:r>
    </w:p>
    <w:p w14:paraId="460233B8">
      <w:pPr>
        <w:keepNext w:val="0"/>
        <w:keepLines w:val="0"/>
        <w:pageBreakBefore w:val="0"/>
        <w:widowControl/>
        <w:kinsoku/>
        <w:wordWrap/>
        <w:overflowPunct/>
        <w:topLinePunct w:val="0"/>
        <w:autoSpaceDE/>
        <w:autoSpaceDN/>
        <w:bidi w:val="0"/>
        <w:adjustRightInd/>
        <w:snapToGrid/>
        <w:spacing w:line="520" w:lineRule="exact"/>
        <w:ind w:firstLine="480"/>
        <w:jc w:val="left"/>
        <w:textAlignment w:val="auto"/>
        <w:rPr>
          <w:rFonts w:hint="eastAsia" w:ascii="宋体" w:hAnsi="宋体" w:eastAsia="宋体" w:cs="宋体"/>
          <w:color w:val="auto"/>
          <w:sz w:val="24"/>
          <w:highlight w:val="none"/>
        </w:rPr>
      </w:pPr>
      <w:r>
        <w:rPr>
          <w:rFonts w:hint="eastAsia" w:ascii="宋体" w:hAnsi="宋体" w:eastAsia="宋体" w:cs="宋体"/>
          <w:b/>
          <w:bCs/>
          <w:color w:val="auto"/>
          <w:sz w:val="24"/>
          <w:szCs w:val="24"/>
          <w:highlight w:val="none"/>
        </w:rPr>
        <w:t>磋商结束后，所有实质性响应的投标人应使用企业CA主锁（否则无法完成网络报价）登录陕西省公共资源交易平台网站（http://www.sxggzyjy.cn/），进入菜单：“采购业务-我的项目-项目流程-网</w:t>
      </w:r>
      <w:r>
        <w:rPr>
          <w:rFonts w:hint="eastAsia" w:ascii="宋体" w:hAnsi="宋体" w:cs="宋体"/>
          <w:b/>
          <w:bCs/>
          <w:color w:val="auto"/>
          <w:sz w:val="24"/>
          <w:szCs w:val="24"/>
          <w:highlight w:val="none"/>
          <w:lang w:val="en-US" w:eastAsia="zh-CN"/>
        </w:rPr>
        <w:t>上</w:t>
      </w:r>
      <w:r>
        <w:rPr>
          <w:rFonts w:hint="eastAsia" w:ascii="宋体" w:hAnsi="宋体" w:eastAsia="宋体" w:cs="宋体"/>
          <w:b/>
          <w:bCs/>
          <w:color w:val="auto"/>
          <w:sz w:val="24"/>
          <w:szCs w:val="24"/>
          <w:highlight w:val="none"/>
        </w:rPr>
        <w:t>报价”，在规定时间内提交最后报价。</w:t>
      </w:r>
    </w:p>
    <w:p w14:paraId="4EECFBAC">
      <w:pPr>
        <w:keepNext w:val="0"/>
        <w:keepLines w:val="0"/>
        <w:pageBreakBefore w:val="0"/>
        <w:widowControl/>
        <w:kinsoku/>
        <w:wordWrap/>
        <w:overflowPunct/>
        <w:topLinePunct w:val="0"/>
        <w:autoSpaceDE/>
        <w:autoSpaceDN/>
        <w:bidi w:val="0"/>
        <w:adjustRightInd/>
        <w:snapToGrid/>
        <w:spacing w:line="520" w:lineRule="exact"/>
        <w:ind w:firstLine="480"/>
        <w:jc w:val="left"/>
        <w:textAlignment w:val="auto"/>
        <w:rPr>
          <w:rFonts w:hint="eastAsia" w:ascii="宋体" w:hAnsi="宋体" w:eastAsia="宋体" w:cs="宋体"/>
          <w:b/>
          <w:color w:val="auto"/>
          <w:sz w:val="24"/>
          <w:highlight w:val="none"/>
        </w:rPr>
      </w:pPr>
      <w:r>
        <w:rPr>
          <w:rFonts w:hint="eastAsia" w:ascii="宋体" w:hAnsi="宋体" w:eastAsia="宋体" w:cs="宋体"/>
          <w:b/>
          <w:bCs/>
          <w:color w:val="auto"/>
          <w:sz w:val="24"/>
          <w:highlight w:val="none"/>
          <w:lang w:val="en-US" w:eastAsia="zh-CN"/>
        </w:rPr>
        <w:t>（二十四）</w:t>
      </w:r>
      <w:r>
        <w:rPr>
          <w:rFonts w:hint="eastAsia" w:ascii="宋体" w:hAnsi="宋体" w:eastAsia="宋体" w:cs="宋体"/>
          <w:b/>
          <w:color w:val="auto"/>
          <w:sz w:val="24"/>
          <w:highlight w:val="none"/>
        </w:rPr>
        <w:t>磋商响应文件的详细评审</w:t>
      </w:r>
    </w:p>
    <w:p w14:paraId="56AB36F7">
      <w:pPr>
        <w:keepNext w:val="0"/>
        <w:keepLines w:val="0"/>
        <w:pageBreakBefore w:val="0"/>
        <w:numPr>
          <w:ilvl w:val="0"/>
          <w:numId w:val="0"/>
        </w:numPr>
        <w:kinsoku/>
        <w:wordWrap/>
        <w:overflowPunct/>
        <w:topLinePunct w:val="0"/>
        <w:autoSpaceDE/>
        <w:autoSpaceDN/>
        <w:bidi w:val="0"/>
        <w:adjustRightInd/>
        <w:snapToGrid/>
        <w:spacing w:line="52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lang w:val="en-US" w:eastAsia="zh-CN"/>
        </w:rPr>
        <w:t>1、</w:t>
      </w:r>
      <w:r>
        <w:rPr>
          <w:rFonts w:hint="eastAsia" w:ascii="宋体" w:hAnsi="宋体" w:eastAsia="宋体" w:cs="宋体"/>
          <w:color w:val="auto"/>
          <w:sz w:val="24"/>
          <w:highlight w:val="none"/>
        </w:rPr>
        <w:t>经磋商确定最终采购需求和提交最后报价的投标人后，由磋商小组采用综合评分法对提交最后报价的投标人的磋商响应文件和最后报价进行综合评分。</w:t>
      </w:r>
    </w:p>
    <w:p w14:paraId="414B781B">
      <w:pPr>
        <w:keepNext w:val="0"/>
        <w:keepLines w:val="0"/>
        <w:pageBreakBefore w:val="0"/>
        <w:numPr>
          <w:ilvl w:val="0"/>
          <w:numId w:val="0"/>
        </w:numPr>
        <w:kinsoku/>
        <w:wordWrap/>
        <w:overflowPunct/>
        <w:topLinePunct w:val="0"/>
        <w:autoSpaceDE/>
        <w:autoSpaceDN/>
        <w:bidi w:val="0"/>
        <w:adjustRightInd/>
        <w:snapToGrid/>
        <w:spacing w:line="520" w:lineRule="exact"/>
        <w:ind w:firstLine="482" w:firstLineChars="200"/>
        <w:textAlignment w:val="auto"/>
        <w:rPr>
          <w:rFonts w:hint="eastAsia" w:ascii="宋体" w:hAnsi="宋体" w:eastAsia="宋体" w:cs="宋体"/>
          <w:b/>
          <w:color w:val="auto"/>
          <w:sz w:val="24"/>
          <w:highlight w:val="none"/>
        </w:rPr>
      </w:pPr>
      <w:r>
        <w:rPr>
          <w:rFonts w:hint="eastAsia" w:ascii="宋体" w:hAnsi="宋体" w:eastAsia="宋体" w:cs="宋体"/>
          <w:b/>
          <w:color w:val="auto"/>
          <w:sz w:val="24"/>
          <w:highlight w:val="none"/>
          <w:lang w:val="en-US" w:eastAsia="zh-CN"/>
        </w:rPr>
        <w:t>2、</w:t>
      </w:r>
      <w:r>
        <w:rPr>
          <w:rFonts w:hint="eastAsia" w:ascii="宋体" w:hAnsi="宋体" w:eastAsia="宋体" w:cs="宋体"/>
          <w:b/>
          <w:color w:val="auto"/>
          <w:sz w:val="24"/>
          <w:highlight w:val="none"/>
        </w:rPr>
        <w:t>评标方法：综合评分法。</w:t>
      </w:r>
    </w:p>
    <w:p w14:paraId="41481BDD">
      <w:pPr>
        <w:keepNext w:val="0"/>
        <w:keepLines w:val="0"/>
        <w:pageBreakBefore w:val="0"/>
        <w:widowControl w:val="0"/>
        <w:kinsoku/>
        <w:wordWrap/>
        <w:overflowPunct/>
        <w:topLinePunct w:val="0"/>
        <w:autoSpaceDE/>
        <w:autoSpaceDN/>
        <w:bidi w:val="0"/>
        <w:spacing w:line="380" w:lineRule="exact"/>
        <w:jc w:val="left"/>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评价和比较以磋商响应文件为依据，对所有实质上响应的投标</w:t>
      </w:r>
      <w:r>
        <w:rPr>
          <w:rFonts w:hint="eastAsia" w:ascii="宋体" w:hAnsi="宋体" w:eastAsia="宋体" w:cs="宋体"/>
          <w:color w:val="auto"/>
          <w:sz w:val="24"/>
          <w:highlight w:val="none"/>
          <w:lang w:val="en-US" w:eastAsia="zh-CN"/>
        </w:rPr>
        <w:t>人</w:t>
      </w:r>
      <w:r>
        <w:rPr>
          <w:rFonts w:hint="eastAsia" w:ascii="宋体" w:hAnsi="宋体" w:eastAsia="宋体" w:cs="宋体"/>
          <w:color w:val="auto"/>
          <w:sz w:val="24"/>
          <w:highlight w:val="none"/>
        </w:rPr>
        <w:t>分别从“投标报价”、“商务响应”、“</w:t>
      </w:r>
      <w:r>
        <w:rPr>
          <w:rFonts w:hint="eastAsia" w:ascii="宋体" w:hAnsi="宋体" w:cs="宋体"/>
          <w:color w:val="auto"/>
          <w:sz w:val="24"/>
          <w:highlight w:val="none"/>
          <w:lang w:val="en-US" w:eastAsia="zh-CN"/>
        </w:rPr>
        <w:t>服务</w:t>
      </w:r>
      <w:r>
        <w:rPr>
          <w:rFonts w:hint="eastAsia" w:ascii="宋体" w:hAnsi="宋体" w:eastAsia="宋体" w:cs="宋体"/>
          <w:color w:val="auto"/>
          <w:sz w:val="24"/>
          <w:highlight w:val="none"/>
          <w:lang w:val="en-US" w:eastAsia="zh-CN"/>
        </w:rPr>
        <w:t>方案</w:t>
      </w:r>
      <w:r>
        <w:rPr>
          <w:rFonts w:hint="eastAsia" w:ascii="宋体" w:hAnsi="宋体" w:eastAsia="宋体" w:cs="宋体"/>
          <w:color w:val="auto"/>
          <w:sz w:val="24"/>
          <w:highlight w:val="none"/>
        </w:rPr>
        <w:t>”、“</w:t>
      </w:r>
      <w:r>
        <w:rPr>
          <w:rFonts w:hint="eastAsia" w:ascii="宋体" w:hAnsi="宋体" w:cs="宋体"/>
          <w:color w:val="auto"/>
          <w:sz w:val="24"/>
          <w:szCs w:val="24"/>
          <w:highlight w:val="none"/>
          <w:lang w:val="en-US" w:eastAsia="zh-CN"/>
        </w:rPr>
        <w:t>服务能力</w:t>
      </w:r>
      <w:r>
        <w:rPr>
          <w:rFonts w:hint="eastAsia" w:ascii="宋体" w:hAnsi="宋体" w:eastAsia="宋体" w:cs="宋体"/>
          <w:color w:val="auto"/>
          <w:sz w:val="24"/>
          <w:highlight w:val="none"/>
        </w:rPr>
        <w:t>”</w:t>
      </w:r>
      <w:r>
        <w:rPr>
          <w:rFonts w:hint="eastAsia" w:ascii="宋体" w:hAnsi="宋体" w:eastAsia="宋体" w:cs="宋体"/>
          <w:color w:val="auto"/>
          <w:sz w:val="24"/>
          <w:highlight w:val="none"/>
          <w:lang w:eastAsia="zh-CN"/>
        </w:rPr>
        <w:t>、“</w:t>
      </w:r>
      <w:r>
        <w:rPr>
          <w:rFonts w:hint="eastAsia" w:ascii="宋体" w:hAnsi="宋体" w:cs="宋体"/>
          <w:color w:val="auto"/>
          <w:sz w:val="24"/>
          <w:szCs w:val="24"/>
          <w:highlight w:val="none"/>
          <w:lang w:val="en-US" w:eastAsia="zh-CN"/>
        </w:rPr>
        <w:t>备品备件</w:t>
      </w:r>
      <w:r>
        <w:rPr>
          <w:rFonts w:hint="eastAsia" w:ascii="宋体" w:hAnsi="宋体" w:eastAsia="宋体" w:cs="宋体"/>
          <w:color w:val="auto"/>
          <w:sz w:val="24"/>
          <w:highlight w:val="none"/>
          <w:lang w:eastAsia="zh-CN"/>
        </w:rPr>
        <w:t>”、“合理化建议”、</w:t>
      </w:r>
      <w:r>
        <w:rPr>
          <w:rFonts w:hint="eastAsia" w:ascii="宋体" w:hAnsi="宋体" w:eastAsia="宋体" w:cs="宋体"/>
          <w:color w:val="auto"/>
          <w:sz w:val="24"/>
          <w:highlight w:val="none"/>
        </w:rPr>
        <w:t>“业绩”等方面进行评审赋分。</w:t>
      </w:r>
    </w:p>
    <w:p w14:paraId="225247C0">
      <w:pPr>
        <w:keepNext w:val="0"/>
        <w:keepLines w:val="0"/>
        <w:pageBreakBefore w:val="0"/>
        <w:kinsoku/>
        <w:wordWrap/>
        <w:overflowPunct/>
        <w:topLinePunct w:val="0"/>
        <w:autoSpaceDE/>
        <w:autoSpaceDN/>
        <w:bidi w:val="0"/>
        <w:adjustRightInd/>
        <w:snapToGrid/>
        <w:spacing w:line="520" w:lineRule="exact"/>
        <w:ind w:firstLine="480" w:firstLineChars="200"/>
        <w:textAlignment w:val="auto"/>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3、评分细则：</w:t>
      </w:r>
    </w:p>
    <w:p w14:paraId="67458D18">
      <w:pPr>
        <w:keepNext w:val="0"/>
        <w:keepLines w:val="0"/>
        <w:pageBreakBefore w:val="0"/>
        <w:widowControl w:val="0"/>
        <w:kinsoku/>
        <w:wordWrap/>
        <w:overflowPunct/>
        <w:topLinePunct w:val="0"/>
        <w:autoSpaceDE/>
        <w:autoSpaceDN/>
        <w:bidi w:val="0"/>
        <w:adjustRightInd/>
        <w:snapToGrid/>
        <w:spacing w:line="520" w:lineRule="exact"/>
        <w:ind w:firstLine="482" w:firstLineChars="200"/>
        <w:textAlignment w:val="auto"/>
        <w:rPr>
          <w:rFonts w:hint="eastAsia" w:ascii="宋体" w:hAnsi="宋体" w:eastAsia="宋体" w:cs="宋体"/>
          <w:b/>
          <w:color w:val="auto"/>
          <w:sz w:val="24"/>
          <w:highlight w:val="none"/>
        </w:rPr>
      </w:pPr>
      <w:r>
        <w:rPr>
          <w:rFonts w:hint="eastAsia" w:ascii="宋体" w:hAnsi="宋体" w:eastAsia="宋体" w:cs="宋体"/>
          <w:b/>
          <w:color w:val="auto"/>
          <w:sz w:val="24"/>
          <w:highlight w:val="none"/>
        </w:rPr>
        <w:t>评审总分值为100分，具体分值如下：</w:t>
      </w:r>
    </w:p>
    <w:tbl>
      <w:tblPr>
        <w:tblStyle w:val="41"/>
        <w:tblW w:w="9626" w:type="dxa"/>
        <w:jc w:val="center"/>
        <w:tblLayout w:type="fixed"/>
        <w:tblCellMar>
          <w:top w:w="0" w:type="dxa"/>
          <w:left w:w="108" w:type="dxa"/>
          <w:bottom w:w="0" w:type="dxa"/>
          <w:right w:w="108" w:type="dxa"/>
        </w:tblCellMar>
      </w:tblPr>
      <w:tblGrid>
        <w:gridCol w:w="751"/>
        <w:gridCol w:w="755"/>
        <w:gridCol w:w="1263"/>
        <w:gridCol w:w="6857"/>
      </w:tblGrid>
      <w:tr w14:paraId="6FCFAABC">
        <w:tblPrEx>
          <w:tblCellMar>
            <w:top w:w="0" w:type="dxa"/>
            <w:left w:w="108" w:type="dxa"/>
            <w:bottom w:w="0" w:type="dxa"/>
            <w:right w:w="108" w:type="dxa"/>
          </w:tblCellMar>
        </w:tblPrEx>
        <w:trPr>
          <w:trHeight w:val="90" w:hRule="atLeast"/>
          <w:jc w:val="center"/>
        </w:trPr>
        <w:tc>
          <w:tcPr>
            <w:tcW w:w="751" w:type="dxa"/>
            <w:tcBorders>
              <w:top w:val="single" w:color="auto" w:sz="4" w:space="0"/>
              <w:left w:val="single" w:color="auto" w:sz="4" w:space="0"/>
              <w:bottom w:val="single" w:color="000000" w:sz="6" w:space="0"/>
              <w:right w:val="single" w:color="000000" w:sz="6" w:space="0"/>
            </w:tcBorders>
            <w:noWrap w:val="0"/>
            <w:vAlign w:val="center"/>
          </w:tcPr>
          <w:p w14:paraId="7815F064">
            <w:pPr>
              <w:keepNext w:val="0"/>
              <w:keepLines w:val="0"/>
              <w:pageBreakBefore w:val="0"/>
              <w:widowControl w:val="0"/>
              <w:kinsoku/>
              <w:wordWrap/>
              <w:overflowPunct/>
              <w:topLinePunct w:val="0"/>
              <w:autoSpaceDE/>
              <w:autoSpaceDN/>
              <w:bidi w:val="0"/>
              <w:spacing w:line="380" w:lineRule="exact"/>
              <w:jc w:val="center"/>
              <w:textAlignment w:val="auto"/>
              <w:rPr>
                <w:rFonts w:hint="eastAsia" w:ascii="宋体" w:hAnsi="宋体" w:eastAsia="宋体" w:cs="宋体"/>
                <w:b w:val="0"/>
                <w:bCs/>
                <w:color w:val="auto"/>
                <w:kern w:val="0"/>
                <w:sz w:val="24"/>
                <w:szCs w:val="24"/>
                <w:highlight w:val="none"/>
              </w:rPr>
            </w:pPr>
            <w:r>
              <w:rPr>
                <w:rFonts w:hint="eastAsia" w:ascii="宋体" w:hAnsi="宋体" w:eastAsia="宋体" w:cs="宋体"/>
                <w:b w:val="0"/>
                <w:bCs/>
                <w:color w:val="auto"/>
                <w:kern w:val="0"/>
                <w:sz w:val="24"/>
                <w:szCs w:val="24"/>
                <w:highlight w:val="none"/>
              </w:rPr>
              <w:t>序号</w:t>
            </w:r>
          </w:p>
        </w:tc>
        <w:tc>
          <w:tcPr>
            <w:tcW w:w="2018" w:type="dxa"/>
            <w:gridSpan w:val="2"/>
            <w:tcBorders>
              <w:top w:val="single" w:color="auto" w:sz="4" w:space="0"/>
              <w:left w:val="single" w:color="000000" w:sz="6" w:space="0"/>
              <w:bottom w:val="single" w:color="000000" w:sz="6" w:space="0"/>
              <w:right w:val="single" w:color="auto" w:sz="4" w:space="0"/>
            </w:tcBorders>
            <w:noWrap w:val="0"/>
            <w:vAlign w:val="center"/>
          </w:tcPr>
          <w:p w14:paraId="29F8FB25">
            <w:pPr>
              <w:keepNext w:val="0"/>
              <w:keepLines w:val="0"/>
              <w:pageBreakBefore w:val="0"/>
              <w:widowControl w:val="0"/>
              <w:kinsoku/>
              <w:wordWrap/>
              <w:overflowPunct/>
              <w:topLinePunct w:val="0"/>
              <w:autoSpaceDE/>
              <w:autoSpaceDN/>
              <w:bidi w:val="0"/>
              <w:spacing w:line="380" w:lineRule="exact"/>
              <w:jc w:val="center"/>
              <w:textAlignment w:val="auto"/>
              <w:rPr>
                <w:rFonts w:hint="eastAsia" w:ascii="宋体" w:hAnsi="宋体" w:eastAsia="宋体" w:cs="宋体"/>
                <w:b w:val="0"/>
                <w:bCs/>
                <w:color w:val="auto"/>
                <w:kern w:val="0"/>
                <w:sz w:val="24"/>
                <w:szCs w:val="24"/>
                <w:highlight w:val="none"/>
                <w:lang w:val="en-US" w:eastAsia="zh-CN"/>
              </w:rPr>
            </w:pPr>
            <w:r>
              <w:rPr>
                <w:rFonts w:hint="eastAsia" w:ascii="宋体" w:hAnsi="宋体" w:eastAsia="宋体" w:cs="宋体"/>
                <w:b w:val="0"/>
                <w:bCs/>
                <w:color w:val="auto"/>
                <w:kern w:val="0"/>
                <w:sz w:val="24"/>
                <w:szCs w:val="24"/>
                <w:highlight w:val="none"/>
              </w:rPr>
              <w:t>评审因素</w:t>
            </w:r>
            <w:r>
              <w:rPr>
                <w:rFonts w:hint="eastAsia" w:ascii="宋体" w:hAnsi="宋体" w:eastAsia="宋体" w:cs="宋体"/>
                <w:b w:val="0"/>
                <w:bCs/>
                <w:color w:val="auto"/>
                <w:kern w:val="0"/>
                <w:sz w:val="24"/>
                <w:szCs w:val="24"/>
                <w:highlight w:val="none"/>
                <w:lang w:val="en-US" w:eastAsia="zh-CN"/>
              </w:rPr>
              <w:t>及</w:t>
            </w:r>
            <w:r>
              <w:rPr>
                <w:rFonts w:hint="eastAsia" w:ascii="宋体" w:hAnsi="宋体" w:eastAsia="宋体" w:cs="宋体"/>
                <w:b w:val="0"/>
                <w:bCs/>
                <w:color w:val="auto"/>
                <w:kern w:val="0"/>
                <w:sz w:val="24"/>
                <w:szCs w:val="24"/>
                <w:highlight w:val="none"/>
              </w:rPr>
              <w:t>权值</w:t>
            </w:r>
          </w:p>
        </w:tc>
        <w:tc>
          <w:tcPr>
            <w:tcW w:w="6857" w:type="dxa"/>
            <w:tcBorders>
              <w:top w:val="single" w:color="auto" w:sz="4" w:space="0"/>
              <w:left w:val="single" w:color="000000" w:sz="6" w:space="0"/>
              <w:bottom w:val="single" w:color="000000" w:sz="6" w:space="0"/>
              <w:right w:val="single" w:color="auto" w:sz="4" w:space="0"/>
            </w:tcBorders>
            <w:noWrap w:val="0"/>
            <w:vAlign w:val="center"/>
          </w:tcPr>
          <w:p w14:paraId="24A0D865">
            <w:pPr>
              <w:keepNext w:val="0"/>
              <w:keepLines w:val="0"/>
              <w:pageBreakBefore w:val="0"/>
              <w:widowControl w:val="0"/>
              <w:kinsoku/>
              <w:wordWrap/>
              <w:overflowPunct/>
              <w:topLinePunct w:val="0"/>
              <w:autoSpaceDE/>
              <w:autoSpaceDN/>
              <w:bidi w:val="0"/>
              <w:spacing w:line="380" w:lineRule="exact"/>
              <w:jc w:val="center"/>
              <w:textAlignment w:val="auto"/>
              <w:rPr>
                <w:rFonts w:hint="eastAsia" w:ascii="宋体" w:hAnsi="宋体" w:eastAsia="宋体" w:cs="宋体"/>
                <w:b w:val="0"/>
                <w:bCs/>
                <w:color w:val="auto"/>
                <w:kern w:val="0"/>
                <w:sz w:val="24"/>
                <w:szCs w:val="24"/>
                <w:highlight w:val="none"/>
              </w:rPr>
            </w:pPr>
            <w:r>
              <w:rPr>
                <w:rFonts w:hint="eastAsia" w:ascii="宋体" w:hAnsi="宋体" w:eastAsia="宋体" w:cs="宋体"/>
                <w:b w:val="0"/>
                <w:bCs/>
                <w:color w:val="auto"/>
                <w:kern w:val="0"/>
                <w:sz w:val="24"/>
                <w:szCs w:val="24"/>
                <w:highlight w:val="none"/>
              </w:rPr>
              <w:t>评审标准</w:t>
            </w:r>
          </w:p>
        </w:tc>
      </w:tr>
      <w:tr w14:paraId="69D40F55">
        <w:tblPrEx>
          <w:tblCellMar>
            <w:top w:w="0" w:type="dxa"/>
            <w:left w:w="108" w:type="dxa"/>
            <w:bottom w:w="0" w:type="dxa"/>
            <w:right w:w="108" w:type="dxa"/>
          </w:tblCellMar>
        </w:tblPrEx>
        <w:trPr>
          <w:trHeight w:val="1404" w:hRule="atLeast"/>
          <w:jc w:val="center"/>
        </w:trPr>
        <w:tc>
          <w:tcPr>
            <w:tcW w:w="751" w:type="dxa"/>
            <w:tcBorders>
              <w:top w:val="single" w:color="000000" w:sz="6" w:space="0"/>
              <w:left w:val="single" w:color="auto" w:sz="4" w:space="0"/>
              <w:bottom w:val="single" w:color="000000" w:sz="6" w:space="0"/>
              <w:right w:val="single" w:color="000000" w:sz="6" w:space="0"/>
            </w:tcBorders>
            <w:noWrap w:val="0"/>
            <w:vAlign w:val="center"/>
          </w:tcPr>
          <w:p w14:paraId="6254287A">
            <w:pPr>
              <w:keepNext w:val="0"/>
              <w:keepLines w:val="0"/>
              <w:pageBreakBefore w:val="0"/>
              <w:widowControl w:val="0"/>
              <w:kinsoku/>
              <w:wordWrap/>
              <w:overflowPunct/>
              <w:topLinePunct w:val="0"/>
              <w:autoSpaceDE/>
              <w:autoSpaceDN/>
              <w:bidi w:val="0"/>
              <w:spacing w:line="380" w:lineRule="exact"/>
              <w:jc w:val="center"/>
              <w:textAlignment w:val="auto"/>
              <w:rPr>
                <w:rFonts w:hint="eastAsia" w:ascii="宋体" w:hAnsi="宋体" w:eastAsia="宋体" w:cs="宋体"/>
                <w:b w:val="0"/>
                <w:bCs/>
                <w:color w:val="auto"/>
                <w:kern w:val="0"/>
                <w:sz w:val="24"/>
                <w:szCs w:val="24"/>
                <w:highlight w:val="none"/>
              </w:rPr>
            </w:pPr>
            <w:r>
              <w:rPr>
                <w:rFonts w:hint="eastAsia" w:ascii="宋体" w:hAnsi="宋体" w:eastAsia="宋体" w:cs="宋体"/>
                <w:b w:val="0"/>
                <w:bCs/>
                <w:color w:val="auto"/>
                <w:kern w:val="0"/>
                <w:sz w:val="24"/>
                <w:szCs w:val="24"/>
                <w:highlight w:val="none"/>
              </w:rPr>
              <w:t>1</w:t>
            </w:r>
          </w:p>
        </w:tc>
        <w:tc>
          <w:tcPr>
            <w:tcW w:w="2018" w:type="dxa"/>
            <w:gridSpan w:val="2"/>
            <w:tcBorders>
              <w:top w:val="single" w:color="000000" w:sz="6" w:space="0"/>
              <w:left w:val="single" w:color="000000" w:sz="6" w:space="0"/>
              <w:bottom w:val="single" w:color="000000" w:sz="6" w:space="0"/>
              <w:right w:val="single" w:color="auto" w:sz="4" w:space="0"/>
            </w:tcBorders>
            <w:noWrap w:val="0"/>
            <w:vAlign w:val="center"/>
          </w:tcPr>
          <w:p w14:paraId="72FEB67E">
            <w:pPr>
              <w:keepNext w:val="0"/>
              <w:keepLines w:val="0"/>
              <w:pageBreakBefore w:val="0"/>
              <w:widowControl w:val="0"/>
              <w:kinsoku/>
              <w:wordWrap/>
              <w:overflowPunct/>
              <w:topLinePunct w:val="0"/>
              <w:autoSpaceDE/>
              <w:autoSpaceDN/>
              <w:bidi w:val="0"/>
              <w:spacing w:line="380" w:lineRule="exact"/>
              <w:jc w:val="center"/>
              <w:textAlignment w:val="auto"/>
              <w:rPr>
                <w:rFonts w:hint="eastAsia" w:ascii="宋体" w:hAnsi="宋体" w:eastAsia="宋体" w:cs="宋体"/>
                <w:b w:val="0"/>
                <w:bCs/>
                <w:color w:val="auto"/>
                <w:kern w:val="0"/>
                <w:sz w:val="24"/>
                <w:szCs w:val="24"/>
                <w:highlight w:val="none"/>
              </w:rPr>
            </w:pPr>
            <w:r>
              <w:rPr>
                <w:rFonts w:hint="eastAsia" w:ascii="宋体" w:hAnsi="宋体" w:eastAsia="宋体" w:cs="宋体"/>
                <w:b w:val="0"/>
                <w:bCs/>
                <w:color w:val="auto"/>
                <w:kern w:val="0"/>
                <w:sz w:val="24"/>
                <w:szCs w:val="24"/>
                <w:highlight w:val="none"/>
              </w:rPr>
              <w:t>投标报价</w:t>
            </w:r>
          </w:p>
          <w:p w14:paraId="3CA63EDC">
            <w:pPr>
              <w:keepNext w:val="0"/>
              <w:keepLines w:val="0"/>
              <w:pageBreakBefore w:val="0"/>
              <w:widowControl w:val="0"/>
              <w:kinsoku/>
              <w:wordWrap/>
              <w:overflowPunct/>
              <w:topLinePunct w:val="0"/>
              <w:autoSpaceDE/>
              <w:autoSpaceDN/>
              <w:bidi w:val="0"/>
              <w:spacing w:line="380" w:lineRule="exact"/>
              <w:jc w:val="center"/>
              <w:textAlignment w:val="auto"/>
              <w:rPr>
                <w:rFonts w:hint="eastAsia" w:ascii="宋体" w:hAnsi="宋体" w:eastAsia="宋体" w:cs="宋体"/>
                <w:b w:val="0"/>
                <w:bCs/>
                <w:color w:val="auto"/>
                <w:kern w:val="0"/>
                <w:sz w:val="24"/>
                <w:szCs w:val="24"/>
                <w:highlight w:val="none"/>
                <w:lang w:eastAsia="zh-CN"/>
              </w:rPr>
            </w:pPr>
            <w:r>
              <w:rPr>
                <w:rFonts w:hint="eastAsia" w:ascii="宋体" w:hAnsi="宋体" w:eastAsia="宋体" w:cs="宋体"/>
                <w:b w:val="0"/>
                <w:bCs/>
                <w:color w:val="auto"/>
                <w:kern w:val="0"/>
                <w:sz w:val="24"/>
                <w:szCs w:val="24"/>
                <w:highlight w:val="none"/>
                <w:lang w:eastAsia="zh-CN"/>
              </w:rPr>
              <w:t>（</w:t>
            </w:r>
            <w:r>
              <w:rPr>
                <w:rFonts w:hint="eastAsia" w:ascii="宋体" w:hAnsi="宋体" w:eastAsia="宋体" w:cs="宋体"/>
                <w:b w:val="0"/>
                <w:bCs/>
                <w:color w:val="auto"/>
                <w:kern w:val="0"/>
                <w:sz w:val="24"/>
                <w:szCs w:val="24"/>
                <w:highlight w:val="none"/>
                <w:lang w:val="en-US" w:eastAsia="zh-CN"/>
              </w:rPr>
              <w:t>15</w:t>
            </w:r>
            <w:r>
              <w:rPr>
                <w:rFonts w:hint="eastAsia" w:ascii="宋体" w:hAnsi="宋体" w:eastAsia="宋体" w:cs="宋体"/>
                <w:b w:val="0"/>
                <w:bCs/>
                <w:color w:val="auto"/>
                <w:kern w:val="0"/>
                <w:sz w:val="24"/>
                <w:szCs w:val="24"/>
                <w:highlight w:val="none"/>
              </w:rPr>
              <w:t>分</w:t>
            </w:r>
            <w:r>
              <w:rPr>
                <w:rFonts w:hint="eastAsia" w:ascii="宋体" w:hAnsi="宋体" w:eastAsia="宋体" w:cs="宋体"/>
                <w:b w:val="0"/>
                <w:bCs/>
                <w:color w:val="auto"/>
                <w:kern w:val="0"/>
                <w:sz w:val="24"/>
                <w:szCs w:val="24"/>
                <w:highlight w:val="none"/>
                <w:lang w:eastAsia="zh-CN"/>
              </w:rPr>
              <w:t>）</w:t>
            </w:r>
          </w:p>
        </w:tc>
        <w:tc>
          <w:tcPr>
            <w:tcW w:w="6857" w:type="dxa"/>
            <w:tcBorders>
              <w:top w:val="single" w:color="000000" w:sz="6" w:space="0"/>
              <w:left w:val="single" w:color="000000" w:sz="6" w:space="0"/>
              <w:bottom w:val="single" w:color="000000" w:sz="6" w:space="0"/>
              <w:right w:val="single" w:color="auto" w:sz="4" w:space="0"/>
            </w:tcBorders>
            <w:noWrap w:val="0"/>
            <w:vAlign w:val="center"/>
          </w:tcPr>
          <w:p w14:paraId="7E04FA2F">
            <w:pPr>
              <w:keepNext w:val="0"/>
              <w:keepLines w:val="0"/>
              <w:pageBreakBefore w:val="0"/>
              <w:widowControl w:val="0"/>
              <w:kinsoku/>
              <w:wordWrap/>
              <w:overflowPunct/>
              <w:topLinePunct w:val="0"/>
              <w:autoSpaceDE/>
              <w:autoSpaceDN/>
              <w:bidi w:val="0"/>
              <w:adjustRightInd/>
              <w:snapToGrid/>
              <w:spacing w:line="380" w:lineRule="exact"/>
              <w:textAlignment w:val="auto"/>
              <w:rPr>
                <w:rFonts w:hint="eastAsia" w:ascii="宋体" w:hAnsi="宋体" w:eastAsia="宋体" w:cs="宋体"/>
                <w:b w:val="0"/>
                <w:bCs/>
                <w:color w:val="auto"/>
                <w:kern w:val="0"/>
                <w:sz w:val="24"/>
                <w:szCs w:val="24"/>
                <w:highlight w:val="none"/>
              </w:rPr>
            </w:pPr>
            <w:r>
              <w:rPr>
                <w:rFonts w:hint="eastAsia" w:ascii="宋体" w:hAnsi="宋体" w:eastAsia="宋体" w:cs="宋体"/>
                <w:b w:val="0"/>
                <w:bCs/>
                <w:color w:val="auto"/>
                <w:kern w:val="0"/>
                <w:sz w:val="24"/>
                <w:szCs w:val="24"/>
                <w:highlight w:val="none"/>
              </w:rPr>
              <w:t>满足磋商文件要求且最后报价最低的供应商的价格为基准价得</w:t>
            </w:r>
            <w:r>
              <w:rPr>
                <w:rFonts w:hint="eastAsia" w:ascii="宋体" w:hAnsi="宋体" w:eastAsia="宋体" w:cs="宋体"/>
                <w:b w:val="0"/>
                <w:bCs/>
                <w:color w:val="auto"/>
                <w:kern w:val="0"/>
                <w:sz w:val="24"/>
                <w:szCs w:val="24"/>
                <w:highlight w:val="none"/>
                <w:lang w:val="en-US" w:eastAsia="zh-CN"/>
              </w:rPr>
              <w:t>15</w:t>
            </w:r>
            <w:r>
              <w:rPr>
                <w:rFonts w:hint="eastAsia" w:ascii="宋体" w:hAnsi="宋体" w:eastAsia="宋体" w:cs="宋体"/>
                <w:b w:val="0"/>
                <w:bCs/>
                <w:color w:val="auto"/>
                <w:kern w:val="0"/>
                <w:sz w:val="24"/>
                <w:szCs w:val="24"/>
                <w:highlight w:val="none"/>
              </w:rPr>
              <w:t>分，其他各供应商的最后报价得分按下列公式计：（基准价/投标报价）×</w:t>
            </w:r>
            <w:r>
              <w:rPr>
                <w:rFonts w:hint="eastAsia" w:ascii="宋体" w:hAnsi="宋体" w:eastAsia="宋体" w:cs="宋体"/>
                <w:b w:val="0"/>
                <w:bCs/>
                <w:color w:val="auto"/>
                <w:kern w:val="0"/>
                <w:sz w:val="24"/>
                <w:szCs w:val="24"/>
                <w:highlight w:val="none"/>
                <w:lang w:val="en-US" w:eastAsia="zh-CN"/>
              </w:rPr>
              <w:t>15</w:t>
            </w:r>
            <w:r>
              <w:rPr>
                <w:rFonts w:hint="eastAsia" w:ascii="宋体" w:hAnsi="宋体" w:eastAsia="宋体" w:cs="宋体"/>
                <w:b w:val="0"/>
                <w:bCs/>
                <w:color w:val="auto"/>
                <w:kern w:val="0"/>
                <w:sz w:val="24"/>
                <w:szCs w:val="24"/>
                <w:highlight w:val="none"/>
              </w:rPr>
              <w:t>，计算分数时四舍五入取小数点后两位]</w:t>
            </w:r>
          </w:p>
          <w:p w14:paraId="48A7B2AB">
            <w:pPr>
              <w:keepNext w:val="0"/>
              <w:keepLines w:val="0"/>
              <w:pageBreakBefore w:val="0"/>
              <w:widowControl w:val="0"/>
              <w:kinsoku/>
              <w:wordWrap/>
              <w:overflowPunct/>
              <w:topLinePunct w:val="0"/>
              <w:autoSpaceDE/>
              <w:autoSpaceDN/>
              <w:bidi w:val="0"/>
              <w:adjustRightInd/>
              <w:snapToGrid/>
              <w:spacing w:line="380" w:lineRule="exact"/>
              <w:textAlignment w:val="auto"/>
              <w:rPr>
                <w:rFonts w:hint="eastAsia" w:ascii="宋体" w:hAnsi="宋体" w:eastAsia="宋体" w:cs="宋体"/>
                <w:b w:val="0"/>
                <w:bCs/>
                <w:color w:val="auto"/>
                <w:kern w:val="0"/>
                <w:sz w:val="24"/>
                <w:szCs w:val="24"/>
                <w:highlight w:val="none"/>
              </w:rPr>
            </w:pPr>
            <w:r>
              <w:rPr>
                <w:rFonts w:hint="eastAsia" w:ascii="宋体" w:hAnsi="宋体" w:eastAsia="宋体" w:cs="宋体"/>
                <w:b/>
                <w:bCs w:val="0"/>
                <w:color w:val="auto"/>
                <w:kern w:val="0"/>
                <w:sz w:val="24"/>
                <w:szCs w:val="24"/>
                <w:highlight w:val="none"/>
              </w:rPr>
              <w:t>注：符合采购优惠政策的按政策执行。</w:t>
            </w:r>
          </w:p>
        </w:tc>
      </w:tr>
      <w:tr w14:paraId="4517DA3B">
        <w:tblPrEx>
          <w:tblCellMar>
            <w:top w:w="0" w:type="dxa"/>
            <w:left w:w="108" w:type="dxa"/>
            <w:bottom w:w="0" w:type="dxa"/>
            <w:right w:w="108" w:type="dxa"/>
          </w:tblCellMar>
        </w:tblPrEx>
        <w:trPr>
          <w:trHeight w:val="1462" w:hRule="atLeast"/>
          <w:jc w:val="center"/>
        </w:trPr>
        <w:tc>
          <w:tcPr>
            <w:tcW w:w="751" w:type="dxa"/>
            <w:tcBorders>
              <w:top w:val="single" w:color="000000" w:sz="6" w:space="0"/>
              <w:left w:val="single" w:color="auto" w:sz="4" w:space="0"/>
              <w:bottom w:val="single" w:color="000000" w:sz="6" w:space="0"/>
              <w:right w:val="single" w:color="000000" w:sz="6" w:space="0"/>
            </w:tcBorders>
            <w:noWrap w:val="0"/>
            <w:vAlign w:val="center"/>
          </w:tcPr>
          <w:p w14:paraId="29294AB1">
            <w:pPr>
              <w:keepNext w:val="0"/>
              <w:keepLines w:val="0"/>
              <w:pageBreakBefore w:val="0"/>
              <w:widowControl w:val="0"/>
              <w:kinsoku/>
              <w:wordWrap/>
              <w:overflowPunct/>
              <w:topLinePunct w:val="0"/>
              <w:autoSpaceDE/>
              <w:autoSpaceDN/>
              <w:bidi w:val="0"/>
              <w:spacing w:line="380" w:lineRule="exact"/>
              <w:jc w:val="center"/>
              <w:textAlignment w:val="auto"/>
              <w:rPr>
                <w:rFonts w:hint="eastAsia" w:ascii="宋体" w:hAnsi="宋体" w:eastAsia="宋体" w:cs="宋体"/>
                <w:b w:val="0"/>
                <w:bCs/>
                <w:color w:val="auto"/>
                <w:kern w:val="0"/>
                <w:sz w:val="24"/>
                <w:szCs w:val="24"/>
                <w:highlight w:val="none"/>
                <w:lang w:val="en-US" w:eastAsia="zh-CN"/>
              </w:rPr>
            </w:pPr>
            <w:r>
              <w:rPr>
                <w:rFonts w:hint="eastAsia" w:ascii="宋体" w:hAnsi="宋体" w:eastAsia="宋体" w:cs="宋体"/>
                <w:b w:val="0"/>
                <w:bCs/>
                <w:color w:val="auto"/>
                <w:kern w:val="0"/>
                <w:sz w:val="24"/>
                <w:szCs w:val="24"/>
                <w:highlight w:val="none"/>
                <w:lang w:val="en-US" w:eastAsia="zh-CN"/>
              </w:rPr>
              <w:t>2</w:t>
            </w:r>
          </w:p>
        </w:tc>
        <w:tc>
          <w:tcPr>
            <w:tcW w:w="2018" w:type="dxa"/>
            <w:gridSpan w:val="2"/>
            <w:tcBorders>
              <w:top w:val="single" w:color="000000" w:sz="6" w:space="0"/>
              <w:left w:val="single" w:color="000000" w:sz="6" w:space="0"/>
              <w:bottom w:val="single" w:color="000000" w:sz="6" w:space="0"/>
              <w:right w:val="single" w:color="auto" w:sz="4" w:space="0"/>
            </w:tcBorders>
            <w:noWrap w:val="0"/>
            <w:vAlign w:val="center"/>
          </w:tcPr>
          <w:p w14:paraId="4092B715">
            <w:pPr>
              <w:keepNext w:val="0"/>
              <w:keepLines w:val="0"/>
              <w:pageBreakBefore w:val="0"/>
              <w:widowControl w:val="0"/>
              <w:kinsoku/>
              <w:wordWrap/>
              <w:overflowPunct/>
              <w:topLinePunct w:val="0"/>
              <w:autoSpaceDE/>
              <w:autoSpaceDN/>
              <w:bidi w:val="0"/>
              <w:spacing w:line="380" w:lineRule="exact"/>
              <w:jc w:val="center"/>
              <w:textAlignment w:val="auto"/>
              <w:rPr>
                <w:rFonts w:hint="eastAsia" w:ascii="宋体" w:hAnsi="宋体" w:eastAsia="宋体" w:cs="宋体"/>
                <w:b w:val="0"/>
                <w:bCs/>
                <w:color w:val="auto"/>
                <w:kern w:val="0"/>
                <w:sz w:val="24"/>
                <w:szCs w:val="24"/>
                <w:highlight w:val="none"/>
                <w:lang w:val="en-US" w:eastAsia="zh-CN"/>
              </w:rPr>
            </w:pPr>
            <w:r>
              <w:rPr>
                <w:rFonts w:hint="eastAsia" w:ascii="宋体" w:hAnsi="宋体" w:eastAsia="宋体" w:cs="宋体"/>
                <w:b w:val="0"/>
                <w:bCs/>
                <w:color w:val="auto"/>
                <w:kern w:val="0"/>
                <w:sz w:val="24"/>
                <w:szCs w:val="24"/>
                <w:highlight w:val="none"/>
                <w:lang w:val="en-US" w:eastAsia="zh-CN"/>
              </w:rPr>
              <w:t>商务响应</w:t>
            </w:r>
          </w:p>
          <w:p w14:paraId="40B2CAC9">
            <w:pPr>
              <w:keepNext w:val="0"/>
              <w:keepLines w:val="0"/>
              <w:pageBreakBefore w:val="0"/>
              <w:widowControl w:val="0"/>
              <w:kinsoku/>
              <w:wordWrap/>
              <w:overflowPunct/>
              <w:topLinePunct w:val="0"/>
              <w:autoSpaceDE/>
              <w:autoSpaceDN/>
              <w:bidi w:val="0"/>
              <w:spacing w:line="380" w:lineRule="exact"/>
              <w:jc w:val="center"/>
              <w:textAlignment w:val="auto"/>
              <w:rPr>
                <w:rFonts w:hint="eastAsia" w:ascii="宋体" w:hAnsi="宋体" w:eastAsia="宋体" w:cs="宋体"/>
                <w:b w:val="0"/>
                <w:bCs/>
                <w:color w:val="auto"/>
                <w:kern w:val="0"/>
                <w:sz w:val="24"/>
                <w:szCs w:val="24"/>
                <w:highlight w:val="none"/>
                <w:lang w:val="en-US" w:eastAsia="zh-CN"/>
              </w:rPr>
            </w:pPr>
            <w:r>
              <w:rPr>
                <w:rFonts w:hint="eastAsia" w:ascii="宋体" w:hAnsi="宋体" w:eastAsia="宋体" w:cs="宋体"/>
                <w:b w:val="0"/>
                <w:bCs/>
                <w:color w:val="auto"/>
                <w:kern w:val="0"/>
                <w:sz w:val="24"/>
                <w:szCs w:val="24"/>
                <w:highlight w:val="none"/>
                <w:lang w:val="en-US" w:eastAsia="zh-CN"/>
              </w:rPr>
              <w:t>（5分）</w:t>
            </w:r>
          </w:p>
        </w:tc>
        <w:tc>
          <w:tcPr>
            <w:tcW w:w="6857" w:type="dxa"/>
            <w:tcBorders>
              <w:top w:val="single" w:color="000000" w:sz="6" w:space="0"/>
              <w:left w:val="single" w:color="000000" w:sz="6" w:space="0"/>
              <w:bottom w:val="single" w:color="000000" w:sz="6" w:space="0"/>
              <w:right w:val="single" w:color="auto" w:sz="4" w:space="0"/>
            </w:tcBorders>
            <w:noWrap w:val="0"/>
            <w:vAlign w:val="center"/>
          </w:tcPr>
          <w:p w14:paraId="0EB33634">
            <w:pPr>
              <w:keepNext w:val="0"/>
              <w:keepLines w:val="0"/>
              <w:pageBreakBefore w:val="0"/>
              <w:widowControl w:val="0"/>
              <w:kinsoku/>
              <w:wordWrap/>
              <w:overflowPunct/>
              <w:topLinePunct w:val="0"/>
              <w:autoSpaceDE/>
              <w:autoSpaceDN/>
              <w:bidi w:val="0"/>
              <w:adjustRightInd/>
              <w:snapToGrid/>
              <w:spacing w:line="380" w:lineRule="exact"/>
              <w:textAlignment w:val="auto"/>
              <w:rPr>
                <w:rFonts w:hint="eastAsia" w:ascii="宋体" w:hAnsi="宋体" w:eastAsia="宋体" w:cs="宋体"/>
                <w:b w:val="0"/>
                <w:bCs/>
                <w:color w:val="auto"/>
                <w:kern w:val="0"/>
                <w:sz w:val="24"/>
                <w:szCs w:val="24"/>
                <w:highlight w:val="none"/>
              </w:rPr>
            </w:pPr>
            <w:r>
              <w:rPr>
                <w:rFonts w:hint="eastAsia" w:ascii="宋体" w:hAnsi="宋体" w:eastAsia="宋体" w:cs="宋体"/>
                <w:color w:val="auto"/>
                <w:sz w:val="24"/>
                <w:szCs w:val="24"/>
                <w:highlight w:val="none"/>
                <w:lang w:val="zh-CN"/>
              </w:rPr>
              <w:t>经过有效性和符合性审核合格的投标人，对商务要求完全响应且优于</w:t>
            </w:r>
            <w:r>
              <w:rPr>
                <w:rFonts w:hint="eastAsia" w:ascii="宋体" w:hAnsi="宋体" w:eastAsia="宋体" w:cs="宋体"/>
                <w:color w:val="auto"/>
                <w:sz w:val="24"/>
                <w:szCs w:val="24"/>
                <w:highlight w:val="none"/>
                <w:lang w:val="en-US" w:eastAsia="zh-CN"/>
              </w:rPr>
              <w:t>招标</w:t>
            </w:r>
            <w:r>
              <w:rPr>
                <w:rFonts w:hint="eastAsia" w:ascii="宋体" w:hAnsi="宋体" w:eastAsia="宋体" w:cs="宋体"/>
                <w:color w:val="auto"/>
                <w:sz w:val="24"/>
                <w:szCs w:val="24"/>
                <w:highlight w:val="none"/>
                <w:lang w:val="zh-CN"/>
              </w:rPr>
              <w:t>文件要求的计5分</w:t>
            </w:r>
            <w:r>
              <w:rPr>
                <w:rFonts w:hint="eastAsia" w:ascii="宋体" w:hAnsi="宋体" w:eastAsia="宋体" w:cs="宋体"/>
                <w:color w:val="auto"/>
                <w:sz w:val="24"/>
                <w:szCs w:val="24"/>
                <w:highlight w:val="none"/>
              </w:rPr>
              <w:t>，未做详细响应的，按响应程度低于评标基准的</w:t>
            </w:r>
            <w:r>
              <w:rPr>
                <w:rFonts w:hint="eastAsia" w:ascii="宋体" w:hAnsi="宋体" w:eastAsia="宋体" w:cs="宋体"/>
                <w:color w:val="auto"/>
                <w:sz w:val="24"/>
                <w:szCs w:val="24"/>
                <w:highlight w:val="none"/>
                <w:lang w:val="en-US" w:eastAsia="zh-CN"/>
              </w:rPr>
              <w:t>计</w:t>
            </w:r>
            <w:r>
              <w:rPr>
                <w:rFonts w:hint="eastAsia" w:ascii="宋体" w:hAnsi="宋体" w:eastAsia="宋体" w:cs="宋体"/>
                <w:color w:val="auto"/>
                <w:sz w:val="24"/>
                <w:szCs w:val="24"/>
                <w:highlight w:val="none"/>
              </w:rPr>
              <w:t>1-4分</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未提供计0分。</w:t>
            </w:r>
          </w:p>
        </w:tc>
      </w:tr>
      <w:tr w14:paraId="1E2DE127">
        <w:tblPrEx>
          <w:tblCellMar>
            <w:top w:w="0" w:type="dxa"/>
            <w:left w:w="108" w:type="dxa"/>
            <w:bottom w:w="0" w:type="dxa"/>
            <w:right w:w="108" w:type="dxa"/>
          </w:tblCellMar>
        </w:tblPrEx>
        <w:trPr>
          <w:trHeight w:val="2000" w:hRule="atLeast"/>
          <w:jc w:val="center"/>
        </w:trPr>
        <w:tc>
          <w:tcPr>
            <w:tcW w:w="751" w:type="dxa"/>
            <w:vMerge w:val="restart"/>
            <w:tcBorders>
              <w:top w:val="single" w:color="000000" w:sz="6" w:space="0"/>
              <w:left w:val="single" w:color="auto" w:sz="4" w:space="0"/>
              <w:right w:val="single" w:color="000000" w:sz="6" w:space="0"/>
            </w:tcBorders>
            <w:noWrap w:val="0"/>
            <w:vAlign w:val="center"/>
          </w:tcPr>
          <w:p w14:paraId="7D1DA4E7">
            <w:pPr>
              <w:keepNext w:val="0"/>
              <w:keepLines w:val="0"/>
              <w:pageBreakBefore w:val="0"/>
              <w:widowControl w:val="0"/>
              <w:kinsoku/>
              <w:wordWrap/>
              <w:overflowPunct/>
              <w:topLinePunct w:val="0"/>
              <w:autoSpaceDE/>
              <w:autoSpaceDN/>
              <w:bidi w:val="0"/>
              <w:spacing w:line="380" w:lineRule="exact"/>
              <w:jc w:val="center"/>
              <w:textAlignment w:val="auto"/>
              <w:rPr>
                <w:rFonts w:hint="eastAsia" w:ascii="宋体" w:hAnsi="宋体" w:eastAsia="宋体" w:cs="宋体"/>
                <w:b w:val="0"/>
                <w:bCs/>
                <w:color w:val="auto"/>
                <w:kern w:val="0"/>
                <w:sz w:val="24"/>
                <w:szCs w:val="24"/>
                <w:highlight w:val="none"/>
                <w:lang w:eastAsia="zh-CN"/>
              </w:rPr>
            </w:pPr>
            <w:r>
              <w:rPr>
                <w:rFonts w:hint="eastAsia" w:ascii="宋体" w:hAnsi="宋体" w:eastAsia="宋体" w:cs="宋体"/>
                <w:b w:val="0"/>
                <w:bCs/>
                <w:color w:val="auto"/>
                <w:kern w:val="0"/>
                <w:sz w:val="24"/>
                <w:szCs w:val="24"/>
                <w:highlight w:val="none"/>
                <w:lang w:val="en-US" w:eastAsia="zh-CN"/>
              </w:rPr>
              <w:t>3</w:t>
            </w:r>
          </w:p>
        </w:tc>
        <w:tc>
          <w:tcPr>
            <w:tcW w:w="755" w:type="dxa"/>
            <w:vMerge w:val="restart"/>
            <w:tcBorders>
              <w:top w:val="single" w:color="000000" w:sz="6" w:space="0"/>
              <w:left w:val="single" w:color="000000" w:sz="6" w:space="0"/>
              <w:right w:val="single" w:color="000000" w:sz="6" w:space="0"/>
            </w:tcBorders>
            <w:noWrap w:val="0"/>
            <w:vAlign w:val="center"/>
          </w:tcPr>
          <w:p w14:paraId="5FE569AA">
            <w:pPr>
              <w:keepNext w:val="0"/>
              <w:keepLines w:val="0"/>
              <w:pageBreakBefore w:val="0"/>
              <w:widowControl w:val="0"/>
              <w:kinsoku/>
              <w:wordWrap/>
              <w:overflowPunct/>
              <w:topLinePunct w:val="0"/>
              <w:autoSpaceDE/>
              <w:autoSpaceDN/>
              <w:bidi w:val="0"/>
              <w:spacing w:line="380" w:lineRule="exact"/>
              <w:jc w:val="center"/>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服务</w:t>
            </w:r>
          </w:p>
          <w:p w14:paraId="15398170">
            <w:pPr>
              <w:keepNext w:val="0"/>
              <w:keepLines w:val="0"/>
              <w:pageBreakBefore w:val="0"/>
              <w:widowControl w:val="0"/>
              <w:kinsoku/>
              <w:wordWrap/>
              <w:overflowPunct/>
              <w:topLinePunct w:val="0"/>
              <w:autoSpaceDE/>
              <w:autoSpaceDN/>
              <w:bidi w:val="0"/>
              <w:spacing w:line="380" w:lineRule="exact"/>
              <w:jc w:val="center"/>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方案</w:t>
            </w:r>
          </w:p>
          <w:p w14:paraId="13410F5E">
            <w:pPr>
              <w:keepNext w:val="0"/>
              <w:keepLines w:val="0"/>
              <w:pageBreakBefore w:val="0"/>
              <w:widowControl w:val="0"/>
              <w:kinsoku/>
              <w:wordWrap/>
              <w:overflowPunct/>
              <w:topLinePunct w:val="0"/>
              <w:autoSpaceDE/>
              <w:autoSpaceDN/>
              <w:bidi w:val="0"/>
              <w:spacing w:line="380" w:lineRule="exact"/>
              <w:jc w:val="center"/>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w:t>
            </w:r>
            <w:r>
              <w:rPr>
                <w:rFonts w:hint="eastAsia" w:ascii="宋体" w:hAnsi="宋体" w:cs="宋体"/>
                <w:color w:val="auto"/>
                <w:sz w:val="24"/>
                <w:szCs w:val="24"/>
                <w:highlight w:val="none"/>
                <w:lang w:val="en-US" w:eastAsia="zh-CN"/>
              </w:rPr>
              <w:t>37</w:t>
            </w:r>
            <w:r>
              <w:rPr>
                <w:rFonts w:hint="eastAsia" w:ascii="宋体" w:hAnsi="宋体" w:eastAsia="宋体" w:cs="宋体"/>
                <w:color w:val="auto"/>
                <w:sz w:val="24"/>
                <w:szCs w:val="24"/>
                <w:highlight w:val="none"/>
                <w:lang w:val="en-US" w:eastAsia="zh-CN"/>
              </w:rPr>
              <w:t>分）</w:t>
            </w:r>
          </w:p>
          <w:p w14:paraId="4B2E4655">
            <w:pPr>
              <w:keepNext w:val="0"/>
              <w:keepLines w:val="0"/>
              <w:pageBreakBefore w:val="0"/>
              <w:widowControl w:val="0"/>
              <w:kinsoku/>
              <w:wordWrap/>
              <w:overflowPunct/>
              <w:topLinePunct w:val="0"/>
              <w:autoSpaceDE/>
              <w:autoSpaceDN/>
              <w:bidi w:val="0"/>
              <w:spacing w:line="380" w:lineRule="exact"/>
              <w:jc w:val="center"/>
              <w:textAlignment w:val="auto"/>
              <w:rPr>
                <w:rFonts w:hint="eastAsia" w:ascii="宋体" w:hAnsi="宋体" w:eastAsia="宋体" w:cs="宋体"/>
                <w:b w:val="0"/>
                <w:bCs/>
                <w:color w:val="auto"/>
                <w:kern w:val="0"/>
                <w:sz w:val="24"/>
                <w:szCs w:val="24"/>
                <w:highlight w:val="none"/>
                <w:lang w:val="en-US" w:eastAsia="zh-CN"/>
              </w:rPr>
            </w:pPr>
          </w:p>
        </w:tc>
        <w:tc>
          <w:tcPr>
            <w:tcW w:w="1263" w:type="dxa"/>
            <w:tcBorders>
              <w:top w:val="single" w:color="000000" w:sz="6" w:space="0"/>
              <w:left w:val="single" w:color="000000" w:sz="6" w:space="0"/>
              <w:bottom w:val="single" w:color="000000" w:sz="6" w:space="0"/>
              <w:right w:val="single" w:color="auto" w:sz="4" w:space="0"/>
            </w:tcBorders>
            <w:noWrap w:val="0"/>
            <w:vAlign w:val="center"/>
          </w:tcPr>
          <w:p w14:paraId="55EC1E8A">
            <w:pPr>
              <w:keepNext w:val="0"/>
              <w:keepLines w:val="0"/>
              <w:pageBreakBefore w:val="0"/>
              <w:widowControl w:val="0"/>
              <w:kinsoku/>
              <w:wordWrap/>
              <w:overflowPunct/>
              <w:topLinePunct w:val="0"/>
              <w:autoSpaceDE/>
              <w:autoSpaceDN/>
              <w:bidi w:val="0"/>
              <w:spacing w:line="380" w:lineRule="exact"/>
              <w:jc w:val="center"/>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项目实</w:t>
            </w:r>
          </w:p>
          <w:p w14:paraId="05A97E11">
            <w:pPr>
              <w:keepNext w:val="0"/>
              <w:keepLines w:val="0"/>
              <w:pageBreakBefore w:val="0"/>
              <w:widowControl w:val="0"/>
              <w:kinsoku/>
              <w:wordWrap/>
              <w:overflowPunct/>
              <w:topLinePunct w:val="0"/>
              <w:autoSpaceDE/>
              <w:autoSpaceDN/>
              <w:bidi w:val="0"/>
              <w:spacing w:line="380" w:lineRule="exact"/>
              <w:jc w:val="center"/>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施方案（15分）</w:t>
            </w:r>
          </w:p>
        </w:tc>
        <w:tc>
          <w:tcPr>
            <w:tcW w:w="6857" w:type="dxa"/>
            <w:tcBorders>
              <w:top w:val="single" w:color="000000" w:sz="6" w:space="0"/>
              <w:left w:val="single" w:color="000000" w:sz="6" w:space="0"/>
              <w:bottom w:val="single" w:color="000000" w:sz="6" w:space="0"/>
              <w:right w:val="single" w:color="auto" w:sz="4" w:space="0"/>
            </w:tcBorders>
            <w:noWrap w:val="0"/>
            <w:vAlign w:val="center"/>
          </w:tcPr>
          <w:p w14:paraId="45B94062">
            <w:pPr>
              <w:keepNext w:val="0"/>
              <w:keepLines w:val="0"/>
              <w:pageBreakBefore w:val="0"/>
              <w:widowControl w:val="0"/>
              <w:kinsoku/>
              <w:wordWrap/>
              <w:overflowPunct/>
              <w:topLinePunct w:val="0"/>
              <w:autoSpaceDE/>
              <w:autoSpaceDN/>
              <w:bidi w:val="0"/>
              <w:adjustRightInd/>
              <w:snapToGrid/>
              <w:spacing w:line="380" w:lineRule="exact"/>
              <w:ind w:firstLine="480" w:firstLineChars="200"/>
              <w:jc w:val="left"/>
              <w:textAlignment w:val="auto"/>
              <w:rPr>
                <w:rFonts w:hint="eastAsia" w:ascii="宋体" w:hAnsi="宋体" w:eastAsia="宋体" w:cs="宋体"/>
                <w:b w:val="0"/>
                <w:bCs/>
                <w:color w:val="auto"/>
                <w:kern w:val="0"/>
                <w:sz w:val="24"/>
                <w:szCs w:val="24"/>
                <w:highlight w:val="none"/>
              </w:rPr>
            </w:pPr>
            <w:r>
              <w:rPr>
                <w:rFonts w:hint="eastAsia" w:ascii="宋体" w:hAnsi="宋体" w:eastAsia="宋体" w:cs="宋体"/>
                <w:color w:val="auto"/>
                <w:sz w:val="24"/>
                <w:szCs w:val="24"/>
                <w:highlight w:val="none"/>
                <w:lang w:val="en-US" w:eastAsia="zh-CN"/>
              </w:rPr>
              <w:t>供应商</w:t>
            </w:r>
            <w:r>
              <w:rPr>
                <w:rFonts w:hint="eastAsia" w:ascii="宋体" w:hAnsi="宋体" w:eastAsia="宋体" w:cs="宋体"/>
                <w:color w:val="auto"/>
                <w:sz w:val="24"/>
                <w:szCs w:val="24"/>
                <w:highlight w:val="none"/>
                <w:lang w:val="zh-CN"/>
              </w:rPr>
              <w:t>针对本项目制定规范化的</w:t>
            </w:r>
            <w:r>
              <w:rPr>
                <w:rFonts w:hint="eastAsia" w:ascii="宋体" w:hAnsi="宋体" w:cs="宋体"/>
                <w:color w:val="auto"/>
                <w:sz w:val="24"/>
                <w:szCs w:val="24"/>
                <w:highlight w:val="none"/>
                <w:lang w:val="en-US" w:eastAsia="zh-CN"/>
              </w:rPr>
              <w:t>维保</w:t>
            </w:r>
            <w:r>
              <w:rPr>
                <w:rFonts w:hint="eastAsia" w:ascii="宋体" w:hAnsi="宋体" w:eastAsia="宋体" w:cs="宋体"/>
                <w:color w:val="auto"/>
                <w:sz w:val="24"/>
                <w:szCs w:val="24"/>
                <w:highlight w:val="none"/>
                <w:lang w:val="zh-CN"/>
              </w:rPr>
              <w:t>服务方案，方案设计</w:t>
            </w:r>
            <w:r>
              <w:rPr>
                <w:rFonts w:hint="eastAsia" w:ascii="宋体" w:hAnsi="宋体" w:eastAsia="宋体" w:cs="宋体"/>
                <w:color w:val="auto"/>
                <w:sz w:val="24"/>
                <w:szCs w:val="24"/>
                <w:highlight w:val="none"/>
                <w:lang w:val="en-US" w:eastAsia="zh-CN"/>
              </w:rPr>
              <w:t>科学</w:t>
            </w:r>
            <w:r>
              <w:rPr>
                <w:rFonts w:hint="eastAsia" w:ascii="宋体" w:hAnsi="宋体" w:eastAsia="宋体" w:cs="宋体"/>
                <w:color w:val="auto"/>
                <w:sz w:val="24"/>
                <w:szCs w:val="24"/>
                <w:highlight w:val="none"/>
                <w:lang w:val="zh-CN"/>
              </w:rPr>
              <w:t>合理、架构完整、层次清楚，</w:t>
            </w:r>
            <w:r>
              <w:rPr>
                <w:rFonts w:hint="eastAsia" w:ascii="宋体" w:hAnsi="宋体" w:eastAsia="宋体" w:cs="宋体"/>
                <w:color w:val="auto"/>
                <w:sz w:val="24"/>
                <w:szCs w:val="24"/>
                <w:highlight w:val="none"/>
                <w:lang w:val="en-US" w:eastAsia="zh-CN"/>
              </w:rPr>
              <w:t>可操作性强</w:t>
            </w:r>
            <w:r>
              <w:rPr>
                <w:rFonts w:hint="eastAsia" w:ascii="宋体" w:hAnsi="宋体" w:eastAsia="宋体" w:cs="宋体"/>
                <w:color w:val="auto"/>
                <w:sz w:val="24"/>
                <w:szCs w:val="24"/>
                <w:highlight w:val="none"/>
                <w:lang w:val="zh-CN" w:eastAsia="zh-CN"/>
              </w:rPr>
              <w:t>且</w:t>
            </w:r>
            <w:r>
              <w:rPr>
                <w:rFonts w:hint="eastAsia" w:ascii="宋体" w:hAnsi="宋体" w:eastAsia="宋体" w:cs="宋体"/>
                <w:color w:val="auto"/>
                <w:sz w:val="24"/>
                <w:szCs w:val="24"/>
                <w:highlight w:val="none"/>
                <w:lang w:val="zh-CN"/>
              </w:rPr>
              <w:t>能够完全满足采购人需求</w:t>
            </w:r>
            <w:r>
              <w:rPr>
                <w:rFonts w:hint="eastAsia" w:ascii="宋体" w:hAnsi="宋体" w:eastAsia="宋体" w:cs="宋体"/>
                <w:color w:val="auto"/>
                <w:sz w:val="24"/>
                <w:szCs w:val="24"/>
                <w:highlight w:val="none"/>
                <w:lang w:val="zh-CN" w:eastAsia="zh-CN"/>
              </w:rPr>
              <w:t>的</w:t>
            </w:r>
            <w:r>
              <w:rPr>
                <w:rFonts w:hint="eastAsia" w:ascii="宋体" w:hAnsi="宋体" w:eastAsia="宋体" w:cs="宋体"/>
                <w:color w:val="auto"/>
                <w:sz w:val="24"/>
                <w:szCs w:val="24"/>
                <w:highlight w:val="none"/>
                <w:lang w:val="en-US" w:eastAsia="zh-CN"/>
              </w:rPr>
              <w:t>计11-</w:t>
            </w:r>
            <w:r>
              <w:rPr>
                <w:rFonts w:hint="eastAsia" w:ascii="宋体" w:hAnsi="宋体" w:eastAsia="宋体" w:cs="宋体"/>
                <w:color w:val="auto"/>
                <w:sz w:val="24"/>
                <w:szCs w:val="24"/>
                <w:highlight w:val="none"/>
                <w:lang w:val="zh-CN"/>
              </w:rPr>
              <w:t>15分；方案</w:t>
            </w:r>
            <w:r>
              <w:rPr>
                <w:rFonts w:hint="eastAsia" w:ascii="宋体" w:hAnsi="宋体" w:eastAsia="宋体" w:cs="宋体"/>
                <w:color w:val="auto"/>
                <w:sz w:val="24"/>
                <w:szCs w:val="24"/>
                <w:highlight w:val="none"/>
                <w:lang w:val="en-US" w:eastAsia="zh-CN"/>
              </w:rPr>
              <w:t>设计较科学合理，架构较完整，层次基本清楚，可操作性较强，</w:t>
            </w:r>
            <w:r>
              <w:rPr>
                <w:rFonts w:hint="eastAsia" w:ascii="宋体" w:hAnsi="宋体" w:eastAsia="宋体" w:cs="宋体"/>
                <w:color w:val="auto"/>
                <w:sz w:val="24"/>
                <w:szCs w:val="24"/>
                <w:highlight w:val="none"/>
                <w:lang w:val="zh-CN"/>
              </w:rPr>
              <w:t>能够满足采购人需求</w:t>
            </w:r>
            <w:r>
              <w:rPr>
                <w:rFonts w:hint="eastAsia" w:ascii="宋体" w:hAnsi="宋体" w:eastAsia="宋体" w:cs="宋体"/>
                <w:color w:val="auto"/>
                <w:sz w:val="24"/>
                <w:szCs w:val="24"/>
                <w:highlight w:val="none"/>
                <w:lang w:val="zh-CN" w:eastAsia="zh-CN"/>
              </w:rPr>
              <w:t>的</w:t>
            </w:r>
            <w:r>
              <w:rPr>
                <w:rFonts w:hint="eastAsia" w:ascii="宋体" w:hAnsi="宋体" w:eastAsia="宋体" w:cs="宋体"/>
                <w:color w:val="auto"/>
                <w:sz w:val="24"/>
                <w:szCs w:val="24"/>
                <w:highlight w:val="none"/>
                <w:lang w:val="en-US" w:eastAsia="zh-CN"/>
              </w:rPr>
              <w:t>计6</w:t>
            </w:r>
            <w:r>
              <w:rPr>
                <w:rFonts w:hint="eastAsia" w:ascii="宋体" w:hAnsi="宋体" w:eastAsia="宋体" w:cs="宋体"/>
                <w:color w:val="auto"/>
                <w:sz w:val="24"/>
                <w:szCs w:val="24"/>
                <w:highlight w:val="none"/>
                <w:lang w:val="zh-CN"/>
              </w:rPr>
              <w:t>-10分；方案及方法</w:t>
            </w:r>
            <w:r>
              <w:rPr>
                <w:rFonts w:hint="eastAsia" w:ascii="宋体" w:hAnsi="宋体" w:eastAsia="宋体" w:cs="宋体"/>
                <w:color w:val="auto"/>
                <w:sz w:val="24"/>
                <w:szCs w:val="24"/>
                <w:highlight w:val="none"/>
                <w:lang w:val="en-US" w:eastAsia="zh-CN"/>
              </w:rPr>
              <w:t>只能</w:t>
            </w:r>
            <w:r>
              <w:rPr>
                <w:rFonts w:hint="eastAsia" w:ascii="宋体" w:hAnsi="宋体" w:eastAsia="宋体" w:cs="宋体"/>
                <w:color w:val="auto"/>
                <w:sz w:val="24"/>
                <w:szCs w:val="24"/>
                <w:highlight w:val="none"/>
                <w:lang w:val="zh-CN"/>
              </w:rPr>
              <w:t>满足采购人部分需求的</w:t>
            </w:r>
            <w:r>
              <w:rPr>
                <w:rFonts w:hint="eastAsia" w:ascii="宋体" w:hAnsi="宋体" w:eastAsia="宋体" w:cs="宋体"/>
                <w:color w:val="auto"/>
                <w:sz w:val="24"/>
                <w:szCs w:val="24"/>
                <w:highlight w:val="none"/>
                <w:lang w:val="en-US" w:eastAsia="zh-CN"/>
              </w:rPr>
              <w:t>计1</w:t>
            </w:r>
            <w:r>
              <w:rPr>
                <w:rFonts w:hint="eastAsia" w:ascii="宋体" w:hAnsi="宋体" w:eastAsia="宋体" w:cs="宋体"/>
                <w:color w:val="auto"/>
                <w:sz w:val="24"/>
                <w:szCs w:val="24"/>
                <w:highlight w:val="none"/>
                <w:lang w:val="zh-CN"/>
              </w:rPr>
              <w:t>-5分，</w:t>
            </w:r>
            <w:r>
              <w:rPr>
                <w:rFonts w:hint="eastAsia" w:ascii="宋体" w:hAnsi="宋体" w:eastAsia="宋体" w:cs="宋体"/>
                <w:color w:val="auto"/>
                <w:sz w:val="24"/>
                <w:szCs w:val="24"/>
                <w:highlight w:val="none"/>
                <w:lang w:val="en-US" w:eastAsia="zh-CN"/>
              </w:rPr>
              <w:t>未提供计0分。</w:t>
            </w:r>
          </w:p>
        </w:tc>
      </w:tr>
      <w:tr w14:paraId="48862448">
        <w:tblPrEx>
          <w:tblCellMar>
            <w:top w:w="0" w:type="dxa"/>
            <w:left w:w="108" w:type="dxa"/>
            <w:bottom w:w="0" w:type="dxa"/>
            <w:right w:w="108" w:type="dxa"/>
          </w:tblCellMar>
        </w:tblPrEx>
        <w:trPr>
          <w:trHeight w:val="1902" w:hRule="atLeast"/>
          <w:jc w:val="center"/>
        </w:trPr>
        <w:tc>
          <w:tcPr>
            <w:tcW w:w="751" w:type="dxa"/>
            <w:vMerge w:val="continue"/>
            <w:tcBorders>
              <w:left w:val="single" w:color="auto" w:sz="4" w:space="0"/>
              <w:right w:val="single" w:color="000000" w:sz="6" w:space="0"/>
            </w:tcBorders>
            <w:noWrap w:val="0"/>
            <w:vAlign w:val="center"/>
          </w:tcPr>
          <w:p w14:paraId="3E46F366">
            <w:pPr>
              <w:keepNext w:val="0"/>
              <w:keepLines w:val="0"/>
              <w:pageBreakBefore w:val="0"/>
              <w:widowControl w:val="0"/>
              <w:kinsoku/>
              <w:wordWrap/>
              <w:overflowPunct/>
              <w:topLinePunct w:val="0"/>
              <w:autoSpaceDE/>
              <w:autoSpaceDN/>
              <w:bidi w:val="0"/>
              <w:spacing w:line="380" w:lineRule="exact"/>
              <w:jc w:val="center"/>
              <w:textAlignment w:val="auto"/>
              <w:rPr>
                <w:rFonts w:hint="eastAsia" w:ascii="宋体" w:hAnsi="宋体" w:eastAsia="宋体" w:cs="宋体"/>
                <w:b w:val="0"/>
                <w:bCs/>
                <w:color w:val="auto"/>
                <w:kern w:val="0"/>
                <w:sz w:val="24"/>
                <w:szCs w:val="24"/>
                <w:highlight w:val="none"/>
              </w:rPr>
            </w:pPr>
          </w:p>
        </w:tc>
        <w:tc>
          <w:tcPr>
            <w:tcW w:w="755" w:type="dxa"/>
            <w:vMerge w:val="continue"/>
            <w:tcBorders>
              <w:left w:val="single" w:color="000000" w:sz="6" w:space="0"/>
              <w:right w:val="single" w:color="000000" w:sz="6" w:space="0"/>
            </w:tcBorders>
            <w:noWrap w:val="0"/>
            <w:vAlign w:val="center"/>
          </w:tcPr>
          <w:p w14:paraId="257C6DF3">
            <w:pPr>
              <w:keepNext w:val="0"/>
              <w:keepLines w:val="0"/>
              <w:pageBreakBefore w:val="0"/>
              <w:widowControl w:val="0"/>
              <w:kinsoku/>
              <w:wordWrap/>
              <w:overflowPunct/>
              <w:topLinePunct w:val="0"/>
              <w:autoSpaceDE/>
              <w:autoSpaceDN/>
              <w:bidi w:val="0"/>
              <w:spacing w:line="380" w:lineRule="exact"/>
              <w:jc w:val="center"/>
              <w:textAlignment w:val="auto"/>
              <w:rPr>
                <w:rFonts w:hint="eastAsia" w:ascii="宋体" w:hAnsi="宋体" w:eastAsia="宋体" w:cs="宋体"/>
                <w:b w:val="0"/>
                <w:bCs/>
                <w:color w:val="auto"/>
                <w:kern w:val="0"/>
                <w:sz w:val="24"/>
                <w:szCs w:val="24"/>
                <w:highlight w:val="none"/>
                <w:lang w:val="en-US" w:eastAsia="zh-CN"/>
              </w:rPr>
            </w:pPr>
          </w:p>
        </w:tc>
        <w:tc>
          <w:tcPr>
            <w:tcW w:w="1263" w:type="dxa"/>
            <w:tcBorders>
              <w:top w:val="single" w:color="000000" w:sz="6" w:space="0"/>
              <w:left w:val="single" w:color="000000" w:sz="6" w:space="0"/>
              <w:bottom w:val="single" w:color="000000" w:sz="6" w:space="0"/>
              <w:right w:val="single" w:color="auto" w:sz="4" w:space="0"/>
            </w:tcBorders>
            <w:noWrap w:val="0"/>
            <w:vAlign w:val="center"/>
          </w:tcPr>
          <w:p w14:paraId="43128EC0">
            <w:pPr>
              <w:keepNext w:val="0"/>
              <w:keepLines w:val="0"/>
              <w:pageBreakBefore w:val="0"/>
              <w:widowControl w:val="0"/>
              <w:kinsoku/>
              <w:wordWrap/>
              <w:overflowPunct/>
              <w:topLinePunct w:val="0"/>
              <w:autoSpaceDE/>
              <w:autoSpaceDN/>
              <w:bidi w:val="0"/>
              <w:spacing w:line="380" w:lineRule="exact"/>
              <w:jc w:val="center"/>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人员配置及组织架构（</w:t>
            </w:r>
            <w:r>
              <w:rPr>
                <w:rFonts w:hint="eastAsia" w:ascii="宋体" w:hAnsi="宋体" w:cs="宋体"/>
                <w:color w:val="auto"/>
                <w:sz w:val="24"/>
                <w:szCs w:val="24"/>
                <w:highlight w:val="none"/>
                <w:lang w:val="en-US" w:eastAsia="zh-CN"/>
              </w:rPr>
              <w:t>6</w:t>
            </w:r>
            <w:r>
              <w:rPr>
                <w:rFonts w:hint="eastAsia" w:ascii="宋体" w:hAnsi="宋体" w:eastAsia="宋体" w:cs="宋体"/>
                <w:color w:val="auto"/>
                <w:sz w:val="24"/>
                <w:szCs w:val="24"/>
                <w:highlight w:val="none"/>
                <w:lang w:val="en-US" w:eastAsia="zh-CN"/>
              </w:rPr>
              <w:t>分）</w:t>
            </w:r>
          </w:p>
        </w:tc>
        <w:tc>
          <w:tcPr>
            <w:tcW w:w="6857" w:type="dxa"/>
            <w:tcBorders>
              <w:top w:val="single" w:color="000000" w:sz="6" w:space="0"/>
              <w:left w:val="single" w:color="000000" w:sz="6" w:space="0"/>
              <w:bottom w:val="single" w:color="000000" w:sz="6" w:space="0"/>
              <w:right w:val="single" w:color="auto" w:sz="4" w:space="0"/>
            </w:tcBorders>
            <w:noWrap w:val="0"/>
            <w:vAlign w:val="center"/>
          </w:tcPr>
          <w:p w14:paraId="09A5BAA6">
            <w:pPr>
              <w:keepNext w:val="0"/>
              <w:keepLines w:val="0"/>
              <w:widowControl/>
              <w:suppressLineNumbers w:val="0"/>
              <w:ind w:firstLine="480" w:firstLineChars="200"/>
              <w:jc w:val="left"/>
              <w:rPr>
                <w:color w:val="auto"/>
                <w:highlight w:val="none"/>
              </w:rPr>
            </w:pPr>
            <w:r>
              <w:rPr>
                <w:rFonts w:hint="eastAsia" w:ascii="宋体" w:hAnsi="宋体" w:eastAsia="宋体" w:cs="宋体"/>
                <w:color w:val="auto"/>
                <w:sz w:val="24"/>
                <w:szCs w:val="24"/>
                <w:highlight w:val="none"/>
                <w:lang w:val="en-US" w:eastAsia="zh-CN"/>
              </w:rPr>
              <w:t>供应商拟投入维保服务人员专业配置合理，有合理具体的人员组织安排，职责任务明确，项目架构合理，职员配备完整、人员实施过程沟通、配合措施详尽的计5-6分;项目架构基本合理，职员配备基本完整，计3-4分;项目架构有缺陷，职员配备只能满足采购人部分需求的计1-2分，未提供计0分。</w:t>
            </w:r>
          </w:p>
          <w:p w14:paraId="01C96657">
            <w:pPr>
              <w:keepNext w:val="0"/>
              <w:keepLines w:val="0"/>
              <w:widowControl/>
              <w:suppressLineNumbers w:val="0"/>
              <w:jc w:val="left"/>
              <w:rPr>
                <w:rFonts w:hint="eastAsia" w:ascii="宋体" w:hAnsi="宋体" w:eastAsia="宋体" w:cs="宋体"/>
                <w:b w:val="0"/>
                <w:bCs/>
                <w:color w:val="auto"/>
                <w:kern w:val="0"/>
                <w:sz w:val="24"/>
                <w:szCs w:val="24"/>
                <w:highlight w:val="none"/>
                <w:lang w:val="en-US"/>
              </w:rPr>
            </w:pPr>
          </w:p>
        </w:tc>
      </w:tr>
      <w:tr w14:paraId="2BBDE36B">
        <w:tblPrEx>
          <w:tblCellMar>
            <w:top w:w="0" w:type="dxa"/>
            <w:left w:w="108" w:type="dxa"/>
            <w:bottom w:w="0" w:type="dxa"/>
            <w:right w:w="108" w:type="dxa"/>
          </w:tblCellMar>
        </w:tblPrEx>
        <w:trPr>
          <w:trHeight w:val="1449" w:hRule="atLeast"/>
          <w:jc w:val="center"/>
        </w:trPr>
        <w:tc>
          <w:tcPr>
            <w:tcW w:w="751" w:type="dxa"/>
            <w:vMerge w:val="continue"/>
            <w:tcBorders>
              <w:left w:val="single" w:color="auto" w:sz="4" w:space="0"/>
              <w:right w:val="single" w:color="000000" w:sz="6" w:space="0"/>
            </w:tcBorders>
            <w:noWrap w:val="0"/>
            <w:vAlign w:val="center"/>
          </w:tcPr>
          <w:p w14:paraId="1188CE38">
            <w:pPr>
              <w:keepNext w:val="0"/>
              <w:keepLines w:val="0"/>
              <w:pageBreakBefore w:val="0"/>
              <w:widowControl w:val="0"/>
              <w:kinsoku/>
              <w:wordWrap/>
              <w:overflowPunct/>
              <w:topLinePunct w:val="0"/>
              <w:autoSpaceDE/>
              <w:autoSpaceDN/>
              <w:bidi w:val="0"/>
              <w:spacing w:line="380" w:lineRule="exact"/>
              <w:jc w:val="center"/>
              <w:textAlignment w:val="auto"/>
              <w:rPr>
                <w:rFonts w:hint="eastAsia" w:ascii="宋体" w:hAnsi="宋体" w:eastAsia="宋体" w:cs="宋体"/>
                <w:b w:val="0"/>
                <w:bCs/>
                <w:color w:val="auto"/>
                <w:kern w:val="0"/>
                <w:sz w:val="24"/>
                <w:szCs w:val="24"/>
                <w:highlight w:val="none"/>
              </w:rPr>
            </w:pPr>
          </w:p>
        </w:tc>
        <w:tc>
          <w:tcPr>
            <w:tcW w:w="755" w:type="dxa"/>
            <w:vMerge w:val="continue"/>
            <w:tcBorders>
              <w:left w:val="single" w:color="000000" w:sz="6" w:space="0"/>
              <w:right w:val="single" w:color="000000" w:sz="6" w:space="0"/>
            </w:tcBorders>
            <w:noWrap w:val="0"/>
            <w:vAlign w:val="center"/>
          </w:tcPr>
          <w:p w14:paraId="32559010">
            <w:pPr>
              <w:keepNext w:val="0"/>
              <w:keepLines w:val="0"/>
              <w:pageBreakBefore w:val="0"/>
              <w:widowControl w:val="0"/>
              <w:kinsoku/>
              <w:wordWrap/>
              <w:overflowPunct/>
              <w:topLinePunct w:val="0"/>
              <w:autoSpaceDE/>
              <w:autoSpaceDN/>
              <w:bidi w:val="0"/>
              <w:spacing w:line="380" w:lineRule="exact"/>
              <w:jc w:val="center"/>
              <w:textAlignment w:val="auto"/>
              <w:rPr>
                <w:rFonts w:hint="eastAsia" w:ascii="宋体" w:hAnsi="宋体" w:eastAsia="宋体" w:cs="宋体"/>
                <w:b w:val="0"/>
                <w:bCs/>
                <w:color w:val="auto"/>
                <w:kern w:val="0"/>
                <w:sz w:val="24"/>
                <w:szCs w:val="24"/>
                <w:highlight w:val="none"/>
                <w:lang w:val="en-US" w:eastAsia="zh-CN"/>
              </w:rPr>
            </w:pPr>
          </w:p>
        </w:tc>
        <w:tc>
          <w:tcPr>
            <w:tcW w:w="1263" w:type="dxa"/>
            <w:tcBorders>
              <w:top w:val="single" w:color="000000" w:sz="6" w:space="0"/>
              <w:left w:val="single" w:color="000000" w:sz="6" w:space="0"/>
              <w:bottom w:val="single" w:color="000000" w:sz="6" w:space="0"/>
              <w:right w:val="single" w:color="auto" w:sz="4" w:space="0"/>
            </w:tcBorders>
            <w:noWrap w:val="0"/>
            <w:vAlign w:val="center"/>
          </w:tcPr>
          <w:p w14:paraId="6E7314A4">
            <w:pPr>
              <w:keepNext w:val="0"/>
              <w:keepLines w:val="0"/>
              <w:pageBreakBefore w:val="0"/>
              <w:widowControl w:val="0"/>
              <w:kinsoku/>
              <w:wordWrap/>
              <w:overflowPunct/>
              <w:topLinePunct w:val="0"/>
              <w:autoSpaceDE/>
              <w:autoSpaceDN/>
              <w:bidi w:val="0"/>
              <w:spacing w:line="380" w:lineRule="exact"/>
              <w:jc w:val="center"/>
              <w:textAlignment w:val="auto"/>
              <w:rPr>
                <w:rFonts w:hint="eastAsia"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专业人员</w:t>
            </w:r>
            <w:r>
              <w:rPr>
                <w:rFonts w:hint="eastAsia" w:ascii="宋体" w:hAnsi="宋体" w:eastAsia="宋体" w:cs="宋体"/>
                <w:color w:val="auto"/>
                <w:sz w:val="24"/>
                <w:szCs w:val="24"/>
                <w:highlight w:val="none"/>
                <w:lang w:val="en-US" w:eastAsia="zh-CN"/>
              </w:rPr>
              <w:t>资质（</w:t>
            </w:r>
            <w:r>
              <w:rPr>
                <w:rFonts w:hint="eastAsia" w:ascii="宋体" w:hAnsi="宋体" w:cs="宋体"/>
                <w:color w:val="auto"/>
                <w:sz w:val="24"/>
                <w:szCs w:val="24"/>
                <w:highlight w:val="none"/>
                <w:lang w:val="en-US" w:eastAsia="zh-CN"/>
              </w:rPr>
              <w:t>6</w:t>
            </w:r>
            <w:r>
              <w:rPr>
                <w:rFonts w:hint="eastAsia" w:ascii="宋体" w:hAnsi="宋体" w:eastAsia="宋体" w:cs="宋体"/>
                <w:color w:val="auto"/>
                <w:sz w:val="24"/>
                <w:szCs w:val="24"/>
                <w:highlight w:val="none"/>
                <w:lang w:val="en-US" w:eastAsia="zh-CN"/>
              </w:rPr>
              <w:t>分）</w:t>
            </w:r>
          </w:p>
        </w:tc>
        <w:tc>
          <w:tcPr>
            <w:tcW w:w="6857" w:type="dxa"/>
            <w:tcBorders>
              <w:top w:val="single" w:color="000000" w:sz="6" w:space="0"/>
              <w:left w:val="single" w:color="000000" w:sz="6" w:space="0"/>
              <w:bottom w:val="single" w:color="000000" w:sz="6" w:space="0"/>
              <w:right w:val="single" w:color="auto" w:sz="4" w:space="0"/>
            </w:tcBorders>
            <w:noWrap w:val="0"/>
            <w:vAlign w:val="center"/>
          </w:tcPr>
          <w:p w14:paraId="523CACF9">
            <w:pPr>
              <w:keepNext w:val="0"/>
              <w:keepLines w:val="0"/>
              <w:pageBreakBefore w:val="0"/>
              <w:widowControl w:val="0"/>
              <w:kinsoku/>
              <w:wordWrap/>
              <w:overflowPunct/>
              <w:topLinePunct w:val="0"/>
              <w:autoSpaceDE/>
              <w:autoSpaceDN/>
              <w:bidi w:val="0"/>
              <w:adjustRightInd/>
              <w:snapToGrid/>
              <w:spacing w:line="380" w:lineRule="exact"/>
              <w:ind w:firstLine="480" w:firstLineChars="200"/>
              <w:jc w:val="left"/>
              <w:textAlignment w:val="auto"/>
              <w:rPr>
                <w:rFonts w:hint="eastAsia" w:ascii="宋体" w:hAnsi="宋体" w:eastAsia="宋体" w:cs="宋体"/>
                <w:color w:val="auto"/>
                <w:sz w:val="24"/>
                <w:szCs w:val="24"/>
                <w:highlight w:val="none"/>
                <w:lang w:val="zh-CN" w:eastAsia="zh-CN"/>
              </w:rPr>
            </w:pPr>
            <w:r>
              <w:rPr>
                <w:rFonts w:hint="eastAsia" w:ascii="宋体" w:hAnsi="宋体" w:eastAsia="宋体" w:cs="宋体"/>
                <w:color w:val="auto"/>
                <w:sz w:val="24"/>
                <w:szCs w:val="24"/>
                <w:highlight w:val="none"/>
                <w:lang w:val="zh-CN" w:eastAsia="zh-CN"/>
              </w:rPr>
              <w:t>为保证设备得到及时专业的维护，值班工作人员需持进网高压电工作业证上岗，供应商应提供3人进网高压电工作业证，每多提供一人，计2分，最高得6分。未提供计0分。</w:t>
            </w:r>
          </w:p>
        </w:tc>
      </w:tr>
      <w:tr w14:paraId="52E784AD">
        <w:tblPrEx>
          <w:tblCellMar>
            <w:top w:w="0" w:type="dxa"/>
            <w:left w:w="108" w:type="dxa"/>
            <w:bottom w:w="0" w:type="dxa"/>
            <w:right w:w="108" w:type="dxa"/>
          </w:tblCellMar>
        </w:tblPrEx>
        <w:trPr>
          <w:trHeight w:val="2595" w:hRule="atLeast"/>
          <w:jc w:val="center"/>
        </w:trPr>
        <w:tc>
          <w:tcPr>
            <w:tcW w:w="751" w:type="dxa"/>
            <w:vMerge w:val="continue"/>
            <w:tcBorders>
              <w:left w:val="single" w:color="auto" w:sz="4" w:space="0"/>
              <w:right w:val="single" w:color="000000" w:sz="6" w:space="0"/>
            </w:tcBorders>
            <w:noWrap w:val="0"/>
            <w:vAlign w:val="center"/>
          </w:tcPr>
          <w:p w14:paraId="67B84FFD">
            <w:pPr>
              <w:keepNext w:val="0"/>
              <w:keepLines w:val="0"/>
              <w:pageBreakBefore w:val="0"/>
              <w:widowControl w:val="0"/>
              <w:kinsoku/>
              <w:wordWrap/>
              <w:overflowPunct/>
              <w:topLinePunct w:val="0"/>
              <w:autoSpaceDE/>
              <w:autoSpaceDN/>
              <w:bidi w:val="0"/>
              <w:spacing w:line="380" w:lineRule="exact"/>
              <w:jc w:val="center"/>
              <w:textAlignment w:val="auto"/>
              <w:rPr>
                <w:rFonts w:hint="eastAsia" w:ascii="宋体" w:hAnsi="宋体" w:eastAsia="宋体" w:cs="宋体"/>
                <w:b w:val="0"/>
                <w:bCs/>
                <w:color w:val="auto"/>
                <w:kern w:val="0"/>
                <w:sz w:val="24"/>
                <w:szCs w:val="24"/>
                <w:highlight w:val="none"/>
              </w:rPr>
            </w:pPr>
          </w:p>
        </w:tc>
        <w:tc>
          <w:tcPr>
            <w:tcW w:w="755" w:type="dxa"/>
            <w:vMerge w:val="continue"/>
            <w:tcBorders>
              <w:left w:val="single" w:color="000000" w:sz="6" w:space="0"/>
              <w:bottom w:val="single" w:color="000000" w:sz="6" w:space="0"/>
              <w:right w:val="single" w:color="000000" w:sz="6" w:space="0"/>
            </w:tcBorders>
            <w:noWrap w:val="0"/>
            <w:vAlign w:val="center"/>
          </w:tcPr>
          <w:p w14:paraId="0420B1E2">
            <w:pPr>
              <w:keepNext w:val="0"/>
              <w:keepLines w:val="0"/>
              <w:pageBreakBefore w:val="0"/>
              <w:widowControl w:val="0"/>
              <w:kinsoku/>
              <w:wordWrap/>
              <w:overflowPunct/>
              <w:topLinePunct w:val="0"/>
              <w:autoSpaceDE/>
              <w:autoSpaceDN/>
              <w:bidi w:val="0"/>
              <w:spacing w:line="380" w:lineRule="exact"/>
              <w:jc w:val="center"/>
              <w:textAlignment w:val="auto"/>
              <w:rPr>
                <w:rFonts w:hint="eastAsia" w:ascii="宋体" w:hAnsi="宋体" w:eastAsia="宋体" w:cs="宋体"/>
                <w:b w:val="0"/>
                <w:bCs/>
                <w:color w:val="auto"/>
                <w:kern w:val="0"/>
                <w:sz w:val="24"/>
                <w:szCs w:val="24"/>
                <w:highlight w:val="none"/>
              </w:rPr>
            </w:pPr>
          </w:p>
        </w:tc>
        <w:tc>
          <w:tcPr>
            <w:tcW w:w="1263" w:type="dxa"/>
            <w:tcBorders>
              <w:top w:val="single" w:color="000000" w:sz="6" w:space="0"/>
              <w:left w:val="single" w:color="000000" w:sz="6" w:space="0"/>
              <w:bottom w:val="single" w:color="000000" w:sz="6" w:space="0"/>
              <w:right w:val="single" w:color="auto" w:sz="4" w:space="0"/>
            </w:tcBorders>
            <w:noWrap w:val="0"/>
            <w:vAlign w:val="center"/>
          </w:tcPr>
          <w:p w14:paraId="54B7F733">
            <w:pPr>
              <w:keepNext w:val="0"/>
              <w:keepLines w:val="0"/>
              <w:pageBreakBefore w:val="0"/>
              <w:widowControl w:val="0"/>
              <w:kinsoku/>
              <w:wordWrap/>
              <w:overflowPunct/>
              <w:topLinePunct w:val="0"/>
              <w:autoSpaceDE/>
              <w:autoSpaceDN/>
              <w:bidi w:val="0"/>
              <w:spacing w:line="380" w:lineRule="exact"/>
              <w:jc w:val="center"/>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维保服</w:t>
            </w:r>
          </w:p>
          <w:p w14:paraId="566BE650">
            <w:pPr>
              <w:keepNext w:val="0"/>
              <w:keepLines w:val="0"/>
              <w:pageBreakBefore w:val="0"/>
              <w:widowControl w:val="0"/>
              <w:kinsoku/>
              <w:wordWrap/>
              <w:overflowPunct/>
              <w:topLinePunct w:val="0"/>
              <w:autoSpaceDE/>
              <w:autoSpaceDN/>
              <w:bidi w:val="0"/>
              <w:spacing w:line="380" w:lineRule="exact"/>
              <w:jc w:val="center"/>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务分析</w:t>
            </w:r>
          </w:p>
          <w:p w14:paraId="0E4DA19A">
            <w:pPr>
              <w:keepNext w:val="0"/>
              <w:keepLines w:val="0"/>
              <w:pageBreakBefore w:val="0"/>
              <w:widowControl w:val="0"/>
              <w:kinsoku/>
              <w:wordWrap/>
              <w:overflowPunct/>
              <w:topLinePunct w:val="0"/>
              <w:autoSpaceDE/>
              <w:autoSpaceDN/>
              <w:bidi w:val="0"/>
              <w:spacing w:line="380" w:lineRule="exact"/>
              <w:jc w:val="center"/>
              <w:textAlignment w:val="auto"/>
              <w:rPr>
                <w:rFonts w:hint="eastAsia" w:ascii="宋体" w:hAnsi="宋体" w:eastAsia="宋体" w:cs="宋体"/>
                <w:b w:val="0"/>
                <w:bCs/>
                <w:color w:val="auto"/>
                <w:kern w:val="0"/>
                <w:sz w:val="24"/>
                <w:szCs w:val="24"/>
                <w:highlight w:val="none"/>
                <w:lang w:val="en-US" w:eastAsia="zh-CN"/>
              </w:rPr>
            </w:pPr>
            <w:r>
              <w:rPr>
                <w:rFonts w:hint="eastAsia" w:ascii="宋体" w:hAnsi="宋体" w:eastAsia="宋体" w:cs="宋体"/>
                <w:color w:val="auto"/>
                <w:sz w:val="24"/>
                <w:szCs w:val="24"/>
                <w:highlight w:val="none"/>
                <w:lang w:val="en-US" w:eastAsia="zh-CN"/>
              </w:rPr>
              <w:t>（10分）</w:t>
            </w:r>
          </w:p>
        </w:tc>
        <w:tc>
          <w:tcPr>
            <w:tcW w:w="6857" w:type="dxa"/>
            <w:tcBorders>
              <w:top w:val="single" w:color="000000" w:sz="6" w:space="0"/>
              <w:left w:val="single" w:color="000000" w:sz="6" w:space="0"/>
              <w:bottom w:val="single" w:color="000000" w:sz="6" w:space="0"/>
              <w:right w:val="single" w:color="auto" w:sz="4" w:space="0"/>
            </w:tcBorders>
            <w:noWrap w:val="0"/>
            <w:vAlign w:val="center"/>
          </w:tcPr>
          <w:p w14:paraId="4430F237">
            <w:pPr>
              <w:keepNext w:val="0"/>
              <w:keepLines w:val="0"/>
              <w:pageBreakBefore w:val="0"/>
              <w:widowControl w:val="0"/>
              <w:kinsoku/>
              <w:wordWrap/>
              <w:overflowPunct/>
              <w:topLinePunct w:val="0"/>
              <w:autoSpaceDE/>
              <w:autoSpaceDN/>
              <w:bidi w:val="0"/>
              <w:adjustRightInd/>
              <w:snapToGrid/>
              <w:spacing w:line="380" w:lineRule="exact"/>
              <w:ind w:firstLine="480" w:firstLineChars="200"/>
              <w:jc w:val="left"/>
              <w:textAlignment w:val="auto"/>
              <w:rPr>
                <w:rFonts w:hint="eastAsia" w:ascii="宋体" w:hAnsi="宋体" w:eastAsia="宋体" w:cs="宋体"/>
                <w:b w:val="0"/>
                <w:bCs/>
                <w:color w:val="auto"/>
                <w:kern w:val="0"/>
                <w:sz w:val="24"/>
                <w:szCs w:val="24"/>
                <w:highlight w:val="none"/>
              </w:rPr>
            </w:pPr>
            <w:r>
              <w:rPr>
                <w:rFonts w:hint="eastAsia" w:ascii="宋体" w:hAnsi="宋体" w:eastAsia="宋体" w:cs="宋体"/>
                <w:color w:val="auto"/>
                <w:sz w:val="24"/>
                <w:szCs w:val="24"/>
                <w:highlight w:val="none"/>
                <w:lang w:val="en-US" w:eastAsia="zh-CN"/>
              </w:rPr>
              <w:t>供应商针对设备运行中可能出现的问题及重大故障，有</w:t>
            </w:r>
            <w:r>
              <w:rPr>
                <w:rFonts w:hint="eastAsia" w:ascii="宋体" w:hAnsi="宋体" w:eastAsia="宋体" w:cs="宋体"/>
                <w:color w:val="auto"/>
                <w:sz w:val="24"/>
                <w:szCs w:val="24"/>
                <w:highlight w:val="none"/>
                <w:lang w:val="zh-CN"/>
              </w:rPr>
              <w:t>行之有效</w:t>
            </w:r>
            <w:r>
              <w:rPr>
                <w:rFonts w:hint="eastAsia" w:ascii="宋体" w:hAnsi="宋体" w:eastAsia="宋体" w:cs="宋体"/>
                <w:color w:val="auto"/>
                <w:sz w:val="24"/>
                <w:szCs w:val="24"/>
                <w:highlight w:val="none"/>
                <w:lang w:val="zh-CN" w:eastAsia="zh-CN"/>
              </w:rPr>
              <w:t>的</w:t>
            </w:r>
            <w:r>
              <w:rPr>
                <w:rFonts w:hint="eastAsia" w:ascii="宋体" w:hAnsi="宋体" w:eastAsia="宋体" w:cs="宋体"/>
                <w:color w:val="auto"/>
                <w:sz w:val="24"/>
                <w:szCs w:val="24"/>
                <w:highlight w:val="none"/>
                <w:lang w:val="en-US" w:eastAsia="zh-CN"/>
              </w:rPr>
              <w:t>措施和</w:t>
            </w:r>
            <w:r>
              <w:rPr>
                <w:rFonts w:hint="eastAsia" w:ascii="宋体" w:hAnsi="宋体" w:eastAsia="宋体" w:cs="宋体"/>
                <w:color w:val="auto"/>
                <w:sz w:val="24"/>
                <w:szCs w:val="24"/>
                <w:highlight w:val="none"/>
                <w:lang w:val="zh-CN"/>
              </w:rPr>
              <w:t>详细具体</w:t>
            </w:r>
            <w:r>
              <w:rPr>
                <w:rFonts w:hint="eastAsia" w:ascii="宋体" w:hAnsi="宋体" w:eastAsia="宋体" w:cs="宋体"/>
                <w:color w:val="auto"/>
                <w:sz w:val="24"/>
                <w:szCs w:val="24"/>
                <w:highlight w:val="none"/>
                <w:lang w:val="zh-CN" w:eastAsia="zh-CN"/>
              </w:rPr>
              <w:t>的</w:t>
            </w:r>
            <w:r>
              <w:rPr>
                <w:rFonts w:hint="eastAsia" w:ascii="宋体" w:hAnsi="宋体" w:eastAsia="宋体" w:cs="宋体"/>
                <w:color w:val="auto"/>
                <w:sz w:val="24"/>
                <w:szCs w:val="24"/>
                <w:highlight w:val="none"/>
                <w:lang w:val="en-US" w:eastAsia="zh-CN"/>
              </w:rPr>
              <w:t>解决方案，对故障响应时间、维修服务时限及特殊情况下不能及时排除故障造成损失的赔偿方案等方面有明确的措施及承诺，对故障及问题分析理解透彻，措施科学合理、承诺全面的计7-10分，分析的较为全面、措施及承诺基本满足采购需求的计4-6分，分析及措施存在缺陷或不足、承诺无法满足采购需求的计1-3分，未提供计0分。</w:t>
            </w:r>
          </w:p>
        </w:tc>
      </w:tr>
      <w:tr w14:paraId="15436E19">
        <w:tblPrEx>
          <w:tblCellMar>
            <w:top w:w="0" w:type="dxa"/>
            <w:left w:w="108" w:type="dxa"/>
            <w:bottom w:w="0" w:type="dxa"/>
            <w:right w:w="108" w:type="dxa"/>
          </w:tblCellMar>
        </w:tblPrEx>
        <w:trPr>
          <w:trHeight w:val="2065" w:hRule="atLeast"/>
          <w:jc w:val="center"/>
        </w:trPr>
        <w:tc>
          <w:tcPr>
            <w:tcW w:w="751" w:type="dxa"/>
            <w:vMerge w:val="continue"/>
            <w:tcBorders>
              <w:left w:val="single" w:color="auto" w:sz="4" w:space="0"/>
              <w:right w:val="single" w:color="000000" w:sz="6" w:space="0"/>
            </w:tcBorders>
            <w:noWrap w:val="0"/>
            <w:vAlign w:val="center"/>
          </w:tcPr>
          <w:p w14:paraId="283E9279">
            <w:pPr>
              <w:keepNext w:val="0"/>
              <w:keepLines w:val="0"/>
              <w:pageBreakBefore w:val="0"/>
              <w:widowControl w:val="0"/>
              <w:kinsoku/>
              <w:wordWrap/>
              <w:overflowPunct/>
              <w:topLinePunct w:val="0"/>
              <w:autoSpaceDE/>
              <w:autoSpaceDN/>
              <w:bidi w:val="0"/>
              <w:spacing w:line="380" w:lineRule="exact"/>
              <w:jc w:val="center"/>
              <w:textAlignment w:val="auto"/>
              <w:rPr>
                <w:rFonts w:hint="eastAsia" w:ascii="宋体" w:hAnsi="宋体" w:eastAsia="宋体" w:cs="宋体"/>
                <w:b w:val="0"/>
                <w:bCs/>
                <w:color w:val="auto"/>
                <w:kern w:val="0"/>
                <w:sz w:val="24"/>
                <w:szCs w:val="24"/>
                <w:highlight w:val="none"/>
              </w:rPr>
            </w:pPr>
          </w:p>
        </w:tc>
        <w:tc>
          <w:tcPr>
            <w:tcW w:w="755" w:type="dxa"/>
            <w:vMerge w:val="restart"/>
            <w:tcBorders>
              <w:top w:val="single" w:color="000000" w:sz="6" w:space="0"/>
              <w:left w:val="single" w:color="000000" w:sz="6" w:space="0"/>
              <w:right w:val="single" w:color="000000" w:sz="6" w:space="0"/>
            </w:tcBorders>
            <w:noWrap w:val="0"/>
            <w:vAlign w:val="center"/>
          </w:tcPr>
          <w:p w14:paraId="517AA2C2">
            <w:pPr>
              <w:keepNext w:val="0"/>
              <w:keepLines w:val="0"/>
              <w:pageBreakBefore w:val="0"/>
              <w:widowControl w:val="0"/>
              <w:kinsoku/>
              <w:wordWrap/>
              <w:overflowPunct/>
              <w:topLinePunct w:val="0"/>
              <w:autoSpaceDE/>
              <w:autoSpaceDN/>
              <w:bidi w:val="0"/>
              <w:spacing w:line="380" w:lineRule="exact"/>
              <w:jc w:val="center"/>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服务</w:t>
            </w:r>
          </w:p>
          <w:p w14:paraId="6F974D70">
            <w:pPr>
              <w:keepNext w:val="0"/>
              <w:keepLines w:val="0"/>
              <w:pageBreakBefore w:val="0"/>
              <w:widowControl w:val="0"/>
              <w:kinsoku/>
              <w:wordWrap/>
              <w:overflowPunct/>
              <w:topLinePunct w:val="0"/>
              <w:autoSpaceDE/>
              <w:autoSpaceDN/>
              <w:bidi w:val="0"/>
              <w:spacing w:line="380" w:lineRule="exact"/>
              <w:jc w:val="center"/>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能力</w:t>
            </w:r>
          </w:p>
          <w:p w14:paraId="20BBB759">
            <w:pPr>
              <w:keepNext w:val="0"/>
              <w:keepLines w:val="0"/>
              <w:pageBreakBefore w:val="0"/>
              <w:widowControl w:val="0"/>
              <w:kinsoku/>
              <w:wordWrap/>
              <w:overflowPunct/>
              <w:topLinePunct w:val="0"/>
              <w:autoSpaceDE/>
              <w:autoSpaceDN/>
              <w:bidi w:val="0"/>
              <w:spacing w:line="380" w:lineRule="exact"/>
              <w:jc w:val="center"/>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w:t>
            </w:r>
            <w:r>
              <w:rPr>
                <w:rFonts w:hint="eastAsia" w:ascii="宋体" w:hAnsi="宋体" w:cs="宋体"/>
                <w:color w:val="auto"/>
                <w:sz w:val="24"/>
                <w:szCs w:val="24"/>
                <w:highlight w:val="none"/>
                <w:lang w:val="en-US" w:eastAsia="zh-CN"/>
              </w:rPr>
              <w:t>27</w:t>
            </w:r>
            <w:r>
              <w:rPr>
                <w:rFonts w:hint="eastAsia" w:ascii="宋体" w:hAnsi="宋体" w:eastAsia="宋体" w:cs="宋体"/>
                <w:color w:val="auto"/>
                <w:sz w:val="24"/>
                <w:szCs w:val="24"/>
                <w:highlight w:val="none"/>
                <w:lang w:val="en-US" w:eastAsia="zh-CN"/>
              </w:rPr>
              <w:t>分）</w:t>
            </w:r>
          </w:p>
        </w:tc>
        <w:tc>
          <w:tcPr>
            <w:tcW w:w="1263" w:type="dxa"/>
            <w:tcBorders>
              <w:top w:val="single" w:color="000000" w:sz="6" w:space="0"/>
              <w:left w:val="single" w:color="000000" w:sz="6" w:space="0"/>
              <w:bottom w:val="single" w:color="000000" w:sz="6" w:space="0"/>
              <w:right w:val="single" w:color="auto" w:sz="4" w:space="0"/>
            </w:tcBorders>
            <w:noWrap w:val="0"/>
            <w:vAlign w:val="center"/>
          </w:tcPr>
          <w:p w14:paraId="1365819D">
            <w:pPr>
              <w:keepNext w:val="0"/>
              <w:keepLines w:val="0"/>
              <w:pageBreakBefore w:val="0"/>
              <w:widowControl w:val="0"/>
              <w:kinsoku/>
              <w:wordWrap/>
              <w:overflowPunct/>
              <w:topLinePunct w:val="0"/>
              <w:autoSpaceDE/>
              <w:autoSpaceDN/>
              <w:bidi w:val="0"/>
              <w:spacing w:line="380" w:lineRule="exact"/>
              <w:jc w:val="center"/>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内控制度</w:t>
            </w:r>
          </w:p>
          <w:p w14:paraId="34D8B676">
            <w:pPr>
              <w:keepNext w:val="0"/>
              <w:keepLines w:val="0"/>
              <w:pageBreakBefore w:val="0"/>
              <w:widowControl w:val="0"/>
              <w:kinsoku/>
              <w:wordWrap/>
              <w:overflowPunct/>
              <w:topLinePunct w:val="0"/>
              <w:autoSpaceDE/>
              <w:autoSpaceDN/>
              <w:bidi w:val="0"/>
              <w:spacing w:line="380" w:lineRule="exact"/>
              <w:jc w:val="center"/>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（10分）</w:t>
            </w:r>
          </w:p>
        </w:tc>
        <w:tc>
          <w:tcPr>
            <w:tcW w:w="6857" w:type="dxa"/>
            <w:tcBorders>
              <w:top w:val="single" w:color="000000" w:sz="6" w:space="0"/>
              <w:left w:val="single" w:color="000000" w:sz="6" w:space="0"/>
              <w:bottom w:val="single" w:color="000000" w:sz="6" w:space="0"/>
              <w:right w:val="single" w:color="auto" w:sz="4" w:space="0"/>
            </w:tcBorders>
            <w:noWrap w:val="0"/>
            <w:vAlign w:val="top"/>
          </w:tcPr>
          <w:p w14:paraId="7AD6B413">
            <w:pPr>
              <w:keepNext w:val="0"/>
              <w:keepLines w:val="0"/>
              <w:pageBreakBefore w:val="0"/>
              <w:widowControl w:val="0"/>
              <w:kinsoku/>
              <w:wordWrap/>
              <w:overflowPunct/>
              <w:topLinePunct w:val="0"/>
              <w:autoSpaceDE/>
              <w:autoSpaceDN/>
              <w:bidi w:val="0"/>
              <w:adjustRightInd/>
              <w:snapToGrid/>
              <w:spacing w:line="380" w:lineRule="exact"/>
              <w:ind w:firstLine="480" w:firstLineChars="200"/>
              <w:jc w:val="left"/>
              <w:textAlignment w:val="auto"/>
              <w:rPr>
                <w:rFonts w:hint="eastAsia" w:ascii="宋体" w:hAnsi="宋体" w:eastAsia="宋体" w:cs="宋体"/>
                <w:b w:val="0"/>
                <w:bCs/>
                <w:color w:val="auto"/>
                <w:kern w:val="0"/>
                <w:sz w:val="24"/>
                <w:szCs w:val="24"/>
                <w:highlight w:val="none"/>
              </w:rPr>
            </w:pPr>
            <w:r>
              <w:rPr>
                <w:rFonts w:hint="eastAsia" w:ascii="宋体" w:hAnsi="宋体" w:eastAsia="宋体" w:cs="宋体"/>
                <w:color w:val="auto"/>
                <w:sz w:val="24"/>
                <w:szCs w:val="24"/>
                <w:highlight w:val="none"/>
                <w:lang w:val="en-US" w:eastAsia="zh-CN"/>
              </w:rPr>
              <w:t>供应商有健全的内控制度，有针对本项目的具体的工作方法、</w:t>
            </w:r>
            <w:r>
              <w:rPr>
                <w:rFonts w:hint="eastAsia" w:ascii="宋体" w:hAnsi="宋体" w:eastAsia="宋体" w:cs="宋体"/>
                <w:color w:val="auto"/>
                <w:sz w:val="24"/>
                <w:szCs w:val="24"/>
                <w:highlight w:val="none"/>
                <w:lang w:val="zh-CN"/>
              </w:rPr>
              <w:t>有详细的维保制度、维保计划、操作规程</w:t>
            </w:r>
            <w:r>
              <w:rPr>
                <w:rFonts w:hint="eastAsia" w:ascii="宋体" w:hAnsi="宋体" w:eastAsia="宋体" w:cs="宋体"/>
                <w:color w:val="auto"/>
                <w:sz w:val="24"/>
                <w:szCs w:val="24"/>
                <w:highlight w:val="none"/>
                <w:lang w:val="en-US" w:eastAsia="zh-CN"/>
              </w:rPr>
              <w:t>等计7-10分；内控制度较完善，工作方法较具体，维保制度、维保计划、操作规程基本详细的计4-6分；工作方法不够具体，维保制度、维保计划、操作规程不够完善的计1-3分，未提供计0分。</w:t>
            </w:r>
          </w:p>
        </w:tc>
      </w:tr>
      <w:tr w14:paraId="464D8574">
        <w:tblPrEx>
          <w:tblCellMar>
            <w:top w:w="0" w:type="dxa"/>
            <w:left w:w="108" w:type="dxa"/>
            <w:bottom w:w="0" w:type="dxa"/>
            <w:right w:w="108" w:type="dxa"/>
          </w:tblCellMar>
        </w:tblPrEx>
        <w:trPr>
          <w:trHeight w:val="1070" w:hRule="atLeast"/>
          <w:jc w:val="center"/>
        </w:trPr>
        <w:tc>
          <w:tcPr>
            <w:tcW w:w="751" w:type="dxa"/>
            <w:vMerge w:val="continue"/>
            <w:tcBorders>
              <w:left w:val="single" w:color="auto" w:sz="4" w:space="0"/>
              <w:right w:val="single" w:color="000000" w:sz="6" w:space="0"/>
            </w:tcBorders>
            <w:noWrap w:val="0"/>
            <w:vAlign w:val="center"/>
          </w:tcPr>
          <w:p w14:paraId="7F213C0B">
            <w:pPr>
              <w:keepNext w:val="0"/>
              <w:keepLines w:val="0"/>
              <w:pageBreakBefore w:val="0"/>
              <w:widowControl w:val="0"/>
              <w:kinsoku/>
              <w:wordWrap/>
              <w:overflowPunct/>
              <w:topLinePunct w:val="0"/>
              <w:autoSpaceDE/>
              <w:autoSpaceDN/>
              <w:bidi w:val="0"/>
              <w:spacing w:line="380" w:lineRule="exact"/>
              <w:jc w:val="center"/>
              <w:textAlignment w:val="auto"/>
              <w:rPr>
                <w:rFonts w:hint="eastAsia" w:ascii="宋体" w:hAnsi="宋体" w:eastAsia="宋体" w:cs="宋体"/>
                <w:b w:val="0"/>
                <w:bCs/>
                <w:color w:val="auto"/>
                <w:kern w:val="0"/>
                <w:sz w:val="24"/>
                <w:szCs w:val="24"/>
                <w:highlight w:val="none"/>
              </w:rPr>
            </w:pPr>
          </w:p>
        </w:tc>
        <w:tc>
          <w:tcPr>
            <w:tcW w:w="755" w:type="dxa"/>
            <w:vMerge w:val="continue"/>
            <w:tcBorders>
              <w:left w:val="single" w:color="000000" w:sz="6" w:space="0"/>
              <w:right w:val="single" w:color="000000" w:sz="6" w:space="0"/>
            </w:tcBorders>
            <w:noWrap w:val="0"/>
            <w:vAlign w:val="center"/>
          </w:tcPr>
          <w:p w14:paraId="2D618E0B">
            <w:pPr>
              <w:keepNext w:val="0"/>
              <w:keepLines w:val="0"/>
              <w:pageBreakBefore w:val="0"/>
              <w:widowControl w:val="0"/>
              <w:kinsoku/>
              <w:wordWrap/>
              <w:overflowPunct/>
              <w:topLinePunct w:val="0"/>
              <w:autoSpaceDE/>
              <w:autoSpaceDN/>
              <w:bidi w:val="0"/>
              <w:spacing w:line="380" w:lineRule="exact"/>
              <w:jc w:val="center"/>
              <w:textAlignment w:val="auto"/>
              <w:rPr>
                <w:rFonts w:hint="eastAsia" w:ascii="宋体" w:hAnsi="宋体" w:eastAsia="宋体" w:cs="宋体"/>
                <w:color w:val="auto"/>
                <w:sz w:val="24"/>
                <w:szCs w:val="24"/>
                <w:highlight w:val="none"/>
                <w:lang w:val="en-US" w:eastAsia="zh-CN"/>
              </w:rPr>
            </w:pPr>
          </w:p>
        </w:tc>
        <w:tc>
          <w:tcPr>
            <w:tcW w:w="1263" w:type="dxa"/>
            <w:tcBorders>
              <w:top w:val="single" w:color="000000" w:sz="6" w:space="0"/>
              <w:left w:val="single" w:color="000000" w:sz="6" w:space="0"/>
              <w:bottom w:val="single" w:color="000000" w:sz="6" w:space="0"/>
              <w:right w:val="single" w:color="auto" w:sz="4" w:space="0"/>
            </w:tcBorders>
            <w:noWrap w:val="0"/>
            <w:vAlign w:val="center"/>
          </w:tcPr>
          <w:p w14:paraId="48C1B86A">
            <w:pPr>
              <w:keepNext w:val="0"/>
              <w:keepLines w:val="0"/>
              <w:pageBreakBefore w:val="0"/>
              <w:widowControl w:val="0"/>
              <w:kinsoku/>
              <w:wordWrap/>
              <w:overflowPunct/>
              <w:topLinePunct w:val="0"/>
              <w:autoSpaceDE/>
              <w:autoSpaceDN/>
              <w:bidi w:val="0"/>
              <w:spacing w:line="380" w:lineRule="exact"/>
              <w:jc w:val="both"/>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应急措施</w:t>
            </w:r>
          </w:p>
          <w:p w14:paraId="3EA9975C">
            <w:pPr>
              <w:keepNext w:val="0"/>
              <w:keepLines w:val="0"/>
              <w:pageBreakBefore w:val="0"/>
              <w:widowControl w:val="0"/>
              <w:kinsoku/>
              <w:wordWrap/>
              <w:overflowPunct/>
              <w:topLinePunct w:val="0"/>
              <w:autoSpaceDE/>
              <w:autoSpaceDN/>
              <w:bidi w:val="0"/>
              <w:spacing w:line="380" w:lineRule="exact"/>
              <w:jc w:val="center"/>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w:t>
            </w:r>
            <w:r>
              <w:rPr>
                <w:rFonts w:hint="eastAsia" w:ascii="宋体" w:hAnsi="宋体" w:cs="宋体"/>
                <w:color w:val="auto"/>
                <w:sz w:val="24"/>
                <w:szCs w:val="24"/>
                <w:highlight w:val="none"/>
                <w:lang w:val="en-US" w:eastAsia="zh-CN"/>
              </w:rPr>
              <w:t>8</w:t>
            </w:r>
            <w:r>
              <w:rPr>
                <w:rFonts w:hint="eastAsia" w:ascii="宋体" w:hAnsi="宋体" w:eastAsia="宋体" w:cs="宋体"/>
                <w:color w:val="auto"/>
                <w:sz w:val="24"/>
                <w:szCs w:val="24"/>
                <w:highlight w:val="none"/>
                <w:lang w:val="en-US" w:eastAsia="zh-CN"/>
              </w:rPr>
              <w:t>分）</w:t>
            </w:r>
          </w:p>
        </w:tc>
        <w:tc>
          <w:tcPr>
            <w:tcW w:w="6857" w:type="dxa"/>
            <w:tcBorders>
              <w:top w:val="single" w:color="000000" w:sz="6" w:space="0"/>
              <w:left w:val="single" w:color="000000" w:sz="6" w:space="0"/>
              <w:bottom w:val="single" w:color="000000" w:sz="6" w:space="0"/>
              <w:right w:val="single" w:color="auto" w:sz="4" w:space="0"/>
            </w:tcBorders>
            <w:noWrap w:val="0"/>
            <w:vAlign w:val="top"/>
          </w:tcPr>
          <w:p w14:paraId="52B2FA94">
            <w:pPr>
              <w:keepNext w:val="0"/>
              <w:keepLines w:val="0"/>
              <w:pageBreakBefore w:val="0"/>
              <w:widowControl w:val="0"/>
              <w:kinsoku/>
              <w:wordWrap/>
              <w:overflowPunct/>
              <w:topLinePunct w:val="0"/>
              <w:autoSpaceDE/>
              <w:autoSpaceDN/>
              <w:bidi w:val="0"/>
              <w:adjustRightInd/>
              <w:snapToGrid/>
              <w:spacing w:line="38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szCs w:val="24"/>
                <w:highlight w:val="none"/>
                <w:lang w:val="en-US" w:eastAsia="zh-CN"/>
              </w:rPr>
              <w:t>供应商</w:t>
            </w:r>
            <w:r>
              <w:rPr>
                <w:rFonts w:hint="eastAsia" w:ascii="宋体" w:hAnsi="宋体" w:eastAsia="宋体" w:cs="宋体"/>
                <w:color w:val="auto"/>
                <w:sz w:val="24"/>
                <w:szCs w:val="24"/>
                <w:highlight w:val="none"/>
              </w:rPr>
              <w:t>针对本项目服务的应急预案措施，针对各类突发事件制定切实可行的应急预案措施</w:t>
            </w:r>
            <w:r>
              <w:rPr>
                <w:rFonts w:hint="eastAsia" w:ascii="宋体" w:hAnsi="宋体" w:eastAsia="宋体" w:cs="宋体"/>
                <w:color w:val="auto"/>
                <w:sz w:val="24"/>
                <w:highlight w:val="none"/>
              </w:rPr>
              <w:t>方案</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对</w:t>
            </w:r>
            <w:r>
              <w:rPr>
                <w:rFonts w:hint="eastAsia" w:ascii="宋体" w:hAnsi="宋体" w:eastAsia="宋体" w:cs="宋体"/>
                <w:color w:val="auto"/>
                <w:sz w:val="24"/>
                <w:szCs w:val="24"/>
                <w:highlight w:val="none"/>
              </w:rPr>
              <w:t>突发情况分析</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突发事件处理措施；突发事件处理专班和责任人</w:t>
            </w:r>
            <w:r>
              <w:rPr>
                <w:rFonts w:hint="eastAsia" w:ascii="宋体" w:hAnsi="宋体" w:eastAsia="宋体" w:cs="宋体"/>
                <w:color w:val="auto"/>
                <w:sz w:val="24"/>
                <w:szCs w:val="24"/>
                <w:highlight w:val="none"/>
                <w:lang w:val="en-US" w:eastAsia="zh-CN"/>
              </w:rPr>
              <w:t>等，措施方案制定合理、完善</w:t>
            </w:r>
            <w:r>
              <w:rPr>
                <w:rFonts w:hint="eastAsia" w:ascii="宋体" w:hAnsi="宋体" w:eastAsia="宋体" w:cs="宋体"/>
                <w:color w:val="auto"/>
                <w:sz w:val="24"/>
                <w:szCs w:val="24"/>
                <w:highlight w:val="none"/>
              </w:rPr>
              <w:t>详细</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切实可行</w:t>
            </w:r>
            <w:r>
              <w:rPr>
                <w:rFonts w:hint="eastAsia" w:ascii="宋体" w:hAnsi="宋体" w:eastAsia="宋体" w:cs="宋体"/>
                <w:color w:val="auto"/>
                <w:sz w:val="24"/>
                <w:szCs w:val="24"/>
                <w:highlight w:val="none"/>
              </w:rPr>
              <w:t>的计</w:t>
            </w:r>
            <w:r>
              <w:rPr>
                <w:rFonts w:hint="eastAsia" w:ascii="宋体" w:hAnsi="宋体" w:eastAsia="宋体" w:cs="宋体"/>
                <w:color w:val="auto"/>
                <w:sz w:val="24"/>
                <w:szCs w:val="24"/>
                <w:highlight w:val="none"/>
                <w:lang w:val="en-US" w:eastAsia="zh-CN"/>
              </w:rPr>
              <w:t>6-8</w:t>
            </w:r>
            <w:r>
              <w:rPr>
                <w:rFonts w:hint="eastAsia" w:ascii="宋体" w:hAnsi="宋体" w:eastAsia="宋体" w:cs="宋体"/>
                <w:color w:val="auto"/>
                <w:sz w:val="24"/>
                <w:szCs w:val="24"/>
                <w:highlight w:val="none"/>
              </w:rPr>
              <w:t>分，</w:t>
            </w:r>
            <w:r>
              <w:rPr>
                <w:rFonts w:hint="eastAsia" w:ascii="宋体" w:hAnsi="宋体" w:eastAsia="宋体" w:cs="宋体"/>
                <w:color w:val="auto"/>
                <w:sz w:val="24"/>
                <w:szCs w:val="24"/>
                <w:highlight w:val="none"/>
                <w:lang w:val="en-US" w:eastAsia="zh-CN"/>
              </w:rPr>
              <w:t>措施方案制定较为合理，基本可行的3-5</w:t>
            </w:r>
            <w:r>
              <w:rPr>
                <w:rFonts w:hint="eastAsia" w:ascii="宋体" w:hAnsi="宋体" w:eastAsia="宋体" w:cs="宋体"/>
                <w:color w:val="auto"/>
                <w:sz w:val="24"/>
                <w:szCs w:val="24"/>
                <w:highlight w:val="none"/>
              </w:rPr>
              <w:t>分</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措施方案制定存在部分缺陷和不足的计1-2分</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未提供计0分。</w:t>
            </w:r>
          </w:p>
        </w:tc>
      </w:tr>
      <w:tr w14:paraId="3F7156DE">
        <w:tblPrEx>
          <w:tblCellMar>
            <w:top w:w="0" w:type="dxa"/>
            <w:left w:w="108" w:type="dxa"/>
            <w:bottom w:w="0" w:type="dxa"/>
            <w:right w:w="108" w:type="dxa"/>
          </w:tblCellMar>
        </w:tblPrEx>
        <w:trPr>
          <w:trHeight w:val="2044" w:hRule="atLeast"/>
          <w:jc w:val="center"/>
        </w:trPr>
        <w:tc>
          <w:tcPr>
            <w:tcW w:w="751" w:type="dxa"/>
            <w:vMerge w:val="continue"/>
            <w:tcBorders>
              <w:left w:val="single" w:color="auto" w:sz="4" w:space="0"/>
              <w:bottom w:val="single" w:color="auto" w:sz="4" w:space="0"/>
              <w:right w:val="single" w:color="000000" w:sz="6" w:space="0"/>
            </w:tcBorders>
            <w:noWrap w:val="0"/>
            <w:vAlign w:val="center"/>
          </w:tcPr>
          <w:p w14:paraId="57D70F39">
            <w:pPr>
              <w:keepNext w:val="0"/>
              <w:keepLines w:val="0"/>
              <w:pageBreakBefore w:val="0"/>
              <w:widowControl w:val="0"/>
              <w:kinsoku/>
              <w:wordWrap/>
              <w:overflowPunct/>
              <w:topLinePunct w:val="0"/>
              <w:autoSpaceDE/>
              <w:autoSpaceDN/>
              <w:bidi w:val="0"/>
              <w:spacing w:line="380" w:lineRule="exact"/>
              <w:jc w:val="center"/>
              <w:textAlignment w:val="auto"/>
              <w:rPr>
                <w:rFonts w:hint="eastAsia" w:ascii="宋体" w:hAnsi="宋体" w:eastAsia="宋体" w:cs="宋体"/>
                <w:b w:val="0"/>
                <w:bCs/>
                <w:color w:val="auto"/>
                <w:kern w:val="0"/>
                <w:sz w:val="24"/>
                <w:szCs w:val="24"/>
                <w:highlight w:val="none"/>
              </w:rPr>
            </w:pPr>
          </w:p>
        </w:tc>
        <w:tc>
          <w:tcPr>
            <w:tcW w:w="755" w:type="dxa"/>
            <w:vMerge w:val="continue"/>
            <w:tcBorders>
              <w:left w:val="single" w:color="000000" w:sz="6" w:space="0"/>
              <w:bottom w:val="single" w:color="auto" w:sz="4" w:space="0"/>
              <w:right w:val="single" w:color="000000" w:sz="6" w:space="0"/>
            </w:tcBorders>
            <w:noWrap w:val="0"/>
            <w:vAlign w:val="center"/>
          </w:tcPr>
          <w:p w14:paraId="3B7C289F">
            <w:pPr>
              <w:keepNext w:val="0"/>
              <w:keepLines w:val="0"/>
              <w:pageBreakBefore w:val="0"/>
              <w:widowControl w:val="0"/>
              <w:kinsoku/>
              <w:wordWrap/>
              <w:overflowPunct/>
              <w:topLinePunct w:val="0"/>
              <w:autoSpaceDE/>
              <w:autoSpaceDN/>
              <w:bidi w:val="0"/>
              <w:spacing w:line="380" w:lineRule="exact"/>
              <w:jc w:val="center"/>
              <w:textAlignment w:val="auto"/>
              <w:rPr>
                <w:rFonts w:hint="eastAsia" w:ascii="宋体" w:hAnsi="宋体" w:eastAsia="宋体" w:cs="宋体"/>
                <w:color w:val="auto"/>
                <w:sz w:val="24"/>
                <w:szCs w:val="24"/>
                <w:highlight w:val="none"/>
                <w:lang w:val="en-US" w:eastAsia="zh-CN"/>
              </w:rPr>
            </w:pPr>
          </w:p>
        </w:tc>
        <w:tc>
          <w:tcPr>
            <w:tcW w:w="1263" w:type="dxa"/>
            <w:tcBorders>
              <w:top w:val="single" w:color="000000" w:sz="6" w:space="0"/>
              <w:left w:val="single" w:color="000000" w:sz="6" w:space="0"/>
              <w:bottom w:val="single" w:color="000000" w:sz="6" w:space="0"/>
              <w:right w:val="single" w:color="auto" w:sz="4" w:space="0"/>
            </w:tcBorders>
            <w:noWrap w:val="0"/>
            <w:vAlign w:val="center"/>
          </w:tcPr>
          <w:p w14:paraId="52970F3D">
            <w:pPr>
              <w:keepNext w:val="0"/>
              <w:keepLines w:val="0"/>
              <w:pageBreakBefore w:val="0"/>
              <w:widowControl w:val="0"/>
              <w:kinsoku/>
              <w:wordWrap/>
              <w:overflowPunct/>
              <w:topLinePunct w:val="0"/>
              <w:autoSpaceDE/>
              <w:autoSpaceDN/>
              <w:bidi w:val="0"/>
              <w:spacing w:line="380" w:lineRule="exact"/>
              <w:jc w:val="both"/>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 xml:space="preserve">工具仪器 </w:t>
            </w:r>
          </w:p>
          <w:p w14:paraId="2BAEB123">
            <w:pPr>
              <w:keepNext w:val="0"/>
              <w:keepLines w:val="0"/>
              <w:pageBreakBefore w:val="0"/>
              <w:widowControl w:val="0"/>
              <w:kinsoku/>
              <w:wordWrap/>
              <w:overflowPunct/>
              <w:topLinePunct w:val="0"/>
              <w:autoSpaceDE/>
              <w:autoSpaceDN/>
              <w:bidi w:val="0"/>
              <w:spacing w:line="380" w:lineRule="exact"/>
              <w:jc w:val="both"/>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（9 分）</w:t>
            </w:r>
          </w:p>
          <w:p w14:paraId="7C0B748A">
            <w:pPr>
              <w:keepNext w:val="0"/>
              <w:keepLines w:val="0"/>
              <w:pageBreakBefore w:val="0"/>
              <w:widowControl w:val="0"/>
              <w:kinsoku/>
              <w:wordWrap/>
              <w:overflowPunct/>
              <w:topLinePunct w:val="0"/>
              <w:autoSpaceDE/>
              <w:autoSpaceDN/>
              <w:bidi w:val="0"/>
              <w:spacing w:line="380" w:lineRule="exact"/>
              <w:jc w:val="center"/>
              <w:textAlignment w:val="auto"/>
              <w:rPr>
                <w:rFonts w:hint="eastAsia" w:ascii="宋体" w:hAnsi="宋体" w:eastAsia="宋体" w:cs="宋体"/>
                <w:color w:val="auto"/>
                <w:sz w:val="24"/>
                <w:szCs w:val="24"/>
                <w:highlight w:val="none"/>
                <w:lang w:val="en-US" w:eastAsia="zh-CN"/>
              </w:rPr>
            </w:pPr>
          </w:p>
        </w:tc>
        <w:tc>
          <w:tcPr>
            <w:tcW w:w="6857" w:type="dxa"/>
            <w:tcBorders>
              <w:top w:val="single" w:color="000000" w:sz="6" w:space="0"/>
              <w:left w:val="single" w:color="000000" w:sz="6" w:space="0"/>
              <w:bottom w:val="single" w:color="000000" w:sz="6" w:space="0"/>
              <w:right w:val="single" w:color="auto" w:sz="4" w:space="0"/>
            </w:tcBorders>
            <w:noWrap w:val="0"/>
            <w:vAlign w:val="top"/>
          </w:tcPr>
          <w:p w14:paraId="0B9B0144">
            <w:pPr>
              <w:keepNext w:val="0"/>
              <w:keepLines w:val="0"/>
              <w:widowControl/>
              <w:suppressLineNumbers w:val="0"/>
              <w:ind w:firstLine="480" w:firstLineChars="200"/>
              <w:jc w:val="left"/>
              <w:rPr>
                <w:color w:val="auto"/>
                <w:highlight w:val="none"/>
              </w:rPr>
            </w:pPr>
            <w:r>
              <w:rPr>
                <w:rFonts w:hint="eastAsia" w:ascii="宋体" w:hAnsi="宋体" w:eastAsia="宋体" w:cs="宋体"/>
                <w:color w:val="auto"/>
                <w:kern w:val="0"/>
                <w:sz w:val="24"/>
                <w:szCs w:val="24"/>
                <w:highlight w:val="none"/>
                <w:lang w:val="en-US" w:eastAsia="zh-CN" w:bidi="ar"/>
              </w:rPr>
              <w:t xml:space="preserve">根据所配备的维保工具、仪器仪表、检测设备情况进行综合赋分，设备齐全、功能完全满足本项目维保需要的，得 </w:t>
            </w:r>
            <w:r>
              <w:rPr>
                <w:rFonts w:hint="eastAsia" w:ascii="宋体" w:hAnsi="宋体" w:cs="宋体"/>
                <w:color w:val="auto"/>
                <w:kern w:val="0"/>
                <w:sz w:val="24"/>
                <w:szCs w:val="24"/>
                <w:highlight w:val="none"/>
                <w:lang w:val="en-US" w:eastAsia="zh-CN" w:bidi="ar"/>
              </w:rPr>
              <w:t>7</w:t>
            </w:r>
            <w:r>
              <w:rPr>
                <w:rFonts w:hint="eastAsia" w:ascii="宋体" w:hAnsi="宋体" w:eastAsia="宋体" w:cs="宋体"/>
                <w:color w:val="auto"/>
                <w:kern w:val="0"/>
                <w:sz w:val="24"/>
                <w:szCs w:val="24"/>
                <w:highlight w:val="none"/>
                <w:lang w:val="en-US" w:eastAsia="zh-CN" w:bidi="ar"/>
              </w:rPr>
              <w:t xml:space="preserve">—9 分；设备基本齐全、能基本满足本项目维保需要的得 </w:t>
            </w:r>
            <w:r>
              <w:rPr>
                <w:rFonts w:hint="eastAsia" w:ascii="宋体" w:hAnsi="宋体" w:cs="宋体"/>
                <w:color w:val="auto"/>
                <w:kern w:val="0"/>
                <w:sz w:val="24"/>
                <w:szCs w:val="24"/>
                <w:highlight w:val="none"/>
                <w:lang w:val="en-US" w:eastAsia="zh-CN" w:bidi="ar"/>
              </w:rPr>
              <w:t>4</w:t>
            </w:r>
            <w:r>
              <w:rPr>
                <w:rFonts w:hint="eastAsia" w:ascii="宋体" w:hAnsi="宋体" w:eastAsia="宋体" w:cs="宋体"/>
                <w:color w:val="auto"/>
                <w:kern w:val="0"/>
                <w:sz w:val="24"/>
                <w:szCs w:val="24"/>
                <w:highlight w:val="none"/>
                <w:lang w:val="en-US" w:eastAsia="zh-CN" w:bidi="ar"/>
              </w:rPr>
              <w:t>—</w:t>
            </w:r>
            <w:r>
              <w:rPr>
                <w:rFonts w:hint="eastAsia" w:ascii="宋体" w:hAnsi="宋体" w:cs="宋体"/>
                <w:color w:val="auto"/>
                <w:kern w:val="0"/>
                <w:sz w:val="24"/>
                <w:szCs w:val="24"/>
                <w:highlight w:val="none"/>
                <w:lang w:val="en-US" w:eastAsia="zh-CN" w:bidi="ar"/>
              </w:rPr>
              <w:t>6</w:t>
            </w:r>
            <w:r>
              <w:rPr>
                <w:rFonts w:hint="eastAsia" w:ascii="宋体" w:hAnsi="宋体" w:eastAsia="宋体" w:cs="宋体"/>
                <w:color w:val="auto"/>
                <w:kern w:val="0"/>
                <w:sz w:val="24"/>
                <w:szCs w:val="24"/>
                <w:highlight w:val="none"/>
                <w:lang w:val="en-US" w:eastAsia="zh-CN" w:bidi="ar"/>
              </w:rPr>
              <w:t xml:space="preserve"> 分；设备不全、不能满足本项目维保需要的得 0-3 分。 </w:t>
            </w:r>
          </w:p>
          <w:p w14:paraId="7A209CC7">
            <w:pPr>
              <w:keepNext w:val="0"/>
              <w:keepLines w:val="0"/>
              <w:widowControl/>
              <w:suppressLineNumbers w:val="0"/>
              <w:ind w:firstLine="480" w:firstLineChars="200"/>
              <w:jc w:val="left"/>
              <w:rPr>
                <w:rFonts w:hint="eastAsia" w:ascii="宋体" w:hAnsi="宋体" w:eastAsia="宋体" w:cs="宋体"/>
                <w:color w:val="auto"/>
                <w:sz w:val="24"/>
                <w:szCs w:val="24"/>
                <w:highlight w:val="none"/>
                <w:lang w:val="en-US" w:eastAsia="zh-CN"/>
              </w:rPr>
            </w:pPr>
            <w:r>
              <w:rPr>
                <w:rStyle w:val="149"/>
                <w:rFonts w:hint="eastAsia" w:ascii="宋体" w:hAnsi="宋体" w:eastAsia="宋体" w:cs="宋体"/>
                <w:color w:val="auto"/>
                <w:sz w:val="24"/>
                <w:szCs w:val="24"/>
                <w:highlight w:val="none"/>
              </w:rPr>
              <w:t>提供</w:t>
            </w:r>
            <w:r>
              <w:rPr>
                <w:rStyle w:val="149"/>
                <w:rFonts w:hint="eastAsia" w:ascii="宋体" w:hAnsi="宋体" w:eastAsia="宋体" w:cs="宋体"/>
                <w:color w:val="auto"/>
                <w:sz w:val="24"/>
                <w:szCs w:val="24"/>
                <w:highlight w:val="none"/>
                <w:lang w:val="en-US" w:eastAsia="zh-CN"/>
              </w:rPr>
              <w:t>维保工具、仪器仪表、检测设备的</w:t>
            </w:r>
            <w:r>
              <w:rPr>
                <w:rFonts w:hint="eastAsia" w:ascii="宋体" w:hAnsi="宋体" w:eastAsia="宋体" w:cs="Times New Roman"/>
                <w:bCs/>
                <w:color w:val="auto"/>
                <w:sz w:val="24"/>
                <w:szCs w:val="24"/>
                <w:highlight w:val="none"/>
                <w:lang w:val="zh-CN"/>
              </w:rPr>
              <w:t>实物照片、</w:t>
            </w:r>
            <w:r>
              <w:rPr>
                <w:rStyle w:val="149"/>
                <w:rFonts w:hint="eastAsia" w:ascii="宋体" w:hAnsi="宋体" w:eastAsia="宋体" w:cs="宋体"/>
                <w:color w:val="auto"/>
                <w:sz w:val="24"/>
                <w:szCs w:val="24"/>
                <w:highlight w:val="none"/>
                <w:lang w:val="en-US" w:eastAsia="zh-CN"/>
              </w:rPr>
              <w:t>设备购买发票、</w:t>
            </w:r>
            <w:r>
              <w:rPr>
                <w:rStyle w:val="149"/>
                <w:rFonts w:hint="eastAsia" w:ascii="宋体" w:hAnsi="宋体" w:eastAsia="宋体" w:cs="宋体"/>
                <w:color w:val="auto"/>
                <w:sz w:val="24"/>
                <w:szCs w:val="24"/>
                <w:highlight w:val="none"/>
              </w:rPr>
              <w:t>国家认可、有效计量检测报告等证明文件</w:t>
            </w:r>
            <w:r>
              <w:rPr>
                <w:rFonts w:hint="eastAsia" w:ascii="宋体" w:hAnsi="宋体" w:eastAsia="宋体" w:cs="宋体"/>
                <w:color w:val="auto"/>
                <w:kern w:val="0"/>
                <w:sz w:val="24"/>
                <w:szCs w:val="24"/>
                <w:highlight w:val="none"/>
                <w:lang w:val="en-US" w:eastAsia="zh-CN" w:bidi="ar"/>
              </w:rPr>
              <w:t>。</w:t>
            </w:r>
          </w:p>
        </w:tc>
      </w:tr>
      <w:tr w14:paraId="4186B98B">
        <w:tblPrEx>
          <w:tblCellMar>
            <w:top w:w="0" w:type="dxa"/>
            <w:left w:w="108" w:type="dxa"/>
            <w:bottom w:w="0" w:type="dxa"/>
            <w:right w:w="108" w:type="dxa"/>
          </w:tblCellMar>
        </w:tblPrEx>
        <w:trPr>
          <w:trHeight w:val="1118" w:hRule="atLeast"/>
          <w:jc w:val="center"/>
        </w:trPr>
        <w:tc>
          <w:tcPr>
            <w:tcW w:w="751" w:type="dxa"/>
            <w:tcBorders>
              <w:top w:val="single" w:color="auto" w:sz="4" w:space="0"/>
              <w:left w:val="single" w:color="auto" w:sz="4" w:space="0"/>
              <w:bottom w:val="single" w:color="auto" w:sz="4" w:space="0"/>
              <w:right w:val="single" w:color="auto" w:sz="4" w:space="0"/>
            </w:tcBorders>
            <w:noWrap w:val="0"/>
            <w:vAlign w:val="center"/>
          </w:tcPr>
          <w:p w14:paraId="3F3ECD0A">
            <w:pPr>
              <w:keepNext w:val="0"/>
              <w:keepLines w:val="0"/>
              <w:pageBreakBefore w:val="0"/>
              <w:widowControl w:val="0"/>
              <w:kinsoku/>
              <w:wordWrap/>
              <w:overflowPunct/>
              <w:topLinePunct w:val="0"/>
              <w:autoSpaceDE/>
              <w:autoSpaceDN/>
              <w:bidi w:val="0"/>
              <w:spacing w:line="380" w:lineRule="exact"/>
              <w:jc w:val="center"/>
              <w:textAlignment w:val="auto"/>
              <w:rPr>
                <w:rFonts w:hint="default" w:ascii="宋体" w:hAnsi="宋体" w:eastAsia="宋体" w:cs="宋体"/>
                <w:b w:val="0"/>
                <w:bCs/>
                <w:color w:val="auto"/>
                <w:kern w:val="0"/>
                <w:sz w:val="24"/>
                <w:szCs w:val="24"/>
                <w:highlight w:val="none"/>
                <w:lang w:val="en-US" w:eastAsia="zh-CN"/>
              </w:rPr>
            </w:pPr>
            <w:r>
              <w:rPr>
                <w:rFonts w:hint="eastAsia" w:ascii="宋体" w:hAnsi="宋体" w:cs="宋体"/>
                <w:b w:val="0"/>
                <w:bCs/>
                <w:color w:val="auto"/>
                <w:kern w:val="0"/>
                <w:sz w:val="24"/>
                <w:szCs w:val="24"/>
                <w:highlight w:val="none"/>
                <w:lang w:val="en-US" w:eastAsia="zh-CN"/>
              </w:rPr>
              <w:t>4</w:t>
            </w:r>
          </w:p>
        </w:tc>
        <w:tc>
          <w:tcPr>
            <w:tcW w:w="2018" w:type="dxa"/>
            <w:gridSpan w:val="2"/>
            <w:tcBorders>
              <w:top w:val="single" w:color="auto" w:sz="4" w:space="0"/>
              <w:left w:val="single" w:color="auto" w:sz="4" w:space="0"/>
              <w:bottom w:val="single" w:color="auto" w:sz="4" w:space="0"/>
              <w:right w:val="single" w:color="auto" w:sz="4" w:space="0"/>
            </w:tcBorders>
            <w:noWrap w:val="0"/>
            <w:vAlign w:val="center"/>
          </w:tcPr>
          <w:p w14:paraId="16AF1470">
            <w:pPr>
              <w:keepNext w:val="0"/>
              <w:keepLines w:val="0"/>
              <w:widowControl/>
              <w:suppressLineNumbers w:val="0"/>
              <w:jc w:val="center"/>
              <w:rPr>
                <w:rFonts w:hint="eastAsia" w:ascii="宋体" w:hAnsi="宋体" w:eastAsia="宋体" w:cs="宋体"/>
                <w:color w:val="auto"/>
                <w:kern w:val="0"/>
                <w:sz w:val="24"/>
                <w:szCs w:val="24"/>
                <w:highlight w:val="none"/>
                <w:lang w:val="en-US" w:eastAsia="zh-CN" w:bidi="ar"/>
              </w:rPr>
            </w:pPr>
            <w:r>
              <w:rPr>
                <w:rFonts w:hint="eastAsia" w:ascii="宋体" w:hAnsi="宋体" w:eastAsia="宋体" w:cs="宋体"/>
                <w:color w:val="auto"/>
                <w:kern w:val="0"/>
                <w:sz w:val="24"/>
                <w:szCs w:val="24"/>
                <w:highlight w:val="none"/>
                <w:lang w:val="en-US" w:eastAsia="zh-CN" w:bidi="ar"/>
              </w:rPr>
              <w:t>备品配件</w:t>
            </w:r>
          </w:p>
          <w:p w14:paraId="0E2E2E77">
            <w:pPr>
              <w:keepNext w:val="0"/>
              <w:keepLines w:val="0"/>
              <w:widowControl/>
              <w:suppressLineNumbers w:val="0"/>
              <w:jc w:val="center"/>
              <w:rPr>
                <w:rFonts w:hint="eastAsia" w:ascii="宋体" w:hAnsi="宋体" w:eastAsia="宋体" w:cs="宋体"/>
                <w:b w:val="0"/>
                <w:bCs/>
                <w:color w:val="auto"/>
                <w:kern w:val="0"/>
                <w:sz w:val="24"/>
                <w:szCs w:val="24"/>
                <w:highlight w:val="none"/>
                <w:lang w:eastAsia="zh-CN"/>
              </w:rPr>
            </w:pPr>
            <w:r>
              <w:rPr>
                <w:rFonts w:hint="eastAsia" w:ascii="宋体" w:hAnsi="宋体" w:eastAsia="宋体" w:cs="宋体"/>
                <w:color w:val="auto"/>
                <w:kern w:val="0"/>
                <w:sz w:val="24"/>
                <w:szCs w:val="24"/>
                <w:highlight w:val="none"/>
                <w:lang w:val="en-US" w:eastAsia="zh-CN" w:bidi="ar"/>
              </w:rPr>
              <w:t>（</w:t>
            </w:r>
            <w:r>
              <w:rPr>
                <w:rFonts w:hint="eastAsia" w:ascii="宋体" w:hAnsi="宋体" w:cs="宋体"/>
                <w:color w:val="auto"/>
                <w:kern w:val="0"/>
                <w:sz w:val="24"/>
                <w:szCs w:val="24"/>
                <w:highlight w:val="none"/>
                <w:lang w:val="en-US" w:eastAsia="zh-CN" w:bidi="ar"/>
              </w:rPr>
              <w:t>6</w:t>
            </w:r>
            <w:r>
              <w:rPr>
                <w:rFonts w:hint="eastAsia" w:ascii="宋体" w:hAnsi="宋体" w:eastAsia="宋体" w:cs="宋体"/>
                <w:color w:val="auto"/>
                <w:kern w:val="0"/>
                <w:sz w:val="24"/>
                <w:szCs w:val="24"/>
                <w:highlight w:val="none"/>
                <w:lang w:val="en-US" w:eastAsia="zh-CN" w:bidi="ar"/>
              </w:rPr>
              <w:t>分）</w:t>
            </w:r>
          </w:p>
        </w:tc>
        <w:tc>
          <w:tcPr>
            <w:tcW w:w="6857" w:type="dxa"/>
            <w:tcBorders>
              <w:top w:val="single" w:color="000000" w:sz="6" w:space="0"/>
              <w:left w:val="single" w:color="auto" w:sz="4" w:space="0"/>
              <w:bottom w:val="single" w:color="000000" w:sz="6" w:space="0"/>
              <w:right w:val="single" w:color="auto" w:sz="4" w:space="0"/>
            </w:tcBorders>
            <w:noWrap w:val="0"/>
            <w:vAlign w:val="top"/>
          </w:tcPr>
          <w:p w14:paraId="36C1EBDC">
            <w:pPr>
              <w:keepNext w:val="0"/>
              <w:keepLines w:val="0"/>
              <w:widowControl/>
              <w:suppressLineNumbers w:val="0"/>
              <w:ind w:firstLine="480" w:firstLineChars="200"/>
              <w:jc w:val="left"/>
              <w:rPr>
                <w:rFonts w:hint="eastAsia" w:ascii="宋体" w:hAnsi="宋体" w:eastAsia="宋体" w:cs="宋体"/>
                <w:color w:val="auto"/>
                <w:kern w:val="0"/>
                <w:sz w:val="24"/>
                <w:szCs w:val="24"/>
                <w:highlight w:val="none"/>
                <w:lang w:val="en-US" w:eastAsia="zh-CN" w:bidi="ar"/>
              </w:rPr>
            </w:pPr>
            <w:r>
              <w:rPr>
                <w:rFonts w:hint="eastAsia" w:ascii="宋体" w:hAnsi="宋体" w:cs="宋体"/>
                <w:color w:val="auto"/>
                <w:kern w:val="0"/>
                <w:sz w:val="24"/>
                <w:szCs w:val="24"/>
                <w:highlight w:val="none"/>
                <w:lang w:val="en-US" w:eastAsia="zh-CN" w:bidi="ar"/>
              </w:rPr>
              <w:t>1.</w:t>
            </w:r>
            <w:r>
              <w:rPr>
                <w:rFonts w:hint="eastAsia" w:ascii="宋体" w:hAnsi="宋体" w:eastAsia="宋体" w:cs="宋体"/>
                <w:color w:val="auto"/>
                <w:kern w:val="0"/>
                <w:sz w:val="24"/>
                <w:szCs w:val="24"/>
                <w:highlight w:val="none"/>
                <w:lang w:val="en-US" w:eastAsia="zh-CN" w:bidi="ar"/>
              </w:rPr>
              <w:t xml:space="preserve">针对项目目前设备现状，备品、配件供应有保障，货源渠道正规， 承诺主要设备的配件、耗材选用原厂品牌，并提供承诺书或原厂授权书，根据响应程度计 </w:t>
            </w:r>
            <w:r>
              <w:rPr>
                <w:rFonts w:hint="eastAsia" w:ascii="宋体" w:hAnsi="宋体" w:cs="宋体"/>
                <w:color w:val="auto"/>
                <w:kern w:val="0"/>
                <w:sz w:val="24"/>
                <w:szCs w:val="24"/>
                <w:highlight w:val="none"/>
                <w:lang w:val="en-US" w:eastAsia="zh-CN" w:bidi="ar"/>
              </w:rPr>
              <w:t>1</w:t>
            </w:r>
            <w:r>
              <w:rPr>
                <w:rFonts w:hint="eastAsia" w:ascii="宋体" w:hAnsi="宋体" w:eastAsia="宋体" w:cs="宋体"/>
                <w:color w:val="auto"/>
                <w:kern w:val="0"/>
                <w:sz w:val="24"/>
                <w:szCs w:val="24"/>
                <w:highlight w:val="none"/>
                <w:lang w:val="en-US" w:eastAsia="zh-CN" w:bidi="ar"/>
              </w:rPr>
              <w:t>-</w:t>
            </w:r>
            <w:r>
              <w:rPr>
                <w:rFonts w:hint="eastAsia" w:ascii="宋体" w:hAnsi="宋体" w:cs="宋体"/>
                <w:color w:val="auto"/>
                <w:kern w:val="0"/>
                <w:sz w:val="24"/>
                <w:szCs w:val="24"/>
                <w:highlight w:val="none"/>
                <w:lang w:val="en-US" w:eastAsia="zh-CN" w:bidi="ar"/>
              </w:rPr>
              <w:t>4</w:t>
            </w:r>
            <w:r>
              <w:rPr>
                <w:rFonts w:hint="eastAsia" w:ascii="宋体" w:hAnsi="宋体" w:eastAsia="宋体" w:cs="宋体"/>
                <w:color w:val="auto"/>
                <w:kern w:val="0"/>
                <w:sz w:val="24"/>
                <w:szCs w:val="24"/>
                <w:highlight w:val="none"/>
                <w:lang w:val="en-US" w:eastAsia="zh-CN" w:bidi="ar"/>
              </w:rPr>
              <w:t>分。</w:t>
            </w:r>
          </w:p>
          <w:p w14:paraId="560D46BC">
            <w:pPr>
              <w:keepNext w:val="0"/>
              <w:keepLines w:val="0"/>
              <w:widowControl/>
              <w:suppressLineNumbers w:val="0"/>
              <w:ind w:firstLine="480" w:firstLineChars="200"/>
              <w:jc w:val="left"/>
              <w:rPr>
                <w:rFonts w:hint="eastAsia" w:ascii="宋体" w:hAnsi="宋体" w:eastAsia="宋体" w:cs="宋体"/>
                <w:color w:val="auto"/>
                <w:kern w:val="0"/>
                <w:sz w:val="24"/>
                <w:szCs w:val="24"/>
                <w:highlight w:val="none"/>
                <w:lang w:val="en-US" w:eastAsia="zh-CN" w:bidi="ar"/>
              </w:rPr>
            </w:pPr>
            <w:r>
              <w:rPr>
                <w:rFonts w:hint="eastAsia" w:ascii="宋体" w:hAnsi="宋体" w:cs="宋体"/>
                <w:color w:val="auto"/>
                <w:kern w:val="0"/>
                <w:sz w:val="24"/>
                <w:szCs w:val="24"/>
                <w:highlight w:val="none"/>
                <w:lang w:val="en-US" w:eastAsia="zh-CN" w:bidi="ar"/>
              </w:rPr>
              <w:t>2.</w:t>
            </w:r>
            <w:r>
              <w:rPr>
                <w:rFonts w:hint="eastAsia" w:ascii="宋体" w:hAnsi="宋体" w:eastAsia="宋体" w:cs="宋体"/>
                <w:color w:val="auto"/>
                <w:kern w:val="0"/>
                <w:sz w:val="24"/>
                <w:szCs w:val="24"/>
                <w:highlight w:val="none"/>
                <w:lang w:val="en-US" w:eastAsia="zh-CN" w:bidi="ar"/>
              </w:rPr>
              <w:t>针对项目目前设备配套零配件或相关耗材及主要易损零配件价格合理公道，按其响应程度计 1-2分；</w:t>
            </w:r>
          </w:p>
        </w:tc>
      </w:tr>
      <w:tr w14:paraId="3E4E7801">
        <w:tblPrEx>
          <w:tblCellMar>
            <w:top w:w="0" w:type="dxa"/>
            <w:left w:w="108" w:type="dxa"/>
            <w:bottom w:w="0" w:type="dxa"/>
            <w:right w:w="108" w:type="dxa"/>
          </w:tblCellMar>
        </w:tblPrEx>
        <w:trPr>
          <w:trHeight w:val="1070" w:hRule="atLeast"/>
          <w:jc w:val="center"/>
        </w:trPr>
        <w:tc>
          <w:tcPr>
            <w:tcW w:w="751" w:type="dxa"/>
            <w:tcBorders>
              <w:top w:val="single" w:color="auto" w:sz="4" w:space="0"/>
              <w:left w:val="single" w:color="auto" w:sz="4" w:space="0"/>
              <w:bottom w:val="single" w:color="auto" w:sz="4" w:space="0"/>
              <w:right w:val="single" w:color="auto" w:sz="4" w:space="0"/>
            </w:tcBorders>
            <w:noWrap w:val="0"/>
            <w:vAlign w:val="center"/>
          </w:tcPr>
          <w:p w14:paraId="1F2D4BF6">
            <w:pPr>
              <w:keepNext w:val="0"/>
              <w:keepLines w:val="0"/>
              <w:pageBreakBefore w:val="0"/>
              <w:widowControl w:val="0"/>
              <w:kinsoku/>
              <w:wordWrap/>
              <w:overflowPunct/>
              <w:topLinePunct w:val="0"/>
              <w:autoSpaceDE/>
              <w:autoSpaceDN/>
              <w:bidi w:val="0"/>
              <w:spacing w:line="380" w:lineRule="exact"/>
              <w:jc w:val="center"/>
              <w:textAlignment w:val="auto"/>
              <w:rPr>
                <w:rFonts w:hint="eastAsia" w:ascii="宋体" w:hAnsi="宋体" w:eastAsia="宋体" w:cs="宋体"/>
                <w:b w:val="0"/>
                <w:bCs/>
                <w:color w:val="auto"/>
                <w:kern w:val="0"/>
                <w:sz w:val="24"/>
                <w:szCs w:val="24"/>
                <w:highlight w:val="none"/>
                <w:lang w:val="en-US" w:eastAsia="zh-CN"/>
              </w:rPr>
            </w:pPr>
            <w:r>
              <w:rPr>
                <w:rFonts w:hint="eastAsia" w:ascii="宋体" w:hAnsi="宋体" w:cs="宋体"/>
                <w:b w:val="0"/>
                <w:bCs/>
                <w:color w:val="auto"/>
                <w:kern w:val="0"/>
                <w:sz w:val="24"/>
                <w:szCs w:val="24"/>
                <w:highlight w:val="none"/>
                <w:lang w:val="en-US" w:eastAsia="zh-CN"/>
              </w:rPr>
              <w:t>5</w:t>
            </w:r>
          </w:p>
        </w:tc>
        <w:tc>
          <w:tcPr>
            <w:tcW w:w="2018" w:type="dxa"/>
            <w:gridSpan w:val="2"/>
            <w:tcBorders>
              <w:top w:val="single" w:color="auto" w:sz="4" w:space="0"/>
              <w:left w:val="single" w:color="auto" w:sz="4" w:space="0"/>
              <w:bottom w:val="single" w:color="auto" w:sz="4" w:space="0"/>
              <w:right w:val="single" w:color="auto" w:sz="4" w:space="0"/>
            </w:tcBorders>
            <w:noWrap w:val="0"/>
            <w:vAlign w:val="center"/>
          </w:tcPr>
          <w:p w14:paraId="02906450">
            <w:pPr>
              <w:keepNext w:val="0"/>
              <w:keepLines w:val="0"/>
              <w:pageBreakBefore w:val="0"/>
              <w:widowControl w:val="0"/>
              <w:kinsoku/>
              <w:wordWrap/>
              <w:overflowPunct/>
              <w:topLinePunct w:val="0"/>
              <w:autoSpaceDE/>
              <w:autoSpaceDN/>
              <w:bidi w:val="0"/>
              <w:spacing w:line="380" w:lineRule="exact"/>
              <w:jc w:val="center"/>
              <w:textAlignment w:val="auto"/>
              <w:rPr>
                <w:rFonts w:hint="eastAsia" w:ascii="宋体" w:hAnsi="宋体" w:eastAsia="宋体" w:cs="宋体"/>
                <w:b w:val="0"/>
                <w:bCs/>
                <w:color w:val="auto"/>
                <w:kern w:val="0"/>
                <w:sz w:val="24"/>
                <w:szCs w:val="24"/>
                <w:highlight w:val="none"/>
                <w:lang w:val="en-US" w:eastAsia="zh-CN"/>
              </w:rPr>
            </w:pPr>
            <w:r>
              <w:rPr>
                <w:rFonts w:hint="eastAsia" w:ascii="宋体" w:hAnsi="宋体" w:eastAsia="宋体" w:cs="宋体"/>
                <w:b w:val="0"/>
                <w:bCs/>
                <w:color w:val="auto"/>
                <w:kern w:val="0"/>
                <w:sz w:val="24"/>
                <w:szCs w:val="24"/>
                <w:highlight w:val="none"/>
                <w:lang w:val="en-US" w:eastAsia="zh-CN"/>
              </w:rPr>
              <w:t>合理化建议</w:t>
            </w:r>
          </w:p>
          <w:p w14:paraId="09CA91F6">
            <w:pPr>
              <w:keepNext w:val="0"/>
              <w:keepLines w:val="0"/>
              <w:pageBreakBefore w:val="0"/>
              <w:widowControl w:val="0"/>
              <w:kinsoku/>
              <w:wordWrap/>
              <w:overflowPunct/>
              <w:topLinePunct w:val="0"/>
              <w:autoSpaceDE/>
              <w:autoSpaceDN/>
              <w:bidi w:val="0"/>
              <w:spacing w:line="380" w:lineRule="exact"/>
              <w:jc w:val="center"/>
              <w:textAlignment w:val="auto"/>
              <w:rPr>
                <w:rFonts w:hint="eastAsia" w:ascii="宋体" w:hAnsi="宋体" w:eastAsia="宋体" w:cs="宋体"/>
                <w:b w:val="0"/>
                <w:bCs/>
                <w:color w:val="auto"/>
                <w:kern w:val="0"/>
                <w:sz w:val="24"/>
                <w:szCs w:val="24"/>
                <w:highlight w:val="none"/>
                <w:lang w:val="en-US" w:eastAsia="zh-CN"/>
              </w:rPr>
            </w:pPr>
            <w:r>
              <w:rPr>
                <w:rFonts w:hint="eastAsia" w:ascii="宋体" w:hAnsi="宋体" w:eastAsia="宋体" w:cs="宋体"/>
                <w:b w:val="0"/>
                <w:bCs/>
                <w:color w:val="auto"/>
                <w:kern w:val="0"/>
                <w:sz w:val="24"/>
                <w:szCs w:val="24"/>
                <w:highlight w:val="none"/>
                <w:lang w:val="en-US" w:eastAsia="zh-CN"/>
              </w:rPr>
              <w:t>（</w:t>
            </w:r>
            <w:r>
              <w:rPr>
                <w:rFonts w:hint="eastAsia" w:ascii="宋体" w:hAnsi="宋体" w:cs="宋体"/>
                <w:b w:val="0"/>
                <w:bCs/>
                <w:color w:val="auto"/>
                <w:kern w:val="0"/>
                <w:sz w:val="24"/>
                <w:szCs w:val="24"/>
                <w:highlight w:val="none"/>
                <w:lang w:val="en-US" w:eastAsia="zh-CN"/>
              </w:rPr>
              <w:t>5</w:t>
            </w:r>
            <w:r>
              <w:rPr>
                <w:rFonts w:hint="eastAsia" w:ascii="宋体" w:hAnsi="宋体" w:eastAsia="宋体" w:cs="宋体"/>
                <w:b w:val="0"/>
                <w:bCs/>
                <w:color w:val="auto"/>
                <w:kern w:val="0"/>
                <w:sz w:val="24"/>
                <w:szCs w:val="24"/>
                <w:highlight w:val="none"/>
                <w:lang w:val="en-US" w:eastAsia="zh-CN"/>
              </w:rPr>
              <w:t>分）</w:t>
            </w:r>
          </w:p>
        </w:tc>
        <w:tc>
          <w:tcPr>
            <w:tcW w:w="6857" w:type="dxa"/>
            <w:tcBorders>
              <w:top w:val="single" w:color="000000" w:sz="6" w:space="0"/>
              <w:left w:val="single" w:color="auto" w:sz="4" w:space="0"/>
              <w:bottom w:val="single" w:color="000000" w:sz="6" w:space="0"/>
              <w:right w:val="single" w:color="auto" w:sz="4" w:space="0"/>
            </w:tcBorders>
            <w:noWrap w:val="0"/>
            <w:vAlign w:val="top"/>
          </w:tcPr>
          <w:p w14:paraId="725C8511">
            <w:pPr>
              <w:keepNext w:val="0"/>
              <w:keepLines w:val="0"/>
              <w:pageBreakBefore w:val="0"/>
              <w:widowControl w:val="0"/>
              <w:kinsoku/>
              <w:wordWrap/>
              <w:overflowPunct/>
              <w:topLinePunct w:val="0"/>
              <w:autoSpaceDE/>
              <w:autoSpaceDN/>
              <w:bidi w:val="0"/>
              <w:adjustRightInd/>
              <w:snapToGrid/>
              <w:spacing w:line="380" w:lineRule="exact"/>
              <w:ind w:firstLine="480" w:firstLineChars="200"/>
              <w:textAlignment w:val="auto"/>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针对设备日常保养维护方法，能够提出有价值的合理化建议，且具体切实可行，有利于延长设备使用寿命计</w:t>
            </w:r>
            <w:r>
              <w:rPr>
                <w:rFonts w:hint="eastAsia" w:ascii="宋体" w:hAnsi="宋体" w:cs="宋体"/>
                <w:color w:val="auto"/>
                <w:sz w:val="24"/>
                <w:highlight w:val="none"/>
                <w:lang w:val="en-US" w:eastAsia="zh-CN"/>
              </w:rPr>
              <w:t>4</w:t>
            </w:r>
            <w:r>
              <w:rPr>
                <w:rFonts w:hint="eastAsia" w:ascii="宋体" w:hAnsi="宋体" w:eastAsia="宋体" w:cs="宋体"/>
                <w:color w:val="auto"/>
                <w:sz w:val="24"/>
                <w:highlight w:val="none"/>
                <w:lang w:val="en-US" w:eastAsia="zh-CN"/>
              </w:rPr>
              <w:t>-</w:t>
            </w:r>
            <w:r>
              <w:rPr>
                <w:rFonts w:hint="eastAsia" w:ascii="宋体" w:hAnsi="宋体" w:cs="宋体"/>
                <w:color w:val="auto"/>
                <w:sz w:val="24"/>
                <w:highlight w:val="none"/>
                <w:lang w:val="en-US" w:eastAsia="zh-CN"/>
              </w:rPr>
              <w:t>5</w:t>
            </w:r>
            <w:r>
              <w:rPr>
                <w:rFonts w:hint="eastAsia" w:ascii="宋体" w:hAnsi="宋体" w:eastAsia="宋体" w:cs="宋体"/>
                <w:color w:val="auto"/>
                <w:sz w:val="24"/>
                <w:highlight w:val="none"/>
                <w:lang w:val="en-US" w:eastAsia="zh-CN"/>
              </w:rPr>
              <w:t>分；设备日常保养维护方法有缺陷，提供了合理化建议但缺乏针对性1-</w:t>
            </w:r>
            <w:r>
              <w:rPr>
                <w:rFonts w:hint="eastAsia" w:ascii="宋体" w:hAnsi="宋体" w:cs="宋体"/>
                <w:color w:val="auto"/>
                <w:sz w:val="24"/>
                <w:highlight w:val="none"/>
                <w:lang w:val="en-US" w:eastAsia="zh-CN"/>
              </w:rPr>
              <w:t>3</w:t>
            </w:r>
            <w:r>
              <w:rPr>
                <w:rFonts w:hint="eastAsia" w:ascii="宋体" w:hAnsi="宋体" w:eastAsia="宋体" w:cs="宋体"/>
                <w:color w:val="auto"/>
                <w:sz w:val="24"/>
                <w:highlight w:val="none"/>
                <w:lang w:val="en-US" w:eastAsia="zh-CN"/>
              </w:rPr>
              <w:t>分，未提供不得分。</w:t>
            </w:r>
          </w:p>
        </w:tc>
      </w:tr>
      <w:tr w14:paraId="2B79B0BE">
        <w:tblPrEx>
          <w:tblCellMar>
            <w:top w:w="0" w:type="dxa"/>
            <w:left w:w="108" w:type="dxa"/>
            <w:bottom w:w="0" w:type="dxa"/>
            <w:right w:w="108" w:type="dxa"/>
          </w:tblCellMar>
        </w:tblPrEx>
        <w:trPr>
          <w:trHeight w:val="1070" w:hRule="atLeast"/>
          <w:jc w:val="center"/>
        </w:trPr>
        <w:tc>
          <w:tcPr>
            <w:tcW w:w="751" w:type="dxa"/>
            <w:tcBorders>
              <w:top w:val="single" w:color="auto" w:sz="4" w:space="0"/>
              <w:left w:val="single" w:color="auto" w:sz="4" w:space="0"/>
              <w:bottom w:val="single" w:color="auto" w:sz="4" w:space="0"/>
              <w:right w:val="single" w:color="auto" w:sz="4" w:space="0"/>
            </w:tcBorders>
            <w:noWrap w:val="0"/>
            <w:vAlign w:val="center"/>
          </w:tcPr>
          <w:p w14:paraId="19E5E3C6">
            <w:pPr>
              <w:keepNext w:val="0"/>
              <w:keepLines w:val="0"/>
              <w:pageBreakBefore w:val="0"/>
              <w:widowControl w:val="0"/>
              <w:kinsoku/>
              <w:wordWrap/>
              <w:overflowPunct/>
              <w:topLinePunct w:val="0"/>
              <w:autoSpaceDE/>
              <w:autoSpaceDN/>
              <w:bidi w:val="0"/>
              <w:spacing w:line="380" w:lineRule="exact"/>
              <w:jc w:val="center"/>
              <w:textAlignment w:val="auto"/>
              <w:rPr>
                <w:rFonts w:hint="eastAsia" w:ascii="宋体" w:hAnsi="宋体" w:eastAsia="宋体" w:cs="宋体"/>
                <w:b w:val="0"/>
                <w:bCs/>
                <w:color w:val="auto"/>
                <w:kern w:val="0"/>
                <w:sz w:val="24"/>
                <w:szCs w:val="24"/>
                <w:highlight w:val="none"/>
                <w:lang w:val="en-US" w:eastAsia="zh-CN"/>
              </w:rPr>
            </w:pPr>
            <w:r>
              <w:rPr>
                <w:rFonts w:hint="eastAsia" w:ascii="宋体" w:hAnsi="宋体" w:cs="宋体"/>
                <w:b w:val="0"/>
                <w:bCs/>
                <w:color w:val="auto"/>
                <w:kern w:val="0"/>
                <w:sz w:val="24"/>
                <w:szCs w:val="24"/>
                <w:highlight w:val="none"/>
                <w:lang w:val="en-US" w:eastAsia="zh-CN"/>
              </w:rPr>
              <w:t>6</w:t>
            </w:r>
          </w:p>
        </w:tc>
        <w:tc>
          <w:tcPr>
            <w:tcW w:w="2018" w:type="dxa"/>
            <w:gridSpan w:val="2"/>
            <w:tcBorders>
              <w:top w:val="single" w:color="auto" w:sz="4" w:space="0"/>
              <w:left w:val="single" w:color="auto" w:sz="4" w:space="0"/>
              <w:bottom w:val="single" w:color="auto" w:sz="4" w:space="0"/>
              <w:right w:val="single" w:color="auto" w:sz="4" w:space="0"/>
            </w:tcBorders>
            <w:shd w:val="clear" w:color="auto" w:fill="auto"/>
            <w:noWrap w:val="0"/>
            <w:vAlign w:val="center"/>
          </w:tcPr>
          <w:p w14:paraId="7ECAF018">
            <w:pPr>
              <w:keepNext w:val="0"/>
              <w:keepLines w:val="0"/>
              <w:pageBreakBefore w:val="0"/>
              <w:widowControl w:val="0"/>
              <w:kinsoku/>
              <w:wordWrap/>
              <w:overflowPunct/>
              <w:topLinePunct w:val="0"/>
              <w:autoSpaceDE/>
              <w:autoSpaceDN/>
              <w:bidi w:val="0"/>
              <w:spacing w:line="380" w:lineRule="exact"/>
              <w:jc w:val="center"/>
              <w:textAlignment w:val="auto"/>
              <w:rPr>
                <w:rFonts w:hint="eastAsia" w:ascii="宋体" w:hAnsi="宋体" w:eastAsia="宋体" w:cs="宋体"/>
                <w:b w:val="0"/>
                <w:bCs/>
                <w:color w:val="auto"/>
                <w:kern w:val="0"/>
                <w:sz w:val="24"/>
                <w:szCs w:val="24"/>
                <w:highlight w:val="none"/>
                <w:lang w:val="en-US" w:eastAsia="zh-CN"/>
              </w:rPr>
            </w:pPr>
            <w:r>
              <w:rPr>
                <w:rFonts w:hint="eastAsia" w:ascii="宋体" w:hAnsi="宋体" w:eastAsia="宋体" w:cs="宋体"/>
                <w:b w:val="0"/>
                <w:bCs/>
                <w:color w:val="auto"/>
                <w:kern w:val="0"/>
                <w:sz w:val="24"/>
                <w:szCs w:val="24"/>
                <w:highlight w:val="none"/>
                <w:lang w:val="en-US" w:eastAsia="zh-CN"/>
              </w:rPr>
              <w:t>业绩</w:t>
            </w:r>
          </w:p>
          <w:p w14:paraId="3EF7DF25">
            <w:pPr>
              <w:keepNext w:val="0"/>
              <w:keepLines w:val="0"/>
              <w:pageBreakBefore w:val="0"/>
              <w:widowControl w:val="0"/>
              <w:kinsoku/>
              <w:wordWrap/>
              <w:overflowPunct/>
              <w:topLinePunct w:val="0"/>
              <w:autoSpaceDE/>
              <w:autoSpaceDN/>
              <w:bidi w:val="0"/>
              <w:spacing w:line="380" w:lineRule="exact"/>
              <w:jc w:val="center"/>
              <w:textAlignment w:val="auto"/>
              <w:rPr>
                <w:rFonts w:hint="eastAsia" w:ascii="宋体" w:hAnsi="宋体" w:eastAsia="宋体" w:cs="宋体"/>
                <w:b w:val="0"/>
                <w:bCs/>
                <w:color w:val="auto"/>
                <w:kern w:val="0"/>
                <w:sz w:val="24"/>
                <w:szCs w:val="24"/>
                <w:highlight w:val="none"/>
                <w:lang w:val="en-US" w:eastAsia="zh-CN" w:bidi="ar-SA"/>
              </w:rPr>
            </w:pPr>
            <w:r>
              <w:rPr>
                <w:rFonts w:hint="eastAsia" w:ascii="宋体" w:hAnsi="宋体" w:eastAsia="宋体" w:cs="宋体"/>
                <w:b w:val="0"/>
                <w:bCs/>
                <w:color w:val="auto"/>
                <w:kern w:val="0"/>
                <w:sz w:val="24"/>
                <w:szCs w:val="24"/>
                <w:highlight w:val="none"/>
                <w:lang w:eastAsia="zh-CN"/>
              </w:rPr>
              <w:t>（</w:t>
            </w:r>
            <w:r>
              <w:rPr>
                <w:rFonts w:hint="eastAsia" w:ascii="宋体" w:hAnsi="宋体" w:eastAsia="宋体" w:cs="宋体"/>
                <w:b w:val="0"/>
                <w:bCs/>
                <w:color w:val="auto"/>
                <w:kern w:val="0"/>
                <w:sz w:val="24"/>
                <w:szCs w:val="24"/>
                <w:highlight w:val="none"/>
                <w:lang w:val="en-US" w:eastAsia="zh-CN"/>
              </w:rPr>
              <w:t>5</w:t>
            </w:r>
            <w:r>
              <w:rPr>
                <w:rFonts w:hint="eastAsia" w:ascii="宋体" w:hAnsi="宋体" w:eastAsia="宋体" w:cs="宋体"/>
                <w:b w:val="0"/>
                <w:bCs/>
                <w:color w:val="auto"/>
                <w:kern w:val="0"/>
                <w:sz w:val="24"/>
                <w:szCs w:val="24"/>
                <w:highlight w:val="none"/>
              </w:rPr>
              <w:t>分</w:t>
            </w:r>
            <w:r>
              <w:rPr>
                <w:rFonts w:hint="eastAsia" w:ascii="宋体" w:hAnsi="宋体" w:eastAsia="宋体" w:cs="宋体"/>
                <w:b w:val="0"/>
                <w:bCs/>
                <w:color w:val="auto"/>
                <w:kern w:val="0"/>
                <w:sz w:val="24"/>
                <w:szCs w:val="24"/>
                <w:highlight w:val="none"/>
                <w:lang w:eastAsia="zh-CN"/>
              </w:rPr>
              <w:t>）</w:t>
            </w:r>
          </w:p>
        </w:tc>
        <w:tc>
          <w:tcPr>
            <w:tcW w:w="6857" w:type="dxa"/>
            <w:tcBorders>
              <w:top w:val="single" w:color="000000" w:sz="6" w:space="0"/>
              <w:left w:val="single" w:color="auto" w:sz="4" w:space="0"/>
              <w:bottom w:val="single" w:color="000000" w:sz="6" w:space="0"/>
              <w:right w:val="single" w:color="auto" w:sz="4" w:space="0"/>
            </w:tcBorders>
            <w:shd w:val="clear" w:color="auto" w:fill="auto"/>
            <w:noWrap w:val="0"/>
            <w:vAlign w:val="top"/>
          </w:tcPr>
          <w:p w14:paraId="7F21DDAF">
            <w:pPr>
              <w:keepNext w:val="0"/>
              <w:keepLines w:val="0"/>
              <w:pageBreakBefore w:val="0"/>
              <w:widowControl w:val="0"/>
              <w:kinsoku/>
              <w:wordWrap/>
              <w:overflowPunct/>
              <w:topLinePunct w:val="0"/>
              <w:autoSpaceDE/>
              <w:autoSpaceDN/>
              <w:bidi w:val="0"/>
              <w:adjustRightInd/>
              <w:snapToGrid/>
              <w:spacing w:line="380" w:lineRule="exact"/>
              <w:ind w:firstLine="480" w:firstLineChars="200"/>
              <w:textAlignment w:val="auto"/>
              <w:rPr>
                <w:rFonts w:hint="eastAsia" w:ascii="宋体" w:hAnsi="宋体" w:eastAsia="宋体" w:cs="宋体"/>
                <w:b w:val="0"/>
                <w:bCs/>
                <w:color w:val="auto"/>
                <w:kern w:val="0"/>
                <w:sz w:val="24"/>
                <w:szCs w:val="24"/>
                <w:highlight w:val="none"/>
                <w:lang w:val="en-US" w:eastAsia="zh-CN" w:bidi="ar-SA"/>
              </w:rPr>
            </w:pPr>
            <w:r>
              <w:rPr>
                <w:rFonts w:hint="eastAsia" w:ascii="宋体" w:hAnsi="宋体" w:eastAsia="宋体" w:cs="宋体"/>
                <w:color w:val="auto"/>
                <w:sz w:val="24"/>
                <w:szCs w:val="24"/>
                <w:highlight w:val="none"/>
              </w:rPr>
              <w:t>供应商</w:t>
            </w:r>
            <w:r>
              <w:rPr>
                <w:rFonts w:hint="eastAsia" w:ascii="宋体" w:hAnsi="宋体" w:eastAsia="宋体" w:cs="宋体"/>
                <w:color w:val="auto"/>
                <w:sz w:val="24"/>
                <w:szCs w:val="24"/>
                <w:highlight w:val="none"/>
                <w:lang w:val="en-US" w:eastAsia="zh-CN"/>
              </w:rPr>
              <w:t>提供2022年1月至今</w:t>
            </w:r>
            <w:r>
              <w:rPr>
                <w:rFonts w:hint="eastAsia" w:ascii="宋体" w:hAnsi="宋体" w:eastAsia="宋体" w:cs="宋体"/>
                <w:b w:val="0"/>
                <w:bCs/>
                <w:color w:val="auto"/>
                <w:kern w:val="0"/>
                <w:sz w:val="24"/>
                <w:szCs w:val="24"/>
                <w:highlight w:val="none"/>
                <w:lang w:val="en-US" w:eastAsia="zh-CN"/>
              </w:rPr>
              <w:t>类似项目</w:t>
            </w:r>
            <w:r>
              <w:rPr>
                <w:rFonts w:hint="eastAsia" w:ascii="宋体" w:hAnsi="宋体" w:eastAsia="宋体" w:cs="宋体"/>
                <w:b w:val="0"/>
                <w:bCs/>
                <w:color w:val="auto"/>
                <w:kern w:val="0"/>
                <w:sz w:val="24"/>
                <w:szCs w:val="24"/>
                <w:highlight w:val="none"/>
              </w:rPr>
              <w:t>业绩</w:t>
            </w:r>
            <w:r>
              <w:rPr>
                <w:rFonts w:hint="eastAsia" w:ascii="宋体" w:hAnsi="宋体" w:eastAsia="宋体" w:cs="宋体"/>
                <w:b w:val="0"/>
                <w:bCs/>
                <w:color w:val="auto"/>
                <w:kern w:val="0"/>
                <w:sz w:val="24"/>
                <w:szCs w:val="24"/>
                <w:highlight w:val="none"/>
                <w:lang w:eastAsia="zh-CN"/>
              </w:rPr>
              <w:t>，</w:t>
            </w:r>
            <w:r>
              <w:rPr>
                <w:rFonts w:hint="eastAsia" w:ascii="宋体" w:hAnsi="宋体" w:eastAsia="宋体" w:cs="宋体"/>
                <w:b w:val="0"/>
                <w:bCs/>
                <w:color w:val="auto"/>
                <w:kern w:val="0"/>
                <w:sz w:val="24"/>
                <w:szCs w:val="24"/>
                <w:highlight w:val="none"/>
              </w:rPr>
              <w:t>每提供一份</w:t>
            </w:r>
            <w:r>
              <w:rPr>
                <w:rFonts w:hint="eastAsia" w:ascii="宋体" w:hAnsi="宋体" w:eastAsia="宋体" w:cs="宋体"/>
                <w:b w:val="0"/>
                <w:bCs/>
                <w:color w:val="auto"/>
                <w:kern w:val="0"/>
                <w:sz w:val="24"/>
                <w:szCs w:val="24"/>
                <w:highlight w:val="none"/>
                <w:lang w:val="en-US" w:eastAsia="zh-CN"/>
              </w:rPr>
              <w:t>有效业绩</w:t>
            </w:r>
            <w:r>
              <w:rPr>
                <w:rFonts w:hint="eastAsia" w:ascii="宋体" w:hAnsi="宋体" w:eastAsia="宋体" w:cs="宋体"/>
                <w:b w:val="0"/>
                <w:bCs/>
                <w:color w:val="auto"/>
                <w:kern w:val="0"/>
                <w:sz w:val="24"/>
                <w:szCs w:val="24"/>
                <w:highlight w:val="none"/>
              </w:rPr>
              <w:t>计</w:t>
            </w:r>
            <w:r>
              <w:rPr>
                <w:rFonts w:hint="eastAsia" w:ascii="宋体" w:hAnsi="宋体" w:eastAsia="宋体" w:cs="宋体"/>
                <w:b w:val="0"/>
                <w:bCs/>
                <w:color w:val="auto"/>
                <w:kern w:val="0"/>
                <w:sz w:val="24"/>
                <w:szCs w:val="24"/>
                <w:highlight w:val="none"/>
                <w:lang w:val="en-US" w:eastAsia="zh-CN"/>
              </w:rPr>
              <w:t>1</w:t>
            </w:r>
            <w:r>
              <w:rPr>
                <w:rFonts w:hint="eastAsia" w:ascii="宋体" w:hAnsi="宋体" w:eastAsia="宋体" w:cs="宋体"/>
                <w:b w:val="0"/>
                <w:bCs/>
                <w:color w:val="auto"/>
                <w:kern w:val="0"/>
                <w:sz w:val="24"/>
                <w:szCs w:val="24"/>
                <w:highlight w:val="none"/>
              </w:rPr>
              <w:t>分，最多</w:t>
            </w:r>
            <w:r>
              <w:rPr>
                <w:rFonts w:hint="eastAsia" w:ascii="宋体" w:hAnsi="宋体" w:eastAsia="宋体" w:cs="宋体"/>
                <w:b w:val="0"/>
                <w:bCs/>
                <w:color w:val="auto"/>
                <w:kern w:val="0"/>
                <w:sz w:val="24"/>
                <w:szCs w:val="24"/>
                <w:highlight w:val="none"/>
                <w:lang w:val="en-US" w:eastAsia="zh-CN"/>
              </w:rPr>
              <w:t>计5</w:t>
            </w:r>
            <w:r>
              <w:rPr>
                <w:rFonts w:hint="eastAsia" w:ascii="宋体" w:hAnsi="宋体" w:eastAsia="宋体" w:cs="宋体"/>
                <w:b w:val="0"/>
                <w:bCs/>
                <w:color w:val="auto"/>
                <w:kern w:val="0"/>
                <w:sz w:val="24"/>
                <w:szCs w:val="24"/>
                <w:highlight w:val="none"/>
              </w:rPr>
              <w:t>分。</w:t>
            </w:r>
            <w:r>
              <w:rPr>
                <w:rFonts w:hint="eastAsia" w:ascii="宋体" w:hAnsi="宋体" w:eastAsia="宋体" w:cs="宋体"/>
                <w:color w:val="auto"/>
                <w:sz w:val="24"/>
                <w:szCs w:val="24"/>
                <w:highlight w:val="none"/>
                <w:lang w:val="en-US" w:eastAsia="zh-CN"/>
              </w:rPr>
              <w:t>（提供业绩合同复印件并加盖公章，时间以合同签订时间为准）。</w:t>
            </w:r>
          </w:p>
        </w:tc>
      </w:tr>
    </w:tbl>
    <w:p w14:paraId="78961DBA">
      <w:pPr>
        <w:keepNext w:val="0"/>
        <w:keepLines w:val="0"/>
        <w:pageBreakBefore w:val="0"/>
        <w:widowControl w:val="0"/>
        <w:kinsoku/>
        <w:wordWrap/>
        <w:overflowPunct/>
        <w:topLinePunct w:val="0"/>
        <w:autoSpaceDE/>
        <w:autoSpaceDN/>
        <w:bidi w:val="0"/>
        <w:spacing w:line="360" w:lineRule="exact"/>
        <w:ind w:firstLine="482" w:firstLineChars="200"/>
        <w:textAlignment w:val="auto"/>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4、供应商的投标文件中须提供与以上评分因素相关的证明材料。如果发现有弄虚作假的，</w:t>
      </w:r>
      <w:r>
        <w:rPr>
          <w:rFonts w:hint="eastAsia" w:ascii="宋体" w:hAnsi="宋体" w:eastAsia="宋体" w:cs="宋体"/>
          <w:b/>
          <w:bCs/>
          <w:color w:val="auto"/>
          <w:sz w:val="24"/>
          <w:highlight w:val="none"/>
          <w:lang w:val="en-US" w:eastAsia="zh-CN"/>
        </w:rPr>
        <w:t>磋商小组</w:t>
      </w:r>
      <w:r>
        <w:rPr>
          <w:rFonts w:hint="eastAsia" w:ascii="宋体" w:hAnsi="宋体" w:eastAsia="宋体" w:cs="宋体"/>
          <w:b/>
          <w:bCs/>
          <w:color w:val="auto"/>
          <w:sz w:val="24"/>
          <w:highlight w:val="none"/>
        </w:rPr>
        <w:t>将取消其投标资格。</w:t>
      </w:r>
    </w:p>
    <w:p w14:paraId="1BBC5DD2">
      <w:pPr>
        <w:spacing w:line="560" w:lineRule="exact"/>
        <w:ind w:firstLine="482" w:firstLineChars="200"/>
        <w:rPr>
          <w:rFonts w:hint="eastAsia" w:ascii="宋体" w:hAnsi="宋体" w:eastAsia="宋体" w:cs="宋体"/>
          <w:color w:val="auto"/>
          <w:sz w:val="24"/>
          <w:highlight w:val="none"/>
        </w:rPr>
      </w:pPr>
      <w:r>
        <w:rPr>
          <w:rFonts w:hint="eastAsia" w:ascii="宋体" w:hAnsi="宋体" w:eastAsia="宋体" w:cs="宋体"/>
          <w:b/>
          <w:bCs/>
          <w:color w:val="auto"/>
          <w:sz w:val="24"/>
          <w:highlight w:val="none"/>
        </w:rPr>
        <w:t>5、本项目需要落实的政府采购政策</w:t>
      </w:r>
    </w:p>
    <w:p w14:paraId="07FD03A4">
      <w:pPr>
        <w:autoSpaceDE w:val="0"/>
        <w:autoSpaceDN w:val="0"/>
        <w:snapToGrid w:val="0"/>
        <w:spacing w:line="440" w:lineRule="exact"/>
        <w:ind w:firstLine="482" w:firstLineChars="200"/>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5.1 落实政府采购信用融资有关政策要求</w:t>
      </w:r>
    </w:p>
    <w:p w14:paraId="230E4D5E">
      <w:pPr>
        <w:spacing w:line="50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（1）落实政府采购信用融资有关政策要求执行陕西省财政厅关于印发《陕西省中小企业政府采购信用融资办法》（陕财办采〔2018〕23号）文件规定；</w:t>
      </w:r>
    </w:p>
    <w:p w14:paraId="4653480F">
      <w:pPr>
        <w:spacing w:line="560" w:lineRule="exact"/>
        <w:ind w:firstLine="480" w:firstLineChars="200"/>
        <w:rPr>
          <w:rFonts w:hint="eastAsia" w:ascii="宋体" w:hAnsi="宋体" w:eastAsia="宋体" w:cs="宋体"/>
          <w:b/>
          <w:bCs/>
          <w:color w:val="auto"/>
          <w:sz w:val="24"/>
          <w:highlight w:val="none"/>
        </w:rPr>
      </w:pPr>
      <w:r>
        <w:rPr>
          <w:rFonts w:hint="eastAsia" w:ascii="宋体" w:hAnsi="宋体" w:eastAsia="宋体" w:cs="宋体"/>
          <w:color w:val="auto"/>
          <w:sz w:val="24"/>
          <w:highlight w:val="none"/>
        </w:rPr>
        <w:t>（2）有融资需求的供应商可根据自身情况，在陕西省政府采购信用融资平台（网址：http://ccgp-shaanxi.gov.cn/zcdservice/zcd/shanxi/）自主选择金融机构及其金融产品，凭政府采购中标（成交）通知书或政府采购合同向金融机构提出融资申请（具体程序以平台指南为准）。</w:t>
      </w:r>
    </w:p>
    <w:p w14:paraId="0C12524D">
      <w:pPr>
        <w:spacing w:line="560" w:lineRule="exact"/>
        <w:ind w:firstLine="482" w:firstLineChars="200"/>
        <w:rPr>
          <w:rFonts w:hint="eastAsia" w:ascii="宋体" w:hAnsi="宋体" w:eastAsia="宋体" w:cs="宋体"/>
          <w:color w:val="auto"/>
          <w:sz w:val="24"/>
          <w:highlight w:val="none"/>
        </w:rPr>
      </w:pPr>
      <w:r>
        <w:rPr>
          <w:rFonts w:hint="eastAsia" w:ascii="宋体" w:hAnsi="宋体" w:eastAsia="宋体" w:cs="宋体"/>
          <w:b/>
          <w:bCs/>
          <w:color w:val="auto"/>
          <w:sz w:val="24"/>
          <w:highlight w:val="none"/>
        </w:rPr>
        <w:t>5.2 投标企业政府采购政策</w:t>
      </w:r>
    </w:p>
    <w:p w14:paraId="5AA4EF95">
      <w:pPr>
        <w:spacing w:line="50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w:t>
      </w:r>
      <w:r>
        <w:rPr>
          <w:rFonts w:hint="eastAsia" w:ascii="宋体" w:hAnsi="宋体" w:eastAsia="宋体" w:cs="宋体"/>
          <w:b/>
          <w:bCs/>
          <w:color w:val="auto"/>
          <w:sz w:val="24"/>
          <w:highlight w:val="none"/>
        </w:rPr>
        <w:t>中小企业落实政府采购政策</w:t>
      </w:r>
    </w:p>
    <w:p w14:paraId="652CAE1E">
      <w:pPr>
        <w:spacing w:line="50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项目执行《政府采购促进中小企业发展管理办法》（财库〔2020〕46号）、财政部关于进一步加大政府采购支持中小企业力度的通知（财库〔2022〕19号），对符合政府采购关于中小企业扶持政策的小微企业投标人的报价给予10%的扣除，用扣除后的价格参与评审。</w:t>
      </w:r>
    </w:p>
    <w:p w14:paraId="1AA8BAD9">
      <w:pPr>
        <w:spacing w:line="50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2)本招标文件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划分标准见《中小企业划型标准规定》（工信部联企业〔2011〕300号）。</w:t>
      </w:r>
    </w:p>
    <w:p w14:paraId="1D2A6954">
      <w:pPr>
        <w:spacing w:line="500" w:lineRule="exact"/>
        <w:ind w:firstLine="420"/>
        <w:rPr>
          <w:rFonts w:hint="eastAsia" w:ascii="宋体" w:hAnsi="宋体" w:eastAsia="宋体" w:cs="宋体"/>
          <w:color w:val="auto"/>
          <w:sz w:val="24"/>
          <w:highlight w:val="none"/>
        </w:rPr>
      </w:pPr>
      <w:r>
        <w:rPr>
          <w:rFonts w:hint="eastAsia" w:ascii="宋体" w:hAnsi="宋体" w:eastAsia="宋体" w:cs="宋体"/>
          <w:color w:val="auto"/>
          <w:sz w:val="24"/>
          <w:highlight w:val="none"/>
        </w:rPr>
        <w:t>3)投标人提供的货物、工程或者服务符合下列情形的，享受前款办法规定的中小企业扶持政策：</w:t>
      </w:r>
    </w:p>
    <w:p w14:paraId="74BF610E">
      <w:pPr>
        <w:spacing w:line="500" w:lineRule="exact"/>
        <w:ind w:firstLine="420"/>
        <w:rPr>
          <w:rFonts w:hint="eastAsia" w:ascii="宋体" w:hAnsi="宋体" w:eastAsia="宋体" w:cs="宋体"/>
          <w:color w:val="auto"/>
          <w:kern w:val="1"/>
          <w:sz w:val="24"/>
          <w:highlight w:val="none"/>
        </w:rPr>
      </w:pPr>
      <w:r>
        <w:rPr>
          <w:rFonts w:hint="eastAsia" w:ascii="宋体" w:hAnsi="宋体" w:eastAsia="宋体" w:cs="宋体"/>
          <w:color w:val="auto"/>
          <w:szCs w:val="21"/>
          <w:highlight w:val="none"/>
        </w:rPr>
        <w:t>①在</w:t>
      </w:r>
      <w:r>
        <w:rPr>
          <w:rFonts w:hint="eastAsia" w:ascii="宋体" w:hAnsi="宋体" w:eastAsia="宋体" w:cs="宋体"/>
          <w:color w:val="auto"/>
          <w:kern w:val="1"/>
          <w:sz w:val="24"/>
          <w:highlight w:val="none"/>
        </w:rPr>
        <w:t>货物采购项目中，货物由中小企业制造，即货物由中小企业生产且使用该中小企业商号或者注册商标；</w:t>
      </w:r>
    </w:p>
    <w:p w14:paraId="708775A8">
      <w:pPr>
        <w:spacing w:line="500" w:lineRule="exact"/>
        <w:ind w:firstLine="420"/>
        <w:rPr>
          <w:rFonts w:hint="eastAsia" w:ascii="宋体" w:hAnsi="宋体" w:eastAsia="宋体" w:cs="宋体"/>
          <w:color w:val="auto"/>
          <w:kern w:val="1"/>
          <w:sz w:val="24"/>
          <w:highlight w:val="none"/>
        </w:rPr>
      </w:pPr>
      <w:r>
        <w:rPr>
          <w:rFonts w:hint="eastAsia" w:ascii="宋体" w:hAnsi="宋体" w:eastAsia="宋体" w:cs="宋体"/>
          <w:color w:val="auto"/>
          <w:szCs w:val="21"/>
          <w:highlight w:val="none"/>
        </w:rPr>
        <w:t>②</w:t>
      </w:r>
      <w:r>
        <w:rPr>
          <w:rFonts w:hint="eastAsia" w:ascii="宋体" w:hAnsi="宋体" w:eastAsia="宋体" w:cs="宋体"/>
          <w:color w:val="auto"/>
          <w:kern w:val="1"/>
          <w:sz w:val="24"/>
          <w:highlight w:val="none"/>
        </w:rPr>
        <w:t>在工程采购项目中，工程由中小企业承建，即工程施工单位为中小企业；</w:t>
      </w:r>
    </w:p>
    <w:p w14:paraId="4FC1DEF3">
      <w:pPr>
        <w:spacing w:line="500" w:lineRule="exact"/>
        <w:ind w:firstLine="420"/>
        <w:rPr>
          <w:rFonts w:hint="eastAsia" w:ascii="宋体" w:hAnsi="宋体" w:eastAsia="宋体" w:cs="宋体"/>
          <w:color w:val="auto"/>
          <w:kern w:val="1"/>
          <w:sz w:val="24"/>
          <w:highlight w:val="none"/>
        </w:rPr>
      </w:pPr>
      <w:r>
        <w:rPr>
          <w:rFonts w:hint="eastAsia" w:ascii="宋体" w:hAnsi="宋体" w:eastAsia="宋体" w:cs="宋体"/>
          <w:color w:val="auto"/>
          <w:szCs w:val="21"/>
          <w:highlight w:val="none"/>
        </w:rPr>
        <w:t>③</w:t>
      </w:r>
      <w:r>
        <w:rPr>
          <w:rFonts w:hint="eastAsia" w:ascii="宋体" w:hAnsi="宋体" w:eastAsia="宋体" w:cs="宋体"/>
          <w:color w:val="auto"/>
          <w:kern w:val="1"/>
          <w:sz w:val="24"/>
          <w:highlight w:val="none"/>
        </w:rPr>
        <w:t>在服务采购项目中，服务由中小企业承接，即提供服务的人员为中小企业依照《中华人民共和国劳动法》订立劳动合同的从业人员。</w:t>
      </w:r>
    </w:p>
    <w:p w14:paraId="39811339">
      <w:pPr>
        <w:spacing w:line="500" w:lineRule="exact"/>
        <w:ind w:firstLine="420"/>
        <w:rPr>
          <w:rFonts w:hint="eastAsia" w:ascii="宋体" w:hAnsi="宋体" w:eastAsia="宋体" w:cs="宋体"/>
          <w:color w:val="auto"/>
          <w:kern w:val="1"/>
          <w:sz w:val="24"/>
          <w:highlight w:val="none"/>
        </w:rPr>
      </w:pPr>
      <w:r>
        <w:rPr>
          <w:rFonts w:hint="eastAsia" w:ascii="宋体" w:hAnsi="宋体" w:eastAsia="宋体" w:cs="宋体"/>
          <w:color w:val="auto"/>
          <w:kern w:val="1"/>
          <w:sz w:val="24"/>
          <w:highlight w:val="none"/>
        </w:rPr>
        <w:t>在货物采购项目中，投标人提供的货物既有中小企业制造货物，也有大型企业制造货物的，不享受本办法规定的中小企业扶持政策。</w:t>
      </w:r>
    </w:p>
    <w:p w14:paraId="455270C0">
      <w:pPr>
        <w:spacing w:line="500" w:lineRule="exact"/>
        <w:ind w:firstLine="420"/>
        <w:rPr>
          <w:rFonts w:hint="eastAsia" w:ascii="宋体" w:hAnsi="宋体" w:eastAsia="宋体" w:cs="宋体"/>
          <w:color w:val="auto"/>
          <w:kern w:val="1"/>
          <w:sz w:val="24"/>
          <w:highlight w:val="none"/>
        </w:rPr>
      </w:pPr>
      <w:r>
        <w:rPr>
          <w:rFonts w:hint="eastAsia" w:ascii="宋体" w:hAnsi="宋体" w:eastAsia="宋体" w:cs="宋体"/>
          <w:color w:val="auto"/>
          <w:kern w:val="1"/>
          <w:sz w:val="24"/>
          <w:highlight w:val="none"/>
        </w:rPr>
        <w:t>以联合体形式参加政府采购活动，联合体各方均为中小企业的，联合体视同中小企业。其中，联合体各方均为小微企业的，联合体视同小微企业。</w:t>
      </w:r>
    </w:p>
    <w:p w14:paraId="67889B27">
      <w:pPr>
        <w:spacing w:line="500" w:lineRule="exact"/>
        <w:ind w:firstLine="420"/>
        <w:rPr>
          <w:rFonts w:hint="eastAsia" w:ascii="宋体" w:hAnsi="宋体" w:eastAsia="宋体" w:cs="宋体"/>
          <w:color w:val="auto"/>
          <w:sz w:val="24"/>
          <w:highlight w:val="none"/>
        </w:rPr>
      </w:pPr>
      <w:r>
        <w:rPr>
          <w:rFonts w:hint="eastAsia" w:ascii="宋体" w:hAnsi="宋体" w:eastAsia="宋体" w:cs="宋体"/>
          <w:color w:val="auto"/>
          <w:sz w:val="24"/>
          <w:highlight w:val="none"/>
        </w:rPr>
        <w:t>4）</w:t>
      </w:r>
      <w:r>
        <w:rPr>
          <w:rFonts w:hint="eastAsia" w:ascii="宋体" w:hAnsi="宋体" w:eastAsia="宋体" w:cs="宋体"/>
          <w:color w:val="auto"/>
          <w:kern w:val="1"/>
          <w:sz w:val="24"/>
          <w:highlight w:val="none"/>
        </w:rPr>
        <w:t>政府采购监督检查、投诉处理及政府采购行政处罚中对中小企业的认定，由货物制造商或者工程、服务投标人注册登记所在地的县级以上人民政府中小企业主管部门负责。</w:t>
      </w:r>
    </w:p>
    <w:p w14:paraId="6765EB49">
      <w:pPr>
        <w:spacing w:line="500" w:lineRule="exact"/>
        <w:ind w:firstLine="480" w:firstLineChars="200"/>
        <w:rPr>
          <w:rFonts w:hint="eastAsia" w:ascii="宋体" w:hAnsi="宋体" w:eastAsia="宋体" w:cs="宋体"/>
          <w:color w:val="auto"/>
          <w:kern w:val="1"/>
          <w:sz w:val="24"/>
          <w:highlight w:val="none"/>
        </w:rPr>
      </w:pPr>
      <w:r>
        <w:rPr>
          <w:rFonts w:hint="eastAsia" w:ascii="宋体" w:hAnsi="宋体" w:eastAsia="宋体" w:cs="宋体"/>
          <w:color w:val="auto"/>
          <w:sz w:val="24"/>
          <w:highlight w:val="none"/>
        </w:rPr>
        <w:t>5）</w:t>
      </w:r>
      <w:r>
        <w:rPr>
          <w:rFonts w:hint="eastAsia" w:ascii="宋体" w:hAnsi="宋体" w:eastAsia="宋体" w:cs="宋体"/>
          <w:color w:val="auto"/>
          <w:kern w:val="1"/>
          <w:sz w:val="24"/>
          <w:highlight w:val="none"/>
        </w:rPr>
        <w:t>投标人需根据《政府采购促进中小企业发展管理办法》（财库〔2020〕46号）、财政部关于进一步加大政府采购支持中小企业力度的通知（财库〔2022〕19号）和《中小企业划型标准规定》（工信部联企业〔2011〕300号）对照自身情况及所提供产品的制造商、服务商的信息自行判断是否全部属于中小微企业。出具《</w:t>
      </w:r>
      <w:r>
        <w:rPr>
          <w:rFonts w:hint="eastAsia" w:ascii="宋体" w:hAnsi="宋体" w:cs="宋体"/>
          <w:b/>
          <w:bCs/>
          <w:color w:val="auto"/>
          <w:kern w:val="1"/>
          <w:sz w:val="24"/>
          <w:highlight w:val="none"/>
          <w:lang w:val="en-US" w:eastAsia="zh-CN"/>
        </w:rPr>
        <w:t>中</w:t>
      </w:r>
      <w:r>
        <w:rPr>
          <w:rFonts w:hint="eastAsia" w:ascii="宋体" w:hAnsi="宋体" w:eastAsia="宋体" w:cs="宋体"/>
          <w:b/>
          <w:bCs/>
          <w:color w:val="auto"/>
          <w:kern w:val="1"/>
          <w:sz w:val="24"/>
          <w:highlight w:val="none"/>
        </w:rPr>
        <w:t>小企业声明函</w:t>
      </w:r>
      <w:r>
        <w:rPr>
          <w:rFonts w:hint="eastAsia" w:ascii="宋体" w:hAnsi="宋体" w:eastAsia="宋体" w:cs="宋体"/>
          <w:color w:val="auto"/>
          <w:kern w:val="1"/>
          <w:sz w:val="24"/>
          <w:highlight w:val="none"/>
        </w:rPr>
        <w:t>》（见投标文件格式）的小微企业，享受小微企业扶持，否则不享受相关中小企业扶持政策。投标人提供的</w:t>
      </w:r>
      <w:r>
        <w:rPr>
          <w:rFonts w:hint="eastAsia" w:ascii="宋体" w:hAnsi="宋体" w:eastAsia="宋体" w:cs="宋体"/>
          <w:b/>
          <w:bCs/>
          <w:color w:val="auto"/>
          <w:kern w:val="1"/>
          <w:sz w:val="24"/>
          <w:highlight w:val="none"/>
        </w:rPr>
        <w:t>《</w:t>
      </w:r>
      <w:r>
        <w:rPr>
          <w:rFonts w:hint="eastAsia" w:ascii="宋体" w:hAnsi="宋体" w:cs="宋体"/>
          <w:b/>
          <w:bCs/>
          <w:color w:val="auto"/>
          <w:kern w:val="1"/>
          <w:sz w:val="24"/>
          <w:highlight w:val="none"/>
          <w:lang w:val="en-US" w:eastAsia="zh-CN"/>
        </w:rPr>
        <w:t>中</w:t>
      </w:r>
      <w:r>
        <w:rPr>
          <w:rFonts w:hint="eastAsia" w:ascii="宋体" w:hAnsi="宋体" w:eastAsia="宋体" w:cs="宋体"/>
          <w:b/>
          <w:bCs/>
          <w:color w:val="auto"/>
          <w:kern w:val="1"/>
          <w:sz w:val="24"/>
          <w:highlight w:val="none"/>
        </w:rPr>
        <w:t>小企业声明函》</w:t>
      </w:r>
      <w:r>
        <w:rPr>
          <w:rFonts w:hint="eastAsia" w:ascii="宋体" w:hAnsi="宋体" w:eastAsia="宋体" w:cs="宋体"/>
          <w:color w:val="auto"/>
          <w:kern w:val="1"/>
          <w:sz w:val="24"/>
          <w:highlight w:val="none"/>
        </w:rPr>
        <w:t>在公示中标结果时公开。</w:t>
      </w:r>
    </w:p>
    <w:p w14:paraId="72367D40">
      <w:pPr>
        <w:spacing w:line="560" w:lineRule="exact"/>
        <w:ind w:firstLine="482" w:firstLineChars="200"/>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6）</w:t>
      </w:r>
      <w:r>
        <w:rPr>
          <w:rFonts w:hint="eastAsia" w:ascii="宋体" w:hAnsi="宋体" w:eastAsia="宋体" w:cs="宋体"/>
          <w:b/>
          <w:bCs/>
          <w:color w:val="auto"/>
          <w:kern w:val="1"/>
          <w:sz w:val="24"/>
          <w:highlight w:val="none"/>
        </w:rPr>
        <w:t>投标人应对其出具的《</w:t>
      </w:r>
      <w:r>
        <w:rPr>
          <w:rFonts w:hint="eastAsia" w:ascii="宋体" w:hAnsi="宋体" w:cs="宋体"/>
          <w:b/>
          <w:bCs/>
          <w:color w:val="auto"/>
          <w:kern w:val="1"/>
          <w:sz w:val="24"/>
          <w:highlight w:val="none"/>
          <w:lang w:val="en-US" w:eastAsia="zh-CN"/>
        </w:rPr>
        <w:t>中</w:t>
      </w:r>
      <w:r>
        <w:rPr>
          <w:rFonts w:hint="eastAsia" w:ascii="宋体" w:hAnsi="宋体" w:eastAsia="宋体" w:cs="宋体"/>
          <w:b/>
          <w:bCs/>
          <w:color w:val="auto"/>
          <w:kern w:val="1"/>
          <w:sz w:val="24"/>
          <w:highlight w:val="none"/>
        </w:rPr>
        <w:t>小企业声明函》真实性负责，投标人出具的《</w:t>
      </w:r>
      <w:r>
        <w:rPr>
          <w:rFonts w:hint="eastAsia" w:ascii="宋体" w:hAnsi="宋体" w:cs="宋体"/>
          <w:b/>
          <w:bCs/>
          <w:color w:val="auto"/>
          <w:kern w:val="1"/>
          <w:sz w:val="24"/>
          <w:highlight w:val="none"/>
          <w:lang w:val="en-US" w:eastAsia="zh-CN"/>
        </w:rPr>
        <w:t>中小</w:t>
      </w:r>
      <w:r>
        <w:rPr>
          <w:rFonts w:hint="eastAsia" w:ascii="宋体" w:hAnsi="宋体" w:eastAsia="宋体" w:cs="宋体"/>
          <w:b/>
          <w:bCs/>
          <w:color w:val="auto"/>
          <w:kern w:val="1"/>
          <w:sz w:val="24"/>
          <w:highlight w:val="none"/>
        </w:rPr>
        <w:t>企业声明函》内容不实的，属于提供虚假材料谋取中标。</w:t>
      </w:r>
    </w:p>
    <w:p w14:paraId="5FDEFC16">
      <w:pPr>
        <w:spacing w:line="500" w:lineRule="exact"/>
        <w:ind w:firstLine="482" w:firstLineChars="200"/>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5.3监狱企业政策</w:t>
      </w:r>
    </w:p>
    <w:p w14:paraId="35A829DF">
      <w:pPr>
        <w:spacing w:line="500" w:lineRule="exact"/>
        <w:ind w:firstLine="480" w:firstLineChars="200"/>
        <w:rPr>
          <w:rFonts w:hint="eastAsia" w:ascii="宋体" w:hAnsi="宋体" w:eastAsia="宋体" w:cs="宋体"/>
          <w:color w:val="auto"/>
          <w:kern w:val="1"/>
          <w:sz w:val="24"/>
          <w:highlight w:val="none"/>
        </w:rPr>
      </w:pPr>
      <w:r>
        <w:rPr>
          <w:rFonts w:hint="eastAsia" w:ascii="宋体" w:hAnsi="宋体" w:eastAsia="宋体" w:cs="宋体"/>
          <w:color w:val="auto"/>
          <w:kern w:val="1"/>
          <w:sz w:val="24"/>
          <w:highlight w:val="none"/>
        </w:rPr>
        <w:t>(1)符合《财政部司法部关于政府采购支持监狱企业发展有关问题的通知》（财库〔2014〕68号）的监狱和戒毒企业，提供省级以上监狱管理局、戒毒管理局（含新疆生产建设兵团）出具属于监狱、戒毒企业的证明的，视同小型、微型企业享受10%的价格扣除，监狱、戒毒企业属于小型、微型企业的，不重复享受价格优惠政策。</w:t>
      </w:r>
    </w:p>
    <w:p w14:paraId="144DB372">
      <w:pPr>
        <w:spacing w:line="56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kern w:val="1"/>
          <w:sz w:val="24"/>
          <w:highlight w:val="none"/>
        </w:rPr>
        <w:t>(2)投标人为监狱企业且所投货物全部由监狱企业制造的，应当提供由省级以上监狱管理局、戒毒管理局出具的属于监狱企业的证明文件，未提供或出具证明文件的单位不符合要求的，不视为小型微型企业。</w:t>
      </w:r>
    </w:p>
    <w:p w14:paraId="61B4917B">
      <w:pPr>
        <w:spacing w:line="500" w:lineRule="exact"/>
        <w:ind w:firstLine="482" w:firstLineChars="200"/>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5.4残疾人福利性单位政策</w:t>
      </w:r>
    </w:p>
    <w:p w14:paraId="3AB240F4">
      <w:pPr>
        <w:spacing w:line="500" w:lineRule="exact"/>
        <w:ind w:firstLine="480" w:firstLineChars="200"/>
        <w:rPr>
          <w:rFonts w:hint="eastAsia" w:ascii="宋体" w:hAnsi="宋体" w:eastAsia="宋体" w:cs="宋体"/>
          <w:color w:val="auto"/>
          <w:kern w:val="1"/>
          <w:sz w:val="24"/>
          <w:highlight w:val="none"/>
        </w:rPr>
      </w:pPr>
      <w:r>
        <w:rPr>
          <w:rFonts w:hint="eastAsia" w:ascii="宋体" w:hAnsi="宋体" w:eastAsia="宋体" w:cs="宋体"/>
          <w:color w:val="auto"/>
          <w:kern w:val="1"/>
          <w:sz w:val="24"/>
          <w:highlight w:val="none"/>
        </w:rPr>
        <w:t>(1)符合财政部、民政部、中国残疾人联合会下发的《关于促进残疾人就业政府采购政策的通知》（财库〔2017〕141号）并提供本单位制造的货物、承担的工程或者服务，或者提供其他残疾人福利性单位制造的货物（不包括使用非残疾人福利性单位注册商标的货物）的投标人，视同小型、微型企业享受10%的价格扣除。残疾人福利性单位属于小型、微型企业的，不重复享受价格优惠政策。</w:t>
      </w:r>
    </w:p>
    <w:p w14:paraId="0DF375FA">
      <w:pPr>
        <w:spacing w:line="50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kern w:val="1"/>
          <w:sz w:val="24"/>
          <w:highlight w:val="none"/>
        </w:rPr>
        <w:t>(2)投标人为残疾人福利性单位且所投货物全部由残疾人福利性单位制造的，应当提供《残疾人福利性单位声明函》，未提供的不视为小型微型企业。</w:t>
      </w:r>
    </w:p>
    <w:p w14:paraId="06EE5242">
      <w:pPr>
        <w:spacing w:line="500" w:lineRule="exact"/>
        <w:ind w:firstLine="482" w:firstLineChars="200"/>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5.5节能环境标志产品政策</w:t>
      </w:r>
    </w:p>
    <w:p w14:paraId="5CB2F328">
      <w:pPr>
        <w:spacing w:line="500" w:lineRule="exact"/>
        <w:ind w:firstLine="480" w:firstLineChars="200"/>
        <w:rPr>
          <w:rFonts w:hint="eastAsia" w:ascii="宋体" w:hAnsi="宋体" w:eastAsia="宋体" w:cs="宋体"/>
          <w:color w:val="auto"/>
          <w:kern w:val="1"/>
          <w:sz w:val="24"/>
          <w:highlight w:val="none"/>
        </w:rPr>
      </w:pPr>
      <w:r>
        <w:rPr>
          <w:rFonts w:hint="eastAsia" w:ascii="宋体" w:hAnsi="宋体" w:eastAsia="宋体" w:cs="宋体"/>
          <w:color w:val="auto"/>
          <w:kern w:val="1"/>
          <w:sz w:val="24"/>
          <w:highlight w:val="none"/>
        </w:rPr>
        <w:t>(1)执行《财政部发展改革委生态环境部市场监管总局关于调整优化节能产品、环境标志产品政府采购执行机制的通知》（财库〔2019〕9号）《节能产品政府采购实施意见》（财库〔2004〕185号）《环境标志产品政府采购实施的意见》（财库〔2006〕90号）《国务院办公厅关于建立政府强制采购节能产品制度的通知》（国办发〔2007〕51号）等政府采购政策，对获得符合政府采购政策的产品实施政府优先采购或强制采购。</w:t>
      </w:r>
    </w:p>
    <w:p w14:paraId="02402EB5">
      <w:pPr>
        <w:spacing w:line="500" w:lineRule="exact"/>
        <w:ind w:firstLine="480" w:firstLineChars="200"/>
        <w:rPr>
          <w:rFonts w:hint="eastAsia" w:ascii="宋体" w:hAnsi="宋体" w:eastAsia="宋体" w:cs="宋体"/>
          <w:color w:val="auto"/>
          <w:kern w:val="1"/>
          <w:sz w:val="24"/>
          <w:highlight w:val="none"/>
        </w:rPr>
      </w:pPr>
      <w:r>
        <w:rPr>
          <w:rFonts w:hint="eastAsia" w:ascii="宋体" w:hAnsi="宋体" w:eastAsia="宋体" w:cs="宋体"/>
          <w:color w:val="auto"/>
          <w:kern w:val="1"/>
          <w:sz w:val="24"/>
          <w:highlight w:val="none"/>
        </w:rPr>
        <w:t>(2)投标人可以提供所投产品经国家确定的认证机构出具的、处于有效期之内的节能产品、环境标志产品认证证书扫描件。采购代理机构通过中国政府采购网（</w:t>
      </w: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HYPERLINK "http://www.ccgp.gov.cn/" </w:instrText>
      </w:r>
      <w:r>
        <w:rPr>
          <w:rFonts w:hint="eastAsia" w:ascii="宋体" w:hAnsi="宋体" w:eastAsia="宋体" w:cs="宋体"/>
          <w:color w:val="auto"/>
          <w:highlight w:val="none"/>
        </w:rPr>
        <w:fldChar w:fldCharType="separate"/>
      </w:r>
      <w:r>
        <w:rPr>
          <w:rFonts w:hint="eastAsia" w:ascii="宋体" w:hAnsi="宋体" w:eastAsia="宋体" w:cs="宋体"/>
          <w:color w:val="auto"/>
          <w:kern w:val="1"/>
          <w:sz w:val="24"/>
          <w:highlight w:val="none"/>
        </w:rPr>
        <w:t>http：//www.ccgp.gov.cn/</w:t>
      </w:r>
      <w:r>
        <w:rPr>
          <w:rFonts w:hint="eastAsia" w:ascii="宋体" w:hAnsi="宋体" w:eastAsia="宋体" w:cs="宋体"/>
          <w:color w:val="auto"/>
          <w:kern w:val="1"/>
          <w:sz w:val="24"/>
          <w:highlight w:val="none"/>
        </w:rPr>
        <w:fldChar w:fldCharType="end"/>
      </w:r>
      <w:r>
        <w:rPr>
          <w:rFonts w:hint="eastAsia" w:ascii="宋体" w:hAnsi="宋体" w:eastAsia="宋体" w:cs="宋体"/>
          <w:color w:val="auto"/>
          <w:kern w:val="1"/>
          <w:sz w:val="24"/>
          <w:highlight w:val="none"/>
        </w:rPr>
        <w:t>）对获证产品信息进行核对。</w:t>
      </w:r>
    </w:p>
    <w:p w14:paraId="1E9D2381">
      <w:pPr>
        <w:spacing w:line="500" w:lineRule="exact"/>
        <w:ind w:firstLine="480" w:firstLineChars="200"/>
        <w:rPr>
          <w:rFonts w:hint="eastAsia" w:ascii="宋体" w:hAnsi="宋体" w:eastAsia="宋体" w:cs="宋体"/>
          <w:color w:val="auto"/>
          <w:kern w:val="1"/>
          <w:sz w:val="24"/>
          <w:highlight w:val="none"/>
        </w:rPr>
      </w:pPr>
      <w:r>
        <w:rPr>
          <w:rFonts w:hint="eastAsia" w:ascii="宋体" w:hAnsi="宋体" w:eastAsia="宋体" w:cs="宋体"/>
          <w:color w:val="auto"/>
          <w:kern w:val="1"/>
          <w:sz w:val="24"/>
          <w:highlight w:val="none"/>
        </w:rPr>
        <w:t>(3)投标人所投产品属于下列情形之一的，本应属于优先采购的，不再享受优先采购政策；属于强制采购的，则按无效投标文件处理：</w:t>
      </w:r>
    </w:p>
    <w:p w14:paraId="0FA8BF05">
      <w:pPr>
        <w:spacing w:line="500" w:lineRule="exact"/>
        <w:ind w:firstLine="420"/>
        <w:rPr>
          <w:rFonts w:hint="eastAsia" w:ascii="宋体" w:hAnsi="宋体" w:eastAsia="宋体" w:cs="宋体"/>
          <w:color w:val="auto"/>
          <w:kern w:val="1"/>
          <w:sz w:val="24"/>
          <w:highlight w:val="none"/>
        </w:rPr>
      </w:pPr>
      <w:r>
        <w:rPr>
          <w:rFonts w:hint="eastAsia" w:ascii="宋体" w:hAnsi="宋体" w:eastAsia="宋体" w:cs="宋体"/>
          <w:color w:val="auto"/>
          <w:kern w:val="1"/>
          <w:sz w:val="24"/>
          <w:highlight w:val="none"/>
        </w:rPr>
        <w:t>1）未提供认证证书扫描件或经核对认证证书存在信息有误的；</w:t>
      </w:r>
    </w:p>
    <w:p w14:paraId="79288C98">
      <w:pPr>
        <w:spacing w:line="500" w:lineRule="exact"/>
        <w:ind w:firstLine="420"/>
        <w:rPr>
          <w:rFonts w:hint="eastAsia" w:ascii="宋体" w:hAnsi="宋体" w:eastAsia="宋体" w:cs="宋体"/>
          <w:color w:val="auto"/>
          <w:kern w:val="1"/>
          <w:sz w:val="24"/>
          <w:highlight w:val="none"/>
        </w:rPr>
      </w:pPr>
      <w:r>
        <w:rPr>
          <w:rFonts w:hint="eastAsia" w:ascii="宋体" w:hAnsi="宋体" w:eastAsia="宋体" w:cs="宋体"/>
          <w:color w:val="auto"/>
          <w:kern w:val="1"/>
          <w:sz w:val="24"/>
          <w:highlight w:val="none"/>
        </w:rPr>
        <w:t>2）认证证书已过期。</w:t>
      </w:r>
    </w:p>
    <w:p w14:paraId="5341B4BE">
      <w:pPr>
        <w:spacing w:line="500" w:lineRule="exact"/>
        <w:ind w:firstLine="420"/>
        <w:rPr>
          <w:rFonts w:hint="eastAsia" w:ascii="宋体" w:hAnsi="宋体" w:eastAsia="宋体" w:cs="宋体"/>
          <w:color w:val="auto"/>
          <w:kern w:val="1"/>
          <w:sz w:val="24"/>
          <w:highlight w:val="none"/>
        </w:rPr>
      </w:pPr>
      <w:r>
        <w:rPr>
          <w:rFonts w:hint="eastAsia" w:ascii="宋体" w:hAnsi="宋体" w:eastAsia="宋体" w:cs="宋体"/>
          <w:color w:val="auto"/>
          <w:kern w:val="1"/>
          <w:sz w:val="24"/>
          <w:highlight w:val="none"/>
        </w:rPr>
        <w:t>①享受中小企业政府采购扶持政策的投标人，可以同时享受节能产品、环境标志产品优先采购政策。</w:t>
      </w:r>
    </w:p>
    <w:p w14:paraId="2EAAA280">
      <w:pPr>
        <w:spacing w:line="500" w:lineRule="exact"/>
        <w:ind w:firstLine="420"/>
        <w:rPr>
          <w:rFonts w:hint="eastAsia" w:ascii="宋体" w:hAnsi="宋体" w:eastAsia="宋体" w:cs="宋体"/>
          <w:color w:val="auto"/>
          <w:sz w:val="24"/>
          <w:highlight w:val="none"/>
        </w:rPr>
      </w:pPr>
      <w:r>
        <w:rPr>
          <w:rFonts w:hint="eastAsia" w:ascii="宋体" w:hAnsi="宋体" w:eastAsia="宋体" w:cs="宋体"/>
          <w:color w:val="auto"/>
          <w:kern w:val="1"/>
          <w:sz w:val="24"/>
          <w:highlight w:val="none"/>
        </w:rPr>
        <w:t>②鼓励中标（成交）供应商在提供</w:t>
      </w:r>
      <w:r>
        <w:rPr>
          <w:rFonts w:hint="eastAsia" w:ascii="宋体" w:hAnsi="宋体" w:eastAsia="宋体" w:cs="宋体"/>
          <w:color w:val="auto"/>
          <w:sz w:val="24"/>
          <w:highlight w:val="none"/>
        </w:rPr>
        <w:t>货物（产品）包装、运输按照《商品包装政府采购需求标准（试行）》（财办库〔2020〕）123号）、《快递包装政府采购需求标准（试行）》（财办库〔2020〕）123号）规定的环保要求进行包装。</w:t>
      </w:r>
    </w:p>
    <w:p w14:paraId="4BCB6A87">
      <w:pPr>
        <w:spacing w:line="500" w:lineRule="exact"/>
        <w:ind w:firstLine="482" w:firstLineChars="200"/>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5.3</w:t>
      </w:r>
      <w:r>
        <w:rPr>
          <w:rFonts w:hint="eastAsia" w:ascii="宋体" w:hAnsi="宋体" w:eastAsia="宋体" w:cs="宋体"/>
          <w:b/>
          <w:color w:val="auto"/>
          <w:spacing w:val="4"/>
          <w:sz w:val="24"/>
          <w:highlight w:val="none"/>
        </w:rPr>
        <w:t>对于符合政策性优惠的，其评标价按照以下规则进行计算调整。</w:t>
      </w:r>
    </w:p>
    <w:p w14:paraId="333BB7DA">
      <w:pPr>
        <w:spacing w:line="500" w:lineRule="exact"/>
        <w:ind w:firstLine="482" w:firstLineChars="200"/>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5.3.1符</w:t>
      </w:r>
      <w:r>
        <w:rPr>
          <w:rFonts w:hint="eastAsia" w:ascii="宋体" w:hAnsi="宋体" w:eastAsia="宋体" w:cs="宋体"/>
          <w:b/>
          <w:bCs/>
          <w:color w:val="auto"/>
          <w:spacing w:val="4"/>
          <w:sz w:val="24"/>
          <w:highlight w:val="none"/>
        </w:rPr>
        <w:t>合（财库〔2020〕46号）、（财库〔2022〕19号）文件规定的小微企业</w:t>
      </w:r>
      <w:r>
        <w:rPr>
          <w:rFonts w:hint="eastAsia" w:ascii="宋体" w:hAnsi="宋体" w:eastAsia="宋体" w:cs="宋体"/>
          <w:b/>
          <w:bCs/>
          <w:color w:val="auto"/>
          <w:sz w:val="24"/>
          <w:highlight w:val="none"/>
        </w:rPr>
        <w:t>单位</w:t>
      </w:r>
      <w:r>
        <w:rPr>
          <w:rFonts w:hint="eastAsia" w:ascii="宋体" w:hAnsi="宋体" w:eastAsia="宋体" w:cs="宋体"/>
          <w:b/>
          <w:bCs/>
          <w:color w:val="auto"/>
          <w:spacing w:val="4"/>
          <w:sz w:val="24"/>
          <w:highlight w:val="none"/>
        </w:rPr>
        <w:t>的评标价计算规则：</w:t>
      </w:r>
    </w:p>
    <w:p w14:paraId="4D12E365">
      <w:pPr>
        <w:spacing w:line="500" w:lineRule="exact"/>
        <w:ind w:firstLine="496" w:firstLineChars="200"/>
        <w:rPr>
          <w:rFonts w:hint="eastAsia" w:ascii="宋体" w:hAnsi="宋体" w:eastAsia="宋体" w:cs="宋体"/>
          <w:color w:val="auto"/>
          <w:sz w:val="24"/>
          <w:highlight w:val="none"/>
        </w:rPr>
      </w:pPr>
      <w:r>
        <w:rPr>
          <w:rFonts w:hint="eastAsia" w:ascii="宋体" w:hAnsi="宋体" w:eastAsia="宋体" w:cs="宋体"/>
          <w:color w:val="auto"/>
          <w:spacing w:val="4"/>
          <w:sz w:val="24"/>
          <w:highlight w:val="none"/>
        </w:rPr>
        <w:t>（1）</w:t>
      </w:r>
      <w:r>
        <w:rPr>
          <w:rFonts w:hint="eastAsia" w:ascii="宋体" w:hAnsi="宋体" w:eastAsia="宋体" w:cs="宋体"/>
          <w:color w:val="auto"/>
          <w:sz w:val="24"/>
          <w:highlight w:val="none"/>
        </w:rPr>
        <w:t>对符合规定的小型和微型企业（非联合体投标）报价给予10%的扣除，用扣除后的价格参加评审。其评标价=投标报价*（1-10%）</w:t>
      </w:r>
    </w:p>
    <w:p w14:paraId="58128DD0">
      <w:pPr>
        <w:spacing w:line="500" w:lineRule="exact"/>
        <w:ind w:left="1" w:firstLine="520" w:firstLineChars="210"/>
        <w:rPr>
          <w:rFonts w:hint="eastAsia" w:ascii="宋体" w:hAnsi="宋体" w:eastAsia="宋体" w:cs="宋体"/>
          <w:color w:val="auto"/>
          <w:spacing w:val="4"/>
          <w:sz w:val="24"/>
          <w:highlight w:val="none"/>
        </w:rPr>
      </w:pPr>
      <w:r>
        <w:rPr>
          <w:rFonts w:hint="eastAsia" w:ascii="宋体" w:hAnsi="宋体" w:eastAsia="宋体" w:cs="宋体"/>
          <w:color w:val="auto"/>
          <w:spacing w:val="4"/>
          <w:sz w:val="24"/>
          <w:highlight w:val="none"/>
        </w:rPr>
        <w:t>（2）确认为小微企业（含小型、微型企业，下同）投标的，应当同时符合以下条件：</w:t>
      </w:r>
    </w:p>
    <w:p w14:paraId="4536151A">
      <w:pPr>
        <w:spacing w:line="500" w:lineRule="exact"/>
        <w:ind w:firstLine="496" w:firstLineChars="200"/>
        <w:rPr>
          <w:rFonts w:hint="eastAsia" w:ascii="宋体" w:hAnsi="宋体" w:eastAsia="宋体" w:cs="宋体"/>
          <w:color w:val="auto"/>
          <w:spacing w:val="4"/>
          <w:sz w:val="24"/>
          <w:highlight w:val="none"/>
        </w:rPr>
      </w:pPr>
      <w:r>
        <w:rPr>
          <w:rFonts w:hint="eastAsia" w:ascii="宋体" w:hAnsi="宋体" w:eastAsia="宋体" w:cs="宋体"/>
          <w:color w:val="auto"/>
          <w:spacing w:val="4"/>
          <w:sz w:val="24"/>
          <w:highlight w:val="none"/>
        </w:rPr>
        <w:t>1）符合国务院有关部门根据企业从业人员、营业收入、资产总额等指标制定的中小企业划型标准（工信部联企业〔2011〕300号）；</w:t>
      </w:r>
    </w:p>
    <w:p w14:paraId="2F38CB3D">
      <w:pPr>
        <w:spacing w:line="500" w:lineRule="exact"/>
        <w:ind w:firstLine="496" w:firstLineChars="200"/>
        <w:rPr>
          <w:rFonts w:hint="eastAsia" w:ascii="宋体" w:hAnsi="宋体" w:eastAsia="宋体" w:cs="宋体"/>
          <w:color w:val="auto"/>
          <w:spacing w:val="4"/>
          <w:sz w:val="24"/>
          <w:highlight w:val="none"/>
        </w:rPr>
      </w:pPr>
      <w:r>
        <w:rPr>
          <w:rFonts w:hint="eastAsia" w:ascii="宋体" w:hAnsi="宋体" w:eastAsia="宋体" w:cs="宋体"/>
          <w:color w:val="auto"/>
          <w:spacing w:val="4"/>
          <w:sz w:val="24"/>
          <w:highlight w:val="none"/>
        </w:rPr>
        <w:t xml:space="preserve">2）在货物采购项目中，货物由中小企业制造，即货物由中小企业生产且使用该中小企业商号或者注册商标； </w:t>
      </w:r>
    </w:p>
    <w:p w14:paraId="04CB482A">
      <w:pPr>
        <w:spacing w:line="500" w:lineRule="exact"/>
        <w:ind w:firstLine="496" w:firstLineChars="200"/>
        <w:rPr>
          <w:rFonts w:hint="eastAsia" w:ascii="宋体" w:hAnsi="宋体" w:eastAsia="宋体" w:cs="宋体"/>
          <w:color w:val="auto"/>
          <w:spacing w:val="4"/>
          <w:sz w:val="24"/>
          <w:highlight w:val="none"/>
        </w:rPr>
      </w:pPr>
      <w:r>
        <w:rPr>
          <w:rFonts w:hint="eastAsia" w:ascii="宋体" w:hAnsi="宋体" w:eastAsia="宋体" w:cs="宋体"/>
          <w:color w:val="auto"/>
          <w:spacing w:val="4"/>
          <w:sz w:val="24"/>
          <w:highlight w:val="none"/>
        </w:rPr>
        <w:t>3）投标时须提供《</w:t>
      </w:r>
      <w:r>
        <w:rPr>
          <w:rFonts w:hint="eastAsia" w:ascii="宋体" w:hAnsi="宋体" w:cs="宋体"/>
          <w:b/>
          <w:bCs/>
          <w:color w:val="auto"/>
          <w:kern w:val="1"/>
          <w:sz w:val="24"/>
          <w:highlight w:val="none"/>
          <w:lang w:val="en-US" w:eastAsia="zh-CN"/>
        </w:rPr>
        <w:t>中小</w:t>
      </w:r>
      <w:r>
        <w:rPr>
          <w:rFonts w:hint="eastAsia" w:ascii="宋体" w:hAnsi="宋体" w:eastAsia="宋体" w:cs="宋体"/>
          <w:b/>
          <w:bCs/>
          <w:color w:val="auto"/>
          <w:kern w:val="1"/>
          <w:sz w:val="24"/>
          <w:highlight w:val="none"/>
        </w:rPr>
        <w:t>企业声明函</w:t>
      </w:r>
      <w:r>
        <w:rPr>
          <w:rFonts w:hint="eastAsia" w:ascii="宋体" w:hAnsi="宋体" w:eastAsia="宋体" w:cs="宋体"/>
          <w:color w:val="auto"/>
          <w:spacing w:val="4"/>
          <w:sz w:val="24"/>
          <w:highlight w:val="none"/>
        </w:rPr>
        <w:t>》；</w:t>
      </w:r>
    </w:p>
    <w:p w14:paraId="56BCB0F3">
      <w:pPr>
        <w:spacing w:line="500" w:lineRule="exact"/>
        <w:ind w:firstLine="498" w:firstLineChars="200"/>
        <w:rPr>
          <w:rFonts w:hint="eastAsia" w:ascii="宋体" w:hAnsi="宋体" w:eastAsia="宋体" w:cs="宋体"/>
          <w:b/>
          <w:bCs/>
          <w:color w:val="auto"/>
          <w:spacing w:val="4"/>
          <w:sz w:val="24"/>
          <w:highlight w:val="none"/>
        </w:rPr>
      </w:pPr>
      <w:r>
        <w:rPr>
          <w:rFonts w:hint="eastAsia" w:ascii="宋体" w:hAnsi="宋体" w:eastAsia="宋体" w:cs="宋体"/>
          <w:b/>
          <w:bCs/>
          <w:color w:val="auto"/>
          <w:spacing w:val="4"/>
          <w:sz w:val="24"/>
          <w:highlight w:val="none"/>
        </w:rPr>
        <w:t>5.3.2符合（财库〔2017〕141号）文件规定的残疾人福利性单位的评标价计算规则：</w:t>
      </w:r>
    </w:p>
    <w:p w14:paraId="2E5B1337">
      <w:pPr>
        <w:spacing w:line="500" w:lineRule="exact"/>
        <w:ind w:firstLine="496" w:firstLineChars="200"/>
        <w:rPr>
          <w:rFonts w:hint="eastAsia" w:ascii="宋体" w:hAnsi="宋体" w:eastAsia="宋体" w:cs="宋体"/>
          <w:color w:val="auto"/>
          <w:spacing w:val="4"/>
          <w:sz w:val="24"/>
          <w:highlight w:val="none"/>
        </w:rPr>
      </w:pPr>
      <w:r>
        <w:rPr>
          <w:rFonts w:hint="eastAsia" w:ascii="宋体" w:hAnsi="宋体" w:eastAsia="宋体" w:cs="宋体"/>
          <w:color w:val="auto"/>
          <w:spacing w:val="4"/>
          <w:sz w:val="24"/>
          <w:highlight w:val="none"/>
        </w:rPr>
        <w:t>(1)在政府采购活动中，残疾人福利性单位视同小型、微型企业，享受预留份额、评审中价格扣除等促进中小企业发展的政府采购政策。向残疾人福利性单位采购的金额，计入面向中小企业采购的统计数据。报价给予10%的扣除，用扣除后的价格参加评审。其评标价=投标报价*（1-10%）</w:t>
      </w:r>
    </w:p>
    <w:p w14:paraId="44FC2796">
      <w:pPr>
        <w:spacing w:line="500" w:lineRule="exact"/>
        <w:ind w:left="420" w:leftChars="200"/>
        <w:rPr>
          <w:rFonts w:hint="eastAsia" w:ascii="宋体" w:hAnsi="宋体" w:eastAsia="宋体" w:cs="宋体"/>
          <w:color w:val="auto"/>
          <w:spacing w:val="4"/>
          <w:sz w:val="24"/>
          <w:highlight w:val="none"/>
        </w:rPr>
      </w:pPr>
      <w:r>
        <w:rPr>
          <w:rFonts w:hint="eastAsia" w:ascii="宋体" w:hAnsi="宋体" w:eastAsia="宋体" w:cs="宋体"/>
          <w:color w:val="auto"/>
          <w:spacing w:val="4"/>
          <w:sz w:val="24"/>
          <w:highlight w:val="none"/>
        </w:rPr>
        <w:t>(2)确认为残疾人福利性单位投标的，应当同时符合以下条件：</w:t>
      </w:r>
    </w:p>
    <w:p w14:paraId="77F7CE5E">
      <w:pPr>
        <w:spacing w:line="500" w:lineRule="exact"/>
        <w:ind w:firstLine="496" w:firstLineChars="200"/>
        <w:rPr>
          <w:rFonts w:hint="eastAsia" w:ascii="宋体" w:hAnsi="宋体" w:eastAsia="宋体" w:cs="宋体"/>
          <w:color w:val="auto"/>
          <w:spacing w:val="4"/>
          <w:sz w:val="24"/>
          <w:highlight w:val="none"/>
        </w:rPr>
      </w:pPr>
      <w:r>
        <w:rPr>
          <w:rFonts w:hint="eastAsia" w:ascii="宋体" w:hAnsi="宋体" w:eastAsia="宋体" w:cs="宋体"/>
          <w:color w:val="auto"/>
          <w:spacing w:val="4"/>
          <w:sz w:val="24"/>
          <w:highlight w:val="none"/>
        </w:rPr>
        <w:t>1）符合（财库〔2017〕141号）文件相关规定。</w:t>
      </w:r>
    </w:p>
    <w:p w14:paraId="3A7704FE">
      <w:pPr>
        <w:spacing w:line="500" w:lineRule="exact"/>
        <w:ind w:firstLine="496" w:firstLineChars="200"/>
        <w:rPr>
          <w:rFonts w:hint="eastAsia" w:ascii="宋体" w:hAnsi="宋体" w:eastAsia="宋体" w:cs="宋体"/>
          <w:color w:val="auto"/>
          <w:spacing w:val="4"/>
          <w:sz w:val="24"/>
          <w:highlight w:val="none"/>
        </w:rPr>
      </w:pPr>
      <w:r>
        <w:rPr>
          <w:rFonts w:hint="eastAsia" w:ascii="宋体" w:hAnsi="宋体" w:eastAsia="宋体" w:cs="宋体"/>
          <w:color w:val="auto"/>
          <w:spacing w:val="4"/>
          <w:sz w:val="24"/>
          <w:highlight w:val="none"/>
        </w:rPr>
        <w:t>2）投标时提供本单位制造的货物、承担的工程或者服务（以下简称产品），或者提供其他残疾人福利性单位制造的货物（不包括使用非残疾人福利性单位注册商标的货物）。</w:t>
      </w:r>
    </w:p>
    <w:p w14:paraId="5B7FEBC8">
      <w:pPr>
        <w:spacing w:line="500" w:lineRule="exact"/>
        <w:ind w:firstLine="496" w:firstLineChars="200"/>
        <w:rPr>
          <w:rFonts w:hint="eastAsia" w:ascii="宋体" w:hAnsi="宋体" w:eastAsia="宋体" w:cs="宋体"/>
          <w:color w:val="auto"/>
          <w:sz w:val="24"/>
          <w:highlight w:val="none"/>
        </w:rPr>
      </w:pPr>
      <w:r>
        <w:rPr>
          <w:rFonts w:hint="eastAsia" w:ascii="宋体" w:hAnsi="宋体" w:eastAsia="宋体" w:cs="宋体"/>
          <w:color w:val="auto"/>
          <w:spacing w:val="4"/>
          <w:sz w:val="24"/>
          <w:highlight w:val="none"/>
        </w:rPr>
        <w:t>3）投标人须提供《残疾人福利性单位声明函》。</w:t>
      </w:r>
    </w:p>
    <w:p w14:paraId="63F5A292">
      <w:pPr>
        <w:spacing w:line="500" w:lineRule="exact"/>
        <w:ind w:firstLine="482" w:firstLineChars="200"/>
        <w:rPr>
          <w:rFonts w:hint="eastAsia" w:ascii="宋体" w:hAnsi="宋体" w:eastAsia="宋体" w:cs="宋体"/>
          <w:b/>
          <w:bCs/>
          <w:color w:val="auto"/>
          <w:spacing w:val="4"/>
          <w:sz w:val="24"/>
          <w:highlight w:val="none"/>
        </w:rPr>
      </w:pPr>
      <w:r>
        <w:rPr>
          <w:rFonts w:hint="eastAsia" w:ascii="宋体" w:hAnsi="宋体" w:eastAsia="宋体" w:cs="宋体"/>
          <w:b/>
          <w:bCs/>
          <w:color w:val="auto"/>
          <w:sz w:val="24"/>
          <w:highlight w:val="none"/>
        </w:rPr>
        <w:t>5.3.3</w:t>
      </w:r>
      <w:r>
        <w:rPr>
          <w:rFonts w:hint="eastAsia" w:ascii="宋体" w:hAnsi="宋体" w:eastAsia="宋体" w:cs="宋体"/>
          <w:b/>
          <w:bCs/>
          <w:color w:val="auto"/>
          <w:spacing w:val="4"/>
          <w:sz w:val="24"/>
          <w:highlight w:val="none"/>
        </w:rPr>
        <w:t>符合（财库〔2014〕68号）文件规定的监狱企业的评标价计算规则：</w:t>
      </w:r>
    </w:p>
    <w:p w14:paraId="221446A2">
      <w:pPr>
        <w:spacing w:line="500" w:lineRule="exact"/>
        <w:ind w:firstLine="496" w:firstLineChars="200"/>
        <w:rPr>
          <w:rFonts w:hint="eastAsia" w:ascii="宋体" w:hAnsi="宋体" w:eastAsia="宋体" w:cs="宋体"/>
          <w:color w:val="auto"/>
          <w:spacing w:val="4"/>
          <w:sz w:val="24"/>
          <w:highlight w:val="none"/>
        </w:rPr>
      </w:pPr>
      <w:r>
        <w:rPr>
          <w:rFonts w:hint="eastAsia" w:ascii="宋体" w:hAnsi="宋体" w:eastAsia="宋体" w:cs="宋体"/>
          <w:color w:val="auto"/>
          <w:spacing w:val="4"/>
          <w:sz w:val="24"/>
          <w:highlight w:val="none"/>
        </w:rPr>
        <w:t>(1)在政府采购活动中，监狱企业视同小型、微型企业，享受预留份额、评审中价格扣除等政府采购促进中小企业发展的政府采购政策。向监狱企业采购的金额，计入面向中小企业采购的统计数据。报价给予10%的扣除，用扣除后的价格参加评审。</w:t>
      </w:r>
    </w:p>
    <w:p w14:paraId="45721D7C">
      <w:pPr>
        <w:pStyle w:val="23"/>
        <w:spacing w:line="500" w:lineRule="exact"/>
        <w:rPr>
          <w:rFonts w:hint="eastAsia" w:ascii="宋体" w:hAnsi="宋体" w:eastAsia="宋体" w:cs="宋体"/>
          <w:color w:val="auto"/>
          <w:spacing w:val="4"/>
          <w:sz w:val="24"/>
          <w:highlight w:val="none"/>
        </w:rPr>
      </w:pPr>
      <w:r>
        <w:rPr>
          <w:rFonts w:hint="eastAsia" w:ascii="宋体" w:hAnsi="宋体" w:eastAsia="宋体" w:cs="宋体"/>
          <w:color w:val="auto"/>
          <w:spacing w:val="4"/>
          <w:sz w:val="24"/>
          <w:highlight w:val="none"/>
        </w:rPr>
        <w:t>其评标价=投标报价*（1-10%）</w:t>
      </w:r>
    </w:p>
    <w:p w14:paraId="29456E5D">
      <w:pPr>
        <w:spacing w:line="500" w:lineRule="exact"/>
        <w:ind w:firstLine="520" w:firstLineChars="210"/>
        <w:rPr>
          <w:rFonts w:hint="eastAsia" w:ascii="宋体" w:hAnsi="宋体" w:eastAsia="宋体" w:cs="宋体"/>
          <w:color w:val="auto"/>
          <w:spacing w:val="4"/>
          <w:sz w:val="24"/>
          <w:highlight w:val="none"/>
        </w:rPr>
      </w:pPr>
      <w:r>
        <w:rPr>
          <w:rFonts w:hint="eastAsia" w:ascii="宋体" w:hAnsi="宋体" w:eastAsia="宋体" w:cs="宋体"/>
          <w:color w:val="auto"/>
          <w:spacing w:val="4"/>
          <w:sz w:val="24"/>
          <w:highlight w:val="none"/>
        </w:rPr>
        <w:t>（2）确认为监狱企业投标的，应当同时符合以下条件：</w:t>
      </w:r>
    </w:p>
    <w:p w14:paraId="7184E325">
      <w:pPr>
        <w:spacing w:line="500" w:lineRule="exact"/>
        <w:ind w:firstLine="766" w:firstLineChars="309"/>
        <w:rPr>
          <w:rFonts w:hint="eastAsia" w:ascii="宋体" w:hAnsi="宋体" w:eastAsia="宋体" w:cs="宋体"/>
          <w:color w:val="auto"/>
          <w:spacing w:val="4"/>
          <w:sz w:val="24"/>
          <w:highlight w:val="none"/>
        </w:rPr>
      </w:pPr>
      <w:r>
        <w:rPr>
          <w:rFonts w:hint="eastAsia" w:ascii="宋体" w:hAnsi="宋体" w:eastAsia="宋体" w:cs="宋体"/>
          <w:color w:val="auto"/>
          <w:spacing w:val="4"/>
          <w:sz w:val="24"/>
          <w:highlight w:val="none"/>
        </w:rPr>
        <w:t>1）符合（财库〔2014〕68号）文件相关规定。</w:t>
      </w:r>
    </w:p>
    <w:p w14:paraId="206E795E">
      <w:pPr>
        <w:spacing w:line="500" w:lineRule="exact"/>
        <w:ind w:firstLine="766" w:firstLineChars="309"/>
        <w:rPr>
          <w:rFonts w:hint="eastAsia" w:ascii="宋体" w:hAnsi="宋体" w:eastAsia="宋体" w:cs="宋体"/>
          <w:color w:val="auto"/>
          <w:spacing w:val="4"/>
          <w:sz w:val="24"/>
          <w:highlight w:val="none"/>
        </w:rPr>
      </w:pPr>
      <w:r>
        <w:rPr>
          <w:rFonts w:hint="eastAsia" w:ascii="宋体" w:hAnsi="宋体" w:eastAsia="宋体" w:cs="宋体"/>
          <w:color w:val="auto"/>
          <w:spacing w:val="4"/>
          <w:sz w:val="24"/>
          <w:highlight w:val="none"/>
        </w:rPr>
        <w:t>2）投标时提供本单位生产的货物，或者提供其他监狱企业生产的货物。</w:t>
      </w:r>
    </w:p>
    <w:p w14:paraId="4296C5FD">
      <w:pPr>
        <w:spacing w:line="500" w:lineRule="exact"/>
        <w:ind w:firstLine="766" w:firstLineChars="309"/>
        <w:rPr>
          <w:rFonts w:hint="eastAsia" w:ascii="宋体" w:hAnsi="宋体" w:eastAsia="宋体" w:cs="宋体"/>
          <w:color w:val="auto"/>
          <w:spacing w:val="4"/>
          <w:sz w:val="24"/>
          <w:highlight w:val="none"/>
        </w:rPr>
      </w:pPr>
      <w:r>
        <w:rPr>
          <w:rFonts w:hint="eastAsia" w:ascii="宋体" w:hAnsi="宋体" w:eastAsia="宋体" w:cs="宋体"/>
          <w:color w:val="auto"/>
          <w:spacing w:val="4"/>
          <w:sz w:val="24"/>
          <w:highlight w:val="none"/>
        </w:rPr>
        <w:t>3）投标人须提供由省级以上监狱管理局、戒毒管理局（含新疆生产建设兵团）出具的属于监狱企业的证明文件。</w:t>
      </w:r>
    </w:p>
    <w:p w14:paraId="2C900436">
      <w:pPr>
        <w:spacing w:line="500" w:lineRule="exact"/>
        <w:ind w:firstLine="523" w:firstLineChars="210"/>
        <w:rPr>
          <w:rFonts w:hint="eastAsia" w:ascii="宋体" w:hAnsi="宋体" w:eastAsia="宋体" w:cs="宋体"/>
          <w:b/>
          <w:bCs/>
          <w:color w:val="auto"/>
          <w:spacing w:val="4"/>
          <w:sz w:val="24"/>
          <w:highlight w:val="none"/>
        </w:rPr>
      </w:pPr>
      <w:r>
        <w:rPr>
          <w:rFonts w:hint="eastAsia" w:ascii="宋体" w:hAnsi="宋体" w:eastAsia="宋体" w:cs="宋体"/>
          <w:b/>
          <w:bCs/>
          <w:color w:val="auto"/>
          <w:spacing w:val="4"/>
          <w:sz w:val="24"/>
          <w:highlight w:val="none"/>
        </w:rPr>
        <w:t>5.3.4符合（财库〔2021〕19号）文件规定的来自贫困地区提供农副产品的评标价计算规则：</w:t>
      </w:r>
    </w:p>
    <w:p w14:paraId="1C025700">
      <w:pPr>
        <w:spacing w:line="500" w:lineRule="exact"/>
        <w:ind w:firstLine="520" w:firstLineChars="210"/>
        <w:rPr>
          <w:rFonts w:hint="eastAsia" w:ascii="宋体" w:hAnsi="宋体" w:eastAsia="宋体" w:cs="宋体"/>
          <w:color w:val="auto"/>
          <w:spacing w:val="4"/>
          <w:sz w:val="24"/>
          <w:highlight w:val="none"/>
        </w:rPr>
      </w:pPr>
      <w:r>
        <w:rPr>
          <w:rFonts w:hint="eastAsia" w:ascii="宋体" w:hAnsi="宋体" w:eastAsia="宋体" w:cs="宋体"/>
          <w:color w:val="auto"/>
          <w:spacing w:val="4"/>
          <w:sz w:val="24"/>
          <w:highlight w:val="none"/>
        </w:rPr>
        <w:t>(1)在政府采购活动中，对于来自贫困地区提供农副产品的投标人，报价给予5%的扣除，用扣除后的价格参加评审。其评标价=投标报价*（1-5%）</w:t>
      </w:r>
    </w:p>
    <w:p w14:paraId="2460143B">
      <w:pPr>
        <w:spacing w:line="500" w:lineRule="exact"/>
        <w:ind w:firstLine="520" w:firstLineChars="210"/>
        <w:rPr>
          <w:rFonts w:hint="eastAsia" w:ascii="宋体" w:hAnsi="宋体" w:eastAsia="宋体" w:cs="宋体"/>
          <w:color w:val="auto"/>
          <w:spacing w:val="4"/>
          <w:sz w:val="24"/>
          <w:highlight w:val="none"/>
        </w:rPr>
      </w:pPr>
      <w:r>
        <w:rPr>
          <w:rFonts w:hint="eastAsia" w:ascii="宋体" w:hAnsi="宋体" w:eastAsia="宋体" w:cs="宋体"/>
          <w:color w:val="auto"/>
          <w:spacing w:val="4"/>
          <w:sz w:val="24"/>
          <w:highlight w:val="none"/>
        </w:rPr>
        <w:t>(2)确认为来自贫困地区提供农副产品的投标人，应当同时符合以下条件：</w:t>
      </w:r>
    </w:p>
    <w:p w14:paraId="2571B145">
      <w:pPr>
        <w:spacing w:line="500" w:lineRule="exact"/>
        <w:ind w:firstLine="496" w:firstLineChars="200"/>
        <w:rPr>
          <w:rFonts w:hint="eastAsia" w:ascii="宋体" w:hAnsi="宋体" w:eastAsia="宋体" w:cs="宋体"/>
          <w:color w:val="auto"/>
          <w:spacing w:val="4"/>
          <w:sz w:val="24"/>
          <w:highlight w:val="none"/>
        </w:rPr>
      </w:pPr>
      <w:r>
        <w:rPr>
          <w:rFonts w:hint="eastAsia" w:ascii="宋体" w:hAnsi="宋体" w:eastAsia="宋体" w:cs="宋体"/>
          <w:color w:val="auto"/>
          <w:spacing w:val="4"/>
          <w:sz w:val="24"/>
          <w:highlight w:val="none"/>
        </w:rPr>
        <w:t>1）符合（财库〔2021〕19号）文件相关规定，在832个国家级贫困县域内注册的企业、农民专业合作社、家庭农场等出产的农副产品。</w:t>
      </w:r>
    </w:p>
    <w:p w14:paraId="34D68705">
      <w:pPr>
        <w:spacing w:line="500" w:lineRule="exact"/>
        <w:ind w:firstLine="496" w:firstLineChars="200"/>
        <w:rPr>
          <w:rFonts w:hint="eastAsia" w:ascii="宋体" w:hAnsi="宋体" w:eastAsia="宋体" w:cs="宋体"/>
          <w:color w:val="auto"/>
          <w:spacing w:val="4"/>
          <w:sz w:val="24"/>
          <w:highlight w:val="none"/>
        </w:rPr>
      </w:pPr>
      <w:r>
        <w:rPr>
          <w:rFonts w:hint="eastAsia" w:ascii="宋体" w:hAnsi="宋体" w:eastAsia="宋体" w:cs="宋体"/>
          <w:color w:val="auto"/>
          <w:spacing w:val="4"/>
          <w:sz w:val="24"/>
          <w:highlight w:val="none"/>
        </w:rPr>
        <w:t>2）投标时提供本单位生产的货物，或者提供其他贫困地区生产的货物。</w:t>
      </w:r>
    </w:p>
    <w:p w14:paraId="77FA3BE6">
      <w:pPr>
        <w:spacing w:line="500" w:lineRule="exact"/>
        <w:ind w:left="1019" w:leftChars="249" w:hanging="496" w:hangingChars="200"/>
        <w:rPr>
          <w:rFonts w:hint="eastAsia" w:ascii="宋体" w:hAnsi="宋体" w:eastAsia="宋体" w:cs="宋体"/>
          <w:color w:val="auto"/>
          <w:spacing w:val="4"/>
          <w:sz w:val="24"/>
          <w:highlight w:val="none"/>
        </w:rPr>
      </w:pPr>
      <w:r>
        <w:rPr>
          <w:rFonts w:hint="eastAsia" w:ascii="宋体" w:hAnsi="宋体" w:eastAsia="宋体" w:cs="宋体"/>
          <w:color w:val="auto"/>
          <w:spacing w:val="4"/>
          <w:sz w:val="24"/>
          <w:highlight w:val="none"/>
        </w:rPr>
        <w:t>3）投标人须提供相关证明文件。</w:t>
      </w:r>
    </w:p>
    <w:p w14:paraId="56063DB3">
      <w:pPr>
        <w:spacing w:line="500" w:lineRule="exact"/>
        <w:ind w:firstLine="523" w:firstLineChars="210"/>
        <w:rPr>
          <w:rFonts w:hint="eastAsia" w:ascii="宋体" w:hAnsi="宋体" w:eastAsia="宋体" w:cs="宋体"/>
          <w:b/>
          <w:bCs/>
          <w:color w:val="auto"/>
          <w:spacing w:val="4"/>
          <w:sz w:val="24"/>
          <w:highlight w:val="none"/>
        </w:rPr>
      </w:pPr>
      <w:r>
        <w:rPr>
          <w:rFonts w:hint="eastAsia" w:ascii="宋体" w:hAnsi="宋体" w:eastAsia="宋体" w:cs="宋体"/>
          <w:b/>
          <w:bCs/>
          <w:color w:val="auto"/>
          <w:spacing w:val="4"/>
          <w:sz w:val="24"/>
          <w:highlight w:val="none"/>
        </w:rPr>
        <w:t>5.3.5符合节能产品文件规定的评标价计算规则：</w:t>
      </w:r>
    </w:p>
    <w:p w14:paraId="22D8681E">
      <w:pPr>
        <w:spacing w:line="500" w:lineRule="exact"/>
        <w:ind w:left="1019" w:leftChars="249" w:hanging="496" w:hangingChars="200"/>
        <w:rPr>
          <w:rFonts w:hint="eastAsia" w:ascii="宋体" w:hAnsi="宋体" w:eastAsia="宋体" w:cs="宋体"/>
          <w:color w:val="auto"/>
          <w:spacing w:val="4"/>
          <w:sz w:val="24"/>
          <w:highlight w:val="none"/>
        </w:rPr>
      </w:pPr>
      <w:r>
        <w:rPr>
          <w:rFonts w:hint="eastAsia" w:ascii="宋体" w:hAnsi="宋体" w:eastAsia="宋体" w:cs="宋体"/>
          <w:color w:val="auto"/>
          <w:spacing w:val="4"/>
          <w:sz w:val="24"/>
          <w:highlight w:val="none"/>
        </w:rPr>
        <w:t>(1)投标货物涉及提供的所有投标产品进入“节能产品政府采购品目清单”</w:t>
      </w:r>
    </w:p>
    <w:p w14:paraId="53CFB9B7">
      <w:pPr>
        <w:spacing w:line="500" w:lineRule="exact"/>
        <w:rPr>
          <w:rFonts w:hint="eastAsia" w:ascii="宋体" w:hAnsi="宋体" w:eastAsia="宋体" w:cs="宋体"/>
          <w:color w:val="auto"/>
          <w:spacing w:val="4"/>
          <w:sz w:val="24"/>
          <w:highlight w:val="none"/>
        </w:rPr>
      </w:pPr>
      <w:r>
        <w:rPr>
          <w:rFonts w:hint="eastAsia" w:ascii="宋体" w:hAnsi="宋体" w:eastAsia="宋体" w:cs="宋体"/>
          <w:color w:val="auto"/>
          <w:spacing w:val="4"/>
          <w:sz w:val="24"/>
          <w:highlight w:val="none"/>
        </w:rPr>
        <w:t>（相关证书的颁发机构应来自《参与实施政府采购节能产品认证机构名录》）的，其评标价=投标报价*（1-3%）；（不是所有投标产品的不享受此项优惠）。</w:t>
      </w:r>
    </w:p>
    <w:p w14:paraId="077158F6">
      <w:pPr>
        <w:spacing w:line="500" w:lineRule="exact"/>
        <w:ind w:left="1019" w:leftChars="249" w:hanging="496" w:hangingChars="200"/>
        <w:rPr>
          <w:rFonts w:hint="eastAsia" w:ascii="宋体" w:hAnsi="宋体" w:eastAsia="宋体" w:cs="宋体"/>
          <w:color w:val="auto"/>
          <w:spacing w:val="4"/>
          <w:sz w:val="24"/>
          <w:highlight w:val="none"/>
        </w:rPr>
      </w:pPr>
      <w:r>
        <w:rPr>
          <w:rFonts w:hint="eastAsia" w:ascii="宋体" w:hAnsi="宋体" w:eastAsia="宋体" w:cs="宋体"/>
          <w:color w:val="auto"/>
          <w:spacing w:val="4"/>
          <w:sz w:val="24"/>
          <w:highlight w:val="none"/>
        </w:rPr>
        <w:t>(2)符合环境标志产品文件规定的评标价计算规则：</w:t>
      </w:r>
    </w:p>
    <w:p w14:paraId="41C039D6">
      <w:pPr>
        <w:spacing w:line="500" w:lineRule="exact"/>
        <w:ind w:firstLine="496" w:firstLineChars="200"/>
        <w:rPr>
          <w:rFonts w:hint="eastAsia" w:ascii="宋体" w:hAnsi="宋体" w:eastAsia="宋体" w:cs="宋体"/>
          <w:color w:val="auto"/>
          <w:sz w:val="24"/>
          <w:highlight w:val="none"/>
        </w:rPr>
      </w:pPr>
      <w:r>
        <w:rPr>
          <w:rFonts w:hint="eastAsia" w:ascii="宋体" w:hAnsi="宋体" w:eastAsia="宋体" w:cs="宋体"/>
          <w:color w:val="auto"/>
          <w:spacing w:val="4"/>
          <w:sz w:val="24"/>
          <w:highlight w:val="none"/>
        </w:rPr>
        <w:t>(3)投标货物涉及提供的所有投标产品进入“环境标志产品政府采购品目清单”（相关证书的颁发机构应来自《参与实施政府采购环境标志产品认证机构名录》）的，其评标价=投标报价*（1-3%）；（不是所有投标产品的不享受此项优惠）。</w:t>
      </w:r>
    </w:p>
    <w:p w14:paraId="563CD58E">
      <w:pPr>
        <w:spacing w:line="560" w:lineRule="exact"/>
        <w:ind w:firstLine="480" w:firstLineChars="200"/>
        <w:rPr>
          <w:rFonts w:hint="eastAsia" w:ascii="宋体" w:hAnsi="宋体" w:eastAsia="宋体" w:cs="宋体"/>
          <w:b w:val="0"/>
          <w:bCs w:val="0"/>
          <w:color w:val="auto"/>
          <w:sz w:val="24"/>
          <w:highlight w:val="none"/>
        </w:rPr>
      </w:pPr>
      <w:r>
        <w:rPr>
          <w:rFonts w:hint="eastAsia" w:ascii="宋体" w:hAnsi="宋体" w:eastAsia="宋体" w:cs="宋体"/>
          <w:b w:val="0"/>
          <w:bCs w:val="0"/>
          <w:color w:val="auto"/>
          <w:sz w:val="24"/>
          <w:highlight w:val="none"/>
        </w:rPr>
        <w:t>6、</w:t>
      </w:r>
      <w:r>
        <w:rPr>
          <w:rFonts w:hint="eastAsia" w:ascii="宋体" w:hAnsi="宋体" w:eastAsia="宋体" w:cs="宋体"/>
          <w:b w:val="0"/>
          <w:bCs w:val="0"/>
          <w:color w:val="auto"/>
          <w:sz w:val="24"/>
          <w:highlight w:val="none"/>
          <w:lang w:eastAsia="zh-CN"/>
        </w:rPr>
        <w:t>磋商小组</w:t>
      </w:r>
      <w:r>
        <w:rPr>
          <w:rFonts w:hint="eastAsia" w:ascii="宋体" w:hAnsi="宋体" w:eastAsia="宋体" w:cs="宋体"/>
          <w:b w:val="0"/>
          <w:bCs w:val="0"/>
          <w:color w:val="auto"/>
          <w:sz w:val="24"/>
          <w:highlight w:val="none"/>
        </w:rPr>
        <w:t>对进入详细评审的供应商进行综合评分，根据得分由高到低，推荐出三个以</w:t>
      </w:r>
      <w:r>
        <w:rPr>
          <w:rFonts w:hint="eastAsia" w:ascii="宋体" w:hAnsi="宋体" w:eastAsia="宋体" w:cs="宋体"/>
          <w:b w:val="0"/>
          <w:bCs w:val="0"/>
          <w:color w:val="auto"/>
          <w:sz w:val="24"/>
          <w:highlight w:val="none"/>
          <w:lang w:val="en-US" w:eastAsia="zh-CN"/>
        </w:rPr>
        <w:t>上成交</w:t>
      </w:r>
      <w:r>
        <w:rPr>
          <w:rFonts w:hint="eastAsia" w:ascii="宋体" w:hAnsi="宋体" w:eastAsia="宋体" w:cs="宋体"/>
          <w:b w:val="0"/>
          <w:bCs w:val="0"/>
          <w:color w:val="auto"/>
          <w:sz w:val="24"/>
          <w:highlight w:val="none"/>
        </w:rPr>
        <w:t>候选单位。如果综合评分出现两个供应商得分相同的情况，按下列顺序排列：</w:t>
      </w:r>
    </w:p>
    <w:p w14:paraId="00FB59C6">
      <w:pPr>
        <w:spacing w:line="56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 投标价格低的；</w:t>
      </w:r>
    </w:p>
    <w:p w14:paraId="0253F9D9">
      <w:pPr>
        <w:spacing w:line="56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(2) 技术评估得分高的；</w:t>
      </w:r>
    </w:p>
    <w:p w14:paraId="7AA6A172">
      <w:pPr>
        <w:spacing w:line="560" w:lineRule="exact"/>
        <w:ind w:firstLine="480" w:firstLineChars="200"/>
        <w:rPr>
          <w:rFonts w:hint="eastAsia" w:ascii="宋体" w:hAnsi="宋体" w:eastAsia="宋体" w:cs="宋体"/>
          <w:b/>
          <w:bCs/>
          <w:color w:val="auto"/>
          <w:sz w:val="24"/>
          <w:highlight w:val="none"/>
        </w:rPr>
      </w:pPr>
      <w:r>
        <w:rPr>
          <w:rFonts w:hint="eastAsia" w:ascii="宋体" w:hAnsi="宋体" w:eastAsia="宋体" w:cs="宋体"/>
          <w:color w:val="auto"/>
          <w:sz w:val="24"/>
          <w:highlight w:val="none"/>
        </w:rPr>
        <w:t>(3) 售后服务承诺优的。</w:t>
      </w:r>
    </w:p>
    <w:p w14:paraId="4DF562A5">
      <w:pPr>
        <w:spacing w:line="560" w:lineRule="exact"/>
        <w:ind w:firstLine="482" w:firstLineChars="200"/>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（二十</w:t>
      </w:r>
      <w:r>
        <w:rPr>
          <w:rFonts w:hint="eastAsia" w:ascii="宋体" w:hAnsi="宋体" w:eastAsia="宋体" w:cs="宋体"/>
          <w:b/>
          <w:bCs/>
          <w:color w:val="auto"/>
          <w:sz w:val="24"/>
          <w:highlight w:val="none"/>
          <w:lang w:val="en-US" w:eastAsia="zh-CN"/>
        </w:rPr>
        <w:t>五</w:t>
      </w:r>
      <w:r>
        <w:rPr>
          <w:rFonts w:hint="eastAsia" w:ascii="宋体" w:hAnsi="宋体" w:eastAsia="宋体" w:cs="宋体"/>
          <w:b/>
          <w:bCs/>
          <w:color w:val="auto"/>
          <w:sz w:val="24"/>
          <w:highlight w:val="none"/>
        </w:rPr>
        <w:t>）</w:t>
      </w:r>
      <w:r>
        <w:rPr>
          <w:rFonts w:hint="eastAsia" w:ascii="宋体" w:hAnsi="宋体" w:eastAsia="宋体" w:cs="宋体"/>
          <w:b/>
          <w:bCs/>
          <w:color w:val="auto"/>
          <w:sz w:val="24"/>
          <w:szCs w:val="24"/>
          <w:highlight w:val="none"/>
          <w:lang w:val="en-US" w:eastAsia="zh-CN"/>
        </w:rPr>
        <w:t>磋商小组</w:t>
      </w:r>
      <w:r>
        <w:rPr>
          <w:rFonts w:hint="eastAsia" w:ascii="宋体" w:hAnsi="宋体" w:eastAsia="宋体" w:cs="宋体"/>
          <w:b/>
          <w:bCs/>
          <w:color w:val="auto"/>
          <w:sz w:val="24"/>
          <w:szCs w:val="24"/>
          <w:highlight w:val="none"/>
        </w:rPr>
        <w:t>会根据原始评标记录和评标结果编写评标</w:t>
      </w:r>
      <w:r>
        <w:rPr>
          <w:rFonts w:hint="eastAsia" w:ascii="宋体" w:hAnsi="宋体" w:eastAsia="宋体" w:cs="宋体"/>
          <w:b/>
          <w:bCs/>
          <w:color w:val="auto"/>
          <w:spacing w:val="4"/>
          <w:sz w:val="24"/>
          <w:highlight w:val="none"/>
        </w:rPr>
        <w:t>报告</w:t>
      </w:r>
      <w:r>
        <w:rPr>
          <w:rFonts w:hint="eastAsia" w:ascii="宋体" w:hAnsi="宋体" w:eastAsia="宋体" w:cs="宋体"/>
          <w:b/>
          <w:bCs/>
          <w:color w:val="auto"/>
          <w:sz w:val="24"/>
          <w:szCs w:val="24"/>
          <w:highlight w:val="none"/>
        </w:rPr>
        <w:t>，报采购人</w:t>
      </w:r>
      <w:r>
        <w:rPr>
          <w:rFonts w:hint="eastAsia" w:ascii="宋体" w:hAnsi="宋体" w:eastAsia="宋体" w:cs="宋体"/>
          <w:b/>
          <w:bCs/>
          <w:color w:val="auto"/>
          <w:sz w:val="24"/>
          <w:highlight w:val="none"/>
        </w:rPr>
        <w:t>。</w:t>
      </w:r>
    </w:p>
    <w:p w14:paraId="11499565">
      <w:pPr>
        <w:spacing w:line="560" w:lineRule="exact"/>
        <w:ind w:firstLine="482" w:firstLineChars="200"/>
        <w:rPr>
          <w:rFonts w:hint="eastAsia" w:ascii="宋体" w:hAnsi="宋体" w:eastAsia="宋体" w:cs="宋体"/>
          <w:b/>
          <w:color w:val="auto"/>
          <w:sz w:val="24"/>
          <w:highlight w:val="none"/>
        </w:rPr>
      </w:pPr>
      <w:r>
        <w:rPr>
          <w:rFonts w:hint="eastAsia" w:ascii="宋体" w:hAnsi="宋体" w:eastAsia="宋体" w:cs="宋体"/>
          <w:b/>
          <w:bCs/>
          <w:color w:val="auto"/>
          <w:sz w:val="24"/>
          <w:highlight w:val="none"/>
        </w:rPr>
        <w:t>（二十</w:t>
      </w:r>
      <w:r>
        <w:rPr>
          <w:rFonts w:hint="eastAsia" w:ascii="宋体" w:hAnsi="宋体" w:eastAsia="宋体" w:cs="宋体"/>
          <w:b/>
          <w:bCs/>
          <w:color w:val="auto"/>
          <w:sz w:val="24"/>
          <w:highlight w:val="none"/>
          <w:lang w:val="en-US" w:eastAsia="zh-CN"/>
        </w:rPr>
        <w:t>六</w:t>
      </w:r>
      <w:r>
        <w:rPr>
          <w:rFonts w:hint="eastAsia" w:ascii="宋体" w:hAnsi="宋体" w:eastAsia="宋体" w:cs="宋体"/>
          <w:b/>
          <w:bCs/>
          <w:color w:val="auto"/>
          <w:sz w:val="24"/>
          <w:highlight w:val="none"/>
        </w:rPr>
        <w:t>）</w:t>
      </w:r>
      <w:r>
        <w:rPr>
          <w:rFonts w:hint="eastAsia" w:ascii="宋体" w:hAnsi="宋体" w:eastAsia="宋体" w:cs="宋体"/>
          <w:b/>
          <w:color w:val="auto"/>
          <w:sz w:val="24"/>
          <w:highlight w:val="none"/>
        </w:rPr>
        <w:t>确定成交单位</w:t>
      </w:r>
    </w:p>
    <w:p w14:paraId="3AF10CD1">
      <w:pPr>
        <w:spacing w:line="56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采购人按照磋商小组推荐的成交候选人排名顺序确定成交单位。</w:t>
      </w:r>
    </w:p>
    <w:p w14:paraId="1CEE6EF4">
      <w:pPr>
        <w:spacing w:line="560" w:lineRule="exact"/>
        <w:jc w:val="center"/>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rPr>
        <w:t>六、授予合同</w:t>
      </w:r>
    </w:p>
    <w:p w14:paraId="7E21256C">
      <w:pPr>
        <w:spacing w:line="560" w:lineRule="exact"/>
        <w:ind w:firstLine="482" w:firstLineChars="200"/>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（二十</w:t>
      </w:r>
      <w:r>
        <w:rPr>
          <w:rFonts w:hint="eastAsia" w:ascii="宋体" w:hAnsi="宋体" w:eastAsia="宋体" w:cs="宋体"/>
          <w:b/>
          <w:bCs/>
          <w:color w:val="auto"/>
          <w:sz w:val="24"/>
          <w:highlight w:val="none"/>
          <w:lang w:val="en-US" w:eastAsia="zh-CN"/>
        </w:rPr>
        <w:t>七</w:t>
      </w:r>
      <w:r>
        <w:rPr>
          <w:rFonts w:hint="eastAsia" w:ascii="宋体" w:hAnsi="宋体" w:eastAsia="宋体" w:cs="宋体"/>
          <w:b/>
          <w:bCs/>
          <w:color w:val="auto"/>
          <w:sz w:val="24"/>
          <w:highlight w:val="none"/>
        </w:rPr>
        <w:t>）</w:t>
      </w:r>
      <w:r>
        <w:rPr>
          <w:rFonts w:hint="eastAsia" w:ascii="宋体" w:hAnsi="宋体" w:eastAsia="宋体" w:cs="宋体"/>
          <w:b/>
          <w:bCs/>
          <w:color w:val="auto"/>
          <w:sz w:val="24"/>
          <w:highlight w:val="none"/>
          <w:lang w:val="en-US" w:eastAsia="zh-CN"/>
        </w:rPr>
        <w:t>成交</w:t>
      </w:r>
      <w:r>
        <w:rPr>
          <w:rFonts w:hint="eastAsia" w:ascii="宋体" w:hAnsi="宋体" w:eastAsia="宋体" w:cs="宋体"/>
          <w:b/>
          <w:bCs/>
          <w:color w:val="auto"/>
          <w:sz w:val="24"/>
          <w:highlight w:val="none"/>
        </w:rPr>
        <w:t>通知书</w:t>
      </w:r>
    </w:p>
    <w:p w14:paraId="0528D090">
      <w:pPr>
        <w:spacing w:line="500" w:lineRule="exact"/>
        <w:ind w:firstLine="480" w:firstLineChars="200"/>
        <w:rPr>
          <w:rFonts w:hint="eastAsia" w:ascii="宋体" w:hAnsi="宋体" w:eastAsia="宋体" w:cs="宋体"/>
          <w:b w:val="0"/>
          <w:bCs w:val="0"/>
          <w:color w:val="auto"/>
          <w:sz w:val="24"/>
          <w:highlight w:val="none"/>
        </w:rPr>
      </w:pPr>
      <w:r>
        <w:rPr>
          <w:rFonts w:hint="eastAsia" w:ascii="宋体" w:hAnsi="宋体" w:eastAsia="宋体" w:cs="宋体"/>
          <w:b w:val="0"/>
          <w:bCs w:val="0"/>
          <w:color w:val="auto"/>
          <w:sz w:val="24"/>
          <w:highlight w:val="none"/>
          <w:lang w:val="en-US" w:eastAsia="zh-CN"/>
        </w:rPr>
        <w:t>1.</w:t>
      </w:r>
      <w:r>
        <w:rPr>
          <w:rFonts w:hint="eastAsia" w:ascii="宋体" w:hAnsi="宋体" w:eastAsia="宋体" w:cs="宋体"/>
          <w:color w:val="auto"/>
          <w:sz w:val="24"/>
          <w:highlight w:val="none"/>
        </w:rPr>
        <w:t>采购代理机构在收到采购人的成交复函后，按程序在陕西省政府采购网上发布成交公告，并在规定时间内向成交人发出成交通知书。</w:t>
      </w:r>
    </w:p>
    <w:p w14:paraId="79CD0B09">
      <w:pPr>
        <w:spacing w:line="500" w:lineRule="exact"/>
        <w:ind w:firstLine="480" w:firstLineChars="200"/>
        <w:rPr>
          <w:rFonts w:hint="eastAsia" w:ascii="宋体" w:hAnsi="宋体" w:eastAsia="宋体" w:cs="宋体"/>
          <w:color w:val="auto"/>
          <w:highlight w:val="none"/>
        </w:rPr>
      </w:pPr>
      <w:r>
        <w:rPr>
          <w:rFonts w:hint="eastAsia" w:ascii="宋体" w:hAnsi="宋体" w:eastAsia="宋体" w:cs="宋体"/>
          <w:b w:val="0"/>
          <w:bCs w:val="0"/>
          <w:color w:val="auto"/>
          <w:sz w:val="24"/>
          <w:highlight w:val="none"/>
          <w:lang w:val="en-US" w:eastAsia="zh-CN"/>
        </w:rPr>
        <w:t>2.</w:t>
      </w:r>
      <w:r>
        <w:rPr>
          <w:rFonts w:hint="eastAsia" w:ascii="宋体" w:hAnsi="宋体" w:eastAsia="宋体" w:cs="宋体"/>
          <w:b w:val="0"/>
          <w:bCs w:val="0"/>
          <w:color w:val="auto"/>
          <w:sz w:val="24"/>
          <w:highlight w:val="none"/>
        </w:rPr>
        <w:t>成交通知书是合同的组成部分。</w:t>
      </w:r>
    </w:p>
    <w:p w14:paraId="3553337A">
      <w:pPr>
        <w:spacing w:line="440" w:lineRule="exact"/>
        <w:ind w:firstLine="480" w:firstLineChars="200"/>
        <w:rPr>
          <w:rFonts w:hint="eastAsia" w:ascii="宋体" w:hAnsi="宋体" w:eastAsia="宋体" w:cs="宋体"/>
          <w:color w:val="auto"/>
          <w:sz w:val="24"/>
          <w:highlight w:val="none"/>
        </w:rPr>
      </w:pPr>
      <w:r>
        <w:rPr>
          <w:rFonts w:hint="eastAsia" w:ascii="宋体" w:hAnsi="宋体" w:eastAsia="宋体" w:cs="宋体"/>
          <w:b w:val="0"/>
          <w:bCs w:val="0"/>
          <w:color w:val="auto"/>
          <w:sz w:val="24"/>
          <w:highlight w:val="none"/>
          <w:lang w:val="en-US" w:eastAsia="zh-CN"/>
        </w:rPr>
        <w:t>3.</w:t>
      </w:r>
      <w:r>
        <w:rPr>
          <w:rFonts w:hint="eastAsia" w:ascii="宋体" w:hAnsi="宋体" w:eastAsia="宋体" w:cs="宋体"/>
          <w:color w:val="auto"/>
          <w:sz w:val="24"/>
          <w:highlight w:val="none"/>
        </w:rPr>
        <w:t>成交</w:t>
      </w:r>
      <w:r>
        <w:rPr>
          <w:rFonts w:hint="eastAsia" w:ascii="宋体" w:hAnsi="宋体" w:eastAsia="宋体" w:cs="宋体"/>
          <w:b w:val="0"/>
          <w:bCs w:val="0"/>
          <w:color w:val="auto"/>
          <w:sz w:val="24"/>
          <w:highlight w:val="none"/>
        </w:rPr>
        <w:t>供应商在领取</w:t>
      </w:r>
      <w:r>
        <w:rPr>
          <w:rFonts w:hint="eastAsia" w:ascii="宋体" w:hAnsi="宋体" w:eastAsia="宋体" w:cs="宋体"/>
          <w:color w:val="auto"/>
          <w:sz w:val="24"/>
          <w:highlight w:val="none"/>
        </w:rPr>
        <w:t>成交</w:t>
      </w:r>
      <w:r>
        <w:rPr>
          <w:rFonts w:hint="eastAsia" w:ascii="宋体" w:hAnsi="宋体" w:eastAsia="宋体" w:cs="宋体"/>
          <w:b w:val="0"/>
          <w:bCs w:val="0"/>
          <w:color w:val="auto"/>
          <w:sz w:val="24"/>
          <w:highlight w:val="none"/>
        </w:rPr>
        <w:t>通知书时</w:t>
      </w:r>
      <w:r>
        <w:rPr>
          <w:rFonts w:hint="eastAsia" w:ascii="宋体" w:hAnsi="宋体" w:eastAsia="宋体" w:cs="宋体"/>
          <w:b w:val="0"/>
          <w:bCs w:val="0"/>
          <w:color w:val="auto"/>
          <w:sz w:val="24"/>
          <w:highlight w:val="none"/>
          <w:lang w:eastAsia="zh-CN"/>
        </w:rPr>
        <w:t>，</w:t>
      </w:r>
      <w:r>
        <w:rPr>
          <w:rFonts w:hint="eastAsia" w:ascii="宋体" w:hAnsi="宋体" w:eastAsia="宋体" w:cs="宋体"/>
          <w:b w:val="0"/>
          <w:bCs w:val="0"/>
          <w:color w:val="auto"/>
          <w:sz w:val="24"/>
          <w:highlight w:val="none"/>
          <w:lang w:val="en-US" w:eastAsia="zh-CN"/>
        </w:rPr>
        <w:t>须</w:t>
      </w:r>
      <w:r>
        <w:rPr>
          <w:rFonts w:hint="eastAsia" w:ascii="宋体" w:hAnsi="宋体" w:eastAsia="宋体" w:cs="宋体"/>
          <w:b w:val="0"/>
          <w:bCs w:val="0"/>
          <w:color w:val="auto"/>
          <w:sz w:val="24"/>
          <w:highlight w:val="none"/>
        </w:rPr>
        <w:t>提供</w:t>
      </w:r>
      <w:r>
        <w:rPr>
          <w:rFonts w:hint="eastAsia" w:ascii="宋体" w:hAnsi="宋体" w:eastAsia="宋体" w:cs="宋体"/>
          <w:b w:val="0"/>
          <w:bCs w:val="0"/>
          <w:color w:val="auto"/>
          <w:sz w:val="24"/>
          <w:highlight w:val="none"/>
          <w:lang w:val="en-US" w:eastAsia="zh-CN"/>
        </w:rPr>
        <w:t>2份</w:t>
      </w:r>
      <w:r>
        <w:rPr>
          <w:rFonts w:hint="eastAsia" w:ascii="宋体" w:hAnsi="宋体" w:eastAsia="宋体" w:cs="宋体"/>
          <w:b w:val="0"/>
          <w:bCs w:val="0"/>
          <w:color w:val="auto"/>
          <w:sz w:val="24"/>
          <w:highlight w:val="none"/>
        </w:rPr>
        <w:t>纸质投标文件</w:t>
      </w:r>
      <w:r>
        <w:rPr>
          <w:rFonts w:hint="eastAsia" w:ascii="宋体" w:hAnsi="宋体" w:eastAsia="宋体" w:cs="宋体"/>
          <w:b w:val="0"/>
          <w:bCs w:val="0"/>
          <w:color w:val="auto"/>
          <w:sz w:val="24"/>
          <w:highlight w:val="none"/>
          <w:lang w:val="en-US" w:eastAsia="zh-CN"/>
        </w:rPr>
        <w:t>和1份电子投标文件</w:t>
      </w:r>
      <w:r>
        <w:rPr>
          <w:rFonts w:hint="eastAsia" w:ascii="宋体" w:hAnsi="宋体" w:eastAsia="宋体" w:cs="宋体"/>
          <w:b w:val="0"/>
          <w:bCs w:val="0"/>
          <w:color w:val="auto"/>
          <w:sz w:val="24"/>
          <w:highlight w:val="none"/>
        </w:rPr>
        <w:t>用于</w:t>
      </w:r>
      <w:r>
        <w:rPr>
          <w:rFonts w:hint="eastAsia" w:ascii="宋体" w:hAnsi="宋体" w:eastAsia="宋体" w:cs="宋体"/>
          <w:b w:val="0"/>
          <w:bCs w:val="0"/>
          <w:color w:val="auto"/>
          <w:sz w:val="24"/>
          <w:highlight w:val="none"/>
          <w:lang w:val="en-US" w:eastAsia="zh-CN"/>
        </w:rPr>
        <w:t>存储保留</w:t>
      </w:r>
      <w:r>
        <w:rPr>
          <w:rFonts w:hint="eastAsia" w:ascii="宋体" w:hAnsi="宋体" w:eastAsia="宋体" w:cs="宋体"/>
          <w:b w:val="0"/>
          <w:bCs w:val="0"/>
          <w:color w:val="auto"/>
          <w:sz w:val="24"/>
          <w:highlight w:val="none"/>
        </w:rPr>
        <w:t>。</w:t>
      </w:r>
    </w:p>
    <w:p w14:paraId="29F4C8A3">
      <w:pPr>
        <w:spacing w:line="560" w:lineRule="exact"/>
        <w:ind w:firstLine="482" w:firstLineChars="200"/>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（二十</w:t>
      </w:r>
      <w:r>
        <w:rPr>
          <w:rFonts w:hint="eastAsia" w:ascii="宋体" w:hAnsi="宋体" w:eastAsia="宋体" w:cs="宋体"/>
          <w:b/>
          <w:bCs/>
          <w:color w:val="auto"/>
          <w:sz w:val="24"/>
          <w:highlight w:val="none"/>
          <w:lang w:val="en-US" w:eastAsia="zh-CN"/>
        </w:rPr>
        <w:t>八</w:t>
      </w:r>
      <w:r>
        <w:rPr>
          <w:rFonts w:hint="eastAsia" w:ascii="宋体" w:hAnsi="宋体" w:eastAsia="宋体" w:cs="宋体"/>
          <w:b/>
          <w:bCs/>
          <w:color w:val="auto"/>
          <w:sz w:val="24"/>
          <w:highlight w:val="none"/>
        </w:rPr>
        <w:t>）</w:t>
      </w:r>
      <w:r>
        <w:rPr>
          <w:rFonts w:hint="eastAsia" w:ascii="宋体" w:hAnsi="宋体" w:eastAsia="宋体" w:cs="宋体"/>
          <w:b/>
          <w:bCs/>
          <w:color w:val="auto"/>
          <w:sz w:val="24"/>
          <w:highlight w:val="none"/>
          <w:lang w:val="en-US" w:eastAsia="zh-CN"/>
        </w:rPr>
        <w:t>成交</w:t>
      </w:r>
      <w:r>
        <w:rPr>
          <w:rFonts w:hint="eastAsia" w:ascii="宋体" w:hAnsi="宋体" w:eastAsia="宋体" w:cs="宋体"/>
          <w:b/>
          <w:bCs/>
          <w:color w:val="auto"/>
          <w:sz w:val="24"/>
          <w:highlight w:val="none"/>
        </w:rPr>
        <w:t>服务费</w:t>
      </w:r>
    </w:p>
    <w:p w14:paraId="1B141D97">
      <w:pPr>
        <w:keepNext w:val="0"/>
        <w:keepLines w:val="0"/>
        <w:pageBreakBefore w:val="0"/>
        <w:widowControl w:val="0"/>
        <w:kinsoku/>
        <w:wordWrap/>
        <w:overflowPunct/>
        <w:topLinePunct w:val="0"/>
        <w:bidi w:val="0"/>
        <w:adjustRightInd/>
        <w:spacing w:line="500" w:lineRule="exact"/>
        <w:ind w:firstLine="482" w:firstLineChars="200"/>
        <w:textAlignment w:val="auto"/>
        <w:rPr>
          <w:rFonts w:hint="eastAsia" w:ascii="宋体" w:hAnsi="宋体" w:eastAsia="宋体" w:cs="宋体"/>
          <w:color w:val="auto"/>
          <w:sz w:val="24"/>
          <w:highlight w:val="none"/>
          <w:lang w:eastAsia="zh-CN"/>
        </w:rPr>
      </w:pPr>
      <w:r>
        <w:rPr>
          <w:rFonts w:hint="eastAsia" w:ascii="宋体" w:hAnsi="宋体" w:eastAsia="宋体" w:cs="宋体"/>
          <w:b/>
          <w:bCs/>
          <w:color w:val="auto"/>
          <w:sz w:val="24"/>
          <w:highlight w:val="none"/>
        </w:rPr>
        <w:t>中标（成交）服务费由</w:t>
      </w:r>
      <w:r>
        <w:rPr>
          <w:rFonts w:hint="eastAsia" w:ascii="宋体" w:hAnsi="宋体" w:eastAsia="宋体" w:cs="宋体"/>
          <w:b/>
          <w:bCs w:val="0"/>
          <w:color w:val="auto"/>
          <w:sz w:val="24"/>
          <w:highlight w:val="none"/>
          <w:lang w:val="en-US" w:eastAsia="zh-CN"/>
        </w:rPr>
        <w:t>成交</w:t>
      </w:r>
      <w:r>
        <w:rPr>
          <w:rFonts w:hint="eastAsia" w:ascii="宋体" w:hAnsi="宋体" w:eastAsia="宋体" w:cs="宋体"/>
          <w:b/>
          <w:bCs w:val="0"/>
          <w:color w:val="auto"/>
          <w:sz w:val="24"/>
          <w:highlight w:val="none"/>
        </w:rPr>
        <w:t>供应商在领取《</w:t>
      </w:r>
      <w:r>
        <w:rPr>
          <w:rFonts w:hint="eastAsia" w:ascii="宋体" w:hAnsi="宋体" w:eastAsia="宋体" w:cs="宋体"/>
          <w:b/>
          <w:bCs w:val="0"/>
          <w:color w:val="auto"/>
          <w:sz w:val="24"/>
          <w:highlight w:val="none"/>
          <w:lang w:val="en-US" w:eastAsia="zh-CN"/>
        </w:rPr>
        <w:t>成交</w:t>
      </w:r>
      <w:r>
        <w:rPr>
          <w:rFonts w:hint="eastAsia" w:ascii="宋体" w:hAnsi="宋体" w:eastAsia="宋体" w:cs="宋体"/>
          <w:b/>
          <w:bCs w:val="0"/>
          <w:color w:val="auto"/>
          <w:sz w:val="24"/>
          <w:highlight w:val="none"/>
        </w:rPr>
        <w:t>通知书》之前</w:t>
      </w:r>
      <w:r>
        <w:rPr>
          <w:rFonts w:hint="eastAsia" w:ascii="宋体" w:hAnsi="宋体" w:eastAsia="宋体" w:cs="宋体"/>
          <w:b/>
          <w:bCs w:val="0"/>
          <w:color w:val="auto"/>
          <w:sz w:val="24"/>
          <w:highlight w:val="none"/>
          <w:lang w:eastAsia="zh-CN"/>
        </w:rPr>
        <w:t>，</w:t>
      </w:r>
      <w:r>
        <w:rPr>
          <w:rFonts w:hint="eastAsia" w:ascii="宋体" w:hAnsi="宋体" w:eastAsia="宋体" w:cs="宋体"/>
          <w:b/>
          <w:bCs/>
          <w:color w:val="auto"/>
          <w:sz w:val="24"/>
          <w:highlight w:val="none"/>
        </w:rPr>
        <w:t>以转账或现金形式向</w:t>
      </w:r>
      <w:r>
        <w:rPr>
          <w:rFonts w:hint="eastAsia" w:ascii="宋体" w:hAnsi="宋体" w:eastAsia="宋体" w:cs="宋体"/>
          <w:b/>
          <w:bCs/>
          <w:color w:val="auto"/>
          <w:sz w:val="24"/>
          <w:highlight w:val="none"/>
          <w:lang w:eastAsia="zh-CN"/>
        </w:rPr>
        <w:t>陕西华晟鼎业项目管理有限公司</w:t>
      </w:r>
      <w:r>
        <w:rPr>
          <w:rFonts w:hint="eastAsia" w:ascii="宋体" w:hAnsi="宋体" w:eastAsia="宋体" w:cs="宋体"/>
          <w:b/>
          <w:bCs/>
          <w:color w:val="auto"/>
          <w:sz w:val="24"/>
          <w:highlight w:val="none"/>
        </w:rPr>
        <w:t>缴纳成交（中标）服务费，缴纳人民币</w:t>
      </w:r>
      <w:r>
        <w:rPr>
          <w:rFonts w:hint="eastAsia" w:ascii="宋体" w:hAnsi="宋体" w:eastAsia="宋体" w:cs="宋体"/>
          <w:b/>
          <w:bCs/>
          <w:color w:val="auto"/>
          <w:sz w:val="24"/>
          <w:highlight w:val="none"/>
          <w:lang w:eastAsia="zh-CN"/>
        </w:rPr>
        <w:t>：</w:t>
      </w:r>
      <w:r>
        <w:rPr>
          <w:rFonts w:hint="eastAsia" w:ascii="宋体" w:hAnsi="宋体" w:cs="宋体"/>
          <w:b/>
          <w:bCs/>
          <w:color w:val="auto"/>
          <w:sz w:val="24"/>
          <w:highlight w:val="none"/>
          <w:lang w:val="en-US" w:eastAsia="zh-CN"/>
        </w:rPr>
        <w:t>肆仟伍佰元整</w:t>
      </w:r>
      <w:r>
        <w:rPr>
          <w:rFonts w:hint="eastAsia" w:ascii="宋体" w:hAnsi="宋体" w:eastAsia="宋体" w:cs="宋体"/>
          <w:b/>
          <w:bCs/>
          <w:color w:val="auto"/>
          <w:sz w:val="24"/>
          <w:highlight w:val="none"/>
        </w:rPr>
        <w:t>（￥</w:t>
      </w:r>
      <w:r>
        <w:rPr>
          <w:rFonts w:hint="eastAsia" w:ascii="宋体" w:hAnsi="宋体" w:cs="宋体"/>
          <w:b/>
          <w:bCs/>
          <w:color w:val="auto"/>
          <w:sz w:val="24"/>
          <w:highlight w:val="none"/>
          <w:lang w:val="en-US" w:eastAsia="zh-CN"/>
        </w:rPr>
        <w:t>45</w:t>
      </w:r>
      <w:r>
        <w:rPr>
          <w:rFonts w:hint="eastAsia" w:ascii="宋体" w:hAnsi="宋体" w:eastAsia="宋体" w:cs="宋体"/>
          <w:b/>
          <w:bCs/>
          <w:color w:val="auto"/>
          <w:sz w:val="24"/>
          <w:highlight w:val="none"/>
          <w:lang w:val="en-US" w:eastAsia="zh-CN"/>
        </w:rPr>
        <w:t>00</w:t>
      </w:r>
      <w:r>
        <w:rPr>
          <w:rFonts w:hint="eastAsia" w:ascii="宋体" w:hAnsi="宋体" w:eastAsia="宋体" w:cs="宋体"/>
          <w:b/>
          <w:bCs/>
          <w:color w:val="auto"/>
          <w:sz w:val="24"/>
          <w:highlight w:val="none"/>
        </w:rPr>
        <w:t>.00</w:t>
      </w:r>
      <w:r>
        <w:rPr>
          <w:rFonts w:hint="eastAsia" w:ascii="宋体" w:hAnsi="宋体" w:eastAsia="宋体" w:cs="宋体"/>
          <w:b/>
          <w:bCs/>
          <w:color w:val="auto"/>
          <w:sz w:val="24"/>
          <w:highlight w:val="none"/>
          <w:lang w:val="en-US" w:eastAsia="zh-CN"/>
        </w:rPr>
        <w:t>元</w:t>
      </w:r>
      <w:r>
        <w:rPr>
          <w:rFonts w:hint="eastAsia" w:ascii="宋体" w:hAnsi="宋体" w:eastAsia="宋体" w:cs="宋体"/>
          <w:b/>
          <w:bCs/>
          <w:color w:val="auto"/>
          <w:sz w:val="24"/>
          <w:highlight w:val="none"/>
        </w:rPr>
        <w:t>）</w:t>
      </w:r>
      <w:r>
        <w:rPr>
          <w:rFonts w:hint="eastAsia" w:ascii="宋体" w:hAnsi="宋体" w:eastAsia="宋体" w:cs="宋体"/>
          <w:b/>
          <w:bCs/>
          <w:color w:val="auto"/>
          <w:sz w:val="24"/>
          <w:highlight w:val="none"/>
          <w:lang w:eastAsia="zh-CN"/>
        </w:rPr>
        <w:t>。</w:t>
      </w:r>
    </w:p>
    <w:p w14:paraId="6F8C1C17">
      <w:pPr>
        <w:spacing w:line="500" w:lineRule="exact"/>
        <w:ind w:firstLine="480"/>
        <w:rPr>
          <w:rFonts w:hint="eastAsia" w:ascii="宋体" w:hAnsi="宋体" w:eastAsia="宋体" w:cs="宋体"/>
          <w:b/>
          <w:color w:val="auto"/>
          <w:sz w:val="24"/>
          <w:highlight w:val="none"/>
        </w:rPr>
      </w:pPr>
      <w:r>
        <w:rPr>
          <w:rFonts w:hint="eastAsia" w:ascii="宋体" w:hAnsi="宋体" w:eastAsia="宋体" w:cs="宋体"/>
          <w:b/>
          <w:color w:val="auto"/>
          <w:sz w:val="24"/>
          <w:highlight w:val="none"/>
        </w:rPr>
        <w:t>账户名称：陕西华晟鼎业项目管理有限公司</w:t>
      </w:r>
    </w:p>
    <w:p w14:paraId="660743B1">
      <w:pPr>
        <w:spacing w:line="500" w:lineRule="exact"/>
        <w:ind w:firstLine="480"/>
        <w:rPr>
          <w:rFonts w:hint="eastAsia" w:ascii="宋体" w:hAnsi="宋体" w:eastAsia="宋体" w:cs="宋体"/>
          <w:b/>
          <w:color w:val="auto"/>
          <w:sz w:val="24"/>
          <w:highlight w:val="none"/>
        </w:rPr>
      </w:pPr>
      <w:r>
        <w:rPr>
          <w:rFonts w:hint="eastAsia" w:ascii="宋体" w:hAnsi="宋体" w:eastAsia="宋体" w:cs="宋体"/>
          <w:b/>
          <w:color w:val="auto"/>
          <w:sz w:val="24"/>
          <w:highlight w:val="none"/>
        </w:rPr>
        <w:t>账户号码：61050166390000000319</w:t>
      </w:r>
    </w:p>
    <w:p w14:paraId="6FCE3FB7">
      <w:pPr>
        <w:spacing w:line="500" w:lineRule="exact"/>
        <w:ind w:firstLine="480"/>
        <w:rPr>
          <w:rFonts w:hint="eastAsia" w:ascii="宋体" w:hAnsi="宋体" w:eastAsia="宋体" w:cs="宋体"/>
          <w:b/>
          <w:color w:val="auto"/>
          <w:highlight w:val="none"/>
        </w:rPr>
      </w:pPr>
      <w:r>
        <w:rPr>
          <w:rFonts w:hint="eastAsia" w:ascii="宋体" w:hAnsi="宋体" w:eastAsia="宋体" w:cs="宋体"/>
          <w:b/>
          <w:color w:val="auto"/>
          <w:sz w:val="24"/>
          <w:highlight w:val="none"/>
        </w:rPr>
        <w:t>开户银行：中国建设银行股份有限公司安康大桥路支行</w:t>
      </w:r>
    </w:p>
    <w:p w14:paraId="4586CB93">
      <w:pPr>
        <w:spacing w:line="560" w:lineRule="exact"/>
        <w:ind w:firstLine="482" w:firstLineChars="200"/>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（二十</w:t>
      </w:r>
      <w:r>
        <w:rPr>
          <w:rFonts w:hint="eastAsia" w:ascii="宋体" w:hAnsi="宋体" w:eastAsia="宋体" w:cs="宋体"/>
          <w:b/>
          <w:bCs/>
          <w:color w:val="auto"/>
          <w:sz w:val="24"/>
          <w:highlight w:val="none"/>
          <w:lang w:val="en-US" w:eastAsia="zh-CN"/>
        </w:rPr>
        <w:t>九</w:t>
      </w:r>
      <w:r>
        <w:rPr>
          <w:rFonts w:hint="eastAsia" w:ascii="宋体" w:hAnsi="宋体" w:eastAsia="宋体" w:cs="宋体"/>
          <w:b/>
          <w:bCs/>
          <w:color w:val="auto"/>
          <w:sz w:val="24"/>
          <w:highlight w:val="none"/>
        </w:rPr>
        <w:t>）签订合同</w:t>
      </w:r>
    </w:p>
    <w:p w14:paraId="5FB90760">
      <w:pPr>
        <w:spacing w:line="56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w:t>
      </w:r>
      <w:r>
        <w:rPr>
          <w:rFonts w:hint="eastAsia" w:ascii="宋体" w:hAnsi="宋体" w:eastAsia="宋体" w:cs="宋体"/>
          <w:color w:val="auto"/>
          <w:sz w:val="24"/>
          <w:highlight w:val="none"/>
          <w:lang w:val="en-US" w:eastAsia="zh-CN"/>
        </w:rPr>
        <w:t>成交</w:t>
      </w:r>
      <w:r>
        <w:rPr>
          <w:rFonts w:hint="eastAsia" w:ascii="宋体" w:hAnsi="宋体" w:eastAsia="宋体" w:cs="宋体"/>
          <w:color w:val="auto"/>
          <w:sz w:val="24"/>
          <w:highlight w:val="none"/>
        </w:rPr>
        <w:t>人在收到中标通知书后三十日内，与采购人签订合同。</w:t>
      </w:r>
    </w:p>
    <w:p w14:paraId="3C3DCD32">
      <w:pPr>
        <w:spacing w:line="56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2、如果</w:t>
      </w:r>
      <w:r>
        <w:rPr>
          <w:rFonts w:hint="eastAsia" w:ascii="宋体" w:hAnsi="宋体" w:eastAsia="宋体" w:cs="宋体"/>
          <w:color w:val="auto"/>
          <w:sz w:val="24"/>
          <w:highlight w:val="none"/>
          <w:lang w:val="en-US" w:eastAsia="zh-CN"/>
        </w:rPr>
        <w:t>成交</w:t>
      </w:r>
      <w:r>
        <w:rPr>
          <w:rFonts w:hint="eastAsia" w:ascii="宋体" w:hAnsi="宋体" w:eastAsia="宋体" w:cs="宋体"/>
          <w:color w:val="auto"/>
          <w:sz w:val="24"/>
          <w:highlight w:val="none"/>
        </w:rPr>
        <w:t>人没有按照第二章（二十</w:t>
      </w:r>
      <w:r>
        <w:rPr>
          <w:rFonts w:hint="eastAsia" w:ascii="宋体" w:hAnsi="宋体" w:eastAsia="宋体" w:cs="宋体"/>
          <w:color w:val="auto"/>
          <w:sz w:val="24"/>
          <w:highlight w:val="none"/>
          <w:lang w:val="en-US" w:eastAsia="zh-CN"/>
        </w:rPr>
        <w:t>七</w:t>
      </w:r>
      <w:r>
        <w:rPr>
          <w:rFonts w:hint="eastAsia" w:ascii="宋体" w:hAnsi="宋体" w:eastAsia="宋体" w:cs="宋体"/>
          <w:color w:val="auto"/>
          <w:sz w:val="24"/>
          <w:highlight w:val="none"/>
        </w:rPr>
        <w:t>）或（二十</w:t>
      </w:r>
      <w:r>
        <w:rPr>
          <w:rFonts w:hint="eastAsia" w:ascii="宋体" w:hAnsi="宋体" w:eastAsia="宋体" w:cs="宋体"/>
          <w:color w:val="auto"/>
          <w:sz w:val="24"/>
          <w:highlight w:val="none"/>
          <w:lang w:val="en-US" w:eastAsia="zh-CN"/>
        </w:rPr>
        <w:t>八</w:t>
      </w:r>
      <w:r>
        <w:rPr>
          <w:rFonts w:hint="eastAsia" w:ascii="宋体" w:hAnsi="宋体" w:eastAsia="宋体" w:cs="宋体"/>
          <w:color w:val="auto"/>
          <w:sz w:val="24"/>
          <w:highlight w:val="none"/>
        </w:rPr>
        <w:t>）第1条规定执行，采购人将有充分理由取消该成交决定。在此情况下，采购人可将合同授予综合得分排序名列下一个的供应商，或重新招标。</w:t>
      </w:r>
    </w:p>
    <w:p w14:paraId="6BCFCCFC">
      <w:pPr>
        <w:spacing w:line="560" w:lineRule="exact"/>
        <w:ind w:firstLine="482" w:firstLineChars="200"/>
        <w:rPr>
          <w:rFonts w:hint="eastAsia" w:ascii="宋体" w:hAnsi="宋体" w:eastAsia="宋体" w:cs="宋体"/>
          <w:color w:val="auto"/>
          <w:sz w:val="24"/>
          <w:highlight w:val="none"/>
        </w:rPr>
      </w:pPr>
      <w:r>
        <w:rPr>
          <w:rFonts w:hint="eastAsia" w:ascii="宋体" w:hAnsi="宋体" w:eastAsia="宋体" w:cs="宋体"/>
          <w:b/>
          <w:bCs/>
          <w:color w:val="auto"/>
          <w:sz w:val="24"/>
          <w:highlight w:val="none"/>
        </w:rPr>
        <w:t>（</w:t>
      </w:r>
      <w:r>
        <w:rPr>
          <w:rFonts w:hint="eastAsia" w:ascii="宋体" w:hAnsi="宋体" w:eastAsia="宋体" w:cs="宋体"/>
          <w:b/>
          <w:bCs/>
          <w:color w:val="auto"/>
          <w:sz w:val="24"/>
          <w:highlight w:val="none"/>
          <w:lang w:val="en-US" w:eastAsia="zh-CN"/>
        </w:rPr>
        <w:t>三十</w:t>
      </w:r>
      <w:r>
        <w:rPr>
          <w:rFonts w:hint="eastAsia" w:ascii="宋体" w:hAnsi="宋体" w:eastAsia="宋体" w:cs="宋体"/>
          <w:b/>
          <w:bCs/>
          <w:color w:val="auto"/>
          <w:sz w:val="24"/>
          <w:highlight w:val="none"/>
        </w:rPr>
        <w:t>）拒绝商业贿赂</w:t>
      </w:r>
    </w:p>
    <w:p w14:paraId="70C2A3F7">
      <w:pPr>
        <w:spacing w:line="56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供应商必须填写一份《拒绝政府采购领域商业贿赂承诺书》（格式见第五章）编制在投标文件中。</w:t>
      </w:r>
    </w:p>
    <w:p w14:paraId="1B248EDA">
      <w:pPr>
        <w:spacing w:line="560" w:lineRule="exact"/>
        <w:jc w:val="center"/>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rPr>
        <w:t>七、质疑与投诉</w:t>
      </w:r>
    </w:p>
    <w:p w14:paraId="73EA0E89">
      <w:pPr>
        <w:spacing w:line="560" w:lineRule="exact"/>
        <w:ind w:firstLine="482" w:firstLineChars="200"/>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w:t>
      </w:r>
      <w:r>
        <w:rPr>
          <w:rFonts w:hint="eastAsia" w:ascii="宋体" w:hAnsi="宋体" w:eastAsia="宋体" w:cs="宋体"/>
          <w:b/>
          <w:bCs/>
          <w:color w:val="auto"/>
          <w:sz w:val="24"/>
          <w:highlight w:val="none"/>
          <w:lang w:val="en-US" w:eastAsia="zh-CN"/>
        </w:rPr>
        <w:t>三十一</w:t>
      </w:r>
      <w:r>
        <w:rPr>
          <w:rFonts w:hint="eastAsia" w:ascii="宋体" w:hAnsi="宋体" w:eastAsia="宋体" w:cs="宋体"/>
          <w:b/>
          <w:bCs/>
          <w:color w:val="auto"/>
          <w:sz w:val="24"/>
          <w:highlight w:val="none"/>
        </w:rPr>
        <w:t>）质疑及投诉</w:t>
      </w:r>
    </w:p>
    <w:p w14:paraId="59BE4293">
      <w:pPr>
        <w:spacing w:line="560" w:lineRule="exact"/>
        <w:ind w:firstLine="482" w:firstLineChars="200"/>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1、质疑</w:t>
      </w:r>
    </w:p>
    <w:p w14:paraId="78DB07F5">
      <w:pPr>
        <w:spacing w:line="56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供应商认为采购文件、采购过程、中标或者成交结果使自己的权益受到损害的，可以在知道或者应知其权益受到损害之日起7个工作日内，以书面形式向采购人、采购代理机构提出质疑。针对同一采购程序环节的质疑应在法定质疑期内一次性提出。属于采购程序问题的，向采购代理机构提出质疑；属于采购需求的（包括资质要求、技术指标、参数、评分办法等），应向采购人提出质疑；</w:t>
      </w:r>
    </w:p>
    <w:p w14:paraId="1EADBC45">
      <w:pPr>
        <w:keepNext w:val="0"/>
        <w:keepLines w:val="0"/>
        <w:pageBreakBefore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（2）提出质疑的供应商应当是参与本项目采购活动的供应商。</w:t>
      </w:r>
    </w:p>
    <w:p w14:paraId="5BA12FB4">
      <w:pPr>
        <w:keepNext w:val="0"/>
        <w:keepLines w:val="0"/>
        <w:pageBreakBefore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（3）潜在供应商已依法获取其可质疑的采购文件的，可以对该文件提出质疑。对采购文件提出质疑的，应当在获取采购文件（以供应商填写报名登记表的时间为准）起7个工作日内提出。</w:t>
      </w:r>
    </w:p>
    <w:p w14:paraId="1CD31554">
      <w:pPr>
        <w:keepNext w:val="0"/>
        <w:keepLines w:val="0"/>
        <w:pageBreakBefore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（4）供应商提出质疑应当提交质疑函和必要的证明材料，质疑函应包括下列内容：</w:t>
      </w:r>
    </w:p>
    <w:p w14:paraId="6B6B1446">
      <w:pPr>
        <w:keepNext w:val="0"/>
        <w:keepLines w:val="0"/>
        <w:pageBreakBefore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①供应商的姓名或者名称、地址、邮编、联系人及联系电话；</w:t>
      </w:r>
    </w:p>
    <w:p w14:paraId="10A704CE">
      <w:pPr>
        <w:keepNext w:val="0"/>
        <w:keepLines w:val="0"/>
        <w:pageBreakBefore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②质疑项目的名称、编号；</w:t>
      </w:r>
    </w:p>
    <w:p w14:paraId="37D449B9">
      <w:pPr>
        <w:keepNext w:val="0"/>
        <w:keepLines w:val="0"/>
        <w:pageBreakBefore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③具体、明确的质疑事项和与质疑事项相关的请求；</w:t>
      </w:r>
    </w:p>
    <w:p w14:paraId="0280A71D">
      <w:pPr>
        <w:keepNext w:val="0"/>
        <w:keepLines w:val="0"/>
        <w:pageBreakBefore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④事实依据；</w:t>
      </w:r>
    </w:p>
    <w:p w14:paraId="519AA183">
      <w:pPr>
        <w:keepNext w:val="0"/>
        <w:keepLines w:val="0"/>
        <w:pageBreakBefore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⑤必要的法律依据；</w:t>
      </w:r>
    </w:p>
    <w:p w14:paraId="3F81A3D5">
      <w:pPr>
        <w:keepNext w:val="0"/>
        <w:keepLines w:val="0"/>
        <w:pageBreakBefore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⑥提出质疑的日期。</w:t>
      </w:r>
    </w:p>
    <w:p w14:paraId="45DD4775">
      <w:pPr>
        <w:keepNext w:val="0"/>
        <w:keepLines w:val="0"/>
        <w:pageBreakBefore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（5）供应商为自然人的，应当由本人签字；供应商为法人或者其他组织的，应当由法定代表人、主要负责人，或者其授权代表签字或者盖章并加盖公章。</w:t>
      </w:r>
    </w:p>
    <w:p w14:paraId="2C13B2F8">
      <w:pPr>
        <w:keepNext w:val="0"/>
        <w:keepLines w:val="0"/>
        <w:pageBreakBefore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6）供应商可以委托代理人进行质疑和投诉。其授权委托书应当载明代理人的姓名或者名称、代理事项、具体权限、期限和相关事项。供应商为自然人的，应当由本人签字；供应商为法人或者其他组织的，应当由法定代表人、主要负责人签字或者盖章并加盖公章。</w:t>
      </w:r>
    </w:p>
    <w:p w14:paraId="65BBEB34">
      <w:pPr>
        <w:keepNext w:val="0"/>
        <w:keepLines w:val="0"/>
        <w:pageBreakBefore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（7）采购人负责供应商质疑答复。采购人委托采购代理机构采购的，采购代理机构在委托授权范围内作出答复。</w:t>
      </w:r>
    </w:p>
    <w:p w14:paraId="7E4FD35B">
      <w:pPr>
        <w:keepNext w:val="0"/>
        <w:keepLines w:val="0"/>
        <w:pageBreakBefore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（8）接收质疑函的方式：</w:t>
      </w:r>
    </w:p>
    <w:p w14:paraId="7E74BB84">
      <w:pPr>
        <w:keepNext w:val="0"/>
        <w:keepLines w:val="0"/>
        <w:pageBreakBefore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① 接收质疑函的方式：书面递交质疑函纸质版（当面递交）或PDF格式扫描件（发至电子邮箱）</w:t>
      </w:r>
    </w:p>
    <w:p w14:paraId="7B55CB46">
      <w:pPr>
        <w:keepNext w:val="0"/>
        <w:keepLines w:val="0"/>
        <w:pageBreakBefore w:val="0"/>
        <w:widowControl/>
        <w:shd w:val="clear" w:color="auto" w:fill="FFFFFF"/>
        <w:kinsoku/>
        <w:wordWrap/>
        <w:overflowPunct/>
        <w:topLinePunct w:val="0"/>
        <w:autoSpaceDE/>
        <w:autoSpaceDN/>
        <w:bidi w:val="0"/>
        <w:adjustRightInd/>
        <w:snapToGrid/>
        <w:spacing w:line="500" w:lineRule="exact"/>
        <w:ind w:firstLine="480"/>
        <w:jc w:val="left"/>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② 联系方式</w:t>
      </w:r>
    </w:p>
    <w:p w14:paraId="22ECAE8B">
      <w:pPr>
        <w:keepNext w:val="0"/>
        <w:keepLines w:val="0"/>
        <w:pageBreakBefore w:val="0"/>
        <w:kinsoku/>
        <w:wordWrap/>
        <w:overflowPunct/>
        <w:topLinePunct w:val="0"/>
        <w:autoSpaceDE/>
        <w:autoSpaceDN/>
        <w:bidi w:val="0"/>
        <w:adjustRightInd/>
        <w:snapToGrid/>
        <w:spacing w:line="500" w:lineRule="exact"/>
        <w:ind w:firstLine="480"/>
        <w:textAlignment w:val="auto"/>
        <w:rPr>
          <w:rFonts w:hint="default" w:ascii="宋体" w:hAnsi="宋体" w:eastAsia="宋体" w:cs="宋体"/>
          <w:color w:val="auto"/>
          <w:sz w:val="24"/>
          <w:szCs w:val="22"/>
          <w:highlight w:val="none"/>
          <w:lang w:val="en-US" w:eastAsia="zh-CN"/>
        </w:rPr>
      </w:pPr>
      <w:r>
        <w:rPr>
          <w:rFonts w:hint="eastAsia" w:ascii="宋体" w:hAnsi="宋体" w:eastAsia="宋体" w:cs="宋体"/>
          <w:color w:val="auto"/>
          <w:sz w:val="24"/>
          <w:szCs w:val="22"/>
          <w:highlight w:val="none"/>
        </w:rPr>
        <w:t>采 购 人：</w:t>
      </w:r>
      <w:r>
        <w:rPr>
          <w:rFonts w:hint="eastAsia" w:ascii="宋体" w:hAnsi="宋体" w:eastAsia="宋体" w:cs="宋体"/>
          <w:color w:val="auto"/>
          <w:sz w:val="24"/>
          <w:szCs w:val="22"/>
          <w:highlight w:val="none"/>
          <w:lang w:eastAsia="zh-CN"/>
        </w:rPr>
        <w:t>安康市</w:t>
      </w:r>
      <w:r>
        <w:rPr>
          <w:rFonts w:hint="eastAsia" w:ascii="宋体" w:hAnsi="宋体" w:cs="宋体"/>
          <w:color w:val="auto"/>
          <w:sz w:val="24"/>
          <w:szCs w:val="22"/>
          <w:highlight w:val="none"/>
          <w:lang w:val="en-US" w:eastAsia="zh-CN"/>
        </w:rPr>
        <w:t>人民医院</w:t>
      </w:r>
    </w:p>
    <w:p w14:paraId="29D3B9D2">
      <w:pPr>
        <w:keepNext w:val="0"/>
        <w:keepLines w:val="0"/>
        <w:pageBreakBefore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color w:val="auto"/>
          <w:sz w:val="24"/>
          <w:szCs w:val="22"/>
          <w:highlight w:val="none"/>
          <w:lang w:eastAsia="zh-CN"/>
        </w:rPr>
      </w:pPr>
      <w:r>
        <w:rPr>
          <w:rFonts w:hint="eastAsia" w:ascii="宋体" w:hAnsi="宋体" w:eastAsia="宋体" w:cs="宋体"/>
          <w:color w:val="auto"/>
          <w:sz w:val="24"/>
          <w:szCs w:val="22"/>
          <w:highlight w:val="none"/>
        </w:rPr>
        <w:t>地    址：</w:t>
      </w:r>
      <w:r>
        <w:rPr>
          <w:rFonts w:hint="eastAsia" w:ascii="宋体" w:hAnsi="宋体" w:cs="宋体"/>
          <w:color w:val="auto"/>
          <w:kern w:val="0"/>
          <w:sz w:val="24"/>
          <w:highlight w:val="none"/>
          <w:lang w:eastAsia="zh-CN"/>
        </w:rPr>
        <w:t>安康市江北大道</w:t>
      </w:r>
      <w:r>
        <w:rPr>
          <w:rFonts w:hint="eastAsia" w:ascii="宋体" w:hAnsi="宋体" w:cs="宋体"/>
          <w:color w:val="auto"/>
          <w:kern w:val="0"/>
          <w:sz w:val="24"/>
          <w:highlight w:val="none"/>
          <w:lang w:val="en-US" w:eastAsia="zh-CN"/>
        </w:rPr>
        <w:t>38号</w:t>
      </w:r>
    </w:p>
    <w:p w14:paraId="62D9F552">
      <w:pPr>
        <w:keepNext w:val="0"/>
        <w:keepLines w:val="0"/>
        <w:pageBreakBefore w:val="0"/>
        <w:widowControl/>
        <w:numPr>
          <w:ilvl w:val="0"/>
          <w:numId w:val="0"/>
        </w:numPr>
        <w:kinsoku/>
        <w:wordWrap/>
        <w:overflowPunct/>
        <w:topLinePunct w:val="0"/>
        <w:autoSpaceDE w:val="0"/>
        <w:autoSpaceDN/>
        <w:bidi w:val="0"/>
        <w:adjustRightInd/>
        <w:snapToGrid/>
        <w:spacing w:line="460" w:lineRule="exact"/>
        <w:ind w:firstLine="480" w:firstLineChars="200"/>
        <w:textAlignment w:val="auto"/>
        <w:rPr>
          <w:rFonts w:hint="eastAsia" w:ascii="宋体" w:hAnsi="宋体" w:cs="宋体"/>
          <w:color w:val="auto"/>
          <w:kern w:val="0"/>
          <w:sz w:val="24"/>
          <w:highlight w:val="none"/>
          <w:lang w:eastAsia="zh-CN"/>
        </w:rPr>
      </w:pPr>
      <w:r>
        <w:rPr>
          <w:rFonts w:hint="eastAsia" w:ascii="宋体" w:hAnsi="宋体" w:cs="宋体"/>
          <w:color w:val="auto"/>
          <w:kern w:val="0"/>
          <w:sz w:val="24"/>
          <w:highlight w:val="none"/>
          <w:lang w:eastAsia="zh-CN"/>
        </w:rPr>
        <w:t>联系方式：</w:t>
      </w:r>
      <w:r>
        <w:rPr>
          <w:rFonts w:hint="eastAsia" w:ascii="宋体" w:hAnsi="宋体" w:cs="宋体"/>
          <w:color w:val="auto"/>
          <w:kern w:val="0"/>
          <w:sz w:val="24"/>
          <w:highlight w:val="none"/>
          <w:lang w:val="en-US" w:eastAsia="zh-CN"/>
        </w:rPr>
        <w:t>0915-3360133</w:t>
      </w:r>
      <w:r>
        <w:rPr>
          <w:rFonts w:hint="eastAsia" w:ascii="宋体" w:hAnsi="宋体" w:cs="宋体"/>
          <w:color w:val="auto"/>
          <w:kern w:val="0"/>
          <w:sz w:val="24"/>
          <w:highlight w:val="none"/>
          <w:lang w:eastAsia="zh-CN"/>
        </w:rPr>
        <w:t xml:space="preserve"> </w:t>
      </w:r>
    </w:p>
    <w:p w14:paraId="58530D8D">
      <w:pPr>
        <w:keepNext w:val="0"/>
        <w:keepLines w:val="0"/>
        <w:pageBreakBefore w:val="0"/>
        <w:widowControl/>
        <w:shd w:val="clear" w:color="auto" w:fill="FFFFFF"/>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采购代理机构：陕西华晟鼎业项目管理有限公司</w:t>
      </w:r>
    </w:p>
    <w:p w14:paraId="66FF515C">
      <w:pPr>
        <w:keepNext w:val="0"/>
        <w:keepLines w:val="0"/>
        <w:pageBreakBefore w:val="0"/>
        <w:widowControl/>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地    址：陕西省安康市汉滨区新城街道办事处教场社区巴山中路102号元辰国际B栋1302室</w:t>
      </w:r>
    </w:p>
    <w:p w14:paraId="62EFBFCF">
      <w:pPr>
        <w:keepNext w:val="0"/>
        <w:keepLines w:val="0"/>
        <w:pageBreakBefore w:val="0"/>
        <w:widowControl/>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rPr>
        <w:t>联系方式：</w:t>
      </w:r>
      <w:r>
        <w:rPr>
          <w:rFonts w:hint="eastAsia" w:ascii="宋体" w:hAnsi="宋体" w:eastAsia="宋体" w:cs="宋体"/>
          <w:color w:val="auto"/>
          <w:sz w:val="24"/>
          <w:highlight w:val="none"/>
          <w:lang w:val="en-US" w:eastAsia="zh-CN"/>
        </w:rPr>
        <w:t>15332695156</w:t>
      </w:r>
    </w:p>
    <w:p w14:paraId="3E1F0615">
      <w:pPr>
        <w:keepNext w:val="0"/>
        <w:keepLines w:val="0"/>
        <w:pageBreakBefore w:val="0"/>
        <w:widowControl/>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邮    箱：</w:t>
      </w: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HYPERLINK "mailto:1902304598@qq.com" </w:instrText>
      </w:r>
      <w:r>
        <w:rPr>
          <w:rFonts w:hint="eastAsia" w:ascii="宋体" w:hAnsi="宋体" w:eastAsia="宋体" w:cs="宋体"/>
          <w:color w:val="auto"/>
          <w:highlight w:val="none"/>
        </w:rPr>
        <w:fldChar w:fldCharType="separate"/>
      </w:r>
      <w:r>
        <w:rPr>
          <w:rFonts w:hint="eastAsia" w:ascii="宋体" w:hAnsi="宋体" w:eastAsia="宋体" w:cs="宋体"/>
          <w:color w:val="auto"/>
          <w:sz w:val="24"/>
          <w:highlight w:val="none"/>
        </w:rPr>
        <w:t>1902304598@qq.com</w:t>
      </w:r>
      <w:r>
        <w:rPr>
          <w:rFonts w:hint="eastAsia" w:ascii="宋体" w:hAnsi="宋体" w:eastAsia="宋体" w:cs="宋体"/>
          <w:color w:val="auto"/>
          <w:sz w:val="24"/>
          <w:highlight w:val="none"/>
        </w:rPr>
        <w:fldChar w:fldCharType="end"/>
      </w:r>
    </w:p>
    <w:p w14:paraId="766BDAE0">
      <w:pPr>
        <w:keepNext w:val="0"/>
        <w:keepLines w:val="0"/>
        <w:pageBreakBefore w:val="0"/>
        <w:kinsoku/>
        <w:wordWrap/>
        <w:overflowPunct/>
        <w:topLinePunct w:val="0"/>
        <w:autoSpaceDE/>
        <w:autoSpaceDN/>
        <w:bidi w:val="0"/>
        <w:adjustRightInd/>
        <w:snapToGrid/>
        <w:spacing w:line="500" w:lineRule="exact"/>
        <w:ind w:firstLine="482" w:firstLineChars="200"/>
        <w:textAlignment w:val="auto"/>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2.投诉</w:t>
      </w:r>
    </w:p>
    <w:p w14:paraId="4D503A6E">
      <w:pPr>
        <w:keepNext w:val="0"/>
        <w:keepLines w:val="0"/>
        <w:pageBreakBefore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（1）质疑供应商对采购人、采购代理机构的答复不满意，或者采购人、采购代理机构未在规定时间内作出答复的，可以在答复期满后15个工作日内向同级财政部门提起投诉。</w:t>
      </w:r>
    </w:p>
    <w:p w14:paraId="679B1B90">
      <w:pPr>
        <w:keepNext w:val="0"/>
        <w:keepLines w:val="0"/>
        <w:pageBreakBefore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（2）投诉人投诉时,应当提交投诉书和必要的证明材料，并按照被投诉采购人、采购代理机构（以下简称被投诉人）和与投诉事项有关的供应商数量提供投诉书的副本。投诉书应当包括下列内容：</w:t>
      </w:r>
    </w:p>
    <w:p w14:paraId="49DEA793">
      <w:pPr>
        <w:keepNext w:val="0"/>
        <w:keepLines w:val="0"/>
        <w:pageBreakBefore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①投诉人和被投诉人的姓名或者名称、通讯地址、邮编、联系人及联系电话；</w:t>
      </w:r>
    </w:p>
    <w:p w14:paraId="4DFED9F5">
      <w:pPr>
        <w:keepNext w:val="0"/>
        <w:keepLines w:val="0"/>
        <w:pageBreakBefore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②质疑和质疑答复情况说明及相关证明材料；</w:t>
      </w:r>
    </w:p>
    <w:p w14:paraId="051F0677">
      <w:pPr>
        <w:keepNext w:val="0"/>
        <w:keepLines w:val="0"/>
        <w:pageBreakBefore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③具体、明确的投诉事项和与投诉事项相关的投诉请求；</w:t>
      </w:r>
    </w:p>
    <w:p w14:paraId="33E99BEE">
      <w:pPr>
        <w:keepNext w:val="0"/>
        <w:keepLines w:val="0"/>
        <w:pageBreakBefore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④事实依据；</w:t>
      </w:r>
    </w:p>
    <w:p w14:paraId="3A3A22DB">
      <w:pPr>
        <w:keepNext w:val="0"/>
        <w:keepLines w:val="0"/>
        <w:pageBreakBefore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⑤法律依据；</w:t>
      </w:r>
    </w:p>
    <w:p w14:paraId="66A79852">
      <w:pPr>
        <w:keepNext w:val="0"/>
        <w:keepLines w:val="0"/>
        <w:pageBreakBefore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⑥提起投诉的日期。</w:t>
      </w:r>
    </w:p>
    <w:p w14:paraId="18D2BD0F">
      <w:pPr>
        <w:keepNext w:val="0"/>
        <w:keepLines w:val="0"/>
        <w:pageBreakBefore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（3）投诉人为自然人的，应当由本人签字；投诉人为法人或者其他组织的，应当由法定代表人、主要负责人，或者其授权代表签字或者盖章，并加盖公章。</w:t>
      </w:r>
    </w:p>
    <w:p w14:paraId="32BA0432">
      <w:pPr>
        <w:keepNext w:val="0"/>
        <w:keepLines w:val="0"/>
        <w:pageBreakBefore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（4）投诉人提起投诉应当符合下列条件：</w:t>
      </w:r>
    </w:p>
    <w:p w14:paraId="13D06988">
      <w:pPr>
        <w:keepNext w:val="0"/>
        <w:keepLines w:val="0"/>
        <w:pageBreakBefore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①提起投诉前已依法进行质疑；</w:t>
      </w:r>
    </w:p>
    <w:p w14:paraId="374F0D1D">
      <w:pPr>
        <w:keepNext w:val="0"/>
        <w:keepLines w:val="0"/>
        <w:pageBreakBefore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②投诉书内容符合《政府采购质疑和投诉办法》（财政部令第94号令）的规定；</w:t>
      </w:r>
    </w:p>
    <w:p w14:paraId="5A9C202A">
      <w:pPr>
        <w:keepNext w:val="0"/>
        <w:keepLines w:val="0"/>
        <w:pageBreakBefore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③在投诉有效期限内提起投诉；</w:t>
      </w:r>
    </w:p>
    <w:p w14:paraId="20027F63">
      <w:pPr>
        <w:keepNext w:val="0"/>
        <w:keepLines w:val="0"/>
        <w:pageBreakBefore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④同一投诉事项未经财政部门投诉处理；</w:t>
      </w:r>
    </w:p>
    <w:p w14:paraId="1552342C">
      <w:pPr>
        <w:keepNext w:val="0"/>
        <w:keepLines w:val="0"/>
        <w:pageBreakBefore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⑤财政部规定的其他条件。</w:t>
      </w:r>
    </w:p>
    <w:p w14:paraId="18ED0A18">
      <w:pPr>
        <w:keepNext w:val="0"/>
        <w:keepLines w:val="0"/>
        <w:pageBreakBefore w:val="0"/>
        <w:kinsoku/>
        <w:wordWrap/>
        <w:overflowPunct/>
        <w:topLinePunct w:val="0"/>
        <w:autoSpaceDE/>
        <w:autoSpaceDN/>
        <w:bidi w:val="0"/>
        <w:adjustRightInd/>
        <w:snapToGrid/>
        <w:spacing w:line="500" w:lineRule="exact"/>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4"/>
          <w:highlight w:val="none"/>
        </w:rPr>
        <w:t>（5）供应商投诉的事项不得超出已质疑事项的范围，但基于质疑答复内容提出的投诉事项除外。</w:t>
      </w:r>
      <w:r>
        <w:rPr>
          <w:rFonts w:hint="eastAsia" w:ascii="宋体" w:hAnsi="宋体" w:eastAsia="宋体" w:cs="宋体"/>
          <w:color w:val="auto"/>
          <w:sz w:val="28"/>
          <w:szCs w:val="28"/>
          <w:highlight w:val="none"/>
        </w:rPr>
        <w:br w:type="page"/>
      </w:r>
    </w:p>
    <w:p w14:paraId="27EE7867">
      <w:pPr>
        <w:numPr>
          <w:ilvl w:val="0"/>
          <w:numId w:val="7"/>
        </w:numPr>
        <w:jc w:val="center"/>
        <w:outlineLvl w:val="0"/>
        <w:rPr>
          <w:rFonts w:hint="eastAsia" w:ascii="宋体" w:hAnsi="宋体" w:eastAsia="宋体" w:cs="宋体"/>
          <w:b/>
          <w:bCs/>
          <w:color w:val="auto"/>
          <w:sz w:val="28"/>
          <w:szCs w:val="28"/>
          <w:highlight w:val="none"/>
        </w:rPr>
      </w:pPr>
      <w:bookmarkStart w:id="6" w:name="_Toc5587"/>
      <w:r>
        <w:rPr>
          <w:rFonts w:hint="eastAsia" w:ascii="宋体" w:hAnsi="宋体" w:eastAsia="宋体" w:cs="宋体"/>
          <w:b/>
          <w:bCs/>
          <w:color w:val="auto"/>
          <w:sz w:val="28"/>
          <w:szCs w:val="28"/>
          <w:highlight w:val="none"/>
        </w:rPr>
        <w:t>采购内容及服务要求</w:t>
      </w:r>
      <w:bookmarkEnd w:id="6"/>
    </w:p>
    <w:p w14:paraId="7CE210C1">
      <w:pPr>
        <w:keepNext w:val="0"/>
        <w:keepLines w:val="0"/>
        <w:pageBreakBefore w:val="0"/>
        <w:widowControl w:val="0"/>
        <w:kinsoku/>
        <w:wordWrap/>
        <w:overflowPunct/>
        <w:topLinePunct w:val="0"/>
        <w:autoSpaceDE/>
        <w:autoSpaceDN/>
        <w:bidi w:val="0"/>
        <w:adjustRightInd/>
        <w:snapToGrid/>
        <w:spacing w:beforeAutospacing="0" w:afterAutospacing="0" w:line="460" w:lineRule="exact"/>
        <w:ind w:left="0" w:leftChars="0" w:firstLine="482" w:firstLineChars="200"/>
        <w:jc w:val="left"/>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val="en-US" w:eastAsia="zh-CN"/>
        </w:rPr>
        <w:t>一、</w:t>
      </w:r>
      <w:r>
        <w:rPr>
          <w:rFonts w:hint="eastAsia" w:ascii="宋体" w:hAnsi="宋体" w:eastAsia="宋体" w:cs="宋体"/>
          <w:b/>
          <w:bCs/>
          <w:color w:val="auto"/>
          <w:sz w:val="24"/>
          <w:szCs w:val="24"/>
          <w:highlight w:val="none"/>
        </w:rPr>
        <w:t>项目概况</w:t>
      </w:r>
    </w:p>
    <w:p w14:paraId="72CF3970">
      <w:pPr>
        <w:pStyle w:val="40"/>
        <w:keepNext w:val="0"/>
        <w:keepLines w:val="0"/>
        <w:pageBreakBefore w:val="0"/>
        <w:tabs>
          <w:tab w:val="left" w:pos="4900"/>
        </w:tabs>
        <w:kinsoku/>
        <w:wordWrap/>
        <w:overflowPunct/>
        <w:topLinePunct w:val="0"/>
        <w:autoSpaceDE/>
        <w:autoSpaceDN/>
        <w:bidi w:val="0"/>
        <w:spacing w:beforeAutospacing="0" w:after="0" w:afterAutospacing="0" w:line="460" w:lineRule="exact"/>
        <w:ind w:left="0" w:leftChars="0" w:firstLine="480" w:firstLineChars="200"/>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对安康市人民医院医技住院大楼、门诊综合楼高低压配电设施及柴油发电机做好年度维保工作。每年对高压柜及变压器年检、每月对变压器的维保、日常对低压柜、直流屏、发电机等设施进行维保（包括且不限于管理，清洁，检测，调试，试验，维修，记录，配件、耗材的更换&lt;1</w:t>
      </w:r>
      <w:r>
        <w:rPr>
          <w:rFonts w:hint="eastAsia" w:ascii="宋体" w:hAnsi="宋体" w:cs="宋体"/>
          <w:color w:val="auto"/>
          <w:kern w:val="2"/>
          <w:sz w:val="24"/>
          <w:szCs w:val="24"/>
          <w:highlight w:val="none"/>
          <w:lang w:val="en-US" w:eastAsia="zh-CN" w:bidi="ar-SA"/>
        </w:rPr>
        <w:t>5</w:t>
      </w:r>
      <w:r>
        <w:rPr>
          <w:rFonts w:hint="eastAsia" w:ascii="宋体" w:hAnsi="宋体" w:eastAsia="宋体" w:cs="宋体"/>
          <w:color w:val="auto"/>
          <w:kern w:val="2"/>
          <w:sz w:val="24"/>
          <w:szCs w:val="24"/>
          <w:highlight w:val="none"/>
          <w:lang w:val="en-US" w:eastAsia="zh-CN" w:bidi="ar-SA"/>
        </w:rPr>
        <w:t xml:space="preserve">00元以下）。 </w:t>
      </w:r>
    </w:p>
    <w:p w14:paraId="5A3B057F">
      <w:pPr>
        <w:pStyle w:val="40"/>
        <w:keepNext w:val="0"/>
        <w:keepLines w:val="0"/>
        <w:pageBreakBefore w:val="0"/>
        <w:tabs>
          <w:tab w:val="left" w:pos="4900"/>
        </w:tabs>
        <w:kinsoku/>
        <w:wordWrap/>
        <w:overflowPunct/>
        <w:topLinePunct w:val="0"/>
        <w:autoSpaceDE/>
        <w:autoSpaceDN/>
        <w:bidi w:val="0"/>
        <w:spacing w:beforeAutospacing="0" w:after="0" w:afterAutospacing="0" w:line="460" w:lineRule="exact"/>
        <w:ind w:left="0" w:leftChars="0"/>
        <w:jc w:val="center"/>
        <w:rPr>
          <w:rFonts w:hint="eastAsia" w:ascii="宋体" w:hAnsi="宋体" w:eastAsia="宋体" w:cs="宋体"/>
          <w:color w:val="auto"/>
          <w:sz w:val="24"/>
          <w:szCs w:val="24"/>
          <w:highlight w:val="none"/>
          <w:lang w:val="en-US" w:eastAsia="zh-CN"/>
        </w:rPr>
      </w:pPr>
      <w:r>
        <w:rPr>
          <w:rFonts w:hint="eastAsia" w:ascii="宋体" w:hAnsi="宋体" w:eastAsia="宋体" w:cs="宋体"/>
          <w:i w:val="0"/>
          <w:iCs w:val="0"/>
          <w:color w:val="auto"/>
          <w:kern w:val="0"/>
          <w:sz w:val="24"/>
          <w:szCs w:val="24"/>
          <w:highlight w:val="none"/>
          <w:u w:val="none"/>
          <w:lang w:val="en-US" w:eastAsia="zh-CN" w:bidi="ar"/>
        </w:rPr>
        <w:t>设备明细</w:t>
      </w:r>
    </w:p>
    <w:tbl>
      <w:tblPr>
        <w:tblStyle w:val="41"/>
        <w:tblW w:w="8178"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836"/>
        <w:gridCol w:w="2255"/>
        <w:gridCol w:w="2801"/>
        <w:gridCol w:w="1072"/>
        <w:gridCol w:w="1214"/>
      </w:tblGrid>
      <w:tr w14:paraId="65FE251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5" w:hRule="atLeast"/>
          <w:jc w:val="center"/>
        </w:trPr>
        <w:tc>
          <w:tcPr>
            <w:tcW w:w="836" w:type="dxa"/>
            <w:tcBorders>
              <w:top w:val="single" w:color="000000" w:sz="4" w:space="0"/>
              <w:left w:val="single" w:color="000000" w:sz="4" w:space="0"/>
              <w:bottom w:val="single" w:color="000000" w:sz="4" w:space="0"/>
              <w:right w:val="single" w:color="000000" w:sz="4" w:space="0"/>
            </w:tcBorders>
            <w:noWrap/>
            <w:vAlign w:val="center"/>
          </w:tcPr>
          <w:p w14:paraId="2F1DBC7C">
            <w:pPr>
              <w:keepNext w:val="0"/>
              <w:keepLines w:val="0"/>
              <w:widowControl/>
              <w:suppressLineNumbers w:val="0"/>
              <w:jc w:val="center"/>
              <w:textAlignment w:val="center"/>
              <w:rPr>
                <w:rFonts w:hint="eastAsia" w:ascii="宋体" w:hAnsi="宋体" w:eastAsia="宋体" w:cs="宋体"/>
                <w:i w:val="0"/>
                <w:iCs w:val="0"/>
                <w:color w:val="auto"/>
                <w:kern w:val="0"/>
                <w:sz w:val="24"/>
                <w:szCs w:val="24"/>
                <w:highlight w:val="none"/>
                <w:u w:val="none"/>
                <w:lang w:val="en-US" w:eastAsia="zh-CN" w:bidi="ar"/>
              </w:rPr>
            </w:pPr>
            <w:r>
              <w:rPr>
                <w:rFonts w:hint="eastAsia" w:ascii="宋体" w:hAnsi="宋体" w:eastAsia="宋体" w:cs="宋体"/>
                <w:b/>
                <w:bCs/>
                <w:i w:val="0"/>
                <w:iCs w:val="0"/>
                <w:color w:val="auto"/>
                <w:kern w:val="0"/>
                <w:sz w:val="28"/>
                <w:szCs w:val="28"/>
                <w:highlight w:val="none"/>
                <w:u w:val="none"/>
                <w:lang w:val="en-US" w:eastAsia="zh-CN" w:bidi="ar"/>
              </w:rPr>
              <w:t>序号</w:t>
            </w:r>
          </w:p>
        </w:tc>
        <w:tc>
          <w:tcPr>
            <w:tcW w:w="2255" w:type="dxa"/>
            <w:tcBorders>
              <w:top w:val="single" w:color="000000" w:sz="4" w:space="0"/>
              <w:left w:val="single" w:color="000000" w:sz="4" w:space="0"/>
              <w:bottom w:val="single" w:color="000000" w:sz="4" w:space="0"/>
              <w:right w:val="single" w:color="000000" w:sz="4" w:space="0"/>
            </w:tcBorders>
            <w:noWrap/>
            <w:vAlign w:val="center"/>
          </w:tcPr>
          <w:p w14:paraId="21922D6E">
            <w:pPr>
              <w:keepNext w:val="0"/>
              <w:keepLines w:val="0"/>
              <w:widowControl/>
              <w:suppressLineNumbers w:val="0"/>
              <w:jc w:val="center"/>
              <w:textAlignment w:val="center"/>
              <w:rPr>
                <w:rFonts w:hint="eastAsia" w:ascii="宋体" w:hAnsi="宋体" w:eastAsia="宋体" w:cs="宋体"/>
                <w:i w:val="0"/>
                <w:iCs w:val="0"/>
                <w:color w:val="auto"/>
                <w:kern w:val="0"/>
                <w:sz w:val="24"/>
                <w:szCs w:val="24"/>
                <w:highlight w:val="none"/>
                <w:u w:val="none"/>
                <w:lang w:val="en-US" w:eastAsia="zh-CN" w:bidi="ar"/>
              </w:rPr>
            </w:pPr>
            <w:r>
              <w:rPr>
                <w:rFonts w:hint="eastAsia" w:ascii="宋体" w:hAnsi="宋体" w:eastAsia="宋体" w:cs="宋体"/>
                <w:b/>
                <w:bCs/>
                <w:i w:val="0"/>
                <w:iCs w:val="0"/>
                <w:color w:val="auto"/>
                <w:kern w:val="0"/>
                <w:sz w:val="28"/>
                <w:szCs w:val="28"/>
                <w:highlight w:val="none"/>
                <w:u w:val="none"/>
                <w:lang w:val="en-US" w:eastAsia="zh-CN" w:bidi="ar"/>
              </w:rPr>
              <w:t>物资描述</w:t>
            </w:r>
          </w:p>
        </w:tc>
        <w:tc>
          <w:tcPr>
            <w:tcW w:w="2801" w:type="dxa"/>
            <w:tcBorders>
              <w:top w:val="single" w:color="000000" w:sz="4" w:space="0"/>
              <w:left w:val="single" w:color="000000" w:sz="4" w:space="0"/>
              <w:bottom w:val="single" w:color="000000" w:sz="4" w:space="0"/>
              <w:right w:val="single" w:color="000000" w:sz="4" w:space="0"/>
            </w:tcBorders>
            <w:noWrap/>
            <w:vAlign w:val="center"/>
          </w:tcPr>
          <w:p w14:paraId="7EEC828A">
            <w:pPr>
              <w:keepNext w:val="0"/>
              <w:keepLines w:val="0"/>
              <w:widowControl/>
              <w:suppressLineNumbers w:val="0"/>
              <w:jc w:val="center"/>
              <w:textAlignment w:val="center"/>
              <w:rPr>
                <w:rFonts w:hint="eastAsia" w:ascii="宋体" w:hAnsi="宋体" w:eastAsia="宋体" w:cs="宋体"/>
                <w:i w:val="0"/>
                <w:iCs w:val="0"/>
                <w:color w:val="auto"/>
                <w:kern w:val="0"/>
                <w:sz w:val="24"/>
                <w:szCs w:val="24"/>
                <w:highlight w:val="none"/>
                <w:u w:val="none"/>
                <w:lang w:val="en-US" w:eastAsia="zh-CN" w:bidi="ar"/>
              </w:rPr>
            </w:pPr>
            <w:r>
              <w:rPr>
                <w:rFonts w:hint="eastAsia" w:ascii="宋体" w:hAnsi="宋体" w:eastAsia="宋体" w:cs="宋体"/>
                <w:b/>
                <w:bCs/>
                <w:i w:val="0"/>
                <w:iCs w:val="0"/>
                <w:color w:val="auto"/>
                <w:kern w:val="0"/>
                <w:sz w:val="28"/>
                <w:szCs w:val="28"/>
                <w:highlight w:val="none"/>
                <w:u w:val="none"/>
                <w:lang w:val="en-US" w:eastAsia="zh-CN" w:bidi="ar"/>
              </w:rPr>
              <w:t>维保项目名称</w:t>
            </w:r>
          </w:p>
        </w:tc>
        <w:tc>
          <w:tcPr>
            <w:tcW w:w="1072" w:type="dxa"/>
            <w:tcBorders>
              <w:top w:val="single" w:color="000000" w:sz="4" w:space="0"/>
              <w:left w:val="single" w:color="000000" w:sz="4" w:space="0"/>
              <w:bottom w:val="single" w:color="000000" w:sz="4" w:space="0"/>
              <w:right w:val="single" w:color="000000" w:sz="4" w:space="0"/>
            </w:tcBorders>
            <w:noWrap w:val="0"/>
            <w:vAlign w:val="center"/>
          </w:tcPr>
          <w:p w14:paraId="17420D4A">
            <w:pPr>
              <w:keepNext w:val="0"/>
              <w:keepLines w:val="0"/>
              <w:widowControl/>
              <w:suppressLineNumbers w:val="0"/>
              <w:jc w:val="center"/>
              <w:textAlignment w:val="center"/>
              <w:rPr>
                <w:rFonts w:hint="eastAsia" w:ascii="宋体" w:hAnsi="宋体" w:eastAsia="宋体" w:cs="宋体"/>
                <w:i w:val="0"/>
                <w:iCs w:val="0"/>
                <w:color w:val="auto"/>
                <w:kern w:val="0"/>
                <w:sz w:val="24"/>
                <w:szCs w:val="24"/>
                <w:highlight w:val="none"/>
                <w:u w:val="none"/>
                <w:lang w:val="en-US" w:eastAsia="zh-CN" w:bidi="ar"/>
              </w:rPr>
            </w:pPr>
            <w:r>
              <w:rPr>
                <w:rFonts w:hint="eastAsia" w:ascii="宋体" w:hAnsi="宋体" w:eastAsia="宋体" w:cs="宋体"/>
                <w:b/>
                <w:bCs/>
                <w:i w:val="0"/>
                <w:iCs w:val="0"/>
                <w:color w:val="auto"/>
                <w:kern w:val="0"/>
                <w:sz w:val="28"/>
                <w:szCs w:val="28"/>
                <w:highlight w:val="none"/>
                <w:u w:val="none"/>
                <w:lang w:val="en-US" w:eastAsia="zh-CN" w:bidi="ar"/>
              </w:rPr>
              <w:t>单位</w:t>
            </w:r>
          </w:p>
        </w:tc>
        <w:tc>
          <w:tcPr>
            <w:tcW w:w="1214" w:type="dxa"/>
            <w:tcBorders>
              <w:top w:val="single" w:color="000000" w:sz="4" w:space="0"/>
              <w:left w:val="single" w:color="000000" w:sz="4" w:space="0"/>
              <w:bottom w:val="single" w:color="000000" w:sz="4" w:space="0"/>
              <w:right w:val="single" w:color="000000" w:sz="4" w:space="0"/>
            </w:tcBorders>
            <w:noWrap w:val="0"/>
            <w:vAlign w:val="center"/>
          </w:tcPr>
          <w:p w14:paraId="1DFC0757">
            <w:pPr>
              <w:keepNext w:val="0"/>
              <w:keepLines w:val="0"/>
              <w:widowControl/>
              <w:suppressLineNumbers w:val="0"/>
              <w:jc w:val="center"/>
              <w:textAlignment w:val="center"/>
              <w:rPr>
                <w:rFonts w:hint="eastAsia" w:ascii="宋体" w:hAnsi="宋体" w:eastAsia="宋体" w:cs="宋体"/>
                <w:i w:val="0"/>
                <w:iCs w:val="0"/>
                <w:color w:val="auto"/>
                <w:kern w:val="0"/>
                <w:sz w:val="24"/>
                <w:szCs w:val="24"/>
                <w:highlight w:val="none"/>
                <w:u w:val="none"/>
                <w:lang w:val="en-US" w:eastAsia="zh-CN" w:bidi="ar"/>
              </w:rPr>
            </w:pPr>
            <w:r>
              <w:rPr>
                <w:rFonts w:hint="eastAsia" w:ascii="宋体" w:hAnsi="宋体" w:eastAsia="宋体" w:cs="宋体"/>
                <w:b/>
                <w:bCs/>
                <w:i w:val="0"/>
                <w:iCs w:val="0"/>
                <w:color w:val="auto"/>
                <w:kern w:val="0"/>
                <w:sz w:val="28"/>
                <w:szCs w:val="28"/>
                <w:highlight w:val="none"/>
                <w:u w:val="none"/>
                <w:lang w:val="en-US" w:eastAsia="zh-CN" w:bidi="ar"/>
              </w:rPr>
              <w:t>数量</w:t>
            </w:r>
          </w:p>
        </w:tc>
      </w:tr>
      <w:tr w14:paraId="7A41D83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5" w:hRule="atLeast"/>
          <w:jc w:val="center"/>
        </w:trPr>
        <w:tc>
          <w:tcPr>
            <w:tcW w:w="836" w:type="dxa"/>
            <w:tcBorders>
              <w:top w:val="single" w:color="000000" w:sz="4" w:space="0"/>
              <w:left w:val="single" w:color="000000" w:sz="4" w:space="0"/>
              <w:bottom w:val="single" w:color="000000" w:sz="4" w:space="0"/>
              <w:right w:val="single" w:color="000000" w:sz="4" w:space="0"/>
            </w:tcBorders>
            <w:noWrap/>
            <w:vAlign w:val="center"/>
          </w:tcPr>
          <w:p w14:paraId="2E53DDD1">
            <w:pPr>
              <w:keepNext w:val="0"/>
              <w:keepLines w:val="0"/>
              <w:pageBreakBefore w:val="0"/>
              <w:widowControl/>
              <w:suppressLineNumbers w:val="0"/>
              <w:kinsoku/>
              <w:wordWrap/>
              <w:overflowPunct/>
              <w:topLinePunct w:val="0"/>
              <w:autoSpaceDE/>
              <w:autoSpaceDN/>
              <w:bidi w:val="0"/>
              <w:spacing w:beforeAutospacing="0" w:afterAutospacing="0" w:line="460" w:lineRule="exact"/>
              <w:ind w:left="0" w:leftChars="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w:t>
            </w:r>
          </w:p>
        </w:tc>
        <w:tc>
          <w:tcPr>
            <w:tcW w:w="2255" w:type="dxa"/>
            <w:vMerge w:val="restart"/>
            <w:tcBorders>
              <w:top w:val="single" w:color="000000" w:sz="4" w:space="0"/>
              <w:left w:val="single" w:color="000000" w:sz="4" w:space="0"/>
              <w:right w:val="single" w:color="000000" w:sz="4" w:space="0"/>
            </w:tcBorders>
            <w:noWrap/>
            <w:vAlign w:val="center"/>
          </w:tcPr>
          <w:p w14:paraId="45825FD0">
            <w:pPr>
              <w:keepNext w:val="0"/>
              <w:keepLines w:val="0"/>
              <w:pageBreakBefore w:val="0"/>
              <w:widowControl/>
              <w:suppressLineNumbers w:val="0"/>
              <w:kinsoku/>
              <w:wordWrap/>
              <w:overflowPunct/>
              <w:topLinePunct w:val="0"/>
              <w:autoSpaceDE/>
              <w:autoSpaceDN/>
              <w:bidi w:val="0"/>
              <w:spacing w:beforeAutospacing="0" w:afterAutospacing="0" w:line="460" w:lineRule="exact"/>
              <w:ind w:left="0" w:leftChars="0"/>
              <w:jc w:val="center"/>
              <w:textAlignment w:val="center"/>
              <w:rPr>
                <w:rFonts w:hint="eastAsia" w:ascii="宋体" w:hAnsi="宋体" w:eastAsia="宋体" w:cs="宋体"/>
                <w:i w:val="0"/>
                <w:iCs w:val="0"/>
                <w:color w:val="auto"/>
                <w:kern w:val="0"/>
                <w:sz w:val="24"/>
                <w:szCs w:val="24"/>
                <w:highlight w:val="none"/>
                <w:u w:val="none"/>
                <w:lang w:val="en-US" w:eastAsia="zh-CN" w:bidi="ar"/>
              </w:rPr>
            </w:pPr>
            <w:r>
              <w:rPr>
                <w:rFonts w:hint="eastAsia" w:ascii="宋体" w:hAnsi="宋体" w:eastAsia="宋体" w:cs="宋体"/>
                <w:i w:val="0"/>
                <w:iCs w:val="0"/>
                <w:color w:val="auto"/>
                <w:kern w:val="0"/>
                <w:sz w:val="24"/>
                <w:szCs w:val="24"/>
                <w:highlight w:val="none"/>
                <w:u w:val="none"/>
                <w:lang w:val="en-US" w:eastAsia="zh-CN" w:bidi="ar"/>
              </w:rPr>
              <w:t>医技住院大楼</w:t>
            </w:r>
          </w:p>
          <w:p w14:paraId="2F90EDEC">
            <w:pPr>
              <w:keepNext w:val="0"/>
              <w:keepLines w:val="0"/>
              <w:pageBreakBefore w:val="0"/>
              <w:widowControl/>
              <w:suppressLineNumbers w:val="0"/>
              <w:kinsoku/>
              <w:wordWrap/>
              <w:overflowPunct/>
              <w:topLinePunct w:val="0"/>
              <w:autoSpaceDE/>
              <w:autoSpaceDN/>
              <w:bidi w:val="0"/>
              <w:spacing w:beforeAutospacing="0" w:afterAutospacing="0" w:line="460" w:lineRule="exact"/>
              <w:ind w:left="0" w:leftChars="0"/>
              <w:jc w:val="center"/>
              <w:textAlignment w:val="center"/>
              <w:rPr>
                <w:rFonts w:hint="eastAsia" w:ascii="宋体" w:hAnsi="宋体" w:eastAsia="宋体" w:cs="宋体"/>
                <w:i w:val="0"/>
                <w:iCs w:val="0"/>
                <w:color w:val="auto"/>
                <w:kern w:val="0"/>
                <w:sz w:val="24"/>
                <w:szCs w:val="24"/>
                <w:highlight w:val="none"/>
                <w:u w:val="none"/>
                <w:lang w:val="en-US" w:eastAsia="zh-CN" w:bidi="ar"/>
              </w:rPr>
            </w:pPr>
            <w:r>
              <w:rPr>
                <w:rFonts w:hint="eastAsia" w:ascii="宋体" w:hAnsi="宋体" w:eastAsia="宋体" w:cs="宋体"/>
                <w:i w:val="0"/>
                <w:iCs w:val="0"/>
                <w:color w:val="auto"/>
                <w:kern w:val="0"/>
                <w:sz w:val="24"/>
                <w:szCs w:val="24"/>
                <w:highlight w:val="none"/>
                <w:u w:val="none"/>
                <w:lang w:val="en-US" w:eastAsia="zh-CN" w:bidi="ar"/>
              </w:rPr>
              <w:t>高低压配电设施及发电机</w:t>
            </w:r>
          </w:p>
        </w:tc>
        <w:tc>
          <w:tcPr>
            <w:tcW w:w="2801" w:type="dxa"/>
            <w:tcBorders>
              <w:top w:val="single" w:color="000000" w:sz="4" w:space="0"/>
              <w:left w:val="single" w:color="000000" w:sz="4" w:space="0"/>
              <w:bottom w:val="single" w:color="000000" w:sz="4" w:space="0"/>
              <w:right w:val="single" w:color="000000" w:sz="4" w:space="0"/>
            </w:tcBorders>
            <w:noWrap/>
            <w:vAlign w:val="center"/>
          </w:tcPr>
          <w:p w14:paraId="41989486">
            <w:pPr>
              <w:keepNext w:val="0"/>
              <w:keepLines w:val="0"/>
              <w:pageBreakBefore w:val="0"/>
              <w:widowControl/>
              <w:suppressLineNumbers w:val="0"/>
              <w:kinsoku/>
              <w:wordWrap/>
              <w:overflowPunct/>
              <w:topLinePunct w:val="0"/>
              <w:autoSpaceDE/>
              <w:autoSpaceDN/>
              <w:bidi w:val="0"/>
              <w:spacing w:beforeAutospacing="0" w:afterAutospacing="0" w:line="460" w:lineRule="exact"/>
              <w:ind w:left="0" w:leftChars="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800KVA配变</w:t>
            </w:r>
          </w:p>
        </w:tc>
        <w:tc>
          <w:tcPr>
            <w:tcW w:w="1072" w:type="dxa"/>
            <w:tcBorders>
              <w:top w:val="single" w:color="000000" w:sz="4" w:space="0"/>
              <w:left w:val="single" w:color="000000" w:sz="4" w:space="0"/>
              <w:bottom w:val="single" w:color="000000" w:sz="4" w:space="0"/>
              <w:right w:val="single" w:color="000000" w:sz="4" w:space="0"/>
            </w:tcBorders>
            <w:noWrap w:val="0"/>
            <w:vAlign w:val="center"/>
          </w:tcPr>
          <w:p w14:paraId="014CD537">
            <w:pPr>
              <w:keepNext w:val="0"/>
              <w:keepLines w:val="0"/>
              <w:pageBreakBefore w:val="0"/>
              <w:widowControl/>
              <w:suppressLineNumbers w:val="0"/>
              <w:kinsoku/>
              <w:wordWrap/>
              <w:overflowPunct/>
              <w:topLinePunct w:val="0"/>
              <w:autoSpaceDE/>
              <w:autoSpaceDN/>
              <w:bidi w:val="0"/>
              <w:spacing w:beforeAutospacing="0" w:afterAutospacing="0" w:line="460" w:lineRule="exact"/>
              <w:ind w:left="0" w:leftChars="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台</w:t>
            </w:r>
          </w:p>
        </w:tc>
        <w:tc>
          <w:tcPr>
            <w:tcW w:w="1214" w:type="dxa"/>
            <w:tcBorders>
              <w:top w:val="single" w:color="000000" w:sz="4" w:space="0"/>
              <w:left w:val="single" w:color="000000" w:sz="4" w:space="0"/>
              <w:bottom w:val="single" w:color="000000" w:sz="4" w:space="0"/>
              <w:right w:val="single" w:color="000000" w:sz="4" w:space="0"/>
            </w:tcBorders>
            <w:noWrap w:val="0"/>
            <w:vAlign w:val="center"/>
          </w:tcPr>
          <w:p w14:paraId="65E2F34C">
            <w:pPr>
              <w:keepNext w:val="0"/>
              <w:keepLines w:val="0"/>
              <w:pageBreakBefore w:val="0"/>
              <w:widowControl/>
              <w:suppressLineNumbers w:val="0"/>
              <w:kinsoku/>
              <w:wordWrap/>
              <w:overflowPunct/>
              <w:topLinePunct w:val="0"/>
              <w:autoSpaceDE/>
              <w:autoSpaceDN/>
              <w:bidi w:val="0"/>
              <w:spacing w:beforeAutospacing="0" w:afterAutospacing="0" w:line="460" w:lineRule="exact"/>
              <w:ind w:left="0" w:leftChars="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w:t>
            </w:r>
          </w:p>
        </w:tc>
      </w:tr>
      <w:tr w14:paraId="6E148EB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5" w:hRule="atLeast"/>
          <w:jc w:val="center"/>
        </w:trPr>
        <w:tc>
          <w:tcPr>
            <w:tcW w:w="836" w:type="dxa"/>
            <w:tcBorders>
              <w:top w:val="single" w:color="000000" w:sz="4" w:space="0"/>
              <w:left w:val="single" w:color="000000" w:sz="4" w:space="0"/>
              <w:bottom w:val="single" w:color="000000" w:sz="4" w:space="0"/>
              <w:right w:val="single" w:color="000000" w:sz="4" w:space="0"/>
            </w:tcBorders>
            <w:noWrap/>
            <w:vAlign w:val="center"/>
          </w:tcPr>
          <w:p w14:paraId="54C08536">
            <w:pPr>
              <w:keepNext w:val="0"/>
              <w:keepLines w:val="0"/>
              <w:pageBreakBefore w:val="0"/>
              <w:widowControl/>
              <w:suppressLineNumbers w:val="0"/>
              <w:kinsoku/>
              <w:wordWrap/>
              <w:overflowPunct/>
              <w:topLinePunct w:val="0"/>
              <w:autoSpaceDE/>
              <w:autoSpaceDN/>
              <w:bidi w:val="0"/>
              <w:spacing w:beforeAutospacing="0" w:afterAutospacing="0" w:line="460" w:lineRule="exact"/>
              <w:ind w:left="0" w:leftChars="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w:t>
            </w:r>
          </w:p>
        </w:tc>
        <w:tc>
          <w:tcPr>
            <w:tcW w:w="2255" w:type="dxa"/>
            <w:vMerge w:val="continue"/>
            <w:tcBorders>
              <w:left w:val="single" w:color="000000" w:sz="4" w:space="0"/>
              <w:right w:val="single" w:color="000000" w:sz="4" w:space="0"/>
            </w:tcBorders>
            <w:noWrap/>
            <w:vAlign w:val="center"/>
          </w:tcPr>
          <w:p w14:paraId="22D49D29">
            <w:pPr>
              <w:keepNext w:val="0"/>
              <w:keepLines w:val="0"/>
              <w:pageBreakBefore w:val="0"/>
              <w:widowControl/>
              <w:suppressLineNumbers w:val="0"/>
              <w:kinsoku/>
              <w:wordWrap/>
              <w:overflowPunct/>
              <w:topLinePunct w:val="0"/>
              <w:autoSpaceDE/>
              <w:autoSpaceDN/>
              <w:bidi w:val="0"/>
              <w:spacing w:beforeAutospacing="0" w:afterAutospacing="0" w:line="460" w:lineRule="exact"/>
              <w:ind w:left="0" w:leftChars="0"/>
              <w:jc w:val="center"/>
              <w:textAlignment w:val="center"/>
              <w:rPr>
                <w:rFonts w:hint="eastAsia" w:ascii="宋体" w:hAnsi="宋体" w:eastAsia="宋体" w:cs="宋体"/>
                <w:i w:val="0"/>
                <w:iCs w:val="0"/>
                <w:color w:val="auto"/>
                <w:kern w:val="0"/>
                <w:sz w:val="24"/>
                <w:szCs w:val="24"/>
                <w:highlight w:val="none"/>
                <w:u w:val="none"/>
                <w:lang w:val="en-US" w:eastAsia="zh-CN" w:bidi="ar"/>
              </w:rPr>
            </w:pPr>
          </w:p>
        </w:tc>
        <w:tc>
          <w:tcPr>
            <w:tcW w:w="2801" w:type="dxa"/>
            <w:tcBorders>
              <w:top w:val="single" w:color="000000" w:sz="4" w:space="0"/>
              <w:left w:val="single" w:color="000000" w:sz="4" w:space="0"/>
              <w:bottom w:val="single" w:color="000000" w:sz="4" w:space="0"/>
              <w:right w:val="single" w:color="000000" w:sz="4" w:space="0"/>
            </w:tcBorders>
            <w:noWrap/>
            <w:vAlign w:val="center"/>
          </w:tcPr>
          <w:p w14:paraId="6FE95D41">
            <w:pPr>
              <w:keepNext w:val="0"/>
              <w:keepLines w:val="0"/>
              <w:pageBreakBefore w:val="0"/>
              <w:widowControl/>
              <w:suppressLineNumbers w:val="0"/>
              <w:kinsoku/>
              <w:wordWrap/>
              <w:overflowPunct/>
              <w:topLinePunct w:val="0"/>
              <w:autoSpaceDE/>
              <w:autoSpaceDN/>
              <w:bidi w:val="0"/>
              <w:spacing w:beforeAutospacing="0" w:afterAutospacing="0" w:line="460" w:lineRule="exact"/>
              <w:ind w:left="0" w:leftChars="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KYN28高压柜</w:t>
            </w:r>
          </w:p>
        </w:tc>
        <w:tc>
          <w:tcPr>
            <w:tcW w:w="1072" w:type="dxa"/>
            <w:tcBorders>
              <w:top w:val="single" w:color="000000" w:sz="4" w:space="0"/>
              <w:left w:val="single" w:color="000000" w:sz="4" w:space="0"/>
              <w:bottom w:val="single" w:color="000000" w:sz="4" w:space="0"/>
              <w:right w:val="single" w:color="000000" w:sz="4" w:space="0"/>
            </w:tcBorders>
            <w:noWrap w:val="0"/>
            <w:vAlign w:val="center"/>
          </w:tcPr>
          <w:p w14:paraId="0DAE1948">
            <w:pPr>
              <w:keepNext w:val="0"/>
              <w:keepLines w:val="0"/>
              <w:pageBreakBefore w:val="0"/>
              <w:widowControl/>
              <w:suppressLineNumbers w:val="0"/>
              <w:kinsoku/>
              <w:wordWrap/>
              <w:overflowPunct/>
              <w:topLinePunct w:val="0"/>
              <w:autoSpaceDE/>
              <w:autoSpaceDN/>
              <w:bidi w:val="0"/>
              <w:spacing w:beforeAutospacing="0" w:afterAutospacing="0" w:line="460" w:lineRule="exact"/>
              <w:ind w:left="0" w:leftChars="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台</w:t>
            </w:r>
          </w:p>
        </w:tc>
        <w:tc>
          <w:tcPr>
            <w:tcW w:w="1214" w:type="dxa"/>
            <w:tcBorders>
              <w:top w:val="single" w:color="000000" w:sz="4" w:space="0"/>
              <w:left w:val="single" w:color="000000" w:sz="4" w:space="0"/>
              <w:bottom w:val="single" w:color="000000" w:sz="4" w:space="0"/>
              <w:right w:val="single" w:color="000000" w:sz="4" w:space="0"/>
            </w:tcBorders>
            <w:noWrap w:val="0"/>
            <w:vAlign w:val="center"/>
          </w:tcPr>
          <w:p w14:paraId="66F515CA">
            <w:pPr>
              <w:keepNext w:val="0"/>
              <w:keepLines w:val="0"/>
              <w:pageBreakBefore w:val="0"/>
              <w:widowControl/>
              <w:suppressLineNumbers w:val="0"/>
              <w:kinsoku/>
              <w:wordWrap/>
              <w:overflowPunct/>
              <w:topLinePunct w:val="0"/>
              <w:autoSpaceDE/>
              <w:autoSpaceDN/>
              <w:bidi w:val="0"/>
              <w:spacing w:beforeAutospacing="0" w:afterAutospacing="0" w:line="460" w:lineRule="exact"/>
              <w:ind w:left="0" w:leftChars="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5</w:t>
            </w:r>
          </w:p>
        </w:tc>
      </w:tr>
      <w:tr w14:paraId="7396CA2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5" w:hRule="atLeast"/>
          <w:jc w:val="center"/>
        </w:trPr>
        <w:tc>
          <w:tcPr>
            <w:tcW w:w="836" w:type="dxa"/>
            <w:tcBorders>
              <w:top w:val="single" w:color="000000" w:sz="4" w:space="0"/>
              <w:left w:val="single" w:color="000000" w:sz="4" w:space="0"/>
              <w:bottom w:val="single" w:color="000000" w:sz="4" w:space="0"/>
              <w:right w:val="single" w:color="000000" w:sz="4" w:space="0"/>
            </w:tcBorders>
            <w:noWrap/>
            <w:vAlign w:val="center"/>
          </w:tcPr>
          <w:p w14:paraId="0F42A159">
            <w:pPr>
              <w:keepNext w:val="0"/>
              <w:keepLines w:val="0"/>
              <w:pageBreakBefore w:val="0"/>
              <w:widowControl/>
              <w:suppressLineNumbers w:val="0"/>
              <w:kinsoku/>
              <w:wordWrap/>
              <w:overflowPunct/>
              <w:topLinePunct w:val="0"/>
              <w:autoSpaceDE/>
              <w:autoSpaceDN/>
              <w:bidi w:val="0"/>
              <w:spacing w:beforeAutospacing="0" w:afterAutospacing="0" w:line="460" w:lineRule="exact"/>
              <w:ind w:left="0" w:leftChars="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w:t>
            </w:r>
          </w:p>
        </w:tc>
        <w:tc>
          <w:tcPr>
            <w:tcW w:w="2255" w:type="dxa"/>
            <w:vMerge w:val="continue"/>
            <w:tcBorders>
              <w:left w:val="single" w:color="000000" w:sz="4" w:space="0"/>
              <w:right w:val="single" w:color="000000" w:sz="4" w:space="0"/>
            </w:tcBorders>
            <w:shd w:val="clear" w:color="auto" w:fill="auto"/>
            <w:noWrap/>
            <w:vAlign w:val="center"/>
          </w:tcPr>
          <w:p w14:paraId="1604D85D">
            <w:pPr>
              <w:keepNext w:val="0"/>
              <w:keepLines w:val="0"/>
              <w:pageBreakBefore w:val="0"/>
              <w:widowControl/>
              <w:suppressLineNumbers w:val="0"/>
              <w:kinsoku/>
              <w:wordWrap/>
              <w:overflowPunct/>
              <w:topLinePunct w:val="0"/>
              <w:autoSpaceDE/>
              <w:autoSpaceDN/>
              <w:bidi w:val="0"/>
              <w:spacing w:beforeAutospacing="0" w:afterAutospacing="0" w:line="460" w:lineRule="exact"/>
              <w:ind w:left="0" w:leftChars="0"/>
              <w:jc w:val="center"/>
              <w:textAlignment w:val="center"/>
              <w:rPr>
                <w:rFonts w:hint="eastAsia" w:ascii="宋体" w:hAnsi="宋体" w:eastAsia="宋体" w:cs="宋体"/>
                <w:i w:val="0"/>
                <w:iCs w:val="0"/>
                <w:color w:val="auto"/>
                <w:kern w:val="0"/>
                <w:sz w:val="24"/>
                <w:szCs w:val="24"/>
                <w:highlight w:val="none"/>
                <w:u w:val="none"/>
                <w:lang w:val="en-US" w:eastAsia="zh-CN" w:bidi="ar"/>
              </w:rPr>
            </w:pPr>
          </w:p>
        </w:tc>
        <w:tc>
          <w:tcPr>
            <w:tcW w:w="280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7A8295">
            <w:pPr>
              <w:keepNext w:val="0"/>
              <w:keepLines w:val="0"/>
              <w:pageBreakBefore w:val="0"/>
              <w:widowControl/>
              <w:suppressLineNumbers w:val="0"/>
              <w:kinsoku/>
              <w:wordWrap/>
              <w:overflowPunct/>
              <w:topLinePunct w:val="0"/>
              <w:autoSpaceDE/>
              <w:autoSpaceDN/>
              <w:bidi w:val="0"/>
              <w:spacing w:beforeAutospacing="0" w:afterAutospacing="0" w:line="460" w:lineRule="exact"/>
              <w:ind w:left="0" w:leftChars="0"/>
              <w:jc w:val="center"/>
              <w:textAlignment w:val="center"/>
              <w:rPr>
                <w:rFonts w:hint="eastAsia" w:ascii="宋体" w:hAnsi="宋体" w:eastAsia="宋体" w:cs="宋体"/>
                <w:i w:val="0"/>
                <w:iCs w:val="0"/>
                <w:color w:val="auto"/>
                <w:kern w:val="2"/>
                <w:sz w:val="24"/>
                <w:szCs w:val="24"/>
                <w:highlight w:val="none"/>
                <w:u w:val="none"/>
                <w:lang w:val="en-US" w:eastAsia="zh-CN" w:bidi="ar-SA"/>
              </w:rPr>
            </w:pPr>
            <w:r>
              <w:rPr>
                <w:rFonts w:hint="eastAsia" w:ascii="宋体" w:hAnsi="宋体" w:eastAsia="宋体" w:cs="宋体"/>
                <w:i w:val="0"/>
                <w:iCs w:val="0"/>
                <w:color w:val="auto"/>
                <w:kern w:val="0"/>
                <w:sz w:val="24"/>
                <w:szCs w:val="24"/>
                <w:highlight w:val="none"/>
                <w:u w:val="none"/>
                <w:lang w:val="en-US" w:eastAsia="zh-CN" w:bidi="ar"/>
              </w:rPr>
              <w:t>GCS配电柜</w:t>
            </w:r>
          </w:p>
        </w:tc>
        <w:tc>
          <w:tcPr>
            <w:tcW w:w="1072"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3E3F86E7">
            <w:pPr>
              <w:keepNext w:val="0"/>
              <w:keepLines w:val="0"/>
              <w:pageBreakBefore w:val="0"/>
              <w:widowControl/>
              <w:suppressLineNumbers w:val="0"/>
              <w:kinsoku/>
              <w:wordWrap/>
              <w:overflowPunct/>
              <w:topLinePunct w:val="0"/>
              <w:autoSpaceDE/>
              <w:autoSpaceDN/>
              <w:bidi w:val="0"/>
              <w:spacing w:beforeAutospacing="0" w:afterAutospacing="0" w:line="460" w:lineRule="exact"/>
              <w:ind w:left="0" w:leftChars="0"/>
              <w:jc w:val="center"/>
              <w:textAlignment w:val="center"/>
              <w:rPr>
                <w:rFonts w:hint="eastAsia" w:ascii="宋体" w:hAnsi="宋体" w:eastAsia="宋体" w:cs="宋体"/>
                <w:i w:val="0"/>
                <w:iCs w:val="0"/>
                <w:color w:val="auto"/>
                <w:kern w:val="2"/>
                <w:sz w:val="24"/>
                <w:szCs w:val="24"/>
                <w:highlight w:val="none"/>
                <w:u w:val="none"/>
                <w:lang w:val="en-US" w:eastAsia="zh-CN" w:bidi="ar-SA"/>
              </w:rPr>
            </w:pPr>
            <w:r>
              <w:rPr>
                <w:rFonts w:hint="eastAsia" w:ascii="宋体" w:hAnsi="宋体" w:eastAsia="宋体" w:cs="宋体"/>
                <w:i w:val="0"/>
                <w:iCs w:val="0"/>
                <w:color w:val="auto"/>
                <w:kern w:val="0"/>
                <w:sz w:val="24"/>
                <w:szCs w:val="24"/>
                <w:highlight w:val="none"/>
                <w:u w:val="none"/>
                <w:lang w:val="en-US" w:eastAsia="zh-CN" w:bidi="ar"/>
              </w:rPr>
              <w:t>台</w:t>
            </w:r>
          </w:p>
        </w:tc>
        <w:tc>
          <w:tcPr>
            <w:tcW w:w="1214"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0543670A">
            <w:pPr>
              <w:keepNext w:val="0"/>
              <w:keepLines w:val="0"/>
              <w:pageBreakBefore w:val="0"/>
              <w:widowControl/>
              <w:suppressLineNumbers w:val="0"/>
              <w:kinsoku/>
              <w:wordWrap/>
              <w:overflowPunct/>
              <w:topLinePunct w:val="0"/>
              <w:autoSpaceDE/>
              <w:autoSpaceDN/>
              <w:bidi w:val="0"/>
              <w:spacing w:beforeAutospacing="0" w:afterAutospacing="0" w:line="460" w:lineRule="exact"/>
              <w:ind w:left="0" w:leftChars="0"/>
              <w:jc w:val="center"/>
              <w:textAlignment w:val="center"/>
              <w:rPr>
                <w:rFonts w:hint="eastAsia" w:ascii="宋体" w:hAnsi="宋体" w:eastAsia="宋体" w:cs="宋体"/>
                <w:i w:val="0"/>
                <w:iCs w:val="0"/>
                <w:color w:val="auto"/>
                <w:kern w:val="2"/>
                <w:sz w:val="24"/>
                <w:szCs w:val="24"/>
                <w:highlight w:val="none"/>
                <w:u w:val="none"/>
                <w:lang w:val="en-US" w:eastAsia="zh-CN" w:bidi="ar-SA"/>
              </w:rPr>
            </w:pPr>
            <w:r>
              <w:rPr>
                <w:rFonts w:hint="eastAsia" w:ascii="宋体" w:hAnsi="宋体" w:eastAsia="宋体" w:cs="宋体"/>
                <w:i w:val="0"/>
                <w:iCs w:val="0"/>
                <w:color w:val="auto"/>
                <w:kern w:val="0"/>
                <w:sz w:val="24"/>
                <w:szCs w:val="24"/>
                <w:highlight w:val="none"/>
                <w:u w:val="none"/>
                <w:lang w:val="en-US" w:eastAsia="zh-CN" w:bidi="ar"/>
              </w:rPr>
              <w:t>21</w:t>
            </w:r>
          </w:p>
        </w:tc>
      </w:tr>
      <w:tr w14:paraId="5680A63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5" w:hRule="atLeast"/>
          <w:jc w:val="center"/>
        </w:trPr>
        <w:tc>
          <w:tcPr>
            <w:tcW w:w="836" w:type="dxa"/>
            <w:tcBorders>
              <w:top w:val="single" w:color="000000" w:sz="4" w:space="0"/>
              <w:left w:val="single" w:color="000000" w:sz="4" w:space="0"/>
              <w:bottom w:val="single" w:color="000000" w:sz="4" w:space="0"/>
              <w:right w:val="single" w:color="000000" w:sz="4" w:space="0"/>
            </w:tcBorders>
            <w:noWrap/>
            <w:vAlign w:val="center"/>
          </w:tcPr>
          <w:p w14:paraId="41DE337B">
            <w:pPr>
              <w:keepNext w:val="0"/>
              <w:keepLines w:val="0"/>
              <w:pageBreakBefore w:val="0"/>
              <w:widowControl/>
              <w:suppressLineNumbers w:val="0"/>
              <w:kinsoku/>
              <w:wordWrap/>
              <w:overflowPunct/>
              <w:topLinePunct w:val="0"/>
              <w:autoSpaceDE/>
              <w:autoSpaceDN/>
              <w:bidi w:val="0"/>
              <w:spacing w:beforeAutospacing="0" w:afterAutospacing="0" w:line="460" w:lineRule="exact"/>
              <w:ind w:left="0" w:leftChars="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4</w:t>
            </w:r>
          </w:p>
        </w:tc>
        <w:tc>
          <w:tcPr>
            <w:tcW w:w="2255" w:type="dxa"/>
            <w:vMerge w:val="continue"/>
            <w:tcBorders>
              <w:left w:val="single" w:color="000000" w:sz="4" w:space="0"/>
              <w:bottom w:val="single" w:color="000000" w:sz="4" w:space="0"/>
              <w:right w:val="single" w:color="000000" w:sz="4" w:space="0"/>
            </w:tcBorders>
            <w:shd w:val="clear" w:color="auto" w:fill="auto"/>
            <w:noWrap/>
            <w:vAlign w:val="center"/>
          </w:tcPr>
          <w:p w14:paraId="3FC50603">
            <w:pPr>
              <w:keepNext w:val="0"/>
              <w:keepLines w:val="0"/>
              <w:pageBreakBefore w:val="0"/>
              <w:widowControl/>
              <w:suppressLineNumbers w:val="0"/>
              <w:kinsoku/>
              <w:wordWrap/>
              <w:overflowPunct/>
              <w:topLinePunct w:val="0"/>
              <w:autoSpaceDE/>
              <w:autoSpaceDN/>
              <w:bidi w:val="0"/>
              <w:spacing w:beforeAutospacing="0" w:afterAutospacing="0" w:line="460" w:lineRule="exact"/>
              <w:ind w:left="0" w:leftChars="0"/>
              <w:jc w:val="center"/>
              <w:textAlignment w:val="center"/>
              <w:rPr>
                <w:rFonts w:hint="eastAsia" w:ascii="宋体" w:hAnsi="宋体" w:eastAsia="宋体" w:cs="宋体"/>
                <w:i w:val="0"/>
                <w:iCs w:val="0"/>
                <w:color w:val="auto"/>
                <w:kern w:val="0"/>
                <w:sz w:val="24"/>
                <w:szCs w:val="24"/>
                <w:highlight w:val="none"/>
                <w:u w:val="none"/>
                <w:lang w:val="en-US" w:eastAsia="zh-CN" w:bidi="ar"/>
              </w:rPr>
            </w:pPr>
          </w:p>
        </w:tc>
        <w:tc>
          <w:tcPr>
            <w:tcW w:w="280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A87A8A">
            <w:pPr>
              <w:keepNext w:val="0"/>
              <w:keepLines w:val="0"/>
              <w:pageBreakBefore w:val="0"/>
              <w:widowControl/>
              <w:suppressLineNumbers w:val="0"/>
              <w:kinsoku/>
              <w:wordWrap/>
              <w:overflowPunct/>
              <w:topLinePunct w:val="0"/>
              <w:autoSpaceDE/>
              <w:autoSpaceDN/>
              <w:bidi w:val="0"/>
              <w:spacing w:beforeAutospacing="0" w:afterAutospacing="0" w:line="460" w:lineRule="exact"/>
              <w:ind w:left="0" w:leftChars="0"/>
              <w:jc w:val="center"/>
              <w:textAlignment w:val="center"/>
              <w:rPr>
                <w:rFonts w:hint="eastAsia" w:ascii="宋体" w:hAnsi="宋体" w:eastAsia="宋体" w:cs="宋体"/>
                <w:i w:val="0"/>
                <w:iCs w:val="0"/>
                <w:color w:val="auto"/>
                <w:kern w:val="2"/>
                <w:sz w:val="24"/>
                <w:szCs w:val="24"/>
                <w:highlight w:val="none"/>
                <w:u w:val="none"/>
                <w:lang w:val="en-US" w:eastAsia="zh-CN" w:bidi="ar-SA"/>
              </w:rPr>
            </w:pPr>
            <w:r>
              <w:rPr>
                <w:rFonts w:hint="eastAsia" w:ascii="宋体" w:hAnsi="宋体" w:eastAsia="宋体" w:cs="宋体"/>
                <w:i w:val="0"/>
                <w:iCs w:val="0"/>
                <w:color w:val="auto"/>
                <w:kern w:val="0"/>
                <w:sz w:val="24"/>
                <w:szCs w:val="24"/>
                <w:highlight w:val="none"/>
                <w:u w:val="none"/>
                <w:lang w:val="en-US" w:eastAsia="zh-CN" w:bidi="ar"/>
              </w:rPr>
              <w:t>350KW发电机</w:t>
            </w:r>
          </w:p>
        </w:tc>
        <w:tc>
          <w:tcPr>
            <w:tcW w:w="1072"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0E70C1C4">
            <w:pPr>
              <w:keepNext w:val="0"/>
              <w:keepLines w:val="0"/>
              <w:pageBreakBefore w:val="0"/>
              <w:widowControl/>
              <w:suppressLineNumbers w:val="0"/>
              <w:kinsoku/>
              <w:wordWrap/>
              <w:overflowPunct/>
              <w:topLinePunct w:val="0"/>
              <w:autoSpaceDE/>
              <w:autoSpaceDN/>
              <w:bidi w:val="0"/>
              <w:spacing w:beforeAutospacing="0" w:afterAutospacing="0" w:line="460" w:lineRule="exact"/>
              <w:ind w:left="0" w:leftChars="0"/>
              <w:jc w:val="center"/>
              <w:textAlignment w:val="center"/>
              <w:rPr>
                <w:rFonts w:hint="eastAsia" w:ascii="宋体" w:hAnsi="宋体" w:eastAsia="宋体" w:cs="宋体"/>
                <w:i w:val="0"/>
                <w:iCs w:val="0"/>
                <w:color w:val="auto"/>
                <w:kern w:val="2"/>
                <w:sz w:val="24"/>
                <w:szCs w:val="24"/>
                <w:highlight w:val="none"/>
                <w:u w:val="none"/>
                <w:lang w:val="en-US" w:eastAsia="zh-CN" w:bidi="ar-SA"/>
              </w:rPr>
            </w:pPr>
            <w:r>
              <w:rPr>
                <w:rFonts w:hint="eastAsia" w:ascii="宋体" w:hAnsi="宋体" w:eastAsia="宋体" w:cs="宋体"/>
                <w:i w:val="0"/>
                <w:iCs w:val="0"/>
                <w:color w:val="auto"/>
                <w:kern w:val="0"/>
                <w:sz w:val="24"/>
                <w:szCs w:val="24"/>
                <w:highlight w:val="none"/>
                <w:u w:val="none"/>
                <w:lang w:val="en-US" w:eastAsia="zh-CN" w:bidi="ar"/>
              </w:rPr>
              <w:t>台</w:t>
            </w:r>
          </w:p>
        </w:tc>
        <w:tc>
          <w:tcPr>
            <w:tcW w:w="1214"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61557B1A">
            <w:pPr>
              <w:keepNext w:val="0"/>
              <w:keepLines w:val="0"/>
              <w:pageBreakBefore w:val="0"/>
              <w:widowControl/>
              <w:suppressLineNumbers w:val="0"/>
              <w:kinsoku/>
              <w:wordWrap/>
              <w:overflowPunct/>
              <w:topLinePunct w:val="0"/>
              <w:autoSpaceDE/>
              <w:autoSpaceDN/>
              <w:bidi w:val="0"/>
              <w:spacing w:beforeAutospacing="0" w:afterAutospacing="0" w:line="460" w:lineRule="exact"/>
              <w:ind w:left="0" w:leftChars="0"/>
              <w:jc w:val="center"/>
              <w:textAlignment w:val="center"/>
              <w:rPr>
                <w:rFonts w:hint="eastAsia" w:ascii="宋体" w:hAnsi="宋体" w:eastAsia="宋体" w:cs="宋体"/>
                <w:i w:val="0"/>
                <w:iCs w:val="0"/>
                <w:color w:val="auto"/>
                <w:kern w:val="2"/>
                <w:sz w:val="24"/>
                <w:szCs w:val="24"/>
                <w:highlight w:val="none"/>
                <w:u w:val="none"/>
                <w:lang w:val="en-US" w:eastAsia="zh-CN" w:bidi="ar-SA"/>
              </w:rPr>
            </w:pPr>
            <w:r>
              <w:rPr>
                <w:rFonts w:hint="eastAsia" w:ascii="宋体" w:hAnsi="宋体" w:eastAsia="宋体" w:cs="宋体"/>
                <w:i w:val="0"/>
                <w:iCs w:val="0"/>
                <w:color w:val="auto"/>
                <w:kern w:val="0"/>
                <w:sz w:val="24"/>
                <w:szCs w:val="24"/>
                <w:highlight w:val="none"/>
                <w:u w:val="none"/>
                <w:lang w:val="en-US" w:eastAsia="zh-CN" w:bidi="ar"/>
              </w:rPr>
              <w:t>1</w:t>
            </w:r>
          </w:p>
        </w:tc>
      </w:tr>
      <w:tr w14:paraId="6A49FB8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0" w:hRule="atLeast"/>
          <w:jc w:val="center"/>
        </w:trPr>
        <w:tc>
          <w:tcPr>
            <w:tcW w:w="836" w:type="dxa"/>
            <w:tcBorders>
              <w:top w:val="single" w:color="000000" w:sz="4" w:space="0"/>
              <w:left w:val="single" w:color="000000" w:sz="4" w:space="0"/>
              <w:bottom w:val="single" w:color="000000" w:sz="4" w:space="0"/>
              <w:right w:val="single" w:color="000000" w:sz="4" w:space="0"/>
            </w:tcBorders>
            <w:noWrap/>
            <w:vAlign w:val="center"/>
          </w:tcPr>
          <w:p w14:paraId="1C6D35A3">
            <w:pPr>
              <w:keepNext w:val="0"/>
              <w:keepLines w:val="0"/>
              <w:pageBreakBefore w:val="0"/>
              <w:widowControl/>
              <w:suppressLineNumbers w:val="0"/>
              <w:kinsoku/>
              <w:wordWrap/>
              <w:overflowPunct/>
              <w:topLinePunct w:val="0"/>
              <w:autoSpaceDE/>
              <w:autoSpaceDN/>
              <w:bidi w:val="0"/>
              <w:spacing w:beforeAutospacing="0" w:afterAutospacing="0" w:line="460" w:lineRule="exact"/>
              <w:ind w:left="0" w:leftChars="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5</w:t>
            </w:r>
          </w:p>
        </w:tc>
        <w:tc>
          <w:tcPr>
            <w:tcW w:w="2255" w:type="dxa"/>
            <w:vMerge w:val="restart"/>
            <w:tcBorders>
              <w:top w:val="single" w:color="000000" w:sz="4" w:space="0"/>
              <w:left w:val="single" w:color="000000" w:sz="4" w:space="0"/>
              <w:right w:val="single" w:color="000000" w:sz="4" w:space="0"/>
            </w:tcBorders>
            <w:noWrap/>
            <w:vAlign w:val="center"/>
          </w:tcPr>
          <w:p w14:paraId="2B0CE7E6">
            <w:pPr>
              <w:keepNext w:val="0"/>
              <w:keepLines w:val="0"/>
              <w:pageBreakBefore w:val="0"/>
              <w:widowControl/>
              <w:suppressLineNumbers w:val="0"/>
              <w:kinsoku/>
              <w:wordWrap/>
              <w:overflowPunct/>
              <w:topLinePunct w:val="0"/>
              <w:autoSpaceDE/>
              <w:autoSpaceDN/>
              <w:bidi w:val="0"/>
              <w:spacing w:beforeAutospacing="0" w:afterAutospacing="0" w:line="460" w:lineRule="exact"/>
              <w:ind w:left="0" w:leftChars="0"/>
              <w:jc w:val="center"/>
              <w:textAlignment w:val="center"/>
              <w:rPr>
                <w:rFonts w:hint="eastAsia" w:ascii="宋体" w:hAnsi="宋体" w:eastAsia="宋体" w:cs="宋体"/>
                <w:i w:val="0"/>
                <w:iCs w:val="0"/>
                <w:color w:val="auto"/>
                <w:kern w:val="0"/>
                <w:sz w:val="24"/>
                <w:szCs w:val="24"/>
                <w:highlight w:val="none"/>
                <w:u w:val="none"/>
                <w:lang w:val="en-US" w:eastAsia="zh-CN" w:bidi="ar"/>
              </w:rPr>
            </w:pPr>
            <w:r>
              <w:rPr>
                <w:rFonts w:hint="eastAsia" w:ascii="宋体" w:hAnsi="宋体" w:cs="宋体"/>
                <w:i w:val="0"/>
                <w:iCs w:val="0"/>
                <w:color w:val="auto"/>
                <w:kern w:val="0"/>
                <w:sz w:val="24"/>
                <w:szCs w:val="24"/>
                <w:highlight w:val="none"/>
                <w:u w:val="none"/>
                <w:lang w:val="en-US" w:eastAsia="zh-CN" w:bidi="ar"/>
              </w:rPr>
              <w:tab/>
            </w:r>
            <w:r>
              <w:rPr>
                <w:rFonts w:hint="eastAsia" w:ascii="宋体" w:hAnsi="宋体" w:eastAsia="宋体" w:cs="宋体"/>
                <w:i w:val="0"/>
                <w:iCs w:val="0"/>
                <w:color w:val="auto"/>
                <w:kern w:val="0"/>
                <w:sz w:val="24"/>
                <w:szCs w:val="24"/>
                <w:highlight w:val="none"/>
                <w:u w:val="none"/>
                <w:lang w:val="en-US" w:eastAsia="zh-CN" w:bidi="ar"/>
              </w:rPr>
              <w:t>门诊综合楼</w:t>
            </w:r>
          </w:p>
          <w:p w14:paraId="281E04E9">
            <w:pPr>
              <w:keepNext w:val="0"/>
              <w:keepLines w:val="0"/>
              <w:pageBreakBefore w:val="0"/>
              <w:widowControl/>
              <w:suppressLineNumbers w:val="0"/>
              <w:kinsoku/>
              <w:wordWrap/>
              <w:overflowPunct/>
              <w:topLinePunct w:val="0"/>
              <w:autoSpaceDE/>
              <w:autoSpaceDN/>
              <w:bidi w:val="0"/>
              <w:spacing w:beforeAutospacing="0" w:afterAutospacing="0" w:line="460" w:lineRule="exact"/>
              <w:ind w:left="0" w:leftChars="0"/>
              <w:jc w:val="center"/>
              <w:textAlignment w:val="center"/>
              <w:rPr>
                <w:rFonts w:hint="eastAsia" w:ascii="宋体" w:hAnsi="宋体" w:eastAsia="宋体" w:cs="宋体"/>
                <w:i w:val="0"/>
                <w:iCs w:val="0"/>
                <w:color w:val="auto"/>
                <w:kern w:val="0"/>
                <w:sz w:val="24"/>
                <w:szCs w:val="24"/>
                <w:highlight w:val="none"/>
                <w:u w:val="none"/>
                <w:lang w:val="en-US" w:eastAsia="zh-CN" w:bidi="ar"/>
              </w:rPr>
            </w:pPr>
            <w:r>
              <w:rPr>
                <w:rFonts w:hint="eastAsia" w:ascii="宋体" w:hAnsi="宋体" w:eastAsia="宋体" w:cs="宋体"/>
                <w:i w:val="0"/>
                <w:iCs w:val="0"/>
                <w:color w:val="auto"/>
                <w:kern w:val="0"/>
                <w:sz w:val="24"/>
                <w:szCs w:val="24"/>
                <w:highlight w:val="none"/>
                <w:u w:val="none"/>
                <w:lang w:val="en-US" w:eastAsia="zh-CN" w:bidi="ar"/>
              </w:rPr>
              <w:t>高低压配电设施及发电机</w:t>
            </w:r>
          </w:p>
        </w:tc>
        <w:tc>
          <w:tcPr>
            <w:tcW w:w="2801" w:type="dxa"/>
            <w:tcBorders>
              <w:top w:val="single" w:color="000000" w:sz="4" w:space="0"/>
              <w:left w:val="single" w:color="000000" w:sz="4" w:space="0"/>
              <w:bottom w:val="single" w:color="000000" w:sz="4" w:space="0"/>
              <w:right w:val="single" w:color="000000" w:sz="4" w:space="0"/>
            </w:tcBorders>
            <w:noWrap/>
            <w:vAlign w:val="center"/>
          </w:tcPr>
          <w:p w14:paraId="453DC7E2">
            <w:pPr>
              <w:keepNext w:val="0"/>
              <w:keepLines w:val="0"/>
              <w:pageBreakBefore w:val="0"/>
              <w:widowControl/>
              <w:suppressLineNumbers w:val="0"/>
              <w:kinsoku/>
              <w:wordWrap/>
              <w:overflowPunct/>
              <w:topLinePunct w:val="0"/>
              <w:autoSpaceDE/>
              <w:autoSpaceDN/>
              <w:bidi w:val="0"/>
              <w:spacing w:beforeAutospacing="0" w:afterAutospacing="0" w:line="460" w:lineRule="exact"/>
              <w:ind w:left="0" w:leftChars="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630KVA配变</w:t>
            </w:r>
          </w:p>
        </w:tc>
        <w:tc>
          <w:tcPr>
            <w:tcW w:w="1072" w:type="dxa"/>
            <w:tcBorders>
              <w:top w:val="single" w:color="000000" w:sz="4" w:space="0"/>
              <w:left w:val="single" w:color="000000" w:sz="4" w:space="0"/>
              <w:bottom w:val="single" w:color="000000" w:sz="4" w:space="0"/>
              <w:right w:val="single" w:color="000000" w:sz="4" w:space="0"/>
            </w:tcBorders>
            <w:noWrap w:val="0"/>
            <w:vAlign w:val="center"/>
          </w:tcPr>
          <w:p w14:paraId="7B20D456">
            <w:pPr>
              <w:keepNext w:val="0"/>
              <w:keepLines w:val="0"/>
              <w:pageBreakBefore w:val="0"/>
              <w:widowControl/>
              <w:suppressLineNumbers w:val="0"/>
              <w:kinsoku/>
              <w:wordWrap/>
              <w:overflowPunct/>
              <w:topLinePunct w:val="0"/>
              <w:autoSpaceDE/>
              <w:autoSpaceDN/>
              <w:bidi w:val="0"/>
              <w:spacing w:beforeAutospacing="0" w:afterAutospacing="0" w:line="460" w:lineRule="exact"/>
              <w:ind w:left="0" w:leftChars="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台</w:t>
            </w:r>
          </w:p>
        </w:tc>
        <w:tc>
          <w:tcPr>
            <w:tcW w:w="1214" w:type="dxa"/>
            <w:tcBorders>
              <w:top w:val="single" w:color="000000" w:sz="4" w:space="0"/>
              <w:left w:val="single" w:color="000000" w:sz="4" w:space="0"/>
              <w:bottom w:val="single" w:color="000000" w:sz="4" w:space="0"/>
              <w:right w:val="single" w:color="000000" w:sz="4" w:space="0"/>
            </w:tcBorders>
            <w:noWrap w:val="0"/>
            <w:vAlign w:val="center"/>
          </w:tcPr>
          <w:p w14:paraId="7C5B69DD">
            <w:pPr>
              <w:keepNext w:val="0"/>
              <w:keepLines w:val="0"/>
              <w:pageBreakBefore w:val="0"/>
              <w:widowControl/>
              <w:suppressLineNumbers w:val="0"/>
              <w:kinsoku/>
              <w:wordWrap/>
              <w:overflowPunct/>
              <w:topLinePunct w:val="0"/>
              <w:autoSpaceDE/>
              <w:autoSpaceDN/>
              <w:bidi w:val="0"/>
              <w:spacing w:beforeAutospacing="0" w:afterAutospacing="0" w:line="460" w:lineRule="exact"/>
              <w:ind w:left="0" w:leftChars="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w:t>
            </w:r>
          </w:p>
        </w:tc>
      </w:tr>
      <w:tr w14:paraId="69A25F1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5" w:hRule="atLeast"/>
          <w:jc w:val="center"/>
        </w:trPr>
        <w:tc>
          <w:tcPr>
            <w:tcW w:w="8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80E68A">
            <w:pPr>
              <w:keepNext w:val="0"/>
              <w:keepLines w:val="0"/>
              <w:pageBreakBefore w:val="0"/>
              <w:widowControl/>
              <w:suppressLineNumbers w:val="0"/>
              <w:kinsoku/>
              <w:wordWrap/>
              <w:overflowPunct/>
              <w:topLinePunct w:val="0"/>
              <w:autoSpaceDE/>
              <w:autoSpaceDN/>
              <w:bidi w:val="0"/>
              <w:spacing w:beforeAutospacing="0" w:afterAutospacing="0" w:line="460" w:lineRule="exact"/>
              <w:ind w:left="0" w:leftChars="0"/>
              <w:jc w:val="center"/>
              <w:textAlignment w:val="center"/>
              <w:rPr>
                <w:rFonts w:hint="eastAsia" w:ascii="宋体" w:hAnsi="宋体" w:eastAsia="宋体" w:cs="宋体"/>
                <w:i w:val="0"/>
                <w:iCs w:val="0"/>
                <w:color w:val="auto"/>
                <w:kern w:val="2"/>
                <w:sz w:val="24"/>
                <w:szCs w:val="24"/>
                <w:highlight w:val="none"/>
                <w:u w:val="none"/>
                <w:lang w:val="en-US" w:eastAsia="zh-CN" w:bidi="ar-SA"/>
              </w:rPr>
            </w:pPr>
            <w:r>
              <w:rPr>
                <w:rFonts w:hint="eastAsia" w:ascii="宋体" w:hAnsi="宋体" w:eastAsia="宋体" w:cs="宋体"/>
                <w:i w:val="0"/>
                <w:iCs w:val="0"/>
                <w:color w:val="auto"/>
                <w:kern w:val="0"/>
                <w:sz w:val="24"/>
                <w:szCs w:val="24"/>
                <w:highlight w:val="none"/>
                <w:u w:val="none"/>
                <w:lang w:val="en-US" w:eastAsia="zh-CN" w:bidi="ar"/>
              </w:rPr>
              <w:t>6</w:t>
            </w:r>
          </w:p>
        </w:tc>
        <w:tc>
          <w:tcPr>
            <w:tcW w:w="2255" w:type="dxa"/>
            <w:vMerge w:val="continue"/>
            <w:tcBorders>
              <w:left w:val="single" w:color="000000" w:sz="4" w:space="0"/>
              <w:right w:val="single" w:color="000000" w:sz="4" w:space="0"/>
            </w:tcBorders>
            <w:noWrap/>
            <w:vAlign w:val="center"/>
          </w:tcPr>
          <w:p w14:paraId="66FAAAB2">
            <w:pPr>
              <w:keepNext w:val="0"/>
              <w:keepLines w:val="0"/>
              <w:pageBreakBefore w:val="0"/>
              <w:widowControl/>
              <w:suppressLineNumbers w:val="0"/>
              <w:kinsoku/>
              <w:wordWrap/>
              <w:overflowPunct/>
              <w:topLinePunct w:val="0"/>
              <w:autoSpaceDE/>
              <w:autoSpaceDN/>
              <w:bidi w:val="0"/>
              <w:spacing w:beforeAutospacing="0" w:afterAutospacing="0" w:line="460" w:lineRule="exact"/>
              <w:ind w:left="0" w:leftChars="0"/>
              <w:jc w:val="center"/>
              <w:textAlignment w:val="center"/>
              <w:rPr>
                <w:rFonts w:hint="eastAsia" w:ascii="宋体" w:hAnsi="宋体" w:eastAsia="宋体" w:cs="宋体"/>
                <w:i w:val="0"/>
                <w:iCs w:val="0"/>
                <w:color w:val="auto"/>
                <w:kern w:val="0"/>
                <w:sz w:val="24"/>
                <w:szCs w:val="24"/>
                <w:highlight w:val="none"/>
                <w:u w:val="none"/>
                <w:lang w:val="en-US" w:eastAsia="zh-CN" w:bidi="ar"/>
              </w:rPr>
            </w:pPr>
          </w:p>
        </w:tc>
        <w:tc>
          <w:tcPr>
            <w:tcW w:w="2801" w:type="dxa"/>
            <w:tcBorders>
              <w:top w:val="single" w:color="000000" w:sz="4" w:space="0"/>
              <w:left w:val="single" w:color="000000" w:sz="4" w:space="0"/>
              <w:bottom w:val="single" w:color="000000" w:sz="4" w:space="0"/>
              <w:right w:val="single" w:color="000000" w:sz="4" w:space="0"/>
            </w:tcBorders>
            <w:noWrap/>
            <w:vAlign w:val="center"/>
          </w:tcPr>
          <w:p w14:paraId="214E76A0">
            <w:pPr>
              <w:keepNext w:val="0"/>
              <w:keepLines w:val="0"/>
              <w:pageBreakBefore w:val="0"/>
              <w:widowControl/>
              <w:suppressLineNumbers w:val="0"/>
              <w:kinsoku/>
              <w:wordWrap/>
              <w:overflowPunct/>
              <w:topLinePunct w:val="0"/>
              <w:autoSpaceDE/>
              <w:autoSpaceDN/>
              <w:bidi w:val="0"/>
              <w:spacing w:beforeAutospacing="0" w:afterAutospacing="0" w:line="460" w:lineRule="exact"/>
              <w:ind w:left="0" w:leftChars="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KYN28高压柜</w:t>
            </w:r>
          </w:p>
        </w:tc>
        <w:tc>
          <w:tcPr>
            <w:tcW w:w="1072" w:type="dxa"/>
            <w:tcBorders>
              <w:top w:val="single" w:color="000000" w:sz="4" w:space="0"/>
              <w:left w:val="single" w:color="000000" w:sz="4" w:space="0"/>
              <w:bottom w:val="single" w:color="000000" w:sz="4" w:space="0"/>
              <w:right w:val="single" w:color="000000" w:sz="4" w:space="0"/>
            </w:tcBorders>
            <w:noWrap w:val="0"/>
            <w:vAlign w:val="center"/>
          </w:tcPr>
          <w:p w14:paraId="498336FD">
            <w:pPr>
              <w:keepNext w:val="0"/>
              <w:keepLines w:val="0"/>
              <w:pageBreakBefore w:val="0"/>
              <w:widowControl/>
              <w:suppressLineNumbers w:val="0"/>
              <w:kinsoku/>
              <w:wordWrap/>
              <w:overflowPunct/>
              <w:topLinePunct w:val="0"/>
              <w:autoSpaceDE/>
              <w:autoSpaceDN/>
              <w:bidi w:val="0"/>
              <w:spacing w:beforeAutospacing="0" w:afterAutospacing="0" w:line="460" w:lineRule="exact"/>
              <w:ind w:left="0" w:leftChars="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台</w:t>
            </w:r>
          </w:p>
        </w:tc>
        <w:tc>
          <w:tcPr>
            <w:tcW w:w="1214" w:type="dxa"/>
            <w:tcBorders>
              <w:top w:val="single" w:color="000000" w:sz="4" w:space="0"/>
              <w:left w:val="single" w:color="000000" w:sz="4" w:space="0"/>
              <w:bottom w:val="single" w:color="000000" w:sz="4" w:space="0"/>
              <w:right w:val="single" w:color="000000" w:sz="4" w:space="0"/>
            </w:tcBorders>
            <w:noWrap w:val="0"/>
            <w:vAlign w:val="center"/>
          </w:tcPr>
          <w:p w14:paraId="735E3109">
            <w:pPr>
              <w:keepNext w:val="0"/>
              <w:keepLines w:val="0"/>
              <w:pageBreakBefore w:val="0"/>
              <w:widowControl/>
              <w:suppressLineNumbers w:val="0"/>
              <w:kinsoku/>
              <w:wordWrap/>
              <w:overflowPunct/>
              <w:topLinePunct w:val="0"/>
              <w:autoSpaceDE/>
              <w:autoSpaceDN/>
              <w:bidi w:val="0"/>
              <w:spacing w:beforeAutospacing="0" w:afterAutospacing="0" w:line="460" w:lineRule="exact"/>
              <w:ind w:left="0" w:leftChars="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7</w:t>
            </w:r>
          </w:p>
        </w:tc>
      </w:tr>
      <w:tr w14:paraId="40A039F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5" w:hRule="atLeast"/>
          <w:jc w:val="center"/>
        </w:trPr>
        <w:tc>
          <w:tcPr>
            <w:tcW w:w="8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40132A">
            <w:pPr>
              <w:keepNext w:val="0"/>
              <w:keepLines w:val="0"/>
              <w:pageBreakBefore w:val="0"/>
              <w:widowControl/>
              <w:suppressLineNumbers w:val="0"/>
              <w:kinsoku/>
              <w:wordWrap/>
              <w:overflowPunct/>
              <w:topLinePunct w:val="0"/>
              <w:autoSpaceDE/>
              <w:autoSpaceDN/>
              <w:bidi w:val="0"/>
              <w:spacing w:beforeAutospacing="0" w:afterAutospacing="0" w:line="460" w:lineRule="exact"/>
              <w:ind w:left="0" w:leftChars="0"/>
              <w:jc w:val="center"/>
              <w:textAlignment w:val="center"/>
              <w:rPr>
                <w:rFonts w:hint="eastAsia" w:ascii="宋体" w:hAnsi="宋体" w:eastAsia="宋体" w:cs="宋体"/>
                <w:i w:val="0"/>
                <w:iCs w:val="0"/>
                <w:color w:val="auto"/>
                <w:kern w:val="2"/>
                <w:sz w:val="24"/>
                <w:szCs w:val="24"/>
                <w:highlight w:val="none"/>
                <w:u w:val="none"/>
                <w:lang w:val="en-US" w:eastAsia="zh-CN" w:bidi="ar-SA"/>
              </w:rPr>
            </w:pPr>
            <w:r>
              <w:rPr>
                <w:rFonts w:hint="eastAsia" w:ascii="宋体" w:hAnsi="宋体" w:eastAsia="宋体" w:cs="宋体"/>
                <w:i w:val="0"/>
                <w:iCs w:val="0"/>
                <w:color w:val="auto"/>
                <w:kern w:val="0"/>
                <w:sz w:val="24"/>
                <w:szCs w:val="24"/>
                <w:highlight w:val="none"/>
                <w:u w:val="none"/>
                <w:lang w:val="en-US" w:eastAsia="zh-CN" w:bidi="ar"/>
              </w:rPr>
              <w:t>7</w:t>
            </w:r>
          </w:p>
        </w:tc>
        <w:tc>
          <w:tcPr>
            <w:tcW w:w="2255" w:type="dxa"/>
            <w:vMerge w:val="continue"/>
            <w:tcBorders>
              <w:left w:val="single" w:color="000000" w:sz="4" w:space="0"/>
              <w:right w:val="single" w:color="000000" w:sz="4" w:space="0"/>
            </w:tcBorders>
            <w:noWrap/>
            <w:vAlign w:val="center"/>
          </w:tcPr>
          <w:p w14:paraId="5241CFB7">
            <w:pPr>
              <w:keepNext w:val="0"/>
              <w:keepLines w:val="0"/>
              <w:pageBreakBefore w:val="0"/>
              <w:widowControl/>
              <w:suppressLineNumbers w:val="0"/>
              <w:kinsoku/>
              <w:wordWrap/>
              <w:overflowPunct/>
              <w:topLinePunct w:val="0"/>
              <w:autoSpaceDE/>
              <w:autoSpaceDN/>
              <w:bidi w:val="0"/>
              <w:spacing w:beforeAutospacing="0" w:afterAutospacing="0" w:line="460" w:lineRule="exact"/>
              <w:ind w:left="0" w:leftChars="0"/>
              <w:jc w:val="center"/>
              <w:textAlignment w:val="center"/>
              <w:rPr>
                <w:rFonts w:hint="eastAsia" w:ascii="宋体" w:hAnsi="宋体" w:eastAsia="宋体" w:cs="宋体"/>
                <w:i w:val="0"/>
                <w:iCs w:val="0"/>
                <w:color w:val="auto"/>
                <w:kern w:val="0"/>
                <w:sz w:val="24"/>
                <w:szCs w:val="24"/>
                <w:highlight w:val="none"/>
                <w:u w:val="none"/>
                <w:lang w:val="en-US" w:eastAsia="zh-CN" w:bidi="ar"/>
              </w:rPr>
            </w:pPr>
          </w:p>
        </w:tc>
        <w:tc>
          <w:tcPr>
            <w:tcW w:w="2801" w:type="dxa"/>
            <w:tcBorders>
              <w:top w:val="single" w:color="000000" w:sz="4" w:space="0"/>
              <w:left w:val="single" w:color="000000" w:sz="4" w:space="0"/>
              <w:bottom w:val="single" w:color="000000" w:sz="4" w:space="0"/>
              <w:right w:val="single" w:color="000000" w:sz="4" w:space="0"/>
            </w:tcBorders>
            <w:noWrap/>
            <w:vAlign w:val="center"/>
          </w:tcPr>
          <w:p w14:paraId="3F6AE54C">
            <w:pPr>
              <w:keepNext w:val="0"/>
              <w:keepLines w:val="0"/>
              <w:pageBreakBefore w:val="0"/>
              <w:widowControl/>
              <w:suppressLineNumbers w:val="0"/>
              <w:kinsoku/>
              <w:wordWrap/>
              <w:overflowPunct/>
              <w:topLinePunct w:val="0"/>
              <w:autoSpaceDE/>
              <w:autoSpaceDN/>
              <w:bidi w:val="0"/>
              <w:spacing w:beforeAutospacing="0" w:afterAutospacing="0" w:line="460" w:lineRule="exact"/>
              <w:ind w:left="0" w:leftChars="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直流屏</w:t>
            </w:r>
          </w:p>
        </w:tc>
        <w:tc>
          <w:tcPr>
            <w:tcW w:w="1072" w:type="dxa"/>
            <w:tcBorders>
              <w:top w:val="single" w:color="000000" w:sz="4" w:space="0"/>
              <w:left w:val="single" w:color="000000" w:sz="4" w:space="0"/>
              <w:bottom w:val="single" w:color="000000" w:sz="4" w:space="0"/>
              <w:right w:val="single" w:color="000000" w:sz="4" w:space="0"/>
            </w:tcBorders>
            <w:noWrap w:val="0"/>
            <w:vAlign w:val="center"/>
          </w:tcPr>
          <w:p w14:paraId="243C2C87">
            <w:pPr>
              <w:keepNext w:val="0"/>
              <w:keepLines w:val="0"/>
              <w:pageBreakBefore w:val="0"/>
              <w:widowControl/>
              <w:suppressLineNumbers w:val="0"/>
              <w:kinsoku/>
              <w:wordWrap/>
              <w:overflowPunct/>
              <w:topLinePunct w:val="0"/>
              <w:autoSpaceDE/>
              <w:autoSpaceDN/>
              <w:bidi w:val="0"/>
              <w:spacing w:beforeAutospacing="0" w:afterAutospacing="0" w:line="460" w:lineRule="exact"/>
              <w:ind w:left="0" w:leftChars="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台</w:t>
            </w:r>
          </w:p>
        </w:tc>
        <w:tc>
          <w:tcPr>
            <w:tcW w:w="1214" w:type="dxa"/>
            <w:tcBorders>
              <w:top w:val="single" w:color="000000" w:sz="4" w:space="0"/>
              <w:left w:val="single" w:color="000000" w:sz="4" w:space="0"/>
              <w:bottom w:val="single" w:color="000000" w:sz="4" w:space="0"/>
              <w:right w:val="single" w:color="000000" w:sz="4" w:space="0"/>
            </w:tcBorders>
            <w:noWrap w:val="0"/>
            <w:vAlign w:val="center"/>
          </w:tcPr>
          <w:p w14:paraId="4F3409A3">
            <w:pPr>
              <w:keepNext w:val="0"/>
              <w:keepLines w:val="0"/>
              <w:pageBreakBefore w:val="0"/>
              <w:widowControl/>
              <w:suppressLineNumbers w:val="0"/>
              <w:kinsoku/>
              <w:wordWrap/>
              <w:overflowPunct/>
              <w:topLinePunct w:val="0"/>
              <w:autoSpaceDE/>
              <w:autoSpaceDN/>
              <w:bidi w:val="0"/>
              <w:spacing w:beforeAutospacing="0" w:afterAutospacing="0" w:line="460" w:lineRule="exact"/>
              <w:ind w:left="0" w:leftChars="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w:t>
            </w:r>
          </w:p>
        </w:tc>
      </w:tr>
      <w:tr w14:paraId="7452205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5" w:hRule="atLeast"/>
          <w:jc w:val="center"/>
        </w:trPr>
        <w:tc>
          <w:tcPr>
            <w:tcW w:w="8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52F691">
            <w:pPr>
              <w:keepNext w:val="0"/>
              <w:keepLines w:val="0"/>
              <w:pageBreakBefore w:val="0"/>
              <w:widowControl/>
              <w:suppressLineNumbers w:val="0"/>
              <w:kinsoku/>
              <w:wordWrap/>
              <w:overflowPunct/>
              <w:topLinePunct w:val="0"/>
              <w:autoSpaceDE/>
              <w:autoSpaceDN/>
              <w:bidi w:val="0"/>
              <w:spacing w:beforeAutospacing="0" w:afterAutospacing="0" w:line="460" w:lineRule="exact"/>
              <w:ind w:left="0" w:leftChars="0"/>
              <w:jc w:val="center"/>
              <w:textAlignment w:val="center"/>
              <w:rPr>
                <w:rFonts w:hint="eastAsia" w:ascii="宋体" w:hAnsi="宋体" w:eastAsia="宋体" w:cs="宋体"/>
                <w:i w:val="0"/>
                <w:iCs w:val="0"/>
                <w:color w:val="auto"/>
                <w:kern w:val="2"/>
                <w:sz w:val="24"/>
                <w:szCs w:val="24"/>
                <w:highlight w:val="none"/>
                <w:u w:val="none"/>
                <w:lang w:val="en-US" w:eastAsia="zh-CN" w:bidi="ar-SA"/>
              </w:rPr>
            </w:pPr>
            <w:r>
              <w:rPr>
                <w:rFonts w:hint="eastAsia" w:ascii="宋体" w:hAnsi="宋体" w:eastAsia="宋体" w:cs="宋体"/>
                <w:i w:val="0"/>
                <w:iCs w:val="0"/>
                <w:color w:val="auto"/>
                <w:kern w:val="0"/>
                <w:sz w:val="24"/>
                <w:szCs w:val="24"/>
                <w:highlight w:val="none"/>
                <w:u w:val="none"/>
                <w:lang w:val="en-US" w:eastAsia="zh-CN" w:bidi="ar"/>
              </w:rPr>
              <w:t>8</w:t>
            </w:r>
          </w:p>
        </w:tc>
        <w:tc>
          <w:tcPr>
            <w:tcW w:w="2255" w:type="dxa"/>
            <w:vMerge w:val="continue"/>
            <w:tcBorders>
              <w:left w:val="single" w:color="000000" w:sz="4" w:space="0"/>
              <w:right w:val="single" w:color="000000" w:sz="4" w:space="0"/>
            </w:tcBorders>
            <w:noWrap/>
            <w:vAlign w:val="center"/>
          </w:tcPr>
          <w:p w14:paraId="11267195">
            <w:pPr>
              <w:keepNext w:val="0"/>
              <w:keepLines w:val="0"/>
              <w:pageBreakBefore w:val="0"/>
              <w:widowControl/>
              <w:suppressLineNumbers w:val="0"/>
              <w:kinsoku/>
              <w:wordWrap/>
              <w:overflowPunct/>
              <w:topLinePunct w:val="0"/>
              <w:autoSpaceDE/>
              <w:autoSpaceDN/>
              <w:bidi w:val="0"/>
              <w:spacing w:beforeAutospacing="0" w:afterAutospacing="0" w:line="460" w:lineRule="exact"/>
              <w:ind w:left="0" w:leftChars="0"/>
              <w:jc w:val="center"/>
              <w:textAlignment w:val="center"/>
              <w:rPr>
                <w:rFonts w:hint="eastAsia" w:ascii="宋体" w:hAnsi="宋体" w:eastAsia="宋体" w:cs="宋体"/>
                <w:i w:val="0"/>
                <w:iCs w:val="0"/>
                <w:color w:val="auto"/>
                <w:kern w:val="0"/>
                <w:sz w:val="24"/>
                <w:szCs w:val="24"/>
                <w:highlight w:val="none"/>
                <w:u w:val="none"/>
                <w:lang w:val="en-US" w:eastAsia="zh-CN" w:bidi="ar"/>
              </w:rPr>
            </w:pPr>
          </w:p>
        </w:tc>
        <w:tc>
          <w:tcPr>
            <w:tcW w:w="2801" w:type="dxa"/>
            <w:tcBorders>
              <w:top w:val="single" w:color="000000" w:sz="4" w:space="0"/>
              <w:left w:val="single" w:color="000000" w:sz="4" w:space="0"/>
              <w:bottom w:val="single" w:color="000000" w:sz="4" w:space="0"/>
              <w:right w:val="single" w:color="000000" w:sz="4" w:space="0"/>
            </w:tcBorders>
            <w:noWrap/>
            <w:vAlign w:val="center"/>
          </w:tcPr>
          <w:p w14:paraId="692CCFF8">
            <w:pPr>
              <w:keepNext w:val="0"/>
              <w:keepLines w:val="0"/>
              <w:pageBreakBefore w:val="0"/>
              <w:widowControl/>
              <w:suppressLineNumbers w:val="0"/>
              <w:kinsoku/>
              <w:wordWrap/>
              <w:overflowPunct/>
              <w:topLinePunct w:val="0"/>
              <w:autoSpaceDE/>
              <w:autoSpaceDN/>
              <w:bidi w:val="0"/>
              <w:spacing w:beforeAutospacing="0" w:afterAutospacing="0" w:line="460" w:lineRule="exact"/>
              <w:ind w:left="0" w:leftChars="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GCS配电柜</w:t>
            </w:r>
          </w:p>
        </w:tc>
        <w:tc>
          <w:tcPr>
            <w:tcW w:w="1072" w:type="dxa"/>
            <w:tcBorders>
              <w:top w:val="single" w:color="000000" w:sz="4" w:space="0"/>
              <w:left w:val="single" w:color="000000" w:sz="4" w:space="0"/>
              <w:bottom w:val="single" w:color="000000" w:sz="4" w:space="0"/>
              <w:right w:val="single" w:color="000000" w:sz="4" w:space="0"/>
            </w:tcBorders>
            <w:noWrap w:val="0"/>
            <w:vAlign w:val="center"/>
          </w:tcPr>
          <w:p w14:paraId="1C682226">
            <w:pPr>
              <w:keepNext w:val="0"/>
              <w:keepLines w:val="0"/>
              <w:pageBreakBefore w:val="0"/>
              <w:widowControl/>
              <w:suppressLineNumbers w:val="0"/>
              <w:kinsoku/>
              <w:wordWrap/>
              <w:overflowPunct/>
              <w:topLinePunct w:val="0"/>
              <w:autoSpaceDE/>
              <w:autoSpaceDN/>
              <w:bidi w:val="0"/>
              <w:spacing w:beforeAutospacing="0" w:afterAutospacing="0" w:line="460" w:lineRule="exact"/>
              <w:ind w:left="0" w:leftChars="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台</w:t>
            </w:r>
          </w:p>
        </w:tc>
        <w:tc>
          <w:tcPr>
            <w:tcW w:w="1214" w:type="dxa"/>
            <w:tcBorders>
              <w:top w:val="single" w:color="000000" w:sz="4" w:space="0"/>
              <w:left w:val="single" w:color="000000" w:sz="4" w:space="0"/>
              <w:bottom w:val="single" w:color="000000" w:sz="4" w:space="0"/>
              <w:right w:val="single" w:color="000000" w:sz="4" w:space="0"/>
            </w:tcBorders>
            <w:noWrap w:val="0"/>
            <w:vAlign w:val="center"/>
          </w:tcPr>
          <w:p w14:paraId="4CB41732">
            <w:pPr>
              <w:keepNext w:val="0"/>
              <w:keepLines w:val="0"/>
              <w:pageBreakBefore w:val="0"/>
              <w:widowControl/>
              <w:suppressLineNumbers w:val="0"/>
              <w:kinsoku/>
              <w:wordWrap/>
              <w:overflowPunct/>
              <w:topLinePunct w:val="0"/>
              <w:autoSpaceDE/>
              <w:autoSpaceDN/>
              <w:bidi w:val="0"/>
              <w:spacing w:beforeAutospacing="0" w:afterAutospacing="0" w:line="460" w:lineRule="exact"/>
              <w:ind w:left="0" w:leftChars="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20</w:t>
            </w:r>
          </w:p>
        </w:tc>
      </w:tr>
      <w:tr w14:paraId="1B92EE2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5" w:hRule="atLeast"/>
          <w:jc w:val="center"/>
        </w:trPr>
        <w:tc>
          <w:tcPr>
            <w:tcW w:w="8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365A33">
            <w:pPr>
              <w:keepNext w:val="0"/>
              <w:keepLines w:val="0"/>
              <w:pageBreakBefore w:val="0"/>
              <w:widowControl/>
              <w:suppressLineNumbers w:val="0"/>
              <w:kinsoku/>
              <w:wordWrap/>
              <w:overflowPunct/>
              <w:topLinePunct w:val="0"/>
              <w:autoSpaceDE/>
              <w:autoSpaceDN/>
              <w:bidi w:val="0"/>
              <w:spacing w:beforeAutospacing="0" w:afterAutospacing="0" w:line="460" w:lineRule="exact"/>
              <w:ind w:left="0" w:leftChars="0"/>
              <w:jc w:val="center"/>
              <w:textAlignment w:val="center"/>
              <w:rPr>
                <w:rFonts w:hint="eastAsia" w:ascii="宋体" w:hAnsi="宋体" w:eastAsia="宋体" w:cs="宋体"/>
                <w:i w:val="0"/>
                <w:iCs w:val="0"/>
                <w:color w:val="auto"/>
                <w:kern w:val="2"/>
                <w:sz w:val="24"/>
                <w:szCs w:val="24"/>
                <w:highlight w:val="none"/>
                <w:u w:val="none"/>
                <w:lang w:val="en-US" w:eastAsia="zh-CN" w:bidi="ar-SA"/>
              </w:rPr>
            </w:pPr>
            <w:r>
              <w:rPr>
                <w:rFonts w:hint="eastAsia" w:ascii="宋体" w:hAnsi="宋体" w:eastAsia="宋体" w:cs="宋体"/>
                <w:i w:val="0"/>
                <w:iCs w:val="0"/>
                <w:color w:val="auto"/>
                <w:kern w:val="0"/>
                <w:sz w:val="24"/>
                <w:szCs w:val="24"/>
                <w:highlight w:val="none"/>
                <w:u w:val="none"/>
                <w:lang w:val="en-US" w:eastAsia="zh-CN" w:bidi="ar"/>
              </w:rPr>
              <w:t>9</w:t>
            </w:r>
          </w:p>
        </w:tc>
        <w:tc>
          <w:tcPr>
            <w:tcW w:w="2255" w:type="dxa"/>
            <w:vMerge w:val="continue"/>
            <w:tcBorders>
              <w:left w:val="single" w:color="000000" w:sz="4" w:space="0"/>
              <w:bottom w:val="single" w:color="000000" w:sz="4" w:space="0"/>
              <w:right w:val="single" w:color="000000" w:sz="4" w:space="0"/>
            </w:tcBorders>
            <w:noWrap/>
            <w:vAlign w:val="center"/>
          </w:tcPr>
          <w:p w14:paraId="29360D9B">
            <w:pPr>
              <w:keepNext w:val="0"/>
              <w:keepLines w:val="0"/>
              <w:pageBreakBefore w:val="0"/>
              <w:widowControl/>
              <w:suppressLineNumbers w:val="0"/>
              <w:kinsoku/>
              <w:wordWrap/>
              <w:overflowPunct/>
              <w:topLinePunct w:val="0"/>
              <w:autoSpaceDE/>
              <w:autoSpaceDN/>
              <w:bidi w:val="0"/>
              <w:spacing w:beforeAutospacing="0" w:afterAutospacing="0" w:line="460" w:lineRule="exact"/>
              <w:ind w:left="0" w:leftChars="0"/>
              <w:jc w:val="center"/>
              <w:textAlignment w:val="center"/>
              <w:rPr>
                <w:rFonts w:hint="eastAsia" w:ascii="宋体" w:hAnsi="宋体" w:eastAsia="宋体" w:cs="宋体"/>
                <w:i w:val="0"/>
                <w:iCs w:val="0"/>
                <w:color w:val="auto"/>
                <w:kern w:val="0"/>
                <w:sz w:val="24"/>
                <w:szCs w:val="24"/>
                <w:highlight w:val="none"/>
                <w:u w:val="none"/>
                <w:lang w:val="en-US" w:eastAsia="zh-CN" w:bidi="ar"/>
              </w:rPr>
            </w:pPr>
          </w:p>
        </w:tc>
        <w:tc>
          <w:tcPr>
            <w:tcW w:w="2801" w:type="dxa"/>
            <w:tcBorders>
              <w:top w:val="single" w:color="000000" w:sz="4" w:space="0"/>
              <w:left w:val="single" w:color="000000" w:sz="4" w:space="0"/>
              <w:bottom w:val="single" w:color="000000" w:sz="4" w:space="0"/>
              <w:right w:val="single" w:color="000000" w:sz="4" w:space="0"/>
            </w:tcBorders>
            <w:noWrap/>
            <w:vAlign w:val="center"/>
          </w:tcPr>
          <w:p w14:paraId="56293A6A">
            <w:pPr>
              <w:keepNext w:val="0"/>
              <w:keepLines w:val="0"/>
              <w:pageBreakBefore w:val="0"/>
              <w:widowControl/>
              <w:suppressLineNumbers w:val="0"/>
              <w:kinsoku/>
              <w:wordWrap/>
              <w:overflowPunct/>
              <w:topLinePunct w:val="0"/>
              <w:autoSpaceDE/>
              <w:autoSpaceDN/>
              <w:bidi w:val="0"/>
              <w:spacing w:beforeAutospacing="0" w:afterAutospacing="0" w:line="460" w:lineRule="exact"/>
              <w:ind w:left="0" w:leftChars="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600KW发电机</w:t>
            </w:r>
          </w:p>
        </w:tc>
        <w:tc>
          <w:tcPr>
            <w:tcW w:w="1072" w:type="dxa"/>
            <w:tcBorders>
              <w:top w:val="single" w:color="000000" w:sz="4" w:space="0"/>
              <w:left w:val="single" w:color="000000" w:sz="4" w:space="0"/>
              <w:bottom w:val="single" w:color="000000" w:sz="4" w:space="0"/>
              <w:right w:val="single" w:color="000000" w:sz="4" w:space="0"/>
            </w:tcBorders>
            <w:noWrap w:val="0"/>
            <w:vAlign w:val="center"/>
          </w:tcPr>
          <w:p w14:paraId="6F222404">
            <w:pPr>
              <w:keepNext w:val="0"/>
              <w:keepLines w:val="0"/>
              <w:pageBreakBefore w:val="0"/>
              <w:widowControl/>
              <w:suppressLineNumbers w:val="0"/>
              <w:kinsoku/>
              <w:wordWrap/>
              <w:overflowPunct/>
              <w:topLinePunct w:val="0"/>
              <w:autoSpaceDE/>
              <w:autoSpaceDN/>
              <w:bidi w:val="0"/>
              <w:spacing w:beforeAutospacing="0" w:afterAutospacing="0" w:line="460" w:lineRule="exact"/>
              <w:ind w:left="0" w:leftChars="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台</w:t>
            </w:r>
          </w:p>
        </w:tc>
        <w:tc>
          <w:tcPr>
            <w:tcW w:w="1214" w:type="dxa"/>
            <w:tcBorders>
              <w:top w:val="single" w:color="000000" w:sz="4" w:space="0"/>
              <w:left w:val="single" w:color="000000" w:sz="4" w:space="0"/>
              <w:bottom w:val="single" w:color="000000" w:sz="4" w:space="0"/>
              <w:right w:val="single" w:color="000000" w:sz="4" w:space="0"/>
            </w:tcBorders>
            <w:noWrap w:val="0"/>
            <w:vAlign w:val="center"/>
          </w:tcPr>
          <w:p w14:paraId="7E33ECB0">
            <w:pPr>
              <w:keepNext w:val="0"/>
              <w:keepLines w:val="0"/>
              <w:pageBreakBefore w:val="0"/>
              <w:widowControl/>
              <w:suppressLineNumbers w:val="0"/>
              <w:kinsoku/>
              <w:wordWrap/>
              <w:overflowPunct/>
              <w:topLinePunct w:val="0"/>
              <w:autoSpaceDE/>
              <w:autoSpaceDN/>
              <w:bidi w:val="0"/>
              <w:spacing w:beforeAutospacing="0" w:afterAutospacing="0" w:line="460" w:lineRule="exact"/>
              <w:ind w:left="0" w:leftChars="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w:t>
            </w:r>
          </w:p>
        </w:tc>
      </w:tr>
      <w:tr w14:paraId="62096F2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5" w:hRule="atLeast"/>
          <w:jc w:val="center"/>
        </w:trPr>
        <w:tc>
          <w:tcPr>
            <w:tcW w:w="8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9B8568">
            <w:pPr>
              <w:keepNext w:val="0"/>
              <w:keepLines w:val="0"/>
              <w:pageBreakBefore w:val="0"/>
              <w:widowControl/>
              <w:suppressLineNumbers w:val="0"/>
              <w:kinsoku/>
              <w:wordWrap/>
              <w:overflowPunct/>
              <w:topLinePunct w:val="0"/>
              <w:autoSpaceDE/>
              <w:autoSpaceDN/>
              <w:bidi w:val="0"/>
              <w:spacing w:beforeAutospacing="0" w:afterAutospacing="0" w:line="460" w:lineRule="exact"/>
              <w:ind w:left="0" w:leftChars="0"/>
              <w:jc w:val="center"/>
              <w:textAlignment w:val="center"/>
              <w:rPr>
                <w:rFonts w:hint="eastAsia" w:ascii="宋体" w:hAnsi="宋体" w:eastAsia="宋体" w:cs="宋体"/>
                <w:i w:val="0"/>
                <w:iCs w:val="0"/>
                <w:color w:val="auto"/>
                <w:kern w:val="2"/>
                <w:sz w:val="24"/>
                <w:szCs w:val="24"/>
                <w:highlight w:val="none"/>
                <w:u w:val="none"/>
                <w:lang w:val="en-US" w:eastAsia="zh-CN" w:bidi="ar-SA"/>
              </w:rPr>
            </w:pPr>
            <w:r>
              <w:rPr>
                <w:rFonts w:hint="eastAsia" w:ascii="宋体" w:hAnsi="宋体" w:eastAsia="宋体" w:cs="宋体"/>
                <w:i w:val="0"/>
                <w:iCs w:val="0"/>
                <w:color w:val="auto"/>
                <w:kern w:val="0"/>
                <w:sz w:val="24"/>
                <w:szCs w:val="24"/>
                <w:highlight w:val="none"/>
                <w:u w:val="none"/>
                <w:lang w:val="en-US" w:eastAsia="zh-CN" w:bidi="ar"/>
              </w:rPr>
              <w:t>10</w:t>
            </w:r>
          </w:p>
        </w:tc>
        <w:tc>
          <w:tcPr>
            <w:tcW w:w="2255" w:type="dxa"/>
            <w:tcBorders>
              <w:top w:val="single" w:color="000000" w:sz="4" w:space="0"/>
              <w:left w:val="single" w:color="000000" w:sz="4" w:space="0"/>
              <w:bottom w:val="single" w:color="000000" w:sz="4" w:space="0"/>
              <w:right w:val="single" w:color="000000" w:sz="4" w:space="0"/>
            </w:tcBorders>
            <w:noWrap/>
            <w:vAlign w:val="center"/>
          </w:tcPr>
          <w:p w14:paraId="25B0EA10">
            <w:pPr>
              <w:keepNext w:val="0"/>
              <w:keepLines w:val="0"/>
              <w:pageBreakBefore w:val="0"/>
              <w:widowControl/>
              <w:suppressLineNumbers w:val="0"/>
              <w:kinsoku/>
              <w:wordWrap/>
              <w:overflowPunct/>
              <w:topLinePunct w:val="0"/>
              <w:autoSpaceDE/>
              <w:autoSpaceDN/>
              <w:bidi w:val="0"/>
              <w:spacing w:beforeAutospacing="0" w:afterAutospacing="0" w:line="460" w:lineRule="exact"/>
              <w:ind w:left="0" w:leftChars="0"/>
              <w:jc w:val="center"/>
              <w:textAlignment w:val="center"/>
              <w:rPr>
                <w:rFonts w:hint="eastAsia" w:ascii="宋体" w:hAnsi="宋体" w:eastAsia="宋体" w:cs="宋体"/>
                <w:i w:val="0"/>
                <w:iCs w:val="0"/>
                <w:color w:val="auto"/>
                <w:kern w:val="0"/>
                <w:sz w:val="24"/>
                <w:szCs w:val="24"/>
                <w:highlight w:val="none"/>
                <w:u w:val="none"/>
                <w:lang w:val="en-US" w:eastAsia="zh-CN" w:bidi="ar"/>
              </w:rPr>
            </w:pPr>
            <w:r>
              <w:rPr>
                <w:rFonts w:hint="eastAsia" w:ascii="宋体" w:hAnsi="宋体" w:eastAsia="宋体" w:cs="宋体"/>
                <w:i w:val="0"/>
                <w:iCs w:val="0"/>
                <w:color w:val="auto"/>
                <w:kern w:val="0"/>
                <w:sz w:val="24"/>
                <w:szCs w:val="24"/>
                <w:highlight w:val="none"/>
                <w:u w:val="none"/>
                <w:lang w:val="en-US" w:eastAsia="zh-CN" w:bidi="ar"/>
              </w:rPr>
              <w:t>高压柜及变压器</w:t>
            </w:r>
          </w:p>
        </w:tc>
        <w:tc>
          <w:tcPr>
            <w:tcW w:w="2801" w:type="dxa"/>
            <w:tcBorders>
              <w:top w:val="single" w:color="000000" w:sz="4" w:space="0"/>
              <w:left w:val="single" w:color="000000" w:sz="4" w:space="0"/>
              <w:bottom w:val="single" w:color="000000" w:sz="4" w:space="0"/>
              <w:right w:val="single" w:color="000000" w:sz="4" w:space="0"/>
            </w:tcBorders>
            <w:noWrap/>
            <w:vAlign w:val="center"/>
          </w:tcPr>
          <w:p w14:paraId="4BF3CB35">
            <w:pPr>
              <w:keepNext w:val="0"/>
              <w:keepLines w:val="0"/>
              <w:pageBreakBefore w:val="0"/>
              <w:widowControl/>
              <w:suppressLineNumbers w:val="0"/>
              <w:kinsoku/>
              <w:wordWrap/>
              <w:overflowPunct/>
              <w:topLinePunct w:val="0"/>
              <w:autoSpaceDE/>
              <w:autoSpaceDN/>
              <w:bidi w:val="0"/>
              <w:spacing w:beforeAutospacing="0" w:afterAutospacing="0" w:line="460" w:lineRule="exact"/>
              <w:ind w:left="0" w:leftChars="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10KV设备试验费</w:t>
            </w:r>
          </w:p>
        </w:tc>
        <w:tc>
          <w:tcPr>
            <w:tcW w:w="1072" w:type="dxa"/>
            <w:tcBorders>
              <w:top w:val="single" w:color="000000" w:sz="4" w:space="0"/>
              <w:left w:val="single" w:color="000000" w:sz="4" w:space="0"/>
              <w:bottom w:val="single" w:color="000000" w:sz="4" w:space="0"/>
              <w:right w:val="single" w:color="000000" w:sz="4" w:space="0"/>
            </w:tcBorders>
            <w:noWrap w:val="0"/>
            <w:vAlign w:val="center"/>
          </w:tcPr>
          <w:p w14:paraId="36586393">
            <w:pPr>
              <w:keepNext w:val="0"/>
              <w:keepLines w:val="0"/>
              <w:pageBreakBefore w:val="0"/>
              <w:widowControl/>
              <w:suppressLineNumbers w:val="0"/>
              <w:kinsoku/>
              <w:wordWrap/>
              <w:overflowPunct/>
              <w:topLinePunct w:val="0"/>
              <w:autoSpaceDE/>
              <w:autoSpaceDN/>
              <w:bidi w:val="0"/>
              <w:spacing w:beforeAutospacing="0" w:afterAutospacing="0" w:line="460" w:lineRule="exact"/>
              <w:ind w:left="0" w:leftChars="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批</w:t>
            </w:r>
          </w:p>
        </w:tc>
        <w:tc>
          <w:tcPr>
            <w:tcW w:w="1214" w:type="dxa"/>
            <w:tcBorders>
              <w:top w:val="single" w:color="000000" w:sz="4" w:space="0"/>
              <w:left w:val="single" w:color="000000" w:sz="4" w:space="0"/>
              <w:bottom w:val="single" w:color="000000" w:sz="4" w:space="0"/>
              <w:right w:val="single" w:color="000000" w:sz="4" w:space="0"/>
            </w:tcBorders>
            <w:noWrap w:val="0"/>
            <w:vAlign w:val="center"/>
          </w:tcPr>
          <w:p w14:paraId="5BC02074">
            <w:pPr>
              <w:keepNext w:val="0"/>
              <w:keepLines w:val="0"/>
              <w:pageBreakBefore w:val="0"/>
              <w:widowControl/>
              <w:suppressLineNumbers w:val="0"/>
              <w:kinsoku/>
              <w:wordWrap/>
              <w:overflowPunct/>
              <w:topLinePunct w:val="0"/>
              <w:autoSpaceDE/>
              <w:autoSpaceDN/>
              <w:bidi w:val="0"/>
              <w:spacing w:beforeAutospacing="0" w:afterAutospacing="0" w:line="460" w:lineRule="exact"/>
              <w:ind w:left="0" w:leftChars="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w:t>
            </w:r>
          </w:p>
        </w:tc>
      </w:tr>
    </w:tbl>
    <w:p w14:paraId="6365E852">
      <w:pPr>
        <w:keepNext w:val="0"/>
        <w:keepLines w:val="0"/>
        <w:pageBreakBefore w:val="0"/>
        <w:numPr>
          <w:ilvl w:val="0"/>
          <w:numId w:val="0"/>
        </w:numPr>
        <w:kinsoku/>
        <w:wordWrap/>
        <w:overflowPunct/>
        <w:topLinePunct w:val="0"/>
        <w:autoSpaceDE/>
        <w:autoSpaceDN/>
        <w:bidi w:val="0"/>
        <w:adjustRightInd/>
        <w:snapToGrid w:val="0"/>
        <w:spacing w:beforeAutospacing="0" w:afterAutospacing="0" w:line="540" w:lineRule="exact"/>
        <w:ind w:left="0" w:leftChars="0" w:firstLine="482" w:firstLineChars="200"/>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b/>
          <w:bCs/>
          <w:color w:val="auto"/>
          <w:kern w:val="2"/>
          <w:sz w:val="24"/>
          <w:szCs w:val="24"/>
          <w:highlight w:val="none"/>
          <w:lang w:val="en-US" w:eastAsia="zh-CN" w:bidi="ar"/>
        </w:rPr>
        <w:t>二、服务内容：</w:t>
      </w:r>
      <w:r>
        <w:rPr>
          <w:rFonts w:hint="eastAsia" w:ascii="宋体" w:hAnsi="宋体" w:eastAsia="宋体" w:cs="宋体"/>
          <w:color w:val="auto"/>
          <w:kern w:val="2"/>
          <w:sz w:val="24"/>
          <w:szCs w:val="24"/>
          <w:highlight w:val="none"/>
          <w:lang w:val="en-US" w:eastAsia="zh-CN" w:bidi="ar-SA"/>
        </w:rPr>
        <w:t>在医院总务科的领导下，负责医院电力系统及设备的日常维护保养检测工作，保证设备正常运行，并做好电力应急抢修工作。同时，做好电力系统及设备检测维保相关制度文件及表格填写等工作。</w:t>
      </w:r>
    </w:p>
    <w:p w14:paraId="7841C792">
      <w:pPr>
        <w:keepNext w:val="0"/>
        <w:keepLines w:val="0"/>
        <w:pageBreakBefore w:val="0"/>
        <w:numPr>
          <w:ilvl w:val="0"/>
          <w:numId w:val="0"/>
        </w:numPr>
        <w:kinsoku/>
        <w:wordWrap/>
        <w:overflowPunct/>
        <w:topLinePunct w:val="0"/>
        <w:autoSpaceDE/>
        <w:autoSpaceDN/>
        <w:bidi w:val="0"/>
        <w:adjustRightInd/>
        <w:snapToGrid w:val="0"/>
        <w:spacing w:beforeAutospacing="0" w:afterAutospacing="0" w:line="540" w:lineRule="exact"/>
        <w:ind w:left="0" w:leftChars="0" w:firstLine="482" w:firstLineChars="200"/>
        <w:textAlignment w:val="auto"/>
        <w:rPr>
          <w:rFonts w:hint="eastAsia" w:ascii="宋体" w:hAnsi="宋体" w:eastAsia="宋体" w:cs="宋体"/>
          <w:b/>
          <w:bCs/>
          <w:color w:val="auto"/>
          <w:kern w:val="2"/>
          <w:sz w:val="24"/>
          <w:szCs w:val="24"/>
          <w:highlight w:val="none"/>
          <w:lang w:val="en-US" w:eastAsia="zh-CN" w:bidi="ar-SA"/>
        </w:rPr>
      </w:pPr>
      <w:r>
        <w:rPr>
          <w:rFonts w:hint="eastAsia" w:ascii="宋体" w:hAnsi="宋体" w:eastAsia="宋体" w:cs="宋体"/>
          <w:b/>
          <w:bCs/>
          <w:color w:val="auto"/>
          <w:kern w:val="2"/>
          <w:sz w:val="24"/>
          <w:szCs w:val="24"/>
          <w:highlight w:val="none"/>
          <w:lang w:val="en-US" w:eastAsia="zh-CN" w:bidi="ar-SA"/>
        </w:rPr>
        <w:t>三、对医技住院大楼高低压配电设施的直流屏柜组</w:t>
      </w:r>
      <w:r>
        <w:rPr>
          <w:rFonts w:hint="eastAsia" w:ascii="宋体" w:hAnsi="宋体" w:cs="宋体"/>
          <w:b/>
          <w:bCs/>
          <w:color w:val="auto"/>
          <w:kern w:val="2"/>
          <w:sz w:val="24"/>
          <w:szCs w:val="24"/>
          <w:highlight w:val="none"/>
          <w:lang w:val="en-US" w:eastAsia="zh-CN" w:bidi="ar-SA"/>
        </w:rPr>
        <w:t>进行维护</w:t>
      </w:r>
      <w:r>
        <w:rPr>
          <w:rFonts w:hint="eastAsia" w:ascii="宋体" w:hAnsi="宋体" w:eastAsia="宋体" w:cs="宋体"/>
          <w:b/>
          <w:bCs/>
          <w:color w:val="auto"/>
          <w:kern w:val="2"/>
          <w:sz w:val="24"/>
          <w:szCs w:val="24"/>
          <w:highlight w:val="none"/>
          <w:lang w:val="en-US" w:eastAsia="zh-CN" w:bidi="ar-SA"/>
        </w:rPr>
        <w:t>。</w:t>
      </w:r>
    </w:p>
    <w:p w14:paraId="74CD4933">
      <w:pPr>
        <w:keepNext w:val="0"/>
        <w:keepLines w:val="0"/>
        <w:pageBreakBefore w:val="0"/>
        <w:numPr>
          <w:ilvl w:val="0"/>
          <w:numId w:val="0"/>
        </w:numPr>
        <w:kinsoku/>
        <w:wordWrap/>
        <w:overflowPunct/>
        <w:topLinePunct w:val="0"/>
        <w:autoSpaceDE/>
        <w:autoSpaceDN/>
        <w:bidi w:val="0"/>
        <w:adjustRightInd/>
        <w:snapToGrid w:val="0"/>
        <w:spacing w:beforeAutospacing="0" w:afterAutospacing="0" w:line="540" w:lineRule="exact"/>
        <w:ind w:left="0" w:leftChars="0" w:firstLine="482" w:firstLineChars="200"/>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b/>
          <w:bCs/>
          <w:color w:val="auto"/>
          <w:kern w:val="2"/>
          <w:sz w:val="24"/>
          <w:szCs w:val="24"/>
          <w:highlight w:val="none"/>
          <w:lang w:val="en-US" w:eastAsia="zh-CN" w:bidi="ar-SA"/>
        </w:rPr>
        <w:t>四、变压器维保内容包括：</w:t>
      </w:r>
      <w:r>
        <w:rPr>
          <w:rFonts w:hint="eastAsia" w:ascii="宋体" w:hAnsi="宋体" w:eastAsia="宋体" w:cs="宋体"/>
          <w:color w:val="auto"/>
          <w:kern w:val="2"/>
          <w:sz w:val="24"/>
          <w:szCs w:val="24"/>
          <w:highlight w:val="none"/>
          <w:lang w:val="en-US" w:eastAsia="zh-CN" w:bidi="ar-SA"/>
        </w:rPr>
        <w:t>负责监测医院配变主要内容：包括配变油位监测，绝缘强度监测，继电保护装置监测，负荷监测，设备连接紧固监测，本体开关监测，动作跳闸试验监测，吸湿器监测等内容，保持电力系统及设备正常运行。并负责现场设备灰尘、配电室积水等隐患因素的排查处理工作。以上工作内容每月进行一次。</w:t>
      </w:r>
    </w:p>
    <w:p w14:paraId="57298F5F">
      <w:pPr>
        <w:pStyle w:val="37"/>
        <w:keepNext w:val="0"/>
        <w:keepLines w:val="0"/>
        <w:pageBreakBefore w:val="0"/>
        <w:widowControl/>
        <w:kinsoku/>
        <w:wordWrap/>
        <w:overflowPunct/>
        <w:topLinePunct w:val="0"/>
        <w:autoSpaceDE/>
        <w:autoSpaceDN/>
        <w:bidi w:val="0"/>
        <w:adjustRightInd/>
        <w:spacing w:before="0" w:beforeAutospacing="0" w:after="0" w:afterAutospacing="0" w:line="540" w:lineRule="exact"/>
        <w:ind w:left="0" w:leftChars="0" w:firstLine="482" w:firstLineChars="200"/>
        <w:textAlignment w:val="auto"/>
        <w:rPr>
          <w:rFonts w:hint="eastAsia" w:ascii="宋体" w:hAnsi="宋体" w:eastAsia="宋体" w:cs="宋体"/>
          <w:b/>
          <w:bCs/>
          <w:color w:val="auto"/>
          <w:kern w:val="2"/>
          <w:sz w:val="24"/>
          <w:szCs w:val="24"/>
          <w:highlight w:val="none"/>
          <w:lang w:val="en-US" w:eastAsia="zh-CN" w:bidi="ar-SA"/>
        </w:rPr>
      </w:pPr>
      <w:r>
        <w:rPr>
          <w:rFonts w:hint="eastAsia" w:ascii="宋体" w:hAnsi="宋体" w:eastAsia="宋体" w:cs="宋体"/>
          <w:b/>
          <w:bCs/>
          <w:color w:val="auto"/>
          <w:kern w:val="2"/>
          <w:sz w:val="24"/>
          <w:szCs w:val="24"/>
          <w:highlight w:val="none"/>
          <w:lang w:val="en-US" w:eastAsia="zh-CN" w:bidi="ar-SA"/>
        </w:rPr>
        <w:t>五、低压配电柜维保内容包括：</w:t>
      </w:r>
    </w:p>
    <w:p w14:paraId="3E14F78F">
      <w:pPr>
        <w:pStyle w:val="37"/>
        <w:keepNext w:val="0"/>
        <w:keepLines w:val="0"/>
        <w:pageBreakBefore w:val="0"/>
        <w:widowControl/>
        <w:kinsoku/>
        <w:wordWrap/>
        <w:overflowPunct/>
        <w:topLinePunct w:val="0"/>
        <w:autoSpaceDE/>
        <w:autoSpaceDN/>
        <w:bidi w:val="0"/>
        <w:adjustRightInd/>
        <w:spacing w:before="0" w:beforeAutospacing="0" w:after="0" w:afterAutospacing="0" w:line="540" w:lineRule="exact"/>
        <w:ind w:left="0" w:leftChars="0" w:firstLine="480" w:firstLineChars="200"/>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共41台设备,设备分布地点为：医技住院楼变配电室：GCS配电柜21台；门诊楼变配电室：GCS配电柜20台，负责设备的定期巡查检测，高低压开关监测，继电保护检测，低压配电柜的日常维护检测，无功补偿管理，</w:t>
      </w:r>
      <w:r>
        <w:rPr>
          <w:rFonts w:hint="eastAsia" w:ascii="宋体" w:hAnsi="宋体" w:eastAsia="宋体" w:cs="宋体"/>
          <w:color w:val="auto"/>
          <w:kern w:val="2"/>
          <w:sz w:val="24"/>
          <w:szCs w:val="24"/>
          <w:highlight w:val="none"/>
          <w:lang w:val="en-US" w:eastAsia="zh-CN" w:bidi="ar"/>
        </w:rPr>
        <w:t>对设备进行巡检维护、试验、清洁等并及时处理设备隐患，确保设备性能，保证安全运行。电缆通过巡视检查试验及时发现自</w:t>
      </w:r>
      <w:r>
        <w:rPr>
          <w:rFonts w:hint="eastAsia" w:ascii="宋体" w:hAnsi="宋体" w:eastAsia="宋体" w:cs="宋体"/>
          <w:color w:val="auto"/>
          <w:kern w:val="2"/>
          <w:sz w:val="24"/>
          <w:szCs w:val="24"/>
          <w:highlight w:val="none"/>
          <w:lang w:val="en-US" w:eastAsia="zh-CN" w:bidi="ar-SA"/>
        </w:rPr>
        <w:t>身缺陷，外界破坏等不利因素，以便采取相应防范措施,保障线路的安全运行。对上述工作进行记录留档。</w:t>
      </w:r>
    </w:p>
    <w:p w14:paraId="29AC4CD1">
      <w:pPr>
        <w:keepNext w:val="0"/>
        <w:keepLines w:val="0"/>
        <w:pageBreakBefore w:val="0"/>
        <w:numPr>
          <w:ilvl w:val="0"/>
          <w:numId w:val="0"/>
        </w:numPr>
        <w:kinsoku/>
        <w:wordWrap/>
        <w:overflowPunct/>
        <w:topLinePunct w:val="0"/>
        <w:autoSpaceDE/>
        <w:autoSpaceDN/>
        <w:bidi w:val="0"/>
        <w:adjustRightInd/>
        <w:spacing w:beforeAutospacing="0" w:afterAutospacing="0" w:line="540" w:lineRule="exact"/>
        <w:ind w:left="0" w:leftChars="0" w:firstLine="482" w:firstLineChars="200"/>
        <w:textAlignment w:val="auto"/>
        <w:rPr>
          <w:rFonts w:hint="eastAsia" w:ascii="宋体" w:hAnsi="宋体" w:eastAsia="宋体" w:cs="宋体"/>
          <w:b/>
          <w:bCs/>
          <w:color w:val="auto"/>
          <w:kern w:val="2"/>
          <w:sz w:val="24"/>
          <w:szCs w:val="24"/>
          <w:highlight w:val="none"/>
          <w:lang w:val="en-US" w:eastAsia="zh-CN" w:bidi="ar-SA"/>
        </w:rPr>
      </w:pPr>
      <w:r>
        <w:rPr>
          <w:rFonts w:hint="eastAsia" w:ascii="宋体" w:hAnsi="宋体" w:eastAsia="宋体" w:cs="宋体"/>
          <w:b/>
          <w:bCs/>
          <w:color w:val="auto"/>
          <w:kern w:val="2"/>
          <w:sz w:val="24"/>
          <w:szCs w:val="24"/>
          <w:highlight w:val="none"/>
          <w:lang w:val="en-US" w:eastAsia="zh-CN" w:bidi="ar-SA"/>
        </w:rPr>
        <w:t>六、发电机维保内容包括：</w:t>
      </w:r>
    </w:p>
    <w:p w14:paraId="7CD412C8">
      <w:pPr>
        <w:keepNext w:val="0"/>
        <w:keepLines w:val="0"/>
        <w:pageBreakBefore w:val="0"/>
        <w:numPr>
          <w:ilvl w:val="0"/>
          <w:numId w:val="0"/>
        </w:numPr>
        <w:kinsoku/>
        <w:wordWrap/>
        <w:overflowPunct/>
        <w:topLinePunct w:val="0"/>
        <w:autoSpaceDE/>
        <w:autoSpaceDN/>
        <w:bidi w:val="0"/>
        <w:adjustRightInd/>
        <w:spacing w:beforeAutospacing="0" w:afterAutospacing="0" w:line="540" w:lineRule="exact"/>
        <w:ind w:left="0" w:leftChars="0" w:firstLine="480" w:firstLineChars="200"/>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安排专人对发电机组每月进行一次检修维护，每次工作内容为检查油料存储情况；启动发电机运行15分钟，检测是否有异常，并做好相关记录，如发现问题，及时处理。</w:t>
      </w:r>
    </w:p>
    <w:p w14:paraId="74293649">
      <w:pPr>
        <w:keepNext w:val="0"/>
        <w:keepLines w:val="0"/>
        <w:pageBreakBefore w:val="0"/>
        <w:numPr>
          <w:ilvl w:val="0"/>
          <w:numId w:val="0"/>
        </w:numPr>
        <w:kinsoku/>
        <w:wordWrap/>
        <w:overflowPunct/>
        <w:topLinePunct w:val="0"/>
        <w:autoSpaceDE/>
        <w:autoSpaceDN/>
        <w:bidi w:val="0"/>
        <w:adjustRightInd/>
        <w:spacing w:beforeAutospacing="0" w:afterAutospacing="0" w:line="540" w:lineRule="exact"/>
        <w:ind w:left="0" w:leftChars="0" w:firstLine="480" w:firstLineChars="200"/>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安排专人对发电机组每年进行两次保养维护，每次工作内容 ：</w:t>
      </w:r>
    </w:p>
    <w:p w14:paraId="43C20FC6">
      <w:pPr>
        <w:keepNext w:val="0"/>
        <w:keepLines w:val="0"/>
        <w:pageBreakBefore w:val="0"/>
        <w:numPr>
          <w:ilvl w:val="0"/>
          <w:numId w:val="0"/>
        </w:numPr>
        <w:kinsoku/>
        <w:wordWrap/>
        <w:overflowPunct/>
        <w:topLinePunct w:val="0"/>
        <w:autoSpaceDE/>
        <w:autoSpaceDN/>
        <w:bidi w:val="0"/>
        <w:adjustRightInd/>
        <w:spacing w:beforeAutospacing="0" w:afterAutospacing="0" w:line="540" w:lineRule="exact"/>
        <w:ind w:left="0" w:leftChars="0" w:firstLine="480" w:firstLineChars="200"/>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1、对发电机组水、电、油、气等进行全面的检查，确认机组是否正常（不含燃油）；</w:t>
      </w:r>
    </w:p>
    <w:p w14:paraId="069A5A0B">
      <w:pPr>
        <w:keepNext w:val="0"/>
        <w:keepLines w:val="0"/>
        <w:pageBreakBefore w:val="0"/>
        <w:numPr>
          <w:ilvl w:val="0"/>
          <w:numId w:val="0"/>
        </w:numPr>
        <w:kinsoku/>
        <w:wordWrap/>
        <w:overflowPunct/>
        <w:topLinePunct w:val="0"/>
        <w:autoSpaceDE/>
        <w:autoSpaceDN/>
        <w:bidi w:val="0"/>
        <w:adjustRightInd/>
        <w:spacing w:beforeAutospacing="0" w:afterAutospacing="0" w:line="540" w:lineRule="exact"/>
        <w:ind w:left="0" w:leftChars="0" w:firstLine="480" w:firstLineChars="200"/>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2、空载试机</w:t>
      </w:r>
      <w:r>
        <w:rPr>
          <w:rFonts w:hint="eastAsia" w:ascii="宋体" w:hAnsi="宋体" w:cs="宋体"/>
          <w:color w:val="auto"/>
          <w:kern w:val="2"/>
          <w:sz w:val="24"/>
          <w:szCs w:val="24"/>
          <w:highlight w:val="none"/>
          <w:lang w:val="en-US" w:eastAsia="zh-CN" w:bidi="ar-SA"/>
        </w:rPr>
        <w:t>4</w:t>
      </w:r>
      <w:r>
        <w:rPr>
          <w:rFonts w:hint="eastAsia" w:ascii="宋体" w:hAnsi="宋体" w:eastAsia="宋体" w:cs="宋体"/>
          <w:color w:val="auto"/>
          <w:kern w:val="2"/>
          <w:sz w:val="24"/>
          <w:szCs w:val="24"/>
          <w:highlight w:val="none"/>
          <w:lang w:val="en-US" w:eastAsia="zh-CN" w:bidi="ar-SA"/>
        </w:rPr>
        <w:t>-</w:t>
      </w:r>
      <w:r>
        <w:rPr>
          <w:rFonts w:hint="eastAsia" w:ascii="宋体" w:hAnsi="宋体" w:cs="宋体"/>
          <w:color w:val="auto"/>
          <w:kern w:val="2"/>
          <w:sz w:val="24"/>
          <w:szCs w:val="24"/>
          <w:highlight w:val="none"/>
          <w:lang w:val="en-US" w:eastAsia="zh-CN" w:bidi="ar-SA"/>
        </w:rPr>
        <w:t>5</w:t>
      </w:r>
      <w:r>
        <w:rPr>
          <w:rFonts w:hint="eastAsia" w:ascii="宋体" w:hAnsi="宋体" w:eastAsia="宋体" w:cs="宋体"/>
          <w:color w:val="auto"/>
          <w:kern w:val="2"/>
          <w:sz w:val="24"/>
          <w:szCs w:val="24"/>
          <w:highlight w:val="none"/>
          <w:lang w:val="en-US" w:eastAsia="zh-CN" w:bidi="ar-SA"/>
        </w:rPr>
        <w:t>分钟，使机组得到充分的润滑；通过听、看、闻等方法判断机组使用状况；</w:t>
      </w:r>
    </w:p>
    <w:p w14:paraId="5DDEA2EC">
      <w:pPr>
        <w:keepNext w:val="0"/>
        <w:keepLines w:val="0"/>
        <w:pageBreakBefore w:val="0"/>
        <w:numPr>
          <w:ilvl w:val="0"/>
          <w:numId w:val="0"/>
        </w:numPr>
        <w:kinsoku/>
        <w:wordWrap/>
        <w:overflowPunct/>
        <w:topLinePunct w:val="0"/>
        <w:autoSpaceDE/>
        <w:autoSpaceDN/>
        <w:bidi w:val="0"/>
        <w:adjustRightInd/>
        <w:spacing w:beforeAutospacing="0" w:afterAutospacing="0" w:line="540" w:lineRule="exact"/>
        <w:ind w:left="0" w:leftChars="0" w:firstLine="480" w:firstLineChars="200"/>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3、更换空气滤、机油滤芯等耗材；</w:t>
      </w:r>
    </w:p>
    <w:p w14:paraId="17640D03">
      <w:pPr>
        <w:keepNext w:val="0"/>
        <w:keepLines w:val="0"/>
        <w:pageBreakBefore w:val="0"/>
        <w:numPr>
          <w:ilvl w:val="0"/>
          <w:numId w:val="0"/>
        </w:numPr>
        <w:kinsoku/>
        <w:wordWrap/>
        <w:overflowPunct/>
        <w:topLinePunct w:val="0"/>
        <w:autoSpaceDE/>
        <w:autoSpaceDN/>
        <w:bidi w:val="0"/>
        <w:adjustRightInd/>
        <w:spacing w:beforeAutospacing="0" w:afterAutospacing="0" w:line="540" w:lineRule="exact"/>
        <w:ind w:left="0" w:leftChars="0" w:firstLine="480" w:firstLineChars="200"/>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4、加注机油，散热水箱冷却液等，达到正常运行使用范围；</w:t>
      </w:r>
    </w:p>
    <w:p w14:paraId="1D1E52D1">
      <w:pPr>
        <w:keepNext w:val="0"/>
        <w:keepLines w:val="0"/>
        <w:pageBreakBefore w:val="0"/>
        <w:numPr>
          <w:ilvl w:val="0"/>
          <w:numId w:val="0"/>
        </w:numPr>
        <w:kinsoku/>
        <w:wordWrap/>
        <w:overflowPunct/>
        <w:topLinePunct w:val="0"/>
        <w:autoSpaceDE/>
        <w:autoSpaceDN/>
        <w:bidi w:val="0"/>
        <w:adjustRightInd/>
        <w:spacing w:beforeAutospacing="0" w:afterAutospacing="0" w:line="540" w:lineRule="exact"/>
        <w:ind w:left="0" w:leftChars="0" w:firstLine="480" w:firstLineChars="200"/>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5、检查蓄电池情况；</w:t>
      </w:r>
    </w:p>
    <w:p w14:paraId="474A5F6E">
      <w:pPr>
        <w:keepNext w:val="0"/>
        <w:keepLines w:val="0"/>
        <w:pageBreakBefore w:val="0"/>
        <w:numPr>
          <w:ilvl w:val="0"/>
          <w:numId w:val="0"/>
        </w:numPr>
        <w:kinsoku/>
        <w:wordWrap/>
        <w:overflowPunct/>
        <w:topLinePunct w:val="0"/>
        <w:autoSpaceDE/>
        <w:autoSpaceDN/>
        <w:bidi w:val="0"/>
        <w:adjustRightInd/>
        <w:spacing w:beforeAutospacing="0" w:afterAutospacing="0" w:line="540" w:lineRule="exact"/>
        <w:ind w:left="0" w:leftChars="0" w:firstLine="480" w:firstLineChars="200"/>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6、保养完成后，对机组进行再一次检查，并进行清洁打扫；</w:t>
      </w:r>
    </w:p>
    <w:p w14:paraId="55A22973">
      <w:pPr>
        <w:keepNext w:val="0"/>
        <w:keepLines w:val="0"/>
        <w:pageBreakBefore w:val="0"/>
        <w:numPr>
          <w:ilvl w:val="0"/>
          <w:numId w:val="0"/>
        </w:numPr>
        <w:kinsoku/>
        <w:wordWrap/>
        <w:overflowPunct/>
        <w:topLinePunct w:val="0"/>
        <w:autoSpaceDE/>
        <w:autoSpaceDN/>
        <w:bidi w:val="0"/>
        <w:adjustRightInd/>
        <w:spacing w:beforeAutospacing="0" w:afterAutospacing="0" w:line="540" w:lineRule="exact"/>
        <w:ind w:left="0" w:leftChars="0" w:firstLine="480" w:firstLineChars="200"/>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7、空载试机</w:t>
      </w:r>
      <w:r>
        <w:rPr>
          <w:rFonts w:hint="eastAsia" w:ascii="宋体" w:hAnsi="宋体" w:cs="宋体"/>
          <w:color w:val="auto"/>
          <w:kern w:val="2"/>
          <w:sz w:val="24"/>
          <w:szCs w:val="24"/>
          <w:highlight w:val="none"/>
          <w:lang w:val="en-US" w:eastAsia="zh-CN" w:bidi="ar-SA"/>
        </w:rPr>
        <w:t>4</w:t>
      </w:r>
      <w:r>
        <w:rPr>
          <w:rFonts w:hint="eastAsia" w:ascii="宋体" w:hAnsi="宋体" w:eastAsia="宋体" w:cs="宋体"/>
          <w:color w:val="auto"/>
          <w:kern w:val="2"/>
          <w:sz w:val="24"/>
          <w:szCs w:val="24"/>
          <w:highlight w:val="none"/>
          <w:lang w:val="en-US" w:eastAsia="zh-CN" w:bidi="ar-SA"/>
        </w:rPr>
        <w:t>-</w:t>
      </w:r>
      <w:r>
        <w:rPr>
          <w:rFonts w:hint="eastAsia" w:ascii="宋体" w:hAnsi="宋体" w:cs="宋体"/>
          <w:color w:val="auto"/>
          <w:kern w:val="2"/>
          <w:sz w:val="24"/>
          <w:szCs w:val="24"/>
          <w:highlight w:val="none"/>
          <w:lang w:val="en-US" w:eastAsia="zh-CN" w:bidi="ar-SA"/>
        </w:rPr>
        <w:t>5</w:t>
      </w:r>
      <w:r>
        <w:rPr>
          <w:rFonts w:hint="eastAsia" w:ascii="宋体" w:hAnsi="宋体" w:eastAsia="宋体" w:cs="宋体"/>
          <w:color w:val="auto"/>
          <w:kern w:val="2"/>
          <w:sz w:val="24"/>
          <w:szCs w:val="24"/>
          <w:highlight w:val="none"/>
          <w:lang w:val="en-US" w:eastAsia="zh-CN" w:bidi="ar-SA"/>
        </w:rPr>
        <w:t>分钟，对机组各项性能参数进行记录，提出合理化建议。</w:t>
      </w:r>
    </w:p>
    <w:p w14:paraId="74D774CA">
      <w:pPr>
        <w:keepNext w:val="0"/>
        <w:keepLines w:val="0"/>
        <w:pageBreakBefore w:val="0"/>
        <w:numPr>
          <w:ilvl w:val="0"/>
          <w:numId w:val="0"/>
        </w:numPr>
        <w:kinsoku/>
        <w:wordWrap/>
        <w:overflowPunct/>
        <w:topLinePunct w:val="0"/>
        <w:autoSpaceDE/>
        <w:autoSpaceDN/>
        <w:bidi w:val="0"/>
        <w:adjustRightInd/>
        <w:spacing w:beforeAutospacing="0" w:afterAutospacing="0" w:line="500" w:lineRule="exact"/>
        <w:ind w:left="0" w:leftChars="0"/>
        <w:textAlignment w:val="auto"/>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kern w:val="2"/>
          <w:sz w:val="24"/>
          <w:szCs w:val="24"/>
          <w:highlight w:val="none"/>
          <w:lang w:val="en-US" w:eastAsia="zh-CN" w:bidi="ar-SA"/>
        </w:rPr>
        <w:t>七、预防性试验内容</w:t>
      </w:r>
    </w:p>
    <w:tbl>
      <w:tblPr>
        <w:tblStyle w:val="41"/>
        <w:tblW w:w="0" w:type="auto"/>
        <w:tblInd w:w="-362"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510"/>
        <w:gridCol w:w="725"/>
        <w:gridCol w:w="731"/>
        <w:gridCol w:w="913"/>
        <w:gridCol w:w="717"/>
        <w:gridCol w:w="725"/>
        <w:gridCol w:w="1485"/>
        <w:gridCol w:w="2025"/>
        <w:gridCol w:w="946"/>
        <w:gridCol w:w="510"/>
      </w:tblGrid>
      <w:tr w14:paraId="02A00A0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47" w:hRule="atLeast"/>
        </w:trPr>
        <w:tc>
          <w:tcPr>
            <w:tcW w:w="510" w:type="dxa"/>
            <w:tcBorders>
              <w:top w:val="single" w:color="auto" w:sz="4" w:space="0"/>
              <w:left w:val="single" w:color="auto" w:sz="4" w:space="0"/>
              <w:bottom w:val="single" w:color="auto" w:sz="4" w:space="0"/>
              <w:right w:val="single" w:color="auto" w:sz="4" w:space="0"/>
            </w:tcBorders>
            <w:noWrap w:val="0"/>
            <w:vAlign w:val="center"/>
          </w:tcPr>
          <w:p w14:paraId="31D09CA1">
            <w:pPr>
              <w:keepNext w:val="0"/>
              <w:keepLines w:val="0"/>
              <w:pageBreakBefore w:val="0"/>
              <w:widowControl/>
              <w:suppressLineNumbers w:val="0"/>
              <w:kinsoku/>
              <w:wordWrap/>
              <w:overflowPunct/>
              <w:topLinePunct w:val="0"/>
              <w:autoSpaceDE/>
              <w:autoSpaceDN/>
              <w:bidi w:val="0"/>
              <w:spacing w:beforeAutospacing="0" w:afterAutospacing="0" w:line="460" w:lineRule="exact"/>
              <w:ind w:left="0" w:leftChars="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序号</w:t>
            </w:r>
          </w:p>
        </w:tc>
        <w:tc>
          <w:tcPr>
            <w:tcW w:w="725" w:type="dxa"/>
            <w:tcBorders>
              <w:top w:val="single" w:color="auto" w:sz="4" w:space="0"/>
              <w:left w:val="nil"/>
              <w:bottom w:val="single" w:color="auto" w:sz="4" w:space="0"/>
              <w:right w:val="single" w:color="auto" w:sz="4" w:space="0"/>
            </w:tcBorders>
            <w:noWrap w:val="0"/>
            <w:vAlign w:val="center"/>
          </w:tcPr>
          <w:p w14:paraId="38B5180B">
            <w:pPr>
              <w:keepNext w:val="0"/>
              <w:keepLines w:val="0"/>
              <w:pageBreakBefore w:val="0"/>
              <w:widowControl/>
              <w:suppressLineNumbers w:val="0"/>
              <w:kinsoku/>
              <w:wordWrap/>
              <w:overflowPunct/>
              <w:topLinePunct w:val="0"/>
              <w:autoSpaceDE/>
              <w:autoSpaceDN/>
              <w:bidi w:val="0"/>
              <w:spacing w:beforeAutospacing="0" w:afterAutospacing="0" w:line="460" w:lineRule="exact"/>
              <w:ind w:left="0" w:leftChars="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设备名称</w:t>
            </w:r>
          </w:p>
        </w:tc>
        <w:tc>
          <w:tcPr>
            <w:tcW w:w="731" w:type="dxa"/>
            <w:tcBorders>
              <w:top w:val="single" w:color="auto" w:sz="4" w:space="0"/>
              <w:left w:val="nil"/>
              <w:bottom w:val="single" w:color="auto" w:sz="4" w:space="0"/>
              <w:right w:val="single" w:color="auto" w:sz="4" w:space="0"/>
            </w:tcBorders>
            <w:noWrap w:val="0"/>
            <w:vAlign w:val="center"/>
          </w:tcPr>
          <w:p w14:paraId="251BD2FB">
            <w:pPr>
              <w:keepNext w:val="0"/>
              <w:keepLines w:val="0"/>
              <w:pageBreakBefore w:val="0"/>
              <w:widowControl/>
              <w:suppressLineNumbers w:val="0"/>
              <w:kinsoku/>
              <w:wordWrap/>
              <w:overflowPunct/>
              <w:topLinePunct w:val="0"/>
              <w:autoSpaceDE/>
              <w:autoSpaceDN/>
              <w:bidi w:val="0"/>
              <w:spacing w:beforeAutospacing="0" w:afterAutospacing="0" w:line="460" w:lineRule="exact"/>
              <w:ind w:left="0" w:leftChars="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电压等级</w:t>
            </w:r>
          </w:p>
        </w:tc>
        <w:tc>
          <w:tcPr>
            <w:tcW w:w="913" w:type="dxa"/>
            <w:tcBorders>
              <w:top w:val="single" w:color="auto" w:sz="4" w:space="0"/>
              <w:left w:val="nil"/>
              <w:bottom w:val="single" w:color="auto" w:sz="4" w:space="0"/>
              <w:right w:val="single" w:color="auto" w:sz="4" w:space="0"/>
            </w:tcBorders>
            <w:noWrap w:val="0"/>
            <w:vAlign w:val="center"/>
          </w:tcPr>
          <w:p w14:paraId="473C572A">
            <w:pPr>
              <w:keepNext w:val="0"/>
              <w:keepLines w:val="0"/>
              <w:pageBreakBefore w:val="0"/>
              <w:widowControl/>
              <w:suppressLineNumbers w:val="0"/>
              <w:kinsoku/>
              <w:wordWrap/>
              <w:overflowPunct/>
              <w:topLinePunct w:val="0"/>
              <w:autoSpaceDE/>
              <w:autoSpaceDN/>
              <w:bidi w:val="0"/>
              <w:spacing w:beforeAutospacing="0" w:afterAutospacing="0" w:line="460" w:lineRule="exact"/>
              <w:ind w:left="0" w:leftChars="0"/>
              <w:jc w:val="center"/>
              <w:textAlignment w:val="center"/>
              <w:rPr>
                <w:rFonts w:hint="eastAsia" w:ascii="宋体" w:hAnsi="宋体" w:eastAsia="宋体" w:cs="宋体"/>
                <w:i w:val="0"/>
                <w:iCs w:val="0"/>
                <w:color w:val="auto"/>
                <w:kern w:val="0"/>
                <w:sz w:val="24"/>
                <w:szCs w:val="24"/>
                <w:highlight w:val="none"/>
                <w:u w:val="none"/>
                <w:lang w:val="en-US" w:eastAsia="zh-CN" w:bidi="ar"/>
              </w:rPr>
            </w:pPr>
            <w:r>
              <w:rPr>
                <w:rFonts w:hint="eastAsia" w:ascii="宋体" w:hAnsi="宋体" w:eastAsia="宋体" w:cs="宋体"/>
                <w:i w:val="0"/>
                <w:iCs w:val="0"/>
                <w:color w:val="auto"/>
                <w:kern w:val="0"/>
                <w:sz w:val="24"/>
                <w:szCs w:val="24"/>
                <w:highlight w:val="none"/>
                <w:u w:val="none"/>
                <w:lang w:val="en-US" w:eastAsia="zh-CN" w:bidi="ar"/>
              </w:rPr>
              <w:t>设备</w:t>
            </w:r>
          </w:p>
          <w:p w14:paraId="231772E0">
            <w:pPr>
              <w:keepNext w:val="0"/>
              <w:keepLines w:val="0"/>
              <w:pageBreakBefore w:val="0"/>
              <w:widowControl/>
              <w:suppressLineNumbers w:val="0"/>
              <w:kinsoku/>
              <w:wordWrap/>
              <w:overflowPunct/>
              <w:topLinePunct w:val="0"/>
              <w:autoSpaceDE/>
              <w:autoSpaceDN/>
              <w:bidi w:val="0"/>
              <w:spacing w:beforeAutospacing="0" w:afterAutospacing="0" w:line="460" w:lineRule="exact"/>
              <w:ind w:left="0" w:leftChars="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规格</w:t>
            </w:r>
          </w:p>
        </w:tc>
        <w:tc>
          <w:tcPr>
            <w:tcW w:w="717" w:type="dxa"/>
            <w:tcBorders>
              <w:top w:val="single" w:color="auto" w:sz="4" w:space="0"/>
              <w:left w:val="nil"/>
              <w:bottom w:val="single" w:color="auto" w:sz="4" w:space="0"/>
              <w:right w:val="single" w:color="auto" w:sz="4" w:space="0"/>
            </w:tcBorders>
            <w:noWrap w:val="0"/>
            <w:vAlign w:val="center"/>
          </w:tcPr>
          <w:p w14:paraId="63EA0B75">
            <w:pPr>
              <w:keepNext w:val="0"/>
              <w:keepLines w:val="0"/>
              <w:pageBreakBefore w:val="0"/>
              <w:widowControl/>
              <w:suppressLineNumbers w:val="0"/>
              <w:kinsoku/>
              <w:wordWrap/>
              <w:overflowPunct/>
              <w:topLinePunct w:val="0"/>
              <w:autoSpaceDE/>
              <w:autoSpaceDN/>
              <w:bidi w:val="0"/>
              <w:spacing w:beforeAutospacing="0" w:afterAutospacing="0" w:line="460" w:lineRule="exact"/>
              <w:ind w:left="0" w:leftChars="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试验人员</w:t>
            </w:r>
          </w:p>
        </w:tc>
        <w:tc>
          <w:tcPr>
            <w:tcW w:w="725" w:type="dxa"/>
            <w:tcBorders>
              <w:top w:val="single" w:color="auto" w:sz="4" w:space="0"/>
              <w:left w:val="nil"/>
              <w:bottom w:val="single" w:color="auto" w:sz="4" w:space="0"/>
              <w:right w:val="single" w:color="auto" w:sz="4" w:space="0"/>
            </w:tcBorders>
            <w:noWrap w:val="0"/>
            <w:vAlign w:val="center"/>
          </w:tcPr>
          <w:p w14:paraId="07E5CA28">
            <w:pPr>
              <w:keepNext w:val="0"/>
              <w:keepLines w:val="0"/>
              <w:pageBreakBefore w:val="0"/>
              <w:widowControl/>
              <w:suppressLineNumbers w:val="0"/>
              <w:kinsoku/>
              <w:wordWrap/>
              <w:overflowPunct/>
              <w:topLinePunct w:val="0"/>
              <w:autoSpaceDE/>
              <w:autoSpaceDN/>
              <w:bidi w:val="0"/>
              <w:spacing w:beforeAutospacing="0" w:afterAutospacing="0" w:line="460" w:lineRule="exact"/>
              <w:ind w:left="0" w:leftChars="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试验项目</w:t>
            </w:r>
          </w:p>
        </w:tc>
        <w:tc>
          <w:tcPr>
            <w:tcW w:w="1485" w:type="dxa"/>
            <w:tcBorders>
              <w:top w:val="single" w:color="auto" w:sz="4" w:space="0"/>
              <w:left w:val="nil"/>
              <w:bottom w:val="single" w:color="auto" w:sz="4" w:space="0"/>
              <w:right w:val="single" w:color="auto" w:sz="4" w:space="0"/>
            </w:tcBorders>
            <w:noWrap w:val="0"/>
            <w:vAlign w:val="center"/>
          </w:tcPr>
          <w:p w14:paraId="2C35040D">
            <w:pPr>
              <w:keepNext w:val="0"/>
              <w:keepLines w:val="0"/>
              <w:pageBreakBefore w:val="0"/>
              <w:widowControl/>
              <w:suppressLineNumbers w:val="0"/>
              <w:kinsoku/>
              <w:wordWrap/>
              <w:overflowPunct/>
              <w:topLinePunct w:val="0"/>
              <w:autoSpaceDE/>
              <w:autoSpaceDN/>
              <w:bidi w:val="0"/>
              <w:spacing w:beforeAutospacing="0" w:afterAutospacing="0" w:line="460" w:lineRule="exact"/>
              <w:ind w:left="0" w:leftChars="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使用仪器、仪器</w:t>
            </w:r>
          </w:p>
        </w:tc>
        <w:tc>
          <w:tcPr>
            <w:tcW w:w="2025" w:type="dxa"/>
            <w:tcBorders>
              <w:top w:val="single" w:color="auto" w:sz="4" w:space="0"/>
              <w:left w:val="nil"/>
              <w:bottom w:val="single" w:color="auto" w:sz="4" w:space="0"/>
              <w:right w:val="single" w:color="auto" w:sz="4" w:space="0"/>
            </w:tcBorders>
            <w:noWrap w:val="0"/>
            <w:vAlign w:val="center"/>
          </w:tcPr>
          <w:p w14:paraId="195DB770">
            <w:pPr>
              <w:keepNext w:val="0"/>
              <w:keepLines w:val="0"/>
              <w:pageBreakBefore w:val="0"/>
              <w:widowControl/>
              <w:suppressLineNumbers w:val="0"/>
              <w:kinsoku/>
              <w:wordWrap/>
              <w:overflowPunct/>
              <w:topLinePunct w:val="0"/>
              <w:autoSpaceDE/>
              <w:autoSpaceDN/>
              <w:bidi w:val="0"/>
              <w:spacing w:beforeAutospacing="0" w:afterAutospacing="0" w:line="460" w:lineRule="exact"/>
              <w:ind w:left="0" w:leftChars="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质量要求</w:t>
            </w:r>
          </w:p>
        </w:tc>
        <w:tc>
          <w:tcPr>
            <w:tcW w:w="946" w:type="dxa"/>
            <w:tcBorders>
              <w:top w:val="single" w:color="auto" w:sz="4" w:space="0"/>
              <w:left w:val="nil"/>
              <w:bottom w:val="single" w:color="auto" w:sz="4" w:space="0"/>
              <w:right w:val="single" w:color="auto" w:sz="4" w:space="0"/>
            </w:tcBorders>
            <w:noWrap w:val="0"/>
            <w:vAlign w:val="center"/>
          </w:tcPr>
          <w:p w14:paraId="03FB4EF7">
            <w:pPr>
              <w:keepNext w:val="0"/>
              <w:keepLines w:val="0"/>
              <w:pageBreakBefore w:val="0"/>
              <w:widowControl/>
              <w:suppressLineNumbers w:val="0"/>
              <w:kinsoku/>
              <w:wordWrap/>
              <w:overflowPunct/>
              <w:topLinePunct w:val="0"/>
              <w:autoSpaceDE/>
              <w:autoSpaceDN/>
              <w:bidi w:val="0"/>
              <w:spacing w:beforeAutospacing="0" w:afterAutospacing="0" w:line="460" w:lineRule="exact"/>
              <w:ind w:left="0" w:leftChars="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保养期说明</w:t>
            </w:r>
          </w:p>
        </w:tc>
        <w:tc>
          <w:tcPr>
            <w:tcW w:w="510" w:type="dxa"/>
            <w:tcBorders>
              <w:top w:val="single" w:color="auto" w:sz="4" w:space="0"/>
              <w:left w:val="nil"/>
              <w:bottom w:val="single" w:color="auto" w:sz="4" w:space="0"/>
              <w:right w:val="single" w:color="auto" w:sz="4" w:space="0"/>
            </w:tcBorders>
            <w:noWrap w:val="0"/>
            <w:vAlign w:val="center"/>
          </w:tcPr>
          <w:p w14:paraId="1282B55D">
            <w:pPr>
              <w:keepNext w:val="0"/>
              <w:keepLines w:val="0"/>
              <w:pageBreakBefore w:val="0"/>
              <w:widowControl/>
              <w:suppressLineNumbers w:val="0"/>
              <w:kinsoku/>
              <w:wordWrap/>
              <w:overflowPunct/>
              <w:topLinePunct w:val="0"/>
              <w:autoSpaceDE/>
              <w:autoSpaceDN/>
              <w:bidi w:val="0"/>
              <w:spacing w:beforeAutospacing="0" w:afterAutospacing="0" w:line="460" w:lineRule="exact"/>
              <w:ind w:left="0" w:leftChars="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备注</w:t>
            </w:r>
          </w:p>
        </w:tc>
      </w:tr>
      <w:tr w14:paraId="2623E6E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47" w:hRule="atLeast"/>
        </w:trPr>
        <w:tc>
          <w:tcPr>
            <w:tcW w:w="510" w:type="dxa"/>
            <w:vMerge w:val="restart"/>
            <w:tcBorders>
              <w:top w:val="nil"/>
              <w:left w:val="single" w:color="auto" w:sz="4" w:space="0"/>
              <w:bottom w:val="single" w:color="auto" w:sz="4" w:space="0"/>
              <w:right w:val="single" w:color="auto" w:sz="4" w:space="0"/>
            </w:tcBorders>
            <w:noWrap w:val="0"/>
            <w:vAlign w:val="center"/>
          </w:tcPr>
          <w:p w14:paraId="69D6B58F">
            <w:pPr>
              <w:keepNext w:val="0"/>
              <w:keepLines w:val="0"/>
              <w:pageBreakBefore w:val="0"/>
              <w:widowControl/>
              <w:suppressLineNumbers w:val="0"/>
              <w:kinsoku/>
              <w:wordWrap/>
              <w:overflowPunct/>
              <w:topLinePunct w:val="0"/>
              <w:autoSpaceDE/>
              <w:autoSpaceDN/>
              <w:bidi w:val="0"/>
              <w:spacing w:beforeAutospacing="0" w:afterAutospacing="0" w:line="460" w:lineRule="exact"/>
              <w:ind w:left="0" w:leftChars="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w:t>
            </w:r>
          </w:p>
        </w:tc>
        <w:tc>
          <w:tcPr>
            <w:tcW w:w="725" w:type="dxa"/>
            <w:vMerge w:val="restart"/>
            <w:tcBorders>
              <w:top w:val="nil"/>
              <w:left w:val="single" w:color="auto" w:sz="4" w:space="0"/>
              <w:bottom w:val="single" w:color="auto" w:sz="4" w:space="0"/>
              <w:right w:val="single" w:color="auto" w:sz="4" w:space="0"/>
            </w:tcBorders>
            <w:noWrap w:val="0"/>
            <w:vAlign w:val="center"/>
          </w:tcPr>
          <w:p w14:paraId="4D2F321C">
            <w:pPr>
              <w:keepNext w:val="0"/>
              <w:keepLines w:val="0"/>
              <w:pageBreakBefore w:val="0"/>
              <w:widowControl/>
              <w:suppressLineNumbers w:val="0"/>
              <w:kinsoku/>
              <w:wordWrap/>
              <w:overflowPunct/>
              <w:topLinePunct w:val="0"/>
              <w:autoSpaceDE/>
              <w:autoSpaceDN/>
              <w:bidi w:val="0"/>
              <w:spacing w:beforeAutospacing="0" w:afterAutospacing="0" w:line="460" w:lineRule="exact"/>
              <w:ind w:left="0" w:leftChars="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变压器</w:t>
            </w:r>
          </w:p>
        </w:tc>
        <w:tc>
          <w:tcPr>
            <w:tcW w:w="731" w:type="dxa"/>
            <w:vMerge w:val="restart"/>
            <w:tcBorders>
              <w:top w:val="nil"/>
              <w:left w:val="single" w:color="auto" w:sz="4" w:space="0"/>
              <w:bottom w:val="single" w:color="auto" w:sz="4" w:space="0"/>
              <w:right w:val="single" w:color="auto" w:sz="4" w:space="0"/>
            </w:tcBorders>
            <w:noWrap w:val="0"/>
            <w:vAlign w:val="center"/>
          </w:tcPr>
          <w:p w14:paraId="64CE9D76">
            <w:pPr>
              <w:keepNext w:val="0"/>
              <w:keepLines w:val="0"/>
              <w:pageBreakBefore w:val="0"/>
              <w:widowControl/>
              <w:suppressLineNumbers w:val="0"/>
              <w:kinsoku/>
              <w:wordWrap/>
              <w:overflowPunct/>
              <w:topLinePunct w:val="0"/>
              <w:autoSpaceDE/>
              <w:autoSpaceDN/>
              <w:bidi w:val="0"/>
              <w:spacing w:beforeAutospacing="0" w:afterAutospacing="0" w:line="460" w:lineRule="exact"/>
              <w:ind w:left="0" w:leftChars="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10KV</w:t>
            </w:r>
          </w:p>
        </w:tc>
        <w:tc>
          <w:tcPr>
            <w:tcW w:w="913" w:type="dxa"/>
            <w:vMerge w:val="restart"/>
            <w:tcBorders>
              <w:top w:val="nil"/>
              <w:left w:val="single" w:color="auto" w:sz="4" w:space="0"/>
              <w:bottom w:val="single" w:color="auto" w:sz="4" w:space="0"/>
              <w:right w:val="single" w:color="auto" w:sz="4" w:space="0"/>
            </w:tcBorders>
            <w:noWrap w:val="0"/>
            <w:vAlign w:val="center"/>
          </w:tcPr>
          <w:p w14:paraId="409F3B9B">
            <w:pPr>
              <w:keepNext w:val="0"/>
              <w:keepLines w:val="0"/>
              <w:pageBreakBefore w:val="0"/>
              <w:widowControl/>
              <w:suppressLineNumbers w:val="0"/>
              <w:kinsoku/>
              <w:wordWrap/>
              <w:overflowPunct/>
              <w:topLinePunct w:val="0"/>
              <w:autoSpaceDE/>
              <w:autoSpaceDN/>
              <w:bidi w:val="0"/>
              <w:spacing w:beforeAutospacing="0" w:afterAutospacing="0" w:line="460" w:lineRule="exact"/>
              <w:ind w:left="0" w:leftChars="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800KVA</w:t>
            </w:r>
          </w:p>
        </w:tc>
        <w:tc>
          <w:tcPr>
            <w:tcW w:w="717" w:type="dxa"/>
            <w:tcBorders>
              <w:top w:val="nil"/>
              <w:left w:val="nil"/>
              <w:bottom w:val="single" w:color="auto" w:sz="4" w:space="0"/>
              <w:right w:val="single" w:color="auto" w:sz="4" w:space="0"/>
            </w:tcBorders>
            <w:noWrap w:val="0"/>
            <w:vAlign w:val="center"/>
          </w:tcPr>
          <w:p w14:paraId="5988747E">
            <w:pPr>
              <w:keepNext w:val="0"/>
              <w:keepLines w:val="0"/>
              <w:pageBreakBefore w:val="0"/>
              <w:widowControl/>
              <w:suppressLineNumbers w:val="0"/>
              <w:kinsoku/>
              <w:wordWrap/>
              <w:overflowPunct/>
              <w:topLinePunct w:val="0"/>
              <w:autoSpaceDE/>
              <w:autoSpaceDN/>
              <w:bidi w:val="0"/>
              <w:spacing w:beforeAutospacing="0" w:afterAutospacing="0" w:line="460" w:lineRule="exact"/>
              <w:ind w:left="0" w:leftChars="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w:t>
            </w:r>
          </w:p>
        </w:tc>
        <w:tc>
          <w:tcPr>
            <w:tcW w:w="725" w:type="dxa"/>
            <w:tcBorders>
              <w:top w:val="nil"/>
              <w:left w:val="nil"/>
              <w:bottom w:val="single" w:color="auto" w:sz="4" w:space="0"/>
              <w:right w:val="single" w:color="auto" w:sz="4" w:space="0"/>
            </w:tcBorders>
            <w:noWrap w:val="0"/>
            <w:vAlign w:val="center"/>
          </w:tcPr>
          <w:p w14:paraId="3F2285A5">
            <w:pPr>
              <w:keepNext w:val="0"/>
              <w:keepLines w:val="0"/>
              <w:pageBreakBefore w:val="0"/>
              <w:widowControl/>
              <w:suppressLineNumbers w:val="0"/>
              <w:kinsoku/>
              <w:wordWrap/>
              <w:overflowPunct/>
              <w:topLinePunct w:val="0"/>
              <w:autoSpaceDE/>
              <w:autoSpaceDN/>
              <w:bidi w:val="0"/>
              <w:spacing w:beforeAutospacing="0" w:afterAutospacing="0" w:line="460" w:lineRule="exact"/>
              <w:ind w:left="0" w:leftChars="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绝缘电阻</w:t>
            </w:r>
          </w:p>
        </w:tc>
        <w:tc>
          <w:tcPr>
            <w:tcW w:w="1485" w:type="dxa"/>
            <w:tcBorders>
              <w:top w:val="nil"/>
              <w:left w:val="nil"/>
              <w:bottom w:val="single" w:color="auto" w:sz="4" w:space="0"/>
              <w:right w:val="single" w:color="auto" w:sz="4" w:space="0"/>
            </w:tcBorders>
            <w:noWrap w:val="0"/>
            <w:vAlign w:val="center"/>
          </w:tcPr>
          <w:p w14:paraId="3D368808">
            <w:pPr>
              <w:keepNext w:val="0"/>
              <w:keepLines w:val="0"/>
              <w:pageBreakBefore w:val="0"/>
              <w:widowControl/>
              <w:suppressLineNumbers w:val="0"/>
              <w:kinsoku/>
              <w:wordWrap/>
              <w:overflowPunct/>
              <w:topLinePunct w:val="0"/>
              <w:autoSpaceDE/>
              <w:autoSpaceDN/>
              <w:bidi w:val="0"/>
              <w:spacing w:beforeAutospacing="0" w:afterAutospacing="0" w:line="460" w:lineRule="exact"/>
              <w:ind w:left="0" w:leftChars="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绝缘电阻测试仪</w:t>
            </w:r>
          </w:p>
        </w:tc>
        <w:tc>
          <w:tcPr>
            <w:tcW w:w="2025" w:type="dxa"/>
            <w:tcBorders>
              <w:top w:val="nil"/>
              <w:left w:val="nil"/>
              <w:bottom w:val="single" w:color="auto" w:sz="4" w:space="0"/>
              <w:right w:val="single" w:color="auto" w:sz="4" w:space="0"/>
            </w:tcBorders>
            <w:noWrap w:val="0"/>
            <w:vAlign w:val="center"/>
          </w:tcPr>
          <w:p w14:paraId="3771D66F">
            <w:pPr>
              <w:keepNext w:val="0"/>
              <w:keepLines w:val="0"/>
              <w:pageBreakBefore w:val="0"/>
              <w:widowControl/>
              <w:suppressLineNumbers w:val="0"/>
              <w:kinsoku/>
              <w:wordWrap/>
              <w:overflowPunct/>
              <w:topLinePunct w:val="0"/>
              <w:autoSpaceDE/>
              <w:autoSpaceDN/>
              <w:bidi w:val="0"/>
              <w:spacing w:beforeAutospacing="0" w:afterAutospacing="0" w:line="460" w:lineRule="exact"/>
              <w:ind w:left="0" w:leftChars="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采用2500V或5000V兆欧表，吸收比（10～30℃范围）不低于或极化指数</w:t>
            </w:r>
          </w:p>
        </w:tc>
        <w:tc>
          <w:tcPr>
            <w:tcW w:w="946" w:type="dxa"/>
            <w:vMerge w:val="restart"/>
            <w:tcBorders>
              <w:top w:val="nil"/>
              <w:left w:val="single" w:color="auto" w:sz="4" w:space="0"/>
              <w:bottom w:val="single" w:color="000000" w:sz="4" w:space="0"/>
              <w:right w:val="single" w:color="auto" w:sz="4" w:space="0"/>
            </w:tcBorders>
            <w:noWrap w:val="0"/>
            <w:vAlign w:val="center"/>
          </w:tcPr>
          <w:p w14:paraId="4DD4FAD5">
            <w:pPr>
              <w:keepNext w:val="0"/>
              <w:keepLines w:val="0"/>
              <w:pageBreakBefore w:val="0"/>
              <w:widowControl/>
              <w:suppressLineNumbers w:val="0"/>
              <w:kinsoku/>
              <w:wordWrap/>
              <w:overflowPunct/>
              <w:topLinePunct w:val="0"/>
              <w:autoSpaceDE/>
              <w:autoSpaceDN/>
              <w:bidi w:val="0"/>
              <w:spacing w:beforeAutospacing="0" w:afterAutospacing="0" w:line="460" w:lineRule="exact"/>
              <w:ind w:left="0" w:leftChars="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每年</w:t>
            </w:r>
          </w:p>
        </w:tc>
        <w:tc>
          <w:tcPr>
            <w:tcW w:w="510" w:type="dxa"/>
            <w:vMerge w:val="restart"/>
            <w:tcBorders>
              <w:top w:val="nil"/>
              <w:left w:val="single" w:color="auto" w:sz="4" w:space="0"/>
              <w:bottom w:val="single" w:color="000000" w:sz="4" w:space="0"/>
              <w:right w:val="single" w:color="auto" w:sz="4" w:space="0"/>
            </w:tcBorders>
            <w:noWrap w:val="0"/>
            <w:vAlign w:val="center"/>
          </w:tcPr>
          <w:p w14:paraId="3F88E9F1">
            <w:pPr>
              <w:keepNext w:val="0"/>
              <w:keepLines w:val="0"/>
              <w:pageBreakBefore w:val="0"/>
              <w:widowControl/>
              <w:suppressLineNumbers w:val="0"/>
              <w:kinsoku/>
              <w:wordWrap/>
              <w:overflowPunct/>
              <w:topLinePunct w:val="0"/>
              <w:autoSpaceDE/>
              <w:autoSpaceDN/>
              <w:bidi w:val="0"/>
              <w:spacing w:beforeAutospacing="0" w:afterAutospacing="0" w:line="460" w:lineRule="exact"/>
              <w:ind w:left="0" w:leftChars="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　</w:t>
            </w:r>
          </w:p>
        </w:tc>
      </w:tr>
      <w:tr w14:paraId="7524D21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47" w:hRule="atLeast"/>
        </w:trPr>
        <w:tc>
          <w:tcPr>
            <w:tcW w:w="510" w:type="dxa"/>
            <w:vMerge w:val="continue"/>
            <w:tcBorders>
              <w:top w:val="nil"/>
              <w:left w:val="single" w:color="auto" w:sz="4" w:space="0"/>
              <w:bottom w:val="single" w:color="auto" w:sz="4" w:space="0"/>
              <w:right w:val="single" w:color="auto" w:sz="4" w:space="0"/>
            </w:tcBorders>
            <w:noWrap w:val="0"/>
            <w:vAlign w:val="center"/>
          </w:tcPr>
          <w:p w14:paraId="216B3768">
            <w:pPr>
              <w:keepNext w:val="0"/>
              <w:keepLines w:val="0"/>
              <w:pageBreakBefore w:val="0"/>
              <w:kinsoku/>
              <w:wordWrap/>
              <w:overflowPunct/>
              <w:topLinePunct w:val="0"/>
              <w:autoSpaceDE/>
              <w:autoSpaceDN/>
              <w:bidi w:val="0"/>
              <w:spacing w:beforeAutospacing="0" w:afterAutospacing="0" w:line="460" w:lineRule="exact"/>
              <w:ind w:left="0" w:leftChars="0"/>
              <w:jc w:val="center"/>
              <w:rPr>
                <w:rFonts w:hint="eastAsia" w:ascii="宋体" w:hAnsi="宋体" w:eastAsia="宋体" w:cs="宋体"/>
                <w:i w:val="0"/>
                <w:iCs w:val="0"/>
                <w:color w:val="auto"/>
                <w:sz w:val="24"/>
                <w:szCs w:val="24"/>
                <w:highlight w:val="none"/>
                <w:u w:val="none"/>
              </w:rPr>
            </w:pPr>
          </w:p>
        </w:tc>
        <w:tc>
          <w:tcPr>
            <w:tcW w:w="725" w:type="dxa"/>
            <w:vMerge w:val="continue"/>
            <w:tcBorders>
              <w:top w:val="nil"/>
              <w:left w:val="single" w:color="auto" w:sz="4" w:space="0"/>
              <w:bottom w:val="single" w:color="auto" w:sz="4" w:space="0"/>
              <w:right w:val="single" w:color="auto" w:sz="4" w:space="0"/>
            </w:tcBorders>
            <w:noWrap w:val="0"/>
            <w:vAlign w:val="center"/>
          </w:tcPr>
          <w:p w14:paraId="59470B0B">
            <w:pPr>
              <w:keepNext w:val="0"/>
              <w:keepLines w:val="0"/>
              <w:pageBreakBefore w:val="0"/>
              <w:kinsoku/>
              <w:wordWrap/>
              <w:overflowPunct/>
              <w:topLinePunct w:val="0"/>
              <w:autoSpaceDE/>
              <w:autoSpaceDN/>
              <w:bidi w:val="0"/>
              <w:spacing w:beforeAutospacing="0" w:afterAutospacing="0" w:line="460" w:lineRule="exact"/>
              <w:ind w:left="0" w:leftChars="0"/>
              <w:jc w:val="center"/>
              <w:rPr>
                <w:rFonts w:hint="eastAsia" w:ascii="宋体" w:hAnsi="宋体" w:eastAsia="宋体" w:cs="宋体"/>
                <w:i w:val="0"/>
                <w:iCs w:val="0"/>
                <w:color w:val="auto"/>
                <w:sz w:val="24"/>
                <w:szCs w:val="24"/>
                <w:highlight w:val="none"/>
                <w:u w:val="none"/>
              </w:rPr>
            </w:pPr>
          </w:p>
        </w:tc>
        <w:tc>
          <w:tcPr>
            <w:tcW w:w="731" w:type="dxa"/>
            <w:vMerge w:val="continue"/>
            <w:tcBorders>
              <w:top w:val="nil"/>
              <w:left w:val="single" w:color="auto" w:sz="4" w:space="0"/>
              <w:bottom w:val="single" w:color="auto" w:sz="4" w:space="0"/>
              <w:right w:val="single" w:color="auto" w:sz="4" w:space="0"/>
            </w:tcBorders>
            <w:noWrap w:val="0"/>
            <w:vAlign w:val="center"/>
          </w:tcPr>
          <w:p w14:paraId="5C3FBF91">
            <w:pPr>
              <w:keepNext w:val="0"/>
              <w:keepLines w:val="0"/>
              <w:pageBreakBefore w:val="0"/>
              <w:kinsoku/>
              <w:wordWrap/>
              <w:overflowPunct/>
              <w:topLinePunct w:val="0"/>
              <w:autoSpaceDE/>
              <w:autoSpaceDN/>
              <w:bidi w:val="0"/>
              <w:spacing w:beforeAutospacing="0" w:afterAutospacing="0" w:line="460" w:lineRule="exact"/>
              <w:ind w:left="0" w:leftChars="0"/>
              <w:jc w:val="center"/>
              <w:rPr>
                <w:rFonts w:hint="eastAsia" w:ascii="宋体" w:hAnsi="宋体" w:eastAsia="宋体" w:cs="宋体"/>
                <w:i w:val="0"/>
                <w:iCs w:val="0"/>
                <w:color w:val="auto"/>
                <w:sz w:val="24"/>
                <w:szCs w:val="24"/>
                <w:highlight w:val="none"/>
                <w:u w:val="none"/>
              </w:rPr>
            </w:pPr>
          </w:p>
        </w:tc>
        <w:tc>
          <w:tcPr>
            <w:tcW w:w="913" w:type="dxa"/>
            <w:vMerge w:val="continue"/>
            <w:tcBorders>
              <w:top w:val="nil"/>
              <w:left w:val="single" w:color="auto" w:sz="4" w:space="0"/>
              <w:bottom w:val="single" w:color="auto" w:sz="4" w:space="0"/>
              <w:right w:val="single" w:color="auto" w:sz="4" w:space="0"/>
            </w:tcBorders>
            <w:noWrap w:val="0"/>
            <w:vAlign w:val="center"/>
          </w:tcPr>
          <w:p w14:paraId="40BED9A3">
            <w:pPr>
              <w:keepNext w:val="0"/>
              <w:keepLines w:val="0"/>
              <w:pageBreakBefore w:val="0"/>
              <w:kinsoku/>
              <w:wordWrap/>
              <w:overflowPunct/>
              <w:topLinePunct w:val="0"/>
              <w:autoSpaceDE/>
              <w:autoSpaceDN/>
              <w:bidi w:val="0"/>
              <w:spacing w:beforeAutospacing="0" w:afterAutospacing="0" w:line="460" w:lineRule="exact"/>
              <w:ind w:left="0" w:leftChars="0"/>
              <w:jc w:val="center"/>
              <w:rPr>
                <w:rFonts w:hint="eastAsia" w:ascii="宋体" w:hAnsi="宋体" w:eastAsia="宋体" w:cs="宋体"/>
                <w:i w:val="0"/>
                <w:iCs w:val="0"/>
                <w:color w:val="auto"/>
                <w:sz w:val="24"/>
                <w:szCs w:val="24"/>
                <w:highlight w:val="none"/>
                <w:u w:val="none"/>
              </w:rPr>
            </w:pPr>
          </w:p>
        </w:tc>
        <w:tc>
          <w:tcPr>
            <w:tcW w:w="717" w:type="dxa"/>
            <w:tcBorders>
              <w:top w:val="nil"/>
              <w:left w:val="nil"/>
              <w:bottom w:val="single" w:color="auto" w:sz="4" w:space="0"/>
              <w:right w:val="single" w:color="auto" w:sz="4" w:space="0"/>
            </w:tcBorders>
            <w:noWrap w:val="0"/>
            <w:vAlign w:val="center"/>
          </w:tcPr>
          <w:p w14:paraId="5B228D88">
            <w:pPr>
              <w:keepNext w:val="0"/>
              <w:keepLines w:val="0"/>
              <w:pageBreakBefore w:val="0"/>
              <w:widowControl/>
              <w:suppressLineNumbers w:val="0"/>
              <w:kinsoku/>
              <w:wordWrap/>
              <w:overflowPunct/>
              <w:topLinePunct w:val="0"/>
              <w:autoSpaceDE/>
              <w:autoSpaceDN/>
              <w:bidi w:val="0"/>
              <w:spacing w:beforeAutospacing="0" w:afterAutospacing="0" w:line="460" w:lineRule="exact"/>
              <w:ind w:left="0" w:leftChars="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w:t>
            </w:r>
          </w:p>
        </w:tc>
        <w:tc>
          <w:tcPr>
            <w:tcW w:w="725" w:type="dxa"/>
            <w:tcBorders>
              <w:top w:val="nil"/>
              <w:left w:val="nil"/>
              <w:bottom w:val="single" w:color="auto" w:sz="4" w:space="0"/>
              <w:right w:val="single" w:color="auto" w:sz="4" w:space="0"/>
            </w:tcBorders>
            <w:noWrap w:val="0"/>
            <w:vAlign w:val="center"/>
          </w:tcPr>
          <w:p w14:paraId="118EF1A1">
            <w:pPr>
              <w:keepNext w:val="0"/>
              <w:keepLines w:val="0"/>
              <w:pageBreakBefore w:val="0"/>
              <w:widowControl/>
              <w:suppressLineNumbers w:val="0"/>
              <w:kinsoku/>
              <w:wordWrap/>
              <w:overflowPunct/>
              <w:topLinePunct w:val="0"/>
              <w:autoSpaceDE/>
              <w:autoSpaceDN/>
              <w:bidi w:val="0"/>
              <w:spacing w:beforeAutospacing="0" w:afterAutospacing="0" w:line="460" w:lineRule="exact"/>
              <w:ind w:left="0" w:leftChars="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耐压试验</w:t>
            </w:r>
          </w:p>
        </w:tc>
        <w:tc>
          <w:tcPr>
            <w:tcW w:w="1485" w:type="dxa"/>
            <w:tcBorders>
              <w:top w:val="nil"/>
              <w:left w:val="nil"/>
              <w:bottom w:val="single" w:color="auto" w:sz="4" w:space="0"/>
              <w:right w:val="single" w:color="auto" w:sz="4" w:space="0"/>
            </w:tcBorders>
            <w:noWrap w:val="0"/>
            <w:vAlign w:val="center"/>
          </w:tcPr>
          <w:p w14:paraId="71694DF6">
            <w:pPr>
              <w:keepNext w:val="0"/>
              <w:keepLines w:val="0"/>
              <w:pageBreakBefore w:val="0"/>
              <w:widowControl/>
              <w:suppressLineNumbers w:val="0"/>
              <w:kinsoku/>
              <w:wordWrap/>
              <w:overflowPunct/>
              <w:topLinePunct w:val="0"/>
              <w:autoSpaceDE/>
              <w:autoSpaceDN/>
              <w:bidi w:val="0"/>
              <w:spacing w:beforeAutospacing="0" w:afterAutospacing="0" w:line="460" w:lineRule="exact"/>
              <w:ind w:left="0" w:leftChars="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试验变压器及交流数显控制箱</w:t>
            </w:r>
          </w:p>
        </w:tc>
        <w:tc>
          <w:tcPr>
            <w:tcW w:w="2025" w:type="dxa"/>
            <w:tcBorders>
              <w:top w:val="nil"/>
              <w:left w:val="nil"/>
              <w:bottom w:val="single" w:color="auto" w:sz="4" w:space="0"/>
              <w:right w:val="single" w:color="auto" w:sz="4" w:space="0"/>
            </w:tcBorders>
            <w:noWrap w:val="0"/>
            <w:vAlign w:val="center"/>
          </w:tcPr>
          <w:p w14:paraId="2FDAE04E">
            <w:pPr>
              <w:keepNext w:val="0"/>
              <w:keepLines w:val="0"/>
              <w:pageBreakBefore w:val="0"/>
              <w:widowControl/>
              <w:suppressLineNumbers w:val="0"/>
              <w:kinsoku/>
              <w:wordWrap/>
              <w:overflowPunct/>
              <w:topLinePunct w:val="0"/>
              <w:autoSpaceDE/>
              <w:autoSpaceDN/>
              <w:bidi w:val="0"/>
              <w:spacing w:beforeAutospacing="0" w:afterAutospacing="0" w:line="460" w:lineRule="exact"/>
              <w:ind w:left="0" w:leftChars="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耐压试验按出厂值电压的倍进行耐压试验</w:t>
            </w:r>
          </w:p>
        </w:tc>
        <w:tc>
          <w:tcPr>
            <w:tcW w:w="946" w:type="dxa"/>
            <w:vMerge w:val="continue"/>
            <w:tcBorders>
              <w:top w:val="nil"/>
              <w:left w:val="single" w:color="auto" w:sz="4" w:space="0"/>
              <w:bottom w:val="single" w:color="000000" w:sz="4" w:space="0"/>
              <w:right w:val="single" w:color="auto" w:sz="4" w:space="0"/>
            </w:tcBorders>
            <w:noWrap w:val="0"/>
            <w:vAlign w:val="center"/>
          </w:tcPr>
          <w:p w14:paraId="04759533">
            <w:pPr>
              <w:keepNext w:val="0"/>
              <w:keepLines w:val="0"/>
              <w:pageBreakBefore w:val="0"/>
              <w:kinsoku/>
              <w:wordWrap/>
              <w:overflowPunct/>
              <w:topLinePunct w:val="0"/>
              <w:autoSpaceDE/>
              <w:autoSpaceDN/>
              <w:bidi w:val="0"/>
              <w:spacing w:beforeAutospacing="0" w:afterAutospacing="0" w:line="460" w:lineRule="exact"/>
              <w:ind w:left="0" w:leftChars="0"/>
              <w:jc w:val="center"/>
              <w:rPr>
                <w:rFonts w:hint="eastAsia" w:ascii="宋体" w:hAnsi="宋体" w:eastAsia="宋体" w:cs="宋体"/>
                <w:i w:val="0"/>
                <w:iCs w:val="0"/>
                <w:color w:val="auto"/>
                <w:sz w:val="24"/>
                <w:szCs w:val="24"/>
                <w:highlight w:val="none"/>
                <w:u w:val="none"/>
              </w:rPr>
            </w:pPr>
          </w:p>
        </w:tc>
        <w:tc>
          <w:tcPr>
            <w:tcW w:w="510" w:type="dxa"/>
            <w:vMerge w:val="continue"/>
            <w:tcBorders>
              <w:top w:val="nil"/>
              <w:left w:val="single" w:color="auto" w:sz="4" w:space="0"/>
              <w:bottom w:val="single" w:color="000000" w:sz="4" w:space="0"/>
              <w:right w:val="single" w:color="auto" w:sz="4" w:space="0"/>
            </w:tcBorders>
            <w:noWrap w:val="0"/>
            <w:vAlign w:val="center"/>
          </w:tcPr>
          <w:p w14:paraId="2D85265A">
            <w:pPr>
              <w:keepNext w:val="0"/>
              <w:keepLines w:val="0"/>
              <w:pageBreakBefore w:val="0"/>
              <w:kinsoku/>
              <w:wordWrap/>
              <w:overflowPunct/>
              <w:topLinePunct w:val="0"/>
              <w:autoSpaceDE/>
              <w:autoSpaceDN/>
              <w:bidi w:val="0"/>
              <w:spacing w:beforeAutospacing="0" w:afterAutospacing="0" w:line="460" w:lineRule="exact"/>
              <w:ind w:left="0" w:leftChars="0"/>
              <w:jc w:val="center"/>
              <w:rPr>
                <w:rFonts w:hint="eastAsia" w:ascii="宋体" w:hAnsi="宋体" w:eastAsia="宋体" w:cs="宋体"/>
                <w:i w:val="0"/>
                <w:iCs w:val="0"/>
                <w:color w:val="auto"/>
                <w:sz w:val="24"/>
                <w:szCs w:val="24"/>
                <w:highlight w:val="none"/>
                <w:u w:val="none"/>
              </w:rPr>
            </w:pPr>
          </w:p>
        </w:tc>
      </w:tr>
      <w:tr w14:paraId="0A7A6B5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47" w:hRule="atLeast"/>
        </w:trPr>
        <w:tc>
          <w:tcPr>
            <w:tcW w:w="510" w:type="dxa"/>
            <w:vMerge w:val="restart"/>
            <w:tcBorders>
              <w:top w:val="nil"/>
              <w:left w:val="single" w:color="auto" w:sz="4" w:space="0"/>
              <w:bottom w:val="single" w:color="auto" w:sz="4" w:space="0"/>
              <w:right w:val="single" w:color="auto" w:sz="4" w:space="0"/>
            </w:tcBorders>
            <w:noWrap w:val="0"/>
            <w:vAlign w:val="center"/>
          </w:tcPr>
          <w:p w14:paraId="16A219ED">
            <w:pPr>
              <w:keepNext w:val="0"/>
              <w:keepLines w:val="0"/>
              <w:pageBreakBefore w:val="0"/>
              <w:widowControl/>
              <w:suppressLineNumbers w:val="0"/>
              <w:kinsoku/>
              <w:wordWrap/>
              <w:overflowPunct/>
              <w:topLinePunct w:val="0"/>
              <w:autoSpaceDE/>
              <w:autoSpaceDN/>
              <w:bidi w:val="0"/>
              <w:spacing w:beforeAutospacing="0" w:afterAutospacing="0" w:line="460" w:lineRule="exact"/>
              <w:ind w:left="0" w:leftChars="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w:t>
            </w:r>
          </w:p>
        </w:tc>
        <w:tc>
          <w:tcPr>
            <w:tcW w:w="725" w:type="dxa"/>
            <w:vMerge w:val="restart"/>
            <w:tcBorders>
              <w:top w:val="nil"/>
              <w:left w:val="single" w:color="auto" w:sz="4" w:space="0"/>
              <w:bottom w:val="single" w:color="auto" w:sz="4" w:space="0"/>
              <w:right w:val="single" w:color="auto" w:sz="4" w:space="0"/>
            </w:tcBorders>
            <w:noWrap w:val="0"/>
            <w:vAlign w:val="center"/>
          </w:tcPr>
          <w:p w14:paraId="41BB761C">
            <w:pPr>
              <w:keepNext w:val="0"/>
              <w:keepLines w:val="0"/>
              <w:pageBreakBefore w:val="0"/>
              <w:widowControl/>
              <w:suppressLineNumbers w:val="0"/>
              <w:kinsoku/>
              <w:wordWrap/>
              <w:overflowPunct/>
              <w:topLinePunct w:val="0"/>
              <w:autoSpaceDE/>
              <w:autoSpaceDN/>
              <w:bidi w:val="0"/>
              <w:spacing w:beforeAutospacing="0" w:afterAutospacing="0" w:line="460" w:lineRule="exact"/>
              <w:ind w:left="0" w:leftChars="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变压器</w:t>
            </w:r>
          </w:p>
        </w:tc>
        <w:tc>
          <w:tcPr>
            <w:tcW w:w="731" w:type="dxa"/>
            <w:vMerge w:val="restart"/>
            <w:tcBorders>
              <w:top w:val="nil"/>
              <w:left w:val="single" w:color="auto" w:sz="4" w:space="0"/>
              <w:bottom w:val="single" w:color="auto" w:sz="4" w:space="0"/>
              <w:right w:val="single" w:color="auto" w:sz="4" w:space="0"/>
            </w:tcBorders>
            <w:noWrap w:val="0"/>
            <w:vAlign w:val="center"/>
          </w:tcPr>
          <w:p w14:paraId="76E4E7F8">
            <w:pPr>
              <w:keepNext w:val="0"/>
              <w:keepLines w:val="0"/>
              <w:pageBreakBefore w:val="0"/>
              <w:widowControl/>
              <w:suppressLineNumbers w:val="0"/>
              <w:kinsoku/>
              <w:wordWrap/>
              <w:overflowPunct/>
              <w:topLinePunct w:val="0"/>
              <w:autoSpaceDE/>
              <w:autoSpaceDN/>
              <w:bidi w:val="0"/>
              <w:spacing w:beforeAutospacing="0" w:afterAutospacing="0" w:line="460" w:lineRule="exact"/>
              <w:ind w:left="0" w:leftChars="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10KV</w:t>
            </w:r>
          </w:p>
        </w:tc>
        <w:tc>
          <w:tcPr>
            <w:tcW w:w="913" w:type="dxa"/>
            <w:vMerge w:val="restart"/>
            <w:tcBorders>
              <w:top w:val="nil"/>
              <w:left w:val="single" w:color="auto" w:sz="4" w:space="0"/>
              <w:bottom w:val="single" w:color="auto" w:sz="4" w:space="0"/>
              <w:right w:val="single" w:color="auto" w:sz="4" w:space="0"/>
            </w:tcBorders>
            <w:noWrap w:val="0"/>
            <w:vAlign w:val="center"/>
          </w:tcPr>
          <w:p w14:paraId="522D21A2">
            <w:pPr>
              <w:keepNext w:val="0"/>
              <w:keepLines w:val="0"/>
              <w:pageBreakBefore w:val="0"/>
              <w:widowControl/>
              <w:suppressLineNumbers w:val="0"/>
              <w:kinsoku/>
              <w:wordWrap/>
              <w:overflowPunct/>
              <w:topLinePunct w:val="0"/>
              <w:autoSpaceDE/>
              <w:autoSpaceDN/>
              <w:bidi w:val="0"/>
              <w:spacing w:beforeAutospacing="0" w:afterAutospacing="0" w:line="460" w:lineRule="exact"/>
              <w:ind w:left="0" w:leftChars="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630KVA</w:t>
            </w:r>
          </w:p>
        </w:tc>
        <w:tc>
          <w:tcPr>
            <w:tcW w:w="717" w:type="dxa"/>
            <w:tcBorders>
              <w:top w:val="nil"/>
              <w:left w:val="nil"/>
              <w:bottom w:val="single" w:color="auto" w:sz="4" w:space="0"/>
              <w:right w:val="single" w:color="auto" w:sz="4" w:space="0"/>
            </w:tcBorders>
            <w:noWrap w:val="0"/>
            <w:vAlign w:val="center"/>
          </w:tcPr>
          <w:p w14:paraId="07960099">
            <w:pPr>
              <w:keepNext w:val="0"/>
              <w:keepLines w:val="0"/>
              <w:pageBreakBefore w:val="0"/>
              <w:widowControl/>
              <w:suppressLineNumbers w:val="0"/>
              <w:kinsoku/>
              <w:wordWrap/>
              <w:overflowPunct/>
              <w:topLinePunct w:val="0"/>
              <w:autoSpaceDE/>
              <w:autoSpaceDN/>
              <w:bidi w:val="0"/>
              <w:spacing w:beforeAutospacing="0" w:afterAutospacing="0" w:line="460" w:lineRule="exact"/>
              <w:ind w:left="0" w:leftChars="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w:t>
            </w:r>
          </w:p>
        </w:tc>
        <w:tc>
          <w:tcPr>
            <w:tcW w:w="725" w:type="dxa"/>
            <w:tcBorders>
              <w:top w:val="nil"/>
              <w:left w:val="nil"/>
              <w:bottom w:val="single" w:color="auto" w:sz="4" w:space="0"/>
              <w:right w:val="single" w:color="auto" w:sz="4" w:space="0"/>
            </w:tcBorders>
            <w:noWrap w:val="0"/>
            <w:vAlign w:val="center"/>
          </w:tcPr>
          <w:p w14:paraId="78C39418">
            <w:pPr>
              <w:keepNext w:val="0"/>
              <w:keepLines w:val="0"/>
              <w:pageBreakBefore w:val="0"/>
              <w:widowControl/>
              <w:suppressLineNumbers w:val="0"/>
              <w:kinsoku/>
              <w:wordWrap/>
              <w:overflowPunct/>
              <w:topLinePunct w:val="0"/>
              <w:autoSpaceDE/>
              <w:autoSpaceDN/>
              <w:bidi w:val="0"/>
              <w:spacing w:beforeAutospacing="0" w:afterAutospacing="0" w:line="460" w:lineRule="exact"/>
              <w:ind w:left="0" w:leftChars="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绝缘电阻</w:t>
            </w:r>
          </w:p>
        </w:tc>
        <w:tc>
          <w:tcPr>
            <w:tcW w:w="1485" w:type="dxa"/>
            <w:tcBorders>
              <w:top w:val="nil"/>
              <w:left w:val="nil"/>
              <w:bottom w:val="single" w:color="auto" w:sz="4" w:space="0"/>
              <w:right w:val="single" w:color="auto" w:sz="4" w:space="0"/>
            </w:tcBorders>
            <w:noWrap w:val="0"/>
            <w:vAlign w:val="center"/>
          </w:tcPr>
          <w:p w14:paraId="22A6B4F8">
            <w:pPr>
              <w:keepNext w:val="0"/>
              <w:keepLines w:val="0"/>
              <w:pageBreakBefore w:val="0"/>
              <w:widowControl/>
              <w:suppressLineNumbers w:val="0"/>
              <w:kinsoku/>
              <w:wordWrap/>
              <w:overflowPunct/>
              <w:topLinePunct w:val="0"/>
              <w:autoSpaceDE/>
              <w:autoSpaceDN/>
              <w:bidi w:val="0"/>
              <w:spacing w:beforeAutospacing="0" w:afterAutospacing="0" w:line="460" w:lineRule="exact"/>
              <w:ind w:left="0" w:leftChars="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绝缘电阻测试仪</w:t>
            </w:r>
          </w:p>
        </w:tc>
        <w:tc>
          <w:tcPr>
            <w:tcW w:w="2025" w:type="dxa"/>
            <w:tcBorders>
              <w:top w:val="nil"/>
              <w:left w:val="nil"/>
              <w:bottom w:val="single" w:color="auto" w:sz="4" w:space="0"/>
              <w:right w:val="single" w:color="auto" w:sz="4" w:space="0"/>
            </w:tcBorders>
            <w:noWrap w:val="0"/>
            <w:vAlign w:val="center"/>
          </w:tcPr>
          <w:p w14:paraId="72F8D220">
            <w:pPr>
              <w:keepNext w:val="0"/>
              <w:keepLines w:val="0"/>
              <w:pageBreakBefore w:val="0"/>
              <w:widowControl/>
              <w:suppressLineNumbers w:val="0"/>
              <w:kinsoku/>
              <w:wordWrap/>
              <w:overflowPunct/>
              <w:topLinePunct w:val="0"/>
              <w:autoSpaceDE/>
              <w:autoSpaceDN/>
              <w:bidi w:val="0"/>
              <w:spacing w:beforeAutospacing="0" w:afterAutospacing="0" w:line="460" w:lineRule="exact"/>
              <w:ind w:left="0" w:leftChars="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采用2500V或5000V兆欧表，吸收比（10～30℃范围）不低于或极化指数</w:t>
            </w:r>
          </w:p>
        </w:tc>
        <w:tc>
          <w:tcPr>
            <w:tcW w:w="946" w:type="dxa"/>
            <w:vMerge w:val="restart"/>
            <w:tcBorders>
              <w:top w:val="nil"/>
              <w:left w:val="single" w:color="auto" w:sz="4" w:space="0"/>
              <w:bottom w:val="single" w:color="000000" w:sz="4" w:space="0"/>
              <w:right w:val="single" w:color="auto" w:sz="4" w:space="0"/>
            </w:tcBorders>
            <w:noWrap w:val="0"/>
            <w:vAlign w:val="center"/>
          </w:tcPr>
          <w:p w14:paraId="34E58FE6">
            <w:pPr>
              <w:keepNext w:val="0"/>
              <w:keepLines w:val="0"/>
              <w:pageBreakBefore w:val="0"/>
              <w:widowControl/>
              <w:suppressLineNumbers w:val="0"/>
              <w:kinsoku/>
              <w:wordWrap/>
              <w:overflowPunct/>
              <w:topLinePunct w:val="0"/>
              <w:autoSpaceDE/>
              <w:autoSpaceDN/>
              <w:bidi w:val="0"/>
              <w:spacing w:beforeAutospacing="0" w:afterAutospacing="0" w:line="460" w:lineRule="exact"/>
              <w:ind w:left="0" w:leftChars="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每年</w:t>
            </w:r>
          </w:p>
        </w:tc>
        <w:tc>
          <w:tcPr>
            <w:tcW w:w="510" w:type="dxa"/>
            <w:vMerge w:val="restart"/>
            <w:tcBorders>
              <w:top w:val="nil"/>
              <w:left w:val="single" w:color="auto" w:sz="4" w:space="0"/>
              <w:bottom w:val="single" w:color="000000" w:sz="4" w:space="0"/>
              <w:right w:val="single" w:color="auto" w:sz="4" w:space="0"/>
            </w:tcBorders>
            <w:noWrap w:val="0"/>
            <w:vAlign w:val="center"/>
          </w:tcPr>
          <w:p w14:paraId="5D74E962">
            <w:pPr>
              <w:keepNext w:val="0"/>
              <w:keepLines w:val="0"/>
              <w:pageBreakBefore w:val="0"/>
              <w:widowControl/>
              <w:suppressLineNumbers w:val="0"/>
              <w:kinsoku/>
              <w:wordWrap/>
              <w:overflowPunct/>
              <w:topLinePunct w:val="0"/>
              <w:autoSpaceDE/>
              <w:autoSpaceDN/>
              <w:bidi w:val="0"/>
              <w:spacing w:beforeAutospacing="0" w:afterAutospacing="0" w:line="460" w:lineRule="exact"/>
              <w:ind w:left="0" w:leftChars="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　</w:t>
            </w:r>
          </w:p>
        </w:tc>
      </w:tr>
      <w:tr w14:paraId="6CA6808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47" w:hRule="atLeast"/>
        </w:trPr>
        <w:tc>
          <w:tcPr>
            <w:tcW w:w="510" w:type="dxa"/>
            <w:vMerge w:val="continue"/>
            <w:tcBorders>
              <w:top w:val="nil"/>
              <w:left w:val="single" w:color="auto" w:sz="4" w:space="0"/>
              <w:bottom w:val="single" w:color="auto" w:sz="4" w:space="0"/>
              <w:right w:val="single" w:color="auto" w:sz="4" w:space="0"/>
            </w:tcBorders>
            <w:noWrap w:val="0"/>
            <w:vAlign w:val="center"/>
          </w:tcPr>
          <w:p w14:paraId="7FC08A9A">
            <w:pPr>
              <w:keepNext w:val="0"/>
              <w:keepLines w:val="0"/>
              <w:pageBreakBefore w:val="0"/>
              <w:kinsoku/>
              <w:wordWrap/>
              <w:overflowPunct/>
              <w:topLinePunct w:val="0"/>
              <w:autoSpaceDE/>
              <w:autoSpaceDN/>
              <w:bidi w:val="0"/>
              <w:spacing w:beforeAutospacing="0" w:afterAutospacing="0" w:line="460" w:lineRule="exact"/>
              <w:ind w:left="0" w:leftChars="0"/>
              <w:jc w:val="center"/>
              <w:rPr>
                <w:rFonts w:hint="eastAsia" w:ascii="宋体" w:hAnsi="宋体" w:eastAsia="宋体" w:cs="宋体"/>
                <w:i w:val="0"/>
                <w:iCs w:val="0"/>
                <w:color w:val="auto"/>
                <w:sz w:val="24"/>
                <w:szCs w:val="24"/>
                <w:highlight w:val="none"/>
                <w:u w:val="none"/>
              </w:rPr>
            </w:pPr>
          </w:p>
        </w:tc>
        <w:tc>
          <w:tcPr>
            <w:tcW w:w="725" w:type="dxa"/>
            <w:vMerge w:val="continue"/>
            <w:tcBorders>
              <w:top w:val="nil"/>
              <w:left w:val="single" w:color="auto" w:sz="4" w:space="0"/>
              <w:bottom w:val="single" w:color="auto" w:sz="4" w:space="0"/>
              <w:right w:val="single" w:color="auto" w:sz="4" w:space="0"/>
            </w:tcBorders>
            <w:noWrap w:val="0"/>
            <w:vAlign w:val="center"/>
          </w:tcPr>
          <w:p w14:paraId="67B4BCE3">
            <w:pPr>
              <w:keepNext w:val="0"/>
              <w:keepLines w:val="0"/>
              <w:pageBreakBefore w:val="0"/>
              <w:kinsoku/>
              <w:wordWrap/>
              <w:overflowPunct/>
              <w:topLinePunct w:val="0"/>
              <w:autoSpaceDE/>
              <w:autoSpaceDN/>
              <w:bidi w:val="0"/>
              <w:spacing w:beforeAutospacing="0" w:afterAutospacing="0" w:line="460" w:lineRule="exact"/>
              <w:ind w:left="0" w:leftChars="0"/>
              <w:jc w:val="center"/>
              <w:rPr>
                <w:rFonts w:hint="eastAsia" w:ascii="宋体" w:hAnsi="宋体" w:eastAsia="宋体" w:cs="宋体"/>
                <w:i w:val="0"/>
                <w:iCs w:val="0"/>
                <w:color w:val="auto"/>
                <w:sz w:val="24"/>
                <w:szCs w:val="24"/>
                <w:highlight w:val="none"/>
                <w:u w:val="none"/>
              </w:rPr>
            </w:pPr>
          </w:p>
        </w:tc>
        <w:tc>
          <w:tcPr>
            <w:tcW w:w="731" w:type="dxa"/>
            <w:vMerge w:val="continue"/>
            <w:tcBorders>
              <w:top w:val="nil"/>
              <w:left w:val="single" w:color="auto" w:sz="4" w:space="0"/>
              <w:bottom w:val="single" w:color="auto" w:sz="4" w:space="0"/>
              <w:right w:val="single" w:color="auto" w:sz="4" w:space="0"/>
            </w:tcBorders>
            <w:noWrap w:val="0"/>
            <w:vAlign w:val="center"/>
          </w:tcPr>
          <w:p w14:paraId="70D50F71">
            <w:pPr>
              <w:keepNext w:val="0"/>
              <w:keepLines w:val="0"/>
              <w:pageBreakBefore w:val="0"/>
              <w:kinsoku/>
              <w:wordWrap/>
              <w:overflowPunct/>
              <w:topLinePunct w:val="0"/>
              <w:autoSpaceDE/>
              <w:autoSpaceDN/>
              <w:bidi w:val="0"/>
              <w:spacing w:beforeAutospacing="0" w:afterAutospacing="0" w:line="460" w:lineRule="exact"/>
              <w:ind w:left="0" w:leftChars="0"/>
              <w:jc w:val="center"/>
              <w:rPr>
                <w:rFonts w:hint="eastAsia" w:ascii="宋体" w:hAnsi="宋体" w:eastAsia="宋体" w:cs="宋体"/>
                <w:i w:val="0"/>
                <w:iCs w:val="0"/>
                <w:color w:val="auto"/>
                <w:sz w:val="24"/>
                <w:szCs w:val="24"/>
                <w:highlight w:val="none"/>
                <w:u w:val="none"/>
              </w:rPr>
            </w:pPr>
          </w:p>
        </w:tc>
        <w:tc>
          <w:tcPr>
            <w:tcW w:w="913" w:type="dxa"/>
            <w:vMerge w:val="continue"/>
            <w:tcBorders>
              <w:top w:val="nil"/>
              <w:left w:val="single" w:color="auto" w:sz="4" w:space="0"/>
              <w:bottom w:val="single" w:color="auto" w:sz="4" w:space="0"/>
              <w:right w:val="single" w:color="auto" w:sz="4" w:space="0"/>
            </w:tcBorders>
            <w:noWrap w:val="0"/>
            <w:vAlign w:val="center"/>
          </w:tcPr>
          <w:p w14:paraId="69E27A5F">
            <w:pPr>
              <w:keepNext w:val="0"/>
              <w:keepLines w:val="0"/>
              <w:pageBreakBefore w:val="0"/>
              <w:kinsoku/>
              <w:wordWrap/>
              <w:overflowPunct/>
              <w:topLinePunct w:val="0"/>
              <w:autoSpaceDE/>
              <w:autoSpaceDN/>
              <w:bidi w:val="0"/>
              <w:spacing w:beforeAutospacing="0" w:afterAutospacing="0" w:line="460" w:lineRule="exact"/>
              <w:ind w:left="0" w:leftChars="0"/>
              <w:jc w:val="center"/>
              <w:rPr>
                <w:rFonts w:hint="eastAsia" w:ascii="宋体" w:hAnsi="宋体" w:eastAsia="宋体" w:cs="宋体"/>
                <w:i w:val="0"/>
                <w:iCs w:val="0"/>
                <w:color w:val="auto"/>
                <w:sz w:val="24"/>
                <w:szCs w:val="24"/>
                <w:highlight w:val="none"/>
                <w:u w:val="none"/>
              </w:rPr>
            </w:pPr>
          </w:p>
        </w:tc>
        <w:tc>
          <w:tcPr>
            <w:tcW w:w="717" w:type="dxa"/>
            <w:tcBorders>
              <w:top w:val="nil"/>
              <w:left w:val="nil"/>
              <w:bottom w:val="single" w:color="auto" w:sz="4" w:space="0"/>
              <w:right w:val="single" w:color="auto" w:sz="4" w:space="0"/>
            </w:tcBorders>
            <w:noWrap w:val="0"/>
            <w:vAlign w:val="center"/>
          </w:tcPr>
          <w:p w14:paraId="1B0ED4E1">
            <w:pPr>
              <w:keepNext w:val="0"/>
              <w:keepLines w:val="0"/>
              <w:pageBreakBefore w:val="0"/>
              <w:widowControl/>
              <w:suppressLineNumbers w:val="0"/>
              <w:kinsoku/>
              <w:wordWrap/>
              <w:overflowPunct/>
              <w:topLinePunct w:val="0"/>
              <w:autoSpaceDE/>
              <w:autoSpaceDN/>
              <w:bidi w:val="0"/>
              <w:spacing w:beforeAutospacing="0" w:afterAutospacing="0" w:line="460" w:lineRule="exact"/>
              <w:ind w:left="0" w:leftChars="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w:t>
            </w:r>
          </w:p>
        </w:tc>
        <w:tc>
          <w:tcPr>
            <w:tcW w:w="725" w:type="dxa"/>
            <w:tcBorders>
              <w:top w:val="nil"/>
              <w:left w:val="nil"/>
              <w:bottom w:val="single" w:color="auto" w:sz="4" w:space="0"/>
              <w:right w:val="single" w:color="auto" w:sz="4" w:space="0"/>
            </w:tcBorders>
            <w:noWrap w:val="0"/>
            <w:vAlign w:val="center"/>
          </w:tcPr>
          <w:p w14:paraId="490DAEBB">
            <w:pPr>
              <w:keepNext w:val="0"/>
              <w:keepLines w:val="0"/>
              <w:pageBreakBefore w:val="0"/>
              <w:widowControl/>
              <w:suppressLineNumbers w:val="0"/>
              <w:kinsoku/>
              <w:wordWrap/>
              <w:overflowPunct/>
              <w:topLinePunct w:val="0"/>
              <w:autoSpaceDE/>
              <w:autoSpaceDN/>
              <w:bidi w:val="0"/>
              <w:spacing w:beforeAutospacing="0" w:afterAutospacing="0" w:line="460" w:lineRule="exact"/>
              <w:ind w:left="0" w:leftChars="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耐压试验</w:t>
            </w:r>
          </w:p>
        </w:tc>
        <w:tc>
          <w:tcPr>
            <w:tcW w:w="1485" w:type="dxa"/>
            <w:tcBorders>
              <w:top w:val="nil"/>
              <w:left w:val="nil"/>
              <w:bottom w:val="single" w:color="auto" w:sz="4" w:space="0"/>
              <w:right w:val="single" w:color="auto" w:sz="4" w:space="0"/>
            </w:tcBorders>
            <w:noWrap w:val="0"/>
            <w:vAlign w:val="center"/>
          </w:tcPr>
          <w:p w14:paraId="0D2E8294">
            <w:pPr>
              <w:keepNext w:val="0"/>
              <w:keepLines w:val="0"/>
              <w:pageBreakBefore w:val="0"/>
              <w:widowControl/>
              <w:suppressLineNumbers w:val="0"/>
              <w:kinsoku/>
              <w:wordWrap/>
              <w:overflowPunct/>
              <w:topLinePunct w:val="0"/>
              <w:autoSpaceDE/>
              <w:autoSpaceDN/>
              <w:bidi w:val="0"/>
              <w:spacing w:beforeAutospacing="0" w:afterAutospacing="0" w:line="460" w:lineRule="exact"/>
              <w:ind w:left="0" w:leftChars="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试验变压器及交流数显控制箱</w:t>
            </w:r>
          </w:p>
        </w:tc>
        <w:tc>
          <w:tcPr>
            <w:tcW w:w="2025" w:type="dxa"/>
            <w:tcBorders>
              <w:top w:val="nil"/>
              <w:left w:val="nil"/>
              <w:bottom w:val="single" w:color="auto" w:sz="4" w:space="0"/>
              <w:right w:val="single" w:color="auto" w:sz="4" w:space="0"/>
            </w:tcBorders>
            <w:noWrap w:val="0"/>
            <w:vAlign w:val="center"/>
          </w:tcPr>
          <w:p w14:paraId="4A293AC8">
            <w:pPr>
              <w:keepNext w:val="0"/>
              <w:keepLines w:val="0"/>
              <w:pageBreakBefore w:val="0"/>
              <w:widowControl/>
              <w:suppressLineNumbers w:val="0"/>
              <w:kinsoku/>
              <w:wordWrap/>
              <w:overflowPunct/>
              <w:topLinePunct w:val="0"/>
              <w:autoSpaceDE/>
              <w:autoSpaceDN/>
              <w:bidi w:val="0"/>
              <w:spacing w:beforeAutospacing="0" w:afterAutospacing="0" w:line="460" w:lineRule="exact"/>
              <w:ind w:left="0" w:leftChars="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耐压试验按出厂值电压的倍进行耐压试验</w:t>
            </w:r>
          </w:p>
        </w:tc>
        <w:tc>
          <w:tcPr>
            <w:tcW w:w="946" w:type="dxa"/>
            <w:vMerge w:val="continue"/>
            <w:tcBorders>
              <w:top w:val="nil"/>
              <w:left w:val="single" w:color="auto" w:sz="4" w:space="0"/>
              <w:bottom w:val="single" w:color="000000" w:sz="4" w:space="0"/>
              <w:right w:val="single" w:color="auto" w:sz="4" w:space="0"/>
            </w:tcBorders>
            <w:noWrap w:val="0"/>
            <w:vAlign w:val="center"/>
          </w:tcPr>
          <w:p w14:paraId="33CC7B4B">
            <w:pPr>
              <w:keepNext w:val="0"/>
              <w:keepLines w:val="0"/>
              <w:pageBreakBefore w:val="0"/>
              <w:kinsoku/>
              <w:wordWrap/>
              <w:overflowPunct/>
              <w:topLinePunct w:val="0"/>
              <w:autoSpaceDE/>
              <w:autoSpaceDN/>
              <w:bidi w:val="0"/>
              <w:spacing w:beforeAutospacing="0" w:afterAutospacing="0" w:line="460" w:lineRule="exact"/>
              <w:ind w:left="0" w:leftChars="0"/>
              <w:jc w:val="center"/>
              <w:rPr>
                <w:rFonts w:hint="eastAsia" w:ascii="宋体" w:hAnsi="宋体" w:eastAsia="宋体" w:cs="宋体"/>
                <w:i w:val="0"/>
                <w:iCs w:val="0"/>
                <w:color w:val="auto"/>
                <w:sz w:val="24"/>
                <w:szCs w:val="24"/>
                <w:highlight w:val="none"/>
                <w:u w:val="none"/>
              </w:rPr>
            </w:pPr>
          </w:p>
        </w:tc>
        <w:tc>
          <w:tcPr>
            <w:tcW w:w="510" w:type="dxa"/>
            <w:vMerge w:val="continue"/>
            <w:tcBorders>
              <w:top w:val="nil"/>
              <w:left w:val="single" w:color="auto" w:sz="4" w:space="0"/>
              <w:bottom w:val="single" w:color="000000" w:sz="4" w:space="0"/>
              <w:right w:val="single" w:color="auto" w:sz="4" w:space="0"/>
            </w:tcBorders>
            <w:noWrap w:val="0"/>
            <w:vAlign w:val="center"/>
          </w:tcPr>
          <w:p w14:paraId="4188C6F4">
            <w:pPr>
              <w:keepNext w:val="0"/>
              <w:keepLines w:val="0"/>
              <w:pageBreakBefore w:val="0"/>
              <w:kinsoku/>
              <w:wordWrap/>
              <w:overflowPunct/>
              <w:topLinePunct w:val="0"/>
              <w:autoSpaceDE/>
              <w:autoSpaceDN/>
              <w:bidi w:val="0"/>
              <w:spacing w:beforeAutospacing="0" w:afterAutospacing="0" w:line="460" w:lineRule="exact"/>
              <w:ind w:left="0" w:leftChars="0"/>
              <w:jc w:val="center"/>
              <w:rPr>
                <w:rFonts w:hint="eastAsia" w:ascii="宋体" w:hAnsi="宋体" w:eastAsia="宋体" w:cs="宋体"/>
                <w:i w:val="0"/>
                <w:iCs w:val="0"/>
                <w:color w:val="auto"/>
                <w:sz w:val="24"/>
                <w:szCs w:val="24"/>
                <w:highlight w:val="none"/>
                <w:u w:val="none"/>
              </w:rPr>
            </w:pPr>
          </w:p>
        </w:tc>
      </w:tr>
      <w:tr w14:paraId="44E1220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47" w:hRule="atLeast"/>
        </w:trPr>
        <w:tc>
          <w:tcPr>
            <w:tcW w:w="510" w:type="dxa"/>
            <w:vMerge w:val="continue"/>
            <w:tcBorders>
              <w:top w:val="nil"/>
              <w:left w:val="single" w:color="auto" w:sz="4" w:space="0"/>
              <w:bottom w:val="single" w:color="auto" w:sz="4" w:space="0"/>
              <w:right w:val="single" w:color="auto" w:sz="4" w:space="0"/>
            </w:tcBorders>
            <w:noWrap w:val="0"/>
            <w:vAlign w:val="center"/>
          </w:tcPr>
          <w:p w14:paraId="167394BC">
            <w:pPr>
              <w:keepNext w:val="0"/>
              <w:keepLines w:val="0"/>
              <w:pageBreakBefore w:val="0"/>
              <w:kinsoku/>
              <w:wordWrap/>
              <w:overflowPunct/>
              <w:topLinePunct w:val="0"/>
              <w:autoSpaceDE/>
              <w:autoSpaceDN/>
              <w:bidi w:val="0"/>
              <w:spacing w:beforeAutospacing="0" w:afterAutospacing="0" w:line="460" w:lineRule="exact"/>
              <w:ind w:left="0" w:leftChars="0"/>
              <w:jc w:val="center"/>
              <w:rPr>
                <w:rFonts w:hint="eastAsia" w:ascii="宋体" w:hAnsi="宋体" w:eastAsia="宋体" w:cs="宋体"/>
                <w:i w:val="0"/>
                <w:iCs w:val="0"/>
                <w:color w:val="auto"/>
                <w:sz w:val="24"/>
                <w:szCs w:val="24"/>
                <w:highlight w:val="none"/>
                <w:u w:val="none"/>
              </w:rPr>
            </w:pPr>
          </w:p>
        </w:tc>
        <w:tc>
          <w:tcPr>
            <w:tcW w:w="725" w:type="dxa"/>
            <w:vMerge w:val="continue"/>
            <w:tcBorders>
              <w:top w:val="nil"/>
              <w:left w:val="single" w:color="auto" w:sz="4" w:space="0"/>
              <w:bottom w:val="single" w:color="auto" w:sz="4" w:space="0"/>
              <w:right w:val="single" w:color="auto" w:sz="4" w:space="0"/>
            </w:tcBorders>
            <w:noWrap w:val="0"/>
            <w:vAlign w:val="center"/>
          </w:tcPr>
          <w:p w14:paraId="4CA3BE46">
            <w:pPr>
              <w:keepNext w:val="0"/>
              <w:keepLines w:val="0"/>
              <w:pageBreakBefore w:val="0"/>
              <w:kinsoku/>
              <w:wordWrap/>
              <w:overflowPunct/>
              <w:topLinePunct w:val="0"/>
              <w:autoSpaceDE/>
              <w:autoSpaceDN/>
              <w:bidi w:val="0"/>
              <w:spacing w:beforeAutospacing="0" w:afterAutospacing="0" w:line="460" w:lineRule="exact"/>
              <w:ind w:left="0" w:leftChars="0"/>
              <w:jc w:val="center"/>
              <w:rPr>
                <w:rFonts w:hint="eastAsia" w:ascii="宋体" w:hAnsi="宋体" w:eastAsia="宋体" w:cs="宋体"/>
                <w:i w:val="0"/>
                <w:iCs w:val="0"/>
                <w:color w:val="auto"/>
                <w:sz w:val="24"/>
                <w:szCs w:val="24"/>
                <w:highlight w:val="none"/>
                <w:u w:val="none"/>
              </w:rPr>
            </w:pPr>
          </w:p>
        </w:tc>
        <w:tc>
          <w:tcPr>
            <w:tcW w:w="731" w:type="dxa"/>
            <w:vMerge w:val="continue"/>
            <w:tcBorders>
              <w:top w:val="nil"/>
              <w:left w:val="single" w:color="auto" w:sz="4" w:space="0"/>
              <w:bottom w:val="single" w:color="auto" w:sz="4" w:space="0"/>
              <w:right w:val="single" w:color="auto" w:sz="4" w:space="0"/>
            </w:tcBorders>
            <w:noWrap w:val="0"/>
            <w:vAlign w:val="center"/>
          </w:tcPr>
          <w:p w14:paraId="668D855B">
            <w:pPr>
              <w:keepNext w:val="0"/>
              <w:keepLines w:val="0"/>
              <w:pageBreakBefore w:val="0"/>
              <w:kinsoku/>
              <w:wordWrap/>
              <w:overflowPunct/>
              <w:topLinePunct w:val="0"/>
              <w:autoSpaceDE/>
              <w:autoSpaceDN/>
              <w:bidi w:val="0"/>
              <w:spacing w:beforeAutospacing="0" w:afterAutospacing="0" w:line="460" w:lineRule="exact"/>
              <w:ind w:left="0" w:leftChars="0"/>
              <w:jc w:val="center"/>
              <w:rPr>
                <w:rFonts w:hint="eastAsia" w:ascii="宋体" w:hAnsi="宋体" w:eastAsia="宋体" w:cs="宋体"/>
                <w:i w:val="0"/>
                <w:iCs w:val="0"/>
                <w:color w:val="auto"/>
                <w:sz w:val="24"/>
                <w:szCs w:val="24"/>
                <w:highlight w:val="none"/>
                <w:u w:val="none"/>
              </w:rPr>
            </w:pPr>
          </w:p>
        </w:tc>
        <w:tc>
          <w:tcPr>
            <w:tcW w:w="913" w:type="dxa"/>
            <w:vMerge w:val="continue"/>
            <w:tcBorders>
              <w:top w:val="nil"/>
              <w:left w:val="single" w:color="auto" w:sz="4" w:space="0"/>
              <w:bottom w:val="single" w:color="auto" w:sz="4" w:space="0"/>
              <w:right w:val="single" w:color="auto" w:sz="4" w:space="0"/>
            </w:tcBorders>
            <w:noWrap w:val="0"/>
            <w:vAlign w:val="center"/>
          </w:tcPr>
          <w:p w14:paraId="2234883E">
            <w:pPr>
              <w:keepNext w:val="0"/>
              <w:keepLines w:val="0"/>
              <w:pageBreakBefore w:val="0"/>
              <w:kinsoku/>
              <w:wordWrap/>
              <w:overflowPunct/>
              <w:topLinePunct w:val="0"/>
              <w:autoSpaceDE/>
              <w:autoSpaceDN/>
              <w:bidi w:val="0"/>
              <w:spacing w:beforeAutospacing="0" w:afterAutospacing="0" w:line="460" w:lineRule="exact"/>
              <w:ind w:left="0" w:leftChars="0"/>
              <w:jc w:val="center"/>
              <w:rPr>
                <w:rFonts w:hint="eastAsia" w:ascii="宋体" w:hAnsi="宋体" w:eastAsia="宋体" w:cs="宋体"/>
                <w:i w:val="0"/>
                <w:iCs w:val="0"/>
                <w:color w:val="auto"/>
                <w:sz w:val="24"/>
                <w:szCs w:val="24"/>
                <w:highlight w:val="none"/>
                <w:u w:val="none"/>
              </w:rPr>
            </w:pPr>
          </w:p>
        </w:tc>
        <w:tc>
          <w:tcPr>
            <w:tcW w:w="717" w:type="dxa"/>
            <w:tcBorders>
              <w:top w:val="nil"/>
              <w:left w:val="nil"/>
              <w:bottom w:val="single" w:color="auto" w:sz="4" w:space="0"/>
              <w:right w:val="single" w:color="auto" w:sz="4" w:space="0"/>
            </w:tcBorders>
            <w:noWrap w:val="0"/>
            <w:vAlign w:val="center"/>
          </w:tcPr>
          <w:p w14:paraId="53FAD450">
            <w:pPr>
              <w:keepNext w:val="0"/>
              <w:keepLines w:val="0"/>
              <w:pageBreakBefore w:val="0"/>
              <w:widowControl/>
              <w:suppressLineNumbers w:val="0"/>
              <w:kinsoku/>
              <w:wordWrap/>
              <w:overflowPunct/>
              <w:topLinePunct w:val="0"/>
              <w:autoSpaceDE/>
              <w:autoSpaceDN/>
              <w:bidi w:val="0"/>
              <w:spacing w:beforeAutospacing="0" w:afterAutospacing="0" w:line="460" w:lineRule="exact"/>
              <w:ind w:left="0" w:leftChars="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w:t>
            </w:r>
          </w:p>
        </w:tc>
        <w:tc>
          <w:tcPr>
            <w:tcW w:w="725" w:type="dxa"/>
            <w:tcBorders>
              <w:top w:val="nil"/>
              <w:left w:val="nil"/>
              <w:bottom w:val="single" w:color="auto" w:sz="4" w:space="0"/>
              <w:right w:val="single" w:color="auto" w:sz="4" w:space="0"/>
            </w:tcBorders>
            <w:noWrap w:val="0"/>
            <w:vAlign w:val="center"/>
          </w:tcPr>
          <w:p w14:paraId="6D49165A">
            <w:pPr>
              <w:keepNext w:val="0"/>
              <w:keepLines w:val="0"/>
              <w:pageBreakBefore w:val="0"/>
              <w:widowControl/>
              <w:suppressLineNumbers w:val="0"/>
              <w:kinsoku/>
              <w:wordWrap/>
              <w:overflowPunct/>
              <w:topLinePunct w:val="0"/>
              <w:autoSpaceDE/>
              <w:autoSpaceDN/>
              <w:bidi w:val="0"/>
              <w:spacing w:beforeAutospacing="0" w:afterAutospacing="0" w:line="460" w:lineRule="exact"/>
              <w:ind w:left="0" w:leftChars="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耐压试验</w:t>
            </w:r>
          </w:p>
        </w:tc>
        <w:tc>
          <w:tcPr>
            <w:tcW w:w="1485" w:type="dxa"/>
            <w:tcBorders>
              <w:top w:val="nil"/>
              <w:left w:val="nil"/>
              <w:bottom w:val="single" w:color="auto" w:sz="4" w:space="0"/>
              <w:right w:val="single" w:color="auto" w:sz="4" w:space="0"/>
            </w:tcBorders>
            <w:noWrap w:val="0"/>
            <w:vAlign w:val="center"/>
          </w:tcPr>
          <w:p w14:paraId="64218AF9">
            <w:pPr>
              <w:keepNext w:val="0"/>
              <w:keepLines w:val="0"/>
              <w:pageBreakBefore w:val="0"/>
              <w:widowControl/>
              <w:suppressLineNumbers w:val="0"/>
              <w:kinsoku/>
              <w:wordWrap/>
              <w:overflowPunct/>
              <w:topLinePunct w:val="0"/>
              <w:autoSpaceDE/>
              <w:autoSpaceDN/>
              <w:bidi w:val="0"/>
              <w:spacing w:beforeAutospacing="0" w:afterAutospacing="0" w:line="460" w:lineRule="exact"/>
              <w:ind w:left="0" w:leftChars="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试验变压器及交流数显控制箱</w:t>
            </w:r>
          </w:p>
        </w:tc>
        <w:tc>
          <w:tcPr>
            <w:tcW w:w="2025" w:type="dxa"/>
            <w:tcBorders>
              <w:top w:val="nil"/>
              <w:left w:val="nil"/>
              <w:bottom w:val="single" w:color="auto" w:sz="4" w:space="0"/>
              <w:right w:val="single" w:color="auto" w:sz="4" w:space="0"/>
            </w:tcBorders>
            <w:noWrap w:val="0"/>
            <w:vAlign w:val="center"/>
          </w:tcPr>
          <w:p w14:paraId="4BFD8316">
            <w:pPr>
              <w:keepNext w:val="0"/>
              <w:keepLines w:val="0"/>
              <w:pageBreakBefore w:val="0"/>
              <w:widowControl/>
              <w:suppressLineNumbers w:val="0"/>
              <w:kinsoku/>
              <w:wordWrap/>
              <w:overflowPunct/>
              <w:topLinePunct w:val="0"/>
              <w:autoSpaceDE/>
              <w:autoSpaceDN/>
              <w:bidi w:val="0"/>
              <w:spacing w:beforeAutospacing="0" w:afterAutospacing="0" w:line="460" w:lineRule="exact"/>
              <w:ind w:left="0" w:leftChars="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耐压试验按出厂值电压的倍进行耐压试验</w:t>
            </w:r>
          </w:p>
        </w:tc>
        <w:tc>
          <w:tcPr>
            <w:tcW w:w="946" w:type="dxa"/>
            <w:vMerge w:val="continue"/>
            <w:tcBorders>
              <w:top w:val="nil"/>
              <w:left w:val="single" w:color="auto" w:sz="4" w:space="0"/>
              <w:bottom w:val="single" w:color="000000" w:sz="4" w:space="0"/>
              <w:right w:val="single" w:color="auto" w:sz="4" w:space="0"/>
            </w:tcBorders>
            <w:noWrap w:val="0"/>
            <w:vAlign w:val="center"/>
          </w:tcPr>
          <w:p w14:paraId="3A51C822">
            <w:pPr>
              <w:keepNext w:val="0"/>
              <w:keepLines w:val="0"/>
              <w:pageBreakBefore w:val="0"/>
              <w:kinsoku/>
              <w:wordWrap/>
              <w:overflowPunct/>
              <w:topLinePunct w:val="0"/>
              <w:autoSpaceDE/>
              <w:autoSpaceDN/>
              <w:bidi w:val="0"/>
              <w:spacing w:beforeAutospacing="0" w:afterAutospacing="0" w:line="460" w:lineRule="exact"/>
              <w:ind w:left="0" w:leftChars="0"/>
              <w:jc w:val="center"/>
              <w:rPr>
                <w:rFonts w:hint="eastAsia" w:ascii="宋体" w:hAnsi="宋体" w:eastAsia="宋体" w:cs="宋体"/>
                <w:i w:val="0"/>
                <w:iCs w:val="0"/>
                <w:color w:val="auto"/>
                <w:sz w:val="24"/>
                <w:szCs w:val="24"/>
                <w:highlight w:val="none"/>
                <w:u w:val="none"/>
              </w:rPr>
            </w:pPr>
          </w:p>
        </w:tc>
        <w:tc>
          <w:tcPr>
            <w:tcW w:w="510" w:type="dxa"/>
            <w:vMerge w:val="continue"/>
            <w:tcBorders>
              <w:top w:val="nil"/>
              <w:left w:val="single" w:color="auto" w:sz="4" w:space="0"/>
              <w:bottom w:val="single" w:color="000000" w:sz="4" w:space="0"/>
              <w:right w:val="single" w:color="auto" w:sz="4" w:space="0"/>
            </w:tcBorders>
            <w:noWrap w:val="0"/>
            <w:vAlign w:val="center"/>
          </w:tcPr>
          <w:p w14:paraId="6E33DA36">
            <w:pPr>
              <w:keepNext w:val="0"/>
              <w:keepLines w:val="0"/>
              <w:pageBreakBefore w:val="0"/>
              <w:kinsoku/>
              <w:wordWrap/>
              <w:overflowPunct/>
              <w:topLinePunct w:val="0"/>
              <w:autoSpaceDE/>
              <w:autoSpaceDN/>
              <w:bidi w:val="0"/>
              <w:spacing w:beforeAutospacing="0" w:afterAutospacing="0" w:line="460" w:lineRule="exact"/>
              <w:ind w:left="0" w:leftChars="0"/>
              <w:jc w:val="center"/>
              <w:rPr>
                <w:rFonts w:hint="eastAsia" w:ascii="宋体" w:hAnsi="宋体" w:eastAsia="宋体" w:cs="宋体"/>
                <w:i w:val="0"/>
                <w:iCs w:val="0"/>
                <w:color w:val="auto"/>
                <w:sz w:val="24"/>
                <w:szCs w:val="24"/>
                <w:highlight w:val="none"/>
                <w:u w:val="none"/>
              </w:rPr>
            </w:pPr>
          </w:p>
        </w:tc>
      </w:tr>
      <w:tr w14:paraId="50B46D8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47" w:hRule="atLeast"/>
        </w:trPr>
        <w:tc>
          <w:tcPr>
            <w:tcW w:w="510" w:type="dxa"/>
            <w:vMerge w:val="restart"/>
            <w:tcBorders>
              <w:top w:val="nil"/>
              <w:left w:val="single" w:color="auto" w:sz="4" w:space="0"/>
              <w:bottom w:val="single" w:color="auto" w:sz="4" w:space="0"/>
              <w:right w:val="single" w:color="auto" w:sz="4" w:space="0"/>
            </w:tcBorders>
            <w:noWrap w:val="0"/>
            <w:vAlign w:val="center"/>
          </w:tcPr>
          <w:p w14:paraId="57FD1F0E">
            <w:pPr>
              <w:keepNext w:val="0"/>
              <w:keepLines w:val="0"/>
              <w:pageBreakBefore w:val="0"/>
              <w:widowControl/>
              <w:suppressLineNumbers w:val="0"/>
              <w:kinsoku/>
              <w:wordWrap/>
              <w:overflowPunct/>
              <w:topLinePunct w:val="0"/>
              <w:autoSpaceDE/>
              <w:autoSpaceDN/>
              <w:bidi w:val="0"/>
              <w:spacing w:beforeAutospacing="0" w:afterAutospacing="0" w:line="460" w:lineRule="exact"/>
              <w:ind w:left="0" w:leftChars="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w:t>
            </w:r>
          </w:p>
        </w:tc>
        <w:tc>
          <w:tcPr>
            <w:tcW w:w="725" w:type="dxa"/>
            <w:vMerge w:val="restart"/>
            <w:tcBorders>
              <w:top w:val="nil"/>
              <w:left w:val="single" w:color="auto" w:sz="4" w:space="0"/>
              <w:bottom w:val="single" w:color="auto" w:sz="4" w:space="0"/>
              <w:right w:val="single" w:color="auto" w:sz="4" w:space="0"/>
            </w:tcBorders>
            <w:noWrap w:val="0"/>
            <w:vAlign w:val="center"/>
          </w:tcPr>
          <w:p w14:paraId="283401CD">
            <w:pPr>
              <w:keepNext w:val="0"/>
              <w:keepLines w:val="0"/>
              <w:pageBreakBefore w:val="0"/>
              <w:widowControl/>
              <w:suppressLineNumbers w:val="0"/>
              <w:kinsoku/>
              <w:wordWrap/>
              <w:overflowPunct/>
              <w:topLinePunct w:val="0"/>
              <w:autoSpaceDE/>
              <w:autoSpaceDN/>
              <w:bidi w:val="0"/>
              <w:spacing w:beforeAutospacing="0" w:afterAutospacing="0" w:line="460" w:lineRule="exact"/>
              <w:ind w:left="0" w:leftChars="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高压开关柜</w:t>
            </w:r>
          </w:p>
        </w:tc>
        <w:tc>
          <w:tcPr>
            <w:tcW w:w="731" w:type="dxa"/>
            <w:vMerge w:val="restart"/>
            <w:tcBorders>
              <w:top w:val="nil"/>
              <w:left w:val="single" w:color="auto" w:sz="4" w:space="0"/>
              <w:bottom w:val="single" w:color="auto" w:sz="4" w:space="0"/>
              <w:right w:val="single" w:color="auto" w:sz="4" w:space="0"/>
            </w:tcBorders>
            <w:noWrap w:val="0"/>
            <w:vAlign w:val="center"/>
          </w:tcPr>
          <w:p w14:paraId="6C90B061">
            <w:pPr>
              <w:keepNext w:val="0"/>
              <w:keepLines w:val="0"/>
              <w:pageBreakBefore w:val="0"/>
              <w:widowControl/>
              <w:suppressLineNumbers w:val="0"/>
              <w:kinsoku/>
              <w:wordWrap/>
              <w:overflowPunct/>
              <w:topLinePunct w:val="0"/>
              <w:autoSpaceDE/>
              <w:autoSpaceDN/>
              <w:bidi w:val="0"/>
              <w:spacing w:beforeAutospacing="0" w:afterAutospacing="0" w:line="460" w:lineRule="exact"/>
              <w:ind w:left="0" w:leftChars="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10KV</w:t>
            </w:r>
          </w:p>
        </w:tc>
        <w:tc>
          <w:tcPr>
            <w:tcW w:w="913" w:type="dxa"/>
            <w:vMerge w:val="restart"/>
            <w:tcBorders>
              <w:top w:val="nil"/>
              <w:left w:val="single" w:color="auto" w:sz="4" w:space="0"/>
              <w:bottom w:val="single" w:color="auto" w:sz="4" w:space="0"/>
              <w:right w:val="single" w:color="auto" w:sz="4" w:space="0"/>
            </w:tcBorders>
            <w:noWrap w:val="0"/>
            <w:vAlign w:val="center"/>
          </w:tcPr>
          <w:p w14:paraId="6BFC1E56">
            <w:pPr>
              <w:keepNext w:val="0"/>
              <w:keepLines w:val="0"/>
              <w:pageBreakBefore w:val="0"/>
              <w:widowControl/>
              <w:suppressLineNumbers w:val="0"/>
              <w:kinsoku/>
              <w:wordWrap/>
              <w:overflowPunct/>
              <w:topLinePunct w:val="0"/>
              <w:autoSpaceDE/>
              <w:autoSpaceDN/>
              <w:bidi w:val="0"/>
              <w:spacing w:beforeAutospacing="0" w:afterAutospacing="0" w:line="460" w:lineRule="exact"/>
              <w:ind w:left="0" w:leftChars="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　</w:t>
            </w:r>
          </w:p>
        </w:tc>
        <w:tc>
          <w:tcPr>
            <w:tcW w:w="717" w:type="dxa"/>
            <w:tcBorders>
              <w:top w:val="nil"/>
              <w:left w:val="nil"/>
              <w:bottom w:val="single" w:color="auto" w:sz="4" w:space="0"/>
              <w:right w:val="single" w:color="auto" w:sz="4" w:space="0"/>
            </w:tcBorders>
            <w:noWrap w:val="0"/>
            <w:vAlign w:val="center"/>
          </w:tcPr>
          <w:p w14:paraId="1888E9A9">
            <w:pPr>
              <w:keepNext w:val="0"/>
              <w:keepLines w:val="0"/>
              <w:pageBreakBefore w:val="0"/>
              <w:widowControl/>
              <w:suppressLineNumbers w:val="0"/>
              <w:kinsoku/>
              <w:wordWrap/>
              <w:overflowPunct/>
              <w:topLinePunct w:val="0"/>
              <w:autoSpaceDE/>
              <w:autoSpaceDN/>
              <w:bidi w:val="0"/>
              <w:spacing w:beforeAutospacing="0" w:afterAutospacing="0" w:line="460" w:lineRule="exact"/>
              <w:ind w:left="0" w:leftChars="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w:t>
            </w:r>
          </w:p>
        </w:tc>
        <w:tc>
          <w:tcPr>
            <w:tcW w:w="725" w:type="dxa"/>
            <w:tcBorders>
              <w:top w:val="nil"/>
              <w:left w:val="nil"/>
              <w:bottom w:val="single" w:color="auto" w:sz="4" w:space="0"/>
              <w:right w:val="single" w:color="auto" w:sz="4" w:space="0"/>
            </w:tcBorders>
            <w:noWrap w:val="0"/>
            <w:vAlign w:val="center"/>
          </w:tcPr>
          <w:p w14:paraId="17146E25">
            <w:pPr>
              <w:keepNext w:val="0"/>
              <w:keepLines w:val="0"/>
              <w:pageBreakBefore w:val="0"/>
              <w:widowControl/>
              <w:suppressLineNumbers w:val="0"/>
              <w:kinsoku/>
              <w:wordWrap/>
              <w:overflowPunct/>
              <w:topLinePunct w:val="0"/>
              <w:autoSpaceDE/>
              <w:autoSpaceDN/>
              <w:bidi w:val="0"/>
              <w:spacing w:beforeAutospacing="0" w:afterAutospacing="0" w:line="460" w:lineRule="exact"/>
              <w:ind w:left="0" w:leftChars="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绝缘电阻</w:t>
            </w:r>
          </w:p>
        </w:tc>
        <w:tc>
          <w:tcPr>
            <w:tcW w:w="1485" w:type="dxa"/>
            <w:tcBorders>
              <w:top w:val="nil"/>
              <w:left w:val="nil"/>
              <w:bottom w:val="single" w:color="auto" w:sz="4" w:space="0"/>
              <w:right w:val="single" w:color="auto" w:sz="4" w:space="0"/>
            </w:tcBorders>
            <w:noWrap w:val="0"/>
            <w:vAlign w:val="center"/>
          </w:tcPr>
          <w:p w14:paraId="616195B1">
            <w:pPr>
              <w:keepNext w:val="0"/>
              <w:keepLines w:val="0"/>
              <w:pageBreakBefore w:val="0"/>
              <w:widowControl/>
              <w:suppressLineNumbers w:val="0"/>
              <w:kinsoku/>
              <w:wordWrap/>
              <w:overflowPunct/>
              <w:topLinePunct w:val="0"/>
              <w:autoSpaceDE/>
              <w:autoSpaceDN/>
              <w:bidi w:val="0"/>
              <w:spacing w:beforeAutospacing="0" w:afterAutospacing="0" w:line="460" w:lineRule="exact"/>
              <w:ind w:left="0" w:leftChars="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绝缘电阻测试仪</w:t>
            </w:r>
          </w:p>
        </w:tc>
        <w:tc>
          <w:tcPr>
            <w:tcW w:w="2025" w:type="dxa"/>
            <w:tcBorders>
              <w:top w:val="nil"/>
              <w:left w:val="nil"/>
              <w:bottom w:val="single" w:color="auto" w:sz="4" w:space="0"/>
              <w:right w:val="single" w:color="auto" w:sz="4" w:space="0"/>
            </w:tcBorders>
            <w:noWrap w:val="0"/>
            <w:vAlign w:val="center"/>
          </w:tcPr>
          <w:p w14:paraId="222D316D">
            <w:pPr>
              <w:keepNext w:val="0"/>
              <w:keepLines w:val="0"/>
              <w:pageBreakBefore w:val="0"/>
              <w:widowControl/>
              <w:suppressLineNumbers w:val="0"/>
              <w:kinsoku/>
              <w:wordWrap/>
              <w:overflowPunct/>
              <w:topLinePunct w:val="0"/>
              <w:autoSpaceDE/>
              <w:autoSpaceDN/>
              <w:bidi w:val="0"/>
              <w:spacing w:beforeAutospacing="0" w:afterAutospacing="0" w:line="460" w:lineRule="exact"/>
              <w:ind w:left="0" w:leftChars="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用兆欧表测量分合闸线圈的绝缘电阻不小于10MΩ</w:t>
            </w:r>
          </w:p>
        </w:tc>
        <w:tc>
          <w:tcPr>
            <w:tcW w:w="946" w:type="dxa"/>
            <w:vMerge w:val="restart"/>
            <w:tcBorders>
              <w:top w:val="nil"/>
              <w:left w:val="single" w:color="auto" w:sz="4" w:space="0"/>
              <w:bottom w:val="single" w:color="auto" w:sz="4" w:space="0"/>
              <w:right w:val="single" w:color="auto" w:sz="4" w:space="0"/>
            </w:tcBorders>
            <w:noWrap w:val="0"/>
            <w:vAlign w:val="center"/>
          </w:tcPr>
          <w:p w14:paraId="256F5EE1">
            <w:pPr>
              <w:keepNext w:val="0"/>
              <w:keepLines w:val="0"/>
              <w:pageBreakBefore w:val="0"/>
              <w:widowControl/>
              <w:suppressLineNumbers w:val="0"/>
              <w:kinsoku/>
              <w:wordWrap/>
              <w:overflowPunct/>
              <w:topLinePunct w:val="0"/>
              <w:autoSpaceDE/>
              <w:autoSpaceDN/>
              <w:bidi w:val="0"/>
              <w:spacing w:beforeAutospacing="0" w:afterAutospacing="0" w:line="460" w:lineRule="exact"/>
              <w:ind w:left="0" w:leftChars="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每年</w:t>
            </w:r>
          </w:p>
        </w:tc>
        <w:tc>
          <w:tcPr>
            <w:tcW w:w="510" w:type="dxa"/>
            <w:vMerge w:val="restart"/>
            <w:tcBorders>
              <w:top w:val="nil"/>
              <w:left w:val="single" w:color="auto" w:sz="4" w:space="0"/>
              <w:bottom w:val="single" w:color="auto" w:sz="4" w:space="0"/>
              <w:right w:val="single" w:color="auto" w:sz="4" w:space="0"/>
            </w:tcBorders>
            <w:noWrap w:val="0"/>
            <w:vAlign w:val="center"/>
          </w:tcPr>
          <w:p w14:paraId="252E2FC4">
            <w:pPr>
              <w:keepNext w:val="0"/>
              <w:keepLines w:val="0"/>
              <w:pageBreakBefore w:val="0"/>
              <w:widowControl/>
              <w:suppressLineNumbers w:val="0"/>
              <w:kinsoku/>
              <w:wordWrap/>
              <w:overflowPunct/>
              <w:topLinePunct w:val="0"/>
              <w:autoSpaceDE/>
              <w:autoSpaceDN/>
              <w:bidi w:val="0"/>
              <w:spacing w:beforeAutospacing="0" w:afterAutospacing="0" w:line="460" w:lineRule="exact"/>
              <w:ind w:left="0" w:leftChars="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　</w:t>
            </w:r>
          </w:p>
        </w:tc>
      </w:tr>
      <w:tr w14:paraId="0C80084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9" w:hRule="atLeast"/>
        </w:trPr>
        <w:tc>
          <w:tcPr>
            <w:tcW w:w="510" w:type="dxa"/>
            <w:vMerge w:val="continue"/>
            <w:tcBorders>
              <w:top w:val="nil"/>
              <w:left w:val="single" w:color="auto" w:sz="4" w:space="0"/>
              <w:bottom w:val="single" w:color="auto" w:sz="4" w:space="0"/>
              <w:right w:val="single" w:color="auto" w:sz="4" w:space="0"/>
            </w:tcBorders>
            <w:noWrap w:val="0"/>
            <w:vAlign w:val="center"/>
          </w:tcPr>
          <w:p w14:paraId="6E1BBB48">
            <w:pPr>
              <w:keepNext w:val="0"/>
              <w:keepLines w:val="0"/>
              <w:pageBreakBefore w:val="0"/>
              <w:kinsoku/>
              <w:wordWrap/>
              <w:overflowPunct/>
              <w:topLinePunct w:val="0"/>
              <w:autoSpaceDE/>
              <w:autoSpaceDN/>
              <w:bidi w:val="0"/>
              <w:spacing w:beforeAutospacing="0" w:afterAutospacing="0" w:line="460" w:lineRule="exact"/>
              <w:ind w:left="0" w:leftChars="0"/>
              <w:jc w:val="center"/>
              <w:rPr>
                <w:rFonts w:hint="eastAsia" w:ascii="宋体" w:hAnsi="宋体" w:eastAsia="宋体" w:cs="宋体"/>
                <w:i w:val="0"/>
                <w:iCs w:val="0"/>
                <w:color w:val="auto"/>
                <w:sz w:val="24"/>
                <w:szCs w:val="24"/>
                <w:highlight w:val="none"/>
                <w:u w:val="none"/>
              </w:rPr>
            </w:pPr>
          </w:p>
        </w:tc>
        <w:tc>
          <w:tcPr>
            <w:tcW w:w="725" w:type="dxa"/>
            <w:vMerge w:val="continue"/>
            <w:tcBorders>
              <w:top w:val="nil"/>
              <w:left w:val="single" w:color="auto" w:sz="4" w:space="0"/>
              <w:bottom w:val="single" w:color="auto" w:sz="4" w:space="0"/>
              <w:right w:val="single" w:color="auto" w:sz="4" w:space="0"/>
            </w:tcBorders>
            <w:noWrap w:val="0"/>
            <w:vAlign w:val="center"/>
          </w:tcPr>
          <w:p w14:paraId="0A7C7A62">
            <w:pPr>
              <w:keepNext w:val="0"/>
              <w:keepLines w:val="0"/>
              <w:pageBreakBefore w:val="0"/>
              <w:kinsoku/>
              <w:wordWrap/>
              <w:overflowPunct/>
              <w:topLinePunct w:val="0"/>
              <w:autoSpaceDE/>
              <w:autoSpaceDN/>
              <w:bidi w:val="0"/>
              <w:spacing w:beforeAutospacing="0" w:afterAutospacing="0" w:line="460" w:lineRule="exact"/>
              <w:ind w:left="0" w:leftChars="0"/>
              <w:jc w:val="center"/>
              <w:rPr>
                <w:rFonts w:hint="eastAsia" w:ascii="宋体" w:hAnsi="宋体" w:eastAsia="宋体" w:cs="宋体"/>
                <w:i w:val="0"/>
                <w:iCs w:val="0"/>
                <w:color w:val="auto"/>
                <w:sz w:val="24"/>
                <w:szCs w:val="24"/>
                <w:highlight w:val="none"/>
                <w:u w:val="none"/>
              </w:rPr>
            </w:pPr>
          </w:p>
        </w:tc>
        <w:tc>
          <w:tcPr>
            <w:tcW w:w="731" w:type="dxa"/>
            <w:vMerge w:val="continue"/>
            <w:tcBorders>
              <w:top w:val="nil"/>
              <w:left w:val="single" w:color="auto" w:sz="4" w:space="0"/>
              <w:bottom w:val="single" w:color="auto" w:sz="4" w:space="0"/>
              <w:right w:val="single" w:color="auto" w:sz="4" w:space="0"/>
            </w:tcBorders>
            <w:noWrap w:val="0"/>
            <w:vAlign w:val="center"/>
          </w:tcPr>
          <w:p w14:paraId="6A60E3F0">
            <w:pPr>
              <w:keepNext w:val="0"/>
              <w:keepLines w:val="0"/>
              <w:pageBreakBefore w:val="0"/>
              <w:kinsoku/>
              <w:wordWrap/>
              <w:overflowPunct/>
              <w:topLinePunct w:val="0"/>
              <w:autoSpaceDE/>
              <w:autoSpaceDN/>
              <w:bidi w:val="0"/>
              <w:spacing w:beforeAutospacing="0" w:afterAutospacing="0" w:line="460" w:lineRule="exact"/>
              <w:ind w:left="0" w:leftChars="0"/>
              <w:jc w:val="center"/>
              <w:rPr>
                <w:rFonts w:hint="eastAsia" w:ascii="宋体" w:hAnsi="宋体" w:eastAsia="宋体" w:cs="宋体"/>
                <w:i w:val="0"/>
                <w:iCs w:val="0"/>
                <w:color w:val="auto"/>
                <w:sz w:val="24"/>
                <w:szCs w:val="24"/>
                <w:highlight w:val="none"/>
                <w:u w:val="none"/>
              </w:rPr>
            </w:pPr>
          </w:p>
        </w:tc>
        <w:tc>
          <w:tcPr>
            <w:tcW w:w="913" w:type="dxa"/>
            <w:vMerge w:val="continue"/>
            <w:tcBorders>
              <w:top w:val="nil"/>
              <w:left w:val="single" w:color="auto" w:sz="4" w:space="0"/>
              <w:bottom w:val="single" w:color="auto" w:sz="4" w:space="0"/>
              <w:right w:val="single" w:color="auto" w:sz="4" w:space="0"/>
            </w:tcBorders>
            <w:noWrap w:val="0"/>
            <w:vAlign w:val="center"/>
          </w:tcPr>
          <w:p w14:paraId="572E317B">
            <w:pPr>
              <w:keepNext w:val="0"/>
              <w:keepLines w:val="0"/>
              <w:pageBreakBefore w:val="0"/>
              <w:kinsoku/>
              <w:wordWrap/>
              <w:overflowPunct/>
              <w:topLinePunct w:val="0"/>
              <w:autoSpaceDE/>
              <w:autoSpaceDN/>
              <w:bidi w:val="0"/>
              <w:spacing w:beforeAutospacing="0" w:afterAutospacing="0" w:line="460" w:lineRule="exact"/>
              <w:ind w:left="0" w:leftChars="0"/>
              <w:jc w:val="center"/>
              <w:rPr>
                <w:rFonts w:hint="eastAsia" w:ascii="宋体" w:hAnsi="宋体" w:eastAsia="宋体" w:cs="宋体"/>
                <w:i w:val="0"/>
                <w:iCs w:val="0"/>
                <w:color w:val="auto"/>
                <w:sz w:val="24"/>
                <w:szCs w:val="24"/>
                <w:highlight w:val="none"/>
                <w:u w:val="none"/>
              </w:rPr>
            </w:pPr>
          </w:p>
        </w:tc>
        <w:tc>
          <w:tcPr>
            <w:tcW w:w="717" w:type="dxa"/>
            <w:vMerge w:val="restart"/>
            <w:tcBorders>
              <w:top w:val="nil"/>
              <w:left w:val="single" w:color="auto" w:sz="4" w:space="0"/>
              <w:bottom w:val="single" w:color="auto" w:sz="4" w:space="0"/>
              <w:right w:val="single" w:color="auto" w:sz="4" w:space="0"/>
            </w:tcBorders>
            <w:noWrap w:val="0"/>
            <w:vAlign w:val="center"/>
          </w:tcPr>
          <w:p w14:paraId="2BD9658F">
            <w:pPr>
              <w:keepNext w:val="0"/>
              <w:keepLines w:val="0"/>
              <w:pageBreakBefore w:val="0"/>
              <w:widowControl/>
              <w:suppressLineNumbers w:val="0"/>
              <w:kinsoku/>
              <w:wordWrap/>
              <w:overflowPunct/>
              <w:topLinePunct w:val="0"/>
              <w:autoSpaceDE/>
              <w:autoSpaceDN/>
              <w:bidi w:val="0"/>
              <w:spacing w:beforeAutospacing="0" w:afterAutospacing="0" w:line="460" w:lineRule="exact"/>
              <w:ind w:left="0" w:leftChars="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w:t>
            </w:r>
          </w:p>
        </w:tc>
        <w:tc>
          <w:tcPr>
            <w:tcW w:w="725" w:type="dxa"/>
            <w:vMerge w:val="restart"/>
            <w:tcBorders>
              <w:top w:val="nil"/>
              <w:left w:val="single" w:color="auto" w:sz="4" w:space="0"/>
              <w:bottom w:val="single" w:color="auto" w:sz="4" w:space="0"/>
              <w:right w:val="single" w:color="auto" w:sz="4" w:space="0"/>
            </w:tcBorders>
            <w:noWrap w:val="0"/>
            <w:vAlign w:val="center"/>
          </w:tcPr>
          <w:p w14:paraId="265A6655">
            <w:pPr>
              <w:keepNext w:val="0"/>
              <w:keepLines w:val="0"/>
              <w:pageBreakBefore w:val="0"/>
              <w:widowControl/>
              <w:suppressLineNumbers w:val="0"/>
              <w:kinsoku/>
              <w:wordWrap/>
              <w:overflowPunct/>
              <w:topLinePunct w:val="0"/>
              <w:autoSpaceDE/>
              <w:autoSpaceDN/>
              <w:bidi w:val="0"/>
              <w:spacing w:beforeAutospacing="0" w:afterAutospacing="0" w:line="460" w:lineRule="exact"/>
              <w:ind w:left="0" w:leftChars="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耐压试验</w:t>
            </w:r>
          </w:p>
        </w:tc>
        <w:tc>
          <w:tcPr>
            <w:tcW w:w="1485" w:type="dxa"/>
            <w:vMerge w:val="restart"/>
            <w:tcBorders>
              <w:top w:val="nil"/>
              <w:left w:val="single" w:color="auto" w:sz="4" w:space="0"/>
              <w:bottom w:val="single" w:color="auto" w:sz="4" w:space="0"/>
              <w:right w:val="single" w:color="auto" w:sz="4" w:space="0"/>
            </w:tcBorders>
            <w:noWrap w:val="0"/>
            <w:vAlign w:val="center"/>
          </w:tcPr>
          <w:p w14:paraId="14A611C0">
            <w:pPr>
              <w:keepNext w:val="0"/>
              <w:keepLines w:val="0"/>
              <w:pageBreakBefore w:val="0"/>
              <w:widowControl/>
              <w:suppressLineNumbers w:val="0"/>
              <w:kinsoku/>
              <w:wordWrap/>
              <w:overflowPunct/>
              <w:topLinePunct w:val="0"/>
              <w:autoSpaceDE/>
              <w:autoSpaceDN/>
              <w:bidi w:val="0"/>
              <w:spacing w:beforeAutospacing="0" w:afterAutospacing="0" w:line="460" w:lineRule="exact"/>
              <w:ind w:left="0" w:leftChars="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试验变压器及交流数显控制箱</w:t>
            </w:r>
          </w:p>
        </w:tc>
        <w:tc>
          <w:tcPr>
            <w:tcW w:w="2025" w:type="dxa"/>
            <w:tcBorders>
              <w:top w:val="nil"/>
              <w:left w:val="nil"/>
              <w:bottom w:val="single" w:color="auto" w:sz="4" w:space="0"/>
              <w:right w:val="single" w:color="auto" w:sz="4" w:space="0"/>
            </w:tcBorders>
            <w:noWrap w:val="0"/>
            <w:vAlign w:val="center"/>
          </w:tcPr>
          <w:p w14:paraId="22CEC02B">
            <w:pPr>
              <w:keepNext w:val="0"/>
              <w:keepLines w:val="0"/>
              <w:pageBreakBefore w:val="0"/>
              <w:widowControl/>
              <w:suppressLineNumbers w:val="0"/>
              <w:kinsoku/>
              <w:wordWrap/>
              <w:overflowPunct/>
              <w:topLinePunct w:val="0"/>
              <w:autoSpaceDE/>
              <w:autoSpaceDN/>
              <w:bidi w:val="0"/>
              <w:spacing w:beforeAutospacing="0" w:afterAutospacing="0" w:line="460" w:lineRule="exact"/>
              <w:ind w:left="0" w:leftChars="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耐压试验按出厂值电压的80％倍进行耐压试验</w:t>
            </w:r>
          </w:p>
        </w:tc>
        <w:tc>
          <w:tcPr>
            <w:tcW w:w="946" w:type="dxa"/>
            <w:vMerge w:val="continue"/>
            <w:tcBorders>
              <w:top w:val="nil"/>
              <w:left w:val="single" w:color="auto" w:sz="4" w:space="0"/>
              <w:bottom w:val="single" w:color="auto" w:sz="4" w:space="0"/>
              <w:right w:val="single" w:color="auto" w:sz="4" w:space="0"/>
            </w:tcBorders>
            <w:noWrap w:val="0"/>
            <w:vAlign w:val="center"/>
          </w:tcPr>
          <w:p w14:paraId="363D645F">
            <w:pPr>
              <w:keepNext w:val="0"/>
              <w:keepLines w:val="0"/>
              <w:pageBreakBefore w:val="0"/>
              <w:kinsoku/>
              <w:wordWrap/>
              <w:overflowPunct/>
              <w:topLinePunct w:val="0"/>
              <w:autoSpaceDE/>
              <w:autoSpaceDN/>
              <w:bidi w:val="0"/>
              <w:spacing w:beforeAutospacing="0" w:afterAutospacing="0" w:line="460" w:lineRule="exact"/>
              <w:ind w:left="0" w:leftChars="0"/>
              <w:jc w:val="center"/>
              <w:rPr>
                <w:rFonts w:hint="eastAsia" w:ascii="宋体" w:hAnsi="宋体" w:eastAsia="宋体" w:cs="宋体"/>
                <w:i w:val="0"/>
                <w:iCs w:val="0"/>
                <w:color w:val="auto"/>
                <w:sz w:val="24"/>
                <w:szCs w:val="24"/>
                <w:highlight w:val="none"/>
                <w:u w:val="none"/>
              </w:rPr>
            </w:pPr>
          </w:p>
        </w:tc>
        <w:tc>
          <w:tcPr>
            <w:tcW w:w="510" w:type="dxa"/>
            <w:vMerge w:val="continue"/>
            <w:tcBorders>
              <w:top w:val="nil"/>
              <w:left w:val="single" w:color="auto" w:sz="4" w:space="0"/>
              <w:bottom w:val="single" w:color="auto" w:sz="4" w:space="0"/>
              <w:right w:val="single" w:color="auto" w:sz="4" w:space="0"/>
            </w:tcBorders>
            <w:noWrap w:val="0"/>
            <w:vAlign w:val="center"/>
          </w:tcPr>
          <w:p w14:paraId="3E1E6C36">
            <w:pPr>
              <w:keepNext w:val="0"/>
              <w:keepLines w:val="0"/>
              <w:pageBreakBefore w:val="0"/>
              <w:kinsoku/>
              <w:wordWrap/>
              <w:overflowPunct/>
              <w:topLinePunct w:val="0"/>
              <w:autoSpaceDE/>
              <w:autoSpaceDN/>
              <w:bidi w:val="0"/>
              <w:spacing w:beforeAutospacing="0" w:afterAutospacing="0" w:line="460" w:lineRule="exact"/>
              <w:ind w:left="0" w:leftChars="0"/>
              <w:jc w:val="center"/>
              <w:rPr>
                <w:rFonts w:hint="eastAsia" w:ascii="宋体" w:hAnsi="宋体" w:eastAsia="宋体" w:cs="宋体"/>
                <w:i w:val="0"/>
                <w:iCs w:val="0"/>
                <w:color w:val="auto"/>
                <w:sz w:val="24"/>
                <w:szCs w:val="24"/>
                <w:highlight w:val="none"/>
                <w:u w:val="none"/>
              </w:rPr>
            </w:pPr>
          </w:p>
        </w:tc>
      </w:tr>
      <w:tr w14:paraId="1F0DDBD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9" w:hRule="atLeast"/>
        </w:trPr>
        <w:tc>
          <w:tcPr>
            <w:tcW w:w="510" w:type="dxa"/>
            <w:vMerge w:val="continue"/>
            <w:tcBorders>
              <w:top w:val="nil"/>
              <w:left w:val="single" w:color="auto" w:sz="4" w:space="0"/>
              <w:bottom w:val="single" w:color="auto" w:sz="4" w:space="0"/>
              <w:right w:val="single" w:color="auto" w:sz="4" w:space="0"/>
            </w:tcBorders>
            <w:noWrap w:val="0"/>
            <w:vAlign w:val="center"/>
          </w:tcPr>
          <w:p w14:paraId="71CEAC23">
            <w:pPr>
              <w:keepNext w:val="0"/>
              <w:keepLines w:val="0"/>
              <w:pageBreakBefore w:val="0"/>
              <w:kinsoku/>
              <w:wordWrap/>
              <w:overflowPunct/>
              <w:topLinePunct w:val="0"/>
              <w:autoSpaceDE/>
              <w:autoSpaceDN/>
              <w:bidi w:val="0"/>
              <w:spacing w:beforeAutospacing="0" w:afterAutospacing="0" w:line="460" w:lineRule="exact"/>
              <w:ind w:left="0" w:leftChars="0"/>
              <w:jc w:val="center"/>
              <w:rPr>
                <w:rFonts w:hint="eastAsia" w:ascii="宋体" w:hAnsi="宋体" w:eastAsia="宋体" w:cs="宋体"/>
                <w:i w:val="0"/>
                <w:iCs w:val="0"/>
                <w:color w:val="auto"/>
                <w:sz w:val="24"/>
                <w:szCs w:val="24"/>
                <w:highlight w:val="none"/>
                <w:u w:val="none"/>
              </w:rPr>
            </w:pPr>
          </w:p>
        </w:tc>
        <w:tc>
          <w:tcPr>
            <w:tcW w:w="725" w:type="dxa"/>
            <w:vMerge w:val="continue"/>
            <w:tcBorders>
              <w:top w:val="nil"/>
              <w:left w:val="single" w:color="auto" w:sz="4" w:space="0"/>
              <w:bottom w:val="single" w:color="auto" w:sz="4" w:space="0"/>
              <w:right w:val="single" w:color="auto" w:sz="4" w:space="0"/>
            </w:tcBorders>
            <w:noWrap w:val="0"/>
            <w:vAlign w:val="center"/>
          </w:tcPr>
          <w:p w14:paraId="16D70AFB">
            <w:pPr>
              <w:keepNext w:val="0"/>
              <w:keepLines w:val="0"/>
              <w:pageBreakBefore w:val="0"/>
              <w:kinsoku/>
              <w:wordWrap/>
              <w:overflowPunct/>
              <w:topLinePunct w:val="0"/>
              <w:autoSpaceDE/>
              <w:autoSpaceDN/>
              <w:bidi w:val="0"/>
              <w:spacing w:beforeAutospacing="0" w:afterAutospacing="0" w:line="460" w:lineRule="exact"/>
              <w:ind w:left="0" w:leftChars="0"/>
              <w:jc w:val="center"/>
              <w:rPr>
                <w:rFonts w:hint="eastAsia" w:ascii="宋体" w:hAnsi="宋体" w:eastAsia="宋体" w:cs="宋体"/>
                <w:i w:val="0"/>
                <w:iCs w:val="0"/>
                <w:color w:val="auto"/>
                <w:sz w:val="24"/>
                <w:szCs w:val="24"/>
                <w:highlight w:val="none"/>
                <w:u w:val="none"/>
              </w:rPr>
            </w:pPr>
          </w:p>
        </w:tc>
        <w:tc>
          <w:tcPr>
            <w:tcW w:w="731" w:type="dxa"/>
            <w:vMerge w:val="continue"/>
            <w:tcBorders>
              <w:top w:val="nil"/>
              <w:left w:val="single" w:color="auto" w:sz="4" w:space="0"/>
              <w:bottom w:val="single" w:color="auto" w:sz="4" w:space="0"/>
              <w:right w:val="single" w:color="auto" w:sz="4" w:space="0"/>
            </w:tcBorders>
            <w:noWrap w:val="0"/>
            <w:vAlign w:val="center"/>
          </w:tcPr>
          <w:p w14:paraId="41CD1B91">
            <w:pPr>
              <w:keepNext w:val="0"/>
              <w:keepLines w:val="0"/>
              <w:pageBreakBefore w:val="0"/>
              <w:kinsoku/>
              <w:wordWrap/>
              <w:overflowPunct/>
              <w:topLinePunct w:val="0"/>
              <w:autoSpaceDE/>
              <w:autoSpaceDN/>
              <w:bidi w:val="0"/>
              <w:spacing w:beforeAutospacing="0" w:afterAutospacing="0" w:line="460" w:lineRule="exact"/>
              <w:ind w:left="0" w:leftChars="0"/>
              <w:jc w:val="center"/>
              <w:rPr>
                <w:rFonts w:hint="eastAsia" w:ascii="宋体" w:hAnsi="宋体" w:eastAsia="宋体" w:cs="宋体"/>
                <w:i w:val="0"/>
                <w:iCs w:val="0"/>
                <w:color w:val="auto"/>
                <w:sz w:val="24"/>
                <w:szCs w:val="24"/>
                <w:highlight w:val="none"/>
                <w:u w:val="none"/>
              </w:rPr>
            </w:pPr>
          </w:p>
        </w:tc>
        <w:tc>
          <w:tcPr>
            <w:tcW w:w="913" w:type="dxa"/>
            <w:vMerge w:val="continue"/>
            <w:tcBorders>
              <w:top w:val="nil"/>
              <w:left w:val="single" w:color="auto" w:sz="4" w:space="0"/>
              <w:bottom w:val="single" w:color="auto" w:sz="4" w:space="0"/>
              <w:right w:val="single" w:color="auto" w:sz="4" w:space="0"/>
            </w:tcBorders>
            <w:noWrap w:val="0"/>
            <w:vAlign w:val="center"/>
          </w:tcPr>
          <w:p w14:paraId="700FB912">
            <w:pPr>
              <w:keepNext w:val="0"/>
              <w:keepLines w:val="0"/>
              <w:pageBreakBefore w:val="0"/>
              <w:kinsoku/>
              <w:wordWrap/>
              <w:overflowPunct/>
              <w:topLinePunct w:val="0"/>
              <w:autoSpaceDE/>
              <w:autoSpaceDN/>
              <w:bidi w:val="0"/>
              <w:spacing w:beforeAutospacing="0" w:afterAutospacing="0" w:line="460" w:lineRule="exact"/>
              <w:ind w:left="0" w:leftChars="0"/>
              <w:jc w:val="center"/>
              <w:rPr>
                <w:rFonts w:hint="eastAsia" w:ascii="宋体" w:hAnsi="宋体" w:eastAsia="宋体" w:cs="宋体"/>
                <w:i w:val="0"/>
                <w:iCs w:val="0"/>
                <w:color w:val="auto"/>
                <w:sz w:val="24"/>
                <w:szCs w:val="24"/>
                <w:highlight w:val="none"/>
                <w:u w:val="none"/>
              </w:rPr>
            </w:pPr>
          </w:p>
        </w:tc>
        <w:tc>
          <w:tcPr>
            <w:tcW w:w="717" w:type="dxa"/>
            <w:vMerge w:val="continue"/>
            <w:tcBorders>
              <w:top w:val="nil"/>
              <w:left w:val="single" w:color="auto" w:sz="4" w:space="0"/>
              <w:bottom w:val="single" w:color="auto" w:sz="4" w:space="0"/>
              <w:right w:val="single" w:color="auto" w:sz="4" w:space="0"/>
            </w:tcBorders>
            <w:noWrap w:val="0"/>
            <w:vAlign w:val="center"/>
          </w:tcPr>
          <w:p w14:paraId="1A5A1973">
            <w:pPr>
              <w:keepNext w:val="0"/>
              <w:keepLines w:val="0"/>
              <w:pageBreakBefore w:val="0"/>
              <w:kinsoku/>
              <w:wordWrap/>
              <w:overflowPunct/>
              <w:topLinePunct w:val="0"/>
              <w:autoSpaceDE/>
              <w:autoSpaceDN/>
              <w:bidi w:val="0"/>
              <w:spacing w:beforeAutospacing="0" w:afterAutospacing="0" w:line="460" w:lineRule="exact"/>
              <w:ind w:left="0" w:leftChars="0"/>
              <w:jc w:val="center"/>
              <w:rPr>
                <w:rFonts w:hint="eastAsia" w:ascii="宋体" w:hAnsi="宋体" w:eastAsia="宋体" w:cs="宋体"/>
                <w:i w:val="0"/>
                <w:iCs w:val="0"/>
                <w:color w:val="auto"/>
                <w:sz w:val="24"/>
                <w:szCs w:val="24"/>
                <w:highlight w:val="none"/>
                <w:u w:val="none"/>
              </w:rPr>
            </w:pPr>
          </w:p>
        </w:tc>
        <w:tc>
          <w:tcPr>
            <w:tcW w:w="725" w:type="dxa"/>
            <w:vMerge w:val="continue"/>
            <w:tcBorders>
              <w:top w:val="nil"/>
              <w:left w:val="single" w:color="auto" w:sz="4" w:space="0"/>
              <w:bottom w:val="single" w:color="auto" w:sz="4" w:space="0"/>
              <w:right w:val="single" w:color="auto" w:sz="4" w:space="0"/>
            </w:tcBorders>
            <w:noWrap w:val="0"/>
            <w:vAlign w:val="center"/>
          </w:tcPr>
          <w:p w14:paraId="143131EE">
            <w:pPr>
              <w:keepNext w:val="0"/>
              <w:keepLines w:val="0"/>
              <w:pageBreakBefore w:val="0"/>
              <w:kinsoku/>
              <w:wordWrap/>
              <w:overflowPunct/>
              <w:topLinePunct w:val="0"/>
              <w:autoSpaceDE/>
              <w:autoSpaceDN/>
              <w:bidi w:val="0"/>
              <w:spacing w:beforeAutospacing="0" w:afterAutospacing="0" w:line="460" w:lineRule="exact"/>
              <w:ind w:left="0" w:leftChars="0"/>
              <w:jc w:val="center"/>
              <w:rPr>
                <w:rFonts w:hint="eastAsia" w:ascii="宋体" w:hAnsi="宋体" w:eastAsia="宋体" w:cs="宋体"/>
                <w:i w:val="0"/>
                <w:iCs w:val="0"/>
                <w:color w:val="auto"/>
                <w:sz w:val="24"/>
                <w:szCs w:val="24"/>
                <w:highlight w:val="none"/>
                <w:u w:val="none"/>
              </w:rPr>
            </w:pPr>
          </w:p>
        </w:tc>
        <w:tc>
          <w:tcPr>
            <w:tcW w:w="1485" w:type="dxa"/>
            <w:vMerge w:val="continue"/>
            <w:tcBorders>
              <w:top w:val="nil"/>
              <w:left w:val="single" w:color="auto" w:sz="4" w:space="0"/>
              <w:bottom w:val="single" w:color="auto" w:sz="4" w:space="0"/>
              <w:right w:val="single" w:color="auto" w:sz="4" w:space="0"/>
            </w:tcBorders>
            <w:noWrap w:val="0"/>
            <w:vAlign w:val="center"/>
          </w:tcPr>
          <w:p w14:paraId="036587EB">
            <w:pPr>
              <w:keepNext w:val="0"/>
              <w:keepLines w:val="0"/>
              <w:pageBreakBefore w:val="0"/>
              <w:kinsoku/>
              <w:wordWrap/>
              <w:overflowPunct/>
              <w:topLinePunct w:val="0"/>
              <w:autoSpaceDE/>
              <w:autoSpaceDN/>
              <w:bidi w:val="0"/>
              <w:spacing w:beforeAutospacing="0" w:afterAutospacing="0" w:line="460" w:lineRule="exact"/>
              <w:ind w:left="0" w:leftChars="0"/>
              <w:jc w:val="center"/>
              <w:rPr>
                <w:rFonts w:hint="eastAsia" w:ascii="宋体" w:hAnsi="宋体" w:eastAsia="宋体" w:cs="宋体"/>
                <w:i w:val="0"/>
                <w:iCs w:val="0"/>
                <w:color w:val="auto"/>
                <w:sz w:val="24"/>
                <w:szCs w:val="24"/>
                <w:highlight w:val="none"/>
                <w:u w:val="none"/>
              </w:rPr>
            </w:pPr>
          </w:p>
        </w:tc>
        <w:tc>
          <w:tcPr>
            <w:tcW w:w="2025" w:type="dxa"/>
            <w:tcBorders>
              <w:top w:val="nil"/>
              <w:left w:val="nil"/>
              <w:bottom w:val="single" w:color="auto" w:sz="4" w:space="0"/>
              <w:right w:val="single" w:color="auto" w:sz="4" w:space="0"/>
            </w:tcBorders>
            <w:noWrap w:val="0"/>
            <w:vAlign w:val="center"/>
          </w:tcPr>
          <w:p w14:paraId="065BB4FD">
            <w:pPr>
              <w:keepNext w:val="0"/>
              <w:keepLines w:val="0"/>
              <w:pageBreakBefore w:val="0"/>
              <w:widowControl/>
              <w:suppressLineNumbers w:val="0"/>
              <w:kinsoku/>
              <w:wordWrap/>
              <w:overflowPunct/>
              <w:topLinePunct w:val="0"/>
              <w:autoSpaceDE/>
              <w:autoSpaceDN/>
              <w:bidi w:val="0"/>
              <w:spacing w:beforeAutospacing="0" w:afterAutospacing="0" w:line="460" w:lineRule="exact"/>
              <w:ind w:left="0" w:leftChars="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断口耐压试验应按出厂值的100％进行耐压试验</w:t>
            </w:r>
          </w:p>
        </w:tc>
        <w:tc>
          <w:tcPr>
            <w:tcW w:w="946" w:type="dxa"/>
            <w:vMerge w:val="continue"/>
            <w:tcBorders>
              <w:top w:val="nil"/>
              <w:left w:val="single" w:color="auto" w:sz="4" w:space="0"/>
              <w:bottom w:val="single" w:color="auto" w:sz="4" w:space="0"/>
              <w:right w:val="single" w:color="auto" w:sz="4" w:space="0"/>
            </w:tcBorders>
            <w:noWrap w:val="0"/>
            <w:vAlign w:val="center"/>
          </w:tcPr>
          <w:p w14:paraId="74B34C62">
            <w:pPr>
              <w:keepNext w:val="0"/>
              <w:keepLines w:val="0"/>
              <w:pageBreakBefore w:val="0"/>
              <w:kinsoku/>
              <w:wordWrap/>
              <w:overflowPunct/>
              <w:topLinePunct w:val="0"/>
              <w:autoSpaceDE/>
              <w:autoSpaceDN/>
              <w:bidi w:val="0"/>
              <w:spacing w:beforeAutospacing="0" w:afterAutospacing="0" w:line="460" w:lineRule="exact"/>
              <w:ind w:left="0" w:leftChars="0"/>
              <w:jc w:val="center"/>
              <w:rPr>
                <w:rFonts w:hint="eastAsia" w:ascii="宋体" w:hAnsi="宋体" w:eastAsia="宋体" w:cs="宋体"/>
                <w:i w:val="0"/>
                <w:iCs w:val="0"/>
                <w:color w:val="auto"/>
                <w:sz w:val="24"/>
                <w:szCs w:val="24"/>
                <w:highlight w:val="none"/>
                <w:u w:val="none"/>
              </w:rPr>
            </w:pPr>
          </w:p>
        </w:tc>
        <w:tc>
          <w:tcPr>
            <w:tcW w:w="510" w:type="dxa"/>
            <w:vMerge w:val="continue"/>
            <w:tcBorders>
              <w:top w:val="nil"/>
              <w:left w:val="single" w:color="auto" w:sz="4" w:space="0"/>
              <w:bottom w:val="single" w:color="auto" w:sz="4" w:space="0"/>
              <w:right w:val="single" w:color="auto" w:sz="4" w:space="0"/>
            </w:tcBorders>
            <w:noWrap w:val="0"/>
            <w:vAlign w:val="center"/>
          </w:tcPr>
          <w:p w14:paraId="778C07F0">
            <w:pPr>
              <w:keepNext w:val="0"/>
              <w:keepLines w:val="0"/>
              <w:pageBreakBefore w:val="0"/>
              <w:kinsoku/>
              <w:wordWrap/>
              <w:overflowPunct/>
              <w:topLinePunct w:val="0"/>
              <w:autoSpaceDE/>
              <w:autoSpaceDN/>
              <w:bidi w:val="0"/>
              <w:spacing w:beforeAutospacing="0" w:afterAutospacing="0" w:line="460" w:lineRule="exact"/>
              <w:ind w:left="0" w:leftChars="0"/>
              <w:jc w:val="center"/>
              <w:rPr>
                <w:rFonts w:hint="eastAsia" w:ascii="宋体" w:hAnsi="宋体" w:eastAsia="宋体" w:cs="宋体"/>
                <w:i w:val="0"/>
                <w:iCs w:val="0"/>
                <w:color w:val="auto"/>
                <w:sz w:val="24"/>
                <w:szCs w:val="24"/>
                <w:highlight w:val="none"/>
                <w:u w:val="none"/>
              </w:rPr>
            </w:pPr>
          </w:p>
        </w:tc>
      </w:tr>
      <w:tr w14:paraId="68646E0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60" w:hRule="atLeast"/>
        </w:trPr>
        <w:tc>
          <w:tcPr>
            <w:tcW w:w="510" w:type="dxa"/>
            <w:tcBorders>
              <w:top w:val="nil"/>
              <w:left w:val="single" w:color="auto" w:sz="4" w:space="0"/>
              <w:bottom w:val="single" w:color="auto" w:sz="4" w:space="0"/>
              <w:right w:val="single" w:color="auto" w:sz="4" w:space="0"/>
            </w:tcBorders>
            <w:noWrap w:val="0"/>
            <w:vAlign w:val="center"/>
          </w:tcPr>
          <w:p w14:paraId="180277EF">
            <w:pPr>
              <w:keepNext w:val="0"/>
              <w:keepLines w:val="0"/>
              <w:pageBreakBefore w:val="0"/>
              <w:widowControl/>
              <w:suppressLineNumbers w:val="0"/>
              <w:kinsoku/>
              <w:wordWrap/>
              <w:overflowPunct/>
              <w:topLinePunct w:val="0"/>
              <w:autoSpaceDE/>
              <w:autoSpaceDN/>
              <w:bidi w:val="0"/>
              <w:spacing w:beforeAutospacing="0" w:afterAutospacing="0" w:line="460" w:lineRule="exact"/>
              <w:ind w:left="0" w:leftChars="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4</w:t>
            </w:r>
          </w:p>
        </w:tc>
        <w:tc>
          <w:tcPr>
            <w:tcW w:w="725" w:type="dxa"/>
            <w:tcBorders>
              <w:top w:val="nil"/>
              <w:left w:val="nil"/>
              <w:bottom w:val="single" w:color="auto" w:sz="4" w:space="0"/>
              <w:right w:val="single" w:color="auto" w:sz="4" w:space="0"/>
            </w:tcBorders>
            <w:noWrap w:val="0"/>
            <w:vAlign w:val="center"/>
          </w:tcPr>
          <w:p w14:paraId="504F1FEE">
            <w:pPr>
              <w:keepNext w:val="0"/>
              <w:keepLines w:val="0"/>
              <w:pageBreakBefore w:val="0"/>
              <w:widowControl/>
              <w:suppressLineNumbers w:val="0"/>
              <w:kinsoku/>
              <w:wordWrap/>
              <w:overflowPunct/>
              <w:topLinePunct w:val="0"/>
              <w:autoSpaceDE/>
              <w:autoSpaceDN/>
              <w:bidi w:val="0"/>
              <w:spacing w:beforeAutospacing="0" w:afterAutospacing="0" w:line="460" w:lineRule="exact"/>
              <w:ind w:left="0" w:leftChars="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中央信号调试</w:t>
            </w:r>
          </w:p>
        </w:tc>
        <w:tc>
          <w:tcPr>
            <w:tcW w:w="731" w:type="dxa"/>
            <w:tcBorders>
              <w:top w:val="nil"/>
              <w:left w:val="nil"/>
              <w:bottom w:val="single" w:color="auto" w:sz="4" w:space="0"/>
              <w:right w:val="single" w:color="auto" w:sz="4" w:space="0"/>
            </w:tcBorders>
            <w:noWrap w:val="0"/>
            <w:vAlign w:val="center"/>
          </w:tcPr>
          <w:p w14:paraId="4A436297">
            <w:pPr>
              <w:keepNext w:val="0"/>
              <w:keepLines w:val="0"/>
              <w:pageBreakBefore w:val="0"/>
              <w:widowControl/>
              <w:suppressLineNumbers w:val="0"/>
              <w:kinsoku/>
              <w:wordWrap/>
              <w:overflowPunct/>
              <w:topLinePunct w:val="0"/>
              <w:autoSpaceDE/>
              <w:autoSpaceDN/>
              <w:bidi w:val="0"/>
              <w:spacing w:beforeAutospacing="0" w:afterAutospacing="0" w:line="460" w:lineRule="exact"/>
              <w:ind w:left="0" w:leftChars="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10KV</w:t>
            </w:r>
          </w:p>
        </w:tc>
        <w:tc>
          <w:tcPr>
            <w:tcW w:w="913" w:type="dxa"/>
            <w:tcBorders>
              <w:top w:val="nil"/>
              <w:left w:val="nil"/>
              <w:bottom w:val="single" w:color="auto" w:sz="4" w:space="0"/>
              <w:right w:val="single" w:color="auto" w:sz="4" w:space="0"/>
            </w:tcBorders>
            <w:noWrap w:val="0"/>
            <w:vAlign w:val="center"/>
          </w:tcPr>
          <w:p w14:paraId="765DB4FF">
            <w:pPr>
              <w:keepNext w:val="0"/>
              <w:keepLines w:val="0"/>
              <w:pageBreakBefore w:val="0"/>
              <w:widowControl/>
              <w:suppressLineNumbers w:val="0"/>
              <w:kinsoku/>
              <w:wordWrap/>
              <w:overflowPunct/>
              <w:topLinePunct w:val="0"/>
              <w:autoSpaceDE/>
              <w:autoSpaceDN/>
              <w:bidi w:val="0"/>
              <w:spacing w:beforeAutospacing="0" w:afterAutospacing="0" w:line="460" w:lineRule="exact"/>
              <w:ind w:left="0" w:leftChars="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　</w:t>
            </w:r>
          </w:p>
        </w:tc>
        <w:tc>
          <w:tcPr>
            <w:tcW w:w="717" w:type="dxa"/>
            <w:tcBorders>
              <w:top w:val="nil"/>
              <w:left w:val="nil"/>
              <w:bottom w:val="single" w:color="auto" w:sz="4" w:space="0"/>
              <w:right w:val="single" w:color="auto" w:sz="4" w:space="0"/>
            </w:tcBorders>
            <w:noWrap w:val="0"/>
            <w:vAlign w:val="center"/>
          </w:tcPr>
          <w:p w14:paraId="5B632C6C">
            <w:pPr>
              <w:keepNext w:val="0"/>
              <w:keepLines w:val="0"/>
              <w:pageBreakBefore w:val="0"/>
              <w:widowControl/>
              <w:suppressLineNumbers w:val="0"/>
              <w:kinsoku/>
              <w:wordWrap/>
              <w:overflowPunct/>
              <w:topLinePunct w:val="0"/>
              <w:autoSpaceDE/>
              <w:autoSpaceDN/>
              <w:bidi w:val="0"/>
              <w:spacing w:beforeAutospacing="0" w:afterAutospacing="0" w:line="460" w:lineRule="exact"/>
              <w:ind w:left="0" w:leftChars="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w:t>
            </w:r>
          </w:p>
        </w:tc>
        <w:tc>
          <w:tcPr>
            <w:tcW w:w="725" w:type="dxa"/>
            <w:tcBorders>
              <w:top w:val="nil"/>
              <w:left w:val="nil"/>
              <w:bottom w:val="single" w:color="auto" w:sz="4" w:space="0"/>
              <w:right w:val="single" w:color="auto" w:sz="4" w:space="0"/>
            </w:tcBorders>
            <w:noWrap w:val="0"/>
            <w:vAlign w:val="center"/>
          </w:tcPr>
          <w:p w14:paraId="00D1A489">
            <w:pPr>
              <w:keepNext w:val="0"/>
              <w:keepLines w:val="0"/>
              <w:pageBreakBefore w:val="0"/>
              <w:widowControl/>
              <w:suppressLineNumbers w:val="0"/>
              <w:kinsoku/>
              <w:wordWrap/>
              <w:overflowPunct/>
              <w:topLinePunct w:val="0"/>
              <w:autoSpaceDE/>
              <w:autoSpaceDN/>
              <w:bidi w:val="0"/>
              <w:spacing w:beforeAutospacing="0" w:afterAutospacing="0" w:line="460" w:lineRule="exact"/>
              <w:ind w:left="0" w:leftChars="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接地电阻</w:t>
            </w:r>
          </w:p>
        </w:tc>
        <w:tc>
          <w:tcPr>
            <w:tcW w:w="1485" w:type="dxa"/>
            <w:tcBorders>
              <w:top w:val="nil"/>
              <w:left w:val="nil"/>
              <w:bottom w:val="single" w:color="auto" w:sz="4" w:space="0"/>
              <w:right w:val="single" w:color="auto" w:sz="4" w:space="0"/>
            </w:tcBorders>
            <w:noWrap w:val="0"/>
            <w:vAlign w:val="center"/>
          </w:tcPr>
          <w:p w14:paraId="009BD508">
            <w:pPr>
              <w:keepNext w:val="0"/>
              <w:keepLines w:val="0"/>
              <w:pageBreakBefore w:val="0"/>
              <w:widowControl/>
              <w:suppressLineNumbers w:val="0"/>
              <w:kinsoku/>
              <w:wordWrap/>
              <w:overflowPunct/>
              <w:topLinePunct w:val="0"/>
              <w:autoSpaceDE/>
              <w:autoSpaceDN/>
              <w:bidi w:val="0"/>
              <w:spacing w:beforeAutospacing="0" w:afterAutospacing="0" w:line="460" w:lineRule="exact"/>
              <w:ind w:left="0" w:leftChars="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小接地网测量仪</w:t>
            </w:r>
          </w:p>
        </w:tc>
        <w:tc>
          <w:tcPr>
            <w:tcW w:w="2025" w:type="dxa"/>
            <w:tcBorders>
              <w:top w:val="nil"/>
              <w:left w:val="nil"/>
              <w:bottom w:val="single" w:color="auto" w:sz="4" w:space="0"/>
              <w:right w:val="single" w:color="auto" w:sz="4" w:space="0"/>
            </w:tcBorders>
            <w:noWrap w:val="0"/>
            <w:vAlign w:val="center"/>
          </w:tcPr>
          <w:p w14:paraId="255DD0D9">
            <w:pPr>
              <w:keepNext w:val="0"/>
              <w:keepLines w:val="0"/>
              <w:pageBreakBefore w:val="0"/>
              <w:widowControl/>
              <w:suppressLineNumbers w:val="0"/>
              <w:kinsoku/>
              <w:wordWrap/>
              <w:overflowPunct/>
              <w:topLinePunct w:val="0"/>
              <w:autoSpaceDE/>
              <w:autoSpaceDN/>
              <w:bidi w:val="0"/>
              <w:spacing w:beforeAutospacing="0" w:afterAutospacing="0" w:line="460" w:lineRule="exact"/>
              <w:ind w:left="0" w:leftChars="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R≤2000/I或者R≤Ω</w:t>
            </w:r>
          </w:p>
        </w:tc>
        <w:tc>
          <w:tcPr>
            <w:tcW w:w="946" w:type="dxa"/>
            <w:tcBorders>
              <w:top w:val="nil"/>
              <w:left w:val="nil"/>
              <w:bottom w:val="single" w:color="auto" w:sz="4" w:space="0"/>
              <w:right w:val="single" w:color="auto" w:sz="4" w:space="0"/>
            </w:tcBorders>
            <w:noWrap w:val="0"/>
            <w:vAlign w:val="center"/>
          </w:tcPr>
          <w:p w14:paraId="2F36EBE3">
            <w:pPr>
              <w:keepNext w:val="0"/>
              <w:keepLines w:val="0"/>
              <w:pageBreakBefore w:val="0"/>
              <w:widowControl/>
              <w:suppressLineNumbers w:val="0"/>
              <w:kinsoku/>
              <w:wordWrap/>
              <w:overflowPunct/>
              <w:topLinePunct w:val="0"/>
              <w:autoSpaceDE/>
              <w:autoSpaceDN/>
              <w:bidi w:val="0"/>
              <w:spacing w:beforeAutospacing="0" w:afterAutospacing="0" w:line="460" w:lineRule="exact"/>
              <w:ind w:left="0" w:leftChars="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每年</w:t>
            </w:r>
          </w:p>
        </w:tc>
        <w:tc>
          <w:tcPr>
            <w:tcW w:w="510" w:type="dxa"/>
            <w:tcBorders>
              <w:top w:val="nil"/>
              <w:left w:val="nil"/>
              <w:bottom w:val="single" w:color="auto" w:sz="4" w:space="0"/>
              <w:right w:val="single" w:color="auto" w:sz="4" w:space="0"/>
            </w:tcBorders>
            <w:noWrap w:val="0"/>
            <w:vAlign w:val="center"/>
          </w:tcPr>
          <w:p w14:paraId="00FA65D5">
            <w:pPr>
              <w:keepNext w:val="0"/>
              <w:keepLines w:val="0"/>
              <w:pageBreakBefore w:val="0"/>
              <w:widowControl/>
              <w:suppressLineNumbers w:val="0"/>
              <w:kinsoku/>
              <w:wordWrap/>
              <w:overflowPunct/>
              <w:topLinePunct w:val="0"/>
              <w:autoSpaceDE/>
              <w:autoSpaceDN/>
              <w:bidi w:val="0"/>
              <w:spacing w:beforeAutospacing="0" w:afterAutospacing="0" w:line="460" w:lineRule="exact"/>
              <w:ind w:left="0" w:leftChars="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　</w:t>
            </w:r>
          </w:p>
        </w:tc>
      </w:tr>
      <w:tr w14:paraId="1C71615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74" w:hRule="atLeast"/>
        </w:trPr>
        <w:tc>
          <w:tcPr>
            <w:tcW w:w="510" w:type="dxa"/>
            <w:vMerge w:val="restart"/>
            <w:tcBorders>
              <w:top w:val="nil"/>
              <w:left w:val="single" w:color="auto" w:sz="4" w:space="0"/>
              <w:bottom w:val="single" w:color="auto" w:sz="4" w:space="0"/>
              <w:right w:val="single" w:color="auto" w:sz="4" w:space="0"/>
            </w:tcBorders>
            <w:noWrap w:val="0"/>
            <w:vAlign w:val="center"/>
          </w:tcPr>
          <w:p w14:paraId="4F29C6B2">
            <w:pPr>
              <w:keepNext w:val="0"/>
              <w:keepLines w:val="0"/>
              <w:pageBreakBefore w:val="0"/>
              <w:widowControl/>
              <w:suppressLineNumbers w:val="0"/>
              <w:kinsoku/>
              <w:wordWrap/>
              <w:overflowPunct/>
              <w:topLinePunct w:val="0"/>
              <w:autoSpaceDE/>
              <w:autoSpaceDN/>
              <w:bidi w:val="0"/>
              <w:spacing w:beforeAutospacing="0" w:afterAutospacing="0" w:line="460" w:lineRule="exact"/>
              <w:ind w:left="0" w:leftChars="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5</w:t>
            </w:r>
          </w:p>
        </w:tc>
        <w:tc>
          <w:tcPr>
            <w:tcW w:w="725" w:type="dxa"/>
            <w:vMerge w:val="restart"/>
            <w:tcBorders>
              <w:top w:val="nil"/>
              <w:left w:val="single" w:color="auto" w:sz="4" w:space="0"/>
              <w:bottom w:val="single" w:color="auto" w:sz="4" w:space="0"/>
              <w:right w:val="single" w:color="auto" w:sz="4" w:space="0"/>
            </w:tcBorders>
            <w:noWrap w:val="0"/>
            <w:vAlign w:val="center"/>
          </w:tcPr>
          <w:p w14:paraId="7D2D7D58">
            <w:pPr>
              <w:keepNext w:val="0"/>
              <w:keepLines w:val="0"/>
              <w:pageBreakBefore w:val="0"/>
              <w:widowControl/>
              <w:suppressLineNumbers w:val="0"/>
              <w:kinsoku/>
              <w:wordWrap/>
              <w:overflowPunct/>
              <w:topLinePunct w:val="0"/>
              <w:autoSpaceDE/>
              <w:autoSpaceDN/>
              <w:bidi w:val="0"/>
              <w:spacing w:beforeAutospacing="0" w:afterAutospacing="0" w:line="460" w:lineRule="exact"/>
              <w:ind w:left="0" w:leftChars="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母线</w:t>
            </w:r>
          </w:p>
        </w:tc>
        <w:tc>
          <w:tcPr>
            <w:tcW w:w="731" w:type="dxa"/>
            <w:vMerge w:val="restart"/>
            <w:tcBorders>
              <w:top w:val="nil"/>
              <w:left w:val="single" w:color="auto" w:sz="4" w:space="0"/>
              <w:bottom w:val="single" w:color="auto" w:sz="4" w:space="0"/>
              <w:right w:val="single" w:color="auto" w:sz="4" w:space="0"/>
            </w:tcBorders>
            <w:noWrap w:val="0"/>
            <w:vAlign w:val="center"/>
          </w:tcPr>
          <w:p w14:paraId="32847B15">
            <w:pPr>
              <w:keepNext w:val="0"/>
              <w:keepLines w:val="0"/>
              <w:pageBreakBefore w:val="0"/>
              <w:widowControl/>
              <w:suppressLineNumbers w:val="0"/>
              <w:kinsoku/>
              <w:wordWrap/>
              <w:overflowPunct/>
              <w:topLinePunct w:val="0"/>
              <w:autoSpaceDE/>
              <w:autoSpaceDN/>
              <w:bidi w:val="0"/>
              <w:spacing w:beforeAutospacing="0" w:afterAutospacing="0" w:line="460" w:lineRule="exact"/>
              <w:ind w:left="0" w:leftChars="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10KV</w:t>
            </w:r>
          </w:p>
        </w:tc>
        <w:tc>
          <w:tcPr>
            <w:tcW w:w="913" w:type="dxa"/>
            <w:vMerge w:val="restart"/>
            <w:tcBorders>
              <w:top w:val="nil"/>
              <w:left w:val="single" w:color="auto" w:sz="4" w:space="0"/>
              <w:bottom w:val="single" w:color="auto" w:sz="4" w:space="0"/>
              <w:right w:val="single" w:color="auto" w:sz="4" w:space="0"/>
            </w:tcBorders>
            <w:noWrap w:val="0"/>
            <w:vAlign w:val="center"/>
          </w:tcPr>
          <w:p w14:paraId="0D2C2BAB">
            <w:pPr>
              <w:keepNext w:val="0"/>
              <w:keepLines w:val="0"/>
              <w:pageBreakBefore w:val="0"/>
              <w:widowControl/>
              <w:suppressLineNumbers w:val="0"/>
              <w:kinsoku/>
              <w:wordWrap/>
              <w:overflowPunct/>
              <w:topLinePunct w:val="0"/>
              <w:autoSpaceDE/>
              <w:autoSpaceDN/>
              <w:bidi w:val="0"/>
              <w:spacing w:beforeAutospacing="0" w:afterAutospacing="0" w:line="460" w:lineRule="exact"/>
              <w:ind w:left="0" w:leftChars="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　</w:t>
            </w:r>
          </w:p>
        </w:tc>
        <w:tc>
          <w:tcPr>
            <w:tcW w:w="717" w:type="dxa"/>
            <w:tcBorders>
              <w:top w:val="nil"/>
              <w:left w:val="nil"/>
              <w:bottom w:val="single" w:color="auto" w:sz="4" w:space="0"/>
              <w:right w:val="single" w:color="auto" w:sz="4" w:space="0"/>
            </w:tcBorders>
            <w:noWrap w:val="0"/>
            <w:vAlign w:val="center"/>
          </w:tcPr>
          <w:p w14:paraId="1DC58C50">
            <w:pPr>
              <w:keepNext w:val="0"/>
              <w:keepLines w:val="0"/>
              <w:pageBreakBefore w:val="0"/>
              <w:widowControl/>
              <w:suppressLineNumbers w:val="0"/>
              <w:kinsoku/>
              <w:wordWrap/>
              <w:overflowPunct/>
              <w:topLinePunct w:val="0"/>
              <w:autoSpaceDE/>
              <w:autoSpaceDN/>
              <w:bidi w:val="0"/>
              <w:spacing w:beforeAutospacing="0" w:afterAutospacing="0" w:line="460" w:lineRule="exact"/>
              <w:ind w:left="0" w:leftChars="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w:t>
            </w:r>
          </w:p>
        </w:tc>
        <w:tc>
          <w:tcPr>
            <w:tcW w:w="725" w:type="dxa"/>
            <w:tcBorders>
              <w:top w:val="nil"/>
              <w:left w:val="nil"/>
              <w:bottom w:val="single" w:color="auto" w:sz="4" w:space="0"/>
              <w:right w:val="single" w:color="auto" w:sz="4" w:space="0"/>
            </w:tcBorders>
            <w:noWrap w:val="0"/>
            <w:vAlign w:val="center"/>
          </w:tcPr>
          <w:p w14:paraId="09810877">
            <w:pPr>
              <w:keepNext w:val="0"/>
              <w:keepLines w:val="0"/>
              <w:pageBreakBefore w:val="0"/>
              <w:widowControl/>
              <w:suppressLineNumbers w:val="0"/>
              <w:kinsoku/>
              <w:wordWrap/>
              <w:overflowPunct/>
              <w:topLinePunct w:val="0"/>
              <w:autoSpaceDE/>
              <w:autoSpaceDN/>
              <w:bidi w:val="0"/>
              <w:spacing w:beforeAutospacing="0" w:afterAutospacing="0" w:line="460" w:lineRule="exact"/>
              <w:ind w:left="0" w:leftChars="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绝缘电阻</w:t>
            </w:r>
          </w:p>
        </w:tc>
        <w:tc>
          <w:tcPr>
            <w:tcW w:w="1485" w:type="dxa"/>
            <w:tcBorders>
              <w:top w:val="nil"/>
              <w:left w:val="nil"/>
              <w:bottom w:val="single" w:color="auto" w:sz="4" w:space="0"/>
              <w:right w:val="single" w:color="auto" w:sz="4" w:space="0"/>
            </w:tcBorders>
            <w:noWrap w:val="0"/>
            <w:vAlign w:val="center"/>
          </w:tcPr>
          <w:p w14:paraId="7F6C588C">
            <w:pPr>
              <w:keepNext w:val="0"/>
              <w:keepLines w:val="0"/>
              <w:pageBreakBefore w:val="0"/>
              <w:widowControl/>
              <w:suppressLineNumbers w:val="0"/>
              <w:kinsoku/>
              <w:wordWrap/>
              <w:overflowPunct/>
              <w:topLinePunct w:val="0"/>
              <w:autoSpaceDE/>
              <w:autoSpaceDN/>
              <w:bidi w:val="0"/>
              <w:spacing w:beforeAutospacing="0" w:afterAutospacing="0" w:line="460" w:lineRule="exact"/>
              <w:ind w:left="0" w:leftChars="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绝缘电阻测试仪</w:t>
            </w:r>
          </w:p>
        </w:tc>
        <w:tc>
          <w:tcPr>
            <w:tcW w:w="2025" w:type="dxa"/>
            <w:tcBorders>
              <w:top w:val="nil"/>
              <w:left w:val="nil"/>
              <w:bottom w:val="single" w:color="auto" w:sz="4" w:space="0"/>
              <w:right w:val="single" w:color="auto" w:sz="4" w:space="0"/>
            </w:tcBorders>
            <w:noWrap w:val="0"/>
            <w:vAlign w:val="center"/>
          </w:tcPr>
          <w:p w14:paraId="6EBCF131">
            <w:pPr>
              <w:keepNext w:val="0"/>
              <w:keepLines w:val="0"/>
              <w:pageBreakBefore w:val="0"/>
              <w:widowControl/>
              <w:suppressLineNumbers w:val="0"/>
              <w:kinsoku/>
              <w:wordWrap/>
              <w:overflowPunct/>
              <w:topLinePunct w:val="0"/>
              <w:autoSpaceDE/>
              <w:autoSpaceDN/>
              <w:bidi w:val="0"/>
              <w:spacing w:beforeAutospacing="0" w:afterAutospacing="0" w:line="460" w:lineRule="exact"/>
              <w:ind w:left="0" w:leftChars="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2500V兆欧表不小于500MΩ</w:t>
            </w:r>
          </w:p>
        </w:tc>
        <w:tc>
          <w:tcPr>
            <w:tcW w:w="946" w:type="dxa"/>
            <w:vMerge w:val="restart"/>
            <w:tcBorders>
              <w:top w:val="nil"/>
              <w:left w:val="single" w:color="auto" w:sz="4" w:space="0"/>
              <w:bottom w:val="single" w:color="000000" w:sz="4" w:space="0"/>
              <w:right w:val="single" w:color="auto" w:sz="4" w:space="0"/>
            </w:tcBorders>
            <w:noWrap w:val="0"/>
            <w:vAlign w:val="center"/>
          </w:tcPr>
          <w:p w14:paraId="1588EFC1">
            <w:pPr>
              <w:keepNext w:val="0"/>
              <w:keepLines w:val="0"/>
              <w:pageBreakBefore w:val="0"/>
              <w:widowControl/>
              <w:suppressLineNumbers w:val="0"/>
              <w:kinsoku/>
              <w:wordWrap/>
              <w:overflowPunct/>
              <w:topLinePunct w:val="0"/>
              <w:autoSpaceDE/>
              <w:autoSpaceDN/>
              <w:bidi w:val="0"/>
              <w:spacing w:beforeAutospacing="0" w:afterAutospacing="0" w:line="460" w:lineRule="exact"/>
              <w:ind w:left="0" w:leftChars="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每年</w:t>
            </w:r>
          </w:p>
        </w:tc>
        <w:tc>
          <w:tcPr>
            <w:tcW w:w="510" w:type="dxa"/>
            <w:vMerge w:val="restart"/>
            <w:tcBorders>
              <w:top w:val="nil"/>
              <w:left w:val="single" w:color="auto" w:sz="4" w:space="0"/>
              <w:bottom w:val="single" w:color="000000" w:sz="4" w:space="0"/>
              <w:right w:val="single" w:color="auto" w:sz="4" w:space="0"/>
            </w:tcBorders>
            <w:noWrap w:val="0"/>
            <w:vAlign w:val="center"/>
          </w:tcPr>
          <w:p w14:paraId="01071D81">
            <w:pPr>
              <w:keepNext w:val="0"/>
              <w:keepLines w:val="0"/>
              <w:pageBreakBefore w:val="0"/>
              <w:widowControl/>
              <w:suppressLineNumbers w:val="0"/>
              <w:kinsoku/>
              <w:wordWrap/>
              <w:overflowPunct/>
              <w:topLinePunct w:val="0"/>
              <w:autoSpaceDE/>
              <w:autoSpaceDN/>
              <w:bidi w:val="0"/>
              <w:spacing w:beforeAutospacing="0" w:afterAutospacing="0" w:line="460" w:lineRule="exact"/>
              <w:ind w:left="0" w:leftChars="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　</w:t>
            </w:r>
          </w:p>
        </w:tc>
      </w:tr>
      <w:tr w14:paraId="0D1FE08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59" w:hRule="atLeast"/>
        </w:trPr>
        <w:tc>
          <w:tcPr>
            <w:tcW w:w="510" w:type="dxa"/>
            <w:vMerge w:val="continue"/>
            <w:tcBorders>
              <w:top w:val="nil"/>
              <w:left w:val="single" w:color="auto" w:sz="4" w:space="0"/>
              <w:bottom w:val="single" w:color="auto" w:sz="4" w:space="0"/>
              <w:right w:val="single" w:color="auto" w:sz="4" w:space="0"/>
            </w:tcBorders>
            <w:noWrap w:val="0"/>
            <w:vAlign w:val="center"/>
          </w:tcPr>
          <w:p w14:paraId="7F830698">
            <w:pPr>
              <w:keepNext w:val="0"/>
              <w:keepLines w:val="0"/>
              <w:pageBreakBefore w:val="0"/>
              <w:kinsoku/>
              <w:wordWrap/>
              <w:overflowPunct/>
              <w:topLinePunct w:val="0"/>
              <w:autoSpaceDE/>
              <w:autoSpaceDN/>
              <w:bidi w:val="0"/>
              <w:spacing w:beforeAutospacing="0" w:afterAutospacing="0" w:line="460" w:lineRule="exact"/>
              <w:ind w:left="0" w:leftChars="0"/>
              <w:jc w:val="center"/>
              <w:rPr>
                <w:rFonts w:hint="eastAsia" w:ascii="宋体" w:hAnsi="宋体" w:eastAsia="宋体" w:cs="宋体"/>
                <w:i w:val="0"/>
                <w:iCs w:val="0"/>
                <w:color w:val="auto"/>
                <w:sz w:val="24"/>
                <w:szCs w:val="24"/>
                <w:highlight w:val="none"/>
                <w:u w:val="none"/>
              </w:rPr>
            </w:pPr>
          </w:p>
        </w:tc>
        <w:tc>
          <w:tcPr>
            <w:tcW w:w="725" w:type="dxa"/>
            <w:vMerge w:val="continue"/>
            <w:tcBorders>
              <w:top w:val="nil"/>
              <w:left w:val="single" w:color="auto" w:sz="4" w:space="0"/>
              <w:bottom w:val="single" w:color="auto" w:sz="4" w:space="0"/>
              <w:right w:val="single" w:color="auto" w:sz="4" w:space="0"/>
            </w:tcBorders>
            <w:noWrap w:val="0"/>
            <w:vAlign w:val="center"/>
          </w:tcPr>
          <w:p w14:paraId="0AE4876D">
            <w:pPr>
              <w:keepNext w:val="0"/>
              <w:keepLines w:val="0"/>
              <w:pageBreakBefore w:val="0"/>
              <w:kinsoku/>
              <w:wordWrap/>
              <w:overflowPunct/>
              <w:topLinePunct w:val="0"/>
              <w:autoSpaceDE/>
              <w:autoSpaceDN/>
              <w:bidi w:val="0"/>
              <w:spacing w:beforeAutospacing="0" w:afterAutospacing="0" w:line="460" w:lineRule="exact"/>
              <w:ind w:left="0" w:leftChars="0"/>
              <w:jc w:val="center"/>
              <w:rPr>
                <w:rFonts w:hint="eastAsia" w:ascii="宋体" w:hAnsi="宋体" w:eastAsia="宋体" w:cs="宋体"/>
                <w:i w:val="0"/>
                <w:iCs w:val="0"/>
                <w:color w:val="auto"/>
                <w:sz w:val="24"/>
                <w:szCs w:val="24"/>
                <w:highlight w:val="none"/>
                <w:u w:val="none"/>
              </w:rPr>
            </w:pPr>
          </w:p>
        </w:tc>
        <w:tc>
          <w:tcPr>
            <w:tcW w:w="731" w:type="dxa"/>
            <w:vMerge w:val="continue"/>
            <w:tcBorders>
              <w:top w:val="nil"/>
              <w:left w:val="single" w:color="auto" w:sz="4" w:space="0"/>
              <w:bottom w:val="single" w:color="auto" w:sz="4" w:space="0"/>
              <w:right w:val="single" w:color="auto" w:sz="4" w:space="0"/>
            </w:tcBorders>
            <w:noWrap w:val="0"/>
            <w:vAlign w:val="center"/>
          </w:tcPr>
          <w:p w14:paraId="37075794">
            <w:pPr>
              <w:keepNext w:val="0"/>
              <w:keepLines w:val="0"/>
              <w:pageBreakBefore w:val="0"/>
              <w:kinsoku/>
              <w:wordWrap/>
              <w:overflowPunct/>
              <w:topLinePunct w:val="0"/>
              <w:autoSpaceDE/>
              <w:autoSpaceDN/>
              <w:bidi w:val="0"/>
              <w:spacing w:beforeAutospacing="0" w:afterAutospacing="0" w:line="460" w:lineRule="exact"/>
              <w:ind w:left="0" w:leftChars="0"/>
              <w:jc w:val="center"/>
              <w:rPr>
                <w:rFonts w:hint="eastAsia" w:ascii="宋体" w:hAnsi="宋体" w:eastAsia="宋体" w:cs="宋体"/>
                <w:i w:val="0"/>
                <w:iCs w:val="0"/>
                <w:color w:val="auto"/>
                <w:sz w:val="24"/>
                <w:szCs w:val="24"/>
                <w:highlight w:val="none"/>
                <w:u w:val="none"/>
              </w:rPr>
            </w:pPr>
          </w:p>
        </w:tc>
        <w:tc>
          <w:tcPr>
            <w:tcW w:w="913" w:type="dxa"/>
            <w:vMerge w:val="continue"/>
            <w:tcBorders>
              <w:top w:val="nil"/>
              <w:left w:val="single" w:color="auto" w:sz="4" w:space="0"/>
              <w:bottom w:val="single" w:color="auto" w:sz="4" w:space="0"/>
              <w:right w:val="single" w:color="auto" w:sz="4" w:space="0"/>
            </w:tcBorders>
            <w:noWrap w:val="0"/>
            <w:vAlign w:val="center"/>
          </w:tcPr>
          <w:p w14:paraId="2B3C05A0">
            <w:pPr>
              <w:keepNext w:val="0"/>
              <w:keepLines w:val="0"/>
              <w:pageBreakBefore w:val="0"/>
              <w:kinsoku/>
              <w:wordWrap/>
              <w:overflowPunct/>
              <w:topLinePunct w:val="0"/>
              <w:autoSpaceDE/>
              <w:autoSpaceDN/>
              <w:bidi w:val="0"/>
              <w:spacing w:beforeAutospacing="0" w:afterAutospacing="0" w:line="460" w:lineRule="exact"/>
              <w:ind w:left="0" w:leftChars="0"/>
              <w:jc w:val="center"/>
              <w:rPr>
                <w:rFonts w:hint="eastAsia" w:ascii="宋体" w:hAnsi="宋体" w:eastAsia="宋体" w:cs="宋体"/>
                <w:i w:val="0"/>
                <w:iCs w:val="0"/>
                <w:color w:val="auto"/>
                <w:sz w:val="24"/>
                <w:szCs w:val="24"/>
                <w:highlight w:val="none"/>
                <w:u w:val="none"/>
              </w:rPr>
            </w:pPr>
          </w:p>
        </w:tc>
        <w:tc>
          <w:tcPr>
            <w:tcW w:w="717" w:type="dxa"/>
            <w:vMerge w:val="restart"/>
            <w:tcBorders>
              <w:top w:val="nil"/>
              <w:left w:val="single" w:color="auto" w:sz="4" w:space="0"/>
              <w:bottom w:val="single" w:color="auto" w:sz="4" w:space="0"/>
              <w:right w:val="single" w:color="auto" w:sz="4" w:space="0"/>
            </w:tcBorders>
            <w:noWrap w:val="0"/>
            <w:vAlign w:val="center"/>
          </w:tcPr>
          <w:p w14:paraId="43483A06">
            <w:pPr>
              <w:keepNext w:val="0"/>
              <w:keepLines w:val="0"/>
              <w:pageBreakBefore w:val="0"/>
              <w:widowControl/>
              <w:suppressLineNumbers w:val="0"/>
              <w:kinsoku/>
              <w:wordWrap/>
              <w:overflowPunct/>
              <w:topLinePunct w:val="0"/>
              <w:autoSpaceDE/>
              <w:autoSpaceDN/>
              <w:bidi w:val="0"/>
              <w:spacing w:beforeAutospacing="0" w:afterAutospacing="0" w:line="460" w:lineRule="exact"/>
              <w:ind w:left="0" w:leftChars="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w:t>
            </w:r>
          </w:p>
        </w:tc>
        <w:tc>
          <w:tcPr>
            <w:tcW w:w="725" w:type="dxa"/>
            <w:vMerge w:val="restart"/>
            <w:tcBorders>
              <w:top w:val="nil"/>
              <w:left w:val="single" w:color="auto" w:sz="4" w:space="0"/>
              <w:bottom w:val="single" w:color="auto" w:sz="4" w:space="0"/>
              <w:right w:val="single" w:color="auto" w:sz="4" w:space="0"/>
            </w:tcBorders>
            <w:noWrap w:val="0"/>
            <w:vAlign w:val="center"/>
          </w:tcPr>
          <w:p w14:paraId="044DFD0A">
            <w:pPr>
              <w:keepNext w:val="0"/>
              <w:keepLines w:val="0"/>
              <w:pageBreakBefore w:val="0"/>
              <w:widowControl/>
              <w:suppressLineNumbers w:val="0"/>
              <w:kinsoku/>
              <w:wordWrap/>
              <w:overflowPunct/>
              <w:topLinePunct w:val="0"/>
              <w:autoSpaceDE/>
              <w:autoSpaceDN/>
              <w:bidi w:val="0"/>
              <w:spacing w:beforeAutospacing="0" w:afterAutospacing="0" w:line="460" w:lineRule="exact"/>
              <w:ind w:left="0" w:leftChars="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耐压试验</w:t>
            </w:r>
          </w:p>
        </w:tc>
        <w:tc>
          <w:tcPr>
            <w:tcW w:w="1485" w:type="dxa"/>
            <w:vMerge w:val="restart"/>
            <w:tcBorders>
              <w:top w:val="nil"/>
              <w:left w:val="single" w:color="auto" w:sz="4" w:space="0"/>
              <w:bottom w:val="single" w:color="auto" w:sz="4" w:space="0"/>
              <w:right w:val="single" w:color="auto" w:sz="4" w:space="0"/>
            </w:tcBorders>
            <w:noWrap w:val="0"/>
            <w:vAlign w:val="center"/>
          </w:tcPr>
          <w:p w14:paraId="558501E4">
            <w:pPr>
              <w:keepNext w:val="0"/>
              <w:keepLines w:val="0"/>
              <w:pageBreakBefore w:val="0"/>
              <w:widowControl/>
              <w:suppressLineNumbers w:val="0"/>
              <w:kinsoku/>
              <w:wordWrap/>
              <w:overflowPunct/>
              <w:topLinePunct w:val="0"/>
              <w:autoSpaceDE/>
              <w:autoSpaceDN/>
              <w:bidi w:val="0"/>
              <w:spacing w:beforeAutospacing="0" w:afterAutospacing="0" w:line="460" w:lineRule="exact"/>
              <w:ind w:left="0" w:leftChars="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试验变压器及交流数显控制箱</w:t>
            </w:r>
          </w:p>
        </w:tc>
        <w:tc>
          <w:tcPr>
            <w:tcW w:w="2025" w:type="dxa"/>
            <w:vMerge w:val="restart"/>
            <w:tcBorders>
              <w:top w:val="nil"/>
              <w:left w:val="single" w:color="auto" w:sz="4" w:space="0"/>
              <w:bottom w:val="single" w:color="auto" w:sz="4" w:space="0"/>
              <w:right w:val="single" w:color="auto" w:sz="4" w:space="0"/>
            </w:tcBorders>
            <w:noWrap w:val="0"/>
            <w:vAlign w:val="center"/>
          </w:tcPr>
          <w:p w14:paraId="5BF24294">
            <w:pPr>
              <w:keepNext w:val="0"/>
              <w:keepLines w:val="0"/>
              <w:pageBreakBefore w:val="0"/>
              <w:widowControl/>
              <w:suppressLineNumbers w:val="0"/>
              <w:kinsoku/>
              <w:wordWrap/>
              <w:overflowPunct/>
              <w:topLinePunct w:val="0"/>
              <w:autoSpaceDE/>
              <w:autoSpaceDN/>
              <w:bidi w:val="0"/>
              <w:spacing w:beforeAutospacing="0" w:afterAutospacing="0" w:line="460" w:lineRule="exact"/>
              <w:ind w:left="0" w:leftChars="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耐压试验按出厂值电压的倍进行耐压试验</w:t>
            </w:r>
          </w:p>
        </w:tc>
        <w:tc>
          <w:tcPr>
            <w:tcW w:w="946" w:type="dxa"/>
            <w:vMerge w:val="continue"/>
            <w:tcBorders>
              <w:top w:val="nil"/>
              <w:left w:val="single" w:color="auto" w:sz="4" w:space="0"/>
              <w:bottom w:val="single" w:color="000000" w:sz="4" w:space="0"/>
              <w:right w:val="single" w:color="auto" w:sz="4" w:space="0"/>
            </w:tcBorders>
            <w:noWrap w:val="0"/>
            <w:vAlign w:val="center"/>
          </w:tcPr>
          <w:p w14:paraId="1FC627EB">
            <w:pPr>
              <w:keepNext w:val="0"/>
              <w:keepLines w:val="0"/>
              <w:pageBreakBefore w:val="0"/>
              <w:kinsoku/>
              <w:wordWrap/>
              <w:overflowPunct/>
              <w:topLinePunct w:val="0"/>
              <w:autoSpaceDE/>
              <w:autoSpaceDN/>
              <w:bidi w:val="0"/>
              <w:spacing w:beforeAutospacing="0" w:afterAutospacing="0" w:line="460" w:lineRule="exact"/>
              <w:ind w:left="0" w:leftChars="0"/>
              <w:jc w:val="center"/>
              <w:rPr>
                <w:rFonts w:hint="eastAsia" w:ascii="宋体" w:hAnsi="宋体" w:eastAsia="宋体" w:cs="宋体"/>
                <w:i w:val="0"/>
                <w:iCs w:val="0"/>
                <w:color w:val="auto"/>
                <w:sz w:val="24"/>
                <w:szCs w:val="24"/>
                <w:highlight w:val="none"/>
                <w:u w:val="none"/>
              </w:rPr>
            </w:pPr>
          </w:p>
        </w:tc>
        <w:tc>
          <w:tcPr>
            <w:tcW w:w="510" w:type="dxa"/>
            <w:vMerge w:val="continue"/>
            <w:tcBorders>
              <w:top w:val="nil"/>
              <w:left w:val="single" w:color="auto" w:sz="4" w:space="0"/>
              <w:bottom w:val="single" w:color="000000" w:sz="4" w:space="0"/>
              <w:right w:val="single" w:color="auto" w:sz="4" w:space="0"/>
            </w:tcBorders>
            <w:noWrap w:val="0"/>
            <w:vAlign w:val="center"/>
          </w:tcPr>
          <w:p w14:paraId="72D41C70">
            <w:pPr>
              <w:keepNext w:val="0"/>
              <w:keepLines w:val="0"/>
              <w:pageBreakBefore w:val="0"/>
              <w:kinsoku/>
              <w:wordWrap/>
              <w:overflowPunct/>
              <w:topLinePunct w:val="0"/>
              <w:autoSpaceDE/>
              <w:autoSpaceDN/>
              <w:bidi w:val="0"/>
              <w:spacing w:beforeAutospacing="0" w:afterAutospacing="0" w:line="460" w:lineRule="exact"/>
              <w:ind w:left="0" w:leftChars="0"/>
              <w:jc w:val="center"/>
              <w:rPr>
                <w:rFonts w:hint="eastAsia" w:ascii="宋体" w:hAnsi="宋体" w:eastAsia="宋体" w:cs="宋体"/>
                <w:i w:val="0"/>
                <w:iCs w:val="0"/>
                <w:color w:val="auto"/>
                <w:sz w:val="24"/>
                <w:szCs w:val="24"/>
                <w:highlight w:val="none"/>
                <w:u w:val="none"/>
              </w:rPr>
            </w:pPr>
          </w:p>
        </w:tc>
      </w:tr>
      <w:tr w14:paraId="69EBFF9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510" w:type="dxa"/>
            <w:vMerge w:val="continue"/>
            <w:tcBorders>
              <w:top w:val="nil"/>
              <w:left w:val="single" w:color="auto" w:sz="4" w:space="0"/>
              <w:bottom w:val="single" w:color="auto" w:sz="4" w:space="0"/>
              <w:right w:val="single" w:color="auto" w:sz="4" w:space="0"/>
            </w:tcBorders>
            <w:noWrap w:val="0"/>
            <w:vAlign w:val="center"/>
          </w:tcPr>
          <w:p w14:paraId="4C6D2443">
            <w:pPr>
              <w:keepNext w:val="0"/>
              <w:keepLines w:val="0"/>
              <w:pageBreakBefore w:val="0"/>
              <w:kinsoku/>
              <w:wordWrap/>
              <w:overflowPunct/>
              <w:topLinePunct w:val="0"/>
              <w:autoSpaceDE/>
              <w:autoSpaceDN/>
              <w:bidi w:val="0"/>
              <w:spacing w:beforeAutospacing="0" w:afterAutospacing="0" w:line="460" w:lineRule="exact"/>
              <w:ind w:left="0" w:leftChars="0"/>
              <w:jc w:val="center"/>
              <w:rPr>
                <w:rFonts w:hint="eastAsia" w:ascii="宋体" w:hAnsi="宋体" w:eastAsia="宋体" w:cs="宋体"/>
                <w:i w:val="0"/>
                <w:iCs w:val="0"/>
                <w:color w:val="auto"/>
                <w:sz w:val="24"/>
                <w:szCs w:val="24"/>
                <w:highlight w:val="none"/>
                <w:u w:val="none"/>
              </w:rPr>
            </w:pPr>
          </w:p>
        </w:tc>
        <w:tc>
          <w:tcPr>
            <w:tcW w:w="725" w:type="dxa"/>
            <w:vMerge w:val="continue"/>
            <w:tcBorders>
              <w:top w:val="nil"/>
              <w:left w:val="single" w:color="auto" w:sz="4" w:space="0"/>
              <w:bottom w:val="single" w:color="auto" w:sz="4" w:space="0"/>
              <w:right w:val="single" w:color="auto" w:sz="4" w:space="0"/>
            </w:tcBorders>
            <w:noWrap w:val="0"/>
            <w:vAlign w:val="center"/>
          </w:tcPr>
          <w:p w14:paraId="1AD63F59">
            <w:pPr>
              <w:keepNext w:val="0"/>
              <w:keepLines w:val="0"/>
              <w:pageBreakBefore w:val="0"/>
              <w:kinsoku/>
              <w:wordWrap/>
              <w:overflowPunct/>
              <w:topLinePunct w:val="0"/>
              <w:autoSpaceDE/>
              <w:autoSpaceDN/>
              <w:bidi w:val="0"/>
              <w:spacing w:beforeAutospacing="0" w:afterAutospacing="0" w:line="460" w:lineRule="exact"/>
              <w:ind w:left="0" w:leftChars="0"/>
              <w:jc w:val="center"/>
              <w:rPr>
                <w:rFonts w:hint="eastAsia" w:ascii="宋体" w:hAnsi="宋体" w:eastAsia="宋体" w:cs="宋体"/>
                <w:i w:val="0"/>
                <w:iCs w:val="0"/>
                <w:color w:val="auto"/>
                <w:sz w:val="24"/>
                <w:szCs w:val="24"/>
                <w:highlight w:val="none"/>
                <w:u w:val="none"/>
              </w:rPr>
            </w:pPr>
          </w:p>
        </w:tc>
        <w:tc>
          <w:tcPr>
            <w:tcW w:w="731" w:type="dxa"/>
            <w:vMerge w:val="continue"/>
            <w:tcBorders>
              <w:top w:val="nil"/>
              <w:left w:val="single" w:color="auto" w:sz="4" w:space="0"/>
              <w:bottom w:val="single" w:color="auto" w:sz="4" w:space="0"/>
              <w:right w:val="single" w:color="auto" w:sz="4" w:space="0"/>
            </w:tcBorders>
            <w:noWrap w:val="0"/>
            <w:vAlign w:val="center"/>
          </w:tcPr>
          <w:p w14:paraId="7F56E078">
            <w:pPr>
              <w:keepNext w:val="0"/>
              <w:keepLines w:val="0"/>
              <w:pageBreakBefore w:val="0"/>
              <w:kinsoku/>
              <w:wordWrap/>
              <w:overflowPunct/>
              <w:topLinePunct w:val="0"/>
              <w:autoSpaceDE/>
              <w:autoSpaceDN/>
              <w:bidi w:val="0"/>
              <w:spacing w:beforeAutospacing="0" w:afterAutospacing="0" w:line="460" w:lineRule="exact"/>
              <w:ind w:left="0" w:leftChars="0"/>
              <w:jc w:val="center"/>
              <w:rPr>
                <w:rFonts w:hint="eastAsia" w:ascii="宋体" w:hAnsi="宋体" w:eastAsia="宋体" w:cs="宋体"/>
                <w:i w:val="0"/>
                <w:iCs w:val="0"/>
                <w:color w:val="auto"/>
                <w:sz w:val="24"/>
                <w:szCs w:val="24"/>
                <w:highlight w:val="none"/>
                <w:u w:val="none"/>
              </w:rPr>
            </w:pPr>
          </w:p>
        </w:tc>
        <w:tc>
          <w:tcPr>
            <w:tcW w:w="913" w:type="dxa"/>
            <w:vMerge w:val="continue"/>
            <w:tcBorders>
              <w:top w:val="nil"/>
              <w:left w:val="single" w:color="auto" w:sz="4" w:space="0"/>
              <w:bottom w:val="single" w:color="auto" w:sz="4" w:space="0"/>
              <w:right w:val="single" w:color="auto" w:sz="4" w:space="0"/>
            </w:tcBorders>
            <w:noWrap w:val="0"/>
            <w:vAlign w:val="center"/>
          </w:tcPr>
          <w:p w14:paraId="5D1F331F">
            <w:pPr>
              <w:keepNext w:val="0"/>
              <w:keepLines w:val="0"/>
              <w:pageBreakBefore w:val="0"/>
              <w:kinsoku/>
              <w:wordWrap/>
              <w:overflowPunct/>
              <w:topLinePunct w:val="0"/>
              <w:autoSpaceDE/>
              <w:autoSpaceDN/>
              <w:bidi w:val="0"/>
              <w:spacing w:beforeAutospacing="0" w:afterAutospacing="0" w:line="460" w:lineRule="exact"/>
              <w:ind w:left="0" w:leftChars="0"/>
              <w:jc w:val="center"/>
              <w:rPr>
                <w:rFonts w:hint="eastAsia" w:ascii="宋体" w:hAnsi="宋体" w:eastAsia="宋体" w:cs="宋体"/>
                <w:i w:val="0"/>
                <w:iCs w:val="0"/>
                <w:color w:val="auto"/>
                <w:sz w:val="24"/>
                <w:szCs w:val="24"/>
                <w:highlight w:val="none"/>
                <w:u w:val="none"/>
              </w:rPr>
            </w:pPr>
          </w:p>
        </w:tc>
        <w:tc>
          <w:tcPr>
            <w:tcW w:w="717" w:type="dxa"/>
            <w:vMerge w:val="continue"/>
            <w:tcBorders>
              <w:top w:val="nil"/>
              <w:left w:val="single" w:color="auto" w:sz="4" w:space="0"/>
              <w:bottom w:val="single" w:color="auto" w:sz="4" w:space="0"/>
              <w:right w:val="single" w:color="auto" w:sz="4" w:space="0"/>
            </w:tcBorders>
            <w:noWrap w:val="0"/>
            <w:vAlign w:val="center"/>
          </w:tcPr>
          <w:p w14:paraId="00332474">
            <w:pPr>
              <w:keepNext w:val="0"/>
              <w:keepLines w:val="0"/>
              <w:pageBreakBefore w:val="0"/>
              <w:kinsoku/>
              <w:wordWrap/>
              <w:overflowPunct/>
              <w:topLinePunct w:val="0"/>
              <w:autoSpaceDE/>
              <w:autoSpaceDN/>
              <w:bidi w:val="0"/>
              <w:spacing w:beforeAutospacing="0" w:afterAutospacing="0" w:line="460" w:lineRule="exact"/>
              <w:ind w:left="0" w:leftChars="0"/>
              <w:jc w:val="center"/>
              <w:rPr>
                <w:rFonts w:hint="eastAsia" w:ascii="宋体" w:hAnsi="宋体" w:eastAsia="宋体" w:cs="宋体"/>
                <w:i w:val="0"/>
                <w:iCs w:val="0"/>
                <w:color w:val="auto"/>
                <w:sz w:val="24"/>
                <w:szCs w:val="24"/>
                <w:highlight w:val="none"/>
                <w:u w:val="none"/>
              </w:rPr>
            </w:pPr>
          </w:p>
        </w:tc>
        <w:tc>
          <w:tcPr>
            <w:tcW w:w="725" w:type="dxa"/>
            <w:vMerge w:val="continue"/>
            <w:tcBorders>
              <w:top w:val="nil"/>
              <w:left w:val="single" w:color="auto" w:sz="4" w:space="0"/>
              <w:bottom w:val="single" w:color="auto" w:sz="4" w:space="0"/>
              <w:right w:val="single" w:color="auto" w:sz="4" w:space="0"/>
            </w:tcBorders>
            <w:noWrap w:val="0"/>
            <w:vAlign w:val="center"/>
          </w:tcPr>
          <w:p w14:paraId="1785392D">
            <w:pPr>
              <w:keepNext w:val="0"/>
              <w:keepLines w:val="0"/>
              <w:pageBreakBefore w:val="0"/>
              <w:kinsoku/>
              <w:wordWrap/>
              <w:overflowPunct/>
              <w:topLinePunct w:val="0"/>
              <w:autoSpaceDE/>
              <w:autoSpaceDN/>
              <w:bidi w:val="0"/>
              <w:spacing w:beforeAutospacing="0" w:afterAutospacing="0" w:line="460" w:lineRule="exact"/>
              <w:ind w:left="0" w:leftChars="0"/>
              <w:jc w:val="center"/>
              <w:rPr>
                <w:rFonts w:hint="eastAsia" w:ascii="宋体" w:hAnsi="宋体" w:eastAsia="宋体" w:cs="宋体"/>
                <w:i w:val="0"/>
                <w:iCs w:val="0"/>
                <w:color w:val="auto"/>
                <w:sz w:val="24"/>
                <w:szCs w:val="24"/>
                <w:highlight w:val="none"/>
                <w:u w:val="none"/>
              </w:rPr>
            </w:pPr>
          </w:p>
        </w:tc>
        <w:tc>
          <w:tcPr>
            <w:tcW w:w="1485" w:type="dxa"/>
            <w:vMerge w:val="continue"/>
            <w:tcBorders>
              <w:top w:val="nil"/>
              <w:left w:val="single" w:color="auto" w:sz="4" w:space="0"/>
              <w:bottom w:val="single" w:color="auto" w:sz="4" w:space="0"/>
              <w:right w:val="single" w:color="auto" w:sz="4" w:space="0"/>
            </w:tcBorders>
            <w:noWrap w:val="0"/>
            <w:vAlign w:val="center"/>
          </w:tcPr>
          <w:p w14:paraId="3705D7BE">
            <w:pPr>
              <w:keepNext w:val="0"/>
              <w:keepLines w:val="0"/>
              <w:pageBreakBefore w:val="0"/>
              <w:kinsoku/>
              <w:wordWrap/>
              <w:overflowPunct/>
              <w:topLinePunct w:val="0"/>
              <w:autoSpaceDE/>
              <w:autoSpaceDN/>
              <w:bidi w:val="0"/>
              <w:spacing w:beforeAutospacing="0" w:afterAutospacing="0" w:line="460" w:lineRule="exact"/>
              <w:ind w:left="0" w:leftChars="0"/>
              <w:jc w:val="center"/>
              <w:rPr>
                <w:rFonts w:hint="eastAsia" w:ascii="宋体" w:hAnsi="宋体" w:eastAsia="宋体" w:cs="宋体"/>
                <w:i w:val="0"/>
                <w:iCs w:val="0"/>
                <w:color w:val="auto"/>
                <w:sz w:val="24"/>
                <w:szCs w:val="24"/>
                <w:highlight w:val="none"/>
                <w:u w:val="none"/>
              </w:rPr>
            </w:pPr>
          </w:p>
        </w:tc>
        <w:tc>
          <w:tcPr>
            <w:tcW w:w="2025" w:type="dxa"/>
            <w:vMerge w:val="continue"/>
            <w:tcBorders>
              <w:top w:val="nil"/>
              <w:left w:val="single" w:color="auto" w:sz="4" w:space="0"/>
              <w:bottom w:val="single" w:color="auto" w:sz="4" w:space="0"/>
              <w:right w:val="single" w:color="auto" w:sz="4" w:space="0"/>
            </w:tcBorders>
            <w:noWrap w:val="0"/>
            <w:vAlign w:val="center"/>
          </w:tcPr>
          <w:p w14:paraId="741C794C">
            <w:pPr>
              <w:keepNext w:val="0"/>
              <w:keepLines w:val="0"/>
              <w:pageBreakBefore w:val="0"/>
              <w:kinsoku/>
              <w:wordWrap/>
              <w:overflowPunct/>
              <w:topLinePunct w:val="0"/>
              <w:autoSpaceDE/>
              <w:autoSpaceDN/>
              <w:bidi w:val="0"/>
              <w:spacing w:beforeAutospacing="0" w:afterAutospacing="0" w:line="460" w:lineRule="exact"/>
              <w:ind w:left="0" w:leftChars="0"/>
              <w:jc w:val="center"/>
              <w:rPr>
                <w:rFonts w:hint="eastAsia" w:ascii="宋体" w:hAnsi="宋体" w:eastAsia="宋体" w:cs="宋体"/>
                <w:i w:val="0"/>
                <w:iCs w:val="0"/>
                <w:color w:val="auto"/>
                <w:sz w:val="24"/>
                <w:szCs w:val="24"/>
                <w:highlight w:val="none"/>
                <w:u w:val="none"/>
              </w:rPr>
            </w:pPr>
          </w:p>
        </w:tc>
        <w:tc>
          <w:tcPr>
            <w:tcW w:w="946" w:type="dxa"/>
            <w:vMerge w:val="continue"/>
            <w:tcBorders>
              <w:top w:val="nil"/>
              <w:left w:val="single" w:color="auto" w:sz="4" w:space="0"/>
              <w:bottom w:val="single" w:color="000000" w:sz="4" w:space="0"/>
              <w:right w:val="single" w:color="auto" w:sz="4" w:space="0"/>
            </w:tcBorders>
            <w:noWrap w:val="0"/>
            <w:vAlign w:val="center"/>
          </w:tcPr>
          <w:p w14:paraId="00988FDB">
            <w:pPr>
              <w:keepNext w:val="0"/>
              <w:keepLines w:val="0"/>
              <w:pageBreakBefore w:val="0"/>
              <w:kinsoku/>
              <w:wordWrap/>
              <w:overflowPunct/>
              <w:topLinePunct w:val="0"/>
              <w:autoSpaceDE/>
              <w:autoSpaceDN/>
              <w:bidi w:val="0"/>
              <w:spacing w:beforeAutospacing="0" w:afterAutospacing="0" w:line="460" w:lineRule="exact"/>
              <w:ind w:left="0" w:leftChars="0"/>
              <w:jc w:val="center"/>
              <w:rPr>
                <w:rFonts w:hint="eastAsia" w:ascii="宋体" w:hAnsi="宋体" w:eastAsia="宋体" w:cs="宋体"/>
                <w:i w:val="0"/>
                <w:iCs w:val="0"/>
                <w:color w:val="auto"/>
                <w:sz w:val="24"/>
                <w:szCs w:val="24"/>
                <w:highlight w:val="none"/>
                <w:u w:val="none"/>
              </w:rPr>
            </w:pPr>
          </w:p>
        </w:tc>
        <w:tc>
          <w:tcPr>
            <w:tcW w:w="510" w:type="dxa"/>
            <w:vMerge w:val="continue"/>
            <w:tcBorders>
              <w:top w:val="nil"/>
              <w:left w:val="single" w:color="auto" w:sz="4" w:space="0"/>
              <w:bottom w:val="single" w:color="000000" w:sz="4" w:space="0"/>
              <w:right w:val="single" w:color="auto" w:sz="4" w:space="0"/>
            </w:tcBorders>
            <w:noWrap w:val="0"/>
            <w:vAlign w:val="center"/>
          </w:tcPr>
          <w:p w14:paraId="474F0FAA">
            <w:pPr>
              <w:keepNext w:val="0"/>
              <w:keepLines w:val="0"/>
              <w:pageBreakBefore w:val="0"/>
              <w:kinsoku/>
              <w:wordWrap/>
              <w:overflowPunct/>
              <w:topLinePunct w:val="0"/>
              <w:autoSpaceDE/>
              <w:autoSpaceDN/>
              <w:bidi w:val="0"/>
              <w:spacing w:beforeAutospacing="0" w:afterAutospacing="0" w:line="460" w:lineRule="exact"/>
              <w:ind w:left="0" w:leftChars="0"/>
              <w:jc w:val="center"/>
              <w:rPr>
                <w:rFonts w:hint="eastAsia" w:ascii="宋体" w:hAnsi="宋体" w:eastAsia="宋体" w:cs="宋体"/>
                <w:i w:val="0"/>
                <w:iCs w:val="0"/>
                <w:color w:val="auto"/>
                <w:sz w:val="24"/>
                <w:szCs w:val="24"/>
                <w:highlight w:val="none"/>
                <w:u w:val="none"/>
              </w:rPr>
            </w:pPr>
          </w:p>
        </w:tc>
      </w:tr>
      <w:tr w14:paraId="66A681E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74" w:hRule="atLeast"/>
        </w:trPr>
        <w:tc>
          <w:tcPr>
            <w:tcW w:w="510" w:type="dxa"/>
            <w:tcBorders>
              <w:top w:val="nil"/>
              <w:left w:val="single" w:color="auto" w:sz="4" w:space="0"/>
              <w:bottom w:val="single" w:color="auto" w:sz="4" w:space="0"/>
              <w:right w:val="single" w:color="auto" w:sz="4" w:space="0"/>
            </w:tcBorders>
            <w:noWrap w:val="0"/>
            <w:vAlign w:val="center"/>
          </w:tcPr>
          <w:p w14:paraId="4C540A35">
            <w:pPr>
              <w:keepNext w:val="0"/>
              <w:keepLines w:val="0"/>
              <w:pageBreakBefore w:val="0"/>
              <w:widowControl/>
              <w:suppressLineNumbers w:val="0"/>
              <w:kinsoku/>
              <w:wordWrap/>
              <w:overflowPunct/>
              <w:topLinePunct w:val="0"/>
              <w:autoSpaceDE/>
              <w:autoSpaceDN/>
              <w:bidi w:val="0"/>
              <w:spacing w:beforeAutospacing="0" w:afterAutospacing="0" w:line="460" w:lineRule="exact"/>
              <w:ind w:left="0" w:leftChars="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6</w:t>
            </w:r>
          </w:p>
        </w:tc>
        <w:tc>
          <w:tcPr>
            <w:tcW w:w="725" w:type="dxa"/>
            <w:tcBorders>
              <w:top w:val="nil"/>
              <w:left w:val="nil"/>
              <w:bottom w:val="single" w:color="auto" w:sz="4" w:space="0"/>
              <w:right w:val="single" w:color="auto" w:sz="4" w:space="0"/>
            </w:tcBorders>
            <w:noWrap w:val="0"/>
            <w:vAlign w:val="center"/>
          </w:tcPr>
          <w:p w14:paraId="47E1B6D5">
            <w:pPr>
              <w:keepNext w:val="0"/>
              <w:keepLines w:val="0"/>
              <w:pageBreakBefore w:val="0"/>
              <w:widowControl/>
              <w:suppressLineNumbers w:val="0"/>
              <w:kinsoku/>
              <w:wordWrap/>
              <w:overflowPunct/>
              <w:topLinePunct w:val="0"/>
              <w:autoSpaceDE/>
              <w:autoSpaceDN/>
              <w:bidi w:val="0"/>
              <w:spacing w:beforeAutospacing="0" w:afterAutospacing="0" w:line="460" w:lineRule="exact"/>
              <w:ind w:left="0" w:leftChars="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避雷器</w:t>
            </w:r>
          </w:p>
        </w:tc>
        <w:tc>
          <w:tcPr>
            <w:tcW w:w="731" w:type="dxa"/>
            <w:tcBorders>
              <w:top w:val="nil"/>
              <w:left w:val="nil"/>
              <w:bottom w:val="single" w:color="auto" w:sz="4" w:space="0"/>
              <w:right w:val="single" w:color="auto" w:sz="4" w:space="0"/>
            </w:tcBorders>
            <w:noWrap w:val="0"/>
            <w:vAlign w:val="center"/>
          </w:tcPr>
          <w:p w14:paraId="28B856D6">
            <w:pPr>
              <w:keepNext w:val="0"/>
              <w:keepLines w:val="0"/>
              <w:pageBreakBefore w:val="0"/>
              <w:widowControl/>
              <w:suppressLineNumbers w:val="0"/>
              <w:kinsoku/>
              <w:wordWrap/>
              <w:overflowPunct/>
              <w:topLinePunct w:val="0"/>
              <w:autoSpaceDE/>
              <w:autoSpaceDN/>
              <w:bidi w:val="0"/>
              <w:spacing w:beforeAutospacing="0" w:afterAutospacing="0" w:line="460" w:lineRule="exact"/>
              <w:ind w:left="0" w:leftChars="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10KV</w:t>
            </w:r>
          </w:p>
        </w:tc>
        <w:tc>
          <w:tcPr>
            <w:tcW w:w="913" w:type="dxa"/>
            <w:tcBorders>
              <w:top w:val="nil"/>
              <w:left w:val="nil"/>
              <w:bottom w:val="single" w:color="auto" w:sz="4" w:space="0"/>
              <w:right w:val="single" w:color="auto" w:sz="4" w:space="0"/>
            </w:tcBorders>
            <w:noWrap w:val="0"/>
            <w:vAlign w:val="center"/>
          </w:tcPr>
          <w:p w14:paraId="008A91D8">
            <w:pPr>
              <w:keepNext w:val="0"/>
              <w:keepLines w:val="0"/>
              <w:pageBreakBefore w:val="0"/>
              <w:widowControl/>
              <w:suppressLineNumbers w:val="0"/>
              <w:kinsoku/>
              <w:wordWrap/>
              <w:overflowPunct/>
              <w:topLinePunct w:val="0"/>
              <w:autoSpaceDE/>
              <w:autoSpaceDN/>
              <w:bidi w:val="0"/>
              <w:spacing w:beforeAutospacing="0" w:afterAutospacing="0" w:line="460" w:lineRule="exact"/>
              <w:ind w:left="0" w:leftChars="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　</w:t>
            </w:r>
          </w:p>
        </w:tc>
        <w:tc>
          <w:tcPr>
            <w:tcW w:w="717" w:type="dxa"/>
            <w:tcBorders>
              <w:top w:val="nil"/>
              <w:left w:val="nil"/>
              <w:bottom w:val="single" w:color="auto" w:sz="4" w:space="0"/>
              <w:right w:val="single" w:color="auto" w:sz="4" w:space="0"/>
            </w:tcBorders>
            <w:noWrap w:val="0"/>
            <w:vAlign w:val="center"/>
          </w:tcPr>
          <w:p w14:paraId="1529C9DC">
            <w:pPr>
              <w:keepNext w:val="0"/>
              <w:keepLines w:val="0"/>
              <w:pageBreakBefore w:val="0"/>
              <w:widowControl/>
              <w:suppressLineNumbers w:val="0"/>
              <w:kinsoku/>
              <w:wordWrap/>
              <w:overflowPunct/>
              <w:topLinePunct w:val="0"/>
              <w:autoSpaceDE/>
              <w:autoSpaceDN/>
              <w:bidi w:val="0"/>
              <w:spacing w:beforeAutospacing="0" w:afterAutospacing="0" w:line="460" w:lineRule="exact"/>
              <w:ind w:left="0" w:leftChars="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w:t>
            </w:r>
          </w:p>
        </w:tc>
        <w:tc>
          <w:tcPr>
            <w:tcW w:w="725" w:type="dxa"/>
            <w:tcBorders>
              <w:top w:val="nil"/>
              <w:left w:val="nil"/>
              <w:bottom w:val="single" w:color="auto" w:sz="4" w:space="0"/>
              <w:right w:val="single" w:color="auto" w:sz="4" w:space="0"/>
            </w:tcBorders>
            <w:noWrap w:val="0"/>
            <w:vAlign w:val="center"/>
          </w:tcPr>
          <w:p w14:paraId="76F603FF">
            <w:pPr>
              <w:keepNext w:val="0"/>
              <w:keepLines w:val="0"/>
              <w:pageBreakBefore w:val="0"/>
              <w:widowControl/>
              <w:suppressLineNumbers w:val="0"/>
              <w:kinsoku/>
              <w:wordWrap/>
              <w:overflowPunct/>
              <w:topLinePunct w:val="0"/>
              <w:autoSpaceDE/>
              <w:autoSpaceDN/>
              <w:bidi w:val="0"/>
              <w:spacing w:beforeAutospacing="0" w:afterAutospacing="0" w:line="460" w:lineRule="exact"/>
              <w:ind w:left="0" w:leftChars="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绝缘电阻</w:t>
            </w:r>
          </w:p>
        </w:tc>
        <w:tc>
          <w:tcPr>
            <w:tcW w:w="1485" w:type="dxa"/>
            <w:tcBorders>
              <w:top w:val="nil"/>
              <w:left w:val="nil"/>
              <w:bottom w:val="single" w:color="auto" w:sz="4" w:space="0"/>
              <w:right w:val="single" w:color="auto" w:sz="4" w:space="0"/>
            </w:tcBorders>
            <w:noWrap w:val="0"/>
            <w:vAlign w:val="center"/>
          </w:tcPr>
          <w:p w14:paraId="25224176">
            <w:pPr>
              <w:keepNext w:val="0"/>
              <w:keepLines w:val="0"/>
              <w:pageBreakBefore w:val="0"/>
              <w:widowControl/>
              <w:suppressLineNumbers w:val="0"/>
              <w:kinsoku/>
              <w:wordWrap/>
              <w:overflowPunct/>
              <w:topLinePunct w:val="0"/>
              <w:autoSpaceDE/>
              <w:autoSpaceDN/>
              <w:bidi w:val="0"/>
              <w:spacing w:beforeAutospacing="0" w:afterAutospacing="0" w:line="460" w:lineRule="exact"/>
              <w:ind w:left="0" w:leftChars="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绝缘电阻测试仪</w:t>
            </w:r>
          </w:p>
        </w:tc>
        <w:tc>
          <w:tcPr>
            <w:tcW w:w="2025" w:type="dxa"/>
            <w:tcBorders>
              <w:top w:val="nil"/>
              <w:left w:val="nil"/>
              <w:bottom w:val="single" w:color="auto" w:sz="4" w:space="0"/>
              <w:right w:val="single" w:color="auto" w:sz="4" w:space="0"/>
            </w:tcBorders>
            <w:noWrap w:val="0"/>
            <w:vAlign w:val="center"/>
          </w:tcPr>
          <w:p w14:paraId="4261F042">
            <w:pPr>
              <w:keepNext w:val="0"/>
              <w:keepLines w:val="0"/>
              <w:pageBreakBefore w:val="0"/>
              <w:widowControl/>
              <w:suppressLineNumbers w:val="0"/>
              <w:kinsoku/>
              <w:wordWrap/>
              <w:overflowPunct/>
              <w:topLinePunct w:val="0"/>
              <w:autoSpaceDE/>
              <w:autoSpaceDN/>
              <w:bidi w:val="0"/>
              <w:spacing w:beforeAutospacing="0" w:afterAutospacing="0" w:line="460" w:lineRule="exact"/>
              <w:ind w:left="0" w:leftChars="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2500V兆欧表不小于2500MΩ</w:t>
            </w:r>
          </w:p>
        </w:tc>
        <w:tc>
          <w:tcPr>
            <w:tcW w:w="946" w:type="dxa"/>
            <w:tcBorders>
              <w:top w:val="nil"/>
              <w:left w:val="nil"/>
              <w:bottom w:val="single" w:color="auto" w:sz="4" w:space="0"/>
              <w:right w:val="single" w:color="auto" w:sz="4" w:space="0"/>
            </w:tcBorders>
            <w:noWrap w:val="0"/>
            <w:vAlign w:val="center"/>
          </w:tcPr>
          <w:p w14:paraId="056D3952">
            <w:pPr>
              <w:keepNext w:val="0"/>
              <w:keepLines w:val="0"/>
              <w:pageBreakBefore w:val="0"/>
              <w:widowControl/>
              <w:suppressLineNumbers w:val="0"/>
              <w:kinsoku/>
              <w:wordWrap/>
              <w:overflowPunct/>
              <w:topLinePunct w:val="0"/>
              <w:autoSpaceDE/>
              <w:autoSpaceDN/>
              <w:bidi w:val="0"/>
              <w:spacing w:beforeAutospacing="0" w:afterAutospacing="0" w:line="460" w:lineRule="exact"/>
              <w:ind w:left="0" w:leftChars="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每年</w:t>
            </w:r>
          </w:p>
        </w:tc>
        <w:tc>
          <w:tcPr>
            <w:tcW w:w="510" w:type="dxa"/>
            <w:tcBorders>
              <w:top w:val="nil"/>
              <w:left w:val="nil"/>
              <w:bottom w:val="single" w:color="auto" w:sz="4" w:space="0"/>
              <w:right w:val="single" w:color="auto" w:sz="4" w:space="0"/>
            </w:tcBorders>
            <w:noWrap w:val="0"/>
            <w:vAlign w:val="center"/>
          </w:tcPr>
          <w:p w14:paraId="2CEB2DBB">
            <w:pPr>
              <w:keepNext w:val="0"/>
              <w:keepLines w:val="0"/>
              <w:pageBreakBefore w:val="0"/>
              <w:widowControl/>
              <w:suppressLineNumbers w:val="0"/>
              <w:kinsoku/>
              <w:wordWrap/>
              <w:overflowPunct/>
              <w:topLinePunct w:val="0"/>
              <w:autoSpaceDE/>
              <w:autoSpaceDN/>
              <w:bidi w:val="0"/>
              <w:spacing w:beforeAutospacing="0" w:afterAutospacing="0" w:line="460" w:lineRule="exact"/>
              <w:ind w:left="0" w:leftChars="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　</w:t>
            </w:r>
          </w:p>
        </w:tc>
      </w:tr>
      <w:tr w14:paraId="77301A0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66" w:hRule="atLeast"/>
        </w:trPr>
        <w:tc>
          <w:tcPr>
            <w:tcW w:w="510" w:type="dxa"/>
            <w:tcBorders>
              <w:top w:val="nil"/>
              <w:left w:val="single" w:color="auto" w:sz="4" w:space="0"/>
              <w:bottom w:val="single" w:color="auto" w:sz="4" w:space="0"/>
              <w:right w:val="single" w:color="auto" w:sz="4" w:space="0"/>
            </w:tcBorders>
            <w:noWrap w:val="0"/>
            <w:vAlign w:val="center"/>
          </w:tcPr>
          <w:p w14:paraId="70F3D35A">
            <w:pPr>
              <w:keepNext w:val="0"/>
              <w:keepLines w:val="0"/>
              <w:pageBreakBefore w:val="0"/>
              <w:widowControl/>
              <w:suppressLineNumbers w:val="0"/>
              <w:kinsoku/>
              <w:wordWrap/>
              <w:overflowPunct/>
              <w:topLinePunct w:val="0"/>
              <w:autoSpaceDE/>
              <w:autoSpaceDN/>
              <w:bidi w:val="0"/>
              <w:spacing w:beforeAutospacing="0" w:afterAutospacing="0" w:line="460" w:lineRule="exact"/>
              <w:ind w:left="0" w:leftChars="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7</w:t>
            </w:r>
          </w:p>
        </w:tc>
        <w:tc>
          <w:tcPr>
            <w:tcW w:w="725" w:type="dxa"/>
            <w:tcBorders>
              <w:top w:val="nil"/>
              <w:left w:val="nil"/>
              <w:bottom w:val="single" w:color="auto" w:sz="4" w:space="0"/>
              <w:right w:val="single" w:color="auto" w:sz="4" w:space="0"/>
            </w:tcBorders>
            <w:noWrap w:val="0"/>
            <w:vAlign w:val="center"/>
          </w:tcPr>
          <w:p w14:paraId="46441F7D">
            <w:pPr>
              <w:keepNext w:val="0"/>
              <w:keepLines w:val="0"/>
              <w:pageBreakBefore w:val="0"/>
              <w:widowControl/>
              <w:suppressLineNumbers w:val="0"/>
              <w:kinsoku/>
              <w:wordWrap/>
              <w:overflowPunct/>
              <w:topLinePunct w:val="0"/>
              <w:autoSpaceDE/>
              <w:autoSpaceDN/>
              <w:bidi w:val="0"/>
              <w:spacing w:beforeAutospacing="0" w:afterAutospacing="0" w:line="460" w:lineRule="exact"/>
              <w:ind w:left="0" w:leftChars="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接地装置</w:t>
            </w:r>
          </w:p>
        </w:tc>
        <w:tc>
          <w:tcPr>
            <w:tcW w:w="731" w:type="dxa"/>
            <w:tcBorders>
              <w:top w:val="nil"/>
              <w:left w:val="nil"/>
              <w:bottom w:val="single" w:color="auto" w:sz="4" w:space="0"/>
              <w:right w:val="single" w:color="auto" w:sz="4" w:space="0"/>
            </w:tcBorders>
            <w:noWrap w:val="0"/>
            <w:vAlign w:val="center"/>
          </w:tcPr>
          <w:p w14:paraId="2351A5FB">
            <w:pPr>
              <w:keepNext w:val="0"/>
              <w:keepLines w:val="0"/>
              <w:pageBreakBefore w:val="0"/>
              <w:widowControl/>
              <w:suppressLineNumbers w:val="0"/>
              <w:kinsoku/>
              <w:wordWrap/>
              <w:overflowPunct/>
              <w:topLinePunct w:val="0"/>
              <w:autoSpaceDE/>
              <w:autoSpaceDN/>
              <w:bidi w:val="0"/>
              <w:spacing w:beforeAutospacing="0" w:afterAutospacing="0" w:line="460" w:lineRule="exact"/>
              <w:ind w:left="0" w:leftChars="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10KV</w:t>
            </w:r>
          </w:p>
        </w:tc>
        <w:tc>
          <w:tcPr>
            <w:tcW w:w="913" w:type="dxa"/>
            <w:tcBorders>
              <w:top w:val="nil"/>
              <w:left w:val="nil"/>
              <w:bottom w:val="single" w:color="auto" w:sz="4" w:space="0"/>
              <w:right w:val="single" w:color="auto" w:sz="4" w:space="0"/>
            </w:tcBorders>
            <w:noWrap w:val="0"/>
            <w:vAlign w:val="center"/>
          </w:tcPr>
          <w:p w14:paraId="4D5F538F">
            <w:pPr>
              <w:keepNext w:val="0"/>
              <w:keepLines w:val="0"/>
              <w:pageBreakBefore w:val="0"/>
              <w:widowControl/>
              <w:suppressLineNumbers w:val="0"/>
              <w:kinsoku/>
              <w:wordWrap/>
              <w:overflowPunct/>
              <w:topLinePunct w:val="0"/>
              <w:autoSpaceDE/>
              <w:autoSpaceDN/>
              <w:bidi w:val="0"/>
              <w:spacing w:beforeAutospacing="0" w:afterAutospacing="0" w:line="460" w:lineRule="exact"/>
              <w:ind w:left="0" w:leftChars="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　</w:t>
            </w:r>
          </w:p>
        </w:tc>
        <w:tc>
          <w:tcPr>
            <w:tcW w:w="717" w:type="dxa"/>
            <w:tcBorders>
              <w:top w:val="nil"/>
              <w:left w:val="nil"/>
              <w:bottom w:val="single" w:color="auto" w:sz="4" w:space="0"/>
              <w:right w:val="single" w:color="auto" w:sz="4" w:space="0"/>
            </w:tcBorders>
            <w:noWrap w:val="0"/>
            <w:vAlign w:val="center"/>
          </w:tcPr>
          <w:p w14:paraId="52ED58A6">
            <w:pPr>
              <w:keepNext w:val="0"/>
              <w:keepLines w:val="0"/>
              <w:pageBreakBefore w:val="0"/>
              <w:widowControl/>
              <w:suppressLineNumbers w:val="0"/>
              <w:kinsoku/>
              <w:wordWrap/>
              <w:overflowPunct/>
              <w:topLinePunct w:val="0"/>
              <w:autoSpaceDE/>
              <w:autoSpaceDN/>
              <w:bidi w:val="0"/>
              <w:spacing w:beforeAutospacing="0" w:afterAutospacing="0" w:line="460" w:lineRule="exact"/>
              <w:ind w:left="0" w:leftChars="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w:t>
            </w:r>
          </w:p>
        </w:tc>
        <w:tc>
          <w:tcPr>
            <w:tcW w:w="725" w:type="dxa"/>
            <w:tcBorders>
              <w:top w:val="nil"/>
              <w:left w:val="nil"/>
              <w:bottom w:val="single" w:color="auto" w:sz="4" w:space="0"/>
              <w:right w:val="single" w:color="auto" w:sz="4" w:space="0"/>
            </w:tcBorders>
            <w:noWrap w:val="0"/>
            <w:vAlign w:val="center"/>
          </w:tcPr>
          <w:p w14:paraId="366849A0">
            <w:pPr>
              <w:keepNext w:val="0"/>
              <w:keepLines w:val="0"/>
              <w:pageBreakBefore w:val="0"/>
              <w:widowControl/>
              <w:suppressLineNumbers w:val="0"/>
              <w:kinsoku/>
              <w:wordWrap/>
              <w:overflowPunct/>
              <w:topLinePunct w:val="0"/>
              <w:autoSpaceDE/>
              <w:autoSpaceDN/>
              <w:bidi w:val="0"/>
              <w:spacing w:beforeAutospacing="0" w:afterAutospacing="0" w:line="460" w:lineRule="exact"/>
              <w:ind w:left="0" w:leftChars="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接地电阻测试</w:t>
            </w:r>
          </w:p>
        </w:tc>
        <w:tc>
          <w:tcPr>
            <w:tcW w:w="1485" w:type="dxa"/>
            <w:tcBorders>
              <w:top w:val="nil"/>
              <w:left w:val="nil"/>
              <w:bottom w:val="single" w:color="auto" w:sz="4" w:space="0"/>
              <w:right w:val="single" w:color="auto" w:sz="4" w:space="0"/>
            </w:tcBorders>
            <w:noWrap w:val="0"/>
            <w:vAlign w:val="center"/>
          </w:tcPr>
          <w:p w14:paraId="704A46C5">
            <w:pPr>
              <w:keepNext w:val="0"/>
              <w:keepLines w:val="0"/>
              <w:pageBreakBefore w:val="0"/>
              <w:widowControl/>
              <w:suppressLineNumbers w:val="0"/>
              <w:kinsoku/>
              <w:wordWrap/>
              <w:overflowPunct/>
              <w:topLinePunct w:val="0"/>
              <w:autoSpaceDE/>
              <w:autoSpaceDN/>
              <w:bidi w:val="0"/>
              <w:spacing w:beforeAutospacing="0" w:afterAutospacing="0" w:line="460" w:lineRule="exact"/>
              <w:ind w:left="0" w:leftChars="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小接地网测量仪</w:t>
            </w:r>
          </w:p>
        </w:tc>
        <w:tc>
          <w:tcPr>
            <w:tcW w:w="2025" w:type="dxa"/>
            <w:tcBorders>
              <w:top w:val="nil"/>
              <w:left w:val="nil"/>
              <w:bottom w:val="single" w:color="auto" w:sz="4" w:space="0"/>
              <w:right w:val="single" w:color="auto" w:sz="4" w:space="0"/>
            </w:tcBorders>
            <w:noWrap w:val="0"/>
            <w:vAlign w:val="center"/>
          </w:tcPr>
          <w:p w14:paraId="63067021">
            <w:pPr>
              <w:keepNext w:val="0"/>
              <w:keepLines w:val="0"/>
              <w:pageBreakBefore w:val="0"/>
              <w:widowControl/>
              <w:suppressLineNumbers w:val="0"/>
              <w:kinsoku/>
              <w:wordWrap/>
              <w:overflowPunct/>
              <w:topLinePunct w:val="0"/>
              <w:autoSpaceDE/>
              <w:autoSpaceDN/>
              <w:bidi w:val="0"/>
              <w:spacing w:beforeAutospacing="0" w:afterAutospacing="0" w:line="460" w:lineRule="exact"/>
              <w:ind w:left="0" w:leftChars="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R≤2000/I或者R≤Ω</w:t>
            </w:r>
          </w:p>
        </w:tc>
        <w:tc>
          <w:tcPr>
            <w:tcW w:w="946" w:type="dxa"/>
            <w:tcBorders>
              <w:top w:val="nil"/>
              <w:left w:val="nil"/>
              <w:bottom w:val="single" w:color="auto" w:sz="4" w:space="0"/>
              <w:right w:val="single" w:color="auto" w:sz="4" w:space="0"/>
            </w:tcBorders>
            <w:noWrap w:val="0"/>
            <w:vAlign w:val="center"/>
          </w:tcPr>
          <w:p w14:paraId="7934F2E5">
            <w:pPr>
              <w:keepNext w:val="0"/>
              <w:keepLines w:val="0"/>
              <w:pageBreakBefore w:val="0"/>
              <w:widowControl/>
              <w:suppressLineNumbers w:val="0"/>
              <w:kinsoku/>
              <w:wordWrap/>
              <w:overflowPunct/>
              <w:topLinePunct w:val="0"/>
              <w:autoSpaceDE/>
              <w:autoSpaceDN/>
              <w:bidi w:val="0"/>
              <w:spacing w:beforeAutospacing="0" w:afterAutospacing="0" w:line="460" w:lineRule="exact"/>
              <w:ind w:left="0" w:leftChars="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每年</w:t>
            </w:r>
          </w:p>
        </w:tc>
        <w:tc>
          <w:tcPr>
            <w:tcW w:w="510" w:type="dxa"/>
            <w:tcBorders>
              <w:top w:val="nil"/>
              <w:left w:val="nil"/>
              <w:bottom w:val="single" w:color="auto" w:sz="4" w:space="0"/>
              <w:right w:val="single" w:color="auto" w:sz="4" w:space="0"/>
            </w:tcBorders>
            <w:noWrap w:val="0"/>
            <w:vAlign w:val="center"/>
          </w:tcPr>
          <w:p w14:paraId="4178F19B">
            <w:pPr>
              <w:keepNext w:val="0"/>
              <w:keepLines w:val="0"/>
              <w:pageBreakBefore w:val="0"/>
              <w:widowControl/>
              <w:suppressLineNumbers w:val="0"/>
              <w:kinsoku/>
              <w:wordWrap/>
              <w:overflowPunct/>
              <w:topLinePunct w:val="0"/>
              <w:autoSpaceDE/>
              <w:autoSpaceDN/>
              <w:bidi w:val="0"/>
              <w:spacing w:beforeAutospacing="0" w:afterAutospacing="0" w:line="460" w:lineRule="exact"/>
              <w:ind w:left="0" w:leftChars="0"/>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　</w:t>
            </w:r>
          </w:p>
        </w:tc>
      </w:tr>
      <w:tr w14:paraId="71C0E9C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510" w:type="dxa"/>
            <w:vMerge w:val="restart"/>
            <w:tcBorders>
              <w:top w:val="nil"/>
              <w:left w:val="single" w:color="auto" w:sz="4" w:space="0"/>
              <w:bottom w:val="single" w:color="auto" w:sz="4" w:space="0"/>
              <w:right w:val="single" w:color="auto" w:sz="4" w:space="0"/>
            </w:tcBorders>
            <w:noWrap w:val="0"/>
            <w:vAlign w:val="center"/>
          </w:tcPr>
          <w:p w14:paraId="5AC86856">
            <w:pPr>
              <w:keepNext w:val="0"/>
              <w:keepLines w:val="0"/>
              <w:pageBreakBefore w:val="0"/>
              <w:widowControl/>
              <w:suppressLineNumbers w:val="0"/>
              <w:kinsoku/>
              <w:wordWrap/>
              <w:overflowPunct/>
              <w:topLinePunct w:val="0"/>
              <w:autoSpaceDE/>
              <w:autoSpaceDN/>
              <w:bidi w:val="0"/>
              <w:spacing w:beforeAutospacing="0" w:afterAutospacing="0" w:line="460" w:lineRule="exact"/>
              <w:ind w:left="0" w:leftChars="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8</w:t>
            </w:r>
          </w:p>
        </w:tc>
        <w:tc>
          <w:tcPr>
            <w:tcW w:w="725" w:type="dxa"/>
            <w:vMerge w:val="restart"/>
            <w:tcBorders>
              <w:top w:val="nil"/>
              <w:left w:val="single" w:color="auto" w:sz="4" w:space="0"/>
              <w:bottom w:val="single" w:color="auto" w:sz="4" w:space="0"/>
              <w:right w:val="single" w:color="auto" w:sz="4" w:space="0"/>
            </w:tcBorders>
            <w:noWrap w:val="0"/>
            <w:vAlign w:val="center"/>
          </w:tcPr>
          <w:p w14:paraId="1C983BDA">
            <w:pPr>
              <w:keepNext w:val="0"/>
              <w:keepLines w:val="0"/>
              <w:pageBreakBefore w:val="0"/>
              <w:widowControl/>
              <w:suppressLineNumbers w:val="0"/>
              <w:kinsoku/>
              <w:wordWrap/>
              <w:overflowPunct/>
              <w:topLinePunct w:val="0"/>
              <w:autoSpaceDE/>
              <w:autoSpaceDN/>
              <w:bidi w:val="0"/>
              <w:spacing w:beforeAutospacing="0" w:afterAutospacing="0" w:line="460" w:lineRule="exact"/>
              <w:ind w:left="0" w:leftChars="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保护装置</w:t>
            </w:r>
          </w:p>
        </w:tc>
        <w:tc>
          <w:tcPr>
            <w:tcW w:w="731" w:type="dxa"/>
            <w:vMerge w:val="restart"/>
            <w:tcBorders>
              <w:top w:val="nil"/>
              <w:left w:val="single" w:color="auto" w:sz="4" w:space="0"/>
              <w:bottom w:val="single" w:color="auto" w:sz="4" w:space="0"/>
              <w:right w:val="single" w:color="auto" w:sz="4" w:space="0"/>
            </w:tcBorders>
            <w:noWrap w:val="0"/>
            <w:vAlign w:val="center"/>
          </w:tcPr>
          <w:p w14:paraId="29DC4385">
            <w:pPr>
              <w:keepNext w:val="0"/>
              <w:keepLines w:val="0"/>
              <w:pageBreakBefore w:val="0"/>
              <w:widowControl/>
              <w:suppressLineNumbers w:val="0"/>
              <w:kinsoku/>
              <w:wordWrap/>
              <w:overflowPunct/>
              <w:topLinePunct w:val="0"/>
              <w:autoSpaceDE/>
              <w:autoSpaceDN/>
              <w:bidi w:val="0"/>
              <w:spacing w:beforeAutospacing="0" w:afterAutospacing="0" w:line="460" w:lineRule="exact"/>
              <w:ind w:left="0" w:leftChars="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10KV</w:t>
            </w:r>
          </w:p>
        </w:tc>
        <w:tc>
          <w:tcPr>
            <w:tcW w:w="913" w:type="dxa"/>
            <w:vMerge w:val="restart"/>
            <w:tcBorders>
              <w:top w:val="nil"/>
              <w:left w:val="single" w:color="auto" w:sz="4" w:space="0"/>
              <w:bottom w:val="single" w:color="auto" w:sz="4" w:space="0"/>
              <w:right w:val="single" w:color="auto" w:sz="4" w:space="0"/>
            </w:tcBorders>
            <w:noWrap w:val="0"/>
            <w:vAlign w:val="center"/>
          </w:tcPr>
          <w:p w14:paraId="01D8442F">
            <w:pPr>
              <w:keepNext w:val="0"/>
              <w:keepLines w:val="0"/>
              <w:pageBreakBefore w:val="0"/>
              <w:widowControl/>
              <w:suppressLineNumbers w:val="0"/>
              <w:kinsoku/>
              <w:wordWrap/>
              <w:overflowPunct/>
              <w:topLinePunct w:val="0"/>
              <w:autoSpaceDE/>
              <w:autoSpaceDN/>
              <w:bidi w:val="0"/>
              <w:spacing w:beforeAutospacing="0" w:afterAutospacing="0" w:line="460" w:lineRule="exact"/>
              <w:ind w:left="0" w:leftChars="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　</w:t>
            </w:r>
          </w:p>
        </w:tc>
        <w:tc>
          <w:tcPr>
            <w:tcW w:w="717" w:type="dxa"/>
            <w:vMerge w:val="restart"/>
            <w:tcBorders>
              <w:top w:val="nil"/>
              <w:left w:val="single" w:color="auto" w:sz="4" w:space="0"/>
              <w:bottom w:val="single" w:color="000000" w:sz="4" w:space="0"/>
              <w:right w:val="single" w:color="auto" w:sz="4" w:space="0"/>
            </w:tcBorders>
            <w:noWrap w:val="0"/>
            <w:vAlign w:val="center"/>
          </w:tcPr>
          <w:p w14:paraId="7FE7BFC5">
            <w:pPr>
              <w:keepNext w:val="0"/>
              <w:keepLines w:val="0"/>
              <w:pageBreakBefore w:val="0"/>
              <w:widowControl/>
              <w:suppressLineNumbers w:val="0"/>
              <w:kinsoku/>
              <w:wordWrap/>
              <w:overflowPunct/>
              <w:topLinePunct w:val="0"/>
              <w:autoSpaceDE/>
              <w:autoSpaceDN/>
              <w:bidi w:val="0"/>
              <w:spacing w:beforeAutospacing="0" w:afterAutospacing="0" w:line="460" w:lineRule="exact"/>
              <w:ind w:left="0" w:leftChars="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w:t>
            </w:r>
          </w:p>
        </w:tc>
        <w:tc>
          <w:tcPr>
            <w:tcW w:w="725" w:type="dxa"/>
            <w:vMerge w:val="restart"/>
            <w:tcBorders>
              <w:top w:val="nil"/>
              <w:left w:val="single" w:color="auto" w:sz="4" w:space="0"/>
              <w:bottom w:val="single" w:color="000000" w:sz="4" w:space="0"/>
              <w:right w:val="single" w:color="auto" w:sz="4" w:space="0"/>
            </w:tcBorders>
            <w:noWrap w:val="0"/>
            <w:vAlign w:val="center"/>
          </w:tcPr>
          <w:p w14:paraId="0FBD42BA">
            <w:pPr>
              <w:keepNext w:val="0"/>
              <w:keepLines w:val="0"/>
              <w:pageBreakBefore w:val="0"/>
              <w:widowControl/>
              <w:suppressLineNumbers w:val="0"/>
              <w:kinsoku/>
              <w:wordWrap/>
              <w:overflowPunct/>
              <w:topLinePunct w:val="0"/>
              <w:autoSpaceDE/>
              <w:autoSpaceDN/>
              <w:bidi w:val="0"/>
              <w:spacing w:beforeAutospacing="0" w:afterAutospacing="0" w:line="460" w:lineRule="exact"/>
              <w:ind w:left="0" w:leftChars="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绝缘电阻</w:t>
            </w:r>
          </w:p>
        </w:tc>
        <w:tc>
          <w:tcPr>
            <w:tcW w:w="1485" w:type="dxa"/>
            <w:vMerge w:val="restart"/>
            <w:tcBorders>
              <w:top w:val="nil"/>
              <w:left w:val="single" w:color="auto" w:sz="4" w:space="0"/>
              <w:bottom w:val="single" w:color="000000" w:sz="4" w:space="0"/>
              <w:right w:val="single" w:color="auto" w:sz="4" w:space="0"/>
            </w:tcBorders>
            <w:noWrap w:val="0"/>
            <w:vAlign w:val="center"/>
          </w:tcPr>
          <w:p w14:paraId="260E1892">
            <w:pPr>
              <w:keepNext w:val="0"/>
              <w:keepLines w:val="0"/>
              <w:pageBreakBefore w:val="0"/>
              <w:widowControl/>
              <w:suppressLineNumbers w:val="0"/>
              <w:kinsoku/>
              <w:wordWrap/>
              <w:overflowPunct/>
              <w:topLinePunct w:val="0"/>
              <w:autoSpaceDE/>
              <w:autoSpaceDN/>
              <w:bidi w:val="0"/>
              <w:spacing w:beforeAutospacing="0" w:afterAutospacing="0" w:line="460" w:lineRule="exact"/>
              <w:ind w:left="0" w:leftChars="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绝缘电阻测试仪</w:t>
            </w:r>
          </w:p>
        </w:tc>
        <w:tc>
          <w:tcPr>
            <w:tcW w:w="2025" w:type="dxa"/>
            <w:vMerge w:val="restart"/>
            <w:tcBorders>
              <w:top w:val="nil"/>
              <w:left w:val="single" w:color="auto" w:sz="4" w:space="0"/>
              <w:bottom w:val="single" w:color="000000" w:sz="4" w:space="0"/>
              <w:right w:val="single" w:color="auto" w:sz="4" w:space="0"/>
            </w:tcBorders>
            <w:noWrap w:val="0"/>
            <w:vAlign w:val="center"/>
          </w:tcPr>
          <w:p w14:paraId="428F5ADE">
            <w:pPr>
              <w:keepNext w:val="0"/>
              <w:keepLines w:val="0"/>
              <w:pageBreakBefore w:val="0"/>
              <w:widowControl/>
              <w:suppressLineNumbers w:val="0"/>
              <w:kinsoku/>
              <w:wordWrap/>
              <w:overflowPunct/>
              <w:topLinePunct w:val="0"/>
              <w:autoSpaceDE/>
              <w:autoSpaceDN/>
              <w:bidi w:val="0"/>
              <w:spacing w:beforeAutospacing="0" w:afterAutospacing="0" w:line="460" w:lineRule="exact"/>
              <w:ind w:left="0" w:leftChars="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1000V兆欧表不小于10MΩ</w:t>
            </w:r>
          </w:p>
        </w:tc>
        <w:tc>
          <w:tcPr>
            <w:tcW w:w="946" w:type="dxa"/>
            <w:vMerge w:val="restart"/>
            <w:tcBorders>
              <w:top w:val="nil"/>
              <w:left w:val="single" w:color="auto" w:sz="4" w:space="0"/>
              <w:bottom w:val="single" w:color="000000" w:sz="4" w:space="0"/>
              <w:right w:val="single" w:color="auto" w:sz="4" w:space="0"/>
            </w:tcBorders>
            <w:noWrap w:val="0"/>
            <w:vAlign w:val="center"/>
          </w:tcPr>
          <w:p w14:paraId="0FE4B5ED">
            <w:pPr>
              <w:keepNext w:val="0"/>
              <w:keepLines w:val="0"/>
              <w:pageBreakBefore w:val="0"/>
              <w:widowControl/>
              <w:suppressLineNumbers w:val="0"/>
              <w:kinsoku/>
              <w:wordWrap/>
              <w:overflowPunct/>
              <w:topLinePunct w:val="0"/>
              <w:autoSpaceDE/>
              <w:autoSpaceDN/>
              <w:bidi w:val="0"/>
              <w:spacing w:beforeAutospacing="0" w:afterAutospacing="0" w:line="460" w:lineRule="exact"/>
              <w:ind w:left="0" w:leftChars="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每年</w:t>
            </w:r>
          </w:p>
        </w:tc>
        <w:tc>
          <w:tcPr>
            <w:tcW w:w="510" w:type="dxa"/>
            <w:vMerge w:val="restart"/>
            <w:tcBorders>
              <w:top w:val="nil"/>
              <w:left w:val="single" w:color="auto" w:sz="4" w:space="0"/>
              <w:bottom w:val="single" w:color="000000" w:sz="4" w:space="0"/>
              <w:right w:val="single" w:color="auto" w:sz="4" w:space="0"/>
            </w:tcBorders>
            <w:noWrap w:val="0"/>
            <w:vAlign w:val="center"/>
          </w:tcPr>
          <w:p w14:paraId="4581D0EC">
            <w:pPr>
              <w:keepNext w:val="0"/>
              <w:keepLines w:val="0"/>
              <w:pageBreakBefore w:val="0"/>
              <w:widowControl/>
              <w:suppressLineNumbers w:val="0"/>
              <w:kinsoku/>
              <w:wordWrap/>
              <w:overflowPunct/>
              <w:topLinePunct w:val="0"/>
              <w:autoSpaceDE/>
              <w:autoSpaceDN/>
              <w:bidi w:val="0"/>
              <w:spacing w:beforeAutospacing="0" w:afterAutospacing="0" w:line="460" w:lineRule="exact"/>
              <w:ind w:left="0" w:leftChars="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　</w:t>
            </w:r>
          </w:p>
        </w:tc>
      </w:tr>
      <w:tr w14:paraId="16571F7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510" w:type="dxa"/>
            <w:vMerge w:val="continue"/>
            <w:tcBorders>
              <w:top w:val="nil"/>
              <w:left w:val="single" w:color="auto" w:sz="4" w:space="0"/>
              <w:bottom w:val="single" w:color="auto" w:sz="4" w:space="0"/>
              <w:right w:val="single" w:color="auto" w:sz="4" w:space="0"/>
            </w:tcBorders>
            <w:noWrap w:val="0"/>
            <w:vAlign w:val="center"/>
          </w:tcPr>
          <w:p w14:paraId="7391864B">
            <w:pPr>
              <w:keepNext w:val="0"/>
              <w:keepLines w:val="0"/>
              <w:pageBreakBefore w:val="0"/>
              <w:kinsoku/>
              <w:wordWrap/>
              <w:overflowPunct/>
              <w:topLinePunct w:val="0"/>
              <w:autoSpaceDE/>
              <w:autoSpaceDN/>
              <w:bidi w:val="0"/>
              <w:spacing w:beforeAutospacing="0" w:afterAutospacing="0" w:line="460" w:lineRule="exact"/>
              <w:ind w:left="0" w:leftChars="0"/>
              <w:jc w:val="center"/>
              <w:rPr>
                <w:rFonts w:hint="eastAsia" w:ascii="宋体" w:hAnsi="宋体" w:eastAsia="宋体" w:cs="宋体"/>
                <w:i w:val="0"/>
                <w:iCs w:val="0"/>
                <w:color w:val="auto"/>
                <w:sz w:val="24"/>
                <w:szCs w:val="24"/>
                <w:highlight w:val="none"/>
                <w:u w:val="none"/>
              </w:rPr>
            </w:pPr>
          </w:p>
        </w:tc>
        <w:tc>
          <w:tcPr>
            <w:tcW w:w="725" w:type="dxa"/>
            <w:vMerge w:val="continue"/>
            <w:tcBorders>
              <w:top w:val="nil"/>
              <w:left w:val="single" w:color="auto" w:sz="4" w:space="0"/>
              <w:bottom w:val="single" w:color="auto" w:sz="4" w:space="0"/>
              <w:right w:val="single" w:color="auto" w:sz="4" w:space="0"/>
            </w:tcBorders>
            <w:noWrap w:val="0"/>
            <w:vAlign w:val="center"/>
          </w:tcPr>
          <w:p w14:paraId="53B918F8">
            <w:pPr>
              <w:keepNext w:val="0"/>
              <w:keepLines w:val="0"/>
              <w:pageBreakBefore w:val="0"/>
              <w:kinsoku/>
              <w:wordWrap/>
              <w:overflowPunct/>
              <w:topLinePunct w:val="0"/>
              <w:autoSpaceDE/>
              <w:autoSpaceDN/>
              <w:bidi w:val="0"/>
              <w:spacing w:beforeAutospacing="0" w:afterAutospacing="0" w:line="460" w:lineRule="exact"/>
              <w:ind w:left="0" w:leftChars="0"/>
              <w:jc w:val="center"/>
              <w:rPr>
                <w:rFonts w:hint="eastAsia" w:ascii="宋体" w:hAnsi="宋体" w:eastAsia="宋体" w:cs="宋体"/>
                <w:i w:val="0"/>
                <w:iCs w:val="0"/>
                <w:color w:val="auto"/>
                <w:sz w:val="24"/>
                <w:szCs w:val="24"/>
                <w:highlight w:val="none"/>
                <w:u w:val="none"/>
              </w:rPr>
            </w:pPr>
          </w:p>
        </w:tc>
        <w:tc>
          <w:tcPr>
            <w:tcW w:w="731" w:type="dxa"/>
            <w:vMerge w:val="continue"/>
            <w:tcBorders>
              <w:top w:val="nil"/>
              <w:left w:val="single" w:color="auto" w:sz="4" w:space="0"/>
              <w:bottom w:val="single" w:color="auto" w:sz="4" w:space="0"/>
              <w:right w:val="single" w:color="auto" w:sz="4" w:space="0"/>
            </w:tcBorders>
            <w:noWrap w:val="0"/>
            <w:vAlign w:val="center"/>
          </w:tcPr>
          <w:p w14:paraId="7BE4E905">
            <w:pPr>
              <w:keepNext w:val="0"/>
              <w:keepLines w:val="0"/>
              <w:pageBreakBefore w:val="0"/>
              <w:kinsoku/>
              <w:wordWrap/>
              <w:overflowPunct/>
              <w:topLinePunct w:val="0"/>
              <w:autoSpaceDE/>
              <w:autoSpaceDN/>
              <w:bidi w:val="0"/>
              <w:spacing w:beforeAutospacing="0" w:afterAutospacing="0" w:line="460" w:lineRule="exact"/>
              <w:ind w:left="0" w:leftChars="0"/>
              <w:jc w:val="center"/>
              <w:rPr>
                <w:rFonts w:hint="eastAsia" w:ascii="宋体" w:hAnsi="宋体" w:eastAsia="宋体" w:cs="宋体"/>
                <w:i w:val="0"/>
                <w:iCs w:val="0"/>
                <w:color w:val="auto"/>
                <w:sz w:val="24"/>
                <w:szCs w:val="24"/>
                <w:highlight w:val="none"/>
                <w:u w:val="none"/>
              </w:rPr>
            </w:pPr>
          </w:p>
        </w:tc>
        <w:tc>
          <w:tcPr>
            <w:tcW w:w="913" w:type="dxa"/>
            <w:vMerge w:val="continue"/>
            <w:tcBorders>
              <w:top w:val="nil"/>
              <w:left w:val="single" w:color="auto" w:sz="4" w:space="0"/>
              <w:bottom w:val="single" w:color="auto" w:sz="4" w:space="0"/>
              <w:right w:val="single" w:color="auto" w:sz="4" w:space="0"/>
            </w:tcBorders>
            <w:noWrap w:val="0"/>
            <w:vAlign w:val="center"/>
          </w:tcPr>
          <w:p w14:paraId="36AEC9A5">
            <w:pPr>
              <w:keepNext w:val="0"/>
              <w:keepLines w:val="0"/>
              <w:pageBreakBefore w:val="0"/>
              <w:kinsoku/>
              <w:wordWrap/>
              <w:overflowPunct/>
              <w:topLinePunct w:val="0"/>
              <w:autoSpaceDE/>
              <w:autoSpaceDN/>
              <w:bidi w:val="0"/>
              <w:spacing w:beforeAutospacing="0" w:afterAutospacing="0" w:line="460" w:lineRule="exact"/>
              <w:ind w:left="0" w:leftChars="0"/>
              <w:jc w:val="center"/>
              <w:rPr>
                <w:rFonts w:hint="eastAsia" w:ascii="宋体" w:hAnsi="宋体" w:eastAsia="宋体" w:cs="宋体"/>
                <w:i w:val="0"/>
                <w:iCs w:val="0"/>
                <w:color w:val="auto"/>
                <w:sz w:val="24"/>
                <w:szCs w:val="24"/>
                <w:highlight w:val="none"/>
                <w:u w:val="none"/>
              </w:rPr>
            </w:pPr>
          </w:p>
        </w:tc>
        <w:tc>
          <w:tcPr>
            <w:tcW w:w="717" w:type="dxa"/>
            <w:vMerge w:val="continue"/>
            <w:tcBorders>
              <w:top w:val="nil"/>
              <w:left w:val="single" w:color="auto" w:sz="4" w:space="0"/>
              <w:bottom w:val="single" w:color="000000" w:sz="4" w:space="0"/>
              <w:right w:val="single" w:color="auto" w:sz="4" w:space="0"/>
            </w:tcBorders>
            <w:noWrap w:val="0"/>
            <w:vAlign w:val="center"/>
          </w:tcPr>
          <w:p w14:paraId="5DCAB8BD">
            <w:pPr>
              <w:keepNext w:val="0"/>
              <w:keepLines w:val="0"/>
              <w:pageBreakBefore w:val="0"/>
              <w:kinsoku/>
              <w:wordWrap/>
              <w:overflowPunct/>
              <w:topLinePunct w:val="0"/>
              <w:autoSpaceDE/>
              <w:autoSpaceDN/>
              <w:bidi w:val="0"/>
              <w:spacing w:beforeAutospacing="0" w:afterAutospacing="0" w:line="460" w:lineRule="exact"/>
              <w:ind w:left="0" w:leftChars="0"/>
              <w:jc w:val="center"/>
              <w:rPr>
                <w:rFonts w:hint="eastAsia" w:ascii="宋体" w:hAnsi="宋体" w:eastAsia="宋体" w:cs="宋体"/>
                <w:i w:val="0"/>
                <w:iCs w:val="0"/>
                <w:color w:val="auto"/>
                <w:sz w:val="24"/>
                <w:szCs w:val="24"/>
                <w:highlight w:val="none"/>
                <w:u w:val="none"/>
              </w:rPr>
            </w:pPr>
          </w:p>
        </w:tc>
        <w:tc>
          <w:tcPr>
            <w:tcW w:w="725" w:type="dxa"/>
            <w:vMerge w:val="continue"/>
            <w:tcBorders>
              <w:top w:val="nil"/>
              <w:left w:val="single" w:color="auto" w:sz="4" w:space="0"/>
              <w:bottom w:val="single" w:color="000000" w:sz="4" w:space="0"/>
              <w:right w:val="single" w:color="auto" w:sz="4" w:space="0"/>
            </w:tcBorders>
            <w:noWrap w:val="0"/>
            <w:vAlign w:val="center"/>
          </w:tcPr>
          <w:p w14:paraId="1FD05D20">
            <w:pPr>
              <w:keepNext w:val="0"/>
              <w:keepLines w:val="0"/>
              <w:pageBreakBefore w:val="0"/>
              <w:kinsoku/>
              <w:wordWrap/>
              <w:overflowPunct/>
              <w:topLinePunct w:val="0"/>
              <w:autoSpaceDE/>
              <w:autoSpaceDN/>
              <w:bidi w:val="0"/>
              <w:spacing w:beforeAutospacing="0" w:afterAutospacing="0" w:line="460" w:lineRule="exact"/>
              <w:ind w:left="0" w:leftChars="0"/>
              <w:jc w:val="center"/>
              <w:rPr>
                <w:rFonts w:hint="eastAsia" w:ascii="宋体" w:hAnsi="宋体" w:eastAsia="宋体" w:cs="宋体"/>
                <w:i w:val="0"/>
                <w:iCs w:val="0"/>
                <w:color w:val="auto"/>
                <w:sz w:val="24"/>
                <w:szCs w:val="24"/>
                <w:highlight w:val="none"/>
                <w:u w:val="none"/>
              </w:rPr>
            </w:pPr>
          </w:p>
        </w:tc>
        <w:tc>
          <w:tcPr>
            <w:tcW w:w="1485" w:type="dxa"/>
            <w:vMerge w:val="continue"/>
            <w:tcBorders>
              <w:top w:val="nil"/>
              <w:left w:val="single" w:color="auto" w:sz="4" w:space="0"/>
              <w:bottom w:val="single" w:color="000000" w:sz="4" w:space="0"/>
              <w:right w:val="single" w:color="auto" w:sz="4" w:space="0"/>
            </w:tcBorders>
            <w:noWrap w:val="0"/>
            <w:vAlign w:val="center"/>
          </w:tcPr>
          <w:p w14:paraId="2AF4E275">
            <w:pPr>
              <w:keepNext w:val="0"/>
              <w:keepLines w:val="0"/>
              <w:pageBreakBefore w:val="0"/>
              <w:kinsoku/>
              <w:wordWrap/>
              <w:overflowPunct/>
              <w:topLinePunct w:val="0"/>
              <w:autoSpaceDE/>
              <w:autoSpaceDN/>
              <w:bidi w:val="0"/>
              <w:spacing w:beforeAutospacing="0" w:afterAutospacing="0" w:line="460" w:lineRule="exact"/>
              <w:ind w:left="0" w:leftChars="0"/>
              <w:jc w:val="center"/>
              <w:rPr>
                <w:rFonts w:hint="eastAsia" w:ascii="宋体" w:hAnsi="宋体" w:eastAsia="宋体" w:cs="宋体"/>
                <w:i w:val="0"/>
                <w:iCs w:val="0"/>
                <w:color w:val="auto"/>
                <w:sz w:val="24"/>
                <w:szCs w:val="24"/>
                <w:highlight w:val="none"/>
                <w:u w:val="none"/>
              </w:rPr>
            </w:pPr>
          </w:p>
        </w:tc>
        <w:tc>
          <w:tcPr>
            <w:tcW w:w="2025" w:type="dxa"/>
            <w:vMerge w:val="continue"/>
            <w:tcBorders>
              <w:top w:val="nil"/>
              <w:left w:val="single" w:color="auto" w:sz="4" w:space="0"/>
              <w:bottom w:val="single" w:color="000000" w:sz="4" w:space="0"/>
              <w:right w:val="single" w:color="auto" w:sz="4" w:space="0"/>
            </w:tcBorders>
            <w:noWrap w:val="0"/>
            <w:vAlign w:val="center"/>
          </w:tcPr>
          <w:p w14:paraId="1F28076B">
            <w:pPr>
              <w:keepNext w:val="0"/>
              <w:keepLines w:val="0"/>
              <w:pageBreakBefore w:val="0"/>
              <w:kinsoku/>
              <w:wordWrap/>
              <w:overflowPunct/>
              <w:topLinePunct w:val="0"/>
              <w:autoSpaceDE/>
              <w:autoSpaceDN/>
              <w:bidi w:val="0"/>
              <w:spacing w:beforeAutospacing="0" w:afterAutospacing="0" w:line="460" w:lineRule="exact"/>
              <w:ind w:left="0" w:leftChars="0"/>
              <w:jc w:val="center"/>
              <w:rPr>
                <w:rFonts w:hint="eastAsia" w:ascii="宋体" w:hAnsi="宋体" w:eastAsia="宋体" w:cs="宋体"/>
                <w:i w:val="0"/>
                <w:iCs w:val="0"/>
                <w:color w:val="auto"/>
                <w:sz w:val="24"/>
                <w:szCs w:val="24"/>
                <w:highlight w:val="none"/>
                <w:u w:val="none"/>
              </w:rPr>
            </w:pPr>
          </w:p>
        </w:tc>
        <w:tc>
          <w:tcPr>
            <w:tcW w:w="946" w:type="dxa"/>
            <w:vMerge w:val="continue"/>
            <w:tcBorders>
              <w:top w:val="nil"/>
              <w:left w:val="single" w:color="auto" w:sz="4" w:space="0"/>
              <w:bottom w:val="single" w:color="000000" w:sz="4" w:space="0"/>
              <w:right w:val="single" w:color="auto" w:sz="4" w:space="0"/>
            </w:tcBorders>
            <w:noWrap w:val="0"/>
            <w:vAlign w:val="center"/>
          </w:tcPr>
          <w:p w14:paraId="170E7A9E">
            <w:pPr>
              <w:keepNext w:val="0"/>
              <w:keepLines w:val="0"/>
              <w:pageBreakBefore w:val="0"/>
              <w:kinsoku/>
              <w:wordWrap/>
              <w:overflowPunct/>
              <w:topLinePunct w:val="0"/>
              <w:autoSpaceDE/>
              <w:autoSpaceDN/>
              <w:bidi w:val="0"/>
              <w:spacing w:beforeAutospacing="0" w:afterAutospacing="0" w:line="460" w:lineRule="exact"/>
              <w:ind w:left="0" w:leftChars="0"/>
              <w:jc w:val="center"/>
              <w:rPr>
                <w:rFonts w:hint="eastAsia" w:ascii="宋体" w:hAnsi="宋体" w:eastAsia="宋体" w:cs="宋体"/>
                <w:i w:val="0"/>
                <w:iCs w:val="0"/>
                <w:color w:val="auto"/>
                <w:sz w:val="24"/>
                <w:szCs w:val="24"/>
                <w:highlight w:val="none"/>
                <w:u w:val="none"/>
              </w:rPr>
            </w:pPr>
          </w:p>
        </w:tc>
        <w:tc>
          <w:tcPr>
            <w:tcW w:w="510" w:type="dxa"/>
            <w:vMerge w:val="continue"/>
            <w:tcBorders>
              <w:top w:val="nil"/>
              <w:left w:val="single" w:color="auto" w:sz="4" w:space="0"/>
              <w:bottom w:val="single" w:color="000000" w:sz="4" w:space="0"/>
              <w:right w:val="single" w:color="auto" w:sz="4" w:space="0"/>
            </w:tcBorders>
            <w:noWrap w:val="0"/>
            <w:vAlign w:val="center"/>
          </w:tcPr>
          <w:p w14:paraId="0EF73A4B">
            <w:pPr>
              <w:keepNext w:val="0"/>
              <w:keepLines w:val="0"/>
              <w:pageBreakBefore w:val="0"/>
              <w:kinsoku/>
              <w:wordWrap/>
              <w:overflowPunct/>
              <w:topLinePunct w:val="0"/>
              <w:autoSpaceDE/>
              <w:autoSpaceDN/>
              <w:bidi w:val="0"/>
              <w:spacing w:beforeAutospacing="0" w:afterAutospacing="0" w:line="460" w:lineRule="exact"/>
              <w:ind w:left="0" w:leftChars="0"/>
              <w:jc w:val="center"/>
              <w:rPr>
                <w:rFonts w:hint="eastAsia" w:ascii="宋体" w:hAnsi="宋体" w:eastAsia="宋体" w:cs="宋体"/>
                <w:i w:val="0"/>
                <w:iCs w:val="0"/>
                <w:color w:val="auto"/>
                <w:sz w:val="24"/>
                <w:szCs w:val="24"/>
                <w:highlight w:val="none"/>
                <w:u w:val="none"/>
              </w:rPr>
            </w:pPr>
          </w:p>
        </w:tc>
      </w:tr>
      <w:tr w14:paraId="4626135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510" w:type="dxa"/>
            <w:vMerge w:val="continue"/>
            <w:tcBorders>
              <w:top w:val="nil"/>
              <w:left w:val="single" w:color="auto" w:sz="4" w:space="0"/>
              <w:bottom w:val="single" w:color="auto" w:sz="4" w:space="0"/>
              <w:right w:val="single" w:color="auto" w:sz="4" w:space="0"/>
            </w:tcBorders>
            <w:noWrap w:val="0"/>
            <w:vAlign w:val="center"/>
          </w:tcPr>
          <w:p w14:paraId="449D222B">
            <w:pPr>
              <w:keepNext w:val="0"/>
              <w:keepLines w:val="0"/>
              <w:pageBreakBefore w:val="0"/>
              <w:kinsoku/>
              <w:wordWrap/>
              <w:overflowPunct/>
              <w:topLinePunct w:val="0"/>
              <w:autoSpaceDE/>
              <w:autoSpaceDN/>
              <w:bidi w:val="0"/>
              <w:spacing w:beforeAutospacing="0" w:afterAutospacing="0" w:line="460" w:lineRule="exact"/>
              <w:ind w:left="0" w:leftChars="0"/>
              <w:jc w:val="center"/>
              <w:rPr>
                <w:rFonts w:hint="eastAsia" w:ascii="宋体" w:hAnsi="宋体" w:eastAsia="宋体" w:cs="宋体"/>
                <w:i w:val="0"/>
                <w:iCs w:val="0"/>
                <w:color w:val="auto"/>
                <w:sz w:val="24"/>
                <w:szCs w:val="24"/>
                <w:highlight w:val="none"/>
                <w:u w:val="none"/>
              </w:rPr>
            </w:pPr>
          </w:p>
        </w:tc>
        <w:tc>
          <w:tcPr>
            <w:tcW w:w="725" w:type="dxa"/>
            <w:vMerge w:val="continue"/>
            <w:tcBorders>
              <w:top w:val="nil"/>
              <w:left w:val="single" w:color="auto" w:sz="4" w:space="0"/>
              <w:bottom w:val="single" w:color="auto" w:sz="4" w:space="0"/>
              <w:right w:val="single" w:color="auto" w:sz="4" w:space="0"/>
            </w:tcBorders>
            <w:noWrap w:val="0"/>
            <w:vAlign w:val="center"/>
          </w:tcPr>
          <w:p w14:paraId="2EB682F1">
            <w:pPr>
              <w:keepNext w:val="0"/>
              <w:keepLines w:val="0"/>
              <w:pageBreakBefore w:val="0"/>
              <w:kinsoku/>
              <w:wordWrap/>
              <w:overflowPunct/>
              <w:topLinePunct w:val="0"/>
              <w:autoSpaceDE/>
              <w:autoSpaceDN/>
              <w:bidi w:val="0"/>
              <w:spacing w:beforeAutospacing="0" w:afterAutospacing="0" w:line="460" w:lineRule="exact"/>
              <w:ind w:left="0" w:leftChars="0"/>
              <w:jc w:val="center"/>
              <w:rPr>
                <w:rFonts w:hint="eastAsia" w:ascii="宋体" w:hAnsi="宋体" w:eastAsia="宋体" w:cs="宋体"/>
                <w:i w:val="0"/>
                <w:iCs w:val="0"/>
                <w:color w:val="auto"/>
                <w:sz w:val="24"/>
                <w:szCs w:val="24"/>
                <w:highlight w:val="none"/>
                <w:u w:val="none"/>
              </w:rPr>
            </w:pPr>
          </w:p>
        </w:tc>
        <w:tc>
          <w:tcPr>
            <w:tcW w:w="731" w:type="dxa"/>
            <w:vMerge w:val="continue"/>
            <w:tcBorders>
              <w:top w:val="nil"/>
              <w:left w:val="single" w:color="auto" w:sz="4" w:space="0"/>
              <w:bottom w:val="single" w:color="auto" w:sz="4" w:space="0"/>
              <w:right w:val="single" w:color="auto" w:sz="4" w:space="0"/>
            </w:tcBorders>
            <w:noWrap w:val="0"/>
            <w:vAlign w:val="center"/>
          </w:tcPr>
          <w:p w14:paraId="3AF1E6DC">
            <w:pPr>
              <w:keepNext w:val="0"/>
              <w:keepLines w:val="0"/>
              <w:pageBreakBefore w:val="0"/>
              <w:kinsoku/>
              <w:wordWrap/>
              <w:overflowPunct/>
              <w:topLinePunct w:val="0"/>
              <w:autoSpaceDE/>
              <w:autoSpaceDN/>
              <w:bidi w:val="0"/>
              <w:spacing w:beforeAutospacing="0" w:afterAutospacing="0" w:line="460" w:lineRule="exact"/>
              <w:ind w:left="0" w:leftChars="0"/>
              <w:jc w:val="center"/>
              <w:rPr>
                <w:rFonts w:hint="eastAsia" w:ascii="宋体" w:hAnsi="宋体" w:eastAsia="宋体" w:cs="宋体"/>
                <w:i w:val="0"/>
                <w:iCs w:val="0"/>
                <w:color w:val="auto"/>
                <w:sz w:val="24"/>
                <w:szCs w:val="24"/>
                <w:highlight w:val="none"/>
                <w:u w:val="none"/>
              </w:rPr>
            </w:pPr>
          </w:p>
        </w:tc>
        <w:tc>
          <w:tcPr>
            <w:tcW w:w="913" w:type="dxa"/>
            <w:vMerge w:val="continue"/>
            <w:tcBorders>
              <w:top w:val="nil"/>
              <w:left w:val="single" w:color="auto" w:sz="4" w:space="0"/>
              <w:bottom w:val="single" w:color="auto" w:sz="4" w:space="0"/>
              <w:right w:val="single" w:color="auto" w:sz="4" w:space="0"/>
            </w:tcBorders>
            <w:noWrap w:val="0"/>
            <w:vAlign w:val="center"/>
          </w:tcPr>
          <w:p w14:paraId="48091159">
            <w:pPr>
              <w:keepNext w:val="0"/>
              <w:keepLines w:val="0"/>
              <w:pageBreakBefore w:val="0"/>
              <w:kinsoku/>
              <w:wordWrap/>
              <w:overflowPunct/>
              <w:topLinePunct w:val="0"/>
              <w:autoSpaceDE/>
              <w:autoSpaceDN/>
              <w:bidi w:val="0"/>
              <w:spacing w:beforeAutospacing="0" w:afterAutospacing="0" w:line="460" w:lineRule="exact"/>
              <w:ind w:left="0" w:leftChars="0"/>
              <w:jc w:val="center"/>
              <w:rPr>
                <w:rFonts w:hint="eastAsia" w:ascii="宋体" w:hAnsi="宋体" w:eastAsia="宋体" w:cs="宋体"/>
                <w:i w:val="0"/>
                <w:iCs w:val="0"/>
                <w:color w:val="auto"/>
                <w:sz w:val="24"/>
                <w:szCs w:val="24"/>
                <w:highlight w:val="none"/>
                <w:u w:val="none"/>
              </w:rPr>
            </w:pPr>
          </w:p>
        </w:tc>
        <w:tc>
          <w:tcPr>
            <w:tcW w:w="717" w:type="dxa"/>
            <w:vMerge w:val="continue"/>
            <w:tcBorders>
              <w:top w:val="nil"/>
              <w:left w:val="single" w:color="auto" w:sz="4" w:space="0"/>
              <w:bottom w:val="single" w:color="000000" w:sz="4" w:space="0"/>
              <w:right w:val="single" w:color="auto" w:sz="4" w:space="0"/>
            </w:tcBorders>
            <w:noWrap w:val="0"/>
            <w:vAlign w:val="center"/>
          </w:tcPr>
          <w:p w14:paraId="68BBB34E">
            <w:pPr>
              <w:keepNext w:val="0"/>
              <w:keepLines w:val="0"/>
              <w:pageBreakBefore w:val="0"/>
              <w:kinsoku/>
              <w:wordWrap/>
              <w:overflowPunct/>
              <w:topLinePunct w:val="0"/>
              <w:autoSpaceDE/>
              <w:autoSpaceDN/>
              <w:bidi w:val="0"/>
              <w:spacing w:beforeAutospacing="0" w:afterAutospacing="0" w:line="460" w:lineRule="exact"/>
              <w:ind w:left="0" w:leftChars="0"/>
              <w:jc w:val="center"/>
              <w:rPr>
                <w:rFonts w:hint="eastAsia" w:ascii="宋体" w:hAnsi="宋体" w:eastAsia="宋体" w:cs="宋体"/>
                <w:i w:val="0"/>
                <w:iCs w:val="0"/>
                <w:color w:val="auto"/>
                <w:sz w:val="24"/>
                <w:szCs w:val="24"/>
                <w:highlight w:val="none"/>
                <w:u w:val="none"/>
              </w:rPr>
            </w:pPr>
          </w:p>
        </w:tc>
        <w:tc>
          <w:tcPr>
            <w:tcW w:w="725" w:type="dxa"/>
            <w:vMerge w:val="continue"/>
            <w:tcBorders>
              <w:top w:val="nil"/>
              <w:left w:val="single" w:color="auto" w:sz="4" w:space="0"/>
              <w:bottom w:val="single" w:color="000000" w:sz="4" w:space="0"/>
              <w:right w:val="single" w:color="auto" w:sz="4" w:space="0"/>
            </w:tcBorders>
            <w:noWrap w:val="0"/>
            <w:vAlign w:val="center"/>
          </w:tcPr>
          <w:p w14:paraId="1173AFA3">
            <w:pPr>
              <w:keepNext w:val="0"/>
              <w:keepLines w:val="0"/>
              <w:pageBreakBefore w:val="0"/>
              <w:kinsoku/>
              <w:wordWrap/>
              <w:overflowPunct/>
              <w:topLinePunct w:val="0"/>
              <w:autoSpaceDE/>
              <w:autoSpaceDN/>
              <w:bidi w:val="0"/>
              <w:spacing w:beforeAutospacing="0" w:afterAutospacing="0" w:line="460" w:lineRule="exact"/>
              <w:ind w:left="0" w:leftChars="0"/>
              <w:jc w:val="center"/>
              <w:rPr>
                <w:rFonts w:hint="eastAsia" w:ascii="宋体" w:hAnsi="宋体" w:eastAsia="宋体" w:cs="宋体"/>
                <w:i w:val="0"/>
                <w:iCs w:val="0"/>
                <w:color w:val="auto"/>
                <w:sz w:val="24"/>
                <w:szCs w:val="24"/>
                <w:highlight w:val="none"/>
                <w:u w:val="none"/>
              </w:rPr>
            </w:pPr>
          </w:p>
        </w:tc>
        <w:tc>
          <w:tcPr>
            <w:tcW w:w="1485" w:type="dxa"/>
            <w:vMerge w:val="continue"/>
            <w:tcBorders>
              <w:top w:val="nil"/>
              <w:left w:val="single" w:color="auto" w:sz="4" w:space="0"/>
              <w:bottom w:val="single" w:color="000000" w:sz="4" w:space="0"/>
              <w:right w:val="single" w:color="auto" w:sz="4" w:space="0"/>
            </w:tcBorders>
            <w:noWrap w:val="0"/>
            <w:vAlign w:val="center"/>
          </w:tcPr>
          <w:p w14:paraId="79FEC60C">
            <w:pPr>
              <w:keepNext w:val="0"/>
              <w:keepLines w:val="0"/>
              <w:pageBreakBefore w:val="0"/>
              <w:kinsoku/>
              <w:wordWrap/>
              <w:overflowPunct/>
              <w:topLinePunct w:val="0"/>
              <w:autoSpaceDE/>
              <w:autoSpaceDN/>
              <w:bidi w:val="0"/>
              <w:spacing w:beforeAutospacing="0" w:afterAutospacing="0" w:line="460" w:lineRule="exact"/>
              <w:ind w:left="0" w:leftChars="0"/>
              <w:jc w:val="center"/>
              <w:rPr>
                <w:rFonts w:hint="eastAsia" w:ascii="宋体" w:hAnsi="宋体" w:eastAsia="宋体" w:cs="宋体"/>
                <w:i w:val="0"/>
                <w:iCs w:val="0"/>
                <w:color w:val="auto"/>
                <w:sz w:val="24"/>
                <w:szCs w:val="24"/>
                <w:highlight w:val="none"/>
                <w:u w:val="none"/>
              </w:rPr>
            </w:pPr>
          </w:p>
        </w:tc>
        <w:tc>
          <w:tcPr>
            <w:tcW w:w="2025" w:type="dxa"/>
            <w:vMerge w:val="continue"/>
            <w:tcBorders>
              <w:top w:val="nil"/>
              <w:left w:val="single" w:color="auto" w:sz="4" w:space="0"/>
              <w:bottom w:val="single" w:color="000000" w:sz="4" w:space="0"/>
              <w:right w:val="single" w:color="auto" w:sz="4" w:space="0"/>
            </w:tcBorders>
            <w:noWrap w:val="0"/>
            <w:vAlign w:val="center"/>
          </w:tcPr>
          <w:p w14:paraId="4D931636">
            <w:pPr>
              <w:keepNext w:val="0"/>
              <w:keepLines w:val="0"/>
              <w:pageBreakBefore w:val="0"/>
              <w:kinsoku/>
              <w:wordWrap/>
              <w:overflowPunct/>
              <w:topLinePunct w:val="0"/>
              <w:autoSpaceDE/>
              <w:autoSpaceDN/>
              <w:bidi w:val="0"/>
              <w:spacing w:beforeAutospacing="0" w:afterAutospacing="0" w:line="460" w:lineRule="exact"/>
              <w:ind w:left="0" w:leftChars="0"/>
              <w:jc w:val="center"/>
              <w:rPr>
                <w:rFonts w:hint="eastAsia" w:ascii="宋体" w:hAnsi="宋体" w:eastAsia="宋体" w:cs="宋体"/>
                <w:i w:val="0"/>
                <w:iCs w:val="0"/>
                <w:color w:val="auto"/>
                <w:sz w:val="24"/>
                <w:szCs w:val="24"/>
                <w:highlight w:val="none"/>
                <w:u w:val="none"/>
              </w:rPr>
            </w:pPr>
          </w:p>
        </w:tc>
        <w:tc>
          <w:tcPr>
            <w:tcW w:w="946" w:type="dxa"/>
            <w:vMerge w:val="continue"/>
            <w:tcBorders>
              <w:top w:val="nil"/>
              <w:left w:val="single" w:color="auto" w:sz="4" w:space="0"/>
              <w:bottom w:val="single" w:color="000000" w:sz="4" w:space="0"/>
              <w:right w:val="single" w:color="auto" w:sz="4" w:space="0"/>
            </w:tcBorders>
            <w:noWrap w:val="0"/>
            <w:vAlign w:val="center"/>
          </w:tcPr>
          <w:p w14:paraId="6687FAC8">
            <w:pPr>
              <w:keepNext w:val="0"/>
              <w:keepLines w:val="0"/>
              <w:pageBreakBefore w:val="0"/>
              <w:kinsoku/>
              <w:wordWrap/>
              <w:overflowPunct/>
              <w:topLinePunct w:val="0"/>
              <w:autoSpaceDE/>
              <w:autoSpaceDN/>
              <w:bidi w:val="0"/>
              <w:spacing w:beforeAutospacing="0" w:afterAutospacing="0" w:line="460" w:lineRule="exact"/>
              <w:ind w:left="0" w:leftChars="0"/>
              <w:jc w:val="center"/>
              <w:rPr>
                <w:rFonts w:hint="eastAsia" w:ascii="宋体" w:hAnsi="宋体" w:eastAsia="宋体" w:cs="宋体"/>
                <w:i w:val="0"/>
                <w:iCs w:val="0"/>
                <w:color w:val="auto"/>
                <w:sz w:val="24"/>
                <w:szCs w:val="24"/>
                <w:highlight w:val="none"/>
                <w:u w:val="none"/>
              </w:rPr>
            </w:pPr>
          </w:p>
        </w:tc>
        <w:tc>
          <w:tcPr>
            <w:tcW w:w="510" w:type="dxa"/>
            <w:vMerge w:val="continue"/>
            <w:tcBorders>
              <w:top w:val="nil"/>
              <w:left w:val="single" w:color="auto" w:sz="4" w:space="0"/>
              <w:bottom w:val="single" w:color="000000" w:sz="4" w:space="0"/>
              <w:right w:val="single" w:color="auto" w:sz="4" w:space="0"/>
            </w:tcBorders>
            <w:noWrap w:val="0"/>
            <w:vAlign w:val="center"/>
          </w:tcPr>
          <w:p w14:paraId="55FFA1DE">
            <w:pPr>
              <w:keepNext w:val="0"/>
              <w:keepLines w:val="0"/>
              <w:pageBreakBefore w:val="0"/>
              <w:kinsoku/>
              <w:wordWrap/>
              <w:overflowPunct/>
              <w:topLinePunct w:val="0"/>
              <w:autoSpaceDE/>
              <w:autoSpaceDN/>
              <w:bidi w:val="0"/>
              <w:spacing w:beforeAutospacing="0" w:afterAutospacing="0" w:line="460" w:lineRule="exact"/>
              <w:ind w:left="0" w:leftChars="0"/>
              <w:jc w:val="center"/>
              <w:rPr>
                <w:rFonts w:hint="eastAsia" w:ascii="宋体" w:hAnsi="宋体" w:eastAsia="宋体" w:cs="宋体"/>
                <w:i w:val="0"/>
                <w:iCs w:val="0"/>
                <w:color w:val="auto"/>
                <w:sz w:val="24"/>
                <w:szCs w:val="24"/>
                <w:highlight w:val="none"/>
                <w:u w:val="none"/>
              </w:rPr>
            </w:pPr>
          </w:p>
        </w:tc>
      </w:tr>
    </w:tbl>
    <w:p w14:paraId="2D5F9480">
      <w:pPr>
        <w:keepNext w:val="0"/>
        <w:keepLines w:val="0"/>
        <w:pageBreakBefore w:val="0"/>
        <w:kinsoku/>
        <w:wordWrap/>
        <w:overflowPunct/>
        <w:topLinePunct w:val="0"/>
        <w:autoSpaceDE/>
        <w:autoSpaceDN/>
        <w:bidi w:val="0"/>
        <w:spacing w:beforeAutospacing="0" w:afterAutospacing="0" w:line="460" w:lineRule="exact"/>
        <w:ind w:left="0" w:leftChars="0" w:firstLine="482" w:firstLineChars="200"/>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八、其他条款：</w:t>
      </w:r>
    </w:p>
    <w:p w14:paraId="6BFC460C">
      <w:pPr>
        <w:keepNext w:val="0"/>
        <w:keepLines w:val="0"/>
        <w:pageBreakBefore w:val="0"/>
        <w:kinsoku/>
        <w:wordWrap/>
        <w:overflowPunct/>
        <w:topLinePunct w:val="0"/>
        <w:autoSpaceDE/>
        <w:autoSpaceDN/>
        <w:bidi w:val="0"/>
        <w:spacing w:beforeAutospacing="0" w:afterAutospacing="0" w:line="460" w:lineRule="exact"/>
        <w:ind w:left="0" w:leftChars="0" w:firstLine="480" w:firstLineChars="200"/>
        <w:rPr>
          <w:rFonts w:hint="eastAsia" w:ascii="宋体" w:hAnsi="宋体" w:eastAsia="宋体" w:cs="宋体"/>
          <w:b w:val="0"/>
          <w:bCs w:val="0"/>
          <w:color w:val="auto"/>
          <w:kern w:val="2"/>
          <w:sz w:val="24"/>
          <w:szCs w:val="24"/>
          <w:highlight w:val="none"/>
          <w:lang w:val="zh-TW" w:eastAsia="zh-CN" w:bidi="ar"/>
        </w:rPr>
      </w:pPr>
      <w:r>
        <w:rPr>
          <w:rFonts w:hint="eastAsia" w:ascii="宋体" w:hAnsi="宋体" w:eastAsia="宋体" w:cs="宋体"/>
          <w:b w:val="0"/>
          <w:bCs w:val="0"/>
          <w:color w:val="auto"/>
          <w:kern w:val="2"/>
          <w:sz w:val="24"/>
          <w:szCs w:val="24"/>
          <w:highlight w:val="none"/>
          <w:lang w:val="en-US" w:eastAsia="zh-CN" w:bidi="ar"/>
        </w:rPr>
        <w:t>1、</w:t>
      </w:r>
      <w:r>
        <w:rPr>
          <w:rFonts w:hint="eastAsia" w:ascii="宋体" w:hAnsi="宋体" w:eastAsia="宋体" w:cs="宋体"/>
          <w:b w:val="0"/>
          <w:bCs w:val="0"/>
          <w:color w:val="auto"/>
          <w:kern w:val="2"/>
          <w:sz w:val="24"/>
          <w:szCs w:val="24"/>
          <w:highlight w:val="none"/>
          <w:lang w:val="zh-TW" w:eastAsia="zh-CN" w:bidi="ar"/>
        </w:rPr>
        <w:t>固定</w:t>
      </w:r>
      <w:r>
        <w:rPr>
          <w:rFonts w:hint="eastAsia" w:ascii="宋体" w:hAnsi="宋体" w:eastAsia="宋体" w:cs="宋体"/>
          <w:b w:val="0"/>
          <w:bCs w:val="0"/>
          <w:color w:val="auto"/>
          <w:kern w:val="2"/>
          <w:sz w:val="24"/>
          <w:szCs w:val="24"/>
          <w:highlight w:val="none"/>
          <w:lang w:val="zh-TW" w:eastAsia="zh-TW" w:bidi="ar"/>
        </w:rPr>
        <w:t>专业运维</w:t>
      </w:r>
      <w:r>
        <w:rPr>
          <w:rFonts w:hint="eastAsia" w:ascii="宋体" w:hAnsi="宋体" w:eastAsia="宋体" w:cs="宋体"/>
          <w:b w:val="0"/>
          <w:bCs w:val="0"/>
          <w:color w:val="auto"/>
          <w:kern w:val="2"/>
          <w:sz w:val="24"/>
          <w:szCs w:val="24"/>
          <w:highlight w:val="none"/>
          <w:lang w:val="zh-TW" w:eastAsia="zh-CN" w:bidi="ar"/>
        </w:rPr>
        <w:t>人员</w:t>
      </w:r>
      <w:r>
        <w:rPr>
          <w:rFonts w:hint="eastAsia" w:ascii="宋体" w:hAnsi="宋体" w:eastAsia="宋体" w:cs="宋体"/>
          <w:b w:val="0"/>
          <w:bCs w:val="0"/>
          <w:color w:val="auto"/>
          <w:kern w:val="2"/>
          <w:sz w:val="24"/>
          <w:szCs w:val="24"/>
          <w:highlight w:val="none"/>
          <w:lang w:val="en-US" w:eastAsia="zh-CN" w:bidi="ar"/>
        </w:rPr>
        <w:t>24小时在岗值守，</w:t>
      </w:r>
      <w:r>
        <w:rPr>
          <w:rFonts w:hint="eastAsia" w:ascii="宋体" w:hAnsi="宋体" w:eastAsia="宋体" w:cs="宋体"/>
          <w:b w:val="0"/>
          <w:bCs w:val="0"/>
          <w:color w:val="auto"/>
          <w:kern w:val="2"/>
          <w:sz w:val="24"/>
          <w:szCs w:val="24"/>
          <w:highlight w:val="none"/>
          <w:lang w:val="zh-TW" w:eastAsia="zh-TW" w:bidi="ar"/>
        </w:rPr>
        <w:t>值班工作人员持</w:t>
      </w:r>
      <w:r>
        <w:rPr>
          <w:rFonts w:hint="eastAsia" w:ascii="宋体" w:hAnsi="宋体" w:eastAsia="宋体" w:cs="宋体"/>
          <w:b w:val="0"/>
          <w:bCs w:val="0"/>
          <w:color w:val="auto"/>
          <w:kern w:val="2"/>
          <w:sz w:val="24"/>
          <w:szCs w:val="24"/>
          <w:highlight w:val="none"/>
          <w:lang w:val="zh-TW" w:eastAsia="zh-CN" w:bidi="ar"/>
        </w:rPr>
        <w:t>进网</w:t>
      </w:r>
      <w:r>
        <w:rPr>
          <w:rFonts w:hint="eastAsia" w:ascii="宋体" w:hAnsi="宋体" w:eastAsia="宋体" w:cs="宋体"/>
          <w:b w:val="0"/>
          <w:bCs w:val="0"/>
          <w:color w:val="auto"/>
          <w:kern w:val="2"/>
          <w:sz w:val="24"/>
          <w:szCs w:val="24"/>
          <w:highlight w:val="none"/>
          <w:lang w:val="zh-TW" w:eastAsia="zh-TW" w:bidi="ar"/>
        </w:rPr>
        <w:t>高压电工作业证上岗</w:t>
      </w:r>
      <w:r>
        <w:rPr>
          <w:rFonts w:hint="eastAsia" w:ascii="宋体" w:hAnsi="宋体" w:eastAsia="宋体" w:cs="宋体"/>
          <w:b w:val="0"/>
          <w:bCs w:val="0"/>
          <w:color w:val="auto"/>
          <w:kern w:val="2"/>
          <w:sz w:val="24"/>
          <w:szCs w:val="24"/>
          <w:highlight w:val="none"/>
          <w:lang w:val="zh-TW" w:eastAsia="zh-CN" w:bidi="ar"/>
        </w:rPr>
        <w:t>，</w:t>
      </w:r>
      <w:r>
        <w:rPr>
          <w:rFonts w:hint="eastAsia" w:ascii="宋体" w:hAnsi="宋体" w:eastAsia="宋体" w:cs="宋体"/>
          <w:b w:val="0"/>
          <w:bCs w:val="0"/>
          <w:color w:val="auto"/>
          <w:kern w:val="2"/>
          <w:sz w:val="24"/>
          <w:szCs w:val="24"/>
          <w:highlight w:val="none"/>
          <w:lang w:val="en-US" w:eastAsia="zh-CN" w:bidi="ar"/>
        </w:rPr>
        <w:t>2人一组，</w:t>
      </w:r>
      <w:r>
        <w:rPr>
          <w:rFonts w:hint="eastAsia" w:ascii="宋体" w:hAnsi="宋体" w:eastAsia="宋体" w:cs="宋体"/>
          <w:b w:val="0"/>
          <w:bCs w:val="0"/>
          <w:color w:val="auto"/>
          <w:kern w:val="2"/>
          <w:sz w:val="24"/>
          <w:szCs w:val="24"/>
          <w:highlight w:val="none"/>
          <w:lang w:val="zh-TW" w:eastAsia="zh-CN" w:bidi="ar"/>
        </w:rPr>
        <w:t>按要求进行维保巡检。</w:t>
      </w:r>
    </w:p>
    <w:p w14:paraId="5FDFDF49">
      <w:pPr>
        <w:keepNext w:val="0"/>
        <w:keepLines w:val="0"/>
        <w:pageBreakBefore w:val="0"/>
        <w:kinsoku/>
        <w:wordWrap/>
        <w:overflowPunct/>
        <w:topLinePunct w:val="0"/>
        <w:autoSpaceDE/>
        <w:autoSpaceDN/>
        <w:bidi w:val="0"/>
        <w:spacing w:beforeAutospacing="0" w:afterAutospacing="0" w:line="460" w:lineRule="exact"/>
        <w:ind w:left="0" w:leftChars="0" w:firstLine="480" w:firstLineChars="200"/>
        <w:rPr>
          <w:rFonts w:hint="eastAsia" w:ascii="宋体" w:hAnsi="宋体" w:eastAsia="宋体" w:cs="宋体"/>
          <w:b w:val="0"/>
          <w:bCs w:val="0"/>
          <w:color w:val="auto"/>
          <w:kern w:val="2"/>
          <w:sz w:val="24"/>
          <w:szCs w:val="24"/>
          <w:highlight w:val="none"/>
          <w:lang w:val="en-US" w:eastAsia="zh-CN" w:bidi="ar"/>
        </w:rPr>
      </w:pPr>
      <w:r>
        <w:rPr>
          <w:rFonts w:hint="eastAsia" w:ascii="宋体" w:hAnsi="宋体" w:eastAsia="宋体" w:cs="宋体"/>
          <w:b w:val="0"/>
          <w:bCs w:val="0"/>
          <w:color w:val="auto"/>
          <w:kern w:val="2"/>
          <w:sz w:val="24"/>
          <w:szCs w:val="24"/>
          <w:highlight w:val="none"/>
          <w:lang w:val="en-US" w:eastAsia="zh-CN" w:bidi="ar"/>
        </w:rPr>
        <w:t>2、定期检验配电房内安全工器具;</w:t>
      </w:r>
    </w:p>
    <w:p w14:paraId="00BA47D4">
      <w:pPr>
        <w:keepNext w:val="0"/>
        <w:keepLines w:val="0"/>
        <w:pageBreakBefore w:val="0"/>
        <w:kinsoku/>
        <w:wordWrap/>
        <w:overflowPunct/>
        <w:topLinePunct w:val="0"/>
        <w:autoSpaceDE/>
        <w:autoSpaceDN/>
        <w:bidi w:val="0"/>
        <w:spacing w:beforeAutospacing="0" w:afterAutospacing="0" w:line="460" w:lineRule="exact"/>
        <w:ind w:left="0" w:leftChars="0" w:firstLine="480" w:firstLineChars="200"/>
        <w:rPr>
          <w:rFonts w:hint="eastAsia" w:ascii="宋体" w:hAnsi="宋体" w:eastAsia="宋体" w:cs="宋体"/>
          <w:b w:val="0"/>
          <w:bCs w:val="0"/>
          <w:color w:val="auto"/>
          <w:kern w:val="2"/>
          <w:sz w:val="24"/>
          <w:szCs w:val="24"/>
          <w:highlight w:val="none"/>
          <w:lang w:val="en-US" w:eastAsia="zh-CN" w:bidi="ar"/>
        </w:rPr>
      </w:pPr>
      <w:r>
        <w:rPr>
          <w:rFonts w:hint="eastAsia" w:ascii="宋体" w:hAnsi="宋体" w:eastAsia="宋体" w:cs="宋体"/>
          <w:b w:val="0"/>
          <w:bCs w:val="0"/>
          <w:color w:val="auto"/>
          <w:kern w:val="2"/>
          <w:sz w:val="24"/>
          <w:szCs w:val="24"/>
          <w:highlight w:val="none"/>
          <w:lang w:val="en-US" w:eastAsia="zh-CN" w:bidi="ar"/>
        </w:rPr>
        <w:t>3、对维保的工作做好记录，包括：维保原因及处理方案，维保设备的型号及工作年限，日常保养、检修的记录。</w:t>
      </w:r>
    </w:p>
    <w:p w14:paraId="2ED53D86">
      <w:pPr>
        <w:keepNext w:val="0"/>
        <w:keepLines w:val="0"/>
        <w:pageBreakBefore w:val="0"/>
        <w:kinsoku/>
        <w:wordWrap/>
        <w:overflowPunct/>
        <w:topLinePunct w:val="0"/>
        <w:autoSpaceDE/>
        <w:autoSpaceDN/>
        <w:bidi w:val="0"/>
        <w:spacing w:beforeAutospacing="0" w:afterAutospacing="0" w:line="460" w:lineRule="exact"/>
        <w:ind w:left="0" w:leftChars="0" w:firstLine="480" w:firstLineChars="200"/>
        <w:rPr>
          <w:rFonts w:hint="eastAsia" w:ascii="宋体" w:hAnsi="宋体" w:eastAsia="宋体" w:cs="宋体"/>
          <w:b w:val="0"/>
          <w:bCs w:val="0"/>
          <w:color w:val="auto"/>
          <w:kern w:val="2"/>
          <w:sz w:val="24"/>
          <w:szCs w:val="24"/>
          <w:highlight w:val="none"/>
          <w:lang w:val="en-US" w:eastAsia="zh-CN" w:bidi="ar"/>
        </w:rPr>
      </w:pPr>
      <w:r>
        <w:rPr>
          <w:rFonts w:hint="eastAsia" w:ascii="宋体" w:hAnsi="宋体" w:eastAsia="宋体" w:cs="宋体"/>
          <w:b w:val="0"/>
          <w:bCs w:val="0"/>
          <w:color w:val="auto"/>
          <w:kern w:val="2"/>
          <w:sz w:val="24"/>
          <w:szCs w:val="24"/>
          <w:highlight w:val="none"/>
          <w:lang w:val="en-US" w:eastAsia="zh-CN" w:bidi="ar"/>
        </w:rPr>
        <w:t>4、全力维护好现有设备，如有确需要更换的大件应及时同甲方负责人确认更换方案。更换的配件尽量与原品牌、型号一致，在更换前书面提交签字确认后方可更换，壹仟</w:t>
      </w:r>
      <w:r>
        <w:rPr>
          <w:rFonts w:hint="eastAsia" w:ascii="宋体" w:hAnsi="宋体" w:cs="宋体"/>
          <w:b w:val="0"/>
          <w:bCs w:val="0"/>
          <w:color w:val="auto"/>
          <w:kern w:val="2"/>
          <w:sz w:val="24"/>
          <w:szCs w:val="24"/>
          <w:highlight w:val="none"/>
          <w:lang w:val="en-US" w:eastAsia="zh-CN" w:bidi="ar"/>
        </w:rPr>
        <w:t>伍佰</w:t>
      </w:r>
      <w:r>
        <w:rPr>
          <w:rFonts w:hint="eastAsia" w:ascii="宋体" w:hAnsi="宋体" w:eastAsia="宋体" w:cs="宋体"/>
          <w:b w:val="0"/>
          <w:bCs w:val="0"/>
          <w:color w:val="auto"/>
          <w:kern w:val="2"/>
          <w:sz w:val="24"/>
          <w:szCs w:val="24"/>
          <w:highlight w:val="none"/>
          <w:lang w:val="en-US" w:eastAsia="zh-CN" w:bidi="ar"/>
        </w:rPr>
        <w:t>元以上（含壹仟</w:t>
      </w:r>
      <w:r>
        <w:rPr>
          <w:rFonts w:hint="eastAsia" w:ascii="宋体" w:hAnsi="宋体" w:cs="宋体"/>
          <w:b w:val="0"/>
          <w:bCs w:val="0"/>
          <w:color w:val="auto"/>
          <w:kern w:val="2"/>
          <w:sz w:val="24"/>
          <w:szCs w:val="24"/>
          <w:highlight w:val="none"/>
          <w:lang w:val="en-US" w:eastAsia="zh-CN" w:bidi="ar"/>
        </w:rPr>
        <w:t>伍佰</w:t>
      </w:r>
      <w:r>
        <w:rPr>
          <w:rFonts w:hint="eastAsia" w:ascii="宋体" w:hAnsi="宋体" w:eastAsia="宋体" w:cs="宋体"/>
          <w:b w:val="0"/>
          <w:bCs w:val="0"/>
          <w:color w:val="auto"/>
          <w:kern w:val="2"/>
          <w:sz w:val="24"/>
          <w:szCs w:val="24"/>
          <w:highlight w:val="none"/>
          <w:lang w:val="en-US" w:eastAsia="zh-CN" w:bidi="ar"/>
        </w:rPr>
        <w:t>元）配件更换费用由甲方提供，壹仟</w:t>
      </w:r>
      <w:r>
        <w:rPr>
          <w:rFonts w:hint="eastAsia" w:ascii="宋体" w:hAnsi="宋体" w:cs="宋体"/>
          <w:b w:val="0"/>
          <w:bCs w:val="0"/>
          <w:color w:val="auto"/>
          <w:kern w:val="2"/>
          <w:sz w:val="24"/>
          <w:szCs w:val="24"/>
          <w:highlight w:val="none"/>
          <w:lang w:val="en-US" w:eastAsia="zh-CN" w:bidi="ar"/>
        </w:rPr>
        <w:t>伍佰</w:t>
      </w:r>
      <w:r>
        <w:rPr>
          <w:rFonts w:hint="eastAsia" w:ascii="宋体" w:hAnsi="宋体" w:eastAsia="宋体" w:cs="宋体"/>
          <w:b w:val="0"/>
          <w:bCs w:val="0"/>
          <w:color w:val="auto"/>
          <w:kern w:val="2"/>
          <w:sz w:val="24"/>
          <w:szCs w:val="24"/>
          <w:highlight w:val="none"/>
          <w:lang w:val="en-US" w:eastAsia="zh-CN" w:bidi="ar"/>
        </w:rPr>
        <w:t>元以下配件更换费用由乙方承担</w:t>
      </w:r>
      <w:bookmarkStart w:id="7" w:name="_Toc28884_WPSOffice_Level3"/>
      <w:bookmarkStart w:id="8" w:name="_Toc22517_WPSOffice_Level3"/>
      <w:r>
        <w:rPr>
          <w:rFonts w:hint="eastAsia" w:ascii="宋体" w:hAnsi="宋体" w:eastAsia="宋体" w:cs="宋体"/>
          <w:b w:val="0"/>
          <w:bCs w:val="0"/>
          <w:color w:val="auto"/>
          <w:kern w:val="2"/>
          <w:sz w:val="24"/>
          <w:szCs w:val="24"/>
          <w:highlight w:val="none"/>
          <w:lang w:val="en-US" w:eastAsia="zh-CN" w:bidi="ar"/>
        </w:rPr>
        <w:t>；</w:t>
      </w:r>
    </w:p>
    <w:p w14:paraId="01BC6FE2">
      <w:pPr>
        <w:keepNext w:val="0"/>
        <w:keepLines w:val="0"/>
        <w:pageBreakBefore w:val="0"/>
        <w:kinsoku/>
        <w:wordWrap/>
        <w:overflowPunct/>
        <w:topLinePunct w:val="0"/>
        <w:autoSpaceDE/>
        <w:autoSpaceDN/>
        <w:bidi w:val="0"/>
        <w:spacing w:beforeAutospacing="0" w:afterAutospacing="0" w:line="460" w:lineRule="exact"/>
        <w:ind w:left="0" w:leftChars="0" w:firstLine="480" w:firstLineChars="200"/>
        <w:rPr>
          <w:rFonts w:hint="eastAsia" w:ascii="宋体" w:hAnsi="宋体" w:eastAsia="宋体" w:cs="宋体"/>
          <w:b w:val="0"/>
          <w:bCs w:val="0"/>
          <w:color w:val="auto"/>
          <w:kern w:val="2"/>
          <w:sz w:val="24"/>
          <w:szCs w:val="24"/>
          <w:highlight w:val="none"/>
          <w:lang w:val="en-US" w:eastAsia="zh-CN" w:bidi="ar"/>
        </w:rPr>
      </w:pPr>
      <w:r>
        <w:rPr>
          <w:rFonts w:hint="eastAsia" w:ascii="宋体" w:hAnsi="宋体" w:eastAsia="宋体" w:cs="宋体"/>
          <w:b w:val="0"/>
          <w:bCs w:val="0"/>
          <w:color w:val="auto"/>
          <w:kern w:val="2"/>
          <w:sz w:val="24"/>
          <w:szCs w:val="24"/>
          <w:highlight w:val="none"/>
          <w:lang w:val="en-US" w:eastAsia="zh-CN" w:bidi="ar"/>
        </w:rPr>
        <w:t>5、配电维修、维护所需的各类工具均由乙方提供</w:t>
      </w:r>
      <w:bookmarkEnd w:id="7"/>
      <w:bookmarkEnd w:id="8"/>
      <w:r>
        <w:rPr>
          <w:rFonts w:hint="eastAsia" w:ascii="宋体" w:hAnsi="宋体" w:eastAsia="宋体" w:cs="宋体"/>
          <w:b w:val="0"/>
          <w:bCs w:val="0"/>
          <w:color w:val="auto"/>
          <w:kern w:val="2"/>
          <w:sz w:val="24"/>
          <w:szCs w:val="24"/>
          <w:highlight w:val="none"/>
          <w:lang w:val="en-US" w:eastAsia="zh-CN" w:bidi="ar"/>
        </w:rPr>
        <w:t>；</w:t>
      </w:r>
    </w:p>
    <w:p w14:paraId="6547F8C4">
      <w:pPr>
        <w:keepNext w:val="0"/>
        <w:keepLines w:val="0"/>
        <w:pageBreakBefore w:val="0"/>
        <w:kinsoku/>
        <w:wordWrap/>
        <w:overflowPunct/>
        <w:topLinePunct w:val="0"/>
        <w:autoSpaceDE/>
        <w:autoSpaceDN/>
        <w:bidi w:val="0"/>
        <w:spacing w:beforeAutospacing="0" w:afterAutospacing="0" w:line="460" w:lineRule="exact"/>
        <w:ind w:left="0" w:leftChars="0" w:firstLine="480" w:firstLineChars="200"/>
        <w:rPr>
          <w:rFonts w:hint="eastAsia" w:ascii="宋体" w:hAnsi="宋体" w:eastAsia="宋体" w:cs="宋体"/>
          <w:color w:val="auto"/>
          <w:sz w:val="24"/>
          <w:szCs w:val="24"/>
          <w:highlight w:val="none"/>
          <w:lang w:eastAsia="zh-CN"/>
        </w:rPr>
      </w:pPr>
      <w:r>
        <w:rPr>
          <w:rFonts w:hint="eastAsia" w:ascii="宋体" w:hAnsi="宋体" w:eastAsia="宋体" w:cs="宋体"/>
          <w:b w:val="0"/>
          <w:bCs w:val="0"/>
          <w:color w:val="auto"/>
          <w:kern w:val="2"/>
          <w:sz w:val="24"/>
          <w:szCs w:val="24"/>
          <w:highlight w:val="none"/>
          <w:lang w:val="en-US" w:eastAsia="zh-CN" w:bidi="ar"/>
        </w:rPr>
        <w:t>6、</w:t>
      </w:r>
      <w:r>
        <w:rPr>
          <w:rFonts w:hint="eastAsia" w:ascii="宋体" w:hAnsi="宋体" w:eastAsia="宋体" w:cs="宋体"/>
          <w:color w:val="auto"/>
          <w:sz w:val="24"/>
          <w:szCs w:val="24"/>
          <w:highlight w:val="none"/>
        </w:rPr>
        <w:t>在运维过程中严格遵守</w:t>
      </w:r>
      <w:r>
        <w:rPr>
          <w:rFonts w:hint="eastAsia" w:ascii="宋体" w:hAnsi="宋体" w:eastAsia="宋体" w:cs="宋体"/>
          <w:color w:val="auto"/>
          <w:sz w:val="24"/>
          <w:szCs w:val="24"/>
          <w:highlight w:val="none"/>
          <w:lang w:eastAsia="zh-CN"/>
        </w:rPr>
        <w:t>甲方</w:t>
      </w:r>
      <w:r>
        <w:rPr>
          <w:rFonts w:hint="eastAsia" w:ascii="宋体" w:hAnsi="宋体" w:eastAsia="宋体" w:cs="宋体"/>
          <w:color w:val="auto"/>
          <w:sz w:val="24"/>
          <w:szCs w:val="24"/>
          <w:highlight w:val="none"/>
        </w:rPr>
        <w:t>各项规章制度和安全管理规范，负责维护人员的安全及专业技能、知识培训，维护人员凡任何违反安全操作规程所造成的事故及损失</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均由</w:t>
      </w:r>
      <w:r>
        <w:rPr>
          <w:rFonts w:hint="eastAsia" w:ascii="宋体" w:hAnsi="宋体" w:eastAsia="宋体" w:cs="宋体"/>
          <w:color w:val="auto"/>
          <w:sz w:val="24"/>
          <w:szCs w:val="24"/>
          <w:highlight w:val="none"/>
          <w:lang w:eastAsia="zh-CN"/>
        </w:rPr>
        <w:t>乙方</w:t>
      </w:r>
      <w:r>
        <w:rPr>
          <w:rFonts w:hint="eastAsia" w:ascii="宋体" w:hAnsi="宋体" w:eastAsia="宋体" w:cs="宋体"/>
          <w:color w:val="auto"/>
          <w:sz w:val="24"/>
          <w:szCs w:val="24"/>
          <w:highlight w:val="none"/>
        </w:rPr>
        <w:t>承担责任</w:t>
      </w:r>
      <w:r>
        <w:rPr>
          <w:rFonts w:hint="eastAsia" w:ascii="宋体" w:hAnsi="宋体" w:eastAsia="宋体" w:cs="宋体"/>
          <w:color w:val="auto"/>
          <w:sz w:val="24"/>
          <w:szCs w:val="24"/>
          <w:highlight w:val="none"/>
          <w:lang w:eastAsia="zh-CN"/>
        </w:rPr>
        <w:t>；</w:t>
      </w:r>
    </w:p>
    <w:p w14:paraId="692934D5">
      <w:pPr>
        <w:keepNext w:val="0"/>
        <w:keepLines w:val="0"/>
        <w:pageBreakBefore w:val="0"/>
        <w:kinsoku/>
        <w:wordWrap/>
        <w:overflowPunct/>
        <w:topLinePunct w:val="0"/>
        <w:autoSpaceDE/>
        <w:autoSpaceDN/>
        <w:bidi w:val="0"/>
        <w:spacing w:beforeAutospacing="0" w:afterAutospacing="0" w:line="460" w:lineRule="exact"/>
        <w:ind w:left="0" w:leftChars="0" w:firstLine="480" w:firstLineChars="200"/>
        <w:rPr>
          <w:rFonts w:hint="eastAsia" w:ascii="宋体" w:hAnsi="宋体" w:eastAsia="宋体" w:cs="宋体"/>
          <w:b w:val="0"/>
          <w:bCs w:val="0"/>
          <w:color w:val="auto"/>
          <w:kern w:val="2"/>
          <w:sz w:val="24"/>
          <w:szCs w:val="24"/>
          <w:highlight w:val="none"/>
          <w:lang w:val="en-US" w:eastAsia="zh-CN" w:bidi="ar"/>
        </w:rPr>
      </w:pPr>
      <w:r>
        <w:rPr>
          <w:rFonts w:hint="eastAsia" w:ascii="宋体" w:hAnsi="宋体" w:eastAsia="宋体" w:cs="宋体"/>
          <w:b w:val="0"/>
          <w:bCs w:val="0"/>
          <w:color w:val="auto"/>
          <w:kern w:val="2"/>
          <w:sz w:val="24"/>
          <w:szCs w:val="24"/>
          <w:highlight w:val="none"/>
          <w:lang w:val="en-US" w:eastAsia="zh-CN" w:bidi="ar"/>
        </w:rPr>
        <w:t>7、乙方需配合甲方健全、完善以下工作内容:</w:t>
      </w:r>
    </w:p>
    <w:p w14:paraId="65E3111B">
      <w:pPr>
        <w:keepNext w:val="0"/>
        <w:keepLines w:val="0"/>
        <w:pageBreakBefore w:val="0"/>
        <w:kinsoku/>
        <w:wordWrap/>
        <w:overflowPunct/>
        <w:topLinePunct w:val="0"/>
        <w:autoSpaceDE/>
        <w:autoSpaceDN/>
        <w:bidi w:val="0"/>
        <w:spacing w:beforeAutospacing="0" w:afterAutospacing="0" w:line="460" w:lineRule="exact"/>
        <w:ind w:left="0" w:leftChars="0" w:firstLine="480" w:firstLineChars="200"/>
        <w:rPr>
          <w:rFonts w:hint="eastAsia" w:ascii="宋体" w:hAnsi="宋体" w:eastAsia="宋体" w:cs="宋体"/>
          <w:b w:val="0"/>
          <w:bCs w:val="0"/>
          <w:color w:val="auto"/>
          <w:kern w:val="2"/>
          <w:sz w:val="24"/>
          <w:szCs w:val="24"/>
          <w:highlight w:val="none"/>
          <w:lang w:val="en-US" w:eastAsia="zh-CN" w:bidi="ar"/>
        </w:rPr>
      </w:pPr>
      <w:r>
        <w:rPr>
          <w:rFonts w:hint="eastAsia" w:ascii="宋体" w:hAnsi="宋体" w:eastAsia="宋体" w:cs="宋体"/>
          <w:b w:val="0"/>
          <w:bCs w:val="0"/>
          <w:color w:val="auto"/>
          <w:kern w:val="2"/>
          <w:sz w:val="24"/>
          <w:szCs w:val="24"/>
          <w:highlight w:val="none"/>
          <w:lang w:val="en-US" w:eastAsia="zh-CN" w:bidi="ar"/>
        </w:rPr>
        <w:t>7.1完成的岗位职责、值班、交接班要求、应急管理、安全管理、作业人员教育与培训制度等的人员管理制度、变配电室管理、柴发机房管理、消防管理、管理类制度;</w:t>
      </w:r>
    </w:p>
    <w:p w14:paraId="1355C0E1">
      <w:pPr>
        <w:keepNext w:val="0"/>
        <w:keepLines w:val="0"/>
        <w:pageBreakBefore w:val="0"/>
        <w:kinsoku/>
        <w:wordWrap/>
        <w:overflowPunct/>
        <w:topLinePunct w:val="0"/>
        <w:autoSpaceDE/>
        <w:autoSpaceDN/>
        <w:bidi w:val="0"/>
        <w:spacing w:beforeAutospacing="0" w:afterAutospacing="0" w:line="460" w:lineRule="exact"/>
        <w:ind w:left="0" w:leftChars="0" w:firstLine="480" w:firstLineChars="200"/>
        <w:rPr>
          <w:rFonts w:hint="eastAsia" w:ascii="宋体" w:hAnsi="宋体" w:eastAsia="宋体" w:cs="宋体"/>
          <w:b w:val="0"/>
          <w:bCs w:val="0"/>
          <w:color w:val="auto"/>
          <w:kern w:val="2"/>
          <w:sz w:val="24"/>
          <w:szCs w:val="24"/>
          <w:highlight w:val="none"/>
          <w:lang w:val="en-US" w:eastAsia="zh-CN" w:bidi="ar"/>
        </w:rPr>
      </w:pPr>
      <w:r>
        <w:rPr>
          <w:rFonts w:hint="eastAsia" w:ascii="宋体" w:hAnsi="宋体" w:eastAsia="宋体" w:cs="宋体"/>
          <w:b w:val="0"/>
          <w:bCs w:val="0"/>
          <w:color w:val="auto"/>
          <w:kern w:val="2"/>
          <w:sz w:val="24"/>
          <w:szCs w:val="24"/>
          <w:highlight w:val="none"/>
          <w:lang w:val="en-US" w:eastAsia="zh-CN" w:bidi="ar"/>
        </w:rPr>
        <w:t>7.2有设备档案管理，设备验收，设备操作，高危作业，设备巡视检查，设备维修保养，变配电系统运行档案资料管理，工器具管理，防护用品、安全工具管理等设备管理类制度;</w:t>
      </w:r>
    </w:p>
    <w:p w14:paraId="4C930DAC">
      <w:pPr>
        <w:keepNext w:val="0"/>
        <w:keepLines w:val="0"/>
        <w:pageBreakBefore w:val="0"/>
        <w:kinsoku/>
        <w:wordWrap/>
        <w:overflowPunct/>
        <w:topLinePunct w:val="0"/>
        <w:autoSpaceDE/>
        <w:autoSpaceDN/>
        <w:bidi w:val="0"/>
        <w:spacing w:beforeAutospacing="0" w:afterAutospacing="0" w:line="460" w:lineRule="exact"/>
        <w:ind w:left="0" w:leftChars="0" w:firstLine="480" w:firstLineChars="200"/>
        <w:rPr>
          <w:rFonts w:hint="eastAsia" w:ascii="宋体" w:hAnsi="宋体" w:eastAsia="宋体" w:cs="宋体"/>
          <w:b w:val="0"/>
          <w:bCs w:val="0"/>
          <w:color w:val="auto"/>
          <w:kern w:val="2"/>
          <w:sz w:val="24"/>
          <w:szCs w:val="24"/>
          <w:highlight w:val="none"/>
          <w:lang w:val="en-US" w:eastAsia="zh-CN" w:bidi="ar"/>
        </w:rPr>
      </w:pPr>
      <w:r>
        <w:rPr>
          <w:rFonts w:hint="eastAsia" w:ascii="宋体" w:hAnsi="宋体" w:eastAsia="宋体" w:cs="宋体"/>
          <w:b w:val="0"/>
          <w:bCs w:val="0"/>
          <w:color w:val="auto"/>
          <w:kern w:val="2"/>
          <w:sz w:val="24"/>
          <w:szCs w:val="24"/>
          <w:highlight w:val="none"/>
          <w:lang w:val="en-US" w:eastAsia="zh-CN" w:bidi="ar"/>
        </w:rPr>
        <w:t>7.3管理人员定期对制度的执行情况进行检查并有记录;</w:t>
      </w:r>
    </w:p>
    <w:p w14:paraId="44EC4647">
      <w:pPr>
        <w:keepNext w:val="0"/>
        <w:keepLines w:val="0"/>
        <w:pageBreakBefore w:val="0"/>
        <w:kinsoku/>
        <w:wordWrap/>
        <w:overflowPunct/>
        <w:topLinePunct w:val="0"/>
        <w:autoSpaceDE/>
        <w:autoSpaceDN/>
        <w:bidi w:val="0"/>
        <w:spacing w:beforeAutospacing="0" w:afterAutospacing="0" w:line="460" w:lineRule="exact"/>
        <w:ind w:left="0" w:leftChars="0" w:firstLine="480" w:firstLineChars="200"/>
        <w:rPr>
          <w:rFonts w:hint="eastAsia" w:ascii="宋体" w:hAnsi="宋体" w:eastAsia="宋体" w:cs="宋体"/>
          <w:b w:val="0"/>
          <w:bCs w:val="0"/>
          <w:color w:val="auto"/>
          <w:kern w:val="2"/>
          <w:sz w:val="24"/>
          <w:szCs w:val="24"/>
          <w:highlight w:val="none"/>
          <w:lang w:val="en-US" w:eastAsia="zh-CN" w:bidi="ar"/>
        </w:rPr>
      </w:pPr>
      <w:r>
        <w:rPr>
          <w:rFonts w:hint="eastAsia" w:ascii="宋体" w:hAnsi="宋体" w:eastAsia="宋体" w:cs="宋体"/>
          <w:b w:val="0"/>
          <w:bCs w:val="0"/>
          <w:color w:val="auto"/>
          <w:kern w:val="2"/>
          <w:sz w:val="24"/>
          <w:szCs w:val="24"/>
          <w:highlight w:val="none"/>
          <w:lang w:val="en-US" w:eastAsia="zh-CN" w:bidi="ar"/>
        </w:rPr>
        <w:t>7.4技术资料存放整齐，便于查找、核对，并分门别类建立资料清册;</w:t>
      </w:r>
    </w:p>
    <w:p w14:paraId="7E561AF0">
      <w:pPr>
        <w:keepNext w:val="0"/>
        <w:keepLines w:val="0"/>
        <w:pageBreakBefore w:val="0"/>
        <w:kinsoku/>
        <w:wordWrap/>
        <w:overflowPunct/>
        <w:topLinePunct w:val="0"/>
        <w:autoSpaceDE/>
        <w:autoSpaceDN/>
        <w:bidi w:val="0"/>
        <w:spacing w:beforeAutospacing="0" w:afterAutospacing="0" w:line="460" w:lineRule="exact"/>
        <w:ind w:left="0" w:leftChars="0" w:firstLine="480" w:firstLineChars="200"/>
        <w:rPr>
          <w:rFonts w:hint="eastAsia" w:ascii="宋体" w:hAnsi="宋体" w:eastAsia="宋体" w:cs="宋体"/>
          <w:b w:val="0"/>
          <w:bCs w:val="0"/>
          <w:color w:val="auto"/>
          <w:kern w:val="2"/>
          <w:sz w:val="24"/>
          <w:szCs w:val="24"/>
          <w:highlight w:val="none"/>
          <w:lang w:val="en-US" w:eastAsia="zh-CN" w:bidi="ar"/>
        </w:rPr>
      </w:pPr>
      <w:r>
        <w:rPr>
          <w:rFonts w:hint="eastAsia" w:ascii="宋体" w:hAnsi="宋体" w:eastAsia="宋体" w:cs="宋体"/>
          <w:b w:val="0"/>
          <w:bCs w:val="0"/>
          <w:color w:val="auto"/>
          <w:kern w:val="2"/>
          <w:sz w:val="24"/>
          <w:szCs w:val="24"/>
          <w:highlight w:val="none"/>
          <w:lang w:val="en-US" w:eastAsia="zh-CN" w:bidi="ar"/>
        </w:rPr>
        <w:t>7.5管理性档案与技术性档案与在用变配电系统同期保存，并保存不少于两年的记录;</w:t>
      </w:r>
    </w:p>
    <w:p w14:paraId="7E2E991C">
      <w:pPr>
        <w:keepNext w:val="0"/>
        <w:keepLines w:val="0"/>
        <w:pageBreakBefore w:val="0"/>
        <w:kinsoku/>
        <w:wordWrap/>
        <w:overflowPunct/>
        <w:topLinePunct w:val="0"/>
        <w:autoSpaceDE/>
        <w:autoSpaceDN/>
        <w:bidi w:val="0"/>
        <w:spacing w:beforeAutospacing="0" w:afterAutospacing="0" w:line="460" w:lineRule="exact"/>
        <w:ind w:left="0" w:leftChars="0" w:firstLine="480" w:firstLineChars="200"/>
        <w:rPr>
          <w:rFonts w:hint="eastAsia" w:ascii="宋体" w:hAnsi="宋体" w:eastAsia="宋体" w:cs="宋体"/>
          <w:b w:val="0"/>
          <w:bCs w:val="0"/>
          <w:color w:val="auto"/>
          <w:kern w:val="2"/>
          <w:sz w:val="24"/>
          <w:szCs w:val="24"/>
          <w:highlight w:val="none"/>
          <w:lang w:val="en-US" w:eastAsia="zh-CN" w:bidi="ar"/>
        </w:rPr>
      </w:pPr>
      <w:r>
        <w:rPr>
          <w:rFonts w:hint="eastAsia" w:ascii="宋体" w:hAnsi="宋体" w:eastAsia="宋体" w:cs="宋体"/>
          <w:b w:val="0"/>
          <w:bCs w:val="0"/>
          <w:color w:val="auto"/>
          <w:kern w:val="2"/>
          <w:sz w:val="24"/>
          <w:szCs w:val="24"/>
          <w:highlight w:val="none"/>
          <w:lang w:val="en-US" w:eastAsia="zh-CN" w:bidi="ar"/>
        </w:rPr>
        <w:t>7.6管理档案包括设备维修、维护保养管理、配件及耗材使用管理、工作票／操作票管理、人员培训、安全管理、应急管理、供应商管理等内容技术档案包括设备技术文件、安装技术文件、变配电室平面分布图、配电线路平面分布图、配电系统图、一次、二次接线图、建筑电气照明区动力图、主要材料与设备的使用说明书、出厂合格证及检（试）验报告等内容运行档案；</w:t>
      </w:r>
    </w:p>
    <w:p w14:paraId="30A51AF3">
      <w:pPr>
        <w:keepNext w:val="0"/>
        <w:keepLines w:val="0"/>
        <w:pageBreakBefore w:val="0"/>
        <w:kinsoku/>
        <w:wordWrap/>
        <w:overflowPunct/>
        <w:topLinePunct w:val="0"/>
        <w:autoSpaceDE/>
        <w:autoSpaceDN/>
        <w:bidi w:val="0"/>
        <w:spacing w:beforeAutospacing="0" w:afterAutospacing="0" w:line="460" w:lineRule="exact"/>
        <w:ind w:left="0" w:leftChars="0" w:firstLine="480" w:firstLineChars="200"/>
        <w:rPr>
          <w:rFonts w:hint="eastAsia" w:ascii="宋体" w:hAnsi="宋体" w:eastAsia="宋体" w:cs="宋体"/>
          <w:b w:val="0"/>
          <w:bCs w:val="0"/>
          <w:color w:val="auto"/>
          <w:kern w:val="2"/>
          <w:sz w:val="24"/>
          <w:szCs w:val="24"/>
          <w:highlight w:val="none"/>
          <w:lang w:val="en-US" w:eastAsia="zh-CN" w:bidi="ar"/>
        </w:rPr>
      </w:pPr>
      <w:r>
        <w:rPr>
          <w:rFonts w:hint="eastAsia" w:ascii="宋体" w:hAnsi="宋体" w:eastAsia="宋体" w:cs="宋体"/>
          <w:b w:val="0"/>
          <w:bCs w:val="0"/>
          <w:color w:val="auto"/>
          <w:kern w:val="2"/>
          <w:sz w:val="24"/>
          <w:szCs w:val="24"/>
          <w:highlight w:val="none"/>
          <w:lang w:val="en-US" w:eastAsia="zh-CN" w:bidi="ar"/>
        </w:rPr>
        <w:t>7.7值班记录、报修服务记录、安全检查记录、设备定期检验、耐压试验和定期自行检查记录、设备运行记录、设备运行性故障和事故记录、设备维修保养记录、设备改造技术资料、应急预案演练记录、安全培训考核记录等内容；</w:t>
      </w:r>
    </w:p>
    <w:p w14:paraId="76C090F9">
      <w:pPr>
        <w:keepNext w:val="0"/>
        <w:keepLines w:val="0"/>
        <w:pageBreakBefore w:val="0"/>
        <w:kinsoku/>
        <w:wordWrap/>
        <w:overflowPunct/>
        <w:topLinePunct w:val="0"/>
        <w:autoSpaceDE/>
        <w:autoSpaceDN/>
        <w:bidi w:val="0"/>
        <w:spacing w:beforeAutospacing="0" w:afterAutospacing="0" w:line="460" w:lineRule="exact"/>
        <w:ind w:left="0" w:leftChars="0" w:firstLine="480" w:firstLineChars="200"/>
        <w:rPr>
          <w:rFonts w:hint="eastAsia" w:ascii="宋体" w:hAnsi="宋体" w:eastAsia="宋体" w:cs="宋体"/>
          <w:b w:val="0"/>
          <w:bCs w:val="0"/>
          <w:color w:val="auto"/>
          <w:kern w:val="2"/>
          <w:sz w:val="24"/>
          <w:szCs w:val="24"/>
          <w:highlight w:val="none"/>
          <w:lang w:val="en-US" w:eastAsia="zh-CN" w:bidi="ar"/>
        </w:rPr>
      </w:pPr>
      <w:r>
        <w:rPr>
          <w:rFonts w:hint="eastAsia" w:ascii="宋体" w:hAnsi="宋体" w:eastAsia="宋体" w:cs="宋体"/>
          <w:b w:val="0"/>
          <w:bCs w:val="0"/>
          <w:color w:val="auto"/>
          <w:kern w:val="2"/>
          <w:sz w:val="24"/>
          <w:szCs w:val="24"/>
          <w:highlight w:val="none"/>
          <w:lang w:val="en-US" w:eastAsia="zh-CN" w:bidi="ar"/>
        </w:rPr>
        <w:t>7.8建立健全的变配电系统新建、改造工程的验收、测试和试运行流程，并公布执行；</w:t>
      </w:r>
    </w:p>
    <w:p w14:paraId="68C99684">
      <w:pPr>
        <w:keepNext w:val="0"/>
        <w:keepLines w:val="0"/>
        <w:pageBreakBefore w:val="0"/>
        <w:kinsoku/>
        <w:wordWrap/>
        <w:overflowPunct/>
        <w:topLinePunct w:val="0"/>
        <w:autoSpaceDE/>
        <w:autoSpaceDN/>
        <w:bidi w:val="0"/>
        <w:spacing w:beforeAutospacing="0" w:afterAutospacing="0" w:line="460" w:lineRule="exact"/>
        <w:ind w:left="0" w:leftChars="0" w:firstLine="480" w:firstLineChars="200"/>
        <w:rPr>
          <w:rFonts w:hint="eastAsia" w:ascii="宋体" w:hAnsi="宋体" w:eastAsia="宋体" w:cs="宋体"/>
          <w:b w:val="0"/>
          <w:bCs w:val="0"/>
          <w:color w:val="auto"/>
          <w:kern w:val="2"/>
          <w:sz w:val="24"/>
          <w:szCs w:val="24"/>
          <w:highlight w:val="none"/>
          <w:lang w:val="en-US" w:eastAsia="zh-CN" w:bidi="ar"/>
        </w:rPr>
      </w:pPr>
      <w:r>
        <w:rPr>
          <w:rFonts w:hint="eastAsia" w:ascii="宋体" w:hAnsi="宋体" w:eastAsia="宋体" w:cs="宋体"/>
          <w:b w:val="0"/>
          <w:bCs w:val="0"/>
          <w:color w:val="auto"/>
          <w:kern w:val="2"/>
          <w:sz w:val="24"/>
          <w:szCs w:val="24"/>
          <w:highlight w:val="none"/>
          <w:lang w:val="en-US" w:eastAsia="zh-CN" w:bidi="ar"/>
        </w:rPr>
        <w:t>7.9电能质量指标是否符合规定要求；</w:t>
      </w:r>
    </w:p>
    <w:p w14:paraId="0CCDB219">
      <w:pPr>
        <w:keepNext w:val="0"/>
        <w:keepLines w:val="0"/>
        <w:pageBreakBefore w:val="0"/>
        <w:kinsoku/>
        <w:wordWrap/>
        <w:overflowPunct/>
        <w:topLinePunct w:val="0"/>
        <w:autoSpaceDE/>
        <w:autoSpaceDN/>
        <w:bidi w:val="0"/>
        <w:spacing w:beforeAutospacing="0" w:afterAutospacing="0" w:line="460" w:lineRule="exact"/>
        <w:ind w:left="0" w:leftChars="0" w:firstLine="480" w:firstLineChars="200"/>
        <w:rPr>
          <w:rFonts w:hint="eastAsia" w:ascii="宋体" w:hAnsi="宋体" w:eastAsia="宋体" w:cs="宋体"/>
          <w:b w:val="0"/>
          <w:bCs w:val="0"/>
          <w:color w:val="auto"/>
          <w:kern w:val="2"/>
          <w:sz w:val="24"/>
          <w:szCs w:val="24"/>
          <w:highlight w:val="none"/>
          <w:lang w:val="en-US" w:eastAsia="zh-CN" w:bidi="ar"/>
        </w:rPr>
      </w:pPr>
      <w:r>
        <w:rPr>
          <w:rFonts w:hint="eastAsia" w:ascii="宋体" w:hAnsi="宋体" w:eastAsia="宋体" w:cs="宋体"/>
          <w:b w:val="0"/>
          <w:bCs w:val="0"/>
          <w:color w:val="auto"/>
          <w:kern w:val="2"/>
          <w:sz w:val="24"/>
          <w:szCs w:val="24"/>
          <w:highlight w:val="none"/>
          <w:lang w:val="en-US" w:eastAsia="zh-CN" w:bidi="ar"/>
        </w:rPr>
        <w:t>7.10制定变配电系统维护保养计划并按照计划进行设备维护保养；</w:t>
      </w:r>
    </w:p>
    <w:p w14:paraId="52C0F13B">
      <w:pPr>
        <w:keepNext w:val="0"/>
        <w:keepLines w:val="0"/>
        <w:pageBreakBefore w:val="0"/>
        <w:kinsoku/>
        <w:wordWrap/>
        <w:overflowPunct/>
        <w:topLinePunct w:val="0"/>
        <w:autoSpaceDE/>
        <w:autoSpaceDN/>
        <w:bidi w:val="0"/>
        <w:spacing w:beforeAutospacing="0" w:afterAutospacing="0" w:line="460" w:lineRule="exact"/>
        <w:ind w:left="0" w:leftChars="0" w:firstLine="480" w:firstLineChars="200"/>
        <w:rPr>
          <w:rFonts w:hint="eastAsia" w:ascii="宋体" w:hAnsi="宋体" w:eastAsia="宋体" w:cs="宋体"/>
          <w:b w:val="0"/>
          <w:bCs w:val="0"/>
          <w:color w:val="auto"/>
          <w:kern w:val="2"/>
          <w:sz w:val="24"/>
          <w:szCs w:val="24"/>
          <w:highlight w:val="none"/>
          <w:lang w:val="en-US" w:eastAsia="zh-CN" w:bidi="ar"/>
        </w:rPr>
      </w:pPr>
      <w:r>
        <w:rPr>
          <w:rFonts w:hint="eastAsia" w:ascii="宋体" w:hAnsi="宋体" w:eastAsia="宋体" w:cs="宋体"/>
          <w:b w:val="0"/>
          <w:bCs w:val="0"/>
          <w:color w:val="auto"/>
          <w:kern w:val="2"/>
          <w:sz w:val="24"/>
          <w:szCs w:val="24"/>
          <w:highlight w:val="none"/>
          <w:lang w:val="en-US" w:eastAsia="zh-CN" w:bidi="ar"/>
        </w:rPr>
        <w:t>7.11变配电系统设备按照规定进行年检预防性试验，并根据试验报告进行电力设备的缺陷处理；</w:t>
      </w:r>
    </w:p>
    <w:p w14:paraId="12C5620A">
      <w:pPr>
        <w:keepNext w:val="0"/>
        <w:keepLines w:val="0"/>
        <w:pageBreakBefore w:val="0"/>
        <w:kinsoku/>
        <w:wordWrap/>
        <w:overflowPunct/>
        <w:topLinePunct w:val="0"/>
        <w:autoSpaceDE/>
        <w:autoSpaceDN/>
        <w:bidi w:val="0"/>
        <w:spacing w:beforeAutospacing="0" w:afterAutospacing="0" w:line="460" w:lineRule="exact"/>
        <w:ind w:left="0" w:leftChars="0" w:firstLine="480" w:firstLineChars="200"/>
        <w:rPr>
          <w:rFonts w:hint="eastAsia" w:ascii="宋体" w:hAnsi="宋体" w:eastAsia="宋体" w:cs="宋体"/>
          <w:b w:val="0"/>
          <w:bCs w:val="0"/>
          <w:color w:val="auto"/>
          <w:kern w:val="2"/>
          <w:sz w:val="24"/>
          <w:szCs w:val="24"/>
          <w:highlight w:val="none"/>
          <w:lang w:val="en-US" w:eastAsia="zh-CN" w:bidi="ar"/>
        </w:rPr>
      </w:pPr>
      <w:r>
        <w:rPr>
          <w:rFonts w:hint="eastAsia" w:ascii="宋体" w:hAnsi="宋体" w:eastAsia="宋体" w:cs="宋体"/>
          <w:b w:val="0"/>
          <w:bCs w:val="0"/>
          <w:color w:val="auto"/>
          <w:kern w:val="2"/>
          <w:sz w:val="24"/>
          <w:szCs w:val="24"/>
          <w:highlight w:val="none"/>
          <w:lang w:val="en-US" w:eastAsia="zh-CN" w:bidi="ar"/>
        </w:rPr>
        <w:t>7.12变配电系统中任何仪器、仪表及安全工具、器具按照相应的标准进行定期检测并记录结果，检验标签；</w:t>
      </w:r>
    </w:p>
    <w:p w14:paraId="3998E7AB">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b w:val="0"/>
          <w:bCs w:val="0"/>
          <w:color w:val="auto"/>
          <w:kern w:val="2"/>
          <w:sz w:val="24"/>
          <w:szCs w:val="24"/>
          <w:highlight w:val="none"/>
          <w:lang w:val="en-US" w:eastAsia="zh-CN" w:bidi="ar"/>
        </w:rPr>
      </w:pPr>
      <w:r>
        <w:rPr>
          <w:rFonts w:hint="eastAsia" w:ascii="宋体" w:hAnsi="宋体" w:eastAsia="宋体" w:cs="宋体"/>
          <w:b w:val="0"/>
          <w:bCs w:val="0"/>
          <w:color w:val="auto"/>
          <w:kern w:val="2"/>
          <w:sz w:val="24"/>
          <w:szCs w:val="24"/>
          <w:highlight w:val="none"/>
          <w:lang w:val="en-US" w:eastAsia="zh-CN" w:bidi="ar"/>
        </w:rPr>
        <w:t>7.13所有计划性停电都在事前以书面形式通知停电科室，并要求其科室负责人签字确认。</w:t>
      </w:r>
    </w:p>
    <w:p w14:paraId="62552CEE">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2" w:firstLineChars="200"/>
        <w:textAlignment w:val="auto"/>
        <w:rPr>
          <w:rFonts w:hint="eastAsia" w:ascii="宋体" w:hAnsi="宋体" w:cs="宋体"/>
          <w:b/>
          <w:bCs w:val="0"/>
          <w:color w:val="auto"/>
          <w:kern w:val="1"/>
          <w:sz w:val="24"/>
          <w:szCs w:val="24"/>
          <w:highlight w:val="none"/>
          <w:lang w:val="en-US" w:eastAsia="zh-CN" w:bidi="ar-SA"/>
        </w:rPr>
      </w:pPr>
      <w:r>
        <w:rPr>
          <w:rFonts w:hint="eastAsia" w:ascii="宋体" w:hAnsi="宋体" w:cs="宋体"/>
          <w:b/>
          <w:bCs w:val="0"/>
          <w:color w:val="auto"/>
          <w:kern w:val="1"/>
          <w:sz w:val="24"/>
          <w:szCs w:val="24"/>
          <w:highlight w:val="none"/>
          <w:lang w:val="en-US" w:eastAsia="zh-CN" w:bidi="ar-SA"/>
        </w:rPr>
        <w:t>九、巡视内容及要求</w:t>
      </w:r>
    </w:p>
    <w:p w14:paraId="41D76463">
      <w:pPr>
        <w:keepNext w:val="0"/>
        <w:keepLines w:val="0"/>
        <w:pageBreakBefore w:val="0"/>
        <w:widowControl w:val="0"/>
        <w:tabs>
          <w:tab w:val="left" w:pos="900"/>
        </w:tabs>
        <w:kinsoku/>
        <w:wordWrap/>
        <w:overflowPunct/>
        <w:topLinePunct w:val="0"/>
        <w:autoSpaceDE/>
        <w:autoSpaceDN/>
        <w:bidi w:val="0"/>
        <w:spacing w:beforeAutospacing="0" w:afterAutospacing="0" w:line="460" w:lineRule="exact"/>
        <w:ind w:left="0" w:leftChars="0" w:firstLine="482" w:firstLineChars="200"/>
        <w:textAlignment w:val="auto"/>
        <w:rPr>
          <w:rFonts w:hint="eastAsia" w:ascii="宋体" w:hAnsi="宋体" w:eastAsia="宋体" w:cs="宋体"/>
          <w:b/>
          <w:bCs/>
          <w:color w:val="auto"/>
          <w:sz w:val="24"/>
          <w:szCs w:val="24"/>
          <w:highlight w:val="none"/>
          <w:lang w:val="en-US" w:eastAsia="zh-CN"/>
        </w:rPr>
      </w:pPr>
      <w:r>
        <w:rPr>
          <w:rFonts w:hint="eastAsia" w:ascii="宋体" w:hAnsi="宋体" w:cs="宋体"/>
          <w:b/>
          <w:bCs/>
          <w:color w:val="auto"/>
          <w:sz w:val="24"/>
          <w:szCs w:val="24"/>
          <w:highlight w:val="none"/>
          <w:lang w:val="en-US" w:eastAsia="zh-CN"/>
        </w:rPr>
        <w:t>1、</w:t>
      </w:r>
      <w:r>
        <w:rPr>
          <w:rFonts w:hint="eastAsia" w:ascii="宋体" w:hAnsi="宋体" w:eastAsia="宋体" w:cs="宋体"/>
          <w:b/>
          <w:bCs/>
          <w:color w:val="auto"/>
          <w:sz w:val="24"/>
          <w:szCs w:val="24"/>
          <w:highlight w:val="none"/>
          <w:lang w:val="en-US" w:eastAsia="zh-CN"/>
        </w:rPr>
        <w:t>配电房</w:t>
      </w:r>
    </w:p>
    <w:p w14:paraId="746B4783">
      <w:pPr>
        <w:keepNext w:val="0"/>
        <w:keepLines w:val="0"/>
        <w:pageBreakBefore w:val="0"/>
        <w:widowControl w:val="0"/>
        <w:tabs>
          <w:tab w:val="left" w:pos="900"/>
        </w:tabs>
        <w:kinsoku/>
        <w:wordWrap/>
        <w:overflowPunct/>
        <w:topLinePunct w:val="0"/>
        <w:autoSpaceDE/>
        <w:autoSpaceDN/>
        <w:bidi w:val="0"/>
        <w:spacing w:beforeAutospacing="0" w:afterAutospacing="0" w:line="460" w:lineRule="exact"/>
        <w:ind w:left="0" w:leftChars="0" w:firstLine="480" w:firstLineChars="200"/>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cs="宋体"/>
          <w:b w:val="0"/>
          <w:bCs w:val="0"/>
          <w:color w:val="auto"/>
          <w:sz w:val="24"/>
          <w:szCs w:val="24"/>
          <w:highlight w:val="none"/>
          <w:lang w:val="en-US" w:eastAsia="zh-CN"/>
        </w:rPr>
        <w:t>1.1</w:t>
      </w:r>
      <w:r>
        <w:rPr>
          <w:rFonts w:hint="eastAsia" w:ascii="宋体" w:hAnsi="宋体" w:eastAsia="宋体" w:cs="宋体"/>
          <w:b w:val="0"/>
          <w:bCs w:val="0"/>
          <w:color w:val="auto"/>
          <w:sz w:val="24"/>
          <w:szCs w:val="24"/>
          <w:highlight w:val="none"/>
          <w:lang w:val="en-US" w:eastAsia="zh-CN"/>
        </w:rPr>
        <w:t>巡视时间：电缆接头、高压分支箱每周巡视检查一次；高、低压电缆井的接头每周巡视检查一次；高、低压电缆线路每天巡视检查一次；变电站进线电缆每月巡视检查一次。</w:t>
      </w:r>
    </w:p>
    <w:p w14:paraId="1A9348C9">
      <w:pPr>
        <w:keepNext w:val="0"/>
        <w:keepLines w:val="0"/>
        <w:pageBreakBefore w:val="0"/>
        <w:widowControl w:val="0"/>
        <w:tabs>
          <w:tab w:val="left" w:pos="900"/>
        </w:tabs>
        <w:kinsoku/>
        <w:wordWrap/>
        <w:overflowPunct/>
        <w:topLinePunct w:val="0"/>
        <w:autoSpaceDE/>
        <w:autoSpaceDN/>
        <w:bidi w:val="0"/>
        <w:spacing w:beforeAutospacing="0" w:afterAutospacing="0" w:line="460" w:lineRule="exact"/>
        <w:ind w:left="0" w:leftChars="0" w:firstLine="482" w:firstLineChars="200"/>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cs="宋体"/>
          <w:b/>
          <w:bCs/>
          <w:color w:val="auto"/>
          <w:sz w:val="24"/>
          <w:szCs w:val="24"/>
          <w:highlight w:val="none"/>
          <w:lang w:val="en-US" w:eastAsia="zh-CN"/>
        </w:rPr>
        <w:t>1.2</w:t>
      </w:r>
      <w:r>
        <w:rPr>
          <w:rFonts w:hint="eastAsia" w:ascii="宋体" w:hAnsi="宋体" w:eastAsia="宋体" w:cs="宋体"/>
          <w:b/>
          <w:bCs/>
          <w:color w:val="auto"/>
          <w:sz w:val="24"/>
          <w:szCs w:val="24"/>
          <w:highlight w:val="none"/>
          <w:lang w:val="en-US" w:eastAsia="zh-CN"/>
        </w:rPr>
        <w:t>巡视内容及要求</w:t>
      </w:r>
      <w:r>
        <w:rPr>
          <w:rFonts w:hint="eastAsia" w:ascii="宋体" w:hAnsi="宋体" w:cs="宋体"/>
          <w:b/>
          <w:bCs/>
          <w:color w:val="auto"/>
          <w:sz w:val="24"/>
          <w:szCs w:val="24"/>
          <w:highlight w:val="none"/>
          <w:lang w:val="en-US" w:eastAsia="zh-CN"/>
        </w:rPr>
        <w:t>：</w:t>
      </w:r>
      <w:r>
        <w:rPr>
          <w:rFonts w:hint="eastAsia" w:ascii="宋体" w:hAnsi="宋体" w:eastAsia="宋体" w:cs="宋体"/>
          <w:b w:val="0"/>
          <w:bCs w:val="0"/>
          <w:color w:val="auto"/>
          <w:sz w:val="24"/>
          <w:szCs w:val="24"/>
          <w:highlight w:val="none"/>
          <w:lang w:val="en-US" w:eastAsia="zh-CN"/>
        </w:rPr>
        <w:t>对高、低压电缆电路，应查看桥架是否扣整严实，防鼠封堵是否牢固，高低压电缆桥架应完好无破损，发现异常应及时处理并作好记录</w:t>
      </w:r>
      <w:r>
        <w:rPr>
          <w:rFonts w:hint="eastAsia" w:ascii="宋体" w:hAnsi="宋体" w:cs="宋体"/>
          <w:b w:val="0"/>
          <w:bCs w:val="0"/>
          <w:color w:val="auto"/>
          <w:sz w:val="24"/>
          <w:szCs w:val="24"/>
          <w:highlight w:val="none"/>
          <w:lang w:val="en-US" w:eastAsia="zh-CN"/>
        </w:rPr>
        <w:t>。</w:t>
      </w:r>
      <w:r>
        <w:rPr>
          <w:rFonts w:hint="eastAsia" w:ascii="宋体" w:hAnsi="宋体" w:eastAsia="宋体" w:cs="宋体"/>
          <w:b w:val="0"/>
          <w:bCs w:val="0"/>
          <w:color w:val="auto"/>
          <w:sz w:val="24"/>
          <w:szCs w:val="24"/>
          <w:highlight w:val="none"/>
          <w:lang w:val="en-US" w:eastAsia="zh-CN"/>
        </w:rPr>
        <w:t>地下室配电房进线桥架电缆有无渗水现象。查看电缆井沟内有无积水和污物，如有应及时排干积水清除污物。井沟内的电缆、电缆头应完整清洁，接地线良好，无发热破裂现象。外路电缆的外皮是否完整，支撑是否牢固。各班组、巡查人员应熟悉变电站所属电缆线路分布情况。</w:t>
      </w:r>
    </w:p>
    <w:p w14:paraId="38D25071">
      <w:pPr>
        <w:keepNext w:val="0"/>
        <w:keepLines w:val="0"/>
        <w:pageBreakBefore w:val="0"/>
        <w:widowControl w:val="0"/>
        <w:tabs>
          <w:tab w:val="left" w:pos="900"/>
        </w:tabs>
        <w:kinsoku/>
        <w:wordWrap/>
        <w:overflowPunct/>
        <w:topLinePunct w:val="0"/>
        <w:autoSpaceDE/>
        <w:autoSpaceDN/>
        <w:bidi w:val="0"/>
        <w:spacing w:beforeAutospacing="0" w:afterAutospacing="0" w:line="460" w:lineRule="exact"/>
        <w:ind w:left="0" w:leftChars="0" w:firstLine="482" w:firstLineChars="200"/>
        <w:textAlignment w:val="auto"/>
        <w:rPr>
          <w:rFonts w:hint="eastAsia" w:ascii="宋体" w:hAnsi="宋体" w:eastAsia="宋体" w:cs="宋体"/>
          <w:b/>
          <w:bCs/>
          <w:color w:val="auto"/>
          <w:sz w:val="24"/>
          <w:szCs w:val="24"/>
          <w:highlight w:val="none"/>
          <w:lang w:val="en-US" w:eastAsia="zh-CN"/>
        </w:rPr>
      </w:pPr>
      <w:r>
        <w:rPr>
          <w:rFonts w:hint="eastAsia" w:ascii="宋体" w:hAnsi="宋体" w:cs="宋体"/>
          <w:b/>
          <w:bCs/>
          <w:color w:val="auto"/>
          <w:sz w:val="24"/>
          <w:szCs w:val="24"/>
          <w:highlight w:val="none"/>
          <w:lang w:val="en-US" w:eastAsia="zh-CN"/>
        </w:rPr>
        <w:t>2、</w:t>
      </w:r>
      <w:r>
        <w:rPr>
          <w:rFonts w:hint="eastAsia" w:ascii="宋体" w:hAnsi="宋体" w:eastAsia="宋体" w:cs="宋体"/>
          <w:b/>
          <w:bCs/>
          <w:color w:val="auto"/>
          <w:sz w:val="24"/>
          <w:szCs w:val="24"/>
          <w:highlight w:val="none"/>
          <w:lang w:val="en-US" w:eastAsia="zh-CN"/>
        </w:rPr>
        <w:t>配电房环境</w:t>
      </w:r>
    </w:p>
    <w:p w14:paraId="5E8A8DCC">
      <w:pPr>
        <w:keepNext w:val="0"/>
        <w:keepLines w:val="0"/>
        <w:pageBreakBefore w:val="0"/>
        <w:widowControl w:val="0"/>
        <w:tabs>
          <w:tab w:val="left" w:pos="900"/>
        </w:tabs>
        <w:kinsoku/>
        <w:wordWrap/>
        <w:overflowPunct/>
        <w:topLinePunct w:val="0"/>
        <w:autoSpaceDE/>
        <w:autoSpaceDN/>
        <w:bidi w:val="0"/>
        <w:spacing w:beforeAutospacing="0" w:afterAutospacing="0" w:line="460" w:lineRule="exact"/>
        <w:ind w:left="0" w:leftChars="0" w:firstLine="482" w:firstLineChars="200"/>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cs="宋体"/>
          <w:b/>
          <w:bCs/>
          <w:color w:val="auto"/>
          <w:sz w:val="24"/>
          <w:szCs w:val="24"/>
          <w:highlight w:val="none"/>
          <w:lang w:val="en-US" w:eastAsia="zh-CN"/>
        </w:rPr>
        <w:t>2.1</w:t>
      </w:r>
      <w:r>
        <w:rPr>
          <w:rFonts w:hint="eastAsia" w:ascii="宋体" w:hAnsi="宋体" w:eastAsia="宋体" w:cs="宋体"/>
          <w:b/>
          <w:bCs/>
          <w:color w:val="auto"/>
          <w:sz w:val="24"/>
          <w:szCs w:val="24"/>
          <w:highlight w:val="none"/>
          <w:lang w:val="en-US" w:eastAsia="zh-CN"/>
        </w:rPr>
        <w:t>巡视时间</w:t>
      </w:r>
      <w:r>
        <w:rPr>
          <w:rFonts w:hint="eastAsia" w:ascii="宋体" w:hAnsi="宋体" w:cs="宋体"/>
          <w:b/>
          <w:bCs/>
          <w:color w:val="auto"/>
          <w:sz w:val="24"/>
          <w:szCs w:val="24"/>
          <w:highlight w:val="none"/>
          <w:lang w:val="en-US" w:eastAsia="zh-CN"/>
        </w:rPr>
        <w:t>：</w:t>
      </w:r>
      <w:r>
        <w:rPr>
          <w:rFonts w:hint="eastAsia" w:ascii="宋体" w:hAnsi="宋体" w:eastAsia="宋体" w:cs="宋体"/>
          <w:b w:val="0"/>
          <w:bCs w:val="0"/>
          <w:color w:val="auto"/>
          <w:sz w:val="24"/>
          <w:szCs w:val="24"/>
          <w:highlight w:val="none"/>
          <w:lang w:val="en-US" w:eastAsia="zh-CN"/>
        </w:rPr>
        <w:t>每班巡视一次</w:t>
      </w:r>
    </w:p>
    <w:p w14:paraId="715C752F">
      <w:pPr>
        <w:keepNext w:val="0"/>
        <w:keepLines w:val="0"/>
        <w:pageBreakBefore w:val="0"/>
        <w:widowControl w:val="0"/>
        <w:tabs>
          <w:tab w:val="left" w:pos="900"/>
        </w:tabs>
        <w:kinsoku/>
        <w:wordWrap/>
        <w:overflowPunct/>
        <w:topLinePunct w:val="0"/>
        <w:autoSpaceDE/>
        <w:autoSpaceDN/>
        <w:bidi w:val="0"/>
        <w:spacing w:beforeAutospacing="0" w:afterAutospacing="0" w:line="460" w:lineRule="exact"/>
        <w:ind w:left="0" w:leftChars="0" w:firstLine="482" w:firstLineChars="200"/>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cs="宋体"/>
          <w:b/>
          <w:bCs/>
          <w:color w:val="auto"/>
          <w:sz w:val="24"/>
          <w:szCs w:val="24"/>
          <w:highlight w:val="none"/>
          <w:lang w:val="en-US" w:eastAsia="zh-CN"/>
        </w:rPr>
        <w:t>2.1</w:t>
      </w:r>
      <w:r>
        <w:rPr>
          <w:rFonts w:hint="eastAsia" w:ascii="宋体" w:hAnsi="宋体" w:eastAsia="宋体" w:cs="宋体"/>
          <w:b/>
          <w:bCs/>
          <w:color w:val="auto"/>
          <w:sz w:val="24"/>
          <w:szCs w:val="24"/>
          <w:highlight w:val="none"/>
          <w:lang w:val="en-US" w:eastAsia="zh-CN"/>
        </w:rPr>
        <w:t>巡视内容及要求</w:t>
      </w:r>
      <w:r>
        <w:rPr>
          <w:rFonts w:hint="eastAsia" w:ascii="宋体" w:hAnsi="宋体" w:cs="宋体"/>
          <w:b/>
          <w:bCs/>
          <w:color w:val="auto"/>
          <w:sz w:val="24"/>
          <w:szCs w:val="24"/>
          <w:highlight w:val="none"/>
          <w:lang w:val="en-US" w:eastAsia="zh-CN"/>
        </w:rPr>
        <w:t>：</w:t>
      </w:r>
      <w:r>
        <w:rPr>
          <w:rFonts w:hint="eastAsia" w:ascii="宋体" w:hAnsi="宋体" w:eastAsia="宋体" w:cs="宋体"/>
          <w:b w:val="0"/>
          <w:bCs w:val="0"/>
          <w:color w:val="auto"/>
          <w:sz w:val="24"/>
          <w:szCs w:val="24"/>
          <w:highlight w:val="none"/>
          <w:lang w:val="en-US" w:eastAsia="zh-CN"/>
        </w:rPr>
        <w:t>配电房门上就有相应的配电房标识，门锁完好。配电室内严禁堆放杂物，做到室内设备无积灰、油泥、地面无积尘、无积水，环境清洁整齐。配电房内照明足够良好、通风设备良好消防设施齐全有效</w:t>
      </w:r>
      <w:r>
        <w:rPr>
          <w:rFonts w:hint="eastAsia" w:ascii="宋体" w:hAnsi="宋体" w:cs="宋体"/>
          <w:b w:val="0"/>
          <w:bCs w:val="0"/>
          <w:color w:val="auto"/>
          <w:sz w:val="24"/>
          <w:szCs w:val="24"/>
          <w:highlight w:val="none"/>
          <w:lang w:val="en-US" w:eastAsia="zh-CN"/>
        </w:rPr>
        <w:t>；</w:t>
      </w:r>
      <w:r>
        <w:rPr>
          <w:rFonts w:hint="eastAsia" w:ascii="宋体" w:hAnsi="宋体" w:eastAsia="宋体" w:cs="宋体"/>
          <w:b w:val="0"/>
          <w:bCs w:val="0"/>
          <w:color w:val="auto"/>
          <w:sz w:val="24"/>
          <w:szCs w:val="24"/>
          <w:highlight w:val="none"/>
          <w:lang w:val="en-US" w:eastAsia="zh-CN"/>
        </w:rPr>
        <w:t>配电室室内环境温度不应超过40摄式度，相对湿度应小于80%</w:t>
      </w:r>
      <w:r>
        <w:rPr>
          <w:rFonts w:hint="eastAsia" w:ascii="宋体" w:hAnsi="宋体" w:cs="宋体"/>
          <w:b w:val="0"/>
          <w:bCs w:val="0"/>
          <w:color w:val="auto"/>
          <w:sz w:val="24"/>
          <w:szCs w:val="24"/>
          <w:highlight w:val="none"/>
          <w:lang w:val="en-US" w:eastAsia="zh-CN"/>
        </w:rPr>
        <w:t>。</w:t>
      </w:r>
      <w:r>
        <w:rPr>
          <w:rFonts w:hint="eastAsia" w:ascii="宋体" w:hAnsi="宋体" w:eastAsia="宋体" w:cs="宋体"/>
          <w:b w:val="0"/>
          <w:bCs w:val="0"/>
          <w:color w:val="auto"/>
          <w:sz w:val="24"/>
          <w:szCs w:val="24"/>
          <w:highlight w:val="none"/>
          <w:lang w:val="en-US" w:eastAsia="zh-CN"/>
        </w:rPr>
        <w:t>配电房内排水通畅，屋面、地下无渗水漏水现象。防虫、防鼠设施完善。专用工具安全用品应放置在操作方便的指定位置。</w:t>
      </w:r>
    </w:p>
    <w:p w14:paraId="36F34789">
      <w:pPr>
        <w:keepNext w:val="0"/>
        <w:keepLines w:val="0"/>
        <w:pageBreakBefore w:val="0"/>
        <w:widowControl w:val="0"/>
        <w:tabs>
          <w:tab w:val="left" w:pos="900"/>
        </w:tabs>
        <w:kinsoku/>
        <w:wordWrap/>
        <w:overflowPunct/>
        <w:topLinePunct w:val="0"/>
        <w:autoSpaceDE/>
        <w:autoSpaceDN/>
        <w:bidi w:val="0"/>
        <w:spacing w:beforeAutospacing="0" w:afterAutospacing="0" w:line="460" w:lineRule="exact"/>
        <w:ind w:left="0" w:leftChars="0" w:firstLine="482" w:firstLineChars="200"/>
        <w:textAlignment w:val="auto"/>
        <w:rPr>
          <w:rFonts w:hint="eastAsia" w:ascii="宋体" w:hAnsi="宋体" w:eastAsia="宋体" w:cs="宋体"/>
          <w:b/>
          <w:bCs/>
          <w:color w:val="auto"/>
          <w:sz w:val="24"/>
          <w:szCs w:val="24"/>
          <w:highlight w:val="none"/>
          <w:lang w:val="en-US" w:eastAsia="zh-CN"/>
        </w:rPr>
      </w:pPr>
      <w:r>
        <w:rPr>
          <w:rFonts w:hint="eastAsia" w:ascii="宋体" w:hAnsi="宋体" w:cs="宋体"/>
          <w:b/>
          <w:bCs/>
          <w:color w:val="auto"/>
          <w:sz w:val="24"/>
          <w:szCs w:val="24"/>
          <w:highlight w:val="none"/>
          <w:lang w:val="en-US" w:eastAsia="zh-CN"/>
        </w:rPr>
        <w:t>3、</w:t>
      </w:r>
      <w:r>
        <w:rPr>
          <w:rFonts w:hint="eastAsia" w:ascii="宋体" w:hAnsi="宋体" w:eastAsia="宋体" w:cs="宋体"/>
          <w:b/>
          <w:bCs/>
          <w:color w:val="auto"/>
          <w:sz w:val="24"/>
          <w:szCs w:val="24"/>
          <w:highlight w:val="none"/>
          <w:lang w:val="en-US" w:eastAsia="zh-CN"/>
        </w:rPr>
        <w:t>高压柜巡检</w:t>
      </w:r>
    </w:p>
    <w:p w14:paraId="0D54BADE">
      <w:pPr>
        <w:keepNext w:val="0"/>
        <w:keepLines w:val="0"/>
        <w:pageBreakBefore w:val="0"/>
        <w:widowControl w:val="0"/>
        <w:tabs>
          <w:tab w:val="left" w:pos="900"/>
        </w:tabs>
        <w:kinsoku/>
        <w:wordWrap/>
        <w:overflowPunct/>
        <w:topLinePunct w:val="0"/>
        <w:autoSpaceDE/>
        <w:autoSpaceDN/>
        <w:bidi w:val="0"/>
        <w:spacing w:beforeAutospacing="0" w:afterAutospacing="0" w:line="460" w:lineRule="exact"/>
        <w:ind w:left="0" w:leftChars="0" w:firstLine="482" w:firstLineChars="200"/>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cs="宋体"/>
          <w:b/>
          <w:bCs/>
          <w:color w:val="auto"/>
          <w:sz w:val="24"/>
          <w:szCs w:val="24"/>
          <w:highlight w:val="none"/>
          <w:lang w:val="en-US" w:eastAsia="zh-CN"/>
        </w:rPr>
        <w:t>3.1</w:t>
      </w:r>
      <w:r>
        <w:rPr>
          <w:rFonts w:hint="eastAsia" w:ascii="宋体" w:hAnsi="宋体" w:eastAsia="宋体" w:cs="宋体"/>
          <w:b/>
          <w:bCs/>
          <w:color w:val="auto"/>
          <w:sz w:val="24"/>
          <w:szCs w:val="24"/>
          <w:highlight w:val="none"/>
          <w:lang w:val="en-US" w:eastAsia="zh-CN"/>
        </w:rPr>
        <w:t>巡视时间</w:t>
      </w:r>
      <w:r>
        <w:rPr>
          <w:rFonts w:hint="eastAsia" w:ascii="宋体" w:hAnsi="宋体" w:cs="宋体"/>
          <w:b/>
          <w:bCs/>
          <w:color w:val="auto"/>
          <w:sz w:val="24"/>
          <w:szCs w:val="24"/>
          <w:highlight w:val="none"/>
          <w:lang w:val="en-US" w:eastAsia="zh-CN"/>
        </w:rPr>
        <w:t>：</w:t>
      </w:r>
      <w:r>
        <w:rPr>
          <w:rFonts w:hint="eastAsia" w:ascii="宋体" w:hAnsi="宋体" w:eastAsia="宋体" w:cs="宋体"/>
          <w:b w:val="0"/>
          <w:bCs w:val="0"/>
          <w:color w:val="auto"/>
          <w:sz w:val="24"/>
          <w:szCs w:val="24"/>
          <w:highlight w:val="none"/>
          <w:lang w:val="en-US" w:eastAsia="zh-CN"/>
        </w:rPr>
        <w:t>每班巡视一次</w:t>
      </w:r>
    </w:p>
    <w:p w14:paraId="05626121">
      <w:pPr>
        <w:keepNext w:val="0"/>
        <w:keepLines w:val="0"/>
        <w:pageBreakBefore w:val="0"/>
        <w:widowControl w:val="0"/>
        <w:tabs>
          <w:tab w:val="left" w:pos="900"/>
        </w:tabs>
        <w:kinsoku/>
        <w:wordWrap/>
        <w:overflowPunct/>
        <w:topLinePunct w:val="0"/>
        <w:autoSpaceDE/>
        <w:autoSpaceDN/>
        <w:bidi w:val="0"/>
        <w:spacing w:beforeAutospacing="0" w:afterAutospacing="0" w:line="460" w:lineRule="exact"/>
        <w:ind w:left="0" w:leftChars="0" w:firstLine="482" w:firstLineChars="200"/>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cs="宋体"/>
          <w:b/>
          <w:bCs/>
          <w:color w:val="auto"/>
          <w:sz w:val="24"/>
          <w:szCs w:val="24"/>
          <w:highlight w:val="none"/>
          <w:lang w:val="en-US" w:eastAsia="zh-CN"/>
        </w:rPr>
        <w:t>3.2</w:t>
      </w:r>
      <w:r>
        <w:rPr>
          <w:rFonts w:hint="eastAsia" w:ascii="宋体" w:hAnsi="宋体" w:eastAsia="宋体" w:cs="宋体"/>
          <w:b/>
          <w:bCs/>
          <w:color w:val="auto"/>
          <w:sz w:val="24"/>
          <w:szCs w:val="24"/>
          <w:highlight w:val="none"/>
          <w:lang w:val="en-US" w:eastAsia="zh-CN"/>
        </w:rPr>
        <w:t>巡视内容及要求</w:t>
      </w:r>
      <w:r>
        <w:rPr>
          <w:rFonts w:hint="eastAsia" w:ascii="宋体" w:hAnsi="宋体" w:cs="宋体"/>
          <w:b/>
          <w:bCs/>
          <w:color w:val="auto"/>
          <w:sz w:val="24"/>
          <w:szCs w:val="24"/>
          <w:highlight w:val="none"/>
          <w:lang w:val="en-US" w:eastAsia="zh-CN"/>
        </w:rPr>
        <w:t>：</w:t>
      </w:r>
      <w:r>
        <w:rPr>
          <w:rFonts w:hint="eastAsia" w:ascii="宋体" w:hAnsi="宋体" w:eastAsia="宋体" w:cs="宋体"/>
          <w:b w:val="0"/>
          <w:bCs w:val="0"/>
          <w:color w:val="auto"/>
          <w:sz w:val="24"/>
          <w:szCs w:val="24"/>
          <w:highlight w:val="none"/>
          <w:lang w:val="en-US" w:eastAsia="zh-CN"/>
        </w:rPr>
        <w:t>开关柜屏上指示灯、带电显示器指示应正常，操作方式选择开关、机械操作把手投切位置应正确，控制电源及电压回路电源分合闸指示正确；分、合闸位置指示器与实际运行方式相符；屏面表计、继电器工作应正常，无异声、异味及过热现象，操作方式切换开关正常在“远控”位置；柜内照明正常，通过观察窗观察柜内设备应正常；绝缘子应完好,无破损；柜内应无放电声、异味和不均匀的机械噪声,柜体温升正常；柜体、母线槽应无过热、变形、下沉，各封闭板螺丝应齐全，无松动、锈蚀，接地应牢固；真空断路器灭弧室应无漏气,灭弧室内屏蔽罩如为玻璃材料的表面应呈金黄色光泽,无氧化发黑迹象；SF6断路器气体压力应正常；瓷质部分及绝缘隔板应完好，无闪络放电痕迹, 接头及断路器无发热，对于无法直接进行测温的封闭式开关柜，巡视时可用手触摸各开关柜的柜体，以确认开关柜是否发热；断路器操作结构应完好,直流接触器有无积尘,二次端子有无锈蚀</w:t>
      </w:r>
      <w:r>
        <w:rPr>
          <w:rFonts w:hint="eastAsia" w:ascii="宋体" w:hAnsi="宋体" w:cs="宋体"/>
          <w:b w:val="0"/>
          <w:bCs w:val="0"/>
          <w:color w:val="auto"/>
          <w:sz w:val="24"/>
          <w:szCs w:val="24"/>
          <w:highlight w:val="none"/>
          <w:lang w:val="en-US" w:eastAsia="zh-CN"/>
        </w:rPr>
        <w:t>；</w:t>
      </w:r>
      <w:r>
        <w:rPr>
          <w:rFonts w:hint="eastAsia" w:ascii="宋体" w:hAnsi="宋体" w:eastAsia="宋体" w:cs="宋体"/>
          <w:b w:val="0"/>
          <w:bCs w:val="0"/>
          <w:color w:val="auto"/>
          <w:sz w:val="24"/>
          <w:szCs w:val="24"/>
          <w:highlight w:val="none"/>
          <w:lang w:val="en-US" w:eastAsia="zh-CN"/>
        </w:rPr>
        <w:t>接地牢固可靠,封闭性能及防小动物设施应完好。</w:t>
      </w:r>
    </w:p>
    <w:p w14:paraId="34D01BC4">
      <w:pPr>
        <w:keepNext w:val="0"/>
        <w:keepLines w:val="0"/>
        <w:pageBreakBefore w:val="0"/>
        <w:widowControl w:val="0"/>
        <w:tabs>
          <w:tab w:val="left" w:pos="900"/>
        </w:tabs>
        <w:kinsoku/>
        <w:wordWrap/>
        <w:overflowPunct/>
        <w:topLinePunct w:val="0"/>
        <w:autoSpaceDE/>
        <w:autoSpaceDN/>
        <w:bidi w:val="0"/>
        <w:spacing w:beforeAutospacing="0" w:afterAutospacing="0" w:line="460" w:lineRule="exact"/>
        <w:ind w:left="0" w:leftChars="0" w:firstLine="482" w:firstLineChars="200"/>
        <w:textAlignment w:val="auto"/>
        <w:rPr>
          <w:rFonts w:hint="eastAsia" w:ascii="宋体" w:hAnsi="宋体" w:eastAsia="宋体" w:cs="宋体"/>
          <w:b/>
          <w:bCs/>
          <w:color w:val="auto"/>
          <w:sz w:val="24"/>
          <w:szCs w:val="24"/>
          <w:highlight w:val="none"/>
          <w:lang w:val="en-US" w:eastAsia="zh-CN"/>
        </w:rPr>
      </w:pPr>
      <w:r>
        <w:rPr>
          <w:rFonts w:hint="eastAsia" w:ascii="宋体" w:hAnsi="宋体" w:cs="宋体"/>
          <w:b/>
          <w:bCs/>
          <w:color w:val="auto"/>
          <w:sz w:val="24"/>
          <w:szCs w:val="24"/>
          <w:highlight w:val="none"/>
          <w:lang w:val="en-US" w:eastAsia="zh-CN"/>
        </w:rPr>
        <w:t>4、</w:t>
      </w:r>
      <w:r>
        <w:rPr>
          <w:rFonts w:hint="eastAsia" w:ascii="宋体" w:hAnsi="宋体" w:eastAsia="宋体" w:cs="宋体"/>
          <w:b/>
          <w:bCs/>
          <w:color w:val="auto"/>
          <w:sz w:val="24"/>
          <w:szCs w:val="24"/>
          <w:highlight w:val="none"/>
          <w:lang w:val="en-US" w:eastAsia="zh-CN"/>
        </w:rPr>
        <w:t>直流屏</w:t>
      </w:r>
      <w:r>
        <w:rPr>
          <w:rFonts w:hint="eastAsia" w:ascii="宋体" w:hAnsi="宋体" w:cs="宋体"/>
          <w:b/>
          <w:bCs/>
          <w:color w:val="auto"/>
          <w:sz w:val="24"/>
          <w:szCs w:val="24"/>
          <w:highlight w:val="none"/>
          <w:lang w:val="en-US" w:eastAsia="zh-CN"/>
        </w:rPr>
        <w:t>-</w:t>
      </w:r>
      <w:r>
        <w:rPr>
          <w:rFonts w:hint="eastAsia" w:ascii="宋体" w:hAnsi="宋体" w:eastAsia="宋体" w:cs="宋体"/>
          <w:b/>
          <w:bCs/>
          <w:color w:val="auto"/>
          <w:sz w:val="24"/>
          <w:szCs w:val="24"/>
          <w:highlight w:val="none"/>
          <w:lang w:val="en-US" w:eastAsia="zh-CN"/>
        </w:rPr>
        <w:t>直流屏温度检测</w:t>
      </w:r>
    </w:p>
    <w:p w14:paraId="3AC33021">
      <w:pPr>
        <w:keepNext w:val="0"/>
        <w:keepLines w:val="0"/>
        <w:pageBreakBefore w:val="0"/>
        <w:widowControl w:val="0"/>
        <w:tabs>
          <w:tab w:val="left" w:pos="900"/>
        </w:tabs>
        <w:kinsoku/>
        <w:wordWrap/>
        <w:overflowPunct/>
        <w:topLinePunct w:val="0"/>
        <w:autoSpaceDE/>
        <w:autoSpaceDN/>
        <w:bidi w:val="0"/>
        <w:spacing w:beforeAutospacing="0" w:afterAutospacing="0" w:line="460" w:lineRule="exact"/>
        <w:ind w:left="0" w:leftChars="0" w:firstLine="482" w:firstLineChars="200"/>
        <w:textAlignment w:val="auto"/>
        <w:rPr>
          <w:rFonts w:hint="eastAsia" w:ascii="宋体" w:hAnsi="宋体" w:eastAsia="宋体" w:cs="宋体"/>
          <w:b/>
          <w:bCs/>
          <w:color w:val="auto"/>
          <w:sz w:val="24"/>
          <w:szCs w:val="24"/>
          <w:highlight w:val="none"/>
          <w:lang w:val="en-US" w:eastAsia="zh-CN"/>
        </w:rPr>
      </w:pPr>
      <w:r>
        <w:rPr>
          <w:rFonts w:hint="eastAsia" w:ascii="宋体" w:hAnsi="宋体" w:cs="宋体"/>
          <w:b/>
          <w:bCs/>
          <w:color w:val="auto"/>
          <w:sz w:val="24"/>
          <w:szCs w:val="24"/>
          <w:highlight w:val="none"/>
          <w:lang w:val="en-US" w:eastAsia="zh-CN"/>
        </w:rPr>
        <w:t>4.1</w:t>
      </w:r>
      <w:r>
        <w:rPr>
          <w:rFonts w:hint="eastAsia" w:ascii="宋体" w:hAnsi="宋体" w:eastAsia="宋体" w:cs="宋体"/>
          <w:b/>
          <w:bCs/>
          <w:color w:val="auto"/>
          <w:sz w:val="24"/>
          <w:szCs w:val="24"/>
          <w:highlight w:val="none"/>
          <w:lang w:val="en-US" w:eastAsia="zh-CN"/>
        </w:rPr>
        <w:t>巡视时间</w:t>
      </w:r>
      <w:r>
        <w:rPr>
          <w:rFonts w:hint="eastAsia" w:ascii="宋体" w:hAnsi="宋体" w:cs="宋体"/>
          <w:b/>
          <w:bCs/>
          <w:color w:val="auto"/>
          <w:sz w:val="24"/>
          <w:szCs w:val="24"/>
          <w:highlight w:val="none"/>
          <w:lang w:val="en-US" w:eastAsia="zh-CN"/>
        </w:rPr>
        <w:t>：</w:t>
      </w:r>
      <w:r>
        <w:rPr>
          <w:rFonts w:hint="eastAsia" w:ascii="宋体" w:hAnsi="宋体" w:eastAsia="宋体" w:cs="宋体"/>
          <w:b/>
          <w:bCs/>
          <w:color w:val="auto"/>
          <w:sz w:val="24"/>
          <w:szCs w:val="24"/>
          <w:highlight w:val="none"/>
          <w:lang w:val="en-US" w:eastAsia="zh-CN"/>
        </w:rPr>
        <w:t>每班巡视一次</w:t>
      </w:r>
    </w:p>
    <w:p w14:paraId="53FD3E56">
      <w:pPr>
        <w:keepNext w:val="0"/>
        <w:keepLines w:val="0"/>
        <w:pageBreakBefore w:val="0"/>
        <w:widowControl w:val="0"/>
        <w:tabs>
          <w:tab w:val="left" w:pos="900"/>
        </w:tabs>
        <w:kinsoku/>
        <w:wordWrap/>
        <w:overflowPunct/>
        <w:topLinePunct w:val="0"/>
        <w:autoSpaceDE/>
        <w:autoSpaceDN/>
        <w:bidi w:val="0"/>
        <w:spacing w:beforeAutospacing="0" w:afterAutospacing="0" w:line="460" w:lineRule="exact"/>
        <w:ind w:left="0" w:leftChars="0" w:firstLine="482" w:firstLineChars="200"/>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cs="宋体"/>
          <w:b/>
          <w:bCs/>
          <w:color w:val="auto"/>
          <w:sz w:val="24"/>
          <w:szCs w:val="24"/>
          <w:highlight w:val="none"/>
          <w:lang w:val="en-US" w:eastAsia="zh-CN"/>
        </w:rPr>
        <w:t>4.2</w:t>
      </w:r>
      <w:r>
        <w:rPr>
          <w:rFonts w:hint="eastAsia" w:ascii="宋体" w:hAnsi="宋体" w:eastAsia="宋体" w:cs="宋体"/>
          <w:b/>
          <w:bCs/>
          <w:color w:val="auto"/>
          <w:sz w:val="24"/>
          <w:szCs w:val="24"/>
          <w:highlight w:val="none"/>
          <w:lang w:val="en-US" w:eastAsia="zh-CN"/>
        </w:rPr>
        <w:t>巡视内容及要求</w:t>
      </w:r>
      <w:r>
        <w:rPr>
          <w:rFonts w:hint="eastAsia" w:ascii="宋体" w:hAnsi="宋体" w:cs="宋体"/>
          <w:b/>
          <w:bCs/>
          <w:color w:val="auto"/>
          <w:sz w:val="24"/>
          <w:szCs w:val="24"/>
          <w:highlight w:val="none"/>
          <w:lang w:val="en-US" w:eastAsia="zh-CN"/>
        </w:rPr>
        <w:t>：</w:t>
      </w:r>
      <w:r>
        <w:rPr>
          <w:rFonts w:hint="eastAsia" w:ascii="宋体" w:hAnsi="宋体" w:eastAsia="宋体" w:cs="宋体"/>
          <w:b w:val="0"/>
          <w:bCs w:val="0"/>
          <w:color w:val="auto"/>
          <w:sz w:val="24"/>
          <w:szCs w:val="24"/>
          <w:highlight w:val="none"/>
          <w:lang w:val="en-US" w:eastAsia="zh-CN"/>
        </w:rPr>
        <w:t>检查蓄电池电压值，连接片有无松动和腐蚀现象，壳体有无渗漏和变形，绝缘电阻是否下降。对铅酸、镉镍蓄电池组，检查每只蓄电池的液面高度，看有无漏液，若液面低于下线，应补充蒸馏水，调整电解液的比重在合格范围内。对充电装置，检查三相交流电压是否平衡，运行噪声有无异常，交流输入电压值、直流输出电压值、直流输出电流值等表计显示是否正确，正对地和负对地的绝缘状态是否良好。检查直流电源装置上的各种信号灯、声响报警装置是否正常。</w:t>
      </w:r>
    </w:p>
    <w:p w14:paraId="59D2EC0E">
      <w:pPr>
        <w:keepNext w:val="0"/>
        <w:keepLines w:val="0"/>
        <w:pageBreakBefore w:val="0"/>
        <w:widowControl w:val="0"/>
        <w:tabs>
          <w:tab w:val="left" w:pos="900"/>
        </w:tabs>
        <w:kinsoku/>
        <w:wordWrap/>
        <w:overflowPunct/>
        <w:topLinePunct w:val="0"/>
        <w:autoSpaceDE/>
        <w:autoSpaceDN/>
        <w:bidi w:val="0"/>
        <w:spacing w:beforeAutospacing="0" w:afterAutospacing="0" w:line="460" w:lineRule="exact"/>
        <w:ind w:left="0" w:leftChars="0" w:firstLine="482" w:firstLineChars="200"/>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cs="宋体"/>
          <w:b/>
          <w:bCs/>
          <w:color w:val="auto"/>
          <w:sz w:val="24"/>
          <w:szCs w:val="24"/>
          <w:highlight w:val="none"/>
          <w:lang w:val="en-US" w:eastAsia="zh-CN"/>
        </w:rPr>
        <w:t>4.3</w:t>
      </w:r>
      <w:r>
        <w:rPr>
          <w:rFonts w:hint="eastAsia" w:ascii="宋体" w:hAnsi="宋体" w:eastAsia="宋体" w:cs="宋体"/>
          <w:b/>
          <w:bCs/>
          <w:color w:val="auto"/>
          <w:sz w:val="24"/>
          <w:szCs w:val="24"/>
          <w:highlight w:val="none"/>
          <w:lang w:val="en-US" w:eastAsia="zh-CN"/>
        </w:rPr>
        <w:t>计量和指示仪表的巡视检查项目</w:t>
      </w:r>
      <w:r>
        <w:rPr>
          <w:rFonts w:hint="eastAsia" w:ascii="宋体" w:hAnsi="宋体" w:cs="宋体"/>
          <w:b/>
          <w:bCs/>
          <w:color w:val="auto"/>
          <w:sz w:val="24"/>
          <w:szCs w:val="24"/>
          <w:highlight w:val="none"/>
          <w:lang w:val="en-US" w:eastAsia="zh-CN"/>
        </w:rPr>
        <w:t>：</w:t>
      </w:r>
      <w:r>
        <w:rPr>
          <w:rFonts w:hint="eastAsia" w:ascii="宋体" w:hAnsi="宋体" w:eastAsia="宋体" w:cs="宋体"/>
          <w:b w:val="0"/>
          <w:bCs w:val="0"/>
          <w:color w:val="auto"/>
          <w:sz w:val="24"/>
          <w:szCs w:val="24"/>
          <w:highlight w:val="none"/>
          <w:lang w:val="en-US" w:eastAsia="zh-CN"/>
        </w:rPr>
        <w:t>检查计量和指示仪表的指示值是否正确，指示灯是否正常。</w:t>
      </w:r>
    </w:p>
    <w:p w14:paraId="37748C05">
      <w:pPr>
        <w:keepNext w:val="0"/>
        <w:keepLines w:val="0"/>
        <w:pageBreakBefore w:val="0"/>
        <w:widowControl w:val="0"/>
        <w:tabs>
          <w:tab w:val="left" w:pos="900"/>
        </w:tabs>
        <w:kinsoku/>
        <w:wordWrap/>
        <w:overflowPunct/>
        <w:topLinePunct w:val="0"/>
        <w:autoSpaceDE/>
        <w:autoSpaceDN/>
        <w:bidi w:val="0"/>
        <w:spacing w:beforeAutospacing="0" w:afterAutospacing="0" w:line="460" w:lineRule="exact"/>
        <w:ind w:left="0" w:leftChars="0" w:firstLine="482" w:firstLineChars="200"/>
        <w:textAlignment w:val="auto"/>
        <w:rPr>
          <w:rFonts w:hint="eastAsia" w:ascii="宋体" w:hAnsi="宋体" w:eastAsia="宋体" w:cs="宋体"/>
          <w:b/>
          <w:bCs/>
          <w:color w:val="auto"/>
          <w:sz w:val="24"/>
          <w:szCs w:val="24"/>
          <w:highlight w:val="none"/>
          <w:lang w:val="en-US" w:eastAsia="zh-CN"/>
        </w:rPr>
      </w:pPr>
      <w:r>
        <w:rPr>
          <w:rFonts w:hint="eastAsia" w:ascii="宋体" w:hAnsi="宋体" w:cs="宋体"/>
          <w:b/>
          <w:bCs/>
          <w:color w:val="auto"/>
          <w:sz w:val="24"/>
          <w:szCs w:val="24"/>
          <w:highlight w:val="none"/>
          <w:lang w:val="en-US" w:eastAsia="zh-CN"/>
        </w:rPr>
        <w:t>5、</w:t>
      </w:r>
      <w:r>
        <w:rPr>
          <w:rFonts w:hint="eastAsia" w:ascii="宋体" w:hAnsi="宋体" w:eastAsia="宋体" w:cs="宋体"/>
          <w:b/>
          <w:bCs/>
          <w:color w:val="auto"/>
          <w:sz w:val="24"/>
          <w:szCs w:val="24"/>
          <w:highlight w:val="none"/>
          <w:lang w:val="en-US" w:eastAsia="zh-CN"/>
        </w:rPr>
        <w:t>变压器</w:t>
      </w:r>
    </w:p>
    <w:p w14:paraId="6DC3AE0C">
      <w:pPr>
        <w:keepNext w:val="0"/>
        <w:keepLines w:val="0"/>
        <w:pageBreakBefore w:val="0"/>
        <w:widowControl w:val="0"/>
        <w:tabs>
          <w:tab w:val="left" w:pos="900"/>
        </w:tabs>
        <w:kinsoku/>
        <w:wordWrap/>
        <w:overflowPunct/>
        <w:topLinePunct w:val="0"/>
        <w:autoSpaceDE/>
        <w:autoSpaceDN/>
        <w:bidi w:val="0"/>
        <w:spacing w:beforeAutospacing="0" w:afterAutospacing="0" w:line="460" w:lineRule="exact"/>
        <w:ind w:left="0" w:leftChars="0" w:firstLine="482" w:firstLineChars="200"/>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cs="宋体"/>
          <w:b/>
          <w:bCs/>
          <w:color w:val="auto"/>
          <w:sz w:val="24"/>
          <w:szCs w:val="24"/>
          <w:highlight w:val="none"/>
          <w:lang w:val="en-US" w:eastAsia="zh-CN"/>
        </w:rPr>
        <w:t>5.1</w:t>
      </w:r>
      <w:r>
        <w:rPr>
          <w:rFonts w:hint="eastAsia" w:ascii="宋体" w:hAnsi="宋体" w:eastAsia="宋体" w:cs="宋体"/>
          <w:b/>
          <w:bCs/>
          <w:color w:val="auto"/>
          <w:sz w:val="24"/>
          <w:szCs w:val="24"/>
          <w:highlight w:val="none"/>
          <w:lang w:val="en-US" w:eastAsia="zh-CN"/>
        </w:rPr>
        <w:t>巡视时间</w:t>
      </w:r>
      <w:r>
        <w:rPr>
          <w:rFonts w:hint="eastAsia" w:ascii="宋体" w:hAnsi="宋体" w:cs="宋体"/>
          <w:b/>
          <w:bCs/>
          <w:color w:val="auto"/>
          <w:sz w:val="24"/>
          <w:szCs w:val="24"/>
          <w:highlight w:val="none"/>
          <w:lang w:val="en-US" w:eastAsia="zh-CN"/>
        </w:rPr>
        <w:t>：</w:t>
      </w:r>
      <w:r>
        <w:rPr>
          <w:rFonts w:hint="eastAsia" w:ascii="宋体" w:hAnsi="宋体" w:eastAsia="宋体" w:cs="宋体"/>
          <w:b w:val="0"/>
          <w:bCs w:val="0"/>
          <w:color w:val="auto"/>
          <w:sz w:val="24"/>
          <w:szCs w:val="24"/>
          <w:highlight w:val="none"/>
          <w:lang w:val="en-US" w:eastAsia="zh-CN"/>
        </w:rPr>
        <w:t>每班巡视一次</w:t>
      </w:r>
    </w:p>
    <w:p w14:paraId="43F1AA3F">
      <w:pPr>
        <w:keepNext w:val="0"/>
        <w:keepLines w:val="0"/>
        <w:pageBreakBefore w:val="0"/>
        <w:widowControl w:val="0"/>
        <w:tabs>
          <w:tab w:val="left" w:pos="900"/>
        </w:tabs>
        <w:kinsoku/>
        <w:wordWrap/>
        <w:overflowPunct/>
        <w:topLinePunct w:val="0"/>
        <w:autoSpaceDE/>
        <w:autoSpaceDN/>
        <w:bidi w:val="0"/>
        <w:spacing w:beforeAutospacing="0" w:afterAutospacing="0" w:line="460" w:lineRule="exact"/>
        <w:ind w:left="0" w:leftChars="0" w:firstLine="482" w:firstLineChars="200"/>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cs="宋体"/>
          <w:b/>
          <w:bCs/>
          <w:color w:val="auto"/>
          <w:sz w:val="24"/>
          <w:szCs w:val="24"/>
          <w:highlight w:val="none"/>
          <w:lang w:val="en-US" w:eastAsia="zh-CN"/>
        </w:rPr>
        <w:t>5.2</w:t>
      </w:r>
      <w:r>
        <w:rPr>
          <w:rFonts w:hint="eastAsia" w:ascii="宋体" w:hAnsi="宋体" w:eastAsia="宋体" w:cs="宋体"/>
          <w:b/>
          <w:bCs/>
          <w:color w:val="auto"/>
          <w:sz w:val="24"/>
          <w:szCs w:val="24"/>
          <w:highlight w:val="none"/>
          <w:lang w:val="en-US" w:eastAsia="zh-CN"/>
        </w:rPr>
        <w:t>巡视内容及要求</w:t>
      </w:r>
      <w:r>
        <w:rPr>
          <w:rFonts w:hint="eastAsia" w:ascii="宋体" w:hAnsi="宋体" w:cs="宋体"/>
          <w:b/>
          <w:bCs/>
          <w:color w:val="auto"/>
          <w:sz w:val="24"/>
          <w:szCs w:val="24"/>
          <w:highlight w:val="none"/>
          <w:lang w:val="en-US" w:eastAsia="zh-CN"/>
        </w:rPr>
        <w:t>：</w:t>
      </w:r>
      <w:r>
        <w:rPr>
          <w:rFonts w:hint="eastAsia" w:ascii="宋体" w:hAnsi="宋体" w:eastAsia="宋体" w:cs="宋体"/>
          <w:b w:val="0"/>
          <w:bCs w:val="0"/>
          <w:color w:val="auto"/>
          <w:sz w:val="24"/>
          <w:szCs w:val="24"/>
          <w:highlight w:val="none"/>
          <w:lang w:val="en-US" w:eastAsia="zh-CN"/>
        </w:rPr>
        <w:t>变压器温度是否正常，温控器完好，温度报警值在140摄氏度,超温跳闸值在150摄氏度,自动起风机值在90摄氏度,自动停风机值在80摄氏度。器身及高低压接线端有无发热变色迹象，有无异常响声和气味。外观无破损、无震动。各连接导线、母排温升正常。</w:t>
      </w:r>
    </w:p>
    <w:p w14:paraId="17D542A8">
      <w:pPr>
        <w:keepNext w:val="0"/>
        <w:keepLines w:val="0"/>
        <w:pageBreakBefore w:val="0"/>
        <w:widowControl w:val="0"/>
        <w:tabs>
          <w:tab w:val="left" w:pos="900"/>
        </w:tabs>
        <w:kinsoku/>
        <w:wordWrap/>
        <w:overflowPunct/>
        <w:topLinePunct w:val="0"/>
        <w:autoSpaceDE/>
        <w:autoSpaceDN/>
        <w:bidi w:val="0"/>
        <w:spacing w:beforeAutospacing="0" w:afterAutospacing="0" w:line="460" w:lineRule="exact"/>
        <w:ind w:left="0" w:leftChars="0" w:firstLine="482" w:firstLineChars="200"/>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cs="宋体"/>
          <w:b/>
          <w:bCs/>
          <w:color w:val="auto"/>
          <w:sz w:val="24"/>
          <w:szCs w:val="24"/>
          <w:highlight w:val="none"/>
          <w:lang w:val="en-US" w:eastAsia="zh-CN"/>
        </w:rPr>
        <w:t>6、</w:t>
      </w:r>
      <w:r>
        <w:rPr>
          <w:rFonts w:hint="eastAsia" w:ascii="宋体" w:hAnsi="宋体" w:eastAsia="宋体" w:cs="宋体"/>
          <w:b/>
          <w:bCs/>
          <w:color w:val="auto"/>
          <w:sz w:val="24"/>
          <w:szCs w:val="24"/>
          <w:highlight w:val="none"/>
          <w:lang w:val="en-US" w:eastAsia="zh-CN"/>
        </w:rPr>
        <w:t>低压配电柜</w:t>
      </w:r>
      <w:r>
        <w:rPr>
          <w:rFonts w:hint="eastAsia" w:ascii="宋体" w:hAnsi="宋体" w:cs="宋体"/>
          <w:b/>
          <w:bCs/>
          <w:color w:val="auto"/>
          <w:sz w:val="24"/>
          <w:szCs w:val="24"/>
          <w:highlight w:val="none"/>
          <w:lang w:val="en-US" w:eastAsia="zh-CN"/>
        </w:rPr>
        <w:t>-</w:t>
      </w:r>
      <w:r>
        <w:rPr>
          <w:rFonts w:hint="eastAsia" w:ascii="宋体" w:hAnsi="宋体" w:eastAsia="宋体" w:cs="宋体"/>
          <w:b w:val="0"/>
          <w:bCs w:val="0"/>
          <w:color w:val="auto"/>
          <w:sz w:val="24"/>
          <w:szCs w:val="24"/>
          <w:highlight w:val="none"/>
          <w:lang w:val="en-US" w:eastAsia="zh-CN"/>
        </w:rPr>
        <w:t>低压出线负荷电流巡检</w:t>
      </w:r>
    </w:p>
    <w:p w14:paraId="0E97DBF8">
      <w:pPr>
        <w:keepNext w:val="0"/>
        <w:keepLines w:val="0"/>
        <w:pageBreakBefore w:val="0"/>
        <w:widowControl w:val="0"/>
        <w:tabs>
          <w:tab w:val="left" w:pos="900"/>
        </w:tabs>
        <w:kinsoku/>
        <w:wordWrap/>
        <w:overflowPunct/>
        <w:topLinePunct w:val="0"/>
        <w:autoSpaceDE/>
        <w:autoSpaceDN/>
        <w:bidi w:val="0"/>
        <w:spacing w:beforeAutospacing="0" w:afterAutospacing="0" w:line="460" w:lineRule="exact"/>
        <w:ind w:left="0" w:leftChars="0" w:firstLine="482" w:firstLineChars="200"/>
        <w:textAlignment w:val="auto"/>
        <w:rPr>
          <w:rFonts w:hint="eastAsia" w:ascii="宋体" w:hAnsi="宋体" w:eastAsia="宋体" w:cs="宋体"/>
          <w:b/>
          <w:bCs/>
          <w:color w:val="auto"/>
          <w:sz w:val="24"/>
          <w:szCs w:val="24"/>
          <w:highlight w:val="none"/>
          <w:lang w:val="en-US" w:eastAsia="zh-CN"/>
        </w:rPr>
      </w:pPr>
      <w:r>
        <w:rPr>
          <w:rFonts w:hint="eastAsia" w:ascii="宋体" w:hAnsi="宋体" w:cs="宋体"/>
          <w:b/>
          <w:bCs/>
          <w:color w:val="auto"/>
          <w:sz w:val="24"/>
          <w:szCs w:val="24"/>
          <w:highlight w:val="none"/>
          <w:lang w:val="en-US" w:eastAsia="zh-CN"/>
        </w:rPr>
        <w:t>6.1</w:t>
      </w:r>
      <w:r>
        <w:rPr>
          <w:rFonts w:hint="eastAsia" w:ascii="宋体" w:hAnsi="宋体" w:eastAsia="宋体" w:cs="宋体"/>
          <w:b/>
          <w:bCs/>
          <w:color w:val="auto"/>
          <w:sz w:val="24"/>
          <w:szCs w:val="24"/>
          <w:highlight w:val="none"/>
          <w:lang w:val="en-US" w:eastAsia="zh-CN"/>
        </w:rPr>
        <w:t>巡视时间</w:t>
      </w:r>
      <w:r>
        <w:rPr>
          <w:rFonts w:hint="eastAsia" w:ascii="宋体" w:hAnsi="宋体" w:cs="宋体"/>
          <w:b/>
          <w:bCs/>
          <w:color w:val="auto"/>
          <w:sz w:val="24"/>
          <w:szCs w:val="24"/>
          <w:highlight w:val="none"/>
          <w:lang w:val="en-US" w:eastAsia="zh-CN"/>
        </w:rPr>
        <w:t>:</w:t>
      </w:r>
      <w:r>
        <w:rPr>
          <w:rFonts w:hint="eastAsia" w:ascii="宋体" w:hAnsi="宋体" w:eastAsia="宋体" w:cs="宋体"/>
          <w:b/>
          <w:bCs/>
          <w:color w:val="auto"/>
          <w:sz w:val="24"/>
          <w:szCs w:val="24"/>
          <w:highlight w:val="none"/>
          <w:lang w:val="en-US" w:eastAsia="zh-CN"/>
        </w:rPr>
        <w:t>每班巡视一次</w:t>
      </w:r>
    </w:p>
    <w:p w14:paraId="63EC7873">
      <w:pPr>
        <w:keepNext w:val="0"/>
        <w:keepLines w:val="0"/>
        <w:pageBreakBefore w:val="0"/>
        <w:widowControl w:val="0"/>
        <w:tabs>
          <w:tab w:val="left" w:pos="900"/>
        </w:tabs>
        <w:kinsoku/>
        <w:wordWrap/>
        <w:overflowPunct/>
        <w:topLinePunct w:val="0"/>
        <w:autoSpaceDE/>
        <w:autoSpaceDN/>
        <w:bidi w:val="0"/>
        <w:spacing w:beforeAutospacing="0" w:afterAutospacing="0" w:line="460" w:lineRule="exact"/>
        <w:ind w:left="0" w:leftChars="0" w:firstLine="482" w:firstLineChars="200"/>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cs="宋体"/>
          <w:b/>
          <w:bCs/>
          <w:color w:val="auto"/>
          <w:sz w:val="24"/>
          <w:szCs w:val="24"/>
          <w:highlight w:val="none"/>
          <w:lang w:val="en-US" w:eastAsia="zh-CN"/>
        </w:rPr>
        <w:t>6.2</w:t>
      </w:r>
      <w:r>
        <w:rPr>
          <w:rFonts w:hint="eastAsia" w:ascii="宋体" w:hAnsi="宋体" w:eastAsia="宋体" w:cs="宋体"/>
          <w:b/>
          <w:bCs/>
          <w:color w:val="auto"/>
          <w:sz w:val="24"/>
          <w:szCs w:val="24"/>
          <w:highlight w:val="none"/>
          <w:lang w:val="en-US" w:eastAsia="zh-CN"/>
        </w:rPr>
        <w:t>巡视内容及要求</w:t>
      </w:r>
      <w:r>
        <w:rPr>
          <w:rFonts w:hint="eastAsia" w:ascii="宋体" w:hAnsi="宋体" w:cs="宋体"/>
          <w:b/>
          <w:bCs/>
          <w:color w:val="auto"/>
          <w:sz w:val="24"/>
          <w:szCs w:val="24"/>
          <w:highlight w:val="none"/>
          <w:lang w:val="en-US" w:eastAsia="zh-CN"/>
        </w:rPr>
        <w:t>:</w:t>
      </w:r>
      <w:r>
        <w:rPr>
          <w:rFonts w:hint="eastAsia" w:ascii="宋体" w:hAnsi="宋体" w:eastAsia="宋体" w:cs="宋体"/>
          <w:b w:val="0"/>
          <w:bCs w:val="0"/>
          <w:color w:val="auto"/>
          <w:sz w:val="24"/>
          <w:szCs w:val="24"/>
          <w:highlight w:val="none"/>
          <w:lang w:val="en-US" w:eastAsia="zh-CN"/>
        </w:rPr>
        <w:t>主电路（铜排母线）、分路的刀开关、断路器连接部位固定螺丝，与仪表指示是否对应。输出线路中各部位连接点有无过热变色等现象。在运行中三相负荷是否平衡、三相电压是否相同，检查车间负载电压降是否超出规定；</w:t>
      </w:r>
    </w:p>
    <w:p w14:paraId="13875B72">
      <w:pPr>
        <w:keepNext w:val="0"/>
        <w:keepLines w:val="0"/>
        <w:pageBreakBefore w:val="0"/>
        <w:widowControl w:val="0"/>
        <w:tabs>
          <w:tab w:val="left" w:pos="900"/>
        </w:tabs>
        <w:kinsoku/>
        <w:wordWrap/>
        <w:overflowPunct/>
        <w:topLinePunct w:val="0"/>
        <w:autoSpaceDE/>
        <w:autoSpaceDN/>
        <w:bidi w:val="0"/>
        <w:spacing w:beforeAutospacing="0" w:afterAutospacing="0" w:line="460" w:lineRule="exact"/>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各配电柜和电器内部，有无异声、异味；带灭弧罩的断路器，三相灭弧罩是否完整无缺；检查断路器、电磁铁芯吸合是否正常，有无线圈过热或噪声过大；母线绝缘夹有无损伤和歪斜，母线夹固定螺丝有无松脱；配电柜电器的表面是否清洁，接地连接是否正常良好；配电房各处门、窗是否完好，配电柜上门是否完整，雨天屋顶有无渗漏水现象。</w:t>
      </w:r>
    </w:p>
    <w:p w14:paraId="10B30363">
      <w:pPr>
        <w:keepNext w:val="0"/>
        <w:keepLines w:val="0"/>
        <w:pageBreakBefore w:val="0"/>
        <w:widowControl w:val="0"/>
        <w:tabs>
          <w:tab w:val="left" w:pos="900"/>
        </w:tabs>
        <w:kinsoku/>
        <w:wordWrap/>
        <w:overflowPunct/>
        <w:topLinePunct w:val="0"/>
        <w:autoSpaceDE/>
        <w:autoSpaceDN/>
        <w:bidi w:val="0"/>
        <w:spacing w:beforeAutospacing="0" w:afterAutospacing="0" w:line="460" w:lineRule="exact"/>
        <w:ind w:left="0" w:leftChars="0" w:firstLine="482" w:firstLineChars="200"/>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cs="宋体"/>
          <w:b/>
          <w:bCs/>
          <w:color w:val="auto"/>
          <w:sz w:val="24"/>
          <w:szCs w:val="24"/>
          <w:highlight w:val="none"/>
          <w:lang w:val="en-US" w:eastAsia="zh-CN"/>
        </w:rPr>
        <w:t>7、</w:t>
      </w:r>
      <w:r>
        <w:rPr>
          <w:rFonts w:hint="eastAsia" w:ascii="宋体" w:hAnsi="宋体" w:eastAsia="宋体" w:cs="宋体"/>
          <w:b/>
          <w:bCs/>
          <w:color w:val="auto"/>
          <w:sz w:val="24"/>
          <w:szCs w:val="24"/>
          <w:highlight w:val="none"/>
          <w:lang w:val="en-US" w:eastAsia="zh-CN"/>
        </w:rPr>
        <w:t>电容补偿柜</w:t>
      </w:r>
      <w:r>
        <w:rPr>
          <w:rFonts w:hint="eastAsia" w:ascii="宋体" w:hAnsi="宋体" w:cs="宋体"/>
          <w:b/>
          <w:bCs/>
          <w:color w:val="auto"/>
          <w:sz w:val="24"/>
          <w:szCs w:val="24"/>
          <w:highlight w:val="none"/>
          <w:lang w:val="en-US" w:eastAsia="zh-CN"/>
        </w:rPr>
        <w:t>-</w:t>
      </w:r>
      <w:r>
        <w:rPr>
          <w:rFonts w:hint="eastAsia" w:ascii="宋体" w:hAnsi="宋体" w:eastAsia="宋体" w:cs="宋体"/>
          <w:b w:val="0"/>
          <w:bCs w:val="0"/>
          <w:color w:val="auto"/>
          <w:sz w:val="24"/>
          <w:szCs w:val="24"/>
          <w:highlight w:val="none"/>
          <w:lang w:val="en-US" w:eastAsia="zh-CN"/>
        </w:rPr>
        <w:t>低压电容柜检测</w:t>
      </w:r>
    </w:p>
    <w:p w14:paraId="3274821D">
      <w:pPr>
        <w:keepNext w:val="0"/>
        <w:keepLines w:val="0"/>
        <w:pageBreakBefore w:val="0"/>
        <w:widowControl w:val="0"/>
        <w:tabs>
          <w:tab w:val="left" w:pos="900"/>
        </w:tabs>
        <w:kinsoku/>
        <w:wordWrap/>
        <w:overflowPunct/>
        <w:topLinePunct w:val="0"/>
        <w:autoSpaceDE/>
        <w:autoSpaceDN/>
        <w:bidi w:val="0"/>
        <w:spacing w:beforeAutospacing="0" w:afterAutospacing="0" w:line="460" w:lineRule="exact"/>
        <w:ind w:left="0" w:leftChars="0" w:firstLine="482" w:firstLineChars="200"/>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cs="宋体"/>
          <w:b/>
          <w:bCs/>
          <w:color w:val="auto"/>
          <w:sz w:val="24"/>
          <w:szCs w:val="24"/>
          <w:highlight w:val="none"/>
          <w:lang w:val="en-US" w:eastAsia="zh-CN"/>
        </w:rPr>
        <w:t>7.1</w:t>
      </w:r>
      <w:r>
        <w:rPr>
          <w:rFonts w:hint="eastAsia" w:ascii="宋体" w:hAnsi="宋体" w:eastAsia="宋体" w:cs="宋体"/>
          <w:b/>
          <w:bCs/>
          <w:color w:val="auto"/>
          <w:sz w:val="24"/>
          <w:szCs w:val="24"/>
          <w:highlight w:val="none"/>
          <w:lang w:val="en-US" w:eastAsia="zh-CN"/>
        </w:rPr>
        <w:t>巡视时间</w:t>
      </w:r>
      <w:r>
        <w:rPr>
          <w:rFonts w:hint="eastAsia" w:ascii="宋体" w:hAnsi="宋体" w:cs="宋体"/>
          <w:b/>
          <w:bCs/>
          <w:color w:val="auto"/>
          <w:sz w:val="24"/>
          <w:szCs w:val="24"/>
          <w:highlight w:val="none"/>
          <w:lang w:val="en-US" w:eastAsia="zh-CN"/>
        </w:rPr>
        <w:t>：</w:t>
      </w:r>
      <w:r>
        <w:rPr>
          <w:rFonts w:hint="eastAsia" w:ascii="宋体" w:hAnsi="宋体" w:eastAsia="宋体" w:cs="宋体"/>
          <w:b w:val="0"/>
          <w:bCs w:val="0"/>
          <w:color w:val="auto"/>
          <w:sz w:val="24"/>
          <w:szCs w:val="24"/>
          <w:highlight w:val="none"/>
          <w:lang w:val="en-US" w:eastAsia="zh-CN"/>
        </w:rPr>
        <w:t>每班巡视一次</w:t>
      </w:r>
    </w:p>
    <w:p w14:paraId="69E3B994">
      <w:pPr>
        <w:keepNext w:val="0"/>
        <w:keepLines w:val="0"/>
        <w:pageBreakBefore w:val="0"/>
        <w:widowControl w:val="0"/>
        <w:tabs>
          <w:tab w:val="left" w:pos="900"/>
        </w:tabs>
        <w:kinsoku/>
        <w:wordWrap/>
        <w:overflowPunct/>
        <w:topLinePunct w:val="0"/>
        <w:autoSpaceDE/>
        <w:autoSpaceDN/>
        <w:bidi w:val="0"/>
        <w:spacing w:beforeAutospacing="0" w:afterAutospacing="0" w:line="460" w:lineRule="exact"/>
        <w:ind w:left="0" w:leftChars="0" w:firstLine="482" w:firstLineChars="200"/>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cs="宋体"/>
          <w:b/>
          <w:bCs/>
          <w:color w:val="auto"/>
          <w:sz w:val="24"/>
          <w:szCs w:val="24"/>
          <w:highlight w:val="none"/>
          <w:lang w:val="en-US" w:eastAsia="zh-CN"/>
        </w:rPr>
        <w:t>7.2</w:t>
      </w:r>
      <w:r>
        <w:rPr>
          <w:rFonts w:hint="eastAsia" w:ascii="宋体" w:hAnsi="宋体" w:eastAsia="宋体" w:cs="宋体"/>
          <w:b/>
          <w:bCs/>
          <w:color w:val="auto"/>
          <w:sz w:val="24"/>
          <w:szCs w:val="24"/>
          <w:highlight w:val="none"/>
          <w:lang w:val="en-US" w:eastAsia="zh-CN"/>
        </w:rPr>
        <w:t>巡视内容及要求</w:t>
      </w:r>
      <w:r>
        <w:rPr>
          <w:rFonts w:hint="eastAsia" w:ascii="宋体" w:hAnsi="宋体" w:cs="宋体"/>
          <w:b/>
          <w:bCs/>
          <w:color w:val="auto"/>
          <w:sz w:val="24"/>
          <w:szCs w:val="24"/>
          <w:highlight w:val="none"/>
          <w:lang w:val="en-US" w:eastAsia="zh-CN"/>
        </w:rPr>
        <w:t>：</w:t>
      </w:r>
      <w:r>
        <w:rPr>
          <w:rFonts w:hint="eastAsia" w:ascii="宋体" w:hAnsi="宋体" w:eastAsia="宋体" w:cs="宋体"/>
          <w:b w:val="0"/>
          <w:bCs w:val="0"/>
          <w:color w:val="auto"/>
          <w:sz w:val="24"/>
          <w:szCs w:val="24"/>
          <w:highlight w:val="none"/>
          <w:lang w:val="en-US" w:eastAsia="zh-CN"/>
        </w:rPr>
        <w:t>电容器内部有无放电声；外壳有无鼓包、渗漏油现象。</w:t>
      </w:r>
    </w:p>
    <w:p w14:paraId="48347605">
      <w:pPr>
        <w:keepNext w:val="0"/>
        <w:keepLines w:val="0"/>
        <w:pageBreakBefore w:val="0"/>
        <w:widowControl w:val="0"/>
        <w:tabs>
          <w:tab w:val="left" w:pos="900"/>
        </w:tabs>
        <w:kinsoku/>
        <w:wordWrap/>
        <w:overflowPunct/>
        <w:topLinePunct w:val="0"/>
        <w:autoSpaceDE/>
        <w:autoSpaceDN/>
        <w:bidi w:val="0"/>
        <w:spacing w:beforeAutospacing="0" w:afterAutospacing="0" w:line="460" w:lineRule="exact"/>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检查瓷质部分是否清洁，有无放电痕迹。电容器避雷器是否完好，外壳接地是否良好。检查放电变压器串联电抗是否完好。检查电容器室内温度、冬季最低允许温度和夏季最高允许温度均应符合制造厂家的规定</w:t>
      </w:r>
      <w:r>
        <w:rPr>
          <w:rFonts w:hint="eastAsia" w:ascii="宋体" w:hAnsi="宋体" w:cs="宋体"/>
          <w:b w:val="0"/>
          <w:bCs w:val="0"/>
          <w:color w:val="auto"/>
          <w:sz w:val="24"/>
          <w:szCs w:val="24"/>
          <w:highlight w:val="none"/>
          <w:lang w:val="en-US" w:eastAsia="zh-CN"/>
        </w:rPr>
        <w:t>。</w:t>
      </w:r>
      <w:r>
        <w:rPr>
          <w:rFonts w:hint="eastAsia" w:ascii="宋体" w:hAnsi="宋体" w:eastAsia="宋体" w:cs="宋体"/>
          <w:b w:val="0"/>
          <w:bCs w:val="0"/>
          <w:color w:val="auto"/>
          <w:sz w:val="24"/>
          <w:szCs w:val="24"/>
          <w:highlight w:val="none"/>
          <w:lang w:val="en-US" w:eastAsia="zh-CN"/>
        </w:rPr>
        <w:t>电容器外熔丝有无断落。检查三相电流表是否平衡，有无不稳定或激增现象，各相差应不大于10%。放电线圈及三相放电指示灯是否良好。电容器油位是否在允许范围内。电容器分档刀闸位置是否正确。</w:t>
      </w:r>
    </w:p>
    <w:p w14:paraId="513C20FC">
      <w:pPr>
        <w:keepNext w:val="0"/>
        <w:keepLines w:val="0"/>
        <w:pageBreakBefore w:val="0"/>
        <w:widowControl w:val="0"/>
        <w:tabs>
          <w:tab w:val="left" w:pos="900"/>
        </w:tabs>
        <w:kinsoku/>
        <w:wordWrap/>
        <w:overflowPunct/>
        <w:topLinePunct w:val="0"/>
        <w:autoSpaceDE/>
        <w:autoSpaceDN/>
        <w:bidi w:val="0"/>
        <w:spacing w:beforeAutospacing="0" w:afterAutospacing="0" w:line="460" w:lineRule="exact"/>
        <w:ind w:left="0" w:leftChars="0" w:firstLine="482" w:firstLineChars="200"/>
        <w:textAlignment w:val="auto"/>
        <w:rPr>
          <w:rFonts w:hint="default" w:ascii="宋体" w:hAnsi="宋体" w:eastAsia="宋体" w:cs="宋体"/>
          <w:b/>
          <w:bCs/>
          <w:color w:val="auto"/>
          <w:sz w:val="24"/>
          <w:szCs w:val="24"/>
          <w:highlight w:val="none"/>
          <w:lang w:val="en-US" w:eastAsia="zh-CN"/>
        </w:rPr>
      </w:pPr>
      <w:r>
        <w:rPr>
          <w:rFonts w:hint="eastAsia" w:ascii="宋体" w:hAnsi="宋体" w:cs="宋体"/>
          <w:b/>
          <w:bCs/>
          <w:color w:val="auto"/>
          <w:sz w:val="24"/>
          <w:szCs w:val="24"/>
          <w:highlight w:val="none"/>
          <w:lang w:val="en-US" w:eastAsia="zh-CN"/>
        </w:rPr>
        <w:t>8、</w:t>
      </w:r>
      <w:r>
        <w:rPr>
          <w:rFonts w:hint="eastAsia" w:ascii="宋体" w:hAnsi="宋体" w:eastAsia="宋体" w:cs="宋体"/>
          <w:b/>
          <w:bCs/>
          <w:color w:val="auto"/>
          <w:sz w:val="24"/>
          <w:szCs w:val="24"/>
          <w:highlight w:val="none"/>
          <w:lang w:val="en-US" w:eastAsia="zh-CN"/>
        </w:rPr>
        <w:t>发电机</w:t>
      </w:r>
    </w:p>
    <w:p w14:paraId="02A179C7">
      <w:pPr>
        <w:keepNext w:val="0"/>
        <w:keepLines w:val="0"/>
        <w:pageBreakBefore w:val="0"/>
        <w:widowControl w:val="0"/>
        <w:tabs>
          <w:tab w:val="left" w:pos="900"/>
        </w:tabs>
        <w:kinsoku/>
        <w:wordWrap/>
        <w:overflowPunct/>
        <w:topLinePunct w:val="0"/>
        <w:autoSpaceDE/>
        <w:autoSpaceDN/>
        <w:bidi w:val="0"/>
        <w:spacing w:beforeAutospacing="0" w:afterAutospacing="0" w:line="460" w:lineRule="exact"/>
        <w:ind w:left="0" w:leftChars="0" w:firstLine="482" w:firstLineChars="200"/>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cs="宋体"/>
          <w:b/>
          <w:bCs/>
          <w:color w:val="auto"/>
          <w:sz w:val="24"/>
          <w:szCs w:val="24"/>
          <w:highlight w:val="none"/>
          <w:lang w:val="en-US" w:eastAsia="zh-CN"/>
        </w:rPr>
        <w:t>8.1</w:t>
      </w:r>
      <w:r>
        <w:rPr>
          <w:rFonts w:hint="eastAsia" w:ascii="宋体" w:hAnsi="宋体" w:eastAsia="宋体" w:cs="宋体"/>
          <w:b/>
          <w:bCs/>
          <w:color w:val="auto"/>
          <w:sz w:val="24"/>
          <w:szCs w:val="24"/>
          <w:highlight w:val="none"/>
          <w:lang w:val="en-US" w:eastAsia="zh-CN"/>
        </w:rPr>
        <w:t>巡视时间</w:t>
      </w:r>
      <w:r>
        <w:rPr>
          <w:rFonts w:hint="eastAsia" w:ascii="宋体" w:hAnsi="宋体" w:cs="宋体"/>
          <w:b/>
          <w:bCs/>
          <w:color w:val="auto"/>
          <w:sz w:val="24"/>
          <w:szCs w:val="24"/>
          <w:highlight w:val="none"/>
          <w:lang w:val="en-US" w:eastAsia="zh-CN"/>
        </w:rPr>
        <w:t>：</w:t>
      </w:r>
      <w:r>
        <w:rPr>
          <w:rFonts w:hint="eastAsia" w:ascii="宋体" w:hAnsi="宋体" w:eastAsia="宋体" w:cs="宋体"/>
          <w:b w:val="0"/>
          <w:bCs w:val="0"/>
          <w:color w:val="auto"/>
          <w:sz w:val="24"/>
          <w:szCs w:val="24"/>
          <w:highlight w:val="none"/>
          <w:lang w:val="en-US" w:eastAsia="zh-CN"/>
        </w:rPr>
        <w:t>每班巡视一次</w:t>
      </w:r>
    </w:p>
    <w:p w14:paraId="1FA9EC07">
      <w:pPr>
        <w:keepNext w:val="0"/>
        <w:keepLines w:val="0"/>
        <w:pageBreakBefore w:val="0"/>
        <w:kinsoku/>
        <w:wordWrap/>
        <w:overflowPunct/>
        <w:topLinePunct w:val="0"/>
        <w:autoSpaceDE/>
        <w:autoSpaceDN/>
        <w:bidi w:val="0"/>
        <w:spacing w:beforeAutospacing="0" w:afterAutospacing="0" w:line="460" w:lineRule="exact"/>
        <w:ind w:left="0" w:leftChars="0" w:firstLine="482" w:firstLineChars="200"/>
        <w:rPr>
          <w:rFonts w:hint="eastAsia" w:ascii="宋体" w:hAnsi="宋体" w:eastAsia="宋体" w:cs="宋体"/>
          <w:b w:val="0"/>
          <w:bCs w:val="0"/>
          <w:color w:val="auto"/>
          <w:kern w:val="2"/>
          <w:sz w:val="24"/>
          <w:szCs w:val="24"/>
          <w:highlight w:val="none"/>
          <w:lang w:val="en-US" w:eastAsia="zh-CN" w:bidi="ar"/>
        </w:rPr>
      </w:pPr>
      <w:r>
        <w:rPr>
          <w:rFonts w:hint="eastAsia" w:ascii="宋体" w:hAnsi="宋体" w:cs="宋体"/>
          <w:b/>
          <w:bCs/>
          <w:color w:val="auto"/>
          <w:sz w:val="24"/>
          <w:szCs w:val="24"/>
          <w:highlight w:val="none"/>
          <w:lang w:val="en-US" w:eastAsia="zh-CN"/>
        </w:rPr>
        <w:t>8.2</w:t>
      </w:r>
      <w:r>
        <w:rPr>
          <w:rFonts w:hint="eastAsia" w:ascii="宋体" w:hAnsi="宋体" w:eastAsia="宋体" w:cs="宋体"/>
          <w:b/>
          <w:bCs/>
          <w:color w:val="auto"/>
          <w:sz w:val="24"/>
          <w:szCs w:val="24"/>
          <w:highlight w:val="none"/>
          <w:lang w:val="en-US" w:eastAsia="zh-CN"/>
        </w:rPr>
        <w:t>巡视内容及要求</w:t>
      </w:r>
      <w:r>
        <w:rPr>
          <w:rFonts w:hint="eastAsia" w:ascii="宋体" w:hAnsi="宋体" w:cs="宋体"/>
          <w:b/>
          <w:bCs/>
          <w:color w:val="auto"/>
          <w:sz w:val="24"/>
          <w:szCs w:val="24"/>
          <w:highlight w:val="none"/>
          <w:lang w:val="en-US" w:eastAsia="zh-CN"/>
        </w:rPr>
        <w:t>：</w:t>
      </w:r>
      <w:r>
        <w:rPr>
          <w:rFonts w:hint="eastAsia" w:ascii="宋体" w:hAnsi="宋体" w:eastAsia="宋体" w:cs="宋体"/>
          <w:b w:val="0"/>
          <w:bCs w:val="0"/>
          <w:color w:val="auto"/>
          <w:sz w:val="24"/>
          <w:szCs w:val="24"/>
          <w:highlight w:val="none"/>
          <w:lang w:val="en-US" w:eastAsia="zh-CN"/>
        </w:rPr>
        <w:t>检查各附件连接是否可靠。各运动件是否转动灵活；皮带张驰度是否合适。冷却水是否加满；机油是否加足；燃油是否充足，各接头是否有渗漏。检查蓄电池：电解液是否符合标准，蓄电池外部是否有短路现象，检查蓄电池外部电压是否正常，查看电极板是否有膨胀，气塞孔是否堵塞，电解液内是否含有有机杂质，爬碱是否严重。蓄电池经常保持在浮充状态，定期做充电保养。电池绝缘良好，并涂敷保护凡士林膏体，表面清洁无电解残液，电线完好无锈蚀，充电状态不允许开盖。柴油储备室应配备灭火器材，需准备足量的消防灭火沙。正常情况下，发电机转换开关应置于自动位置。</w:t>
      </w:r>
    </w:p>
    <w:p w14:paraId="2C4DE1C9">
      <w:pPr>
        <w:pStyle w:val="34"/>
        <w:rPr>
          <w:rFonts w:hint="eastAsia" w:ascii="宋体" w:hAnsi="宋体" w:eastAsia="宋体" w:cs="宋体"/>
          <w:b w:val="0"/>
          <w:bCs w:val="0"/>
          <w:color w:val="auto"/>
          <w:kern w:val="2"/>
          <w:sz w:val="24"/>
          <w:szCs w:val="24"/>
          <w:highlight w:val="none"/>
          <w:lang w:val="en-US" w:eastAsia="zh-CN" w:bidi="ar"/>
        </w:rPr>
      </w:pPr>
    </w:p>
    <w:p w14:paraId="21CF6D13">
      <w:pPr>
        <w:pStyle w:val="34"/>
        <w:rPr>
          <w:rFonts w:hint="eastAsia" w:ascii="宋体" w:hAnsi="宋体" w:eastAsia="宋体" w:cs="宋体"/>
          <w:b w:val="0"/>
          <w:bCs w:val="0"/>
          <w:color w:val="auto"/>
          <w:kern w:val="2"/>
          <w:sz w:val="24"/>
          <w:szCs w:val="24"/>
          <w:highlight w:val="none"/>
          <w:lang w:val="en-US" w:eastAsia="zh-CN" w:bidi="ar"/>
        </w:rPr>
      </w:pPr>
    </w:p>
    <w:p w14:paraId="1CE90582">
      <w:pPr>
        <w:pStyle w:val="34"/>
        <w:rPr>
          <w:rFonts w:hint="eastAsia" w:ascii="宋体" w:hAnsi="宋体" w:eastAsia="宋体" w:cs="宋体"/>
          <w:b w:val="0"/>
          <w:bCs w:val="0"/>
          <w:color w:val="auto"/>
          <w:kern w:val="2"/>
          <w:sz w:val="24"/>
          <w:szCs w:val="24"/>
          <w:highlight w:val="none"/>
          <w:lang w:val="en-US" w:eastAsia="zh-CN" w:bidi="ar"/>
        </w:rPr>
      </w:pPr>
    </w:p>
    <w:p w14:paraId="1336C938">
      <w:pPr>
        <w:pStyle w:val="34"/>
        <w:rPr>
          <w:rFonts w:hint="eastAsia" w:ascii="宋体" w:hAnsi="宋体" w:eastAsia="宋体" w:cs="宋体"/>
          <w:b w:val="0"/>
          <w:bCs w:val="0"/>
          <w:color w:val="auto"/>
          <w:kern w:val="2"/>
          <w:sz w:val="24"/>
          <w:szCs w:val="24"/>
          <w:highlight w:val="none"/>
          <w:lang w:val="en-US" w:eastAsia="zh-CN" w:bidi="ar"/>
        </w:rPr>
      </w:pPr>
    </w:p>
    <w:p w14:paraId="405DC5C4">
      <w:pPr>
        <w:pStyle w:val="34"/>
        <w:rPr>
          <w:rFonts w:hint="eastAsia" w:ascii="宋体" w:hAnsi="宋体" w:eastAsia="宋体" w:cs="宋体"/>
          <w:b w:val="0"/>
          <w:bCs w:val="0"/>
          <w:color w:val="auto"/>
          <w:kern w:val="2"/>
          <w:sz w:val="24"/>
          <w:szCs w:val="24"/>
          <w:highlight w:val="none"/>
          <w:lang w:val="en-US" w:eastAsia="zh-CN" w:bidi="ar"/>
        </w:rPr>
      </w:pPr>
    </w:p>
    <w:p w14:paraId="40733386">
      <w:pPr>
        <w:pStyle w:val="34"/>
        <w:rPr>
          <w:rFonts w:hint="eastAsia" w:ascii="宋体" w:hAnsi="宋体" w:eastAsia="宋体" w:cs="宋体"/>
          <w:b w:val="0"/>
          <w:bCs w:val="0"/>
          <w:color w:val="auto"/>
          <w:kern w:val="2"/>
          <w:sz w:val="24"/>
          <w:szCs w:val="24"/>
          <w:highlight w:val="none"/>
          <w:lang w:val="en-US" w:eastAsia="zh-CN" w:bidi="ar"/>
        </w:rPr>
      </w:pPr>
    </w:p>
    <w:p w14:paraId="5B1D7D5A">
      <w:pPr>
        <w:pStyle w:val="34"/>
        <w:rPr>
          <w:rFonts w:hint="eastAsia" w:ascii="宋体" w:hAnsi="宋体" w:eastAsia="宋体" w:cs="宋体"/>
          <w:b w:val="0"/>
          <w:bCs w:val="0"/>
          <w:color w:val="auto"/>
          <w:kern w:val="2"/>
          <w:sz w:val="24"/>
          <w:szCs w:val="24"/>
          <w:highlight w:val="none"/>
          <w:lang w:val="en-US" w:eastAsia="zh-CN" w:bidi="ar"/>
        </w:rPr>
      </w:pPr>
    </w:p>
    <w:p w14:paraId="7A8B8B54">
      <w:pPr>
        <w:pStyle w:val="34"/>
        <w:rPr>
          <w:rFonts w:hint="eastAsia" w:ascii="宋体" w:hAnsi="宋体" w:eastAsia="宋体" w:cs="宋体"/>
          <w:b w:val="0"/>
          <w:bCs w:val="0"/>
          <w:color w:val="auto"/>
          <w:kern w:val="2"/>
          <w:sz w:val="24"/>
          <w:szCs w:val="24"/>
          <w:highlight w:val="none"/>
          <w:lang w:val="en-US" w:eastAsia="zh-CN" w:bidi="ar"/>
        </w:rPr>
      </w:pPr>
    </w:p>
    <w:p w14:paraId="4326D17B">
      <w:pPr>
        <w:pStyle w:val="34"/>
        <w:rPr>
          <w:rFonts w:hint="eastAsia" w:ascii="宋体" w:hAnsi="宋体" w:eastAsia="宋体" w:cs="宋体"/>
          <w:b w:val="0"/>
          <w:bCs w:val="0"/>
          <w:color w:val="auto"/>
          <w:kern w:val="2"/>
          <w:sz w:val="24"/>
          <w:szCs w:val="24"/>
          <w:highlight w:val="none"/>
          <w:lang w:val="en-US" w:eastAsia="zh-CN" w:bidi="ar"/>
        </w:rPr>
      </w:pPr>
    </w:p>
    <w:p w14:paraId="1552980F">
      <w:pPr>
        <w:keepNext w:val="0"/>
        <w:keepLines w:val="0"/>
        <w:pageBreakBefore w:val="0"/>
        <w:numPr>
          <w:ilvl w:val="0"/>
          <w:numId w:val="7"/>
        </w:numPr>
        <w:kinsoku/>
        <w:wordWrap/>
        <w:overflowPunct/>
        <w:topLinePunct w:val="0"/>
        <w:bidi w:val="0"/>
        <w:snapToGrid/>
        <w:ind w:firstLine="562" w:firstLineChars="200"/>
        <w:jc w:val="center"/>
        <w:textAlignment w:val="auto"/>
        <w:outlineLvl w:val="0"/>
        <w:rPr>
          <w:rFonts w:hint="eastAsia" w:ascii="宋体" w:hAnsi="宋体" w:eastAsia="宋体" w:cs="宋体"/>
          <w:b/>
          <w:bCs/>
          <w:color w:val="auto"/>
          <w:sz w:val="28"/>
          <w:szCs w:val="28"/>
          <w:highlight w:val="none"/>
        </w:rPr>
      </w:pPr>
      <w:bookmarkStart w:id="9" w:name="_Toc32634"/>
      <w:r>
        <w:rPr>
          <w:rFonts w:hint="eastAsia" w:ascii="宋体" w:hAnsi="宋体" w:eastAsia="宋体" w:cs="宋体"/>
          <w:b/>
          <w:bCs/>
          <w:color w:val="auto"/>
          <w:sz w:val="28"/>
          <w:szCs w:val="28"/>
          <w:highlight w:val="none"/>
          <w:lang w:val="en-US" w:eastAsia="zh-CN"/>
        </w:rPr>
        <w:t>商务条款</w:t>
      </w:r>
      <w:bookmarkEnd w:id="9"/>
    </w:p>
    <w:p w14:paraId="02702EA2">
      <w:pPr>
        <w:keepNext w:val="0"/>
        <w:keepLines w:val="0"/>
        <w:pageBreakBefore w:val="0"/>
        <w:widowControl w:val="0"/>
        <w:kinsoku/>
        <w:wordWrap/>
        <w:overflowPunct/>
        <w:topLinePunct w:val="0"/>
        <w:bidi w:val="0"/>
        <w:spacing w:line="500" w:lineRule="exact"/>
        <w:ind w:firstLine="482" w:firstLineChars="200"/>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lang w:val="en-US" w:eastAsia="zh-CN"/>
        </w:rPr>
        <w:t>一、</w:t>
      </w:r>
      <w:r>
        <w:rPr>
          <w:rFonts w:hint="eastAsia" w:ascii="宋体" w:hAnsi="宋体" w:eastAsia="宋体" w:cs="宋体"/>
          <w:b/>
          <w:color w:val="auto"/>
          <w:sz w:val="24"/>
          <w:szCs w:val="24"/>
          <w:highlight w:val="none"/>
        </w:rPr>
        <w:t>服务期：</w:t>
      </w:r>
    </w:p>
    <w:p w14:paraId="0C290BD1">
      <w:pPr>
        <w:keepNext w:val="0"/>
        <w:keepLines w:val="0"/>
        <w:pageBreakBefore w:val="0"/>
        <w:widowControl w:val="0"/>
        <w:kinsoku/>
        <w:wordWrap/>
        <w:overflowPunct/>
        <w:topLinePunct w:val="0"/>
        <w:bidi w:val="0"/>
        <w:spacing w:line="500" w:lineRule="exact"/>
        <w:ind w:firstLine="480" w:firstLineChars="200"/>
        <w:textAlignment w:val="auto"/>
        <w:rPr>
          <w:rFonts w:hint="eastAsia" w:ascii="宋体" w:hAnsi="宋体" w:eastAsia="宋体" w:cs="宋体"/>
          <w:color w:val="auto"/>
          <w:sz w:val="24"/>
          <w:highlight w:val="none"/>
          <w:lang w:val="en-US"/>
        </w:rPr>
      </w:pPr>
      <w:r>
        <w:rPr>
          <w:rFonts w:hint="eastAsia" w:ascii="宋体" w:hAnsi="宋体" w:eastAsia="宋体" w:cs="宋体"/>
          <w:color w:val="auto"/>
          <w:sz w:val="24"/>
          <w:szCs w:val="24"/>
          <w:highlight w:val="none"/>
          <w:lang w:val="en-US" w:eastAsia="zh-CN"/>
        </w:rPr>
        <w:t>服务期</w:t>
      </w:r>
      <w:r>
        <w:rPr>
          <w:rFonts w:hint="eastAsia" w:ascii="宋体" w:hAnsi="宋体" w:cs="宋体"/>
          <w:color w:val="auto"/>
          <w:sz w:val="24"/>
          <w:szCs w:val="24"/>
          <w:highlight w:val="none"/>
          <w:lang w:val="en-US" w:eastAsia="zh-CN"/>
        </w:rPr>
        <w:t>：</w:t>
      </w:r>
      <w:r>
        <w:rPr>
          <w:rFonts w:hint="eastAsia" w:ascii="宋体" w:hAnsi="宋体" w:eastAsia="宋体" w:cs="宋体"/>
          <w:color w:val="auto"/>
          <w:sz w:val="24"/>
          <w:szCs w:val="24"/>
          <w:highlight w:val="none"/>
          <w:lang w:val="en-US" w:eastAsia="zh-CN"/>
        </w:rPr>
        <w:t>为自合同签订之日起一年。</w:t>
      </w:r>
    </w:p>
    <w:p w14:paraId="6BF11064">
      <w:pPr>
        <w:keepNext w:val="0"/>
        <w:keepLines w:val="0"/>
        <w:pageBreakBefore w:val="0"/>
        <w:widowControl w:val="0"/>
        <w:kinsoku/>
        <w:wordWrap/>
        <w:overflowPunct/>
        <w:topLinePunct w:val="0"/>
        <w:bidi w:val="0"/>
        <w:spacing w:line="500" w:lineRule="exact"/>
        <w:ind w:firstLine="482" w:firstLineChars="200"/>
        <w:textAlignment w:val="auto"/>
        <w:rPr>
          <w:rFonts w:hint="eastAsia" w:ascii="宋体" w:hAnsi="宋体" w:eastAsia="宋体" w:cs="宋体"/>
          <w:b/>
          <w:color w:val="auto"/>
          <w:kern w:val="1"/>
          <w:sz w:val="24"/>
          <w:highlight w:val="none"/>
        </w:rPr>
      </w:pPr>
      <w:r>
        <w:rPr>
          <w:rFonts w:hint="eastAsia" w:ascii="宋体" w:hAnsi="宋体" w:eastAsia="宋体" w:cs="宋体"/>
          <w:b/>
          <w:bCs/>
          <w:color w:val="auto"/>
          <w:sz w:val="24"/>
          <w:highlight w:val="none"/>
        </w:rPr>
        <w:t>二、</w:t>
      </w:r>
      <w:r>
        <w:rPr>
          <w:rFonts w:hint="eastAsia" w:ascii="宋体" w:hAnsi="宋体" w:eastAsia="宋体" w:cs="宋体"/>
          <w:b/>
          <w:color w:val="auto"/>
          <w:sz w:val="24"/>
          <w:szCs w:val="24"/>
          <w:highlight w:val="none"/>
        </w:rPr>
        <w:t>服务</w:t>
      </w:r>
      <w:r>
        <w:rPr>
          <w:rFonts w:hint="eastAsia" w:ascii="宋体" w:hAnsi="宋体" w:eastAsia="宋体" w:cs="宋体"/>
          <w:b/>
          <w:bCs/>
          <w:color w:val="auto"/>
          <w:sz w:val="24"/>
          <w:highlight w:val="none"/>
        </w:rPr>
        <w:t>地点</w:t>
      </w:r>
      <w:r>
        <w:rPr>
          <w:rFonts w:hint="eastAsia" w:ascii="宋体" w:hAnsi="宋体" w:eastAsia="宋体" w:cs="宋体"/>
          <w:b/>
          <w:bCs/>
          <w:color w:val="auto"/>
          <w:sz w:val="24"/>
          <w:highlight w:val="none"/>
          <w:lang w:eastAsia="zh-CN"/>
        </w:rPr>
        <w:t>：</w:t>
      </w:r>
      <w:r>
        <w:rPr>
          <w:rFonts w:hint="eastAsia" w:ascii="宋体" w:hAnsi="宋体" w:eastAsia="宋体" w:cs="宋体"/>
          <w:b w:val="0"/>
          <w:bCs w:val="0"/>
          <w:color w:val="auto"/>
          <w:sz w:val="24"/>
          <w:highlight w:val="none"/>
          <w:lang w:eastAsia="zh-CN"/>
        </w:rPr>
        <w:t xml:space="preserve"> 甲方指定地点</w:t>
      </w:r>
      <w:r>
        <w:rPr>
          <w:rFonts w:hint="eastAsia" w:ascii="宋体" w:hAnsi="宋体" w:eastAsia="宋体" w:cs="宋体"/>
          <w:color w:val="auto"/>
          <w:sz w:val="24"/>
          <w:highlight w:val="none"/>
        </w:rPr>
        <w:t>。</w:t>
      </w:r>
    </w:p>
    <w:p w14:paraId="0337D6A0">
      <w:pPr>
        <w:keepNext w:val="0"/>
        <w:keepLines w:val="0"/>
        <w:pageBreakBefore w:val="0"/>
        <w:widowControl w:val="0"/>
        <w:kinsoku/>
        <w:wordWrap/>
        <w:overflowPunct/>
        <w:topLinePunct w:val="0"/>
        <w:autoSpaceDE/>
        <w:autoSpaceDN/>
        <w:bidi w:val="0"/>
        <w:adjustRightInd/>
        <w:snapToGrid/>
        <w:spacing w:line="500" w:lineRule="exact"/>
        <w:ind w:firstLine="482" w:firstLineChars="200"/>
        <w:textAlignment w:val="auto"/>
        <w:rPr>
          <w:rFonts w:hint="default" w:ascii="宋体" w:hAnsi="宋体" w:eastAsia="宋体" w:cs="宋体"/>
          <w:color w:val="auto"/>
          <w:sz w:val="28"/>
          <w:szCs w:val="28"/>
          <w:highlight w:val="none"/>
          <w:lang w:val="en-US" w:eastAsia="zh-CN"/>
        </w:rPr>
      </w:pPr>
      <w:r>
        <w:rPr>
          <w:rFonts w:hint="eastAsia" w:ascii="宋体" w:hAnsi="宋体" w:eastAsia="宋体" w:cs="宋体"/>
          <w:b/>
          <w:color w:val="auto"/>
          <w:sz w:val="24"/>
          <w:szCs w:val="24"/>
          <w:highlight w:val="none"/>
          <w:lang w:val="en-US" w:eastAsia="zh-CN"/>
        </w:rPr>
        <w:t>三、</w:t>
      </w:r>
      <w:r>
        <w:rPr>
          <w:rFonts w:hint="eastAsia" w:ascii="宋体" w:hAnsi="宋体" w:cs="宋体"/>
          <w:b/>
          <w:color w:val="auto"/>
          <w:kern w:val="1"/>
          <w:sz w:val="24"/>
          <w:highlight w:val="none"/>
          <w:lang w:val="en-US" w:eastAsia="zh-CN"/>
        </w:rPr>
        <w:t>合同价款：</w:t>
      </w:r>
    </w:p>
    <w:p w14:paraId="2589838F">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kern w:val="0"/>
          <w:sz w:val="24"/>
          <w:szCs w:val="24"/>
          <w:highlight w:val="none"/>
          <w:lang w:val="en-US" w:eastAsia="zh-CN"/>
        </w:rPr>
        <w:t>合同价款：</w:t>
      </w:r>
      <w:r>
        <w:rPr>
          <w:rFonts w:hint="eastAsia" w:ascii="宋体" w:hAnsi="宋体" w:eastAsia="宋体" w:cs="宋体"/>
          <w:b w:val="0"/>
          <w:bCs w:val="0"/>
          <w:color w:val="auto"/>
          <w:sz w:val="24"/>
          <w:szCs w:val="24"/>
          <w:highlight w:val="none"/>
        </w:rPr>
        <w:t>合同总价一次包死，不受市场价变化的影响。合同总价包括：</w:t>
      </w:r>
      <w:r>
        <w:rPr>
          <w:rFonts w:hint="eastAsia" w:ascii="宋体" w:hAnsi="宋体" w:eastAsia="宋体" w:cs="宋体"/>
          <w:b w:val="0"/>
          <w:bCs w:val="0"/>
          <w:color w:val="auto"/>
          <w:sz w:val="24"/>
          <w:szCs w:val="24"/>
          <w:highlight w:val="none"/>
          <w:lang w:val="en-US" w:eastAsia="zh-CN"/>
        </w:rPr>
        <w:t>维修保养费、检修费、人工费等其他</w:t>
      </w:r>
      <w:r>
        <w:rPr>
          <w:rFonts w:hint="eastAsia" w:ascii="宋体" w:hAnsi="宋体" w:eastAsia="宋体" w:cs="宋体"/>
          <w:b w:val="0"/>
          <w:bCs w:val="0"/>
          <w:color w:val="auto"/>
          <w:sz w:val="24"/>
          <w:szCs w:val="24"/>
          <w:highlight w:val="none"/>
        </w:rPr>
        <w:t>相关费用。</w:t>
      </w:r>
      <w:r>
        <w:rPr>
          <w:rFonts w:hint="eastAsia" w:ascii="宋体" w:hAnsi="宋体" w:eastAsia="宋体" w:cs="宋体"/>
          <w:b w:val="0"/>
          <w:bCs w:val="0"/>
          <w:color w:val="auto"/>
          <w:sz w:val="24"/>
          <w:szCs w:val="24"/>
          <w:highlight w:val="none"/>
          <w:lang w:val="en-US" w:eastAsia="zh-CN"/>
        </w:rPr>
        <w:t>维修配件1</w:t>
      </w:r>
      <w:r>
        <w:rPr>
          <w:rFonts w:hint="eastAsia" w:ascii="宋体" w:hAnsi="宋体" w:cs="宋体"/>
          <w:b w:val="0"/>
          <w:bCs w:val="0"/>
          <w:color w:val="auto"/>
          <w:sz w:val="24"/>
          <w:szCs w:val="24"/>
          <w:highlight w:val="none"/>
          <w:lang w:val="en-US" w:eastAsia="zh-CN"/>
        </w:rPr>
        <w:t>5</w:t>
      </w:r>
      <w:r>
        <w:rPr>
          <w:rFonts w:hint="eastAsia" w:ascii="宋体" w:hAnsi="宋体" w:eastAsia="宋体" w:cs="宋体"/>
          <w:b w:val="0"/>
          <w:bCs w:val="0"/>
          <w:color w:val="auto"/>
          <w:sz w:val="24"/>
          <w:szCs w:val="24"/>
          <w:highlight w:val="none"/>
          <w:lang w:val="en-US" w:eastAsia="zh-CN"/>
        </w:rPr>
        <w:t>00元以下由中标公司承担，1</w:t>
      </w:r>
      <w:r>
        <w:rPr>
          <w:rFonts w:hint="eastAsia" w:ascii="宋体" w:hAnsi="宋体" w:cs="宋体"/>
          <w:b w:val="0"/>
          <w:bCs w:val="0"/>
          <w:color w:val="auto"/>
          <w:sz w:val="24"/>
          <w:szCs w:val="24"/>
          <w:highlight w:val="none"/>
          <w:lang w:val="en-US" w:eastAsia="zh-CN"/>
        </w:rPr>
        <w:t>5</w:t>
      </w:r>
      <w:r>
        <w:rPr>
          <w:rFonts w:hint="eastAsia" w:ascii="宋体" w:hAnsi="宋体" w:eastAsia="宋体" w:cs="宋体"/>
          <w:b w:val="0"/>
          <w:bCs w:val="0"/>
          <w:color w:val="auto"/>
          <w:sz w:val="24"/>
          <w:szCs w:val="24"/>
          <w:highlight w:val="none"/>
          <w:lang w:val="en-US" w:eastAsia="zh-CN"/>
        </w:rPr>
        <w:t>00元以上由甲方承担，需更换的配件应与院区负责人确认，否则更换的费用由乙方负责。</w:t>
      </w:r>
      <w:r>
        <w:rPr>
          <w:rFonts w:hint="eastAsia" w:ascii="宋体" w:hAnsi="宋体" w:eastAsia="宋体" w:cs="宋体"/>
          <w:b w:val="0"/>
          <w:bCs w:val="0"/>
          <w:color w:val="auto"/>
          <w:sz w:val="24"/>
          <w:szCs w:val="24"/>
          <w:highlight w:val="none"/>
        </w:rPr>
        <w:t>在维护作业期间，如有需维修更换的零部件材料费按乙方投标时所报配件价格执行</w:t>
      </w:r>
      <w:r>
        <w:rPr>
          <w:rFonts w:hint="eastAsia" w:ascii="宋体" w:hAnsi="宋体" w:eastAsia="宋体" w:cs="宋体"/>
          <w:b w:val="0"/>
          <w:bCs w:val="0"/>
          <w:color w:val="auto"/>
          <w:sz w:val="24"/>
          <w:szCs w:val="24"/>
          <w:highlight w:val="none"/>
          <w:lang w:eastAsia="zh-CN"/>
        </w:rPr>
        <w:t>（</w:t>
      </w:r>
      <w:r>
        <w:rPr>
          <w:rFonts w:hint="eastAsia" w:ascii="宋体" w:hAnsi="宋体" w:eastAsia="宋体" w:cs="宋体"/>
          <w:b w:val="0"/>
          <w:bCs w:val="0"/>
          <w:color w:val="auto"/>
          <w:kern w:val="2"/>
          <w:sz w:val="24"/>
          <w:szCs w:val="24"/>
          <w:highlight w:val="none"/>
          <w:lang w:val="en-US" w:eastAsia="zh-CN" w:bidi="ar-SA"/>
        </w:rPr>
        <w:t>投标供应商须在投标文件中提供零部件价格明细表</w:t>
      </w:r>
      <w:r>
        <w:rPr>
          <w:rFonts w:hint="eastAsia" w:ascii="宋体" w:hAnsi="宋体" w:eastAsia="宋体" w:cs="宋体"/>
          <w:b w:val="0"/>
          <w:bCs w:val="0"/>
          <w:color w:val="auto"/>
          <w:sz w:val="24"/>
          <w:szCs w:val="24"/>
          <w:highlight w:val="none"/>
          <w:lang w:eastAsia="zh-CN"/>
        </w:rPr>
        <w:t>），</w:t>
      </w:r>
      <w:r>
        <w:rPr>
          <w:rFonts w:hint="eastAsia" w:ascii="宋体" w:hAnsi="宋体" w:eastAsia="宋体" w:cs="宋体"/>
          <w:b w:val="0"/>
          <w:bCs w:val="0"/>
          <w:color w:val="auto"/>
          <w:sz w:val="24"/>
          <w:szCs w:val="24"/>
          <w:highlight w:val="none"/>
        </w:rPr>
        <w:t>乙方应先保证质量合格，完工后再向甲方结算，以确保</w:t>
      </w:r>
      <w:r>
        <w:rPr>
          <w:rFonts w:hint="eastAsia" w:ascii="宋体" w:hAnsi="宋体" w:eastAsia="宋体" w:cs="宋体"/>
          <w:b w:val="0"/>
          <w:bCs w:val="0"/>
          <w:color w:val="auto"/>
          <w:sz w:val="24"/>
          <w:szCs w:val="24"/>
          <w:highlight w:val="none"/>
          <w:lang w:eastAsia="zh-CN"/>
        </w:rPr>
        <w:t>设施设备</w:t>
      </w:r>
      <w:r>
        <w:rPr>
          <w:rFonts w:hint="eastAsia" w:ascii="宋体" w:hAnsi="宋体" w:eastAsia="宋体" w:cs="宋体"/>
          <w:b w:val="0"/>
          <w:bCs w:val="0"/>
          <w:color w:val="auto"/>
          <w:sz w:val="24"/>
          <w:szCs w:val="24"/>
          <w:highlight w:val="none"/>
        </w:rPr>
        <w:t>正常运行。</w:t>
      </w:r>
    </w:p>
    <w:p w14:paraId="181D6F46">
      <w:pPr>
        <w:keepNext w:val="0"/>
        <w:keepLines w:val="0"/>
        <w:pageBreakBefore w:val="0"/>
        <w:widowControl w:val="0"/>
        <w:kinsoku/>
        <w:wordWrap/>
        <w:overflowPunct/>
        <w:topLinePunct w:val="0"/>
        <w:bidi w:val="0"/>
        <w:spacing w:line="500" w:lineRule="exact"/>
        <w:ind w:firstLine="482" w:firstLineChars="200"/>
        <w:textAlignment w:val="auto"/>
        <w:rPr>
          <w:rFonts w:hint="eastAsia" w:ascii="宋体" w:hAnsi="宋体" w:eastAsia="宋体" w:cs="宋体"/>
          <w:b/>
          <w:bCs/>
          <w:color w:val="auto"/>
          <w:sz w:val="24"/>
          <w:highlight w:val="none"/>
          <w:lang w:val="en-US" w:eastAsia="zh-CN"/>
        </w:rPr>
      </w:pPr>
      <w:r>
        <w:rPr>
          <w:rFonts w:hint="eastAsia" w:ascii="宋体" w:hAnsi="宋体" w:cs="宋体"/>
          <w:b/>
          <w:bCs/>
          <w:color w:val="auto"/>
          <w:sz w:val="24"/>
          <w:highlight w:val="none"/>
          <w:lang w:val="en-US" w:eastAsia="zh-CN"/>
        </w:rPr>
        <w:t>四、</w:t>
      </w:r>
      <w:r>
        <w:rPr>
          <w:rFonts w:hint="eastAsia" w:ascii="宋体" w:hAnsi="宋体" w:eastAsia="宋体" w:cs="宋体"/>
          <w:b/>
          <w:bCs/>
          <w:color w:val="auto"/>
          <w:sz w:val="24"/>
          <w:highlight w:val="none"/>
          <w:lang w:val="en-US" w:eastAsia="zh-CN"/>
        </w:rPr>
        <w:t>结算方式：</w:t>
      </w:r>
    </w:p>
    <w:p w14:paraId="39C39F22">
      <w:pPr>
        <w:keepNext w:val="0"/>
        <w:keepLines w:val="0"/>
        <w:pageBreakBefore w:val="0"/>
        <w:widowControl w:val="0"/>
        <w:kinsoku/>
        <w:wordWrap/>
        <w:overflowPunct/>
        <w:topLinePunct w:val="0"/>
        <w:bidi w:val="0"/>
        <w:spacing w:line="500" w:lineRule="exact"/>
        <w:ind w:firstLine="480" w:firstLineChars="200"/>
        <w:textAlignment w:val="auto"/>
        <w:rPr>
          <w:rFonts w:hint="default" w:ascii="宋体" w:hAnsi="宋体" w:eastAsia="宋体" w:cs="宋体"/>
          <w:b w:val="0"/>
          <w:bCs w:val="0"/>
          <w:color w:val="auto"/>
          <w:kern w:val="0"/>
          <w:sz w:val="24"/>
          <w:szCs w:val="24"/>
          <w:highlight w:val="none"/>
          <w:lang w:val="en-US" w:eastAsia="zh-CN"/>
        </w:rPr>
      </w:pPr>
      <w:r>
        <w:rPr>
          <w:rFonts w:hint="eastAsia" w:ascii="宋体" w:hAnsi="宋体" w:eastAsia="宋体" w:cs="宋体"/>
          <w:b w:val="0"/>
          <w:bCs w:val="0"/>
          <w:color w:val="auto"/>
          <w:kern w:val="0"/>
          <w:sz w:val="24"/>
          <w:szCs w:val="24"/>
          <w:highlight w:val="none"/>
          <w:lang w:val="en-US" w:eastAsia="zh-CN"/>
        </w:rPr>
        <w:t>每季度甲方将维保服务费用转账支付乙方（节假日顺延）。乙方需提供合法有效税务票据，需附甲方管理考核表。</w:t>
      </w:r>
    </w:p>
    <w:p w14:paraId="5F6049DB">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2" w:firstLineChars="200"/>
        <w:textAlignment w:val="auto"/>
        <w:rPr>
          <w:rFonts w:hint="eastAsia" w:ascii="宋体" w:hAnsi="宋体" w:eastAsia="宋体" w:cs="宋体"/>
          <w:b/>
          <w:bCs w:val="0"/>
          <w:color w:val="auto"/>
          <w:kern w:val="1"/>
          <w:sz w:val="24"/>
          <w:highlight w:val="none"/>
          <w:lang w:val="en-US" w:eastAsia="zh-CN"/>
        </w:rPr>
      </w:pPr>
      <w:r>
        <w:rPr>
          <w:rFonts w:hint="eastAsia" w:ascii="宋体" w:hAnsi="宋体" w:cs="宋体"/>
          <w:b/>
          <w:bCs w:val="0"/>
          <w:color w:val="auto"/>
          <w:kern w:val="1"/>
          <w:sz w:val="24"/>
          <w:szCs w:val="24"/>
          <w:highlight w:val="none"/>
          <w:lang w:val="en-US" w:eastAsia="zh-CN" w:bidi="ar-SA"/>
        </w:rPr>
        <w:t>五</w:t>
      </w:r>
      <w:r>
        <w:rPr>
          <w:rFonts w:hint="eastAsia" w:ascii="宋体" w:hAnsi="宋体" w:eastAsia="宋体" w:cs="宋体"/>
          <w:b/>
          <w:bCs w:val="0"/>
          <w:color w:val="auto"/>
          <w:kern w:val="1"/>
          <w:sz w:val="24"/>
          <w:szCs w:val="24"/>
          <w:highlight w:val="none"/>
          <w:lang w:val="en-US" w:eastAsia="zh-CN" w:bidi="ar-SA"/>
        </w:rPr>
        <w:t>、</w:t>
      </w:r>
      <w:r>
        <w:rPr>
          <w:rFonts w:hint="eastAsia" w:ascii="宋体" w:hAnsi="宋体" w:eastAsia="宋体" w:cs="宋体"/>
          <w:b/>
          <w:bCs w:val="0"/>
          <w:color w:val="auto"/>
          <w:kern w:val="2"/>
          <w:sz w:val="24"/>
          <w:szCs w:val="24"/>
          <w:highlight w:val="none"/>
          <w:lang w:val="en-US" w:eastAsia="zh-CN" w:bidi="ar-SA"/>
        </w:rPr>
        <w:t>维修响应时间要求</w:t>
      </w:r>
    </w:p>
    <w:p w14:paraId="1D575246">
      <w:pPr>
        <w:keepNext w:val="0"/>
        <w:keepLines w:val="0"/>
        <w:pageBreakBefore w:val="0"/>
        <w:widowControl w:val="0"/>
        <w:tabs>
          <w:tab w:val="left" w:pos="900"/>
        </w:tabs>
        <w:kinsoku/>
        <w:wordWrap/>
        <w:overflowPunct/>
        <w:topLinePunct w:val="0"/>
        <w:autoSpaceDE/>
        <w:autoSpaceDN/>
        <w:bidi w:val="0"/>
        <w:spacing w:beforeAutospacing="0" w:afterAutospacing="0" w:line="460" w:lineRule="exact"/>
        <w:ind w:left="0" w:leftChars="0" w:firstLine="480" w:firstLineChars="200"/>
        <w:textAlignment w:val="auto"/>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lang w:val="en-US" w:eastAsia="zh-CN"/>
        </w:rPr>
        <w:t>1</w:t>
      </w:r>
      <w:r>
        <w:rPr>
          <w:rFonts w:hint="eastAsia" w:ascii="宋体" w:hAnsi="宋体" w:eastAsia="宋体" w:cs="宋体"/>
          <w:b w:val="0"/>
          <w:bCs w:val="0"/>
          <w:color w:val="auto"/>
          <w:sz w:val="24"/>
          <w:szCs w:val="24"/>
          <w:highlight w:val="none"/>
        </w:rPr>
        <w:t>、不需更换配件的故障，</w:t>
      </w:r>
      <w:r>
        <w:rPr>
          <w:rFonts w:hint="eastAsia" w:ascii="宋体" w:hAnsi="宋体" w:eastAsia="宋体" w:cs="宋体"/>
          <w:b w:val="0"/>
          <w:bCs w:val="0"/>
          <w:color w:val="auto"/>
          <w:sz w:val="24"/>
          <w:szCs w:val="24"/>
          <w:highlight w:val="none"/>
          <w:lang w:val="en-US" w:eastAsia="zh-CN"/>
        </w:rPr>
        <w:t>15分钟</w:t>
      </w:r>
      <w:r>
        <w:rPr>
          <w:rFonts w:hint="eastAsia" w:ascii="宋体" w:hAnsi="宋体" w:eastAsia="宋体" w:cs="宋体"/>
          <w:b w:val="0"/>
          <w:bCs w:val="0"/>
          <w:color w:val="auto"/>
          <w:sz w:val="24"/>
          <w:szCs w:val="24"/>
          <w:highlight w:val="none"/>
        </w:rPr>
        <w:t>内</w:t>
      </w:r>
      <w:r>
        <w:rPr>
          <w:rFonts w:hint="eastAsia" w:ascii="宋体" w:hAnsi="宋体" w:eastAsia="宋体" w:cs="宋体"/>
          <w:b w:val="0"/>
          <w:bCs w:val="0"/>
          <w:color w:val="auto"/>
          <w:sz w:val="24"/>
          <w:szCs w:val="24"/>
          <w:highlight w:val="none"/>
          <w:lang w:eastAsia="zh-CN"/>
        </w:rPr>
        <w:t>进行故障排查处理</w:t>
      </w:r>
      <w:r>
        <w:rPr>
          <w:rFonts w:hint="eastAsia" w:ascii="宋体" w:hAnsi="宋体" w:eastAsia="宋体" w:cs="宋体"/>
          <w:b w:val="0"/>
          <w:bCs w:val="0"/>
          <w:color w:val="auto"/>
          <w:sz w:val="24"/>
          <w:szCs w:val="24"/>
          <w:highlight w:val="none"/>
        </w:rPr>
        <w:t>。</w:t>
      </w:r>
    </w:p>
    <w:p w14:paraId="6B98CDC1">
      <w:pPr>
        <w:keepNext w:val="0"/>
        <w:keepLines w:val="0"/>
        <w:pageBreakBefore w:val="0"/>
        <w:widowControl w:val="0"/>
        <w:tabs>
          <w:tab w:val="left" w:pos="900"/>
        </w:tabs>
        <w:kinsoku/>
        <w:wordWrap/>
        <w:overflowPunct/>
        <w:topLinePunct w:val="0"/>
        <w:autoSpaceDE/>
        <w:autoSpaceDN/>
        <w:bidi w:val="0"/>
        <w:spacing w:beforeAutospacing="0" w:afterAutospacing="0" w:line="460" w:lineRule="exact"/>
        <w:ind w:left="0" w:leftChars="0" w:firstLine="480" w:firstLineChars="200"/>
        <w:textAlignment w:val="auto"/>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lang w:val="en-US" w:eastAsia="zh-CN"/>
        </w:rPr>
        <w:t>2</w:t>
      </w:r>
      <w:r>
        <w:rPr>
          <w:rFonts w:hint="eastAsia" w:ascii="宋体" w:hAnsi="宋体" w:eastAsia="宋体" w:cs="宋体"/>
          <w:b w:val="0"/>
          <w:bCs w:val="0"/>
          <w:color w:val="auto"/>
          <w:sz w:val="24"/>
          <w:szCs w:val="24"/>
          <w:highlight w:val="none"/>
        </w:rPr>
        <w:t>、对需要更换配件的故障：</w:t>
      </w:r>
    </w:p>
    <w:p w14:paraId="1206EB4D">
      <w:pPr>
        <w:keepNext w:val="0"/>
        <w:keepLines w:val="0"/>
        <w:pageBreakBefore w:val="0"/>
        <w:widowControl w:val="0"/>
        <w:tabs>
          <w:tab w:val="left" w:pos="900"/>
        </w:tabs>
        <w:kinsoku/>
        <w:wordWrap/>
        <w:overflowPunct/>
        <w:topLinePunct w:val="0"/>
        <w:autoSpaceDE/>
        <w:autoSpaceDN/>
        <w:bidi w:val="0"/>
        <w:spacing w:beforeAutospacing="0" w:afterAutospacing="0" w:line="460" w:lineRule="exact"/>
        <w:ind w:left="0" w:leftChars="0" w:firstLine="480" w:firstLineChars="200"/>
        <w:textAlignment w:val="auto"/>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（1）若该配件是市场上可以购买到的通用配件，则故障要求在</w:t>
      </w:r>
      <w:r>
        <w:rPr>
          <w:rFonts w:hint="eastAsia" w:ascii="宋体" w:hAnsi="宋体" w:eastAsia="宋体" w:cs="宋体"/>
          <w:b w:val="0"/>
          <w:bCs w:val="0"/>
          <w:color w:val="auto"/>
          <w:sz w:val="24"/>
          <w:szCs w:val="24"/>
          <w:highlight w:val="none"/>
          <w:lang w:val="en-US" w:eastAsia="zh-CN"/>
        </w:rPr>
        <w:t>2</w:t>
      </w:r>
      <w:r>
        <w:rPr>
          <w:rFonts w:hint="eastAsia" w:ascii="宋体" w:hAnsi="宋体" w:eastAsia="宋体" w:cs="宋体"/>
          <w:b w:val="0"/>
          <w:bCs w:val="0"/>
          <w:color w:val="auto"/>
          <w:sz w:val="24"/>
          <w:szCs w:val="24"/>
          <w:highlight w:val="none"/>
        </w:rPr>
        <w:t>个小时内得到解决。</w:t>
      </w:r>
    </w:p>
    <w:p w14:paraId="01954FF4">
      <w:pPr>
        <w:keepNext w:val="0"/>
        <w:keepLines w:val="0"/>
        <w:pageBreakBefore w:val="0"/>
        <w:widowControl w:val="0"/>
        <w:tabs>
          <w:tab w:val="left" w:pos="900"/>
        </w:tabs>
        <w:kinsoku/>
        <w:wordWrap/>
        <w:overflowPunct/>
        <w:topLinePunct w:val="0"/>
        <w:autoSpaceDE/>
        <w:autoSpaceDN/>
        <w:bidi w:val="0"/>
        <w:spacing w:beforeAutospacing="0" w:afterAutospacing="0" w:line="460" w:lineRule="exact"/>
        <w:ind w:left="0" w:leftChars="0" w:firstLine="480" w:firstLineChars="200"/>
        <w:textAlignment w:val="auto"/>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（2）需要更换设备厂家的专用配件，在配件到达现场后2个小时内解决。</w:t>
      </w:r>
    </w:p>
    <w:p w14:paraId="42A54F0A">
      <w:pPr>
        <w:keepNext w:val="0"/>
        <w:keepLines w:val="0"/>
        <w:pageBreakBefore w:val="0"/>
        <w:widowControl w:val="0"/>
        <w:tabs>
          <w:tab w:val="left" w:pos="900"/>
        </w:tabs>
        <w:kinsoku/>
        <w:wordWrap/>
        <w:overflowPunct/>
        <w:topLinePunct w:val="0"/>
        <w:autoSpaceDE/>
        <w:autoSpaceDN/>
        <w:bidi w:val="0"/>
        <w:spacing w:beforeAutospacing="0" w:afterAutospacing="0" w:line="460" w:lineRule="exact"/>
        <w:ind w:left="0" w:leftChars="0" w:firstLine="480" w:firstLineChars="200"/>
        <w:textAlignment w:val="auto"/>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w:t>
      </w:r>
      <w:r>
        <w:rPr>
          <w:rFonts w:hint="eastAsia" w:ascii="宋体" w:hAnsi="宋体" w:eastAsia="宋体" w:cs="宋体"/>
          <w:b w:val="0"/>
          <w:bCs w:val="0"/>
          <w:color w:val="auto"/>
          <w:sz w:val="24"/>
          <w:szCs w:val="24"/>
          <w:highlight w:val="none"/>
          <w:lang w:val="en-US" w:eastAsia="zh-CN"/>
        </w:rPr>
        <w:t>3</w:t>
      </w:r>
      <w:r>
        <w:rPr>
          <w:rFonts w:hint="eastAsia" w:ascii="宋体" w:hAnsi="宋体" w:eastAsia="宋体" w:cs="宋体"/>
          <w:b w:val="0"/>
          <w:bCs w:val="0"/>
          <w:color w:val="auto"/>
          <w:sz w:val="24"/>
          <w:szCs w:val="24"/>
          <w:highlight w:val="none"/>
        </w:rPr>
        <w:t>）需要更换厂家的专用配件，在配件到达现场起72个小时内解决。（注：该故障为特大故障）。</w:t>
      </w:r>
    </w:p>
    <w:p w14:paraId="790704CC">
      <w:pPr>
        <w:keepNext w:val="0"/>
        <w:keepLines w:val="0"/>
        <w:pageBreakBefore w:val="0"/>
        <w:widowControl w:val="0"/>
        <w:tabs>
          <w:tab w:val="left" w:pos="900"/>
        </w:tabs>
        <w:kinsoku/>
        <w:wordWrap/>
        <w:overflowPunct/>
        <w:topLinePunct w:val="0"/>
        <w:autoSpaceDE/>
        <w:autoSpaceDN/>
        <w:bidi w:val="0"/>
        <w:spacing w:beforeAutospacing="0" w:afterAutospacing="0" w:line="460" w:lineRule="exact"/>
        <w:ind w:left="0" w:leftChars="0" w:firstLine="480" w:firstLineChars="200"/>
        <w:textAlignment w:val="auto"/>
        <w:rPr>
          <w:rFonts w:hint="eastAsia" w:ascii="宋体" w:hAnsi="宋体" w:eastAsia="宋体" w:cs="宋体"/>
          <w:b w:val="0"/>
          <w:bCs w:val="0"/>
          <w:color w:val="auto"/>
          <w:sz w:val="24"/>
          <w:szCs w:val="24"/>
          <w:highlight w:val="none"/>
          <w:lang w:val="en-US" w:eastAsia="zh-CN"/>
        </w:rPr>
      </w:pPr>
    </w:p>
    <w:p w14:paraId="113C872E">
      <w:pPr>
        <w:keepNext w:val="0"/>
        <w:keepLines w:val="0"/>
        <w:pageBreakBefore w:val="0"/>
        <w:widowControl w:val="0"/>
        <w:tabs>
          <w:tab w:val="left" w:pos="900"/>
        </w:tabs>
        <w:kinsoku/>
        <w:wordWrap/>
        <w:overflowPunct/>
        <w:topLinePunct w:val="0"/>
        <w:autoSpaceDE/>
        <w:autoSpaceDN/>
        <w:bidi w:val="0"/>
        <w:spacing w:beforeAutospacing="0" w:afterAutospacing="0" w:line="460" w:lineRule="exact"/>
        <w:ind w:left="0" w:leftChars="0" w:firstLine="480" w:firstLineChars="200"/>
        <w:textAlignment w:val="auto"/>
        <w:rPr>
          <w:rFonts w:hint="eastAsia" w:ascii="宋体" w:hAnsi="宋体" w:eastAsia="宋体" w:cs="宋体"/>
          <w:b w:val="0"/>
          <w:bCs w:val="0"/>
          <w:color w:val="auto"/>
          <w:sz w:val="24"/>
          <w:szCs w:val="24"/>
          <w:highlight w:val="none"/>
          <w:lang w:val="en-US" w:eastAsia="zh-CN"/>
        </w:rPr>
        <w:sectPr>
          <w:footerReference r:id="rId8" w:type="default"/>
          <w:footerReference r:id="rId9" w:type="even"/>
          <w:pgSz w:w="11906" w:h="16838"/>
          <w:pgMar w:top="1440" w:right="1587" w:bottom="1440" w:left="1587" w:header="1134" w:footer="992" w:gutter="0"/>
          <w:pgNumType w:fmt="decimal" w:start="1"/>
          <w:cols w:space="720" w:num="1"/>
          <w:rtlGutter w:val="0"/>
          <w:docGrid w:type="lines" w:linePitch="312" w:charSpace="0"/>
        </w:sectPr>
      </w:pPr>
    </w:p>
    <w:p w14:paraId="7FC4FAD5">
      <w:pPr>
        <w:numPr>
          <w:ilvl w:val="0"/>
          <w:numId w:val="0"/>
        </w:numPr>
        <w:spacing w:line="400" w:lineRule="exact"/>
        <w:ind w:leftChars="0"/>
        <w:jc w:val="center"/>
        <w:outlineLvl w:val="0"/>
        <w:rPr>
          <w:rStyle w:val="151"/>
          <w:rFonts w:hint="eastAsia" w:ascii="宋体" w:hAnsi="宋体" w:eastAsia="宋体" w:cs="宋体"/>
          <w:color w:val="auto"/>
          <w:kern w:val="0"/>
          <w:sz w:val="46"/>
          <w:szCs w:val="46"/>
          <w:highlight w:val="none"/>
        </w:rPr>
      </w:pPr>
      <w:bookmarkStart w:id="10" w:name="_Toc1581"/>
      <w:r>
        <w:rPr>
          <w:rFonts w:hint="eastAsia" w:ascii="宋体" w:hAnsi="宋体" w:eastAsia="宋体" w:cs="宋体"/>
          <w:b/>
          <w:color w:val="auto"/>
          <w:sz w:val="32"/>
          <w:szCs w:val="32"/>
          <w:highlight w:val="none"/>
        </w:rPr>
        <w:t>合同主要条款</w:t>
      </w:r>
      <w:bookmarkEnd w:id="10"/>
    </w:p>
    <w:p w14:paraId="6F9A0A90">
      <w:pPr>
        <w:keepNext w:val="0"/>
        <w:keepLines w:val="0"/>
        <w:pageBreakBefore w:val="0"/>
        <w:kinsoku/>
        <w:wordWrap/>
        <w:overflowPunct/>
        <w:topLinePunct w:val="0"/>
        <w:autoSpaceDE/>
        <w:autoSpaceDN/>
        <w:bidi w:val="0"/>
        <w:spacing w:line="600" w:lineRule="exact"/>
        <w:jc w:val="center"/>
        <w:textAlignment w:val="auto"/>
        <w:rPr>
          <w:rFonts w:hint="eastAsia" w:ascii="宋体" w:hAnsi="宋体" w:eastAsia="宋体" w:cs="宋体"/>
          <w:color w:val="auto"/>
          <w:sz w:val="24"/>
          <w:highlight w:val="none"/>
        </w:rPr>
      </w:pPr>
      <w:r>
        <w:rPr>
          <w:rFonts w:hint="eastAsia" w:ascii="宋体" w:hAnsi="宋体" w:eastAsia="宋体" w:cs="宋体"/>
          <w:b/>
          <w:bCs/>
          <w:color w:val="auto"/>
          <w:kern w:val="1"/>
          <w:sz w:val="24"/>
          <w:highlight w:val="none"/>
          <w:lang w:val="zh-CN"/>
        </w:rPr>
        <w:t>【注：本合同仅为合同的参考文本，合同签订双方根据具体要求进行修订。】</w:t>
      </w:r>
    </w:p>
    <w:p w14:paraId="50FB6150">
      <w:pPr>
        <w:keepNext w:val="0"/>
        <w:keepLines w:val="0"/>
        <w:pageBreakBefore w:val="0"/>
        <w:widowControl w:val="0"/>
        <w:tabs>
          <w:tab w:val="left" w:pos="900"/>
        </w:tabs>
        <w:kinsoku/>
        <w:wordWrap/>
        <w:overflowPunct/>
        <w:topLinePunct w:val="0"/>
        <w:autoSpaceDE/>
        <w:autoSpaceDN/>
        <w:bidi w:val="0"/>
        <w:spacing w:beforeAutospacing="0" w:afterAutospacing="0" w:line="460" w:lineRule="exact"/>
        <w:ind w:left="0" w:leftChars="0" w:firstLine="480" w:firstLineChars="200"/>
        <w:textAlignment w:val="auto"/>
        <w:rPr>
          <w:rFonts w:hint="eastAsia" w:ascii="宋体" w:hAnsi="宋体" w:eastAsia="宋体" w:cs="宋体"/>
          <w:b w:val="0"/>
          <w:bCs w:val="0"/>
          <w:color w:val="auto"/>
          <w:sz w:val="24"/>
          <w:szCs w:val="24"/>
          <w:highlight w:val="none"/>
          <w:lang w:val="en-US" w:eastAsia="zh-CN"/>
        </w:rPr>
      </w:pPr>
    </w:p>
    <w:p w14:paraId="24141E14">
      <w:pPr>
        <w:keepNext w:val="0"/>
        <w:keepLines w:val="0"/>
        <w:pageBreakBefore w:val="0"/>
        <w:widowControl w:val="0"/>
        <w:tabs>
          <w:tab w:val="left" w:pos="900"/>
        </w:tabs>
        <w:kinsoku/>
        <w:wordWrap/>
        <w:overflowPunct/>
        <w:topLinePunct w:val="0"/>
        <w:autoSpaceDE/>
        <w:autoSpaceDN/>
        <w:bidi w:val="0"/>
        <w:spacing w:beforeAutospacing="0" w:afterAutospacing="0" w:line="460" w:lineRule="exact"/>
        <w:ind w:left="0" w:leftChars="0" w:firstLine="480" w:firstLineChars="200"/>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根据《中华人民共和国民法典》《中华人民共和国采购法》及有关法律法规，安康市人民医院（甲方）依据有关规定完成2025-2026年度高低压配电室年度维保采购项目政府采购工作，确定</w:t>
      </w:r>
      <w:r>
        <w:rPr>
          <w:rFonts w:hint="eastAsia" w:ascii="宋体" w:hAnsi="宋体" w:eastAsia="宋体" w:cs="宋体"/>
          <w:b w:val="0"/>
          <w:bCs w:val="0"/>
          <w:color w:val="auto"/>
          <w:sz w:val="24"/>
          <w:szCs w:val="24"/>
          <w:highlight w:val="none"/>
          <w:u w:val="single"/>
          <w:lang w:val="en-US" w:eastAsia="zh-CN"/>
        </w:rPr>
        <w:t xml:space="preserve">     </w:t>
      </w:r>
      <w:r>
        <w:rPr>
          <w:rFonts w:hint="eastAsia" w:ascii="宋体" w:hAnsi="宋体" w:eastAsia="宋体" w:cs="宋体"/>
          <w:b w:val="0"/>
          <w:bCs w:val="0"/>
          <w:color w:val="auto"/>
          <w:sz w:val="24"/>
          <w:szCs w:val="24"/>
          <w:highlight w:val="none"/>
          <w:lang w:val="en-US" w:eastAsia="zh-CN"/>
        </w:rPr>
        <w:t>为中标人（乙方），为确保采购事项的顺利实施，甲 、乙双方签订如下合同：</w:t>
      </w:r>
    </w:p>
    <w:p w14:paraId="6CC8E679">
      <w:pPr>
        <w:keepNext w:val="0"/>
        <w:keepLines w:val="0"/>
        <w:pageBreakBefore w:val="0"/>
        <w:widowControl w:val="0"/>
        <w:tabs>
          <w:tab w:val="left" w:pos="900"/>
        </w:tabs>
        <w:kinsoku/>
        <w:wordWrap/>
        <w:overflowPunct/>
        <w:topLinePunct w:val="0"/>
        <w:autoSpaceDE/>
        <w:autoSpaceDN/>
        <w:bidi w:val="0"/>
        <w:spacing w:beforeAutospacing="0" w:afterAutospacing="0" w:line="460" w:lineRule="exact"/>
        <w:ind w:left="0" w:leftChars="0" w:firstLine="480" w:firstLineChars="200"/>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 xml:space="preserve">甲方： </w:t>
      </w:r>
      <w:r>
        <w:rPr>
          <w:rFonts w:hint="eastAsia" w:ascii="宋体" w:hAnsi="宋体" w:eastAsia="宋体" w:cs="宋体"/>
          <w:b w:val="0"/>
          <w:bCs w:val="0"/>
          <w:color w:val="auto"/>
          <w:sz w:val="24"/>
          <w:szCs w:val="24"/>
          <w:highlight w:val="none"/>
          <w:u w:val="single"/>
          <w:lang w:val="en-US" w:eastAsia="zh-CN"/>
        </w:rPr>
        <w:t>安康市人民医院</w:t>
      </w:r>
      <w:r>
        <w:rPr>
          <w:rFonts w:hint="eastAsia" w:ascii="宋体" w:hAnsi="宋体" w:cs="宋体"/>
          <w:b w:val="0"/>
          <w:bCs w:val="0"/>
          <w:color w:val="auto"/>
          <w:sz w:val="24"/>
          <w:szCs w:val="24"/>
          <w:highlight w:val="none"/>
          <w:u w:val="single"/>
          <w:lang w:val="en-US" w:eastAsia="zh-CN"/>
        </w:rPr>
        <w:t xml:space="preserve">  </w:t>
      </w:r>
      <w:r>
        <w:rPr>
          <w:rFonts w:hint="eastAsia" w:ascii="宋体" w:hAnsi="宋体" w:eastAsia="宋体" w:cs="宋体"/>
          <w:b w:val="0"/>
          <w:bCs w:val="0"/>
          <w:color w:val="auto"/>
          <w:sz w:val="24"/>
          <w:szCs w:val="24"/>
          <w:highlight w:val="none"/>
          <w:lang w:val="en-US" w:eastAsia="zh-CN"/>
        </w:rPr>
        <w:t xml:space="preserve">  </w:t>
      </w:r>
    </w:p>
    <w:p w14:paraId="5BC663F0">
      <w:pPr>
        <w:keepNext w:val="0"/>
        <w:keepLines w:val="0"/>
        <w:pageBreakBefore w:val="0"/>
        <w:widowControl w:val="0"/>
        <w:tabs>
          <w:tab w:val="left" w:pos="900"/>
        </w:tabs>
        <w:kinsoku/>
        <w:wordWrap/>
        <w:overflowPunct/>
        <w:topLinePunct w:val="0"/>
        <w:autoSpaceDE/>
        <w:autoSpaceDN/>
        <w:bidi w:val="0"/>
        <w:spacing w:beforeAutospacing="0" w:afterAutospacing="0" w:line="460" w:lineRule="exact"/>
        <w:ind w:left="0" w:leftChars="0" w:firstLine="480" w:firstLineChars="200"/>
        <w:textAlignment w:val="auto"/>
        <w:rPr>
          <w:rFonts w:hint="default"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 xml:space="preserve">乙方： </w:t>
      </w:r>
      <w:r>
        <w:rPr>
          <w:rFonts w:hint="eastAsia" w:ascii="宋体" w:hAnsi="宋体" w:eastAsia="宋体" w:cs="宋体"/>
          <w:b w:val="0"/>
          <w:bCs w:val="0"/>
          <w:color w:val="auto"/>
          <w:sz w:val="24"/>
          <w:szCs w:val="24"/>
          <w:highlight w:val="none"/>
          <w:u w:val="single"/>
          <w:lang w:val="en-US" w:eastAsia="zh-CN"/>
        </w:rPr>
        <w:t xml:space="preserve">                </w:t>
      </w:r>
    </w:p>
    <w:p w14:paraId="42049D5E">
      <w:pPr>
        <w:keepNext w:val="0"/>
        <w:keepLines w:val="0"/>
        <w:pageBreakBefore w:val="0"/>
        <w:widowControl w:val="0"/>
        <w:tabs>
          <w:tab w:val="left" w:pos="900"/>
        </w:tabs>
        <w:kinsoku/>
        <w:wordWrap/>
        <w:overflowPunct/>
        <w:topLinePunct w:val="0"/>
        <w:autoSpaceDE/>
        <w:autoSpaceDN/>
        <w:bidi w:val="0"/>
        <w:spacing w:beforeAutospacing="0" w:afterAutospacing="0" w:line="460" w:lineRule="exact"/>
        <w:ind w:left="0" w:leftChars="0" w:firstLine="480" w:firstLineChars="200"/>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一、合同有效时间：</w:t>
      </w:r>
    </w:p>
    <w:p w14:paraId="74C22207">
      <w:pPr>
        <w:keepNext w:val="0"/>
        <w:keepLines w:val="0"/>
        <w:pageBreakBefore w:val="0"/>
        <w:widowControl w:val="0"/>
        <w:tabs>
          <w:tab w:val="left" w:pos="900"/>
        </w:tabs>
        <w:kinsoku/>
        <w:wordWrap/>
        <w:overflowPunct/>
        <w:topLinePunct w:val="0"/>
        <w:autoSpaceDE/>
        <w:autoSpaceDN/>
        <w:bidi w:val="0"/>
        <w:spacing w:beforeAutospacing="0" w:afterAutospacing="0" w:line="460" w:lineRule="exact"/>
        <w:ind w:left="0" w:leftChars="0" w:firstLine="480" w:firstLineChars="200"/>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 xml:space="preserve"> </w:t>
      </w:r>
      <w:r>
        <w:rPr>
          <w:rFonts w:hint="eastAsia" w:ascii="宋体" w:hAnsi="宋体" w:eastAsia="宋体" w:cs="宋体"/>
          <w:b w:val="0"/>
          <w:bCs w:val="0"/>
          <w:color w:val="auto"/>
          <w:sz w:val="24"/>
          <w:szCs w:val="24"/>
          <w:highlight w:val="none"/>
          <w:u w:val="single"/>
          <w:lang w:val="en-US" w:eastAsia="zh-CN"/>
        </w:rPr>
        <w:t xml:space="preserve">    年    月    日</w:t>
      </w:r>
      <w:r>
        <w:rPr>
          <w:rFonts w:hint="eastAsia" w:ascii="宋体" w:hAnsi="宋体" w:eastAsia="宋体" w:cs="宋体"/>
          <w:b w:val="0"/>
          <w:bCs w:val="0"/>
          <w:color w:val="auto"/>
          <w:sz w:val="24"/>
          <w:szCs w:val="24"/>
          <w:highlight w:val="none"/>
          <w:lang w:val="en-US" w:eastAsia="zh-CN"/>
        </w:rPr>
        <w:t>到</w:t>
      </w:r>
      <w:r>
        <w:rPr>
          <w:rFonts w:hint="eastAsia" w:ascii="宋体" w:hAnsi="宋体" w:eastAsia="宋体" w:cs="宋体"/>
          <w:b w:val="0"/>
          <w:bCs w:val="0"/>
          <w:color w:val="auto"/>
          <w:sz w:val="24"/>
          <w:szCs w:val="24"/>
          <w:highlight w:val="none"/>
          <w:u w:val="single"/>
          <w:lang w:val="en-US" w:eastAsia="zh-CN"/>
        </w:rPr>
        <w:t xml:space="preserve">     年    月    日</w:t>
      </w:r>
      <w:r>
        <w:rPr>
          <w:rFonts w:hint="eastAsia" w:ascii="宋体" w:hAnsi="宋体" w:eastAsia="宋体" w:cs="宋体"/>
          <w:b w:val="0"/>
          <w:bCs w:val="0"/>
          <w:color w:val="auto"/>
          <w:sz w:val="24"/>
          <w:szCs w:val="24"/>
          <w:highlight w:val="none"/>
          <w:lang w:val="en-US" w:eastAsia="zh-CN"/>
        </w:rPr>
        <w:t>。</w:t>
      </w:r>
    </w:p>
    <w:p w14:paraId="7C0D2737">
      <w:pPr>
        <w:keepNext w:val="0"/>
        <w:keepLines w:val="0"/>
        <w:pageBreakBefore w:val="0"/>
        <w:widowControl w:val="0"/>
        <w:tabs>
          <w:tab w:val="left" w:pos="900"/>
        </w:tabs>
        <w:kinsoku/>
        <w:wordWrap/>
        <w:overflowPunct/>
        <w:topLinePunct w:val="0"/>
        <w:autoSpaceDE/>
        <w:autoSpaceDN/>
        <w:bidi w:val="0"/>
        <w:spacing w:beforeAutospacing="0" w:afterAutospacing="0" w:line="460" w:lineRule="exact"/>
        <w:ind w:left="0" w:leftChars="0" w:firstLine="480" w:firstLineChars="200"/>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 xml:space="preserve">二、维保金额及付款方式 </w:t>
      </w:r>
    </w:p>
    <w:p w14:paraId="05CCC1D8">
      <w:pPr>
        <w:keepNext w:val="0"/>
        <w:keepLines w:val="0"/>
        <w:pageBreakBefore w:val="0"/>
        <w:widowControl w:val="0"/>
        <w:tabs>
          <w:tab w:val="left" w:pos="900"/>
        </w:tabs>
        <w:kinsoku/>
        <w:wordWrap/>
        <w:overflowPunct/>
        <w:topLinePunct w:val="0"/>
        <w:autoSpaceDE/>
        <w:autoSpaceDN/>
        <w:bidi w:val="0"/>
        <w:spacing w:beforeAutospacing="0" w:afterAutospacing="0" w:line="460" w:lineRule="exact"/>
        <w:ind w:left="0" w:leftChars="0" w:firstLine="480" w:firstLineChars="200"/>
        <w:textAlignment w:val="auto"/>
        <w:rPr>
          <w:rFonts w:hint="eastAsia" w:ascii="宋体" w:hAnsi="宋体" w:eastAsia="宋体" w:cs="宋体"/>
          <w:b w:val="0"/>
          <w:bCs w:val="0"/>
          <w:color w:val="auto"/>
          <w:sz w:val="24"/>
          <w:szCs w:val="24"/>
          <w:highlight w:val="none"/>
          <w:u w:val="single"/>
          <w:lang w:val="en-US" w:eastAsia="zh-CN"/>
        </w:rPr>
      </w:pPr>
      <w:r>
        <w:rPr>
          <w:rFonts w:hint="eastAsia" w:ascii="宋体" w:hAnsi="宋体" w:eastAsia="宋体" w:cs="宋体"/>
          <w:b w:val="0"/>
          <w:bCs w:val="0"/>
          <w:color w:val="auto"/>
          <w:sz w:val="24"/>
          <w:szCs w:val="24"/>
          <w:highlight w:val="none"/>
          <w:lang w:val="en-US" w:eastAsia="zh-CN"/>
        </w:rPr>
        <w:t>1、维保费用：根据双方的协商达成协议，全年维保费用</w:t>
      </w:r>
      <w:r>
        <w:rPr>
          <w:rFonts w:hint="eastAsia" w:ascii="宋体" w:hAnsi="宋体" w:eastAsia="宋体" w:cs="宋体"/>
          <w:b w:val="0"/>
          <w:bCs w:val="0"/>
          <w:color w:val="auto"/>
          <w:sz w:val="24"/>
          <w:szCs w:val="24"/>
          <w:highlight w:val="none"/>
          <w:u w:val="single"/>
          <w:lang w:val="en-US" w:eastAsia="zh-CN"/>
        </w:rPr>
        <w:t xml:space="preserve">      元</w:t>
      </w:r>
      <w:r>
        <w:rPr>
          <w:rFonts w:hint="eastAsia" w:ascii="宋体" w:hAnsi="宋体" w:eastAsia="宋体" w:cs="宋体"/>
          <w:b w:val="0"/>
          <w:bCs w:val="0"/>
          <w:color w:val="auto"/>
          <w:sz w:val="24"/>
          <w:szCs w:val="24"/>
          <w:highlight w:val="none"/>
          <w:lang w:val="en-US" w:eastAsia="zh-CN"/>
        </w:rPr>
        <w:t>/年（含税）（大写</w:t>
      </w:r>
      <w:r>
        <w:rPr>
          <w:rFonts w:hint="eastAsia" w:ascii="宋体" w:hAnsi="宋体" w:eastAsia="宋体" w:cs="宋体"/>
          <w:b w:val="0"/>
          <w:bCs w:val="0"/>
          <w:color w:val="auto"/>
          <w:sz w:val="24"/>
          <w:szCs w:val="24"/>
          <w:highlight w:val="none"/>
          <w:u w:val="single"/>
          <w:lang w:val="en-US" w:eastAsia="zh-CN"/>
        </w:rPr>
        <w:t>：      ）</w:t>
      </w:r>
      <w:r>
        <w:rPr>
          <w:rFonts w:hint="eastAsia" w:ascii="宋体" w:hAnsi="宋体" w:eastAsia="宋体" w:cs="宋体"/>
          <w:b w:val="0"/>
          <w:bCs w:val="0"/>
          <w:color w:val="auto"/>
          <w:sz w:val="24"/>
          <w:szCs w:val="24"/>
          <w:highlight w:val="none"/>
          <w:lang w:val="en-US" w:eastAsia="zh-CN"/>
        </w:rPr>
        <w:t xml:space="preserve"> ，每季度维保的金额（含税）为：</w:t>
      </w:r>
      <w:r>
        <w:rPr>
          <w:rFonts w:hint="eastAsia" w:ascii="宋体" w:hAnsi="宋体" w:eastAsia="宋体" w:cs="宋体"/>
          <w:b w:val="0"/>
          <w:bCs w:val="0"/>
          <w:color w:val="auto"/>
          <w:sz w:val="24"/>
          <w:szCs w:val="24"/>
          <w:highlight w:val="none"/>
          <w:u w:val="single"/>
          <w:lang w:val="en-US" w:eastAsia="zh-CN"/>
        </w:rPr>
        <w:t xml:space="preserve">      元/月（大写：     ）</w:t>
      </w:r>
    </w:p>
    <w:p w14:paraId="497AF147">
      <w:pPr>
        <w:keepNext w:val="0"/>
        <w:keepLines w:val="0"/>
        <w:pageBreakBefore w:val="0"/>
        <w:widowControl w:val="0"/>
        <w:tabs>
          <w:tab w:val="left" w:pos="900"/>
        </w:tabs>
        <w:kinsoku/>
        <w:wordWrap/>
        <w:overflowPunct/>
        <w:topLinePunct w:val="0"/>
        <w:autoSpaceDE/>
        <w:autoSpaceDN/>
        <w:bidi w:val="0"/>
        <w:spacing w:beforeAutospacing="0" w:afterAutospacing="0" w:line="460" w:lineRule="exact"/>
        <w:ind w:left="0" w:leftChars="0" w:firstLine="480" w:firstLineChars="200"/>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2、付款方式：每季度甲方将维保服务费用转账支付乙方（节假日顺延）。乙方需提供合法有效税务票据。</w:t>
      </w:r>
    </w:p>
    <w:p w14:paraId="1F2F4734">
      <w:pPr>
        <w:keepNext w:val="0"/>
        <w:keepLines w:val="0"/>
        <w:pageBreakBefore w:val="0"/>
        <w:widowControl w:val="0"/>
        <w:tabs>
          <w:tab w:val="left" w:pos="900"/>
        </w:tabs>
        <w:kinsoku/>
        <w:wordWrap/>
        <w:overflowPunct/>
        <w:topLinePunct w:val="0"/>
        <w:autoSpaceDE/>
        <w:autoSpaceDN/>
        <w:bidi w:val="0"/>
        <w:spacing w:beforeAutospacing="0" w:afterAutospacing="0" w:line="460" w:lineRule="exact"/>
        <w:ind w:left="0" w:leftChars="0" w:firstLine="480" w:firstLineChars="200"/>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三、双方的责任及义务</w:t>
      </w:r>
    </w:p>
    <w:p w14:paraId="1148816F">
      <w:pPr>
        <w:keepNext w:val="0"/>
        <w:keepLines w:val="0"/>
        <w:pageBreakBefore w:val="0"/>
        <w:widowControl w:val="0"/>
        <w:tabs>
          <w:tab w:val="left" w:pos="900"/>
        </w:tabs>
        <w:kinsoku/>
        <w:wordWrap/>
        <w:overflowPunct/>
        <w:topLinePunct w:val="0"/>
        <w:autoSpaceDE/>
        <w:autoSpaceDN/>
        <w:bidi w:val="0"/>
        <w:spacing w:beforeAutospacing="0" w:afterAutospacing="0" w:line="460" w:lineRule="exact"/>
        <w:ind w:left="0" w:leftChars="0" w:firstLine="480" w:firstLineChars="200"/>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1.甲方随时对乙方工作进行监督、检查，乙方工作中出现问题应及时整改，如不及时整改，甲方有权考核扣减维保费用。</w:t>
      </w:r>
    </w:p>
    <w:p w14:paraId="6D581D8F">
      <w:pPr>
        <w:keepNext w:val="0"/>
        <w:keepLines w:val="0"/>
        <w:pageBreakBefore w:val="0"/>
        <w:widowControl w:val="0"/>
        <w:tabs>
          <w:tab w:val="left" w:pos="900"/>
        </w:tabs>
        <w:kinsoku/>
        <w:wordWrap/>
        <w:overflowPunct/>
        <w:topLinePunct w:val="0"/>
        <w:autoSpaceDE/>
        <w:autoSpaceDN/>
        <w:bidi w:val="0"/>
        <w:spacing w:beforeAutospacing="0" w:afterAutospacing="0" w:line="460" w:lineRule="exact"/>
        <w:ind w:left="0" w:leftChars="0" w:firstLine="480" w:firstLineChars="200"/>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（1）甲方有权要求乙方更换不符合要求的工作人员。</w:t>
      </w:r>
    </w:p>
    <w:p w14:paraId="5B8E498E">
      <w:pPr>
        <w:keepNext w:val="0"/>
        <w:keepLines w:val="0"/>
        <w:pageBreakBefore w:val="0"/>
        <w:widowControl w:val="0"/>
        <w:tabs>
          <w:tab w:val="left" w:pos="900"/>
        </w:tabs>
        <w:kinsoku/>
        <w:wordWrap/>
        <w:overflowPunct/>
        <w:topLinePunct w:val="0"/>
        <w:autoSpaceDE/>
        <w:autoSpaceDN/>
        <w:bidi w:val="0"/>
        <w:spacing w:beforeAutospacing="0" w:afterAutospacing="0" w:line="460" w:lineRule="exact"/>
        <w:ind w:left="0" w:leftChars="0" w:firstLine="480" w:firstLineChars="200"/>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（2）甲方为乙方免费提供办公场所。</w:t>
      </w:r>
    </w:p>
    <w:p w14:paraId="77623CC3">
      <w:pPr>
        <w:keepNext w:val="0"/>
        <w:keepLines w:val="0"/>
        <w:pageBreakBefore w:val="0"/>
        <w:widowControl w:val="0"/>
        <w:tabs>
          <w:tab w:val="left" w:pos="900"/>
        </w:tabs>
        <w:kinsoku/>
        <w:wordWrap/>
        <w:overflowPunct/>
        <w:topLinePunct w:val="0"/>
        <w:autoSpaceDE/>
        <w:autoSpaceDN/>
        <w:bidi w:val="0"/>
        <w:spacing w:beforeAutospacing="0" w:afterAutospacing="0" w:line="460" w:lineRule="exact"/>
        <w:ind w:left="0" w:leftChars="0" w:firstLine="480" w:firstLineChars="200"/>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（3）甲方需安排专职人员积极配合乙方工作。</w:t>
      </w:r>
    </w:p>
    <w:p w14:paraId="7FF2D827">
      <w:pPr>
        <w:keepNext w:val="0"/>
        <w:keepLines w:val="0"/>
        <w:pageBreakBefore w:val="0"/>
        <w:widowControl w:val="0"/>
        <w:tabs>
          <w:tab w:val="left" w:pos="900"/>
        </w:tabs>
        <w:kinsoku/>
        <w:wordWrap/>
        <w:overflowPunct/>
        <w:topLinePunct w:val="0"/>
        <w:autoSpaceDE/>
        <w:autoSpaceDN/>
        <w:bidi w:val="0"/>
        <w:spacing w:beforeAutospacing="0" w:afterAutospacing="0" w:line="460" w:lineRule="exact"/>
        <w:ind w:left="0" w:leftChars="0" w:firstLine="480" w:firstLineChars="200"/>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（4）甲方及时维修或更换维保服务范围内的设施。院区其他低压配电设施相关维修工作由乙方配合处理。</w:t>
      </w:r>
    </w:p>
    <w:p w14:paraId="468C96D3">
      <w:pPr>
        <w:keepNext w:val="0"/>
        <w:keepLines w:val="0"/>
        <w:pageBreakBefore w:val="0"/>
        <w:widowControl w:val="0"/>
        <w:tabs>
          <w:tab w:val="left" w:pos="900"/>
        </w:tabs>
        <w:kinsoku/>
        <w:wordWrap/>
        <w:overflowPunct/>
        <w:topLinePunct w:val="0"/>
        <w:autoSpaceDE/>
        <w:autoSpaceDN/>
        <w:bidi w:val="0"/>
        <w:spacing w:beforeAutospacing="0" w:afterAutospacing="0" w:line="460" w:lineRule="exact"/>
        <w:ind w:left="0" w:leftChars="0" w:firstLine="480" w:firstLineChars="200"/>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（5）甲方需按期支付乙方维保费用，以便乙方工作正常运行。</w:t>
      </w:r>
    </w:p>
    <w:p w14:paraId="7E5656CC">
      <w:pPr>
        <w:keepNext w:val="0"/>
        <w:keepLines w:val="0"/>
        <w:pageBreakBefore w:val="0"/>
        <w:widowControl w:val="0"/>
        <w:tabs>
          <w:tab w:val="left" w:pos="900"/>
        </w:tabs>
        <w:kinsoku/>
        <w:wordWrap/>
        <w:overflowPunct/>
        <w:topLinePunct w:val="0"/>
        <w:autoSpaceDE/>
        <w:autoSpaceDN/>
        <w:bidi w:val="0"/>
        <w:spacing w:beforeAutospacing="0" w:afterAutospacing="0" w:line="460" w:lineRule="exact"/>
        <w:ind w:left="0" w:leftChars="0" w:firstLine="480" w:firstLineChars="200"/>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（7）甲方承担乙方工作用水、电费用。</w:t>
      </w:r>
    </w:p>
    <w:p w14:paraId="514D0A17">
      <w:pPr>
        <w:keepNext w:val="0"/>
        <w:keepLines w:val="0"/>
        <w:pageBreakBefore w:val="0"/>
        <w:widowControl w:val="0"/>
        <w:tabs>
          <w:tab w:val="left" w:pos="900"/>
        </w:tabs>
        <w:kinsoku/>
        <w:wordWrap/>
        <w:overflowPunct/>
        <w:topLinePunct w:val="0"/>
        <w:autoSpaceDE/>
        <w:autoSpaceDN/>
        <w:bidi w:val="0"/>
        <w:spacing w:beforeAutospacing="0" w:afterAutospacing="0" w:line="460" w:lineRule="exact"/>
        <w:ind w:left="0" w:leftChars="0" w:firstLine="480" w:firstLineChars="200"/>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2.乙方的责任及义务</w:t>
      </w:r>
    </w:p>
    <w:p w14:paraId="0BA3C06D">
      <w:pPr>
        <w:keepNext w:val="0"/>
        <w:keepLines w:val="0"/>
        <w:pageBreakBefore w:val="0"/>
        <w:widowControl w:val="0"/>
        <w:tabs>
          <w:tab w:val="left" w:pos="900"/>
        </w:tabs>
        <w:kinsoku/>
        <w:wordWrap/>
        <w:overflowPunct/>
        <w:topLinePunct w:val="0"/>
        <w:autoSpaceDE/>
        <w:autoSpaceDN/>
        <w:bidi w:val="0"/>
        <w:spacing w:beforeAutospacing="0" w:afterAutospacing="0" w:line="460" w:lineRule="exact"/>
        <w:ind w:left="0" w:leftChars="0" w:firstLine="480" w:firstLineChars="200"/>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1）乙方必须严格遵守国家法律法规，遵守本合同条款及医院的各项规章制度，教育规范乙方工作人员言行举止，做到语言文明、优质服务，保证乙方工作人员具有良好的思想、道德、业务素质，身体健康，无传染病，严格执行维保服务管理制度。</w:t>
      </w:r>
    </w:p>
    <w:p w14:paraId="14FDFE82">
      <w:pPr>
        <w:keepNext w:val="0"/>
        <w:keepLines w:val="0"/>
        <w:pageBreakBefore w:val="0"/>
        <w:widowControl w:val="0"/>
        <w:tabs>
          <w:tab w:val="left" w:pos="900"/>
        </w:tabs>
        <w:kinsoku/>
        <w:wordWrap/>
        <w:overflowPunct/>
        <w:topLinePunct w:val="0"/>
        <w:autoSpaceDE/>
        <w:autoSpaceDN/>
        <w:bidi w:val="0"/>
        <w:spacing w:beforeAutospacing="0" w:afterAutospacing="0" w:line="460" w:lineRule="exact"/>
        <w:ind w:left="0" w:leftChars="0" w:firstLine="480" w:firstLineChars="200"/>
        <w:textAlignment w:val="auto"/>
        <w:rPr>
          <w:rFonts w:hint="eastAsia" w:ascii="宋体" w:hAnsi="宋体" w:eastAsia="宋体" w:cs="宋体"/>
          <w:b w:val="0"/>
          <w:bCs w:val="0"/>
          <w:color w:val="auto"/>
          <w:sz w:val="24"/>
          <w:szCs w:val="24"/>
          <w:highlight w:val="none"/>
          <w:lang w:val="en-US" w:eastAsia="zh-CN"/>
        </w:rPr>
        <w:sectPr>
          <w:footerReference r:id="rId10" w:type="default"/>
          <w:pgSz w:w="11906" w:h="16838"/>
          <w:pgMar w:top="1417" w:right="1417" w:bottom="1417" w:left="1417" w:header="567" w:footer="1020" w:gutter="0"/>
          <w:pgNumType w:fmt="decimal"/>
          <w:cols w:space="720" w:num="1"/>
          <w:docGrid w:type="lines" w:linePitch="312" w:charSpace="0"/>
        </w:sectPr>
      </w:pPr>
    </w:p>
    <w:p w14:paraId="0B9DF53D">
      <w:pPr>
        <w:keepNext w:val="0"/>
        <w:keepLines w:val="0"/>
        <w:pageBreakBefore w:val="0"/>
        <w:widowControl w:val="0"/>
        <w:tabs>
          <w:tab w:val="left" w:pos="900"/>
        </w:tabs>
        <w:kinsoku/>
        <w:wordWrap/>
        <w:overflowPunct/>
        <w:topLinePunct w:val="0"/>
        <w:autoSpaceDE/>
        <w:autoSpaceDN/>
        <w:bidi w:val="0"/>
        <w:spacing w:beforeAutospacing="0" w:afterAutospacing="0" w:line="460" w:lineRule="exact"/>
        <w:ind w:left="0" w:leftChars="0" w:firstLine="480" w:firstLineChars="200"/>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（2）乙方管理人员每天至少检查一次本项目员工工作情况，及时向甲方汇报工作情况，接受甲方的业务工作质量监督。</w:t>
      </w:r>
    </w:p>
    <w:p w14:paraId="07CA1802">
      <w:pPr>
        <w:keepNext w:val="0"/>
        <w:keepLines w:val="0"/>
        <w:pageBreakBefore w:val="0"/>
        <w:widowControl w:val="0"/>
        <w:tabs>
          <w:tab w:val="left" w:pos="900"/>
        </w:tabs>
        <w:kinsoku/>
        <w:wordWrap/>
        <w:overflowPunct/>
        <w:topLinePunct w:val="0"/>
        <w:autoSpaceDE/>
        <w:autoSpaceDN/>
        <w:bidi w:val="0"/>
        <w:spacing w:beforeAutospacing="0" w:afterAutospacing="0" w:line="460" w:lineRule="exact"/>
        <w:ind w:left="0" w:leftChars="0" w:firstLine="480" w:firstLineChars="200"/>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（3）乙方工作人员必须爱护甲方的各种设施、设备，如果因乙方人员造成的损失，则由乙方负责照价赔偿。</w:t>
      </w:r>
    </w:p>
    <w:p w14:paraId="024F3B4C">
      <w:pPr>
        <w:keepNext w:val="0"/>
        <w:keepLines w:val="0"/>
        <w:pageBreakBefore w:val="0"/>
        <w:widowControl w:val="0"/>
        <w:tabs>
          <w:tab w:val="left" w:pos="900"/>
        </w:tabs>
        <w:kinsoku/>
        <w:wordWrap/>
        <w:overflowPunct/>
        <w:topLinePunct w:val="0"/>
        <w:autoSpaceDE/>
        <w:autoSpaceDN/>
        <w:bidi w:val="0"/>
        <w:spacing w:beforeAutospacing="0" w:afterAutospacing="0" w:line="460" w:lineRule="exact"/>
        <w:ind w:left="0" w:leftChars="0" w:firstLine="480" w:firstLineChars="200"/>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（4）乙方工作人员的服装由乙方提供，统一着装、衣着整洁，佩戴工作牌上岗。</w:t>
      </w:r>
    </w:p>
    <w:p w14:paraId="2BB2D751">
      <w:pPr>
        <w:keepNext w:val="0"/>
        <w:keepLines w:val="0"/>
        <w:pageBreakBefore w:val="0"/>
        <w:widowControl w:val="0"/>
        <w:tabs>
          <w:tab w:val="left" w:pos="900"/>
        </w:tabs>
        <w:kinsoku/>
        <w:wordWrap/>
        <w:overflowPunct/>
        <w:topLinePunct w:val="0"/>
        <w:autoSpaceDE/>
        <w:autoSpaceDN/>
        <w:bidi w:val="0"/>
        <w:spacing w:beforeAutospacing="0" w:afterAutospacing="0" w:line="460" w:lineRule="exact"/>
        <w:ind w:left="0" w:leftChars="0" w:firstLine="480" w:firstLineChars="200"/>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（5）乙方使用的维修工具必须是国家正规品牌，且符合质量规范的产品，不得使用假冒伪劣商品。若因使用伪劣商品而造成的后果由乙方负责。</w:t>
      </w:r>
    </w:p>
    <w:p w14:paraId="18CE902A">
      <w:pPr>
        <w:keepNext w:val="0"/>
        <w:keepLines w:val="0"/>
        <w:pageBreakBefore w:val="0"/>
        <w:widowControl w:val="0"/>
        <w:tabs>
          <w:tab w:val="left" w:pos="900"/>
        </w:tabs>
        <w:kinsoku/>
        <w:wordWrap/>
        <w:overflowPunct/>
        <w:topLinePunct w:val="0"/>
        <w:autoSpaceDE/>
        <w:autoSpaceDN/>
        <w:bidi w:val="0"/>
        <w:spacing w:beforeAutospacing="0" w:afterAutospacing="0" w:line="460" w:lineRule="exact"/>
        <w:ind w:left="0" w:leftChars="0" w:firstLine="480" w:firstLineChars="200"/>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（6）乙方人员由甲方负责日常管理，乙方负责监督检查。</w:t>
      </w:r>
    </w:p>
    <w:p w14:paraId="2959C9E9">
      <w:pPr>
        <w:keepNext w:val="0"/>
        <w:keepLines w:val="0"/>
        <w:pageBreakBefore w:val="0"/>
        <w:widowControl w:val="0"/>
        <w:tabs>
          <w:tab w:val="left" w:pos="900"/>
        </w:tabs>
        <w:kinsoku/>
        <w:wordWrap/>
        <w:overflowPunct/>
        <w:topLinePunct w:val="0"/>
        <w:autoSpaceDE/>
        <w:autoSpaceDN/>
        <w:bidi w:val="0"/>
        <w:spacing w:beforeAutospacing="0" w:afterAutospacing="0" w:line="460" w:lineRule="exact"/>
        <w:ind w:left="0" w:leftChars="0" w:firstLine="480" w:firstLineChars="200"/>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（7）乙方为员工办理用工手续，承担每位员工工资、福利待遇、养老保险、员工体检等，乙方聘用的人员与甲方无劳动合同关系。</w:t>
      </w:r>
    </w:p>
    <w:p w14:paraId="77F647E9">
      <w:pPr>
        <w:keepNext w:val="0"/>
        <w:keepLines w:val="0"/>
        <w:pageBreakBefore w:val="0"/>
        <w:widowControl w:val="0"/>
        <w:tabs>
          <w:tab w:val="left" w:pos="900"/>
        </w:tabs>
        <w:kinsoku/>
        <w:wordWrap/>
        <w:overflowPunct/>
        <w:topLinePunct w:val="0"/>
        <w:autoSpaceDE/>
        <w:autoSpaceDN/>
        <w:bidi w:val="0"/>
        <w:spacing w:beforeAutospacing="0" w:afterAutospacing="0" w:line="460" w:lineRule="exact"/>
        <w:ind w:left="0" w:leftChars="0" w:firstLine="480" w:firstLineChars="200"/>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（8）乙方人员必须认真执行治安、消防、安全等管理法规，接受甲方的监督、指导和管理，遵守国家的法律法规及院规（详见安全责任书）。</w:t>
      </w:r>
    </w:p>
    <w:p w14:paraId="271F0A64">
      <w:pPr>
        <w:keepNext w:val="0"/>
        <w:keepLines w:val="0"/>
        <w:pageBreakBefore w:val="0"/>
        <w:widowControl w:val="0"/>
        <w:tabs>
          <w:tab w:val="left" w:pos="900"/>
        </w:tabs>
        <w:kinsoku/>
        <w:wordWrap/>
        <w:overflowPunct/>
        <w:topLinePunct w:val="0"/>
        <w:autoSpaceDE/>
        <w:autoSpaceDN/>
        <w:bidi w:val="0"/>
        <w:spacing w:beforeAutospacing="0" w:afterAutospacing="0" w:line="460" w:lineRule="exact"/>
        <w:ind w:left="0" w:leftChars="0" w:firstLine="480" w:firstLineChars="200"/>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（9）乙方聘用员工必须保持相对稳定，保持随时有备用人员，不得频繁调换工作人员影响甲方工作正常运行，否则，承担全部损失（特殊情况除外）。</w:t>
      </w:r>
    </w:p>
    <w:p w14:paraId="6401B84A">
      <w:pPr>
        <w:keepNext w:val="0"/>
        <w:keepLines w:val="0"/>
        <w:pageBreakBefore w:val="0"/>
        <w:widowControl w:val="0"/>
        <w:tabs>
          <w:tab w:val="left" w:pos="900"/>
        </w:tabs>
        <w:kinsoku/>
        <w:wordWrap/>
        <w:overflowPunct/>
        <w:topLinePunct w:val="0"/>
        <w:autoSpaceDE/>
        <w:autoSpaceDN/>
        <w:bidi w:val="0"/>
        <w:spacing w:beforeAutospacing="0" w:afterAutospacing="0" w:line="460" w:lineRule="exact"/>
        <w:ind w:left="0" w:leftChars="0" w:firstLine="480" w:firstLineChars="200"/>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（10）乙方人员定期进行体检，不符合健康要求的人员应予以辞退。</w:t>
      </w:r>
    </w:p>
    <w:p w14:paraId="4FC5D597">
      <w:pPr>
        <w:keepNext w:val="0"/>
        <w:keepLines w:val="0"/>
        <w:pageBreakBefore w:val="0"/>
        <w:widowControl w:val="0"/>
        <w:tabs>
          <w:tab w:val="left" w:pos="900"/>
        </w:tabs>
        <w:kinsoku/>
        <w:wordWrap/>
        <w:overflowPunct/>
        <w:topLinePunct w:val="0"/>
        <w:autoSpaceDE/>
        <w:autoSpaceDN/>
        <w:bidi w:val="0"/>
        <w:spacing w:beforeAutospacing="0" w:afterAutospacing="0" w:line="460" w:lineRule="exact"/>
        <w:ind w:left="0" w:leftChars="0" w:firstLine="480" w:firstLineChars="200"/>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（11）乙方应加强服务人员管理，在服务过程中有责任和义务为甲方节约用水、电 等，并注意爱护甲方的公共设施、设备。</w:t>
      </w:r>
    </w:p>
    <w:p w14:paraId="3099D411">
      <w:pPr>
        <w:keepNext w:val="0"/>
        <w:keepLines w:val="0"/>
        <w:pageBreakBefore w:val="0"/>
        <w:widowControl w:val="0"/>
        <w:tabs>
          <w:tab w:val="left" w:pos="900"/>
        </w:tabs>
        <w:kinsoku/>
        <w:wordWrap/>
        <w:overflowPunct/>
        <w:topLinePunct w:val="0"/>
        <w:autoSpaceDE/>
        <w:autoSpaceDN/>
        <w:bidi w:val="0"/>
        <w:spacing w:beforeAutospacing="0" w:afterAutospacing="0" w:line="460" w:lineRule="exact"/>
        <w:ind w:left="0" w:leftChars="0" w:firstLine="480" w:firstLineChars="200"/>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四、工作质量标准</w:t>
      </w:r>
    </w:p>
    <w:p w14:paraId="4FD7E5BF">
      <w:pPr>
        <w:keepNext w:val="0"/>
        <w:keepLines w:val="0"/>
        <w:pageBreakBefore w:val="0"/>
        <w:widowControl w:val="0"/>
        <w:tabs>
          <w:tab w:val="left" w:pos="900"/>
        </w:tabs>
        <w:kinsoku/>
        <w:wordWrap/>
        <w:overflowPunct/>
        <w:topLinePunct w:val="0"/>
        <w:autoSpaceDE/>
        <w:autoSpaceDN/>
        <w:bidi w:val="0"/>
        <w:spacing w:beforeAutospacing="0" w:afterAutospacing="0" w:line="460" w:lineRule="exact"/>
        <w:ind w:left="0" w:leftChars="0" w:firstLine="480" w:firstLineChars="200"/>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工作质量达到医院、社区及省、市、县主管部门有关标准，达到国家、省、市相关创建标准。工作流程、结果等符合医院管理要求。</w:t>
      </w:r>
    </w:p>
    <w:p w14:paraId="468F3764">
      <w:pPr>
        <w:keepNext w:val="0"/>
        <w:keepLines w:val="0"/>
        <w:pageBreakBefore w:val="0"/>
        <w:widowControl w:val="0"/>
        <w:tabs>
          <w:tab w:val="left" w:pos="900"/>
        </w:tabs>
        <w:kinsoku/>
        <w:wordWrap/>
        <w:overflowPunct/>
        <w:topLinePunct w:val="0"/>
        <w:autoSpaceDE/>
        <w:autoSpaceDN/>
        <w:bidi w:val="0"/>
        <w:spacing w:beforeAutospacing="0" w:afterAutospacing="0" w:line="460" w:lineRule="exact"/>
        <w:ind w:left="0" w:leftChars="0" w:firstLine="480" w:firstLineChars="200"/>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五、考核办法</w:t>
      </w:r>
    </w:p>
    <w:p w14:paraId="2A57F022">
      <w:pPr>
        <w:keepNext w:val="0"/>
        <w:keepLines w:val="0"/>
        <w:pageBreakBefore w:val="0"/>
        <w:widowControl w:val="0"/>
        <w:tabs>
          <w:tab w:val="left" w:pos="900"/>
        </w:tabs>
        <w:kinsoku/>
        <w:wordWrap/>
        <w:overflowPunct/>
        <w:topLinePunct w:val="0"/>
        <w:autoSpaceDE/>
        <w:autoSpaceDN/>
        <w:bidi w:val="0"/>
        <w:spacing w:beforeAutospacing="0" w:afterAutospacing="0" w:line="460" w:lineRule="exact"/>
        <w:ind w:left="0" w:leftChars="0" w:firstLine="480" w:firstLineChars="200"/>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 xml:space="preserve">考核实行定期或不定期检查，甲方安排人员负责检查，并按工作质量评分表进行考核。考核标准实行百分制，85—95分，扣除当月维保款200元乘以考核分值；84—75分，扣除公司月维保款300元乘以考核分值；考核分值在74分以下，扣除公司月维保款500元乘以考核分值。 </w:t>
      </w:r>
    </w:p>
    <w:p w14:paraId="15C89CDA">
      <w:pPr>
        <w:keepNext w:val="0"/>
        <w:keepLines w:val="0"/>
        <w:pageBreakBefore w:val="0"/>
        <w:widowControl w:val="0"/>
        <w:tabs>
          <w:tab w:val="left" w:pos="900"/>
        </w:tabs>
        <w:kinsoku/>
        <w:wordWrap/>
        <w:overflowPunct/>
        <w:topLinePunct w:val="0"/>
        <w:autoSpaceDE/>
        <w:autoSpaceDN/>
        <w:bidi w:val="0"/>
        <w:spacing w:beforeAutospacing="0" w:afterAutospacing="0" w:line="460" w:lineRule="exact"/>
        <w:ind w:left="0" w:leftChars="0" w:firstLine="480" w:firstLineChars="200"/>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六、安全责任</w:t>
      </w:r>
    </w:p>
    <w:p w14:paraId="6E485C14">
      <w:pPr>
        <w:keepNext w:val="0"/>
        <w:keepLines w:val="0"/>
        <w:pageBreakBefore w:val="0"/>
        <w:widowControl w:val="0"/>
        <w:tabs>
          <w:tab w:val="left" w:pos="900"/>
        </w:tabs>
        <w:kinsoku/>
        <w:wordWrap/>
        <w:overflowPunct/>
        <w:topLinePunct w:val="0"/>
        <w:autoSpaceDE/>
        <w:autoSpaceDN/>
        <w:bidi w:val="0"/>
        <w:spacing w:beforeAutospacing="0" w:afterAutospacing="0" w:line="460" w:lineRule="exact"/>
        <w:ind w:left="0" w:leftChars="0" w:firstLine="480" w:firstLineChars="200"/>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乙方人员在工作中应高度重视人员安全和消防安全，凡造成员工本人或他人伤、残、亡所产生的一切后果由乙方承担，甲方不负担任何责任。</w:t>
      </w:r>
    </w:p>
    <w:p w14:paraId="4DE948BE">
      <w:pPr>
        <w:keepNext w:val="0"/>
        <w:keepLines w:val="0"/>
        <w:pageBreakBefore w:val="0"/>
        <w:widowControl w:val="0"/>
        <w:tabs>
          <w:tab w:val="left" w:pos="900"/>
        </w:tabs>
        <w:kinsoku/>
        <w:wordWrap/>
        <w:overflowPunct/>
        <w:topLinePunct w:val="0"/>
        <w:autoSpaceDE/>
        <w:autoSpaceDN/>
        <w:bidi w:val="0"/>
        <w:spacing w:beforeAutospacing="0" w:afterAutospacing="0" w:line="460" w:lineRule="exact"/>
        <w:ind w:left="0" w:leftChars="0" w:firstLine="480" w:firstLineChars="200"/>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 xml:space="preserve">七、应急预案 </w:t>
      </w:r>
    </w:p>
    <w:p w14:paraId="2DC9F8DE">
      <w:pPr>
        <w:keepNext w:val="0"/>
        <w:keepLines w:val="0"/>
        <w:pageBreakBefore w:val="0"/>
        <w:widowControl w:val="0"/>
        <w:tabs>
          <w:tab w:val="left" w:pos="900"/>
        </w:tabs>
        <w:kinsoku/>
        <w:wordWrap/>
        <w:overflowPunct/>
        <w:topLinePunct w:val="0"/>
        <w:autoSpaceDE/>
        <w:autoSpaceDN/>
        <w:bidi w:val="0"/>
        <w:spacing w:beforeAutospacing="0" w:afterAutospacing="0" w:line="460" w:lineRule="exact"/>
        <w:ind w:left="0" w:leftChars="0" w:firstLine="480" w:firstLineChars="200"/>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1.如遇某种突发因素导致部分员工集体辞职或罢工，公司主管应及时向公司总部汇报，并做好调动机动人员，或抽出其他人员做好顶替工作，主管及时召开集体辞职或罢工的员工会议，了解具体辞职或罢工的原因，以便公司及时采取相应的解决措施，并汇报给服务单位主管负责人。</w:t>
      </w:r>
    </w:p>
    <w:p w14:paraId="6993D0CA">
      <w:pPr>
        <w:keepNext w:val="0"/>
        <w:keepLines w:val="0"/>
        <w:pageBreakBefore w:val="0"/>
        <w:widowControl w:val="0"/>
        <w:tabs>
          <w:tab w:val="left" w:pos="900"/>
        </w:tabs>
        <w:kinsoku/>
        <w:wordWrap/>
        <w:overflowPunct/>
        <w:topLinePunct w:val="0"/>
        <w:autoSpaceDE/>
        <w:autoSpaceDN/>
        <w:bidi w:val="0"/>
        <w:spacing w:beforeAutospacing="0" w:afterAutospacing="0" w:line="460" w:lineRule="exact"/>
        <w:ind w:left="0" w:leftChars="0" w:firstLine="480" w:firstLineChars="200"/>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2.如果高低压配电设施及发电机出现或在岗人员发现突发情况，须在5分钟内通知甲方管理人员，10分钟之内通知公司主管，公司在30分钟内组织协调解决并向甲方汇报。</w:t>
      </w:r>
    </w:p>
    <w:p w14:paraId="5C749CEC">
      <w:pPr>
        <w:keepNext w:val="0"/>
        <w:keepLines w:val="0"/>
        <w:pageBreakBefore w:val="0"/>
        <w:widowControl w:val="0"/>
        <w:tabs>
          <w:tab w:val="left" w:pos="900"/>
        </w:tabs>
        <w:kinsoku/>
        <w:wordWrap/>
        <w:overflowPunct/>
        <w:topLinePunct w:val="0"/>
        <w:autoSpaceDE/>
        <w:autoSpaceDN/>
        <w:bidi w:val="0"/>
        <w:spacing w:beforeAutospacing="0" w:afterAutospacing="0" w:line="460" w:lineRule="exact"/>
        <w:ind w:left="0" w:leftChars="0" w:firstLine="480" w:firstLineChars="200"/>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3.值班人员在巡视中，遇有外来陌生人、可疑人，及时与甲方管理人员联系。</w:t>
      </w:r>
    </w:p>
    <w:p w14:paraId="19765643">
      <w:pPr>
        <w:keepNext w:val="0"/>
        <w:keepLines w:val="0"/>
        <w:pageBreakBefore w:val="0"/>
        <w:widowControl w:val="0"/>
        <w:tabs>
          <w:tab w:val="left" w:pos="900"/>
        </w:tabs>
        <w:kinsoku/>
        <w:wordWrap/>
        <w:overflowPunct/>
        <w:topLinePunct w:val="0"/>
        <w:autoSpaceDE/>
        <w:autoSpaceDN/>
        <w:bidi w:val="0"/>
        <w:spacing w:beforeAutospacing="0" w:afterAutospacing="0" w:line="460" w:lineRule="exact"/>
        <w:ind w:left="0" w:leftChars="0" w:firstLine="480" w:firstLineChars="200"/>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 xml:space="preserve">4.乙方应定期对员工进行消防安全知识培训，提高安全意识，掌握正确使用灭火装置的方法和技巧，能够引导疏散人群，保护人员和财产安全。 </w:t>
      </w:r>
    </w:p>
    <w:p w14:paraId="4F8C9333">
      <w:pPr>
        <w:keepNext w:val="0"/>
        <w:keepLines w:val="0"/>
        <w:pageBreakBefore w:val="0"/>
        <w:widowControl w:val="0"/>
        <w:tabs>
          <w:tab w:val="left" w:pos="900"/>
        </w:tabs>
        <w:kinsoku/>
        <w:wordWrap/>
        <w:overflowPunct/>
        <w:topLinePunct w:val="0"/>
        <w:autoSpaceDE/>
        <w:autoSpaceDN/>
        <w:bidi w:val="0"/>
        <w:spacing w:beforeAutospacing="0" w:afterAutospacing="0" w:line="460" w:lineRule="exact"/>
        <w:ind w:left="0" w:leftChars="0" w:firstLine="480" w:firstLineChars="200"/>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5.遇传染病大肆流行时，应及时请示院方，并与院方协调好一切工作，按院方统一要求，公司及时做好工作调整。</w:t>
      </w:r>
    </w:p>
    <w:p w14:paraId="3949A603">
      <w:pPr>
        <w:keepNext w:val="0"/>
        <w:keepLines w:val="0"/>
        <w:pageBreakBefore w:val="0"/>
        <w:widowControl w:val="0"/>
        <w:tabs>
          <w:tab w:val="left" w:pos="900"/>
        </w:tabs>
        <w:kinsoku/>
        <w:wordWrap/>
        <w:overflowPunct/>
        <w:topLinePunct w:val="0"/>
        <w:autoSpaceDE/>
        <w:autoSpaceDN/>
        <w:bidi w:val="0"/>
        <w:spacing w:beforeAutospacing="0" w:afterAutospacing="0" w:line="460" w:lineRule="exact"/>
        <w:ind w:left="0" w:leftChars="0" w:firstLine="480" w:firstLineChars="200"/>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八、违约责任</w:t>
      </w:r>
    </w:p>
    <w:p w14:paraId="003F6EF6">
      <w:pPr>
        <w:keepNext w:val="0"/>
        <w:keepLines w:val="0"/>
        <w:pageBreakBefore w:val="0"/>
        <w:widowControl w:val="0"/>
        <w:tabs>
          <w:tab w:val="left" w:pos="900"/>
        </w:tabs>
        <w:kinsoku/>
        <w:wordWrap/>
        <w:overflowPunct/>
        <w:topLinePunct w:val="0"/>
        <w:autoSpaceDE/>
        <w:autoSpaceDN/>
        <w:bidi w:val="0"/>
        <w:spacing w:beforeAutospacing="0" w:afterAutospacing="0" w:line="460" w:lineRule="exact"/>
        <w:ind w:left="0" w:leftChars="0" w:firstLine="480" w:firstLineChars="200"/>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1.本合同每年度签订，甲乙双方应信守本合同，严格按合同条款执行，发生争议时，由双方协商解决，如不能协商解决，可向所在地人民法院起诉，承担违约责任。</w:t>
      </w:r>
    </w:p>
    <w:p w14:paraId="23812C2E">
      <w:pPr>
        <w:keepNext w:val="0"/>
        <w:keepLines w:val="0"/>
        <w:pageBreakBefore w:val="0"/>
        <w:widowControl w:val="0"/>
        <w:tabs>
          <w:tab w:val="left" w:pos="900"/>
        </w:tabs>
        <w:kinsoku/>
        <w:wordWrap/>
        <w:overflowPunct/>
        <w:topLinePunct w:val="0"/>
        <w:autoSpaceDE/>
        <w:autoSpaceDN/>
        <w:bidi w:val="0"/>
        <w:spacing w:beforeAutospacing="0" w:afterAutospacing="0" w:line="460" w:lineRule="exact"/>
        <w:ind w:left="0" w:leftChars="0" w:firstLine="480" w:firstLineChars="200"/>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2.如乙方未按合同标准执行，甲方在合同期满后有权解除合同。</w:t>
      </w:r>
    </w:p>
    <w:p w14:paraId="784D1AD1">
      <w:pPr>
        <w:keepNext w:val="0"/>
        <w:keepLines w:val="0"/>
        <w:pageBreakBefore w:val="0"/>
        <w:widowControl w:val="0"/>
        <w:tabs>
          <w:tab w:val="left" w:pos="900"/>
        </w:tabs>
        <w:kinsoku/>
        <w:wordWrap/>
        <w:overflowPunct/>
        <w:topLinePunct w:val="0"/>
        <w:autoSpaceDE/>
        <w:autoSpaceDN/>
        <w:bidi w:val="0"/>
        <w:spacing w:beforeAutospacing="0" w:afterAutospacing="0" w:line="460" w:lineRule="exact"/>
        <w:ind w:left="0" w:leftChars="0" w:firstLine="480" w:firstLineChars="200"/>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3.本合同未尽事宜，由甲乙双方协商后再签订补充协议，补充协议与原合同具有同等法律效力。</w:t>
      </w:r>
    </w:p>
    <w:p w14:paraId="0F54CA91">
      <w:pPr>
        <w:keepNext w:val="0"/>
        <w:keepLines w:val="0"/>
        <w:pageBreakBefore w:val="0"/>
        <w:widowControl w:val="0"/>
        <w:tabs>
          <w:tab w:val="left" w:pos="900"/>
        </w:tabs>
        <w:kinsoku/>
        <w:wordWrap/>
        <w:overflowPunct/>
        <w:topLinePunct w:val="0"/>
        <w:autoSpaceDE/>
        <w:autoSpaceDN/>
        <w:bidi w:val="0"/>
        <w:spacing w:beforeAutospacing="0" w:afterAutospacing="0" w:line="460" w:lineRule="exact"/>
        <w:ind w:left="0" w:leftChars="0" w:firstLine="480" w:firstLineChars="200"/>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4.本合同一式</w:t>
      </w:r>
      <w:r>
        <w:rPr>
          <w:rFonts w:hint="eastAsia" w:ascii="宋体" w:hAnsi="宋体" w:eastAsia="宋体" w:cs="宋体"/>
          <w:b w:val="0"/>
          <w:bCs w:val="0"/>
          <w:color w:val="auto"/>
          <w:sz w:val="24"/>
          <w:szCs w:val="24"/>
          <w:highlight w:val="none"/>
          <w:u w:val="single"/>
          <w:lang w:val="en-US" w:eastAsia="zh-CN"/>
        </w:rPr>
        <w:t xml:space="preserve">   份</w:t>
      </w:r>
      <w:r>
        <w:rPr>
          <w:rFonts w:hint="eastAsia" w:ascii="宋体" w:hAnsi="宋体" w:eastAsia="宋体" w:cs="宋体"/>
          <w:b w:val="0"/>
          <w:bCs w:val="0"/>
          <w:color w:val="auto"/>
          <w:sz w:val="24"/>
          <w:szCs w:val="24"/>
          <w:highlight w:val="none"/>
          <w:lang w:val="en-US" w:eastAsia="zh-CN"/>
        </w:rPr>
        <w:t>，甲方</w:t>
      </w:r>
      <w:r>
        <w:rPr>
          <w:rFonts w:hint="eastAsia" w:ascii="宋体" w:hAnsi="宋体" w:eastAsia="宋体" w:cs="宋体"/>
          <w:b w:val="0"/>
          <w:bCs w:val="0"/>
          <w:color w:val="auto"/>
          <w:sz w:val="24"/>
          <w:szCs w:val="24"/>
          <w:highlight w:val="none"/>
          <w:u w:val="single"/>
          <w:lang w:val="en-US" w:eastAsia="zh-CN"/>
        </w:rPr>
        <w:t xml:space="preserve">  份</w:t>
      </w:r>
      <w:r>
        <w:rPr>
          <w:rFonts w:hint="eastAsia" w:ascii="宋体" w:hAnsi="宋体" w:eastAsia="宋体" w:cs="宋体"/>
          <w:b w:val="0"/>
          <w:bCs w:val="0"/>
          <w:color w:val="auto"/>
          <w:sz w:val="24"/>
          <w:szCs w:val="24"/>
          <w:highlight w:val="none"/>
          <w:lang w:val="en-US" w:eastAsia="zh-CN"/>
        </w:rPr>
        <w:t>，乙方</w:t>
      </w:r>
      <w:r>
        <w:rPr>
          <w:rFonts w:hint="eastAsia" w:ascii="宋体" w:hAnsi="宋体" w:eastAsia="宋体" w:cs="宋体"/>
          <w:b w:val="0"/>
          <w:bCs w:val="0"/>
          <w:color w:val="auto"/>
          <w:sz w:val="24"/>
          <w:szCs w:val="24"/>
          <w:highlight w:val="none"/>
          <w:u w:val="single"/>
          <w:lang w:val="en-US" w:eastAsia="zh-CN"/>
        </w:rPr>
        <w:t xml:space="preserve">  份</w:t>
      </w:r>
      <w:r>
        <w:rPr>
          <w:rFonts w:hint="eastAsia" w:ascii="宋体" w:hAnsi="宋体" w:eastAsia="宋体" w:cs="宋体"/>
          <w:b w:val="0"/>
          <w:bCs w:val="0"/>
          <w:color w:val="auto"/>
          <w:sz w:val="24"/>
          <w:szCs w:val="24"/>
          <w:highlight w:val="none"/>
          <w:lang w:val="en-US" w:eastAsia="zh-CN"/>
        </w:rPr>
        <w:t>，经甲乙双方签字、单位盖章后生效。</w:t>
      </w:r>
    </w:p>
    <w:p w14:paraId="468B9AD2">
      <w:pPr>
        <w:pStyle w:val="58"/>
        <w:rPr>
          <w:rFonts w:hint="eastAsia"/>
          <w:color w:val="auto"/>
          <w:highlight w:val="none"/>
          <w:lang w:val="en-US" w:eastAsia="zh-CN"/>
        </w:rPr>
      </w:pPr>
    </w:p>
    <w:tbl>
      <w:tblPr>
        <w:tblStyle w:val="41"/>
        <w:tblW w:w="9286" w:type="dxa"/>
        <w:jc w:val="center"/>
        <w:tblLayout w:type="fixed"/>
        <w:tblCellMar>
          <w:top w:w="0" w:type="dxa"/>
          <w:left w:w="108" w:type="dxa"/>
          <w:bottom w:w="0" w:type="dxa"/>
          <w:right w:w="108" w:type="dxa"/>
        </w:tblCellMar>
      </w:tblPr>
      <w:tblGrid>
        <w:gridCol w:w="4643"/>
        <w:gridCol w:w="4643"/>
      </w:tblGrid>
      <w:tr w14:paraId="16A80734">
        <w:tblPrEx>
          <w:tblCellMar>
            <w:top w:w="0" w:type="dxa"/>
            <w:left w:w="108" w:type="dxa"/>
            <w:bottom w:w="0" w:type="dxa"/>
            <w:right w:w="108" w:type="dxa"/>
          </w:tblCellMar>
        </w:tblPrEx>
        <w:trPr>
          <w:jc w:val="center"/>
        </w:trPr>
        <w:tc>
          <w:tcPr>
            <w:tcW w:w="4643" w:type="dxa"/>
            <w:noWrap w:val="0"/>
            <w:vAlign w:val="top"/>
          </w:tcPr>
          <w:p w14:paraId="6A0B85A0">
            <w:pPr>
              <w:keepNext w:val="0"/>
              <w:keepLines w:val="0"/>
              <w:pageBreakBefore w:val="0"/>
              <w:widowControl w:val="0"/>
              <w:tabs>
                <w:tab w:val="left" w:pos="900"/>
              </w:tabs>
              <w:kinsoku/>
              <w:wordWrap/>
              <w:overflowPunct/>
              <w:topLinePunct w:val="0"/>
              <w:autoSpaceDE/>
              <w:autoSpaceDN/>
              <w:bidi w:val="0"/>
              <w:spacing w:beforeAutospacing="0" w:afterAutospacing="0" w:line="460" w:lineRule="exact"/>
              <w:ind w:left="0" w:leftChars="0" w:firstLine="480" w:firstLineChars="200"/>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甲方名称（盖章）:</w:t>
            </w:r>
          </w:p>
          <w:p w14:paraId="7302EFE7">
            <w:pPr>
              <w:keepNext w:val="0"/>
              <w:keepLines w:val="0"/>
              <w:pageBreakBefore w:val="0"/>
              <w:widowControl w:val="0"/>
              <w:tabs>
                <w:tab w:val="left" w:pos="900"/>
              </w:tabs>
              <w:kinsoku/>
              <w:wordWrap/>
              <w:overflowPunct/>
              <w:topLinePunct w:val="0"/>
              <w:autoSpaceDE/>
              <w:autoSpaceDN/>
              <w:bidi w:val="0"/>
              <w:spacing w:beforeAutospacing="0" w:afterAutospacing="0" w:line="460" w:lineRule="exact"/>
              <w:ind w:left="0" w:leftChars="0" w:firstLine="480" w:firstLineChars="200"/>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代表人（签字）：</w:t>
            </w:r>
          </w:p>
          <w:p w14:paraId="70852514">
            <w:pPr>
              <w:keepNext w:val="0"/>
              <w:keepLines w:val="0"/>
              <w:pageBreakBefore w:val="0"/>
              <w:widowControl w:val="0"/>
              <w:tabs>
                <w:tab w:val="left" w:pos="900"/>
              </w:tabs>
              <w:kinsoku/>
              <w:wordWrap/>
              <w:overflowPunct/>
              <w:topLinePunct w:val="0"/>
              <w:autoSpaceDE/>
              <w:autoSpaceDN/>
              <w:bidi w:val="0"/>
              <w:spacing w:beforeAutospacing="0" w:afterAutospacing="0" w:line="460" w:lineRule="exact"/>
              <w:ind w:left="0" w:leftChars="0" w:firstLine="480" w:firstLineChars="200"/>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电话：</w:t>
            </w:r>
          </w:p>
          <w:p w14:paraId="1F1E6608">
            <w:pPr>
              <w:keepNext w:val="0"/>
              <w:keepLines w:val="0"/>
              <w:pageBreakBefore w:val="0"/>
              <w:widowControl w:val="0"/>
              <w:tabs>
                <w:tab w:val="left" w:pos="900"/>
              </w:tabs>
              <w:kinsoku/>
              <w:wordWrap/>
              <w:overflowPunct/>
              <w:topLinePunct w:val="0"/>
              <w:autoSpaceDE/>
              <w:autoSpaceDN/>
              <w:bidi w:val="0"/>
              <w:spacing w:beforeAutospacing="0" w:afterAutospacing="0" w:line="460" w:lineRule="exact"/>
              <w:ind w:left="0" w:leftChars="0" w:firstLine="480" w:firstLineChars="200"/>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 xml:space="preserve">  年   月    日</w:t>
            </w:r>
          </w:p>
        </w:tc>
        <w:tc>
          <w:tcPr>
            <w:tcW w:w="4643" w:type="dxa"/>
            <w:noWrap w:val="0"/>
            <w:vAlign w:val="top"/>
          </w:tcPr>
          <w:p w14:paraId="25EB5EE8">
            <w:pPr>
              <w:keepNext w:val="0"/>
              <w:keepLines w:val="0"/>
              <w:pageBreakBefore w:val="0"/>
              <w:widowControl w:val="0"/>
              <w:tabs>
                <w:tab w:val="left" w:pos="900"/>
              </w:tabs>
              <w:kinsoku/>
              <w:wordWrap/>
              <w:overflowPunct/>
              <w:topLinePunct w:val="0"/>
              <w:autoSpaceDE/>
              <w:autoSpaceDN/>
              <w:bidi w:val="0"/>
              <w:spacing w:beforeAutospacing="0" w:afterAutospacing="0" w:line="460" w:lineRule="exact"/>
              <w:ind w:left="0" w:leftChars="0" w:firstLine="480" w:firstLineChars="200"/>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乙方名称（盖章）:</w:t>
            </w:r>
          </w:p>
          <w:p w14:paraId="4B0CC2A0">
            <w:pPr>
              <w:keepNext w:val="0"/>
              <w:keepLines w:val="0"/>
              <w:pageBreakBefore w:val="0"/>
              <w:widowControl w:val="0"/>
              <w:tabs>
                <w:tab w:val="left" w:pos="900"/>
              </w:tabs>
              <w:kinsoku/>
              <w:wordWrap/>
              <w:overflowPunct/>
              <w:topLinePunct w:val="0"/>
              <w:autoSpaceDE/>
              <w:autoSpaceDN/>
              <w:bidi w:val="0"/>
              <w:spacing w:beforeAutospacing="0" w:afterAutospacing="0" w:line="460" w:lineRule="exact"/>
              <w:ind w:left="0" w:leftChars="0" w:firstLine="480" w:firstLineChars="200"/>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代表人（签字）：</w:t>
            </w:r>
          </w:p>
          <w:p w14:paraId="5DF1D21F">
            <w:pPr>
              <w:keepNext w:val="0"/>
              <w:keepLines w:val="0"/>
              <w:pageBreakBefore w:val="0"/>
              <w:widowControl w:val="0"/>
              <w:tabs>
                <w:tab w:val="left" w:pos="900"/>
              </w:tabs>
              <w:kinsoku/>
              <w:wordWrap/>
              <w:overflowPunct/>
              <w:topLinePunct w:val="0"/>
              <w:autoSpaceDE/>
              <w:autoSpaceDN/>
              <w:bidi w:val="0"/>
              <w:spacing w:beforeAutospacing="0" w:afterAutospacing="0" w:line="460" w:lineRule="exact"/>
              <w:ind w:left="0" w:leftChars="0" w:firstLine="480" w:firstLineChars="200"/>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电话：</w:t>
            </w:r>
          </w:p>
          <w:p w14:paraId="36488F32">
            <w:pPr>
              <w:keepNext w:val="0"/>
              <w:keepLines w:val="0"/>
              <w:pageBreakBefore w:val="0"/>
              <w:widowControl w:val="0"/>
              <w:tabs>
                <w:tab w:val="left" w:pos="900"/>
              </w:tabs>
              <w:kinsoku/>
              <w:wordWrap/>
              <w:overflowPunct/>
              <w:topLinePunct w:val="0"/>
              <w:autoSpaceDE/>
              <w:autoSpaceDN/>
              <w:bidi w:val="0"/>
              <w:spacing w:beforeAutospacing="0" w:afterAutospacing="0" w:line="460" w:lineRule="exact"/>
              <w:ind w:left="0" w:leftChars="0" w:firstLine="480" w:firstLineChars="200"/>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 xml:space="preserve">  年   月    日</w:t>
            </w:r>
          </w:p>
        </w:tc>
      </w:tr>
    </w:tbl>
    <w:p w14:paraId="11D7A3B7">
      <w:pPr>
        <w:keepNext w:val="0"/>
        <w:keepLines w:val="0"/>
        <w:pageBreakBefore w:val="0"/>
        <w:widowControl w:val="0"/>
        <w:kinsoku/>
        <w:wordWrap/>
        <w:overflowPunct/>
        <w:topLinePunct w:val="0"/>
        <w:autoSpaceDE/>
        <w:autoSpaceDN/>
        <w:bidi w:val="0"/>
        <w:adjustRightInd/>
        <w:snapToGrid/>
        <w:spacing w:line="520" w:lineRule="exact"/>
        <w:ind w:firstLine="640" w:firstLineChars="200"/>
        <w:jc w:val="left"/>
        <w:textAlignment w:val="auto"/>
        <w:rPr>
          <w:rFonts w:hint="eastAsia" w:ascii="楷体" w:hAnsi="楷体" w:eastAsia="楷体" w:cs="Times New Roman"/>
          <w:color w:val="auto"/>
          <w:sz w:val="32"/>
          <w:szCs w:val="32"/>
          <w:highlight w:val="none"/>
        </w:rPr>
      </w:pPr>
    </w:p>
    <w:p w14:paraId="03C014F2">
      <w:pPr>
        <w:pStyle w:val="58"/>
        <w:rPr>
          <w:rFonts w:hint="eastAsia" w:ascii="楷体" w:hAnsi="楷体" w:eastAsia="楷体" w:cs="Times New Roman"/>
          <w:color w:val="auto"/>
          <w:sz w:val="32"/>
          <w:szCs w:val="32"/>
          <w:highlight w:val="none"/>
        </w:rPr>
      </w:pPr>
    </w:p>
    <w:p w14:paraId="35B941E8">
      <w:pPr>
        <w:rPr>
          <w:rFonts w:hint="eastAsia" w:ascii="楷体" w:hAnsi="楷体" w:eastAsia="楷体" w:cs="Times New Roman"/>
          <w:color w:val="auto"/>
          <w:sz w:val="32"/>
          <w:szCs w:val="32"/>
          <w:highlight w:val="none"/>
        </w:rPr>
      </w:pPr>
    </w:p>
    <w:p w14:paraId="15892565">
      <w:pPr>
        <w:pStyle w:val="27"/>
        <w:rPr>
          <w:rFonts w:hint="eastAsia" w:ascii="宋体" w:hAnsi="宋体" w:eastAsia="宋体" w:cs="宋体"/>
          <w:color w:val="auto"/>
          <w:highlight w:val="none"/>
        </w:rPr>
      </w:pPr>
    </w:p>
    <w:p w14:paraId="48665628">
      <w:pPr>
        <w:numPr>
          <w:ilvl w:val="0"/>
          <w:numId w:val="0"/>
        </w:numPr>
        <w:ind w:leftChars="0"/>
        <w:jc w:val="center"/>
        <w:outlineLvl w:val="0"/>
        <w:rPr>
          <w:rFonts w:hint="eastAsia" w:ascii="宋体" w:hAnsi="宋体" w:eastAsia="宋体" w:cs="宋体"/>
          <w:b/>
          <w:bCs/>
          <w:color w:val="auto"/>
          <w:sz w:val="28"/>
          <w:szCs w:val="28"/>
          <w:highlight w:val="none"/>
        </w:rPr>
      </w:pPr>
      <w:bookmarkStart w:id="11" w:name="_Toc12173"/>
      <w:r>
        <w:rPr>
          <w:rFonts w:hint="eastAsia" w:ascii="宋体" w:hAnsi="宋体" w:eastAsia="宋体" w:cs="宋体"/>
          <w:b/>
          <w:bCs/>
          <w:color w:val="auto"/>
          <w:sz w:val="28"/>
          <w:szCs w:val="28"/>
          <w:highlight w:val="none"/>
          <w:lang w:val="en-US" w:eastAsia="zh-CN"/>
        </w:rPr>
        <w:t xml:space="preserve">第五章  </w:t>
      </w:r>
      <w:r>
        <w:rPr>
          <w:rFonts w:hint="eastAsia" w:ascii="宋体" w:hAnsi="宋体" w:eastAsia="宋体" w:cs="宋体"/>
          <w:b/>
          <w:bCs/>
          <w:color w:val="auto"/>
          <w:sz w:val="28"/>
          <w:szCs w:val="28"/>
          <w:highlight w:val="none"/>
        </w:rPr>
        <w:t xml:space="preserve"> 磋商响应文件格式</w:t>
      </w:r>
      <w:bookmarkEnd w:id="11"/>
    </w:p>
    <w:p w14:paraId="7C105326">
      <w:pPr>
        <w:widowControl w:val="0"/>
        <w:numPr>
          <w:ilvl w:val="0"/>
          <w:numId w:val="0"/>
        </w:numPr>
        <w:jc w:val="center"/>
        <w:outlineLvl w:val="0"/>
        <w:rPr>
          <w:rFonts w:hint="eastAsia" w:ascii="宋体" w:hAnsi="宋体" w:eastAsia="宋体" w:cs="宋体"/>
          <w:b/>
          <w:bCs/>
          <w:color w:val="auto"/>
          <w:sz w:val="28"/>
          <w:szCs w:val="28"/>
          <w:highlight w:val="none"/>
        </w:rPr>
      </w:pPr>
    </w:p>
    <w:p w14:paraId="329CEE31">
      <w:pPr>
        <w:widowControl w:val="0"/>
        <w:numPr>
          <w:ilvl w:val="0"/>
          <w:numId w:val="0"/>
        </w:numPr>
        <w:jc w:val="center"/>
        <w:outlineLvl w:val="0"/>
        <w:rPr>
          <w:rFonts w:hint="eastAsia" w:ascii="宋体" w:hAnsi="宋体" w:eastAsia="宋体" w:cs="宋体"/>
          <w:b/>
          <w:bCs/>
          <w:color w:val="auto"/>
          <w:sz w:val="28"/>
          <w:szCs w:val="28"/>
          <w:highlight w:val="none"/>
        </w:rPr>
      </w:pPr>
    </w:p>
    <w:p w14:paraId="790CB0B2">
      <w:pPr>
        <w:widowControl w:val="0"/>
        <w:numPr>
          <w:ilvl w:val="0"/>
          <w:numId w:val="0"/>
        </w:numPr>
        <w:jc w:val="center"/>
        <w:outlineLvl w:val="0"/>
        <w:rPr>
          <w:rFonts w:hint="eastAsia" w:ascii="宋体" w:hAnsi="宋体" w:eastAsia="宋体" w:cs="宋体"/>
          <w:b/>
          <w:bCs/>
          <w:color w:val="auto"/>
          <w:sz w:val="28"/>
          <w:szCs w:val="28"/>
          <w:highlight w:val="none"/>
        </w:rPr>
      </w:pPr>
    </w:p>
    <w:p w14:paraId="633E5A86">
      <w:pPr>
        <w:widowControl w:val="0"/>
        <w:numPr>
          <w:ilvl w:val="0"/>
          <w:numId w:val="0"/>
        </w:numPr>
        <w:jc w:val="center"/>
        <w:outlineLvl w:val="0"/>
        <w:rPr>
          <w:rFonts w:hint="eastAsia" w:ascii="宋体" w:hAnsi="宋体" w:eastAsia="宋体" w:cs="宋体"/>
          <w:b/>
          <w:bCs/>
          <w:color w:val="auto"/>
          <w:sz w:val="28"/>
          <w:szCs w:val="28"/>
          <w:highlight w:val="none"/>
        </w:rPr>
      </w:pPr>
    </w:p>
    <w:p w14:paraId="577A4C4A">
      <w:pPr>
        <w:widowControl w:val="0"/>
        <w:numPr>
          <w:ilvl w:val="0"/>
          <w:numId w:val="0"/>
        </w:numPr>
        <w:jc w:val="center"/>
        <w:outlineLvl w:val="0"/>
        <w:rPr>
          <w:rFonts w:hint="eastAsia" w:ascii="宋体" w:hAnsi="宋体" w:eastAsia="宋体" w:cs="宋体"/>
          <w:b/>
          <w:bCs/>
          <w:color w:val="auto"/>
          <w:sz w:val="28"/>
          <w:szCs w:val="28"/>
          <w:highlight w:val="none"/>
        </w:rPr>
      </w:pPr>
    </w:p>
    <w:p w14:paraId="3B09839A">
      <w:pPr>
        <w:widowControl w:val="0"/>
        <w:numPr>
          <w:ilvl w:val="0"/>
          <w:numId w:val="0"/>
        </w:numPr>
        <w:jc w:val="center"/>
        <w:outlineLvl w:val="0"/>
        <w:rPr>
          <w:rFonts w:hint="eastAsia" w:ascii="宋体" w:hAnsi="宋体" w:eastAsia="宋体" w:cs="宋体"/>
          <w:b/>
          <w:bCs/>
          <w:color w:val="auto"/>
          <w:sz w:val="28"/>
          <w:szCs w:val="28"/>
          <w:highlight w:val="none"/>
        </w:rPr>
      </w:pPr>
    </w:p>
    <w:p w14:paraId="200C0BE1">
      <w:pPr>
        <w:widowControl w:val="0"/>
        <w:numPr>
          <w:ilvl w:val="0"/>
          <w:numId w:val="0"/>
        </w:numPr>
        <w:jc w:val="center"/>
        <w:outlineLvl w:val="0"/>
        <w:rPr>
          <w:rFonts w:hint="eastAsia" w:ascii="宋体" w:hAnsi="宋体" w:eastAsia="宋体" w:cs="宋体"/>
          <w:b/>
          <w:bCs/>
          <w:color w:val="auto"/>
          <w:sz w:val="28"/>
          <w:szCs w:val="28"/>
          <w:highlight w:val="none"/>
        </w:rPr>
      </w:pPr>
    </w:p>
    <w:p w14:paraId="212537F3">
      <w:pPr>
        <w:widowControl w:val="0"/>
        <w:numPr>
          <w:ilvl w:val="0"/>
          <w:numId w:val="0"/>
        </w:numPr>
        <w:jc w:val="center"/>
        <w:outlineLvl w:val="0"/>
        <w:rPr>
          <w:rFonts w:hint="eastAsia" w:ascii="宋体" w:hAnsi="宋体" w:eastAsia="宋体" w:cs="宋体"/>
          <w:b/>
          <w:bCs/>
          <w:color w:val="auto"/>
          <w:sz w:val="28"/>
          <w:szCs w:val="28"/>
          <w:highlight w:val="none"/>
        </w:rPr>
      </w:pPr>
    </w:p>
    <w:p w14:paraId="6FB16493">
      <w:pPr>
        <w:widowControl w:val="0"/>
        <w:numPr>
          <w:ilvl w:val="0"/>
          <w:numId w:val="0"/>
        </w:numPr>
        <w:jc w:val="center"/>
        <w:outlineLvl w:val="0"/>
        <w:rPr>
          <w:rFonts w:hint="eastAsia" w:ascii="宋体" w:hAnsi="宋体" w:eastAsia="宋体" w:cs="宋体"/>
          <w:b/>
          <w:bCs/>
          <w:color w:val="auto"/>
          <w:sz w:val="28"/>
          <w:szCs w:val="28"/>
          <w:highlight w:val="none"/>
        </w:rPr>
      </w:pPr>
    </w:p>
    <w:p w14:paraId="5D56A710">
      <w:pPr>
        <w:widowControl w:val="0"/>
        <w:numPr>
          <w:ilvl w:val="0"/>
          <w:numId w:val="0"/>
        </w:numPr>
        <w:jc w:val="center"/>
        <w:outlineLvl w:val="0"/>
        <w:rPr>
          <w:rFonts w:hint="eastAsia" w:ascii="宋体" w:hAnsi="宋体" w:eastAsia="宋体" w:cs="宋体"/>
          <w:b/>
          <w:bCs/>
          <w:color w:val="auto"/>
          <w:sz w:val="28"/>
          <w:szCs w:val="28"/>
          <w:highlight w:val="none"/>
        </w:rPr>
      </w:pPr>
    </w:p>
    <w:p w14:paraId="71CC98D9">
      <w:pPr>
        <w:widowControl w:val="0"/>
        <w:numPr>
          <w:ilvl w:val="0"/>
          <w:numId w:val="0"/>
        </w:numPr>
        <w:jc w:val="center"/>
        <w:outlineLvl w:val="0"/>
        <w:rPr>
          <w:rFonts w:hint="eastAsia" w:ascii="宋体" w:hAnsi="宋体" w:eastAsia="宋体" w:cs="宋体"/>
          <w:b/>
          <w:bCs/>
          <w:color w:val="auto"/>
          <w:sz w:val="28"/>
          <w:szCs w:val="28"/>
          <w:highlight w:val="none"/>
        </w:rPr>
      </w:pPr>
    </w:p>
    <w:p w14:paraId="44A9C474">
      <w:pPr>
        <w:widowControl w:val="0"/>
        <w:numPr>
          <w:ilvl w:val="0"/>
          <w:numId w:val="0"/>
        </w:numPr>
        <w:jc w:val="center"/>
        <w:outlineLvl w:val="0"/>
        <w:rPr>
          <w:rFonts w:hint="eastAsia" w:ascii="宋体" w:hAnsi="宋体" w:eastAsia="宋体" w:cs="宋体"/>
          <w:b/>
          <w:bCs/>
          <w:color w:val="auto"/>
          <w:sz w:val="28"/>
          <w:szCs w:val="28"/>
          <w:highlight w:val="none"/>
        </w:rPr>
      </w:pPr>
    </w:p>
    <w:p w14:paraId="0FDE847A">
      <w:pPr>
        <w:widowControl w:val="0"/>
        <w:numPr>
          <w:ilvl w:val="0"/>
          <w:numId w:val="0"/>
        </w:numPr>
        <w:jc w:val="center"/>
        <w:outlineLvl w:val="0"/>
        <w:rPr>
          <w:rFonts w:hint="eastAsia" w:ascii="宋体" w:hAnsi="宋体" w:eastAsia="宋体" w:cs="宋体"/>
          <w:b/>
          <w:bCs/>
          <w:color w:val="auto"/>
          <w:sz w:val="28"/>
          <w:szCs w:val="28"/>
          <w:highlight w:val="none"/>
        </w:rPr>
      </w:pPr>
    </w:p>
    <w:p w14:paraId="6F4F3D1D">
      <w:pPr>
        <w:widowControl w:val="0"/>
        <w:numPr>
          <w:ilvl w:val="0"/>
          <w:numId w:val="0"/>
        </w:numPr>
        <w:jc w:val="center"/>
        <w:outlineLvl w:val="0"/>
        <w:rPr>
          <w:rFonts w:hint="eastAsia" w:ascii="宋体" w:hAnsi="宋体" w:eastAsia="宋体" w:cs="宋体"/>
          <w:b/>
          <w:bCs/>
          <w:color w:val="auto"/>
          <w:sz w:val="28"/>
          <w:szCs w:val="28"/>
          <w:highlight w:val="none"/>
        </w:rPr>
      </w:pPr>
    </w:p>
    <w:p w14:paraId="71B958EC">
      <w:pPr>
        <w:widowControl w:val="0"/>
        <w:numPr>
          <w:ilvl w:val="0"/>
          <w:numId w:val="0"/>
        </w:numPr>
        <w:jc w:val="center"/>
        <w:outlineLvl w:val="0"/>
        <w:rPr>
          <w:rFonts w:hint="eastAsia" w:ascii="宋体" w:hAnsi="宋体" w:eastAsia="宋体" w:cs="宋体"/>
          <w:b/>
          <w:bCs/>
          <w:color w:val="auto"/>
          <w:sz w:val="28"/>
          <w:szCs w:val="28"/>
          <w:highlight w:val="none"/>
        </w:rPr>
      </w:pPr>
    </w:p>
    <w:p w14:paraId="00F8CEFB">
      <w:pPr>
        <w:widowControl w:val="0"/>
        <w:numPr>
          <w:ilvl w:val="0"/>
          <w:numId w:val="0"/>
        </w:numPr>
        <w:jc w:val="center"/>
        <w:outlineLvl w:val="0"/>
        <w:rPr>
          <w:rFonts w:hint="eastAsia" w:ascii="宋体" w:hAnsi="宋体" w:eastAsia="宋体" w:cs="宋体"/>
          <w:b/>
          <w:bCs/>
          <w:color w:val="auto"/>
          <w:sz w:val="28"/>
          <w:szCs w:val="28"/>
          <w:highlight w:val="none"/>
        </w:rPr>
      </w:pPr>
    </w:p>
    <w:p w14:paraId="7335D836">
      <w:pPr>
        <w:widowControl w:val="0"/>
        <w:numPr>
          <w:ilvl w:val="0"/>
          <w:numId w:val="0"/>
        </w:numPr>
        <w:jc w:val="center"/>
        <w:outlineLvl w:val="0"/>
        <w:rPr>
          <w:rFonts w:hint="eastAsia" w:ascii="宋体" w:hAnsi="宋体" w:eastAsia="宋体" w:cs="宋体"/>
          <w:b/>
          <w:bCs/>
          <w:color w:val="auto"/>
          <w:sz w:val="28"/>
          <w:szCs w:val="28"/>
          <w:highlight w:val="none"/>
        </w:rPr>
      </w:pPr>
    </w:p>
    <w:p w14:paraId="4209FCCB">
      <w:pPr>
        <w:widowControl w:val="0"/>
        <w:numPr>
          <w:ilvl w:val="0"/>
          <w:numId w:val="0"/>
        </w:numPr>
        <w:jc w:val="center"/>
        <w:outlineLvl w:val="0"/>
        <w:rPr>
          <w:rFonts w:hint="eastAsia" w:ascii="宋体" w:hAnsi="宋体" w:eastAsia="宋体" w:cs="宋体"/>
          <w:b/>
          <w:bCs/>
          <w:color w:val="auto"/>
          <w:sz w:val="28"/>
          <w:szCs w:val="28"/>
          <w:highlight w:val="none"/>
        </w:rPr>
      </w:pPr>
    </w:p>
    <w:p w14:paraId="046F49D5">
      <w:pPr>
        <w:widowControl w:val="0"/>
        <w:numPr>
          <w:ilvl w:val="0"/>
          <w:numId w:val="0"/>
        </w:numPr>
        <w:jc w:val="center"/>
        <w:outlineLvl w:val="0"/>
        <w:rPr>
          <w:rFonts w:hint="eastAsia" w:ascii="宋体" w:hAnsi="宋体" w:eastAsia="宋体" w:cs="宋体"/>
          <w:b/>
          <w:bCs/>
          <w:color w:val="auto"/>
          <w:sz w:val="28"/>
          <w:szCs w:val="28"/>
          <w:highlight w:val="none"/>
        </w:rPr>
      </w:pPr>
    </w:p>
    <w:p w14:paraId="71DEC277">
      <w:pPr>
        <w:widowControl w:val="0"/>
        <w:numPr>
          <w:ilvl w:val="0"/>
          <w:numId w:val="0"/>
        </w:numPr>
        <w:jc w:val="center"/>
        <w:outlineLvl w:val="0"/>
        <w:rPr>
          <w:rFonts w:hint="eastAsia" w:ascii="宋体" w:hAnsi="宋体" w:eastAsia="宋体" w:cs="宋体"/>
          <w:b/>
          <w:bCs/>
          <w:color w:val="auto"/>
          <w:sz w:val="28"/>
          <w:szCs w:val="28"/>
          <w:highlight w:val="none"/>
        </w:rPr>
      </w:pPr>
    </w:p>
    <w:p w14:paraId="54EB0979">
      <w:pPr>
        <w:widowControl w:val="0"/>
        <w:numPr>
          <w:ilvl w:val="0"/>
          <w:numId w:val="0"/>
        </w:numPr>
        <w:jc w:val="center"/>
        <w:outlineLvl w:val="0"/>
        <w:rPr>
          <w:rFonts w:hint="eastAsia" w:ascii="宋体" w:hAnsi="宋体" w:eastAsia="宋体" w:cs="宋体"/>
          <w:b/>
          <w:bCs/>
          <w:color w:val="auto"/>
          <w:sz w:val="28"/>
          <w:szCs w:val="28"/>
          <w:highlight w:val="none"/>
        </w:rPr>
      </w:pPr>
    </w:p>
    <w:p w14:paraId="4FFF3D26">
      <w:pPr>
        <w:spacing w:line="200" w:lineRule="exact"/>
        <w:jc w:val="left"/>
        <w:rPr>
          <w:rFonts w:hint="eastAsia" w:ascii="宋体" w:hAnsi="宋体" w:eastAsia="宋体" w:cs="宋体"/>
          <w:color w:val="auto"/>
          <w:sz w:val="24"/>
          <w:highlight w:val="none"/>
        </w:rPr>
      </w:pPr>
    </w:p>
    <w:p w14:paraId="6B0C83CA">
      <w:pPr>
        <w:jc w:val="left"/>
        <w:rPr>
          <w:rFonts w:hint="eastAsia" w:ascii="宋体" w:hAnsi="宋体" w:eastAsia="宋体" w:cs="宋体"/>
          <w:color w:val="auto"/>
          <w:sz w:val="52"/>
          <w:highlight w:val="none"/>
          <w:lang w:val="en-US" w:eastAsia="zh-CN"/>
        </w:rPr>
      </w:pPr>
      <w:r>
        <w:rPr>
          <w:rFonts w:hint="eastAsia" w:ascii="宋体" w:hAnsi="宋体" w:eastAsia="宋体" w:cs="宋体"/>
          <w:color w:val="auto"/>
          <w:sz w:val="32"/>
          <w:highlight w:val="none"/>
        </w:rPr>
        <w:t xml:space="preserve">项目编号：                          </w:t>
      </w:r>
    </w:p>
    <w:p w14:paraId="0E71478B">
      <w:pPr>
        <w:spacing w:line="200" w:lineRule="exact"/>
        <w:jc w:val="left"/>
        <w:rPr>
          <w:rFonts w:hint="eastAsia" w:ascii="宋体" w:hAnsi="宋体" w:eastAsia="宋体" w:cs="宋体"/>
          <w:color w:val="auto"/>
          <w:sz w:val="24"/>
          <w:highlight w:val="none"/>
        </w:rPr>
      </w:pPr>
    </w:p>
    <w:p w14:paraId="7E0EBBAD">
      <w:pPr>
        <w:spacing w:line="200" w:lineRule="exact"/>
        <w:jc w:val="left"/>
        <w:rPr>
          <w:rFonts w:hint="eastAsia" w:ascii="宋体" w:hAnsi="宋体" w:eastAsia="宋体" w:cs="宋体"/>
          <w:color w:val="auto"/>
          <w:sz w:val="24"/>
          <w:highlight w:val="none"/>
        </w:rPr>
      </w:pPr>
    </w:p>
    <w:p w14:paraId="6E31A1FD">
      <w:pPr>
        <w:spacing w:line="200" w:lineRule="exact"/>
        <w:jc w:val="left"/>
        <w:rPr>
          <w:rFonts w:hint="eastAsia" w:ascii="宋体" w:hAnsi="宋体" w:eastAsia="宋体" w:cs="宋体"/>
          <w:color w:val="auto"/>
          <w:sz w:val="24"/>
          <w:highlight w:val="none"/>
        </w:rPr>
      </w:pPr>
    </w:p>
    <w:p w14:paraId="12AE346C">
      <w:pPr>
        <w:spacing w:line="253" w:lineRule="exact"/>
        <w:jc w:val="left"/>
        <w:rPr>
          <w:rFonts w:hint="eastAsia" w:ascii="宋体" w:hAnsi="宋体" w:eastAsia="宋体" w:cs="宋体"/>
          <w:color w:val="auto"/>
          <w:sz w:val="24"/>
          <w:highlight w:val="none"/>
        </w:rPr>
      </w:pPr>
    </w:p>
    <w:p w14:paraId="092513AC">
      <w:pPr>
        <w:ind w:left="360"/>
        <w:jc w:val="center"/>
        <w:rPr>
          <w:rFonts w:hint="eastAsia" w:ascii="宋体" w:hAnsi="宋体" w:eastAsia="宋体" w:cs="宋体"/>
          <w:color w:val="auto"/>
          <w:sz w:val="52"/>
          <w:highlight w:val="none"/>
        </w:rPr>
      </w:pPr>
    </w:p>
    <w:p w14:paraId="5BF1FF2C">
      <w:pPr>
        <w:pStyle w:val="23"/>
        <w:rPr>
          <w:rFonts w:hint="eastAsia" w:ascii="宋体" w:hAnsi="宋体" w:eastAsia="宋体" w:cs="宋体"/>
          <w:color w:val="auto"/>
          <w:highlight w:val="none"/>
        </w:rPr>
      </w:pPr>
    </w:p>
    <w:p w14:paraId="713212ED">
      <w:pPr>
        <w:jc w:val="center"/>
        <w:rPr>
          <w:rFonts w:hint="eastAsia" w:ascii="宋体" w:hAnsi="宋体" w:eastAsia="宋体" w:cs="宋体"/>
          <w:color w:val="auto"/>
          <w:sz w:val="52"/>
          <w:highlight w:val="none"/>
        </w:rPr>
      </w:pPr>
      <w:r>
        <w:rPr>
          <w:rFonts w:hint="eastAsia" w:ascii="宋体" w:hAnsi="宋体" w:cs="宋体"/>
          <w:color w:val="auto"/>
          <w:sz w:val="52"/>
          <w:highlight w:val="none"/>
          <w:lang w:val="zh-CN" w:eastAsia="zh-CN"/>
        </w:rPr>
        <w:t>2025-2026年度高低压配电室年度维保采购项目</w:t>
      </w:r>
    </w:p>
    <w:p w14:paraId="47E91BBA">
      <w:pPr>
        <w:pStyle w:val="39"/>
        <w:rPr>
          <w:rFonts w:hint="eastAsia" w:ascii="宋体" w:hAnsi="宋体" w:eastAsia="宋体" w:cs="宋体"/>
          <w:color w:val="auto"/>
          <w:highlight w:val="none"/>
        </w:rPr>
      </w:pPr>
    </w:p>
    <w:p w14:paraId="09E4F4E1">
      <w:pPr>
        <w:jc w:val="left"/>
        <w:rPr>
          <w:rFonts w:hint="eastAsia" w:ascii="宋体" w:hAnsi="宋体" w:eastAsia="宋体" w:cs="宋体"/>
          <w:color w:val="auto"/>
          <w:sz w:val="52"/>
          <w:highlight w:val="none"/>
        </w:rPr>
      </w:pPr>
    </w:p>
    <w:p w14:paraId="29F2DF47">
      <w:pPr>
        <w:pStyle w:val="23"/>
        <w:rPr>
          <w:rFonts w:hint="eastAsia" w:ascii="宋体" w:hAnsi="宋体" w:eastAsia="宋体" w:cs="宋体"/>
          <w:color w:val="auto"/>
          <w:highlight w:val="none"/>
        </w:rPr>
      </w:pPr>
    </w:p>
    <w:p w14:paraId="5418680F">
      <w:pPr>
        <w:pStyle w:val="23"/>
        <w:rPr>
          <w:rFonts w:hint="eastAsia" w:ascii="宋体" w:hAnsi="宋体" w:eastAsia="宋体" w:cs="宋体"/>
          <w:color w:val="auto"/>
          <w:highlight w:val="none"/>
        </w:rPr>
      </w:pPr>
    </w:p>
    <w:p w14:paraId="3534A430">
      <w:pPr>
        <w:ind w:left="360"/>
        <w:jc w:val="center"/>
        <w:rPr>
          <w:rFonts w:hint="eastAsia" w:ascii="宋体" w:hAnsi="宋体" w:eastAsia="宋体" w:cs="宋体"/>
          <w:color w:val="auto"/>
          <w:sz w:val="24"/>
          <w:highlight w:val="none"/>
        </w:rPr>
      </w:pPr>
      <w:r>
        <w:rPr>
          <w:rFonts w:hint="eastAsia" w:ascii="宋体" w:hAnsi="宋体" w:eastAsia="宋体" w:cs="宋体"/>
          <w:color w:val="auto"/>
          <w:sz w:val="52"/>
          <w:highlight w:val="none"/>
          <w:lang w:val="en-US" w:eastAsia="zh-CN"/>
        </w:rPr>
        <w:t>磋商</w:t>
      </w:r>
      <w:r>
        <w:rPr>
          <w:rFonts w:hint="eastAsia" w:ascii="宋体" w:hAnsi="宋体" w:eastAsia="宋体" w:cs="宋体"/>
          <w:color w:val="auto"/>
          <w:sz w:val="52"/>
          <w:highlight w:val="none"/>
        </w:rPr>
        <w:t>响应文件</w:t>
      </w:r>
    </w:p>
    <w:p w14:paraId="496254D4">
      <w:pPr>
        <w:spacing w:line="200" w:lineRule="exact"/>
        <w:jc w:val="left"/>
        <w:rPr>
          <w:rFonts w:hint="eastAsia" w:ascii="宋体" w:hAnsi="宋体" w:eastAsia="宋体" w:cs="宋体"/>
          <w:color w:val="auto"/>
          <w:sz w:val="24"/>
          <w:highlight w:val="none"/>
        </w:rPr>
      </w:pPr>
    </w:p>
    <w:p w14:paraId="12847C94">
      <w:pPr>
        <w:spacing w:line="200" w:lineRule="exact"/>
        <w:jc w:val="left"/>
        <w:rPr>
          <w:rFonts w:hint="eastAsia" w:ascii="宋体" w:hAnsi="宋体" w:eastAsia="宋体" w:cs="宋体"/>
          <w:color w:val="auto"/>
          <w:sz w:val="24"/>
          <w:highlight w:val="none"/>
        </w:rPr>
      </w:pPr>
    </w:p>
    <w:p w14:paraId="1B402F3F">
      <w:pPr>
        <w:spacing w:line="200" w:lineRule="exact"/>
        <w:jc w:val="left"/>
        <w:rPr>
          <w:rFonts w:hint="eastAsia" w:ascii="宋体" w:hAnsi="宋体" w:eastAsia="宋体" w:cs="宋体"/>
          <w:color w:val="auto"/>
          <w:sz w:val="24"/>
          <w:highlight w:val="none"/>
        </w:rPr>
      </w:pPr>
    </w:p>
    <w:p w14:paraId="35B929F6">
      <w:pPr>
        <w:spacing w:line="200" w:lineRule="exact"/>
        <w:jc w:val="left"/>
        <w:rPr>
          <w:rFonts w:hint="eastAsia" w:ascii="宋体" w:hAnsi="宋体" w:eastAsia="宋体" w:cs="宋体"/>
          <w:color w:val="auto"/>
          <w:sz w:val="24"/>
          <w:highlight w:val="none"/>
        </w:rPr>
      </w:pPr>
    </w:p>
    <w:p w14:paraId="33B5B107">
      <w:pPr>
        <w:spacing w:line="200" w:lineRule="exact"/>
        <w:jc w:val="left"/>
        <w:rPr>
          <w:rFonts w:hint="eastAsia" w:ascii="宋体" w:hAnsi="宋体" w:eastAsia="宋体" w:cs="宋体"/>
          <w:color w:val="auto"/>
          <w:sz w:val="24"/>
          <w:highlight w:val="none"/>
        </w:rPr>
      </w:pPr>
    </w:p>
    <w:p w14:paraId="5123308A">
      <w:pPr>
        <w:spacing w:line="200" w:lineRule="exact"/>
        <w:jc w:val="left"/>
        <w:rPr>
          <w:rFonts w:hint="eastAsia" w:ascii="宋体" w:hAnsi="宋体" w:eastAsia="宋体" w:cs="宋体"/>
          <w:color w:val="auto"/>
          <w:sz w:val="24"/>
          <w:highlight w:val="none"/>
        </w:rPr>
      </w:pPr>
    </w:p>
    <w:p w14:paraId="2C733145">
      <w:pPr>
        <w:spacing w:line="200" w:lineRule="exact"/>
        <w:jc w:val="left"/>
        <w:rPr>
          <w:rFonts w:hint="eastAsia" w:ascii="宋体" w:hAnsi="宋体" w:eastAsia="宋体" w:cs="宋体"/>
          <w:color w:val="auto"/>
          <w:sz w:val="24"/>
          <w:highlight w:val="none"/>
        </w:rPr>
      </w:pPr>
    </w:p>
    <w:p w14:paraId="167645A4">
      <w:pPr>
        <w:spacing w:line="200" w:lineRule="exact"/>
        <w:jc w:val="left"/>
        <w:rPr>
          <w:rFonts w:hint="eastAsia" w:ascii="宋体" w:hAnsi="宋体" w:eastAsia="宋体" w:cs="宋体"/>
          <w:color w:val="auto"/>
          <w:sz w:val="24"/>
          <w:highlight w:val="none"/>
        </w:rPr>
      </w:pPr>
    </w:p>
    <w:p w14:paraId="1C336F85">
      <w:pPr>
        <w:spacing w:line="200" w:lineRule="exact"/>
        <w:jc w:val="left"/>
        <w:rPr>
          <w:rFonts w:hint="eastAsia" w:ascii="宋体" w:hAnsi="宋体" w:eastAsia="宋体" w:cs="宋体"/>
          <w:color w:val="auto"/>
          <w:sz w:val="24"/>
          <w:highlight w:val="none"/>
        </w:rPr>
      </w:pPr>
    </w:p>
    <w:p w14:paraId="15D4B7FF">
      <w:pPr>
        <w:spacing w:line="360" w:lineRule="auto"/>
        <w:ind w:firstLine="600" w:firstLineChars="200"/>
        <w:jc w:val="left"/>
        <w:rPr>
          <w:rFonts w:hint="eastAsia" w:ascii="宋体" w:hAnsi="宋体" w:eastAsia="宋体" w:cs="宋体"/>
          <w:color w:val="auto"/>
          <w:sz w:val="30"/>
          <w:szCs w:val="30"/>
          <w:highlight w:val="none"/>
          <w:u w:val="single"/>
        </w:rPr>
      </w:pPr>
      <w:r>
        <w:rPr>
          <w:rFonts w:hint="eastAsia" w:ascii="宋体" w:hAnsi="宋体" w:eastAsia="宋体" w:cs="宋体"/>
          <w:color w:val="auto"/>
          <w:sz w:val="30"/>
          <w:szCs w:val="30"/>
          <w:highlight w:val="none"/>
        </w:rPr>
        <w:t>供应商名称：</w:t>
      </w:r>
      <w:r>
        <w:rPr>
          <w:rFonts w:hint="eastAsia" w:ascii="宋体" w:hAnsi="宋体" w:eastAsia="宋体" w:cs="宋体"/>
          <w:color w:val="auto"/>
          <w:sz w:val="30"/>
          <w:szCs w:val="30"/>
          <w:highlight w:val="none"/>
          <w:u w:val="single"/>
        </w:rPr>
        <w:t xml:space="preserve">                            </w:t>
      </w:r>
      <w:r>
        <w:rPr>
          <w:rFonts w:hint="eastAsia" w:ascii="宋体" w:hAnsi="宋体" w:eastAsia="宋体" w:cs="宋体"/>
          <w:color w:val="auto"/>
          <w:sz w:val="28"/>
          <w:szCs w:val="28"/>
          <w:highlight w:val="none"/>
          <w:u w:val="single"/>
        </w:rPr>
        <w:t>（盖章）</w:t>
      </w:r>
    </w:p>
    <w:p w14:paraId="6D66D175">
      <w:pPr>
        <w:spacing w:line="360" w:lineRule="auto"/>
        <w:ind w:firstLine="600" w:firstLineChars="200"/>
        <w:jc w:val="left"/>
        <w:rPr>
          <w:rFonts w:hint="eastAsia" w:ascii="宋体" w:hAnsi="宋体" w:eastAsia="宋体" w:cs="宋体"/>
          <w:color w:val="auto"/>
          <w:sz w:val="30"/>
          <w:szCs w:val="30"/>
          <w:highlight w:val="none"/>
          <w:u w:val="single"/>
        </w:rPr>
      </w:pPr>
      <w:r>
        <w:rPr>
          <w:rFonts w:hint="eastAsia" w:ascii="宋体" w:hAnsi="宋体" w:eastAsia="宋体" w:cs="宋体"/>
          <w:color w:val="auto"/>
          <w:sz w:val="30"/>
          <w:szCs w:val="30"/>
          <w:highlight w:val="none"/>
        </w:rPr>
        <w:t>供应商地址：</w:t>
      </w:r>
      <w:r>
        <w:rPr>
          <w:rFonts w:hint="eastAsia" w:ascii="宋体" w:hAnsi="宋体" w:eastAsia="宋体" w:cs="宋体"/>
          <w:color w:val="auto"/>
          <w:sz w:val="30"/>
          <w:szCs w:val="30"/>
          <w:highlight w:val="none"/>
          <w:u w:val="single"/>
        </w:rPr>
        <w:t xml:space="preserve">                                    </w:t>
      </w:r>
    </w:p>
    <w:p w14:paraId="38BFD1AB">
      <w:pPr>
        <w:spacing w:line="360" w:lineRule="auto"/>
        <w:ind w:firstLine="600" w:firstLineChars="200"/>
        <w:jc w:val="left"/>
        <w:rPr>
          <w:rFonts w:hint="eastAsia" w:ascii="宋体" w:hAnsi="宋体" w:eastAsia="宋体" w:cs="宋体"/>
          <w:color w:val="auto"/>
          <w:sz w:val="30"/>
          <w:szCs w:val="30"/>
          <w:highlight w:val="none"/>
          <w:u w:val="single"/>
        </w:rPr>
      </w:pPr>
      <w:r>
        <w:rPr>
          <w:rFonts w:hint="eastAsia" w:ascii="宋体" w:hAnsi="宋体" w:eastAsia="宋体" w:cs="宋体"/>
          <w:color w:val="auto"/>
          <w:sz w:val="30"/>
          <w:szCs w:val="30"/>
          <w:highlight w:val="none"/>
        </w:rPr>
        <w:t>供应商联系电话：</w:t>
      </w:r>
      <w:r>
        <w:rPr>
          <w:rFonts w:hint="eastAsia" w:ascii="宋体" w:hAnsi="宋体" w:eastAsia="宋体" w:cs="宋体"/>
          <w:color w:val="auto"/>
          <w:sz w:val="30"/>
          <w:szCs w:val="30"/>
          <w:highlight w:val="none"/>
          <w:u w:val="single"/>
        </w:rPr>
        <w:t xml:space="preserve">                                </w:t>
      </w:r>
    </w:p>
    <w:p w14:paraId="2D975302">
      <w:pPr>
        <w:spacing w:line="360" w:lineRule="auto"/>
        <w:ind w:firstLine="600" w:firstLineChars="200"/>
        <w:jc w:val="left"/>
        <w:rPr>
          <w:rFonts w:hint="eastAsia" w:ascii="宋体" w:hAnsi="宋体" w:eastAsia="宋体" w:cs="宋体"/>
          <w:color w:val="auto"/>
          <w:sz w:val="30"/>
          <w:szCs w:val="30"/>
          <w:highlight w:val="none"/>
          <w:u w:val="single"/>
        </w:rPr>
      </w:pPr>
      <w:r>
        <w:rPr>
          <w:rFonts w:hint="eastAsia" w:ascii="宋体" w:hAnsi="宋体" w:eastAsia="宋体" w:cs="宋体"/>
          <w:color w:val="auto"/>
          <w:sz w:val="30"/>
          <w:szCs w:val="30"/>
          <w:highlight w:val="none"/>
        </w:rPr>
        <w:t>供应商联系人：</w:t>
      </w:r>
      <w:r>
        <w:rPr>
          <w:rFonts w:hint="eastAsia" w:ascii="宋体" w:hAnsi="宋体" w:eastAsia="宋体" w:cs="宋体"/>
          <w:color w:val="auto"/>
          <w:sz w:val="30"/>
          <w:szCs w:val="30"/>
          <w:highlight w:val="none"/>
          <w:u w:val="single"/>
        </w:rPr>
        <w:t xml:space="preserve">                    </w:t>
      </w:r>
      <w:r>
        <w:rPr>
          <w:rFonts w:hint="eastAsia" w:ascii="宋体" w:hAnsi="宋体" w:eastAsia="宋体" w:cs="宋体"/>
          <w:color w:val="auto"/>
          <w:sz w:val="28"/>
          <w:szCs w:val="28"/>
          <w:highlight w:val="none"/>
          <w:u w:val="single"/>
        </w:rPr>
        <w:t>（ 签字或盖章）</w:t>
      </w:r>
    </w:p>
    <w:p w14:paraId="16947078">
      <w:pPr>
        <w:spacing w:line="360" w:lineRule="auto"/>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 xml:space="preserve">         </w:t>
      </w:r>
    </w:p>
    <w:p w14:paraId="24BE21F9">
      <w:pPr>
        <w:spacing w:line="200" w:lineRule="exact"/>
        <w:jc w:val="left"/>
        <w:rPr>
          <w:rFonts w:hint="eastAsia" w:ascii="宋体" w:hAnsi="宋体" w:eastAsia="宋体" w:cs="宋体"/>
          <w:color w:val="auto"/>
          <w:sz w:val="24"/>
          <w:highlight w:val="none"/>
        </w:rPr>
      </w:pPr>
    </w:p>
    <w:p w14:paraId="49D0893F">
      <w:pPr>
        <w:jc w:val="center"/>
        <w:rPr>
          <w:rFonts w:hint="eastAsia" w:ascii="宋体" w:hAnsi="宋体" w:eastAsia="宋体" w:cs="宋体"/>
          <w:color w:val="auto"/>
          <w:sz w:val="24"/>
          <w:highlight w:val="none"/>
        </w:rPr>
      </w:pPr>
      <w:r>
        <w:rPr>
          <w:rFonts w:hint="eastAsia" w:ascii="宋体" w:hAnsi="宋体" w:eastAsia="宋体" w:cs="宋体"/>
          <w:color w:val="auto"/>
          <w:sz w:val="28"/>
          <w:highlight w:val="none"/>
        </w:rPr>
        <w:t>年  月  日</w:t>
      </w:r>
    </w:p>
    <w:p w14:paraId="3EF45FBC">
      <w:pPr>
        <w:widowControl/>
        <w:jc w:val="center"/>
        <w:rPr>
          <w:rFonts w:hint="eastAsia" w:ascii="宋体" w:hAnsi="宋体" w:eastAsia="宋体" w:cs="宋体"/>
          <w:b/>
          <w:color w:val="auto"/>
          <w:sz w:val="32"/>
          <w:szCs w:val="32"/>
          <w:highlight w:val="none"/>
        </w:rPr>
      </w:pPr>
    </w:p>
    <w:p w14:paraId="44E02762">
      <w:pPr>
        <w:widowControl/>
        <w:jc w:val="center"/>
        <w:rPr>
          <w:rFonts w:hint="eastAsia" w:ascii="宋体" w:hAnsi="宋体" w:eastAsia="宋体" w:cs="宋体"/>
          <w:b/>
          <w:color w:val="auto"/>
          <w:sz w:val="32"/>
          <w:szCs w:val="32"/>
          <w:highlight w:val="none"/>
        </w:rPr>
      </w:pPr>
      <w:r>
        <w:rPr>
          <w:rFonts w:hint="eastAsia" w:ascii="宋体" w:hAnsi="宋体" w:eastAsia="宋体" w:cs="宋体"/>
          <w:b/>
          <w:color w:val="auto"/>
          <w:sz w:val="32"/>
          <w:szCs w:val="32"/>
          <w:highlight w:val="none"/>
        </w:rPr>
        <w:t>目  录</w:t>
      </w:r>
    </w:p>
    <w:p w14:paraId="6D294656">
      <w:pPr>
        <w:spacing w:line="360" w:lineRule="auto"/>
        <w:ind w:firstLine="480" w:firstLineChars="200"/>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一、磋商响应函</w:t>
      </w:r>
    </w:p>
    <w:p w14:paraId="150C4CB7">
      <w:pPr>
        <w:spacing w:line="360" w:lineRule="auto"/>
        <w:ind w:firstLine="480" w:firstLineChars="200"/>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二、法定代表人身份证明、法定代表人授权委托书</w:t>
      </w:r>
    </w:p>
    <w:p w14:paraId="79BE13FC">
      <w:pPr>
        <w:spacing w:line="360" w:lineRule="auto"/>
        <w:ind w:firstLine="480" w:firstLineChars="200"/>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三、开标一览表</w:t>
      </w:r>
    </w:p>
    <w:p w14:paraId="1CD4FCDB">
      <w:pPr>
        <w:spacing w:line="360" w:lineRule="auto"/>
        <w:ind w:firstLine="480" w:firstLineChars="200"/>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四、分项报价表</w:t>
      </w:r>
    </w:p>
    <w:p w14:paraId="19AD04DD">
      <w:pPr>
        <w:spacing w:line="360" w:lineRule="auto"/>
        <w:ind w:firstLine="480" w:firstLineChars="200"/>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五、服务偏离表</w:t>
      </w:r>
    </w:p>
    <w:p w14:paraId="3F68C386">
      <w:pPr>
        <w:spacing w:line="360" w:lineRule="auto"/>
        <w:ind w:firstLine="480" w:firstLineChars="200"/>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六、</w:t>
      </w:r>
      <w:r>
        <w:rPr>
          <w:rFonts w:hint="eastAsia" w:ascii="宋体" w:hAnsi="宋体" w:eastAsia="宋体" w:cs="宋体"/>
          <w:bCs/>
          <w:color w:val="auto"/>
          <w:sz w:val="24"/>
          <w:highlight w:val="none"/>
          <w:lang w:val="en-US" w:eastAsia="zh-CN"/>
        </w:rPr>
        <w:t>商务</w:t>
      </w:r>
      <w:r>
        <w:rPr>
          <w:rFonts w:hint="eastAsia" w:ascii="宋体" w:hAnsi="宋体" w:eastAsia="宋体" w:cs="宋体"/>
          <w:bCs/>
          <w:color w:val="auto"/>
          <w:sz w:val="24"/>
          <w:highlight w:val="none"/>
        </w:rPr>
        <w:t>偏离表</w:t>
      </w:r>
    </w:p>
    <w:p w14:paraId="0A1D57C8">
      <w:pPr>
        <w:spacing w:line="360" w:lineRule="auto"/>
        <w:ind w:firstLine="480" w:firstLineChars="200"/>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七、资格证明文件</w:t>
      </w:r>
    </w:p>
    <w:p w14:paraId="034C3335">
      <w:pPr>
        <w:spacing w:line="360" w:lineRule="auto"/>
        <w:ind w:firstLine="480" w:firstLineChars="200"/>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八、投标服务方案说明</w:t>
      </w:r>
    </w:p>
    <w:p w14:paraId="75153CBF">
      <w:pPr>
        <w:spacing w:line="360" w:lineRule="auto"/>
        <w:ind w:firstLine="480" w:firstLineChars="200"/>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九、本项目拟投入人员汇总表</w:t>
      </w:r>
    </w:p>
    <w:p w14:paraId="06AB17FA">
      <w:pPr>
        <w:spacing w:line="360" w:lineRule="auto"/>
        <w:ind w:firstLine="480" w:firstLineChars="200"/>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十、近3年业绩有关证明材料</w:t>
      </w:r>
    </w:p>
    <w:p w14:paraId="20F725F0">
      <w:pPr>
        <w:spacing w:line="360" w:lineRule="auto"/>
        <w:ind w:firstLine="480" w:firstLineChars="200"/>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十一、供应商拒绝政府采购领域商业贿赂承诺书</w:t>
      </w:r>
    </w:p>
    <w:p w14:paraId="715FDA18">
      <w:pPr>
        <w:spacing w:line="360" w:lineRule="auto"/>
        <w:ind w:firstLine="480" w:firstLineChars="200"/>
        <w:rPr>
          <w:rFonts w:hint="eastAsia" w:ascii="宋体" w:hAnsi="宋体" w:eastAsia="宋体" w:cs="宋体"/>
          <w:bCs/>
          <w:color w:val="auto"/>
          <w:sz w:val="24"/>
          <w:highlight w:val="none"/>
          <w:lang w:eastAsia="zh-CN"/>
        </w:rPr>
      </w:pPr>
      <w:r>
        <w:rPr>
          <w:rFonts w:hint="eastAsia" w:ascii="宋体" w:hAnsi="宋体" w:eastAsia="宋体" w:cs="宋体"/>
          <w:bCs/>
          <w:color w:val="auto"/>
          <w:sz w:val="24"/>
          <w:highlight w:val="none"/>
        </w:rPr>
        <w:t>十二、小</w:t>
      </w:r>
      <w:r>
        <w:rPr>
          <w:rFonts w:hint="eastAsia" w:ascii="宋体" w:hAnsi="宋体" w:eastAsia="宋体" w:cs="宋体"/>
          <w:bCs/>
          <w:color w:val="auto"/>
          <w:sz w:val="24"/>
          <w:highlight w:val="none"/>
          <w:lang w:val="en-US" w:eastAsia="zh-CN"/>
        </w:rPr>
        <w:t>微</w:t>
      </w:r>
      <w:r>
        <w:rPr>
          <w:rFonts w:hint="eastAsia" w:ascii="宋体" w:hAnsi="宋体" w:eastAsia="宋体" w:cs="宋体"/>
          <w:bCs/>
          <w:color w:val="auto"/>
          <w:sz w:val="24"/>
          <w:highlight w:val="none"/>
        </w:rPr>
        <w:t>企业声明函（工程、服务）</w:t>
      </w:r>
    </w:p>
    <w:p w14:paraId="530F7864">
      <w:pPr>
        <w:spacing w:line="360" w:lineRule="auto"/>
        <w:ind w:firstLine="480" w:firstLineChars="200"/>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十三、</w:t>
      </w:r>
      <w:r>
        <w:rPr>
          <w:rFonts w:hint="eastAsia" w:ascii="宋体" w:hAnsi="宋体" w:eastAsia="宋体" w:cs="宋体"/>
          <w:bCs/>
          <w:color w:val="auto"/>
          <w:sz w:val="24"/>
          <w:highlight w:val="none"/>
          <w:lang w:val="en-US" w:eastAsia="zh-CN"/>
        </w:rPr>
        <w:t>投标人认为有必要补充说明的事宜</w:t>
      </w:r>
    </w:p>
    <w:p w14:paraId="7E968ECD">
      <w:pPr>
        <w:widowControl/>
        <w:jc w:val="left"/>
        <w:rPr>
          <w:rFonts w:hint="eastAsia" w:ascii="宋体" w:hAnsi="宋体" w:eastAsia="宋体" w:cs="宋体"/>
          <w:b/>
          <w:color w:val="auto"/>
          <w:sz w:val="24"/>
          <w:highlight w:val="none"/>
        </w:rPr>
      </w:pPr>
    </w:p>
    <w:p w14:paraId="4E207BC5">
      <w:pPr>
        <w:widowControl/>
        <w:jc w:val="left"/>
        <w:rPr>
          <w:rFonts w:hint="eastAsia" w:ascii="宋体" w:hAnsi="宋体" w:eastAsia="宋体" w:cs="宋体"/>
          <w:b/>
          <w:color w:val="auto"/>
          <w:sz w:val="24"/>
          <w:highlight w:val="none"/>
        </w:rPr>
      </w:pPr>
      <w:r>
        <w:rPr>
          <w:rFonts w:hint="eastAsia" w:ascii="宋体" w:hAnsi="宋体" w:eastAsia="宋体" w:cs="宋体"/>
          <w:b/>
          <w:color w:val="auto"/>
          <w:sz w:val="24"/>
          <w:highlight w:val="none"/>
        </w:rPr>
        <w:t>（注：投标企业应按以上内容编制带页码的详细目录，投标文件内容必须包括但不限于以上内容。）</w:t>
      </w:r>
    </w:p>
    <w:p w14:paraId="6E762B2C">
      <w:pPr>
        <w:widowControl/>
        <w:jc w:val="left"/>
        <w:rPr>
          <w:rFonts w:hint="eastAsia" w:ascii="宋体" w:hAnsi="宋体" w:eastAsia="宋体" w:cs="宋体"/>
          <w:b/>
          <w:color w:val="auto"/>
          <w:szCs w:val="21"/>
          <w:highlight w:val="none"/>
        </w:rPr>
      </w:pPr>
    </w:p>
    <w:p w14:paraId="7A48FA0F">
      <w:pPr>
        <w:pStyle w:val="16"/>
        <w:rPr>
          <w:rFonts w:hint="eastAsia" w:ascii="宋体" w:hAnsi="宋体" w:eastAsia="宋体" w:cs="宋体"/>
          <w:b/>
          <w:bCs/>
          <w:color w:val="auto"/>
          <w:kern w:val="2"/>
          <w:sz w:val="21"/>
          <w:szCs w:val="21"/>
          <w:highlight w:val="none"/>
        </w:rPr>
      </w:pPr>
    </w:p>
    <w:p w14:paraId="71E1CF63">
      <w:pPr>
        <w:numPr>
          <w:ilvl w:val="0"/>
          <w:numId w:val="8"/>
        </w:numPr>
        <w:jc w:val="center"/>
        <w:rPr>
          <w:rFonts w:hint="eastAsia" w:ascii="宋体" w:hAnsi="宋体" w:eastAsia="宋体" w:cs="宋体"/>
          <w:b/>
          <w:color w:val="auto"/>
          <w:szCs w:val="21"/>
          <w:highlight w:val="none"/>
        </w:rPr>
      </w:pPr>
      <w:r>
        <w:rPr>
          <w:rStyle w:val="52"/>
          <w:rFonts w:hint="eastAsia" w:ascii="宋体" w:hAnsi="宋体" w:eastAsia="宋体" w:cs="宋体"/>
          <w:b/>
          <w:color w:val="auto"/>
          <w:sz w:val="24"/>
          <w:highlight w:val="none"/>
          <w:u w:val="none"/>
        </w:rPr>
        <w:br w:type="page"/>
      </w:r>
      <w:r>
        <w:rPr>
          <w:rStyle w:val="52"/>
          <w:rFonts w:hint="eastAsia" w:ascii="宋体" w:hAnsi="宋体" w:eastAsia="宋体" w:cs="宋体"/>
          <w:b/>
          <w:color w:val="auto"/>
          <w:sz w:val="24"/>
          <w:highlight w:val="none"/>
          <w:u w:val="none"/>
        </w:rPr>
        <w:t>磋商响应函</w:t>
      </w:r>
    </w:p>
    <w:p w14:paraId="1770F8E6">
      <w:pPr>
        <w:keepNext w:val="0"/>
        <w:keepLines w:val="0"/>
        <w:pageBreakBefore w:val="0"/>
        <w:widowControl w:val="0"/>
        <w:kinsoku/>
        <w:wordWrap/>
        <w:overflowPunct/>
        <w:topLinePunct w:val="0"/>
        <w:bidi w:val="0"/>
        <w:snapToGrid/>
        <w:spacing w:line="480" w:lineRule="exact"/>
        <w:rPr>
          <w:rFonts w:hint="eastAsia" w:ascii="宋体" w:hAnsi="宋体" w:eastAsia="宋体" w:cs="宋体"/>
          <w:color w:val="auto"/>
          <w:sz w:val="24"/>
          <w:highlight w:val="none"/>
        </w:rPr>
      </w:pPr>
      <w:r>
        <w:rPr>
          <w:rFonts w:hint="eastAsia" w:ascii="宋体" w:hAnsi="宋体" w:eastAsia="宋体" w:cs="宋体"/>
          <w:color w:val="auto"/>
          <w:sz w:val="24"/>
          <w:highlight w:val="none"/>
        </w:rPr>
        <w:t>致：</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（代理公司名称）</w:t>
      </w:r>
    </w:p>
    <w:p w14:paraId="2286A790">
      <w:pPr>
        <w:keepNext w:val="0"/>
        <w:keepLines w:val="0"/>
        <w:pageBreakBefore w:val="0"/>
        <w:widowControl w:val="0"/>
        <w:kinsoku/>
        <w:wordWrap/>
        <w:overflowPunct/>
        <w:topLinePunct w:val="0"/>
        <w:bidi w:val="0"/>
        <w:snapToGrid/>
        <w:spacing w:line="48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u w:val="single"/>
        </w:rPr>
        <w:t xml:space="preserve">                （供应商名称）</w:t>
      </w:r>
      <w:r>
        <w:rPr>
          <w:rFonts w:hint="eastAsia" w:ascii="宋体" w:hAnsi="宋体" w:eastAsia="宋体" w:cs="宋体"/>
          <w:color w:val="auto"/>
          <w:sz w:val="24"/>
          <w:highlight w:val="none"/>
        </w:rPr>
        <w:t>法定人代表人</w:t>
      </w:r>
      <w:r>
        <w:rPr>
          <w:rFonts w:hint="eastAsia" w:ascii="宋体" w:hAnsi="宋体" w:eastAsia="宋体" w:cs="宋体"/>
          <w:color w:val="auto"/>
          <w:sz w:val="24"/>
          <w:highlight w:val="none"/>
          <w:u w:val="single"/>
        </w:rPr>
        <w:t xml:space="preserve">（姓名）         </w:t>
      </w:r>
      <w:r>
        <w:rPr>
          <w:rFonts w:hint="eastAsia" w:ascii="宋体" w:hAnsi="宋体" w:eastAsia="宋体" w:cs="宋体"/>
          <w:color w:val="auto"/>
          <w:sz w:val="24"/>
          <w:highlight w:val="none"/>
        </w:rPr>
        <w:t>授权</w:t>
      </w:r>
      <w:r>
        <w:rPr>
          <w:rFonts w:hint="eastAsia" w:ascii="宋体" w:hAnsi="宋体" w:eastAsia="宋体" w:cs="宋体"/>
          <w:color w:val="auto"/>
          <w:sz w:val="24"/>
          <w:highlight w:val="none"/>
          <w:u w:val="single"/>
        </w:rPr>
        <w:t xml:space="preserve">       （授权代表姓名）       （职务、职称）</w:t>
      </w:r>
      <w:r>
        <w:rPr>
          <w:rFonts w:hint="eastAsia" w:ascii="宋体" w:hAnsi="宋体" w:eastAsia="宋体" w:cs="宋体"/>
          <w:color w:val="auto"/>
          <w:sz w:val="24"/>
          <w:highlight w:val="none"/>
        </w:rPr>
        <w:t>为本次项目代表，参加贵方组织的</w:t>
      </w:r>
      <w:r>
        <w:rPr>
          <w:rFonts w:hint="eastAsia" w:ascii="宋体" w:hAnsi="宋体" w:eastAsia="宋体" w:cs="宋体"/>
          <w:color w:val="auto"/>
          <w:sz w:val="24"/>
          <w:highlight w:val="none"/>
          <w:u w:val="single"/>
        </w:rPr>
        <w:t xml:space="preserve">      （项目名称、   /项目编号）</w:t>
      </w:r>
      <w:r>
        <w:rPr>
          <w:rFonts w:hint="eastAsia" w:ascii="宋体" w:hAnsi="宋体" w:eastAsia="宋体" w:cs="宋体"/>
          <w:color w:val="auto"/>
          <w:sz w:val="24"/>
          <w:highlight w:val="none"/>
        </w:rPr>
        <w:t>招标的有关会议，并提交本项目投标文件电子版</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份。</w:t>
      </w:r>
    </w:p>
    <w:p w14:paraId="63F151C2">
      <w:pPr>
        <w:keepNext w:val="0"/>
        <w:keepLines w:val="0"/>
        <w:pageBreakBefore w:val="0"/>
        <w:widowControl w:val="0"/>
        <w:kinsoku/>
        <w:wordWrap/>
        <w:overflowPunct/>
        <w:topLinePunct w:val="0"/>
        <w:bidi w:val="0"/>
        <w:snapToGrid/>
        <w:spacing w:line="480" w:lineRule="exact"/>
        <w:ind w:firstLine="482"/>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在此，签字代表宣布同意如下：</w:t>
      </w:r>
    </w:p>
    <w:p w14:paraId="42AD8D10">
      <w:pPr>
        <w:keepNext w:val="0"/>
        <w:keepLines w:val="0"/>
        <w:pageBreakBefore w:val="0"/>
        <w:widowControl w:val="0"/>
        <w:kinsoku/>
        <w:wordWrap/>
        <w:overflowPunct/>
        <w:topLinePunct w:val="0"/>
        <w:bidi w:val="0"/>
        <w:snapToGrid/>
        <w:spacing w:line="480" w:lineRule="exact"/>
        <w:ind w:firstLine="480"/>
        <w:rPr>
          <w:rFonts w:hint="eastAsia" w:ascii="宋体" w:hAnsi="宋体" w:eastAsia="宋体" w:cs="宋体"/>
          <w:color w:val="auto"/>
          <w:sz w:val="24"/>
          <w:highlight w:val="none"/>
        </w:rPr>
      </w:pPr>
      <w:r>
        <w:rPr>
          <w:rFonts w:hint="eastAsia" w:ascii="宋体" w:hAnsi="宋体" w:eastAsia="宋体" w:cs="宋体"/>
          <w:color w:val="auto"/>
          <w:sz w:val="24"/>
          <w:highlight w:val="none"/>
        </w:rPr>
        <w:t>1、所附投标报价表中规定的应提交和交付的服务投标总价为人民币</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u w:val="single"/>
          <w:lang w:val="en-US" w:eastAsia="zh-CN"/>
        </w:rPr>
        <w:t xml:space="preserve">  </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（同时用汉字大写和数字表示的投标报价）。</w:t>
      </w:r>
    </w:p>
    <w:p w14:paraId="0FB5E575">
      <w:pPr>
        <w:keepNext w:val="0"/>
        <w:keepLines w:val="0"/>
        <w:pageBreakBefore w:val="0"/>
        <w:widowControl w:val="0"/>
        <w:kinsoku/>
        <w:wordWrap/>
        <w:overflowPunct/>
        <w:topLinePunct w:val="0"/>
        <w:bidi w:val="0"/>
        <w:snapToGrid/>
        <w:spacing w:line="480" w:lineRule="exact"/>
        <w:ind w:firstLine="480"/>
        <w:rPr>
          <w:rFonts w:hint="eastAsia" w:ascii="宋体" w:hAnsi="宋体" w:eastAsia="宋体" w:cs="宋体"/>
          <w:color w:val="auto"/>
          <w:sz w:val="24"/>
          <w:highlight w:val="none"/>
        </w:rPr>
      </w:pPr>
      <w:r>
        <w:rPr>
          <w:rFonts w:hint="eastAsia" w:ascii="宋体" w:hAnsi="宋体" w:eastAsia="宋体" w:cs="宋体"/>
          <w:color w:val="auto"/>
          <w:sz w:val="24"/>
          <w:highlight w:val="none"/>
        </w:rPr>
        <w:t>2、供应商将按招标文件的规定履行合同责任和义务。</w:t>
      </w:r>
    </w:p>
    <w:p w14:paraId="727F31BF">
      <w:pPr>
        <w:keepNext w:val="0"/>
        <w:keepLines w:val="0"/>
        <w:pageBreakBefore w:val="0"/>
        <w:widowControl w:val="0"/>
        <w:kinsoku/>
        <w:wordWrap/>
        <w:overflowPunct/>
        <w:topLinePunct w:val="0"/>
        <w:bidi w:val="0"/>
        <w:snapToGrid/>
        <w:spacing w:line="480" w:lineRule="exact"/>
        <w:ind w:firstLine="480"/>
        <w:rPr>
          <w:rFonts w:hint="eastAsia" w:ascii="宋体" w:hAnsi="宋体" w:eastAsia="宋体" w:cs="宋体"/>
          <w:color w:val="auto"/>
          <w:sz w:val="24"/>
          <w:highlight w:val="none"/>
        </w:rPr>
      </w:pPr>
      <w:r>
        <w:rPr>
          <w:rFonts w:hint="eastAsia" w:ascii="宋体" w:hAnsi="宋体" w:eastAsia="宋体" w:cs="宋体"/>
          <w:color w:val="auto"/>
          <w:sz w:val="24"/>
          <w:highlight w:val="none"/>
        </w:rPr>
        <w:t>3、供应商已详细审查全部招标文件。我们完全理解并同意放弃对这方面有不明及误解的权力。</w:t>
      </w:r>
    </w:p>
    <w:p w14:paraId="7BC4D76F">
      <w:pPr>
        <w:keepNext w:val="0"/>
        <w:keepLines w:val="0"/>
        <w:pageBreakBefore w:val="0"/>
        <w:widowControl w:val="0"/>
        <w:kinsoku/>
        <w:wordWrap/>
        <w:overflowPunct/>
        <w:topLinePunct w:val="0"/>
        <w:bidi w:val="0"/>
        <w:snapToGrid/>
        <w:spacing w:line="480" w:lineRule="exact"/>
        <w:ind w:firstLine="480"/>
        <w:rPr>
          <w:rFonts w:hint="eastAsia" w:ascii="宋体" w:hAnsi="宋体" w:eastAsia="宋体" w:cs="宋体"/>
          <w:color w:val="auto"/>
          <w:sz w:val="24"/>
          <w:highlight w:val="none"/>
        </w:rPr>
      </w:pPr>
      <w:r>
        <w:rPr>
          <w:rFonts w:hint="eastAsia" w:ascii="宋体" w:hAnsi="宋体" w:eastAsia="宋体" w:cs="宋体"/>
          <w:color w:val="auto"/>
          <w:sz w:val="24"/>
          <w:highlight w:val="none"/>
        </w:rPr>
        <w:t>4、本投标有效期为自开标日起个</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日历日（中标人的投标文件有效期延长为与合同有效期一致）。</w:t>
      </w:r>
    </w:p>
    <w:p w14:paraId="270C6060">
      <w:pPr>
        <w:keepNext w:val="0"/>
        <w:keepLines w:val="0"/>
        <w:pageBreakBefore w:val="0"/>
        <w:widowControl w:val="0"/>
        <w:kinsoku/>
        <w:wordWrap/>
        <w:overflowPunct/>
        <w:topLinePunct w:val="0"/>
        <w:bidi w:val="0"/>
        <w:snapToGrid/>
        <w:spacing w:line="480" w:lineRule="exact"/>
        <w:ind w:firstLine="480"/>
        <w:rPr>
          <w:rFonts w:hint="eastAsia" w:ascii="宋体" w:hAnsi="宋体" w:eastAsia="宋体" w:cs="宋体"/>
          <w:color w:val="auto"/>
          <w:sz w:val="24"/>
          <w:highlight w:val="none"/>
        </w:rPr>
      </w:pPr>
      <w:r>
        <w:rPr>
          <w:rFonts w:hint="eastAsia" w:ascii="宋体" w:hAnsi="宋体" w:eastAsia="宋体" w:cs="宋体"/>
          <w:color w:val="auto"/>
          <w:sz w:val="24"/>
          <w:highlight w:val="none"/>
        </w:rPr>
        <w:t>5、供应商同意提供按照贵方可能要求的与其投标有关的一切数据或资料，完全理解贵方不一定接受最低投标报价的投标或收到的任何投标。</w:t>
      </w:r>
    </w:p>
    <w:p w14:paraId="44A0354C">
      <w:pPr>
        <w:pStyle w:val="35"/>
        <w:keepNext w:val="0"/>
        <w:keepLines w:val="0"/>
        <w:pageBreakBefore w:val="0"/>
        <w:widowControl w:val="0"/>
        <w:kinsoku/>
        <w:wordWrap/>
        <w:overflowPunct/>
        <w:topLinePunct w:val="0"/>
        <w:bidi w:val="0"/>
        <w:snapToGrid/>
        <w:spacing w:line="480" w:lineRule="exact"/>
        <w:ind w:left="0" w:leftChars="0" w:firstLine="480" w:firstLineChars="200"/>
        <w:rPr>
          <w:rFonts w:hint="eastAsia" w:ascii="宋体" w:hAnsi="宋体" w:eastAsia="宋体" w:cs="宋体"/>
          <w:color w:val="auto"/>
          <w:kern w:val="2"/>
          <w:szCs w:val="24"/>
          <w:highlight w:val="none"/>
        </w:rPr>
      </w:pPr>
      <w:r>
        <w:rPr>
          <w:rFonts w:hint="eastAsia" w:ascii="宋体" w:hAnsi="宋体" w:eastAsia="宋体" w:cs="宋体"/>
          <w:color w:val="auto"/>
          <w:kern w:val="2"/>
          <w:szCs w:val="24"/>
          <w:highlight w:val="none"/>
        </w:rPr>
        <w:t>6、若我方获得中标，我方保证按有关规定向贵方支付中标服务费。</w:t>
      </w:r>
    </w:p>
    <w:p w14:paraId="67262237">
      <w:pPr>
        <w:keepNext w:val="0"/>
        <w:keepLines w:val="0"/>
        <w:pageBreakBefore w:val="0"/>
        <w:widowControl w:val="0"/>
        <w:kinsoku/>
        <w:wordWrap/>
        <w:overflowPunct/>
        <w:topLinePunct w:val="0"/>
        <w:bidi w:val="0"/>
        <w:snapToGrid/>
        <w:spacing w:line="48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lang w:val="en-US" w:eastAsia="zh-CN"/>
        </w:rPr>
        <w:t>7</w:t>
      </w:r>
      <w:r>
        <w:rPr>
          <w:rFonts w:hint="eastAsia" w:ascii="宋体" w:hAnsi="宋体" w:eastAsia="宋体" w:cs="宋体"/>
          <w:color w:val="auto"/>
          <w:sz w:val="24"/>
          <w:highlight w:val="none"/>
        </w:rPr>
        <w:t>．与本投标有关的一切正式往来信函请寄：</w:t>
      </w:r>
    </w:p>
    <w:p w14:paraId="27713728">
      <w:pPr>
        <w:keepNext w:val="0"/>
        <w:keepLines w:val="0"/>
        <w:pageBreakBefore w:val="0"/>
        <w:widowControl w:val="0"/>
        <w:kinsoku/>
        <w:wordWrap/>
        <w:overflowPunct/>
        <w:topLinePunct w:val="0"/>
        <w:bidi w:val="0"/>
        <w:snapToGrid/>
        <w:spacing w:line="480" w:lineRule="exact"/>
        <w:ind w:firstLine="480" w:firstLineChars="200"/>
        <w:textAlignment w:val="auto"/>
        <w:rPr>
          <w:rFonts w:hint="eastAsia" w:ascii="宋体" w:hAnsi="宋体" w:eastAsia="宋体" w:cs="宋体"/>
          <w:color w:val="auto"/>
          <w:sz w:val="24"/>
          <w:highlight w:val="none"/>
          <w:u w:val="single"/>
        </w:rPr>
      </w:pPr>
      <w:r>
        <w:rPr>
          <w:rFonts w:hint="eastAsia" w:ascii="宋体" w:hAnsi="宋体" w:eastAsia="宋体" w:cs="宋体"/>
          <w:color w:val="auto"/>
          <w:sz w:val="24"/>
          <w:highlight w:val="none"/>
        </w:rPr>
        <w:t>供应商名称（公章）：</w:t>
      </w:r>
      <w:r>
        <w:rPr>
          <w:rFonts w:hint="eastAsia" w:ascii="宋体" w:hAnsi="宋体" w:eastAsia="宋体" w:cs="宋体"/>
          <w:color w:val="auto"/>
          <w:sz w:val="24"/>
          <w:highlight w:val="none"/>
          <w:u w:val="single"/>
        </w:rPr>
        <w:t xml:space="preserve">                                </w:t>
      </w:r>
    </w:p>
    <w:p w14:paraId="43F954EC">
      <w:pPr>
        <w:keepNext w:val="0"/>
        <w:keepLines w:val="0"/>
        <w:pageBreakBefore w:val="0"/>
        <w:widowControl w:val="0"/>
        <w:kinsoku/>
        <w:wordWrap/>
        <w:overflowPunct/>
        <w:topLinePunct w:val="0"/>
        <w:bidi w:val="0"/>
        <w:snapToGrid/>
        <w:spacing w:line="480" w:lineRule="exact"/>
        <w:ind w:firstLine="480" w:firstLineChars="200"/>
        <w:textAlignment w:val="auto"/>
        <w:rPr>
          <w:rFonts w:hint="eastAsia" w:ascii="宋体" w:hAnsi="宋体" w:eastAsia="宋体" w:cs="宋体"/>
          <w:color w:val="auto"/>
          <w:sz w:val="24"/>
          <w:highlight w:val="none"/>
          <w:u w:val="single"/>
        </w:rPr>
      </w:pPr>
      <w:r>
        <w:rPr>
          <w:rFonts w:hint="eastAsia" w:ascii="宋体" w:hAnsi="宋体" w:eastAsia="宋体" w:cs="宋体"/>
          <w:color w:val="auto"/>
          <w:sz w:val="24"/>
          <w:highlight w:val="none"/>
          <w:lang w:val="zh-CN"/>
        </w:rPr>
        <w:t>供应商</w:t>
      </w:r>
      <w:r>
        <w:rPr>
          <w:rFonts w:hint="eastAsia" w:ascii="宋体" w:hAnsi="宋体" w:eastAsia="宋体" w:cs="宋体"/>
          <w:color w:val="auto"/>
          <w:sz w:val="24"/>
          <w:highlight w:val="none"/>
        </w:rPr>
        <w:t>授权</w:t>
      </w:r>
      <w:r>
        <w:rPr>
          <w:rFonts w:hint="eastAsia" w:ascii="宋体" w:hAnsi="宋体" w:eastAsia="宋体" w:cs="宋体"/>
          <w:color w:val="auto"/>
          <w:sz w:val="24"/>
          <w:highlight w:val="none"/>
          <w:lang w:val="zh-CN"/>
        </w:rPr>
        <w:t>代表签名：</w:t>
      </w:r>
      <w:r>
        <w:rPr>
          <w:rFonts w:hint="eastAsia" w:ascii="宋体" w:hAnsi="宋体" w:eastAsia="宋体" w:cs="宋体"/>
          <w:color w:val="auto"/>
          <w:sz w:val="24"/>
          <w:highlight w:val="none"/>
          <w:u w:val="single"/>
        </w:rPr>
        <w:t xml:space="preserve">                               </w:t>
      </w:r>
    </w:p>
    <w:p w14:paraId="1A09C159">
      <w:pPr>
        <w:keepNext w:val="0"/>
        <w:keepLines w:val="0"/>
        <w:pageBreakBefore w:val="0"/>
        <w:widowControl w:val="0"/>
        <w:kinsoku/>
        <w:wordWrap/>
        <w:overflowPunct/>
        <w:topLinePunct w:val="0"/>
        <w:bidi w:val="0"/>
        <w:snapToGrid/>
        <w:spacing w:line="480" w:lineRule="exact"/>
        <w:ind w:firstLine="480" w:firstLineChars="200"/>
        <w:textAlignment w:val="auto"/>
        <w:rPr>
          <w:rFonts w:hint="eastAsia" w:ascii="宋体" w:hAnsi="宋体" w:eastAsia="宋体" w:cs="宋体"/>
          <w:color w:val="auto"/>
          <w:sz w:val="24"/>
          <w:highlight w:val="none"/>
          <w:u w:val="single"/>
        </w:rPr>
      </w:pPr>
      <w:r>
        <w:rPr>
          <w:rFonts w:hint="eastAsia" w:ascii="宋体" w:hAnsi="宋体" w:eastAsia="宋体" w:cs="宋体"/>
          <w:color w:val="auto"/>
          <w:sz w:val="24"/>
          <w:highlight w:val="none"/>
        </w:rPr>
        <w:t>详   细   地   址：</w:t>
      </w:r>
      <w:r>
        <w:rPr>
          <w:rFonts w:hint="eastAsia" w:ascii="宋体" w:hAnsi="宋体" w:eastAsia="宋体" w:cs="宋体"/>
          <w:color w:val="auto"/>
          <w:sz w:val="24"/>
          <w:highlight w:val="none"/>
          <w:u w:val="single"/>
        </w:rPr>
        <w:t xml:space="preserve">                                </w:t>
      </w:r>
    </w:p>
    <w:p w14:paraId="63CDAEBB">
      <w:pPr>
        <w:keepNext w:val="0"/>
        <w:keepLines w:val="0"/>
        <w:pageBreakBefore w:val="0"/>
        <w:widowControl w:val="0"/>
        <w:tabs>
          <w:tab w:val="left" w:pos="360"/>
        </w:tabs>
        <w:kinsoku/>
        <w:wordWrap/>
        <w:overflowPunct/>
        <w:topLinePunct w:val="0"/>
        <w:bidi w:val="0"/>
        <w:snapToGrid/>
        <w:spacing w:line="480" w:lineRule="exact"/>
        <w:ind w:firstLine="480" w:firstLineChars="200"/>
        <w:textAlignment w:val="auto"/>
        <w:rPr>
          <w:rFonts w:hint="eastAsia" w:ascii="宋体" w:hAnsi="宋体" w:eastAsia="宋体" w:cs="宋体"/>
          <w:color w:val="auto"/>
          <w:sz w:val="24"/>
          <w:highlight w:val="none"/>
          <w:u w:val="single"/>
        </w:rPr>
      </w:pPr>
      <w:r>
        <w:rPr>
          <w:rFonts w:hint="eastAsia" w:ascii="宋体" w:hAnsi="宋体" w:eastAsia="宋体" w:cs="宋体"/>
          <w:color w:val="auto"/>
          <w:sz w:val="24"/>
          <w:highlight w:val="none"/>
        </w:rPr>
        <w:t>邮   政   编   码：</w:t>
      </w:r>
      <w:r>
        <w:rPr>
          <w:rFonts w:hint="eastAsia" w:ascii="宋体" w:hAnsi="宋体" w:eastAsia="宋体" w:cs="宋体"/>
          <w:color w:val="auto"/>
          <w:sz w:val="24"/>
          <w:highlight w:val="none"/>
          <w:u w:val="single"/>
        </w:rPr>
        <w:t xml:space="preserve">                                </w:t>
      </w:r>
    </w:p>
    <w:p w14:paraId="57DC3BD5">
      <w:pPr>
        <w:keepNext w:val="0"/>
        <w:keepLines w:val="0"/>
        <w:pageBreakBefore w:val="0"/>
        <w:widowControl w:val="0"/>
        <w:kinsoku/>
        <w:wordWrap/>
        <w:overflowPunct/>
        <w:topLinePunct w:val="0"/>
        <w:autoSpaceDE w:val="0"/>
        <w:autoSpaceDN w:val="0"/>
        <w:bidi w:val="0"/>
        <w:adjustRightInd w:val="0"/>
        <w:snapToGrid/>
        <w:spacing w:line="48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lang w:val="zh-CN"/>
        </w:rPr>
        <w:t>电             话：</w:t>
      </w:r>
      <w:r>
        <w:rPr>
          <w:rFonts w:hint="eastAsia" w:ascii="宋体" w:hAnsi="宋体" w:eastAsia="宋体" w:cs="宋体"/>
          <w:color w:val="auto"/>
          <w:sz w:val="24"/>
          <w:highlight w:val="none"/>
          <w:u w:val="single"/>
          <w:lang w:val="zh-CN"/>
        </w:rPr>
        <w:t xml:space="preserve">                                </w:t>
      </w:r>
    </w:p>
    <w:p w14:paraId="47BAAD89">
      <w:pPr>
        <w:keepNext w:val="0"/>
        <w:keepLines w:val="0"/>
        <w:pageBreakBefore w:val="0"/>
        <w:widowControl w:val="0"/>
        <w:kinsoku/>
        <w:wordWrap/>
        <w:overflowPunct/>
        <w:topLinePunct w:val="0"/>
        <w:autoSpaceDE w:val="0"/>
        <w:autoSpaceDN w:val="0"/>
        <w:bidi w:val="0"/>
        <w:adjustRightInd w:val="0"/>
        <w:snapToGrid/>
        <w:spacing w:line="480" w:lineRule="exact"/>
        <w:ind w:firstLine="480" w:firstLineChars="200"/>
        <w:textAlignment w:val="auto"/>
        <w:rPr>
          <w:rFonts w:hint="eastAsia" w:ascii="宋体" w:hAnsi="宋体" w:eastAsia="宋体" w:cs="宋体"/>
          <w:color w:val="auto"/>
          <w:sz w:val="24"/>
          <w:highlight w:val="none"/>
          <w:u w:val="single"/>
          <w:lang w:val="zh-CN"/>
        </w:rPr>
      </w:pPr>
      <w:r>
        <w:rPr>
          <w:rFonts w:hint="eastAsia" w:ascii="宋体" w:hAnsi="宋体" w:eastAsia="宋体" w:cs="宋体"/>
          <w:color w:val="auto"/>
          <w:sz w:val="24"/>
          <w:highlight w:val="none"/>
          <w:lang w:val="zh-CN"/>
        </w:rPr>
        <w:t>开   户   银   行：</w:t>
      </w:r>
      <w:r>
        <w:rPr>
          <w:rFonts w:hint="eastAsia" w:ascii="宋体" w:hAnsi="宋体" w:eastAsia="宋体" w:cs="宋体"/>
          <w:color w:val="auto"/>
          <w:sz w:val="24"/>
          <w:highlight w:val="none"/>
          <w:u w:val="single"/>
          <w:lang w:val="zh-CN"/>
        </w:rPr>
        <w:t xml:space="preserve">                                </w:t>
      </w:r>
    </w:p>
    <w:p w14:paraId="005B6AFE">
      <w:pPr>
        <w:keepNext w:val="0"/>
        <w:keepLines w:val="0"/>
        <w:pageBreakBefore w:val="0"/>
        <w:widowControl w:val="0"/>
        <w:kinsoku/>
        <w:wordWrap/>
        <w:overflowPunct/>
        <w:topLinePunct w:val="0"/>
        <w:autoSpaceDE w:val="0"/>
        <w:autoSpaceDN w:val="0"/>
        <w:bidi w:val="0"/>
        <w:adjustRightInd w:val="0"/>
        <w:snapToGrid/>
        <w:spacing w:line="480" w:lineRule="exact"/>
        <w:ind w:firstLine="480" w:firstLineChars="200"/>
        <w:textAlignment w:val="auto"/>
        <w:rPr>
          <w:rFonts w:hint="eastAsia" w:ascii="宋体" w:hAnsi="宋体" w:eastAsia="宋体" w:cs="宋体"/>
          <w:color w:val="auto"/>
          <w:sz w:val="24"/>
          <w:highlight w:val="none"/>
          <w:lang w:val="zh-CN"/>
        </w:rPr>
      </w:pPr>
      <w:r>
        <w:rPr>
          <w:rFonts w:hint="eastAsia" w:ascii="宋体" w:hAnsi="宋体" w:eastAsia="宋体" w:cs="宋体"/>
          <w:color w:val="auto"/>
          <w:sz w:val="24"/>
          <w:highlight w:val="none"/>
          <w:lang w:val="en-US" w:eastAsia="zh-CN"/>
        </w:rPr>
        <w:t>账</w:t>
      </w:r>
      <w:r>
        <w:rPr>
          <w:rFonts w:hint="eastAsia" w:ascii="宋体" w:hAnsi="宋体" w:eastAsia="宋体" w:cs="宋体"/>
          <w:color w:val="auto"/>
          <w:sz w:val="24"/>
          <w:highlight w:val="none"/>
          <w:lang w:val="zh-CN"/>
        </w:rPr>
        <w:t xml:space="preserve">             号：</w:t>
      </w:r>
      <w:r>
        <w:rPr>
          <w:rFonts w:hint="eastAsia" w:ascii="宋体" w:hAnsi="宋体" w:eastAsia="宋体" w:cs="宋体"/>
          <w:color w:val="auto"/>
          <w:sz w:val="24"/>
          <w:highlight w:val="none"/>
          <w:u w:val="single"/>
          <w:lang w:val="zh-CN"/>
        </w:rPr>
        <w:t xml:space="preserve">                                </w:t>
      </w:r>
    </w:p>
    <w:p w14:paraId="2958B4E4">
      <w:pPr>
        <w:keepNext w:val="0"/>
        <w:keepLines w:val="0"/>
        <w:pageBreakBefore w:val="0"/>
        <w:widowControl w:val="0"/>
        <w:kinsoku/>
        <w:wordWrap/>
        <w:overflowPunct/>
        <w:topLinePunct w:val="0"/>
        <w:autoSpaceDE w:val="0"/>
        <w:autoSpaceDN w:val="0"/>
        <w:bidi w:val="0"/>
        <w:adjustRightInd w:val="0"/>
        <w:snapToGrid/>
        <w:spacing w:line="480" w:lineRule="exact"/>
        <w:ind w:right="480" w:firstLine="480" w:firstLineChars="200"/>
        <w:jc w:val="right"/>
        <w:rPr>
          <w:rFonts w:hint="eastAsia" w:ascii="宋体" w:hAnsi="宋体" w:eastAsia="宋体" w:cs="宋体"/>
          <w:color w:val="auto"/>
          <w:sz w:val="24"/>
          <w:highlight w:val="none"/>
          <w:lang w:val="zh-CN"/>
        </w:rPr>
      </w:pPr>
    </w:p>
    <w:p w14:paraId="5D373289">
      <w:pPr>
        <w:keepNext w:val="0"/>
        <w:keepLines w:val="0"/>
        <w:pageBreakBefore w:val="0"/>
        <w:widowControl w:val="0"/>
        <w:kinsoku/>
        <w:wordWrap/>
        <w:overflowPunct/>
        <w:topLinePunct w:val="0"/>
        <w:autoSpaceDE w:val="0"/>
        <w:autoSpaceDN w:val="0"/>
        <w:bidi w:val="0"/>
        <w:adjustRightInd w:val="0"/>
        <w:snapToGrid/>
        <w:spacing w:line="480" w:lineRule="exact"/>
        <w:ind w:right="480" w:firstLine="480" w:firstLineChars="200"/>
        <w:jc w:val="right"/>
        <w:rPr>
          <w:rFonts w:hint="eastAsia" w:ascii="宋体" w:hAnsi="宋体" w:eastAsia="宋体" w:cs="宋体"/>
          <w:color w:val="auto"/>
          <w:sz w:val="24"/>
          <w:highlight w:val="none"/>
          <w:u w:val="single"/>
          <w:lang w:val="zh-CN"/>
        </w:rPr>
      </w:pPr>
      <w:r>
        <w:rPr>
          <w:rFonts w:hint="eastAsia" w:ascii="宋体" w:hAnsi="宋体" w:eastAsia="宋体" w:cs="宋体"/>
          <w:color w:val="auto"/>
          <w:sz w:val="24"/>
          <w:highlight w:val="none"/>
        </w:rPr>
        <w:t>年    月    日</w:t>
      </w:r>
    </w:p>
    <w:p w14:paraId="04FF063C">
      <w:pPr>
        <w:pStyle w:val="16"/>
        <w:keepNext w:val="0"/>
        <w:keepLines w:val="0"/>
        <w:pageBreakBefore w:val="0"/>
        <w:widowControl w:val="0"/>
        <w:kinsoku/>
        <w:wordWrap/>
        <w:overflowPunct/>
        <w:topLinePunct w:val="0"/>
        <w:bidi w:val="0"/>
        <w:snapToGrid/>
        <w:spacing w:line="480" w:lineRule="exact"/>
        <w:ind w:firstLine="482" w:firstLineChars="200"/>
        <w:rPr>
          <w:rFonts w:hint="eastAsia" w:ascii="宋体" w:hAnsi="宋体" w:eastAsia="宋体" w:cs="宋体"/>
          <w:b/>
          <w:color w:val="auto"/>
          <w:szCs w:val="24"/>
          <w:highlight w:val="none"/>
        </w:rPr>
      </w:pPr>
      <w:r>
        <w:rPr>
          <w:rFonts w:hint="eastAsia" w:ascii="宋体" w:hAnsi="宋体" w:eastAsia="宋体" w:cs="宋体"/>
          <w:b/>
          <w:color w:val="auto"/>
          <w:szCs w:val="24"/>
          <w:highlight w:val="none"/>
        </w:rPr>
        <w:t>注：除可填报项目外，对本投标函的任何修改将被视为非实质性响应投标，从而导致该投标被拒绝。</w:t>
      </w:r>
    </w:p>
    <w:p w14:paraId="75DFF33C">
      <w:pPr>
        <w:keepNext w:val="0"/>
        <w:keepLines w:val="0"/>
        <w:pageBreakBefore w:val="0"/>
        <w:widowControl w:val="0"/>
        <w:kinsoku/>
        <w:wordWrap/>
        <w:overflowPunct/>
        <w:topLinePunct w:val="0"/>
        <w:bidi w:val="0"/>
        <w:snapToGrid/>
        <w:spacing w:line="440" w:lineRule="exact"/>
        <w:jc w:val="center"/>
        <w:rPr>
          <w:rFonts w:hint="eastAsia" w:ascii="宋体" w:hAnsi="宋体" w:eastAsia="宋体" w:cs="宋体"/>
          <w:b/>
          <w:bCs/>
          <w:color w:val="auto"/>
          <w:sz w:val="24"/>
          <w:highlight w:val="none"/>
        </w:rPr>
      </w:pPr>
      <w:r>
        <w:rPr>
          <w:rFonts w:hint="eastAsia" w:ascii="宋体" w:hAnsi="宋体" w:eastAsia="宋体" w:cs="宋体"/>
          <w:color w:val="auto"/>
          <w:highlight w:val="none"/>
        </w:rPr>
        <w:br w:type="page"/>
      </w:r>
      <w:r>
        <w:rPr>
          <w:rStyle w:val="52"/>
          <w:rFonts w:hint="eastAsia" w:ascii="宋体" w:hAnsi="宋体" w:eastAsia="宋体" w:cs="宋体"/>
          <w:b/>
          <w:color w:val="auto"/>
          <w:sz w:val="24"/>
          <w:highlight w:val="none"/>
          <w:u w:val="none"/>
        </w:rPr>
        <w:t>二</w:t>
      </w:r>
      <w:r>
        <w:rPr>
          <w:rFonts w:hint="eastAsia" w:ascii="宋体" w:hAnsi="宋体" w:eastAsia="宋体" w:cs="宋体"/>
          <w:b/>
          <w:color w:val="auto"/>
          <w:sz w:val="24"/>
          <w:highlight w:val="none"/>
        </w:rPr>
        <w:t>、法定代表人身份证明、法定代表人授权委托书</w:t>
      </w:r>
    </w:p>
    <w:p w14:paraId="47B87DB9">
      <w:pPr>
        <w:jc w:val="center"/>
        <w:rPr>
          <w:rFonts w:hint="eastAsia" w:ascii="宋体" w:hAnsi="宋体" w:eastAsia="宋体" w:cs="宋体"/>
          <w:b/>
          <w:color w:val="auto"/>
          <w:sz w:val="24"/>
          <w:highlight w:val="none"/>
        </w:rPr>
      </w:pPr>
    </w:p>
    <w:p w14:paraId="0365847D">
      <w:pPr>
        <w:jc w:val="center"/>
        <w:rPr>
          <w:rFonts w:hint="eastAsia" w:ascii="宋体" w:hAnsi="宋体" w:eastAsia="宋体" w:cs="宋体"/>
          <w:b/>
          <w:color w:val="auto"/>
          <w:sz w:val="24"/>
          <w:highlight w:val="none"/>
        </w:rPr>
      </w:pPr>
      <w:r>
        <w:rPr>
          <w:rFonts w:hint="eastAsia" w:ascii="宋体" w:hAnsi="宋体" w:eastAsia="宋体" w:cs="宋体"/>
          <w:b/>
          <w:color w:val="auto"/>
          <w:sz w:val="24"/>
          <w:highlight w:val="none"/>
        </w:rPr>
        <w:t>法定代表人身份证明</w:t>
      </w:r>
    </w:p>
    <w:p w14:paraId="2E63855D">
      <w:pPr>
        <w:jc w:val="center"/>
        <w:rPr>
          <w:rFonts w:hint="eastAsia" w:ascii="宋体" w:hAnsi="宋体" w:eastAsia="宋体" w:cs="宋体"/>
          <w:b/>
          <w:color w:val="auto"/>
          <w:sz w:val="24"/>
          <w:highlight w:val="none"/>
        </w:rPr>
      </w:pPr>
    </w:p>
    <w:p w14:paraId="774754BE">
      <w:pPr>
        <w:spacing w:line="500" w:lineRule="exact"/>
        <w:rPr>
          <w:rFonts w:hint="eastAsia" w:ascii="宋体" w:hAnsi="宋体" w:eastAsia="宋体" w:cs="宋体"/>
          <w:color w:val="auto"/>
          <w:sz w:val="24"/>
          <w:highlight w:val="none"/>
        </w:rPr>
      </w:pPr>
      <w:r>
        <w:rPr>
          <w:rFonts w:hint="eastAsia" w:ascii="宋体" w:hAnsi="宋体" w:eastAsia="宋体" w:cs="宋体"/>
          <w:color w:val="auto"/>
          <w:sz w:val="24"/>
          <w:highlight w:val="none"/>
        </w:rPr>
        <w:t>供应商名称：</w:t>
      </w:r>
    </w:p>
    <w:p w14:paraId="364EA732">
      <w:pPr>
        <w:spacing w:line="500" w:lineRule="exact"/>
        <w:rPr>
          <w:rFonts w:hint="eastAsia" w:ascii="宋体" w:hAnsi="宋体" w:eastAsia="宋体" w:cs="宋体"/>
          <w:color w:val="auto"/>
          <w:sz w:val="24"/>
          <w:highlight w:val="none"/>
        </w:rPr>
      </w:pPr>
      <w:r>
        <w:rPr>
          <w:rFonts w:hint="eastAsia" w:ascii="宋体" w:hAnsi="宋体" w:eastAsia="宋体" w:cs="宋体"/>
          <w:color w:val="auto"/>
          <w:sz w:val="24"/>
          <w:highlight w:val="none"/>
        </w:rPr>
        <w:t>单位性质：</w:t>
      </w:r>
    </w:p>
    <w:p w14:paraId="20690420">
      <w:pPr>
        <w:spacing w:line="500" w:lineRule="exact"/>
        <w:rPr>
          <w:rFonts w:hint="eastAsia" w:ascii="宋体" w:hAnsi="宋体" w:eastAsia="宋体" w:cs="宋体"/>
          <w:color w:val="auto"/>
          <w:sz w:val="24"/>
          <w:highlight w:val="none"/>
        </w:rPr>
      </w:pPr>
      <w:r>
        <w:rPr>
          <w:rFonts w:hint="eastAsia" w:ascii="宋体" w:hAnsi="宋体" w:eastAsia="宋体" w:cs="宋体"/>
          <w:color w:val="auto"/>
          <w:sz w:val="24"/>
          <w:highlight w:val="none"/>
        </w:rPr>
        <w:t>地址：</w:t>
      </w:r>
    </w:p>
    <w:p w14:paraId="442A5162">
      <w:pPr>
        <w:spacing w:line="500" w:lineRule="exact"/>
        <w:rPr>
          <w:rFonts w:hint="eastAsia" w:ascii="宋体" w:hAnsi="宋体" w:eastAsia="宋体" w:cs="宋体"/>
          <w:color w:val="auto"/>
          <w:sz w:val="24"/>
          <w:highlight w:val="none"/>
        </w:rPr>
      </w:pPr>
      <w:r>
        <w:rPr>
          <w:rFonts w:hint="eastAsia" w:ascii="宋体" w:hAnsi="宋体" w:eastAsia="宋体" w:cs="宋体"/>
          <w:color w:val="auto"/>
          <w:sz w:val="24"/>
          <w:highlight w:val="none"/>
        </w:rPr>
        <w:t>成立时间：  年  月  日</w:t>
      </w:r>
    </w:p>
    <w:p w14:paraId="16535A72">
      <w:pPr>
        <w:spacing w:line="500" w:lineRule="exact"/>
        <w:rPr>
          <w:rFonts w:hint="eastAsia" w:ascii="宋体" w:hAnsi="宋体" w:eastAsia="宋体" w:cs="宋体"/>
          <w:color w:val="auto"/>
          <w:sz w:val="24"/>
          <w:highlight w:val="none"/>
        </w:rPr>
      </w:pPr>
      <w:r>
        <w:rPr>
          <w:rFonts w:hint="eastAsia" w:ascii="宋体" w:hAnsi="宋体" w:eastAsia="宋体" w:cs="宋体"/>
          <w:color w:val="auto"/>
          <w:sz w:val="24"/>
          <w:highlight w:val="none"/>
        </w:rPr>
        <w:t>经营期限：</w:t>
      </w:r>
    </w:p>
    <w:p w14:paraId="47DEFC90">
      <w:pPr>
        <w:spacing w:line="500" w:lineRule="exact"/>
        <w:rPr>
          <w:rFonts w:hint="eastAsia" w:ascii="宋体" w:hAnsi="宋体" w:eastAsia="宋体" w:cs="宋体"/>
          <w:color w:val="auto"/>
          <w:sz w:val="24"/>
          <w:highlight w:val="none"/>
        </w:rPr>
      </w:pPr>
      <w:r>
        <w:rPr>
          <w:rFonts w:hint="eastAsia" w:ascii="宋体" w:hAnsi="宋体" w:eastAsia="宋体" w:cs="宋体"/>
          <w:color w:val="auto"/>
          <w:sz w:val="24"/>
          <w:highlight w:val="none"/>
        </w:rPr>
        <w:t>姓名：   性别：   年龄：   职务：</w:t>
      </w:r>
    </w:p>
    <w:p w14:paraId="250B8F79">
      <w:pPr>
        <w:spacing w:line="500" w:lineRule="exact"/>
        <w:rPr>
          <w:rFonts w:hint="eastAsia" w:ascii="宋体" w:hAnsi="宋体" w:eastAsia="宋体" w:cs="宋体"/>
          <w:color w:val="auto"/>
          <w:sz w:val="24"/>
          <w:highlight w:val="none"/>
        </w:rPr>
      </w:pPr>
      <w:r>
        <w:rPr>
          <w:rFonts w:hint="eastAsia" w:ascii="宋体" w:hAnsi="宋体" w:eastAsia="宋体" w:cs="宋体"/>
          <w:color w:val="auto"/>
          <w:sz w:val="24"/>
          <w:highlight w:val="none"/>
        </w:rPr>
        <w:t>系 （供应商名称）的法定代表人。</w:t>
      </w:r>
    </w:p>
    <w:p w14:paraId="7B6051C1">
      <w:pPr>
        <w:spacing w:line="50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特此证明。</w:t>
      </w:r>
    </w:p>
    <w:p w14:paraId="7A2402B2">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 xml:space="preserve">                          </w:t>
      </w:r>
    </w:p>
    <w:p w14:paraId="2ACFD58F">
      <w:pPr>
        <w:jc w:val="center"/>
        <w:rPr>
          <w:rFonts w:hint="eastAsia" w:ascii="宋体" w:hAnsi="宋体" w:eastAsia="宋体" w:cs="宋体"/>
          <w:color w:val="auto"/>
          <w:sz w:val="22"/>
          <w:szCs w:val="22"/>
          <w:highlight w:val="none"/>
        </w:rPr>
      </w:pPr>
      <w:r>
        <w:rPr>
          <w:rFonts w:hint="eastAsia" w:ascii="宋体" w:hAnsi="宋体" w:eastAsia="宋体" w:cs="宋体"/>
          <w:color w:val="auto"/>
          <w:sz w:val="24"/>
          <w:highlight w:val="none"/>
        </w:rPr>
        <w:t xml:space="preserve">                          供应商：（盖章）</w:t>
      </w:r>
      <w:r>
        <w:rPr>
          <w:rFonts w:hint="eastAsia" w:ascii="宋体" w:hAnsi="宋体" w:eastAsia="宋体" w:cs="宋体"/>
          <w:color w:val="auto"/>
          <w:sz w:val="22"/>
          <w:szCs w:val="22"/>
          <w:highlight w:val="none"/>
          <w:u w:val="single"/>
        </w:rPr>
        <w:t>          </w:t>
      </w:r>
    </w:p>
    <w:p w14:paraId="70196F3D">
      <w:pPr>
        <w:rPr>
          <w:rFonts w:hint="eastAsia" w:ascii="宋体" w:hAnsi="宋体" w:eastAsia="宋体" w:cs="宋体"/>
          <w:color w:val="auto"/>
          <w:sz w:val="22"/>
          <w:szCs w:val="22"/>
          <w:highlight w:val="none"/>
        </w:rPr>
      </w:pPr>
    </w:p>
    <w:p w14:paraId="3B624A98">
      <w:pPr>
        <w:ind w:firstLine="220" w:firstLineChars="100"/>
        <w:rPr>
          <w:rFonts w:hint="eastAsia" w:ascii="宋体" w:hAnsi="宋体" w:eastAsia="宋体" w:cs="宋体"/>
          <w:color w:val="auto"/>
          <w:sz w:val="22"/>
          <w:szCs w:val="22"/>
          <w:highlight w:val="none"/>
        </w:rPr>
      </w:pPr>
    </w:p>
    <w:p w14:paraId="59D0DA1B">
      <w:pPr>
        <w:widowControl/>
        <w:jc w:val="center"/>
        <w:rPr>
          <w:rFonts w:hint="eastAsia" w:ascii="宋体" w:hAnsi="宋体" w:eastAsia="宋体" w:cs="宋体"/>
          <w:b/>
          <w:bCs/>
          <w:color w:val="auto"/>
          <w:sz w:val="28"/>
          <w:szCs w:val="28"/>
          <w:highlight w:val="none"/>
        </w:rPr>
      </w:pPr>
      <w:r>
        <w:rPr>
          <w:rFonts w:hint="eastAsia" w:ascii="宋体" w:hAnsi="宋体" w:eastAsia="宋体" w:cs="宋体"/>
          <w:color w:val="auto"/>
          <w:sz w:val="24"/>
          <w:highlight w:val="none"/>
        </w:rPr>
        <w:t xml:space="preserve">                          法定代表人签字：</w:t>
      </w:r>
      <w:r>
        <w:rPr>
          <w:rFonts w:hint="eastAsia" w:ascii="宋体" w:hAnsi="宋体" w:eastAsia="宋体" w:cs="宋体"/>
          <w:color w:val="auto"/>
          <w:sz w:val="22"/>
          <w:szCs w:val="22"/>
          <w:highlight w:val="none"/>
          <w:u w:val="single"/>
        </w:rPr>
        <w:t>          </w:t>
      </w:r>
    </w:p>
    <w:p w14:paraId="247ABA69">
      <w:pPr>
        <w:pStyle w:val="17"/>
        <w:spacing w:line="360" w:lineRule="auto"/>
        <w:rPr>
          <w:rFonts w:hint="eastAsia" w:ascii="宋体" w:hAnsi="宋体" w:eastAsia="宋体" w:cs="宋体"/>
          <w:color w:val="auto"/>
          <w:sz w:val="22"/>
          <w:szCs w:val="22"/>
          <w:highlight w:val="none"/>
        </w:rPr>
      </w:pPr>
    </w:p>
    <w:p w14:paraId="555B1B6D">
      <w:pPr>
        <w:pStyle w:val="17"/>
        <w:spacing w:line="360" w:lineRule="auto"/>
        <w:ind w:firstLine="4080" w:firstLineChars="1700"/>
        <w:rPr>
          <w:rFonts w:hint="eastAsia" w:ascii="宋体" w:hAnsi="宋体" w:eastAsia="宋体" w:cs="宋体"/>
          <w:color w:val="auto"/>
          <w:highlight w:val="none"/>
        </w:rPr>
      </w:pPr>
      <w:r>
        <w:rPr>
          <w:rFonts w:hint="eastAsia" w:ascii="宋体" w:hAnsi="宋体" w:eastAsia="宋体" w:cs="宋体"/>
          <w:color w:val="auto"/>
          <w:sz w:val="24"/>
          <w:highlight w:val="none"/>
        </w:rPr>
        <w:t>日期：</w:t>
      </w:r>
      <w:r>
        <w:rPr>
          <w:rFonts w:hint="eastAsia" w:ascii="宋体" w:hAnsi="宋体" w:eastAsia="宋体" w:cs="宋体"/>
          <w:color w:val="auto"/>
          <w:kern w:val="0"/>
          <w:highlight w:val="none"/>
        </w:rPr>
        <w:t xml:space="preserve">   </w:t>
      </w:r>
      <w:r>
        <w:rPr>
          <w:rFonts w:hint="eastAsia" w:ascii="宋体" w:hAnsi="宋体" w:eastAsia="宋体" w:cs="宋体"/>
          <w:color w:val="auto"/>
          <w:sz w:val="24"/>
          <w:highlight w:val="none"/>
        </w:rPr>
        <w:t>年    月    日</w:t>
      </w:r>
    </w:p>
    <w:p w14:paraId="7B0EEE82">
      <w:pPr>
        <w:rPr>
          <w:rFonts w:hint="eastAsia" w:ascii="宋体" w:hAnsi="宋体" w:eastAsia="宋体" w:cs="宋体"/>
          <w:b/>
          <w:bCs/>
          <w:color w:val="auto"/>
          <w:sz w:val="24"/>
          <w:szCs w:val="32"/>
          <w:highlight w:val="none"/>
        </w:rPr>
      </w:pPr>
    </w:p>
    <w:p w14:paraId="2C41CD84">
      <w:pPr>
        <w:rPr>
          <w:rFonts w:hint="eastAsia" w:ascii="宋体" w:hAnsi="宋体" w:eastAsia="宋体" w:cs="宋体"/>
          <w:b/>
          <w:bCs/>
          <w:color w:val="auto"/>
          <w:sz w:val="24"/>
          <w:szCs w:val="32"/>
          <w:highlight w:val="none"/>
        </w:rPr>
      </w:pPr>
      <w:r>
        <w:rPr>
          <w:rFonts w:hint="eastAsia" w:ascii="宋体" w:hAnsi="宋体" w:eastAsia="宋体" w:cs="宋体"/>
          <w:b/>
          <w:bCs/>
          <w:color w:val="auto"/>
          <w:sz w:val="24"/>
          <w:szCs w:val="32"/>
          <w:highlight w:val="none"/>
        </w:rPr>
        <w:t>注：1、本证明书供应商必须提供。此处所述“法定代表人”，须与供应商的营业执照的内容一致。</w:t>
      </w:r>
    </w:p>
    <w:p w14:paraId="337B9DD2">
      <w:pPr>
        <w:spacing w:line="400" w:lineRule="exact"/>
        <w:rPr>
          <w:rFonts w:hint="eastAsia" w:ascii="宋体" w:hAnsi="宋体" w:eastAsia="宋体" w:cs="宋体"/>
          <w:color w:val="auto"/>
          <w:sz w:val="24"/>
          <w:highlight w:val="none"/>
        </w:rPr>
      </w:pPr>
    </w:p>
    <w:p w14:paraId="79043DDB">
      <w:pPr>
        <w:widowControl/>
        <w:jc w:val="left"/>
        <w:rPr>
          <w:rFonts w:hint="eastAsia" w:ascii="宋体" w:hAnsi="宋体" w:eastAsia="宋体" w:cs="宋体"/>
          <w:color w:val="auto"/>
          <w:sz w:val="24"/>
          <w:highlight w:val="none"/>
        </w:rPr>
      </w:pPr>
      <w:r>
        <w:rPr>
          <w:rFonts w:hint="eastAsia" w:ascii="宋体" w:hAnsi="宋体" w:eastAsia="宋体" w:cs="宋体"/>
          <w:color w:val="auto"/>
          <w:sz w:val="28"/>
          <w:highlight w:val="none"/>
        </w:rPr>
        <w:pict>
          <v:roundrect id="_x0000_s2051" o:spid="_x0000_s2051" o:spt="2" style="position:absolute;left:0pt;margin-left:230.6pt;margin-top:10.2pt;height:160.15pt;width:239.95pt;z-index:-251656192;mso-width-relative:page;mso-height-relative:page;" coordsize="21600,21600" arcsize="0.166666666666667" o:gfxdata="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">
            <v:path/>
            <v:fill focussize="0,0"/>
            <v:stroke/>
            <v:imagedata o:title=""/>
            <o:lock v:ext="edit"/>
            <v:textbox>
              <w:txbxContent>
                <w:p w14:paraId="010C52B1"/>
              </w:txbxContent>
            </v:textbox>
          </v:roundrect>
        </w:pict>
      </w:r>
      <w:r>
        <w:rPr>
          <w:rFonts w:hint="eastAsia" w:ascii="宋体" w:hAnsi="宋体" w:eastAsia="宋体" w:cs="宋体"/>
          <w:color w:val="auto"/>
          <w:sz w:val="24"/>
          <w:highlight w:val="none"/>
        </w:rPr>
        <w:pict>
          <v:roundrect id="_x0000_s2050" o:spid="_x0000_s2050" o:spt="2" style="position:absolute;left:0pt;margin-left:-12.65pt;margin-top:10.15pt;height:160.15pt;width:239.95pt;z-index:-251657216;mso-width-relative:page;mso-height-relative:page;" coordsize="21600,21600" arcsize="0.166666666666667" o:gfxdata="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frNC&#10;qdcAAAAKAQAADwAAAAAAAAABACAAAAAiAAAAZHJzL2Rvd25yZXYueG1sUEsBAhQAFAAAAAgAh07i&#10;QPtPsqsjAgAAVwQAAA4AAAAAAAAAAQAgAAAAJgEAAGRycy9lMm9Eb2MueG1sUEsFBgAAAAAGAAYA&#10;WQEAALsFAAAAAA==&#10;">
            <v:path/>
            <v:fill focussize="0,0"/>
            <v:stroke/>
            <v:imagedata o:title=""/>
            <o:lock v:ext="edit"/>
            <v:textbox>
              <w:txbxContent>
                <w:p w14:paraId="72DCD031"/>
              </w:txbxContent>
            </v:textbox>
          </v:roundrect>
        </w:pict>
      </w:r>
    </w:p>
    <w:p w14:paraId="6C4906F3">
      <w:pPr>
        <w:widowControl/>
        <w:jc w:val="left"/>
        <w:rPr>
          <w:rFonts w:hint="eastAsia" w:ascii="宋体" w:hAnsi="宋体" w:eastAsia="宋体" w:cs="宋体"/>
          <w:color w:val="auto"/>
          <w:sz w:val="24"/>
          <w:highlight w:val="none"/>
        </w:rPr>
      </w:pPr>
    </w:p>
    <w:p w14:paraId="16D1B746">
      <w:pPr>
        <w:widowControl/>
        <w:jc w:val="left"/>
        <w:rPr>
          <w:rFonts w:hint="eastAsia" w:ascii="宋体" w:hAnsi="宋体" w:eastAsia="宋体" w:cs="宋体"/>
          <w:color w:val="auto"/>
          <w:sz w:val="24"/>
          <w:highlight w:val="none"/>
        </w:rPr>
      </w:pPr>
    </w:p>
    <w:p w14:paraId="311B3967">
      <w:pPr>
        <w:widowControl/>
        <w:ind w:firstLine="6240" w:firstLineChars="2600"/>
        <w:jc w:val="left"/>
        <w:rPr>
          <w:rFonts w:hint="eastAsia" w:ascii="宋体" w:hAnsi="宋体" w:eastAsia="宋体" w:cs="宋体"/>
          <w:color w:val="auto"/>
          <w:sz w:val="24"/>
          <w:highlight w:val="none"/>
        </w:rPr>
      </w:pPr>
    </w:p>
    <w:p w14:paraId="6415FCB5">
      <w:pPr>
        <w:widowControl/>
        <w:ind w:firstLine="6240" w:firstLineChars="2600"/>
        <w:jc w:val="left"/>
        <w:rPr>
          <w:rFonts w:hint="eastAsia" w:ascii="宋体" w:hAnsi="宋体" w:eastAsia="宋体" w:cs="宋体"/>
          <w:color w:val="auto"/>
          <w:sz w:val="24"/>
          <w:highlight w:val="none"/>
        </w:rPr>
      </w:pPr>
    </w:p>
    <w:p w14:paraId="6AB9FA52">
      <w:pPr>
        <w:widowControl/>
        <w:ind w:firstLine="1200" w:firstLineChars="500"/>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法人身份证复印件                         法人身份证复印件</w:t>
      </w:r>
    </w:p>
    <w:p w14:paraId="19C1D8EE">
      <w:pPr>
        <w:widowControl/>
        <w:ind w:firstLine="1200" w:firstLineChars="500"/>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（正面：国徽）                          （反面：身份信息）</w:t>
      </w:r>
    </w:p>
    <w:p w14:paraId="10A91E78">
      <w:pPr>
        <w:ind w:right="480"/>
        <w:rPr>
          <w:rFonts w:hint="eastAsia" w:ascii="宋体" w:hAnsi="宋体" w:eastAsia="宋体" w:cs="宋体"/>
          <w:color w:val="auto"/>
          <w:sz w:val="22"/>
          <w:szCs w:val="22"/>
          <w:highlight w:val="none"/>
        </w:rPr>
      </w:pPr>
    </w:p>
    <w:p w14:paraId="40F25B21">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 xml:space="preserve">                          </w:t>
      </w:r>
    </w:p>
    <w:p w14:paraId="1DE38E53">
      <w:pPr>
        <w:jc w:val="center"/>
        <w:rPr>
          <w:rFonts w:hint="eastAsia" w:ascii="宋体" w:hAnsi="宋体" w:eastAsia="宋体" w:cs="宋体"/>
          <w:color w:val="auto"/>
          <w:sz w:val="24"/>
          <w:highlight w:val="none"/>
        </w:rPr>
      </w:pPr>
    </w:p>
    <w:p w14:paraId="6A644D3B">
      <w:pPr>
        <w:jc w:val="center"/>
        <w:rPr>
          <w:rFonts w:hint="eastAsia" w:ascii="宋体" w:hAnsi="宋体" w:eastAsia="宋体" w:cs="宋体"/>
          <w:color w:val="auto"/>
          <w:sz w:val="24"/>
          <w:highlight w:val="none"/>
        </w:rPr>
      </w:pPr>
    </w:p>
    <w:p w14:paraId="50B07821">
      <w:pPr>
        <w:rPr>
          <w:rFonts w:hint="eastAsia" w:ascii="宋体" w:hAnsi="宋体" w:eastAsia="宋体" w:cs="宋体"/>
          <w:b/>
          <w:bCs/>
          <w:color w:val="auto"/>
          <w:sz w:val="28"/>
          <w:szCs w:val="28"/>
          <w:highlight w:val="none"/>
        </w:rPr>
      </w:pPr>
    </w:p>
    <w:p w14:paraId="57E1E6C2">
      <w:pPr>
        <w:pStyle w:val="23"/>
        <w:rPr>
          <w:rFonts w:hint="eastAsia" w:ascii="宋体" w:hAnsi="宋体" w:eastAsia="宋体" w:cs="宋体"/>
          <w:color w:val="auto"/>
          <w:highlight w:val="none"/>
        </w:rPr>
      </w:pPr>
    </w:p>
    <w:p w14:paraId="3F02BF1A">
      <w:pPr>
        <w:jc w:val="center"/>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rPr>
        <w:t>法定代表人授权委托书</w:t>
      </w:r>
    </w:p>
    <w:p w14:paraId="4FAAFC2E">
      <w:pPr>
        <w:jc w:val="center"/>
        <w:rPr>
          <w:rFonts w:hint="eastAsia" w:ascii="宋体" w:hAnsi="宋体" w:eastAsia="宋体" w:cs="宋体"/>
          <w:color w:val="auto"/>
          <w:highlight w:val="none"/>
        </w:rPr>
      </w:pPr>
      <w:r>
        <w:rPr>
          <w:rFonts w:hint="eastAsia" w:ascii="宋体" w:hAnsi="宋体" w:eastAsia="宋体" w:cs="宋体"/>
          <w:b/>
          <w:bCs/>
          <w:color w:val="auto"/>
          <w:sz w:val="24"/>
          <w:highlight w:val="none"/>
        </w:rPr>
        <w:t>（法定代表人参会无需提供此项）</w:t>
      </w:r>
    </w:p>
    <w:p w14:paraId="26860BB0">
      <w:pPr>
        <w:pStyle w:val="39"/>
        <w:ind w:firstLine="0" w:firstLineChars="0"/>
        <w:rPr>
          <w:rFonts w:hint="eastAsia" w:ascii="宋体" w:hAnsi="宋体" w:eastAsia="宋体" w:cs="宋体"/>
          <w:color w:val="auto"/>
          <w:highlight w:val="none"/>
        </w:rPr>
      </w:pPr>
      <w:r>
        <w:rPr>
          <w:rFonts w:hint="eastAsia" w:ascii="宋体" w:hAnsi="宋体" w:eastAsia="宋体" w:cs="宋体"/>
          <w:color w:val="auto"/>
          <w:highlight w:val="none"/>
        </w:rPr>
        <w:t>致：（代理公司）</w:t>
      </w:r>
    </w:p>
    <w:p w14:paraId="615FCF93">
      <w:pPr>
        <w:spacing w:afterLines="50" w:line="400" w:lineRule="exact"/>
        <w:ind w:firstLine="437"/>
        <w:rPr>
          <w:rFonts w:hint="eastAsia" w:ascii="宋体" w:hAnsi="宋体" w:eastAsia="宋体" w:cs="宋体"/>
          <w:color w:val="auto"/>
          <w:sz w:val="24"/>
          <w:highlight w:val="none"/>
        </w:rPr>
      </w:pPr>
      <w:r>
        <w:rPr>
          <w:rFonts w:hint="eastAsia" w:ascii="宋体" w:hAnsi="宋体" w:eastAsia="宋体" w:cs="宋体"/>
          <w:color w:val="auto"/>
          <w:sz w:val="24"/>
          <w:highlight w:val="none"/>
        </w:rPr>
        <w:t>本授权书声明：我</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（姓名）系</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（供应商名称)的法定代表人，现授权委托</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（单位名称）的</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（姓名）为我公司代理人，以本公司的名义参加</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（代理公司名称）组织的</w:t>
      </w:r>
      <w:r>
        <w:rPr>
          <w:rFonts w:hint="eastAsia" w:ascii="宋体" w:hAnsi="宋体" w:eastAsia="宋体" w:cs="宋体"/>
          <w:color w:val="auto"/>
          <w:sz w:val="24"/>
          <w:highlight w:val="none"/>
          <w:u w:val="single"/>
        </w:rPr>
        <w:t xml:space="preserve">  （项目名称  ）（项目编号：）</w:t>
      </w:r>
      <w:r>
        <w:rPr>
          <w:rFonts w:hint="eastAsia" w:ascii="宋体" w:hAnsi="宋体" w:eastAsia="宋体" w:cs="宋体"/>
          <w:color w:val="auto"/>
          <w:sz w:val="24"/>
          <w:highlight w:val="none"/>
        </w:rPr>
        <w:t>的采购活动。代理人在招标过程中所签署的一切文件和处理与之有关的一切事物，我均予以承认。</w:t>
      </w:r>
    </w:p>
    <w:p w14:paraId="302FE03B">
      <w:pPr>
        <w:spacing w:afterLines="50" w:line="400" w:lineRule="exact"/>
        <w:ind w:firstLine="437"/>
        <w:rPr>
          <w:rFonts w:hint="eastAsia" w:ascii="宋体" w:hAnsi="宋体" w:eastAsia="宋体" w:cs="宋体"/>
          <w:color w:val="auto"/>
          <w:sz w:val="24"/>
          <w:highlight w:val="none"/>
        </w:rPr>
      </w:pPr>
      <w:r>
        <w:rPr>
          <w:rFonts w:hint="eastAsia" w:ascii="宋体" w:hAnsi="宋体" w:eastAsia="宋体" w:cs="宋体"/>
          <w:color w:val="auto"/>
          <w:sz w:val="24"/>
          <w:highlight w:val="none"/>
        </w:rPr>
        <w:t>代理人无转委托权。</w:t>
      </w:r>
    </w:p>
    <w:p w14:paraId="20A31C61">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本授权书于   年   月   日签字生效，特此声明。</w:t>
      </w:r>
    </w:p>
    <w:p w14:paraId="770EF4A2">
      <w:pPr>
        <w:spacing w:line="400" w:lineRule="exact"/>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 xml:space="preserve">注：1、供应商“法定代表人”参加招标和签署招标响应文件的不须提供该委托书。2、此处所述“法定代表人”，须与供应商“营业执照”上的内容一致。3.所指代理人即为供应商代表人。    </w:t>
      </w:r>
      <w:r>
        <w:rPr>
          <w:rFonts w:hint="eastAsia" w:ascii="宋体" w:hAnsi="宋体" w:eastAsia="宋体" w:cs="宋体"/>
          <w:color w:val="auto"/>
          <w:sz w:val="28"/>
          <w:szCs w:val="28"/>
          <w:highlight w:val="none"/>
        </w:rPr>
        <w:t xml:space="preserve"> </w:t>
      </w:r>
    </w:p>
    <w:tbl>
      <w:tblPr>
        <w:tblStyle w:val="41"/>
        <w:tblW w:w="884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11"/>
        <w:gridCol w:w="4407"/>
        <w:gridCol w:w="26"/>
      </w:tblGrid>
      <w:tr w14:paraId="5E23BE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25" w:hRule="exact"/>
          <w:jc w:val="center"/>
        </w:trPr>
        <w:tc>
          <w:tcPr>
            <w:tcW w:w="4411" w:type="dxa"/>
            <w:vAlign w:val="center"/>
          </w:tcPr>
          <w:p w14:paraId="470BEDC6">
            <w:pPr>
              <w:jc w:val="center"/>
              <w:rPr>
                <w:rFonts w:hint="eastAsia" w:ascii="宋体" w:hAnsi="宋体" w:eastAsia="宋体" w:cs="宋体"/>
                <w:color w:val="auto"/>
                <w:sz w:val="24"/>
                <w:szCs w:val="32"/>
                <w:highlight w:val="none"/>
              </w:rPr>
            </w:pPr>
            <w:r>
              <w:rPr>
                <w:rFonts w:hint="eastAsia" w:ascii="宋体" w:hAnsi="宋体" w:eastAsia="宋体" w:cs="宋体"/>
                <w:color w:val="auto"/>
                <w:sz w:val="24"/>
                <w:szCs w:val="32"/>
                <w:highlight w:val="none"/>
              </w:rPr>
              <w:t>法人代表身份证复印件</w:t>
            </w:r>
          </w:p>
          <w:p w14:paraId="4F9CCDFD">
            <w:pPr>
              <w:jc w:val="center"/>
              <w:rPr>
                <w:rFonts w:hint="eastAsia" w:ascii="宋体" w:hAnsi="宋体" w:eastAsia="宋体" w:cs="宋体"/>
                <w:color w:val="auto"/>
                <w:sz w:val="24"/>
                <w:szCs w:val="32"/>
                <w:highlight w:val="none"/>
              </w:rPr>
            </w:pPr>
            <w:r>
              <w:rPr>
                <w:rFonts w:hint="eastAsia" w:ascii="宋体" w:hAnsi="宋体" w:eastAsia="宋体" w:cs="宋体"/>
                <w:color w:val="auto"/>
                <w:sz w:val="24"/>
                <w:szCs w:val="32"/>
                <w:highlight w:val="none"/>
              </w:rPr>
              <w:t>（正面：国徽）</w:t>
            </w:r>
          </w:p>
        </w:tc>
        <w:tc>
          <w:tcPr>
            <w:tcW w:w="4433" w:type="dxa"/>
            <w:gridSpan w:val="2"/>
            <w:vAlign w:val="center"/>
          </w:tcPr>
          <w:p w14:paraId="10A00FCF">
            <w:pPr>
              <w:jc w:val="center"/>
              <w:rPr>
                <w:rFonts w:hint="eastAsia" w:ascii="宋体" w:hAnsi="宋体" w:eastAsia="宋体" w:cs="宋体"/>
                <w:color w:val="auto"/>
                <w:sz w:val="24"/>
                <w:szCs w:val="32"/>
                <w:highlight w:val="none"/>
              </w:rPr>
            </w:pPr>
            <w:r>
              <w:rPr>
                <w:rFonts w:hint="eastAsia" w:ascii="宋体" w:hAnsi="宋体" w:eastAsia="宋体" w:cs="宋体"/>
                <w:color w:val="auto"/>
                <w:sz w:val="24"/>
                <w:szCs w:val="32"/>
                <w:highlight w:val="none"/>
              </w:rPr>
              <w:t>法人代表身份证复印件</w:t>
            </w:r>
          </w:p>
          <w:p w14:paraId="0A31ABCE">
            <w:pPr>
              <w:pStyle w:val="30"/>
              <w:tabs>
                <w:tab w:val="right" w:leader="dot" w:pos="8296"/>
                <w:tab w:val="clear" w:pos="8494"/>
              </w:tabs>
              <w:spacing w:line="240" w:lineRule="auto"/>
              <w:ind w:left="-365" w:firstLine="1272" w:firstLineChars="530"/>
              <w:rPr>
                <w:rFonts w:hint="eastAsia" w:ascii="宋体" w:hAnsi="宋体" w:eastAsia="宋体" w:cs="宋体"/>
                <w:color w:val="auto"/>
                <w:szCs w:val="32"/>
                <w:highlight w:val="none"/>
              </w:rPr>
            </w:pPr>
            <w:r>
              <w:rPr>
                <w:rFonts w:hint="eastAsia" w:ascii="宋体" w:hAnsi="宋体" w:eastAsia="宋体" w:cs="宋体"/>
                <w:color w:val="auto"/>
                <w:szCs w:val="32"/>
                <w:highlight w:val="none"/>
              </w:rPr>
              <w:t>（反面：身份信息）</w:t>
            </w:r>
          </w:p>
        </w:tc>
      </w:tr>
      <w:tr w14:paraId="5B55B5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10" w:hRule="exact"/>
          <w:jc w:val="center"/>
        </w:trPr>
        <w:tc>
          <w:tcPr>
            <w:tcW w:w="4411" w:type="dxa"/>
            <w:vAlign w:val="center"/>
          </w:tcPr>
          <w:p w14:paraId="32F1BFBA">
            <w:pPr>
              <w:spacing w:line="440" w:lineRule="exact"/>
              <w:rPr>
                <w:rFonts w:hint="eastAsia" w:ascii="宋体" w:hAnsi="宋体" w:eastAsia="宋体" w:cs="宋体"/>
                <w:color w:val="auto"/>
                <w:sz w:val="24"/>
                <w:highlight w:val="none"/>
                <w:u w:val="single"/>
              </w:rPr>
            </w:pPr>
            <w:r>
              <w:rPr>
                <w:rFonts w:hint="eastAsia" w:ascii="宋体" w:hAnsi="宋体" w:eastAsia="宋体" w:cs="宋体"/>
                <w:color w:val="auto"/>
                <w:sz w:val="24"/>
                <w:highlight w:val="none"/>
              </w:rPr>
              <w:t>法人代表签名：</w:t>
            </w:r>
            <w:r>
              <w:rPr>
                <w:rFonts w:hint="eastAsia" w:ascii="宋体" w:hAnsi="宋体" w:eastAsia="宋体" w:cs="宋体"/>
                <w:color w:val="auto"/>
                <w:sz w:val="24"/>
                <w:highlight w:val="none"/>
                <w:u w:val="single"/>
              </w:rPr>
              <w:t xml:space="preserve">                </w:t>
            </w:r>
          </w:p>
        </w:tc>
        <w:tc>
          <w:tcPr>
            <w:tcW w:w="4433" w:type="dxa"/>
            <w:gridSpan w:val="2"/>
            <w:vAlign w:val="center"/>
          </w:tcPr>
          <w:p w14:paraId="7DE65C45">
            <w:pPr>
              <w:spacing w:line="440" w:lineRule="exact"/>
              <w:ind w:firstLine="240" w:firstLineChars="100"/>
              <w:rPr>
                <w:rFonts w:hint="eastAsia" w:ascii="宋体" w:hAnsi="宋体" w:eastAsia="宋体" w:cs="宋体"/>
                <w:color w:val="auto"/>
                <w:sz w:val="24"/>
                <w:highlight w:val="none"/>
              </w:rPr>
            </w:pPr>
          </w:p>
          <w:p w14:paraId="64A7C5C7">
            <w:pPr>
              <w:spacing w:line="440" w:lineRule="exact"/>
              <w:ind w:firstLine="240" w:firstLineChars="100"/>
              <w:rPr>
                <w:rFonts w:hint="eastAsia" w:ascii="宋体" w:hAnsi="宋体" w:eastAsia="宋体" w:cs="宋体"/>
                <w:color w:val="auto"/>
                <w:sz w:val="24"/>
                <w:highlight w:val="none"/>
                <w:u w:val="single"/>
              </w:rPr>
            </w:pPr>
            <w:r>
              <w:rPr>
                <w:rFonts w:hint="eastAsia" w:ascii="宋体" w:hAnsi="宋体" w:eastAsia="宋体" w:cs="宋体"/>
                <w:color w:val="auto"/>
                <w:sz w:val="24"/>
                <w:highlight w:val="none"/>
              </w:rPr>
              <w:t>（公章）：</w:t>
            </w:r>
            <w:r>
              <w:rPr>
                <w:rFonts w:hint="eastAsia" w:ascii="宋体" w:hAnsi="宋体" w:eastAsia="宋体" w:cs="宋体"/>
                <w:color w:val="auto"/>
                <w:sz w:val="24"/>
                <w:highlight w:val="none"/>
                <w:u w:val="single"/>
              </w:rPr>
              <w:t xml:space="preserve">                    </w:t>
            </w:r>
          </w:p>
          <w:p w14:paraId="00EDE51A">
            <w:pPr>
              <w:spacing w:line="440" w:lineRule="exact"/>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 xml:space="preserve">          年    月     日</w:t>
            </w:r>
          </w:p>
        </w:tc>
      </w:tr>
      <w:tr w14:paraId="40C959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gridAfter w:val="1"/>
          <w:wAfter w:w="26" w:type="dxa"/>
          <w:trHeight w:val="2465" w:hRule="exact"/>
          <w:jc w:val="center"/>
        </w:trPr>
        <w:tc>
          <w:tcPr>
            <w:tcW w:w="4411" w:type="dxa"/>
            <w:vAlign w:val="center"/>
          </w:tcPr>
          <w:p w14:paraId="019B8ACD">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被授权人身份证复印件</w:t>
            </w:r>
          </w:p>
          <w:p w14:paraId="705B11B8">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（正面：国徽）</w:t>
            </w:r>
          </w:p>
        </w:tc>
        <w:tc>
          <w:tcPr>
            <w:tcW w:w="4407" w:type="dxa"/>
            <w:vAlign w:val="center"/>
          </w:tcPr>
          <w:p w14:paraId="5F73C7C4">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被授权人身份证复印件</w:t>
            </w:r>
          </w:p>
          <w:p w14:paraId="2B9EEFE0">
            <w:pPr>
              <w:pStyle w:val="30"/>
              <w:tabs>
                <w:tab w:val="right" w:leader="dot" w:pos="8296"/>
                <w:tab w:val="clear" w:pos="8494"/>
              </w:tabs>
              <w:spacing w:line="240" w:lineRule="auto"/>
              <w:ind w:left="-365" w:firstLine="1272" w:firstLineChars="530"/>
              <w:rPr>
                <w:rFonts w:hint="eastAsia" w:ascii="宋体" w:hAnsi="宋体" w:eastAsia="宋体" w:cs="宋体"/>
                <w:color w:val="auto"/>
                <w:highlight w:val="none"/>
              </w:rPr>
            </w:pPr>
            <w:r>
              <w:rPr>
                <w:rFonts w:hint="eastAsia" w:ascii="宋体" w:hAnsi="宋体" w:eastAsia="宋体" w:cs="宋体"/>
                <w:color w:val="auto"/>
                <w:highlight w:val="none"/>
              </w:rPr>
              <w:t>（反面：身份信息）</w:t>
            </w:r>
          </w:p>
        </w:tc>
      </w:tr>
      <w:tr w14:paraId="0D1F80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6" w:type="dxa"/>
          <w:trHeight w:val="1199" w:hRule="exact"/>
          <w:jc w:val="center"/>
        </w:trPr>
        <w:tc>
          <w:tcPr>
            <w:tcW w:w="4411" w:type="dxa"/>
            <w:vAlign w:val="center"/>
          </w:tcPr>
          <w:p w14:paraId="607592A9">
            <w:pPr>
              <w:pStyle w:val="30"/>
              <w:tabs>
                <w:tab w:val="right" w:leader="dot" w:pos="8296"/>
                <w:tab w:val="clear" w:pos="8494"/>
              </w:tabs>
              <w:spacing w:line="240" w:lineRule="auto"/>
              <w:ind w:firstLine="139" w:firstLineChars="58"/>
              <w:rPr>
                <w:rFonts w:hint="eastAsia" w:ascii="宋体" w:hAnsi="宋体" w:eastAsia="宋体" w:cs="宋体"/>
                <w:color w:val="auto"/>
                <w:highlight w:val="none"/>
              </w:rPr>
            </w:pPr>
            <w:r>
              <w:rPr>
                <w:rFonts w:hint="eastAsia" w:ascii="宋体" w:hAnsi="宋体" w:eastAsia="宋体" w:cs="宋体"/>
                <w:color w:val="auto"/>
                <w:highlight w:val="none"/>
              </w:rPr>
              <w:t>被授权人签字：</w:t>
            </w:r>
            <w:r>
              <w:rPr>
                <w:rFonts w:hint="eastAsia" w:ascii="宋体" w:hAnsi="宋体" w:eastAsia="宋体" w:cs="宋体"/>
                <w:color w:val="auto"/>
                <w:highlight w:val="none"/>
                <w:u w:val="single"/>
              </w:rPr>
              <w:t xml:space="preserve">               </w:t>
            </w:r>
          </w:p>
        </w:tc>
        <w:tc>
          <w:tcPr>
            <w:tcW w:w="4407" w:type="dxa"/>
            <w:vAlign w:val="center"/>
          </w:tcPr>
          <w:p w14:paraId="0FEF9948">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 xml:space="preserve">          年    月     日</w:t>
            </w:r>
          </w:p>
        </w:tc>
      </w:tr>
    </w:tbl>
    <w:p w14:paraId="22886B10">
      <w:pPr>
        <w:pStyle w:val="23"/>
        <w:jc w:val="center"/>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rPr>
        <w:t>三、开标一览表</w:t>
      </w:r>
    </w:p>
    <w:p w14:paraId="0522AB1C">
      <w:pPr>
        <w:rPr>
          <w:rFonts w:hint="eastAsia" w:ascii="宋体" w:hAnsi="宋体" w:eastAsia="宋体" w:cs="宋体"/>
          <w:color w:val="auto"/>
          <w:sz w:val="24"/>
          <w:highlight w:val="none"/>
        </w:rPr>
      </w:pPr>
      <w:r>
        <w:rPr>
          <w:rFonts w:hint="eastAsia" w:ascii="宋体" w:hAnsi="宋体" w:eastAsia="宋体" w:cs="宋体"/>
          <w:color w:val="auto"/>
          <w:sz w:val="24"/>
          <w:highlight w:val="none"/>
        </w:rPr>
        <w:t>单位：元</w:t>
      </w:r>
    </w:p>
    <w:tbl>
      <w:tblPr>
        <w:tblStyle w:val="41"/>
        <w:tblW w:w="9045" w:type="dxa"/>
        <w:tblInd w:w="14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529"/>
        <w:gridCol w:w="5516"/>
      </w:tblGrid>
      <w:tr w14:paraId="02DAE8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88" w:hRule="atLeast"/>
        </w:trPr>
        <w:tc>
          <w:tcPr>
            <w:tcW w:w="3529" w:type="dxa"/>
            <w:vAlign w:val="center"/>
          </w:tcPr>
          <w:p w14:paraId="31470CCE">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项目名称</w:t>
            </w:r>
          </w:p>
        </w:tc>
        <w:tc>
          <w:tcPr>
            <w:tcW w:w="5516" w:type="dxa"/>
            <w:vAlign w:val="center"/>
          </w:tcPr>
          <w:p w14:paraId="5B913F31">
            <w:pPr>
              <w:spacing w:line="360" w:lineRule="auto"/>
              <w:jc w:val="center"/>
              <w:rPr>
                <w:rFonts w:hint="default" w:ascii="宋体" w:hAnsi="宋体" w:eastAsia="宋体" w:cs="宋体"/>
                <w:color w:val="auto"/>
                <w:sz w:val="24"/>
                <w:highlight w:val="none"/>
                <w:lang w:val="en-US"/>
              </w:rPr>
            </w:pPr>
            <w:r>
              <w:rPr>
                <w:rFonts w:hint="eastAsia" w:ascii="宋体" w:hAnsi="宋体" w:cs="宋体"/>
                <w:color w:val="auto"/>
                <w:sz w:val="24"/>
                <w:highlight w:val="none"/>
                <w:lang w:val="en-US" w:eastAsia="zh-CN"/>
              </w:rPr>
              <w:t>2025-2026年度高低压配电室年度维保采购项目</w:t>
            </w:r>
          </w:p>
        </w:tc>
      </w:tr>
      <w:tr w14:paraId="6C3BF7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8" w:hRule="atLeast"/>
        </w:trPr>
        <w:tc>
          <w:tcPr>
            <w:tcW w:w="3529" w:type="dxa"/>
            <w:vAlign w:val="center"/>
          </w:tcPr>
          <w:p w14:paraId="41B30B93">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供应商全称</w:t>
            </w:r>
          </w:p>
        </w:tc>
        <w:tc>
          <w:tcPr>
            <w:tcW w:w="5516" w:type="dxa"/>
            <w:vAlign w:val="center"/>
          </w:tcPr>
          <w:p w14:paraId="5B66A794">
            <w:pPr>
              <w:spacing w:line="360" w:lineRule="auto"/>
              <w:rPr>
                <w:rFonts w:hint="eastAsia" w:ascii="宋体" w:hAnsi="宋体" w:eastAsia="宋体" w:cs="宋体"/>
                <w:color w:val="auto"/>
                <w:sz w:val="24"/>
                <w:highlight w:val="none"/>
              </w:rPr>
            </w:pPr>
          </w:p>
        </w:tc>
      </w:tr>
      <w:tr w14:paraId="0706C9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59" w:hRule="atLeast"/>
        </w:trPr>
        <w:tc>
          <w:tcPr>
            <w:tcW w:w="3529" w:type="dxa"/>
            <w:vAlign w:val="center"/>
          </w:tcPr>
          <w:p w14:paraId="30C813C0">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本项目总报价（人民币 元）</w:t>
            </w:r>
          </w:p>
        </w:tc>
        <w:tc>
          <w:tcPr>
            <w:tcW w:w="5516" w:type="dxa"/>
            <w:vAlign w:val="center"/>
          </w:tcPr>
          <w:p w14:paraId="7446CE8D">
            <w:pPr>
              <w:rPr>
                <w:rFonts w:hint="eastAsia" w:ascii="宋体" w:hAnsi="宋体" w:eastAsia="宋体" w:cs="宋体"/>
                <w:color w:val="auto"/>
                <w:sz w:val="24"/>
                <w:highlight w:val="none"/>
              </w:rPr>
            </w:pPr>
            <w:r>
              <w:rPr>
                <w:rFonts w:hint="eastAsia" w:ascii="宋体" w:hAnsi="宋体" w:eastAsia="宋体" w:cs="宋体"/>
                <w:color w:val="auto"/>
                <w:sz w:val="24"/>
                <w:highlight w:val="none"/>
              </w:rPr>
              <w:t>小写金额：￥</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元</w:t>
            </w:r>
          </w:p>
          <w:p w14:paraId="447C0192">
            <w:pPr>
              <w:jc w:val="center"/>
              <w:rPr>
                <w:rFonts w:hint="eastAsia" w:ascii="宋体" w:hAnsi="宋体" w:eastAsia="宋体" w:cs="宋体"/>
                <w:color w:val="auto"/>
                <w:sz w:val="24"/>
                <w:highlight w:val="none"/>
              </w:rPr>
            </w:pPr>
          </w:p>
          <w:p w14:paraId="674B898B">
            <w:pPr>
              <w:spacing w:line="380" w:lineRule="exact"/>
              <w:rPr>
                <w:rFonts w:hint="eastAsia" w:ascii="宋体" w:hAnsi="宋体" w:eastAsia="宋体" w:cs="宋体"/>
                <w:color w:val="auto"/>
                <w:sz w:val="24"/>
                <w:highlight w:val="none"/>
              </w:rPr>
            </w:pPr>
            <w:r>
              <w:rPr>
                <w:rFonts w:hint="eastAsia" w:ascii="宋体" w:hAnsi="宋体" w:eastAsia="宋体" w:cs="宋体"/>
                <w:color w:val="auto"/>
                <w:sz w:val="24"/>
                <w:highlight w:val="none"/>
              </w:rPr>
              <w:t>大写金额：人民币</w:t>
            </w:r>
            <w:r>
              <w:rPr>
                <w:rFonts w:hint="eastAsia" w:ascii="宋体" w:hAnsi="宋体" w:eastAsia="宋体" w:cs="宋体"/>
                <w:color w:val="auto"/>
                <w:sz w:val="24"/>
                <w:highlight w:val="none"/>
                <w:u w:val="single"/>
              </w:rPr>
              <w:t xml:space="preserve">            </w:t>
            </w:r>
          </w:p>
        </w:tc>
      </w:tr>
      <w:tr w14:paraId="3421BE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9" w:hRule="atLeast"/>
        </w:trPr>
        <w:tc>
          <w:tcPr>
            <w:tcW w:w="3529" w:type="dxa"/>
            <w:vAlign w:val="center"/>
          </w:tcPr>
          <w:p w14:paraId="7A6DCFB2">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服务期</w:t>
            </w:r>
          </w:p>
        </w:tc>
        <w:tc>
          <w:tcPr>
            <w:tcW w:w="5516" w:type="dxa"/>
            <w:vAlign w:val="center"/>
          </w:tcPr>
          <w:p w14:paraId="13001C08">
            <w:pPr>
              <w:spacing w:line="360" w:lineRule="auto"/>
              <w:jc w:val="center"/>
              <w:rPr>
                <w:rFonts w:hint="eastAsia" w:ascii="宋体" w:hAnsi="宋体" w:eastAsia="宋体" w:cs="宋体"/>
                <w:color w:val="auto"/>
                <w:sz w:val="24"/>
                <w:highlight w:val="none"/>
                <w:u w:val="single"/>
              </w:rPr>
            </w:pPr>
          </w:p>
        </w:tc>
      </w:tr>
    </w:tbl>
    <w:p w14:paraId="009D331F">
      <w:pPr>
        <w:rPr>
          <w:rFonts w:hint="eastAsia" w:ascii="宋体" w:hAnsi="宋体" w:eastAsia="宋体" w:cs="宋体"/>
          <w:color w:val="auto"/>
          <w:sz w:val="24"/>
          <w:highlight w:val="none"/>
        </w:rPr>
      </w:pPr>
    </w:p>
    <w:p w14:paraId="4288A70B">
      <w:pPr>
        <w:autoSpaceDE w:val="0"/>
        <w:autoSpaceDN w:val="0"/>
        <w:adjustRightInd w:val="0"/>
        <w:spacing w:line="400" w:lineRule="exact"/>
        <w:ind w:firstLine="480" w:firstLineChars="200"/>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注：</w:t>
      </w:r>
    </w:p>
    <w:p w14:paraId="4245BE47">
      <w:pPr>
        <w:autoSpaceDE w:val="0"/>
        <w:autoSpaceDN w:val="0"/>
        <w:adjustRightInd w:val="0"/>
        <w:spacing w:line="400" w:lineRule="exact"/>
        <w:ind w:firstLine="480" w:firstLineChars="200"/>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1、本表价格应按投标总价填写，</w:t>
      </w:r>
      <w:r>
        <w:rPr>
          <w:rFonts w:hint="eastAsia" w:ascii="宋体" w:hAnsi="宋体" w:eastAsia="宋体" w:cs="宋体"/>
          <w:color w:val="auto"/>
          <w:sz w:val="24"/>
          <w:szCs w:val="24"/>
          <w:highlight w:val="none"/>
        </w:rPr>
        <w:t>总报价请精确到小数点后2位</w:t>
      </w:r>
      <w:r>
        <w:rPr>
          <w:rFonts w:hint="eastAsia" w:ascii="宋体" w:hAnsi="宋体" w:eastAsia="宋体" w:cs="宋体"/>
          <w:color w:val="auto"/>
          <w:sz w:val="24"/>
          <w:highlight w:val="none"/>
        </w:rPr>
        <w:t>；</w:t>
      </w:r>
    </w:p>
    <w:p w14:paraId="316090B0">
      <w:pPr>
        <w:pStyle w:val="23"/>
        <w:spacing w:line="360" w:lineRule="auto"/>
        <w:ind w:firstLine="480" w:firstLineChars="200"/>
        <w:rPr>
          <w:rFonts w:hint="eastAsia" w:ascii="宋体" w:hAnsi="宋体" w:eastAsia="宋体" w:cs="宋体"/>
          <w:color w:val="auto"/>
          <w:sz w:val="24"/>
          <w:highlight w:val="none"/>
          <w:lang w:eastAsia="zh-CN"/>
        </w:rPr>
      </w:pPr>
      <w:r>
        <w:rPr>
          <w:rFonts w:hint="eastAsia" w:ascii="宋体" w:hAnsi="宋体" w:eastAsia="宋体" w:cs="宋体"/>
          <w:color w:val="auto"/>
          <w:sz w:val="24"/>
          <w:highlight w:val="none"/>
        </w:rPr>
        <w:t>2</w:t>
      </w:r>
      <w:r>
        <w:rPr>
          <w:rFonts w:hint="eastAsia" w:ascii="宋体" w:hAnsi="宋体" w:eastAsia="宋体" w:cs="宋体"/>
          <w:color w:val="auto"/>
          <w:sz w:val="24"/>
          <w:szCs w:val="24"/>
          <w:highlight w:val="none"/>
        </w:rPr>
        <w:t>、</w:t>
      </w:r>
      <w:r>
        <w:rPr>
          <w:rFonts w:hint="eastAsia" w:ascii="宋体" w:hAnsi="宋体" w:eastAsia="宋体" w:cs="宋体"/>
          <w:color w:val="auto"/>
          <w:sz w:val="24"/>
          <w:highlight w:val="none"/>
        </w:rPr>
        <w:t>大写金额和小写金额不一致的，以大写金额为准</w:t>
      </w:r>
      <w:r>
        <w:rPr>
          <w:rFonts w:hint="eastAsia" w:ascii="宋体" w:hAnsi="宋体" w:eastAsia="宋体" w:cs="宋体"/>
          <w:color w:val="auto"/>
          <w:sz w:val="24"/>
          <w:highlight w:val="none"/>
          <w:lang w:eastAsia="zh-CN"/>
        </w:rPr>
        <w:t>。</w:t>
      </w:r>
    </w:p>
    <w:p w14:paraId="444DD34C">
      <w:pPr>
        <w:pStyle w:val="23"/>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3、投标总报价为综合报价，是指完成项目过程中</w:t>
      </w:r>
      <w:r>
        <w:rPr>
          <w:rFonts w:hint="eastAsia" w:ascii="宋体" w:hAnsi="宋体" w:eastAsia="宋体" w:cs="宋体"/>
          <w:color w:val="auto"/>
          <w:sz w:val="24"/>
          <w:szCs w:val="24"/>
          <w:highlight w:val="none"/>
          <w:lang w:val="en-US" w:eastAsia="zh-CN"/>
        </w:rPr>
        <w:t>所涉及的</w:t>
      </w:r>
      <w:r>
        <w:rPr>
          <w:rFonts w:hint="eastAsia" w:ascii="宋体" w:hAnsi="宋体" w:eastAsia="宋体" w:cs="宋体"/>
          <w:color w:val="auto"/>
          <w:sz w:val="24"/>
          <w:szCs w:val="24"/>
          <w:highlight w:val="none"/>
        </w:rPr>
        <w:t>所有费用。</w:t>
      </w:r>
    </w:p>
    <w:p w14:paraId="689C69E4">
      <w:pPr>
        <w:spacing w:line="440" w:lineRule="exact"/>
        <w:ind w:right="-136" w:rightChars="-65" w:firstLine="480" w:firstLineChars="200"/>
        <w:jc w:val="left"/>
        <w:rPr>
          <w:rFonts w:hint="eastAsia" w:ascii="宋体" w:hAnsi="宋体" w:eastAsia="宋体" w:cs="宋体"/>
          <w:color w:val="auto"/>
          <w:sz w:val="24"/>
          <w:highlight w:val="none"/>
          <w:lang w:val="zh-CN"/>
        </w:rPr>
      </w:pPr>
      <w:r>
        <w:rPr>
          <w:rFonts w:hint="eastAsia" w:ascii="宋体" w:hAnsi="宋体" w:eastAsia="宋体" w:cs="宋体"/>
          <w:color w:val="auto"/>
          <w:sz w:val="24"/>
          <w:highlight w:val="none"/>
        </w:rPr>
        <w:t>4、</w:t>
      </w:r>
      <w:r>
        <w:rPr>
          <w:rFonts w:hint="eastAsia" w:ascii="宋体" w:hAnsi="宋体" w:eastAsia="宋体" w:cs="宋体"/>
          <w:color w:val="auto"/>
          <w:sz w:val="24"/>
          <w:highlight w:val="none"/>
          <w:lang w:val="zh-CN"/>
        </w:rPr>
        <w:t>表格栏为空，按无效响应处理。</w:t>
      </w:r>
    </w:p>
    <w:p w14:paraId="5F2E801F">
      <w:pPr>
        <w:spacing w:line="440" w:lineRule="exact"/>
        <w:ind w:firstLine="480" w:firstLineChars="200"/>
        <w:jc w:val="left"/>
        <w:rPr>
          <w:rFonts w:hint="eastAsia" w:ascii="宋体" w:hAnsi="宋体" w:eastAsia="宋体" w:cs="宋体"/>
          <w:color w:val="auto"/>
          <w:sz w:val="24"/>
          <w:highlight w:val="none"/>
        </w:rPr>
      </w:pPr>
    </w:p>
    <w:p w14:paraId="26128F32">
      <w:pPr>
        <w:spacing w:line="600" w:lineRule="exact"/>
        <w:rPr>
          <w:rFonts w:hint="eastAsia" w:ascii="宋体" w:hAnsi="宋体" w:eastAsia="宋体" w:cs="宋体"/>
          <w:color w:val="auto"/>
          <w:sz w:val="24"/>
          <w:highlight w:val="none"/>
        </w:rPr>
      </w:pPr>
    </w:p>
    <w:p w14:paraId="50F9EE67">
      <w:pPr>
        <w:spacing w:line="600" w:lineRule="exact"/>
        <w:ind w:firstLine="5520" w:firstLineChars="2300"/>
        <w:rPr>
          <w:rFonts w:hint="eastAsia" w:ascii="宋体" w:hAnsi="宋体" w:eastAsia="宋体" w:cs="宋体"/>
          <w:color w:val="auto"/>
          <w:sz w:val="24"/>
          <w:highlight w:val="none"/>
        </w:rPr>
      </w:pPr>
      <w:r>
        <w:rPr>
          <w:rFonts w:hint="eastAsia" w:ascii="宋体" w:hAnsi="宋体" w:eastAsia="宋体" w:cs="宋体"/>
          <w:color w:val="auto"/>
          <w:sz w:val="24"/>
          <w:highlight w:val="none"/>
        </w:rPr>
        <w:t xml:space="preserve">供应商（公章）：                     </w:t>
      </w:r>
    </w:p>
    <w:p w14:paraId="502F5146">
      <w:pPr>
        <w:spacing w:line="600" w:lineRule="exact"/>
        <w:ind w:firstLine="2880" w:firstLineChars="1200"/>
        <w:rPr>
          <w:rFonts w:hint="eastAsia" w:ascii="宋体" w:hAnsi="宋体" w:eastAsia="宋体" w:cs="宋体"/>
          <w:color w:val="auto"/>
          <w:sz w:val="24"/>
          <w:highlight w:val="none"/>
        </w:rPr>
      </w:pPr>
      <w:r>
        <w:rPr>
          <w:rFonts w:hint="eastAsia" w:ascii="宋体" w:hAnsi="宋体" w:eastAsia="宋体" w:cs="宋体"/>
          <w:color w:val="auto"/>
          <w:sz w:val="24"/>
          <w:highlight w:val="none"/>
        </w:rPr>
        <w:t>法定代表人或授权委托人（签字或盖章）：</w:t>
      </w:r>
    </w:p>
    <w:p w14:paraId="6ADC6239">
      <w:pPr>
        <w:spacing w:line="600" w:lineRule="exact"/>
        <w:ind w:firstLine="600" w:firstLineChars="250"/>
        <w:jc w:val="center"/>
        <w:rPr>
          <w:rFonts w:hint="eastAsia" w:ascii="宋体" w:hAnsi="宋体" w:eastAsia="宋体" w:cs="宋体"/>
          <w:b/>
          <w:color w:val="auto"/>
          <w:sz w:val="24"/>
          <w:highlight w:val="none"/>
        </w:rPr>
      </w:pPr>
      <w:r>
        <w:rPr>
          <w:rFonts w:hint="eastAsia" w:ascii="宋体" w:hAnsi="宋体" w:eastAsia="宋体" w:cs="宋体"/>
          <w:color w:val="auto"/>
          <w:sz w:val="24"/>
          <w:highlight w:val="none"/>
        </w:rPr>
        <w:t xml:space="preserve">                                           日期：    年   月   日</w:t>
      </w:r>
    </w:p>
    <w:p w14:paraId="2D6BAF9B">
      <w:pPr>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br w:type="page"/>
      </w:r>
    </w:p>
    <w:p w14:paraId="380DDCEE">
      <w:pPr>
        <w:pStyle w:val="23"/>
        <w:numPr>
          <w:ilvl w:val="0"/>
          <w:numId w:val="9"/>
        </w:numPr>
        <w:ind w:firstLine="562" w:firstLineChars="200"/>
        <w:jc w:val="center"/>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rPr>
        <w:t>分项报价表</w:t>
      </w:r>
    </w:p>
    <w:p w14:paraId="5CAAD01F">
      <w:pPr>
        <w:pStyle w:val="16"/>
        <w:ind w:firstLine="240" w:firstLineChars="100"/>
        <w:rPr>
          <w:rFonts w:hint="default"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附件一：</w:t>
      </w:r>
    </w:p>
    <w:tbl>
      <w:tblPr>
        <w:tblStyle w:val="4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31"/>
        <w:gridCol w:w="2804"/>
        <w:gridCol w:w="1462"/>
        <w:gridCol w:w="1250"/>
        <w:gridCol w:w="1250"/>
        <w:gridCol w:w="1250"/>
      </w:tblGrid>
      <w:tr w14:paraId="02B95C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6" w:hRule="exact"/>
          <w:jc w:val="center"/>
        </w:trPr>
        <w:tc>
          <w:tcPr>
            <w:tcW w:w="631" w:type="dxa"/>
            <w:tcMar>
              <w:left w:w="57" w:type="dxa"/>
              <w:right w:w="57" w:type="dxa"/>
            </w:tcMar>
            <w:vAlign w:val="center"/>
          </w:tcPr>
          <w:p w14:paraId="4966EE1E">
            <w:pPr>
              <w:spacing w:line="260" w:lineRule="exact"/>
              <w:jc w:val="center"/>
              <w:rPr>
                <w:rFonts w:hint="eastAsia" w:ascii="宋体" w:hAnsi="宋体" w:eastAsia="宋体" w:cs="宋体"/>
                <w:color w:val="auto"/>
                <w:sz w:val="23"/>
                <w:szCs w:val="23"/>
                <w:highlight w:val="none"/>
              </w:rPr>
            </w:pPr>
            <w:r>
              <w:rPr>
                <w:rFonts w:hint="eastAsia" w:ascii="宋体" w:hAnsi="宋体" w:eastAsia="宋体" w:cs="宋体"/>
                <w:color w:val="auto"/>
                <w:sz w:val="23"/>
                <w:szCs w:val="23"/>
                <w:highlight w:val="none"/>
              </w:rPr>
              <w:t>序号</w:t>
            </w:r>
          </w:p>
        </w:tc>
        <w:tc>
          <w:tcPr>
            <w:tcW w:w="2804" w:type="dxa"/>
            <w:tcMar>
              <w:left w:w="57" w:type="dxa"/>
              <w:right w:w="57" w:type="dxa"/>
            </w:tcMar>
            <w:vAlign w:val="center"/>
          </w:tcPr>
          <w:p w14:paraId="5B0EF28D">
            <w:pPr>
              <w:spacing w:line="260" w:lineRule="exact"/>
              <w:jc w:val="center"/>
              <w:rPr>
                <w:rFonts w:hint="eastAsia" w:ascii="宋体" w:hAnsi="宋体" w:eastAsia="宋体" w:cs="宋体"/>
                <w:color w:val="auto"/>
                <w:sz w:val="23"/>
                <w:szCs w:val="23"/>
                <w:highlight w:val="none"/>
              </w:rPr>
            </w:pPr>
            <w:r>
              <w:rPr>
                <w:rFonts w:hint="eastAsia" w:ascii="宋体" w:hAnsi="宋体" w:eastAsia="宋体" w:cs="宋体"/>
                <w:color w:val="auto"/>
                <w:sz w:val="23"/>
                <w:szCs w:val="23"/>
                <w:highlight w:val="none"/>
              </w:rPr>
              <w:t>服务内容</w:t>
            </w:r>
          </w:p>
        </w:tc>
        <w:tc>
          <w:tcPr>
            <w:tcW w:w="1462" w:type="dxa"/>
            <w:tcMar>
              <w:left w:w="57" w:type="dxa"/>
              <w:right w:w="57" w:type="dxa"/>
            </w:tcMar>
            <w:vAlign w:val="center"/>
          </w:tcPr>
          <w:p w14:paraId="32AADF58">
            <w:pPr>
              <w:spacing w:line="260" w:lineRule="exact"/>
              <w:jc w:val="center"/>
              <w:rPr>
                <w:rFonts w:hint="default" w:ascii="宋体" w:hAnsi="宋体" w:eastAsia="宋体" w:cs="宋体"/>
                <w:color w:val="auto"/>
                <w:sz w:val="23"/>
                <w:szCs w:val="23"/>
                <w:highlight w:val="none"/>
                <w:lang w:val="en-US" w:eastAsia="zh-CN"/>
              </w:rPr>
            </w:pPr>
            <w:r>
              <w:rPr>
                <w:rFonts w:hint="eastAsia" w:ascii="宋体" w:hAnsi="宋体" w:cs="宋体"/>
                <w:color w:val="auto"/>
                <w:sz w:val="23"/>
                <w:szCs w:val="23"/>
                <w:highlight w:val="none"/>
                <w:lang w:val="en-US" w:eastAsia="zh-CN"/>
              </w:rPr>
              <w:t>数量</w:t>
            </w:r>
          </w:p>
        </w:tc>
        <w:tc>
          <w:tcPr>
            <w:tcW w:w="1250" w:type="dxa"/>
            <w:tcMar>
              <w:left w:w="57" w:type="dxa"/>
              <w:right w:w="57" w:type="dxa"/>
            </w:tcMar>
            <w:vAlign w:val="center"/>
          </w:tcPr>
          <w:p w14:paraId="07ADED82">
            <w:pPr>
              <w:spacing w:line="260" w:lineRule="exact"/>
              <w:jc w:val="center"/>
              <w:rPr>
                <w:rFonts w:hint="eastAsia" w:ascii="宋体" w:hAnsi="宋体" w:eastAsia="宋体" w:cs="宋体"/>
                <w:color w:val="auto"/>
                <w:sz w:val="23"/>
                <w:szCs w:val="23"/>
                <w:highlight w:val="none"/>
              </w:rPr>
            </w:pPr>
            <w:r>
              <w:rPr>
                <w:rFonts w:hint="eastAsia" w:ascii="宋体" w:hAnsi="宋体" w:eastAsia="宋体" w:cs="宋体"/>
                <w:color w:val="auto"/>
                <w:sz w:val="23"/>
                <w:szCs w:val="23"/>
                <w:highlight w:val="none"/>
                <w:lang w:val="en-US" w:eastAsia="zh-CN"/>
              </w:rPr>
              <w:t>单</w:t>
            </w:r>
            <w:r>
              <w:rPr>
                <w:rFonts w:hint="eastAsia" w:ascii="宋体" w:hAnsi="宋体" w:eastAsia="宋体" w:cs="宋体"/>
                <w:color w:val="auto"/>
                <w:sz w:val="23"/>
                <w:szCs w:val="23"/>
                <w:highlight w:val="none"/>
              </w:rPr>
              <w:t>价（元）</w:t>
            </w:r>
          </w:p>
        </w:tc>
        <w:tc>
          <w:tcPr>
            <w:tcW w:w="1250" w:type="dxa"/>
            <w:tcMar>
              <w:left w:w="57" w:type="dxa"/>
              <w:right w:w="57" w:type="dxa"/>
            </w:tcMar>
            <w:vAlign w:val="center"/>
          </w:tcPr>
          <w:p w14:paraId="04F39013">
            <w:pPr>
              <w:spacing w:line="260" w:lineRule="exact"/>
              <w:jc w:val="center"/>
              <w:rPr>
                <w:rFonts w:hint="default" w:ascii="宋体" w:hAnsi="宋体" w:eastAsia="宋体" w:cs="宋体"/>
                <w:color w:val="auto"/>
                <w:sz w:val="23"/>
                <w:szCs w:val="23"/>
                <w:highlight w:val="none"/>
                <w:lang w:val="en-US" w:eastAsia="zh-CN"/>
              </w:rPr>
            </w:pPr>
            <w:r>
              <w:rPr>
                <w:rFonts w:hint="eastAsia" w:ascii="宋体" w:hAnsi="宋体" w:cs="宋体"/>
                <w:color w:val="auto"/>
                <w:sz w:val="23"/>
                <w:szCs w:val="23"/>
                <w:highlight w:val="none"/>
                <w:lang w:val="en-US" w:eastAsia="zh-CN"/>
              </w:rPr>
              <w:t>总价（元）</w:t>
            </w:r>
          </w:p>
        </w:tc>
        <w:tc>
          <w:tcPr>
            <w:tcW w:w="1250" w:type="dxa"/>
            <w:tcMar>
              <w:left w:w="57" w:type="dxa"/>
              <w:right w:w="57" w:type="dxa"/>
            </w:tcMar>
            <w:vAlign w:val="center"/>
          </w:tcPr>
          <w:p w14:paraId="03403760">
            <w:pPr>
              <w:spacing w:line="260" w:lineRule="exact"/>
              <w:jc w:val="center"/>
              <w:rPr>
                <w:rFonts w:hint="eastAsia" w:ascii="宋体" w:hAnsi="宋体" w:eastAsia="宋体" w:cs="宋体"/>
                <w:color w:val="auto"/>
                <w:sz w:val="23"/>
                <w:szCs w:val="23"/>
                <w:highlight w:val="none"/>
              </w:rPr>
            </w:pPr>
            <w:r>
              <w:rPr>
                <w:rFonts w:hint="eastAsia" w:ascii="宋体" w:hAnsi="宋体" w:eastAsia="宋体" w:cs="宋体"/>
                <w:color w:val="auto"/>
                <w:sz w:val="23"/>
                <w:szCs w:val="23"/>
                <w:highlight w:val="none"/>
              </w:rPr>
              <w:t>备 注</w:t>
            </w:r>
          </w:p>
        </w:tc>
      </w:tr>
      <w:tr w14:paraId="56C66D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6" w:hRule="exact"/>
          <w:jc w:val="center"/>
        </w:trPr>
        <w:tc>
          <w:tcPr>
            <w:tcW w:w="631" w:type="dxa"/>
            <w:tcMar>
              <w:left w:w="57" w:type="dxa"/>
              <w:right w:w="57" w:type="dxa"/>
            </w:tcMar>
            <w:vAlign w:val="center"/>
          </w:tcPr>
          <w:p w14:paraId="5E5F9E5D">
            <w:pPr>
              <w:spacing w:line="260" w:lineRule="exact"/>
              <w:jc w:val="center"/>
              <w:rPr>
                <w:rFonts w:hint="eastAsia" w:ascii="宋体" w:hAnsi="宋体" w:eastAsia="宋体" w:cs="宋体"/>
                <w:color w:val="auto"/>
                <w:sz w:val="23"/>
                <w:szCs w:val="23"/>
                <w:highlight w:val="none"/>
              </w:rPr>
            </w:pPr>
          </w:p>
        </w:tc>
        <w:tc>
          <w:tcPr>
            <w:tcW w:w="2804" w:type="dxa"/>
            <w:tcMar>
              <w:left w:w="57" w:type="dxa"/>
              <w:right w:w="57" w:type="dxa"/>
            </w:tcMar>
            <w:vAlign w:val="center"/>
          </w:tcPr>
          <w:p w14:paraId="5BCBBEC0">
            <w:pPr>
              <w:spacing w:line="260" w:lineRule="exact"/>
              <w:jc w:val="center"/>
              <w:rPr>
                <w:rFonts w:hint="eastAsia" w:ascii="宋体" w:hAnsi="宋体" w:eastAsia="宋体" w:cs="宋体"/>
                <w:color w:val="auto"/>
                <w:sz w:val="23"/>
                <w:szCs w:val="23"/>
                <w:highlight w:val="none"/>
              </w:rPr>
            </w:pPr>
          </w:p>
        </w:tc>
        <w:tc>
          <w:tcPr>
            <w:tcW w:w="1462" w:type="dxa"/>
            <w:tcMar>
              <w:left w:w="57" w:type="dxa"/>
              <w:right w:w="57" w:type="dxa"/>
            </w:tcMar>
            <w:vAlign w:val="center"/>
          </w:tcPr>
          <w:p w14:paraId="087F0CC8">
            <w:pPr>
              <w:spacing w:line="260" w:lineRule="exact"/>
              <w:jc w:val="center"/>
              <w:rPr>
                <w:rFonts w:hint="eastAsia" w:ascii="宋体" w:hAnsi="宋体" w:eastAsia="宋体" w:cs="宋体"/>
                <w:color w:val="auto"/>
                <w:sz w:val="23"/>
                <w:szCs w:val="23"/>
                <w:highlight w:val="none"/>
              </w:rPr>
            </w:pPr>
          </w:p>
        </w:tc>
        <w:tc>
          <w:tcPr>
            <w:tcW w:w="1250" w:type="dxa"/>
            <w:tcMar>
              <w:left w:w="57" w:type="dxa"/>
              <w:right w:w="57" w:type="dxa"/>
            </w:tcMar>
            <w:vAlign w:val="center"/>
          </w:tcPr>
          <w:p w14:paraId="578780B8">
            <w:pPr>
              <w:spacing w:line="260" w:lineRule="exact"/>
              <w:jc w:val="center"/>
              <w:rPr>
                <w:rFonts w:hint="eastAsia" w:ascii="宋体" w:hAnsi="宋体" w:eastAsia="宋体" w:cs="宋体"/>
                <w:color w:val="auto"/>
                <w:sz w:val="23"/>
                <w:szCs w:val="23"/>
                <w:highlight w:val="none"/>
              </w:rPr>
            </w:pPr>
          </w:p>
        </w:tc>
        <w:tc>
          <w:tcPr>
            <w:tcW w:w="1250" w:type="dxa"/>
            <w:tcMar>
              <w:left w:w="57" w:type="dxa"/>
              <w:right w:w="57" w:type="dxa"/>
            </w:tcMar>
            <w:vAlign w:val="center"/>
          </w:tcPr>
          <w:p w14:paraId="64AE05AF">
            <w:pPr>
              <w:spacing w:line="260" w:lineRule="exact"/>
              <w:jc w:val="center"/>
              <w:rPr>
                <w:rFonts w:hint="eastAsia" w:ascii="宋体" w:hAnsi="宋体" w:eastAsia="宋体" w:cs="宋体"/>
                <w:color w:val="auto"/>
                <w:sz w:val="23"/>
                <w:szCs w:val="23"/>
                <w:highlight w:val="none"/>
              </w:rPr>
            </w:pPr>
          </w:p>
        </w:tc>
        <w:tc>
          <w:tcPr>
            <w:tcW w:w="1250" w:type="dxa"/>
            <w:tcMar>
              <w:left w:w="57" w:type="dxa"/>
              <w:right w:w="57" w:type="dxa"/>
            </w:tcMar>
            <w:vAlign w:val="center"/>
          </w:tcPr>
          <w:p w14:paraId="6EF9D7A0">
            <w:pPr>
              <w:spacing w:line="260" w:lineRule="exact"/>
              <w:jc w:val="center"/>
              <w:rPr>
                <w:rFonts w:hint="eastAsia" w:ascii="宋体" w:hAnsi="宋体" w:eastAsia="宋体" w:cs="宋体"/>
                <w:color w:val="auto"/>
                <w:sz w:val="23"/>
                <w:szCs w:val="23"/>
                <w:highlight w:val="none"/>
              </w:rPr>
            </w:pPr>
          </w:p>
        </w:tc>
      </w:tr>
      <w:tr w14:paraId="6353FC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6" w:hRule="exact"/>
          <w:jc w:val="center"/>
        </w:trPr>
        <w:tc>
          <w:tcPr>
            <w:tcW w:w="631" w:type="dxa"/>
            <w:tcMar>
              <w:left w:w="57" w:type="dxa"/>
              <w:right w:w="57" w:type="dxa"/>
            </w:tcMar>
            <w:vAlign w:val="center"/>
          </w:tcPr>
          <w:p w14:paraId="15E20AD5">
            <w:pPr>
              <w:spacing w:line="260" w:lineRule="exact"/>
              <w:jc w:val="center"/>
              <w:rPr>
                <w:rFonts w:hint="eastAsia" w:ascii="宋体" w:hAnsi="宋体" w:eastAsia="宋体" w:cs="宋体"/>
                <w:color w:val="auto"/>
                <w:sz w:val="23"/>
                <w:szCs w:val="23"/>
                <w:highlight w:val="none"/>
              </w:rPr>
            </w:pPr>
          </w:p>
        </w:tc>
        <w:tc>
          <w:tcPr>
            <w:tcW w:w="2804" w:type="dxa"/>
            <w:tcMar>
              <w:left w:w="57" w:type="dxa"/>
              <w:right w:w="57" w:type="dxa"/>
            </w:tcMar>
            <w:vAlign w:val="center"/>
          </w:tcPr>
          <w:p w14:paraId="68062C9E">
            <w:pPr>
              <w:spacing w:line="260" w:lineRule="exact"/>
              <w:jc w:val="center"/>
              <w:rPr>
                <w:rFonts w:hint="eastAsia" w:ascii="宋体" w:hAnsi="宋体" w:eastAsia="宋体" w:cs="宋体"/>
                <w:color w:val="auto"/>
                <w:sz w:val="23"/>
                <w:szCs w:val="23"/>
                <w:highlight w:val="none"/>
              </w:rPr>
            </w:pPr>
          </w:p>
        </w:tc>
        <w:tc>
          <w:tcPr>
            <w:tcW w:w="1462" w:type="dxa"/>
            <w:tcMar>
              <w:left w:w="57" w:type="dxa"/>
              <w:right w:w="57" w:type="dxa"/>
            </w:tcMar>
            <w:vAlign w:val="center"/>
          </w:tcPr>
          <w:p w14:paraId="231CE881">
            <w:pPr>
              <w:spacing w:line="260" w:lineRule="exact"/>
              <w:jc w:val="center"/>
              <w:rPr>
                <w:rFonts w:hint="eastAsia" w:ascii="宋体" w:hAnsi="宋体" w:eastAsia="宋体" w:cs="宋体"/>
                <w:color w:val="auto"/>
                <w:sz w:val="23"/>
                <w:szCs w:val="23"/>
                <w:highlight w:val="none"/>
              </w:rPr>
            </w:pPr>
          </w:p>
        </w:tc>
        <w:tc>
          <w:tcPr>
            <w:tcW w:w="1250" w:type="dxa"/>
            <w:tcMar>
              <w:left w:w="57" w:type="dxa"/>
              <w:right w:w="57" w:type="dxa"/>
            </w:tcMar>
            <w:vAlign w:val="center"/>
          </w:tcPr>
          <w:p w14:paraId="32AD2540">
            <w:pPr>
              <w:spacing w:line="260" w:lineRule="exact"/>
              <w:jc w:val="center"/>
              <w:rPr>
                <w:rFonts w:hint="eastAsia" w:ascii="宋体" w:hAnsi="宋体" w:eastAsia="宋体" w:cs="宋体"/>
                <w:color w:val="auto"/>
                <w:sz w:val="23"/>
                <w:szCs w:val="23"/>
                <w:highlight w:val="none"/>
              </w:rPr>
            </w:pPr>
          </w:p>
        </w:tc>
        <w:tc>
          <w:tcPr>
            <w:tcW w:w="1250" w:type="dxa"/>
            <w:tcMar>
              <w:left w:w="57" w:type="dxa"/>
              <w:right w:w="57" w:type="dxa"/>
            </w:tcMar>
            <w:vAlign w:val="center"/>
          </w:tcPr>
          <w:p w14:paraId="3D59655F">
            <w:pPr>
              <w:spacing w:line="260" w:lineRule="exact"/>
              <w:jc w:val="center"/>
              <w:rPr>
                <w:rFonts w:hint="eastAsia" w:ascii="宋体" w:hAnsi="宋体" w:eastAsia="宋体" w:cs="宋体"/>
                <w:color w:val="auto"/>
                <w:sz w:val="23"/>
                <w:szCs w:val="23"/>
                <w:highlight w:val="none"/>
              </w:rPr>
            </w:pPr>
          </w:p>
        </w:tc>
        <w:tc>
          <w:tcPr>
            <w:tcW w:w="1250" w:type="dxa"/>
            <w:tcMar>
              <w:left w:w="57" w:type="dxa"/>
              <w:right w:w="57" w:type="dxa"/>
            </w:tcMar>
            <w:vAlign w:val="center"/>
          </w:tcPr>
          <w:p w14:paraId="45B987A2">
            <w:pPr>
              <w:spacing w:line="260" w:lineRule="exact"/>
              <w:jc w:val="center"/>
              <w:rPr>
                <w:rFonts w:hint="eastAsia" w:ascii="宋体" w:hAnsi="宋体" w:eastAsia="宋体" w:cs="宋体"/>
                <w:color w:val="auto"/>
                <w:sz w:val="23"/>
                <w:szCs w:val="23"/>
                <w:highlight w:val="none"/>
              </w:rPr>
            </w:pPr>
          </w:p>
        </w:tc>
      </w:tr>
      <w:tr w14:paraId="502B01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6" w:hRule="exact"/>
          <w:jc w:val="center"/>
        </w:trPr>
        <w:tc>
          <w:tcPr>
            <w:tcW w:w="631" w:type="dxa"/>
            <w:tcMar>
              <w:left w:w="57" w:type="dxa"/>
              <w:right w:w="57" w:type="dxa"/>
            </w:tcMar>
            <w:vAlign w:val="center"/>
          </w:tcPr>
          <w:p w14:paraId="24E52938">
            <w:pPr>
              <w:spacing w:line="260" w:lineRule="exact"/>
              <w:jc w:val="center"/>
              <w:rPr>
                <w:rFonts w:hint="eastAsia" w:ascii="宋体" w:hAnsi="宋体" w:eastAsia="宋体" w:cs="宋体"/>
                <w:color w:val="auto"/>
                <w:sz w:val="23"/>
                <w:szCs w:val="23"/>
                <w:highlight w:val="none"/>
              </w:rPr>
            </w:pPr>
          </w:p>
        </w:tc>
        <w:tc>
          <w:tcPr>
            <w:tcW w:w="2804" w:type="dxa"/>
            <w:tcMar>
              <w:left w:w="57" w:type="dxa"/>
              <w:right w:w="57" w:type="dxa"/>
            </w:tcMar>
            <w:vAlign w:val="center"/>
          </w:tcPr>
          <w:p w14:paraId="47B184C0">
            <w:pPr>
              <w:spacing w:line="260" w:lineRule="exact"/>
              <w:jc w:val="center"/>
              <w:rPr>
                <w:rFonts w:hint="eastAsia" w:ascii="宋体" w:hAnsi="宋体" w:eastAsia="宋体" w:cs="宋体"/>
                <w:color w:val="auto"/>
                <w:sz w:val="23"/>
                <w:szCs w:val="23"/>
                <w:highlight w:val="none"/>
              </w:rPr>
            </w:pPr>
          </w:p>
        </w:tc>
        <w:tc>
          <w:tcPr>
            <w:tcW w:w="1462" w:type="dxa"/>
            <w:tcMar>
              <w:left w:w="57" w:type="dxa"/>
              <w:right w:w="57" w:type="dxa"/>
            </w:tcMar>
            <w:vAlign w:val="center"/>
          </w:tcPr>
          <w:p w14:paraId="7DEA60DE">
            <w:pPr>
              <w:spacing w:line="260" w:lineRule="exact"/>
              <w:jc w:val="center"/>
              <w:rPr>
                <w:rFonts w:hint="eastAsia" w:ascii="宋体" w:hAnsi="宋体" w:eastAsia="宋体" w:cs="宋体"/>
                <w:color w:val="auto"/>
                <w:sz w:val="23"/>
                <w:szCs w:val="23"/>
                <w:highlight w:val="none"/>
              </w:rPr>
            </w:pPr>
          </w:p>
        </w:tc>
        <w:tc>
          <w:tcPr>
            <w:tcW w:w="1250" w:type="dxa"/>
            <w:tcMar>
              <w:left w:w="57" w:type="dxa"/>
              <w:right w:w="57" w:type="dxa"/>
            </w:tcMar>
            <w:vAlign w:val="center"/>
          </w:tcPr>
          <w:p w14:paraId="130BEAAF">
            <w:pPr>
              <w:spacing w:line="260" w:lineRule="exact"/>
              <w:jc w:val="center"/>
              <w:rPr>
                <w:rFonts w:hint="eastAsia" w:ascii="宋体" w:hAnsi="宋体" w:eastAsia="宋体" w:cs="宋体"/>
                <w:color w:val="auto"/>
                <w:sz w:val="23"/>
                <w:szCs w:val="23"/>
                <w:highlight w:val="none"/>
              </w:rPr>
            </w:pPr>
          </w:p>
        </w:tc>
        <w:tc>
          <w:tcPr>
            <w:tcW w:w="1250" w:type="dxa"/>
            <w:tcMar>
              <w:left w:w="57" w:type="dxa"/>
              <w:right w:w="57" w:type="dxa"/>
            </w:tcMar>
            <w:vAlign w:val="center"/>
          </w:tcPr>
          <w:p w14:paraId="3F0A94C8">
            <w:pPr>
              <w:spacing w:line="260" w:lineRule="exact"/>
              <w:jc w:val="center"/>
              <w:rPr>
                <w:rFonts w:hint="eastAsia" w:ascii="宋体" w:hAnsi="宋体" w:eastAsia="宋体" w:cs="宋体"/>
                <w:color w:val="auto"/>
                <w:sz w:val="23"/>
                <w:szCs w:val="23"/>
                <w:highlight w:val="none"/>
              </w:rPr>
            </w:pPr>
          </w:p>
        </w:tc>
        <w:tc>
          <w:tcPr>
            <w:tcW w:w="1250" w:type="dxa"/>
            <w:tcMar>
              <w:left w:w="57" w:type="dxa"/>
              <w:right w:w="57" w:type="dxa"/>
            </w:tcMar>
            <w:vAlign w:val="center"/>
          </w:tcPr>
          <w:p w14:paraId="3B4654A3">
            <w:pPr>
              <w:spacing w:line="260" w:lineRule="exact"/>
              <w:jc w:val="center"/>
              <w:rPr>
                <w:rFonts w:hint="eastAsia" w:ascii="宋体" w:hAnsi="宋体" w:eastAsia="宋体" w:cs="宋体"/>
                <w:color w:val="auto"/>
                <w:sz w:val="23"/>
                <w:szCs w:val="23"/>
                <w:highlight w:val="none"/>
              </w:rPr>
            </w:pPr>
          </w:p>
        </w:tc>
      </w:tr>
      <w:tr w14:paraId="115881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6" w:hRule="exact"/>
          <w:jc w:val="center"/>
        </w:trPr>
        <w:tc>
          <w:tcPr>
            <w:tcW w:w="631" w:type="dxa"/>
            <w:tcMar>
              <w:left w:w="57" w:type="dxa"/>
              <w:right w:w="57" w:type="dxa"/>
            </w:tcMar>
            <w:vAlign w:val="center"/>
          </w:tcPr>
          <w:p w14:paraId="705850DF">
            <w:pPr>
              <w:spacing w:line="260" w:lineRule="exact"/>
              <w:jc w:val="center"/>
              <w:rPr>
                <w:rFonts w:hint="eastAsia" w:ascii="宋体" w:hAnsi="宋体" w:eastAsia="宋体" w:cs="宋体"/>
                <w:color w:val="auto"/>
                <w:sz w:val="23"/>
                <w:szCs w:val="23"/>
                <w:highlight w:val="none"/>
              </w:rPr>
            </w:pPr>
          </w:p>
        </w:tc>
        <w:tc>
          <w:tcPr>
            <w:tcW w:w="2804" w:type="dxa"/>
            <w:tcMar>
              <w:left w:w="57" w:type="dxa"/>
              <w:right w:w="57" w:type="dxa"/>
            </w:tcMar>
            <w:vAlign w:val="center"/>
          </w:tcPr>
          <w:p w14:paraId="6887FC0C">
            <w:pPr>
              <w:spacing w:line="260" w:lineRule="exact"/>
              <w:jc w:val="center"/>
              <w:rPr>
                <w:rFonts w:hint="eastAsia" w:ascii="宋体" w:hAnsi="宋体" w:eastAsia="宋体" w:cs="宋体"/>
                <w:color w:val="auto"/>
                <w:sz w:val="23"/>
                <w:szCs w:val="23"/>
                <w:highlight w:val="none"/>
              </w:rPr>
            </w:pPr>
          </w:p>
        </w:tc>
        <w:tc>
          <w:tcPr>
            <w:tcW w:w="1462" w:type="dxa"/>
            <w:tcMar>
              <w:left w:w="57" w:type="dxa"/>
              <w:right w:w="57" w:type="dxa"/>
            </w:tcMar>
            <w:vAlign w:val="center"/>
          </w:tcPr>
          <w:p w14:paraId="100DAA6B">
            <w:pPr>
              <w:spacing w:line="260" w:lineRule="exact"/>
              <w:jc w:val="center"/>
              <w:rPr>
                <w:rFonts w:hint="eastAsia" w:ascii="宋体" w:hAnsi="宋体" w:eastAsia="宋体" w:cs="宋体"/>
                <w:color w:val="auto"/>
                <w:sz w:val="23"/>
                <w:szCs w:val="23"/>
                <w:highlight w:val="none"/>
              </w:rPr>
            </w:pPr>
          </w:p>
        </w:tc>
        <w:tc>
          <w:tcPr>
            <w:tcW w:w="1250" w:type="dxa"/>
            <w:tcMar>
              <w:left w:w="57" w:type="dxa"/>
              <w:right w:w="57" w:type="dxa"/>
            </w:tcMar>
            <w:vAlign w:val="center"/>
          </w:tcPr>
          <w:p w14:paraId="3FA33DA4">
            <w:pPr>
              <w:spacing w:line="260" w:lineRule="exact"/>
              <w:jc w:val="center"/>
              <w:rPr>
                <w:rFonts w:hint="eastAsia" w:ascii="宋体" w:hAnsi="宋体" w:eastAsia="宋体" w:cs="宋体"/>
                <w:color w:val="auto"/>
                <w:sz w:val="23"/>
                <w:szCs w:val="23"/>
                <w:highlight w:val="none"/>
              </w:rPr>
            </w:pPr>
          </w:p>
        </w:tc>
        <w:tc>
          <w:tcPr>
            <w:tcW w:w="1250" w:type="dxa"/>
            <w:tcMar>
              <w:left w:w="57" w:type="dxa"/>
              <w:right w:w="57" w:type="dxa"/>
            </w:tcMar>
            <w:vAlign w:val="center"/>
          </w:tcPr>
          <w:p w14:paraId="45053ECA">
            <w:pPr>
              <w:spacing w:line="260" w:lineRule="exact"/>
              <w:jc w:val="center"/>
              <w:rPr>
                <w:rFonts w:hint="eastAsia" w:ascii="宋体" w:hAnsi="宋体" w:eastAsia="宋体" w:cs="宋体"/>
                <w:color w:val="auto"/>
                <w:sz w:val="23"/>
                <w:szCs w:val="23"/>
                <w:highlight w:val="none"/>
              </w:rPr>
            </w:pPr>
          </w:p>
        </w:tc>
        <w:tc>
          <w:tcPr>
            <w:tcW w:w="1250" w:type="dxa"/>
            <w:tcMar>
              <w:left w:w="57" w:type="dxa"/>
              <w:right w:w="57" w:type="dxa"/>
            </w:tcMar>
            <w:vAlign w:val="center"/>
          </w:tcPr>
          <w:p w14:paraId="39439F69">
            <w:pPr>
              <w:spacing w:line="260" w:lineRule="exact"/>
              <w:jc w:val="center"/>
              <w:rPr>
                <w:rFonts w:hint="eastAsia" w:ascii="宋体" w:hAnsi="宋体" w:eastAsia="宋体" w:cs="宋体"/>
                <w:color w:val="auto"/>
                <w:sz w:val="23"/>
                <w:szCs w:val="23"/>
                <w:highlight w:val="none"/>
              </w:rPr>
            </w:pPr>
          </w:p>
        </w:tc>
      </w:tr>
      <w:tr w14:paraId="328BAE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6" w:hRule="exact"/>
          <w:jc w:val="center"/>
        </w:trPr>
        <w:tc>
          <w:tcPr>
            <w:tcW w:w="631" w:type="dxa"/>
            <w:tcMar>
              <w:left w:w="57" w:type="dxa"/>
              <w:right w:w="57" w:type="dxa"/>
            </w:tcMar>
            <w:vAlign w:val="center"/>
          </w:tcPr>
          <w:p w14:paraId="5F8380AF">
            <w:pPr>
              <w:spacing w:line="260" w:lineRule="exact"/>
              <w:jc w:val="center"/>
              <w:rPr>
                <w:rFonts w:hint="eastAsia" w:ascii="宋体" w:hAnsi="宋体" w:eastAsia="宋体" w:cs="宋体"/>
                <w:color w:val="auto"/>
                <w:sz w:val="23"/>
                <w:szCs w:val="23"/>
                <w:highlight w:val="none"/>
              </w:rPr>
            </w:pPr>
          </w:p>
        </w:tc>
        <w:tc>
          <w:tcPr>
            <w:tcW w:w="2804" w:type="dxa"/>
            <w:tcMar>
              <w:left w:w="57" w:type="dxa"/>
              <w:right w:w="57" w:type="dxa"/>
            </w:tcMar>
            <w:vAlign w:val="center"/>
          </w:tcPr>
          <w:p w14:paraId="69B55B12">
            <w:pPr>
              <w:spacing w:line="260" w:lineRule="exact"/>
              <w:jc w:val="center"/>
              <w:rPr>
                <w:rFonts w:hint="eastAsia" w:ascii="宋体" w:hAnsi="宋体" w:eastAsia="宋体" w:cs="宋体"/>
                <w:color w:val="auto"/>
                <w:sz w:val="23"/>
                <w:szCs w:val="23"/>
                <w:highlight w:val="none"/>
              </w:rPr>
            </w:pPr>
          </w:p>
        </w:tc>
        <w:tc>
          <w:tcPr>
            <w:tcW w:w="1462" w:type="dxa"/>
            <w:tcMar>
              <w:left w:w="57" w:type="dxa"/>
              <w:right w:w="57" w:type="dxa"/>
            </w:tcMar>
            <w:vAlign w:val="center"/>
          </w:tcPr>
          <w:p w14:paraId="5A90BEE0">
            <w:pPr>
              <w:spacing w:line="260" w:lineRule="exact"/>
              <w:jc w:val="center"/>
              <w:rPr>
                <w:rFonts w:hint="eastAsia" w:ascii="宋体" w:hAnsi="宋体" w:eastAsia="宋体" w:cs="宋体"/>
                <w:color w:val="auto"/>
                <w:sz w:val="23"/>
                <w:szCs w:val="23"/>
                <w:highlight w:val="none"/>
              </w:rPr>
            </w:pPr>
          </w:p>
        </w:tc>
        <w:tc>
          <w:tcPr>
            <w:tcW w:w="1250" w:type="dxa"/>
            <w:tcMar>
              <w:left w:w="57" w:type="dxa"/>
              <w:right w:w="57" w:type="dxa"/>
            </w:tcMar>
            <w:vAlign w:val="center"/>
          </w:tcPr>
          <w:p w14:paraId="36DB00CA">
            <w:pPr>
              <w:spacing w:line="260" w:lineRule="exact"/>
              <w:jc w:val="center"/>
              <w:rPr>
                <w:rFonts w:hint="eastAsia" w:ascii="宋体" w:hAnsi="宋体" w:eastAsia="宋体" w:cs="宋体"/>
                <w:color w:val="auto"/>
                <w:sz w:val="23"/>
                <w:szCs w:val="23"/>
                <w:highlight w:val="none"/>
              </w:rPr>
            </w:pPr>
          </w:p>
        </w:tc>
        <w:tc>
          <w:tcPr>
            <w:tcW w:w="1250" w:type="dxa"/>
            <w:tcMar>
              <w:left w:w="57" w:type="dxa"/>
              <w:right w:w="57" w:type="dxa"/>
            </w:tcMar>
            <w:vAlign w:val="center"/>
          </w:tcPr>
          <w:p w14:paraId="09B95DF2">
            <w:pPr>
              <w:spacing w:line="260" w:lineRule="exact"/>
              <w:jc w:val="center"/>
              <w:rPr>
                <w:rFonts w:hint="eastAsia" w:ascii="宋体" w:hAnsi="宋体" w:eastAsia="宋体" w:cs="宋体"/>
                <w:color w:val="auto"/>
                <w:sz w:val="23"/>
                <w:szCs w:val="23"/>
                <w:highlight w:val="none"/>
              </w:rPr>
            </w:pPr>
          </w:p>
        </w:tc>
        <w:tc>
          <w:tcPr>
            <w:tcW w:w="1250" w:type="dxa"/>
            <w:tcMar>
              <w:left w:w="57" w:type="dxa"/>
              <w:right w:w="57" w:type="dxa"/>
            </w:tcMar>
            <w:vAlign w:val="center"/>
          </w:tcPr>
          <w:p w14:paraId="2241CFC4">
            <w:pPr>
              <w:spacing w:line="260" w:lineRule="exact"/>
              <w:jc w:val="center"/>
              <w:rPr>
                <w:rFonts w:hint="eastAsia" w:ascii="宋体" w:hAnsi="宋体" w:eastAsia="宋体" w:cs="宋体"/>
                <w:color w:val="auto"/>
                <w:sz w:val="23"/>
                <w:szCs w:val="23"/>
                <w:highlight w:val="none"/>
              </w:rPr>
            </w:pPr>
          </w:p>
        </w:tc>
      </w:tr>
      <w:tr w14:paraId="30654B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6" w:hRule="exact"/>
          <w:jc w:val="center"/>
        </w:trPr>
        <w:tc>
          <w:tcPr>
            <w:tcW w:w="631" w:type="dxa"/>
            <w:tcMar>
              <w:left w:w="57" w:type="dxa"/>
              <w:right w:w="57" w:type="dxa"/>
            </w:tcMar>
            <w:vAlign w:val="center"/>
          </w:tcPr>
          <w:p w14:paraId="61330CC5">
            <w:pPr>
              <w:spacing w:line="260" w:lineRule="exact"/>
              <w:jc w:val="center"/>
              <w:rPr>
                <w:rFonts w:hint="eastAsia" w:ascii="宋体" w:hAnsi="宋体" w:eastAsia="宋体" w:cs="宋体"/>
                <w:color w:val="auto"/>
                <w:sz w:val="23"/>
                <w:szCs w:val="23"/>
                <w:highlight w:val="none"/>
              </w:rPr>
            </w:pPr>
          </w:p>
        </w:tc>
        <w:tc>
          <w:tcPr>
            <w:tcW w:w="2804" w:type="dxa"/>
            <w:tcMar>
              <w:left w:w="57" w:type="dxa"/>
              <w:right w:w="57" w:type="dxa"/>
            </w:tcMar>
            <w:vAlign w:val="center"/>
          </w:tcPr>
          <w:p w14:paraId="4F8A72BD">
            <w:pPr>
              <w:spacing w:line="260" w:lineRule="exact"/>
              <w:jc w:val="center"/>
              <w:rPr>
                <w:rFonts w:hint="eastAsia" w:ascii="宋体" w:hAnsi="宋体" w:eastAsia="宋体" w:cs="宋体"/>
                <w:color w:val="auto"/>
                <w:sz w:val="23"/>
                <w:szCs w:val="23"/>
                <w:highlight w:val="none"/>
              </w:rPr>
            </w:pPr>
          </w:p>
        </w:tc>
        <w:tc>
          <w:tcPr>
            <w:tcW w:w="1462" w:type="dxa"/>
            <w:tcMar>
              <w:left w:w="57" w:type="dxa"/>
              <w:right w:w="57" w:type="dxa"/>
            </w:tcMar>
            <w:vAlign w:val="center"/>
          </w:tcPr>
          <w:p w14:paraId="36747183">
            <w:pPr>
              <w:spacing w:line="260" w:lineRule="exact"/>
              <w:jc w:val="center"/>
              <w:rPr>
                <w:rFonts w:hint="eastAsia" w:ascii="宋体" w:hAnsi="宋体" w:eastAsia="宋体" w:cs="宋体"/>
                <w:color w:val="auto"/>
                <w:sz w:val="23"/>
                <w:szCs w:val="23"/>
                <w:highlight w:val="none"/>
              </w:rPr>
            </w:pPr>
          </w:p>
        </w:tc>
        <w:tc>
          <w:tcPr>
            <w:tcW w:w="1250" w:type="dxa"/>
            <w:tcMar>
              <w:left w:w="57" w:type="dxa"/>
              <w:right w:w="57" w:type="dxa"/>
            </w:tcMar>
            <w:vAlign w:val="center"/>
          </w:tcPr>
          <w:p w14:paraId="32170829">
            <w:pPr>
              <w:spacing w:line="260" w:lineRule="exact"/>
              <w:jc w:val="center"/>
              <w:rPr>
                <w:rFonts w:hint="eastAsia" w:ascii="宋体" w:hAnsi="宋体" w:eastAsia="宋体" w:cs="宋体"/>
                <w:color w:val="auto"/>
                <w:sz w:val="23"/>
                <w:szCs w:val="23"/>
                <w:highlight w:val="none"/>
              </w:rPr>
            </w:pPr>
          </w:p>
        </w:tc>
        <w:tc>
          <w:tcPr>
            <w:tcW w:w="1250" w:type="dxa"/>
            <w:tcMar>
              <w:left w:w="57" w:type="dxa"/>
              <w:right w:w="57" w:type="dxa"/>
            </w:tcMar>
            <w:vAlign w:val="center"/>
          </w:tcPr>
          <w:p w14:paraId="4C51DBA6">
            <w:pPr>
              <w:spacing w:line="260" w:lineRule="exact"/>
              <w:jc w:val="center"/>
              <w:rPr>
                <w:rFonts w:hint="eastAsia" w:ascii="宋体" w:hAnsi="宋体" w:eastAsia="宋体" w:cs="宋体"/>
                <w:color w:val="auto"/>
                <w:sz w:val="23"/>
                <w:szCs w:val="23"/>
                <w:highlight w:val="none"/>
              </w:rPr>
            </w:pPr>
          </w:p>
        </w:tc>
        <w:tc>
          <w:tcPr>
            <w:tcW w:w="1250" w:type="dxa"/>
            <w:tcMar>
              <w:left w:w="57" w:type="dxa"/>
              <w:right w:w="57" w:type="dxa"/>
            </w:tcMar>
            <w:vAlign w:val="center"/>
          </w:tcPr>
          <w:p w14:paraId="48CF708A">
            <w:pPr>
              <w:spacing w:line="260" w:lineRule="exact"/>
              <w:jc w:val="center"/>
              <w:rPr>
                <w:rFonts w:hint="eastAsia" w:ascii="宋体" w:hAnsi="宋体" w:eastAsia="宋体" w:cs="宋体"/>
                <w:color w:val="auto"/>
                <w:sz w:val="23"/>
                <w:szCs w:val="23"/>
                <w:highlight w:val="none"/>
              </w:rPr>
            </w:pPr>
          </w:p>
        </w:tc>
      </w:tr>
      <w:tr w14:paraId="0AE045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6" w:hRule="exact"/>
          <w:jc w:val="center"/>
        </w:trPr>
        <w:tc>
          <w:tcPr>
            <w:tcW w:w="631" w:type="dxa"/>
            <w:tcMar>
              <w:left w:w="57" w:type="dxa"/>
              <w:right w:w="57" w:type="dxa"/>
            </w:tcMar>
            <w:vAlign w:val="center"/>
          </w:tcPr>
          <w:p w14:paraId="081D96AD">
            <w:pPr>
              <w:spacing w:line="260" w:lineRule="exact"/>
              <w:jc w:val="center"/>
              <w:rPr>
                <w:rFonts w:hint="eastAsia" w:ascii="宋体" w:hAnsi="宋体" w:eastAsia="宋体" w:cs="宋体"/>
                <w:color w:val="auto"/>
                <w:sz w:val="23"/>
                <w:szCs w:val="23"/>
                <w:highlight w:val="none"/>
              </w:rPr>
            </w:pPr>
          </w:p>
        </w:tc>
        <w:tc>
          <w:tcPr>
            <w:tcW w:w="2804" w:type="dxa"/>
            <w:tcMar>
              <w:left w:w="57" w:type="dxa"/>
              <w:right w:w="57" w:type="dxa"/>
            </w:tcMar>
            <w:vAlign w:val="center"/>
          </w:tcPr>
          <w:p w14:paraId="3C264729">
            <w:pPr>
              <w:spacing w:line="260" w:lineRule="exact"/>
              <w:jc w:val="center"/>
              <w:rPr>
                <w:rFonts w:hint="eastAsia" w:ascii="宋体" w:hAnsi="宋体" w:eastAsia="宋体" w:cs="宋体"/>
                <w:color w:val="auto"/>
                <w:sz w:val="23"/>
                <w:szCs w:val="23"/>
                <w:highlight w:val="none"/>
              </w:rPr>
            </w:pPr>
          </w:p>
        </w:tc>
        <w:tc>
          <w:tcPr>
            <w:tcW w:w="1462" w:type="dxa"/>
            <w:tcMar>
              <w:left w:w="57" w:type="dxa"/>
              <w:right w:w="57" w:type="dxa"/>
            </w:tcMar>
            <w:vAlign w:val="center"/>
          </w:tcPr>
          <w:p w14:paraId="29595152">
            <w:pPr>
              <w:spacing w:line="260" w:lineRule="exact"/>
              <w:jc w:val="center"/>
              <w:rPr>
                <w:rFonts w:hint="eastAsia" w:ascii="宋体" w:hAnsi="宋体" w:eastAsia="宋体" w:cs="宋体"/>
                <w:color w:val="auto"/>
                <w:sz w:val="23"/>
                <w:szCs w:val="23"/>
                <w:highlight w:val="none"/>
              </w:rPr>
            </w:pPr>
          </w:p>
        </w:tc>
        <w:tc>
          <w:tcPr>
            <w:tcW w:w="1250" w:type="dxa"/>
            <w:tcMar>
              <w:left w:w="57" w:type="dxa"/>
              <w:right w:w="57" w:type="dxa"/>
            </w:tcMar>
            <w:vAlign w:val="center"/>
          </w:tcPr>
          <w:p w14:paraId="7EF13115">
            <w:pPr>
              <w:spacing w:line="260" w:lineRule="exact"/>
              <w:jc w:val="center"/>
              <w:rPr>
                <w:rFonts w:hint="eastAsia" w:ascii="宋体" w:hAnsi="宋体" w:eastAsia="宋体" w:cs="宋体"/>
                <w:color w:val="auto"/>
                <w:sz w:val="23"/>
                <w:szCs w:val="23"/>
                <w:highlight w:val="none"/>
              </w:rPr>
            </w:pPr>
          </w:p>
        </w:tc>
        <w:tc>
          <w:tcPr>
            <w:tcW w:w="1250" w:type="dxa"/>
            <w:tcMar>
              <w:left w:w="57" w:type="dxa"/>
              <w:right w:w="57" w:type="dxa"/>
            </w:tcMar>
            <w:vAlign w:val="center"/>
          </w:tcPr>
          <w:p w14:paraId="7BD9BE0E">
            <w:pPr>
              <w:spacing w:line="260" w:lineRule="exact"/>
              <w:jc w:val="center"/>
              <w:rPr>
                <w:rFonts w:hint="eastAsia" w:ascii="宋体" w:hAnsi="宋体" w:eastAsia="宋体" w:cs="宋体"/>
                <w:color w:val="auto"/>
                <w:sz w:val="23"/>
                <w:szCs w:val="23"/>
                <w:highlight w:val="none"/>
              </w:rPr>
            </w:pPr>
          </w:p>
        </w:tc>
        <w:tc>
          <w:tcPr>
            <w:tcW w:w="1250" w:type="dxa"/>
            <w:tcMar>
              <w:left w:w="57" w:type="dxa"/>
              <w:right w:w="57" w:type="dxa"/>
            </w:tcMar>
            <w:vAlign w:val="center"/>
          </w:tcPr>
          <w:p w14:paraId="6C29A48C">
            <w:pPr>
              <w:spacing w:line="260" w:lineRule="exact"/>
              <w:jc w:val="center"/>
              <w:rPr>
                <w:rFonts w:hint="eastAsia" w:ascii="宋体" w:hAnsi="宋体" w:eastAsia="宋体" w:cs="宋体"/>
                <w:color w:val="auto"/>
                <w:sz w:val="23"/>
                <w:szCs w:val="23"/>
                <w:highlight w:val="none"/>
              </w:rPr>
            </w:pPr>
          </w:p>
        </w:tc>
      </w:tr>
      <w:tr w14:paraId="0EB0EB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6" w:hRule="exact"/>
          <w:jc w:val="center"/>
        </w:trPr>
        <w:tc>
          <w:tcPr>
            <w:tcW w:w="631" w:type="dxa"/>
            <w:tcMar>
              <w:left w:w="57" w:type="dxa"/>
              <w:right w:w="57" w:type="dxa"/>
            </w:tcMar>
            <w:vAlign w:val="center"/>
          </w:tcPr>
          <w:p w14:paraId="0B49DD2D">
            <w:pPr>
              <w:spacing w:line="260" w:lineRule="exact"/>
              <w:jc w:val="center"/>
              <w:rPr>
                <w:rFonts w:hint="eastAsia" w:ascii="宋体" w:hAnsi="宋体" w:eastAsia="宋体" w:cs="宋体"/>
                <w:color w:val="auto"/>
                <w:sz w:val="23"/>
                <w:szCs w:val="23"/>
                <w:highlight w:val="none"/>
              </w:rPr>
            </w:pPr>
          </w:p>
        </w:tc>
        <w:tc>
          <w:tcPr>
            <w:tcW w:w="2804" w:type="dxa"/>
            <w:tcMar>
              <w:left w:w="57" w:type="dxa"/>
              <w:right w:w="57" w:type="dxa"/>
            </w:tcMar>
            <w:vAlign w:val="center"/>
          </w:tcPr>
          <w:p w14:paraId="699C8D1F">
            <w:pPr>
              <w:spacing w:line="260" w:lineRule="exact"/>
              <w:jc w:val="center"/>
              <w:rPr>
                <w:rFonts w:hint="eastAsia" w:ascii="宋体" w:hAnsi="宋体" w:eastAsia="宋体" w:cs="宋体"/>
                <w:color w:val="auto"/>
                <w:sz w:val="23"/>
                <w:szCs w:val="23"/>
                <w:highlight w:val="none"/>
              </w:rPr>
            </w:pPr>
          </w:p>
        </w:tc>
        <w:tc>
          <w:tcPr>
            <w:tcW w:w="1462" w:type="dxa"/>
            <w:tcMar>
              <w:left w:w="57" w:type="dxa"/>
              <w:right w:w="57" w:type="dxa"/>
            </w:tcMar>
            <w:vAlign w:val="center"/>
          </w:tcPr>
          <w:p w14:paraId="23331BDC">
            <w:pPr>
              <w:spacing w:line="260" w:lineRule="exact"/>
              <w:jc w:val="center"/>
              <w:rPr>
                <w:rFonts w:hint="eastAsia" w:ascii="宋体" w:hAnsi="宋体" w:eastAsia="宋体" w:cs="宋体"/>
                <w:color w:val="auto"/>
                <w:sz w:val="23"/>
                <w:szCs w:val="23"/>
                <w:highlight w:val="none"/>
              </w:rPr>
            </w:pPr>
          </w:p>
        </w:tc>
        <w:tc>
          <w:tcPr>
            <w:tcW w:w="1250" w:type="dxa"/>
            <w:tcMar>
              <w:left w:w="57" w:type="dxa"/>
              <w:right w:w="57" w:type="dxa"/>
            </w:tcMar>
            <w:vAlign w:val="center"/>
          </w:tcPr>
          <w:p w14:paraId="60673AA0">
            <w:pPr>
              <w:spacing w:line="260" w:lineRule="exact"/>
              <w:jc w:val="center"/>
              <w:rPr>
                <w:rFonts w:hint="eastAsia" w:ascii="宋体" w:hAnsi="宋体" w:eastAsia="宋体" w:cs="宋体"/>
                <w:color w:val="auto"/>
                <w:sz w:val="23"/>
                <w:szCs w:val="23"/>
                <w:highlight w:val="none"/>
              </w:rPr>
            </w:pPr>
          </w:p>
        </w:tc>
        <w:tc>
          <w:tcPr>
            <w:tcW w:w="1250" w:type="dxa"/>
            <w:tcMar>
              <w:left w:w="57" w:type="dxa"/>
              <w:right w:w="57" w:type="dxa"/>
            </w:tcMar>
            <w:vAlign w:val="center"/>
          </w:tcPr>
          <w:p w14:paraId="7E8E3FC5">
            <w:pPr>
              <w:spacing w:line="260" w:lineRule="exact"/>
              <w:jc w:val="center"/>
              <w:rPr>
                <w:rFonts w:hint="eastAsia" w:ascii="宋体" w:hAnsi="宋体" w:eastAsia="宋体" w:cs="宋体"/>
                <w:color w:val="auto"/>
                <w:sz w:val="23"/>
                <w:szCs w:val="23"/>
                <w:highlight w:val="none"/>
              </w:rPr>
            </w:pPr>
          </w:p>
        </w:tc>
        <w:tc>
          <w:tcPr>
            <w:tcW w:w="1250" w:type="dxa"/>
            <w:tcMar>
              <w:left w:w="57" w:type="dxa"/>
              <w:right w:w="57" w:type="dxa"/>
            </w:tcMar>
            <w:vAlign w:val="center"/>
          </w:tcPr>
          <w:p w14:paraId="03862FF4">
            <w:pPr>
              <w:spacing w:line="260" w:lineRule="exact"/>
              <w:jc w:val="center"/>
              <w:rPr>
                <w:rFonts w:hint="eastAsia" w:ascii="宋体" w:hAnsi="宋体" w:eastAsia="宋体" w:cs="宋体"/>
                <w:color w:val="auto"/>
                <w:sz w:val="23"/>
                <w:szCs w:val="23"/>
                <w:highlight w:val="none"/>
              </w:rPr>
            </w:pPr>
          </w:p>
        </w:tc>
      </w:tr>
      <w:tr w14:paraId="4994A0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6" w:hRule="exact"/>
          <w:jc w:val="center"/>
        </w:trPr>
        <w:tc>
          <w:tcPr>
            <w:tcW w:w="631" w:type="dxa"/>
            <w:tcMar>
              <w:left w:w="57" w:type="dxa"/>
              <w:right w:w="57" w:type="dxa"/>
            </w:tcMar>
            <w:vAlign w:val="center"/>
          </w:tcPr>
          <w:p w14:paraId="563C7718">
            <w:pPr>
              <w:spacing w:line="260" w:lineRule="exact"/>
              <w:jc w:val="center"/>
              <w:rPr>
                <w:rFonts w:hint="eastAsia" w:ascii="宋体" w:hAnsi="宋体" w:eastAsia="宋体" w:cs="宋体"/>
                <w:color w:val="auto"/>
                <w:sz w:val="23"/>
                <w:szCs w:val="23"/>
                <w:highlight w:val="none"/>
              </w:rPr>
            </w:pPr>
          </w:p>
        </w:tc>
        <w:tc>
          <w:tcPr>
            <w:tcW w:w="2804" w:type="dxa"/>
            <w:tcMar>
              <w:left w:w="57" w:type="dxa"/>
              <w:right w:w="57" w:type="dxa"/>
            </w:tcMar>
            <w:vAlign w:val="center"/>
          </w:tcPr>
          <w:p w14:paraId="2C637283">
            <w:pPr>
              <w:spacing w:line="260" w:lineRule="exact"/>
              <w:jc w:val="center"/>
              <w:rPr>
                <w:rFonts w:hint="eastAsia" w:ascii="宋体" w:hAnsi="宋体" w:eastAsia="宋体" w:cs="宋体"/>
                <w:color w:val="auto"/>
                <w:sz w:val="23"/>
                <w:szCs w:val="23"/>
                <w:highlight w:val="none"/>
              </w:rPr>
            </w:pPr>
          </w:p>
        </w:tc>
        <w:tc>
          <w:tcPr>
            <w:tcW w:w="1462" w:type="dxa"/>
            <w:tcMar>
              <w:left w:w="57" w:type="dxa"/>
              <w:right w:w="57" w:type="dxa"/>
            </w:tcMar>
            <w:vAlign w:val="center"/>
          </w:tcPr>
          <w:p w14:paraId="5DADF286">
            <w:pPr>
              <w:spacing w:line="260" w:lineRule="exact"/>
              <w:jc w:val="center"/>
              <w:rPr>
                <w:rFonts w:hint="eastAsia" w:ascii="宋体" w:hAnsi="宋体" w:eastAsia="宋体" w:cs="宋体"/>
                <w:color w:val="auto"/>
                <w:sz w:val="23"/>
                <w:szCs w:val="23"/>
                <w:highlight w:val="none"/>
              </w:rPr>
            </w:pPr>
          </w:p>
        </w:tc>
        <w:tc>
          <w:tcPr>
            <w:tcW w:w="1250" w:type="dxa"/>
            <w:tcMar>
              <w:left w:w="57" w:type="dxa"/>
              <w:right w:w="57" w:type="dxa"/>
            </w:tcMar>
            <w:vAlign w:val="center"/>
          </w:tcPr>
          <w:p w14:paraId="39DB0C36">
            <w:pPr>
              <w:spacing w:line="260" w:lineRule="exact"/>
              <w:jc w:val="center"/>
              <w:rPr>
                <w:rFonts w:hint="eastAsia" w:ascii="宋体" w:hAnsi="宋体" w:eastAsia="宋体" w:cs="宋体"/>
                <w:color w:val="auto"/>
                <w:sz w:val="23"/>
                <w:szCs w:val="23"/>
                <w:highlight w:val="none"/>
              </w:rPr>
            </w:pPr>
          </w:p>
        </w:tc>
        <w:tc>
          <w:tcPr>
            <w:tcW w:w="1250" w:type="dxa"/>
            <w:tcMar>
              <w:left w:w="57" w:type="dxa"/>
              <w:right w:w="57" w:type="dxa"/>
            </w:tcMar>
            <w:vAlign w:val="center"/>
          </w:tcPr>
          <w:p w14:paraId="2FE06176">
            <w:pPr>
              <w:spacing w:line="260" w:lineRule="exact"/>
              <w:jc w:val="center"/>
              <w:rPr>
                <w:rFonts w:hint="eastAsia" w:ascii="宋体" w:hAnsi="宋体" w:eastAsia="宋体" w:cs="宋体"/>
                <w:color w:val="auto"/>
                <w:sz w:val="23"/>
                <w:szCs w:val="23"/>
                <w:highlight w:val="none"/>
              </w:rPr>
            </w:pPr>
          </w:p>
        </w:tc>
        <w:tc>
          <w:tcPr>
            <w:tcW w:w="1250" w:type="dxa"/>
            <w:tcMar>
              <w:left w:w="57" w:type="dxa"/>
              <w:right w:w="57" w:type="dxa"/>
            </w:tcMar>
            <w:vAlign w:val="center"/>
          </w:tcPr>
          <w:p w14:paraId="653A54AD">
            <w:pPr>
              <w:spacing w:line="260" w:lineRule="exact"/>
              <w:jc w:val="center"/>
              <w:rPr>
                <w:rFonts w:hint="eastAsia" w:ascii="宋体" w:hAnsi="宋体" w:eastAsia="宋体" w:cs="宋体"/>
                <w:color w:val="auto"/>
                <w:sz w:val="23"/>
                <w:szCs w:val="23"/>
                <w:highlight w:val="none"/>
              </w:rPr>
            </w:pPr>
          </w:p>
        </w:tc>
      </w:tr>
      <w:tr w14:paraId="7629EE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6" w:hRule="exact"/>
          <w:jc w:val="center"/>
        </w:trPr>
        <w:tc>
          <w:tcPr>
            <w:tcW w:w="631" w:type="dxa"/>
            <w:tcMar>
              <w:left w:w="57" w:type="dxa"/>
              <w:right w:w="57" w:type="dxa"/>
            </w:tcMar>
            <w:vAlign w:val="center"/>
          </w:tcPr>
          <w:p w14:paraId="267ED0CD">
            <w:pPr>
              <w:spacing w:line="260" w:lineRule="exact"/>
              <w:jc w:val="center"/>
              <w:rPr>
                <w:rFonts w:hint="eastAsia" w:ascii="宋体" w:hAnsi="宋体" w:eastAsia="宋体" w:cs="宋体"/>
                <w:color w:val="auto"/>
                <w:sz w:val="23"/>
                <w:szCs w:val="23"/>
                <w:highlight w:val="none"/>
              </w:rPr>
            </w:pPr>
          </w:p>
        </w:tc>
        <w:tc>
          <w:tcPr>
            <w:tcW w:w="2804" w:type="dxa"/>
            <w:tcMar>
              <w:left w:w="57" w:type="dxa"/>
              <w:right w:w="57" w:type="dxa"/>
            </w:tcMar>
            <w:vAlign w:val="center"/>
          </w:tcPr>
          <w:p w14:paraId="4C1F4673">
            <w:pPr>
              <w:spacing w:line="260" w:lineRule="exact"/>
              <w:jc w:val="center"/>
              <w:rPr>
                <w:rFonts w:hint="eastAsia" w:ascii="宋体" w:hAnsi="宋体" w:eastAsia="宋体" w:cs="宋体"/>
                <w:color w:val="auto"/>
                <w:sz w:val="23"/>
                <w:szCs w:val="23"/>
                <w:highlight w:val="none"/>
              </w:rPr>
            </w:pPr>
          </w:p>
        </w:tc>
        <w:tc>
          <w:tcPr>
            <w:tcW w:w="1462" w:type="dxa"/>
            <w:tcMar>
              <w:left w:w="57" w:type="dxa"/>
              <w:right w:w="57" w:type="dxa"/>
            </w:tcMar>
            <w:vAlign w:val="center"/>
          </w:tcPr>
          <w:p w14:paraId="62D8796F">
            <w:pPr>
              <w:spacing w:line="260" w:lineRule="exact"/>
              <w:jc w:val="center"/>
              <w:rPr>
                <w:rFonts w:hint="eastAsia" w:ascii="宋体" w:hAnsi="宋体" w:eastAsia="宋体" w:cs="宋体"/>
                <w:color w:val="auto"/>
                <w:sz w:val="23"/>
                <w:szCs w:val="23"/>
                <w:highlight w:val="none"/>
              </w:rPr>
            </w:pPr>
          </w:p>
        </w:tc>
        <w:tc>
          <w:tcPr>
            <w:tcW w:w="1250" w:type="dxa"/>
            <w:tcMar>
              <w:left w:w="57" w:type="dxa"/>
              <w:right w:w="57" w:type="dxa"/>
            </w:tcMar>
            <w:vAlign w:val="center"/>
          </w:tcPr>
          <w:p w14:paraId="3D0E4569">
            <w:pPr>
              <w:spacing w:line="260" w:lineRule="exact"/>
              <w:jc w:val="center"/>
              <w:rPr>
                <w:rFonts w:hint="eastAsia" w:ascii="宋体" w:hAnsi="宋体" w:eastAsia="宋体" w:cs="宋体"/>
                <w:color w:val="auto"/>
                <w:sz w:val="23"/>
                <w:szCs w:val="23"/>
                <w:highlight w:val="none"/>
              </w:rPr>
            </w:pPr>
          </w:p>
        </w:tc>
        <w:tc>
          <w:tcPr>
            <w:tcW w:w="1250" w:type="dxa"/>
            <w:tcMar>
              <w:left w:w="57" w:type="dxa"/>
              <w:right w:w="57" w:type="dxa"/>
            </w:tcMar>
            <w:vAlign w:val="center"/>
          </w:tcPr>
          <w:p w14:paraId="6490FCF2">
            <w:pPr>
              <w:spacing w:line="260" w:lineRule="exact"/>
              <w:jc w:val="center"/>
              <w:rPr>
                <w:rFonts w:hint="eastAsia" w:ascii="宋体" w:hAnsi="宋体" w:eastAsia="宋体" w:cs="宋体"/>
                <w:color w:val="auto"/>
                <w:sz w:val="23"/>
                <w:szCs w:val="23"/>
                <w:highlight w:val="none"/>
              </w:rPr>
            </w:pPr>
          </w:p>
        </w:tc>
        <w:tc>
          <w:tcPr>
            <w:tcW w:w="1250" w:type="dxa"/>
            <w:tcMar>
              <w:left w:w="57" w:type="dxa"/>
              <w:right w:w="57" w:type="dxa"/>
            </w:tcMar>
            <w:vAlign w:val="center"/>
          </w:tcPr>
          <w:p w14:paraId="4FBB3EFE">
            <w:pPr>
              <w:spacing w:line="260" w:lineRule="exact"/>
              <w:jc w:val="center"/>
              <w:rPr>
                <w:rFonts w:hint="eastAsia" w:ascii="宋体" w:hAnsi="宋体" w:eastAsia="宋体" w:cs="宋体"/>
                <w:color w:val="auto"/>
                <w:sz w:val="23"/>
                <w:szCs w:val="23"/>
                <w:highlight w:val="none"/>
              </w:rPr>
            </w:pPr>
          </w:p>
        </w:tc>
      </w:tr>
      <w:tr w14:paraId="7057C6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6" w:hRule="exact"/>
          <w:jc w:val="center"/>
        </w:trPr>
        <w:tc>
          <w:tcPr>
            <w:tcW w:w="631" w:type="dxa"/>
            <w:tcMar>
              <w:left w:w="57" w:type="dxa"/>
              <w:right w:w="57" w:type="dxa"/>
            </w:tcMar>
            <w:vAlign w:val="center"/>
          </w:tcPr>
          <w:p w14:paraId="1F3B6D23">
            <w:pPr>
              <w:spacing w:line="260" w:lineRule="exact"/>
              <w:jc w:val="center"/>
              <w:rPr>
                <w:rFonts w:hint="eastAsia" w:ascii="宋体" w:hAnsi="宋体" w:eastAsia="宋体" w:cs="宋体"/>
                <w:color w:val="auto"/>
                <w:sz w:val="23"/>
                <w:szCs w:val="23"/>
                <w:highlight w:val="none"/>
              </w:rPr>
            </w:pPr>
          </w:p>
        </w:tc>
        <w:tc>
          <w:tcPr>
            <w:tcW w:w="2804" w:type="dxa"/>
            <w:tcMar>
              <w:left w:w="57" w:type="dxa"/>
              <w:right w:w="57" w:type="dxa"/>
            </w:tcMar>
            <w:vAlign w:val="center"/>
          </w:tcPr>
          <w:p w14:paraId="4CC13434">
            <w:pPr>
              <w:spacing w:line="260" w:lineRule="exact"/>
              <w:jc w:val="center"/>
              <w:rPr>
                <w:rFonts w:hint="eastAsia" w:ascii="宋体" w:hAnsi="宋体" w:eastAsia="宋体" w:cs="宋体"/>
                <w:color w:val="auto"/>
                <w:sz w:val="23"/>
                <w:szCs w:val="23"/>
                <w:highlight w:val="none"/>
              </w:rPr>
            </w:pPr>
          </w:p>
        </w:tc>
        <w:tc>
          <w:tcPr>
            <w:tcW w:w="1462" w:type="dxa"/>
            <w:tcMar>
              <w:left w:w="57" w:type="dxa"/>
              <w:right w:w="57" w:type="dxa"/>
            </w:tcMar>
            <w:vAlign w:val="center"/>
          </w:tcPr>
          <w:p w14:paraId="593E126A">
            <w:pPr>
              <w:spacing w:line="260" w:lineRule="exact"/>
              <w:jc w:val="center"/>
              <w:rPr>
                <w:rFonts w:hint="eastAsia" w:ascii="宋体" w:hAnsi="宋体" w:eastAsia="宋体" w:cs="宋体"/>
                <w:color w:val="auto"/>
                <w:sz w:val="23"/>
                <w:szCs w:val="23"/>
                <w:highlight w:val="none"/>
              </w:rPr>
            </w:pPr>
          </w:p>
        </w:tc>
        <w:tc>
          <w:tcPr>
            <w:tcW w:w="1250" w:type="dxa"/>
            <w:tcMar>
              <w:left w:w="57" w:type="dxa"/>
              <w:right w:w="57" w:type="dxa"/>
            </w:tcMar>
            <w:vAlign w:val="center"/>
          </w:tcPr>
          <w:p w14:paraId="1CC3DE42">
            <w:pPr>
              <w:spacing w:line="260" w:lineRule="exact"/>
              <w:jc w:val="center"/>
              <w:rPr>
                <w:rFonts w:hint="eastAsia" w:ascii="宋体" w:hAnsi="宋体" w:eastAsia="宋体" w:cs="宋体"/>
                <w:color w:val="auto"/>
                <w:sz w:val="23"/>
                <w:szCs w:val="23"/>
                <w:highlight w:val="none"/>
              </w:rPr>
            </w:pPr>
          </w:p>
        </w:tc>
        <w:tc>
          <w:tcPr>
            <w:tcW w:w="1250" w:type="dxa"/>
            <w:tcMar>
              <w:left w:w="57" w:type="dxa"/>
              <w:right w:w="57" w:type="dxa"/>
            </w:tcMar>
            <w:vAlign w:val="center"/>
          </w:tcPr>
          <w:p w14:paraId="3DAE70F9">
            <w:pPr>
              <w:spacing w:line="260" w:lineRule="exact"/>
              <w:jc w:val="center"/>
              <w:rPr>
                <w:rFonts w:hint="eastAsia" w:ascii="宋体" w:hAnsi="宋体" w:eastAsia="宋体" w:cs="宋体"/>
                <w:color w:val="auto"/>
                <w:sz w:val="23"/>
                <w:szCs w:val="23"/>
                <w:highlight w:val="none"/>
              </w:rPr>
            </w:pPr>
          </w:p>
        </w:tc>
        <w:tc>
          <w:tcPr>
            <w:tcW w:w="1250" w:type="dxa"/>
            <w:tcMar>
              <w:left w:w="57" w:type="dxa"/>
              <w:right w:w="57" w:type="dxa"/>
            </w:tcMar>
            <w:vAlign w:val="center"/>
          </w:tcPr>
          <w:p w14:paraId="1C850823">
            <w:pPr>
              <w:spacing w:line="260" w:lineRule="exact"/>
              <w:jc w:val="center"/>
              <w:rPr>
                <w:rFonts w:hint="eastAsia" w:ascii="宋体" w:hAnsi="宋体" w:eastAsia="宋体" w:cs="宋体"/>
                <w:color w:val="auto"/>
                <w:sz w:val="23"/>
                <w:szCs w:val="23"/>
                <w:highlight w:val="none"/>
              </w:rPr>
            </w:pPr>
          </w:p>
        </w:tc>
      </w:tr>
      <w:tr w14:paraId="7855BA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6" w:hRule="exact"/>
          <w:jc w:val="center"/>
        </w:trPr>
        <w:tc>
          <w:tcPr>
            <w:tcW w:w="631" w:type="dxa"/>
            <w:tcMar>
              <w:left w:w="57" w:type="dxa"/>
              <w:right w:w="57" w:type="dxa"/>
            </w:tcMar>
            <w:vAlign w:val="center"/>
          </w:tcPr>
          <w:p w14:paraId="3B5C06C2">
            <w:pPr>
              <w:spacing w:line="260" w:lineRule="exact"/>
              <w:jc w:val="center"/>
              <w:rPr>
                <w:rFonts w:hint="eastAsia" w:ascii="宋体" w:hAnsi="宋体" w:eastAsia="宋体" w:cs="宋体"/>
                <w:color w:val="auto"/>
                <w:sz w:val="23"/>
                <w:szCs w:val="23"/>
                <w:highlight w:val="none"/>
              </w:rPr>
            </w:pPr>
          </w:p>
        </w:tc>
        <w:tc>
          <w:tcPr>
            <w:tcW w:w="2804" w:type="dxa"/>
            <w:tcMar>
              <w:left w:w="57" w:type="dxa"/>
              <w:right w:w="57" w:type="dxa"/>
            </w:tcMar>
            <w:vAlign w:val="center"/>
          </w:tcPr>
          <w:p w14:paraId="0B3FA18B">
            <w:pPr>
              <w:spacing w:line="260" w:lineRule="exact"/>
              <w:jc w:val="center"/>
              <w:rPr>
                <w:rFonts w:hint="eastAsia" w:ascii="宋体" w:hAnsi="宋体" w:eastAsia="宋体" w:cs="宋体"/>
                <w:color w:val="auto"/>
                <w:sz w:val="23"/>
                <w:szCs w:val="23"/>
                <w:highlight w:val="none"/>
              </w:rPr>
            </w:pPr>
          </w:p>
        </w:tc>
        <w:tc>
          <w:tcPr>
            <w:tcW w:w="1462" w:type="dxa"/>
            <w:tcMar>
              <w:left w:w="57" w:type="dxa"/>
              <w:right w:w="57" w:type="dxa"/>
            </w:tcMar>
            <w:vAlign w:val="center"/>
          </w:tcPr>
          <w:p w14:paraId="50A016CF">
            <w:pPr>
              <w:spacing w:line="260" w:lineRule="exact"/>
              <w:jc w:val="center"/>
              <w:rPr>
                <w:rFonts w:hint="eastAsia" w:ascii="宋体" w:hAnsi="宋体" w:eastAsia="宋体" w:cs="宋体"/>
                <w:color w:val="auto"/>
                <w:sz w:val="23"/>
                <w:szCs w:val="23"/>
                <w:highlight w:val="none"/>
              </w:rPr>
            </w:pPr>
          </w:p>
        </w:tc>
        <w:tc>
          <w:tcPr>
            <w:tcW w:w="1250" w:type="dxa"/>
            <w:tcMar>
              <w:left w:w="57" w:type="dxa"/>
              <w:right w:w="57" w:type="dxa"/>
            </w:tcMar>
            <w:vAlign w:val="center"/>
          </w:tcPr>
          <w:p w14:paraId="1A8F02A4">
            <w:pPr>
              <w:spacing w:line="260" w:lineRule="exact"/>
              <w:jc w:val="center"/>
              <w:rPr>
                <w:rFonts w:hint="eastAsia" w:ascii="宋体" w:hAnsi="宋体" w:eastAsia="宋体" w:cs="宋体"/>
                <w:color w:val="auto"/>
                <w:sz w:val="23"/>
                <w:szCs w:val="23"/>
                <w:highlight w:val="none"/>
              </w:rPr>
            </w:pPr>
          </w:p>
        </w:tc>
        <w:tc>
          <w:tcPr>
            <w:tcW w:w="1250" w:type="dxa"/>
            <w:tcMar>
              <w:left w:w="57" w:type="dxa"/>
              <w:right w:w="57" w:type="dxa"/>
            </w:tcMar>
            <w:vAlign w:val="center"/>
          </w:tcPr>
          <w:p w14:paraId="2C92B61C">
            <w:pPr>
              <w:spacing w:line="260" w:lineRule="exact"/>
              <w:jc w:val="center"/>
              <w:rPr>
                <w:rFonts w:hint="eastAsia" w:ascii="宋体" w:hAnsi="宋体" w:eastAsia="宋体" w:cs="宋体"/>
                <w:color w:val="auto"/>
                <w:sz w:val="23"/>
                <w:szCs w:val="23"/>
                <w:highlight w:val="none"/>
              </w:rPr>
            </w:pPr>
          </w:p>
        </w:tc>
        <w:tc>
          <w:tcPr>
            <w:tcW w:w="1250" w:type="dxa"/>
            <w:tcMar>
              <w:left w:w="57" w:type="dxa"/>
              <w:right w:w="57" w:type="dxa"/>
            </w:tcMar>
            <w:vAlign w:val="center"/>
          </w:tcPr>
          <w:p w14:paraId="2C2D8360">
            <w:pPr>
              <w:spacing w:line="260" w:lineRule="exact"/>
              <w:jc w:val="center"/>
              <w:rPr>
                <w:rFonts w:hint="eastAsia" w:ascii="宋体" w:hAnsi="宋体" w:eastAsia="宋体" w:cs="宋体"/>
                <w:color w:val="auto"/>
                <w:sz w:val="23"/>
                <w:szCs w:val="23"/>
                <w:highlight w:val="none"/>
              </w:rPr>
            </w:pPr>
          </w:p>
        </w:tc>
      </w:tr>
      <w:tr w14:paraId="2B72EF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6" w:hRule="exact"/>
          <w:jc w:val="center"/>
        </w:trPr>
        <w:tc>
          <w:tcPr>
            <w:tcW w:w="631" w:type="dxa"/>
            <w:tcMar>
              <w:left w:w="57" w:type="dxa"/>
              <w:right w:w="57" w:type="dxa"/>
            </w:tcMar>
            <w:vAlign w:val="center"/>
          </w:tcPr>
          <w:p w14:paraId="0F3FAEC5">
            <w:pPr>
              <w:spacing w:line="260" w:lineRule="exact"/>
              <w:jc w:val="center"/>
              <w:rPr>
                <w:rFonts w:hint="eastAsia" w:ascii="宋体" w:hAnsi="宋体" w:eastAsia="宋体" w:cs="宋体"/>
                <w:color w:val="auto"/>
                <w:sz w:val="23"/>
                <w:szCs w:val="23"/>
                <w:highlight w:val="none"/>
              </w:rPr>
            </w:pPr>
          </w:p>
        </w:tc>
        <w:tc>
          <w:tcPr>
            <w:tcW w:w="2804" w:type="dxa"/>
            <w:tcMar>
              <w:left w:w="57" w:type="dxa"/>
              <w:right w:w="57" w:type="dxa"/>
            </w:tcMar>
            <w:vAlign w:val="center"/>
          </w:tcPr>
          <w:p w14:paraId="0BFEE709">
            <w:pPr>
              <w:spacing w:line="260" w:lineRule="exact"/>
              <w:jc w:val="center"/>
              <w:rPr>
                <w:rFonts w:hint="eastAsia" w:ascii="宋体" w:hAnsi="宋体" w:eastAsia="宋体" w:cs="宋体"/>
                <w:color w:val="auto"/>
                <w:sz w:val="23"/>
                <w:szCs w:val="23"/>
                <w:highlight w:val="none"/>
              </w:rPr>
            </w:pPr>
          </w:p>
        </w:tc>
        <w:tc>
          <w:tcPr>
            <w:tcW w:w="1462" w:type="dxa"/>
            <w:tcMar>
              <w:left w:w="57" w:type="dxa"/>
              <w:right w:w="57" w:type="dxa"/>
            </w:tcMar>
            <w:vAlign w:val="center"/>
          </w:tcPr>
          <w:p w14:paraId="60877FCF">
            <w:pPr>
              <w:spacing w:line="260" w:lineRule="exact"/>
              <w:jc w:val="center"/>
              <w:rPr>
                <w:rFonts w:hint="eastAsia" w:ascii="宋体" w:hAnsi="宋体" w:eastAsia="宋体" w:cs="宋体"/>
                <w:color w:val="auto"/>
                <w:sz w:val="23"/>
                <w:szCs w:val="23"/>
                <w:highlight w:val="none"/>
              </w:rPr>
            </w:pPr>
          </w:p>
        </w:tc>
        <w:tc>
          <w:tcPr>
            <w:tcW w:w="1250" w:type="dxa"/>
            <w:tcMar>
              <w:left w:w="57" w:type="dxa"/>
              <w:right w:w="57" w:type="dxa"/>
            </w:tcMar>
            <w:vAlign w:val="center"/>
          </w:tcPr>
          <w:p w14:paraId="467ACB7D">
            <w:pPr>
              <w:spacing w:line="260" w:lineRule="exact"/>
              <w:jc w:val="center"/>
              <w:rPr>
                <w:rFonts w:hint="eastAsia" w:ascii="宋体" w:hAnsi="宋体" w:eastAsia="宋体" w:cs="宋体"/>
                <w:color w:val="auto"/>
                <w:sz w:val="23"/>
                <w:szCs w:val="23"/>
                <w:highlight w:val="none"/>
              </w:rPr>
            </w:pPr>
          </w:p>
        </w:tc>
        <w:tc>
          <w:tcPr>
            <w:tcW w:w="1250" w:type="dxa"/>
            <w:tcMar>
              <w:left w:w="57" w:type="dxa"/>
              <w:right w:w="57" w:type="dxa"/>
            </w:tcMar>
            <w:vAlign w:val="center"/>
          </w:tcPr>
          <w:p w14:paraId="15EA9096">
            <w:pPr>
              <w:spacing w:line="260" w:lineRule="exact"/>
              <w:jc w:val="center"/>
              <w:rPr>
                <w:rFonts w:hint="eastAsia" w:ascii="宋体" w:hAnsi="宋体" w:eastAsia="宋体" w:cs="宋体"/>
                <w:color w:val="auto"/>
                <w:sz w:val="23"/>
                <w:szCs w:val="23"/>
                <w:highlight w:val="none"/>
              </w:rPr>
            </w:pPr>
          </w:p>
        </w:tc>
        <w:tc>
          <w:tcPr>
            <w:tcW w:w="1250" w:type="dxa"/>
            <w:tcMar>
              <w:left w:w="57" w:type="dxa"/>
              <w:right w:w="57" w:type="dxa"/>
            </w:tcMar>
            <w:vAlign w:val="center"/>
          </w:tcPr>
          <w:p w14:paraId="01DAD006">
            <w:pPr>
              <w:spacing w:line="260" w:lineRule="exact"/>
              <w:jc w:val="center"/>
              <w:rPr>
                <w:rFonts w:hint="eastAsia" w:ascii="宋体" w:hAnsi="宋体" w:eastAsia="宋体" w:cs="宋体"/>
                <w:color w:val="auto"/>
                <w:sz w:val="23"/>
                <w:szCs w:val="23"/>
                <w:highlight w:val="none"/>
              </w:rPr>
            </w:pPr>
          </w:p>
        </w:tc>
      </w:tr>
      <w:tr w14:paraId="75C745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6" w:hRule="exact"/>
          <w:jc w:val="center"/>
        </w:trPr>
        <w:tc>
          <w:tcPr>
            <w:tcW w:w="631" w:type="dxa"/>
            <w:tcMar>
              <w:left w:w="57" w:type="dxa"/>
              <w:right w:w="57" w:type="dxa"/>
            </w:tcMar>
            <w:vAlign w:val="center"/>
          </w:tcPr>
          <w:p w14:paraId="60EBD1F7">
            <w:pPr>
              <w:spacing w:line="260" w:lineRule="exact"/>
              <w:jc w:val="center"/>
              <w:rPr>
                <w:rFonts w:hint="eastAsia" w:ascii="宋体" w:hAnsi="宋体" w:eastAsia="宋体" w:cs="宋体"/>
                <w:color w:val="auto"/>
                <w:sz w:val="23"/>
                <w:szCs w:val="23"/>
                <w:highlight w:val="none"/>
              </w:rPr>
            </w:pPr>
          </w:p>
        </w:tc>
        <w:tc>
          <w:tcPr>
            <w:tcW w:w="2804" w:type="dxa"/>
            <w:tcMar>
              <w:left w:w="57" w:type="dxa"/>
              <w:right w:w="57" w:type="dxa"/>
            </w:tcMar>
            <w:vAlign w:val="center"/>
          </w:tcPr>
          <w:p w14:paraId="1452BA46">
            <w:pPr>
              <w:spacing w:line="260" w:lineRule="exact"/>
              <w:jc w:val="center"/>
              <w:rPr>
                <w:rFonts w:hint="eastAsia" w:ascii="宋体" w:hAnsi="宋体" w:eastAsia="宋体" w:cs="宋体"/>
                <w:color w:val="auto"/>
                <w:sz w:val="23"/>
                <w:szCs w:val="23"/>
                <w:highlight w:val="none"/>
              </w:rPr>
            </w:pPr>
          </w:p>
        </w:tc>
        <w:tc>
          <w:tcPr>
            <w:tcW w:w="1462" w:type="dxa"/>
            <w:tcMar>
              <w:left w:w="57" w:type="dxa"/>
              <w:right w:w="57" w:type="dxa"/>
            </w:tcMar>
            <w:vAlign w:val="center"/>
          </w:tcPr>
          <w:p w14:paraId="20B9357B">
            <w:pPr>
              <w:spacing w:line="260" w:lineRule="exact"/>
              <w:jc w:val="center"/>
              <w:rPr>
                <w:rFonts w:hint="eastAsia" w:ascii="宋体" w:hAnsi="宋体" w:eastAsia="宋体" w:cs="宋体"/>
                <w:color w:val="auto"/>
                <w:sz w:val="23"/>
                <w:szCs w:val="23"/>
                <w:highlight w:val="none"/>
              </w:rPr>
            </w:pPr>
          </w:p>
        </w:tc>
        <w:tc>
          <w:tcPr>
            <w:tcW w:w="1250" w:type="dxa"/>
            <w:tcMar>
              <w:left w:w="57" w:type="dxa"/>
              <w:right w:w="57" w:type="dxa"/>
            </w:tcMar>
            <w:vAlign w:val="center"/>
          </w:tcPr>
          <w:p w14:paraId="610877E0">
            <w:pPr>
              <w:spacing w:line="260" w:lineRule="exact"/>
              <w:jc w:val="center"/>
              <w:rPr>
                <w:rFonts w:hint="eastAsia" w:ascii="宋体" w:hAnsi="宋体" w:eastAsia="宋体" w:cs="宋体"/>
                <w:color w:val="auto"/>
                <w:sz w:val="23"/>
                <w:szCs w:val="23"/>
                <w:highlight w:val="none"/>
              </w:rPr>
            </w:pPr>
          </w:p>
        </w:tc>
        <w:tc>
          <w:tcPr>
            <w:tcW w:w="1250" w:type="dxa"/>
            <w:tcMar>
              <w:left w:w="57" w:type="dxa"/>
              <w:right w:w="57" w:type="dxa"/>
            </w:tcMar>
            <w:vAlign w:val="center"/>
          </w:tcPr>
          <w:p w14:paraId="127FB2EC">
            <w:pPr>
              <w:spacing w:line="260" w:lineRule="exact"/>
              <w:jc w:val="center"/>
              <w:rPr>
                <w:rFonts w:hint="eastAsia" w:ascii="宋体" w:hAnsi="宋体" w:eastAsia="宋体" w:cs="宋体"/>
                <w:color w:val="auto"/>
                <w:sz w:val="23"/>
                <w:szCs w:val="23"/>
                <w:highlight w:val="none"/>
              </w:rPr>
            </w:pPr>
          </w:p>
        </w:tc>
        <w:tc>
          <w:tcPr>
            <w:tcW w:w="1250" w:type="dxa"/>
            <w:tcMar>
              <w:left w:w="57" w:type="dxa"/>
              <w:right w:w="57" w:type="dxa"/>
            </w:tcMar>
            <w:vAlign w:val="center"/>
          </w:tcPr>
          <w:p w14:paraId="7EEBD095">
            <w:pPr>
              <w:spacing w:line="260" w:lineRule="exact"/>
              <w:jc w:val="center"/>
              <w:rPr>
                <w:rFonts w:hint="eastAsia" w:ascii="宋体" w:hAnsi="宋体" w:eastAsia="宋体" w:cs="宋体"/>
                <w:color w:val="auto"/>
                <w:sz w:val="23"/>
                <w:szCs w:val="23"/>
                <w:highlight w:val="none"/>
              </w:rPr>
            </w:pPr>
          </w:p>
        </w:tc>
      </w:tr>
      <w:tr w14:paraId="05808D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8" w:hRule="exact"/>
          <w:jc w:val="center"/>
        </w:trPr>
        <w:tc>
          <w:tcPr>
            <w:tcW w:w="631" w:type="dxa"/>
            <w:tcMar>
              <w:left w:w="57" w:type="dxa"/>
              <w:right w:w="57" w:type="dxa"/>
            </w:tcMar>
            <w:vAlign w:val="center"/>
          </w:tcPr>
          <w:p w14:paraId="58D9A22E">
            <w:pPr>
              <w:spacing w:line="260" w:lineRule="exact"/>
              <w:jc w:val="center"/>
              <w:rPr>
                <w:rFonts w:hint="eastAsia" w:ascii="宋体" w:hAnsi="宋体" w:eastAsia="宋体" w:cs="宋体"/>
                <w:color w:val="auto"/>
                <w:sz w:val="23"/>
                <w:szCs w:val="23"/>
                <w:highlight w:val="none"/>
              </w:rPr>
            </w:pPr>
          </w:p>
        </w:tc>
        <w:tc>
          <w:tcPr>
            <w:tcW w:w="2804" w:type="dxa"/>
            <w:tcMar>
              <w:left w:w="57" w:type="dxa"/>
              <w:right w:w="57" w:type="dxa"/>
            </w:tcMar>
            <w:vAlign w:val="center"/>
          </w:tcPr>
          <w:p w14:paraId="1973AAC1">
            <w:pPr>
              <w:spacing w:line="260" w:lineRule="exact"/>
              <w:jc w:val="center"/>
              <w:rPr>
                <w:rFonts w:hint="eastAsia" w:ascii="宋体" w:hAnsi="宋体" w:eastAsia="宋体" w:cs="宋体"/>
                <w:color w:val="auto"/>
                <w:sz w:val="23"/>
                <w:szCs w:val="23"/>
                <w:highlight w:val="none"/>
              </w:rPr>
            </w:pPr>
            <w:r>
              <w:rPr>
                <w:rFonts w:hint="eastAsia" w:ascii="宋体" w:hAnsi="宋体" w:eastAsia="宋体" w:cs="宋体"/>
                <w:color w:val="auto"/>
                <w:sz w:val="23"/>
                <w:szCs w:val="23"/>
                <w:highlight w:val="none"/>
              </w:rPr>
              <w:t>合计</w:t>
            </w:r>
          </w:p>
        </w:tc>
        <w:tc>
          <w:tcPr>
            <w:tcW w:w="1462" w:type="dxa"/>
            <w:tcMar>
              <w:left w:w="57" w:type="dxa"/>
              <w:right w:w="57" w:type="dxa"/>
            </w:tcMar>
            <w:vAlign w:val="center"/>
          </w:tcPr>
          <w:p w14:paraId="66E6CDF7">
            <w:pPr>
              <w:spacing w:line="260" w:lineRule="exact"/>
              <w:jc w:val="center"/>
              <w:rPr>
                <w:rFonts w:hint="eastAsia" w:ascii="宋体" w:hAnsi="宋体" w:eastAsia="宋体" w:cs="宋体"/>
                <w:color w:val="auto"/>
                <w:sz w:val="23"/>
                <w:szCs w:val="23"/>
                <w:highlight w:val="none"/>
              </w:rPr>
            </w:pPr>
          </w:p>
        </w:tc>
        <w:tc>
          <w:tcPr>
            <w:tcW w:w="1250" w:type="dxa"/>
            <w:tcMar>
              <w:left w:w="57" w:type="dxa"/>
              <w:right w:w="57" w:type="dxa"/>
            </w:tcMar>
            <w:vAlign w:val="center"/>
          </w:tcPr>
          <w:p w14:paraId="1A57DAF0">
            <w:pPr>
              <w:spacing w:line="260" w:lineRule="exact"/>
              <w:jc w:val="center"/>
              <w:rPr>
                <w:rFonts w:hint="eastAsia" w:ascii="宋体" w:hAnsi="宋体" w:eastAsia="宋体" w:cs="宋体"/>
                <w:color w:val="auto"/>
                <w:sz w:val="23"/>
                <w:szCs w:val="23"/>
                <w:highlight w:val="none"/>
              </w:rPr>
            </w:pPr>
          </w:p>
        </w:tc>
        <w:tc>
          <w:tcPr>
            <w:tcW w:w="1250" w:type="dxa"/>
            <w:tcMar>
              <w:left w:w="57" w:type="dxa"/>
              <w:right w:w="57" w:type="dxa"/>
            </w:tcMar>
            <w:vAlign w:val="center"/>
          </w:tcPr>
          <w:p w14:paraId="03D51ECC">
            <w:pPr>
              <w:spacing w:line="260" w:lineRule="exact"/>
              <w:jc w:val="center"/>
              <w:rPr>
                <w:rFonts w:hint="eastAsia" w:ascii="宋体" w:hAnsi="宋体" w:eastAsia="宋体" w:cs="宋体"/>
                <w:color w:val="auto"/>
                <w:sz w:val="23"/>
                <w:szCs w:val="23"/>
                <w:highlight w:val="none"/>
              </w:rPr>
            </w:pPr>
          </w:p>
        </w:tc>
        <w:tc>
          <w:tcPr>
            <w:tcW w:w="1250" w:type="dxa"/>
            <w:tcMar>
              <w:left w:w="57" w:type="dxa"/>
              <w:right w:w="57" w:type="dxa"/>
            </w:tcMar>
            <w:vAlign w:val="center"/>
          </w:tcPr>
          <w:p w14:paraId="3FC0563A">
            <w:pPr>
              <w:spacing w:line="260" w:lineRule="exact"/>
              <w:jc w:val="center"/>
              <w:rPr>
                <w:rFonts w:hint="eastAsia" w:ascii="宋体" w:hAnsi="宋体" w:eastAsia="宋体" w:cs="宋体"/>
                <w:color w:val="auto"/>
                <w:sz w:val="23"/>
                <w:szCs w:val="23"/>
                <w:highlight w:val="none"/>
              </w:rPr>
            </w:pPr>
          </w:p>
        </w:tc>
      </w:tr>
    </w:tbl>
    <w:p w14:paraId="5FC88314">
      <w:pPr>
        <w:pStyle w:val="16"/>
        <w:ind w:firstLine="240" w:firstLineChars="100"/>
        <w:rPr>
          <w:rFonts w:hint="eastAsia" w:ascii="宋体" w:hAnsi="宋体" w:eastAsia="宋体" w:cs="宋体"/>
          <w:color w:val="auto"/>
          <w:highlight w:val="none"/>
        </w:rPr>
      </w:pPr>
      <w:r>
        <w:rPr>
          <w:rFonts w:hint="eastAsia" w:ascii="宋体" w:hAnsi="宋体" w:eastAsia="宋体" w:cs="宋体"/>
          <w:color w:val="auto"/>
          <w:highlight w:val="none"/>
        </w:rPr>
        <w:t>注：</w:t>
      </w:r>
    </w:p>
    <w:p w14:paraId="6EE8CBFF">
      <w:pPr>
        <w:pStyle w:val="16"/>
        <w:ind w:firstLine="240" w:firstLineChars="100"/>
        <w:rPr>
          <w:rFonts w:hint="eastAsia" w:ascii="宋体" w:hAnsi="宋体" w:eastAsia="宋体" w:cs="宋体"/>
          <w:color w:val="auto"/>
          <w:highlight w:val="none"/>
        </w:rPr>
      </w:pPr>
      <w:r>
        <w:rPr>
          <w:rFonts w:hint="eastAsia" w:ascii="宋体" w:hAnsi="宋体" w:eastAsia="宋体" w:cs="宋体"/>
          <w:color w:val="auto"/>
          <w:highlight w:val="none"/>
        </w:rPr>
        <w:t>1、</w:t>
      </w:r>
      <w:r>
        <w:rPr>
          <w:rFonts w:hint="eastAsia" w:ascii="宋体" w:hAnsi="宋体" w:eastAsia="宋体" w:cs="宋体"/>
          <w:color w:val="auto"/>
          <w:sz w:val="24"/>
          <w:highlight w:val="none"/>
        </w:rPr>
        <w:t>本投标报价依据磋商文件的有关条款进行编制</w:t>
      </w:r>
      <w:r>
        <w:rPr>
          <w:rFonts w:hint="eastAsia" w:ascii="宋体" w:hAnsi="宋体" w:cs="宋体"/>
          <w:color w:val="auto"/>
          <w:sz w:val="24"/>
          <w:highlight w:val="none"/>
          <w:lang w:eastAsia="zh-CN"/>
        </w:rPr>
        <w:t>，</w:t>
      </w:r>
      <w:r>
        <w:rPr>
          <w:rFonts w:hint="eastAsia" w:ascii="宋体" w:hAnsi="宋体" w:cs="宋体"/>
          <w:color w:val="auto"/>
          <w:sz w:val="24"/>
          <w:highlight w:val="none"/>
          <w:lang w:val="en-US" w:eastAsia="zh-CN"/>
        </w:rPr>
        <w:t>报价包含本</w:t>
      </w:r>
      <w:r>
        <w:rPr>
          <w:rFonts w:hint="eastAsia" w:ascii="宋体" w:hAnsi="宋体" w:eastAsia="宋体" w:cs="宋体"/>
          <w:b w:val="0"/>
          <w:bCs w:val="0"/>
          <w:color w:val="auto"/>
          <w:sz w:val="24"/>
          <w:szCs w:val="24"/>
          <w:highlight w:val="none"/>
          <w:lang w:val="en-US" w:eastAsia="zh-CN"/>
        </w:rPr>
        <w:t>维修保养费、检修费、人工费等其他</w:t>
      </w:r>
      <w:r>
        <w:rPr>
          <w:rFonts w:hint="eastAsia" w:ascii="宋体" w:hAnsi="宋体" w:eastAsia="宋体" w:cs="宋体"/>
          <w:b w:val="0"/>
          <w:bCs w:val="0"/>
          <w:color w:val="auto"/>
          <w:sz w:val="24"/>
          <w:szCs w:val="24"/>
          <w:highlight w:val="none"/>
        </w:rPr>
        <w:t>相关费用</w:t>
      </w:r>
      <w:r>
        <w:rPr>
          <w:rFonts w:hint="eastAsia" w:ascii="宋体" w:hAnsi="宋体" w:cs="宋体"/>
          <w:b w:val="0"/>
          <w:bCs w:val="0"/>
          <w:color w:val="auto"/>
          <w:sz w:val="24"/>
          <w:szCs w:val="24"/>
          <w:highlight w:val="none"/>
          <w:lang w:eastAsia="zh-CN"/>
        </w:rPr>
        <w:t>，</w:t>
      </w:r>
      <w:r>
        <w:rPr>
          <w:rFonts w:hint="eastAsia" w:ascii="宋体" w:hAnsi="宋体" w:cs="宋体"/>
          <w:b w:val="0"/>
          <w:bCs w:val="0"/>
          <w:color w:val="auto"/>
          <w:sz w:val="24"/>
          <w:szCs w:val="24"/>
          <w:highlight w:val="none"/>
          <w:lang w:val="en-US" w:eastAsia="zh-CN"/>
        </w:rPr>
        <w:t>供应商按实际情况填写</w:t>
      </w:r>
      <w:r>
        <w:rPr>
          <w:rFonts w:hint="eastAsia" w:ascii="宋体" w:hAnsi="宋体" w:eastAsia="宋体" w:cs="宋体"/>
          <w:color w:val="auto"/>
          <w:sz w:val="24"/>
          <w:highlight w:val="none"/>
        </w:rPr>
        <w:t>；</w:t>
      </w:r>
    </w:p>
    <w:p w14:paraId="72541CB8">
      <w:pPr>
        <w:pStyle w:val="16"/>
        <w:ind w:firstLine="240" w:firstLineChars="100"/>
        <w:rPr>
          <w:rFonts w:hint="eastAsia" w:ascii="宋体" w:hAnsi="宋体" w:eastAsia="宋体" w:cs="宋体"/>
          <w:color w:val="auto"/>
          <w:highlight w:val="none"/>
        </w:rPr>
      </w:pPr>
      <w:r>
        <w:rPr>
          <w:rFonts w:hint="eastAsia" w:ascii="宋体" w:hAnsi="宋体" w:eastAsia="宋体" w:cs="宋体"/>
          <w:color w:val="auto"/>
          <w:highlight w:val="none"/>
          <w:lang w:val="en-US" w:eastAsia="zh-CN"/>
        </w:rPr>
        <w:t>2、</w:t>
      </w:r>
      <w:r>
        <w:rPr>
          <w:rFonts w:hint="eastAsia" w:ascii="宋体" w:hAnsi="宋体" w:eastAsia="宋体" w:cs="宋体"/>
          <w:color w:val="auto"/>
          <w:highlight w:val="none"/>
        </w:rPr>
        <w:t>如果按单价计算的结果与总价不一致，以单价为准修正总价。</w:t>
      </w:r>
    </w:p>
    <w:p w14:paraId="2CC6843A">
      <w:pPr>
        <w:pStyle w:val="16"/>
        <w:ind w:firstLine="240" w:firstLineChars="100"/>
        <w:rPr>
          <w:rFonts w:hint="eastAsia" w:ascii="宋体" w:hAnsi="宋体" w:eastAsia="宋体" w:cs="宋体"/>
          <w:color w:val="auto"/>
          <w:highlight w:val="none"/>
        </w:rPr>
      </w:pPr>
      <w:r>
        <w:rPr>
          <w:rFonts w:hint="eastAsia" w:ascii="宋体" w:hAnsi="宋体" w:eastAsia="宋体" w:cs="宋体"/>
          <w:color w:val="auto"/>
          <w:highlight w:val="none"/>
          <w:lang w:val="en-US" w:eastAsia="zh-CN"/>
        </w:rPr>
        <w:t>3</w:t>
      </w:r>
      <w:r>
        <w:rPr>
          <w:rFonts w:hint="eastAsia" w:ascii="宋体" w:hAnsi="宋体" w:eastAsia="宋体" w:cs="宋体"/>
          <w:color w:val="auto"/>
          <w:highlight w:val="none"/>
        </w:rPr>
        <w:t>、如果不提供详细分项报价将视为没有实质性响应招标文件。</w:t>
      </w:r>
    </w:p>
    <w:p w14:paraId="54F4E597">
      <w:pPr>
        <w:pStyle w:val="16"/>
        <w:ind w:firstLine="240" w:firstLineChars="100"/>
        <w:rPr>
          <w:rFonts w:hint="eastAsia" w:ascii="宋体" w:hAnsi="宋体" w:eastAsia="宋体" w:cs="宋体"/>
          <w:color w:val="auto"/>
          <w:highlight w:val="none"/>
        </w:rPr>
      </w:pPr>
      <w:r>
        <w:rPr>
          <w:rFonts w:hint="eastAsia" w:ascii="宋体" w:hAnsi="宋体" w:eastAsia="宋体" w:cs="宋体"/>
          <w:color w:val="auto"/>
          <w:highlight w:val="none"/>
          <w:lang w:val="en-US" w:eastAsia="zh-CN"/>
        </w:rPr>
        <w:t>4</w:t>
      </w:r>
      <w:r>
        <w:rPr>
          <w:rFonts w:hint="eastAsia" w:ascii="宋体" w:hAnsi="宋体" w:eastAsia="宋体" w:cs="宋体"/>
          <w:color w:val="auto"/>
          <w:highlight w:val="none"/>
        </w:rPr>
        <w:t>、如中</w:t>
      </w:r>
      <w:r>
        <w:rPr>
          <w:rFonts w:hint="eastAsia" w:ascii="宋体" w:hAnsi="宋体" w:eastAsia="宋体" w:cs="宋体"/>
          <w:color w:val="auto"/>
          <w:kern w:val="1"/>
          <w:highlight w:val="none"/>
        </w:rPr>
        <w:t>标，本表内容将作为采购人验收、查找内容之一。</w:t>
      </w:r>
    </w:p>
    <w:p w14:paraId="21614828">
      <w:pPr>
        <w:pStyle w:val="16"/>
        <w:ind w:firstLine="240" w:firstLineChars="100"/>
        <w:rPr>
          <w:rFonts w:hint="eastAsia" w:ascii="宋体" w:hAnsi="宋体" w:eastAsia="宋体" w:cs="宋体"/>
          <w:color w:val="auto"/>
          <w:highlight w:val="none"/>
        </w:rPr>
      </w:pPr>
    </w:p>
    <w:p w14:paraId="4E9321F5">
      <w:pPr>
        <w:pStyle w:val="16"/>
        <w:ind w:firstLine="4080" w:firstLineChars="1700"/>
        <w:rPr>
          <w:rFonts w:hint="eastAsia" w:ascii="宋体" w:hAnsi="宋体" w:eastAsia="宋体" w:cs="宋体"/>
          <w:color w:val="auto"/>
          <w:highlight w:val="none"/>
        </w:rPr>
      </w:pPr>
      <w:r>
        <w:rPr>
          <w:rFonts w:hint="eastAsia" w:ascii="宋体" w:hAnsi="宋体" w:eastAsia="宋体" w:cs="宋体"/>
          <w:color w:val="auto"/>
          <w:highlight w:val="none"/>
        </w:rPr>
        <w:t xml:space="preserve">供应商：            （盖章） </w:t>
      </w:r>
    </w:p>
    <w:p w14:paraId="0E8BD5B2">
      <w:pPr>
        <w:pStyle w:val="16"/>
        <w:ind w:firstLine="4080" w:firstLineChars="1700"/>
        <w:rPr>
          <w:rFonts w:hint="eastAsia" w:ascii="宋体" w:hAnsi="宋体" w:eastAsia="宋体" w:cs="宋体"/>
          <w:color w:val="auto"/>
          <w:highlight w:val="none"/>
        </w:rPr>
      </w:pPr>
      <w:r>
        <w:rPr>
          <w:rFonts w:hint="eastAsia" w:ascii="宋体" w:hAnsi="宋体" w:eastAsia="宋体" w:cs="宋体"/>
          <w:color w:val="auto"/>
          <w:highlight w:val="none"/>
        </w:rPr>
        <w:t>法定代表人或授权代理人签：</w:t>
      </w:r>
    </w:p>
    <w:p w14:paraId="2F5E5DC8">
      <w:pPr>
        <w:pStyle w:val="16"/>
        <w:ind w:firstLine="4080" w:firstLineChars="1700"/>
        <w:rPr>
          <w:rFonts w:hint="eastAsia" w:ascii="宋体" w:hAnsi="宋体" w:eastAsia="宋体" w:cs="宋体"/>
          <w:color w:val="auto"/>
          <w:highlight w:val="none"/>
        </w:rPr>
      </w:pPr>
      <w:r>
        <w:rPr>
          <w:rFonts w:hint="eastAsia" w:ascii="宋体" w:hAnsi="宋体" w:eastAsia="宋体" w:cs="宋体"/>
          <w:color w:val="auto"/>
          <w:highlight w:val="none"/>
        </w:rPr>
        <w:t>日  期：     年   月    日</w:t>
      </w:r>
    </w:p>
    <w:p w14:paraId="6F06D147">
      <w:pPr>
        <w:pStyle w:val="58"/>
        <w:ind w:left="0" w:leftChars="0" w:firstLine="0" w:firstLineChars="0"/>
        <w:jc w:val="center"/>
        <w:rPr>
          <w:rFonts w:hint="eastAsia" w:ascii="宋体" w:hAnsi="宋体" w:eastAsia="宋体" w:cs="宋体"/>
          <w:b/>
          <w:bCs/>
          <w:color w:val="auto"/>
          <w:kern w:val="2"/>
          <w:sz w:val="28"/>
          <w:szCs w:val="28"/>
          <w:highlight w:val="none"/>
          <w:lang w:val="en-US" w:eastAsia="zh-CN" w:bidi="ar-SA"/>
        </w:rPr>
      </w:pPr>
      <w:r>
        <w:rPr>
          <w:rFonts w:hint="eastAsia" w:ascii="宋体" w:hAnsi="宋体" w:eastAsia="宋体" w:cs="宋体"/>
          <w:b/>
          <w:bCs/>
          <w:color w:val="auto"/>
          <w:kern w:val="2"/>
          <w:sz w:val="28"/>
          <w:szCs w:val="28"/>
          <w:highlight w:val="none"/>
          <w:lang w:val="en-US" w:eastAsia="zh-CN" w:bidi="ar-SA"/>
        </w:rPr>
        <w:t>易损零部件价格明细表</w:t>
      </w:r>
    </w:p>
    <w:p w14:paraId="5367F8CC">
      <w:pPr>
        <w:rPr>
          <w:rFonts w:hint="default"/>
          <w:b w:val="0"/>
          <w:bCs w:val="0"/>
          <w:color w:val="auto"/>
          <w:highlight w:val="none"/>
          <w:lang w:val="en-US" w:eastAsia="zh-CN"/>
        </w:rPr>
      </w:pPr>
      <w:r>
        <w:rPr>
          <w:rFonts w:hint="eastAsia" w:ascii="宋体" w:hAnsi="宋体" w:eastAsia="宋体" w:cs="宋体"/>
          <w:b w:val="0"/>
          <w:bCs w:val="0"/>
          <w:color w:val="auto"/>
          <w:kern w:val="2"/>
          <w:sz w:val="28"/>
          <w:szCs w:val="28"/>
          <w:highlight w:val="none"/>
          <w:lang w:val="en-US" w:eastAsia="zh-CN" w:bidi="ar-SA"/>
        </w:rPr>
        <w:t>附件二：</w:t>
      </w:r>
    </w:p>
    <w:tbl>
      <w:tblPr>
        <w:tblStyle w:val="41"/>
        <w:tblW w:w="886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97"/>
        <w:gridCol w:w="1063"/>
        <w:gridCol w:w="1199"/>
        <w:gridCol w:w="1221"/>
        <w:gridCol w:w="1320"/>
        <w:gridCol w:w="1320"/>
        <w:gridCol w:w="1197"/>
        <w:gridCol w:w="745"/>
      </w:tblGrid>
      <w:tr w14:paraId="1C04CD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797" w:type="dxa"/>
            <w:noWrap w:val="0"/>
            <w:vAlign w:val="center"/>
          </w:tcPr>
          <w:p w14:paraId="77171F7F">
            <w:pPr>
              <w:jc w:val="center"/>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序号</w:t>
            </w:r>
          </w:p>
        </w:tc>
        <w:tc>
          <w:tcPr>
            <w:tcW w:w="1063" w:type="dxa"/>
            <w:noWrap w:val="0"/>
            <w:vAlign w:val="center"/>
          </w:tcPr>
          <w:p w14:paraId="4D4C8416">
            <w:pPr>
              <w:jc w:val="center"/>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名称</w:t>
            </w:r>
          </w:p>
        </w:tc>
        <w:tc>
          <w:tcPr>
            <w:tcW w:w="1199" w:type="dxa"/>
            <w:noWrap w:val="0"/>
            <w:vAlign w:val="center"/>
          </w:tcPr>
          <w:p w14:paraId="1CA2A47D">
            <w:pPr>
              <w:jc w:val="center"/>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品牌</w:t>
            </w:r>
          </w:p>
        </w:tc>
        <w:tc>
          <w:tcPr>
            <w:tcW w:w="1221" w:type="dxa"/>
            <w:noWrap w:val="0"/>
            <w:vAlign w:val="center"/>
          </w:tcPr>
          <w:p w14:paraId="035F6A70">
            <w:pPr>
              <w:jc w:val="both"/>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制造厂家</w:t>
            </w:r>
          </w:p>
        </w:tc>
        <w:tc>
          <w:tcPr>
            <w:tcW w:w="1320" w:type="dxa"/>
            <w:noWrap w:val="0"/>
            <w:vAlign w:val="center"/>
          </w:tcPr>
          <w:p w14:paraId="01CAB626">
            <w:pPr>
              <w:jc w:val="center"/>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规格型号</w:t>
            </w:r>
          </w:p>
        </w:tc>
        <w:tc>
          <w:tcPr>
            <w:tcW w:w="1320" w:type="dxa"/>
            <w:noWrap w:val="0"/>
            <w:vAlign w:val="center"/>
          </w:tcPr>
          <w:p w14:paraId="1597C80E">
            <w:pPr>
              <w:jc w:val="center"/>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单位/数量</w:t>
            </w:r>
          </w:p>
        </w:tc>
        <w:tc>
          <w:tcPr>
            <w:tcW w:w="1197" w:type="dxa"/>
            <w:noWrap w:val="0"/>
            <w:vAlign w:val="center"/>
          </w:tcPr>
          <w:p w14:paraId="718D7832">
            <w:pPr>
              <w:jc w:val="center"/>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单</w:t>
            </w:r>
            <w:r>
              <w:rPr>
                <w:rFonts w:hint="eastAsia" w:ascii="宋体" w:hAnsi="宋体" w:eastAsia="宋体" w:cs="宋体"/>
                <w:b w:val="0"/>
                <w:bCs w:val="0"/>
                <w:color w:val="auto"/>
                <w:sz w:val="24"/>
                <w:szCs w:val="24"/>
                <w:highlight w:val="none"/>
                <w:lang w:val="en-US" w:eastAsia="zh-CN"/>
              </w:rPr>
              <w:t>价/</w:t>
            </w:r>
            <w:r>
              <w:rPr>
                <w:rFonts w:hint="eastAsia" w:ascii="宋体" w:hAnsi="宋体" w:eastAsia="宋体" w:cs="宋体"/>
                <w:b w:val="0"/>
                <w:bCs w:val="0"/>
                <w:color w:val="auto"/>
                <w:sz w:val="24"/>
                <w:szCs w:val="24"/>
                <w:highlight w:val="none"/>
              </w:rPr>
              <w:t>元</w:t>
            </w:r>
          </w:p>
        </w:tc>
        <w:tc>
          <w:tcPr>
            <w:tcW w:w="745" w:type="dxa"/>
            <w:noWrap w:val="0"/>
            <w:vAlign w:val="center"/>
          </w:tcPr>
          <w:p w14:paraId="633BAC27">
            <w:pPr>
              <w:jc w:val="center"/>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备注</w:t>
            </w:r>
          </w:p>
        </w:tc>
      </w:tr>
      <w:tr w14:paraId="484DD5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797" w:type="dxa"/>
            <w:noWrap w:val="0"/>
            <w:vAlign w:val="center"/>
          </w:tcPr>
          <w:p w14:paraId="4E1537D0">
            <w:pPr>
              <w:jc w:val="center"/>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1</w:t>
            </w:r>
          </w:p>
        </w:tc>
        <w:tc>
          <w:tcPr>
            <w:tcW w:w="1063" w:type="dxa"/>
            <w:noWrap w:val="0"/>
            <w:vAlign w:val="center"/>
          </w:tcPr>
          <w:p w14:paraId="3AA46272">
            <w:pPr>
              <w:jc w:val="left"/>
              <w:rPr>
                <w:rFonts w:hint="eastAsia" w:ascii="宋体" w:hAnsi="宋体" w:eastAsia="宋体" w:cs="宋体"/>
                <w:b w:val="0"/>
                <w:bCs w:val="0"/>
                <w:color w:val="auto"/>
                <w:sz w:val="24"/>
                <w:szCs w:val="24"/>
                <w:highlight w:val="none"/>
              </w:rPr>
            </w:pPr>
          </w:p>
        </w:tc>
        <w:tc>
          <w:tcPr>
            <w:tcW w:w="1199" w:type="dxa"/>
            <w:noWrap w:val="0"/>
            <w:vAlign w:val="center"/>
          </w:tcPr>
          <w:p w14:paraId="4B742401">
            <w:pPr>
              <w:rPr>
                <w:rFonts w:hint="eastAsia" w:ascii="宋体" w:hAnsi="宋体" w:eastAsia="宋体" w:cs="宋体"/>
                <w:b w:val="0"/>
                <w:bCs w:val="0"/>
                <w:color w:val="auto"/>
                <w:sz w:val="24"/>
                <w:szCs w:val="24"/>
                <w:highlight w:val="none"/>
              </w:rPr>
            </w:pPr>
          </w:p>
        </w:tc>
        <w:tc>
          <w:tcPr>
            <w:tcW w:w="1221" w:type="dxa"/>
            <w:noWrap w:val="0"/>
            <w:vAlign w:val="center"/>
          </w:tcPr>
          <w:p w14:paraId="3678DF97">
            <w:pPr>
              <w:jc w:val="center"/>
              <w:rPr>
                <w:rFonts w:hint="eastAsia" w:ascii="宋体" w:hAnsi="宋体" w:eastAsia="宋体" w:cs="宋体"/>
                <w:b w:val="0"/>
                <w:bCs w:val="0"/>
                <w:color w:val="auto"/>
                <w:sz w:val="24"/>
                <w:szCs w:val="24"/>
                <w:highlight w:val="none"/>
              </w:rPr>
            </w:pPr>
          </w:p>
        </w:tc>
        <w:tc>
          <w:tcPr>
            <w:tcW w:w="1320" w:type="dxa"/>
            <w:noWrap w:val="0"/>
            <w:vAlign w:val="center"/>
          </w:tcPr>
          <w:p w14:paraId="09EF597B">
            <w:pPr>
              <w:jc w:val="center"/>
              <w:rPr>
                <w:rFonts w:hint="eastAsia" w:ascii="宋体" w:hAnsi="宋体" w:eastAsia="宋体" w:cs="宋体"/>
                <w:b w:val="0"/>
                <w:bCs w:val="0"/>
                <w:color w:val="auto"/>
                <w:sz w:val="24"/>
                <w:szCs w:val="24"/>
                <w:highlight w:val="none"/>
              </w:rPr>
            </w:pPr>
          </w:p>
        </w:tc>
        <w:tc>
          <w:tcPr>
            <w:tcW w:w="1320" w:type="dxa"/>
            <w:noWrap w:val="0"/>
            <w:vAlign w:val="center"/>
          </w:tcPr>
          <w:p w14:paraId="4B732681">
            <w:pPr>
              <w:jc w:val="center"/>
              <w:rPr>
                <w:rFonts w:hint="eastAsia" w:ascii="宋体" w:hAnsi="宋体" w:eastAsia="宋体" w:cs="宋体"/>
                <w:b w:val="0"/>
                <w:bCs w:val="0"/>
                <w:color w:val="auto"/>
                <w:sz w:val="24"/>
                <w:szCs w:val="24"/>
                <w:highlight w:val="none"/>
              </w:rPr>
            </w:pPr>
          </w:p>
        </w:tc>
        <w:tc>
          <w:tcPr>
            <w:tcW w:w="1197" w:type="dxa"/>
            <w:noWrap w:val="0"/>
            <w:vAlign w:val="center"/>
          </w:tcPr>
          <w:p w14:paraId="404DA73A">
            <w:pPr>
              <w:jc w:val="center"/>
              <w:rPr>
                <w:rFonts w:hint="eastAsia" w:ascii="宋体" w:hAnsi="宋体" w:eastAsia="宋体" w:cs="宋体"/>
                <w:b w:val="0"/>
                <w:bCs w:val="0"/>
                <w:color w:val="auto"/>
                <w:sz w:val="24"/>
                <w:szCs w:val="24"/>
                <w:highlight w:val="none"/>
              </w:rPr>
            </w:pPr>
          </w:p>
        </w:tc>
        <w:tc>
          <w:tcPr>
            <w:tcW w:w="745" w:type="dxa"/>
            <w:noWrap w:val="0"/>
            <w:vAlign w:val="center"/>
          </w:tcPr>
          <w:p w14:paraId="1E8AE82D">
            <w:pPr>
              <w:jc w:val="center"/>
              <w:rPr>
                <w:rFonts w:hint="eastAsia" w:ascii="宋体" w:hAnsi="宋体" w:eastAsia="宋体" w:cs="宋体"/>
                <w:b w:val="0"/>
                <w:bCs w:val="0"/>
                <w:color w:val="auto"/>
                <w:sz w:val="24"/>
                <w:szCs w:val="24"/>
                <w:highlight w:val="none"/>
              </w:rPr>
            </w:pPr>
          </w:p>
        </w:tc>
      </w:tr>
      <w:tr w14:paraId="63DAF0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797" w:type="dxa"/>
            <w:noWrap w:val="0"/>
            <w:vAlign w:val="center"/>
          </w:tcPr>
          <w:p w14:paraId="37989CEE">
            <w:pPr>
              <w:jc w:val="center"/>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2</w:t>
            </w:r>
          </w:p>
        </w:tc>
        <w:tc>
          <w:tcPr>
            <w:tcW w:w="1063" w:type="dxa"/>
            <w:noWrap w:val="0"/>
            <w:vAlign w:val="center"/>
          </w:tcPr>
          <w:p w14:paraId="5F68D604">
            <w:pPr>
              <w:jc w:val="left"/>
              <w:rPr>
                <w:rFonts w:hint="eastAsia" w:ascii="宋体" w:hAnsi="宋体" w:eastAsia="宋体" w:cs="宋体"/>
                <w:b w:val="0"/>
                <w:bCs w:val="0"/>
                <w:color w:val="auto"/>
                <w:sz w:val="24"/>
                <w:szCs w:val="24"/>
                <w:highlight w:val="none"/>
              </w:rPr>
            </w:pPr>
          </w:p>
        </w:tc>
        <w:tc>
          <w:tcPr>
            <w:tcW w:w="1199" w:type="dxa"/>
            <w:noWrap w:val="0"/>
            <w:vAlign w:val="center"/>
          </w:tcPr>
          <w:p w14:paraId="5D008612">
            <w:pPr>
              <w:rPr>
                <w:rFonts w:hint="eastAsia" w:ascii="宋体" w:hAnsi="宋体" w:eastAsia="宋体" w:cs="宋体"/>
                <w:b w:val="0"/>
                <w:bCs w:val="0"/>
                <w:color w:val="auto"/>
                <w:sz w:val="24"/>
                <w:szCs w:val="24"/>
                <w:highlight w:val="none"/>
              </w:rPr>
            </w:pPr>
          </w:p>
        </w:tc>
        <w:tc>
          <w:tcPr>
            <w:tcW w:w="1221" w:type="dxa"/>
            <w:noWrap w:val="0"/>
            <w:vAlign w:val="center"/>
          </w:tcPr>
          <w:p w14:paraId="285C8083">
            <w:pPr>
              <w:jc w:val="center"/>
              <w:rPr>
                <w:rFonts w:hint="eastAsia" w:ascii="宋体" w:hAnsi="宋体" w:eastAsia="宋体" w:cs="宋体"/>
                <w:b w:val="0"/>
                <w:bCs w:val="0"/>
                <w:color w:val="auto"/>
                <w:sz w:val="24"/>
                <w:szCs w:val="24"/>
                <w:highlight w:val="none"/>
              </w:rPr>
            </w:pPr>
          </w:p>
        </w:tc>
        <w:tc>
          <w:tcPr>
            <w:tcW w:w="1320" w:type="dxa"/>
            <w:noWrap w:val="0"/>
            <w:vAlign w:val="center"/>
          </w:tcPr>
          <w:p w14:paraId="68D44ACE">
            <w:pPr>
              <w:jc w:val="center"/>
              <w:rPr>
                <w:rFonts w:hint="eastAsia" w:ascii="宋体" w:hAnsi="宋体" w:eastAsia="宋体" w:cs="宋体"/>
                <w:b w:val="0"/>
                <w:bCs w:val="0"/>
                <w:color w:val="auto"/>
                <w:sz w:val="24"/>
                <w:szCs w:val="24"/>
                <w:highlight w:val="none"/>
              </w:rPr>
            </w:pPr>
          </w:p>
        </w:tc>
        <w:tc>
          <w:tcPr>
            <w:tcW w:w="1320" w:type="dxa"/>
            <w:noWrap w:val="0"/>
            <w:vAlign w:val="center"/>
          </w:tcPr>
          <w:p w14:paraId="17CFA3C3">
            <w:pPr>
              <w:jc w:val="center"/>
              <w:rPr>
                <w:rFonts w:hint="eastAsia" w:ascii="宋体" w:hAnsi="宋体" w:eastAsia="宋体" w:cs="宋体"/>
                <w:b w:val="0"/>
                <w:bCs w:val="0"/>
                <w:color w:val="auto"/>
                <w:sz w:val="24"/>
                <w:szCs w:val="24"/>
                <w:highlight w:val="none"/>
              </w:rPr>
            </w:pPr>
          </w:p>
        </w:tc>
        <w:tc>
          <w:tcPr>
            <w:tcW w:w="1197" w:type="dxa"/>
            <w:noWrap w:val="0"/>
            <w:vAlign w:val="center"/>
          </w:tcPr>
          <w:p w14:paraId="7AC3DC6C">
            <w:pPr>
              <w:jc w:val="center"/>
              <w:rPr>
                <w:rFonts w:hint="eastAsia" w:ascii="宋体" w:hAnsi="宋体" w:eastAsia="宋体" w:cs="宋体"/>
                <w:b w:val="0"/>
                <w:bCs w:val="0"/>
                <w:color w:val="auto"/>
                <w:sz w:val="24"/>
                <w:szCs w:val="24"/>
                <w:highlight w:val="none"/>
              </w:rPr>
            </w:pPr>
          </w:p>
        </w:tc>
        <w:tc>
          <w:tcPr>
            <w:tcW w:w="745" w:type="dxa"/>
            <w:noWrap w:val="0"/>
            <w:vAlign w:val="center"/>
          </w:tcPr>
          <w:p w14:paraId="2718F35E">
            <w:pPr>
              <w:jc w:val="center"/>
              <w:rPr>
                <w:rFonts w:hint="eastAsia" w:ascii="宋体" w:hAnsi="宋体" w:eastAsia="宋体" w:cs="宋体"/>
                <w:b w:val="0"/>
                <w:bCs w:val="0"/>
                <w:color w:val="auto"/>
                <w:sz w:val="24"/>
                <w:szCs w:val="24"/>
                <w:highlight w:val="none"/>
              </w:rPr>
            </w:pPr>
          </w:p>
        </w:tc>
      </w:tr>
      <w:tr w14:paraId="653ADB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797" w:type="dxa"/>
            <w:noWrap w:val="0"/>
            <w:vAlign w:val="center"/>
          </w:tcPr>
          <w:p w14:paraId="3792EB25">
            <w:pPr>
              <w:jc w:val="center"/>
              <w:rPr>
                <w:rFonts w:hint="eastAsia" w:ascii="宋体" w:hAnsi="宋体" w:eastAsia="宋体" w:cs="宋体"/>
                <w:b w:val="0"/>
                <w:bCs w:val="0"/>
                <w:color w:val="auto"/>
                <w:sz w:val="24"/>
                <w:szCs w:val="24"/>
                <w:highlight w:val="none"/>
                <w:lang w:eastAsia="zh-CN"/>
              </w:rPr>
            </w:pPr>
            <w:r>
              <w:rPr>
                <w:rFonts w:hint="eastAsia" w:ascii="宋体" w:hAnsi="宋体" w:eastAsia="宋体" w:cs="宋体"/>
                <w:b w:val="0"/>
                <w:bCs w:val="0"/>
                <w:color w:val="auto"/>
                <w:sz w:val="24"/>
                <w:szCs w:val="24"/>
                <w:highlight w:val="none"/>
                <w:lang w:val="en-US" w:eastAsia="zh-CN"/>
              </w:rPr>
              <w:t>3</w:t>
            </w:r>
          </w:p>
        </w:tc>
        <w:tc>
          <w:tcPr>
            <w:tcW w:w="1063" w:type="dxa"/>
            <w:noWrap w:val="0"/>
            <w:vAlign w:val="center"/>
          </w:tcPr>
          <w:p w14:paraId="3C79DEB1">
            <w:pPr>
              <w:jc w:val="left"/>
              <w:rPr>
                <w:rFonts w:hint="eastAsia" w:ascii="宋体" w:hAnsi="宋体" w:eastAsia="宋体" w:cs="宋体"/>
                <w:b w:val="0"/>
                <w:bCs w:val="0"/>
                <w:color w:val="auto"/>
                <w:sz w:val="24"/>
                <w:szCs w:val="24"/>
                <w:highlight w:val="none"/>
              </w:rPr>
            </w:pPr>
          </w:p>
        </w:tc>
        <w:tc>
          <w:tcPr>
            <w:tcW w:w="1199" w:type="dxa"/>
            <w:noWrap w:val="0"/>
            <w:vAlign w:val="center"/>
          </w:tcPr>
          <w:p w14:paraId="272EBFFF">
            <w:pPr>
              <w:rPr>
                <w:rFonts w:hint="eastAsia" w:ascii="宋体" w:hAnsi="宋体" w:eastAsia="宋体" w:cs="宋体"/>
                <w:b w:val="0"/>
                <w:bCs w:val="0"/>
                <w:color w:val="auto"/>
                <w:sz w:val="24"/>
                <w:szCs w:val="24"/>
                <w:highlight w:val="none"/>
              </w:rPr>
            </w:pPr>
          </w:p>
        </w:tc>
        <w:tc>
          <w:tcPr>
            <w:tcW w:w="1221" w:type="dxa"/>
            <w:noWrap w:val="0"/>
            <w:vAlign w:val="center"/>
          </w:tcPr>
          <w:p w14:paraId="5B242074">
            <w:pPr>
              <w:jc w:val="center"/>
              <w:rPr>
                <w:rFonts w:hint="eastAsia" w:ascii="宋体" w:hAnsi="宋体" w:eastAsia="宋体" w:cs="宋体"/>
                <w:b w:val="0"/>
                <w:bCs w:val="0"/>
                <w:color w:val="auto"/>
                <w:sz w:val="24"/>
                <w:szCs w:val="24"/>
                <w:highlight w:val="none"/>
              </w:rPr>
            </w:pPr>
          </w:p>
        </w:tc>
        <w:tc>
          <w:tcPr>
            <w:tcW w:w="1320" w:type="dxa"/>
            <w:noWrap w:val="0"/>
            <w:vAlign w:val="center"/>
          </w:tcPr>
          <w:p w14:paraId="0006265A">
            <w:pPr>
              <w:jc w:val="center"/>
              <w:rPr>
                <w:rFonts w:hint="eastAsia" w:ascii="宋体" w:hAnsi="宋体" w:eastAsia="宋体" w:cs="宋体"/>
                <w:b w:val="0"/>
                <w:bCs w:val="0"/>
                <w:color w:val="auto"/>
                <w:sz w:val="24"/>
                <w:szCs w:val="24"/>
                <w:highlight w:val="none"/>
              </w:rPr>
            </w:pPr>
          </w:p>
        </w:tc>
        <w:tc>
          <w:tcPr>
            <w:tcW w:w="1320" w:type="dxa"/>
            <w:noWrap w:val="0"/>
            <w:vAlign w:val="center"/>
          </w:tcPr>
          <w:p w14:paraId="0FCE6476">
            <w:pPr>
              <w:jc w:val="center"/>
              <w:rPr>
                <w:rFonts w:hint="eastAsia" w:ascii="宋体" w:hAnsi="宋体" w:eastAsia="宋体" w:cs="宋体"/>
                <w:b w:val="0"/>
                <w:bCs w:val="0"/>
                <w:color w:val="auto"/>
                <w:sz w:val="24"/>
                <w:szCs w:val="24"/>
                <w:highlight w:val="none"/>
              </w:rPr>
            </w:pPr>
          </w:p>
        </w:tc>
        <w:tc>
          <w:tcPr>
            <w:tcW w:w="1197" w:type="dxa"/>
            <w:noWrap w:val="0"/>
            <w:vAlign w:val="center"/>
          </w:tcPr>
          <w:p w14:paraId="22500C8B">
            <w:pPr>
              <w:jc w:val="center"/>
              <w:rPr>
                <w:rFonts w:hint="eastAsia" w:ascii="宋体" w:hAnsi="宋体" w:eastAsia="宋体" w:cs="宋体"/>
                <w:b w:val="0"/>
                <w:bCs w:val="0"/>
                <w:color w:val="auto"/>
                <w:sz w:val="24"/>
                <w:szCs w:val="24"/>
                <w:highlight w:val="none"/>
              </w:rPr>
            </w:pPr>
          </w:p>
        </w:tc>
        <w:tc>
          <w:tcPr>
            <w:tcW w:w="745" w:type="dxa"/>
            <w:noWrap w:val="0"/>
            <w:vAlign w:val="center"/>
          </w:tcPr>
          <w:p w14:paraId="6C70556C">
            <w:pPr>
              <w:jc w:val="center"/>
              <w:rPr>
                <w:rFonts w:hint="eastAsia" w:ascii="宋体" w:hAnsi="宋体" w:eastAsia="宋体" w:cs="宋体"/>
                <w:b w:val="0"/>
                <w:bCs w:val="0"/>
                <w:color w:val="auto"/>
                <w:sz w:val="24"/>
                <w:szCs w:val="24"/>
                <w:highlight w:val="none"/>
              </w:rPr>
            </w:pPr>
          </w:p>
        </w:tc>
      </w:tr>
      <w:tr w14:paraId="030439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797" w:type="dxa"/>
            <w:tcBorders>
              <w:bottom w:val="single" w:color="auto" w:sz="4" w:space="0"/>
            </w:tcBorders>
            <w:noWrap w:val="0"/>
            <w:vAlign w:val="center"/>
          </w:tcPr>
          <w:p w14:paraId="3E1C2031">
            <w:pPr>
              <w:jc w:val="center"/>
              <w:rPr>
                <w:rFonts w:hint="eastAsia" w:ascii="宋体" w:hAnsi="宋体" w:eastAsia="宋体" w:cs="宋体"/>
                <w:b w:val="0"/>
                <w:bCs w:val="0"/>
                <w:color w:val="auto"/>
                <w:sz w:val="24"/>
                <w:szCs w:val="24"/>
                <w:highlight w:val="none"/>
                <w:lang w:eastAsia="zh-CN"/>
              </w:rPr>
            </w:pPr>
            <w:r>
              <w:rPr>
                <w:rFonts w:hint="eastAsia" w:ascii="宋体" w:hAnsi="宋体" w:eastAsia="宋体" w:cs="宋体"/>
                <w:b w:val="0"/>
                <w:bCs w:val="0"/>
                <w:color w:val="auto"/>
                <w:sz w:val="24"/>
                <w:szCs w:val="24"/>
                <w:highlight w:val="none"/>
                <w:lang w:val="en-US" w:eastAsia="zh-CN"/>
              </w:rPr>
              <w:t>4</w:t>
            </w:r>
          </w:p>
        </w:tc>
        <w:tc>
          <w:tcPr>
            <w:tcW w:w="1063" w:type="dxa"/>
            <w:tcBorders>
              <w:bottom w:val="single" w:color="auto" w:sz="4" w:space="0"/>
            </w:tcBorders>
            <w:noWrap w:val="0"/>
            <w:vAlign w:val="center"/>
          </w:tcPr>
          <w:p w14:paraId="7BDC92D7">
            <w:pPr>
              <w:jc w:val="left"/>
              <w:rPr>
                <w:rFonts w:hint="eastAsia" w:ascii="宋体" w:hAnsi="宋体" w:eastAsia="宋体" w:cs="宋体"/>
                <w:b w:val="0"/>
                <w:bCs w:val="0"/>
                <w:color w:val="auto"/>
                <w:sz w:val="24"/>
                <w:szCs w:val="24"/>
                <w:highlight w:val="none"/>
              </w:rPr>
            </w:pPr>
          </w:p>
        </w:tc>
        <w:tc>
          <w:tcPr>
            <w:tcW w:w="1199" w:type="dxa"/>
            <w:tcBorders>
              <w:bottom w:val="single" w:color="auto" w:sz="4" w:space="0"/>
            </w:tcBorders>
            <w:noWrap w:val="0"/>
            <w:vAlign w:val="center"/>
          </w:tcPr>
          <w:p w14:paraId="06E3D359">
            <w:pPr>
              <w:rPr>
                <w:rFonts w:hint="eastAsia" w:ascii="宋体" w:hAnsi="宋体" w:eastAsia="宋体" w:cs="宋体"/>
                <w:b w:val="0"/>
                <w:bCs w:val="0"/>
                <w:color w:val="auto"/>
                <w:sz w:val="24"/>
                <w:szCs w:val="24"/>
                <w:highlight w:val="none"/>
              </w:rPr>
            </w:pPr>
          </w:p>
        </w:tc>
        <w:tc>
          <w:tcPr>
            <w:tcW w:w="1221" w:type="dxa"/>
            <w:tcBorders>
              <w:bottom w:val="single" w:color="auto" w:sz="4" w:space="0"/>
            </w:tcBorders>
            <w:noWrap w:val="0"/>
            <w:vAlign w:val="center"/>
          </w:tcPr>
          <w:p w14:paraId="49807CE0">
            <w:pPr>
              <w:jc w:val="center"/>
              <w:rPr>
                <w:rFonts w:hint="eastAsia" w:ascii="宋体" w:hAnsi="宋体" w:eastAsia="宋体" w:cs="宋体"/>
                <w:b w:val="0"/>
                <w:bCs w:val="0"/>
                <w:color w:val="auto"/>
                <w:sz w:val="24"/>
                <w:szCs w:val="24"/>
                <w:highlight w:val="none"/>
              </w:rPr>
            </w:pPr>
          </w:p>
        </w:tc>
        <w:tc>
          <w:tcPr>
            <w:tcW w:w="1320" w:type="dxa"/>
            <w:tcBorders>
              <w:bottom w:val="single" w:color="auto" w:sz="4" w:space="0"/>
            </w:tcBorders>
            <w:noWrap w:val="0"/>
            <w:vAlign w:val="center"/>
          </w:tcPr>
          <w:p w14:paraId="365B9C82">
            <w:pPr>
              <w:jc w:val="center"/>
              <w:rPr>
                <w:rFonts w:hint="eastAsia" w:ascii="宋体" w:hAnsi="宋体" w:eastAsia="宋体" w:cs="宋体"/>
                <w:b w:val="0"/>
                <w:bCs w:val="0"/>
                <w:color w:val="auto"/>
                <w:sz w:val="24"/>
                <w:szCs w:val="24"/>
                <w:highlight w:val="none"/>
              </w:rPr>
            </w:pPr>
          </w:p>
        </w:tc>
        <w:tc>
          <w:tcPr>
            <w:tcW w:w="1320" w:type="dxa"/>
            <w:tcBorders>
              <w:bottom w:val="single" w:color="auto" w:sz="4" w:space="0"/>
            </w:tcBorders>
            <w:noWrap w:val="0"/>
            <w:vAlign w:val="center"/>
          </w:tcPr>
          <w:p w14:paraId="21E20DF4">
            <w:pPr>
              <w:jc w:val="center"/>
              <w:rPr>
                <w:rFonts w:hint="eastAsia" w:ascii="宋体" w:hAnsi="宋体" w:eastAsia="宋体" w:cs="宋体"/>
                <w:b w:val="0"/>
                <w:bCs w:val="0"/>
                <w:color w:val="auto"/>
                <w:sz w:val="24"/>
                <w:szCs w:val="24"/>
                <w:highlight w:val="none"/>
              </w:rPr>
            </w:pPr>
          </w:p>
        </w:tc>
        <w:tc>
          <w:tcPr>
            <w:tcW w:w="1197" w:type="dxa"/>
            <w:tcBorders>
              <w:bottom w:val="single" w:color="auto" w:sz="4" w:space="0"/>
            </w:tcBorders>
            <w:noWrap w:val="0"/>
            <w:vAlign w:val="center"/>
          </w:tcPr>
          <w:p w14:paraId="3B639C70">
            <w:pPr>
              <w:jc w:val="center"/>
              <w:rPr>
                <w:rFonts w:hint="eastAsia" w:ascii="宋体" w:hAnsi="宋体" w:eastAsia="宋体" w:cs="宋体"/>
                <w:b w:val="0"/>
                <w:bCs w:val="0"/>
                <w:color w:val="auto"/>
                <w:sz w:val="24"/>
                <w:szCs w:val="24"/>
                <w:highlight w:val="none"/>
              </w:rPr>
            </w:pPr>
          </w:p>
        </w:tc>
        <w:tc>
          <w:tcPr>
            <w:tcW w:w="745" w:type="dxa"/>
            <w:noWrap w:val="0"/>
            <w:vAlign w:val="center"/>
          </w:tcPr>
          <w:p w14:paraId="47655B71">
            <w:pPr>
              <w:jc w:val="center"/>
              <w:rPr>
                <w:rFonts w:hint="eastAsia" w:ascii="宋体" w:hAnsi="宋体" w:eastAsia="宋体" w:cs="宋体"/>
                <w:b w:val="0"/>
                <w:bCs w:val="0"/>
                <w:color w:val="auto"/>
                <w:sz w:val="24"/>
                <w:szCs w:val="24"/>
                <w:highlight w:val="none"/>
              </w:rPr>
            </w:pPr>
          </w:p>
        </w:tc>
      </w:tr>
      <w:tr w14:paraId="23DED9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797" w:type="dxa"/>
            <w:tcBorders>
              <w:bottom w:val="single" w:color="auto" w:sz="4" w:space="0"/>
            </w:tcBorders>
            <w:noWrap w:val="0"/>
            <w:vAlign w:val="center"/>
          </w:tcPr>
          <w:p w14:paraId="547478A2">
            <w:pPr>
              <w:jc w:val="center"/>
              <w:rPr>
                <w:rFonts w:hint="eastAsia" w:ascii="宋体" w:hAnsi="宋体" w:eastAsia="宋体" w:cs="宋体"/>
                <w:b w:val="0"/>
                <w:bCs w:val="0"/>
                <w:color w:val="auto"/>
                <w:sz w:val="24"/>
                <w:szCs w:val="24"/>
                <w:highlight w:val="none"/>
                <w:lang w:val="en-US" w:eastAsia="zh-CN"/>
              </w:rPr>
            </w:pPr>
          </w:p>
        </w:tc>
        <w:tc>
          <w:tcPr>
            <w:tcW w:w="1063" w:type="dxa"/>
            <w:tcBorders>
              <w:bottom w:val="single" w:color="auto" w:sz="4" w:space="0"/>
            </w:tcBorders>
            <w:noWrap w:val="0"/>
            <w:vAlign w:val="center"/>
          </w:tcPr>
          <w:p w14:paraId="204BE7C7">
            <w:pPr>
              <w:jc w:val="left"/>
              <w:rPr>
                <w:rFonts w:hint="eastAsia" w:ascii="宋体" w:hAnsi="宋体" w:eastAsia="宋体" w:cs="宋体"/>
                <w:b w:val="0"/>
                <w:bCs w:val="0"/>
                <w:color w:val="auto"/>
                <w:sz w:val="24"/>
                <w:szCs w:val="24"/>
                <w:highlight w:val="none"/>
              </w:rPr>
            </w:pPr>
          </w:p>
        </w:tc>
        <w:tc>
          <w:tcPr>
            <w:tcW w:w="1199" w:type="dxa"/>
            <w:tcBorders>
              <w:bottom w:val="single" w:color="auto" w:sz="4" w:space="0"/>
            </w:tcBorders>
            <w:noWrap w:val="0"/>
            <w:vAlign w:val="center"/>
          </w:tcPr>
          <w:p w14:paraId="02274C5E">
            <w:pPr>
              <w:rPr>
                <w:rFonts w:hint="eastAsia" w:ascii="宋体" w:hAnsi="宋体" w:eastAsia="宋体" w:cs="宋体"/>
                <w:b w:val="0"/>
                <w:bCs w:val="0"/>
                <w:color w:val="auto"/>
                <w:sz w:val="24"/>
                <w:szCs w:val="24"/>
                <w:highlight w:val="none"/>
              </w:rPr>
            </w:pPr>
          </w:p>
        </w:tc>
        <w:tc>
          <w:tcPr>
            <w:tcW w:w="1221" w:type="dxa"/>
            <w:tcBorders>
              <w:bottom w:val="single" w:color="auto" w:sz="4" w:space="0"/>
            </w:tcBorders>
            <w:noWrap w:val="0"/>
            <w:vAlign w:val="center"/>
          </w:tcPr>
          <w:p w14:paraId="2708A32E">
            <w:pPr>
              <w:jc w:val="center"/>
              <w:rPr>
                <w:rFonts w:hint="eastAsia" w:ascii="宋体" w:hAnsi="宋体" w:eastAsia="宋体" w:cs="宋体"/>
                <w:b w:val="0"/>
                <w:bCs w:val="0"/>
                <w:color w:val="auto"/>
                <w:sz w:val="24"/>
                <w:szCs w:val="24"/>
                <w:highlight w:val="none"/>
              </w:rPr>
            </w:pPr>
          </w:p>
        </w:tc>
        <w:tc>
          <w:tcPr>
            <w:tcW w:w="1320" w:type="dxa"/>
            <w:tcBorders>
              <w:bottom w:val="single" w:color="auto" w:sz="4" w:space="0"/>
            </w:tcBorders>
            <w:noWrap w:val="0"/>
            <w:vAlign w:val="center"/>
          </w:tcPr>
          <w:p w14:paraId="0899A650">
            <w:pPr>
              <w:jc w:val="center"/>
              <w:rPr>
                <w:rFonts w:hint="eastAsia" w:ascii="宋体" w:hAnsi="宋体" w:eastAsia="宋体" w:cs="宋体"/>
                <w:b w:val="0"/>
                <w:bCs w:val="0"/>
                <w:color w:val="auto"/>
                <w:sz w:val="24"/>
                <w:szCs w:val="24"/>
                <w:highlight w:val="none"/>
              </w:rPr>
            </w:pPr>
          </w:p>
        </w:tc>
        <w:tc>
          <w:tcPr>
            <w:tcW w:w="1320" w:type="dxa"/>
            <w:tcBorders>
              <w:bottom w:val="single" w:color="auto" w:sz="4" w:space="0"/>
            </w:tcBorders>
            <w:noWrap w:val="0"/>
            <w:vAlign w:val="center"/>
          </w:tcPr>
          <w:p w14:paraId="73C031CD">
            <w:pPr>
              <w:jc w:val="center"/>
              <w:rPr>
                <w:rFonts w:hint="eastAsia" w:ascii="宋体" w:hAnsi="宋体" w:eastAsia="宋体" w:cs="宋体"/>
                <w:b w:val="0"/>
                <w:bCs w:val="0"/>
                <w:color w:val="auto"/>
                <w:sz w:val="24"/>
                <w:szCs w:val="24"/>
                <w:highlight w:val="none"/>
              </w:rPr>
            </w:pPr>
          </w:p>
        </w:tc>
        <w:tc>
          <w:tcPr>
            <w:tcW w:w="1197" w:type="dxa"/>
            <w:tcBorders>
              <w:bottom w:val="single" w:color="auto" w:sz="4" w:space="0"/>
            </w:tcBorders>
            <w:noWrap w:val="0"/>
            <w:vAlign w:val="center"/>
          </w:tcPr>
          <w:p w14:paraId="3C69D696">
            <w:pPr>
              <w:jc w:val="center"/>
              <w:rPr>
                <w:rFonts w:hint="eastAsia" w:ascii="宋体" w:hAnsi="宋体" w:eastAsia="宋体" w:cs="宋体"/>
                <w:b w:val="0"/>
                <w:bCs w:val="0"/>
                <w:color w:val="auto"/>
                <w:sz w:val="24"/>
                <w:szCs w:val="24"/>
                <w:highlight w:val="none"/>
              </w:rPr>
            </w:pPr>
          </w:p>
        </w:tc>
        <w:tc>
          <w:tcPr>
            <w:tcW w:w="745" w:type="dxa"/>
            <w:noWrap w:val="0"/>
            <w:vAlign w:val="center"/>
          </w:tcPr>
          <w:p w14:paraId="4382019B">
            <w:pPr>
              <w:jc w:val="center"/>
              <w:rPr>
                <w:rFonts w:hint="eastAsia" w:ascii="宋体" w:hAnsi="宋体" w:eastAsia="宋体" w:cs="宋体"/>
                <w:b w:val="0"/>
                <w:bCs w:val="0"/>
                <w:color w:val="auto"/>
                <w:sz w:val="24"/>
                <w:szCs w:val="24"/>
                <w:highlight w:val="none"/>
              </w:rPr>
            </w:pPr>
          </w:p>
        </w:tc>
      </w:tr>
      <w:tr w14:paraId="2D0A3A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797" w:type="dxa"/>
            <w:tcBorders>
              <w:bottom w:val="single" w:color="auto" w:sz="4" w:space="0"/>
            </w:tcBorders>
            <w:noWrap w:val="0"/>
            <w:vAlign w:val="center"/>
          </w:tcPr>
          <w:p w14:paraId="26CB66A4">
            <w:pPr>
              <w:jc w:val="center"/>
              <w:rPr>
                <w:rFonts w:hint="eastAsia" w:ascii="宋体" w:hAnsi="宋体" w:eastAsia="宋体" w:cs="宋体"/>
                <w:b w:val="0"/>
                <w:bCs w:val="0"/>
                <w:color w:val="auto"/>
                <w:sz w:val="24"/>
                <w:szCs w:val="24"/>
                <w:highlight w:val="none"/>
                <w:lang w:val="en-US" w:eastAsia="zh-CN"/>
              </w:rPr>
            </w:pPr>
          </w:p>
        </w:tc>
        <w:tc>
          <w:tcPr>
            <w:tcW w:w="1063" w:type="dxa"/>
            <w:tcBorders>
              <w:bottom w:val="single" w:color="auto" w:sz="4" w:space="0"/>
            </w:tcBorders>
            <w:noWrap w:val="0"/>
            <w:vAlign w:val="center"/>
          </w:tcPr>
          <w:p w14:paraId="702A66AE">
            <w:pPr>
              <w:jc w:val="left"/>
              <w:rPr>
                <w:rFonts w:hint="eastAsia" w:ascii="宋体" w:hAnsi="宋体" w:eastAsia="宋体" w:cs="宋体"/>
                <w:b w:val="0"/>
                <w:bCs w:val="0"/>
                <w:color w:val="auto"/>
                <w:sz w:val="24"/>
                <w:szCs w:val="24"/>
                <w:highlight w:val="none"/>
              </w:rPr>
            </w:pPr>
          </w:p>
        </w:tc>
        <w:tc>
          <w:tcPr>
            <w:tcW w:w="1199" w:type="dxa"/>
            <w:tcBorders>
              <w:bottom w:val="single" w:color="auto" w:sz="4" w:space="0"/>
            </w:tcBorders>
            <w:noWrap w:val="0"/>
            <w:vAlign w:val="center"/>
          </w:tcPr>
          <w:p w14:paraId="77FA6CE0">
            <w:pPr>
              <w:rPr>
                <w:rFonts w:hint="eastAsia" w:ascii="宋体" w:hAnsi="宋体" w:eastAsia="宋体" w:cs="宋体"/>
                <w:b w:val="0"/>
                <w:bCs w:val="0"/>
                <w:color w:val="auto"/>
                <w:sz w:val="24"/>
                <w:szCs w:val="24"/>
                <w:highlight w:val="none"/>
              </w:rPr>
            </w:pPr>
          </w:p>
        </w:tc>
        <w:tc>
          <w:tcPr>
            <w:tcW w:w="1221" w:type="dxa"/>
            <w:tcBorders>
              <w:bottom w:val="single" w:color="auto" w:sz="4" w:space="0"/>
            </w:tcBorders>
            <w:noWrap w:val="0"/>
            <w:vAlign w:val="center"/>
          </w:tcPr>
          <w:p w14:paraId="46C8B665">
            <w:pPr>
              <w:jc w:val="center"/>
              <w:rPr>
                <w:rFonts w:hint="eastAsia" w:ascii="宋体" w:hAnsi="宋体" w:eastAsia="宋体" w:cs="宋体"/>
                <w:b w:val="0"/>
                <w:bCs w:val="0"/>
                <w:color w:val="auto"/>
                <w:sz w:val="24"/>
                <w:szCs w:val="24"/>
                <w:highlight w:val="none"/>
              </w:rPr>
            </w:pPr>
          </w:p>
        </w:tc>
        <w:tc>
          <w:tcPr>
            <w:tcW w:w="1320" w:type="dxa"/>
            <w:tcBorders>
              <w:bottom w:val="single" w:color="auto" w:sz="4" w:space="0"/>
            </w:tcBorders>
            <w:noWrap w:val="0"/>
            <w:vAlign w:val="center"/>
          </w:tcPr>
          <w:p w14:paraId="1E637D42">
            <w:pPr>
              <w:jc w:val="center"/>
              <w:rPr>
                <w:rFonts w:hint="eastAsia" w:ascii="宋体" w:hAnsi="宋体" w:eastAsia="宋体" w:cs="宋体"/>
                <w:b w:val="0"/>
                <w:bCs w:val="0"/>
                <w:color w:val="auto"/>
                <w:sz w:val="24"/>
                <w:szCs w:val="24"/>
                <w:highlight w:val="none"/>
              </w:rPr>
            </w:pPr>
          </w:p>
        </w:tc>
        <w:tc>
          <w:tcPr>
            <w:tcW w:w="1320" w:type="dxa"/>
            <w:tcBorders>
              <w:bottom w:val="single" w:color="auto" w:sz="4" w:space="0"/>
            </w:tcBorders>
            <w:noWrap w:val="0"/>
            <w:vAlign w:val="center"/>
          </w:tcPr>
          <w:p w14:paraId="713EB941">
            <w:pPr>
              <w:jc w:val="center"/>
              <w:rPr>
                <w:rFonts w:hint="eastAsia" w:ascii="宋体" w:hAnsi="宋体" w:eastAsia="宋体" w:cs="宋体"/>
                <w:b w:val="0"/>
                <w:bCs w:val="0"/>
                <w:color w:val="auto"/>
                <w:sz w:val="24"/>
                <w:szCs w:val="24"/>
                <w:highlight w:val="none"/>
              </w:rPr>
            </w:pPr>
          </w:p>
        </w:tc>
        <w:tc>
          <w:tcPr>
            <w:tcW w:w="1197" w:type="dxa"/>
            <w:tcBorders>
              <w:bottom w:val="single" w:color="auto" w:sz="4" w:space="0"/>
            </w:tcBorders>
            <w:noWrap w:val="0"/>
            <w:vAlign w:val="center"/>
          </w:tcPr>
          <w:p w14:paraId="079BB2B9">
            <w:pPr>
              <w:jc w:val="center"/>
              <w:rPr>
                <w:rFonts w:hint="eastAsia" w:ascii="宋体" w:hAnsi="宋体" w:eastAsia="宋体" w:cs="宋体"/>
                <w:b w:val="0"/>
                <w:bCs w:val="0"/>
                <w:color w:val="auto"/>
                <w:sz w:val="24"/>
                <w:szCs w:val="24"/>
                <w:highlight w:val="none"/>
              </w:rPr>
            </w:pPr>
          </w:p>
        </w:tc>
        <w:tc>
          <w:tcPr>
            <w:tcW w:w="745" w:type="dxa"/>
            <w:noWrap w:val="0"/>
            <w:vAlign w:val="center"/>
          </w:tcPr>
          <w:p w14:paraId="6F1A62DF">
            <w:pPr>
              <w:jc w:val="center"/>
              <w:rPr>
                <w:rFonts w:hint="eastAsia" w:ascii="宋体" w:hAnsi="宋体" w:eastAsia="宋体" w:cs="宋体"/>
                <w:b w:val="0"/>
                <w:bCs w:val="0"/>
                <w:color w:val="auto"/>
                <w:sz w:val="24"/>
                <w:szCs w:val="24"/>
                <w:highlight w:val="none"/>
              </w:rPr>
            </w:pPr>
          </w:p>
        </w:tc>
      </w:tr>
      <w:tr w14:paraId="53076B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797" w:type="dxa"/>
            <w:tcBorders>
              <w:bottom w:val="single" w:color="auto" w:sz="4" w:space="0"/>
            </w:tcBorders>
            <w:noWrap w:val="0"/>
            <w:vAlign w:val="center"/>
          </w:tcPr>
          <w:p w14:paraId="32AFA13A">
            <w:pPr>
              <w:jc w:val="center"/>
              <w:rPr>
                <w:rFonts w:hint="eastAsia" w:ascii="宋体" w:hAnsi="宋体" w:eastAsia="宋体" w:cs="宋体"/>
                <w:b w:val="0"/>
                <w:bCs w:val="0"/>
                <w:color w:val="auto"/>
                <w:sz w:val="24"/>
                <w:szCs w:val="24"/>
                <w:highlight w:val="none"/>
                <w:lang w:val="en-US" w:eastAsia="zh-CN"/>
              </w:rPr>
            </w:pPr>
          </w:p>
        </w:tc>
        <w:tc>
          <w:tcPr>
            <w:tcW w:w="1063" w:type="dxa"/>
            <w:tcBorders>
              <w:bottom w:val="single" w:color="auto" w:sz="4" w:space="0"/>
            </w:tcBorders>
            <w:noWrap w:val="0"/>
            <w:vAlign w:val="center"/>
          </w:tcPr>
          <w:p w14:paraId="1E508A9C">
            <w:pPr>
              <w:jc w:val="left"/>
              <w:rPr>
                <w:rFonts w:hint="eastAsia" w:ascii="宋体" w:hAnsi="宋体" w:eastAsia="宋体" w:cs="宋体"/>
                <w:b w:val="0"/>
                <w:bCs w:val="0"/>
                <w:color w:val="auto"/>
                <w:sz w:val="24"/>
                <w:szCs w:val="24"/>
                <w:highlight w:val="none"/>
              </w:rPr>
            </w:pPr>
          </w:p>
        </w:tc>
        <w:tc>
          <w:tcPr>
            <w:tcW w:w="1199" w:type="dxa"/>
            <w:tcBorders>
              <w:bottom w:val="single" w:color="auto" w:sz="4" w:space="0"/>
            </w:tcBorders>
            <w:noWrap w:val="0"/>
            <w:vAlign w:val="center"/>
          </w:tcPr>
          <w:p w14:paraId="6317802A">
            <w:pPr>
              <w:rPr>
                <w:rFonts w:hint="eastAsia" w:ascii="宋体" w:hAnsi="宋体" w:eastAsia="宋体" w:cs="宋体"/>
                <w:b w:val="0"/>
                <w:bCs w:val="0"/>
                <w:color w:val="auto"/>
                <w:sz w:val="24"/>
                <w:szCs w:val="24"/>
                <w:highlight w:val="none"/>
              </w:rPr>
            </w:pPr>
          </w:p>
        </w:tc>
        <w:tc>
          <w:tcPr>
            <w:tcW w:w="1221" w:type="dxa"/>
            <w:tcBorders>
              <w:bottom w:val="single" w:color="auto" w:sz="4" w:space="0"/>
            </w:tcBorders>
            <w:noWrap w:val="0"/>
            <w:vAlign w:val="center"/>
          </w:tcPr>
          <w:p w14:paraId="32ACC9C8">
            <w:pPr>
              <w:jc w:val="center"/>
              <w:rPr>
                <w:rFonts w:hint="eastAsia" w:ascii="宋体" w:hAnsi="宋体" w:eastAsia="宋体" w:cs="宋体"/>
                <w:b w:val="0"/>
                <w:bCs w:val="0"/>
                <w:color w:val="auto"/>
                <w:sz w:val="24"/>
                <w:szCs w:val="24"/>
                <w:highlight w:val="none"/>
              </w:rPr>
            </w:pPr>
          </w:p>
        </w:tc>
        <w:tc>
          <w:tcPr>
            <w:tcW w:w="1320" w:type="dxa"/>
            <w:tcBorders>
              <w:bottom w:val="single" w:color="auto" w:sz="4" w:space="0"/>
            </w:tcBorders>
            <w:noWrap w:val="0"/>
            <w:vAlign w:val="center"/>
          </w:tcPr>
          <w:p w14:paraId="41BEFD7C">
            <w:pPr>
              <w:jc w:val="center"/>
              <w:rPr>
                <w:rFonts w:hint="eastAsia" w:ascii="宋体" w:hAnsi="宋体" w:eastAsia="宋体" w:cs="宋体"/>
                <w:b w:val="0"/>
                <w:bCs w:val="0"/>
                <w:color w:val="auto"/>
                <w:sz w:val="24"/>
                <w:szCs w:val="24"/>
                <w:highlight w:val="none"/>
              </w:rPr>
            </w:pPr>
          </w:p>
        </w:tc>
        <w:tc>
          <w:tcPr>
            <w:tcW w:w="1320" w:type="dxa"/>
            <w:tcBorders>
              <w:bottom w:val="single" w:color="auto" w:sz="4" w:space="0"/>
            </w:tcBorders>
            <w:noWrap w:val="0"/>
            <w:vAlign w:val="center"/>
          </w:tcPr>
          <w:p w14:paraId="67EFEE0E">
            <w:pPr>
              <w:jc w:val="center"/>
              <w:rPr>
                <w:rFonts w:hint="eastAsia" w:ascii="宋体" w:hAnsi="宋体" w:eastAsia="宋体" w:cs="宋体"/>
                <w:b w:val="0"/>
                <w:bCs w:val="0"/>
                <w:color w:val="auto"/>
                <w:sz w:val="24"/>
                <w:szCs w:val="24"/>
                <w:highlight w:val="none"/>
              </w:rPr>
            </w:pPr>
          </w:p>
        </w:tc>
        <w:tc>
          <w:tcPr>
            <w:tcW w:w="1197" w:type="dxa"/>
            <w:tcBorders>
              <w:bottom w:val="single" w:color="auto" w:sz="4" w:space="0"/>
            </w:tcBorders>
            <w:noWrap w:val="0"/>
            <w:vAlign w:val="center"/>
          </w:tcPr>
          <w:p w14:paraId="35BB79E6">
            <w:pPr>
              <w:jc w:val="center"/>
              <w:rPr>
                <w:rFonts w:hint="eastAsia" w:ascii="宋体" w:hAnsi="宋体" w:eastAsia="宋体" w:cs="宋体"/>
                <w:b w:val="0"/>
                <w:bCs w:val="0"/>
                <w:color w:val="auto"/>
                <w:sz w:val="24"/>
                <w:szCs w:val="24"/>
                <w:highlight w:val="none"/>
              </w:rPr>
            </w:pPr>
          </w:p>
        </w:tc>
        <w:tc>
          <w:tcPr>
            <w:tcW w:w="745" w:type="dxa"/>
            <w:noWrap w:val="0"/>
            <w:vAlign w:val="center"/>
          </w:tcPr>
          <w:p w14:paraId="5D6EDF4C">
            <w:pPr>
              <w:jc w:val="center"/>
              <w:rPr>
                <w:rFonts w:hint="eastAsia" w:ascii="宋体" w:hAnsi="宋体" w:eastAsia="宋体" w:cs="宋体"/>
                <w:b w:val="0"/>
                <w:bCs w:val="0"/>
                <w:color w:val="auto"/>
                <w:sz w:val="24"/>
                <w:szCs w:val="24"/>
                <w:highlight w:val="none"/>
              </w:rPr>
            </w:pPr>
          </w:p>
        </w:tc>
      </w:tr>
      <w:tr w14:paraId="22DBDC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797" w:type="dxa"/>
            <w:tcBorders>
              <w:bottom w:val="single" w:color="auto" w:sz="4" w:space="0"/>
            </w:tcBorders>
            <w:noWrap w:val="0"/>
            <w:vAlign w:val="center"/>
          </w:tcPr>
          <w:p w14:paraId="7919ADD8">
            <w:pPr>
              <w:jc w:val="center"/>
              <w:rPr>
                <w:rFonts w:hint="eastAsia" w:ascii="宋体" w:hAnsi="宋体" w:eastAsia="宋体" w:cs="宋体"/>
                <w:b w:val="0"/>
                <w:bCs w:val="0"/>
                <w:color w:val="auto"/>
                <w:sz w:val="24"/>
                <w:szCs w:val="24"/>
                <w:highlight w:val="none"/>
                <w:lang w:val="en-US" w:eastAsia="zh-CN"/>
              </w:rPr>
            </w:pPr>
          </w:p>
        </w:tc>
        <w:tc>
          <w:tcPr>
            <w:tcW w:w="1063" w:type="dxa"/>
            <w:tcBorders>
              <w:bottom w:val="single" w:color="auto" w:sz="4" w:space="0"/>
            </w:tcBorders>
            <w:noWrap w:val="0"/>
            <w:vAlign w:val="center"/>
          </w:tcPr>
          <w:p w14:paraId="63132C64">
            <w:pPr>
              <w:jc w:val="left"/>
              <w:rPr>
                <w:rFonts w:hint="eastAsia" w:ascii="宋体" w:hAnsi="宋体" w:eastAsia="宋体" w:cs="宋体"/>
                <w:b w:val="0"/>
                <w:bCs w:val="0"/>
                <w:color w:val="auto"/>
                <w:sz w:val="24"/>
                <w:szCs w:val="24"/>
                <w:highlight w:val="none"/>
              </w:rPr>
            </w:pPr>
          </w:p>
        </w:tc>
        <w:tc>
          <w:tcPr>
            <w:tcW w:w="1199" w:type="dxa"/>
            <w:tcBorders>
              <w:bottom w:val="single" w:color="auto" w:sz="4" w:space="0"/>
            </w:tcBorders>
            <w:noWrap w:val="0"/>
            <w:vAlign w:val="center"/>
          </w:tcPr>
          <w:p w14:paraId="4B61F811">
            <w:pPr>
              <w:rPr>
                <w:rFonts w:hint="eastAsia" w:ascii="宋体" w:hAnsi="宋体" w:eastAsia="宋体" w:cs="宋体"/>
                <w:b w:val="0"/>
                <w:bCs w:val="0"/>
                <w:color w:val="auto"/>
                <w:sz w:val="24"/>
                <w:szCs w:val="24"/>
                <w:highlight w:val="none"/>
              </w:rPr>
            </w:pPr>
          </w:p>
        </w:tc>
        <w:tc>
          <w:tcPr>
            <w:tcW w:w="1221" w:type="dxa"/>
            <w:tcBorders>
              <w:bottom w:val="single" w:color="auto" w:sz="4" w:space="0"/>
            </w:tcBorders>
            <w:noWrap w:val="0"/>
            <w:vAlign w:val="center"/>
          </w:tcPr>
          <w:p w14:paraId="6C27F6A4">
            <w:pPr>
              <w:jc w:val="center"/>
              <w:rPr>
                <w:rFonts w:hint="eastAsia" w:ascii="宋体" w:hAnsi="宋体" w:eastAsia="宋体" w:cs="宋体"/>
                <w:b w:val="0"/>
                <w:bCs w:val="0"/>
                <w:color w:val="auto"/>
                <w:sz w:val="24"/>
                <w:szCs w:val="24"/>
                <w:highlight w:val="none"/>
              </w:rPr>
            </w:pPr>
          </w:p>
        </w:tc>
        <w:tc>
          <w:tcPr>
            <w:tcW w:w="1320" w:type="dxa"/>
            <w:tcBorders>
              <w:bottom w:val="single" w:color="auto" w:sz="4" w:space="0"/>
            </w:tcBorders>
            <w:noWrap w:val="0"/>
            <w:vAlign w:val="center"/>
          </w:tcPr>
          <w:p w14:paraId="386C0FD8">
            <w:pPr>
              <w:jc w:val="center"/>
              <w:rPr>
                <w:rFonts w:hint="eastAsia" w:ascii="宋体" w:hAnsi="宋体" w:eastAsia="宋体" w:cs="宋体"/>
                <w:b w:val="0"/>
                <w:bCs w:val="0"/>
                <w:color w:val="auto"/>
                <w:sz w:val="24"/>
                <w:szCs w:val="24"/>
                <w:highlight w:val="none"/>
              </w:rPr>
            </w:pPr>
          </w:p>
        </w:tc>
        <w:tc>
          <w:tcPr>
            <w:tcW w:w="1320" w:type="dxa"/>
            <w:tcBorders>
              <w:bottom w:val="single" w:color="auto" w:sz="4" w:space="0"/>
            </w:tcBorders>
            <w:noWrap w:val="0"/>
            <w:vAlign w:val="center"/>
          </w:tcPr>
          <w:p w14:paraId="5591405D">
            <w:pPr>
              <w:jc w:val="center"/>
              <w:rPr>
                <w:rFonts w:hint="eastAsia" w:ascii="宋体" w:hAnsi="宋体" w:eastAsia="宋体" w:cs="宋体"/>
                <w:b w:val="0"/>
                <w:bCs w:val="0"/>
                <w:color w:val="auto"/>
                <w:sz w:val="24"/>
                <w:szCs w:val="24"/>
                <w:highlight w:val="none"/>
              </w:rPr>
            </w:pPr>
          </w:p>
        </w:tc>
        <w:tc>
          <w:tcPr>
            <w:tcW w:w="1197" w:type="dxa"/>
            <w:tcBorders>
              <w:bottom w:val="single" w:color="auto" w:sz="4" w:space="0"/>
            </w:tcBorders>
            <w:noWrap w:val="0"/>
            <w:vAlign w:val="center"/>
          </w:tcPr>
          <w:p w14:paraId="2D4AF843">
            <w:pPr>
              <w:jc w:val="center"/>
              <w:rPr>
                <w:rFonts w:hint="eastAsia" w:ascii="宋体" w:hAnsi="宋体" w:eastAsia="宋体" w:cs="宋体"/>
                <w:b w:val="0"/>
                <w:bCs w:val="0"/>
                <w:color w:val="auto"/>
                <w:sz w:val="24"/>
                <w:szCs w:val="24"/>
                <w:highlight w:val="none"/>
              </w:rPr>
            </w:pPr>
          </w:p>
        </w:tc>
        <w:tc>
          <w:tcPr>
            <w:tcW w:w="745" w:type="dxa"/>
            <w:noWrap w:val="0"/>
            <w:vAlign w:val="center"/>
          </w:tcPr>
          <w:p w14:paraId="48696BE4">
            <w:pPr>
              <w:jc w:val="center"/>
              <w:rPr>
                <w:rFonts w:hint="eastAsia" w:ascii="宋体" w:hAnsi="宋体" w:eastAsia="宋体" w:cs="宋体"/>
                <w:b w:val="0"/>
                <w:bCs w:val="0"/>
                <w:color w:val="auto"/>
                <w:sz w:val="24"/>
                <w:szCs w:val="24"/>
                <w:highlight w:val="none"/>
              </w:rPr>
            </w:pPr>
          </w:p>
        </w:tc>
      </w:tr>
    </w:tbl>
    <w:p w14:paraId="6525601A">
      <w:pPr>
        <w:rPr>
          <w:rFonts w:hint="default"/>
          <w:color w:val="auto"/>
          <w:highlight w:val="none"/>
          <w:lang w:val="en-US" w:eastAsia="zh-CN"/>
        </w:rPr>
      </w:pPr>
    </w:p>
    <w:p w14:paraId="0D601738">
      <w:pPr>
        <w:pStyle w:val="27"/>
        <w:rPr>
          <w:rFonts w:hint="eastAsia" w:ascii="宋体" w:hAnsi="宋体" w:eastAsia="宋体" w:cs="宋体"/>
          <w:color w:val="auto"/>
          <w:highlight w:val="none"/>
          <w:lang w:val="en-US" w:eastAsia="zh-CN"/>
        </w:rPr>
      </w:pPr>
      <w:r>
        <w:rPr>
          <w:rFonts w:hint="eastAsia" w:ascii="宋体" w:hAnsi="宋体" w:eastAsia="宋体" w:cs="宋体"/>
          <w:b w:val="0"/>
          <w:bCs w:val="0"/>
          <w:color w:val="auto"/>
          <w:sz w:val="24"/>
          <w:szCs w:val="24"/>
          <w:highlight w:val="none"/>
          <w:lang w:val="en-US" w:eastAsia="zh-CN"/>
        </w:rPr>
        <w:t>注：</w:t>
      </w:r>
      <w:r>
        <w:rPr>
          <w:rFonts w:hint="eastAsia" w:ascii="宋体" w:hAnsi="宋体" w:eastAsia="宋体" w:cs="宋体"/>
          <w:b w:val="0"/>
          <w:bCs w:val="0"/>
          <w:color w:val="auto"/>
          <w:sz w:val="24"/>
          <w:szCs w:val="24"/>
          <w:highlight w:val="none"/>
        </w:rPr>
        <w:t>在维护作业期间，如有需维修更换的零部件材料费按</w:t>
      </w:r>
      <w:r>
        <w:rPr>
          <w:rFonts w:hint="eastAsia" w:ascii="宋体" w:hAnsi="宋体" w:cs="宋体"/>
          <w:b w:val="0"/>
          <w:bCs w:val="0"/>
          <w:color w:val="auto"/>
          <w:sz w:val="24"/>
          <w:szCs w:val="24"/>
          <w:highlight w:val="none"/>
          <w:lang w:val="en-US" w:eastAsia="zh-CN"/>
        </w:rPr>
        <w:t>此表</w:t>
      </w:r>
      <w:r>
        <w:rPr>
          <w:rFonts w:hint="eastAsia" w:ascii="宋体" w:hAnsi="宋体" w:eastAsia="宋体" w:cs="宋体"/>
          <w:b w:val="0"/>
          <w:bCs w:val="0"/>
          <w:color w:val="auto"/>
          <w:sz w:val="24"/>
          <w:szCs w:val="24"/>
          <w:highlight w:val="none"/>
        </w:rPr>
        <w:t>报配件价格执行</w:t>
      </w:r>
      <w:r>
        <w:rPr>
          <w:rFonts w:hint="eastAsia" w:ascii="宋体" w:hAnsi="宋体" w:cs="宋体"/>
          <w:b w:val="0"/>
          <w:bCs w:val="0"/>
          <w:color w:val="auto"/>
          <w:sz w:val="24"/>
          <w:szCs w:val="24"/>
          <w:highlight w:val="none"/>
          <w:lang w:eastAsia="zh-CN"/>
        </w:rPr>
        <w:t>。</w:t>
      </w:r>
    </w:p>
    <w:p w14:paraId="3F5380A8">
      <w:pPr>
        <w:pStyle w:val="27"/>
        <w:rPr>
          <w:rFonts w:hint="eastAsia" w:ascii="宋体" w:hAnsi="宋体" w:eastAsia="宋体" w:cs="宋体"/>
          <w:color w:val="auto"/>
          <w:highlight w:val="none"/>
        </w:rPr>
      </w:pPr>
    </w:p>
    <w:p w14:paraId="42D10451">
      <w:pPr>
        <w:pStyle w:val="27"/>
        <w:rPr>
          <w:rFonts w:hint="eastAsia" w:ascii="宋体" w:hAnsi="宋体" w:eastAsia="宋体" w:cs="宋体"/>
          <w:color w:val="auto"/>
          <w:highlight w:val="none"/>
        </w:rPr>
      </w:pPr>
    </w:p>
    <w:p w14:paraId="11B4D58D">
      <w:pPr>
        <w:pStyle w:val="27"/>
        <w:rPr>
          <w:rFonts w:hint="eastAsia" w:ascii="宋体" w:hAnsi="宋体" w:eastAsia="宋体" w:cs="宋体"/>
          <w:color w:val="auto"/>
          <w:highlight w:val="none"/>
        </w:rPr>
      </w:pPr>
    </w:p>
    <w:p w14:paraId="155089B8">
      <w:pPr>
        <w:pStyle w:val="27"/>
        <w:rPr>
          <w:rFonts w:hint="eastAsia" w:ascii="宋体" w:hAnsi="宋体" w:eastAsia="宋体" w:cs="宋体"/>
          <w:color w:val="auto"/>
          <w:highlight w:val="none"/>
        </w:rPr>
      </w:pPr>
    </w:p>
    <w:p w14:paraId="757C3DF6">
      <w:pPr>
        <w:pStyle w:val="27"/>
        <w:rPr>
          <w:rFonts w:hint="eastAsia" w:ascii="宋体" w:hAnsi="宋体" w:eastAsia="宋体" w:cs="宋体"/>
          <w:color w:val="auto"/>
          <w:highlight w:val="none"/>
        </w:rPr>
      </w:pPr>
    </w:p>
    <w:p w14:paraId="57E998D1">
      <w:pPr>
        <w:pStyle w:val="27"/>
        <w:rPr>
          <w:rFonts w:hint="eastAsia" w:ascii="宋体" w:hAnsi="宋体" w:eastAsia="宋体" w:cs="宋体"/>
          <w:color w:val="auto"/>
          <w:highlight w:val="none"/>
        </w:rPr>
      </w:pPr>
    </w:p>
    <w:p w14:paraId="2D1D9DCA">
      <w:pPr>
        <w:spacing w:line="600" w:lineRule="exact"/>
        <w:ind w:firstLine="5520" w:firstLineChars="2300"/>
        <w:rPr>
          <w:rFonts w:hint="eastAsia" w:ascii="宋体" w:hAnsi="宋体" w:eastAsia="宋体" w:cs="宋体"/>
          <w:color w:val="auto"/>
          <w:sz w:val="24"/>
          <w:highlight w:val="none"/>
        </w:rPr>
      </w:pPr>
      <w:r>
        <w:rPr>
          <w:rFonts w:hint="eastAsia" w:ascii="宋体" w:hAnsi="宋体" w:eastAsia="宋体" w:cs="宋体"/>
          <w:color w:val="auto"/>
          <w:sz w:val="24"/>
          <w:highlight w:val="none"/>
        </w:rPr>
        <w:t xml:space="preserve">供应商（公章）：                     </w:t>
      </w:r>
    </w:p>
    <w:p w14:paraId="3A96B4B4">
      <w:pPr>
        <w:spacing w:line="600" w:lineRule="exact"/>
        <w:ind w:firstLine="2880" w:firstLineChars="1200"/>
        <w:rPr>
          <w:rFonts w:hint="eastAsia" w:ascii="宋体" w:hAnsi="宋体" w:eastAsia="宋体" w:cs="宋体"/>
          <w:color w:val="auto"/>
          <w:sz w:val="24"/>
          <w:highlight w:val="none"/>
        </w:rPr>
      </w:pPr>
      <w:r>
        <w:rPr>
          <w:rFonts w:hint="eastAsia" w:ascii="宋体" w:hAnsi="宋体" w:eastAsia="宋体" w:cs="宋体"/>
          <w:color w:val="auto"/>
          <w:sz w:val="24"/>
          <w:highlight w:val="none"/>
        </w:rPr>
        <w:t>法定代表人或授权委托人（签字或盖章）：</w:t>
      </w:r>
    </w:p>
    <w:p w14:paraId="7BDCBA4B">
      <w:pPr>
        <w:pStyle w:val="16"/>
        <w:rPr>
          <w:rFonts w:hint="eastAsia" w:ascii="宋体" w:hAnsi="宋体" w:eastAsia="宋体" w:cs="宋体"/>
          <w:color w:val="auto"/>
          <w:highlight w:val="none"/>
        </w:rPr>
      </w:pPr>
      <w:r>
        <w:rPr>
          <w:rFonts w:hint="eastAsia" w:ascii="宋体" w:hAnsi="宋体" w:eastAsia="宋体" w:cs="宋体"/>
          <w:color w:val="auto"/>
          <w:sz w:val="24"/>
          <w:highlight w:val="none"/>
        </w:rPr>
        <w:t xml:space="preserve">                                           日期：    年   月   日</w:t>
      </w:r>
    </w:p>
    <w:p w14:paraId="0ACE5E35">
      <w:pPr>
        <w:pStyle w:val="27"/>
        <w:rPr>
          <w:rFonts w:hint="eastAsia" w:ascii="宋体" w:hAnsi="宋体" w:eastAsia="宋体" w:cs="宋体"/>
          <w:color w:val="auto"/>
          <w:highlight w:val="none"/>
        </w:rPr>
      </w:pPr>
    </w:p>
    <w:p w14:paraId="797684D4">
      <w:pPr>
        <w:pStyle w:val="27"/>
        <w:rPr>
          <w:rFonts w:hint="eastAsia" w:ascii="宋体" w:hAnsi="宋体" w:eastAsia="宋体" w:cs="宋体"/>
          <w:color w:val="auto"/>
          <w:highlight w:val="none"/>
        </w:rPr>
      </w:pPr>
    </w:p>
    <w:p w14:paraId="51D02E3F">
      <w:pPr>
        <w:pStyle w:val="27"/>
        <w:rPr>
          <w:rFonts w:hint="eastAsia" w:ascii="宋体" w:hAnsi="宋体" w:eastAsia="宋体" w:cs="宋体"/>
          <w:color w:val="auto"/>
          <w:highlight w:val="none"/>
        </w:rPr>
      </w:pPr>
    </w:p>
    <w:p w14:paraId="212DD6A4">
      <w:pPr>
        <w:pStyle w:val="27"/>
        <w:rPr>
          <w:rFonts w:hint="eastAsia" w:ascii="宋体" w:hAnsi="宋体" w:eastAsia="宋体" w:cs="宋体"/>
          <w:color w:val="auto"/>
          <w:highlight w:val="none"/>
        </w:rPr>
      </w:pPr>
    </w:p>
    <w:p w14:paraId="3B212161">
      <w:pPr>
        <w:pStyle w:val="27"/>
        <w:rPr>
          <w:rFonts w:hint="eastAsia" w:ascii="宋体" w:hAnsi="宋体" w:eastAsia="宋体" w:cs="宋体"/>
          <w:color w:val="auto"/>
          <w:highlight w:val="none"/>
        </w:rPr>
      </w:pPr>
    </w:p>
    <w:p w14:paraId="1501A03D">
      <w:pPr>
        <w:pStyle w:val="27"/>
        <w:rPr>
          <w:rFonts w:hint="eastAsia" w:ascii="宋体" w:hAnsi="宋体" w:eastAsia="宋体" w:cs="宋体"/>
          <w:color w:val="auto"/>
          <w:highlight w:val="none"/>
        </w:rPr>
      </w:pPr>
    </w:p>
    <w:p w14:paraId="13A93F2C">
      <w:pPr>
        <w:pStyle w:val="27"/>
        <w:rPr>
          <w:rFonts w:hint="eastAsia" w:ascii="宋体" w:hAnsi="宋体" w:eastAsia="宋体" w:cs="宋体"/>
          <w:color w:val="auto"/>
          <w:highlight w:val="none"/>
        </w:rPr>
      </w:pPr>
    </w:p>
    <w:p w14:paraId="04595BA6">
      <w:pPr>
        <w:numPr>
          <w:ilvl w:val="0"/>
          <w:numId w:val="10"/>
        </w:numPr>
        <w:ind w:firstLine="3080" w:firstLineChars="1100"/>
        <w:rPr>
          <w:rFonts w:hint="eastAsia" w:ascii="宋体" w:hAnsi="宋体" w:eastAsia="宋体" w:cs="宋体"/>
          <w:b w:val="0"/>
          <w:bCs w:val="0"/>
          <w:color w:val="auto"/>
          <w:sz w:val="28"/>
          <w:szCs w:val="28"/>
          <w:highlight w:val="none"/>
        </w:rPr>
      </w:pPr>
      <w:r>
        <w:rPr>
          <w:rFonts w:hint="eastAsia" w:ascii="宋体" w:hAnsi="宋体" w:eastAsia="宋体" w:cs="宋体"/>
          <w:b w:val="0"/>
          <w:bCs w:val="0"/>
          <w:color w:val="auto"/>
          <w:sz w:val="28"/>
          <w:szCs w:val="28"/>
          <w:highlight w:val="none"/>
        </w:rPr>
        <w:t>服务偏离表</w:t>
      </w:r>
    </w:p>
    <w:p w14:paraId="50390AFC">
      <w:pPr>
        <w:autoSpaceDE w:val="0"/>
        <w:autoSpaceDN w:val="0"/>
        <w:adjustRightInd w:val="0"/>
        <w:snapToGrid w:val="0"/>
        <w:spacing w:line="360" w:lineRule="auto"/>
        <w:ind w:firstLine="480" w:firstLineChars="200"/>
        <w:jc w:val="left"/>
        <w:rPr>
          <w:rFonts w:hint="eastAsia" w:ascii="宋体" w:hAnsi="宋体" w:eastAsia="宋体" w:cs="宋体"/>
          <w:bCs/>
          <w:color w:val="auto"/>
          <w:sz w:val="24"/>
          <w:szCs w:val="24"/>
          <w:highlight w:val="none"/>
          <w:lang w:val="zh-CN"/>
        </w:rPr>
      </w:pPr>
      <w:r>
        <w:rPr>
          <w:rFonts w:hint="eastAsia" w:ascii="宋体" w:hAnsi="宋体" w:eastAsia="宋体" w:cs="宋体"/>
          <w:bCs/>
          <w:color w:val="auto"/>
          <w:sz w:val="24"/>
          <w:szCs w:val="24"/>
          <w:highlight w:val="none"/>
          <w:lang w:val="zh-CN"/>
        </w:rPr>
        <w:t>项目名称：</w:t>
      </w:r>
    </w:p>
    <w:p w14:paraId="4D25F259">
      <w:pPr>
        <w:pStyle w:val="23"/>
        <w:numPr>
          <w:ilvl w:val="0"/>
          <w:numId w:val="0"/>
        </w:numPr>
        <w:ind w:firstLine="480" w:firstLineChars="200"/>
        <w:rPr>
          <w:rFonts w:hint="eastAsia" w:ascii="宋体" w:hAnsi="宋体" w:eastAsia="宋体" w:cs="宋体"/>
          <w:color w:val="auto"/>
          <w:highlight w:val="none"/>
        </w:rPr>
      </w:pPr>
      <w:r>
        <w:rPr>
          <w:rFonts w:hint="eastAsia" w:ascii="宋体" w:hAnsi="宋体" w:eastAsia="宋体" w:cs="宋体"/>
          <w:bCs/>
          <w:color w:val="auto"/>
          <w:sz w:val="24"/>
          <w:szCs w:val="24"/>
          <w:highlight w:val="none"/>
          <w:lang w:val="zh-CN"/>
        </w:rPr>
        <w:t>项目编号：</w:t>
      </w:r>
    </w:p>
    <w:tbl>
      <w:tblPr>
        <w:tblStyle w:val="4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3"/>
        <w:gridCol w:w="1985"/>
        <w:gridCol w:w="1873"/>
        <w:gridCol w:w="1821"/>
        <w:gridCol w:w="1410"/>
        <w:gridCol w:w="1305"/>
      </w:tblGrid>
      <w:tr w14:paraId="1DB6DB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8" w:hRule="atLeast"/>
          <w:jc w:val="center"/>
        </w:trPr>
        <w:tc>
          <w:tcPr>
            <w:tcW w:w="893" w:type="dxa"/>
            <w:noWrap w:val="0"/>
            <w:vAlign w:val="center"/>
          </w:tcPr>
          <w:p w14:paraId="1457DDE2">
            <w:pPr>
              <w:spacing w:line="40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序号</w:t>
            </w:r>
          </w:p>
        </w:tc>
        <w:tc>
          <w:tcPr>
            <w:tcW w:w="1985" w:type="dxa"/>
            <w:noWrap w:val="0"/>
            <w:vAlign w:val="center"/>
          </w:tcPr>
          <w:p w14:paraId="28F2CD70">
            <w:pPr>
              <w:spacing w:line="40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磋商文件条目号</w:t>
            </w:r>
          </w:p>
        </w:tc>
        <w:tc>
          <w:tcPr>
            <w:tcW w:w="1873" w:type="dxa"/>
            <w:noWrap w:val="0"/>
            <w:vAlign w:val="center"/>
          </w:tcPr>
          <w:p w14:paraId="4411556D">
            <w:pPr>
              <w:spacing w:line="40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磋商要求</w:t>
            </w:r>
          </w:p>
        </w:tc>
        <w:tc>
          <w:tcPr>
            <w:tcW w:w="1821" w:type="dxa"/>
            <w:noWrap w:val="0"/>
            <w:vAlign w:val="center"/>
          </w:tcPr>
          <w:p w14:paraId="27E8014C">
            <w:pPr>
              <w:spacing w:line="40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供应商应答</w:t>
            </w:r>
          </w:p>
        </w:tc>
        <w:tc>
          <w:tcPr>
            <w:tcW w:w="1410" w:type="dxa"/>
            <w:noWrap w:val="0"/>
            <w:vAlign w:val="center"/>
          </w:tcPr>
          <w:p w14:paraId="33BEAA3A">
            <w:pPr>
              <w:spacing w:line="40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偏离</w:t>
            </w:r>
          </w:p>
        </w:tc>
        <w:tc>
          <w:tcPr>
            <w:tcW w:w="1305" w:type="dxa"/>
            <w:noWrap w:val="0"/>
            <w:vAlign w:val="center"/>
          </w:tcPr>
          <w:p w14:paraId="66477C7B">
            <w:pPr>
              <w:spacing w:line="40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说明</w:t>
            </w:r>
          </w:p>
        </w:tc>
      </w:tr>
      <w:tr w14:paraId="033A8A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893" w:type="dxa"/>
            <w:noWrap w:val="0"/>
            <w:vAlign w:val="top"/>
          </w:tcPr>
          <w:p w14:paraId="78243294">
            <w:pPr>
              <w:spacing w:line="400" w:lineRule="exact"/>
              <w:jc w:val="center"/>
              <w:rPr>
                <w:rFonts w:hint="eastAsia" w:ascii="宋体" w:hAnsi="宋体" w:eastAsia="宋体" w:cs="宋体"/>
                <w:color w:val="auto"/>
                <w:sz w:val="24"/>
                <w:szCs w:val="24"/>
                <w:highlight w:val="none"/>
              </w:rPr>
            </w:pPr>
          </w:p>
        </w:tc>
        <w:tc>
          <w:tcPr>
            <w:tcW w:w="1985" w:type="dxa"/>
            <w:noWrap w:val="0"/>
            <w:vAlign w:val="top"/>
          </w:tcPr>
          <w:p w14:paraId="402330D0">
            <w:pPr>
              <w:spacing w:line="400" w:lineRule="exact"/>
              <w:jc w:val="center"/>
              <w:rPr>
                <w:rFonts w:hint="eastAsia" w:ascii="宋体" w:hAnsi="宋体" w:eastAsia="宋体" w:cs="宋体"/>
                <w:color w:val="auto"/>
                <w:sz w:val="24"/>
                <w:szCs w:val="24"/>
                <w:highlight w:val="none"/>
              </w:rPr>
            </w:pPr>
          </w:p>
        </w:tc>
        <w:tc>
          <w:tcPr>
            <w:tcW w:w="1873" w:type="dxa"/>
            <w:noWrap w:val="0"/>
            <w:vAlign w:val="top"/>
          </w:tcPr>
          <w:p w14:paraId="678A16DA">
            <w:pPr>
              <w:spacing w:line="400" w:lineRule="exact"/>
              <w:jc w:val="center"/>
              <w:rPr>
                <w:rFonts w:hint="eastAsia" w:ascii="宋体" w:hAnsi="宋体" w:eastAsia="宋体" w:cs="宋体"/>
                <w:color w:val="auto"/>
                <w:sz w:val="24"/>
                <w:szCs w:val="24"/>
                <w:highlight w:val="none"/>
              </w:rPr>
            </w:pPr>
          </w:p>
        </w:tc>
        <w:tc>
          <w:tcPr>
            <w:tcW w:w="1821" w:type="dxa"/>
            <w:noWrap w:val="0"/>
            <w:vAlign w:val="top"/>
          </w:tcPr>
          <w:p w14:paraId="12579778">
            <w:pPr>
              <w:spacing w:line="400" w:lineRule="exact"/>
              <w:ind w:left="317" w:hanging="316" w:hangingChars="132"/>
              <w:jc w:val="center"/>
              <w:rPr>
                <w:rFonts w:hint="eastAsia" w:ascii="宋体" w:hAnsi="宋体" w:eastAsia="宋体" w:cs="宋体"/>
                <w:color w:val="auto"/>
                <w:sz w:val="24"/>
                <w:szCs w:val="24"/>
                <w:highlight w:val="none"/>
              </w:rPr>
            </w:pPr>
          </w:p>
        </w:tc>
        <w:tc>
          <w:tcPr>
            <w:tcW w:w="1410" w:type="dxa"/>
            <w:noWrap w:val="0"/>
            <w:vAlign w:val="top"/>
          </w:tcPr>
          <w:p w14:paraId="68EC4094">
            <w:pPr>
              <w:spacing w:line="400" w:lineRule="exact"/>
              <w:ind w:left="317" w:hanging="316" w:hangingChars="132"/>
              <w:jc w:val="center"/>
              <w:rPr>
                <w:rFonts w:hint="eastAsia" w:ascii="宋体" w:hAnsi="宋体" w:eastAsia="宋体" w:cs="宋体"/>
                <w:color w:val="auto"/>
                <w:sz w:val="24"/>
                <w:szCs w:val="24"/>
                <w:highlight w:val="none"/>
              </w:rPr>
            </w:pPr>
          </w:p>
        </w:tc>
        <w:tc>
          <w:tcPr>
            <w:tcW w:w="1305" w:type="dxa"/>
            <w:noWrap w:val="0"/>
            <w:vAlign w:val="top"/>
          </w:tcPr>
          <w:p w14:paraId="64FB8065">
            <w:pPr>
              <w:spacing w:line="400" w:lineRule="exact"/>
              <w:ind w:left="317" w:hanging="316" w:hangingChars="132"/>
              <w:jc w:val="center"/>
              <w:rPr>
                <w:rFonts w:hint="eastAsia" w:ascii="宋体" w:hAnsi="宋体" w:eastAsia="宋体" w:cs="宋体"/>
                <w:color w:val="auto"/>
                <w:sz w:val="24"/>
                <w:szCs w:val="24"/>
                <w:highlight w:val="none"/>
              </w:rPr>
            </w:pPr>
          </w:p>
        </w:tc>
      </w:tr>
      <w:tr w14:paraId="381480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893" w:type="dxa"/>
            <w:noWrap w:val="0"/>
            <w:vAlign w:val="top"/>
          </w:tcPr>
          <w:p w14:paraId="7CDEB9FC">
            <w:pPr>
              <w:spacing w:line="400" w:lineRule="exact"/>
              <w:jc w:val="center"/>
              <w:rPr>
                <w:rFonts w:hint="eastAsia" w:ascii="宋体" w:hAnsi="宋体" w:eastAsia="宋体" w:cs="宋体"/>
                <w:color w:val="auto"/>
                <w:sz w:val="24"/>
                <w:szCs w:val="24"/>
                <w:highlight w:val="none"/>
              </w:rPr>
            </w:pPr>
          </w:p>
        </w:tc>
        <w:tc>
          <w:tcPr>
            <w:tcW w:w="1985" w:type="dxa"/>
            <w:noWrap w:val="0"/>
            <w:vAlign w:val="top"/>
          </w:tcPr>
          <w:p w14:paraId="6B29F635">
            <w:pPr>
              <w:spacing w:line="400" w:lineRule="exact"/>
              <w:jc w:val="center"/>
              <w:rPr>
                <w:rFonts w:hint="eastAsia" w:ascii="宋体" w:hAnsi="宋体" w:eastAsia="宋体" w:cs="宋体"/>
                <w:color w:val="auto"/>
                <w:sz w:val="24"/>
                <w:szCs w:val="24"/>
                <w:highlight w:val="none"/>
              </w:rPr>
            </w:pPr>
          </w:p>
        </w:tc>
        <w:tc>
          <w:tcPr>
            <w:tcW w:w="1873" w:type="dxa"/>
            <w:noWrap w:val="0"/>
            <w:vAlign w:val="top"/>
          </w:tcPr>
          <w:p w14:paraId="39F5EDAE">
            <w:pPr>
              <w:spacing w:line="400" w:lineRule="exact"/>
              <w:jc w:val="center"/>
              <w:rPr>
                <w:rFonts w:hint="eastAsia" w:ascii="宋体" w:hAnsi="宋体" w:eastAsia="宋体" w:cs="宋体"/>
                <w:color w:val="auto"/>
                <w:sz w:val="24"/>
                <w:szCs w:val="24"/>
                <w:highlight w:val="none"/>
              </w:rPr>
            </w:pPr>
          </w:p>
        </w:tc>
        <w:tc>
          <w:tcPr>
            <w:tcW w:w="1821" w:type="dxa"/>
            <w:noWrap w:val="0"/>
            <w:vAlign w:val="top"/>
          </w:tcPr>
          <w:p w14:paraId="02C88616">
            <w:pPr>
              <w:spacing w:line="400" w:lineRule="exact"/>
              <w:jc w:val="center"/>
              <w:rPr>
                <w:rFonts w:hint="eastAsia" w:ascii="宋体" w:hAnsi="宋体" w:eastAsia="宋体" w:cs="宋体"/>
                <w:color w:val="auto"/>
                <w:sz w:val="24"/>
                <w:szCs w:val="24"/>
                <w:highlight w:val="none"/>
              </w:rPr>
            </w:pPr>
          </w:p>
        </w:tc>
        <w:tc>
          <w:tcPr>
            <w:tcW w:w="1410" w:type="dxa"/>
            <w:noWrap w:val="0"/>
            <w:vAlign w:val="top"/>
          </w:tcPr>
          <w:p w14:paraId="7A6957B0">
            <w:pPr>
              <w:spacing w:line="400" w:lineRule="exact"/>
              <w:jc w:val="center"/>
              <w:rPr>
                <w:rFonts w:hint="eastAsia" w:ascii="宋体" w:hAnsi="宋体" w:eastAsia="宋体" w:cs="宋体"/>
                <w:color w:val="auto"/>
                <w:sz w:val="24"/>
                <w:szCs w:val="24"/>
                <w:highlight w:val="none"/>
              </w:rPr>
            </w:pPr>
          </w:p>
        </w:tc>
        <w:tc>
          <w:tcPr>
            <w:tcW w:w="1305" w:type="dxa"/>
            <w:noWrap w:val="0"/>
            <w:vAlign w:val="top"/>
          </w:tcPr>
          <w:p w14:paraId="1AC3661C">
            <w:pPr>
              <w:spacing w:line="400" w:lineRule="exact"/>
              <w:jc w:val="center"/>
              <w:rPr>
                <w:rFonts w:hint="eastAsia" w:ascii="宋体" w:hAnsi="宋体" w:eastAsia="宋体" w:cs="宋体"/>
                <w:color w:val="auto"/>
                <w:sz w:val="24"/>
                <w:szCs w:val="24"/>
                <w:highlight w:val="none"/>
              </w:rPr>
            </w:pPr>
          </w:p>
        </w:tc>
      </w:tr>
      <w:tr w14:paraId="7C91F1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893" w:type="dxa"/>
            <w:noWrap w:val="0"/>
            <w:vAlign w:val="top"/>
          </w:tcPr>
          <w:p w14:paraId="75BAE8DD">
            <w:pPr>
              <w:spacing w:line="400" w:lineRule="exact"/>
              <w:jc w:val="center"/>
              <w:rPr>
                <w:rFonts w:hint="eastAsia" w:ascii="宋体" w:hAnsi="宋体" w:eastAsia="宋体" w:cs="宋体"/>
                <w:color w:val="auto"/>
                <w:sz w:val="24"/>
                <w:szCs w:val="24"/>
                <w:highlight w:val="none"/>
              </w:rPr>
            </w:pPr>
          </w:p>
        </w:tc>
        <w:tc>
          <w:tcPr>
            <w:tcW w:w="1985" w:type="dxa"/>
            <w:noWrap w:val="0"/>
            <w:vAlign w:val="top"/>
          </w:tcPr>
          <w:p w14:paraId="4E92FC6B">
            <w:pPr>
              <w:spacing w:line="400" w:lineRule="exact"/>
              <w:jc w:val="center"/>
              <w:rPr>
                <w:rFonts w:hint="eastAsia" w:ascii="宋体" w:hAnsi="宋体" w:eastAsia="宋体" w:cs="宋体"/>
                <w:color w:val="auto"/>
                <w:sz w:val="24"/>
                <w:szCs w:val="24"/>
                <w:highlight w:val="none"/>
              </w:rPr>
            </w:pPr>
          </w:p>
        </w:tc>
        <w:tc>
          <w:tcPr>
            <w:tcW w:w="1873" w:type="dxa"/>
            <w:noWrap w:val="0"/>
            <w:vAlign w:val="top"/>
          </w:tcPr>
          <w:p w14:paraId="19989DA0">
            <w:pPr>
              <w:spacing w:line="400" w:lineRule="exact"/>
              <w:jc w:val="center"/>
              <w:rPr>
                <w:rFonts w:hint="eastAsia" w:ascii="宋体" w:hAnsi="宋体" w:eastAsia="宋体" w:cs="宋体"/>
                <w:color w:val="auto"/>
                <w:sz w:val="24"/>
                <w:szCs w:val="24"/>
                <w:highlight w:val="none"/>
              </w:rPr>
            </w:pPr>
          </w:p>
        </w:tc>
        <w:tc>
          <w:tcPr>
            <w:tcW w:w="1821" w:type="dxa"/>
            <w:noWrap w:val="0"/>
            <w:vAlign w:val="top"/>
          </w:tcPr>
          <w:p w14:paraId="27A4CB9B">
            <w:pPr>
              <w:spacing w:line="400" w:lineRule="exact"/>
              <w:jc w:val="center"/>
              <w:rPr>
                <w:rFonts w:hint="eastAsia" w:ascii="宋体" w:hAnsi="宋体" w:eastAsia="宋体" w:cs="宋体"/>
                <w:color w:val="auto"/>
                <w:sz w:val="24"/>
                <w:szCs w:val="24"/>
                <w:highlight w:val="none"/>
              </w:rPr>
            </w:pPr>
          </w:p>
        </w:tc>
        <w:tc>
          <w:tcPr>
            <w:tcW w:w="1410" w:type="dxa"/>
            <w:noWrap w:val="0"/>
            <w:vAlign w:val="top"/>
          </w:tcPr>
          <w:p w14:paraId="1C9C3D76">
            <w:pPr>
              <w:spacing w:line="400" w:lineRule="exact"/>
              <w:jc w:val="center"/>
              <w:rPr>
                <w:rFonts w:hint="eastAsia" w:ascii="宋体" w:hAnsi="宋体" w:eastAsia="宋体" w:cs="宋体"/>
                <w:color w:val="auto"/>
                <w:sz w:val="24"/>
                <w:szCs w:val="24"/>
                <w:highlight w:val="none"/>
              </w:rPr>
            </w:pPr>
          </w:p>
        </w:tc>
        <w:tc>
          <w:tcPr>
            <w:tcW w:w="1305" w:type="dxa"/>
            <w:noWrap w:val="0"/>
            <w:vAlign w:val="top"/>
          </w:tcPr>
          <w:p w14:paraId="7089D099">
            <w:pPr>
              <w:spacing w:line="400" w:lineRule="exact"/>
              <w:jc w:val="center"/>
              <w:rPr>
                <w:rFonts w:hint="eastAsia" w:ascii="宋体" w:hAnsi="宋体" w:eastAsia="宋体" w:cs="宋体"/>
                <w:color w:val="auto"/>
                <w:sz w:val="24"/>
                <w:szCs w:val="24"/>
                <w:highlight w:val="none"/>
              </w:rPr>
            </w:pPr>
          </w:p>
        </w:tc>
      </w:tr>
      <w:tr w14:paraId="1DA817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893" w:type="dxa"/>
            <w:noWrap w:val="0"/>
            <w:vAlign w:val="top"/>
          </w:tcPr>
          <w:p w14:paraId="6C772994">
            <w:pPr>
              <w:spacing w:line="400" w:lineRule="exact"/>
              <w:jc w:val="center"/>
              <w:rPr>
                <w:rFonts w:hint="eastAsia" w:ascii="宋体" w:hAnsi="宋体" w:eastAsia="宋体" w:cs="宋体"/>
                <w:color w:val="auto"/>
                <w:sz w:val="24"/>
                <w:szCs w:val="24"/>
                <w:highlight w:val="none"/>
              </w:rPr>
            </w:pPr>
          </w:p>
        </w:tc>
        <w:tc>
          <w:tcPr>
            <w:tcW w:w="1985" w:type="dxa"/>
            <w:noWrap w:val="0"/>
            <w:vAlign w:val="top"/>
          </w:tcPr>
          <w:p w14:paraId="7A5C2AE7">
            <w:pPr>
              <w:spacing w:line="400" w:lineRule="exact"/>
              <w:jc w:val="center"/>
              <w:rPr>
                <w:rFonts w:hint="eastAsia" w:ascii="宋体" w:hAnsi="宋体" w:eastAsia="宋体" w:cs="宋体"/>
                <w:color w:val="auto"/>
                <w:sz w:val="24"/>
                <w:szCs w:val="24"/>
                <w:highlight w:val="none"/>
              </w:rPr>
            </w:pPr>
          </w:p>
        </w:tc>
        <w:tc>
          <w:tcPr>
            <w:tcW w:w="1873" w:type="dxa"/>
            <w:noWrap w:val="0"/>
            <w:vAlign w:val="top"/>
          </w:tcPr>
          <w:p w14:paraId="177CDC33">
            <w:pPr>
              <w:spacing w:line="400" w:lineRule="exact"/>
              <w:jc w:val="center"/>
              <w:rPr>
                <w:rFonts w:hint="eastAsia" w:ascii="宋体" w:hAnsi="宋体" w:eastAsia="宋体" w:cs="宋体"/>
                <w:color w:val="auto"/>
                <w:sz w:val="24"/>
                <w:szCs w:val="24"/>
                <w:highlight w:val="none"/>
              </w:rPr>
            </w:pPr>
          </w:p>
        </w:tc>
        <w:tc>
          <w:tcPr>
            <w:tcW w:w="1821" w:type="dxa"/>
            <w:noWrap w:val="0"/>
            <w:vAlign w:val="top"/>
          </w:tcPr>
          <w:p w14:paraId="2337E2AD">
            <w:pPr>
              <w:spacing w:line="400" w:lineRule="exact"/>
              <w:jc w:val="center"/>
              <w:rPr>
                <w:rFonts w:hint="eastAsia" w:ascii="宋体" w:hAnsi="宋体" w:eastAsia="宋体" w:cs="宋体"/>
                <w:color w:val="auto"/>
                <w:sz w:val="24"/>
                <w:szCs w:val="24"/>
                <w:highlight w:val="none"/>
              </w:rPr>
            </w:pPr>
          </w:p>
        </w:tc>
        <w:tc>
          <w:tcPr>
            <w:tcW w:w="1410" w:type="dxa"/>
            <w:noWrap w:val="0"/>
            <w:vAlign w:val="top"/>
          </w:tcPr>
          <w:p w14:paraId="043488F0">
            <w:pPr>
              <w:spacing w:line="400" w:lineRule="exact"/>
              <w:jc w:val="center"/>
              <w:rPr>
                <w:rFonts w:hint="eastAsia" w:ascii="宋体" w:hAnsi="宋体" w:eastAsia="宋体" w:cs="宋体"/>
                <w:color w:val="auto"/>
                <w:sz w:val="24"/>
                <w:szCs w:val="24"/>
                <w:highlight w:val="none"/>
              </w:rPr>
            </w:pPr>
          </w:p>
        </w:tc>
        <w:tc>
          <w:tcPr>
            <w:tcW w:w="1305" w:type="dxa"/>
            <w:noWrap w:val="0"/>
            <w:vAlign w:val="top"/>
          </w:tcPr>
          <w:p w14:paraId="2CDF73B1">
            <w:pPr>
              <w:spacing w:line="400" w:lineRule="exact"/>
              <w:jc w:val="center"/>
              <w:rPr>
                <w:rFonts w:hint="eastAsia" w:ascii="宋体" w:hAnsi="宋体" w:eastAsia="宋体" w:cs="宋体"/>
                <w:color w:val="auto"/>
                <w:sz w:val="24"/>
                <w:szCs w:val="24"/>
                <w:highlight w:val="none"/>
              </w:rPr>
            </w:pPr>
          </w:p>
        </w:tc>
      </w:tr>
      <w:tr w14:paraId="3D41CA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893" w:type="dxa"/>
            <w:noWrap w:val="0"/>
            <w:vAlign w:val="top"/>
          </w:tcPr>
          <w:p w14:paraId="0CD8D5E5">
            <w:pPr>
              <w:spacing w:line="400" w:lineRule="exact"/>
              <w:jc w:val="center"/>
              <w:rPr>
                <w:rFonts w:hint="eastAsia" w:ascii="宋体" w:hAnsi="宋体" w:eastAsia="宋体" w:cs="宋体"/>
                <w:color w:val="auto"/>
                <w:sz w:val="24"/>
                <w:szCs w:val="24"/>
                <w:highlight w:val="none"/>
              </w:rPr>
            </w:pPr>
          </w:p>
        </w:tc>
        <w:tc>
          <w:tcPr>
            <w:tcW w:w="1985" w:type="dxa"/>
            <w:noWrap w:val="0"/>
            <w:vAlign w:val="top"/>
          </w:tcPr>
          <w:p w14:paraId="509FA70B">
            <w:pPr>
              <w:spacing w:line="400" w:lineRule="exact"/>
              <w:jc w:val="center"/>
              <w:rPr>
                <w:rFonts w:hint="eastAsia" w:ascii="宋体" w:hAnsi="宋体" w:eastAsia="宋体" w:cs="宋体"/>
                <w:color w:val="auto"/>
                <w:sz w:val="24"/>
                <w:szCs w:val="24"/>
                <w:highlight w:val="none"/>
              </w:rPr>
            </w:pPr>
          </w:p>
        </w:tc>
        <w:tc>
          <w:tcPr>
            <w:tcW w:w="1873" w:type="dxa"/>
            <w:noWrap w:val="0"/>
            <w:vAlign w:val="top"/>
          </w:tcPr>
          <w:p w14:paraId="05E11D27">
            <w:pPr>
              <w:spacing w:line="400" w:lineRule="exact"/>
              <w:jc w:val="center"/>
              <w:rPr>
                <w:rFonts w:hint="eastAsia" w:ascii="宋体" w:hAnsi="宋体" w:eastAsia="宋体" w:cs="宋体"/>
                <w:color w:val="auto"/>
                <w:sz w:val="24"/>
                <w:szCs w:val="24"/>
                <w:highlight w:val="none"/>
              </w:rPr>
            </w:pPr>
          </w:p>
        </w:tc>
        <w:tc>
          <w:tcPr>
            <w:tcW w:w="1821" w:type="dxa"/>
            <w:noWrap w:val="0"/>
            <w:vAlign w:val="top"/>
          </w:tcPr>
          <w:p w14:paraId="0394AD0E">
            <w:pPr>
              <w:spacing w:line="400" w:lineRule="exact"/>
              <w:jc w:val="center"/>
              <w:rPr>
                <w:rFonts w:hint="eastAsia" w:ascii="宋体" w:hAnsi="宋体" w:eastAsia="宋体" w:cs="宋体"/>
                <w:color w:val="auto"/>
                <w:sz w:val="24"/>
                <w:szCs w:val="24"/>
                <w:highlight w:val="none"/>
              </w:rPr>
            </w:pPr>
          </w:p>
        </w:tc>
        <w:tc>
          <w:tcPr>
            <w:tcW w:w="1410" w:type="dxa"/>
            <w:noWrap w:val="0"/>
            <w:vAlign w:val="top"/>
          </w:tcPr>
          <w:p w14:paraId="2B682366">
            <w:pPr>
              <w:spacing w:line="400" w:lineRule="exact"/>
              <w:jc w:val="center"/>
              <w:rPr>
                <w:rFonts w:hint="eastAsia" w:ascii="宋体" w:hAnsi="宋体" w:eastAsia="宋体" w:cs="宋体"/>
                <w:color w:val="auto"/>
                <w:sz w:val="24"/>
                <w:szCs w:val="24"/>
                <w:highlight w:val="none"/>
              </w:rPr>
            </w:pPr>
          </w:p>
        </w:tc>
        <w:tc>
          <w:tcPr>
            <w:tcW w:w="1305" w:type="dxa"/>
            <w:noWrap w:val="0"/>
            <w:vAlign w:val="top"/>
          </w:tcPr>
          <w:p w14:paraId="24804401">
            <w:pPr>
              <w:spacing w:line="400" w:lineRule="exact"/>
              <w:jc w:val="center"/>
              <w:rPr>
                <w:rFonts w:hint="eastAsia" w:ascii="宋体" w:hAnsi="宋体" w:eastAsia="宋体" w:cs="宋体"/>
                <w:color w:val="auto"/>
                <w:sz w:val="24"/>
                <w:szCs w:val="24"/>
                <w:highlight w:val="none"/>
              </w:rPr>
            </w:pPr>
          </w:p>
        </w:tc>
      </w:tr>
      <w:tr w14:paraId="3CBAE5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893" w:type="dxa"/>
            <w:noWrap w:val="0"/>
            <w:vAlign w:val="top"/>
          </w:tcPr>
          <w:p w14:paraId="55F4D9CF">
            <w:pPr>
              <w:spacing w:line="400" w:lineRule="exact"/>
              <w:jc w:val="center"/>
              <w:rPr>
                <w:rFonts w:hint="eastAsia" w:ascii="宋体" w:hAnsi="宋体" w:eastAsia="宋体" w:cs="宋体"/>
                <w:color w:val="auto"/>
                <w:sz w:val="24"/>
                <w:szCs w:val="24"/>
                <w:highlight w:val="none"/>
              </w:rPr>
            </w:pPr>
          </w:p>
        </w:tc>
        <w:tc>
          <w:tcPr>
            <w:tcW w:w="1985" w:type="dxa"/>
            <w:noWrap w:val="0"/>
            <w:vAlign w:val="top"/>
          </w:tcPr>
          <w:p w14:paraId="02DEBC9A">
            <w:pPr>
              <w:spacing w:line="400" w:lineRule="exact"/>
              <w:jc w:val="center"/>
              <w:rPr>
                <w:rFonts w:hint="eastAsia" w:ascii="宋体" w:hAnsi="宋体" w:eastAsia="宋体" w:cs="宋体"/>
                <w:color w:val="auto"/>
                <w:sz w:val="24"/>
                <w:szCs w:val="24"/>
                <w:highlight w:val="none"/>
              </w:rPr>
            </w:pPr>
          </w:p>
        </w:tc>
        <w:tc>
          <w:tcPr>
            <w:tcW w:w="1873" w:type="dxa"/>
            <w:noWrap w:val="0"/>
            <w:vAlign w:val="top"/>
          </w:tcPr>
          <w:p w14:paraId="7EED4FEE">
            <w:pPr>
              <w:spacing w:line="400" w:lineRule="exact"/>
              <w:jc w:val="center"/>
              <w:rPr>
                <w:rFonts w:hint="eastAsia" w:ascii="宋体" w:hAnsi="宋体" w:eastAsia="宋体" w:cs="宋体"/>
                <w:color w:val="auto"/>
                <w:sz w:val="24"/>
                <w:szCs w:val="24"/>
                <w:highlight w:val="none"/>
              </w:rPr>
            </w:pPr>
          </w:p>
        </w:tc>
        <w:tc>
          <w:tcPr>
            <w:tcW w:w="1821" w:type="dxa"/>
            <w:noWrap w:val="0"/>
            <w:vAlign w:val="top"/>
          </w:tcPr>
          <w:p w14:paraId="70EDEE48">
            <w:pPr>
              <w:spacing w:line="400" w:lineRule="exact"/>
              <w:jc w:val="center"/>
              <w:rPr>
                <w:rFonts w:hint="eastAsia" w:ascii="宋体" w:hAnsi="宋体" w:eastAsia="宋体" w:cs="宋体"/>
                <w:color w:val="auto"/>
                <w:sz w:val="24"/>
                <w:szCs w:val="24"/>
                <w:highlight w:val="none"/>
              </w:rPr>
            </w:pPr>
          </w:p>
        </w:tc>
        <w:tc>
          <w:tcPr>
            <w:tcW w:w="1410" w:type="dxa"/>
            <w:noWrap w:val="0"/>
            <w:vAlign w:val="top"/>
          </w:tcPr>
          <w:p w14:paraId="7DBFEFDF">
            <w:pPr>
              <w:spacing w:line="400" w:lineRule="exact"/>
              <w:jc w:val="center"/>
              <w:rPr>
                <w:rFonts w:hint="eastAsia" w:ascii="宋体" w:hAnsi="宋体" w:eastAsia="宋体" w:cs="宋体"/>
                <w:color w:val="auto"/>
                <w:sz w:val="24"/>
                <w:szCs w:val="24"/>
                <w:highlight w:val="none"/>
              </w:rPr>
            </w:pPr>
          </w:p>
        </w:tc>
        <w:tc>
          <w:tcPr>
            <w:tcW w:w="1305" w:type="dxa"/>
            <w:noWrap w:val="0"/>
            <w:vAlign w:val="top"/>
          </w:tcPr>
          <w:p w14:paraId="496B41F9">
            <w:pPr>
              <w:spacing w:line="400" w:lineRule="exact"/>
              <w:jc w:val="center"/>
              <w:rPr>
                <w:rFonts w:hint="eastAsia" w:ascii="宋体" w:hAnsi="宋体" w:eastAsia="宋体" w:cs="宋体"/>
                <w:color w:val="auto"/>
                <w:sz w:val="24"/>
                <w:szCs w:val="24"/>
                <w:highlight w:val="none"/>
              </w:rPr>
            </w:pPr>
          </w:p>
        </w:tc>
      </w:tr>
      <w:tr w14:paraId="22F04C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893" w:type="dxa"/>
            <w:noWrap w:val="0"/>
            <w:vAlign w:val="top"/>
          </w:tcPr>
          <w:p w14:paraId="32C4E726">
            <w:pPr>
              <w:spacing w:line="400" w:lineRule="exact"/>
              <w:jc w:val="center"/>
              <w:rPr>
                <w:rFonts w:hint="eastAsia" w:ascii="宋体" w:hAnsi="宋体" w:eastAsia="宋体" w:cs="宋体"/>
                <w:color w:val="auto"/>
                <w:sz w:val="24"/>
                <w:szCs w:val="24"/>
                <w:highlight w:val="none"/>
              </w:rPr>
            </w:pPr>
          </w:p>
        </w:tc>
        <w:tc>
          <w:tcPr>
            <w:tcW w:w="1985" w:type="dxa"/>
            <w:noWrap w:val="0"/>
            <w:vAlign w:val="top"/>
          </w:tcPr>
          <w:p w14:paraId="585AA15D">
            <w:pPr>
              <w:spacing w:line="400" w:lineRule="exact"/>
              <w:jc w:val="center"/>
              <w:rPr>
                <w:rFonts w:hint="eastAsia" w:ascii="宋体" w:hAnsi="宋体" w:eastAsia="宋体" w:cs="宋体"/>
                <w:color w:val="auto"/>
                <w:sz w:val="24"/>
                <w:szCs w:val="24"/>
                <w:highlight w:val="none"/>
              </w:rPr>
            </w:pPr>
          </w:p>
        </w:tc>
        <w:tc>
          <w:tcPr>
            <w:tcW w:w="1873" w:type="dxa"/>
            <w:noWrap w:val="0"/>
            <w:vAlign w:val="top"/>
          </w:tcPr>
          <w:p w14:paraId="4D2D10DB">
            <w:pPr>
              <w:spacing w:line="400" w:lineRule="exact"/>
              <w:jc w:val="center"/>
              <w:rPr>
                <w:rFonts w:hint="eastAsia" w:ascii="宋体" w:hAnsi="宋体" w:eastAsia="宋体" w:cs="宋体"/>
                <w:color w:val="auto"/>
                <w:sz w:val="24"/>
                <w:szCs w:val="24"/>
                <w:highlight w:val="none"/>
              </w:rPr>
            </w:pPr>
          </w:p>
        </w:tc>
        <w:tc>
          <w:tcPr>
            <w:tcW w:w="1821" w:type="dxa"/>
            <w:noWrap w:val="0"/>
            <w:vAlign w:val="top"/>
          </w:tcPr>
          <w:p w14:paraId="718DC51A">
            <w:pPr>
              <w:spacing w:line="400" w:lineRule="exact"/>
              <w:jc w:val="center"/>
              <w:rPr>
                <w:rFonts w:hint="eastAsia" w:ascii="宋体" w:hAnsi="宋体" w:eastAsia="宋体" w:cs="宋体"/>
                <w:color w:val="auto"/>
                <w:sz w:val="24"/>
                <w:szCs w:val="24"/>
                <w:highlight w:val="none"/>
              </w:rPr>
            </w:pPr>
          </w:p>
        </w:tc>
        <w:tc>
          <w:tcPr>
            <w:tcW w:w="1410" w:type="dxa"/>
            <w:noWrap w:val="0"/>
            <w:vAlign w:val="top"/>
          </w:tcPr>
          <w:p w14:paraId="655300A9">
            <w:pPr>
              <w:spacing w:line="400" w:lineRule="exact"/>
              <w:jc w:val="center"/>
              <w:rPr>
                <w:rFonts w:hint="eastAsia" w:ascii="宋体" w:hAnsi="宋体" w:eastAsia="宋体" w:cs="宋体"/>
                <w:color w:val="auto"/>
                <w:sz w:val="24"/>
                <w:szCs w:val="24"/>
                <w:highlight w:val="none"/>
              </w:rPr>
            </w:pPr>
          </w:p>
        </w:tc>
        <w:tc>
          <w:tcPr>
            <w:tcW w:w="1305" w:type="dxa"/>
            <w:noWrap w:val="0"/>
            <w:vAlign w:val="top"/>
          </w:tcPr>
          <w:p w14:paraId="23843B73">
            <w:pPr>
              <w:spacing w:line="400" w:lineRule="exact"/>
              <w:jc w:val="center"/>
              <w:rPr>
                <w:rFonts w:hint="eastAsia" w:ascii="宋体" w:hAnsi="宋体" w:eastAsia="宋体" w:cs="宋体"/>
                <w:color w:val="auto"/>
                <w:sz w:val="24"/>
                <w:szCs w:val="24"/>
                <w:highlight w:val="none"/>
              </w:rPr>
            </w:pPr>
          </w:p>
        </w:tc>
      </w:tr>
    </w:tbl>
    <w:p w14:paraId="3F15D562">
      <w:pPr>
        <w:spacing w:line="440" w:lineRule="exact"/>
        <w:ind w:firstLine="470" w:firstLineChars="200"/>
        <w:rPr>
          <w:rFonts w:hint="eastAsia" w:ascii="宋体" w:hAnsi="宋体" w:eastAsia="宋体" w:cs="宋体"/>
          <w:b/>
          <w:bCs/>
          <w:color w:val="auto"/>
          <w:spacing w:val="-3"/>
          <w:sz w:val="24"/>
          <w:highlight w:val="none"/>
        </w:rPr>
      </w:pPr>
    </w:p>
    <w:p w14:paraId="65506AC6">
      <w:pPr>
        <w:spacing w:line="440" w:lineRule="exact"/>
        <w:ind w:firstLine="470" w:firstLineChars="200"/>
        <w:rPr>
          <w:rFonts w:hint="eastAsia" w:ascii="宋体" w:hAnsi="宋体" w:eastAsia="宋体" w:cs="宋体"/>
          <w:color w:val="auto"/>
          <w:kern w:val="1"/>
          <w:sz w:val="24"/>
          <w:highlight w:val="none"/>
        </w:rPr>
      </w:pPr>
      <w:r>
        <w:rPr>
          <w:rFonts w:hint="eastAsia" w:ascii="宋体" w:hAnsi="宋体" w:eastAsia="宋体" w:cs="宋体"/>
          <w:b/>
          <w:bCs/>
          <w:color w:val="auto"/>
          <w:spacing w:val="-3"/>
          <w:sz w:val="24"/>
          <w:highlight w:val="none"/>
        </w:rPr>
        <w:t>注：</w:t>
      </w:r>
      <w:r>
        <w:rPr>
          <w:rFonts w:hint="eastAsia" w:ascii="宋体" w:hAnsi="宋体" w:eastAsia="宋体" w:cs="宋体"/>
          <w:color w:val="auto"/>
          <w:kern w:val="1"/>
          <w:sz w:val="24"/>
          <w:highlight w:val="none"/>
        </w:rPr>
        <w:t>参照</w:t>
      </w:r>
      <w:r>
        <w:rPr>
          <w:rFonts w:hint="eastAsia" w:ascii="宋体" w:hAnsi="宋体" w:eastAsia="宋体" w:cs="宋体"/>
          <w:color w:val="auto"/>
          <w:kern w:val="1"/>
          <w:sz w:val="24"/>
          <w:highlight w:val="none"/>
          <w:lang w:val="en-US" w:eastAsia="zh-CN"/>
        </w:rPr>
        <w:t>磋商</w:t>
      </w:r>
      <w:r>
        <w:rPr>
          <w:rFonts w:hint="eastAsia" w:ascii="宋体" w:hAnsi="宋体" w:eastAsia="宋体" w:cs="宋体"/>
          <w:color w:val="auto"/>
          <w:kern w:val="1"/>
          <w:sz w:val="24"/>
          <w:highlight w:val="none"/>
        </w:rPr>
        <w:t>文件第三章采购内容及服务要求，必须逐条响应，如有缺漏将视为无效响应；偏离：如优于招标文件要求，填写“正偏离”，如满足招标文件要求，填写“无偏离”如不满足招标文件要求，填写“负偏离”。</w:t>
      </w:r>
    </w:p>
    <w:p w14:paraId="6F23CEB7">
      <w:pPr>
        <w:spacing w:before="10" w:line="360" w:lineRule="auto"/>
        <w:rPr>
          <w:rFonts w:hint="eastAsia" w:ascii="宋体" w:hAnsi="宋体" w:eastAsia="宋体" w:cs="宋体"/>
          <w:b/>
          <w:bCs/>
          <w:color w:val="auto"/>
          <w:spacing w:val="-3"/>
          <w:sz w:val="24"/>
          <w:highlight w:val="none"/>
        </w:rPr>
      </w:pPr>
    </w:p>
    <w:p w14:paraId="7D50AA10">
      <w:pPr>
        <w:pStyle w:val="23"/>
        <w:rPr>
          <w:rFonts w:hint="eastAsia" w:ascii="宋体" w:hAnsi="宋体" w:eastAsia="宋体" w:cs="宋体"/>
          <w:b/>
          <w:bCs/>
          <w:color w:val="auto"/>
          <w:spacing w:val="-3"/>
          <w:sz w:val="24"/>
          <w:highlight w:val="none"/>
        </w:rPr>
      </w:pPr>
    </w:p>
    <w:p w14:paraId="1CBD1AFC">
      <w:pPr>
        <w:pStyle w:val="23"/>
        <w:rPr>
          <w:rFonts w:hint="eastAsia" w:ascii="宋体" w:hAnsi="宋体" w:eastAsia="宋体" w:cs="宋体"/>
          <w:b/>
          <w:bCs/>
          <w:color w:val="auto"/>
          <w:spacing w:val="-3"/>
          <w:sz w:val="24"/>
          <w:highlight w:val="none"/>
        </w:rPr>
      </w:pPr>
    </w:p>
    <w:p w14:paraId="1EA5EADF">
      <w:pPr>
        <w:spacing w:line="480" w:lineRule="auto"/>
        <w:ind w:firstLine="2160" w:firstLineChars="900"/>
        <w:rPr>
          <w:rFonts w:hint="eastAsia" w:ascii="宋体" w:hAnsi="宋体" w:eastAsia="宋体" w:cs="宋体"/>
          <w:color w:val="auto"/>
          <w:sz w:val="24"/>
          <w:highlight w:val="none"/>
          <w:u w:val="single"/>
        </w:rPr>
      </w:pPr>
      <w:r>
        <w:rPr>
          <w:rFonts w:hint="eastAsia" w:ascii="宋体" w:hAnsi="宋体" w:eastAsia="宋体" w:cs="宋体"/>
          <w:color w:val="auto"/>
          <w:sz w:val="24"/>
          <w:highlight w:val="none"/>
        </w:rPr>
        <w:t>投标人名称：</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（盖章）</w:t>
      </w:r>
    </w:p>
    <w:p w14:paraId="1C4F0293">
      <w:pPr>
        <w:spacing w:line="480" w:lineRule="auto"/>
        <w:ind w:firstLine="2160" w:firstLineChars="900"/>
        <w:rPr>
          <w:rFonts w:hint="eastAsia" w:ascii="宋体" w:hAnsi="宋体" w:eastAsia="宋体" w:cs="宋体"/>
          <w:color w:val="auto"/>
          <w:sz w:val="24"/>
          <w:highlight w:val="none"/>
          <w:u w:val="single"/>
        </w:rPr>
      </w:pPr>
      <w:r>
        <w:rPr>
          <w:rFonts w:hint="eastAsia" w:ascii="宋体" w:hAnsi="宋体" w:eastAsia="宋体" w:cs="宋体"/>
          <w:color w:val="auto"/>
          <w:sz w:val="24"/>
          <w:highlight w:val="none"/>
        </w:rPr>
        <w:t>法定代表人或被授权人：</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（签字或盖章）</w:t>
      </w:r>
    </w:p>
    <w:p w14:paraId="18D0A777">
      <w:pPr>
        <w:pStyle w:val="27"/>
        <w:ind w:firstLine="2160" w:firstLineChars="900"/>
        <w:rPr>
          <w:rFonts w:hint="eastAsia" w:ascii="宋体" w:hAnsi="宋体" w:eastAsia="宋体" w:cs="宋体"/>
          <w:color w:val="auto"/>
          <w:highlight w:val="none"/>
        </w:rPr>
      </w:pPr>
      <w:r>
        <w:rPr>
          <w:rFonts w:hint="eastAsia" w:ascii="宋体" w:hAnsi="宋体" w:eastAsia="宋体" w:cs="宋体"/>
          <w:color w:val="auto"/>
          <w:sz w:val="24"/>
          <w:szCs w:val="24"/>
          <w:highlight w:val="none"/>
        </w:rPr>
        <w:t>日              期：</w:t>
      </w:r>
      <w:r>
        <w:rPr>
          <w:rFonts w:hint="eastAsia" w:ascii="宋体" w:hAnsi="宋体" w:eastAsia="宋体" w:cs="宋体"/>
          <w:color w:val="auto"/>
          <w:sz w:val="24"/>
          <w:szCs w:val="24"/>
          <w:highlight w:val="none"/>
          <w:u w:val="single"/>
        </w:rPr>
        <w:t xml:space="preserve">                          </w:t>
      </w:r>
    </w:p>
    <w:p w14:paraId="6C71313D">
      <w:pPr>
        <w:pStyle w:val="23"/>
        <w:ind w:firstLine="562" w:firstLineChars="200"/>
        <w:jc w:val="center"/>
        <w:rPr>
          <w:rFonts w:hint="eastAsia" w:ascii="宋体" w:hAnsi="宋体" w:eastAsia="宋体" w:cs="宋体"/>
          <w:b/>
          <w:bCs/>
          <w:color w:val="auto"/>
          <w:sz w:val="28"/>
          <w:szCs w:val="28"/>
          <w:highlight w:val="none"/>
        </w:rPr>
      </w:pPr>
    </w:p>
    <w:p w14:paraId="6049DD31">
      <w:pPr>
        <w:pStyle w:val="23"/>
        <w:ind w:firstLine="562" w:firstLineChars="200"/>
        <w:jc w:val="center"/>
        <w:rPr>
          <w:rFonts w:hint="eastAsia" w:ascii="宋体" w:hAnsi="宋体" w:eastAsia="宋体" w:cs="宋体"/>
          <w:b/>
          <w:bCs/>
          <w:color w:val="auto"/>
          <w:sz w:val="28"/>
          <w:szCs w:val="28"/>
          <w:highlight w:val="none"/>
        </w:rPr>
      </w:pPr>
    </w:p>
    <w:p w14:paraId="205966FB">
      <w:pPr>
        <w:pStyle w:val="23"/>
        <w:numPr>
          <w:ilvl w:val="0"/>
          <w:numId w:val="11"/>
        </w:numPr>
        <w:jc w:val="center"/>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lang w:val="en-US" w:eastAsia="zh-CN"/>
        </w:rPr>
        <w:t>商务</w:t>
      </w:r>
      <w:r>
        <w:rPr>
          <w:rFonts w:hint="eastAsia" w:ascii="宋体" w:hAnsi="宋体" w:eastAsia="宋体" w:cs="宋体"/>
          <w:b/>
          <w:bCs/>
          <w:color w:val="auto"/>
          <w:sz w:val="28"/>
          <w:szCs w:val="28"/>
          <w:highlight w:val="none"/>
        </w:rPr>
        <w:t>偏离表</w:t>
      </w:r>
    </w:p>
    <w:p w14:paraId="1BDDC7C0">
      <w:pPr>
        <w:autoSpaceDE w:val="0"/>
        <w:autoSpaceDN w:val="0"/>
        <w:adjustRightInd w:val="0"/>
        <w:snapToGrid w:val="0"/>
        <w:spacing w:line="360" w:lineRule="auto"/>
        <w:ind w:firstLine="480" w:firstLineChars="200"/>
        <w:jc w:val="left"/>
        <w:rPr>
          <w:rFonts w:hint="eastAsia" w:ascii="宋体" w:hAnsi="宋体" w:eastAsia="宋体" w:cs="宋体"/>
          <w:bCs/>
          <w:color w:val="auto"/>
          <w:sz w:val="24"/>
          <w:szCs w:val="24"/>
          <w:highlight w:val="none"/>
          <w:lang w:val="zh-CN"/>
        </w:rPr>
      </w:pPr>
      <w:r>
        <w:rPr>
          <w:rFonts w:hint="eastAsia" w:ascii="宋体" w:hAnsi="宋体" w:eastAsia="宋体" w:cs="宋体"/>
          <w:bCs/>
          <w:color w:val="auto"/>
          <w:sz w:val="24"/>
          <w:szCs w:val="24"/>
          <w:highlight w:val="none"/>
          <w:lang w:val="zh-CN"/>
        </w:rPr>
        <w:t>项目名称：</w:t>
      </w:r>
    </w:p>
    <w:p w14:paraId="2A883BB2">
      <w:pPr>
        <w:autoSpaceDE w:val="0"/>
        <w:autoSpaceDN w:val="0"/>
        <w:adjustRightInd w:val="0"/>
        <w:snapToGrid w:val="0"/>
        <w:spacing w:line="360" w:lineRule="auto"/>
        <w:ind w:firstLine="480" w:firstLineChars="200"/>
        <w:jc w:val="left"/>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lang w:val="zh-CN"/>
        </w:rPr>
        <w:t>项目编号：</w:t>
      </w:r>
    </w:p>
    <w:tbl>
      <w:tblPr>
        <w:tblStyle w:val="4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3"/>
        <w:gridCol w:w="1985"/>
        <w:gridCol w:w="1873"/>
        <w:gridCol w:w="1821"/>
        <w:gridCol w:w="1410"/>
        <w:gridCol w:w="1305"/>
      </w:tblGrid>
      <w:tr w14:paraId="3122C8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8" w:hRule="atLeast"/>
          <w:jc w:val="center"/>
        </w:trPr>
        <w:tc>
          <w:tcPr>
            <w:tcW w:w="893" w:type="dxa"/>
            <w:noWrap w:val="0"/>
            <w:vAlign w:val="center"/>
          </w:tcPr>
          <w:p w14:paraId="446E2C45">
            <w:pPr>
              <w:spacing w:line="40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序号</w:t>
            </w:r>
          </w:p>
        </w:tc>
        <w:tc>
          <w:tcPr>
            <w:tcW w:w="1985" w:type="dxa"/>
            <w:noWrap w:val="0"/>
            <w:vAlign w:val="center"/>
          </w:tcPr>
          <w:p w14:paraId="714B8625">
            <w:pPr>
              <w:spacing w:line="40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磋商文件条目号</w:t>
            </w:r>
          </w:p>
        </w:tc>
        <w:tc>
          <w:tcPr>
            <w:tcW w:w="1873" w:type="dxa"/>
            <w:noWrap w:val="0"/>
            <w:vAlign w:val="center"/>
          </w:tcPr>
          <w:p w14:paraId="549113A6">
            <w:pPr>
              <w:spacing w:line="40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磋商要求</w:t>
            </w:r>
          </w:p>
        </w:tc>
        <w:tc>
          <w:tcPr>
            <w:tcW w:w="1821" w:type="dxa"/>
            <w:noWrap w:val="0"/>
            <w:vAlign w:val="center"/>
          </w:tcPr>
          <w:p w14:paraId="508136A8">
            <w:pPr>
              <w:spacing w:line="40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供应商应答</w:t>
            </w:r>
          </w:p>
        </w:tc>
        <w:tc>
          <w:tcPr>
            <w:tcW w:w="1410" w:type="dxa"/>
            <w:noWrap w:val="0"/>
            <w:vAlign w:val="center"/>
          </w:tcPr>
          <w:p w14:paraId="17989BCB">
            <w:pPr>
              <w:spacing w:line="40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响应/偏离</w:t>
            </w:r>
          </w:p>
        </w:tc>
        <w:tc>
          <w:tcPr>
            <w:tcW w:w="1305" w:type="dxa"/>
            <w:noWrap w:val="0"/>
            <w:vAlign w:val="center"/>
          </w:tcPr>
          <w:p w14:paraId="5F9BB013">
            <w:pPr>
              <w:spacing w:line="40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说明</w:t>
            </w:r>
          </w:p>
        </w:tc>
      </w:tr>
      <w:tr w14:paraId="47B174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893" w:type="dxa"/>
            <w:noWrap w:val="0"/>
            <w:vAlign w:val="top"/>
          </w:tcPr>
          <w:p w14:paraId="00F2E330">
            <w:pPr>
              <w:spacing w:line="400" w:lineRule="exact"/>
              <w:jc w:val="center"/>
              <w:rPr>
                <w:rFonts w:hint="eastAsia" w:ascii="宋体" w:hAnsi="宋体" w:eastAsia="宋体" w:cs="宋体"/>
                <w:color w:val="auto"/>
                <w:sz w:val="24"/>
                <w:szCs w:val="24"/>
                <w:highlight w:val="none"/>
              </w:rPr>
            </w:pPr>
          </w:p>
        </w:tc>
        <w:tc>
          <w:tcPr>
            <w:tcW w:w="1985" w:type="dxa"/>
            <w:noWrap w:val="0"/>
            <w:vAlign w:val="top"/>
          </w:tcPr>
          <w:p w14:paraId="5312AE68">
            <w:pPr>
              <w:spacing w:line="400" w:lineRule="exact"/>
              <w:jc w:val="center"/>
              <w:rPr>
                <w:rFonts w:hint="eastAsia" w:ascii="宋体" w:hAnsi="宋体" w:eastAsia="宋体" w:cs="宋体"/>
                <w:color w:val="auto"/>
                <w:sz w:val="24"/>
                <w:szCs w:val="24"/>
                <w:highlight w:val="none"/>
              </w:rPr>
            </w:pPr>
          </w:p>
        </w:tc>
        <w:tc>
          <w:tcPr>
            <w:tcW w:w="1873" w:type="dxa"/>
            <w:noWrap w:val="0"/>
            <w:vAlign w:val="top"/>
          </w:tcPr>
          <w:p w14:paraId="7B38B0EC">
            <w:pPr>
              <w:spacing w:line="400" w:lineRule="exact"/>
              <w:jc w:val="center"/>
              <w:rPr>
                <w:rFonts w:hint="eastAsia" w:ascii="宋体" w:hAnsi="宋体" w:eastAsia="宋体" w:cs="宋体"/>
                <w:color w:val="auto"/>
                <w:sz w:val="24"/>
                <w:szCs w:val="24"/>
                <w:highlight w:val="none"/>
              </w:rPr>
            </w:pPr>
          </w:p>
        </w:tc>
        <w:tc>
          <w:tcPr>
            <w:tcW w:w="1821" w:type="dxa"/>
            <w:noWrap w:val="0"/>
            <w:vAlign w:val="top"/>
          </w:tcPr>
          <w:p w14:paraId="6FB2D65B">
            <w:pPr>
              <w:spacing w:line="400" w:lineRule="exact"/>
              <w:ind w:left="317" w:hanging="316" w:hangingChars="132"/>
              <w:jc w:val="center"/>
              <w:rPr>
                <w:rFonts w:hint="eastAsia" w:ascii="宋体" w:hAnsi="宋体" w:eastAsia="宋体" w:cs="宋体"/>
                <w:color w:val="auto"/>
                <w:sz w:val="24"/>
                <w:szCs w:val="24"/>
                <w:highlight w:val="none"/>
              </w:rPr>
            </w:pPr>
          </w:p>
        </w:tc>
        <w:tc>
          <w:tcPr>
            <w:tcW w:w="1410" w:type="dxa"/>
            <w:noWrap w:val="0"/>
            <w:vAlign w:val="top"/>
          </w:tcPr>
          <w:p w14:paraId="2039EE01">
            <w:pPr>
              <w:spacing w:line="400" w:lineRule="exact"/>
              <w:ind w:left="317" w:hanging="316" w:hangingChars="132"/>
              <w:jc w:val="center"/>
              <w:rPr>
                <w:rFonts w:hint="eastAsia" w:ascii="宋体" w:hAnsi="宋体" w:eastAsia="宋体" w:cs="宋体"/>
                <w:color w:val="auto"/>
                <w:sz w:val="24"/>
                <w:szCs w:val="24"/>
                <w:highlight w:val="none"/>
              </w:rPr>
            </w:pPr>
          </w:p>
        </w:tc>
        <w:tc>
          <w:tcPr>
            <w:tcW w:w="1305" w:type="dxa"/>
            <w:noWrap w:val="0"/>
            <w:vAlign w:val="top"/>
          </w:tcPr>
          <w:p w14:paraId="0B3EFEEA">
            <w:pPr>
              <w:spacing w:line="400" w:lineRule="exact"/>
              <w:ind w:left="317" w:hanging="316" w:hangingChars="132"/>
              <w:jc w:val="center"/>
              <w:rPr>
                <w:rFonts w:hint="eastAsia" w:ascii="宋体" w:hAnsi="宋体" w:eastAsia="宋体" w:cs="宋体"/>
                <w:color w:val="auto"/>
                <w:sz w:val="24"/>
                <w:szCs w:val="24"/>
                <w:highlight w:val="none"/>
              </w:rPr>
            </w:pPr>
          </w:p>
        </w:tc>
      </w:tr>
      <w:tr w14:paraId="4D8F02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893" w:type="dxa"/>
            <w:noWrap w:val="0"/>
            <w:vAlign w:val="top"/>
          </w:tcPr>
          <w:p w14:paraId="20B1241D">
            <w:pPr>
              <w:spacing w:line="400" w:lineRule="exact"/>
              <w:jc w:val="center"/>
              <w:rPr>
                <w:rFonts w:hint="eastAsia" w:ascii="宋体" w:hAnsi="宋体" w:eastAsia="宋体" w:cs="宋体"/>
                <w:color w:val="auto"/>
                <w:sz w:val="24"/>
                <w:szCs w:val="24"/>
                <w:highlight w:val="none"/>
              </w:rPr>
            </w:pPr>
          </w:p>
        </w:tc>
        <w:tc>
          <w:tcPr>
            <w:tcW w:w="1985" w:type="dxa"/>
            <w:noWrap w:val="0"/>
            <w:vAlign w:val="top"/>
          </w:tcPr>
          <w:p w14:paraId="3AB6AC9F">
            <w:pPr>
              <w:spacing w:line="400" w:lineRule="exact"/>
              <w:jc w:val="center"/>
              <w:rPr>
                <w:rFonts w:hint="eastAsia" w:ascii="宋体" w:hAnsi="宋体" w:eastAsia="宋体" w:cs="宋体"/>
                <w:color w:val="auto"/>
                <w:sz w:val="24"/>
                <w:szCs w:val="24"/>
                <w:highlight w:val="none"/>
              </w:rPr>
            </w:pPr>
          </w:p>
        </w:tc>
        <w:tc>
          <w:tcPr>
            <w:tcW w:w="1873" w:type="dxa"/>
            <w:noWrap w:val="0"/>
            <w:vAlign w:val="top"/>
          </w:tcPr>
          <w:p w14:paraId="61785488">
            <w:pPr>
              <w:spacing w:line="400" w:lineRule="exact"/>
              <w:jc w:val="center"/>
              <w:rPr>
                <w:rFonts w:hint="eastAsia" w:ascii="宋体" w:hAnsi="宋体" w:eastAsia="宋体" w:cs="宋体"/>
                <w:color w:val="auto"/>
                <w:sz w:val="24"/>
                <w:szCs w:val="24"/>
                <w:highlight w:val="none"/>
              </w:rPr>
            </w:pPr>
          </w:p>
        </w:tc>
        <w:tc>
          <w:tcPr>
            <w:tcW w:w="1821" w:type="dxa"/>
            <w:noWrap w:val="0"/>
            <w:vAlign w:val="top"/>
          </w:tcPr>
          <w:p w14:paraId="2E531EB1">
            <w:pPr>
              <w:spacing w:line="400" w:lineRule="exact"/>
              <w:jc w:val="center"/>
              <w:rPr>
                <w:rFonts w:hint="eastAsia" w:ascii="宋体" w:hAnsi="宋体" w:eastAsia="宋体" w:cs="宋体"/>
                <w:color w:val="auto"/>
                <w:sz w:val="24"/>
                <w:szCs w:val="24"/>
                <w:highlight w:val="none"/>
              </w:rPr>
            </w:pPr>
          </w:p>
        </w:tc>
        <w:tc>
          <w:tcPr>
            <w:tcW w:w="1410" w:type="dxa"/>
            <w:noWrap w:val="0"/>
            <w:vAlign w:val="top"/>
          </w:tcPr>
          <w:p w14:paraId="4EDE173E">
            <w:pPr>
              <w:spacing w:line="400" w:lineRule="exact"/>
              <w:jc w:val="center"/>
              <w:rPr>
                <w:rFonts w:hint="eastAsia" w:ascii="宋体" w:hAnsi="宋体" w:eastAsia="宋体" w:cs="宋体"/>
                <w:color w:val="auto"/>
                <w:sz w:val="24"/>
                <w:szCs w:val="24"/>
                <w:highlight w:val="none"/>
              </w:rPr>
            </w:pPr>
          </w:p>
        </w:tc>
        <w:tc>
          <w:tcPr>
            <w:tcW w:w="1305" w:type="dxa"/>
            <w:noWrap w:val="0"/>
            <w:vAlign w:val="top"/>
          </w:tcPr>
          <w:p w14:paraId="7CE6E575">
            <w:pPr>
              <w:spacing w:line="400" w:lineRule="exact"/>
              <w:jc w:val="center"/>
              <w:rPr>
                <w:rFonts w:hint="eastAsia" w:ascii="宋体" w:hAnsi="宋体" w:eastAsia="宋体" w:cs="宋体"/>
                <w:color w:val="auto"/>
                <w:sz w:val="24"/>
                <w:szCs w:val="24"/>
                <w:highlight w:val="none"/>
              </w:rPr>
            </w:pPr>
          </w:p>
        </w:tc>
      </w:tr>
      <w:tr w14:paraId="2D6B8F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893" w:type="dxa"/>
            <w:noWrap w:val="0"/>
            <w:vAlign w:val="top"/>
          </w:tcPr>
          <w:p w14:paraId="56F7B147">
            <w:pPr>
              <w:spacing w:line="400" w:lineRule="exact"/>
              <w:jc w:val="center"/>
              <w:rPr>
                <w:rFonts w:hint="eastAsia" w:ascii="宋体" w:hAnsi="宋体" w:eastAsia="宋体" w:cs="宋体"/>
                <w:color w:val="auto"/>
                <w:sz w:val="24"/>
                <w:szCs w:val="24"/>
                <w:highlight w:val="none"/>
              </w:rPr>
            </w:pPr>
          </w:p>
        </w:tc>
        <w:tc>
          <w:tcPr>
            <w:tcW w:w="1985" w:type="dxa"/>
            <w:noWrap w:val="0"/>
            <w:vAlign w:val="top"/>
          </w:tcPr>
          <w:p w14:paraId="1F4853DB">
            <w:pPr>
              <w:spacing w:line="400" w:lineRule="exact"/>
              <w:jc w:val="center"/>
              <w:rPr>
                <w:rFonts w:hint="eastAsia" w:ascii="宋体" w:hAnsi="宋体" w:eastAsia="宋体" w:cs="宋体"/>
                <w:color w:val="auto"/>
                <w:sz w:val="24"/>
                <w:szCs w:val="24"/>
                <w:highlight w:val="none"/>
              </w:rPr>
            </w:pPr>
          </w:p>
        </w:tc>
        <w:tc>
          <w:tcPr>
            <w:tcW w:w="1873" w:type="dxa"/>
            <w:noWrap w:val="0"/>
            <w:vAlign w:val="top"/>
          </w:tcPr>
          <w:p w14:paraId="1ADB76AE">
            <w:pPr>
              <w:spacing w:line="400" w:lineRule="exact"/>
              <w:jc w:val="center"/>
              <w:rPr>
                <w:rFonts w:hint="eastAsia" w:ascii="宋体" w:hAnsi="宋体" w:eastAsia="宋体" w:cs="宋体"/>
                <w:color w:val="auto"/>
                <w:sz w:val="24"/>
                <w:szCs w:val="24"/>
                <w:highlight w:val="none"/>
              </w:rPr>
            </w:pPr>
          </w:p>
        </w:tc>
        <w:tc>
          <w:tcPr>
            <w:tcW w:w="1821" w:type="dxa"/>
            <w:noWrap w:val="0"/>
            <w:vAlign w:val="top"/>
          </w:tcPr>
          <w:p w14:paraId="60F5C7D5">
            <w:pPr>
              <w:spacing w:line="400" w:lineRule="exact"/>
              <w:jc w:val="center"/>
              <w:rPr>
                <w:rFonts w:hint="eastAsia" w:ascii="宋体" w:hAnsi="宋体" w:eastAsia="宋体" w:cs="宋体"/>
                <w:color w:val="auto"/>
                <w:sz w:val="24"/>
                <w:szCs w:val="24"/>
                <w:highlight w:val="none"/>
              </w:rPr>
            </w:pPr>
          </w:p>
        </w:tc>
        <w:tc>
          <w:tcPr>
            <w:tcW w:w="1410" w:type="dxa"/>
            <w:noWrap w:val="0"/>
            <w:vAlign w:val="top"/>
          </w:tcPr>
          <w:p w14:paraId="2960AB99">
            <w:pPr>
              <w:spacing w:line="400" w:lineRule="exact"/>
              <w:jc w:val="center"/>
              <w:rPr>
                <w:rFonts w:hint="eastAsia" w:ascii="宋体" w:hAnsi="宋体" w:eastAsia="宋体" w:cs="宋体"/>
                <w:color w:val="auto"/>
                <w:sz w:val="24"/>
                <w:szCs w:val="24"/>
                <w:highlight w:val="none"/>
              </w:rPr>
            </w:pPr>
          </w:p>
        </w:tc>
        <w:tc>
          <w:tcPr>
            <w:tcW w:w="1305" w:type="dxa"/>
            <w:noWrap w:val="0"/>
            <w:vAlign w:val="top"/>
          </w:tcPr>
          <w:p w14:paraId="5C6C6D81">
            <w:pPr>
              <w:spacing w:line="400" w:lineRule="exact"/>
              <w:jc w:val="center"/>
              <w:rPr>
                <w:rFonts w:hint="eastAsia" w:ascii="宋体" w:hAnsi="宋体" w:eastAsia="宋体" w:cs="宋体"/>
                <w:color w:val="auto"/>
                <w:sz w:val="24"/>
                <w:szCs w:val="24"/>
                <w:highlight w:val="none"/>
              </w:rPr>
            </w:pPr>
          </w:p>
        </w:tc>
      </w:tr>
      <w:tr w14:paraId="5ABC35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893" w:type="dxa"/>
            <w:noWrap w:val="0"/>
            <w:vAlign w:val="top"/>
          </w:tcPr>
          <w:p w14:paraId="7504D70D">
            <w:pPr>
              <w:spacing w:line="400" w:lineRule="exact"/>
              <w:jc w:val="center"/>
              <w:rPr>
                <w:rFonts w:hint="eastAsia" w:ascii="宋体" w:hAnsi="宋体" w:eastAsia="宋体" w:cs="宋体"/>
                <w:color w:val="auto"/>
                <w:sz w:val="24"/>
                <w:szCs w:val="24"/>
                <w:highlight w:val="none"/>
              </w:rPr>
            </w:pPr>
          </w:p>
        </w:tc>
        <w:tc>
          <w:tcPr>
            <w:tcW w:w="1985" w:type="dxa"/>
            <w:noWrap w:val="0"/>
            <w:vAlign w:val="top"/>
          </w:tcPr>
          <w:p w14:paraId="193972D9">
            <w:pPr>
              <w:spacing w:line="400" w:lineRule="exact"/>
              <w:jc w:val="center"/>
              <w:rPr>
                <w:rFonts w:hint="eastAsia" w:ascii="宋体" w:hAnsi="宋体" w:eastAsia="宋体" w:cs="宋体"/>
                <w:color w:val="auto"/>
                <w:sz w:val="24"/>
                <w:szCs w:val="24"/>
                <w:highlight w:val="none"/>
              </w:rPr>
            </w:pPr>
          </w:p>
        </w:tc>
        <w:tc>
          <w:tcPr>
            <w:tcW w:w="1873" w:type="dxa"/>
            <w:noWrap w:val="0"/>
            <w:vAlign w:val="top"/>
          </w:tcPr>
          <w:p w14:paraId="6AF77BD5">
            <w:pPr>
              <w:spacing w:line="400" w:lineRule="exact"/>
              <w:jc w:val="center"/>
              <w:rPr>
                <w:rFonts w:hint="eastAsia" w:ascii="宋体" w:hAnsi="宋体" w:eastAsia="宋体" w:cs="宋体"/>
                <w:color w:val="auto"/>
                <w:sz w:val="24"/>
                <w:szCs w:val="24"/>
                <w:highlight w:val="none"/>
              </w:rPr>
            </w:pPr>
          </w:p>
        </w:tc>
        <w:tc>
          <w:tcPr>
            <w:tcW w:w="1821" w:type="dxa"/>
            <w:noWrap w:val="0"/>
            <w:vAlign w:val="top"/>
          </w:tcPr>
          <w:p w14:paraId="0F1BF9CE">
            <w:pPr>
              <w:spacing w:line="400" w:lineRule="exact"/>
              <w:jc w:val="center"/>
              <w:rPr>
                <w:rFonts w:hint="eastAsia" w:ascii="宋体" w:hAnsi="宋体" w:eastAsia="宋体" w:cs="宋体"/>
                <w:color w:val="auto"/>
                <w:sz w:val="24"/>
                <w:szCs w:val="24"/>
                <w:highlight w:val="none"/>
              </w:rPr>
            </w:pPr>
          </w:p>
        </w:tc>
        <w:tc>
          <w:tcPr>
            <w:tcW w:w="1410" w:type="dxa"/>
            <w:noWrap w:val="0"/>
            <w:vAlign w:val="top"/>
          </w:tcPr>
          <w:p w14:paraId="25F81D70">
            <w:pPr>
              <w:spacing w:line="400" w:lineRule="exact"/>
              <w:jc w:val="center"/>
              <w:rPr>
                <w:rFonts w:hint="eastAsia" w:ascii="宋体" w:hAnsi="宋体" w:eastAsia="宋体" w:cs="宋体"/>
                <w:color w:val="auto"/>
                <w:sz w:val="24"/>
                <w:szCs w:val="24"/>
                <w:highlight w:val="none"/>
              </w:rPr>
            </w:pPr>
          </w:p>
        </w:tc>
        <w:tc>
          <w:tcPr>
            <w:tcW w:w="1305" w:type="dxa"/>
            <w:noWrap w:val="0"/>
            <w:vAlign w:val="top"/>
          </w:tcPr>
          <w:p w14:paraId="3052015A">
            <w:pPr>
              <w:spacing w:line="400" w:lineRule="exact"/>
              <w:jc w:val="center"/>
              <w:rPr>
                <w:rFonts w:hint="eastAsia" w:ascii="宋体" w:hAnsi="宋体" w:eastAsia="宋体" w:cs="宋体"/>
                <w:color w:val="auto"/>
                <w:sz w:val="24"/>
                <w:szCs w:val="24"/>
                <w:highlight w:val="none"/>
              </w:rPr>
            </w:pPr>
          </w:p>
        </w:tc>
      </w:tr>
      <w:tr w14:paraId="6ECCF9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893" w:type="dxa"/>
            <w:noWrap w:val="0"/>
            <w:vAlign w:val="top"/>
          </w:tcPr>
          <w:p w14:paraId="5CB21652">
            <w:pPr>
              <w:spacing w:line="400" w:lineRule="exact"/>
              <w:jc w:val="center"/>
              <w:rPr>
                <w:rFonts w:hint="eastAsia" w:ascii="宋体" w:hAnsi="宋体" w:eastAsia="宋体" w:cs="宋体"/>
                <w:color w:val="auto"/>
                <w:sz w:val="24"/>
                <w:szCs w:val="24"/>
                <w:highlight w:val="none"/>
              </w:rPr>
            </w:pPr>
          </w:p>
        </w:tc>
        <w:tc>
          <w:tcPr>
            <w:tcW w:w="1985" w:type="dxa"/>
            <w:noWrap w:val="0"/>
            <w:vAlign w:val="top"/>
          </w:tcPr>
          <w:p w14:paraId="4174706A">
            <w:pPr>
              <w:spacing w:line="400" w:lineRule="exact"/>
              <w:jc w:val="center"/>
              <w:rPr>
                <w:rFonts w:hint="eastAsia" w:ascii="宋体" w:hAnsi="宋体" w:eastAsia="宋体" w:cs="宋体"/>
                <w:color w:val="auto"/>
                <w:sz w:val="24"/>
                <w:szCs w:val="24"/>
                <w:highlight w:val="none"/>
              </w:rPr>
            </w:pPr>
          </w:p>
        </w:tc>
        <w:tc>
          <w:tcPr>
            <w:tcW w:w="1873" w:type="dxa"/>
            <w:noWrap w:val="0"/>
            <w:vAlign w:val="top"/>
          </w:tcPr>
          <w:p w14:paraId="7B28619B">
            <w:pPr>
              <w:spacing w:line="400" w:lineRule="exact"/>
              <w:jc w:val="center"/>
              <w:rPr>
                <w:rFonts w:hint="eastAsia" w:ascii="宋体" w:hAnsi="宋体" w:eastAsia="宋体" w:cs="宋体"/>
                <w:color w:val="auto"/>
                <w:sz w:val="24"/>
                <w:szCs w:val="24"/>
                <w:highlight w:val="none"/>
              </w:rPr>
            </w:pPr>
          </w:p>
        </w:tc>
        <w:tc>
          <w:tcPr>
            <w:tcW w:w="1821" w:type="dxa"/>
            <w:noWrap w:val="0"/>
            <w:vAlign w:val="top"/>
          </w:tcPr>
          <w:p w14:paraId="57B89A60">
            <w:pPr>
              <w:spacing w:line="400" w:lineRule="exact"/>
              <w:jc w:val="center"/>
              <w:rPr>
                <w:rFonts w:hint="eastAsia" w:ascii="宋体" w:hAnsi="宋体" w:eastAsia="宋体" w:cs="宋体"/>
                <w:color w:val="auto"/>
                <w:sz w:val="24"/>
                <w:szCs w:val="24"/>
                <w:highlight w:val="none"/>
              </w:rPr>
            </w:pPr>
          </w:p>
        </w:tc>
        <w:tc>
          <w:tcPr>
            <w:tcW w:w="1410" w:type="dxa"/>
            <w:noWrap w:val="0"/>
            <w:vAlign w:val="top"/>
          </w:tcPr>
          <w:p w14:paraId="6777A320">
            <w:pPr>
              <w:spacing w:line="400" w:lineRule="exact"/>
              <w:jc w:val="center"/>
              <w:rPr>
                <w:rFonts w:hint="eastAsia" w:ascii="宋体" w:hAnsi="宋体" w:eastAsia="宋体" w:cs="宋体"/>
                <w:color w:val="auto"/>
                <w:sz w:val="24"/>
                <w:szCs w:val="24"/>
                <w:highlight w:val="none"/>
              </w:rPr>
            </w:pPr>
          </w:p>
        </w:tc>
        <w:tc>
          <w:tcPr>
            <w:tcW w:w="1305" w:type="dxa"/>
            <w:noWrap w:val="0"/>
            <w:vAlign w:val="top"/>
          </w:tcPr>
          <w:p w14:paraId="0F691ADD">
            <w:pPr>
              <w:spacing w:line="400" w:lineRule="exact"/>
              <w:jc w:val="center"/>
              <w:rPr>
                <w:rFonts w:hint="eastAsia" w:ascii="宋体" w:hAnsi="宋体" w:eastAsia="宋体" w:cs="宋体"/>
                <w:color w:val="auto"/>
                <w:sz w:val="24"/>
                <w:szCs w:val="24"/>
                <w:highlight w:val="none"/>
              </w:rPr>
            </w:pPr>
          </w:p>
        </w:tc>
      </w:tr>
      <w:tr w14:paraId="1E16FE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893" w:type="dxa"/>
            <w:noWrap w:val="0"/>
            <w:vAlign w:val="top"/>
          </w:tcPr>
          <w:p w14:paraId="48C3E602">
            <w:pPr>
              <w:spacing w:line="400" w:lineRule="exact"/>
              <w:jc w:val="center"/>
              <w:rPr>
                <w:rFonts w:hint="eastAsia" w:ascii="宋体" w:hAnsi="宋体" w:eastAsia="宋体" w:cs="宋体"/>
                <w:color w:val="auto"/>
                <w:sz w:val="24"/>
                <w:szCs w:val="24"/>
                <w:highlight w:val="none"/>
              </w:rPr>
            </w:pPr>
          </w:p>
        </w:tc>
        <w:tc>
          <w:tcPr>
            <w:tcW w:w="1985" w:type="dxa"/>
            <w:noWrap w:val="0"/>
            <w:vAlign w:val="top"/>
          </w:tcPr>
          <w:p w14:paraId="017B9989">
            <w:pPr>
              <w:spacing w:line="400" w:lineRule="exact"/>
              <w:jc w:val="center"/>
              <w:rPr>
                <w:rFonts w:hint="eastAsia" w:ascii="宋体" w:hAnsi="宋体" w:eastAsia="宋体" w:cs="宋体"/>
                <w:color w:val="auto"/>
                <w:sz w:val="24"/>
                <w:szCs w:val="24"/>
                <w:highlight w:val="none"/>
              </w:rPr>
            </w:pPr>
          </w:p>
        </w:tc>
        <w:tc>
          <w:tcPr>
            <w:tcW w:w="1873" w:type="dxa"/>
            <w:noWrap w:val="0"/>
            <w:vAlign w:val="top"/>
          </w:tcPr>
          <w:p w14:paraId="574073FD">
            <w:pPr>
              <w:spacing w:line="400" w:lineRule="exact"/>
              <w:jc w:val="center"/>
              <w:rPr>
                <w:rFonts w:hint="eastAsia" w:ascii="宋体" w:hAnsi="宋体" w:eastAsia="宋体" w:cs="宋体"/>
                <w:color w:val="auto"/>
                <w:sz w:val="24"/>
                <w:szCs w:val="24"/>
                <w:highlight w:val="none"/>
              </w:rPr>
            </w:pPr>
          </w:p>
        </w:tc>
        <w:tc>
          <w:tcPr>
            <w:tcW w:w="1821" w:type="dxa"/>
            <w:noWrap w:val="0"/>
            <w:vAlign w:val="top"/>
          </w:tcPr>
          <w:p w14:paraId="6CD5B72C">
            <w:pPr>
              <w:spacing w:line="400" w:lineRule="exact"/>
              <w:jc w:val="center"/>
              <w:rPr>
                <w:rFonts w:hint="eastAsia" w:ascii="宋体" w:hAnsi="宋体" w:eastAsia="宋体" w:cs="宋体"/>
                <w:color w:val="auto"/>
                <w:sz w:val="24"/>
                <w:szCs w:val="24"/>
                <w:highlight w:val="none"/>
              </w:rPr>
            </w:pPr>
          </w:p>
        </w:tc>
        <w:tc>
          <w:tcPr>
            <w:tcW w:w="1410" w:type="dxa"/>
            <w:noWrap w:val="0"/>
            <w:vAlign w:val="top"/>
          </w:tcPr>
          <w:p w14:paraId="6803ABE6">
            <w:pPr>
              <w:spacing w:line="400" w:lineRule="exact"/>
              <w:jc w:val="center"/>
              <w:rPr>
                <w:rFonts w:hint="eastAsia" w:ascii="宋体" w:hAnsi="宋体" w:eastAsia="宋体" w:cs="宋体"/>
                <w:color w:val="auto"/>
                <w:sz w:val="24"/>
                <w:szCs w:val="24"/>
                <w:highlight w:val="none"/>
              </w:rPr>
            </w:pPr>
          </w:p>
        </w:tc>
        <w:tc>
          <w:tcPr>
            <w:tcW w:w="1305" w:type="dxa"/>
            <w:noWrap w:val="0"/>
            <w:vAlign w:val="top"/>
          </w:tcPr>
          <w:p w14:paraId="017A0517">
            <w:pPr>
              <w:spacing w:line="400" w:lineRule="exact"/>
              <w:jc w:val="center"/>
              <w:rPr>
                <w:rFonts w:hint="eastAsia" w:ascii="宋体" w:hAnsi="宋体" w:eastAsia="宋体" w:cs="宋体"/>
                <w:color w:val="auto"/>
                <w:sz w:val="24"/>
                <w:szCs w:val="24"/>
                <w:highlight w:val="none"/>
              </w:rPr>
            </w:pPr>
          </w:p>
        </w:tc>
      </w:tr>
      <w:tr w14:paraId="5A883F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893" w:type="dxa"/>
            <w:noWrap w:val="0"/>
            <w:vAlign w:val="top"/>
          </w:tcPr>
          <w:p w14:paraId="1ACCB8A3">
            <w:pPr>
              <w:spacing w:line="400" w:lineRule="exact"/>
              <w:jc w:val="center"/>
              <w:rPr>
                <w:rFonts w:hint="eastAsia" w:ascii="宋体" w:hAnsi="宋体" w:eastAsia="宋体" w:cs="宋体"/>
                <w:color w:val="auto"/>
                <w:sz w:val="24"/>
                <w:szCs w:val="24"/>
                <w:highlight w:val="none"/>
              </w:rPr>
            </w:pPr>
          </w:p>
        </w:tc>
        <w:tc>
          <w:tcPr>
            <w:tcW w:w="1985" w:type="dxa"/>
            <w:noWrap w:val="0"/>
            <w:vAlign w:val="top"/>
          </w:tcPr>
          <w:p w14:paraId="62579941">
            <w:pPr>
              <w:spacing w:line="400" w:lineRule="exact"/>
              <w:jc w:val="center"/>
              <w:rPr>
                <w:rFonts w:hint="eastAsia" w:ascii="宋体" w:hAnsi="宋体" w:eastAsia="宋体" w:cs="宋体"/>
                <w:color w:val="auto"/>
                <w:sz w:val="24"/>
                <w:szCs w:val="24"/>
                <w:highlight w:val="none"/>
              </w:rPr>
            </w:pPr>
          </w:p>
        </w:tc>
        <w:tc>
          <w:tcPr>
            <w:tcW w:w="1873" w:type="dxa"/>
            <w:noWrap w:val="0"/>
            <w:vAlign w:val="top"/>
          </w:tcPr>
          <w:p w14:paraId="6B2A2D86">
            <w:pPr>
              <w:spacing w:line="400" w:lineRule="exact"/>
              <w:jc w:val="center"/>
              <w:rPr>
                <w:rFonts w:hint="eastAsia" w:ascii="宋体" w:hAnsi="宋体" w:eastAsia="宋体" w:cs="宋体"/>
                <w:color w:val="auto"/>
                <w:sz w:val="24"/>
                <w:szCs w:val="24"/>
                <w:highlight w:val="none"/>
              </w:rPr>
            </w:pPr>
          </w:p>
        </w:tc>
        <w:tc>
          <w:tcPr>
            <w:tcW w:w="1821" w:type="dxa"/>
            <w:noWrap w:val="0"/>
            <w:vAlign w:val="top"/>
          </w:tcPr>
          <w:p w14:paraId="0DD60853">
            <w:pPr>
              <w:spacing w:line="400" w:lineRule="exact"/>
              <w:jc w:val="center"/>
              <w:rPr>
                <w:rFonts w:hint="eastAsia" w:ascii="宋体" w:hAnsi="宋体" w:eastAsia="宋体" w:cs="宋体"/>
                <w:color w:val="auto"/>
                <w:sz w:val="24"/>
                <w:szCs w:val="24"/>
                <w:highlight w:val="none"/>
              </w:rPr>
            </w:pPr>
          </w:p>
        </w:tc>
        <w:tc>
          <w:tcPr>
            <w:tcW w:w="1410" w:type="dxa"/>
            <w:noWrap w:val="0"/>
            <w:vAlign w:val="top"/>
          </w:tcPr>
          <w:p w14:paraId="61CCFB94">
            <w:pPr>
              <w:spacing w:line="400" w:lineRule="exact"/>
              <w:jc w:val="center"/>
              <w:rPr>
                <w:rFonts w:hint="eastAsia" w:ascii="宋体" w:hAnsi="宋体" w:eastAsia="宋体" w:cs="宋体"/>
                <w:color w:val="auto"/>
                <w:sz w:val="24"/>
                <w:szCs w:val="24"/>
                <w:highlight w:val="none"/>
              </w:rPr>
            </w:pPr>
          </w:p>
        </w:tc>
        <w:tc>
          <w:tcPr>
            <w:tcW w:w="1305" w:type="dxa"/>
            <w:noWrap w:val="0"/>
            <w:vAlign w:val="top"/>
          </w:tcPr>
          <w:p w14:paraId="6055C522">
            <w:pPr>
              <w:spacing w:line="400" w:lineRule="exact"/>
              <w:jc w:val="center"/>
              <w:rPr>
                <w:rFonts w:hint="eastAsia" w:ascii="宋体" w:hAnsi="宋体" w:eastAsia="宋体" w:cs="宋体"/>
                <w:color w:val="auto"/>
                <w:sz w:val="24"/>
                <w:szCs w:val="24"/>
                <w:highlight w:val="none"/>
              </w:rPr>
            </w:pPr>
          </w:p>
        </w:tc>
      </w:tr>
    </w:tbl>
    <w:p w14:paraId="57C21605">
      <w:pPr>
        <w:rPr>
          <w:rFonts w:hint="eastAsia" w:ascii="宋体" w:hAnsi="宋体" w:eastAsia="宋体" w:cs="宋体"/>
          <w:color w:val="auto"/>
          <w:highlight w:val="none"/>
        </w:rPr>
      </w:pPr>
      <w:r>
        <w:rPr>
          <w:rFonts w:hint="eastAsia" w:ascii="宋体" w:hAnsi="宋体" w:eastAsia="宋体" w:cs="宋体"/>
          <w:color w:val="auto"/>
          <w:highlight w:val="none"/>
        </w:rPr>
        <w:t>注：</w:t>
      </w:r>
    </w:p>
    <w:p w14:paraId="6A077D51">
      <w:pPr>
        <w:spacing w:line="440" w:lineRule="exact"/>
        <w:ind w:firstLine="482" w:firstLineChars="200"/>
        <w:rPr>
          <w:rFonts w:hint="eastAsia" w:ascii="宋体" w:hAnsi="宋体" w:eastAsia="宋体" w:cs="宋体"/>
          <w:b/>
          <w:bCs/>
          <w:color w:val="auto"/>
          <w:kern w:val="1"/>
          <w:sz w:val="24"/>
          <w:highlight w:val="none"/>
        </w:rPr>
      </w:pPr>
      <w:r>
        <w:rPr>
          <w:rFonts w:hint="eastAsia" w:ascii="宋体" w:hAnsi="宋体" w:eastAsia="宋体" w:cs="宋体"/>
          <w:b/>
          <w:bCs/>
          <w:color w:val="auto"/>
          <w:kern w:val="1"/>
          <w:sz w:val="24"/>
          <w:highlight w:val="none"/>
        </w:rPr>
        <w:t>参照</w:t>
      </w:r>
      <w:r>
        <w:rPr>
          <w:rFonts w:hint="eastAsia" w:ascii="宋体" w:hAnsi="宋体" w:eastAsia="宋体" w:cs="宋体"/>
          <w:b/>
          <w:bCs/>
          <w:color w:val="auto"/>
          <w:kern w:val="1"/>
          <w:sz w:val="24"/>
          <w:highlight w:val="none"/>
          <w:lang w:val="en-US" w:eastAsia="zh-CN"/>
        </w:rPr>
        <w:t>磋商</w:t>
      </w:r>
      <w:r>
        <w:rPr>
          <w:rFonts w:hint="eastAsia" w:ascii="宋体" w:hAnsi="宋体" w:eastAsia="宋体" w:cs="宋体"/>
          <w:b/>
          <w:bCs/>
          <w:color w:val="auto"/>
          <w:kern w:val="1"/>
          <w:sz w:val="24"/>
          <w:highlight w:val="none"/>
        </w:rPr>
        <w:t>文件第四章</w:t>
      </w:r>
      <w:r>
        <w:rPr>
          <w:rFonts w:hint="eastAsia" w:ascii="宋体" w:hAnsi="宋体" w:eastAsia="宋体" w:cs="宋体"/>
          <w:b/>
          <w:bCs/>
          <w:color w:val="auto"/>
          <w:kern w:val="1"/>
          <w:sz w:val="24"/>
          <w:highlight w:val="none"/>
          <w:lang w:val="en-US" w:eastAsia="zh-CN"/>
        </w:rPr>
        <w:t>商务条款及</w:t>
      </w:r>
      <w:r>
        <w:rPr>
          <w:rFonts w:hint="eastAsia" w:ascii="宋体" w:hAnsi="宋体" w:eastAsia="宋体" w:cs="宋体"/>
          <w:b/>
          <w:color w:val="auto"/>
          <w:sz w:val="24"/>
          <w:highlight w:val="none"/>
        </w:rPr>
        <w:t>综合评分明细表</w:t>
      </w:r>
      <w:r>
        <w:rPr>
          <w:rFonts w:hint="eastAsia" w:ascii="宋体" w:hAnsi="宋体" w:eastAsia="宋体" w:cs="宋体"/>
          <w:b/>
          <w:bCs/>
          <w:color w:val="auto"/>
          <w:kern w:val="1"/>
          <w:sz w:val="24"/>
          <w:highlight w:val="none"/>
        </w:rPr>
        <w:t>，结合实际情况进行响应说明。</w:t>
      </w:r>
    </w:p>
    <w:p w14:paraId="088861DF">
      <w:pPr>
        <w:pStyle w:val="23"/>
        <w:ind w:firstLine="562" w:firstLineChars="200"/>
        <w:jc w:val="center"/>
        <w:rPr>
          <w:rFonts w:hint="eastAsia" w:ascii="宋体" w:hAnsi="宋体" w:eastAsia="宋体" w:cs="宋体"/>
          <w:b/>
          <w:bCs/>
          <w:color w:val="auto"/>
          <w:sz w:val="28"/>
          <w:szCs w:val="28"/>
          <w:highlight w:val="none"/>
        </w:rPr>
      </w:pPr>
    </w:p>
    <w:p w14:paraId="7D3FCA09">
      <w:pPr>
        <w:spacing w:line="480" w:lineRule="auto"/>
        <w:ind w:firstLine="2160" w:firstLineChars="900"/>
        <w:rPr>
          <w:rFonts w:hint="eastAsia" w:ascii="宋体" w:hAnsi="宋体" w:eastAsia="宋体" w:cs="宋体"/>
          <w:color w:val="auto"/>
          <w:sz w:val="24"/>
          <w:highlight w:val="none"/>
          <w:u w:val="single"/>
        </w:rPr>
      </w:pPr>
      <w:r>
        <w:rPr>
          <w:rFonts w:hint="eastAsia" w:ascii="宋体" w:hAnsi="宋体" w:eastAsia="宋体" w:cs="宋体"/>
          <w:color w:val="auto"/>
          <w:sz w:val="24"/>
          <w:highlight w:val="none"/>
        </w:rPr>
        <w:t>投标人名称：</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（盖章）</w:t>
      </w:r>
    </w:p>
    <w:p w14:paraId="0FF87449">
      <w:pPr>
        <w:spacing w:line="480" w:lineRule="auto"/>
        <w:ind w:firstLine="2160" w:firstLineChars="900"/>
        <w:rPr>
          <w:rFonts w:hint="eastAsia" w:ascii="宋体" w:hAnsi="宋体" w:eastAsia="宋体" w:cs="宋体"/>
          <w:color w:val="auto"/>
          <w:sz w:val="24"/>
          <w:highlight w:val="none"/>
          <w:u w:val="single"/>
        </w:rPr>
      </w:pPr>
      <w:r>
        <w:rPr>
          <w:rFonts w:hint="eastAsia" w:ascii="宋体" w:hAnsi="宋体" w:eastAsia="宋体" w:cs="宋体"/>
          <w:color w:val="auto"/>
          <w:sz w:val="24"/>
          <w:highlight w:val="none"/>
        </w:rPr>
        <w:t>法定代表人或被授权人：</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（签字或盖章）</w:t>
      </w:r>
    </w:p>
    <w:p w14:paraId="7B791A95">
      <w:pPr>
        <w:pStyle w:val="27"/>
        <w:ind w:firstLine="2160" w:firstLineChars="900"/>
        <w:rPr>
          <w:rFonts w:hint="eastAsia" w:ascii="宋体" w:hAnsi="宋体" w:eastAsia="宋体" w:cs="宋体"/>
          <w:color w:val="auto"/>
          <w:highlight w:val="none"/>
        </w:rPr>
      </w:pPr>
      <w:r>
        <w:rPr>
          <w:rFonts w:hint="eastAsia" w:ascii="宋体" w:hAnsi="宋体" w:eastAsia="宋体" w:cs="宋体"/>
          <w:color w:val="auto"/>
          <w:sz w:val="24"/>
          <w:szCs w:val="24"/>
          <w:highlight w:val="none"/>
        </w:rPr>
        <w:t>日期：</w:t>
      </w:r>
      <w:r>
        <w:rPr>
          <w:rFonts w:hint="eastAsia" w:ascii="宋体" w:hAnsi="宋体" w:eastAsia="宋体" w:cs="宋体"/>
          <w:color w:val="auto"/>
          <w:sz w:val="24"/>
          <w:szCs w:val="24"/>
          <w:highlight w:val="none"/>
          <w:u w:val="single"/>
        </w:rPr>
        <w:t xml:space="preserve">                                        </w:t>
      </w:r>
    </w:p>
    <w:p w14:paraId="0E743A9B">
      <w:pPr>
        <w:rPr>
          <w:rFonts w:hint="eastAsia" w:ascii="宋体" w:hAnsi="宋体" w:eastAsia="宋体" w:cs="宋体"/>
          <w:b/>
          <w:bCs/>
          <w:color w:val="auto"/>
          <w:sz w:val="28"/>
          <w:szCs w:val="28"/>
          <w:highlight w:val="none"/>
        </w:rPr>
      </w:pPr>
    </w:p>
    <w:p w14:paraId="27D5FC4A">
      <w:pPr>
        <w:pStyle w:val="27"/>
        <w:rPr>
          <w:rFonts w:hint="eastAsia" w:ascii="宋体" w:hAnsi="宋体" w:eastAsia="宋体" w:cs="宋体"/>
          <w:b/>
          <w:bCs/>
          <w:color w:val="auto"/>
          <w:kern w:val="2"/>
          <w:sz w:val="28"/>
          <w:szCs w:val="28"/>
          <w:highlight w:val="none"/>
        </w:rPr>
      </w:pPr>
    </w:p>
    <w:p w14:paraId="3EAFFDE6">
      <w:pPr>
        <w:pStyle w:val="27"/>
        <w:rPr>
          <w:rFonts w:hint="eastAsia" w:ascii="宋体" w:hAnsi="宋体" w:eastAsia="宋体" w:cs="宋体"/>
          <w:b/>
          <w:bCs/>
          <w:color w:val="auto"/>
          <w:kern w:val="2"/>
          <w:sz w:val="28"/>
          <w:szCs w:val="28"/>
          <w:highlight w:val="none"/>
        </w:rPr>
      </w:pPr>
    </w:p>
    <w:p w14:paraId="0CC20B60">
      <w:pPr>
        <w:pStyle w:val="27"/>
        <w:rPr>
          <w:rFonts w:hint="eastAsia" w:ascii="宋体" w:hAnsi="宋体" w:eastAsia="宋体" w:cs="宋体"/>
          <w:b/>
          <w:bCs/>
          <w:color w:val="auto"/>
          <w:kern w:val="2"/>
          <w:sz w:val="28"/>
          <w:szCs w:val="28"/>
          <w:highlight w:val="none"/>
        </w:rPr>
      </w:pPr>
    </w:p>
    <w:p w14:paraId="50FE1CC1">
      <w:pPr>
        <w:pStyle w:val="23"/>
        <w:numPr>
          <w:ilvl w:val="0"/>
          <w:numId w:val="0"/>
        </w:numPr>
        <w:jc w:val="center"/>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lang w:val="en-US" w:eastAsia="zh-CN"/>
        </w:rPr>
        <w:t>七、</w:t>
      </w:r>
      <w:r>
        <w:rPr>
          <w:rFonts w:hint="eastAsia" w:ascii="宋体" w:hAnsi="宋体" w:eastAsia="宋体" w:cs="宋体"/>
          <w:b/>
          <w:bCs/>
          <w:color w:val="auto"/>
          <w:sz w:val="28"/>
          <w:szCs w:val="28"/>
          <w:highlight w:val="none"/>
        </w:rPr>
        <w:t>资格证明文件</w:t>
      </w:r>
    </w:p>
    <w:p w14:paraId="69565A61">
      <w:pPr>
        <w:keepNext w:val="0"/>
        <w:keepLines w:val="0"/>
        <w:pageBreakBefore w:val="0"/>
        <w:widowControl/>
        <w:numPr>
          <w:ilvl w:val="0"/>
          <w:numId w:val="0"/>
        </w:numPr>
        <w:kinsoku/>
        <w:wordWrap/>
        <w:overflowPunct/>
        <w:topLinePunct w:val="0"/>
        <w:autoSpaceDE w:val="0"/>
        <w:autoSpaceDN/>
        <w:bidi w:val="0"/>
        <w:adjustRightInd/>
        <w:snapToGrid/>
        <w:spacing w:line="460" w:lineRule="exact"/>
        <w:ind w:firstLine="480" w:firstLineChars="200"/>
        <w:textAlignment w:val="auto"/>
        <w:rPr>
          <w:rFonts w:hint="eastAsia" w:ascii="宋体" w:hAnsi="宋体" w:cs="宋体"/>
          <w:b w:val="0"/>
          <w:bCs w:val="0"/>
          <w:color w:val="auto"/>
          <w:kern w:val="0"/>
          <w:sz w:val="24"/>
          <w:highlight w:val="none"/>
          <w:lang w:eastAsia="zh-CN"/>
        </w:rPr>
      </w:pPr>
      <w:r>
        <w:rPr>
          <w:rFonts w:hint="eastAsia" w:ascii="宋体" w:hAnsi="宋体" w:cs="宋体"/>
          <w:b w:val="0"/>
          <w:bCs w:val="0"/>
          <w:color w:val="auto"/>
          <w:kern w:val="0"/>
          <w:sz w:val="24"/>
          <w:highlight w:val="none"/>
          <w:lang w:eastAsia="zh-CN"/>
        </w:rPr>
        <w:t>（1）具有独立承担民事责任能力的法人、非法人组织或自然人，提供合法有效的营业执照/事业单位法人证书/专业服务机构执业许可证/民办非企业单位登记证书等相关证明，自然人参与的提供其身份证明；</w:t>
      </w:r>
      <w:r>
        <w:rPr>
          <w:rFonts w:hint="eastAsia" w:ascii="宋体" w:hAnsi="宋体" w:cs="宋体"/>
          <w:b w:val="0"/>
          <w:bCs w:val="0"/>
          <w:color w:val="auto"/>
          <w:kern w:val="0"/>
          <w:sz w:val="24"/>
          <w:highlight w:val="none"/>
          <w:lang w:eastAsia="zh-CN"/>
        </w:rPr>
        <w:br w:type="textWrapping"/>
      </w:r>
      <w:r>
        <w:rPr>
          <w:rFonts w:hint="eastAsia" w:ascii="宋体" w:hAnsi="宋体" w:cs="宋体"/>
          <w:b w:val="0"/>
          <w:bCs w:val="0"/>
          <w:color w:val="auto"/>
          <w:kern w:val="0"/>
          <w:sz w:val="24"/>
          <w:highlight w:val="none"/>
          <w:lang w:val="en-US" w:eastAsia="zh-CN"/>
        </w:rPr>
        <w:t xml:space="preserve">   </w:t>
      </w:r>
      <w:r>
        <w:rPr>
          <w:rFonts w:hint="eastAsia" w:ascii="宋体" w:hAnsi="宋体" w:cs="宋体"/>
          <w:b w:val="0"/>
          <w:bCs w:val="0"/>
          <w:color w:val="auto"/>
          <w:kern w:val="0"/>
          <w:sz w:val="24"/>
          <w:highlight w:val="none"/>
          <w:lang w:eastAsia="zh-CN"/>
        </w:rPr>
        <w:t>（2）法定代表人委托授权书（后附法定代表人、被授权人身份证复印件）及被授权人身份证原件；法定代表人直接投标时，只提供本人身份证原件；</w:t>
      </w:r>
      <w:r>
        <w:rPr>
          <w:rFonts w:hint="eastAsia" w:ascii="宋体" w:hAnsi="宋体" w:cs="宋体"/>
          <w:b w:val="0"/>
          <w:bCs w:val="0"/>
          <w:color w:val="auto"/>
          <w:kern w:val="0"/>
          <w:sz w:val="24"/>
          <w:highlight w:val="none"/>
          <w:lang w:eastAsia="zh-CN"/>
        </w:rPr>
        <w:br w:type="textWrapping"/>
      </w:r>
      <w:r>
        <w:rPr>
          <w:rFonts w:hint="eastAsia" w:ascii="宋体" w:hAnsi="宋体" w:cs="宋体"/>
          <w:b w:val="0"/>
          <w:bCs w:val="0"/>
          <w:color w:val="auto"/>
          <w:kern w:val="0"/>
          <w:sz w:val="24"/>
          <w:highlight w:val="none"/>
          <w:lang w:val="en-US" w:eastAsia="zh-CN"/>
        </w:rPr>
        <w:t xml:space="preserve">   </w:t>
      </w:r>
      <w:r>
        <w:rPr>
          <w:rFonts w:hint="eastAsia" w:ascii="宋体" w:hAnsi="宋体" w:cs="宋体"/>
          <w:b w:val="0"/>
          <w:bCs w:val="0"/>
          <w:color w:val="auto"/>
          <w:kern w:val="0"/>
          <w:sz w:val="24"/>
          <w:highlight w:val="none"/>
          <w:lang w:eastAsia="zh-CN"/>
        </w:rPr>
        <w:t>（3）财务状况报告：提供经审计的202</w:t>
      </w:r>
      <w:r>
        <w:rPr>
          <w:rFonts w:hint="eastAsia" w:ascii="宋体" w:hAnsi="宋体" w:cs="宋体"/>
          <w:b w:val="0"/>
          <w:bCs w:val="0"/>
          <w:color w:val="auto"/>
          <w:kern w:val="0"/>
          <w:sz w:val="24"/>
          <w:highlight w:val="none"/>
          <w:lang w:val="en-US" w:eastAsia="zh-CN"/>
        </w:rPr>
        <w:t>3</w:t>
      </w:r>
      <w:r>
        <w:rPr>
          <w:rFonts w:hint="eastAsia" w:ascii="宋体" w:hAnsi="宋体" w:cs="宋体"/>
          <w:b w:val="0"/>
          <w:bCs w:val="0"/>
          <w:color w:val="auto"/>
          <w:kern w:val="0"/>
          <w:sz w:val="24"/>
          <w:highlight w:val="none"/>
          <w:lang w:eastAsia="zh-CN"/>
        </w:rPr>
        <w:t>年度或202</w:t>
      </w:r>
      <w:r>
        <w:rPr>
          <w:rFonts w:hint="eastAsia" w:ascii="宋体" w:hAnsi="宋体" w:cs="宋体"/>
          <w:b w:val="0"/>
          <w:bCs w:val="0"/>
          <w:color w:val="auto"/>
          <w:kern w:val="0"/>
          <w:sz w:val="24"/>
          <w:highlight w:val="none"/>
          <w:lang w:val="en-US" w:eastAsia="zh-CN"/>
        </w:rPr>
        <w:t>4</w:t>
      </w:r>
      <w:r>
        <w:rPr>
          <w:rFonts w:hint="eastAsia" w:ascii="宋体" w:hAnsi="宋体" w:cs="宋体"/>
          <w:b w:val="0"/>
          <w:bCs w:val="0"/>
          <w:color w:val="auto"/>
          <w:kern w:val="0"/>
          <w:sz w:val="24"/>
          <w:highlight w:val="none"/>
          <w:lang w:eastAsia="zh-CN"/>
        </w:rPr>
        <w:t>年度审计报告（至少应包含资产负债表、利润表和现金流量表）或银行出具的资信证明（公司成立时间至提交响应文件截止时间不足三个月的可不提供）；</w:t>
      </w:r>
      <w:r>
        <w:rPr>
          <w:rFonts w:hint="eastAsia" w:ascii="宋体" w:hAnsi="宋体" w:cs="宋体"/>
          <w:b w:val="0"/>
          <w:bCs w:val="0"/>
          <w:color w:val="auto"/>
          <w:kern w:val="0"/>
          <w:sz w:val="24"/>
          <w:highlight w:val="none"/>
          <w:lang w:eastAsia="zh-CN"/>
        </w:rPr>
        <w:br w:type="textWrapping"/>
      </w:r>
      <w:r>
        <w:rPr>
          <w:rFonts w:hint="eastAsia" w:ascii="宋体" w:hAnsi="宋体" w:cs="宋体"/>
          <w:b w:val="0"/>
          <w:bCs w:val="0"/>
          <w:color w:val="auto"/>
          <w:kern w:val="0"/>
          <w:sz w:val="24"/>
          <w:highlight w:val="none"/>
          <w:lang w:val="en-US" w:eastAsia="zh-CN"/>
        </w:rPr>
        <w:t xml:space="preserve">   </w:t>
      </w:r>
      <w:r>
        <w:rPr>
          <w:rFonts w:hint="eastAsia" w:ascii="宋体" w:hAnsi="宋体" w:cs="宋体"/>
          <w:b w:val="0"/>
          <w:bCs w:val="0"/>
          <w:color w:val="auto"/>
          <w:kern w:val="0"/>
          <w:sz w:val="24"/>
          <w:highlight w:val="none"/>
          <w:lang w:eastAsia="zh-CN"/>
        </w:rPr>
        <w:t>（4）社会保障资金缴纳证明：提供投标截止日前一年内任意三个月的社会保障资金缴存单据或社保机构开具的社会保险参保缴费情况证明，成立不足一年的公司提供自成立后至今连续缴存社会保障资金缴存单据或社保机构开具的社会保险参保缴费情况证明，单据或证明上应有社保机构或代收机构的公章或业务专用章（公司成立时间至提交响应文件截止时间不足三个月的可不提供）；</w:t>
      </w:r>
      <w:r>
        <w:rPr>
          <w:rFonts w:hint="eastAsia" w:ascii="宋体" w:hAnsi="宋体" w:cs="宋体"/>
          <w:b w:val="0"/>
          <w:bCs w:val="0"/>
          <w:color w:val="auto"/>
          <w:kern w:val="0"/>
          <w:sz w:val="24"/>
          <w:highlight w:val="none"/>
          <w:lang w:eastAsia="zh-CN"/>
        </w:rPr>
        <w:br w:type="textWrapping"/>
      </w:r>
      <w:r>
        <w:rPr>
          <w:rFonts w:hint="eastAsia" w:ascii="宋体" w:hAnsi="宋体" w:cs="宋体"/>
          <w:b w:val="0"/>
          <w:bCs w:val="0"/>
          <w:color w:val="auto"/>
          <w:kern w:val="0"/>
          <w:sz w:val="24"/>
          <w:highlight w:val="none"/>
          <w:lang w:val="en-US" w:eastAsia="zh-CN"/>
        </w:rPr>
        <w:t xml:space="preserve">   </w:t>
      </w:r>
      <w:r>
        <w:rPr>
          <w:rFonts w:hint="eastAsia" w:ascii="宋体" w:hAnsi="宋体" w:cs="宋体"/>
          <w:b w:val="0"/>
          <w:bCs w:val="0"/>
          <w:color w:val="auto"/>
          <w:kern w:val="0"/>
          <w:sz w:val="24"/>
          <w:highlight w:val="none"/>
          <w:lang w:eastAsia="zh-CN"/>
        </w:rPr>
        <w:t>（5）税收缴纳证明：提供投标截止日前一年内任意三个月的纳税证明或完税证明，单据应有代收机构或税务机关的公章或业务专用章；依法免税的单位应提供相关证明材料（公司成立时间至提交响应文件截止时间不足三个月的可不提供）；</w:t>
      </w:r>
      <w:r>
        <w:rPr>
          <w:rFonts w:hint="eastAsia" w:ascii="宋体" w:hAnsi="宋体" w:cs="宋体"/>
          <w:b w:val="0"/>
          <w:bCs w:val="0"/>
          <w:color w:val="auto"/>
          <w:kern w:val="0"/>
          <w:sz w:val="24"/>
          <w:highlight w:val="none"/>
          <w:lang w:eastAsia="zh-CN"/>
        </w:rPr>
        <w:br w:type="textWrapping"/>
      </w:r>
      <w:r>
        <w:rPr>
          <w:rFonts w:hint="eastAsia" w:ascii="宋体" w:hAnsi="宋体" w:cs="宋体"/>
          <w:b w:val="0"/>
          <w:bCs w:val="0"/>
          <w:color w:val="auto"/>
          <w:kern w:val="0"/>
          <w:sz w:val="24"/>
          <w:highlight w:val="none"/>
          <w:lang w:val="en-US" w:eastAsia="zh-CN"/>
        </w:rPr>
        <w:t xml:space="preserve">   </w:t>
      </w:r>
      <w:r>
        <w:rPr>
          <w:rFonts w:hint="eastAsia" w:ascii="宋体" w:hAnsi="宋体" w:cs="宋体"/>
          <w:b w:val="0"/>
          <w:bCs w:val="0"/>
          <w:color w:val="auto"/>
          <w:kern w:val="0"/>
          <w:sz w:val="24"/>
          <w:highlight w:val="none"/>
          <w:lang w:eastAsia="zh-CN"/>
        </w:rPr>
        <w:t>（6）供应商通过“信用中国”网(www.creditchina.gov.cn)和中国政府采购网(www.ccgp.gov.cn) 查询相关主体信用记录，截止时点为招标文件发出至投标截止时间内，网页截图加盖投标供应商公章。对列入失信被执行人、重大税收违法案件当事人名单、政府采购严重违法失信行为记录名单及其他不符合《中华人民共和国政府采购法》第二十二条规定条件的供应商，将被视为不合格供应商；</w:t>
      </w:r>
      <w:r>
        <w:rPr>
          <w:rFonts w:hint="eastAsia" w:ascii="宋体" w:hAnsi="宋体" w:cs="宋体"/>
          <w:b w:val="0"/>
          <w:bCs w:val="0"/>
          <w:color w:val="auto"/>
          <w:kern w:val="0"/>
          <w:sz w:val="24"/>
          <w:highlight w:val="none"/>
          <w:lang w:eastAsia="zh-CN"/>
        </w:rPr>
        <w:br w:type="textWrapping"/>
      </w:r>
      <w:r>
        <w:rPr>
          <w:rFonts w:hint="eastAsia" w:ascii="宋体" w:hAnsi="宋体" w:cs="宋体"/>
          <w:b w:val="0"/>
          <w:bCs w:val="0"/>
          <w:color w:val="auto"/>
          <w:kern w:val="0"/>
          <w:sz w:val="24"/>
          <w:highlight w:val="none"/>
          <w:lang w:val="en-US" w:eastAsia="zh-CN"/>
        </w:rPr>
        <w:t xml:space="preserve">   </w:t>
      </w:r>
      <w:r>
        <w:rPr>
          <w:rFonts w:hint="eastAsia" w:ascii="宋体" w:hAnsi="宋体" w:cs="宋体"/>
          <w:b w:val="0"/>
          <w:bCs w:val="0"/>
          <w:color w:val="auto"/>
          <w:kern w:val="0"/>
          <w:sz w:val="24"/>
          <w:highlight w:val="none"/>
          <w:lang w:eastAsia="zh-CN"/>
        </w:rPr>
        <w:t>（7）书面声明：投标人必须提供参加本次采购活动前3年内在经营活动中没有重大违法记录的书面声明；</w:t>
      </w:r>
      <w:r>
        <w:rPr>
          <w:rFonts w:hint="eastAsia" w:ascii="宋体" w:hAnsi="宋体" w:cs="宋体"/>
          <w:b w:val="0"/>
          <w:bCs w:val="0"/>
          <w:color w:val="auto"/>
          <w:kern w:val="0"/>
          <w:sz w:val="24"/>
          <w:highlight w:val="none"/>
          <w:lang w:eastAsia="zh-CN"/>
        </w:rPr>
        <w:br w:type="textWrapping"/>
      </w:r>
      <w:r>
        <w:rPr>
          <w:rFonts w:hint="eastAsia" w:ascii="宋体" w:hAnsi="宋体" w:cs="宋体"/>
          <w:b w:val="0"/>
          <w:bCs w:val="0"/>
          <w:color w:val="auto"/>
          <w:kern w:val="0"/>
          <w:sz w:val="24"/>
          <w:highlight w:val="none"/>
          <w:lang w:val="en-US" w:eastAsia="zh-CN"/>
        </w:rPr>
        <w:t xml:space="preserve">   </w:t>
      </w:r>
      <w:r>
        <w:rPr>
          <w:rFonts w:hint="eastAsia" w:ascii="宋体" w:hAnsi="宋体" w:cs="宋体"/>
          <w:b w:val="0"/>
          <w:bCs w:val="0"/>
          <w:color w:val="auto"/>
          <w:kern w:val="0"/>
          <w:sz w:val="24"/>
          <w:highlight w:val="none"/>
          <w:lang w:eastAsia="zh-CN"/>
        </w:rPr>
        <w:t>（8）本项目专门面向小</w:t>
      </w:r>
      <w:r>
        <w:rPr>
          <w:rFonts w:hint="eastAsia" w:ascii="宋体" w:hAnsi="宋体" w:cs="宋体"/>
          <w:b w:val="0"/>
          <w:bCs w:val="0"/>
          <w:color w:val="auto"/>
          <w:kern w:val="0"/>
          <w:sz w:val="24"/>
          <w:highlight w:val="none"/>
          <w:lang w:val="en-US" w:eastAsia="zh-CN"/>
        </w:rPr>
        <w:t>微</w:t>
      </w:r>
      <w:r>
        <w:rPr>
          <w:rFonts w:hint="eastAsia" w:ascii="宋体" w:hAnsi="宋体" w:cs="宋体"/>
          <w:b w:val="0"/>
          <w:bCs w:val="0"/>
          <w:color w:val="auto"/>
          <w:kern w:val="0"/>
          <w:sz w:val="24"/>
          <w:highlight w:val="none"/>
          <w:lang w:eastAsia="zh-CN"/>
        </w:rPr>
        <w:t>企业，投标企业须提供小</w:t>
      </w:r>
      <w:r>
        <w:rPr>
          <w:rFonts w:hint="eastAsia" w:ascii="宋体" w:hAnsi="宋体" w:cs="宋体"/>
          <w:b w:val="0"/>
          <w:bCs w:val="0"/>
          <w:color w:val="auto"/>
          <w:kern w:val="0"/>
          <w:sz w:val="24"/>
          <w:highlight w:val="none"/>
          <w:lang w:val="en-US" w:eastAsia="zh-CN"/>
        </w:rPr>
        <w:t>微</w:t>
      </w:r>
      <w:r>
        <w:rPr>
          <w:rFonts w:hint="eastAsia" w:ascii="宋体" w:hAnsi="宋体" w:cs="宋体"/>
          <w:b w:val="0"/>
          <w:bCs w:val="0"/>
          <w:color w:val="auto"/>
          <w:kern w:val="0"/>
          <w:sz w:val="24"/>
          <w:highlight w:val="none"/>
          <w:lang w:eastAsia="zh-CN"/>
        </w:rPr>
        <w:t>企业声明函（式样见投标文件格式）。供应商自行根据《国民经济行业分类》（GB/T4754-2017）、《国家统计局关于印发&lt;统计上大中小微型企业划分办法（2017）&gt;的通知》国统字〔2017〕213号、工信部联企业〔2011〕300号文件自行划分，若声明与实际不符须承担相应责任；</w:t>
      </w:r>
      <w:r>
        <w:rPr>
          <w:rFonts w:hint="eastAsia" w:ascii="宋体" w:hAnsi="宋体" w:cs="宋体"/>
          <w:b w:val="0"/>
          <w:bCs w:val="0"/>
          <w:color w:val="auto"/>
          <w:kern w:val="0"/>
          <w:sz w:val="24"/>
          <w:highlight w:val="none"/>
          <w:lang w:eastAsia="zh-CN"/>
        </w:rPr>
        <w:br w:type="textWrapping"/>
      </w:r>
      <w:r>
        <w:rPr>
          <w:rFonts w:hint="eastAsia" w:ascii="宋体" w:hAnsi="宋体" w:cs="宋体"/>
          <w:b w:val="0"/>
          <w:bCs w:val="0"/>
          <w:color w:val="auto"/>
          <w:kern w:val="0"/>
          <w:sz w:val="24"/>
          <w:highlight w:val="none"/>
          <w:lang w:val="en-US" w:eastAsia="zh-CN"/>
        </w:rPr>
        <w:t xml:space="preserve">   </w:t>
      </w:r>
      <w:r>
        <w:rPr>
          <w:rFonts w:hint="eastAsia" w:ascii="宋体" w:hAnsi="宋体" w:cs="宋体"/>
          <w:b w:val="0"/>
          <w:bCs w:val="0"/>
          <w:color w:val="auto"/>
          <w:kern w:val="0"/>
          <w:sz w:val="24"/>
          <w:highlight w:val="none"/>
          <w:lang w:eastAsia="zh-CN"/>
        </w:rPr>
        <w:t>（9）需具备电力工程施工总承包三级及以上资质或输变电工程专业承包三级</w:t>
      </w:r>
      <w:r>
        <w:rPr>
          <w:rFonts w:hint="eastAsia" w:ascii="宋体" w:hAnsi="宋体" w:cs="宋体"/>
          <w:b w:val="0"/>
          <w:bCs w:val="0"/>
          <w:color w:val="auto"/>
          <w:kern w:val="0"/>
          <w:sz w:val="24"/>
          <w:highlight w:val="none"/>
          <w:lang w:val="en-US" w:eastAsia="zh-CN"/>
        </w:rPr>
        <w:t>及</w:t>
      </w:r>
      <w:r>
        <w:rPr>
          <w:rFonts w:hint="eastAsia" w:ascii="宋体" w:hAnsi="宋体" w:cs="宋体"/>
          <w:b w:val="0"/>
          <w:bCs w:val="0"/>
          <w:color w:val="auto"/>
          <w:kern w:val="0"/>
          <w:sz w:val="24"/>
          <w:highlight w:val="none"/>
          <w:lang w:eastAsia="zh-CN"/>
        </w:rPr>
        <w:t>以上资质；且同时具备电力设施承装、承修、承试五级及以上资质；具备合格有效的安全生产许可证；拟派项目负责人具有机电工程贰级及以上注册建造师证及安全生产考核合格证。</w:t>
      </w:r>
      <w:r>
        <w:rPr>
          <w:rFonts w:hint="eastAsia" w:ascii="宋体" w:hAnsi="宋体" w:cs="宋体"/>
          <w:b w:val="0"/>
          <w:bCs w:val="0"/>
          <w:color w:val="auto"/>
          <w:kern w:val="0"/>
          <w:sz w:val="24"/>
          <w:highlight w:val="none"/>
          <w:lang w:eastAsia="zh-CN"/>
        </w:rPr>
        <w:br w:type="textWrapping"/>
      </w:r>
      <w:r>
        <w:rPr>
          <w:rFonts w:hint="eastAsia" w:ascii="宋体" w:hAnsi="宋体" w:cs="宋体"/>
          <w:b w:val="0"/>
          <w:bCs w:val="0"/>
          <w:color w:val="auto"/>
          <w:kern w:val="0"/>
          <w:sz w:val="24"/>
          <w:highlight w:val="none"/>
          <w:lang w:val="en-US" w:eastAsia="zh-CN"/>
        </w:rPr>
        <w:t xml:space="preserve">  </w:t>
      </w:r>
      <w:r>
        <w:rPr>
          <w:rFonts w:hint="eastAsia" w:ascii="宋体" w:hAnsi="宋体" w:cs="宋体"/>
          <w:b w:val="0"/>
          <w:bCs w:val="0"/>
          <w:color w:val="auto"/>
          <w:kern w:val="0"/>
          <w:sz w:val="24"/>
          <w:highlight w:val="none"/>
          <w:lang w:eastAsia="zh-CN"/>
        </w:rPr>
        <w:t>（10）提供本项目不接受联合体的声明函。</w:t>
      </w:r>
    </w:p>
    <w:p w14:paraId="5A8B78C5">
      <w:pPr>
        <w:pStyle w:val="40"/>
        <w:rPr>
          <w:rFonts w:hint="eastAsia"/>
          <w:color w:val="auto"/>
          <w:highlight w:val="none"/>
        </w:rPr>
      </w:pPr>
    </w:p>
    <w:p w14:paraId="6CAB8E1A">
      <w:pPr>
        <w:rPr>
          <w:rFonts w:hint="eastAsia"/>
          <w:color w:val="auto"/>
          <w:highlight w:val="none"/>
        </w:rPr>
      </w:pPr>
    </w:p>
    <w:p w14:paraId="4744CE21">
      <w:pPr>
        <w:rPr>
          <w:rFonts w:hint="eastAsia"/>
          <w:color w:val="auto"/>
          <w:highlight w:val="none"/>
        </w:rPr>
      </w:pPr>
    </w:p>
    <w:p w14:paraId="05A912D4">
      <w:pPr>
        <w:rPr>
          <w:rFonts w:hint="eastAsia"/>
          <w:color w:val="auto"/>
          <w:highlight w:val="none"/>
        </w:rPr>
      </w:pPr>
    </w:p>
    <w:p w14:paraId="6EDF39F8">
      <w:pPr>
        <w:rPr>
          <w:rFonts w:hint="eastAsia"/>
          <w:color w:val="auto"/>
          <w:highlight w:val="none"/>
        </w:rPr>
      </w:pPr>
    </w:p>
    <w:p w14:paraId="13CE6FE6">
      <w:pPr>
        <w:rPr>
          <w:rFonts w:hint="eastAsia"/>
          <w:color w:val="auto"/>
          <w:highlight w:val="none"/>
        </w:rPr>
      </w:pPr>
    </w:p>
    <w:p w14:paraId="149E91C2">
      <w:pPr>
        <w:rPr>
          <w:rFonts w:hint="eastAsia"/>
          <w:color w:val="auto"/>
          <w:highlight w:val="none"/>
        </w:rPr>
      </w:pPr>
    </w:p>
    <w:p w14:paraId="021AADFC">
      <w:pPr>
        <w:rPr>
          <w:rFonts w:hint="eastAsia"/>
          <w:color w:val="auto"/>
          <w:highlight w:val="none"/>
        </w:rPr>
      </w:pPr>
    </w:p>
    <w:p w14:paraId="10395C4D">
      <w:pPr>
        <w:rPr>
          <w:rFonts w:hint="eastAsia"/>
          <w:color w:val="auto"/>
          <w:highlight w:val="none"/>
        </w:rPr>
      </w:pPr>
    </w:p>
    <w:p w14:paraId="0E833268">
      <w:pPr>
        <w:rPr>
          <w:rFonts w:hint="eastAsia"/>
          <w:color w:val="auto"/>
          <w:highlight w:val="none"/>
        </w:rPr>
      </w:pPr>
    </w:p>
    <w:p w14:paraId="0EDE64C1">
      <w:pPr>
        <w:rPr>
          <w:rFonts w:hint="eastAsia"/>
          <w:color w:val="auto"/>
          <w:highlight w:val="none"/>
        </w:rPr>
      </w:pPr>
    </w:p>
    <w:p w14:paraId="2755DC3F">
      <w:pPr>
        <w:rPr>
          <w:rFonts w:hint="eastAsia"/>
          <w:color w:val="auto"/>
          <w:highlight w:val="none"/>
        </w:rPr>
      </w:pPr>
    </w:p>
    <w:p w14:paraId="666E8EF0">
      <w:pPr>
        <w:rPr>
          <w:rFonts w:hint="eastAsia"/>
          <w:color w:val="auto"/>
          <w:highlight w:val="none"/>
        </w:rPr>
      </w:pPr>
    </w:p>
    <w:p w14:paraId="487000C0">
      <w:pPr>
        <w:rPr>
          <w:rFonts w:hint="eastAsia"/>
          <w:color w:val="auto"/>
          <w:highlight w:val="none"/>
        </w:rPr>
      </w:pPr>
    </w:p>
    <w:p w14:paraId="1E8A60E4">
      <w:pPr>
        <w:rPr>
          <w:rFonts w:hint="eastAsia"/>
          <w:color w:val="auto"/>
          <w:highlight w:val="none"/>
        </w:rPr>
      </w:pPr>
    </w:p>
    <w:p w14:paraId="67BFF5C4">
      <w:pPr>
        <w:rPr>
          <w:rFonts w:hint="eastAsia"/>
          <w:color w:val="auto"/>
          <w:highlight w:val="none"/>
        </w:rPr>
      </w:pPr>
    </w:p>
    <w:p w14:paraId="4C9A1E6B">
      <w:pPr>
        <w:rPr>
          <w:rFonts w:hint="eastAsia"/>
          <w:color w:val="auto"/>
          <w:highlight w:val="none"/>
        </w:rPr>
      </w:pPr>
    </w:p>
    <w:p w14:paraId="09ED8A9B">
      <w:pPr>
        <w:rPr>
          <w:rFonts w:hint="eastAsia"/>
          <w:color w:val="auto"/>
          <w:highlight w:val="none"/>
        </w:rPr>
      </w:pPr>
    </w:p>
    <w:p w14:paraId="5CA69BD3">
      <w:pPr>
        <w:rPr>
          <w:rFonts w:hint="eastAsia"/>
          <w:color w:val="auto"/>
          <w:highlight w:val="none"/>
        </w:rPr>
      </w:pPr>
    </w:p>
    <w:p w14:paraId="3E9377B3">
      <w:pPr>
        <w:rPr>
          <w:rFonts w:hint="eastAsia"/>
          <w:color w:val="auto"/>
          <w:highlight w:val="none"/>
        </w:rPr>
      </w:pPr>
    </w:p>
    <w:p w14:paraId="6E8DC12D">
      <w:pPr>
        <w:rPr>
          <w:rFonts w:hint="eastAsia"/>
          <w:color w:val="auto"/>
          <w:highlight w:val="none"/>
        </w:rPr>
      </w:pPr>
    </w:p>
    <w:p w14:paraId="157A3A12">
      <w:pPr>
        <w:rPr>
          <w:rFonts w:hint="eastAsia"/>
          <w:color w:val="auto"/>
          <w:highlight w:val="none"/>
        </w:rPr>
      </w:pPr>
    </w:p>
    <w:p w14:paraId="50540340">
      <w:pPr>
        <w:rPr>
          <w:rFonts w:hint="eastAsia"/>
          <w:color w:val="auto"/>
          <w:highlight w:val="none"/>
        </w:rPr>
      </w:pPr>
    </w:p>
    <w:p w14:paraId="127B770E">
      <w:pPr>
        <w:rPr>
          <w:rFonts w:hint="eastAsia"/>
          <w:color w:val="auto"/>
          <w:highlight w:val="none"/>
        </w:rPr>
      </w:pPr>
    </w:p>
    <w:p w14:paraId="35F6B42F">
      <w:pPr>
        <w:rPr>
          <w:rFonts w:hint="eastAsia"/>
          <w:color w:val="auto"/>
          <w:highlight w:val="none"/>
        </w:rPr>
      </w:pPr>
    </w:p>
    <w:p w14:paraId="1A55E0F7">
      <w:pPr>
        <w:rPr>
          <w:rFonts w:hint="eastAsia"/>
          <w:color w:val="auto"/>
          <w:highlight w:val="none"/>
        </w:rPr>
      </w:pPr>
    </w:p>
    <w:p w14:paraId="3C782234">
      <w:pPr>
        <w:rPr>
          <w:rFonts w:hint="eastAsia"/>
          <w:color w:val="auto"/>
          <w:highlight w:val="none"/>
        </w:rPr>
      </w:pPr>
    </w:p>
    <w:p w14:paraId="20F58BB9">
      <w:pPr>
        <w:rPr>
          <w:rFonts w:hint="eastAsia"/>
          <w:color w:val="auto"/>
          <w:highlight w:val="none"/>
        </w:rPr>
      </w:pPr>
    </w:p>
    <w:p w14:paraId="6160AF69">
      <w:pPr>
        <w:rPr>
          <w:rFonts w:hint="eastAsia"/>
          <w:color w:val="auto"/>
          <w:highlight w:val="none"/>
        </w:rPr>
      </w:pPr>
    </w:p>
    <w:p w14:paraId="3F9DC525">
      <w:pPr>
        <w:rPr>
          <w:rFonts w:hint="eastAsia"/>
          <w:color w:val="auto"/>
          <w:highlight w:val="none"/>
        </w:rPr>
      </w:pPr>
    </w:p>
    <w:p w14:paraId="5648C15B">
      <w:pPr>
        <w:rPr>
          <w:rFonts w:hint="eastAsia"/>
          <w:color w:val="auto"/>
          <w:highlight w:val="none"/>
        </w:rPr>
      </w:pPr>
    </w:p>
    <w:p w14:paraId="3D3F5663">
      <w:pPr>
        <w:rPr>
          <w:rFonts w:hint="eastAsia"/>
          <w:color w:val="auto"/>
          <w:highlight w:val="none"/>
        </w:rPr>
      </w:pPr>
    </w:p>
    <w:p w14:paraId="7EE12907">
      <w:pPr>
        <w:rPr>
          <w:rFonts w:hint="eastAsia"/>
          <w:color w:val="auto"/>
          <w:highlight w:val="none"/>
        </w:rPr>
      </w:pPr>
    </w:p>
    <w:p w14:paraId="172822A6">
      <w:pPr>
        <w:rPr>
          <w:rFonts w:hint="eastAsia"/>
          <w:color w:val="auto"/>
          <w:highlight w:val="none"/>
        </w:rPr>
      </w:pPr>
    </w:p>
    <w:p w14:paraId="495BA177">
      <w:pPr>
        <w:rPr>
          <w:rFonts w:hint="eastAsia"/>
          <w:color w:val="auto"/>
          <w:highlight w:val="none"/>
        </w:rPr>
      </w:pPr>
    </w:p>
    <w:p w14:paraId="589DB0E1">
      <w:pPr>
        <w:rPr>
          <w:rFonts w:hint="eastAsia"/>
          <w:color w:val="auto"/>
          <w:highlight w:val="none"/>
        </w:rPr>
      </w:pPr>
    </w:p>
    <w:p w14:paraId="79302651">
      <w:pPr>
        <w:rPr>
          <w:rFonts w:hint="eastAsia"/>
          <w:color w:val="auto"/>
          <w:highlight w:val="none"/>
        </w:rPr>
      </w:pPr>
    </w:p>
    <w:p w14:paraId="00AD292C">
      <w:pPr>
        <w:rPr>
          <w:rFonts w:hint="eastAsia"/>
          <w:color w:val="auto"/>
          <w:highlight w:val="none"/>
        </w:rPr>
      </w:pPr>
    </w:p>
    <w:p w14:paraId="56C3E4AC">
      <w:pPr>
        <w:rPr>
          <w:rFonts w:hint="eastAsia"/>
          <w:color w:val="auto"/>
          <w:highlight w:val="none"/>
        </w:rPr>
      </w:pPr>
    </w:p>
    <w:p w14:paraId="12BB9F2C">
      <w:pPr>
        <w:numPr>
          <w:ilvl w:val="0"/>
          <w:numId w:val="0"/>
        </w:numPr>
        <w:spacing w:line="500" w:lineRule="exact"/>
        <w:ind w:leftChars="0"/>
        <w:jc w:val="center"/>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lang w:val="en-US" w:eastAsia="zh-CN"/>
        </w:rPr>
        <w:t>八、</w:t>
      </w:r>
      <w:r>
        <w:rPr>
          <w:rFonts w:hint="eastAsia" w:ascii="宋体" w:hAnsi="宋体" w:eastAsia="宋体" w:cs="宋体"/>
          <w:b/>
          <w:bCs/>
          <w:color w:val="auto"/>
          <w:sz w:val="28"/>
          <w:szCs w:val="28"/>
          <w:highlight w:val="none"/>
        </w:rPr>
        <w:t>投标服务方案说明</w:t>
      </w:r>
    </w:p>
    <w:p w14:paraId="445CCFA3">
      <w:pPr>
        <w:ind w:firstLine="482" w:firstLineChars="200"/>
        <w:rPr>
          <w:rFonts w:hint="eastAsia" w:ascii="宋体" w:hAnsi="宋体" w:eastAsia="宋体" w:cs="宋体"/>
          <w:b/>
          <w:color w:val="auto"/>
          <w:sz w:val="24"/>
          <w:highlight w:val="none"/>
        </w:rPr>
      </w:pPr>
      <w:r>
        <w:rPr>
          <w:rFonts w:hint="eastAsia" w:ascii="宋体" w:hAnsi="宋体" w:eastAsia="宋体" w:cs="宋体"/>
          <w:b/>
          <w:color w:val="auto"/>
          <w:sz w:val="24"/>
          <w:highlight w:val="none"/>
        </w:rPr>
        <w:t>供应商按照招标文件的要求编制的投标方案说明书，投标方案由供应商自行编写，无具体格式，参照响应文件第二章中的《综合评分明细表》各条款的要求与第三章《采购内容及服务要求》进行编制投标方案。</w:t>
      </w:r>
    </w:p>
    <w:p w14:paraId="50B7262C">
      <w:pPr>
        <w:rPr>
          <w:rFonts w:hint="eastAsia" w:ascii="宋体" w:hAnsi="宋体" w:eastAsia="宋体" w:cs="宋体"/>
          <w:b/>
          <w:color w:val="auto"/>
          <w:sz w:val="24"/>
          <w:highlight w:val="none"/>
        </w:rPr>
      </w:pPr>
    </w:p>
    <w:p w14:paraId="02EF9647">
      <w:pPr>
        <w:rPr>
          <w:rFonts w:hint="eastAsia" w:ascii="宋体" w:hAnsi="宋体" w:eastAsia="宋体" w:cs="宋体"/>
          <w:b/>
          <w:color w:val="auto"/>
          <w:sz w:val="24"/>
          <w:highlight w:val="none"/>
        </w:rPr>
      </w:pPr>
    </w:p>
    <w:p w14:paraId="5188A86F">
      <w:pPr>
        <w:rPr>
          <w:rFonts w:hint="eastAsia" w:ascii="宋体" w:hAnsi="宋体" w:eastAsia="宋体" w:cs="宋体"/>
          <w:b/>
          <w:color w:val="auto"/>
          <w:sz w:val="24"/>
          <w:highlight w:val="none"/>
        </w:rPr>
      </w:pPr>
    </w:p>
    <w:p w14:paraId="5DAC1453">
      <w:pPr>
        <w:rPr>
          <w:rFonts w:hint="eastAsia" w:ascii="宋体" w:hAnsi="宋体" w:eastAsia="宋体" w:cs="宋体"/>
          <w:b/>
          <w:color w:val="auto"/>
          <w:sz w:val="24"/>
          <w:highlight w:val="none"/>
        </w:rPr>
      </w:pPr>
    </w:p>
    <w:p w14:paraId="7A7F4061">
      <w:pPr>
        <w:rPr>
          <w:rFonts w:hint="eastAsia" w:ascii="宋体" w:hAnsi="宋体" w:eastAsia="宋体" w:cs="宋体"/>
          <w:b/>
          <w:color w:val="auto"/>
          <w:sz w:val="24"/>
          <w:highlight w:val="none"/>
        </w:rPr>
      </w:pPr>
    </w:p>
    <w:p w14:paraId="07D32E82">
      <w:pPr>
        <w:rPr>
          <w:rFonts w:hint="eastAsia" w:ascii="宋体" w:hAnsi="宋体" w:eastAsia="宋体" w:cs="宋体"/>
          <w:b/>
          <w:color w:val="auto"/>
          <w:sz w:val="24"/>
          <w:highlight w:val="none"/>
        </w:rPr>
      </w:pPr>
    </w:p>
    <w:p w14:paraId="708D07E3">
      <w:pPr>
        <w:rPr>
          <w:rFonts w:hint="eastAsia" w:ascii="宋体" w:hAnsi="宋体" w:eastAsia="宋体" w:cs="宋体"/>
          <w:b/>
          <w:color w:val="auto"/>
          <w:sz w:val="24"/>
          <w:highlight w:val="none"/>
        </w:rPr>
      </w:pPr>
    </w:p>
    <w:p w14:paraId="62B5FA5B">
      <w:pPr>
        <w:rPr>
          <w:rFonts w:hint="eastAsia" w:ascii="宋体" w:hAnsi="宋体" w:eastAsia="宋体" w:cs="宋体"/>
          <w:b/>
          <w:color w:val="auto"/>
          <w:sz w:val="24"/>
          <w:highlight w:val="none"/>
        </w:rPr>
      </w:pPr>
    </w:p>
    <w:p w14:paraId="12058A09">
      <w:pPr>
        <w:rPr>
          <w:rFonts w:hint="eastAsia" w:ascii="宋体" w:hAnsi="宋体" w:eastAsia="宋体" w:cs="宋体"/>
          <w:b/>
          <w:color w:val="auto"/>
          <w:sz w:val="24"/>
          <w:highlight w:val="none"/>
        </w:rPr>
      </w:pPr>
    </w:p>
    <w:p w14:paraId="77886522">
      <w:pPr>
        <w:rPr>
          <w:rFonts w:hint="eastAsia" w:ascii="宋体" w:hAnsi="宋体" w:eastAsia="宋体" w:cs="宋体"/>
          <w:b/>
          <w:color w:val="auto"/>
          <w:sz w:val="24"/>
          <w:highlight w:val="none"/>
        </w:rPr>
      </w:pPr>
    </w:p>
    <w:p w14:paraId="1A9368EC">
      <w:pPr>
        <w:rPr>
          <w:rFonts w:hint="eastAsia" w:ascii="宋体" w:hAnsi="宋体" w:eastAsia="宋体" w:cs="宋体"/>
          <w:b/>
          <w:color w:val="auto"/>
          <w:sz w:val="24"/>
          <w:highlight w:val="none"/>
        </w:rPr>
      </w:pPr>
    </w:p>
    <w:p w14:paraId="6B3FCC68">
      <w:pPr>
        <w:rPr>
          <w:rFonts w:hint="eastAsia" w:ascii="宋体" w:hAnsi="宋体" w:eastAsia="宋体" w:cs="宋体"/>
          <w:b/>
          <w:color w:val="auto"/>
          <w:sz w:val="24"/>
          <w:highlight w:val="none"/>
        </w:rPr>
      </w:pPr>
    </w:p>
    <w:p w14:paraId="67EE3B55">
      <w:pPr>
        <w:rPr>
          <w:rFonts w:hint="eastAsia" w:ascii="宋体" w:hAnsi="宋体" w:eastAsia="宋体" w:cs="宋体"/>
          <w:b/>
          <w:color w:val="auto"/>
          <w:sz w:val="24"/>
          <w:highlight w:val="none"/>
        </w:rPr>
      </w:pPr>
    </w:p>
    <w:p w14:paraId="5EBEBBAB">
      <w:pPr>
        <w:rPr>
          <w:rFonts w:hint="eastAsia" w:ascii="宋体" w:hAnsi="宋体" w:eastAsia="宋体" w:cs="宋体"/>
          <w:b/>
          <w:color w:val="auto"/>
          <w:sz w:val="24"/>
          <w:highlight w:val="none"/>
        </w:rPr>
      </w:pPr>
    </w:p>
    <w:p w14:paraId="53B7FC76">
      <w:pPr>
        <w:rPr>
          <w:rFonts w:hint="eastAsia" w:ascii="宋体" w:hAnsi="宋体" w:eastAsia="宋体" w:cs="宋体"/>
          <w:b/>
          <w:color w:val="auto"/>
          <w:sz w:val="24"/>
          <w:highlight w:val="none"/>
        </w:rPr>
      </w:pPr>
    </w:p>
    <w:p w14:paraId="0189D19F">
      <w:pPr>
        <w:rPr>
          <w:rFonts w:hint="eastAsia" w:ascii="宋体" w:hAnsi="宋体" w:eastAsia="宋体" w:cs="宋体"/>
          <w:b/>
          <w:color w:val="auto"/>
          <w:sz w:val="24"/>
          <w:highlight w:val="none"/>
        </w:rPr>
      </w:pPr>
    </w:p>
    <w:p w14:paraId="4FFC7AAC">
      <w:pPr>
        <w:rPr>
          <w:rFonts w:hint="eastAsia" w:ascii="宋体" w:hAnsi="宋体" w:eastAsia="宋体" w:cs="宋体"/>
          <w:b/>
          <w:color w:val="auto"/>
          <w:sz w:val="24"/>
          <w:highlight w:val="none"/>
        </w:rPr>
      </w:pPr>
    </w:p>
    <w:p w14:paraId="12DB7298">
      <w:pPr>
        <w:rPr>
          <w:rFonts w:hint="eastAsia" w:ascii="宋体" w:hAnsi="宋体" w:eastAsia="宋体" w:cs="宋体"/>
          <w:b/>
          <w:color w:val="auto"/>
          <w:sz w:val="24"/>
          <w:highlight w:val="none"/>
        </w:rPr>
      </w:pPr>
    </w:p>
    <w:p w14:paraId="38394126">
      <w:pPr>
        <w:rPr>
          <w:rFonts w:hint="eastAsia" w:ascii="宋体" w:hAnsi="宋体" w:eastAsia="宋体" w:cs="宋体"/>
          <w:b/>
          <w:color w:val="auto"/>
          <w:sz w:val="24"/>
          <w:highlight w:val="none"/>
        </w:rPr>
      </w:pPr>
    </w:p>
    <w:p w14:paraId="68873436">
      <w:pPr>
        <w:rPr>
          <w:rFonts w:hint="eastAsia" w:ascii="宋体" w:hAnsi="宋体" w:eastAsia="宋体" w:cs="宋体"/>
          <w:b/>
          <w:color w:val="auto"/>
          <w:sz w:val="24"/>
          <w:highlight w:val="none"/>
        </w:rPr>
      </w:pPr>
    </w:p>
    <w:p w14:paraId="52F1BBC3">
      <w:pPr>
        <w:rPr>
          <w:rFonts w:hint="eastAsia" w:ascii="宋体" w:hAnsi="宋体" w:eastAsia="宋体" w:cs="宋体"/>
          <w:b/>
          <w:color w:val="auto"/>
          <w:sz w:val="24"/>
          <w:highlight w:val="none"/>
        </w:rPr>
      </w:pPr>
    </w:p>
    <w:p w14:paraId="03E55AAE">
      <w:pPr>
        <w:rPr>
          <w:rFonts w:hint="eastAsia" w:ascii="宋体" w:hAnsi="宋体" w:eastAsia="宋体" w:cs="宋体"/>
          <w:b/>
          <w:color w:val="auto"/>
          <w:sz w:val="24"/>
          <w:highlight w:val="none"/>
        </w:rPr>
      </w:pPr>
    </w:p>
    <w:p w14:paraId="3C3BFE53">
      <w:pPr>
        <w:rPr>
          <w:rFonts w:hint="eastAsia" w:ascii="宋体" w:hAnsi="宋体" w:eastAsia="宋体" w:cs="宋体"/>
          <w:b/>
          <w:color w:val="auto"/>
          <w:sz w:val="24"/>
          <w:highlight w:val="none"/>
        </w:rPr>
      </w:pPr>
    </w:p>
    <w:p w14:paraId="162E52D9">
      <w:pPr>
        <w:rPr>
          <w:rFonts w:hint="eastAsia" w:ascii="宋体" w:hAnsi="宋体" w:eastAsia="宋体" w:cs="宋体"/>
          <w:b/>
          <w:color w:val="auto"/>
          <w:sz w:val="24"/>
          <w:highlight w:val="none"/>
        </w:rPr>
      </w:pPr>
    </w:p>
    <w:p w14:paraId="0DBBF873">
      <w:pPr>
        <w:rPr>
          <w:rFonts w:hint="eastAsia" w:ascii="宋体" w:hAnsi="宋体" w:eastAsia="宋体" w:cs="宋体"/>
          <w:b/>
          <w:color w:val="auto"/>
          <w:sz w:val="24"/>
          <w:highlight w:val="none"/>
        </w:rPr>
      </w:pPr>
    </w:p>
    <w:p w14:paraId="0BA013B4">
      <w:pPr>
        <w:rPr>
          <w:rFonts w:hint="eastAsia" w:ascii="宋体" w:hAnsi="宋体" w:eastAsia="宋体" w:cs="宋体"/>
          <w:b/>
          <w:color w:val="auto"/>
          <w:sz w:val="24"/>
          <w:highlight w:val="none"/>
        </w:rPr>
      </w:pPr>
    </w:p>
    <w:p w14:paraId="57E8A111">
      <w:pPr>
        <w:rPr>
          <w:rFonts w:hint="eastAsia" w:ascii="宋体" w:hAnsi="宋体" w:eastAsia="宋体" w:cs="宋体"/>
          <w:b/>
          <w:color w:val="auto"/>
          <w:sz w:val="24"/>
          <w:highlight w:val="none"/>
        </w:rPr>
      </w:pPr>
    </w:p>
    <w:p w14:paraId="6C0DA263">
      <w:pPr>
        <w:rPr>
          <w:rFonts w:hint="eastAsia" w:ascii="宋体" w:hAnsi="宋体" w:eastAsia="宋体" w:cs="宋体"/>
          <w:b/>
          <w:color w:val="auto"/>
          <w:sz w:val="24"/>
          <w:highlight w:val="none"/>
        </w:rPr>
      </w:pPr>
    </w:p>
    <w:p w14:paraId="387B9F86">
      <w:pPr>
        <w:rPr>
          <w:rFonts w:hint="eastAsia" w:ascii="宋体" w:hAnsi="宋体" w:eastAsia="宋体" w:cs="宋体"/>
          <w:b/>
          <w:color w:val="auto"/>
          <w:sz w:val="24"/>
          <w:highlight w:val="none"/>
        </w:rPr>
      </w:pPr>
    </w:p>
    <w:p w14:paraId="4ED255E1">
      <w:pPr>
        <w:rPr>
          <w:rFonts w:hint="eastAsia" w:ascii="宋体" w:hAnsi="宋体" w:eastAsia="宋体" w:cs="宋体"/>
          <w:b/>
          <w:color w:val="auto"/>
          <w:sz w:val="24"/>
          <w:highlight w:val="none"/>
        </w:rPr>
      </w:pPr>
    </w:p>
    <w:p w14:paraId="6CC3EBE5">
      <w:pPr>
        <w:rPr>
          <w:rFonts w:hint="eastAsia" w:ascii="宋体" w:hAnsi="宋体" w:eastAsia="宋体" w:cs="宋体"/>
          <w:b/>
          <w:color w:val="auto"/>
          <w:sz w:val="24"/>
          <w:highlight w:val="none"/>
        </w:rPr>
      </w:pPr>
    </w:p>
    <w:p w14:paraId="45B71DE7">
      <w:pPr>
        <w:rPr>
          <w:rFonts w:hint="eastAsia" w:ascii="宋体" w:hAnsi="宋体" w:eastAsia="宋体" w:cs="宋体"/>
          <w:b/>
          <w:color w:val="auto"/>
          <w:sz w:val="24"/>
          <w:highlight w:val="none"/>
        </w:rPr>
      </w:pPr>
    </w:p>
    <w:p w14:paraId="2859F89F">
      <w:pPr>
        <w:rPr>
          <w:rFonts w:hint="eastAsia" w:ascii="宋体" w:hAnsi="宋体" w:eastAsia="宋体" w:cs="宋体"/>
          <w:b/>
          <w:color w:val="auto"/>
          <w:sz w:val="24"/>
          <w:highlight w:val="none"/>
        </w:rPr>
      </w:pPr>
    </w:p>
    <w:p w14:paraId="4CA030FA">
      <w:pPr>
        <w:rPr>
          <w:rFonts w:hint="eastAsia" w:ascii="宋体" w:hAnsi="宋体" w:eastAsia="宋体" w:cs="宋体"/>
          <w:b/>
          <w:color w:val="auto"/>
          <w:sz w:val="24"/>
          <w:highlight w:val="none"/>
        </w:rPr>
      </w:pPr>
    </w:p>
    <w:p w14:paraId="17D70A0A">
      <w:pPr>
        <w:rPr>
          <w:rFonts w:hint="eastAsia" w:ascii="宋体" w:hAnsi="宋体" w:eastAsia="宋体" w:cs="宋体"/>
          <w:b/>
          <w:color w:val="auto"/>
          <w:sz w:val="24"/>
          <w:highlight w:val="none"/>
        </w:rPr>
      </w:pPr>
    </w:p>
    <w:p w14:paraId="6014C7CB">
      <w:pPr>
        <w:pStyle w:val="23"/>
        <w:rPr>
          <w:rFonts w:hint="eastAsia" w:ascii="宋体" w:hAnsi="宋体" w:eastAsia="宋体" w:cs="宋体"/>
          <w:color w:val="auto"/>
          <w:highlight w:val="none"/>
        </w:rPr>
      </w:pPr>
    </w:p>
    <w:p w14:paraId="0C1AE990">
      <w:pPr>
        <w:rPr>
          <w:rFonts w:hint="eastAsia" w:ascii="宋体" w:hAnsi="宋体" w:eastAsia="宋体" w:cs="宋体"/>
          <w:b/>
          <w:color w:val="auto"/>
          <w:sz w:val="24"/>
          <w:highlight w:val="none"/>
        </w:rPr>
      </w:pPr>
    </w:p>
    <w:p w14:paraId="2749A333">
      <w:pPr>
        <w:rPr>
          <w:rFonts w:hint="eastAsia" w:ascii="宋体" w:hAnsi="宋体" w:eastAsia="宋体" w:cs="宋体"/>
          <w:b/>
          <w:color w:val="auto"/>
          <w:sz w:val="24"/>
          <w:highlight w:val="none"/>
        </w:rPr>
      </w:pPr>
    </w:p>
    <w:p w14:paraId="2120FCB1">
      <w:pPr>
        <w:rPr>
          <w:rFonts w:hint="eastAsia" w:ascii="宋体" w:hAnsi="宋体" w:eastAsia="宋体" w:cs="宋体"/>
          <w:b/>
          <w:color w:val="auto"/>
          <w:sz w:val="24"/>
          <w:highlight w:val="none"/>
        </w:rPr>
      </w:pPr>
    </w:p>
    <w:p w14:paraId="168D6682">
      <w:pPr>
        <w:pStyle w:val="23"/>
        <w:numPr>
          <w:ilvl w:val="0"/>
          <w:numId w:val="12"/>
        </w:numPr>
        <w:jc w:val="center"/>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rPr>
        <w:t>本项目拟投入人员汇总表</w:t>
      </w:r>
    </w:p>
    <w:tbl>
      <w:tblPr>
        <w:tblStyle w:val="4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697"/>
        <w:gridCol w:w="1555"/>
        <w:gridCol w:w="714"/>
        <w:gridCol w:w="714"/>
        <w:gridCol w:w="714"/>
        <w:gridCol w:w="936"/>
        <w:gridCol w:w="2355"/>
        <w:gridCol w:w="852"/>
      </w:tblGrid>
      <w:tr w14:paraId="67DE2B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89" w:hRule="atLeast"/>
          <w:tblHeader/>
          <w:jc w:val="center"/>
        </w:trPr>
        <w:tc>
          <w:tcPr>
            <w:tcW w:w="697" w:type="dxa"/>
            <w:tcMar>
              <w:top w:w="15" w:type="dxa"/>
              <w:left w:w="15" w:type="dxa"/>
              <w:bottom w:w="0" w:type="dxa"/>
              <w:right w:w="15" w:type="dxa"/>
            </w:tcMar>
            <w:vAlign w:val="center"/>
          </w:tcPr>
          <w:p w14:paraId="21AC6F77">
            <w:pPr>
              <w:pStyle w:val="141"/>
              <w:spacing w:line="400" w:lineRule="exact"/>
              <w:ind w:left="0" w:leftChars="0"/>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序号</w:t>
            </w:r>
          </w:p>
        </w:tc>
        <w:tc>
          <w:tcPr>
            <w:tcW w:w="1555" w:type="dxa"/>
            <w:tcMar>
              <w:top w:w="15" w:type="dxa"/>
              <w:left w:w="15" w:type="dxa"/>
              <w:bottom w:w="0" w:type="dxa"/>
              <w:right w:w="15" w:type="dxa"/>
            </w:tcMar>
            <w:vAlign w:val="center"/>
          </w:tcPr>
          <w:p w14:paraId="17E051CE">
            <w:pPr>
              <w:pStyle w:val="141"/>
              <w:spacing w:line="400" w:lineRule="exact"/>
              <w:ind w:left="0" w:leftChars="0"/>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姓  名</w:t>
            </w:r>
          </w:p>
        </w:tc>
        <w:tc>
          <w:tcPr>
            <w:tcW w:w="714" w:type="dxa"/>
            <w:tcMar>
              <w:top w:w="15" w:type="dxa"/>
              <w:left w:w="15" w:type="dxa"/>
              <w:bottom w:w="0" w:type="dxa"/>
              <w:right w:w="15" w:type="dxa"/>
            </w:tcMar>
            <w:vAlign w:val="center"/>
          </w:tcPr>
          <w:p w14:paraId="07CF074C">
            <w:pPr>
              <w:pStyle w:val="141"/>
              <w:spacing w:line="400" w:lineRule="exact"/>
              <w:ind w:left="0" w:leftChars="0"/>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性别</w:t>
            </w:r>
          </w:p>
        </w:tc>
        <w:tc>
          <w:tcPr>
            <w:tcW w:w="714" w:type="dxa"/>
            <w:tcMar>
              <w:top w:w="15" w:type="dxa"/>
              <w:left w:w="15" w:type="dxa"/>
              <w:bottom w:w="0" w:type="dxa"/>
              <w:right w:w="15" w:type="dxa"/>
            </w:tcMar>
            <w:vAlign w:val="center"/>
          </w:tcPr>
          <w:p w14:paraId="1AA4FD77">
            <w:pPr>
              <w:pStyle w:val="141"/>
              <w:spacing w:line="400" w:lineRule="exact"/>
              <w:ind w:left="0" w:leftChars="0"/>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年龄</w:t>
            </w:r>
          </w:p>
        </w:tc>
        <w:tc>
          <w:tcPr>
            <w:tcW w:w="714" w:type="dxa"/>
            <w:tcMar>
              <w:top w:w="15" w:type="dxa"/>
              <w:left w:w="15" w:type="dxa"/>
              <w:bottom w:w="0" w:type="dxa"/>
              <w:right w:w="15" w:type="dxa"/>
            </w:tcMar>
            <w:vAlign w:val="center"/>
          </w:tcPr>
          <w:p w14:paraId="2D91F312">
            <w:pPr>
              <w:pStyle w:val="141"/>
              <w:spacing w:line="400" w:lineRule="exact"/>
              <w:ind w:left="0" w:leftChars="0"/>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学历</w:t>
            </w:r>
          </w:p>
        </w:tc>
        <w:tc>
          <w:tcPr>
            <w:tcW w:w="936" w:type="dxa"/>
            <w:tcMar>
              <w:top w:w="15" w:type="dxa"/>
              <w:left w:w="15" w:type="dxa"/>
              <w:bottom w:w="0" w:type="dxa"/>
              <w:right w:w="15" w:type="dxa"/>
            </w:tcMar>
            <w:vAlign w:val="center"/>
          </w:tcPr>
          <w:p w14:paraId="4B156344">
            <w:pPr>
              <w:pStyle w:val="141"/>
              <w:spacing w:line="400" w:lineRule="exact"/>
              <w:ind w:left="0" w:leftChars="0"/>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工作</w:t>
            </w:r>
          </w:p>
          <w:p w14:paraId="74855D67">
            <w:pPr>
              <w:pStyle w:val="141"/>
              <w:spacing w:line="400" w:lineRule="exact"/>
              <w:ind w:left="0" w:leftChars="0"/>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年限</w:t>
            </w:r>
          </w:p>
        </w:tc>
        <w:tc>
          <w:tcPr>
            <w:tcW w:w="2355" w:type="dxa"/>
            <w:tcMar>
              <w:top w:w="15" w:type="dxa"/>
              <w:left w:w="15" w:type="dxa"/>
              <w:bottom w:w="0" w:type="dxa"/>
              <w:right w:w="15" w:type="dxa"/>
            </w:tcMar>
            <w:vAlign w:val="center"/>
          </w:tcPr>
          <w:p w14:paraId="66416D47">
            <w:pPr>
              <w:pStyle w:val="141"/>
              <w:spacing w:line="400" w:lineRule="exact"/>
              <w:ind w:left="0" w:leftChars="0"/>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拟担任的职务</w:t>
            </w:r>
          </w:p>
        </w:tc>
        <w:tc>
          <w:tcPr>
            <w:tcW w:w="852" w:type="dxa"/>
            <w:tcMar>
              <w:top w:w="15" w:type="dxa"/>
              <w:left w:w="15" w:type="dxa"/>
              <w:bottom w:w="0" w:type="dxa"/>
              <w:right w:w="15" w:type="dxa"/>
            </w:tcMar>
            <w:vAlign w:val="center"/>
          </w:tcPr>
          <w:p w14:paraId="53C7848D">
            <w:pPr>
              <w:pStyle w:val="141"/>
              <w:spacing w:line="400" w:lineRule="exact"/>
              <w:ind w:left="0" w:leftChars="0"/>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岗位</w:t>
            </w:r>
          </w:p>
          <w:p w14:paraId="3880F975">
            <w:pPr>
              <w:pStyle w:val="141"/>
              <w:spacing w:line="400" w:lineRule="exact"/>
              <w:ind w:left="0" w:leftChars="0"/>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情况</w:t>
            </w:r>
          </w:p>
        </w:tc>
      </w:tr>
      <w:tr w14:paraId="3DE3BD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544" w:hRule="atLeast"/>
          <w:jc w:val="center"/>
        </w:trPr>
        <w:tc>
          <w:tcPr>
            <w:tcW w:w="697" w:type="dxa"/>
            <w:tcMar>
              <w:top w:w="15" w:type="dxa"/>
              <w:left w:w="15" w:type="dxa"/>
              <w:bottom w:w="0" w:type="dxa"/>
              <w:right w:w="15" w:type="dxa"/>
            </w:tcMar>
            <w:vAlign w:val="bottom"/>
          </w:tcPr>
          <w:p w14:paraId="7137DB4F">
            <w:pPr>
              <w:pStyle w:val="141"/>
              <w:spacing w:line="400" w:lineRule="exact"/>
              <w:ind w:left="0" w:leftChars="0" w:firstLine="480" w:firstLineChars="200"/>
              <w:jc w:val="both"/>
              <w:rPr>
                <w:rFonts w:hint="eastAsia" w:ascii="宋体" w:hAnsi="宋体" w:eastAsia="宋体" w:cs="宋体"/>
                <w:bCs/>
                <w:color w:val="auto"/>
                <w:sz w:val="24"/>
                <w:highlight w:val="none"/>
              </w:rPr>
            </w:pPr>
          </w:p>
        </w:tc>
        <w:tc>
          <w:tcPr>
            <w:tcW w:w="1555" w:type="dxa"/>
            <w:tcMar>
              <w:top w:w="15" w:type="dxa"/>
              <w:left w:w="15" w:type="dxa"/>
              <w:bottom w:w="0" w:type="dxa"/>
              <w:right w:w="15" w:type="dxa"/>
            </w:tcMar>
            <w:vAlign w:val="bottom"/>
          </w:tcPr>
          <w:p w14:paraId="42F0DA09">
            <w:pPr>
              <w:pStyle w:val="141"/>
              <w:spacing w:line="400" w:lineRule="exact"/>
              <w:ind w:left="0" w:leftChars="0" w:firstLine="480" w:firstLineChars="200"/>
              <w:jc w:val="both"/>
              <w:rPr>
                <w:rFonts w:hint="eastAsia" w:ascii="宋体" w:hAnsi="宋体" w:eastAsia="宋体" w:cs="宋体"/>
                <w:bCs/>
                <w:color w:val="auto"/>
                <w:sz w:val="24"/>
                <w:highlight w:val="none"/>
              </w:rPr>
            </w:pPr>
          </w:p>
        </w:tc>
        <w:tc>
          <w:tcPr>
            <w:tcW w:w="714" w:type="dxa"/>
            <w:tcMar>
              <w:top w:w="15" w:type="dxa"/>
              <w:left w:w="15" w:type="dxa"/>
              <w:bottom w:w="0" w:type="dxa"/>
              <w:right w:w="15" w:type="dxa"/>
            </w:tcMar>
            <w:vAlign w:val="bottom"/>
          </w:tcPr>
          <w:p w14:paraId="64D6F0F3">
            <w:pPr>
              <w:pStyle w:val="141"/>
              <w:spacing w:line="400" w:lineRule="exact"/>
              <w:ind w:left="0" w:leftChars="0" w:firstLine="480" w:firstLineChars="200"/>
              <w:jc w:val="both"/>
              <w:rPr>
                <w:rFonts w:hint="eastAsia" w:ascii="宋体" w:hAnsi="宋体" w:eastAsia="宋体" w:cs="宋体"/>
                <w:bCs/>
                <w:color w:val="auto"/>
                <w:sz w:val="24"/>
                <w:highlight w:val="none"/>
              </w:rPr>
            </w:pPr>
          </w:p>
        </w:tc>
        <w:tc>
          <w:tcPr>
            <w:tcW w:w="714" w:type="dxa"/>
            <w:tcMar>
              <w:top w:w="15" w:type="dxa"/>
              <w:left w:w="15" w:type="dxa"/>
              <w:bottom w:w="0" w:type="dxa"/>
              <w:right w:w="15" w:type="dxa"/>
            </w:tcMar>
            <w:vAlign w:val="bottom"/>
          </w:tcPr>
          <w:p w14:paraId="479B2C3E">
            <w:pPr>
              <w:pStyle w:val="141"/>
              <w:spacing w:line="400" w:lineRule="exact"/>
              <w:ind w:left="0" w:leftChars="0" w:firstLine="480" w:firstLineChars="200"/>
              <w:jc w:val="both"/>
              <w:rPr>
                <w:rFonts w:hint="eastAsia" w:ascii="宋体" w:hAnsi="宋体" w:eastAsia="宋体" w:cs="宋体"/>
                <w:bCs/>
                <w:color w:val="auto"/>
                <w:sz w:val="24"/>
                <w:highlight w:val="none"/>
              </w:rPr>
            </w:pPr>
          </w:p>
        </w:tc>
        <w:tc>
          <w:tcPr>
            <w:tcW w:w="714" w:type="dxa"/>
            <w:tcMar>
              <w:top w:w="15" w:type="dxa"/>
              <w:left w:w="15" w:type="dxa"/>
              <w:bottom w:w="0" w:type="dxa"/>
              <w:right w:w="15" w:type="dxa"/>
            </w:tcMar>
            <w:vAlign w:val="bottom"/>
          </w:tcPr>
          <w:p w14:paraId="44ED652F">
            <w:pPr>
              <w:pStyle w:val="141"/>
              <w:spacing w:line="400" w:lineRule="exact"/>
              <w:ind w:left="0" w:leftChars="0" w:firstLine="480" w:firstLineChars="200"/>
              <w:jc w:val="both"/>
              <w:rPr>
                <w:rFonts w:hint="eastAsia" w:ascii="宋体" w:hAnsi="宋体" w:eastAsia="宋体" w:cs="宋体"/>
                <w:bCs/>
                <w:color w:val="auto"/>
                <w:sz w:val="24"/>
                <w:highlight w:val="none"/>
              </w:rPr>
            </w:pPr>
          </w:p>
        </w:tc>
        <w:tc>
          <w:tcPr>
            <w:tcW w:w="936" w:type="dxa"/>
            <w:tcMar>
              <w:top w:w="15" w:type="dxa"/>
              <w:left w:w="15" w:type="dxa"/>
              <w:bottom w:w="0" w:type="dxa"/>
              <w:right w:w="15" w:type="dxa"/>
            </w:tcMar>
            <w:vAlign w:val="bottom"/>
          </w:tcPr>
          <w:p w14:paraId="3A51C2C6">
            <w:pPr>
              <w:pStyle w:val="141"/>
              <w:spacing w:line="400" w:lineRule="exact"/>
              <w:ind w:left="0" w:leftChars="0" w:firstLine="480" w:firstLineChars="200"/>
              <w:jc w:val="both"/>
              <w:rPr>
                <w:rFonts w:hint="eastAsia" w:ascii="宋体" w:hAnsi="宋体" w:eastAsia="宋体" w:cs="宋体"/>
                <w:bCs/>
                <w:color w:val="auto"/>
                <w:sz w:val="24"/>
                <w:highlight w:val="none"/>
              </w:rPr>
            </w:pPr>
          </w:p>
        </w:tc>
        <w:tc>
          <w:tcPr>
            <w:tcW w:w="2355" w:type="dxa"/>
            <w:tcMar>
              <w:top w:w="15" w:type="dxa"/>
              <w:left w:w="15" w:type="dxa"/>
              <w:bottom w:w="0" w:type="dxa"/>
              <w:right w:w="15" w:type="dxa"/>
            </w:tcMar>
            <w:vAlign w:val="bottom"/>
          </w:tcPr>
          <w:p w14:paraId="71398544">
            <w:pPr>
              <w:pStyle w:val="141"/>
              <w:spacing w:line="400" w:lineRule="exact"/>
              <w:ind w:left="0" w:leftChars="0" w:firstLine="480" w:firstLineChars="200"/>
              <w:jc w:val="both"/>
              <w:rPr>
                <w:rFonts w:hint="eastAsia" w:ascii="宋体" w:hAnsi="宋体" w:eastAsia="宋体" w:cs="宋体"/>
                <w:bCs/>
                <w:color w:val="auto"/>
                <w:sz w:val="24"/>
                <w:highlight w:val="none"/>
              </w:rPr>
            </w:pPr>
          </w:p>
        </w:tc>
        <w:tc>
          <w:tcPr>
            <w:tcW w:w="852" w:type="dxa"/>
            <w:tcMar>
              <w:top w:w="15" w:type="dxa"/>
              <w:left w:w="15" w:type="dxa"/>
              <w:bottom w:w="0" w:type="dxa"/>
              <w:right w:w="15" w:type="dxa"/>
            </w:tcMar>
            <w:vAlign w:val="bottom"/>
          </w:tcPr>
          <w:p w14:paraId="6798A714">
            <w:pPr>
              <w:pStyle w:val="141"/>
              <w:spacing w:line="400" w:lineRule="exact"/>
              <w:ind w:left="0" w:leftChars="0" w:firstLine="480" w:firstLineChars="200"/>
              <w:jc w:val="both"/>
              <w:rPr>
                <w:rFonts w:hint="eastAsia" w:ascii="宋体" w:hAnsi="宋体" w:eastAsia="宋体" w:cs="宋体"/>
                <w:bCs/>
                <w:color w:val="auto"/>
                <w:sz w:val="24"/>
                <w:highlight w:val="none"/>
              </w:rPr>
            </w:pPr>
          </w:p>
        </w:tc>
      </w:tr>
      <w:tr w14:paraId="388FA9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544" w:hRule="atLeast"/>
          <w:jc w:val="center"/>
        </w:trPr>
        <w:tc>
          <w:tcPr>
            <w:tcW w:w="697" w:type="dxa"/>
            <w:tcMar>
              <w:top w:w="15" w:type="dxa"/>
              <w:left w:w="15" w:type="dxa"/>
              <w:bottom w:w="0" w:type="dxa"/>
              <w:right w:w="15" w:type="dxa"/>
            </w:tcMar>
            <w:vAlign w:val="bottom"/>
          </w:tcPr>
          <w:p w14:paraId="453D20C9">
            <w:pPr>
              <w:pStyle w:val="141"/>
              <w:spacing w:line="400" w:lineRule="exact"/>
              <w:ind w:left="0" w:leftChars="0" w:firstLine="480" w:firstLineChars="200"/>
              <w:jc w:val="both"/>
              <w:rPr>
                <w:rFonts w:hint="eastAsia" w:ascii="宋体" w:hAnsi="宋体" w:eastAsia="宋体" w:cs="宋体"/>
                <w:bCs/>
                <w:color w:val="auto"/>
                <w:sz w:val="24"/>
                <w:highlight w:val="none"/>
              </w:rPr>
            </w:pPr>
          </w:p>
        </w:tc>
        <w:tc>
          <w:tcPr>
            <w:tcW w:w="1555" w:type="dxa"/>
            <w:tcMar>
              <w:top w:w="15" w:type="dxa"/>
              <w:left w:w="15" w:type="dxa"/>
              <w:bottom w:w="0" w:type="dxa"/>
              <w:right w:w="15" w:type="dxa"/>
            </w:tcMar>
            <w:vAlign w:val="bottom"/>
          </w:tcPr>
          <w:p w14:paraId="5647C356">
            <w:pPr>
              <w:pStyle w:val="141"/>
              <w:spacing w:line="400" w:lineRule="exact"/>
              <w:ind w:left="0" w:leftChars="0" w:firstLine="480" w:firstLineChars="200"/>
              <w:jc w:val="both"/>
              <w:rPr>
                <w:rFonts w:hint="eastAsia" w:ascii="宋体" w:hAnsi="宋体" w:eastAsia="宋体" w:cs="宋体"/>
                <w:bCs/>
                <w:color w:val="auto"/>
                <w:sz w:val="24"/>
                <w:highlight w:val="none"/>
              </w:rPr>
            </w:pPr>
          </w:p>
        </w:tc>
        <w:tc>
          <w:tcPr>
            <w:tcW w:w="714" w:type="dxa"/>
            <w:tcMar>
              <w:top w:w="15" w:type="dxa"/>
              <w:left w:w="15" w:type="dxa"/>
              <w:bottom w:w="0" w:type="dxa"/>
              <w:right w:w="15" w:type="dxa"/>
            </w:tcMar>
            <w:vAlign w:val="bottom"/>
          </w:tcPr>
          <w:p w14:paraId="0BF5BDCE">
            <w:pPr>
              <w:pStyle w:val="141"/>
              <w:spacing w:line="400" w:lineRule="exact"/>
              <w:ind w:left="0" w:leftChars="0" w:firstLine="480" w:firstLineChars="200"/>
              <w:jc w:val="both"/>
              <w:rPr>
                <w:rFonts w:hint="eastAsia" w:ascii="宋体" w:hAnsi="宋体" w:eastAsia="宋体" w:cs="宋体"/>
                <w:bCs/>
                <w:color w:val="auto"/>
                <w:sz w:val="24"/>
                <w:highlight w:val="none"/>
              </w:rPr>
            </w:pPr>
          </w:p>
        </w:tc>
        <w:tc>
          <w:tcPr>
            <w:tcW w:w="714" w:type="dxa"/>
            <w:tcMar>
              <w:top w:w="15" w:type="dxa"/>
              <w:left w:w="15" w:type="dxa"/>
              <w:bottom w:w="0" w:type="dxa"/>
              <w:right w:w="15" w:type="dxa"/>
            </w:tcMar>
            <w:vAlign w:val="bottom"/>
          </w:tcPr>
          <w:p w14:paraId="6110E03A">
            <w:pPr>
              <w:pStyle w:val="141"/>
              <w:spacing w:line="400" w:lineRule="exact"/>
              <w:ind w:left="0" w:leftChars="0" w:firstLine="480" w:firstLineChars="200"/>
              <w:jc w:val="both"/>
              <w:rPr>
                <w:rFonts w:hint="eastAsia" w:ascii="宋体" w:hAnsi="宋体" w:eastAsia="宋体" w:cs="宋体"/>
                <w:bCs/>
                <w:color w:val="auto"/>
                <w:sz w:val="24"/>
                <w:highlight w:val="none"/>
              </w:rPr>
            </w:pPr>
          </w:p>
        </w:tc>
        <w:tc>
          <w:tcPr>
            <w:tcW w:w="714" w:type="dxa"/>
            <w:tcMar>
              <w:top w:w="15" w:type="dxa"/>
              <w:left w:w="15" w:type="dxa"/>
              <w:bottom w:w="0" w:type="dxa"/>
              <w:right w:w="15" w:type="dxa"/>
            </w:tcMar>
            <w:vAlign w:val="bottom"/>
          </w:tcPr>
          <w:p w14:paraId="3BFF4748">
            <w:pPr>
              <w:pStyle w:val="141"/>
              <w:spacing w:line="400" w:lineRule="exact"/>
              <w:ind w:left="0" w:leftChars="0" w:firstLine="480" w:firstLineChars="200"/>
              <w:jc w:val="both"/>
              <w:rPr>
                <w:rFonts w:hint="eastAsia" w:ascii="宋体" w:hAnsi="宋体" w:eastAsia="宋体" w:cs="宋体"/>
                <w:bCs/>
                <w:color w:val="auto"/>
                <w:sz w:val="24"/>
                <w:highlight w:val="none"/>
              </w:rPr>
            </w:pPr>
          </w:p>
        </w:tc>
        <w:tc>
          <w:tcPr>
            <w:tcW w:w="936" w:type="dxa"/>
            <w:tcMar>
              <w:top w:w="15" w:type="dxa"/>
              <w:left w:w="15" w:type="dxa"/>
              <w:bottom w:w="0" w:type="dxa"/>
              <w:right w:w="15" w:type="dxa"/>
            </w:tcMar>
            <w:vAlign w:val="bottom"/>
          </w:tcPr>
          <w:p w14:paraId="2F40BD30">
            <w:pPr>
              <w:pStyle w:val="141"/>
              <w:spacing w:line="400" w:lineRule="exact"/>
              <w:ind w:left="0" w:leftChars="0" w:firstLine="480" w:firstLineChars="200"/>
              <w:jc w:val="both"/>
              <w:rPr>
                <w:rFonts w:hint="eastAsia" w:ascii="宋体" w:hAnsi="宋体" w:eastAsia="宋体" w:cs="宋体"/>
                <w:bCs/>
                <w:color w:val="auto"/>
                <w:sz w:val="24"/>
                <w:highlight w:val="none"/>
              </w:rPr>
            </w:pPr>
          </w:p>
        </w:tc>
        <w:tc>
          <w:tcPr>
            <w:tcW w:w="2355" w:type="dxa"/>
            <w:tcMar>
              <w:top w:w="15" w:type="dxa"/>
              <w:left w:w="15" w:type="dxa"/>
              <w:bottom w:w="0" w:type="dxa"/>
              <w:right w:w="15" w:type="dxa"/>
            </w:tcMar>
            <w:vAlign w:val="bottom"/>
          </w:tcPr>
          <w:p w14:paraId="2CE5B5B6">
            <w:pPr>
              <w:pStyle w:val="141"/>
              <w:spacing w:line="400" w:lineRule="exact"/>
              <w:ind w:left="0" w:leftChars="0" w:firstLine="480" w:firstLineChars="200"/>
              <w:jc w:val="both"/>
              <w:rPr>
                <w:rFonts w:hint="eastAsia" w:ascii="宋体" w:hAnsi="宋体" w:eastAsia="宋体" w:cs="宋体"/>
                <w:bCs/>
                <w:color w:val="auto"/>
                <w:sz w:val="24"/>
                <w:highlight w:val="none"/>
              </w:rPr>
            </w:pPr>
          </w:p>
        </w:tc>
        <w:tc>
          <w:tcPr>
            <w:tcW w:w="852" w:type="dxa"/>
            <w:tcMar>
              <w:top w:w="15" w:type="dxa"/>
              <w:left w:w="15" w:type="dxa"/>
              <w:bottom w:w="0" w:type="dxa"/>
              <w:right w:w="15" w:type="dxa"/>
            </w:tcMar>
            <w:vAlign w:val="bottom"/>
          </w:tcPr>
          <w:p w14:paraId="371C89FA">
            <w:pPr>
              <w:pStyle w:val="141"/>
              <w:spacing w:line="400" w:lineRule="exact"/>
              <w:ind w:left="0" w:leftChars="0" w:firstLine="480" w:firstLineChars="200"/>
              <w:jc w:val="both"/>
              <w:rPr>
                <w:rFonts w:hint="eastAsia" w:ascii="宋体" w:hAnsi="宋体" w:eastAsia="宋体" w:cs="宋体"/>
                <w:bCs/>
                <w:color w:val="auto"/>
                <w:sz w:val="24"/>
                <w:highlight w:val="none"/>
              </w:rPr>
            </w:pPr>
          </w:p>
        </w:tc>
      </w:tr>
      <w:tr w14:paraId="32D8AF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553" w:hRule="atLeast"/>
          <w:jc w:val="center"/>
        </w:trPr>
        <w:tc>
          <w:tcPr>
            <w:tcW w:w="697" w:type="dxa"/>
            <w:tcMar>
              <w:top w:w="15" w:type="dxa"/>
              <w:left w:w="15" w:type="dxa"/>
              <w:bottom w:w="0" w:type="dxa"/>
              <w:right w:w="15" w:type="dxa"/>
            </w:tcMar>
            <w:vAlign w:val="bottom"/>
          </w:tcPr>
          <w:p w14:paraId="1DBE07AE">
            <w:pPr>
              <w:pStyle w:val="141"/>
              <w:spacing w:line="400" w:lineRule="exact"/>
              <w:ind w:left="0" w:leftChars="0" w:firstLine="480" w:firstLineChars="200"/>
              <w:jc w:val="both"/>
              <w:rPr>
                <w:rFonts w:hint="eastAsia" w:ascii="宋体" w:hAnsi="宋体" w:eastAsia="宋体" w:cs="宋体"/>
                <w:bCs/>
                <w:color w:val="auto"/>
                <w:sz w:val="24"/>
                <w:highlight w:val="none"/>
              </w:rPr>
            </w:pPr>
          </w:p>
        </w:tc>
        <w:tc>
          <w:tcPr>
            <w:tcW w:w="1555" w:type="dxa"/>
            <w:tcMar>
              <w:top w:w="15" w:type="dxa"/>
              <w:left w:w="15" w:type="dxa"/>
              <w:bottom w:w="0" w:type="dxa"/>
              <w:right w:w="15" w:type="dxa"/>
            </w:tcMar>
            <w:vAlign w:val="bottom"/>
          </w:tcPr>
          <w:p w14:paraId="3D11E4A5">
            <w:pPr>
              <w:pStyle w:val="141"/>
              <w:spacing w:line="400" w:lineRule="exact"/>
              <w:ind w:left="0" w:leftChars="0" w:firstLine="480" w:firstLineChars="200"/>
              <w:jc w:val="both"/>
              <w:rPr>
                <w:rFonts w:hint="eastAsia" w:ascii="宋体" w:hAnsi="宋体" w:eastAsia="宋体" w:cs="宋体"/>
                <w:bCs/>
                <w:color w:val="auto"/>
                <w:sz w:val="24"/>
                <w:highlight w:val="none"/>
              </w:rPr>
            </w:pPr>
          </w:p>
        </w:tc>
        <w:tc>
          <w:tcPr>
            <w:tcW w:w="714" w:type="dxa"/>
            <w:tcMar>
              <w:top w:w="15" w:type="dxa"/>
              <w:left w:w="15" w:type="dxa"/>
              <w:bottom w:w="0" w:type="dxa"/>
              <w:right w:w="15" w:type="dxa"/>
            </w:tcMar>
            <w:vAlign w:val="bottom"/>
          </w:tcPr>
          <w:p w14:paraId="2F427856">
            <w:pPr>
              <w:pStyle w:val="141"/>
              <w:spacing w:line="400" w:lineRule="exact"/>
              <w:ind w:left="0" w:leftChars="0" w:firstLine="480" w:firstLineChars="200"/>
              <w:jc w:val="both"/>
              <w:rPr>
                <w:rFonts w:hint="eastAsia" w:ascii="宋体" w:hAnsi="宋体" w:eastAsia="宋体" w:cs="宋体"/>
                <w:bCs/>
                <w:color w:val="auto"/>
                <w:sz w:val="24"/>
                <w:highlight w:val="none"/>
              </w:rPr>
            </w:pPr>
          </w:p>
        </w:tc>
        <w:tc>
          <w:tcPr>
            <w:tcW w:w="714" w:type="dxa"/>
            <w:tcMar>
              <w:top w:w="15" w:type="dxa"/>
              <w:left w:w="15" w:type="dxa"/>
              <w:bottom w:w="0" w:type="dxa"/>
              <w:right w:w="15" w:type="dxa"/>
            </w:tcMar>
            <w:vAlign w:val="bottom"/>
          </w:tcPr>
          <w:p w14:paraId="06D3616F">
            <w:pPr>
              <w:pStyle w:val="141"/>
              <w:spacing w:line="400" w:lineRule="exact"/>
              <w:ind w:left="0" w:leftChars="0" w:firstLine="480" w:firstLineChars="200"/>
              <w:jc w:val="both"/>
              <w:rPr>
                <w:rFonts w:hint="eastAsia" w:ascii="宋体" w:hAnsi="宋体" w:eastAsia="宋体" w:cs="宋体"/>
                <w:bCs/>
                <w:color w:val="auto"/>
                <w:sz w:val="24"/>
                <w:highlight w:val="none"/>
              </w:rPr>
            </w:pPr>
          </w:p>
        </w:tc>
        <w:tc>
          <w:tcPr>
            <w:tcW w:w="714" w:type="dxa"/>
            <w:tcMar>
              <w:top w:w="15" w:type="dxa"/>
              <w:left w:w="15" w:type="dxa"/>
              <w:bottom w:w="0" w:type="dxa"/>
              <w:right w:w="15" w:type="dxa"/>
            </w:tcMar>
            <w:vAlign w:val="bottom"/>
          </w:tcPr>
          <w:p w14:paraId="6227B5DC">
            <w:pPr>
              <w:pStyle w:val="141"/>
              <w:spacing w:line="400" w:lineRule="exact"/>
              <w:ind w:left="0" w:leftChars="0" w:firstLine="480" w:firstLineChars="200"/>
              <w:jc w:val="both"/>
              <w:rPr>
                <w:rFonts w:hint="eastAsia" w:ascii="宋体" w:hAnsi="宋体" w:eastAsia="宋体" w:cs="宋体"/>
                <w:bCs/>
                <w:color w:val="auto"/>
                <w:sz w:val="24"/>
                <w:highlight w:val="none"/>
              </w:rPr>
            </w:pPr>
          </w:p>
        </w:tc>
        <w:tc>
          <w:tcPr>
            <w:tcW w:w="936" w:type="dxa"/>
            <w:tcMar>
              <w:top w:w="15" w:type="dxa"/>
              <w:left w:w="15" w:type="dxa"/>
              <w:bottom w:w="0" w:type="dxa"/>
              <w:right w:w="15" w:type="dxa"/>
            </w:tcMar>
            <w:vAlign w:val="bottom"/>
          </w:tcPr>
          <w:p w14:paraId="6684E164">
            <w:pPr>
              <w:pStyle w:val="141"/>
              <w:spacing w:line="400" w:lineRule="exact"/>
              <w:ind w:left="0" w:leftChars="0" w:firstLine="480" w:firstLineChars="200"/>
              <w:jc w:val="both"/>
              <w:rPr>
                <w:rFonts w:hint="eastAsia" w:ascii="宋体" w:hAnsi="宋体" w:eastAsia="宋体" w:cs="宋体"/>
                <w:bCs/>
                <w:color w:val="auto"/>
                <w:sz w:val="24"/>
                <w:highlight w:val="none"/>
              </w:rPr>
            </w:pPr>
          </w:p>
        </w:tc>
        <w:tc>
          <w:tcPr>
            <w:tcW w:w="2355" w:type="dxa"/>
            <w:tcMar>
              <w:top w:w="15" w:type="dxa"/>
              <w:left w:w="15" w:type="dxa"/>
              <w:bottom w:w="0" w:type="dxa"/>
              <w:right w:w="15" w:type="dxa"/>
            </w:tcMar>
            <w:vAlign w:val="bottom"/>
          </w:tcPr>
          <w:p w14:paraId="310AC450">
            <w:pPr>
              <w:pStyle w:val="141"/>
              <w:spacing w:line="400" w:lineRule="exact"/>
              <w:ind w:left="0" w:leftChars="0" w:firstLine="480" w:firstLineChars="200"/>
              <w:jc w:val="both"/>
              <w:rPr>
                <w:rFonts w:hint="eastAsia" w:ascii="宋体" w:hAnsi="宋体" w:eastAsia="宋体" w:cs="宋体"/>
                <w:bCs/>
                <w:color w:val="auto"/>
                <w:sz w:val="24"/>
                <w:highlight w:val="none"/>
              </w:rPr>
            </w:pPr>
          </w:p>
        </w:tc>
        <w:tc>
          <w:tcPr>
            <w:tcW w:w="852" w:type="dxa"/>
            <w:tcMar>
              <w:top w:w="15" w:type="dxa"/>
              <w:left w:w="15" w:type="dxa"/>
              <w:bottom w:w="0" w:type="dxa"/>
              <w:right w:w="15" w:type="dxa"/>
            </w:tcMar>
            <w:vAlign w:val="bottom"/>
          </w:tcPr>
          <w:p w14:paraId="6439D9EF">
            <w:pPr>
              <w:pStyle w:val="141"/>
              <w:spacing w:line="400" w:lineRule="exact"/>
              <w:ind w:left="0" w:leftChars="0" w:firstLine="480" w:firstLineChars="200"/>
              <w:jc w:val="both"/>
              <w:rPr>
                <w:rFonts w:hint="eastAsia" w:ascii="宋体" w:hAnsi="宋体" w:eastAsia="宋体" w:cs="宋体"/>
                <w:bCs/>
                <w:color w:val="auto"/>
                <w:sz w:val="24"/>
                <w:highlight w:val="none"/>
              </w:rPr>
            </w:pPr>
          </w:p>
        </w:tc>
      </w:tr>
      <w:tr w14:paraId="19993A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544" w:hRule="atLeast"/>
          <w:jc w:val="center"/>
        </w:trPr>
        <w:tc>
          <w:tcPr>
            <w:tcW w:w="697" w:type="dxa"/>
            <w:tcMar>
              <w:top w:w="15" w:type="dxa"/>
              <w:left w:w="15" w:type="dxa"/>
              <w:bottom w:w="0" w:type="dxa"/>
              <w:right w:w="15" w:type="dxa"/>
            </w:tcMar>
            <w:vAlign w:val="bottom"/>
          </w:tcPr>
          <w:p w14:paraId="5FBD113F">
            <w:pPr>
              <w:pStyle w:val="141"/>
              <w:spacing w:line="400" w:lineRule="exact"/>
              <w:ind w:left="0" w:leftChars="0" w:firstLine="480" w:firstLineChars="200"/>
              <w:jc w:val="both"/>
              <w:rPr>
                <w:rFonts w:hint="eastAsia" w:ascii="宋体" w:hAnsi="宋体" w:eastAsia="宋体" w:cs="宋体"/>
                <w:bCs/>
                <w:color w:val="auto"/>
                <w:sz w:val="24"/>
                <w:highlight w:val="none"/>
              </w:rPr>
            </w:pPr>
          </w:p>
        </w:tc>
        <w:tc>
          <w:tcPr>
            <w:tcW w:w="1555" w:type="dxa"/>
            <w:tcMar>
              <w:top w:w="15" w:type="dxa"/>
              <w:left w:w="15" w:type="dxa"/>
              <w:bottom w:w="0" w:type="dxa"/>
              <w:right w:w="15" w:type="dxa"/>
            </w:tcMar>
            <w:vAlign w:val="bottom"/>
          </w:tcPr>
          <w:p w14:paraId="5758189D">
            <w:pPr>
              <w:pStyle w:val="141"/>
              <w:spacing w:line="400" w:lineRule="exact"/>
              <w:ind w:left="0" w:leftChars="0" w:firstLine="480" w:firstLineChars="200"/>
              <w:jc w:val="both"/>
              <w:rPr>
                <w:rFonts w:hint="eastAsia" w:ascii="宋体" w:hAnsi="宋体" w:eastAsia="宋体" w:cs="宋体"/>
                <w:bCs/>
                <w:color w:val="auto"/>
                <w:sz w:val="24"/>
                <w:highlight w:val="none"/>
              </w:rPr>
            </w:pPr>
          </w:p>
        </w:tc>
        <w:tc>
          <w:tcPr>
            <w:tcW w:w="714" w:type="dxa"/>
            <w:tcMar>
              <w:top w:w="15" w:type="dxa"/>
              <w:left w:w="15" w:type="dxa"/>
              <w:bottom w:w="0" w:type="dxa"/>
              <w:right w:w="15" w:type="dxa"/>
            </w:tcMar>
            <w:vAlign w:val="bottom"/>
          </w:tcPr>
          <w:p w14:paraId="35B345E0">
            <w:pPr>
              <w:pStyle w:val="141"/>
              <w:spacing w:line="400" w:lineRule="exact"/>
              <w:ind w:left="0" w:leftChars="0" w:firstLine="480" w:firstLineChars="200"/>
              <w:jc w:val="both"/>
              <w:rPr>
                <w:rFonts w:hint="eastAsia" w:ascii="宋体" w:hAnsi="宋体" w:eastAsia="宋体" w:cs="宋体"/>
                <w:bCs/>
                <w:color w:val="auto"/>
                <w:sz w:val="24"/>
                <w:highlight w:val="none"/>
              </w:rPr>
            </w:pPr>
          </w:p>
        </w:tc>
        <w:tc>
          <w:tcPr>
            <w:tcW w:w="714" w:type="dxa"/>
            <w:tcMar>
              <w:top w:w="15" w:type="dxa"/>
              <w:left w:w="15" w:type="dxa"/>
              <w:bottom w:w="0" w:type="dxa"/>
              <w:right w:w="15" w:type="dxa"/>
            </w:tcMar>
            <w:vAlign w:val="bottom"/>
          </w:tcPr>
          <w:p w14:paraId="2B65E620">
            <w:pPr>
              <w:pStyle w:val="141"/>
              <w:spacing w:line="400" w:lineRule="exact"/>
              <w:ind w:left="0" w:leftChars="0" w:firstLine="480" w:firstLineChars="200"/>
              <w:jc w:val="both"/>
              <w:rPr>
                <w:rFonts w:hint="eastAsia" w:ascii="宋体" w:hAnsi="宋体" w:eastAsia="宋体" w:cs="宋体"/>
                <w:bCs/>
                <w:color w:val="auto"/>
                <w:sz w:val="24"/>
                <w:highlight w:val="none"/>
              </w:rPr>
            </w:pPr>
          </w:p>
        </w:tc>
        <w:tc>
          <w:tcPr>
            <w:tcW w:w="714" w:type="dxa"/>
            <w:tcMar>
              <w:top w:w="15" w:type="dxa"/>
              <w:left w:w="15" w:type="dxa"/>
              <w:bottom w:w="0" w:type="dxa"/>
              <w:right w:w="15" w:type="dxa"/>
            </w:tcMar>
            <w:vAlign w:val="bottom"/>
          </w:tcPr>
          <w:p w14:paraId="521FAA20">
            <w:pPr>
              <w:pStyle w:val="141"/>
              <w:spacing w:line="400" w:lineRule="exact"/>
              <w:ind w:left="0" w:leftChars="0" w:firstLine="480" w:firstLineChars="200"/>
              <w:jc w:val="both"/>
              <w:rPr>
                <w:rFonts w:hint="eastAsia" w:ascii="宋体" w:hAnsi="宋体" w:eastAsia="宋体" w:cs="宋体"/>
                <w:bCs/>
                <w:color w:val="auto"/>
                <w:sz w:val="24"/>
                <w:highlight w:val="none"/>
              </w:rPr>
            </w:pPr>
          </w:p>
        </w:tc>
        <w:tc>
          <w:tcPr>
            <w:tcW w:w="936" w:type="dxa"/>
            <w:tcMar>
              <w:top w:w="15" w:type="dxa"/>
              <w:left w:w="15" w:type="dxa"/>
              <w:bottom w:w="0" w:type="dxa"/>
              <w:right w:w="15" w:type="dxa"/>
            </w:tcMar>
            <w:vAlign w:val="bottom"/>
          </w:tcPr>
          <w:p w14:paraId="264AAA78">
            <w:pPr>
              <w:pStyle w:val="141"/>
              <w:spacing w:line="400" w:lineRule="exact"/>
              <w:ind w:left="0" w:leftChars="0" w:firstLine="480" w:firstLineChars="200"/>
              <w:jc w:val="both"/>
              <w:rPr>
                <w:rFonts w:hint="eastAsia" w:ascii="宋体" w:hAnsi="宋体" w:eastAsia="宋体" w:cs="宋体"/>
                <w:bCs/>
                <w:color w:val="auto"/>
                <w:sz w:val="24"/>
                <w:highlight w:val="none"/>
              </w:rPr>
            </w:pPr>
          </w:p>
        </w:tc>
        <w:tc>
          <w:tcPr>
            <w:tcW w:w="2355" w:type="dxa"/>
            <w:tcMar>
              <w:top w:w="15" w:type="dxa"/>
              <w:left w:w="15" w:type="dxa"/>
              <w:bottom w:w="0" w:type="dxa"/>
              <w:right w:w="15" w:type="dxa"/>
            </w:tcMar>
            <w:vAlign w:val="bottom"/>
          </w:tcPr>
          <w:p w14:paraId="17095E72">
            <w:pPr>
              <w:pStyle w:val="141"/>
              <w:spacing w:line="400" w:lineRule="exact"/>
              <w:ind w:left="0" w:leftChars="0" w:firstLine="480" w:firstLineChars="200"/>
              <w:jc w:val="both"/>
              <w:rPr>
                <w:rFonts w:hint="eastAsia" w:ascii="宋体" w:hAnsi="宋体" w:eastAsia="宋体" w:cs="宋体"/>
                <w:bCs/>
                <w:color w:val="auto"/>
                <w:sz w:val="24"/>
                <w:highlight w:val="none"/>
              </w:rPr>
            </w:pPr>
          </w:p>
        </w:tc>
        <w:tc>
          <w:tcPr>
            <w:tcW w:w="852" w:type="dxa"/>
            <w:tcMar>
              <w:top w:w="15" w:type="dxa"/>
              <w:left w:w="15" w:type="dxa"/>
              <w:bottom w:w="0" w:type="dxa"/>
              <w:right w:w="15" w:type="dxa"/>
            </w:tcMar>
            <w:vAlign w:val="bottom"/>
          </w:tcPr>
          <w:p w14:paraId="28BBFC5F">
            <w:pPr>
              <w:pStyle w:val="141"/>
              <w:spacing w:line="400" w:lineRule="exact"/>
              <w:ind w:left="0" w:leftChars="0" w:firstLine="480" w:firstLineChars="200"/>
              <w:jc w:val="both"/>
              <w:rPr>
                <w:rFonts w:hint="eastAsia" w:ascii="宋体" w:hAnsi="宋体" w:eastAsia="宋体" w:cs="宋体"/>
                <w:bCs/>
                <w:color w:val="auto"/>
                <w:sz w:val="24"/>
                <w:highlight w:val="none"/>
              </w:rPr>
            </w:pPr>
          </w:p>
        </w:tc>
      </w:tr>
      <w:tr w14:paraId="634027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544" w:hRule="atLeast"/>
          <w:jc w:val="center"/>
        </w:trPr>
        <w:tc>
          <w:tcPr>
            <w:tcW w:w="697" w:type="dxa"/>
            <w:tcMar>
              <w:top w:w="15" w:type="dxa"/>
              <w:left w:w="15" w:type="dxa"/>
              <w:bottom w:w="0" w:type="dxa"/>
              <w:right w:w="15" w:type="dxa"/>
            </w:tcMar>
            <w:vAlign w:val="bottom"/>
          </w:tcPr>
          <w:p w14:paraId="6E48CAB7">
            <w:pPr>
              <w:pStyle w:val="141"/>
              <w:spacing w:line="400" w:lineRule="exact"/>
              <w:ind w:left="0" w:leftChars="0" w:firstLine="480" w:firstLineChars="200"/>
              <w:jc w:val="both"/>
              <w:rPr>
                <w:rFonts w:hint="eastAsia" w:ascii="宋体" w:hAnsi="宋体" w:eastAsia="宋体" w:cs="宋体"/>
                <w:bCs/>
                <w:color w:val="auto"/>
                <w:sz w:val="24"/>
                <w:highlight w:val="none"/>
              </w:rPr>
            </w:pPr>
          </w:p>
        </w:tc>
        <w:tc>
          <w:tcPr>
            <w:tcW w:w="1555" w:type="dxa"/>
            <w:tcMar>
              <w:top w:w="15" w:type="dxa"/>
              <w:left w:w="15" w:type="dxa"/>
              <w:bottom w:w="0" w:type="dxa"/>
              <w:right w:w="15" w:type="dxa"/>
            </w:tcMar>
            <w:vAlign w:val="bottom"/>
          </w:tcPr>
          <w:p w14:paraId="4608851C">
            <w:pPr>
              <w:pStyle w:val="141"/>
              <w:spacing w:line="400" w:lineRule="exact"/>
              <w:ind w:left="0" w:leftChars="0" w:firstLine="480" w:firstLineChars="200"/>
              <w:jc w:val="both"/>
              <w:rPr>
                <w:rFonts w:hint="eastAsia" w:ascii="宋体" w:hAnsi="宋体" w:eastAsia="宋体" w:cs="宋体"/>
                <w:bCs/>
                <w:color w:val="auto"/>
                <w:sz w:val="24"/>
                <w:highlight w:val="none"/>
              </w:rPr>
            </w:pPr>
          </w:p>
        </w:tc>
        <w:tc>
          <w:tcPr>
            <w:tcW w:w="714" w:type="dxa"/>
            <w:tcMar>
              <w:top w:w="15" w:type="dxa"/>
              <w:left w:w="15" w:type="dxa"/>
              <w:bottom w:w="0" w:type="dxa"/>
              <w:right w:w="15" w:type="dxa"/>
            </w:tcMar>
            <w:vAlign w:val="bottom"/>
          </w:tcPr>
          <w:p w14:paraId="62311F7E">
            <w:pPr>
              <w:pStyle w:val="141"/>
              <w:spacing w:line="400" w:lineRule="exact"/>
              <w:ind w:left="0" w:leftChars="0" w:firstLine="480" w:firstLineChars="200"/>
              <w:jc w:val="both"/>
              <w:rPr>
                <w:rFonts w:hint="eastAsia" w:ascii="宋体" w:hAnsi="宋体" w:eastAsia="宋体" w:cs="宋体"/>
                <w:bCs/>
                <w:color w:val="auto"/>
                <w:sz w:val="24"/>
                <w:highlight w:val="none"/>
              </w:rPr>
            </w:pPr>
          </w:p>
        </w:tc>
        <w:tc>
          <w:tcPr>
            <w:tcW w:w="714" w:type="dxa"/>
            <w:tcMar>
              <w:top w:w="15" w:type="dxa"/>
              <w:left w:w="15" w:type="dxa"/>
              <w:bottom w:w="0" w:type="dxa"/>
              <w:right w:w="15" w:type="dxa"/>
            </w:tcMar>
            <w:vAlign w:val="bottom"/>
          </w:tcPr>
          <w:p w14:paraId="3FD3E3CD">
            <w:pPr>
              <w:pStyle w:val="141"/>
              <w:spacing w:line="400" w:lineRule="exact"/>
              <w:ind w:left="0" w:leftChars="0" w:firstLine="480" w:firstLineChars="200"/>
              <w:jc w:val="both"/>
              <w:rPr>
                <w:rFonts w:hint="eastAsia" w:ascii="宋体" w:hAnsi="宋体" w:eastAsia="宋体" w:cs="宋体"/>
                <w:bCs/>
                <w:color w:val="auto"/>
                <w:sz w:val="24"/>
                <w:highlight w:val="none"/>
              </w:rPr>
            </w:pPr>
          </w:p>
        </w:tc>
        <w:tc>
          <w:tcPr>
            <w:tcW w:w="714" w:type="dxa"/>
            <w:tcMar>
              <w:top w:w="15" w:type="dxa"/>
              <w:left w:w="15" w:type="dxa"/>
              <w:bottom w:w="0" w:type="dxa"/>
              <w:right w:w="15" w:type="dxa"/>
            </w:tcMar>
            <w:vAlign w:val="bottom"/>
          </w:tcPr>
          <w:p w14:paraId="0D296390">
            <w:pPr>
              <w:pStyle w:val="141"/>
              <w:spacing w:line="400" w:lineRule="exact"/>
              <w:ind w:left="0" w:leftChars="0" w:firstLine="480" w:firstLineChars="200"/>
              <w:jc w:val="both"/>
              <w:rPr>
                <w:rFonts w:hint="eastAsia" w:ascii="宋体" w:hAnsi="宋体" w:eastAsia="宋体" w:cs="宋体"/>
                <w:bCs/>
                <w:color w:val="auto"/>
                <w:sz w:val="24"/>
                <w:highlight w:val="none"/>
              </w:rPr>
            </w:pPr>
          </w:p>
        </w:tc>
        <w:tc>
          <w:tcPr>
            <w:tcW w:w="936" w:type="dxa"/>
            <w:tcMar>
              <w:top w:w="15" w:type="dxa"/>
              <w:left w:w="15" w:type="dxa"/>
              <w:bottom w:w="0" w:type="dxa"/>
              <w:right w:w="15" w:type="dxa"/>
            </w:tcMar>
            <w:vAlign w:val="bottom"/>
          </w:tcPr>
          <w:p w14:paraId="47DF8F0A">
            <w:pPr>
              <w:pStyle w:val="141"/>
              <w:spacing w:line="400" w:lineRule="exact"/>
              <w:ind w:left="0" w:leftChars="0" w:firstLine="480" w:firstLineChars="200"/>
              <w:jc w:val="both"/>
              <w:rPr>
                <w:rFonts w:hint="eastAsia" w:ascii="宋体" w:hAnsi="宋体" w:eastAsia="宋体" w:cs="宋体"/>
                <w:bCs/>
                <w:color w:val="auto"/>
                <w:sz w:val="24"/>
                <w:highlight w:val="none"/>
              </w:rPr>
            </w:pPr>
          </w:p>
        </w:tc>
        <w:tc>
          <w:tcPr>
            <w:tcW w:w="2355" w:type="dxa"/>
            <w:tcMar>
              <w:top w:w="15" w:type="dxa"/>
              <w:left w:w="15" w:type="dxa"/>
              <w:bottom w:w="0" w:type="dxa"/>
              <w:right w:w="15" w:type="dxa"/>
            </w:tcMar>
            <w:vAlign w:val="bottom"/>
          </w:tcPr>
          <w:p w14:paraId="6363ABF0">
            <w:pPr>
              <w:pStyle w:val="141"/>
              <w:spacing w:line="400" w:lineRule="exact"/>
              <w:ind w:left="0" w:leftChars="0" w:firstLine="480" w:firstLineChars="200"/>
              <w:jc w:val="both"/>
              <w:rPr>
                <w:rFonts w:hint="eastAsia" w:ascii="宋体" w:hAnsi="宋体" w:eastAsia="宋体" w:cs="宋体"/>
                <w:bCs/>
                <w:color w:val="auto"/>
                <w:sz w:val="24"/>
                <w:highlight w:val="none"/>
              </w:rPr>
            </w:pPr>
          </w:p>
        </w:tc>
        <w:tc>
          <w:tcPr>
            <w:tcW w:w="852" w:type="dxa"/>
            <w:tcMar>
              <w:top w:w="15" w:type="dxa"/>
              <w:left w:w="15" w:type="dxa"/>
              <w:bottom w:w="0" w:type="dxa"/>
              <w:right w:w="15" w:type="dxa"/>
            </w:tcMar>
            <w:vAlign w:val="bottom"/>
          </w:tcPr>
          <w:p w14:paraId="593F379A">
            <w:pPr>
              <w:pStyle w:val="141"/>
              <w:spacing w:line="400" w:lineRule="exact"/>
              <w:ind w:left="0" w:leftChars="0" w:firstLine="480" w:firstLineChars="200"/>
              <w:jc w:val="both"/>
              <w:rPr>
                <w:rFonts w:hint="eastAsia" w:ascii="宋体" w:hAnsi="宋体" w:eastAsia="宋体" w:cs="宋体"/>
                <w:bCs/>
                <w:color w:val="auto"/>
                <w:sz w:val="24"/>
                <w:highlight w:val="none"/>
              </w:rPr>
            </w:pPr>
          </w:p>
        </w:tc>
      </w:tr>
      <w:tr w14:paraId="3C6249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553" w:hRule="atLeast"/>
          <w:jc w:val="center"/>
        </w:trPr>
        <w:tc>
          <w:tcPr>
            <w:tcW w:w="697" w:type="dxa"/>
            <w:tcMar>
              <w:top w:w="15" w:type="dxa"/>
              <w:left w:w="15" w:type="dxa"/>
              <w:bottom w:w="0" w:type="dxa"/>
              <w:right w:w="15" w:type="dxa"/>
            </w:tcMar>
            <w:vAlign w:val="bottom"/>
          </w:tcPr>
          <w:p w14:paraId="27E74194">
            <w:pPr>
              <w:pStyle w:val="141"/>
              <w:spacing w:line="400" w:lineRule="exact"/>
              <w:ind w:left="0" w:leftChars="0" w:firstLine="480" w:firstLineChars="200"/>
              <w:jc w:val="both"/>
              <w:rPr>
                <w:rFonts w:hint="eastAsia" w:ascii="宋体" w:hAnsi="宋体" w:eastAsia="宋体" w:cs="宋体"/>
                <w:bCs/>
                <w:color w:val="auto"/>
                <w:sz w:val="24"/>
                <w:highlight w:val="none"/>
              </w:rPr>
            </w:pPr>
          </w:p>
        </w:tc>
        <w:tc>
          <w:tcPr>
            <w:tcW w:w="1555" w:type="dxa"/>
            <w:tcMar>
              <w:top w:w="15" w:type="dxa"/>
              <w:left w:w="15" w:type="dxa"/>
              <w:bottom w:w="0" w:type="dxa"/>
              <w:right w:w="15" w:type="dxa"/>
            </w:tcMar>
            <w:vAlign w:val="bottom"/>
          </w:tcPr>
          <w:p w14:paraId="044006AF">
            <w:pPr>
              <w:pStyle w:val="141"/>
              <w:spacing w:line="400" w:lineRule="exact"/>
              <w:ind w:left="0" w:leftChars="0" w:firstLine="480" w:firstLineChars="200"/>
              <w:jc w:val="both"/>
              <w:rPr>
                <w:rFonts w:hint="eastAsia" w:ascii="宋体" w:hAnsi="宋体" w:eastAsia="宋体" w:cs="宋体"/>
                <w:bCs/>
                <w:color w:val="auto"/>
                <w:sz w:val="24"/>
                <w:highlight w:val="none"/>
              </w:rPr>
            </w:pPr>
          </w:p>
        </w:tc>
        <w:tc>
          <w:tcPr>
            <w:tcW w:w="714" w:type="dxa"/>
            <w:tcMar>
              <w:top w:w="15" w:type="dxa"/>
              <w:left w:w="15" w:type="dxa"/>
              <w:bottom w:w="0" w:type="dxa"/>
              <w:right w:w="15" w:type="dxa"/>
            </w:tcMar>
            <w:vAlign w:val="bottom"/>
          </w:tcPr>
          <w:p w14:paraId="1D223C1C">
            <w:pPr>
              <w:pStyle w:val="141"/>
              <w:spacing w:line="400" w:lineRule="exact"/>
              <w:ind w:left="0" w:leftChars="0" w:firstLine="480" w:firstLineChars="200"/>
              <w:jc w:val="both"/>
              <w:rPr>
                <w:rFonts w:hint="eastAsia" w:ascii="宋体" w:hAnsi="宋体" w:eastAsia="宋体" w:cs="宋体"/>
                <w:bCs/>
                <w:color w:val="auto"/>
                <w:sz w:val="24"/>
                <w:highlight w:val="none"/>
              </w:rPr>
            </w:pPr>
          </w:p>
        </w:tc>
        <w:tc>
          <w:tcPr>
            <w:tcW w:w="714" w:type="dxa"/>
            <w:tcMar>
              <w:top w:w="15" w:type="dxa"/>
              <w:left w:w="15" w:type="dxa"/>
              <w:bottom w:w="0" w:type="dxa"/>
              <w:right w:w="15" w:type="dxa"/>
            </w:tcMar>
            <w:vAlign w:val="bottom"/>
          </w:tcPr>
          <w:p w14:paraId="2043A607">
            <w:pPr>
              <w:pStyle w:val="141"/>
              <w:spacing w:line="400" w:lineRule="exact"/>
              <w:ind w:left="0" w:leftChars="0" w:firstLine="480" w:firstLineChars="200"/>
              <w:jc w:val="both"/>
              <w:rPr>
                <w:rFonts w:hint="eastAsia" w:ascii="宋体" w:hAnsi="宋体" w:eastAsia="宋体" w:cs="宋体"/>
                <w:bCs/>
                <w:color w:val="auto"/>
                <w:sz w:val="24"/>
                <w:highlight w:val="none"/>
              </w:rPr>
            </w:pPr>
          </w:p>
        </w:tc>
        <w:tc>
          <w:tcPr>
            <w:tcW w:w="714" w:type="dxa"/>
            <w:tcMar>
              <w:top w:w="15" w:type="dxa"/>
              <w:left w:w="15" w:type="dxa"/>
              <w:bottom w:w="0" w:type="dxa"/>
              <w:right w:w="15" w:type="dxa"/>
            </w:tcMar>
            <w:vAlign w:val="bottom"/>
          </w:tcPr>
          <w:p w14:paraId="237ABF4B">
            <w:pPr>
              <w:pStyle w:val="141"/>
              <w:spacing w:line="400" w:lineRule="exact"/>
              <w:ind w:left="0" w:leftChars="0" w:firstLine="480" w:firstLineChars="200"/>
              <w:jc w:val="both"/>
              <w:rPr>
                <w:rFonts w:hint="eastAsia" w:ascii="宋体" w:hAnsi="宋体" w:eastAsia="宋体" w:cs="宋体"/>
                <w:bCs/>
                <w:color w:val="auto"/>
                <w:sz w:val="24"/>
                <w:highlight w:val="none"/>
              </w:rPr>
            </w:pPr>
          </w:p>
        </w:tc>
        <w:tc>
          <w:tcPr>
            <w:tcW w:w="936" w:type="dxa"/>
            <w:tcMar>
              <w:top w:w="15" w:type="dxa"/>
              <w:left w:w="15" w:type="dxa"/>
              <w:bottom w:w="0" w:type="dxa"/>
              <w:right w:w="15" w:type="dxa"/>
            </w:tcMar>
            <w:vAlign w:val="bottom"/>
          </w:tcPr>
          <w:p w14:paraId="72BCD387">
            <w:pPr>
              <w:pStyle w:val="141"/>
              <w:spacing w:line="400" w:lineRule="exact"/>
              <w:ind w:left="0" w:leftChars="0" w:firstLine="480" w:firstLineChars="200"/>
              <w:jc w:val="both"/>
              <w:rPr>
                <w:rFonts w:hint="eastAsia" w:ascii="宋体" w:hAnsi="宋体" w:eastAsia="宋体" w:cs="宋体"/>
                <w:bCs/>
                <w:color w:val="auto"/>
                <w:sz w:val="24"/>
                <w:highlight w:val="none"/>
              </w:rPr>
            </w:pPr>
          </w:p>
        </w:tc>
        <w:tc>
          <w:tcPr>
            <w:tcW w:w="2355" w:type="dxa"/>
            <w:tcMar>
              <w:top w:w="15" w:type="dxa"/>
              <w:left w:w="15" w:type="dxa"/>
              <w:bottom w:w="0" w:type="dxa"/>
              <w:right w:w="15" w:type="dxa"/>
            </w:tcMar>
            <w:vAlign w:val="bottom"/>
          </w:tcPr>
          <w:p w14:paraId="7E3CC35B">
            <w:pPr>
              <w:pStyle w:val="141"/>
              <w:spacing w:line="400" w:lineRule="exact"/>
              <w:ind w:left="0" w:leftChars="0" w:firstLine="480" w:firstLineChars="200"/>
              <w:jc w:val="both"/>
              <w:rPr>
                <w:rFonts w:hint="eastAsia" w:ascii="宋体" w:hAnsi="宋体" w:eastAsia="宋体" w:cs="宋体"/>
                <w:bCs/>
                <w:color w:val="auto"/>
                <w:sz w:val="24"/>
                <w:highlight w:val="none"/>
              </w:rPr>
            </w:pPr>
          </w:p>
        </w:tc>
        <w:tc>
          <w:tcPr>
            <w:tcW w:w="852" w:type="dxa"/>
            <w:tcMar>
              <w:top w:w="15" w:type="dxa"/>
              <w:left w:w="15" w:type="dxa"/>
              <w:bottom w:w="0" w:type="dxa"/>
              <w:right w:w="15" w:type="dxa"/>
            </w:tcMar>
            <w:vAlign w:val="bottom"/>
          </w:tcPr>
          <w:p w14:paraId="13A198AF">
            <w:pPr>
              <w:pStyle w:val="141"/>
              <w:spacing w:line="400" w:lineRule="exact"/>
              <w:ind w:left="0" w:leftChars="0" w:firstLine="480" w:firstLineChars="200"/>
              <w:jc w:val="both"/>
              <w:rPr>
                <w:rFonts w:hint="eastAsia" w:ascii="宋体" w:hAnsi="宋体" w:eastAsia="宋体" w:cs="宋体"/>
                <w:bCs/>
                <w:color w:val="auto"/>
                <w:sz w:val="24"/>
                <w:highlight w:val="none"/>
              </w:rPr>
            </w:pPr>
          </w:p>
        </w:tc>
      </w:tr>
      <w:tr w14:paraId="6D0D22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544" w:hRule="atLeast"/>
          <w:jc w:val="center"/>
        </w:trPr>
        <w:tc>
          <w:tcPr>
            <w:tcW w:w="697" w:type="dxa"/>
            <w:tcMar>
              <w:top w:w="15" w:type="dxa"/>
              <w:left w:w="15" w:type="dxa"/>
              <w:bottom w:w="0" w:type="dxa"/>
              <w:right w:w="15" w:type="dxa"/>
            </w:tcMar>
            <w:vAlign w:val="bottom"/>
          </w:tcPr>
          <w:p w14:paraId="5E8807A5">
            <w:pPr>
              <w:pStyle w:val="141"/>
              <w:spacing w:line="400" w:lineRule="exact"/>
              <w:ind w:left="0" w:leftChars="0" w:firstLine="480" w:firstLineChars="200"/>
              <w:jc w:val="both"/>
              <w:rPr>
                <w:rFonts w:hint="eastAsia" w:ascii="宋体" w:hAnsi="宋体" w:eastAsia="宋体" w:cs="宋体"/>
                <w:bCs/>
                <w:color w:val="auto"/>
                <w:sz w:val="24"/>
                <w:highlight w:val="none"/>
              </w:rPr>
            </w:pPr>
          </w:p>
        </w:tc>
        <w:tc>
          <w:tcPr>
            <w:tcW w:w="1555" w:type="dxa"/>
            <w:tcMar>
              <w:top w:w="15" w:type="dxa"/>
              <w:left w:w="15" w:type="dxa"/>
              <w:bottom w:w="0" w:type="dxa"/>
              <w:right w:w="15" w:type="dxa"/>
            </w:tcMar>
            <w:vAlign w:val="bottom"/>
          </w:tcPr>
          <w:p w14:paraId="6CD454BC">
            <w:pPr>
              <w:pStyle w:val="141"/>
              <w:spacing w:line="400" w:lineRule="exact"/>
              <w:ind w:left="0" w:leftChars="0" w:firstLine="480" w:firstLineChars="200"/>
              <w:jc w:val="both"/>
              <w:rPr>
                <w:rFonts w:hint="eastAsia" w:ascii="宋体" w:hAnsi="宋体" w:eastAsia="宋体" w:cs="宋体"/>
                <w:bCs/>
                <w:color w:val="auto"/>
                <w:sz w:val="24"/>
                <w:highlight w:val="none"/>
              </w:rPr>
            </w:pPr>
          </w:p>
        </w:tc>
        <w:tc>
          <w:tcPr>
            <w:tcW w:w="714" w:type="dxa"/>
            <w:tcMar>
              <w:top w:w="15" w:type="dxa"/>
              <w:left w:w="15" w:type="dxa"/>
              <w:bottom w:w="0" w:type="dxa"/>
              <w:right w:w="15" w:type="dxa"/>
            </w:tcMar>
            <w:vAlign w:val="bottom"/>
          </w:tcPr>
          <w:p w14:paraId="41237211">
            <w:pPr>
              <w:pStyle w:val="141"/>
              <w:spacing w:line="400" w:lineRule="exact"/>
              <w:ind w:left="0" w:leftChars="0" w:firstLine="480" w:firstLineChars="200"/>
              <w:jc w:val="both"/>
              <w:rPr>
                <w:rFonts w:hint="eastAsia" w:ascii="宋体" w:hAnsi="宋体" w:eastAsia="宋体" w:cs="宋体"/>
                <w:bCs/>
                <w:color w:val="auto"/>
                <w:sz w:val="24"/>
                <w:highlight w:val="none"/>
              </w:rPr>
            </w:pPr>
          </w:p>
        </w:tc>
        <w:tc>
          <w:tcPr>
            <w:tcW w:w="714" w:type="dxa"/>
            <w:tcMar>
              <w:top w:w="15" w:type="dxa"/>
              <w:left w:w="15" w:type="dxa"/>
              <w:bottom w:w="0" w:type="dxa"/>
              <w:right w:w="15" w:type="dxa"/>
            </w:tcMar>
            <w:vAlign w:val="bottom"/>
          </w:tcPr>
          <w:p w14:paraId="5E2DF53E">
            <w:pPr>
              <w:pStyle w:val="141"/>
              <w:spacing w:line="400" w:lineRule="exact"/>
              <w:ind w:left="0" w:leftChars="0" w:firstLine="480" w:firstLineChars="200"/>
              <w:jc w:val="both"/>
              <w:rPr>
                <w:rFonts w:hint="eastAsia" w:ascii="宋体" w:hAnsi="宋体" w:eastAsia="宋体" w:cs="宋体"/>
                <w:bCs/>
                <w:color w:val="auto"/>
                <w:sz w:val="24"/>
                <w:highlight w:val="none"/>
              </w:rPr>
            </w:pPr>
          </w:p>
        </w:tc>
        <w:tc>
          <w:tcPr>
            <w:tcW w:w="714" w:type="dxa"/>
            <w:tcMar>
              <w:top w:w="15" w:type="dxa"/>
              <w:left w:w="15" w:type="dxa"/>
              <w:bottom w:w="0" w:type="dxa"/>
              <w:right w:w="15" w:type="dxa"/>
            </w:tcMar>
            <w:vAlign w:val="bottom"/>
          </w:tcPr>
          <w:p w14:paraId="368451F2">
            <w:pPr>
              <w:pStyle w:val="141"/>
              <w:spacing w:line="400" w:lineRule="exact"/>
              <w:ind w:left="0" w:leftChars="0" w:firstLine="480" w:firstLineChars="200"/>
              <w:jc w:val="both"/>
              <w:rPr>
                <w:rFonts w:hint="eastAsia" w:ascii="宋体" w:hAnsi="宋体" w:eastAsia="宋体" w:cs="宋体"/>
                <w:bCs/>
                <w:color w:val="auto"/>
                <w:sz w:val="24"/>
                <w:highlight w:val="none"/>
              </w:rPr>
            </w:pPr>
          </w:p>
        </w:tc>
        <w:tc>
          <w:tcPr>
            <w:tcW w:w="936" w:type="dxa"/>
            <w:tcMar>
              <w:top w:w="15" w:type="dxa"/>
              <w:left w:w="15" w:type="dxa"/>
              <w:bottom w:w="0" w:type="dxa"/>
              <w:right w:w="15" w:type="dxa"/>
            </w:tcMar>
            <w:vAlign w:val="bottom"/>
          </w:tcPr>
          <w:p w14:paraId="2A54051C">
            <w:pPr>
              <w:pStyle w:val="141"/>
              <w:spacing w:line="400" w:lineRule="exact"/>
              <w:ind w:left="0" w:leftChars="0" w:firstLine="480" w:firstLineChars="200"/>
              <w:jc w:val="both"/>
              <w:rPr>
                <w:rFonts w:hint="eastAsia" w:ascii="宋体" w:hAnsi="宋体" w:eastAsia="宋体" w:cs="宋体"/>
                <w:bCs/>
                <w:color w:val="auto"/>
                <w:sz w:val="24"/>
                <w:highlight w:val="none"/>
              </w:rPr>
            </w:pPr>
          </w:p>
        </w:tc>
        <w:tc>
          <w:tcPr>
            <w:tcW w:w="2355" w:type="dxa"/>
            <w:tcMar>
              <w:top w:w="15" w:type="dxa"/>
              <w:left w:w="15" w:type="dxa"/>
              <w:bottom w:w="0" w:type="dxa"/>
              <w:right w:w="15" w:type="dxa"/>
            </w:tcMar>
            <w:vAlign w:val="bottom"/>
          </w:tcPr>
          <w:p w14:paraId="2142EA0E">
            <w:pPr>
              <w:pStyle w:val="141"/>
              <w:spacing w:line="400" w:lineRule="exact"/>
              <w:ind w:left="0" w:leftChars="0" w:firstLine="480" w:firstLineChars="200"/>
              <w:jc w:val="both"/>
              <w:rPr>
                <w:rFonts w:hint="eastAsia" w:ascii="宋体" w:hAnsi="宋体" w:eastAsia="宋体" w:cs="宋体"/>
                <w:bCs/>
                <w:color w:val="auto"/>
                <w:sz w:val="24"/>
                <w:highlight w:val="none"/>
              </w:rPr>
            </w:pPr>
          </w:p>
        </w:tc>
        <w:tc>
          <w:tcPr>
            <w:tcW w:w="852" w:type="dxa"/>
            <w:tcMar>
              <w:top w:w="15" w:type="dxa"/>
              <w:left w:w="15" w:type="dxa"/>
              <w:bottom w:w="0" w:type="dxa"/>
              <w:right w:w="15" w:type="dxa"/>
            </w:tcMar>
            <w:vAlign w:val="bottom"/>
          </w:tcPr>
          <w:p w14:paraId="7ECBBF1A">
            <w:pPr>
              <w:pStyle w:val="141"/>
              <w:spacing w:line="400" w:lineRule="exact"/>
              <w:ind w:left="0" w:leftChars="0" w:firstLine="480" w:firstLineChars="200"/>
              <w:jc w:val="both"/>
              <w:rPr>
                <w:rFonts w:hint="eastAsia" w:ascii="宋体" w:hAnsi="宋体" w:eastAsia="宋体" w:cs="宋体"/>
                <w:bCs/>
                <w:color w:val="auto"/>
                <w:sz w:val="24"/>
                <w:highlight w:val="none"/>
              </w:rPr>
            </w:pPr>
          </w:p>
        </w:tc>
      </w:tr>
      <w:tr w14:paraId="575188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544" w:hRule="atLeast"/>
          <w:jc w:val="center"/>
        </w:trPr>
        <w:tc>
          <w:tcPr>
            <w:tcW w:w="697" w:type="dxa"/>
            <w:tcMar>
              <w:top w:w="15" w:type="dxa"/>
              <w:left w:w="15" w:type="dxa"/>
              <w:bottom w:w="0" w:type="dxa"/>
              <w:right w:w="15" w:type="dxa"/>
            </w:tcMar>
            <w:vAlign w:val="bottom"/>
          </w:tcPr>
          <w:p w14:paraId="20B41E97">
            <w:pPr>
              <w:pStyle w:val="141"/>
              <w:spacing w:line="400" w:lineRule="exact"/>
              <w:ind w:left="0" w:leftChars="0" w:firstLine="480" w:firstLineChars="200"/>
              <w:jc w:val="both"/>
              <w:rPr>
                <w:rFonts w:hint="eastAsia" w:ascii="宋体" w:hAnsi="宋体" w:eastAsia="宋体" w:cs="宋体"/>
                <w:bCs/>
                <w:color w:val="auto"/>
                <w:sz w:val="24"/>
                <w:highlight w:val="none"/>
              </w:rPr>
            </w:pPr>
          </w:p>
        </w:tc>
        <w:tc>
          <w:tcPr>
            <w:tcW w:w="1555" w:type="dxa"/>
            <w:tcMar>
              <w:top w:w="15" w:type="dxa"/>
              <w:left w:w="15" w:type="dxa"/>
              <w:bottom w:w="0" w:type="dxa"/>
              <w:right w:w="15" w:type="dxa"/>
            </w:tcMar>
            <w:vAlign w:val="bottom"/>
          </w:tcPr>
          <w:p w14:paraId="52775EFC">
            <w:pPr>
              <w:pStyle w:val="141"/>
              <w:spacing w:line="400" w:lineRule="exact"/>
              <w:ind w:left="0" w:leftChars="0" w:firstLine="480" w:firstLineChars="200"/>
              <w:jc w:val="both"/>
              <w:rPr>
                <w:rFonts w:hint="eastAsia" w:ascii="宋体" w:hAnsi="宋体" w:eastAsia="宋体" w:cs="宋体"/>
                <w:bCs/>
                <w:color w:val="auto"/>
                <w:sz w:val="24"/>
                <w:highlight w:val="none"/>
              </w:rPr>
            </w:pPr>
          </w:p>
        </w:tc>
        <w:tc>
          <w:tcPr>
            <w:tcW w:w="714" w:type="dxa"/>
            <w:tcMar>
              <w:top w:w="15" w:type="dxa"/>
              <w:left w:w="15" w:type="dxa"/>
              <w:bottom w:w="0" w:type="dxa"/>
              <w:right w:w="15" w:type="dxa"/>
            </w:tcMar>
            <w:vAlign w:val="bottom"/>
          </w:tcPr>
          <w:p w14:paraId="4052B458">
            <w:pPr>
              <w:pStyle w:val="141"/>
              <w:spacing w:line="400" w:lineRule="exact"/>
              <w:ind w:left="0" w:leftChars="0" w:firstLine="480" w:firstLineChars="200"/>
              <w:jc w:val="both"/>
              <w:rPr>
                <w:rFonts w:hint="eastAsia" w:ascii="宋体" w:hAnsi="宋体" w:eastAsia="宋体" w:cs="宋体"/>
                <w:bCs/>
                <w:color w:val="auto"/>
                <w:sz w:val="24"/>
                <w:highlight w:val="none"/>
              </w:rPr>
            </w:pPr>
          </w:p>
        </w:tc>
        <w:tc>
          <w:tcPr>
            <w:tcW w:w="714" w:type="dxa"/>
            <w:tcMar>
              <w:top w:w="15" w:type="dxa"/>
              <w:left w:w="15" w:type="dxa"/>
              <w:bottom w:w="0" w:type="dxa"/>
              <w:right w:w="15" w:type="dxa"/>
            </w:tcMar>
            <w:vAlign w:val="bottom"/>
          </w:tcPr>
          <w:p w14:paraId="5FE2DCC5">
            <w:pPr>
              <w:pStyle w:val="141"/>
              <w:spacing w:line="400" w:lineRule="exact"/>
              <w:ind w:left="0" w:leftChars="0" w:firstLine="480" w:firstLineChars="200"/>
              <w:jc w:val="both"/>
              <w:rPr>
                <w:rFonts w:hint="eastAsia" w:ascii="宋体" w:hAnsi="宋体" w:eastAsia="宋体" w:cs="宋体"/>
                <w:bCs/>
                <w:color w:val="auto"/>
                <w:sz w:val="24"/>
                <w:highlight w:val="none"/>
              </w:rPr>
            </w:pPr>
          </w:p>
        </w:tc>
        <w:tc>
          <w:tcPr>
            <w:tcW w:w="714" w:type="dxa"/>
            <w:tcMar>
              <w:top w:w="15" w:type="dxa"/>
              <w:left w:w="15" w:type="dxa"/>
              <w:bottom w:w="0" w:type="dxa"/>
              <w:right w:w="15" w:type="dxa"/>
            </w:tcMar>
            <w:vAlign w:val="bottom"/>
          </w:tcPr>
          <w:p w14:paraId="08C14853">
            <w:pPr>
              <w:pStyle w:val="141"/>
              <w:spacing w:line="400" w:lineRule="exact"/>
              <w:ind w:left="0" w:leftChars="0" w:firstLine="480" w:firstLineChars="200"/>
              <w:jc w:val="both"/>
              <w:rPr>
                <w:rFonts w:hint="eastAsia" w:ascii="宋体" w:hAnsi="宋体" w:eastAsia="宋体" w:cs="宋体"/>
                <w:bCs/>
                <w:color w:val="auto"/>
                <w:sz w:val="24"/>
                <w:highlight w:val="none"/>
              </w:rPr>
            </w:pPr>
          </w:p>
        </w:tc>
        <w:tc>
          <w:tcPr>
            <w:tcW w:w="936" w:type="dxa"/>
            <w:tcMar>
              <w:top w:w="15" w:type="dxa"/>
              <w:left w:w="15" w:type="dxa"/>
              <w:bottom w:w="0" w:type="dxa"/>
              <w:right w:w="15" w:type="dxa"/>
            </w:tcMar>
            <w:vAlign w:val="bottom"/>
          </w:tcPr>
          <w:p w14:paraId="7D388E05">
            <w:pPr>
              <w:pStyle w:val="141"/>
              <w:spacing w:line="400" w:lineRule="exact"/>
              <w:ind w:left="0" w:leftChars="0" w:firstLine="480" w:firstLineChars="200"/>
              <w:jc w:val="both"/>
              <w:rPr>
                <w:rFonts w:hint="eastAsia" w:ascii="宋体" w:hAnsi="宋体" w:eastAsia="宋体" w:cs="宋体"/>
                <w:bCs/>
                <w:color w:val="auto"/>
                <w:sz w:val="24"/>
                <w:highlight w:val="none"/>
              </w:rPr>
            </w:pPr>
          </w:p>
        </w:tc>
        <w:tc>
          <w:tcPr>
            <w:tcW w:w="2355" w:type="dxa"/>
            <w:tcMar>
              <w:top w:w="15" w:type="dxa"/>
              <w:left w:w="15" w:type="dxa"/>
              <w:bottom w:w="0" w:type="dxa"/>
              <w:right w:w="15" w:type="dxa"/>
            </w:tcMar>
            <w:vAlign w:val="bottom"/>
          </w:tcPr>
          <w:p w14:paraId="52E0DEA8">
            <w:pPr>
              <w:pStyle w:val="141"/>
              <w:spacing w:line="400" w:lineRule="exact"/>
              <w:ind w:left="0" w:leftChars="0" w:firstLine="480" w:firstLineChars="200"/>
              <w:jc w:val="both"/>
              <w:rPr>
                <w:rFonts w:hint="eastAsia" w:ascii="宋体" w:hAnsi="宋体" w:eastAsia="宋体" w:cs="宋体"/>
                <w:bCs/>
                <w:color w:val="auto"/>
                <w:sz w:val="24"/>
                <w:highlight w:val="none"/>
              </w:rPr>
            </w:pPr>
          </w:p>
        </w:tc>
        <w:tc>
          <w:tcPr>
            <w:tcW w:w="852" w:type="dxa"/>
            <w:tcMar>
              <w:top w:w="15" w:type="dxa"/>
              <w:left w:w="15" w:type="dxa"/>
              <w:bottom w:w="0" w:type="dxa"/>
              <w:right w:w="15" w:type="dxa"/>
            </w:tcMar>
            <w:vAlign w:val="bottom"/>
          </w:tcPr>
          <w:p w14:paraId="21F49915">
            <w:pPr>
              <w:pStyle w:val="141"/>
              <w:spacing w:line="400" w:lineRule="exact"/>
              <w:ind w:left="0" w:leftChars="0" w:firstLine="480" w:firstLineChars="200"/>
              <w:jc w:val="both"/>
              <w:rPr>
                <w:rFonts w:hint="eastAsia" w:ascii="宋体" w:hAnsi="宋体" w:eastAsia="宋体" w:cs="宋体"/>
                <w:bCs/>
                <w:color w:val="auto"/>
                <w:sz w:val="24"/>
                <w:highlight w:val="none"/>
              </w:rPr>
            </w:pPr>
          </w:p>
        </w:tc>
      </w:tr>
      <w:tr w14:paraId="4608D9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553" w:hRule="atLeast"/>
          <w:jc w:val="center"/>
        </w:trPr>
        <w:tc>
          <w:tcPr>
            <w:tcW w:w="697" w:type="dxa"/>
            <w:tcMar>
              <w:top w:w="15" w:type="dxa"/>
              <w:left w:w="15" w:type="dxa"/>
              <w:bottom w:w="0" w:type="dxa"/>
              <w:right w:w="15" w:type="dxa"/>
            </w:tcMar>
            <w:vAlign w:val="bottom"/>
          </w:tcPr>
          <w:p w14:paraId="24B03616">
            <w:pPr>
              <w:pStyle w:val="141"/>
              <w:spacing w:line="400" w:lineRule="exact"/>
              <w:ind w:left="0" w:leftChars="0" w:firstLine="480" w:firstLineChars="200"/>
              <w:jc w:val="both"/>
              <w:rPr>
                <w:rFonts w:hint="eastAsia" w:ascii="宋体" w:hAnsi="宋体" w:eastAsia="宋体" w:cs="宋体"/>
                <w:bCs/>
                <w:color w:val="auto"/>
                <w:sz w:val="24"/>
                <w:highlight w:val="none"/>
              </w:rPr>
            </w:pPr>
          </w:p>
        </w:tc>
        <w:tc>
          <w:tcPr>
            <w:tcW w:w="1555" w:type="dxa"/>
            <w:tcMar>
              <w:top w:w="15" w:type="dxa"/>
              <w:left w:w="15" w:type="dxa"/>
              <w:bottom w:w="0" w:type="dxa"/>
              <w:right w:w="15" w:type="dxa"/>
            </w:tcMar>
            <w:vAlign w:val="bottom"/>
          </w:tcPr>
          <w:p w14:paraId="1047584D">
            <w:pPr>
              <w:pStyle w:val="141"/>
              <w:spacing w:line="400" w:lineRule="exact"/>
              <w:ind w:left="0" w:leftChars="0" w:firstLine="480" w:firstLineChars="200"/>
              <w:jc w:val="both"/>
              <w:rPr>
                <w:rFonts w:hint="eastAsia" w:ascii="宋体" w:hAnsi="宋体" w:eastAsia="宋体" w:cs="宋体"/>
                <w:bCs/>
                <w:color w:val="auto"/>
                <w:sz w:val="24"/>
                <w:highlight w:val="none"/>
              </w:rPr>
            </w:pPr>
          </w:p>
        </w:tc>
        <w:tc>
          <w:tcPr>
            <w:tcW w:w="714" w:type="dxa"/>
            <w:tcMar>
              <w:top w:w="15" w:type="dxa"/>
              <w:left w:w="15" w:type="dxa"/>
              <w:bottom w:w="0" w:type="dxa"/>
              <w:right w:w="15" w:type="dxa"/>
            </w:tcMar>
            <w:vAlign w:val="bottom"/>
          </w:tcPr>
          <w:p w14:paraId="51FE2940">
            <w:pPr>
              <w:pStyle w:val="141"/>
              <w:spacing w:line="400" w:lineRule="exact"/>
              <w:ind w:left="0" w:leftChars="0" w:firstLine="480" w:firstLineChars="200"/>
              <w:jc w:val="both"/>
              <w:rPr>
                <w:rFonts w:hint="eastAsia" w:ascii="宋体" w:hAnsi="宋体" w:eastAsia="宋体" w:cs="宋体"/>
                <w:bCs/>
                <w:color w:val="auto"/>
                <w:sz w:val="24"/>
                <w:highlight w:val="none"/>
              </w:rPr>
            </w:pPr>
          </w:p>
        </w:tc>
        <w:tc>
          <w:tcPr>
            <w:tcW w:w="714" w:type="dxa"/>
            <w:tcMar>
              <w:top w:w="15" w:type="dxa"/>
              <w:left w:w="15" w:type="dxa"/>
              <w:bottom w:w="0" w:type="dxa"/>
              <w:right w:w="15" w:type="dxa"/>
            </w:tcMar>
            <w:vAlign w:val="bottom"/>
          </w:tcPr>
          <w:p w14:paraId="173CE2B5">
            <w:pPr>
              <w:pStyle w:val="141"/>
              <w:spacing w:line="400" w:lineRule="exact"/>
              <w:ind w:left="0" w:leftChars="0" w:firstLine="480" w:firstLineChars="200"/>
              <w:jc w:val="both"/>
              <w:rPr>
                <w:rFonts w:hint="eastAsia" w:ascii="宋体" w:hAnsi="宋体" w:eastAsia="宋体" w:cs="宋体"/>
                <w:bCs/>
                <w:color w:val="auto"/>
                <w:sz w:val="24"/>
                <w:highlight w:val="none"/>
              </w:rPr>
            </w:pPr>
          </w:p>
        </w:tc>
        <w:tc>
          <w:tcPr>
            <w:tcW w:w="714" w:type="dxa"/>
            <w:tcMar>
              <w:top w:w="15" w:type="dxa"/>
              <w:left w:w="15" w:type="dxa"/>
              <w:bottom w:w="0" w:type="dxa"/>
              <w:right w:w="15" w:type="dxa"/>
            </w:tcMar>
            <w:vAlign w:val="bottom"/>
          </w:tcPr>
          <w:p w14:paraId="7558065E">
            <w:pPr>
              <w:pStyle w:val="141"/>
              <w:spacing w:line="400" w:lineRule="exact"/>
              <w:ind w:left="0" w:leftChars="0" w:firstLine="480" w:firstLineChars="200"/>
              <w:jc w:val="both"/>
              <w:rPr>
                <w:rFonts w:hint="eastAsia" w:ascii="宋体" w:hAnsi="宋体" w:eastAsia="宋体" w:cs="宋体"/>
                <w:bCs/>
                <w:color w:val="auto"/>
                <w:sz w:val="24"/>
                <w:highlight w:val="none"/>
              </w:rPr>
            </w:pPr>
          </w:p>
        </w:tc>
        <w:tc>
          <w:tcPr>
            <w:tcW w:w="936" w:type="dxa"/>
            <w:tcMar>
              <w:top w:w="15" w:type="dxa"/>
              <w:left w:w="15" w:type="dxa"/>
              <w:bottom w:w="0" w:type="dxa"/>
              <w:right w:w="15" w:type="dxa"/>
            </w:tcMar>
            <w:vAlign w:val="bottom"/>
          </w:tcPr>
          <w:p w14:paraId="014B8D12">
            <w:pPr>
              <w:pStyle w:val="141"/>
              <w:spacing w:line="400" w:lineRule="exact"/>
              <w:ind w:left="0" w:leftChars="0" w:firstLine="480" w:firstLineChars="200"/>
              <w:jc w:val="both"/>
              <w:rPr>
                <w:rFonts w:hint="eastAsia" w:ascii="宋体" w:hAnsi="宋体" w:eastAsia="宋体" w:cs="宋体"/>
                <w:bCs/>
                <w:color w:val="auto"/>
                <w:sz w:val="24"/>
                <w:highlight w:val="none"/>
              </w:rPr>
            </w:pPr>
          </w:p>
        </w:tc>
        <w:tc>
          <w:tcPr>
            <w:tcW w:w="2355" w:type="dxa"/>
            <w:tcMar>
              <w:top w:w="15" w:type="dxa"/>
              <w:left w:w="15" w:type="dxa"/>
              <w:bottom w:w="0" w:type="dxa"/>
              <w:right w:w="15" w:type="dxa"/>
            </w:tcMar>
            <w:vAlign w:val="bottom"/>
          </w:tcPr>
          <w:p w14:paraId="509ABA04">
            <w:pPr>
              <w:pStyle w:val="141"/>
              <w:spacing w:line="400" w:lineRule="exact"/>
              <w:ind w:left="0" w:leftChars="0" w:firstLine="480" w:firstLineChars="200"/>
              <w:jc w:val="both"/>
              <w:rPr>
                <w:rFonts w:hint="eastAsia" w:ascii="宋体" w:hAnsi="宋体" w:eastAsia="宋体" w:cs="宋体"/>
                <w:bCs/>
                <w:color w:val="auto"/>
                <w:sz w:val="24"/>
                <w:highlight w:val="none"/>
              </w:rPr>
            </w:pPr>
          </w:p>
        </w:tc>
        <w:tc>
          <w:tcPr>
            <w:tcW w:w="852" w:type="dxa"/>
            <w:tcMar>
              <w:top w:w="15" w:type="dxa"/>
              <w:left w:w="15" w:type="dxa"/>
              <w:bottom w:w="0" w:type="dxa"/>
              <w:right w:w="15" w:type="dxa"/>
            </w:tcMar>
            <w:vAlign w:val="bottom"/>
          </w:tcPr>
          <w:p w14:paraId="54CC67D7">
            <w:pPr>
              <w:pStyle w:val="141"/>
              <w:spacing w:line="400" w:lineRule="exact"/>
              <w:ind w:left="0" w:leftChars="0" w:firstLine="480" w:firstLineChars="200"/>
              <w:jc w:val="both"/>
              <w:rPr>
                <w:rFonts w:hint="eastAsia" w:ascii="宋体" w:hAnsi="宋体" w:eastAsia="宋体" w:cs="宋体"/>
                <w:bCs/>
                <w:color w:val="auto"/>
                <w:sz w:val="24"/>
                <w:highlight w:val="none"/>
              </w:rPr>
            </w:pPr>
          </w:p>
        </w:tc>
      </w:tr>
      <w:tr w14:paraId="043D5C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544" w:hRule="atLeast"/>
          <w:jc w:val="center"/>
        </w:trPr>
        <w:tc>
          <w:tcPr>
            <w:tcW w:w="697" w:type="dxa"/>
            <w:tcMar>
              <w:top w:w="15" w:type="dxa"/>
              <w:left w:w="15" w:type="dxa"/>
              <w:bottom w:w="0" w:type="dxa"/>
              <w:right w:w="15" w:type="dxa"/>
            </w:tcMar>
            <w:vAlign w:val="bottom"/>
          </w:tcPr>
          <w:p w14:paraId="763F8B37">
            <w:pPr>
              <w:pStyle w:val="141"/>
              <w:spacing w:line="400" w:lineRule="exact"/>
              <w:ind w:left="0" w:leftChars="0" w:firstLine="480" w:firstLineChars="200"/>
              <w:jc w:val="both"/>
              <w:rPr>
                <w:rFonts w:hint="eastAsia" w:ascii="宋体" w:hAnsi="宋体" w:eastAsia="宋体" w:cs="宋体"/>
                <w:bCs/>
                <w:color w:val="auto"/>
                <w:sz w:val="24"/>
                <w:highlight w:val="none"/>
              </w:rPr>
            </w:pPr>
          </w:p>
        </w:tc>
        <w:tc>
          <w:tcPr>
            <w:tcW w:w="1555" w:type="dxa"/>
            <w:tcMar>
              <w:top w:w="15" w:type="dxa"/>
              <w:left w:w="15" w:type="dxa"/>
              <w:bottom w:w="0" w:type="dxa"/>
              <w:right w:w="15" w:type="dxa"/>
            </w:tcMar>
            <w:vAlign w:val="bottom"/>
          </w:tcPr>
          <w:p w14:paraId="2876C23A">
            <w:pPr>
              <w:pStyle w:val="141"/>
              <w:spacing w:line="400" w:lineRule="exact"/>
              <w:ind w:left="0" w:leftChars="0" w:firstLine="480" w:firstLineChars="200"/>
              <w:jc w:val="both"/>
              <w:rPr>
                <w:rFonts w:hint="eastAsia" w:ascii="宋体" w:hAnsi="宋体" w:eastAsia="宋体" w:cs="宋体"/>
                <w:bCs/>
                <w:color w:val="auto"/>
                <w:sz w:val="24"/>
                <w:highlight w:val="none"/>
              </w:rPr>
            </w:pPr>
          </w:p>
        </w:tc>
        <w:tc>
          <w:tcPr>
            <w:tcW w:w="714" w:type="dxa"/>
            <w:tcMar>
              <w:top w:w="15" w:type="dxa"/>
              <w:left w:w="15" w:type="dxa"/>
              <w:bottom w:w="0" w:type="dxa"/>
              <w:right w:w="15" w:type="dxa"/>
            </w:tcMar>
            <w:vAlign w:val="bottom"/>
          </w:tcPr>
          <w:p w14:paraId="032A3C7D">
            <w:pPr>
              <w:pStyle w:val="141"/>
              <w:spacing w:line="400" w:lineRule="exact"/>
              <w:ind w:left="0" w:leftChars="0" w:firstLine="480" w:firstLineChars="200"/>
              <w:jc w:val="both"/>
              <w:rPr>
                <w:rFonts w:hint="eastAsia" w:ascii="宋体" w:hAnsi="宋体" w:eastAsia="宋体" w:cs="宋体"/>
                <w:bCs/>
                <w:color w:val="auto"/>
                <w:sz w:val="24"/>
                <w:highlight w:val="none"/>
              </w:rPr>
            </w:pPr>
          </w:p>
        </w:tc>
        <w:tc>
          <w:tcPr>
            <w:tcW w:w="714" w:type="dxa"/>
            <w:tcMar>
              <w:top w:w="15" w:type="dxa"/>
              <w:left w:w="15" w:type="dxa"/>
              <w:bottom w:w="0" w:type="dxa"/>
              <w:right w:w="15" w:type="dxa"/>
            </w:tcMar>
            <w:vAlign w:val="bottom"/>
          </w:tcPr>
          <w:p w14:paraId="4F53B28D">
            <w:pPr>
              <w:pStyle w:val="141"/>
              <w:spacing w:line="400" w:lineRule="exact"/>
              <w:ind w:left="0" w:leftChars="0" w:firstLine="480" w:firstLineChars="200"/>
              <w:jc w:val="both"/>
              <w:rPr>
                <w:rFonts w:hint="eastAsia" w:ascii="宋体" w:hAnsi="宋体" w:eastAsia="宋体" w:cs="宋体"/>
                <w:bCs/>
                <w:color w:val="auto"/>
                <w:sz w:val="24"/>
                <w:highlight w:val="none"/>
              </w:rPr>
            </w:pPr>
          </w:p>
        </w:tc>
        <w:tc>
          <w:tcPr>
            <w:tcW w:w="714" w:type="dxa"/>
            <w:tcMar>
              <w:top w:w="15" w:type="dxa"/>
              <w:left w:w="15" w:type="dxa"/>
              <w:bottom w:w="0" w:type="dxa"/>
              <w:right w:w="15" w:type="dxa"/>
            </w:tcMar>
            <w:vAlign w:val="bottom"/>
          </w:tcPr>
          <w:p w14:paraId="08BAA5DD">
            <w:pPr>
              <w:pStyle w:val="141"/>
              <w:spacing w:line="400" w:lineRule="exact"/>
              <w:ind w:left="0" w:leftChars="0" w:firstLine="480" w:firstLineChars="200"/>
              <w:jc w:val="both"/>
              <w:rPr>
                <w:rFonts w:hint="eastAsia" w:ascii="宋体" w:hAnsi="宋体" w:eastAsia="宋体" w:cs="宋体"/>
                <w:bCs/>
                <w:color w:val="auto"/>
                <w:sz w:val="24"/>
                <w:highlight w:val="none"/>
              </w:rPr>
            </w:pPr>
          </w:p>
        </w:tc>
        <w:tc>
          <w:tcPr>
            <w:tcW w:w="936" w:type="dxa"/>
            <w:tcMar>
              <w:top w:w="15" w:type="dxa"/>
              <w:left w:w="15" w:type="dxa"/>
              <w:bottom w:w="0" w:type="dxa"/>
              <w:right w:w="15" w:type="dxa"/>
            </w:tcMar>
            <w:vAlign w:val="bottom"/>
          </w:tcPr>
          <w:p w14:paraId="5D11D714">
            <w:pPr>
              <w:pStyle w:val="141"/>
              <w:spacing w:line="400" w:lineRule="exact"/>
              <w:ind w:left="0" w:leftChars="0" w:firstLine="480" w:firstLineChars="200"/>
              <w:jc w:val="both"/>
              <w:rPr>
                <w:rFonts w:hint="eastAsia" w:ascii="宋体" w:hAnsi="宋体" w:eastAsia="宋体" w:cs="宋体"/>
                <w:bCs/>
                <w:color w:val="auto"/>
                <w:sz w:val="24"/>
                <w:highlight w:val="none"/>
              </w:rPr>
            </w:pPr>
          </w:p>
        </w:tc>
        <w:tc>
          <w:tcPr>
            <w:tcW w:w="2355" w:type="dxa"/>
            <w:tcMar>
              <w:top w:w="15" w:type="dxa"/>
              <w:left w:w="15" w:type="dxa"/>
              <w:bottom w:w="0" w:type="dxa"/>
              <w:right w:w="15" w:type="dxa"/>
            </w:tcMar>
            <w:vAlign w:val="bottom"/>
          </w:tcPr>
          <w:p w14:paraId="11B5AA3C">
            <w:pPr>
              <w:pStyle w:val="141"/>
              <w:spacing w:line="400" w:lineRule="exact"/>
              <w:ind w:left="0" w:leftChars="0" w:firstLine="480" w:firstLineChars="200"/>
              <w:jc w:val="both"/>
              <w:rPr>
                <w:rFonts w:hint="eastAsia" w:ascii="宋体" w:hAnsi="宋体" w:eastAsia="宋体" w:cs="宋体"/>
                <w:bCs/>
                <w:color w:val="auto"/>
                <w:sz w:val="24"/>
                <w:highlight w:val="none"/>
              </w:rPr>
            </w:pPr>
          </w:p>
        </w:tc>
        <w:tc>
          <w:tcPr>
            <w:tcW w:w="852" w:type="dxa"/>
            <w:tcMar>
              <w:top w:w="15" w:type="dxa"/>
              <w:left w:w="15" w:type="dxa"/>
              <w:bottom w:w="0" w:type="dxa"/>
              <w:right w:w="15" w:type="dxa"/>
            </w:tcMar>
            <w:vAlign w:val="bottom"/>
          </w:tcPr>
          <w:p w14:paraId="219010A2">
            <w:pPr>
              <w:pStyle w:val="141"/>
              <w:spacing w:line="400" w:lineRule="exact"/>
              <w:ind w:left="0" w:leftChars="0" w:firstLine="480" w:firstLineChars="200"/>
              <w:jc w:val="both"/>
              <w:rPr>
                <w:rFonts w:hint="eastAsia" w:ascii="宋体" w:hAnsi="宋体" w:eastAsia="宋体" w:cs="宋体"/>
                <w:bCs/>
                <w:color w:val="auto"/>
                <w:sz w:val="24"/>
                <w:highlight w:val="none"/>
              </w:rPr>
            </w:pPr>
          </w:p>
        </w:tc>
      </w:tr>
      <w:tr w14:paraId="170A9C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544" w:hRule="atLeast"/>
          <w:jc w:val="center"/>
        </w:trPr>
        <w:tc>
          <w:tcPr>
            <w:tcW w:w="697" w:type="dxa"/>
            <w:tcMar>
              <w:top w:w="15" w:type="dxa"/>
              <w:left w:w="15" w:type="dxa"/>
              <w:bottom w:w="0" w:type="dxa"/>
              <w:right w:w="15" w:type="dxa"/>
            </w:tcMar>
            <w:vAlign w:val="bottom"/>
          </w:tcPr>
          <w:p w14:paraId="421B8647">
            <w:pPr>
              <w:pStyle w:val="141"/>
              <w:spacing w:line="400" w:lineRule="exact"/>
              <w:ind w:left="0" w:leftChars="0" w:firstLine="480" w:firstLineChars="200"/>
              <w:jc w:val="both"/>
              <w:rPr>
                <w:rFonts w:hint="eastAsia" w:ascii="宋体" w:hAnsi="宋体" w:eastAsia="宋体" w:cs="宋体"/>
                <w:bCs/>
                <w:color w:val="auto"/>
                <w:sz w:val="24"/>
                <w:highlight w:val="none"/>
              </w:rPr>
            </w:pPr>
          </w:p>
        </w:tc>
        <w:tc>
          <w:tcPr>
            <w:tcW w:w="1555" w:type="dxa"/>
            <w:tcMar>
              <w:top w:w="15" w:type="dxa"/>
              <w:left w:w="15" w:type="dxa"/>
              <w:bottom w:w="0" w:type="dxa"/>
              <w:right w:w="15" w:type="dxa"/>
            </w:tcMar>
            <w:vAlign w:val="bottom"/>
          </w:tcPr>
          <w:p w14:paraId="031106E5">
            <w:pPr>
              <w:pStyle w:val="141"/>
              <w:spacing w:line="400" w:lineRule="exact"/>
              <w:ind w:left="0" w:leftChars="0" w:firstLine="480" w:firstLineChars="200"/>
              <w:jc w:val="both"/>
              <w:rPr>
                <w:rFonts w:hint="eastAsia" w:ascii="宋体" w:hAnsi="宋体" w:eastAsia="宋体" w:cs="宋体"/>
                <w:bCs/>
                <w:color w:val="auto"/>
                <w:sz w:val="24"/>
                <w:highlight w:val="none"/>
              </w:rPr>
            </w:pPr>
          </w:p>
        </w:tc>
        <w:tc>
          <w:tcPr>
            <w:tcW w:w="714" w:type="dxa"/>
            <w:tcMar>
              <w:top w:w="15" w:type="dxa"/>
              <w:left w:w="15" w:type="dxa"/>
              <w:bottom w:w="0" w:type="dxa"/>
              <w:right w:w="15" w:type="dxa"/>
            </w:tcMar>
            <w:vAlign w:val="bottom"/>
          </w:tcPr>
          <w:p w14:paraId="09611B3B">
            <w:pPr>
              <w:pStyle w:val="141"/>
              <w:spacing w:line="400" w:lineRule="exact"/>
              <w:ind w:left="0" w:leftChars="0" w:firstLine="480" w:firstLineChars="200"/>
              <w:jc w:val="both"/>
              <w:rPr>
                <w:rFonts w:hint="eastAsia" w:ascii="宋体" w:hAnsi="宋体" w:eastAsia="宋体" w:cs="宋体"/>
                <w:bCs/>
                <w:color w:val="auto"/>
                <w:sz w:val="24"/>
                <w:highlight w:val="none"/>
              </w:rPr>
            </w:pPr>
          </w:p>
        </w:tc>
        <w:tc>
          <w:tcPr>
            <w:tcW w:w="714" w:type="dxa"/>
            <w:tcMar>
              <w:top w:w="15" w:type="dxa"/>
              <w:left w:w="15" w:type="dxa"/>
              <w:bottom w:w="0" w:type="dxa"/>
              <w:right w:w="15" w:type="dxa"/>
            </w:tcMar>
            <w:vAlign w:val="bottom"/>
          </w:tcPr>
          <w:p w14:paraId="24A6F4AF">
            <w:pPr>
              <w:pStyle w:val="141"/>
              <w:spacing w:line="400" w:lineRule="exact"/>
              <w:ind w:left="0" w:leftChars="0" w:firstLine="480" w:firstLineChars="200"/>
              <w:jc w:val="both"/>
              <w:rPr>
                <w:rFonts w:hint="eastAsia" w:ascii="宋体" w:hAnsi="宋体" w:eastAsia="宋体" w:cs="宋体"/>
                <w:bCs/>
                <w:color w:val="auto"/>
                <w:sz w:val="24"/>
                <w:highlight w:val="none"/>
              </w:rPr>
            </w:pPr>
          </w:p>
        </w:tc>
        <w:tc>
          <w:tcPr>
            <w:tcW w:w="714" w:type="dxa"/>
            <w:tcMar>
              <w:top w:w="15" w:type="dxa"/>
              <w:left w:w="15" w:type="dxa"/>
              <w:bottom w:w="0" w:type="dxa"/>
              <w:right w:w="15" w:type="dxa"/>
            </w:tcMar>
            <w:vAlign w:val="bottom"/>
          </w:tcPr>
          <w:p w14:paraId="169DC680">
            <w:pPr>
              <w:pStyle w:val="141"/>
              <w:spacing w:line="400" w:lineRule="exact"/>
              <w:ind w:left="0" w:leftChars="0" w:firstLine="480" w:firstLineChars="200"/>
              <w:jc w:val="both"/>
              <w:rPr>
                <w:rFonts w:hint="eastAsia" w:ascii="宋体" w:hAnsi="宋体" w:eastAsia="宋体" w:cs="宋体"/>
                <w:bCs/>
                <w:color w:val="auto"/>
                <w:sz w:val="24"/>
                <w:highlight w:val="none"/>
              </w:rPr>
            </w:pPr>
          </w:p>
        </w:tc>
        <w:tc>
          <w:tcPr>
            <w:tcW w:w="936" w:type="dxa"/>
            <w:tcMar>
              <w:top w:w="15" w:type="dxa"/>
              <w:left w:w="15" w:type="dxa"/>
              <w:bottom w:w="0" w:type="dxa"/>
              <w:right w:w="15" w:type="dxa"/>
            </w:tcMar>
            <w:vAlign w:val="bottom"/>
          </w:tcPr>
          <w:p w14:paraId="0CE519A6">
            <w:pPr>
              <w:pStyle w:val="141"/>
              <w:spacing w:line="400" w:lineRule="exact"/>
              <w:ind w:left="0" w:leftChars="0" w:firstLine="480" w:firstLineChars="200"/>
              <w:jc w:val="both"/>
              <w:rPr>
                <w:rFonts w:hint="eastAsia" w:ascii="宋体" w:hAnsi="宋体" w:eastAsia="宋体" w:cs="宋体"/>
                <w:bCs/>
                <w:color w:val="auto"/>
                <w:sz w:val="24"/>
                <w:highlight w:val="none"/>
              </w:rPr>
            </w:pPr>
          </w:p>
        </w:tc>
        <w:tc>
          <w:tcPr>
            <w:tcW w:w="2355" w:type="dxa"/>
            <w:tcMar>
              <w:top w:w="15" w:type="dxa"/>
              <w:left w:w="15" w:type="dxa"/>
              <w:bottom w:w="0" w:type="dxa"/>
              <w:right w:w="15" w:type="dxa"/>
            </w:tcMar>
            <w:vAlign w:val="bottom"/>
          </w:tcPr>
          <w:p w14:paraId="272777F3">
            <w:pPr>
              <w:pStyle w:val="141"/>
              <w:spacing w:line="400" w:lineRule="exact"/>
              <w:ind w:left="0" w:leftChars="0" w:firstLine="480" w:firstLineChars="200"/>
              <w:jc w:val="both"/>
              <w:rPr>
                <w:rFonts w:hint="eastAsia" w:ascii="宋体" w:hAnsi="宋体" w:eastAsia="宋体" w:cs="宋体"/>
                <w:bCs/>
                <w:color w:val="auto"/>
                <w:sz w:val="24"/>
                <w:highlight w:val="none"/>
              </w:rPr>
            </w:pPr>
          </w:p>
        </w:tc>
        <w:tc>
          <w:tcPr>
            <w:tcW w:w="852" w:type="dxa"/>
            <w:tcMar>
              <w:top w:w="15" w:type="dxa"/>
              <w:left w:w="15" w:type="dxa"/>
              <w:bottom w:w="0" w:type="dxa"/>
              <w:right w:w="15" w:type="dxa"/>
            </w:tcMar>
            <w:vAlign w:val="bottom"/>
          </w:tcPr>
          <w:p w14:paraId="7A009FA1">
            <w:pPr>
              <w:pStyle w:val="141"/>
              <w:spacing w:line="400" w:lineRule="exact"/>
              <w:ind w:left="0" w:leftChars="0" w:firstLine="480" w:firstLineChars="200"/>
              <w:jc w:val="both"/>
              <w:rPr>
                <w:rFonts w:hint="eastAsia" w:ascii="宋体" w:hAnsi="宋体" w:eastAsia="宋体" w:cs="宋体"/>
                <w:bCs/>
                <w:color w:val="auto"/>
                <w:sz w:val="24"/>
                <w:highlight w:val="none"/>
              </w:rPr>
            </w:pPr>
          </w:p>
        </w:tc>
      </w:tr>
      <w:tr w14:paraId="25D8F9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553" w:hRule="atLeast"/>
          <w:jc w:val="center"/>
        </w:trPr>
        <w:tc>
          <w:tcPr>
            <w:tcW w:w="697" w:type="dxa"/>
            <w:tcMar>
              <w:top w:w="15" w:type="dxa"/>
              <w:left w:w="15" w:type="dxa"/>
              <w:bottom w:w="0" w:type="dxa"/>
              <w:right w:w="15" w:type="dxa"/>
            </w:tcMar>
            <w:vAlign w:val="bottom"/>
          </w:tcPr>
          <w:p w14:paraId="1B439900">
            <w:pPr>
              <w:pStyle w:val="141"/>
              <w:spacing w:line="400" w:lineRule="exact"/>
              <w:ind w:left="0" w:leftChars="0" w:firstLine="480" w:firstLineChars="200"/>
              <w:jc w:val="both"/>
              <w:rPr>
                <w:rFonts w:hint="eastAsia" w:ascii="宋体" w:hAnsi="宋体" w:eastAsia="宋体" w:cs="宋体"/>
                <w:bCs/>
                <w:color w:val="auto"/>
                <w:sz w:val="24"/>
                <w:highlight w:val="none"/>
              </w:rPr>
            </w:pPr>
          </w:p>
        </w:tc>
        <w:tc>
          <w:tcPr>
            <w:tcW w:w="1555" w:type="dxa"/>
            <w:tcMar>
              <w:top w:w="15" w:type="dxa"/>
              <w:left w:w="15" w:type="dxa"/>
              <w:bottom w:w="0" w:type="dxa"/>
              <w:right w:w="15" w:type="dxa"/>
            </w:tcMar>
            <w:vAlign w:val="bottom"/>
          </w:tcPr>
          <w:p w14:paraId="64C2E053">
            <w:pPr>
              <w:pStyle w:val="141"/>
              <w:spacing w:line="400" w:lineRule="exact"/>
              <w:ind w:left="0" w:leftChars="0" w:firstLine="480" w:firstLineChars="200"/>
              <w:jc w:val="both"/>
              <w:rPr>
                <w:rFonts w:hint="eastAsia" w:ascii="宋体" w:hAnsi="宋体" w:eastAsia="宋体" w:cs="宋体"/>
                <w:bCs/>
                <w:color w:val="auto"/>
                <w:sz w:val="24"/>
                <w:highlight w:val="none"/>
              </w:rPr>
            </w:pPr>
          </w:p>
        </w:tc>
        <w:tc>
          <w:tcPr>
            <w:tcW w:w="714" w:type="dxa"/>
            <w:tcMar>
              <w:top w:w="15" w:type="dxa"/>
              <w:left w:w="15" w:type="dxa"/>
              <w:bottom w:w="0" w:type="dxa"/>
              <w:right w:w="15" w:type="dxa"/>
            </w:tcMar>
            <w:vAlign w:val="bottom"/>
          </w:tcPr>
          <w:p w14:paraId="79E07814">
            <w:pPr>
              <w:pStyle w:val="141"/>
              <w:spacing w:line="400" w:lineRule="exact"/>
              <w:ind w:left="0" w:leftChars="0" w:firstLine="480" w:firstLineChars="200"/>
              <w:jc w:val="both"/>
              <w:rPr>
                <w:rFonts w:hint="eastAsia" w:ascii="宋体" w:hAnsi="宋体" w:eastAsia="宋体" w:cs="宋体"/>
                <w:bCs/>
                <w:color w:val="auto"/>
                <w:sz w:val="24"/>
                <w:highlight w:val="none"/>
              </w:rPr>
            </w:pPr>
          </w:p>
        </w:tc>
        <w:tc>
          <w:tcPr>
            <w:tcW w:w="714" w:type="dxa"/>
            <w:tcMar>
              <w:top w:w="15" w:type="dxa"/>
              <w:left w:w="15" w:type="dxa"/>
              <w:bottom w:w="0" w:type="dxa"/>
              <w:right w:w="15" w:type="dxa"/>
            </w:tcMar>
            <w:vAlign w:val="bottom"/>
          </w:tcPr>
          <w:p w14:paraId="32A8216D">
            <w:pPr>
              <w:pStyle w:val="141"/>
              <w:spacing w:line="400" w:lineRule="exact"/>
              <w:ind w:left="0" w:leftChars="0" w:firstLine="480" w:firstLineChars="200"/>
              <w:jc w:val="both"/>
              <w:rPr>
                <w:rFonts w:hint="eastAsia" w:ascii="宋体" w:hAnsi="宋体" w:eastAsia="宋体" w:cs="宋体"/>
                <w:bCs/>
                <w:color w:val="auto"/>
                <w:sz w:val="24"/>
                <w:highlight w:val="none"/>
              </w:rPr>
            </w:pPr>
          </w:p>
        </w:tc>
        <w:tc>
          <w:tcPr>
            <w:tcW w:w="714" w:type="dxa"/>
            <w:tcMar>
              <w:top w:w="15" w:type="dxa"/>
              <w:left w:w="15" w:type="dxa"/>
              <w:bottom w:w="0" w:type="dxa"/>
              <w:right w:w="15" w:type="dxa"/>
            </w:tcMar>
            <w:vAlign w:val="bottom"/>
          </w:tcPr>
          <w:p w14:paraId="59B4BC0B">
            <w:pPr>
              <w:pStyle w:val="141"/>
              <w:spacing w:line="400" w:lineRule="exact"/>
              <w:ind w:left="0" w:leftChars="0" w:firstLine="480" w:firstLineChars="200"/>
              <w:jc w:val="both"/>
              <w:rPr>
                <w:rFonts w:hint="eastAsia" w:ascii="宋体" w:hAnsi="宋体" w:eastAsia="宋体" w:cs="宋体"/>
                <w:bCs/>
                <w:color w:val="auto"/>
                <w:sz w:val="24"/>
                <w:highlight w:val="none"/>
              </w:rPr>
            </w:pPr>
          </w:p>
        </w:tc>
        <w:tc>
          <w:tcPr>
            <w:tcW w:w="936" w:type="dxa"/>
            <w:tcMar>
              <w:top w:w="15" w:type="dxa"/>
              <w:left w:w="15" w:type="dxa"/>
              <w:bottom w:w="0" w:type="dxa"/>
              <w:right w:w="15" w:type="dxa"/>
            </w:tcMar>
            <w:vAlign w:val="bottom"/>
          </w:tcPr>
          <w:p w14:paraId="7B0AC165">
            <w:pPr>
              <w:pStyle w:val="141"/>
              <w:spacing w:line="400" w:lineRule="exact"/>
              <w:ind w:left="0" w:leftChars="0" w:firstLine="480" w:firstLineChars="200"/>
              <w:jc w:val="both"/>
              <w:rPr>
                <w:rFonts w:hint="eastAsia" w:ascii="宋体" w:hAnsi="宋体" w:eastAsia="宋体" w:cs="宋体"/>
                <w:bCs/>
                <w:color w:val="auto"/>
                <w:sz w:val="24"/>
                <w:highlight w:val="none"/>
              </w:rPr>
            </w:pPr>
          </w:p>
        </w:tc>
        <w:tc>
          <w:tcPr>
            <w:tcW w:w="2355" w:type="dxa"/>
            <w:tcMar>
              <w:top w:w="15" w:type="dxa"/>
              <w:left w:w="15" w:type="dxa"/>
              <w:bottom w:w="0" w:type="dxa"/>
              <w:right w:w="15" w:type="dxa"/>
            </w:tcMar>
            <w:vAlign w:val="bottom"/>
          </w:tcPr>
          <w:p w14:paraId="48A44EC5">
            <w:pPr>
              <w:pStyle w:val="141"/>
              <w:spacing w:line="400" w:lineRule="exact"/>
              <w:ind w:left="0" w:leftChars="0" w:firstLine="480" w:firstLineChars="200"/>
              <w:jc w:val="both"/>
              <w:rPr>
                <w:rFonts w:hint="eastAsia" w:ascii="宋体" w:hAnsi="宋体" w:eastAsia="宋体" w:cs="宋体"/>
                <w:bCs/>
                <w:color w:val="auto"/>
                <w:sz w:val="24"/>
                <w:highlight w:val="none"/>
              </w:rPr>
            </w:pPr>
          </w:p>
        </w:tc>
        <w:tc>
          <w:tcPr>
            <w:tcW w:w="852" w:type="dxa"/>
            <w:tcMar>
              <w:top w:w="15" w:type="dxa"/>
              <w:left w:w="15" w:type="dxa"/>
              <w:bottom w:w="0" w:type="dxa"/>
              <w:right w:w="15" w:type="dxa"/>
            </w:tcMar>
            <w:vAlign w:val="bottom"/>
          </w:tcPr>
          <w:p w14:paraId="6EA48695">
            <w:pPr>
              <w:pStyle w:val="141"/>
              <w:spacing w:line="400" w:lineRule="exact"/>
              <w:ind w:left="0" w:leftChars="0" w:firstLine="480" w:firstLineChars="200"/>
              <w:jc w:val="both"/>
              <w:rPr>
                <w:rFonts w:hint="eastAsia" w:ascii="宋体" w:hAnsi="宋体" w:eastAsia="宋体" w:cs="宋体"/>
                <w:bCs/>
                <w:color w:val="auto"/>
                <w:sz w:val="24"/>
                <w:highlight w:val="none"/>
              </w:rPr>
            </w:pPr>
          </w:p>
        </w:tc>
      </w:tr>
    </w:tbl>
    <w:p w14:paraId="694C60A8">
      <w:pPr>
        <w:pStyle w:val="15"/>
        <w:spacing w:line="360" w:lineRule="auto"/>
        <w:rPr>
          <w:rFonts w:hint="eastAsia" w:ascii="宋体" w:hAnsi="宋体" w:eastAsia="宋体" w:cs="宋体"/>
          <w:color w:val="auto"/>
          <w:szCs w:val="24"/>
          <w:highlight w:val="none"/>
        </w:rPr>
      </w:pPr>
    </w:p>
    <w:p w14:paraId="6333469A">
      <w:pPr>
        <w:pStyle w:val="15"/>
        <w:spacing w:line="360" w:lineRule="auto"/>
        <w:ind w:firstLine="480" w:firstLineChars="200"/>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Cs w:val="24"/>
          <w:highlight w:val="none"/>
        </w:rPr>
        <w:t>注：供应商应按</w:t>
      </w:r>
      <w:r>
        <w:rPr>
          <w:rFonts w:hint="eastAsia" w:ascii="宋体" w:hAnsi="宋体" w:eastAsia="宋体" w:cs="宋体"/>
          <w:b w:val="0"/>
          <w:bCs w:val="0"/>
          <w:color w:val="auto"/>
          <w:szCs w:val="24"/>
          <w:highlight w:val="none"/>
          <w:lang w:val="en-US" w:eastAsia="zh-CN"/>
        </w:rPr>
        <w:t>磋商</w:t>
      </w:r>
      <w:r>
        <w:rPr>
          <w:rFonts w:hint="eastAsia" w:ascii="宋体" w:hAnsi="宋体" w:eastAsia="宋体" w:cs="宋体"/>
          <w:b w:val="0"/>
          <w:bCs w:val="0"/>
          <w:color w:val="auto"/>
          <w:szCs w:val="24"/>
          <w:highlight w:val="none"/>
        </w:rPr>
        <w:t>文件要求提供为本项目</w:t>
      </w:r>
      <w:r>
        <w:rPr>
          <w:rFonts w:hint="eastAsia" w:ascii="宋体" w:hAnsi="宋体" w:eastAsia="宋体" w:cs="宋体"/>
          <w:b w:val="0"/>
          <w:bCs w:val="0"/>
          <w:color w:val="auto"/>
          <w:szCs w:val="24"/>
          <w:highlight w:val="none"/>
          <w:lang w:val="en-US" w:eastAsia="zh-CN"/>
        </w:rPr>
        <w:t>拟投入的</w:t>
      </w:r>
      <w:r>
        <w:rPr>
          <w:rFonts w:hint="eastAsia" w:ascii="宋体" w:hAnsi="宋体" w:eastAsia="宋体" w:cs="宋体"/>
          <w:b w:val="0"/>
          <w:bCs w:val="0"/>
          <w:color w:val="auto"/>
          <w:szCs w:val="24"/>
          <w:highlight w:val="none"/>
        </w:rPr>
        <w:t>人员</w:t>
      </w:r>
      <w:r>
        <w:rPr>
          <w:rFonts w:hint="eastAsia" w:ascii="宋体" w:hAnsi="宋体" w:eastAsia="宋体" w:cs="宋体"/>
          <w:b w:val="0"/>
          <w:bCs w:val="0"/>
          <w:color w:val="auto"/>
          <w:szCs w:val="24"/>
          <w:highlight w:val="none"/>
          <w:lang w:val="en-US" w:eastAsia="zh-CN"/>
        </w:rPr>
        <w:t>及</w:t>
      </w:r>
      <w:r>
        <w:rPr>
          <w:rFonts w:hint="eastAsia" w:ascii="宋体" w:hAnsi="宋体" w:cs="宋体"/>
          <w:b w:val="0"/>
          <w:bCs w:val="0"/>
          <w:color w:val="auto"/>
          <w:szCs w:val="24"/>
          <w:highlight w:val="none"/>
          <w:lang w:val="en-US" w:eastAsia="zh-CN"/>
        </w:rPr>
        <w:t>相关证书</w:t>
      </w:r>
      <w:r>
        <w:rPr>
          <w:rFonts w:hint="eastAsia" w:ascii="宋体" w:hAnsi="宋体" w:eastAsia="宋体" w:cs="宋体"/>
          <w:b w:val="0"/>
          <w:bCs w:val="0"/>
          <w:color w:val="auto"/>
          <w:szCs w:val="24"/>
          <w:highlight w:val="none"/>
          <w:lang w:val="en-US" w:eastAsia="zh-CN"/>
        </w:rPr>
        <w:t>等</w:t>
      </w:r>
      <w:r>
        <w:rPr>
          <w:rFonts w:hint="eastAsia" w:ascii="宋体" w:hAnsi="宋体" w:eastAsia="宋体" w:cs="宋体"/>
          <w:b w:val="0"/>
          <w:bCs w:val="0"/>
          <w:color w:val="auto"/>
          <w:sz w:val="24"/>
          <w:szCs w:val="24"/>
          <w:highlight w:val="none"/>
        </w:rPr>
        <w:t>相关证明材料（复印件并加盖公章），便于磋商小组予以综合评定。</w:t>
      </w:r>
    </w:p>
    <w:p w14:paraId="6BFEEF7C">
      <w:pPr>
        <w:spacing w:line="360" w:lineRule="auto"/>
        <w:ind w:firstLine="420" w:firstLineChars="200"/>
        <w:jc w:val="left"/>
        <w:outlineLvl w:val="9"/>
        <w:rPr>
          <w:rFonts w:hint="eastAsia" w:ascii="宋体" w:hAnsi="宋体" w:eastAsia="宋体" w:cs="宋体"/>
          <w:color w:val="auto"/>
          <w:highlight w:val="none"/>
          <w:lang w:eastAsia="zh-CN"/>
        </w:rPr>
      </w:pPr>
    </w:p>
    <w:p w14:paraId="61C1F524">
      <w:pPr>
        <w:pStyle w:val="15"/>
        <w:spacing w:line="360" w:lineRule="auto"/>
        <w:rPr>
          <w:rFonts w:hint="eastAsia" w:ascii="宋体" w:hAnsi="宋体" w:eastAsia="宋体" w:cs="宋体"/>
          <w:color w:val="auto"/>
          <w:highlight w:val="none"/>
        </w:rPr>
      </w:pPr>
    </w:p>
    <w:p w14:paraId="494D2163">
      <w:pPr>
        <w:spacing w:line="720" w:lineRule="auto"/>
        <w:ind w:firstLine="2160" w:firstLineChars="900"/>
        <w:rPr>
          <w:rFonts w:hint="eastAsia" w:ascii="宋体" w:hAnsi="宋体" w:eastAsia="宋体" w:cs="宋体"/>
          <w:color w:val="auto"/>
          <w:sz w:val="24"/>
          <w:highlight w:val="none"/>
          <w:u w:val="single"/>
        </w:rPr>
      </w:pPr>
      <w:r>
        <w:rPr>
          <w:rFonts w:hint="eastAsia" w:ascii="宋体" w:hAnsi="宋体" w:eastAsia="宋体" w:cs="宋体"/>
          <w:color w:val="auto"/>
          <w:sz w:val="24"/>
          <w:highlight w:val="none"/>
        </w:rPr>
        <w:t>供应商（单位公章）：</w:t>
      </w:r>
      <w:r>
        <w:rPr>
          <w:rFonts w:hint="eastAsia" w:ascii="宋体" w:hAnsi="宋体" w:eastAsia="宋体" w:cs="宋体"/>
          <w:color w:val="auto"/>
          <w:sz w:val="24"/>
          <w:highlight w:val="none"/>
          <w:u w:val="single"/>
        </w:rPr>
        <w:t xml:space="preserve">                      </w:t>
      </w:r>
    </w:p>
    <w:p w14:paraId="2F8FBCD3">
      <w:pPr>
        <w:spacing w:line="720" w:lineRule="auto"/>
        <w:ind w:firstLine="2160" w:firstLineChars="900"/>
        <w:rPr>
          <w:rFonts w:hint="eastAsia" w:ascii="宋体" w:hAnsi="宋体" w:eastAsia="宋体" w:cs="宋体"/>
          <w:color w:val="auto"/>
          <w:sz w:val="24"/>
          <w:highlight w:val="none"/>
          <w:u w:val="single"/>
          <w:lang w:val="zh-CN"/>
        </w:rPr>
      </w:pPr>
      <w:r>
        <w:rPr>
          <w:rFonts w:hint="eastAsia" w:ascii="宋体" w:hAnsi="宋体" w:eastAsia="宋体" w:cs="宋体"/>
          <w:color w:val="auto"/>
          <w:sz w:val="24"/>
          <w:highlight w:val="none"/>
        </w:rPr>
        <w:t xml:space="preserve">法定代表人或其授权委托人（签字或盖章）：  </w:t>
      </w:r>
      <w:r>
        <w:rPr>
          <w:rFonts w:hint="eastAsia" w:ascii="宋体" w:hAnsi="宋体" w:eastAsia="宋体" w:cs="宋体"/>
          <w:color w:val="auto"/>
          <w:sz w:val="24"/>
          <w:highlight w:val="none"/>
          <w:u w:val="single"/>
        </w:rPr>
        <w:t xml:space="preserve">             </w:t>
      </w:r>
    </w:p>
    <w:p w14:paraId="138FB464">
      <w:pPr>
        <w:pStyle w:val="23"/>
        <w:spacing w:line="600" w:lineRule="exact"/>
        <w:ind w:firstLine="2160" w:firstLineChars="900"/>
        <w:rPr>
          <w:rFonts w:hint="eastAsia" w:ascii="宋体" w:hAnsi="宋体" w:eastAsia="宋体" w:cs="宋体"/>
          <w:color w:val="auto"/>
          <w:sz w:val="24"/>
          <w:szCs w:val="24"/>
          <w:highlight w:val="none"/>
        </w:rPr>
      </w:pPr>
      <w:r>
        <w:rPr>
          <w:rFonts w:hint="eastAsia" w:ascii="宋体" w:hAnsi="宋体" w:eastAsia="宋体" w:cs="宋体"/>
          <w:color w:val="auto"/>
          <w:sz w:val="24"/>
          <w:highlight w:val="none"/>
          <w:lang w:val="zh-CN"/>
        </w:rPr>
        <w:t>日</w:t>
      </w:r>
      <w:r>
        <w:rPr>
          <w:rFonts w:hint="eastAsia" w:ascii="宋体" w:hAnsi="宋体" w:eastAsia="宋体" w:cs="宋体"/>
          <w:color w:val="auto"/>
          <w:sz w:val="24"/>
          <w:highlight w:val="none"/>
        </w:rPr>
        <w:t xml:space="preserve">  </w:t>
      </w:r>
      <w:r>
        <w:rPr>
          <w:rFonts w:hint="eastAsia" w:ascii="宋体" w:hAnsi="宋体" w:eastAsia="宋体" w:cs="宋体"/>
          <w:color w:val="auto"/>
          <w:sz w:val="24"/>
          <w:highlight w:val="none"/>
          <w:lang w:val="zh-CN"/>
        </w:rPr>
        <w:t>期：</w:t>
      </w:r>
      <w:r>
        <w:rPr>
          <w:rFonts w:hint="eastAsia" w:ascii="宋体" w:hAnsi="宋体" w:eastAsia="宋体" w:cs="宋体"/>
          <w:color w:val="auto"/>
          <w:sz w:val="24"/>
          <w:szCs w:val="20"/>
          <w:highlight w:val="none"/>
        </w:rPr>
        <w:t xml:space="preserve">   年  月  日</w:t>
      </w:r>
    </w:p>
    <w:p w14:paraId="6C53300B">
      <w:pPr>
        <w:rPr>
          <w:rFonts w:hint="eastAsia" w:ascii="宋体" w:hAnsi="宋体" w:eastAsia="宋体" w:cs="宋体"/>
          <w:b/>
          <w:bCs/>
          <w:color w:val="auto"/>
          <w:kern w:val="0"/>
          <w:sz w:val="24"/>
          <w:highlight w:val="none"/>
        </w:rPr>
      </w:pPr>
      <w:r>
        <w:rPr>
          <w:rFonts w:hint="eastAsia" w:ascii="宋体" w:hAnsi="宋体" w:eastAsia="宋体" w:cs="宋体"/>
          <w:b/>
          <w:bCs/>
          <w:color w:val="auto"/>
          <w:kern w:val="0"/>
          <w:sz w:val="24"/>
          <w:highlight w:val="none"/>
        </w:rPr>
        <w:br w:type="page"/>
      </w:r>
    </w:p>
    <w:p w14:paraId="36F729F0">
      <w:pPr>
        <w:jc w:val="center"/>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rPr>
        <w:t>十、近3年业绩有关证明材料</w:t>
      </w:r>
    </w:p>
    <w:p w14:paraId="4665D3B7">
      <w:pPr>
        <w:widowControl/>
        <w:jc w:val="center"/>
        <w:rPr>
          <w:rFonts w:hint="eastAsia" w:ascii="宋体" w:hAnsi="宋体" w:eastAsia="宋体" w:cs="宋体"/>
          <w:b/>
          <w:bCs/>
          <w:color w:val="auto"/>
          <w:sz w:val="32"/>
          <w:szCs w:val="32"/>
          <w:highlight w:val="none"/>
        </w:rPr>
      </w:pPr>
      <w:r>
        <w:rPr>
          <w:rFonts w:hint="eastAsia" w:ascii="宋体" w:hAnsi="宋体" w:eastAsia="宋体" w:cs="宋体"/>
          <w:b/>
          <w:bCs/>
          <w:color w:val="auto"/>
          <w:sz w:val="28"/>
          <w:szCs w:val="28"/>
          <w:highlight w:val="none"/>
        </w:rPr>
        <w:t>近三年类似项目业绩一览表</w:t>
      </w:r>
    </w:p>
    <w:p w14:paraId="0CC318B6">
      <w:pPr>
        <w:tabs>
          <w:tab w:val="left" w:pos="720"/>
        </w:tabs>
        <w:spacing w:after="120" w:line="400" w:lineRule="exact"/>
        <w:ind w:firstLine="315" w:firstLineChars="150"/>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供应商名称：                                                          单位：万元</w:t>
      </w:r>
    </w:p>
    <w:tbl>
      <w:tblPr>
        <w:tblStyle w:val="41"/>
        <w:tblW w:w="8599"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2045"/>
        <w:gridCol w:w="3627"/>
        <w:gridCol w:w="2927"/>
      </w:tblGrid>
      <w:tr w14:paraId="3FB6FDA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68" w:hRule="atLeast"/>
          <w:jc w:val="center"/>
        </w:trPr>
        <w:tc>
          <w:tcPr>
            <w:tcW w:w="2045" w:type="dxa"/>
            <w:vAlign w:val="center"/>
          </w:tcPr>
          <w:p w14:paraId="58AD616A">
            <w:pPr>
              <w:pStyle w:val="12"/>
              <w:ind w:firstLine="0"/>
              <w:jc w:val="center"/>
              <w:rPr>
                <w:rFonts w:hint="eastAsia" w:ascii="宋体" w:hAnsi="宋体" w:eastAsia="宋体" w:cs="宋体"/>
                <w:b/>
                <w:bCs/>
                <w:color w:val="auto"/>
                <w:szCs w:val="24"/>
                <w:highlight w:val="none"/>
              </w:rPr>
            </w:pPr>
            <w:r>
              <w:rPr>
                <w:rFonts w:hint="eastAsia" w:ascii="宋体" w:hAnsi="宋体" w:eastAsia="宋体" w:cs="宋体"/>
                <w:b/>
                <w:bCs/>
                <w:color w:val="auto"/>
                <w:szCs w:val="24"/>
                <w:highlight w:val="none"/>
              </w:rPr>
              <w:t>年份</w:t>
            </w:r>
          </w:p>
        </w:tc>
        <w:tc>
          <w:tcPr>
            <w:tcW w:w="3627" w:type="dxa"/>
            <w:vAlign w:val="center"/>
          </w:tcPr>
          <w:p w14:paraId="52369CAF">
            <w:pPr>
              <w:pStyle w:val="12"/>
              <w:ind w:firstLine="0"/>
              <w:jc w:val="center"/>
              <w:rPr>
                <w:rFonts w:hint="eastAsia" w:ascii="宋体" w:hAnsi="宋体" w:eastAsia="宋体" w:cs="宋体"/>
                <w:b/>
                <w:bCs/>
                <w:color w:val="auto"/>
                <w:szCs w:val="24"/>
                <w:highlight w:val="none"/>
              </w:rPr>
            </w:pPr>
            <w:r>
              <w:rPr>
                <w:rFonts w:hint="eastAsia" w:ascii="宋体" w:hAnsi="宋体" w:eastAsia="宋体" w:cs="宋体"/>
                <w:b/>
                <w:bCs/>
                <w:color w:val="auto"/>
                <w:szCs w:val="24"/>
                <w:highlight w:val="none"/>
              </w:rPr>
              <w:t>项目名称</w:t>
            </w:r>
          </w:p>
        </w:tc>
        <w:tc>
          <w:tcPr>
            <w:tcW w:w="2927" w:type="dxa"/>
            <w:vAlign w:val="center"/>
          </w:tcPr>
          <w:p w14:paraId="0ADBC5A4">
            <w:pPr>
              <w:pStyle w:val="12"/>
              <w:ind w:firstLine="0"/>
              <w:jc w:val="center"/>
              <w:rPr>
                <w:rFonts w:hint="eastAsia" w:ascii="宋体" w:hAnsi="宋体" w:eastAsia="宋体" w:cs="宋体"/>
                <w:b/>
                <w:bCs/>
                <w:color w:val="auto"/>
                <w:szCs w:val="24"/>
                <w:highlight w:val="none"/>
              </w:rPr>
            </w:pPr>
            <w:r>
              <w:rPr>
                <w:rFonts w:hint="eastAsia" w:ascii="宋体" w:hAnsi="宋体" w:eastAsia="宋体" w:cs="宋体"/>
                <w:b/>
                <w:bCs/>
                <w:color w:val="auto"/>
                <w:szCs w:val="24"/>
                <w:highlight w:val="none"/>
              </w:rPr>
              <w:t>合同金额</w:t>
            </w:r>
          </w:p>
        </w:tc>
      </w:tr>
      <w:tr w14:paraId="5751EED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78" w:hRule="atLeast"/>
          <w:jc w:val="center"/>
        </w:trPr>
        <w:tc>
          <w:tcPr>
            <w:tcW w:w="2045" w:type="dxa"/>
          </w:tcPr>
          <w:p w14:paraId="678DBE98">
            <w:pPr>
              <w:pStyle w:val="12"/>
              <w:ind w:firstLine="0"/>
              <w:rPr>
                <w:rFonts w:hint="eastAsia" w:ascii="宋体" w:hAnsi="宋体" w:eastAsia="宋体" w:cs="宋体"/>
                <w:color w:val="auto"/>
                <w:szCs w:val="21"/>
                <w:highlight w:val="none"/>
              </w:rPr>
            </w:pPr>
          </w:p>
        </w:tc>
        <w:tc>
          <w:tcPr>
            <w:tcW w:w="3627" w:type="dxa"/>
          </w:tcPr>
          <w:p w14:paraId="611C0968">
            <w:pPr>
              <w:pStyle w:val="12"/>
              <w:ind w:firstLine="0"/>
              <w:rPr>
                <w:rFonts w:hint="eastAsia" w:ascii="宋体" w:hAnsi="宋体" w:eastAsia="宋体" w:cs="宋体"/>
                <w:color w:val="auto"/>
                <w:szCs w:val="21"/>
                <w:highlight w:val="none"/>
              </w:rPr>
            </w:pPr>
          </w:p>
        </w:tc>
        <w:tc>
          <w:tcPr>
            <w:tcW w:w="2927" w:type="dxa"/>
          </w:tcPr>
          <w:p w14:paraId="242FD440">
            <w:pPr>
              <w:pStyle w:val="12"/>
              <w:ind w:firstLine="0"/>
              <w:rPr>
                <w:rFonts w:hint="eastAsia" w:ascii="宋体" w:hAnsi="宋体" w:eastAsia="宋体" w:cs="宋体"/>
                <w:color w:val="auto"/>
                <w:szCs w:val="21"/>
                <w:highlight w:val="none"/>
              </w:rPr>
            </w:pPr>
          </w:p>
        </w:tc>
      </w:tr>
      <w:tr w14:paraId="7B2EBEA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78" w:hRule="atLeast"/>
          <w:jc w:val="center"/>
        </w:trPr>
        <w:tc>
          <w:tcPr>
            <w:tcW w:w="2045" w:type="dxa"/>
          </w:tcPr>
          <w:p w14:paraId="74D6F0AC">
            <w:pPr>
              <w:pStyle w:val="12"/>
              <w:ind w:firstLine="0"/>
              <w:rPr>
                <w:rFonts w:hint="eastAsia" w:ascii="宋体" w:hAnsi="宋体" w:eastAsia="宋体" w:cs="宋体"/>
                <w:color w:val="auto"/>
                <w:szCs w:val="21"/>
                <w:highlight w:val="none"/>
              </w:rPr>
            </w:pPr>
          </w:p>
        </w:tc>
        <w:tc>
          <w:tcPr>
            <w:tcW w:w="3627" w:type="dxa"/>
          </w:tcPr>
          <w:p w14:paraId="319A9B23">
            <w:pPr>
              <w:pStyle w:val="12"/>
              <w:ind w:firstLine="0"/>
              <w:rPr>
                <w:rFonts w:hint="eastAsia" w:ascii="宋体" w:hAnsi="宋体" w:eastAsia="宋体" w:cs="宋体"/>
                <w:color w:val="auto"/>
                <w:szCs w:val="21"/>
                <w:highlight w:val="none"/>
              </w:rPr>
            </w:pPr>
          </w:p>
        </w:tc>
        <w:tc>
          <w:tcPr>
            <w:tcW w:w="2927" w:type="dxa"/>
          </w:tcPr>
          <w:p w14:paraId="2F36647B">
            <w:pPr>
              <w:pStyle w:val="12"/>
              <w:ind w:firstLine="0"/>
              <w:rPr>
                <w:rFonts w:hint="eastAsia" w:ascii="宋体" w:hAnsi="宋体" w:eastAsia="宋体" w:cs="宋体"/>
                <w:color w:val="auto"/>
                <w:szCs w:val="21"/>
                <w:highlight w:val="none"/>
              </w:rPr>
            </w:pPr>
          </w:p>
        </w:tc>
      </w:tr>
      <w:tr w14:paraId="056E9A2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43" w:hRule="atLeast"/>
          <w:jc w:val="center"/>
        </w:trPr>
        <w:tc>
          <w:tcPr>
            <w:tcW w:w="2045" w:type="dxa"/>
          </w:tcPr>
          <w:p w14:paraId="388532F0">
            <w:pPr>
              <w:pStyle w:val="12"/>
              <w:ind w:firstLine="0"/>
              <w:rPr>
                <w:rFonts w:hint="eastAsia" w:ascii="宋体" w:hAnsi="宋体" w:eastAsia="宋体" w:cs="宋体"/>
                <w:color w:val="auto"/>
                <w:szCs w:val="21"/>
                <w:highlight w:val="none"/>
              </w:rPr>
            </w:pPr>
          </w:p>
        </w:tc>
        <w:tc>
          <w:tcPr>
            <w:tcW w:w="3627" w:type="dxa"/>
          </w:tcPr>
          <w:p w14:paraId="5A37D60B">
            <w:pPr>
              <w:pStyle w:val="12"/>
              <w:ind w:firstLine="0"/>
              <w:rPr>
                <w:rFonts w:hint="eastAsia" w:ascii="宋体" w:hAnsi="宋体" w:eastAsia="宋体" w:cs="宋体"/>
                <w:color w:val="auto"/>
                <w:szCs w:val="21"/>
                <w:highlight w:val="none"/>
              </w:rPr>
            </w:pPr>
          </w:p>
        </w:tc>
        <w:tc>
          <w:tcPr>
            <w:tcW w:w="2927" w:type="dxa"/>
          </w:tcPr>
          <w:p w14:paraId="2022EAED">
            <w:pPr>
              <w:pStyle w:val="12"/>
              <w:ind w:firstLine="0"/>
              <w:rPr>
                <w:rFonts w:hint="eastAsia" w:ascii="宋体" w:hAnsi="宋体" w:eastAsia="宋体" w:cs="宋体"/>
                <w:color w:val="auto"/>
                <w:szCs w:val="21"/>
                <w:highlight w:val="none"/>
              </w:rPr>
            </w:pPr>
          </w:p>
        </w:tc>
      </w:tr>
      <w:tr w14:paraId="7D12A17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78" w:hRule="atLeast"/>
          <w:jc w:val="center"/>
        </w:trPr>
        <w:tc>
          <w:tcPr>
            <w:tcW w:w="2045" w:type="dxa"/>
          </w:tcPr>
          <w:p w14:paraId="6F06E051">
            <w:pPr>
              <w:pStyle w:val="12"/>
              <w:ind w:firstLine="0"/>
              <w:rPr>
                <w:rFonts w:hint="eastAsia" w:ascii="宋体" w:hAnsi="宋体" w:eastAsia="宋体" w:cs="宋体"/>
                <w:color w:val="auto"/>
                <w:szCs w:val="21"/>
                <w:highlight w:val="none"/>
              </w:rPr>
            </w:pPr>
          </w:p>
        </w:tc>
        <w:tc>
          <w:tcPr>
            <w:tcW w:w="3627" w:type="dxa"/>
          </w:tcPr>
          <w:p w14:paraId="69B68EB0">
            <w:pPr>
              <w:pStyle w:val="12"/>
              <w:ind w:firstLine="0"/>
              <w:rPr>
                <w:rFonts w:hint="eastAsia" w:ascii="宋体" w:hAnsi="宋体" w:eastAsia="宋体" w:cs="宋体"/>
                <w:color w:val="auto"/>
                <w:szCs w:val="21"/>
                <w:highlight w:val="none"/>
              </w:rPr>
            </w:pPr>
          </w:p>
        </w:tc>
        <w:tc>
          <w:tcPr>
            <w:tcW w:w="2927" w:type="dxa"/>
          </w:tcPr>
          <w:p w14:paraId="0DBDBAD1">
            <w:pPr>
              <w:pStyle w:val="12"/>
              <w:ind w:firstLine="0"/>
              <w:rPr>
                <w:rFonts w:hint="eastAsia" w:ascii="宋体" w:hAnsi="宋体" w:eastAsia="宋体" w:cs="宋体"/>
                <w:color w:val="auto"/>
                <w:szCs w:val="21"/>
                <w:highlight w:val="none"/>
              </w:rPr>
            </w:pPr>
          </w:p>
        </w:tc>
      </w:tr>
      <w:tr w14:paraId="63E93A3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78" w:hRule="atLeast"/>
          <w:jc w:val="center"/>
        </w:trPr>
        <w:tc>
          <w:tcPr>
            <w:tcW w:w="2045" w:type="dxa"/>
          </w:tcPr>
          <w:p w14:paraId="162CE927">
            <w:pPr>
              <w:pStyle w:val="12"/>
              <w:ind w:firstLine="0"/>
              <w:rPr>
                <w:rFonts w:hint="eastAsia" w:ascii="宋体" w:hAnsi="宋体" w:eastAsia="宋体" w:cs="宋体"/>
                <w:color w:val="auto"/>
                <w:szCs w:val="21"/>
                <w:highlight w:val="none"/>
              </w:rPr>
            </w:pPr>
          </w:p>
        </w:tc>
        <w:tc>
          <w:tcPr>
            <w:tcW w:w="3627" w:type="dxa"/>
          </w:tcPr>
          <w:p w14:paraId="35AD941F">
            <w:pPr>
              <w:pStyle w:val="12"/>
              <w:ind w:firstLine="0"/>
              <w:rPr>
                <w:rFonts w:hint="eastAsia" w:ascii="宋体" w:hAnsi="宋体" w:eastAsia="宋体" w:cs="宋体"/>
                <w:color w:val="auto"/>
                <w:szCs w:val="21"/>
                <w:highlight w:val="none"/>
              </w:rPr>
            </w:pPr>
          </w:p>
        </w:tc>
        <w:tc>
          <w:tcPr>
            <w:tcW w:w="2927" w:type="dxa"/>
          </w:tcPr>
          <w:p w14:paraId="6903C1C2">
            <w:pPr>
              <w:pStyle w:val="12"/>
              <w:ind w:firstLine="0"/>
              <w:rPr>
                <w:rFonts w:hint="eastAsia" w:ascii="宋体" w:hAnsi="宋体" w:eastAsia="宋体" w:cs="宋体"/>
                <w:color w:val="auto"/>
                <w:szCs w:val="21"/>
                <w:highlight w:val="none"/>
              </w:rPr>
            </w:pPr>
          </w:p>
        </w:tc>
      </w:tr>
      <w:tr w14:paraId="0042BAD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43" w:hRule="atLeast"/>
          <w:jc w:val="center"/>
        </w:trPr>
        <w:tc>
          <w:tcPr>
            <w:tcW w:w="2045" w:type="dxa"/>
          </w:tcPr>
          <w:p w14:paraId="792B0D70">
            <w:pPr>
              <w:pStyle w:val="12"/>
              <w:ind w:firstLine="0"/>
              <w:rPr>
                <w:rFonts w:hint="eastAsia" w:ascii="宋体" w:hAnsi="宋体" w:eastAsia="宋体" w:cs="宋体"/>
                <w:color w:val="auto"/>
                <w:szCs w:val="21"/>
                <w:highlight w:val="none"/>
              </w:rPr>
            </w:pPr>
          </w:p>
        </w:tc>
        <w:tc>
          <w:tcPr>
            <w:tcW w:w="3627" w:type="dxa"/>
          </w:tcPr>
          <w:p w14:paraId="63F978CE">
            <w:pPr>
              <w:pStyle w:val="12"/>
              <w:ind w:firstLine="0"/>
              <w:rPr>
                <w:rFonts w:hint="eastAsia" w:ascii="宋体" w:hAnsi="宋体" w:eastAsia="宋体" w:cs="宋体"/>
                <w:color w:val="auto"/>
                <w:szCs w:val="21"/>
                <w:highlight w:val="none"/>
              </w:rPr>
            </w:pPr>
          </w:p>
        </w:tc>
        <w:tc>
          <w:tcPr>
            <w:tcW w:w="2927" w:type="dxa"/>
          </w:tcPr>
          <w:p w14:paraId="20D0B8C5">
            <w:pPr>
              <w:pStyle w:val="12"/>
              <w:ind w:firstLine="0"/>
              <w:rPr>
                <w:rFonts w:hint="eastAsia" w:ascii="宋体" w:hAnsi="宋体" w:eastAsia="宋体" w:cs="宋体"/>
                <w:color w:val="auto"/>
                <w:szCs w:val="21"/>
                <w:highlight w:val="none"/>
              </w:rPr>
            </w:pPr>
          </w:p>
        </w:tc>
      </w:tr>
      <w:tr w14:paraId="2702454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78" w:hRule="atLeast"/>
          <w:jc w:val="center"/>
        </w:trPr>
        <w:tc>
          <w:tcPr>
            <w:tcW w:w="2045" w:type="dxa"/>
          </w:tcPr>
          <w:p w14:paraId="0E4D7B45">
            <w:pPr>
              <w:pStyle w:val="12"/>
              <w:ind w:firstLine="0"/>
              <w:rPr>
                <w:rFonts w:hint="eastAsia" w:ascii="宋体" w:hAnsi="宋体" w:eastAsia="宋体" w:cs="宋体"/>
                <w:color w:val="auto"/>
                <w:szCs w:val="21"/>
                <w:highlight w:val="none"/>
              </w:rPr>
            </w:pPr>
          </w:p>
        </w:tc>
        <w:tc>
          <w:tcPr>
            <w:tcW w:w="3627" w:type="dxa"/>
          </w:tcPr>
          <w:p w14:paraId="414B2EF0">
            <w:pPr>
              <w:pStyle w:val="12"/>
              <w:ind w:firstLine="0"/>
              <w:rPr>
                <w:rFonts w:hint="eastAsia" w:ascii="宋体" w:hAnsi="宋体" w:eastAsia="宋体" w:cs="宋体"/>
                <w:color w:val="auto"/>
                <w:szCs w:val="21"/>
                <w:highlight w:val="none"/>
              </w:rPr>
            </w:pPr>
          </w:p>
        </w:tc>
        <w:tc>
          <w:tcPr>
            <w:tcW w:w="2927" w:type="dxa"/>
          </w:tcPr>
          <w:p w14:paraId="3D2342F0">
            <w:pPr>
              <w:pStyle w:val="12"/>
              <w:ind w:firstLine="0"/>
              <w:rPr>
                <w:rFonts w:hint="eastAsia" w:ascii="宋体" w:hAnsi="宋体" w:eastAsia="宋体" w:cs="宋体"/>
                <w:color w:val="auto"/>
                <w:szCs w:val="21"/>
                <w:highlight w:val="none"/>
              </w:rPr>
            </w:pPr>
          </w:p>
        </w:tc>
      </w:tr>
      <w:tr w14:paraId="27FEF1D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78" w:hRule="atLeast"/>
          <w:jc w:val="center"/>
        </w:trPr>
        <w:tc>
          <w:tcPr>
            <w:tcW w:w="2045" w:type="dxa"/>
          </w:tcPr>
          <w:p w14:paraId="397549CF">
            <w:pPr>
              <w:pStyle w:val="12"/>
              <w:ind w:firstLine="0"/>
              <w:rPr>
                <w:rFonts w:hint="eastAsia" w:ascii="宋体" w:hAnsi="宋体" w:eastAsia="宋体" w:cs="宋体"/>
                <w:color w:val="auto"/>
                <w:szCs w:val="21"/>
                <w:highlight w:val="none"/>
              </w:rPr>
            </w:pPr>
          </w:p>
        </w:tc>
        <w:tc>
          <w:tcPr>
            <w:tcW w:w="3627" w:type="dxa"/>
          </w:tcPr>
          <w:p w14:paraId="07E9118A">
            <w:pPr>
              <w:pStyle w:val="12"/>
              <w:ind w:firstLine="0"/>
              <w:rPr>
                <w:rFonts w:hint="eastAsia" w:ascii="宋体" w:hAnsi="宋体" w:eastAsia="宋体" w:cs="宋体"/>
                <w:color w:val="auto"/>
                <w:szCs w:val="21"/>
                <w:highlight w:val="none"/>
              </w:rPr>
            </w:pPr>
          </w:p>
        </w:tc>
        <w:tc>
          <w:tcPr>
            <w:tcW w:w="2927" w:type="dxa"/>
          </w:tcPr>
          <w:p w14:paraId="4194D13C">
            <w:pPr>
              <w:pStyle w:val="12"/>
              <w:ind w:firstLine="0"/>
              <w:rPr>
                <w:rFonts w:hint="eastAsia" w:ascii="宋体" w:hAnsi="宋体" w:eastAsia="宋体" w:cs="宋体"/>
                <w:color w:val="auto"/>
                <w:szCs w:val="21"/>
                <w:highlight w:val="none"/>
              </w:rPr>
            </w:pPr>
          </w:p>
        </w:tc>
      </w:tr>
      <w:tr w14:paraId="5AB3F04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78" w:hRule="atLeast"/>
          <w:jc w:val="center"/>
        </w:trPr>
        <w:tc>
          <w:tcPr>
            <w:tcW w:w="2045" w:type="dxa"/>
          </w:tcPr>
          <w:p w14:paraId="68FFE80A">
            <w:pPr>
              <w:pStyle w:val="12"/>
              <w:ind w:firstLine="0"/>
              <w:rPr>
                <w:rFonts w:hint="eastAsia" w:ascii="宋体" w:hAnsi="宋体" w:eastAsia="宋体" w:cs="宋体"/>
                <w:color w:val="auto"/>
                <w:szCs w:val="21"/>
                <w:highlight w:val="none"/>
              </w:rPr>
            </w:pPr>
          </w:p>
        </w:tc>
        <w:tc>
          <w:tcPr>
            <w:tcW w:w="3627" w:type="dxa"/>
          </w:tcPr>
          <w:p w14:paraId="7C06ACC3">
            <w:pPr>
              <w:pStyle w:val="12"/>
              <w:ind w:firstLine="0"/>
              <w:rPr>
                <w:rFonts w:hint="eastAsia" w:ascii="宋体" w:hAnsi="宋体" w:eastAsia="宋体" w:cs="宋体"/>
                <w:color w:val="auto"/>
                <w:szCs w:val="21"/>
                <w:highlight w:val="none"/>
              </w:rPr>
            </w:pPr>
          </w:p>
        </w:tc>
        <w:tc>
          <w:tcPr>
            <w:tcW w:w="2927" w:type="dxa"/>
          </w:tcPr>
          <w:p w14:paraId="3A0F58A5">
            <w:pPr>
              <w:pStyle w:val="12"/>
              <w:ind w:firstLine="0"/>
              <w:rPr>
                <w:rFonts w:hint="eastAsia" w:ascii="宋体" w:hAnsi="宋体" w:eastAsia="宋体" w:cs="宋体"/>
                <w:color w:val="auto"/>
                <w:szCs w:val="21"/>
                <w:highlight w:val="none"/>
              </w:rPr>
            </w:pPr>
          </w:p>
        </w:tc>
      </w:tr>
      <w:tr w14:paraId="3E7E28E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74" w:hRule="atLeast"/>
          <w:jc w:val="center"/>
        </w:trPr>
        <w:tc>
          <w:tcPr>
            <w:tcW w:w="2045" w:type="dxa"/>
          </w:tcPr>
          <w:p w14:paraId="6EBE97E5">
            <w:pPr>
              <w:pStyle w:val="12"/>
              <w:ind w:firstLine="0"/>
              <w:rPr>
                <w:rFonts w:hint="eastAsia" w:ascii="宋体" w:hAnsi="宋体" w:eastAsia="宋体" w:cs="宋体"/>
                <w:color w:val="auto"/>
                <w:szCs w:val="21"/>
                <w:highlight w:val="none"/>
              </w:rPr>
            </w:pPr>
          </w:p>
        </w:tc>
        <w:tc>
          <w:tcPr>
            <w:tcW w:w="3627" w:type="dxa"/>
          </w:tcPr>
          <w:p w14:paraId="5DAB98E7">
            <w:pPr>
              <w:pStyle w:val="12"/>
              <w:ind w:firstLine="0"/>
              <w:rPr>
                <w:rFonts w:hint="eastAsia" w:ascii="宋体" w:hAnsi="宋体" w:eastAsia="宋体" w:cs="宋体"/>
                <w:color w:val="auto"/>
                <w:szCs w:val="21"/>
                <w:highlight w:val="none"/>
              </w:rPr>
            </w:pPr>
          </w:p>
        </w:tc>
        <w:tc>
          <w:tcPr>
            <w:tcW w:w="2927" w:type="dxa"/>
          </w:tcPr>
          <w:p w14:paraId="026DDD34">
            <w:pPr>
              <w:pStyle w:val="12"/>
              <w:ind w:firstLine="0"/>
              <w:rPr>
                <w:rFonts w:hint="eastAsia" w:ascii="宋体" w:hAnsi="宋体" w:eastAsia="宋体" w:cs="宋体"/>
                <w:color w:val="auto"/>
                <w:szCs w:val="21"/>
                <w:highlight w:val="none"/>
              </w:rPr>
            </w:pPr>
          </w:p>
        </w:tc>
      </w:tr>
    </w:tbl>
    <w:p w14:paraId="2F02E20E">
      <w:pPr>
        <w:widowControl/>
        <w:jc w:val="left"/>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说明：</w:t>
      </w:r>
    </w:p>
    <w:p w14:paraId="649E5AD5">
      <w:pPr>
        <w:widowControl/>
        <w:jc w:val="left"/>
        <w:rPr>
          <w:rFonts w:hint="eastAsia" w:ascii="宋体" w:hAnsi="宋体" w:eastAsia="宋体" w:cs="宋体"/>
          <w:b/>
          <w:bCs/>
          <w:color w:val="auto"/>
          <w:sz w:val="24"/>
          <w:highlight w:val="none"/>
          <w:lang w:val="zh-CN"/>
        </w:rPr>
      </w:pPr>
      <w:r>
        <w:rPr>
          <w:rFonts w:hint="eastAsia" w:ascii="宋体" w:hAnsi="宋体" w:eastAsia="宋体" w:cs="宋体"/>
          <w:b/>
          <w:bCs/>
          <w:color w:val="auto"/>
          <w:sz w:val="24"/>
          <w:highlight w:val="none"/>
        </w:rPr>
        <w:t>1、</w:t>
      </w:r>
      <w:r>
        <w:rPr>
          <w:rFonts w:hint="eastAsia" w:ascii="宋体" w:hAnsi="宋体" w:eastAsia="宋体" w:cs="宋体"/>
          <w:b/>
          <w:bCs/>
          <w:color w:val="auto"/>
          <w:sz w:val="24"/>
          <w:highlight w:val="none"/>
          <w:lang w:val="zh-CN"/>
        </w:rPr>
        <w:t>提供自20</w:t>
      </w:r>
      <w:r>
        <w:rPr>
          <w:rFonts w:hint="eastAsia" w:ascii="宋体" w:hAnsi="宋体" w:eastAsia="宋体" w:cs="宋体"/>
          <w:b/>
          <w:bCs/>
          <w:color w:val="auto"/>
          <w:sz w:val="24"/>
          <w:highlight w:val="none"/>
        </w:rPr>
        <w:t>22</w:t>
      </w:r>
      <w:r>
        <w:rPr>
          <w:rFonts w:hint="eastAsia" w:ascii="宋体" w:hAnsi="宋体" w:eastAsia="宋体" w:cs="宋体"/>
          <w:b/>
          <w:bCs/>
          <w:color w:val="auto"/>
          <w:sz w:val="24"/>
          <w:highlight w:val="none"/>
          <w:lang w:val="zh-CN"/>
        </w:rPr>
        <w:t>年</w:t>
      </w:r>
      <w:r>
        <w:rPr>
          <w:rFonts w:hint="eastAsia" w:ascii="宋体" w:hAnsi="宋体" w:eastAsia="宋体" w:cs="宋体"/>
          <w:b/>
          <w:bCs/>
          <w:color w:val="auto"/>
          <w:sz w:val="24"/>
          <w:highlight w:val="none"/>
        </w:rPr>
        <w:t>1</w:t>
      </w:r>
      <w:r>
        <w:rPr>
          <w:rFonts w:hint="eastAsia" w:ascii="宋体" w:hAnsi="宋体" w:eastAsia="宋体" w:cs="宋体"/>
          <w:b/>
          <w:bCs/>
          <w:color w:val="auto"/>
          <w:sz w:val="24"/>
          <w:highlight w:val="none"/>
          <w:lang w:val="zh-CN"/>
        </w:rPr>
        <w:t>月1日至</w:t>
      </w:r>
      <w:r>
        <w:rPr>
          <w:rFonts w:hint="eastAsia" w:ascii="宋体" w:hAnsi="宋体" w:eastAsia="宋体" w:cs="宋体"/>
          <w:b/>
          <w:bCs/>
          <w:color w:val="auto"/>
          <w:sz w:val="24"/>
          <w:highlight w:val="none"/>
        </w:rPr>
        <w:t>今</w:t>
      </w:r>
      <w:r>
        <w:rPr>
          <w:rFonts w:hint="eastAsia" w:ascii="宋体" w:hAnsi="宋体" w:eastAsia="宋体" w:cs="宋体"/>
          <w:b/>
          <w:bCs/>
          <w:color w:val="auto"/>
          <w:sz w:val="24"/>
          <w:highlight w:val="none"/>
          <w:lang w:val="zh-CN"/>
        </w:rPr>
        <w:t>类似业绩证明材料。类似业绩是指与采购项目在类型等方面相同或相近的项目；</w:t>
      </w:r>
    </w:p>
    <w:p w14:paraId="5426383F">
      <w:pPr>
        <w:widowControl/>
        <w:jc w:val="left"/>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2、后附合同复印件。</w:t>
      </w:r>
    </w:p>
    <w:p w14:paraId="17BF54D9">
      <w:pPr>
        <w:widowControl/>
        <w:jc w:val="left"/>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3、供应商未按上述要求提供、填写的，评审时不予加分；</w:t>
      </w:r>
    </w:p>
    <w:p w14:paraId="38A3BE2D">
      <w:pPr>
        <w:widowControl/>
        <w:jc w:val="left"/>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4、供应商应如实列出以上情况，如有隐瞒，一经查实将导致其响应文件被拒绝。</w:t>
      </w:r>
    </w:p>
    <w:p w14:paraId="547DCDE6">
      <w:pPr>
        <w:widowControl/>
        <w:spacing w:line="440" w:lineRule="exact"/>
        <w:ind w:firstLine="480" w:firstLineChars="200"/>
        <w:jc w:val="left"/>
        <w:rPr>
          <w:rFonts w:hint="eastAsia" w:ascii="宋体" w:hAnsi="宋体" w:eastAsia="宋体" w:cs="宋体"/>
          <w:color w:val="auto"/>
          <w:sz w:val="24"/>
          <w:highlight w:val="none"/>
        </w:rPr>
      </w:pPr>
    </w:p>
    <w:p w14:paraId="7BD2DE9E">
      <w:pPr>
        <w:widowControl/>
        <w:spacing w:line="600" w:lineRule="auto"/>
        <w:ind w:firstLine="480" w:firstLineChars="200"/>
        <w:jc w:val="left"/>
        <w:rPr>
          <w:rFonts w:hint="eastAsia" w:ascii="宋体" w:hAnsi="宋体" w:eastAsia="宋体" w:cs="宋体"/>
          <w:color w:val="auto"/>
          <w:sz w:val="24"/>
          <w:szCs w:val="20"/>
          <w:highlight w:val="none"/>
        </w:rPr>
      </w:pPr>
    </w:p>
    <w:p w14:paraId="5AC74B4D">
      <w:pPr>
        <w:widowControl/>
        <w:spacing w:line="600" w:lineRule="auto"/>
        <w:ind w:firstLine="480" w:firstLineChars="200"/>
        <w:jc w:val="left"/>
        <w:rPr>
          <w:rFonts w:hint="eastAsia" w:ascii="宋体" w:hAnsi="宋体" w:eastAsia="宋体" w:cs="宋体"/>
          <w:color w:val="auto"/>
          <w:sz w:val="24"/>
          <w:szCs w:val="20"/>
          <w:highlight w:val="none"/>
        </w:rPr>
      </w:pPr>
      <w:r>
        <w:rPr>
          <w:rFonts w:hint="eastAsia" w:ascii="宋体" w:hAnsi="宋体" w:eastAsia="宋体" w:cs="宋体"/>
          <w:color w:val="auto"/>
          <w:sz w:val="24"/>
          <w:szCs w:val="20"/>
          <w:highlight w:val="none"/>
        </w:rPr>
        <w:t>供 应 商：                              （盖单位章）</w:t>
      </w:r>
    </w:p>
    <w:p w14:paraId="165307B9">
      <w:pPr>
        <w:widowControl/>
        <w:spacing w:line="600" w:lineRule="auto"/>
        <w:ind w:firstLine="480" w:firstLineChars="200"/>
        <w:jc w:val="left"/>
        <w:rPr>
          <w:rFonts w:hint="eastAsia" w:ascii="宋体" w:hAnsi="宋体" w:eastAsia="宋体" w:cs="宋体"/>
          <w:color w:val="auto"/>
          <w:sz w:val="24"/>
          <w:szCs w:val="20"/>
          <w:highlight w:val="none"/>
        </w:rPr>
      </w:pPr>
      <w:r>
        <w:rPr>
          <w:rFonts w:hint="eastAsia" w:ascii="宋体" w:hAnsi="宋体" w:eastAsia="宋体" w:cs="宋体"/>
          <w:color w:val="auto"/>
          <w:sz w:val="24"/>
          <w:szCs w:val="20"/>
          <w:highlight w:val="none"/>
        </w:rPr>
        <w:t>法定代表人或委托代理人：                （签字）</w:t>
      </w:r>
    </w:p>
    <w:p w14:paraId="0A26C096">
      <w:pPr>
        <w:ind w:firstLine="480" w:firstLineChars="200"/>
        <w:rPr>
          <w:rFonts w:hint="eastAsia" w:ascii="宋体" w:hAnsi="宋体" w:eastAsia="宋体" w:cs="宋体"/>
          <w:b/>
          <w:bCs/>
          <w:color w:val="auto"/>
          <w:sz w:val="28"/>
          <w:szCs w:val="28"/>
          <w:highlight w:val="none"/>
        </w:rPr>
      </w:pPr>
      <w:r>
        <w:rPr>
          <w:rFonts w:hint="eastAsia" w:ascii="宋体" w:hAnsi="宋体" w:eastAsia="宋体" w:cs="宋体"/>
          <w:color w:val="auto"/>
          <w:sz w:val="24"/>
          <w:szCs w:val="20"/>
          <w:highlight w:val="none"/>
        </w:rPr>
        <w:t>日    期:     年  月  日</w:t>
      </w:r>
    </w:p>
    <w:p w14:paraId="77CFDBC4">
      <w:pPr>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rPr>
        <w:br w:type="page"/>
      </w:r>
    </w:p>
    <w:p w14:paraId="5BC45161">
      <w:pPr>
        <w:jc w:val="center"/>
        <w:rPr>
          <w:rFonts w:hint="eastAsia" w:ascii="宋体" w:hAnsi="宋体" w:eastAsia="宋体" w:cs="宋体"/>
          <w:b/>
          <w:bCs/>
          <w:color w:val="auto"/>
          <w:sz w:val="28"/>
          <w:highlight w:val="none"/>
        </w:rPr>
      </w:pPr>
      <w:r>
        <w:rPr>
          <w:rFonts w:hint="eastAsia" w:ascii="宋体" w:hAnsi="宋体" w:eastAsia="宋体" w:cs="宋体"/>
          <w:b/>
          <w:bCs/>
          <w:color w:val="auto"/>
          <w:sz w:val="28"/>
          <w:szCs w:val="28"/>
          <w:highlight w:val="none"/>
        </w:rPr>
        <w:t>十一、供应商拒绝政府采购领域商业贿赂承诺书</w:t>
      </w:r>
    </w:p>
    <w:p w14:paraId="3C4A1C03">
      <w:pPr>
        <w:spacing w:line="500" w:lineRule="exact"/>
        <w:ind w:firstLine="480" w:firstLineChars="200"/>
        <w:jc w:val="left"/>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 xml:space="preserve">为响应党中央、国务院关于治理政府采购领域商业贿赂行为的号召，我单位在此庄严承诺： </w:t>
      </w:r>
    </w:p>
    <w:p w14:paraId="66AC8218">
      <w:pPr>
        <w:spacing w:line="500" w:lineRule="exact"/>
        <w:ind w:firstLine="480" w:firstLineChars="200"/>
        <w:jc w:val="left"/>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 xml:space="preserve">1、在参与政府采购活动中遵纪守法、诚信经营、公平竞标。 </w:t>
      </w:r>
    </w:p>
    <w:p w14:paraId="1354F973">
      <w:pPr>
        <w:spacing w:line="500" w:lineRule="exact"/>
        <w:ind w:firstLine="480" w:firstLineChars="200"/>
        <w:jc w:val="left"/>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2、不向政府采购人、采购代理机构和政府采购评审专家进行任何形式的商业贿赂以谋取交易机会。</w:t>
      </w:r>
    </w:p>
    <w:p w14:paraId="5B33158C">
      <w:pPr>
        <w:spacing w:line="500" w:lineRule="exact"/>
        <w:ind w:firstLine="480" w:firstLineChars="200"/>
        <w:jc w:val="left"/>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 xml:space="preserve">4、不向政府采购代理机构和采购人提供虚假资质文件或采用虚假应标方式参与政府采购市场竞争并谋取中标、成交。 </w:t>
      </w:r>
    </w:p>
    <w:p w14:paraId="0FA41D9C">
      <w:pPr>
        <w:spacing w:line="500" w:lineRule="exact"/>
        <w:ind w:firstLine="480" w:firstLineChars="200"/>
        <w:jc w:val="left"/>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 xml:space="preserve">4、不采取“围标、陪标”等商业欺诈手段获得政府采购定单。 </w:t>
      </w:r>
    </w:p>
    <w:p w14:paraId="75DE4CEC">
      <w:pPr>
        <w:spacing w:line="500" w:lineRule="exact"/>
        <w:ind w:firstLine="480" w:firstLineChars="200"/>
        <w:jc w:val="left"/>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 xml:space="preserve">5、不采取不正当手段低毁、排挤其他供应商。 </w:t>
      </w:r>
    </w:p>
    <w:p w14:paraId="3A02A5CB">
      <w:pPr>
        <w:spacing w:line="500" w:lineRule="exact"/>
        <w:ind w:firstLine="480" w:firstLineChars="200"/>
        <w:jc w:val="left"/>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 xml:space="preserve">6、不在提供商品和服务时“偷梁换柱、以次充好”损害采购人的合法权益。 </w:t>
      </w:r>
    </w:p>
    <w:p w14:paraId="5B8EDFDF">
      <w:pPr>
        <w:spacing w:line="500" w:lineRule="exact"/>
        <w:ind w:firstLine="480" w:firstLineChars="200"/>
        <w:jc w:val="left"/>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 xml:space="preserve">7、不与采购人、采购代理机构政府采购评审专家或其它供应商恶意串通，进行质疑和投诉，维护政府采购市场秩序。 </w:t>
      </w:r>
    </w:p>
    <w:p w14:paraId="13F9383C">
      <w:pPr>
        <w:spacing w:line="500" w:lineRule="exact"/>
        <w:ind w:firstLine="480" w:firstLineChars="200"/>
        <w:jc w:val="left"/>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 xml:space="preserve">8、尊重和接受政府采购监督管理部门的监督和政府采购代理机构招标采购要求，承担因违约行为给采购人造成的损失。 </w:t>
      </w:r>
      <w:r>
        <w:rPr>
          <w:rFonts w:hint="eastAsia" w:ascii="宋体" w:hAnsi="宋体" w:eastAsia="宋体" w:cs="宋体"/>
          <w:bCs/>
          <w:color w:val="auto"/>
          <w:sz w:val="24"/>
          <w:highlight w:val="none"/>
        </w:rPr>
        <w:br w:type="textWrapping"/>
      </w:r>
      <w:r>
        <w:rPr>
          <w:rFonts w:hint="eastAsia" w:ascii="宋体" w:hAnsi="宋体" w:eastAsia="宋体" w:cs="宋体"/>
          <w:bCs/>
          <w:color w:val="auto"/>
          <w:sz w:val="24"/>
          <w:highlight w:val="none"/>
        </w:rPr>
        <w:t xml:space="preserve">    9、不发生其他有悖于政府采购公开、公平、公正和诚信原则的行为。</w:t>
      </w:r>
      <w:r>
        <w:rPr>
          <w:rFonts w:hint="eastAsia" w:ascii="宋体" w:hAnsi="宋体" w:eastAsia="宋体" w:cs="宋体"/>
          <w:bCs/>
          <w:color w:val="auto"/>
          <w:sz w:val="24"/>
          <w:highlight w:val="none"/>
        </w:rPr>
        <w:br w:type="textWrapping"/>
      </w:r>
    </w:p>
    <w:p w14:paraId="26F84FB0">
      <w:pPr>
        <w:spacing w:line="460" w:lineRule="exact"/>
        <w:ind w:firstLine="480" w:firstLineChars="200"/>
        <w:jc w:val="left"/>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承诺单位：</w:t>
      </w:r>
      <w:r>
        <w:rPr>
          <w:rFonts w:hint="eastAsia" w:ascii="宋体" w:hAnsi="宋体" w:eastAsia="宋体" w:cs="宋体"/>
          <w:bCs/>
          <w:color w:val="auto"/>
          <w:sz w:val="24"/>
          <w:highlight w:val="none"/>
          <w:u w:val="single"/>
        </w:rPr>
        <w:t xml:space="preserve">　　                   </w:t>
      </w:r>
      <w:r>
        <w:rPr>
          <w:rFonts w:hint="eastAsia" w:ascii="宋体" w:hAnsi="宋体" w:eastAsia="宋体" w:cs="宋体"/>
          <w:bCs/>
          <w:color w:val="auto"/>
          <w:sz w:val="24"/>
          <w:highlight w:val="none"/>
        </w:rPr>
        <w:t xml:space="preserve">（盖章） </w:t>
      </w:r>
      <w:r>
        <w:rPr>
          <w:rFonts w:hint="eastAsia" w:ascii="宋体" w:hAnsi="宋体" w:eastAsia="宋体" w:cs="宋体"/>
          <w:bCs/>
          <w:color w:val="auto"/>
          <w:sz w:val="24"/>
          <w:highlight w:val="none"/>
        </w:rPr>
        <w:br w:type="textWrapping"/>
      </w:r>
      <w:r>
        <w:rPr>
          <w:rFonts w:hint="eastAsia" w:ascii="宋体" w:hAnsi="宋体" w:eastAsia="宋体" w:cs="宋体"/>
          <w:bCs/>
          <w:color w:val="auto"/>
          <w:sz w:val="24"/>
          <w:highlight w:val="none"/>
        </w:rPr>
        <w:t>  全权代表：</w:t>
      </w:r>
      <w:r>
        <w:rPr>
          <w:rFonts w:hint="eastAsia" w:ascii="宋体" w:hAnsi="宋体" w:eastAsia="宋体" w:cs="宋体"/>
          <w:bCs/>
          <w:color w:val="auto"/>
          <w:sz w:val="24"/>
          <w:highlight w:val="none"/>
          <w:u w:val="single"/>
        </w:rPr>
        <w:t xml:space="preserve">　　　　　     　　　  </w:t>
      </w:r>
      <w:r>
        <w:rPr>
          <w:rFonts w:hint="eastAsia" w:ascii="宋体" w:hAnsi="宋体" w:eastAsia="宋体" w:cs="宋体"/>
          <w:bCs/>
          <w:color w:val="auto"/>
          <w:sz w:val="24"/>
          <w:highlight w:val="none"/>
        </w:rPr>
        <w:t xml:space="preserve">（签字） </w:t>
      </w:r>
    </w:p>
    <w:p w14:paraId="50F33B67">
      <w:pPr>
        <w:spacing w:line="460" w:lineRule="exact"/>
        <w:ind w:firstLine="480" w:firstLineChars="200"/>
        <w:jc w:val="left"/>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地　　址：</w:t>
      </w:r>
      <w:r>
        <w:rPr>
          <w:rFonts w:hint="eastAsia" w:ascii="宋体" w:hAnsi="宋体" w:eastAsia="宋体" w:cs="宋体"/>
          <w:bCs/>
          <w:color w:val="auto"/>
          <w:sz w:val="24"/>
          <w:highlight w:val="none"/>
          <w:u w:val="single"/>
        </w:rPr>
        <w:t xml:space="preserve">                       </w:t>
      </w:r>
      <w:r>
        <w:rPr>
          <w:rFonts w:hint="eastAsia" w:ascii="宋体" w:hAnsi="宋体" w:eastAsia="宋体" w:cs="宋体"/>
          <w:bCs/>
          <w:color w:val="auto"/>
          <w:sz w:val="24"/>
          <w:highlight w:val="none"/>
        </w:rPr>
        <w:t xml:space="preserve">           </w:t>
      </w:r>
    </w:p>
    <w:p w14:paraId="51FF3B17">
      <w:pPr>
        <w:spacing w:line="460" w:lineRule="exact"/>
        <w:ind w:firstLine="480" w:firstLineChars="200"/>
        <w:jc w:val="left"/>
        <w:rPr>
          <w:rFonts w:hint="eastAsia" w:ascii="宋体" w:hAnsi="宋体" w:eastAsia="宋体" w:cs="宋体"/>
          <w:color w:val="auto"/>
          <w:sz w:val="22"/>
          <w:szCs w:val="22"/>
          <w:highlight w:val="none"/>
        </w:rPr>
      </w:pPr>
      <w:r>
        <w:rPr>
          <w:rFonts w:hint="eastAsia" w:ascii="宋体" w:hAnsi="宋体" w:eastAsia="宋体" w:cs="宋体"/>
          <w:bCs/>
          <w:color w:val="auto"/>
          <w:sz w:val="24"/>
          <w:highlight w:val="none"/>
        </w:rPr>
        <w:t>邮    编：</w:t>
      </w:r>
      <w:r>
        <w:rPr>
          <w:rFonts w:hint="eastAsia" w:ascii="宋体" w:hAnsi="宋体" w:eastAsia="宋体" w:cs="宋体"/>
          <w:bCs/>
          <w:color w:val="auto"/>
          <w:sz w:val="24"/>
          <w:highlight w:val="none"/>
          <w:u w:val="single"/>
        </w:rPr>
        <w:t xml:space="preserve">　　                   </w:t>
      </w:r>
      <w:r>
        <w:rPr>
          <w:rFonts w:hint="eastAsia" w:ascii="宋体" w:hAnsi="宋体" w:eastAsia="宋体" w:cs="宋体"/>
          <w:bCs/>
          <w:color w:val="auto"/>
          <w:sz w:val="24"/>
          <w:highlight w:val="none"/>
        </w:rPr>
        <w:t xml:space="preserve">      　　 </w:t>
      </w:r>
      <w:r>
        <w:rPr>
          <w:rFonts w:hint="eastAsia" w:ascii="宋体" w:hAnsi="宋体" w:eastAsia="宋体" w:cs="宋体"/>
          <w:bCs/>
          <w:color w:val="auto"/>
          <w:sz w:val="24"/>
          <w:highlight w:val="none"/>
        </w:rPr>
        <w:br w:type="textWrapping"/>
      </w:r>
      <w:r>
        <w:rPr>
          <w:rFonts w:hint="eastAsia" w:ascii="宋体" w:hAnsi="宋体" w:eastAsia="宋体" w:cs="宋体"/>
          <w:bCs/>
          <w:color w:val="auto"/>
          <w:sz w:val="24"/>
          <w:highlight w:val="none"/>
        </w:rPr>
        <w:t>  电　　话：</w:t>
      </w:r>
      <w:r>
        <w:rPr>
          <w:rFonts w:hint="eastAsia" w:ascii="宋体" w:hAnsi="宋体" w:eastAsia="宋体" w:cs="宋体"/>
          <w:bCs/>
          <w:color w:val="auto"/>
          <w:sz w:val="24"/>
          <w:highlight w:val="none"/>
          <w:u w:val="single"/>
        </w:rPr>
        <w:t xml:space="preserve">　　　                 </w:t>
      </w:r>
      <w:r>
        <w:rPr>
          <w:rFonts w:hint="eastAsia" w:ascii="宋体" w:hAnsi="宋体" w:eastAsia="宋体" w:cs="宋体"/>
          <w:bCs/>
          <w:color w:val="auto"/>
          <w:sz w:val="24"/>
          <w:highlight w:val="none"/>
        </w:rPr>
        <w:t xml:space="preserve">   　　　</w:t>
      </w:r>
      <w:r>
        <w:rPr>
          <w:rFonts w:hint="eastAsia" w:ascii="宋体" w:hAnsi="宋体" w:eastAsia="宋体" w:cs="宋体"/>
          <w:bCs/>
          <w:color w:val="auto"/>
          <w:sz w:val="24"/>
          <w:highlight w:val="none"/>
        </w:rPr>
        <w:br w:type="textWrapping"/>
      </w:r>
      <w:r>
        <w:rPr>
          <w:rFonts w:hint="eastAsia" w:ascii="宋体" w:hAnsi="宋体" w:eastAsia="宋体" w:cs="宋体"/>
          <w:color w:val="auto"/>
          <w:sz w:val="22"/>
          <w:szCs w:val="22"/>
          <w:highlight w:val="none"/>
        </w:rPr>
        <w:t xml:space="preserve">　　　　　　　　　　　　　　         </w:t>
      </w:r>
    </w:p>
    <w:p w14:paraId="7748490D">
      <w:pPr>
        <w:jc w:val="right"/>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年 　 　月 　　 日</w:t>
      </w:r>
    </w:p>
    <w:p w14:paraId="56933D40">
      <w:pPr>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br w:type="page"/>
      </w:r>
    </w:p>
    <w:p w14:paraId="76D83339">
      <w:pPr>
        <w:spacing w:line="360" w:lineRule="auto"/>
        <w:jc w:val="center"/>
        <w:outlineLvl w:val="9"/>
        <w:rPr>
          <w:rFonts w:hint="eastAsia" w:ascii="宋体" w:hAnsi="宋体" w:eastAsia="宋体" w:cs="宋体"/>
          <w:b/>
          <w:color w:val="auto"/>
          <w:sz w:val="32"/>
          <w:szCs w:val="32"/>
          <w:highlight w:val="none"/>
        </w:rPr>
      </w:pPr>
      <w:r>
        <w:rPr>
          <w:rFonts w:hint="eastAsia" w:ascii="宋体" w:hAnsi="宋体" w:eastAsia="宋体" w:cs="宋体"/>
          <w:b/>
          <w:color w:val="auto"/>
          <w:sz w:val="28"/>
          <w:szCs w:val="28"/>
          <w:highlight w:val="none"/>
        </w:rPr>
        <w:t>十二、</w:t>
      </w:r>
      <w:r>
        <w:rPr>
          <w:rFonts w:hint="eastAsia" w:ascii="宋体" w:hAnsi="宋体" w:eastAsia="宋体" w:cs="宋体"/>
          <w:b/>
          <w:color w:val="auto"/>
          <w:sz w:val="32"/>
          <w:szCs w:val="32"/>
          <w:highlight w:val="none"/>
        </w:rPr>
        <w:t>小</w:t>
      </w:r>
      <w:r>
        <w:rPr>
          <w:rFonts w:hint="eastAsia" w:ascii="宋体" w:hAnsi="宋体" w:cs="宋体"/>
          <w:b/>
          <w:color w:val="auto"/>
          <w:sz w:val="32"/>
          <w:szCs w:val="32"/>
          <w:highlight w:val="none"/>
          <w:lang w:val="en-US" w:eastAsia="zh-CN"/>
        </w:rPr>
        <w:t>微</w:t>
      </w:r>
      <w:r>
        <w:rPr>
          <w:rFonts w:hint="eastAsia" w:ascii="宋体" w:hAnsi="宋体" w:eastAsia="宋体" w:cs="宋体"/>
          <w:b/>
          <w:color w:val="auto"/>
          <w:sz w:val="32"/>
          <w:szCs w:val="32"/>
          <w:highlight w:val="none"/>
        </w:rPr>
        <w:t>企业声明函（工程、服务）</w:t>
      </w:r>
    </w:p>
    <w:p w14:paraId="550D41CD">
      <w:pPr>
        <w:spacing w:line="360" w:lineRule="auto"/>
        <w:ind w:firstLine="496" w:firstLineChars="200"/>
        <w:jc w:val="left"/>
        <w:outlineLvl w:val="9"/>
        <w:rPr>
          <w:rFonts w:hint="eastAsia" w:ascii="宋体" w:hAnsi="宋体" w:eastAsia="宋体" w:cs="宋体"/>
          <w:color w:val="auto"/>
          <w:spacing w:val="4"/>
          <w:sz w:val="24"/>
          <w:highlight w:val="none"/>
          <w:lang w:eastAsia="zh-CN"/>
        </w:rPr>
      </w:pPr>
    </w:p>
    <w:p w14:paraId="083A1A28">
      <w:pPr>
        <w:spacing w:line="360" w:lineRule="auto"/>
        <w:ind w:firstLine="496" w:firstLineChars="200"/>
        <w:jc w:val="left"/>
        <w:outlineLvl w:val="9"/>
        <w:rPr>
          <w:rFonts w:hint="eastAsia" w:ascii="宋体" w:hAnsi="宋体" w:eastAsia="宋体" w:cs="宋体"/>
          <w:color w:val="auto"/>
          <w:spacing w:val="4"/>
          <w:sz w:val="24"/>
          <w:highlight w:val="none"/>
        </w:rPr>
      </w:pPr>
      <w:r>
        <w:rPr>
          <w:rFonts w:hint="eastAsia" w:ascii="宋体" w:hAnsi="宋体" w:eastAsia="宋体" w:cs="宋体"/>
          <w:color w:val="auto"/>
          <w:spacing w:val="4"/>
          <w:sz w:val="24"/>
          <w:highlight w:val="none"/>
          <w:lang w:eastAsia="zh-CN"/>
        </w:rPr>
        <w:t>请各位投标商</w:t>
      </w:r>
      <w:r>
        <w:rPr>
          <w:rFonts w:hint="eastAsia" w:ascii="宋体" w:hAnsi="宋体" w:eastAsia="宋体" w:cs="宋体"/>
          <w:color w:val="auto"/>
          <w:spacing w:val="4"/>
          <w:sz w:val="24"/>
          <w:highlight w:val="none"/>
        </w:rPr>
        <w:t>根据实际情况提供，没有则不提供。投标人声明函将随结果公告一同公布，接受社会监督。</w:t>
      </w:r>
    </w:p>
    <w:p w14:paraId="2DC7FCBE">
      <w:pPr>
        <w:spacing w:line="360" w:lineRule="auto"/>
        <w:ind w:firstLine="496" w:firstLineChars="200"/>
        <w:jc w:val="left"/>
        <w:outlineLvl w:val="9"/>
        <w:rPr>
          <w:rFonts w:hint="eastAsia" w:ascii="宋体" w:hAnsi="宋体" w:eastAsia="宋体" w:cs="宋体"/>
          <w:color w:val="auto"/>
          <w:spacing w:val="4"/>
          <w:sz w:val="24"/>
          <w:highlight w:val="none"/>
        </w:rPr>
      </w:pPr>
    </w:p>
    <w:p w14:paraId="14E6083C">
      <w:pPr>
        <w:spacing w:line="360" w:lineRule="auto"/>
        <w:ind w:firstLine="496" w:firstLineChars="200"/>
        <w:jc w:val="left"/>
        <w:outlineLvl w:val="9"/>
        <w:rPr>
          <w:rFonts w:hint="eastAsia" w:ascii="宋体" w:hAnsi="宋体" w:eastAsia="宋体" w:cs="宋体"/>
          <w:color w:val="auto"/>
          <w:spacing w:val="4"/>
          <w:sz w:val="24"/>
          <w:highlight w:val="none"/>
        </w:rPr>
      </w:pPr>
      <w:r>
        <w:rPr>
          <w:rFonts w:hint="eastAsia" w:ascii="宋体" w:hAnsi="宋体" w:eastAsia="宋体" w:cs="宋体"/>
          <w:color w:val="auto"/>
          <w:spacing w:val="4"/>
          <w:sz w:val="24"/>
          <w:highlight w:val="none"/>
          <w:lang w:val="en-US" w:eastAsia="zh-CN"/>
        </w:rPr>
        <w:t>本公司（联合体）郑重声明，根据《政府采购促进中小企业发展管理办法》（财库﹝2020﹞46 号）的规定，本公司（联合体）参加</w:t>
      </w:r>
      <w:r>
        <w:rPr>
          <w:rFonts w:hint="eastAsia" w:ascii="宋体" w:hAnsi="宋体" w:eastAsia="宋体" w:cs="宋体"/>
          <w:i/>
          <w:iCs/>
          <w:color w:val="auto"/>
          <w:spacing w:val="4"/>
          <w:sz w:val="24"/>
          <w:highlight w:val="none"/>
          <w:u w:val="single"/>
          <w:lang w:val="en-US" w:eastAsia="zh-CN"/>
        </w:rPr>
        <w:t>（单位名称）</w:t>
      </w:r>
      <w:r>
        <w:rPr>
          <w:rFonts w:hint="eastAsia" w:ascii="宋体" w:hAnsi="宋体" w:eastAsia="宋体" w:cs="宋体"/>
          <w:color w:val="auto"/>
          <w:spacing w:val="4"/>
          <w:sz w:val="24"/>
          <w:highlight w:val="none"/>
          <w:lang w:val="en-US" w:eastAsia="zh-CN"/>
        </w:rPr>
        <w:t>的</w:t>
      </w:r>
      <w:r>
        <w:rPr>
          <w:rFonts w:hint="eastAsia" w:ascii="宋体" w:hAnsi="宋体" w:eastAsia="宋体" w:cs="宋体"/>
          <w:i/>
          <w:iCs/>
          <w:color w:val="auto"/>
          <w:spacing w:val="4"/>
          <w:sz w:val="24"/>
          <w:highlight w:val="none"/>
          <w:u w:val="single"/>
          <w:lang w:val="en-US" w:eastAsia="zh-CN"/>
        </w:rPr>
        <w:t>（项目名称）</w:t>
      </w:r>
      <w:r>
        <w:rPr>
          <w:rFonts w:hint="eastAsia" w:ascii="宋体" w:hAnsi="宋体" w:eastAsia="宋体" w:cs="宋体"/>
          <w:color w:val="auto"/>
          <w:spacing w:val="4"/>
          <w:sz w:val="24"/>
          <w:highlight w:val="none"/>
          <w:lang w:val="en-US" w:eastAsia="zh-CN"/>
        </w:rPr>
        <w:t>采购活动，工程的施工单位全部为符合政策要求的小</w:t>
      </w:r>
      <w:r>
        <w:rPr>
          <w:rFonts w:hint="eastAsia" w:ascii="宋体" w:hAnsi="宋体" w:cs="宋体"/>
          <w:color w:val="auto"/>
          <w:spacing w:val="4"/>
          <w:sz w:val="24"/>
          <w:highlight w:val="none"/>
          <w:lang w:val="en-US" w:eastAsia="zh-CN"/>
        </w:rPr>
        <w:t>微</w:t>
      </w:r>
      <w:r>
        <w:rPr>
          <w:rFonts w:hint="eastAsia" w:ascii="宋体" w:hAnsi="宋体" w:eastAsia="宋体" w:cs="宋体"/>
          <w:color w:val="auto"/>
          <w:spacing w:val="4"/>
          <w:sz w:val="24"/>
          <w:highlight w:val="none"/>
          <w:lang w:val="en-US" w:eastAsia="zh-CN"/>
        </w:rPr>
        <w:t>企业（或者：服务全部由符合政策要求的小</w:t>
      </w:r>
      <w:r>
        <w:rPr>
          <w:rFonts w:hint="eastAsia" w:ascii="宋体" w:hAnsi="宋体" w:cs="宋体"/>
          <w:color w:val="auto"/>
          <w:spacing w:val="4"/>
          <w:sz w:val="24"/>
          <w:highlight w:val="none"/>
          <w:lang w:val="en-US" w:eastAsia="zh-CN"/>
        </w:rPr>
        <w:t>微</w:t>
      </w:r>
      <w:r>
        <w:rPr>
          <w:rFonts w:hint="eastAsia" w:ascii="宋体" w:hAnsi="宋体" w:eastAsia="宋体" w:cs="宋体"/>
          <w:color w:val="auto"/>
          <w:spacing w:val="4"/>
          <w:sz w:val="24"/>
          <w:highlight w:val="none"/>
          <w:lang w:val="en-US" w:eastAsia="zh-CN"/>
        </w:rPr>
        <w:t xml:space="preserve">企业承接）。相关企业（含联合体中的中小企业、签订分包意向协议的中小企业）的具体情况如下： </w:t>
      </w:r>
    </w:p>
    <w:p w14:paraId="5BFB73BE">
      <w:pPr>
        <w:spacing w:line="360" w:lineRule="auto"/>
        <w:ind w:firstLine="496" w:firstLineChars="200"/>
        <w:jc w:val="left"/>
        <w:outlineLvl w:val="9"/>
        <w:rPr>
          <w:rFonts w:hint="eastAsia" w:ascii="宋体" w:hAnsi="宋体" w:eastAsia="宋体" w:cs="宋体"/>
          <w:color w:val="auto"/>
          <w:spacing w:val="4"/>
          <w:sz w:val="24"/>
          <w:highlight w:val="none"/>
        </w:rPr>
      </w:pPr>
      <w:r>
        <w:rPr>
          <w:rFonts w:hint="eastAsia" w:ascii="宋体" w:hAnsi="宋体" w:eastAsia="宋体" w:cs="宋体"/>
          <w:color w:val="auto"/>
          <w:spacing w:val="4"/>
          <w:sz w:val="24"/>
          <w:highlight w:val="none"/>
          <w:lang w:val="en-US" w:eastAsia="zh-CN"/>
        </w:rPr>
        <w:t>1.</w:t>
      </w:r>
      <w:r>
        <w:rPr>
          <w:rFonts w:hint="eastAsia" w:ascii="宋体" w:hAnsi="宋体" w:eastAsia="宋体" w:cs="宋体"/>
          <w:color w:val="auto"/>
          <w:spacing w:val="4"/>
          <w:sz w:val="24"/>
          <w:highlight w:val="none"/>
          <w:u w:val="single"/>
          <w:lang w:val="en-US" w:eastAsia="zh-CN"/>
        </w:rPr>
        <w:t xml:space="preserve"> </w:t>
      </w:r>
      <w:r>
        <w:rPr>
          <w:rFonts w:hint="eastAsia" w:ascii="宋体" w:hAnsi="宋体" w:eastAsia="宋体" w:cs="宋体"/>
          <w:i/>
          <w:iCs/>
          <w:color w:val="auto"/>
          <w:spacing w:val="4"/>
          <w:sz w:val="24"/>
          <w:highlight w:val="none"/>
          <w:u w:val="single"/>
          <w:lang w:val="en-US" w:eastAsia="zh-CN"/>
        </w:rPr>
        <w:t>（标的名称）</w:t>
      </w:r>
      <w:r>
        <w:rPr>
          <w:rFonts w:hint="eastAsia" w:ascii="宋体" w:hAnsi="宋体" w:eastAsia="宋体" w:cs="宋体"/>
          <w:color w:val="auto"/>
          <w:spacing w:val="4"/>
          <w:sz w:val="24"/>
          <w:highlight w:val="none"/>
          <w:u w:val="single"/>
          <w:lang w:val="en-US" w:eastAsia="zh-CN"/>
        </w:rPr>
        <w:t xml:space="preserve"> </w:t>
      </w:r>
      <w:r>
        <w:rPr>
          <w:rFonts w:hint="eastAsia" w:ascii="宋体" w:hAnsi="宋体" w:eastAsia="宋体" w:cs="宋体"/>
          <w:color w:val="auto"/>
          <w:spacing w:val="4"/>
          <w:sz w:val="24"/>
          <w:highlight w:val="none"/>
          <w:lang w:val="en-US" w:eastAsia="zh-CN"/>
        </w:rPr>
        <w:t>，属于</w:t>
      </w:r>
      <w:r>
        <w:rPr>
          <w:rFonts w:hint="eastAsia" w:ascii="宋体" w:hAnsi="宋体" w:eastAsia="宋体" w:cs="宋体"/>
          <w:i/>
          <w:iCs/>
          <w:color w:val="auto"/>
          <w:spacing w:val="4"/>
          <w:sz w:val="24"/>
          <w:highlight w:val="none"/>
          <w:u w:val="single"/>
          <w:lang w:val="en-US" w:eastAsia="zh-CN"/>
        </w:rPr>
        <w:t>（采购文件中明确的所属行业）</w:t>
      </w:r>
      <w:r>
        <w:rPr>
          <w:rFonts w:hint="eastAsia" w:ascii="宋体" w:hAnsi="宋体" w:eastAsia="宋体" w:cs="宋体"/>
          <w:color w:val="auto"/>
          <w:spacing w:val="4"/>
          <w:sz w:val="24"/>
          <w:highlight w:val="none"/>
          <w:lang w:val="en-US" w:eastAsia="zh-CN"/>
        </w:rPr>
        <w:t>； 承建（承接）企业为</w:t>
      </w:r>
      <w:r>
        <w:rPr>
          <w:rFonts w:hint="eastAsia" w:ascii="宋体" w:hAnsi="宋体" w:eastAsia="宋体" w:cs="宋体"/>
          <w:i/>
          <w:iCs/>
          <w:color w:val="auto"/>
          <w:spacing w:val="4"/>
          <w:sz w:val="24"/>
          <w:highlight w:val="none"/>
          <w:u w:val="single"/>
          <w:lang w:val="en-US" w:eastAsia="zh-CN"/>
        </w:rPr>
        <w:t>（企业名称）</w:t>
      </w:r>
      <w:r>
        <w:rPr>
          <w:rFonts w:hint="eastAsia" w:ascii="宋体" w:hAnsi="宋体" w:eastAsia="宋体" w:cs="宋体"/>
          <w:color w:val="auto"/>
          <w:spacing w:val="4"/>
          <w:sz w:val="24"/>
          <w:highlight w:val="none"/>
          <w:lang w:val="en-US" w:eastAsia="zh-CN"/>
        </w:rPr>
        <w:t>，从业人员</w:t>
      </w:r>
      <w:r>
        <w:rPr>
          <w:rFonts w:hint="eastAsia" w:ascii="宋体" w:hAnsi="宋体" w:eastAsia="宋体" w:cs="宋体"/>
          <w:color w:val="auto"/>
          <w:spacing w:val="4"/>
          <w:sz w:val="24"/>
          <w:highlight w:val="none"/>
          <w:u w:val="single"/>
          <w:lang w:val="en-US" w:eastAsia="zh-CN"/>
        </w:rPr>
        <w:t xml:space="preserve">     </w:t>
      </w:r>
      <w:r>
        <w:rPr>
          <w:rFonts w:hint="eastAsia" w:ascii="宋体" w:hAnsi="宋体" w:eastAsia="宋体" w:cs="宋体"/>
          <w:color w:val="auto"/>
          <w:spacing w:val="4"/>
          <w:sz w:val="24"/>
          <w:highlight w:val="none"/>
          <w:lang w:val="en-US" w:eastAsia="zh-CN"/>
        </w:rPr>
        <w:t>人，营业收入为</w:t>
      </w:r>
      <w:r>
        <w:rPr>
          <w:rFonts w:hint="eastAsia" w:ascii="宋体" w:hAnsi="宋体" w:eastAsia="宋体" w:cs="宋体"/>
          <w:color w:val="auto"/>
          <w:spacing w:val="4"/>
          <w:sz w:val="24"/>
          <w:highlight w:val="none"/>
          <w:u w:val="single"/>
          <w:lang w:val="en-US" w:eastAsia="zh-CN"/>
        </w:rPr>
        <w:t xml:space="preserve">    </w:t>
      </w:r>
      <w:r>
        <w:rPr>
          <w:rFonts w:hint="eastAsia" w:ascii="宋体" w:hAnsi="宋体" w:eastAsia="宋体" w:cs="宋体"/>
          <w:color w:val="auto"/>
          <w:spacing w:val="4"/>
          <w:sz w:val="24"/>
          <w:highlight w:val="none"/>
          <w:lang w:val="en-US" w:eastAsia="zh-CN"/>
        </w:rPr>
        <w:t>万元，资产总额为</w:t>
      </w:r>
      <w:r>
        <w:rPr>
          <w:rFonts w:hint="eastAsia" w:ascii="宋体" w:hAnsi="宋体" w:eastAsia="宋体" w:cs="宋体"/>
          <w:color w:val="auto"/>
          <w:spacing w:val="4"/>
          <w:sz w:val="24"/>
          <w:highlight w:val="none"/>
          <w:u w:val="single"/>
          <w:lang w:val="en-US" w:eastAsia="zh-CN"/>
        </w:rPr>
        <w:t xml:space="preserve">    </w:t>
      </w:r>
      <w:r>
        <w:rPr>
          <w:rFonts w:hint="eastAsia" w:ascii="宋体" w:hAnsi="宋体" w:eastAsia="宋体" w:cs="宋体"/>
          <w:color w:val="auto"/>
          <w:spacing w:val="4"/>
          <w:sz w:val="24"/>
          <w:highlight w:val="none"/>
          <w:lang w:val="en-US" w:eastAsia="zh-CN"/>
        </w:rPr>
        <w:t>万元，属于</w:t>
      </w:r>
      <w:r>
        <w:rPr>
          <w:rFonts w:hint="eastAsia" w:ascii="宋体" w:hAnsi="宋体" w:eastAsia="宋体" w:cs="宋体"/>
          <w:i/>
          <w:iCs/>
          <w:color w:val="auto"/>
          <w:spacing w:val="4"/>
          <w:sz w:val="24"/>
          <w:highlight w:val="none"/>
          <w:u w:val="single"/>
          <w:lang w:val="en-US" w:eastAsia="zh-CN"/>
        </w:rPr>
        <w:t>（中型企业、 小型企业、微型企业）</w:t>
      </w:r>
      <w:r>
        <w:rPr>
          <w:rFonts w:hint="eastAsia" w:ascii="宋体" w:hAnsi="宋体" w:eastAsia="宋体" w:cs="宋体"/>
          <w:color w:val="auto"/>
          <w:spacing w:val="4"/>
          <w:sz w:val="24"/>
          <w:highlight w:val="none"/>
          <w:lang w:val="en-US" w:eastAsia="zh-CN"/>
        </w:rPr>
        <w:t xml:space="preserve">； </w:t>
      </w:r>
    </w:p>
    <w:p w14:paraId="6837CA6A">
      <w:pPr>
        <w:spacing w:line="360" w:lineRule="auto"/>
        <w:ind w:firstLine="496" w:firstLineChars="200"/>
        <w:jc w:val="left"/>
        <w:outlineLvl w:val="9"/>
        <w:rPr>
          <w:rFonts w:hint="eastAsia" w:ascii="宋体" w:hAnsi="宋体" w:eastAsia="宋体" w:cs="宋体"/>
          <w:color w:val="auto"/>
          <w:spacing w:val="4"/>
          <w:sz w:val="24"/>
          <w:highlight w:val="none"/>
          <w:lang w:val="en-US" w:eastAsia="zh-CN"/>
        </w:rPr>
      </w:pPr>
      <w:r>
        <w:rPr>
          <w:rFonts w:hint="eastAsia" w:ascii="宋体" w:hAnsi="宋体" w:eastAsia="宋体" w:cs="宋体"/>
          <w:color w:val="auto"/>
          <w:spacing w:val="4"/>
          <w:sz w:val="24"/>
          <w:highlight w:val="none"/>
          <w:lang w:val="en-US" w:eastAsia="zh-CN"/>
        </w:rPr>
        <w:t>2.</w:t>
      </w:r>
      <w:r>
        <w:rPr>
          <w:rFonts w:hint="eastAsia" w:ascii="宋体" w:hAnsi="宋体" w:eastAsia="宋体" w:cs="宋体"/>
          <w:color w:val="auto"/>
          <w:spacing w:val="4"/>
          <w:sz w:val="24"/>
          <w:highlight w:val="none"/>
          <w:u w:val="single"/>
          <w:lang w:val="en-US" w:eastAsia="zh-CN"/>
        </w:rPr>
        <w:t xml:space="preserve"> </w:t>
      </w:r>
      <w:r>
        <w:rPr>
          <w:rFonts w:hint="eastAsia" w:ascii="宋体" w:hAnsi="宋体" w:eastAsia="宋体" w:cs="宋体"/>
          <w:i/>
          <w:iCs/>
          <w:color w:val="auto"/>
          <w:spacing w:val="4"/>
          <w:sz w:val="24"/>
          <w:highlight w:val="none"/>
          <w:u w:val="single"/>
          <w:lang w:val="en-US" w:eastAsia="zh-CN"/>
        </w:rPr>
        <w:t>（标的名称）</w:t>
      </w:r>
      <w:r>
        <w:rPr>
          <w:rFonts w:hint="eastAsia" w:ascii="宋体" w:hAnsi="宋体" w:eastAsia="宋体" w:cs="宋体"/>
          <w:color w:val="auto"/>
          <w:spacing w:val="4"/>
          <w:sz w:val="24"/>
          <w:highlight w:val="none"/>
          <w:u w:val="single"/>
          <w:lang w:val="en-US" w:eastAsia="zh-CN"/>
        </w:rPr>
        <w:t xml:space="preserve"> </w:t>
      </w:r>
      <w:r>
        <w:rPr>
          <w:rFonts w:hint="eastAsia" w:ascii="宋体" w:hAnsi="宋体" w:eastAsia="宋体" w:cs="宋体"/>
          <w:color w:val="auto"/>
          <w:spacing w:val="4"/>
          <w:sz w:val="24"/>
          <w:highlight w:val="none"/>
          <w:lang w:val="en-US" w:eastAsia="zh-CN"/>
        </w:rPr>
        <w:t>，属于</w:t>
      </w:r>
      <w:r>
        <w:rPr>
          <w:rFonts w:hint="eastAsia" w:ascii="宋体" w:hAnsi="宋体" w:eastAsia="宋体" w:cs="宋体"/>
          <w:i/>
          <w:iCs/>
          <w:color w:val="auto"/>
          <w:spacing w:val="4"/>
          <w:sz w:val="24"/>
          <w:highlight w:val="none"/>
          <w:u w:val="single"/>
          <w:lang w:val="en-US" w:eastAsia="zh-CN"/>
        </w:rPr>
        <w:t>（采购文件中明确的所属行业）</w:t>
      </w:r>
      <w:r>
        <w:rPr>
          <w:rFonts w:hint="eastAsia" w:ascii="宋体" w:hAnsi="宋体" w:eastAsia="宋体" w:cs="宋体"/>
          <w:color w:val="auto"/>
          <w:spacing w:val="4"/>
          <w:sz w:val="24"/>
          <w:highlight w:val="none"/>
          <w:lang w:val="en-US" w:eastAsia="zh-CN"/>
        </w:rPr>
        <w:t>； 承建（承接）企业为</w:t>
      </w:r>
      <w:r>
        <w:rPr>
          <w:rFonts w:hint="eastAsia" w:ascii="宋体" w:hAnsi="宋体" w:eastAsia="宋体" w:cs="宋体"/>
          <w:i/>
          <w:iCs/>
          <w:color w:val="auto"/>
          <w:spacing w:val="4"/>
          <w:sz w:val="24"/>
          <w:highlight w:val="none"/>
          <w:u w:val="single"/>
          <w:lang w:val="en-US" w:eastAsia="zh-CN"/>
        </w:rPr>
        <w:t>（企业名称）</w:t>
      </w:r>
      <w:r>
        <w:rPr>
          <w:rFonts w:hint="eastAsia" w:ascii="宋体" w:hAnsi="宋体" w:eastAsia="宋体" w:cs="宋体"/>
          <w:color w:val="auto"/>
          <w:spacing w:val="4"/>
          <w:sz w:val="24"/>
          <w:highlight w:val="none"/>
          <w:lang w:val="en-US" w:eastAsia="zh-CN"/>
        </w:rPr>
        <w:t>，从业人员</w:t>
      </w:r>
      <w:r>
        <w:rPr>
          <w:rFonts w:hint="eastAsia" w:ascii="宋体" w:hAnsi="宋体" w:eastAsia="宋体" w:cs="宋体"/>
          <w:color w:val="auto"/>
          <w:spacing w:val="4"/>
          <w:sz w:val="24"/>
          <w:highlight w:val="none"/>
          <w:u w:val="single"/>
          <w:lang w:val="en-US" w:eastAsia="zh-CN"/>
        </w:rPr>
        <w:t xml:space="preserve">     </w:t>
      </w:r>
      <w:r>
        <w:rPr>
          <w:rFonts w:hint="eastAsia" w:ascii="宋体" w:hAnsi="宋体" w:eastAsia="宋体" w:cs="宋体"/>
          <w:color w:val="auto"/>
          <w:spacing w:val="4"/>
          <w:sz w:val="24"/>
          <w:highlight w:val="none"/>
          <w:lang w:val="en-US" w:eastAsia="zh-CN"/>
        </w:rPr>
        <w:t>人，营业收入为</w:t>
      </w:r>
      <w:r>
        <w:rPr>
          <w:rFonts w:hint="eastAsia" w:ascii="宋体" w:hAnsi="宋体" w:eastAsia="宋体" w:cs="宋体"/>
          <w:color w:val="auto"/>
          <w:spacing w:val="4"/>
          <w:sz w:val="24"/>
          <w:highlight w:val="none"/>
          <w:u w:val="single"/>
          <w:lang w:val="en-US" w:eastAsia="zh-CN"/>
        </w:rPr>
        <w:t xml:space="preserve">    </w:t>
      </w:r>
      <w:r>
        <w:rPr>
          <w:rFonts w:hint="eastAsia" w:ascii="宋体" w:hAnsi="宋体" w:eastAsia="宋体" w:cs="宋体"/>
          <w:color w:val="auto"/>
          <w:spacing w:val="4"/>
          <w:sz w:val="24"/>
          <w:highlight w:val="none"/>
          <w:lang w:val="en-US" w:eastAsia="zh-CN"/>
        </w:rPr>
        <w:t>万元，资产总额为</w:t>
      </w:r>
      <w:r>
        <w:rPr>
          <w:rFonts w:hint="eastAsia" w:ascii="宋体" w:hAnsi="宋体" w:eastAsia="宋体" w:cs="宋体"/>
          <w:color w:val="auto"/>
          <w:spacing w:val="4"/>
          <w:sz w:val="24"/>
          <w:highlight w:val="none"/>
          <w:u w:val="single"/>
          <w:lang w:val="en-US" w:eastAsia="zh-CN"/>
        </w:rPr>
        <w:t xml:space="preserve">    </w:t>
      </w:r>
      <w:r>
        <w:rPr>
          <w:rFonts w:hint="eastAsia" w:ascii="宋体" w:hAnsi="宋体" w:eastAsia="宋体" w:cs="宋体"/>
          <w:color w:val="auto"/>
          <w:spacing w:val="4"/>
          <w:sz w:val="24"/>
          <w:highlight w:val="none"/>
          <w:lang w:val="en-US" w:eastAsia="zh-CN"/>
        </w:rPr>
        <w:t>万元，属于</w:t>
      </w:r>
      <w:r>
        <w:rPr>
          <w:rFonts w:hint="eastAsia" w:ascii="宋体" w:hAnsi="宋体" w:eastAsia="宋体" w:cs="宋体"/>
          <w:i/>
          <w:iCs/>
          <w:color w:val="auto"/>
          <w:spacing w:val="4"/>
          <w:sz w:val="24"/>
          <w:highlight w:val="none"/>
          <w:u w:val="single"/>
          <w:lang w:val="en-US" w:eastAsia="zh-CN"/>
        </w:rPr>
        <w:t>（中型企业、 小型企业、微型企业）</w:t>
      </w:r>
      <w:r>
        <w:rPr>
          <w:rFonts w:hint="eastAsia" w:ascii="宋体" w:hAnsi="宋体" w:eastAsia="宋体" w:cs="宋体"/>
          <w:color w:val="auto"/>
          <w:spacing w:val="4"/>
          <w:sz w:val="24"/>
          <w:highlight w:val="none"/>
          <w:lang w:val="en-US" w:eastAsia="zh-CN"/>
        </w:rPr>
        <w:t xml:space="preserve">； </w:t>
      </w:r>
    </w:p>
    <w:p w14:paraId="1AF48E7C">
      <w:pPr>
        <w:spacing w:line="360" w:lineRule="auto"/>
        <w:ind w:firstLine="496" w:firstLineChars="200"/>
        <w:jc w:val="left"/>
        <w:outlineLvl w:val="9"/>
        <w:rPr>
          <w:rFonts w:hint="eastAsia" w:ascii="宋体" w:hAnsi="宋体" w:eastAsia="宋体" w:cs="宋体"/>
          <w:color w:val="auto"/>
          <w:spacing w:val="4"/>
          <w:sz w:val="24"/>
          <w:highlight w:val="none"/>
        </w:rPr>
      </w:pPr>
      <w:r>
        <w:rPr>
          <w:rFonts w:hint="eastAsia" w:ascii="宋体" w:hAnsi="宋体" w:eastAsia="宋体" w:cs="宋体"/>
          <w:color w:val="auto"/>
          <w:spacing w:val="4"/>
          <w:sz w:val="24"/>
          <w:highlight w:val="none"/>
          <w:lang w:val="en-US" w:eastAsia="zh-CN"/>
        </w:rPr>
        <w:t xml:space="preserve">…… </w:t>
      </w:r>
    </w:p>
    <w:p w14:paraId="77E71A41">
      <w:pPr>
        <w:spacing w:line="360" w:lineRule="auto"/>
        <w:ind w:firstLine="496" w:firstLineChars="200"/>
        <w:jc w:val="left"/>
        <w:outlineLvl w:val="9"/>
        <w:rPr>
          <w:rFonts w:hint="eastAsia" w:ascii="宋体" w:hAnsi="宋体" w:eastAsia="宋体" w:cs="宋体"/>
          <w:color w:val="auto"/>
          <w:spacing w:val="4"/>
          <w:sz w:val="24"/>
          <w:highlight w:val="none"/>
        </w:rPr>
      </w:pPr>
      <w:r>
        <w:rPr>
          <w:rFonts w:hint="eastAsia" w:ascii="宋体" w:hAnsi="宋体" w:eastAsia="宋体" w:cs="宋体"/>
          <w:color w:val="auto"/>
          <w:spacing w:val="4"/>
          <w:sz w:val="24"/>
          <w:highlight w:val="none"/>
          <w:lang w:val="en-US" w:eastAsia="zh-CN"/>
        </w:rPr>
        <w:t xml:space="preserve">以上企业，不属于大企业的分支机构，不存在控股股东为大企业的情形，也不存在与大企业的负责人为同一人的情形。本企业对上述声明内容的真实性负责。如有虚假，将依法承担相应责任。 </w:t>
      </w:r>
    </w:p>
    <w:p w14:paraId="176600F2">
      <w:pPr>
        <w:spacing w:line="360" w:lineRule="auto"/>
        <w:ind w:firstLine="5332" w:firstLineChars="2150"/>
        <w:jc w:val="left"/>
        <w:outlineLvl w:val="9"/>
        <w:rPr>
          <w:rFonts w:hint="eastAsia" w:ascii="宋体" w:hAnsi="宋体" w:eastAsia="宋体" w:cs="宋体"/>
          <w:color w:val="auto"/>
          <w:spacing w:val="4"/>
          <w:sz w:val="24"/>
          <w:highlight w:val="none"/>
        </w:rPr>
      </w:pPr>
      <w:r>
        <w:rPr>
          <w:rFonts w:hint="eastAsia" w:ascii="宋体" w:hAnsi="宋体" w:eastAsia="宋体" w:cs="宋体"/>
          <w:color w:val="auto"/>
          <w:spacing w:val="4"/>
          <w:sz w:val="24"/>
          <w:highlight w:val="none"/>
          <w:lang w:val="en-US" w:eastAsia="zh-CN"/>
        </w:rPr>
        <w:t xml:space="preserve">企业名称（盖章）： </w:t>
      </w:r>
    </w:p>
    <w:p w14:paraId="0D1162BB">
      <w:pPr>
        <w:spacing w:line="360" w:lineRule="auto"/>
        <w:ind w:firstLine="5332" w:firstLineChars="2150"/>
        <w:jc w:val="left"/>
        <w:outlineLvl w:val="9"/>
        <w:rPr>
          <w:rFonts w:hint="eastAsia" w:ascii="宋体" w:hAnsi="宋体" w:eastAsia="宋体" w:cs="宋体"/>
          <w:color w:val="auto"/>
          <w:spacing w:val="4"/>
          <w:sz w:val="24"/>
          <w:highlight w:val="none"/>
        </w:rPr>
      </w:pPr>
      <w:r>
        <w:rPr>
          <w:rFonts w:hint="eastAsia" w:ascii="宋体" w:hAnsi="宋体" w:eastAsia="宋体" w:cs="宋体"/>
          <w:color w:val="auto"/>
          <w:spacing w:val="4"/>
          <w:sz w:val="24"/>
          <w:highlight w:val="none"/>
          <w:lang w:val="en-US" w:eastAsia="zh-CN"/>
        </w:rPr>
        <w:t>日 期：</w:t>
      </w:r>
    </w:p>
    <w:p w14:paraId="3CD64065">
      <w:pPr>
        <w:spacing w:line="360" w:lineRule="auto"/>
        <w:ind w:firstLine="5332" w:firstLineChars="2150"/>
        <w:jc w:val="left"/>
        <w:outlineLvl w:val="9"/>
        <w:rPr>
          <w:rFonts w:hint="eastAsia" w:ascii="宋体" w:hAnsi="宋体" w:eastAsia="宋体" w:cs="宋体"/>
          <w:color w:val="auto"/>
          <w:sz w:val="18"/>
          <w:szCs w:val="18"/>
          <w:highlight w:val="none"/>
        </w:rPr>
      </w:pPr>
      <w:r>
        <w:rPr>
          <w:rFonts w:hint="eastAsia" w:ascii="宋体" w:hAnsi="宋体" w:eastAsia="宋体" w:cs="宋体"/>
          <w:color w:val="auto"/>
          <w:spacing w:val="4"/>
          <w:sz w:val="24"/>
          <w:highlight w:val="none"/>
        </w:rPr>
        <w:t xml:space="preserve"> </w:t>
      </w:r>
    </w:p>
    <w:p w14:paraId="76643D42">
      <w:pPr>
        <w:spacing w:line="360" w:lineRule="auto"/>
        <w:jc w:val="left"/>
        <w:outlineLvl w:val="9"/>
        <w:rPr>
          <w:rFonts w:hint="eastAsia" w:ascii="宋体" w:hAnsi="宋体" w:eastAsia="宋体" w:cs="宋体"/>
          <w:color w:val="auto"/>
          <w:sz w:val="18"/>
          <w:szCs w:val="18"/>
          <w:highlight w:val="none"/>
        </w:rPr>
      </w:pPr>
      <w:r>
        <w:rPr>
          <w:rFonts w:hint="eastAsia" w:ascii="宋体" w:hAnsi="宋体" w:eastAsia="宋体" w:cs="宋体"/>
          <w:color w:val="auto"/>
          <w:sz w:val="18"/>
          <w:szCs w:val="18"/>
          <w:highlight w:val="none"/>
          <w:lang w:val="en-US" w:eastAsia="zh-CN"/>
        </w:rPr>
        <w:t>1.</w:t>
      </w:r>
      <w:r>
        <w:rPr>
          <w:rFonts w:hint="eastAsia" w:ascii="宋体" w:hAnsi="宋体" w:eastAsia="宋体" w:cs="宋体"/>
          <w:color w:val="auto"/>
          <w:sz w:val="18"/>
          <w:szCs w:val="18"/>
          <w:highlight w:val="none"/>
        </w:rPr>
        <w:t xml:space="preserve">从业人员、营业收入、资产总额填报上一年度数据，无上一年度数据的新成立企业可不填报。 </w:t>
      </w:r>
    </w:p>
    <w:p w14:paraId="1EEF400E">
      <w:pPr>
        <w:spacing w:line="360" w:lineRule="auto"/>
        <w:jc w:val="left"/>
        <w:outlineLvl w:val="9"/>
        <w:rPr>
          <w:rFonts w:hint="eastAsia" w:ascii="宋体" w:hAnsi="宋体" w:eastAsia="宋体" w:cs="宋体"/>
          <w:color w:val="auto"/>
          <w:sz w:val="18"/>
          <w:szCs w:val="18"/>
          <w:highlight w:val="none"/>
        </w:rPr>
      </w:pPr>
      <w:r>
        <w:rPr>
          <w:rFonts w:hint="eastAsia" w:ascii="宋体" w:hAnsi="宋体" w:eastAsia="宋体" w:cs="宋体"/>
          <w:color w:val="auto"/>
          <w:sz w:val="18"/>
          <w:szCs w:val="18"/>
          <w:highlight w:val="none"/>
          <w:lang w:val="en-US" w:eastAsia="zh-CN"/>
        </w:rPr>
        <w:t>2.</w:t>
      </w:r>
      <w:r>
        <w:rPr>
          <w:rFonts w:hint="eastAsia" w:ascii="宋体" w:hAnsi="宋体" w:eastAsia="宋体" w:cs="宋体"/>
          <w:color w:val="auto"/>
          <w:sz w:val="18"/>
          <w:szCs w:val="18"/>
          <w:highlight w:val="none"/>
        </w:rPr>
        <w:t>填写前请认真阅读《工业和信息化部　国家统计局　国家发展和改革委员会　财政部关于印发中小企业划型标准规定的通知》(工信部联企业〔2011〕300号)和《财政部、工业和信息化部关于印发〈政府采购促进中小企业发展管理办法〉的通知》（财库﹝2020﹞46 号）相关规定。</w:t>
      </w:r>
    </w:p>
    <w:p w14:paraId="296C598F">
      <w:pPr>
        <w:jc w:val="center"/>
        <w:rPr>
          <w:rFonts w:hint="eastAsia" w:ascii="宋体" w:hAnsi="宋体" w:eastAsia="宋体" w:cs="宋体"/>
          <w:color w:val="auto"/>
          <w:sz w:val="28"/>
          <w:szCs w:val="28"/>
          <w:highlight w:val="none"/>
        </w:rPr>
      </w:pPr>
      <w:bookmarkStart w:id="12" w:name="_Toc8624"/>
    </w:p>
    <w:p w14:paraId="4DDA5FFC">
      <w:pPr>
        <w:jc w:val="center"/>
        <w:rPr>
          <w:rFonts w:hint="eastAsia" w:ascii="宋体" w:hAnsi="宋体" w:eastAsia="宋体" w:cs="宋体"/>
          <w:color w:val="auto"/>
          <w:sz w:val="28"/>
          <w:szCs w:val="28"/>
          <w:highlight w:val="none"/>
        </w:rPr>
      </w:pPr>
    </w:p>
    <w:p w14:paraId="50426BAA">
      <w:pPr>
        <w:jc w:val="center"/>
        <w:rPr>
          <w:rFonts w:hint="eastAsia" w:ascii="宋体" w:hAnsi="宋体" w:eastAsia="宋体" w:cs="宋体"/>
          <w:b/>
          <w:bCs/>
          <w:color w:val="auto"/>
          <w:sz w:val="32"/>
          <w:szCs w:val="32"/>
          <w:highlight w:val="none"/>
          <w:lang w:val="en-US" w:eastAsia="zh-CN"/>
        </w:rPr>
      </w:pPr>
      <w:r>
        <w:rPr>
          <w:rFonts w:hint="eastAsia" w:ascii="宋体" w:hAnsi="宋体" w:eastAsia="宋体" w:cs="宋体"/>
          <w:b/>
          <w:bCs/>
          <w:color w:val="auto"/>
          <w:sz w:val="32"/>
          <w:szCs w:val="32"/>
          <w:highlight w:val="none"/>
        </w:rPr>
        <w:t>十三、</w:t>
      </w:r>
      <w:r>
        <w:rPr>
          <w:rFonts w:hint="eastAsia" w:ascii="宋体" w:hAnsi="宋体" w:eastAsia="宋体" w:cs="宋体"/>
          <w:b/>
          <w:bCs/>
          <w:color w:val="auto"/>
          <w:sz w:val="32"/>
          <w:szCs w:val="32"/>
          <w:highlight w:val="none"/>
          <w:lang w:val="en-US" w:eastAsia="zh-CN"/>
        </w:rPr>
        <w:t>投标人认为有必要补充说明的事宜</w:t>
      </w:r>
      <w:bookmarkEnd w:id="12"/>
    </w:p>
    <w:p w14:paraId="7484AA80">
      <w:pPr>
        <w:widowControl/>
        <w:jc w:val="center"/>
        <w:rPr>
          <w:rFonts w:hint="eastAsia" w:ascii="宋体" w:hAnsi="宋体" w:eastAsia="宋体" w:cs="宋体"/>
          <w:b/>
          <w:color w:val="auto"/>
          <w:sz w:val="28"/>
          <w:szCs w:val="28"/>
          <w:highlight w:val="none"/>
        </w:rPr>
      </w:pPr>
      <w:r>
        <w:rPr>
          <w:rFonts w:hint="eastAsia" w:ascii="宋体" w:hAnsi="宋体" w:eastAsia="宋体" w:cs="宋体"/>
          <w:b/>
          <w:color w:val="auto"/>
          <w:sz w:val="28"/>
          <w:szCs w:val="28"/>
          <w:highlight w:val="none"/>
        </w:rPr>
        <w:t>残疾人福利性单位声明函（如有）</w:t>
      </w:r>
    </w:p>
    <w:p w14:paraId="73FBE5BD">
      <w:pPr>
        <w:spacing w:line="588" w:lineRule="exact"/>
        <w:rPr>
          <w:rFonts w:hint="eastAsia" w:ascii="宋体" w:hAnsi="宋体" w:eastAsia="宋体" w:cs="宋体"/>
          <w:b/>
          <w:color w:val="auto"/>
          <w:spacing w:val="6"/>
          <w:sz w:val="30"/>
          <w:szCs w:val="30"/>
          <w:highlight w:val="none"/>
        </w:rPr>
      </w:pPr>
    </w:p>
    <w:p w14:paraId="0E2641A3">
      <w:pPr>
        <w:pStyle w:val="144"/>
        <w:ind w:firstLine="360"/>
        <w:rPr>
          <w:rFonts w:hint="eastAsia" w:ascii="宋体" w:hAnsi="宋体" w:eastAsia="宋体" w:cs="宋体"/>
          <w:color w:val="auto"/>
          <w:spacing w:val="4"/>
          <w:kern w:val="2"/>
          <w:sz w:val="24"/>
          <w:szCs w:val="24"/>
          <w:highlight w:val="none"/>
          <w:lang w:val="en-US" w:eastAsia="zh-CN" w:bidi="ar-SA"/>
        </w:rPr>
      </w:pPr>
      <w:r>
        <w:rPr>
          <w:rFonts w:hint="eastAsia" w:ascii="宋体" w:hAnsi="宋体" w:eastAsia="宋体" w:cs="宋体"/>
          <w:color w:val="auto"/>
          <w:spacing w:val="4"/>
          <w:kern w:val="2"/>
          <w:sz w:val="24"/>
          <w:szCs w:val="24"/>
          <w:highlight w:val="none"/>
          <w:lang w:val="en-US" w:eastAsia="zh-CN" w:bidi="ar-SA"/>
        </w:rPr>
        <w:t>根据《财政部、民政部、中国残疾人联合会关于促进残疾人就业政府采购政策的通知》（财库[2017]141号）的规定，由供应商自行申明，并对申明真实性负责。如有虚假，将依法承担相应责任。</w:t>
      </w:r>
    </w:p>
    <w:p w14:paraId="68E91096">
      <w:pPr>
        <w:spacing w:line="588" w:lineRule="exact"/>
        <w:rPr>
          <w:rFonts w:hint="eastAsia" w:ascii="宋体" w:hAnsi="宋体" w:eastAsia="宋体" w:cs="宋体"/>
          <w:b/>
          <w:color w:val="auto"/>
          <w:spacing w:val="6"/>
          <w:sz w:val="30"/>
          <w:szCs w:val="30"/>
          <w:highlight w:val="none"/>
        </w:rPr>
      </w:pPr>
    </w:p>
    <w:p w14:paraId="465696AE">
      <w:pPr>
        <w:spacing w:line="360" w:lineRule="auto"/>
        <w:ind w:firstLine="496" w:firstLineChars="200"/>
        <w:jc w:val="left"/>
        <w:rPr>
          <w:rFonts w:hint="eastAsia" w:ascii="宋体" w:hAnsi="宋体" w:eastAsia="宋体" w:cs="宋体"/>
          <w:color w:val="auto"/>
          <w:spacing w:val="4"/>
          <w:sz w:val="24"/>
          <w:highlight w:val="none"/>
        </w:rPr>
      </w:pPr>
      <w:r>
        <w:rPr>
          <w:rFonts w:hint="eastAsia" w:ascii="宋体" w:hAnsi="宋体" w:eastAsia="宋体" w:cs="宋体"/>
          <w:color w:val="auto"/>
          <w:spacing w:val="4"/>
          <w:sz w:val="24"/>
          <w:highlight w:val="none"/>
        </w:rPr>
        <w:t>本单位郑重声明，根据《财政部 民政部 中国残疾人联合会关于促进残疾人就业政府采购政策的通知》（财库〔2017〕141号）的规定，本单位为符合条件的残疾人福利性单位，且本单位参加</w:t>
      </w:r>
      <w:r>
        <w:rPr>
          <w:rFonts w:hint="eastAsia" w:ascii="宋体" w:hAnsi="宋体" w:eastAsia="宋体" w:cs="宋体"/>
          <w:color w:val="auto"/>
          <w:spacing w:val="4"/>
          <w:sz w:val="24"/>
          <w:highlight w:val="none"/>
          <w:u w:val="single"/>
        </w:rPr>
        <w:t xml:space="preserve">                        </w:t>
      </w:r>
      <w:r>
        <w:rPr>
          <w:rFonts w:hint="eastAsia" w:ascii="宋体" w:hAnsi="宋体" w:eastAsia="宋体" w:cs="宋体"/>
          <w:color w:val="auto"/>
          <w:spacing w:val="4"/>
          <w:sz w:val="24"/>
          <w:highlight w:val="none"/>
        </w:rPr>
        <w:t>单位的</w:t>
      </w:r>
      <w:r>
        <w:rPr>
          <w:rFonts w:hint="eastAsia" w:ascii="宋体" w:hAnsi="宋体" w:eastAsia="宋体" w:cs="宋体"/>
          <w:color w:val="auto"/>
          <w:spacing w:val="4"/>
          <w:sz w:val="24"/>
          <w:highlight w:val="none"/>
          <w:u w:val="single"/>
        </w:rPr>
        <w:t xml:space="preserve">                   </w:t>
      </w:r>
      <w:r>
        <w:rPr>
          <w:rFonts w:hint="eastAsia" w:ascii="宋体" w:hAnsi="宋体" w:eastAsia="宋体" w:cs="宋体"/>
          <w:color w:val="auto"/>
          <w:spacing w:val="4"/>
          <w:sz w:val="24"/>
          <w:highlight w:val="none"/>
        </w:rPr>
        <w:t>项目采购活动提供服务。</w:t>
      </w:r>
    </w:p>
    <w:p w14:paraId="35F25E5C">
      <w:pPr>
        <w:spacing w:line="360" w:lineRule="auto"/>
        <w:ind w:firstLine="496" w:firstLineChars="200"/>
        <w:jc w:val="left"/>
        <w:rPr>
          <w:rFonts w:hint="eastAsia" w:ascii="宋体" w:hAnsi="宋体" w:eastAsia="宋体" w:cs="宋体"/>
          <w:color w:val="auto"/>
          <w:spacing w:val="4"/>
          <w:sz w:val="24"/>
          <w:highlight w:val="none"/>
        </w:rPr>
      </w:pPr>
      <w:r>
        <w:rPr>
          <w:rFonts w:hint="eastAsia" w:ascii="宋体" w:hAnsi="宋体" w:eastAsia="宋体" w:cs="宋体"/>
          <w:color w:val="auto"/>
          <w:spacing w:val="4"/>
          <w:sz w:val="24"/>
          <w:highlight w:val="none"/>
        </w:rPr>
        <w:t>本单位对上述声明的真实性负责。如有虚假，将依法承担相应责任。</w:t>
      </w:r>
    </w:p>
    <w:p w14:paraId="6033FA51">
      <w:pPr>
        <w:spacing w:line="360" w:lineRule="auto"/>
        <w:ind w:firstLine="496" w:firstLineChars="200"/>
        <w:jc w:val="left"/>
        <w:rPr>
          <w:rFonts w:hint="eastAsia" w:ascii="宋体" w:hAnsi="宋体" w:eastAsia="宋体" w:cs="宋体"/>
          <w:color w:val="auto"/>
          <w:spacing w:val="4"/>
          <w:sz w:val="24"/>
          <w:highlight w:val="none"/>
        </w:rPr>
      </w:pPr>
    </w:p>
    <w:p w14:paraId="6427F378">
      <w:pPr>
        <w:spacing w:line="360" w:lineRule="auto"/>
        <w:ind w:firstLine="496" w:firstLineChars="200"/>
        <w:jc w:val="left"/>
        <w:rPr>
          <w:rFonts w:hint="eastAsia" w:ascii="宋体" w:hAnsi="宋体" w:eastAsia="宋体" w:cs="宋体"/>
          <w:color w:val="auto"/>
          <w:spacing w:val="4"/>
          <w:sz w:val="24"/>
          <w:highlight w:val="none"/>
        </w:rPr>
      </w:pPr>
    </w:p>
    <w:p w14:paraId="4DD7D046">
      <w:pPr>
        <w:spacing w:line="360" w:lineRule="auto"/>
        <w:ind w:firstLine="496" w:firstLineChars="200"/>
        <w:jc w:val="left"/>
        <w:rPr>
          <w:rFonts w:hint="eastAsia" w:ascii="宋体" w:hAnsi="宋体" w:eastAsia="宋体" w:cs="宋体"/>
          <w:color w:val="auto"/>
          <w:spacing w:val="4"/>
          <w:sz w:val="24"/>
          <w:highlight w:val="none"/>
        </w:rPr>
      </w:pPr>
      <w:r>
        <w:rPr>
          <w:rFonts w:hint="eastAsia" w:ascii="宋体" w:hAnsi="宋体" w:eastAsia="宋体" w:cs="宋体"/>
          <w:color w:val="auto"/>
          <w:spacing w:val="4"/>
          <w:sz w:val="24"/>
          <w:highlight w:val="none"/>
        </w:rPr>
        <w:t xml:space="preserve">                                         单位名称（盖章）：</w:t>
      </w:r>
    </w:p>
    <w:p w14:paraId="5C0D2A1F">
      <w:pPr>
        <w:spacing w:line="360" w:lineRule="auto"/>
        <w:ind w:firstLine="496" w:firstLineChars="200"/>
        <w:jc w:val="left"/>
        <w:rPr>
          <w:rFonts w:hint="eastAsia" w:ascii="宋体" w:hAnsi="宋体" w:eastAsia="宋体" w:cs="宋体"/>
          <w:color w:val="auto"/>
          <w:spacing w:val="4"/>
          <w:sz w:val="24"/>
          <w:highlight w:val="none"/>
        </w:rPr>
      </w:pPr>
      <w:r>
        <w:rPr>
          <w:rFonts w:hint="eastAsia" w:ascii="宋体" w:hAnsi="宋体" w:eastAsia="宋体" w:cs="宋体"/>
          <w:color w:val="auto"/>
          <w:spacing w:val="4"/>
          <w:sz w:val="24"/>
          <w:highlight w:val="none"/>
        </w:rPr>
        <w:t xml:space="preserve">                                         日    期：</w:t>
      </w:r>
    </w:p>
    <w:p w14:paraId="1CA23FC8">
      <w:pPr>
        <w:rPr>
          <w:rFonts w:hint="eastAsia" w:ascii="宋体" w:hAnsi="宋体" w:eastAsia="宋体" w:cs="宋体"/>
          <w:color w:val="auto"/>
          <w:highlight w:val="none"/>
        </w:rPr>
      </w:pPr>
    </w:p>
    <w:p w14:paraId="01CED6C4">
      <w:pPr>
        <w:rPr>
          <w:rFonts w:hint="eastAsia" w:ascii="宋体" w:hAnsi="宋体" w:eastAsia="宋体" w:cs="宋体"/>
          <w:color w:val="auto"/>
          <w:highlight w:val="none"/>
        </w:rPr>
      </w:pPr>
    </w:p>
    <w:p w14:paraId="2CA7FB85">
      <w:pPr>
        <w:pStyle w:val="16"/>
        <w:spacing w:before="79" w:line="466" w:lineRule="auto"/>
        <w:ind w:left="10" w:right="2" w:firstLine="503"/>
        <w:rPr>
          <w:rFonts w:hint="eastAsia" w:ascii="宋体" w:hAnsi="宋体" w:eastAsia="宋体" w:cs="宋体"/>
          <w:color w:val="auto"/>
          <w:szCs w:val="24"/>
          <w:highlight w:val="none"/>
        </w:rPr>
      </w:pPr>
      <w:r>
        <w:rPr>
          <w:rFonts w:hint="eastAsia" w:ascii="宋体" w:hAnsi="宋体" w:eastAsia="宋体" w:cs="宋体"/>
          <w:color w:val="auto"/>
          <w:spacing w:val="4"/>
          <w:szCs w:val="24"/>
          <w:highlight w:val="none"/>
        </w:rPr>
        <w:t>注：若供应商不属于残疾人福利性单位，则无需对本声明函进行填写、盖章或签</w:t>
      </w:r>
      <w:r>
        <w:rPr>
          <w:rFonts w:hint="eastAsia" w:ascii="宋体" w:hAnsi="宋体" w:eastAsia="宋体" w:cs="宋体"/>
          <w:color w:val="auto"/>
          <w:spacing w:val="15"/>
          <w:szCs w:val="24"/>
          <w:highlight w:val="none"/>
        </w:rPr>
        <w:t xml:space="preserve"> </w:t>
      </w:r>
      <w:r>
        <w:rPr>
          <w:rFonts w:hint="eastAsia" w:ascii="宋体" w:hAnsi="宋体" w:eastAsia="宋体" w:cs="宋体"/>
          <w:color w:val="auto"/>
          <w:spacing w:val="12"/>
          <w:szCs w:val="24"/>
          <w:highlight w:val="none"/>
        </w:rPr>
        <w:t>字，但本声明函格式应予以保留。</w:t>
      </w:r>
    </w:p>
    <w:p w14:paraId="11DA40BE">
      <w:pPr>
        <w:rPr>
          <w:rFonts w:hint="eastAsia" w:ascii="宋体" w:hAnsi="宋体" w:eastAsia="宋体" w:cs="宋体"/>
          <w:color w:val="auto"/>
          <w:highlight w:val="none"/>
        </w:rPr>
      </w:pPr>
    </w:p>
    <w:p w14:paraId="026CD045">
      <w:pPr>
        <w:widowControl/>
        <w:jc w:val="left"/>
        <w:rPr>
          <w:rFonts w:hint="eastAsia" w:ascii="宋体" w:hAnsi="宋体" w:eastAsia="宋体" w:cs="宋体"/>
          <w:b/>
          <w:color w:val="auto"/>
          <w:sz w:val="28"/>
          <w:szCs w:val="28"/>
          <w:highlight w:val="none"/>
        </w:rPr>
      </w:pPr>
      <w:r>
        <w:rPr>
          <w:rFonts w:hint="eastAsia" w:ascii="宋体" w:hAnsi="宋体" w:eastAsia="宋体" w:cs="宋体"/>
          <w:b/>
          <w:color w:val="auto"/>
          <w:sz w:val="28"/>
          <w:szCs w:val="28"/>
          <w:highlight w:val="none"/>
        </w:rPr>
        <w:br w:type="page"/>
      </w:r>
    </w:p>
    <w:p w14:paraId="7911BC0D">
      <w:pPr>
        <w:widowControl/>
        <w:jc w:val="center"/>
        <w:rPr>
          <w:rFonts w:hint="eastAsia" w:ascii="宋体" w:hAnsi="宋体" w:eastAsia="宋体" w:cs="宋体"/>
          <w:b/>
          <w:color w:val="auto"/>
          <w:sz w:val="28"/>
          <w:szCs w:val="28"/>
          <w:highlight w:val="none"/>
        </w:rPr>
      </w:pPr>
      <w:r>
        <w:rPr>
          <w:rFonts w:hint="eastAsia" w:ascii="宋体" w:hAnsi="宋体" w:eastAsia="宋体" w:cs="宋体"/>
          <w:b/>
          <w:color w:val="auto"/>
          <w:sz w:val="28"/>
          <w:szCs w:val="28"/>
          <w:highlight w:val="none"/>
        </w:rPr>
        <w:t>监狱企业证明文件（如有）</w:t>
      </w:r>
    </w:p>
    <w:p w14:paraId="4460D4AA">
      <w:pPr>
        <w:pStyle w:val="16"/>
        <w:rPr>
          <w:rFonts w:hint="eastAsia" w:ascii="宋体" w:hAnsi="宋体" w:eastAsia="宋体" w:cs="宋体"/>
          <w:color w:val="auto"/>
          <w:highlight w:val="none"/>
        </w:rPr>
      </w:pPr>
    </w:p>
    <w:p w14:paraId="458BD970">
      <w:pPr>
        <w:spacing w:line="360" w:lineRule="auto"/>
        <w:ind w:firstLine="496" w:firstLineChars="200"/>
        <w:jc w:val="left"/>
        <w:rPr>
          <w:rFonts w:hint="eastAsia" w:ascii="宋体" w:hAnsi="宋体" w:eastAsia="宋体" w:cs="宋体"/>
          <w:color w:val="auto"/>
          <w:spacing w:val="4"/>
          <w:sz w:val="24"/>
          <w:highlight w:val="none"/>
        </w:rPr>
      </w:pPr>
      <w:r>
        <w:rPr>
          <w:rFonts w:hint="eastAsia" w:ascii="宋体" w:hAnsi="宋体" w:eastAsia="宋体" w:cs="宋体"/>
          <w:color w:val="auto"/>
          <w:spacing w:val="4"/>
          <w:sz w:val="24"/>
          <w:highlight w:val="none"/>
        </w:rPr>
        <w:t>根据财政部、司法部《关于政府采购支持监狱企业发展有关问题的通知》（财库〔2014〕68号）的规定，监狱企业参加政府采购活动时，应当提供由省级以上监狱管理局、戒毒管理局（含新疆生产建设兵团）出具的属于监狱企业的证明文件。</w:t>
      </w:r>
    </w:p>
    <w:p w14:paraId="4A766AD5">
      <w:pPr>
        <w:pStyle w:val="16"/>
        <w:rPr>
          <w:rFonts w:hint="eastAsia" w:ascii="宋体" w:hAnsi="宋体" w:eastAsia="宋体" w:cs="宋体"/>
          <w:color w:val="auto"/>
          <w:spacing w:val="6"/>
          <w:sz w:val="28"/>
          <w:szCs w:val="36"/>
          <w:highlight w:val="none"/>
        </w:rPr>
      </w:pPr>
    </w:p>
    <w:p w14:paraId="7782807D">
      <w:pPr>
        <w:pStyle w:val="145"/>
        <w:rPr>
          <w:rFonts w:hint="eastAsia" w:ascii="宋体" w:hAnsi="宋体" w:eastAsia="宋体" w:cs="宋体"/>
          <w:color w:val="auto"/>
          <w:spacing w:val="6"/>
          <w:sz w:val="28"/>
          <w:szCs w:val="36"/>
          <w:highlight w:val="none"/>
        </w:rPr>
      </w:pPr>
    </w:p>
    <w:p w14:paraId="13B506D7">
      <w:pPr>
        <w:pStyle w:val="145"/>
        <w:rPr>
          <w:rFonts w:hint="eastAsia" w:ascii="宋体" w:hAnsi="宋体" w:eastAsia="宋体" w:cs="宋体"/>
          <w:color w:val="auto"/>
          <w:spacing w:val="6"/>
          <w:sz w:val="28"/>
          <w:szCs w:val="36"/>
          <w:highlight w:val="none"/>
        </w:rPr>
      </w:pPr>
    </w:p>
    <w:p w14:paraId="5B088361">
      <w:pPr>
        <w:pStyle w:val="145"/>
        <w:rPr>
          <w:rFonts w:hint="eastAsia" w:ascii="宋体" w:hAnsi="宋体" w:eastAsia="宋体" w:cs="宋体"/>
          <w:color w:val="auto"/>
          <w:spacing w:val="6"/>
          <w:sz w:val="28"/>
          <w:szCs w:val="36"/>
          <w:highlight w:val="none"/>
        </w:rPr>
      </w:pPr>
    </w:p>
    <w:p w14:paraId="23FA4637">
      <w:pPr>
        <w:spacing w:line="360" w:lineRule="auto"/>
        <w:ind w:firstLine="496" w:firstLineChars="200"/>
        <w:jc w:val="left"/>
        <w:rPr>
          <w:rFonts w:hint="eastAsia" w:ascii="宋体" w:hAnsi="宋体" w:eastAsia="宋体" w:cs="宋体"/>
          <w:color w:val="auto"/>
          <w:spacing w:val="4"/>
          <w:sz w:val="24"/>
          <w:highlight w:val="none"/>
        </w:rPr>
      </w:pPr>
    </w:p>
    <w:p w14:paraId="69F367A9">
      <w:pPr>
        <w:spacing w:line="360" w:lineRule="auto"/>
        <w:ind w:firstLine="496" w:firstLineChars="200"/>
        <w:jc w:val="right"/>
        <w:rPr>
          <w:rFonts w:hint="eastAsia" w:ascii="宋体" w:hAnsi="宋体" w:eastAsia="宋体" w:cs="宋体"/>
          <w:color w:val="auto"/>
          <w:spacing w:val="4"/>
          <w:sz w:val="24"/>
          <w:highlight w:val="none"/>
        </w:rPr>
      </w:pPr>
      <w:r>
        <w:rPr>
          <w:rFonts w:hint="eastAsia" w:ascii="宋体" w:hAnsi="宋体" w:eastAsia="宋体" w:cs="宋体"/>
          <w:color w:val="auto"/>
          <w:spacing w:val="4"/>
          <w:sz w:val="24"/>
          <w:highlight w:val="none"/>
        </w:rPr>
        <w:t xml:space="preserve"> 单位名称（盖章）：</w:t>
      </w:r>
    </w:p>
    <w:p w14:paraId="3CA6E8F4">
      <w:pPr>
        <w:spacing w:line="360" w:lineRule="auto"/>
        <w:ind w:firstLine="496" w:firstLineChars="200"/>
        <w:jc w:val="center"/>
        <w:rPr>
          <w:rFonts w:hint="eastAsia" w:ascii="宋体" w:hAnsi="宋体" w:eastAsia="宋体" w:cs="宋体"/>
          <w:color w:val="auto"/>
          <w:spacing w:val="4"/>
          <w:sz w:val="24"/>
          <w:highlight w:val="none"/>
        </w:rPr>
      </w:pPr>
      <w:r>
        <w:rPr>
          <w:rFonts w:hint="eastAsia" w:ascii="宋体" w:hAnsi="宋体" w:eastAsia="宋体" w:cs="宋体"/>
          <w:color w:val="auto"/>
          <w:spacing w:val="4"/>
          <w:sz w:val="24"/>
          <w:highlight w:val="none"/>
        </w:rPr>
        <w:t xml:space="preserve">                                         日    期：</w:t>
      </w:r>
    </w:p>
    <w:p w14:paraId="086AB0AC">
      <w:pPr>
        <w:spacing w:line="360" w:lineRule="auto"/>
        <w:ind w:firstLine="496" w:firstLineChars="200"/>
        <w:jc w:val="center"/>
        <w:rPr>
          <w:rFonts w:hint="eastAsia" w:ascii="宋体" w:hAnsi="宋体" w:eastAsia="宋体" w:cs="宋体"/>
          <w:color w:val="auto"/>
          <w:spacing w:val="4"/>
          <w:sz w:val="24"/>
          <w:highlight w:val="none"/>
        </w:rPr>
      </w:pPr>
    </w:p>
    <w:p w14:paraId="37148C85">
      <w:pPr>
        <w:spacing w:line="360" w:lineRule="auto"/>
        <w:ind w:firstLine="496" w:firstLineChars="200"/>
        <w:rPr>
          <w:rFonts w:hint="eastAsia" w:ascii="宋体" w:hAnsi="宋体" w:eastAsia="宋体" w:cs="宋体"/>
          <w:color w:val="auto"/>
          <w:spacing w:val="4"/>
          <w:sz w:val="24"/>
          <w:highlight w:val="none"/>
        </w:rPr>
      </w:pPr>
      <w:r>
        <w:rPr>
          <w:rFonts w:hint="eastAsia" w:ascii="宋体" w:hAnsi="宋体" w:eastAsia="宋体" w:cs="宋体"/>
          <w:color w:val="auto"/>
          <w:spacing w:val="4"/>
          <w:sz w:val="24"/>
          <w:highlight w:val="none"/>
        </w:rPr>
        <w:t>注：</w:t>
      </w:r>
      <w:r>
        <w:rPr>
          <w:rFonts w:hint="eastAsia" w:ascii="宋体" w:hAnsi="宋体" w:eastAsia="宋体" w:cs="宋体"/>
          <w:color w:val="auto"/>
          <w:spacing w:val="13"/>
          <w:sz w:val="24"/>
          <w:highlight w:val="none"/>
        </w:rPr>
        <w:t>若供应商不属于监狱企业，则无需对本证明函进行填写、盖章或签字。</w:t>
      </w:r>
    </w:p>
    <w:p w14:paraId="774FE365">
      <w:pPr>
        <w:pStyle w:val="16"/>
        <w:rPr>
          <w:rFonts w:hint="eastAsia" w:ascii="宋体" w:hAnsi="宋体" w:eastAsia="宋体" w:cs="宋体"/>
          <w:color w:val="auto"/>
          <w:spacing w:val="6"/>
          <w:sz w:val="28"/>
          <w:szCs w:val="36"/>
          <w:highlight w:val="none"/>
        </w:rPr>
      </w:pPr>
    </w:p>
    <w:p w14:paraId="5C620F18">
      <w:pPr>
        <w:pStyle w:val="145"/>
        <w:rPr>
          <w:rFonts w:hint="eastAsia" w:ascii="宋体" w:hAnsi="宋体" w:eastAsia="宋体" w:cs="宋体"/>
          <w:color w:val="auto"/>
          <w:spacing w:val="6"/>
          <w:sz w:val="28"/>
          <w:szCs w:val="36"/>
          <w:highlight w:val="none"/>
        </w:rPr>
      </w:pPr>
    </w:p>
    <w:p w14:paraId="2C8C0ED7">
      <w:pPr>
        <w:pStyle w:val="145"/>
        <w:rPr>
          <w:rFonts w:hint="eastAsia" w:ascii="宋体" w:hAnsi="宋体" w:eastAsia="宋体" w:cs="宋体"/>
          <w:color w:val="auto"/>
          <w:spacing w:val="6"/>
          <w:sz w:val="28"/>
          <w:szCs w:val="36"/>
          <w:highlight w:val="none"/>
        </w:rPr>
      </w:pPr>
    </w:p>
    <w:p w14:paraId="1C9B6F7B">
      <w:pPr>
        <w:pStyle w:val="145"/>
        <w:rPr>
          <w:rFonts w:hint="eastAsia" w:ascii="宋体" w:hAnsi="宋体" w:eastAsia="宋体" w:cs="宋体"/>
          <w:color w:val="auto"/>
          <w:spacing w:val="6"/>
          <w:sz w:val="28"/>
          <w:szCs w:val="36"/>
          <w:highlight w:val="none"/>
        </w:rPr>
      </w:pPr>
    </w:p>
    <w:p w14:paraId="2207E247">
      <w:pPr>
        <w:widowControl/>
        <w:jc w:val="left"/>
        <w:rPr>
          <w:rFonts w:hint="eastAsia" w:ascii="宋体" w:hAnsi="宋体" w:eastAsia="宋体" w:cs="宋体"/>
          <w:b/>
          <w:color w:val="auto"/>
          <w:sz w:val="28"/>
          <w:szCs w:val="28"/>
          <w:highlight w:val="none"/>
        </w:rPr>
      </w:pPr>
    </w:p>
    <w:p w14:paraId="2942A1D2">
      <w:pPr>
        <w:widowControl/>
        <w:jc w:val="left"/>
        <w:rPr>
          <w:rFonts w:hint="eastAsia" w:ascii="宋体" w:hAnsi="宋体" w:eastAsia="宋体" w:cs="宋体"/>
          <w:b/>
          <w:color w:val="auto"/>
          <w:sz w:val="28"/>
          <w:szCs w:val="28"/>
          <w:highlight w:val="none"/>
        </w:rPr>
      </w:pPr>
    </w:p>
    <w:p w14:paraId="46F08D2D">
      <w:pPr>
        <w:widowControl/>
        <w:jc w:val="left"/>
        <w:rPr>
          <w:rFonts w:hint="eastAsia" w:ascii="宋体" w:hAnsi="宋体" w:eastAsia="宋体" w:cs="宋体"/>
          <w:b/>
          <w:color w:val="auto"/>
          <w:sz w:val="28"/>
          <w:szCs w:val="28"/>
          <w:highlight w:val="none"/>
        </w:rPr>
      </w:pPr>
    </w:p>
    <w:p w14:paraId="55D67764">
      <w:pPr>
        <w:widowControl/>
        <w:jc w:val="left"/>
        <w:rPr>
          <w:rFonts w:hint="eastAsia" w:ascii="宋体" w:hAnsi="宋体" w:eastAsia="宋体" w:cs="宋体"/>
          <w:b/>
          <w:color w:val="auto"/>
          <w:sz w:val="28"/>
          <w:szCs w:val="28"/>
          <w:highlight w:val="none"/>
        </w:rPr>
      </w:pPr>
    </w:p>
    <w:p w14:paraId="54ED69D6">
      <w:pPr>
        <w:widowControl/>
        <w:jc w:val="left"/>
        <w:rPr>
          <w:rFonts w:hint="eastAsia" w:ascii="宋体" w:hAnsi="宋体" w:eastAsia="宋体" w:cs="宋体"/>
          <w:b/>
          <w:color w:val="auto"/>
          <w:sz w:val="28"/>
          <w:szCs w:val="28"/>
          <w:highlight w:val="none"/>
        </w:rPr>
      </w:pPr>
    </w:p>
    <w:p w14:paraId="1D9AC6B2">
      <w:pPr>
        <w:widowControl/>
        <w:jc w:val="left"/>
        <w:rPr>
          <w:rFonts w:hint="eastAsia" w:ascii="宋体" w:hAnsi="宋体" w:eastAsia="宋体" w:cs="宋体"/>
          <w:b/>
          <w:color w:val="auto"/>
          <w:sz w:val="28"/>
          <w:szCs w:val="28"/>
          <w:highlight w:val="none"/>
        </w:rPr>
      </w:pPr>
    </w:p>
    <w:p w14:paraId="2FF657ED">
      <w:pPr>
        <w:numPr>
          <w:ilvl w:val="1"/>
          <w:numId w:val="0"/>
        </w:numPr>
        <w:tabs>
          <w:tab w:val="left" w:pos="720"/>
        </w:tabs>
        <w:adjustRightInd w:val="0"/>
        <w:spacing w:line="416" w:lineRule="atLeast"/>
        <w:jc w:val="center"/>
        <w:textAlignment w:val="baseline"/>
        <w:rPr>
          <w:rFonts w:hint="eastAsia" w:ascii="宋体" w:hAnsi="宋体" w:eastAsia="宋体" w:cs="宋体"/>
          <w:b/>
          <w:color w:val="auto"/>
          <w:sz w:val="28"/>
          <w:szCs w:val="28"/>
          <w:highlight w:val="none"/>
        </w:rPr>
      </w:pPr>
      <w:bookmarkStart w:id="13" w:name="_Toc21834"/>
      <w:bookmarkStart w:id="14" w:name="_Toc4076"/>
      <w:bookmarkStart w:id="15" w:name="_Toc14693"/>
      <w:bookmarkStart w:id="16" w:name="_Toc12828"/>
      <w:bookmarkStart w:id="17" w:name="_Toc19378"/>
      <w:bookmarkStart w:id="18" w:name="_Toc14629"/>
      <w:bookmarkStart w:id="19" w:name="_Toc810"/>
      <w:bookmarkStart w:id="20" w:name="_Toc24315"/>
      <w:bookmarkStart w:id="21" w:name="_Toc23254"/>
      <w:bookmarkStart w:id="22" w:name="_Toc24197"/>
      <w:bookmarkStart w:id="23" w:name="_Toc13303"/>
      <w:bookmarkStart w:id="24" w:name="_Toc28873"/>
      <w:bookmarkStart w:id="25" w:name="_Toc27326"/>
      <w:bookmarkStart w:id="26" w:name="_Toc22336"/>
      <w:bookmarkStart w:id="27" w:name="_Toc22428"/>
      <w:bookmarkStart w:id="28" w:name="_Toc5020"/>
      <w:bookmarkStart w:id="29" w:name="_Toc31338"/>
      <w:bookmarkStart w:id="30" w:name="_Toc29358"/>
      <w:r>
        <w:rPr>
          <w:rFonts w:hint="eastAsia" w:ascii="宋体" w:hAnsi="宋体" w:eastAsia="宋体" w:cs="宋体"/>
          <w:b/>
          <w:color w:val="auto"/>
          <w:sz w:val="28"/>
          <w:szCs w:val="28"/>
          <w:highlight w:val="none"/>
        </w:rPr>
        <w:t>“节能产品”、“环境标志产品”证明材料</w:t>
      </w:r>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r>
        <w:rPr>
          <w:rFonts w:hint="eastAsia" w:ascii="宋体" w:hAnsi="宋体" w:eastAsia="宋体" w:cs="宋体"/>
          <w:b/>
          <w:color w:val="auto"/>
          <w:sz w:val="28"/>
          <w:szCs w:val="28"/>
          <w:highlight w:val="none"/>
        </w:rPr>
        <w:t>（如有）</w:t>
      </w:r>
    </w:p>
    <w:p w14:paraId="6715DA7F">
      <w:pPr>
        <w:widowControl/>
        <w:spacing w:line="360" w:lineRule="auto"/>
        <w:ind w:firstLine="504" w:firstLineChars="200"/>
        <w:rPr>
          <w:rFonts w:hint="eastAsia" w:ascii="宋体" w:hAnsi="宋体" w:eastAsia="宋体" w:cs="宋体"/>
          <w:color w:val="auto"/>
          <w:spacing w:val="6"/>
          <w:sz w:val="24"/>
          <w:highlight w:val="none"/>
        </w:rPr>
      </w:pPr>
    </w:p>
    <w:p w14:paraId="3F131B6E">
      <w:pPr>
        <w:widowControl/>
        <w:spacing w:line="360" w:lineRule="auto"/>
        <w:ind w:firstLine="504" w:firstLineChars="200"/>
        <w:rPr>
          <w:rFonts w:hint="eastAsia" w:ascii="宋体" w:hAnsi="宋体" w:eastAsia="宋体" w:cs="宋体"/>
          <w:color w:val="auto"/>
          <w:spacing w:val="6"/>
          <w:sz w:val="24"/>
          <w:highlight w:val="none"/>
        </w:rPr>
      </w:pPr>
      <w:r>
        <w:rPr>
          <w:rFonts w:hint="eastAsia" w:ascii="宋体" w:hAnsi="宋体" w:eastAsia="宋体" w:cs="宋体"/>
          <w:color w:val="auto"/>
          <w:spacing w:val="6"/>
          <w:sz w:val="24"/>
          <w:highlight w:val="none"/>
        </w:rPr>
        <w:t xml:space="preserve"> 供应商提供的产品属于下列情形的，提供产品列入“节能产品”、“环境标志产品”所在页的复印件（该页包含制造商或企业名称或申请单位名称、规格型号、有效期截止日期等内容），并加盖供应商单位公章。</w:t>
      </w:r>
    </w:p>
    <w:p w14:paraId="3F04585E">
      <w:pPr>
        <w:widowControl/>
        <w:spacing w:line="360" w:lineRule="auto"/>
        <w:ind w:firstLine="504" w:firstLineChars="200"/>
        <w:rPr>
          <w:rFonts w:hint="eastAsia" w:ascii="宋体" w:hAnsi="宋体" w:eastAsia="宋体" w:cs="宋体"/>
          <w:color w:val="auto"/>
          <w:sz w:val="24"/>
          <w:highlight w:val="none"/>
        </w:rPr>
      </w:pPr>
      <w:r>
        <w:rPr>
          <w:rFonts w:hint="eastAsia" w:ascii="宋体" w:hAnsi="宋体" w:eastAsia="宋体" w:cs="宋体"/>
          <w:color w:val="auto"/>
          <w:spacing w:val="6"/>
          <w:sz w:val="24"/>
          <w:highlight w:val="none"/>
        </w:rPr>
        <w:t>1、符合政府采购强制采购政策的</w:t>
      </w:r>
      <w:r>
        <w:rPr>
          <w:rFonts w:hint="eastAsia" w:ascii="宋体" w:hAnsi="宋体" w:eastAsia="宋体" w:cs="宋体"/>
          <w:color w:val="auto"/>
          <w:sz w:val="24"/>
          <w:highlight w:val="none"/>
        </w:rPr>
        <w:t>财政部、环境保护部发布的《节能产品政府采购清单》中标记的“强制采购节能产品”。</w:t>
      </w:r>
    </w:p>
    <w:p w14:paraId="085910BB">
      <w:pPr>
        <w:widowControl/>
        <w:spacing w:line="360" w:lineRule="auto"/>
        <w:ind w:firstLine="504" w:firstLineChars="200"/>
        <w:rPr>
          <w:rFonts w:hint="eastAsia" w:ascii="宋体" w:hAnsi="宋体" w:eastAsia="宋体" w:cs="宋体"/>
          <w:color w:val="auto"/>
          <w:sz w:val="24"/>
          <w:highlight w:val="none"/>
        </w:rPr>
      </w:pPr>
      <w:r>
        <w:rPr>
          <w:rFonts w:hint="eastAsia" w:ascii="宋体" w:hAnsi="宋体" w:eastAsia="宋体" w:cs="宋体"/>
          <w:color w:val="auto"/>
          <w:spacing w:val="6"/>
          <w:sz w:val="24"/>
          <w:highlight w:val="none"/>
        </w:rPr>
        <w:t>2、符合政府采购强制采购政策的</w:t>
      </w:r>
      <w:r>
        <w:rPr>
          <w:rFonts w:hint="eastAsia" w:ascii="宋体" w:hAnsi="宋体" w:eastAsia="宋体" w:cs="宋体"/>
          <w:color w:val="auto"/>
          <w:sz w:val="24"/>
          <w:highlight w:val="none"/>
        </w:rPr>
        <w:t>财政部、环境保护部发布的《环境标志产品政府采购清单》中标记的的“环境标志产品”。</w:t>
      </w:r>
    </w:p>
    <w:p w14:paraId="3479734D">
      <w:pPr>
        <w:widowControl/>
        <w:jc w:val="left"/>
        <w:rPr>
          <w:rFonts w:hint="eastAsia" w:ascii="宋体" w:hAnsi="宋体" w:eastAsia="宋体" w:cs="宋体"/>
          <w:color w:val="auto"/>
          <w:highlight w:val="none"/>
        </w:rPr>
      </w:pPr>
    </w:p>
    <w:p w14:paraId="26136F8B">
      <w:pPr>
        <w:pStyle w:val="16"/>
        <w:rPr>
          <w:rFonts w:hint="eastAsia" w:ascii="宋体" w:hAnsi="宋体" w:eastAsia="宋体" w:cs="宋体"/>
          <w:color w:val="auto"/>
          <w:highlight w:val="none"/>
        </w:rPr>
      </w:pPr>
    </w:p>
    <w:p w14:paraId="371B5E50">
      <w:pPr>
        <w:rPr>
          <w:rFonts w:hint="eastAsia" w:ascii="宋体" w:hAnsi="宋体" w:eastAsia="宋体" w:cs="宋体"/>
          <w:color w:val="auto"/>
          <w:spacing w:val="4"/>
          <w:sz w:val="24"/>
          <w:highlight w:val="none"/>
        </w:rPr>
      </w:pPr>
      <w:r>
        <w:rPr>
          <w:rFonts w:hint="eastAsia" w:ascii="宋体" w:hAnsi="宋体" w:eastAsia="宋体" w:cs="宋体"/>
          <w:color w:val="auto"/>
          <w:spacing w:val="4"/>
          <w:sz w:val="24"/>
          <w:highlight w:val="none"/>
        </w:rPr>
        <w:t>注：本单位对上述声明的真实性负责。如有虚假，将依法承担相应责任。</w:t>
      </w:r>
    </w:p>
    <w:p w14:paraId="5C65BA02">
      <w:pPr>
        <w:pStyle w:val="16"/>
        <w:rPr>
          <w:rFonts w:hint="eastAsia" w:ascii="宋体" w:hAnsi="宋体" w:eastAsia="宋体" w:cs="宋体"/>
          <w:color w:val="auto"/>
          <w:spacing w:val="4"/>
          <w:highlight w:val="none"/>
        </w:rPr>
      </w:pPr>
    </w:p>
    <w:p w14:paraId="38D1C10B">
      <w:pPr>
        <w:rPr>
          <w:rFonts w:hint="eastAsia" w:ascii="宋体" w:hAnsi="宋体" w:eastAsia="宋体" w:cs="宋体"/>
          <w:color w:val="auto"/>
          <w:spacing w:val="4"/>
          <w:sz w:val="24"/>
          <w:highlight w:val="none"/>
        </w:rPr>
      </w:pPr>
    </w:p>
    <w:p w14:paraId="45CA2E80">
      <w:pPr>
        <w:pStyle w:val="16"/>
        <w:rPr>
          <w:rFonts w:hint="eastAsia" w:ascii="宋体" w:hAnsi="宋体" w:eastAsia="宋体" w:cs="宋体"/>
          <w:color w:val="auto"/>
          <w:spacing w:val="4"/>
          <w:highlight w:val="none"/>
        </w:rPr>
      </w:pPr>
    </w:p>
    <w:p w14:paraId="060441F8">
      <w:pPr>
        <w:rPr>
          <w:rFonts w:hint="eastAsia" w:ascii="宋体" w:hAnsi="宋体" w:eastAsia="宋体" w:cs="宋体"/>
          <w:color w:val="auto"/>
          <w:spacing w:val="4"/>
          <w:sz w:val="24"/>
          <w:highlight w:val="none"/>
        </w:rPr>
      </w:pPr>
    </w:p>
    <w:p w14:paraId="45258732">
      <w:pPr>
        <w:spacing w:line="360" w:lineRule="auto"/>
        <w:ind w:firstLine="496" w:firstLineChars="200"/>
        <w:jc w:val="center"/>
        <w:rPr>
          <w:rFonts w:hint="eastAsia" w:ascii="宋体" w:hAnsi="宋体" w:eastAsia="宋体" w:cs="宋体"/>
          <w:color w:val="auto"/>
          <w:spacing w:val="4"/>
          <w:sz w:val="24"/>
          <w:highlight w:val="none"/>
        </w:rPr>
      </w:pPr>
      <w:r>
        <w:rPr>
          <w:rFonts w:hint="eastAsia" w:ascii="宋体" w:hAnsi="宋体" w:eastAsia="宋体" w:cs="宋体"/>
          <w:color w:val="auto"/>
          <w:spacing w:val="4"/>
          <w:sz w:val="24"/>
          <w:highlight w:val="none"/>
        </w:rPr>
        <w:t xml:space="preserve">                       单位名称（盖章）：</w:t>
      </w:r>
    </w:p>
    <w:p w14:paraId="321C0C30">
      <w:pPr>
        <w:pStyle w:val="93"/>
        <w:ind w:firstLine="496"/>
        <w:rPr>
          <w:rFonts w:hint="eastAsia" w:ascii="宋体" w:hAnsi="宋体" w:eastAsia="宋体" w:cs="宋体"/>
          <w:color w:val="auto"/>
          <w:spacing w:val="4"/>
          <w:sz w:val="24"/>
          <w:highlight w:val="none"/>
        </w:rPr>
      </w:pPr>
      <w:r>
        <w:rPr>
          <w:rFonts w:hint="eastAsia" w:ascii="宋体" w:hAnsi="宋体" w:eastAsia="宋体" w:cs="宋体"/>
          <w:color w:val="auto"/>
          <w:spacing w:val="4"/>
          <w:sz w:val="24"/>
          <w:highlight w:val="none"/>
        </w:rPr>
        <w:t xml:space="preserve">                                      日    期：</w:t>
      </w:r>
    </w:p>
    <w:p w14:paraId="3AB55B33">
      <w:pPr>
        <w:pStyle w:val="93"/>
        <w:ind w:firstLine="496"/>
        <w:rPr>
          <w:rFonts w:hint="eastAsia" w:ascii="宋体" w:hAnsi="宋体" w:eastAsia="宋体" w:cs="宋体"/>
          <w:color w:val="auto"/>
          <w:spacing w:val="4"/>
          <w:sz w:val="24"/>
          <w:highlight w:val="none"/>
        </w:rPr>
      </w:pPr>
    </w:p>
    <w:p w14:paraId="7DCEF731">
      <w:pPr>
        <w:pStyle w:val="93"/>
        <w:ind w:firstLine="496"/>
        <w:rPr>
          <w:rFonts w:hint="eastAsia" w:ascii="宋体" w:hAnsi="宋体" w:eastAsia="宋体" w:cs="宋体"/>
          <w:color w:val="auto"/>
          <w:spacing w:val="4"/>
          <w:sz w:val="24"/>
          <w:highlight w:val="none"/>
        </w:rPr>
      </w:pPr>
    </w:p>
    <w:p w14:paraId="5981232C">
      <w:pPr>
        <w:pStyle w:val="93"/>
        <w:ind w:firstLine="496"/>
        <w:rPr>
          <w:rFonts w:hint="eastAsia" w:ascii="宋体" w:hAnsi="宋体" w:eastAsia="宋体" w:cs="宋体"/>
          <w:color w:val="auto"/>
          <w:spacing w:val="4"/>
          <w:sz w:val="24"/>
          <w:highlight w:val="none"/>
        </w:rPr>
      </w:pPr>
    </w:p>
    <w:p w14:paraId="2D712111">
      <w:pPr>
        <w:pStyle w:val="12"/>
        <w:rPr>
          <w:rFonts w:hint="eastAsia" w:ascii="宋体" w:hAnsi="宋体" w:eastAsia="宋体" w:cs="宋体"/>
          <w:color w:val="auto"/>
          <w:spacing w:val="13"/>
          <w:szCs w:val="24"/>
          <w:highlight w:val="none"/>
        </w:rPr>
      </w:pPr>
      <w:r>
        <w:rPr>
          <w:rFonts w:hint="eastAsia" w:ascii="宋体" w:hAnsi="宋体" w:eastAsia="宋体" w:cs="宋体"/>
          <w:color w:val="auto"/>
          <w:spacing w:val="13"/>
          <w:szCs w:val="24"/>
          <w:highlight w:val="none"/>
        </w:rPr>
        <w:t>注：若无则无需对本条进行填写、盖章或签字， 但本条格式应予以保留。</w:t>
      </w:r>
    </w:p>
    <w:p w14:paraId="1E6FAE3C">
      <w:pPr>
        <w:pStyle w:val="93"/>
        <w:ind w:firstLine="0" w:firstLineChars="0"/>
        <w:rPr>
          <w:rFonts w:hint="eastAsia" w:ascii="宋体" w:hAnsi="宋体" w:eastAsia="宋体" w:cs="宋体"/>
          <w:color w:val="auto"/>
          <w:spacing w:val="4"/>
          <w:sz w:val="24"/>
          <w:highlight w:val="none"/>
        </w:rPr>
      </w:pPr>
    </w:p>
    <w:p w14:paraId="12C4FA58">
      <w:pPr>
        <w:pStyle w:val="12"/>
        <w:rPr>
          <w:rFonts w:hint="eastAsia" w:ascii="宋体" w:hAnsi="宋体" w:eastAsia="宋体" w:cs="宋体"/>
          <w:color w:val="auto"/>
          <w:highlight w:val="none"/>
        </w:rPr>
      </w:pPr>
    </w:p>
    <w:sectPr>
      <w:footerReference r:id="rId11" w:type="default"/>
      <w:pgSz w:w="11906" w:h="16838"/>
      <w:pgMar w:top="1417" w:right="1417" w:bottom="1417" w:left="1417" w:header="567" w:footer="1020"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8"/>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monospac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SourceHanSansCN-Regular">
    <w:altName w:val="Segoe Print"/>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733E98C">
    <w:pPr>
      <w:pStyle w:val="27"/>
    </w:pPr>
    <w:r>
      <w:rPr>
        <w:rFonts w:hint="eastAsia" w:asciiTheme="majorEastAsia" w:hAnsiTheme="majorEastAsia" w:eastAsiaTheme="majorEastAsia" w:cstheme="majorEastAsia"/>
        <w:sz w:val="22"/>
        <w:szCs w:val="22"/>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8505BCA">
    <w:pPr>
      <w:pStyle w:val="27"/>
    </w:pPr>
    <w:r>
      <w:rPr>
        <w:rFonts w:hint="eastAsia" w:asciiTheme="majorEastAsia" w:hAnsiTheme="majorEastAsia" w:eastAsiaTheme="majorEastAsia" w:cstheme="majorEastAsia"/>
        <w:sz w:val="22"/>
        <w:szCs w:val="22"/>
      </w:rP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76612E7">
    <w:pPr>
      <w:pStyle w:val="27"/>
    </w:pPr>
    <w:r>
      <w:rPr>
        <w:sz w:val="22"/>
      </w:rPr>
      <w:pict>
        <v:shape id="_x0000_s1039" o:spid="_x0000_s1039" o:spt="202" type="#_x0000_t202" style="position:absolute;left:0pt;margin-top:0pt;height:144pt;width:144pt;mso-position-horizontal:center;mso-position-horizontal-relative:margin;mso-wrap-style:none;z-index:251667456;mso-width-relative:page;mso-height-relative:page;" filled="f" stroked="f" coordsize="21600,21600">
          <v:path/>
          <v:fill on="f" focussize="0,0"/>
          <v:stroke on="f"/>
          <v:imagedata o:title=""/>
          <o:lock v:ext="edit" aspectratio="f"/>
          <v:textbox inset="0mm,0mm,0mm,0mm" style="mso-fit-shape-to-text:t;">
            <w:txbxContent>
              <w:p w14:paraId="2F055377">
                <w:pPr>
                  <w:pStyle w:val="27"/>
                </w:pPr>
                <w:r>
                  <w:fldChar w:fldCharType="begin"/>
                </w:r>
                <w:r>
                  <w:instrText xml:space="preserve"> PAGE  \* MERGEFORMAT </w:instrText>
                </w:r>
                <w:r>
                  <w:fldChar w:fldCharType="separate"/>
                </w:r>
                <w:r>
                  <w:t>1</w:t>
                </w:r>
                <w:r>
                  <w:fldChar w:fldCharType="end"/>
                </w:r>
              </w:p>
            </w:txbxContent>
          </v:textbox>
        </v:shape>
      </w:pict>
    </w:r>
    <w:r>
      <w:rPr>
        <w:rFonts w:hint="eastAsia" w:asciiTheme="majorEastAsia" w:hAnsiTheme="majorEastAsia" w:eastAsiaTheme="majorEastAsia" w:cstheme="majorEastAsia"/>
        <w:sz w:val="22"/>
        <w:szCs w:val="22"/>
      </w:rPr>
      <w:t xml:space="preserve">                               </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62E4E13">
    <w:pPr>
      <w:pStyle w:val="27"/>
      <w:tabs>
        <w:tab w:val="center" w:pos="4366"/>
        <w:tab w:val="right" w:pos="8852"/>
      </w:tabs>
      <w:jc w:val="left"/>
      <w:rPr>
        <w:rFonts w:ascii="宋体" w:hAnsi="宋体"/>
        <w:sz w:val="28"/>
        <w:szCs w:val="28"/>
      </w:rPr>
    </w:pPr>
    <w:r>
      <w:rPr>
        <w:sz w:val="28"/>
      </w:rPr>
      <w:pict>
        <v:shape id="_x0000_s1036" o:spid="_x0000_s1036" o:spt="202" type="#_x0000_t202" style="position:absolute;left:0pt;margin-top:0pt;height:144pt;width:144pt;mso-position-horizontal:center;mso-position-horizontal-relative:margin;mso-wrap-style:none;z-index:251664384;mso-width-relative:page;mso-height-relative:page;" filled="f" stroked="f" coordsize="21600,21600">
          <v:path/>
          <v:fill on="f" focussize="0,0"/>
          <v:stroke on="f"/>
          <v:imagedata o:title=""/>
          <o:lock v:ext="edit" aspectratio="f"/>
          <v:textbox inset="0mm,0mm,0mm,0mm" style="mso-fit-shape-to-text:t;">
            <w:txbxContent>
              <w:p w14:paraId="7262C641">
                <w:pPr>
                  <w:pStyle w:val="27"/>
                </w:pPr>
                <w:r>
                  <w:fldChar w:fldCharType="begin"/>
                </w:r>
                <w:r>
                  <w:instrText xml:space="preserve"> PAGE  \* MERGEFORMAT </w:instrText>
                </w:r>
                <w:r>
                  <w:fldChar w:fldCharType="separate"/>
                </w:r>
                <w:r>
                  <w:t>3</w:t>
                </w:r>
                <w:r>
                  <w:fldChar w:fldCharType="end"/>
                </w:r>
              </w:p>
            </w:txbxContent>
          </v:textbox>
        </v:shape>
      </w:pict>
    </w:r>
    <w:r>
      <w:rPr>
        <w:rFonts w:hint="eastAsia" w:ascii="宋体" w:hAnsi="宋体"/>
        <w:sz w:val="28"/>
        <w:szCs w:val="28"/>
        <w:lang w:eastAsia="zh-CN"/>
      </w:rPr>
      <w:tab/>
    </w:r>
    <w:r>
      <w:rPr>
        <w:rFonts w:hint="eastAsia" w:ascii="宋体" w:hAnsi="宋体"/>
        <w:sz w:val="28"/>
        <w:szCs w:val="28"/>
        <w:lang w:eastAsia="zh-CN"/>
      </w:rPr>
      <w:tab/>
    </w:r>
    <w:r>
      <w:rPr>
        <w:rFonts w:hint="eastAsia" w:ascii="宋体" w:hAnsi="宋体"/>
        <w:sz w:val="28"/>
        <w:szCs w:val="28"/>
        <w:lang w:eastAsia="zh-CN"/>
      </w:rPr>
      <w:tab/>
    </w:r>
    <w:r>
      <w:rPr>
        <w:rFonts w:hint="eastAsia" w:ascii="宋体" w:hAnsi="宋体"/>
        <w:sz w:val="28"/>
        <w:szCs w:val="28"/>
        <w:lang w:eastAsia="zh-CN"/>
      </w:rPr>
      <w:tab/>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8A9C795">
    <w:pPr>
      <w:pStyle w:val="27"/>
      <w:rPr>
        <w:rFonts w:ascii="宋体" w:hAnsi="宋体"/>
        <w:sz w:val="28"/>
        <w:szCs w:val="28"/>
      </w:rPr>
    </w:pPr>
    <w:r>
      <w:rPr>
        <w:sz w:val="28"/>
      </w:rPr>
      <w:pict>
        <v:shape id="文本框 1" o:spid="_x0000_s1032" o:spt="202" type="#_x0000_t202" style="position:absolute;left:0pt;margin-top:0pt;height:144pt;width:144pt;mso-position-horizontal:outside;mso-position-horizontal-relative:margin;mso-wrap-style:none;z-index:251663360;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path/>
          <v:fill on="f" focussize="0,0"/>
          <v:stroke on="f"/>
          <v:imagedata o:title=""/>
          <o:lock v:ext="edit" aspectratio="f"/>
          <v:textbox inset="0mm,0mm,0mm,0mm" style="mso-fit-shape-to-text:t;">
            <w:txbxContent>
              <w:p w14:paraId="4B02A0FE">
                <w:pPr>
                  <w:pStyle w:val="27"/>
                </w:pPr>
                <w:r>
                  <w:rPr>
                    <w:rFonts w:hint="eastAsia" w:ascii="宋体" w:hAnsi="宋体"/>
                    <w:sz w:val="28"/>
                    <w:szCs w:val="28"/>
                  </w:rPr>
                  <w:t xml:space="preserve">— </w:t>
                </w:r>
                <w:r>
                  <w:rPr>
                    <w:rFonts w:ascii="宋体" w:hAnsi="宋体"/>
                    <w:sz w:val="28"/>
                    <w:szCs w:val="28"/>
                  </w:rPr>
                  <w:fldChar w:fldCharType="begin"/>
                </w:r>
                <w:r>
                  <w:rPr>
                    <w:rFonts w:ascii="宋体" w:hAnsi="宋体"/>
                    <w:sz w:val="28"/>
                    <w:szCs w:val="28"/>
                  </w:rPr>
                  <w:instrText xml:space="preserve"> PAGE   \* MERGEFORMAT </w:instrText>
                </w:r>
                <w:r>
                  <w:rPr>
                    <w:rFonts w:ascii="宋体" w:hAnsi="宋体"/>
                    <w:sz w:val="28"/>
                    <w:szCs w:val="28"/>
                  </w:rPr>
                  <w:fldChar w:fldCharType="separate"/>
                </w:r>
                <w:r>
                  <w:rPr>
                    <w:rFonts w:ascii="宋体" w:hAnsi="宋体"/>
                    <w:sz w:val="28"/>
                    <w:szCs w:val="28"/>
                    <w:lang w:val="zh-CN"/>
                  </w:rPr>
                  <w:t>8</w:t>
                </w:r>
                <w:r>
                  <w:rPr>
                    <w:rFonts w:ascii="宋体" w:hAnsi="宋体"/>
                    <w:sz w:val="28"/>
                    <w:szCs w:val="28"/>
                  </w:rPr>
                  <w:fldChar w:fldCharType="end"/>
                </w:r>
                <w:r>
                  <w:rPr>
                    <w:rFonts w:hint="eastAsia" w:ascii="宋体" w:hAnsi="宋体"/>
                    <w:sz w:val="28"/>
                    <w:szCs w:val="28"/>
                  </w:rPr>
                  <w:t xml:space="preserve"> —</w:t>
                </w:r>
              </w:p>
            </w:txbxContent>
          </v:textbox>
        </v:shape>
      </w:pic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5BE2109">
    <w:pPr>
      <w:pStyle w:val="27"/>
    </w:pPr>
    <w:r>
      <w:rPr>
        <w:sz w:val="22"/>
      </w:rPr>
      <w:pict>
        <v:shape id="_x0000_s1037" o:spid="_x0000_s1037" o:spt="202" type="#_x0000_t202" style="position:absolute;left:0pt;margin-top:0pt;height:144pt;width:144pt;mso-position-horizontal:center;mso-position-horizontal-relative:margin;mso-wrap-style:none;z-index:251665408;mso-width-relative:page;mso-height-relative:page;" filled="f" stroked="f" coordsize="21600,21600">
          <v:path/>
          <v:fill on="f" focussize="0,0"/>
          <v:stroke on="f"/>
          <v:imagedata o:title=""/>
          <o:lock v:ext="edit" aspectratio="f"/>
          <v:textbox inset="0mm,0mm,0mm,0mm" style="mso-fit-shape-to-text:t;">
            <w:txbxContent>
              <w:p w14:paraId="4772AEA1">
                <w:pPr>
                  <w:pStyle w:val="27"/>
                </w:pPr>
                <w:r>
                  <w:fldChar w:fldCharType="begin"/>
                </w:r>
                <w:r>
                  <w:instrText xml:space="preserve"> PAGE  \* MERGEFORMAT </w:instrText>
                </w:r>
                <w:r>
                  <w:fldChar w:fldCharType="separate"/>
                </w:r>
                <w:r>
                  <w:t>1</w:t>
                </w:r>
                <w:r>
                  <w:fldChar w:fldCharType="end"/>
                </w:r>
              </w:p>
            </w:txbxContent>
          </v:textbox>
        </v:shape>
      </w:pict>
    </w:r>
    <w:r>
      <w:rPr>
        <w:rFonts w:hint="eastAsia" w:asciiTheme="majorEastAsia" w:hAnsiTheme="majorEastAsia" w:eastAsiaTheme="majorEastAsia" w:cstheme="majorEastAsia"/>
        <w:sz w:val="22"/>
        <w:szCs w:val="22"/>
      </w:rPr>
      <w:t xml:space="preserve">                               </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0F34FC">
    <w:pPr>
      <w:pStyle w:val="27"/>
    </w:pPr>
    <w:r>
      <w:rPr>
        <w:sz w:val="22"/>
      </w:rPr>
      <w:pict>
        <v:shape id="_x0000_s1038" o:spid="_x0000_s1038" o:spt="202" type="#_x0000_t202" style="position:absolute;left:0pt;margin-top:0pt;height:144pt;width:144pt;mso-position-horizontal:center;mso-position-horizontal-relative:margin;mso-wrap-style:none;z-index:251666432;mso-width-relative:page;mso-height-relative:page;" filled="f" stroked="f" coordsize="21600,21600">
          <v:path/>
          <v:fill on="f" focussize="0,0"/>
          <v:stroke on="f"/>
          <v:imagedata o:title=""/>
          <o:lock v:ext="edit" aspectratio="f"/>
          <v:textbox inset="0mm,0mm,0mm,0mm" style="mso-fit-shape-to-text:t;">
            <w:txbxContent>
              <w:p w14:paraId="1C40A17A">
                <w:pPr>
                  <w:pStyle w:val="27"/>
                </w:pPr>
                <w:r>
                  <w:fldChar w:fldCharType="begin"/>
                </w:r>
                <w:r>
                  <w:instrText xml:space="preserve"> PAGE  \* MERGEFORMAT </w:instrText>
                </w:r>
                <w:r>
                  <w:fldChar w:fldCharType="separate"/>
                </w:r>
                <w:r>
                  <w:t>1</w:t>
                </w:r>
                <w:r>
                  <w:fldChar w:fldCharType="end"/>
                </w:r>
              </w:p>
            </w:txbxContent>
          </v:textbox>
        </v:shape>
      </w:pict>
    </w:r>
    <w:r>
      <w:rPr>
        <w:rFonts w:hint="eastAsia" w:asciiTheme="majorEastAsia" w:hAnsiTheme="majorEastAsia" w:eastAsiaTheme="majorEastAsia" w:cstheme="majorEastAsia"/>
        <w:sz w:val="22"/>
        <w:szCs w:val="22"/>
      </w:rPr>
      <w:t xml:space="preserve">                               </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11750F4">
    <w:pPr>
      <w:pStyle w:val="29"/>
      <w:pBdr>
        <w:bottom w:val="dashSmallGap" w:color="auto" w:sz="4" w:space="0"/>
      </w:pBdr>
      <w:jc w:val="center"/>
      <w:rPr>
        <w:rFonts w:hint="eastAsia"/>
        <w:sz w:val="22"/>
        <w:szCs w:val="22"/>
        <w:lang w:eastAsia="zh-CN"/>
      </w:rPr>
    </w:pPr>
    <w:r>
      <w:rPr>
        <w:rFonts w:hint="eastAsia"/>
        <w:sz w:val="22"/>
        <w:szCs w:val="22"/>
        <w:lang w:val="en-US" w:eastAsia="zh-CN"/>
      </w:rPr>
      <w:t>2025-2026年度高低压配电室年度维保采购项目</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DAC66A3">
    <w:pPr>
      <w:pStyle w:val="29"/>
      <w:pBdr>
        <w:bottom w:val="dashSmallGap" w:color="auto" w:sz="4" w:space="0"/>
      </w:pBdr>
      <w:jc w:val="center"/>
      <w:rPr>
        <w:rFonts w:hint="eastAsia" w:asciiTheme="majorEastAsia" w:hAnsiTheme="majorEastAsia" w:eastAsiaTheme="majorEastAsia" w:cstheme="majorEastAsia"/>
        <w:sz w:val="22"/>
        <w:szCs w:val="22"/>
        <w:lang w:eastAsia="zh-CN"/>
      </w:rPr>
    </w:pPr>
    <w:r>
      <w:rPr>
        <w:rFonts w:hint="eastAsia" w:asciiTheme="majorEastAsia" w:hAnsiTheme="majorEastAsia" w:eastAsiaTheme="majorEastAsia" w:cstheme="majorEastAsia"/>
        <w:sz w:val="22"/>
        <w:szCs w:val="22"/>
        <w:lang w:val="en-US" w:eastAsia="zh-CN"/>
      </w:rPr>
      <w:t>2025-2026年度高低压配电室年度维保采购项目</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6D275EB"/>
    <w:multiLevelType w:val="singleLevel"/>
    <w:tmpl w:val="86D275EB"/>
    <w:lvl w:ilvl="0" w:tentative="0">
      <w:start w:val="3"/>
      <w:numFmt w:val="chineseCounting"/>
      <w:suff w:val="space"/>
      <w:lvlText w:val="第%1章"/>
      <w:lvlJc w:val="left"/>
      <w:rPr>
        <w:rFonts w:hint="eastAsia"/>
      </w:rPr>
    </w:lvl>
  </w:abstractNum>
  <w:abstractNum w:abstractNumId="1">
    <w:nsid w:val="9B9EB9F2"/>
    <w:multiLevelType w:val="singleLevel"/>
    <w:tmpl w:val="9B9EB9F2"/>
    <w:lvl w:ilvl="0" w:tentative="0">
      <w:start w:val="6"/>
      <w:numFmt w:val="chineseCounting"/>
      <w:suff w:val="nothing"/>
      <w:lvlText w:val="%1、"/>
      <w:lvlJc w:val="left"/>
      <w:rPr>
        <w:rFonts w:hint="eastAsia"/>
      </w:rPr>
    </w:lvl>
  </w:abstractNum>
  <w:abstractNum w:abstractNumId="2">
    <w:nsid w:val="E5243E5F"/>
    <w:multiLevelType w:val="singleLevel"/>
    <w:tmpl w:val="E5243E5F"/>
    <w:lvl w:ilvl="0" w:tentative="0">
      <w:start w:val="4"/>
      <w:numFmt w:val="chineseCounting"/>
      <w:suff w:val="nothing"/>
      <w:lvlText w:val="%1、"/>
      <w:lvlJc w:val="left"/>
      <w:rPr>
        <w:rFonts w:hint="eastAsia"/>
      </w:rPr>
    </w:lvl>
  </w:abstractNum>
  <w:abstractNum w:abstractNumId="3">
    <w:nsid w:val="F20BFD76"/>
    <w:multiLevelType w:val="singleLevel"/>
    <w:tmpl w:val="F20BFD76"/>
    <w:lvl w:ilvl="0" w:tentative="0">
      <w:start w:val="1"/>
      <w:numFmt w:val="decimal"/>
      <w:suff w:val="nothing"/>
      <w:lvlText w:val="%1、"/>
      <w:lvlJc w:val="left"/>
    </w:lvl>
  </w:abstractNum>
  <w:abstractNum w:abstractNumId="4">
    <w:nsid w:val="F76F3780"/>
    <w:multiLevelType w:val="singleLevel"/>
    <w:tmpl w:val="F76F3780"/>
    <w:lvl w:ilvl="0" w:tentative="0">
      <w:start w:val="5"/>
      <w:numFmt w:val="chineseCounting"/>
      <w:suff w:val="nothing"/>
      <w:lvlText w:val="%1、"/>
      <w:lvlJc w:val="left"/>
      <w:rPr>
        <w:rFonts w:hint="eastAsia"/>
      </w:rPr>
    </w:lvl>
  </w:abstractNum>
  <w:abstractNum w:abstractNumId="5">
    <w:nsid w:val="0000000C"/>
    <w:multiLevelType w:val="multilevel"/>
    <w:tmpl w:val="0000000C"/>
    <w:lvl w:ilvl="0" w:tentative="0">
      <w:start w:val="1"/>
      <w:numFmt w:val="chineseCountingThousand"/>
      <w:suff w:val="nothing"/>
      <w:lvlText w:val="第%1部分"/>
      <w:lvlJc w:val="center"/>
      <w:pPr>
        <w:ind w:left="3312" w:firstLine="288"/>
      </w:pPr>
      <w:rPr>
        <w:rFonts w:hint="eastAsia" w:cs="Times New Roman"/>
        <w:sz w:val="28"/>
        <w:szCs w:val="28"/>
      </w:rPr>
    </w:lvl>
    <w:lvl w:ilvl="1" w:tentative="0">
      <w:start w:val="1"/>
      <w:numFmt w:val="chineseCountingThousand"/>
      <w:suff w:val="nothing"/>
      <w:lvlText w:val="%2、"/>
      <w:lvlJc w:val="left"/>
      <w:pPr>
        <w:ind w:left="-120"/>
      </w:pPr>
      <w:rPr>
        <w:rFonts w:hint="eastAsia" w:cs="Times New Roman"/>
      </w:rPr>
    </w:lvl>
    <w:lvl w:ilvl="2" w:tentative="0">
      <w:start w:val="1"/>
      <w:numFmt w:val="chineseCountingThousand"/>
      <w:pStyle w:val="4"/>
      <w:suff w:val="nothing"/>
      <w:lvlText w:val="(%3)"/>
      <w:lvlJc w:val="left"/>
      <w:pPr>
        <w:ind w:left="-120"/>
      </w:pPr>
      <w:rPr>
        <w:rFonts w:hint="eastAsia" w:cs="Times New Roman"/>
      </w:rPr>
    </w:lvl>
    <w:lvl w:ilvl="3" w:tentative="0">
      <w:start w:val="1"/>
      <w:numFmt w:val="decimal"/>
      <w:suff w:val="nothing"/>
      <w:lvlText w:val="%4、"/>
      <w:lvlJc w:val="left"/>
      <w:pPr>
        <w:ind w:left="-120"/>
      </w:pPr>
      <w:rPr>
        <w:rFonts w:hint="eastAsia" w:cs="Times New Roman"/>
      </w:rPr>
    </w:lvl>
    <w:lvl w:ilvl="4" w:tentative="0">
      <w:start w:val="1"/>
      <w:numFmt w:val="upperLetter"/>
      <w:suff w:val="nothing"/>
      <w:lvlText w:val="%5、"/>
      <w:lvlJc w:val="left"/>
      <w:pPr>
        <w:ind w:left="-120"/>
      </w:pPr>
      <w:rPr>
        <w:rFonts w:hint="eastAsia" w:cs="Times New Roman"/>
      </w:rPr>
    </w:lvl>
    <w:lvl w:ilvl="5" w:tentative="0">
      <w:start w:val="1"/>
      <w:numFmt w:val="none"/>
      <w:suff w:val="nothing"/>
      <w:lvlText w:val=""/>
      <w:lvlJc w:val="left"/>
      <w:pPr>
        <w:ind w:left="-120"/>
      </w:pPr>
      <w:rPr>
        <w:rFonts w:hint="eastAsia" w:cs="Times New Roman"/>
      </w:rPr>
    </w:lvl>
    <w:lvl w:ilvl="6" w:tentative="0">
      <w:start w:val="1"/>
      <w:numFmt w:val="none"/>
      <w:suff w:val="nothing"/>
      <w:lvlText w:val=""/>
      <w:lvlJc w:val="left"/>
      <w:pPr>
        <w:ind w:left="-120"/>
      </w:pPr>
      <w:rPr>
        <w:rFonts w:hint="eastAsia" w:cs="Times New Roman"/>
      </w:rPr>
    </w:lvl>
    <w:lvl w:ilvl="7" w:tentative="0">
      <w:start w:val="1"/>
      <w:numFmt w:val="none"/>
      <w:suff w:val="nothing"/>
      <w:lvlText w:val=""/>
      <w:lvlJc w:val="left"/>
      <w:pPr>
        <w:ind w:left="-120"/>
      </w:pPr>
      <w:rPr>
        <w:rFonts w:hint="eastAsia" w:cs="Times New Roman"/>
      </w:rPr>
    </w:lvl>
    <w:lvl w:ilvl="8" w:tentative="0">
      <w:start w:val="1"/>
      <w:numFmt w:val="none"/>
      <w:suff w:val="nothing"/>
      <w:lvlText w:val=""/>
      <w:lvlJc w:val="left"/>
      <w:pPr>
        <w:ind w:left="-120"/>
      </w:pPr>
      <w:rPr>
        <w:rFonts w:hint="eastAsia" w:cs="Times New Roman"/>
      </w:rPr>
    </w:lvl>
  </w:abstractNum>
  <w:abstractNum w:abstractNumId="6">
    <w:nsid w:val="0000000F"/>
    <w:multiLevelType w:val="multilevel"/>
    <w:tmpl w:val="0000000F"/>
    <w:lvl w:ilvl="0" w:tentative="0">
      <w:start w:val="1"/>
      <w:numFmt w:val="decimal"/>
      <w:pStyle w:val="87"/>
      <w:lvlText w:val="%1."/>
      <w:lvlJc w:val="left"/>
      <w:pPr>
        <w:tabs>
          <w:tab w:val="left" w:pos="709"/>
        </w:tabs>
        <w:ind w:left="709" w:hanging="709"/>
      </w:pPr>
      <w:rPr>
        <w:rFonts w:hint="eastAsia" w:cs="Times New Roman"/>
      </w:rPr>
    </w:lvl>
    <w:lvl w:ilvl="1" w:tentative="0">
      <w:start w:val="1"/>
      <w:numFmt w:val="decimal"/>
      <w:lvlText w:val="%1.%2"/>
      <w:lvlJc w:val="left"/>
      <w:pPr>
        <w:tabs>
          <w:tab w:val="left" w:pos="709"/>
        </w:tabs>
        <w:ind w:left="709" w:hanging="709"/>
      </w:pPr>
      <w:rPr>
        <w:rFonts w:hint="eastAsia" w:cs="Times New Roman"/>
      </w:rPr>
    </w:lvl>
    <w:lvl w:ilvl="2" w:tentative="0">
      <w:start w:val="1"/>
      <w:numFmt w:val="decimal"/>
      <w:lvlText w:val="%1.%2.%3."/>
      <w:lvlJc w:val="left"/>
      <w:pPr>
        <w:tabs>
          <w:tab w:val="left" w:pos="425"/>
        </w:tabs>
        <w:ind w:left="425" w:hanging="425"/>
      </w:pPr>
      <w:rPr>
        <w:rFonts w:hint="eastAsia" w:cs="Times New Roman"/>
      </w:rPr>
    </w:lvl>
    <w:lvl w:ilvl="3" w:tentative="0">
      <w:start w:val="1"/>
      <w:numFmt w:val="decimal"/>
      <w:lvlText w:val="%1.%2.%3.%4."/>
      <w:lvlJc w:val="left"/>
      <w:pPr>
        <w:tabs>
          <w:tab w:val="left" w:pos="851"/>
        </w:tabs>
        <w:ind w:left="851" w:hanging="851"/>
      </w:pPr>
      <w:rPr>
        <w:rFonts w:hint="eastAsia" w:cs="Times New Roman"/>
      </w:rPr>
    </w:lvl>
    <w:lvl w:ilvl="4" w:tentative="0">
      <w:start w:val="1"/>
      <w:numFmt w:val="decimal"/>
      <w:lvlText w:val="%1.%2.%3.%4.%5."/>
      <w:lvlJc w:val="left"/>
      <w:pPr>
        <w:tabs>
          <w:tab w:val="left" w:pos="992"/>
        </w:tabs>
        <w:ind w:left="992" w:hanging="992"/>
      </w:pPr>
      <w:rPr>
        <w:rFonts w:hint="eastAsia" w:cs="Times New Roman"/>
      </w:rPr>
    </w:lvl>
    <w:lvl w:ilvl="5" w:tentative="0">
      <w:start w:val="1"/>
      <w:numFmt w:val="decimal"/>
      <w:lvlText w:val="%1.%2.%3.%4.%5.%6."/>
      <w:lvlJc w:val="left"/>
      <w:pPr>
        <w:tabs>
          <w:tab w:val="left" w:pos="1134"/>
        </w:tabs>
        <w:ind w:left="1134" w:hanging="1134"/>
      </w:pPr>
      <w:rPr>
        <w:rFonts w:hint="eastAsia" w:cs="Times New Roman"/>
      </w:rPr>
    </w:lvl>
    <w:lvl w:ilvl="6" w:tentative="0">
      <w:start w:val="1"/>
      <w:numFmt w:val="decimal"/>
      <w:lvlText w:val="%1.%2.%3.%4.%5.%6.%7."/>
      <w:lvlJc w:val="left"/>
      <w:pPr>
        <w:tabs>
          <w:tab w:val="left" w:pos="1276"/>
        </w:tabs>
        <w:ind w:left="1276" w:hanging="1276"/>
      </w:pPr>
      <w:rPr>
        <w:rFonts w:hint="eastAsia" w:cs="Times New Roman"/>
      </w:rPr>
    </w:lvl>
    <w:lvl w:ilvl="7" w:tentative="0">
      <w:start w:val="1"/>
      <w:numFmt w:val="decimal"/>
      <w:lvlText w:val="%1.%2.%3.%4.%5.%6.%7.%8."/>
      <w:lvlJc w:val="left"/>
      <w:pPr>
        <w:tabs>
          <w:tab w:val="left" w:pos="1418"/>
        </w:tabs>
        <w:ind w:left="1418" w:hanging="1418"/>
      </w:pPr>
      <w:rPr>
        <w:rFonts w:hint="eastAsia" w:cs="Times New Roman"/>
      </w:rPr>
    </w:lvl>
    <w:lvl w:ilvl="8" w:tentative="0">
      <w:start w:val="1"/>
      <w:numFmt w:val="decimal"/>
      <w:lvlText w:val="%1.%2.%3.%4.%5.%6.%7.%8.%9."/>
      <w:lvlJc w:val="left"/>
      <w:pPr>
        <w:tabs>
          <w:tab w:val="left" w:pos="1559"/>
        </w:tabs>
        <w:ind w:left="1559" w:hanging="1559"/>
      </w:pPr>
      <w:rPr>
        <w:rFonts w:hint="eastAsia" w:cs="Times New Roman"/>
      </w:rPr>
    </w:lvl>
  </w:abstractNum>
  <w:abstractNum w:abstractNumId="7">
    <w:nsid w:val="0031AE6A"/>
    <w:multiLevelType w:val="singleLevel"/>
    <w:tmpl w:val="0031AE6A"/>
    <w:lvl w:ilvl="0" w:tentative="0">
      <w:start w:val="9"/>
      <w:numFmt w:val="chineseCounting"/>
      <w:suff w:val="nothing"/>
      <w:lvlText w:val="%1、"/>
      <w:lvlJc w:val="left"/>
      <w:rPr>
        <w:rFonts w:hint="eastAsia"/>
      </w:rPr>
    </w:lvl>
  </w:abstractNum>
  <w:abstractNum w:abstractNumId="8">
    <w:nsid w:val="341A42DD"/>
    <w:multiLevelType w:val="singleLevel"/>
    <w:tmpl w:val="341A42DD"/>
    <w:lvl w:ilvl="0" w:tentative="0">
      <w:start w:val="1"/>
      <w:numFmt w:val="chineseCounting"/>
      <w:suff w:val="space"/>
      <w:lvlText w:val="%1、"/>
      <w:lvlJc w:val="left"/>
      <w:rPr>
        <w:rFonts w:hint="eastAsia"/>
      </w:rPr>
    </w:lvl>
  </w:abstractNum>
  <w:abstractNum w:abstractNumId="9">
    <w:nsid w:val="3B13ADE8"/>
    <w:multiLevelType w:val="singleLevel"/>
    <w:tmpl w:val="3B13ADE8"/>
    <w:lvl w:ilvl="0" w:tentative="0">
      <w:start w:val="1"/>
      <w:numFmt w:val="decimal"/>
      <w:suff w:val="nothing"/>
      <w:lvlText w:val="（%1）"/>
      <w:lvlJc w:val="left"/>
    </w:lvl>
  </w:abstractNum>
  <w:abstractNum w:abstractNumId="10">
    <w:nsid w:val="557C2AF5"/>
    <w:multiLevelType w:val="multilevel"/>
    <w:tmpl w:val="557C2AF5"/>
    <w:lvl w:ilvl="0" w:tentative="0">
      <w:start w:val="1"/>
      <w:numFmt w:val="decimal"/>
      <w:pStyle w:val="125"/>
      <w:suff w:val="nothing"/>
      <w:lvlText w:val="图%1　"/>
      <w:lvlJc w:val="left"/>
      <w:pPr>
        <w:ind w:left="3780" w:firstLine="0"/>
      </w:pPr>
      <w:rPr>
        <w:rFonts w:hint="eastAsia" w:ascii="黑体" w:hAnsi="Times New Roman" w:eastAsia="黑体"/>
        <w:b w:val="0"/>
        <w:i w:val="0"/>
        <w:sz w:val="21"/>
      </w:rPr>
    </w:lvl>
    <w:lvl w:ilvl="1" w:tentative="0">
      <w:start w:val="1"/>
      <w:numFmt w:val="decimal"/>
      <w:suff w:val="nothing"/>
      <w:lvlText w:val="%1%2　"/>
      <w:lvlJc w:val="left"/>
      <w:pPr>
        <w:ind w:left="0" w:firstLine="0"/>
      </w:pPr>
      <w:rPr>
        <w:rFonts w:hint="default" w:ascii="Times New Roman" w:hAnsi="Times New Roman" w:eastAsia="黑体"/>
        <w:b w:val="0"/>
        <w:i w:val="0"/>
        <w:sz w:val="21"/>
      </w:rPr>
    </w:lvl>
    <w:lvl w:ilvl="2" w:tentative="0">
      <w:start w:val="1"/>
      <w:numFmt w:val="decimal"/>
      <w:suff w:val="nothing"/>
      <w:lvlText w:val="%1%2.%3　"/>
      <w:lvlJc w:val="left"/>
      <w:pPr>
        <w:ind w:left="0" w:firstLine="0"/>
      </w:pPr>
      <w:rPr>
        <w:rFonts w:hint="default" w:ascii="Times New Roman" w:hAnsi="Times New Roman" w:eastAsia="黑体"/>
        <w:b w:val="0"/>
        <w:i w:val="0"/>
        <w:sz w:val="21"/>
      </w:rPr>
    </w:lvl>
    <w:lvl w:ilvl="3" w:tentative="0">
      <w:start w:val="1"/>
      <w:numFmt w:val="decimal"/>
      <w:suff w:val="nothing"/>
      <w:lvlText w:val="%1%2.%3.%4　"/>
      <w:lvlJc w:val="left"/>
      <w:pPr>
        <w:ind w:left="0" w:firstLine="0"/>
      </w:pPr>
      <w:rPr>
        <w:rFonts w:hint="default" w:ascii="Times New Roman" w:hAnsi="Times New Roman" w:eastAsia="黑体"/>
        <w:b w:val="0"/>
        <w:i w:val="0"/>
        <w:sz w:val="21"/>
      </w:rPr>
    </w:lvl>
    <w:lvl w:ilvl="4" w:tentative="0">
      <w:start w:val="1"/>
      <w:numFmt w:val="decimal"/>
      <w:suff w:val="nothing"/>
      <w:lvlText w:val="%1%2.%3.%4.%5　"/>
      <w:lvlJc w:val="left"/>
      <w:pPr>
        <w:ind w:left="0" w:firstLine="0"/>
      </w:pPr>
      <w:rPr>
        <w:rFonts w:hint="default" w:ascii="Times New Roman" w:hAnsi="Times New Roman" w:eastAsia="黑体"/>
        <w:b w:val="0"/>
        <w:i w:val="0"/>
        <w:sz w:val="21"/>
      </w:rPr>
    </w:lvl>
    <w:lvl w:ilvl="5" w:tentative="0">
      <w:start w:val="1"/>
      <w:numFmt w:val="decimal"/>
      <w:suff w:val="nothing"/>
      <w:lvlText w:val="%1%2.%3.%4.%5.%6　"/>
      <w:lvlJc w:val="left"/>
      <w:pPr>
        <w:ind w:left="0" w:firstLine="0"/>
      </w:pPr>
      <w:rPr>
        <w:rFonts w:hint="default" w:ascii="Times New Roman" w:hAnsi="Times New Roman" w:eastAsia="黑体"/>
        <w:b w:val="0"/>
        <w:i w:val="0"/>
        <w:sz w:val="21"/>
      </w:rPr>
    </w:lvl>
    <w:lvl w:ilvl="6" w:tentative="0">
      <w:start w:val="1"/>
      <w:numFmt w:val="decimal"/>
      <w:suff w:val="nothing"/>
      <w:lvlText w:val="%1%2.%3.%4.%5.%6.%7　"/>
      <w:lvlJc w:val="left"/>
      <w:pPr>
        <w:ind w:left="0" w:firstLine="0"/>
      </w:pPr>
      <w:rPr>
        <w:rFonts w:hint="default" w:ascii="Times New Roman"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11">
    <w:nsid w:val="6CEA2025"/>
    <w:multiLevelType w:val="multilevel"/>
    <w:tmpl w:val="6CEA2025"/>
    <w:lvl w:ilvl="0" w:tentative="0">
      <w:start w:val="1"/>
      <w:numFmt w:val="none"/>
      <w:suff w:val="nothing"/>
      <w:lvlText w:val="%1"/>
      <w:lvlJc w:val="left"/>
      <w:pPr>
        <w:ind w:left="0" w:firstLine="0"/>
      </w:pPr>
      <w:rPr>
        <w:rFonts w:hint="default" w:ascii="Times New Roman" w:hAnsi="Times New Roman"/>
        <w:b/>
        <w:i w:val="0"/>
        <w:sz w:val="21"/>
      </w:rPr>
    </w:lvl>
    <w:lvl w:ilvl="1" w:tentative="0">
      <w:start w:val="1"/>
      <w:numFmt w:val="decimal"/>
      <w:suff w:val="nothing"/>
      <w:lvlText w:val="%1%2　"/>
      <w:lvlJc w:val="left"/>
      <w:pPr>
        <w:ind w:left="851" w:firstLine="0"/>
      </w:pPr>
      <w:rPr>
        <w:rFonts w:hint="eastAsia"/>
        <w:b w:val="0"/>
        <w:i w:val="0"/>
        <w:sz w:val="21"/>
      </w:rPr>
    </w:lvl>
    <w:lvl w:ilvl="2" w:tentative="0">
      <w:start w:val="1"/>
      <w:numFmt w:val="decimal"/>
      <w:suff w:val="nothing"/>
      <w:lvlText w:val="%1%2.%3　"/>
      <w:lvlJc w:val="left"/>
      <w:pPr>
        <w:ind w:left="426" w:firstLine="0"/>
      </w:pPr>
      <w:rPr>
        <w:rFonts w:hint="eastAsia" w:ascii="黑体" w:hAnsi="Times New Roman" w:eastAsia="黑体"/>
        <w:b w:val="0"/>
        <w:i w:val="0"/>
        <w:sz w:val="21"/>
      </w:rPr>
    </w:lvl>
    <w:lvl w:ilvl="3" w:tentative="0">
      <w:start w:val="1"/>
      <w:numFmt w:val="decimal"/>
      <w:suff w:val="nothing"/>
      <w:lvlText w:val="%1%2.%3.%4　"/>
      <w:lvlJc w:val="left"/>
      <w:pPr>
        <w:ind w:left="900" w:firstLine="0"/>
      </w:pPr>
      <w:rPr>
        <w:rFonts w:hint="eastAsia" w:ascii="黑体" w:hAnsi="Times New Roman" w:eastAsia="黑体"/>
        <w:b w:val="0"/>
        <w:i w:val="0"/>
        <w:sz w:val="21"/>
      </w:rPr>
    </w:lvl>
    <w:lvl w:ilvl="4" w:tentative="0">
      <w:start w:val="1"/>
      <w:numFmt w:val="decimal"/>
      <w:pStyle w:val="127"/>
      <w:suff w:val="nothing"/>
      <w:lvlText w:val="%1%2.%3.%4.%5　"/>
      <w:lvlJc w:val="left"/>
      <w:pPr>
        <w:ind w:left="357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num w:numId="1">
    <w:abstractNumId w:val="5"/>
  </w:num>
  <w:num w:numId="2">
    <w:abstractNumId w:val="6"/>
  </w:num>
  <w:num w:numId="3">
    <w:abstractNumId w:val="10"/>
  </w:num>
  <w:num w:numId="4">
    <w:abstractNumId w:val="11"/>
  </w:num>
  <w:num w:numId="5">
    <w:abstractNumId w:val="9"/>
  </w:num>
  <w:num w:numId="6">
    <w:abstractNumId w:val="3"/>
  </w:num>
  <w:num w:numId="7">
    <w:abstractNumId w:val="0"/>
  </w:num>
  <w:num w:numId="8">
    <w:abstractNumId w:val="8"/>
  </w:num>
  <w:num w:numId="9">
    <w:abstractNumId w:val="2"/>
  </w:num>
  <w:num w:numId="10">
    <w:abstractNumId w:val="4"/>
  </w:num>
  <w:num w:numId="11">
    <w:abstractNumId w:val="1"/>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04"/>
  <w:bordersDoNotSurroundHeader w:val="0"/>
  <w:bordersDoNotSurroundFooter w:val="0"/>
  <w:hideSpellingErrors/>
  <w:doNotTrackMoves/>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noLineBreaksAfter w:lang="zh-CN" w:val="$([{£¥·‘“〈《「『【〔〖〝﹙﹛﹝＄（．［｛￡￥"/>
  <w:noLineBreaksBefore w:lang="zh-CN" w:val="!%),.:;&gt;?]}¢¨°·ˇˉ―‖’”…‰′″›℃∶、。〃〉》」』】〕〗〞︶︺︾﹀﹄﹚﹜﹞！＂％＇），．：；？］｀｜｝～￠"/>
  <w:doNotValidateAgainstSchema/>
  <w:doNotDemarcateInvalidXml/>
  <w:hdrShapeDefaults>
    <o:shapelayout v:ext="edit">
      <o:idmap v:ext="edit" data="1"/>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underlineTabInNumList/>
    <w:compatSetting w:name="compatibilityMode" w:uri="http://schemas.microsoft.com/office/word" w:val="12"/>
  </w:compat>
  <w:docVars>
    <w:docVar w:name="commondata" w:val="eyJoZGlkIjoiYTU3NGM3OGQxYjE1YjE4MzJkMWE5OThkMTRjMWM5ODkifQ=="/>
  </w:docVars>
  <w:rsids>
    <w:rsidRoot w:val="005F178A"/>
    <w:rsid w:val="0002117A"/>
    <w:rsid w:val="00066856"/>
    <w:rsid w:val="000A3A27"/>
    <w:rsid w:val="000C024B"/>
    <w:rsid w:val="000E524F"/>
    <w:rsid w:val="001411BD"/>
    <w:rsid w:val="00155351"/>
    <w:rsid w:val="001570FF"/>
    <w:rsid w:val="00294959"/>
    <w:rsid w:val="002A1AD5"/>
    <w:rsid w:val="002E6D04"/>
    <w:rsid w:val="00395169"/>
    <w:rsid w:val="00395CDC"/>
    <w:rsid w:val="00396CDA"/>
    <w:rsid w:val="003A77D5"/>
    <w:rsid w:val="003C41DE"/>
    <w:rsid w:val="003E5719"/>
    <w:rsid w:val="004A0A58"/>
    <w:rsid w:val="0052226A"/>
    <w:rsid w:val="005B7B99"/>
    <w:rsid w:val="005F178A"/>
    <w:rsid w:val="005F3DE1"/>
    <w:rsid w:val="00683D55"/>
    <w:rsid w:val="006C1D3F"/>
    <w:rsid w:val="0088162F"/>
    <w:rsid w:val="00881F6B"/>
    <w:rsid w:val="008906E0"/>
    <w:rsid w:val="008E0A25"/>
    <w:rsid w:val="008E580A"/>
    <w:rsid w:val="00A06DBA"/>
    <w:rsid w:val="00A61D2B"/>
    <w:rsid w:val="00A83AD0"/>
    <w:rsid w:val="00AA2828"/>
    <w:rsid w:val="00B0077C"/>
    <w:rsid w:val="00B05EBB"/>
    <w:rsid w:val="00C1471A"/>
    <w:rsid w:val="00C4087C"/>
    <w:rsid w:val="00C677CB"/>
    <w:rsid w:val="00CF2D82"/>
    <w:rsid w:val="00E3777B"/>
    <w:rsid w:val="00F37AB4"/>
    <w:rsid w:val="00FF5135"/>
    <w:rsid w:val="010158D6"/>
    <w:rsid w:val="011D2710"/>
    <w:rsid w:val="01207B0A"/>
    <w:rsid w:val="012A4E2C"/>
    <w:rsid w:val="01311A5C"/>
    <w:rsid w:val="014F219D"/>
    <w:rsid w:val="01536131"/>
    <w:rsid w:val="01572697"/>
    <w:rsid w:val="016320EC"/>
    <w:rsid w:val="01CA3F1A"/>
    <w:rsid w:val="01CC5EE4"/>
    <w:rsid w:val="01CF42B1"/>
    <w:rsid w:val="01DB79CB"/>
    <w:rsid w:val="01E0373D"/>
    <w:rsid w:val="020E0A6C"/>
    <w:rsid w:val="022B3FAA"/>
    <w:rsid w:val="022C6982"/>
    <w:rsid w:val="02445DF4"/>
    <w:rsid w:val="025008C3"/>
    <w:rsid w:val="02502065"/>
    <w:rsid w:val="02653522"/>
    <w:rsid w:val="02A14C7A"/>
    <w:rsid w:val="02A227A1"/>
    <w:rsid w:val="02B250DA"/>
    <w:rsid w:val="02C339AD"/>
    <w:rsid w:val="03195159"/>
    <w:rsid w:val="03276A6E"/>
    <w:rsid w:val="033D5191"/>
    <w:rsid w:val="03435D32"/>
    <w:rsid w:val="035148F2"/>
    <w:rsid w:val="03650E24"/>
    <w:rsid w:val="03654838"/>
    <w:rsid w:val="03755B2F"/>
    <w:rsid w:val="03807C96"/>
    <w:rsid w:val="03894F66"/>
    <w:rsid w:val="03985F30"/>
    <w:rsid w:val="03A31543"/>
    <w:rsid w:val="03BE360A"/>
    <w:rsid w:val="03CE7CF1"/>
    <w:rsid w:val="03D1158F"/>
    <w:rsid w:val="03E77005"/>
    <w:rsid w:val="03F31506"/>
    <w:rsid w:val="040D00EE"/>
    <w:rsid w:val="04185410"/>
    <w:rsid w:val="045157F1"/>
    <w:rsid w:val="04575F38"/>
    <w:rsid w:val="047C33F8"/>
    <w:rsid w:val="04806B11"/>
    <w:rsid w:val="0494552D"/>
    <w:rsid w:val="04FC43EA"/>
    <w:rsid w:val="0506170D"/>
    <w:rsid w:val="05063381"/>
    <w:rsid w:val="051D14DA"/>
    <w:rsid w:val="052971A9"/>
    <w:rsid w:val="053A13B6"/>
    <w:rsid w:val="053A6EE6"/>
    <w:rsid w:val="055974DB"/>
    <w:rsid w:val="055C30DB"/>
    <w:rsid w:val="05755BC8"/>
    <w:rsid w:val="05781150"/>
    <w:rsid w:val="05A52CD4"/>
    <w:rsid w:val="05AA04C3"/>
    <w:rsid w:val="05B2473E"/>
    <w:rsid w:val="05B42F17"/>
    <w:rsid w:val="05D043E4"/>
    <w:rsid w:val="05D138A0"/>
    <w:rsid w:val="05FB28F4"/>
    <w:rsid w:val="06007F0A"/>
    <w:rsid w:val="060914B4"/>
    <w:rsid w:val="06293905"/>
    <w:rsid w:val="06344057"/>
    <w:rsid w:val="063B53E6"/>
    <w:rsid w:val="063D115E"/>
    <w:rsid w:val="064424ED"/>
    <w:rsid w:val="06624721"/>
    <w:rsid w:val="067067C3"/>
    <w:rsid w:val="06797EE3"/>
    <w:rsid w:val="068428E9"/>
    <w:rsid w:val="069468A4"/>
    <w:rsid w:val="0696261C"/>
    <w:rsid w:val="069C40D7"/>
    <w:rsid w:val="06A72A7B"/>
    <w:rsid w:val="06AB256C"/>
    <w:rsid w:val="06AF56E9"/>
    <w:rsid w:val="06BF4168"/>
    <w:rsid w:val="06C03BF2"/>
    <w:rsid w:val="06C74ECC"/>
    <w:rsid w:val="06ED31E7"/>
    <w:rsid w:val="06F537E7"/>
    <w:rsid w:val="07017849"/>
    <w:rsid w:val="07164006"/>
    <w:rsid w:val="0721282E"/>
    <w:rsid w:val="07396FC6"/>
    <w:rsid w:val="075F5104"/>
    <w:rsid w:val="076B52A9"/>
    <w:rsid w:val="076F1479"/>
    <w:rsid w:val="0791720F"/>
    <w:rsid w:val="079618D4"/>
    <w:rsid w:val="0797489E"/>
    <w:rsid w:val="07B23486"/>
    <w:rsid w:val="07CD206E"/>
    <w:rsid w:val="07DB29DD"/>
    <w:rsid w:val="07E37AE3"/>
    <w:rsid w:val="07FD5271"/>
    <w:rsid w:val="08030185"/>
    <w:rsid w:val="080C0DE8"/>
    <w:rsid w:val="080D4B60"/>
    <w:rsid w:val="080E095B"/>
    <w:rsid w:val="080E352C"/>
    <w:rsid w:val="0817778D"/>
    <w:rsid w:val="081B102B"/>
    <w:rsid w:val="084A1910"/>
    <w:rsid w:val="0858402D"/>
    <w:rsid w:val="088017D6"/>
    <w:rsid w:val="08A04FEC"/>
    <w:rsid w:val="08BD0334"/>
    <w:rsid w:val="08BD6586"/>
    <w:rsid w:val="08C6368D"/>
    <w:rsid w:val="08D77648"/>
    <w:rsid w:val="08DF474E"/>
    <w:rsid w:val="08E71880"/>
    <w:rsid w:val="08ED6E6B"/>
    <w:rsid w:val="08FF094D"/>
    <w:rsid w:val="09084730"/>
    <w:rsid w:val="09181A0E"/>
    <w:rsid w:val="09420839"/>
    <w:rsid w:val="09491BC8"/>
    <w:rsid w:val="094B3B92"/>
    <w:rsid w:val="09560D5F"/>
    <w:rsid w:val="09661862"/>
    <w:rsid w:val="09684744"/>
    <w:rsid w:val="09954E0D"/>
    <w:rsid w:val="09AF5ECF"/>
    <w:rsid w:val="09DC3A8B"/>
    <w:rsid w:val="09E71B0D"/>
    <w:rsid w:val="0A2F0DBE"/>
    <w:rsid w:val="0A540824"/>
    <w:rsid w:val="0A663924"/>
    <w:rsid w:val="0A764C3F"/>
    <w:rsid w:val="0A8810F6"/>
    <w:rsid w:val="0A8D42E8"/>
    <w:rsid w:val="0AA01CBB"/>
    <w:rsid w:val="0AAC240E"/>
    <w:rsid w:val="0AB87005"/>
    <w:rsid w:val="0AC41148"/>
    <w:rsid w:val="0AC534D0"/>
    <w:rsid w:val="0AC7549A"/>
    <w:rsid w:val="0ADD2F10"/>
    <w:rsid w:val="0AEE2A27"/>
    <w:rsid w:val="0B157D93"/>
    <w:rsid w:val="0B2C2E00"/>
    <w:rsid w:val="0B2D06B5"/>
    <w:rsid w:val="0B315162"/>
    <w:rsid w:val="0B46443A"/>
    <w:rsid w:val="0B550CF8"/>
    <w:rsid w:val="0B7218AA"/>
    <w:rsid w:val="0B8769D7"/>
    <w:rsid w:val="0B8D1F28"/>
    <w:rsid w:val="0B903ADE"/>
    <w:rsid w:val="0B9C2483"/>
    <w:rsid w:val="0BCB3789"/>
    <w:rsid w:val="0BF52A55"/>
    <w:rsid w:val="0BF70001"/>
    <w:rsid w:val="0C0B25F5"/>
    <w:rsid w:val="0C191D25"/>
    <w:rsid w:val="0C3948CA"/>
    <w:rsid w:val="0C5E6919"/>
    <w:rsid w:val="0C6D0460"/>
    <w:rsid w:val="0C6E02C3"/>
    <w:rsid w:val="0C7D4339"/>
    <w:rsid w:val="0C94506B"/>
    <w:rsid w:val="0CA710DF"/>
    <w:rsid w:val="0CC003F3"/>
    <w:rsid w:val="0CD72981"/>
    <w:rsid w:val="0CE27587"/>
    <w:rsid w:val="0CEF1794"/>
    <w:rsid w:val="0D0B5B12"/>
    <w:rsid w:val="0D146731"/>
    <w:rsid w:val="0D417786"/>
    <w:rsid w:val="0D4E1EA3"/>
    <w:rsid w:val="0D554C1B"/>
    <w:rsid w:val="0D631EEF"/>
    <w:rsid w:val="0D8458C4"/>
    <w:rsid w:val="0D9A4EE0"/>
    <w:rsid w:val="0D9D24E2"/>
    <w:rsid w:val="0DA9532B"/>
    <w:rsid w:val="0DB1023D"/>
    <w:rsid w:val="0DB25F8E"/>
    <w:rsid w:val="0DB461AA"/>
    <w:rsid w:val="0DBA3B82"/>
    <w:rsid w:val="0DC32327"/>
    <w:rsid w:val="0DD73C46"/>
    <w:rsid w:val="0DE46363"/>
    <w:rsid w:val="0E0601CA"/>
    <w:rsid w:val="0E1053AA"/>
    <w:rsid w:val="0E344BF5"/>
    <w:rsid w:val="0E4A08BC"/>
    <w:rsid w:val="0E601E8E"/>
    <w:rsid w:val="0E7019A5"/>
    <w:rsid w:val="0E77444A"/>
    <w:rsid w:val="0E833DCE"/>
    <w:rsid w:val="0E8538EB"/>
    <w:rsid w:val="0E910833"/>
    <w:rsid w:val="0E9144D8"/>
    <w:rsid w:val="0E9179FA"/>
    <w:rsid w:val="0EA855E3"/>
    <w:rsid w:val="0EA87391"/>
    <w:rsid w:val="0EC73CBB"/>
    <w:rsid w:val="0EDF7256"/>
    <w:rsid w:val="0EE43B3D"/>
    <w:rsid w:val="0F022F45"/>
    <w:rsid w:val="0F1113DA"/>
    <w:rsid w:val="0F2A5FF8"/>
    <w:rsid w:val="0F2C7FC2"/>
    <w:rsid w:val="0F307AB2"/>
    <w:rsid w:val="0F44355D"/>
    <w:rsid w:val="0F557518"/>
    <w:rsid w:val="0F6239E3"/>
    <w:rsid w:val="0F6634D4"/>
    <w:rsid w:val="0F985657"/>
    <w:rsid w:val="0FA22032"/>
    <w:rsid w:val="0FAB538A"/>
    <w:rsid w:val="0FB0474F"/>
    <w:rsid w:val="0FB73D2F"/>
    <w:rsid w:val="0FC87CEA"/>
    <w:rsid w:val="0FCB6EBE"/>
    <w:rsid w:val="0FCD4BA6"/>
    <w:rsid w:val="0FFF1232"/>
    <w:rsid w:val="10227E6D"/>
    <w:rsid w:val="103C2486"/>
    <w:rsid w:val="10441CF4"/>
    <w:rsid w:val="104650B3"/>
    <w:rsid w:val="10606175"/>
    <w:rsid w:val="109E6C9D"/>
    <w:rsid w:val="10D426BF"/>
    <w:rsid w:val="10EF574B"/>
    <w:rsid w:val="11040F85"/>
    <w:rsid w:val="112039E0"/>
    <w:rsid w:val="11274EE5"/>
    <w:rsid w:val="11435423"/>
    <w:rsid w:val="11457119"/>
    <w:rsid w:val="116C6D9B"/>
    <w:rsid w:val="11832AAA"/>
    <w:rsid w:val="11845E93"/>
    <w:rsid w:val="118E0AC0"/>
    <w:rsid w:val="11B36778"/>
    <w:rsid w:val="11BC387F"/>
    <w:rsid w:val="11C444E1"/>
    <w:rsid w:val="11C73FD2"/>
    <w:rsid w:val="11D230A2"/>
    <w:rsid w:val="11DC1820"/>
    <w:rsid w:val="11EB7CC0"/>
    <w:rsid w:val="12062D4C"/>
    <w:rsid w:val="12137217"/>
    <w:rsid w:val="12156EB2"/>
    <w:rsid w:val="122D652B"/>
    <w:rsid w:val="123551DD"/>
    <w:rsid w:val="123A29F6"/>
    <w:rsid w:val="124675EC"/>
    <w:rsid w:val="12493990"/>
    <w:rsid w:val="124F46F3"/>
    <w:rsid w:val="12535865"/>
    <w:rsid w:val="125F245C"/>
    <w:rsid w:val="12837EF9"/>
    <w:rsid w:val="128B14A3"/>
    <w:rsid w:val="12B07948"/>
    <w:rsid w:val="12B225AD"/>
    <w:rsid w:val="12D9220E"/>
    <w:rsid w:val="12DB7D35"/>
    <w:rsid w:val="12FB2ED7"/>
    <w:rsid w:val="13142949"/>
    <w:rsid w:val="13160D6D"/>
    <w:rsid w:val="13166FBF"/>
    <w:rsid w:val="133833D9"/>
    <w:rsid w:val="13675A6C"/>
    <w:rsid w:val="137837D5"/>
    <w:rsid w:val="139323BD"/>
    <w:rsid w:val="139B5240"/>
    <w:rsid w:val="139D4FEA"/>
    <w:rsid w:val="13A076E9"/>
    <w:rsid w:val="13AC347F"/>
    <w:rsid w:val="13C76104"/>
    <w:rsid w:val="13E17D34"/>
    <w:rsid w:val="13F273BA"/>
    <w:rsid w:val="14027F7E"/>
    <w:rsid w:val="140B289C"/>
    <w:rsid w:val="142E658A"/>
    <w:rsid w:val="145C6C53"/>
    <w:rsid w:val="149C4C65"/>
    <w:rsid w:val="14D47131"/>
    <w:rsid w:val="14D507B4"/>
    <w:rsid w:val="15007F26"/>
    <w:rsid w:val="150177FB"/>
    <w:rsid w:val="154C4F1A"/>
    <w:rsid w:val="155753B4"/>
    <w:rsid w:val="155E4C4D"/>
    <w:rsid w:val="15790034"/>
    <w:rsid w:val="15806971"/>
    <w:rsid w:val="15831BB5"/>
    <w:rsid w:val="158A1BB8"/>
    <w:rsid w:val="15C723AA"/>
    <w:rsid w:val="15D078F9"/>
    <w:rsid w:val="15F1161D"/>
    <w:rsid w:val="15FD7FC2"/>
    <w:rsid w:val="16130ADF"/>
    <w:rsid w:val="161C0D90"/>
    <w:rsid w:val="162437A1"/>
    <w:rsid w:val="16322440"/>
    <w:rsid w:val="16467BBB"/>
    <w:rsid w:val="165A5414"/>
    <w:rsid w:val="165F0C7D"/>
    <w:rsid w:val="16832BBD"/>
    <w:rsid w:val="16873D30"/>
    <w:rsid w:val="168C0DEF"/>
    <w:rsid w:val="168E50BE"/>
    <w:rsid w:val="16900E36"/>
    <w:rsid w:val="16A11295"/>
    <w:rsid w:val="16AD5E6D"/>
    <w:rsid w:val="16AE5760"/>
    <w:rsid w:val="16B8213B"/>
    <w:rsid w:val="16FA09A5"/>
    <w:rsid w:val="17196A5D"/>
    <w:rsid w:val="17342109"/>
    <w:rsid w:val="173730B6"/>
    <w:rsid w:val="17797B1C"/>
    <w:rsid w:val="178610E9"/>
    <w:rsid w:val="17B2302E"/>
    <w:rsid w:val="17B607EC"/>
    <w:rsid w:val="17C12AA3"/>
    <w:rsid w:val="17C52AFB"/>
    <w:rsid w:val="17DD3F0E"/>
    <w:rsid w:val="17E10FA2"/>
    <w:rsid w:val="17F43647"/>
    <w:rsid w:val="18001FEB"/>
    <w:rsid w:val="18041ADC"/>
    <w:rsid w:val="18130B51"/>
    <w:rsid w:val="181C6564"/>
    <w:rsid w:val="181F7DDC"/>
    <w:rsid w:val="1824217E"/>
    <w:rsid w:val="183F6D82"/>
    <w:rsid w:val="185A16FC"/>
    <w:rsid w:val="18886FBA"/>
    <w:rsid w:val="18950986"/>
    <w:rsid w:val="18980476"/>
    <w:rsid w:val="189961F1"/>
    <w:rsid w:val="189B29F1"/>
    <w:rsid w:val="18AB1F57"/>
    <w:rsid w:val="18AC51DE"/>
    <w:rsid w:val="18B3705E"/>
    <w:rsid w:val="18CB7F1E"/>
    <w:rsid w:val="18CD6371"/>
    <w:rsid w:val="18D771F0"/>
    <w:rsid w:val="18DF7E53"/>
    <w:rsid w:val="18E60853"/>
    <w:rsid w:val="190E2486"/>
    <w:rsid w:val="192F0DDA"/>
    <w:rsid w:val="193208CA"/>
    <w:rsid w:val="19377C8F"/>
    <w:rsid w:val="194D74B2"/>
    <w:rsid w:val="1961716B"/>
    <w:rsid w:val="1969163D"/>
    <w:rsid w:val="196D36B1"/>
    <w:rsid w:val="196E1665"/>
    <w:rsid w:val="197762DD"/>
    <w:rsid w:val="198253AE"/>
    <w:rsid w:val="19886E5D"/>
    <w:rsid w:val="198F1879"/>
    <w:rsid w:val="19A30E80"/>
    <w:rsid w:val="19AD1CFF"/>
    <w:rsid w:val="19DD4F1D"/>
    <w:rsid w:val="19DE6372"/>
    <w:rsid w:val="19E46363"/>
    <w:rsid w:val="19E5162C"/>
    <w:rsid w:val="19E619AA"/>
    <w:rsid w:val="19E73463"/>
    <w:rsid w:val="19EC47A6"/>
    <w:rsid w:val="19F17E3E"/>
    <w:rsid w:val="19F3005A"/>
    <w:rsid w:val="19F31E08"/>
    <w:rsid w:val="1A304E0A"/>
    <w:rsid w:val="1A532DEC"/>
    <w:rsid w:val="1A677AF0"/>
    <w:rsid w:val="1A6E5932"/>
    <w:rsid w:val="1A7867B1"/>
    <w:rsid w:val="1A7C55D5"/>
    <w:rsid w:val="1A9F1067"/>
    <w:rsid w:val="1AA475A6"/>
    <w:rsid w:val="1ABE4372"/>
    <w:rsid w:val="1ACB68E1"/>
    <w:rsid w:val="1ADD63E5"/>
    <w:rsid w:val="1AF22EF0"/>
    <w:rsid w:val="1AF57E02"/>
    <w:rsid w:val="1AF62642"/>
    <w:rsid w:val="1B0E4A1F"/>
    <w:rsid w:val="1B1E1106"/>
    <w:rsid w:val="1B3A3A66"/>
    <w:rsid w:val="1B3E3557"/>
    <w:rsid w:val="1B68392D"/>
    <w:rsid w:val="1B9238A2"/>
    <w:rsid w:val="1BA62EAA"/>
    <w:rsid w:val="1BBE4697"/>
    <w:rsid w:val="1BF74CF0"/>
    <w:rsid w:val="1C0227D6"/>
    <w:rsid w:val="1C037DB7"/>
    <w:rsid w:val="1C0876C1"/>
    <w:rsid w:val="1C0A00B2"/>
    <w:rsid w:val="1C191222"/>
    <w:rsid w:val="1C3D380E"/>
    <w:rsid w:val="1C4032FE"/>
    <w:rsid w:val="1C406E5A"/>
    <w:rsid w:val="1C4A7CD9"/>
    <w:rsid w:val="1C4E5A1B"/>
    <w:rsid w:val="1C501304"/>
    <w:rsid w:val="1C6074FD"/>
    <w:rsid w:val="1C733EA8"/>
    <w:rsid w:val="1C827473"/>
    <w:rsid w:val="1C8E66F5"/>
    <w:rsid w:val="1C973181"/>
    <w:rsid w:val="1CA36FA4"/>
    <w:rsid w:val="1CAC629E"/>
    <w:rsid w:val="1CB3097A"/>
    <w:rsid w:val="1CB3762C"/>
    <w:rsid w:val="1CC61A56"/>
    <w:rsid w:val="1CD221A8"/>
    <w:rsid w:val="1D012A8E"/>
    <w:rsid w:val="1D1207F7"/>
    <w:rsid w:val="1D167BBB"/>
    <w:rsid w:val="1D2F75FB"/>
    <w:rsid w:val="1D4022F5"/>
    <w:rsid w:val="1D4209B0"/>
    <w:rsid w:val="1D4A4435"/>
    <w:rsid w:val="1D5726AE"/>
    <w:rsid w:val="1D6848BB"/>
    <w:rsid w:val="1D7954DD"/>
    <w:rsid w:val="1D7E6E01"/>
    <w:rsid w:val="1D8B4DC9"/>
    <w:rsid w:val="1D951DF7"/>
    <w:rsid w:val="1DA0273A"/>
    <w:rsid w:val="1DA653E3"/>
    <w:rsid w:val="1DB00010"/>
    <w:rsid w:val="1DC1221D"/>
    <w:rsid w:val="1DD11BBE"/>
    <w:rsid w:val="1DD40603"/>
    <w:rsid w:val="1DE32193"/>
    <w:rsid w:val="1DF35498"/>
    <w:rsid w:val="1E2F7187"/>
    <w:rsid w:val="1E4724C0"/>
    <w:rsid w:val="1E5310C7"/>
    <w:rsid w:val="1EAA2CB1"/>
    <w:rsid w:val="1EAE454F"/>
    <w:rsid w:val="1EAF1AB3"/>
    <w:rsid w:val="1EBF050A"/>
    <w:rsid w:val="1ECB3353"/>
    <w:rsid w:val="1ED46405"/>
    <w:rsid w:val="1ED61AE4"/>
    <w:rsid w:val="1EDE4638"/>
    <w:rsid w:val="1F007754"/>
    <w:rsid w:val="1F15637C"/>
    <w:rsid w:val="1F32074A"/>
    <w:rsid w:val="1F3D3B25"/>
    <w:rsid w:val="1F443106"/>
    <w:rsid w:val="1F525822"/>
    <w:rsid w:val="1F550E6F"/>
    <w:rsid w:val="1F5E5F75"/>
    <w:rsid w:val="1F616815"/>
    <w:rsid w:val="1F7D3F22"/>
    <w:rsid w:val="1F8359DC"/>
    <w:rsid w:val="1F86727A"/>
    <w:rsid w:val="1F9A4AD4"/>
    <w:rsid w:val="1FB2555D"/>
    <w:rsid w:val="1FC00F0B"/>
    <w:rsid w:val="1FCD6C57"/>
    <w:rsid w:val="1FD46237"/>
    <w:rsid w:val="1FDE70B6"/>
    <w:rsid w:val="1FE65F6B"/>
    <w:rsid w:val="1FE83A91"/>
    <w:rsid w:val="201D6424"/>
    <w:rsid w:val="20230F6D"/>
    <w:rsid w:val="203E7B55"/>
    <w:rsid w:val="204038CD"/>
    <w:rsid w:val="20474C5B"/>
    <w:rsid w:val="20887022"/>
    <w:rsid w:val="209459C7"/>
    <w:rsid w:val="20971013"/>
    <w:rsid w:val="20A76F23"/>
    <w:rsid w:val="20BD4F1E"/>
    <w:rsid w:val="20D64231"/>
    <w:rsid w:val="20D65FDF"/>
    <w:rsid w:val="20D82A63"/>
    <w:rsid w:val="20F070A1"/>
    <w:rsid w:val="21035955"/>
    <w:rsid w:val="210C31EA"/>
    <w:rsid w:val="211A2370"/>
    <w:rsid w:val="21274A8D"/>
    <w:rsid w:val="214C004F"/>
    <w:rsid w:val="215A09BE"/>
    <w:rsid w:val="21627873"/>
    <w:rsid w:val="21644BD1"/>
    <w:rsid w:val="216D6944"/>
    <w:rsid w:val="218D1EAB"/>
    <w:rsid w:val="21C66054"/>
    <w:rsid w:val="21D06ED2"/>
    <w:rsid w:val="21ED1832"/>
    <w:rsid w:val="21ED538F"/>
    <w:rsid w:val="21FA5CFD"/>
    <w:rsid w:val="21FB3F4F"/>
    <w:rsid w:val="223B259E"/>
    <w:rsid w:val="22433200"/>
    <w:rsid w:val="224C6559"/>
    <w:rsid w:val="226921BA"/>
    <w:rsid w:val="226E2973"/>
    <w:rsid w:val="227D021A"/>
    <w:rsid w:val="22804328"/>
    <w:rsid w:val="228322B4"/>
    <w:rsid w:val="228A7081"/>
    <w:rsid w:val="22A2261D"/>
    <w:rsid w:val="22AE0FC2"/>
    <w:rsid w:val="22CE7A02"/>
    <w:rsid w:val="22D70394"/>
    <w:rsid w:val="22D8603F"/>
    <w:rsid w:val="22E309DB"/>
    <w:rsid w:val="22EF3388"/>
    <w:rsid w:val="22F32E79"/>
    <w:rsid w:val="22F866E1"/>
    <w:rsid w:val="22FD7853"/>
    <w:rsid w:val="23103A2A"/>
    <w:rsid w:val="232C1EE7"/>
    <w:rsid w:val="23725728"/>
    <w:rsid w:val="238735C1"/>
    <w:rsid w:val="23AB3753"/>
    <w:rsid w:val="23C82E13"/>
    <w:rsid w:val="23D15F87"/>
    <w:rsid w:val="2406098A"/>
    <w:rsid w:val="2432177F"/>
    <w:rsid w:val="2435126F"/>
    <w:rsid w:val="2444556C"/>
    <w:rsid w:val="245636BF"/>
    <w:rsid w:val="246C2EE2"/>
    <w:rsid w:val="247C2087"/>
    <w:rsid w:val="2483647E"/>
    <w:rsid w:val="24861ACA"/>
    <w:rsid w:val="24AC1C56"/>
    <w:rsid w:val="24B623B0"/>
    <w:rsid w:val="24C032D3"/>
    <w:rsid w:val="24CC1BD3"/>
    <w:rsid w:val="24E0742D"/>
    <w:rsid w:val="24EA02AB"/>
    <w:rsid w:val="24FD3B3B"/>
    <w:rsid w:val="251946ED"/>
    <w:rsid w:val="2540611D"/>
    <w:rsid w:val="255B4D05"/>
    <w:rsid w:val="256E4A38"/>
    <w:rsid w:val="25761B3F"/>
    <w:rsid w:val="257A518B"/>
    <w:rsid w:val="2584425C"/>
    <w:rsid w:val="25965D3D"/>
    <w:rsid w:val="25967954"/>
    <w:rsid w:val="259B030E"/>
    <w:rsid w:val="25BC4E69"/>
    <w:rsid w:val="25C51CC7"/>
    <w:rsid w:val="25CC175F"/>
    <w:rsid w:val="25D30D3F"/>
    <w:rsid w:val="25F5515A"/>
    <w:rsid w:val="260B2287"/>
    <w:rsid w:val="2618170F"/>
    <w:rsid w:val="264834DB"/>
    <w:rsid w:val="265C0D35"/>
    <w:rsid w:val="26613188"/>
    <w:rsid w:val="26647BE9"/>
    <w:rsid w:val="268838D8"/>
    <w:rsid w:val="268A3AF4"/>
    <w:rsid w:val="268D6C84"/>
    <w:rsid w:val="26976471"/>
    <w:rsid w:val="26992AA4"/>
    <w:rsid w:val="26C03072"/>
    <w:rsid w:val="26E50D2A"/>
    <w:rsid w:val="26E86A6C"/>
    <w:rsid w:val="26EE12CF"/>
    <w:rsid w:val="26F947D6"/>
    <w:rsid w:val="26FC7E22"/>
    <w:rsid w:val="27281EA0"/>
    <w:rsid w:val="27443F73"/>
    <w:rsid w:val="275B2D9A"/>
    <w:rsid w:val="276F63FA"/>
    <w:rsid w:val="2770619C"/>
    <w:rsid w:val="27814EF7"/>
    <w:rsid w:val="27822A1D"/>
    <w:rsid w:val="27905D7F"/>
    <w:rsid w:val="27B8643F"/>
    <w:rsid w:val="27BA21B7"/>
    <w:rsid w:val="27E82DA0"/>
    <w:rsid w:val="27F07987"/>
    <w:rsid w:val="2810774A"/>
    <w:rsid w:val="281178FD"/>
    <w:rsid w:val="2815563F"/>
    <w:rsid w:val="281F026C"/>
    <w:rsid w:val="281F64BE"/>
    <w:rsid w:val="2829733C"/>
    <w:rsid w:val="28341F69"/>
    <w:rsid w:val="284321AC"/>
    <w:rsid w:val="284657F9"/>
    <w:rsid w:val="284F6DA3"/>
    <w:rsid w:val="285C4F56"/>
    <w:rsid w:val="28687E65"/>
    <w:rsid w:val="28887BBF"/>
    <w:rsid w:val="28A013AD"/>
    <w:rsid w:val="28AB7D51"/>
    <w:rsid w:val="28C2340E"/>
    <w:rsid w:val="28DC0900"/>
    <w:rsid w:val="28E9370A"/>
    <w:rsid w:val="28F72F97"/>
    <w:rsid w:val="29110923"/>
    <w:rsid w:val="292A42F6"/>
    <w:rsid w:val="293D0B5D"/>
    <w:rsid w:val="29455AB0"/>
    <w:rsid w:val="295108F9"/>
    <w:rsid w:val="296251BB"/>
    <w:rsid w:val="29634188"/>
    <w:rsid w:val="2964062C"/>
    <w:rsid w:val="2996455E"/>
    <w:rsid w:val="299F1664"/>
    <w:rsid w:val="29A22E0C"/>
    <w:rsid w:val="29B071A6"/>
    <w:rsid w:val="2A247DBB"/>
    <w:rsid w:val="2A297180"/>
    <w:rsid w:val="2A3811AE"/>
    <w:rsid w:val="2A4B359A"/>
    <w:rsid w:val="2A551E8F"/>
    <w:rsid w:val="2A587A65"/>
    <w:rsid w:val="2A7C19A5"/>
    <w:rsid w:val="2A810D6A"/>
    <w:rsid w:val="2A941782"/>
    <w:rsid w:val="2A9767DF"/>
    <w:rsid w:val="2A994305"/>
    <w:rsid w:val="2AA50EFC"/>
    <w:rsid w:val="2AA9206F"/>
    <w:rsid w:val="2AAB4039"/>
    <w:rsid w:val="2AAE58D7"/>
    <w:rsid w:val="2AB63109"/>
    <w:rsid w:val="2ABC4498"/>
    <w:rsid w:val="2ABD384D"/>
    <w:rsid w:val="2ABE24CB"/>
    <w:rsid w:val="2AC61336"/>
    <w:rsid w:val="2ACB46DB"/>
    <w:rsid w:val="2ACD32A2"/>
    <w:rsid w:val="2AD43590"/>
    <w:rsid w:val="2AD6555A"/>
    <w:rsid w:val="2B03568F"/>
    <w:rsid w:val="2B057BED"/>
    <w:rsid w:val="2B117E04"/>
    <w:rsid w:val="2B1419ED"/>
    <w:rsid w:val="2B17347C"/>
    <w:rsid w:val="2B350611"/>
    <w:rsid w:val="2B3D7387"/>
    <w:rsid w:val="2B41674B"/>
    <w:rsid w:val="2B6434D1"/>
    <w:rsid w:val="2BB05DAB"/>
    <w:rsid w:val="2BD96984"/>
    <w:rsid w:val="2BEC4909"/>
    <w:rsid w:val="2BFF463C"/>
    <w:rsid w:val="2C2045B2"/>
    <w:rsid w:val="2C243F7D"/>
    <w:rsid w:val="2C2C73FB"/>
    <w:rsid w:val="2C384B06"/>
    <w:rsid w:val="2C41629E"/>
    <w:rsid w:val="2C4604BD"/>
    <w:rsid w:val="2C4E7372"/>
    <w:rsid w:val="2C604BCA"/>
    <w:rsid w:val="2C620A34"/>
    <w:rsid w:val="2C7A0167"/>
    <w:rsid w:val="2C83526D"/>
    <w:rsid w:val="2C957C29"/>
    <w:rsid w:val="2CAE1BBE"/>
    <w:rsid w:val="2CD31625"/>
    <w:rsid w:val="2CDC672B"/>
    <w:rsid w:val="2CDE06F5"/>
    <w:rsid w:val="2CFA4E04"/>
    <w:rsid w:val="2CFC0B7C"/>
    <w:rsid w:val="2D0B5263"/>
    <w:rsid w:val="2D2E3BBB"/>
    <w:rsid w:val="2D3D2EDC"/>
    <w:rsid w:val="2D4B565F"/>
    <w:rsid w:val="2D68349B"/>
    <w:rsid w:val="2D74105A"/>
    <w:rsid w:val="2D9A7C23"/>
    <w:rsid w:val="2DB1558B"/>
    <w:rsid w:val="2DC0604D"/>
    <w:rsid w:val="2DCA6ECC"/>
    <w:rsid w:val="2DDD3102"/>
    <w:rsid w:val="2DE4201C"/>
    <w:rsid w:val="2DE51610"/>
    <w:rsid w:val="2DF81343"/>
    <w:rsid w:val="2E093082"/>
    <w:rsid w:val="2E0C11F6"/>
    <w:rsid w:val="2E2B796A"/>
    <w:rsid w:val="2E2D511C"/>
    <w:rsid w:val="2E344FF7"/>
    <w:rsid w:val="2E3F51C4"/>
    <w:rsid w:val="2E7A61FC"/>
    <w:rsid w:val="2E8D23D3"/>
    <w:rsid w:val="2E9D0E17"/>
    <w:rsid w:val="2EC35DF5"/>
    <w:rsid w:val="2EC7618F"/>
    <w:rsid w:val="2ED62BDA"/>
    <w:rsid w:val="2EDA67C0"/>
    <w:rsid w:val="2F126434"/>
    <w:rsid w:val="2F204FF5"/>
    <w:rsid w:val="2F214A94"/>
    <w:rsid w:val="2F2D1523"/>
    <w:rsid w:val="2F436F36"/>
    <w:rsid w:val="2F4A02C4"/>
    <w:rsid w:val="2F5B602D"/>
    <w:rsid w:val="2F7013AD"/>
    <w:rsid w:val="2F7610B9"/>
    <w:rsid w:val="2F7E2FD7"/>
    <w:rsid w:val="2F801756"/>
    <w:rsid w:val="2F933F0A"/>
    <w:rsid w:val="2F972DDE"/>
    <w:rsid w:val="2FAF45CB"/>
    <w:rsid w:val="2FB63E65"/>
    <w:rsid w:val="2FE029D7"/>
    <w:rsid w:val="2FEF6776"/>
    <w:rsid w:val="2FF16992"/>
    <w:rsid w:val="30077F63"/>
    <w:rsid w:val="30195E78"/>
    <w:rsid w:val="301D7787"/>
    <w:rsid w:val="301F52AD"/>
    <w:rsid w:val="302028D1"/>
    <w:rsid w:val="304545E8"/>
    <w:rsid w:val="30696528"/>
    <w:rsid w:val="30726B29"/>
    <w:rsid w:val="307D6477"/>
    <w:rsid w:val="3080086A"/>
    <w:rsid w:val="30892BC8"/>
    <w:rsid w:val="308C0779"/>
    <w:rsid w:val="30A05CC2"/>
    <w:rsid w:val="30AB7B18"/>
    <w:rsid w:val="30D2231F"/>
    <w:rsid w:val="30D43A0F"/>
    <w:rsid w:val="30EE661D"/>
    <w:rsid w:val="30FA7AC8"/>
    <w:rsid w:val="310E23E5"/>
    <w:rsid w:val="313703D4"/>
    <w:rsid w:val="3139239E"/>
    <w:rsid w:val="31476AD2"/>
    <w:rsid w:val="31556AAC"/>
    <w:rsid w:val="315C608D"/>
    <w:rsid w:val="317433D6"/>
    <w:rsid w:val="317C228B"/>
    <w:rsid w:val="318B6972"/>
    <w:rsid w:val="3199108F"/>
    <w:rsid w:val="319E48F7"/>
    <w:rsid w:val="31A041CB"/>
    <w:rsid w:val="31A17F44"/>
    <w:rsid w:val="31A812D2"/>
    <w:rsid w:val="31AC0DC2"/>
    <w:rsid w:val="31B934DF"/>
    <w:rsid w:val="31CC4FC0"/>
    <w:rsid w:val="31D125D7"/>
    <w:rsid w:val="31DE63D5"/>
    <w:rsid w:val="31E83DC4"/>
    <w:rsid w:val="31EE13DB"/>
    <w:rsid w:val="31F91B2E"/>
    <w:rsid w:val="321172DC"/>
    <w:rsid w:val="322748ED"/>
    <w:rsid w:val="322E5C7B"/>
    <w:rsid w:val="32340DB8"/>
    <w:rsid w:val="32560D2E"/>
    <w:rsid w:val="32764F2C"/>
    <w:rsid w:val="328C29A2"/>
    <w:rsid w:val="32C1554F"/>
    <w:rsid w:val="32E97DF4"/>
    <w:rsid w:val="32EB3B6C"/>
    <w:rsid w:val="32F83B93"/>
    <w:rsid w:val="32FA3DAF"/>
    <w:rsid w:val="3328091C"/>
    <w:rsid w:val="332B21BB"/>
    <w:rsid w:val="333746BC"/>
    <w:rsid w:val="333A23FE"/>
    <w:rsid w:val="333A41AC"/>
    <w:rsid w:val="33552AE5"/>
    <w:rsid w:val="33865643"/>
    <w:rsid w:val="338D4C23"/>
    <w:rsid w:val="33A31D51"/>
    <w:rsid w:val="33B21475"/>
    <w:rsid w:val="33D54020"/>
    <w:rsid w:val="33D62126"/>
    <w:rsid w:val="33DA4B2B"/>
    <w:rsid w:val="33DF6B01"/>
    <w:rsid w:val="33E52369"/>
    <w:rsid w:val="33EA7980"/>
    <w:rsid w:val="33FA3E2F"/>
    <w:rsid w:val="3405474C"/>
    <w:rsid w:val="34164C19"/>
    <w:rsid w:val="34256C0A"/>
    <w:rsid w:val="344B1580"/>
    <w:rsid w:val="344F012B"/>
    <w:rsid w:val="346911EC"/>
    <w:rsid w:val="3489363D"/>
    <w:rsid w:val="348B2B5C"/>
    <w:rsid w:val="348E565A"/>
    <w:rsid w:val="34A51AF9"/>
    <w:rsid w:val="34AB35B3"/>
    <w:rsid w:val="34AD1DC5"/>
    <w:rsid w:val="34B24067"/>
    <w:rsid w:val="34DB551B"/>
    <w:rsid w:val="34E70363"/>
    <w:rsid w:val="34FA3BF3"/>
    <w:rsid w:val="34FF38FF"/>
    <w:rsid w:val="35002E80"/>
    <w:rsid w:val="35026F4B"/>
    <w:rsid w:val="3513228A"/>
    <w:rsid w:val="3522139B"/>
    <w:rsid w:val="35327830"/>
    <w:rsid w:val="358856A2"/>
    <w:rsid w:val="359027A9"/>
    <w:rsid w:val="3595485F"/>
    <w:rsid w:val="35A149B6"/>
    <w:rsid w:val="35AF0E81"/>
    <w:rsid w:val="35B04BF9"/>
    <w:rsid w:val="35B91D00"/>
    <w:rsid w:val="35FC175A"/>
    <w:rsid w:val="360B0081"/>
    <w:rsid w:val="362353CB"/>
    <w:rsid w:val="36533F02"/>
    <w:rsid w:val="365732C7"/>
    <w:rsid w:val="365B2DB7"/>
    <w:rsid w:val="365E4655"/>
    <w:rsid w:val="36661E38"/>
    <w:rsid w:val="367B0D63"/>
    <w:rsid w:val="369F5337"/>
    <w:rsid w:val="36BB54E0"/>
    <w:rsid w:val="36BE6EA2"/>
    <w:rsid w:val="36C4095C"/>
    <w:rsid w:val="36D82F85"/>
    <w:rsid w:val="36EE48AF"/>
    <w:rsid w:val="36FA437E"/>
    <w:rsid w:val="370E3B7D"/>
    <w:rsid w:val="3728183E"/>
    <w:rsid w:val="3730158D"/>
    <w:rsid w:val="376C3F60"/>
    <w:rsid w:val="376E2676"/>
    <w:rsid w:val="37781747"/>
    <w:rsid w:val="378974B0"/>
    <w:rsid w:val="37A10C9D"/>
    <w:rsid w:val="37A4078E"/>
    <w:rsid w:val="37B81B43"/>
    <w:rsid w:val="37CA01F4"/>
    <w:rsid w:val="37CA431E"/>
    <w:rsid w:val="37D50947"/>
    <w:rsid w:val="37D72911"/>
    <w:rsid w:val="37F339BA"/>
    <w:rsid w:val="37FC4126"/>
    <w:rsid w:val="381274A5"/>
    <w:rsid w:val="381C20D2"/>
    <w:rsid w:val="387463B2"/>
    <w:rsid w:val="38765D70"/>
    <w:rsid w:val="388B65E1"/>
    <w:rsid w:val="38A04AB1"/>
    <w:rsid w:val="38B90269"/>
    <w:rsid w:val="38BF587F"/>
    <w:rsid w:val="38C22C79"/>
    <w:rsid w:val="38C764E2"/>
    <w:rsid w:val="38C905EA"/>
    <w:rsid w:val="38D51ED2"/>
    <w:rsid w:val="38D95E95"/>
    <w:rsid w:val="38FB618B"/>
    <w:rsid w:val="390F7E89"/>
    <w:rsid w:val="39205BF2"/>
    <w:rsid w:val="39710A43"/>
    <w:rsid w:val="39736669"/>
    <w:rsid w:val="397F6DBC"/>
    <w:rsid w:val="39A84565"/>
    <w:rsid w:val="39B27192"/>
    <w:rsid w:val="39B34CB8"/>
    <w:rsid w:val="39E210F9"/>
    <w:rsid w:val="39F552D0"/>
    <w:rsid w:val="39F94DC1"/>
    <w:rsid w:val="39FF2F55"/>
    <w:rsid w:val="3A0B68A2"/>
    <w:rsid w:val="3A1F47A8"/>
    <w:rsid w:val="3A2F3750"/>
    <w:rsid w:val="3A63048C"/>
    <w:rsid w:val="3A804B9A"/>
    <w:rsid w:val="3A8723CC"/>
    <w:rsid w:val="3A8A3C6B"/>
    <w:rsid w:val="3AB42A96"/>
    <w:rsid w:val="3ACC6031"/>
    <w:rsid w:val="3AEC222F"/>
    <w:rsid w:val="3B19133A"/>
    <w:rsid w:val="3B24725E"/>
    <w:rsid w:val="3B255741"/>
    <w:rsid w:val="3B411E0E"/>
    <w:rsid w:val="3B657ED1"/>
    <w:rsid w:val="3B675D5A"/>
    <w:rsid w:val="3B6E533A"/>
    <w:rsid w:val="3B7641EF"/>
    <w:rsid w:val="3BA96372"/>
    <w:rsid w:val="3BC27434"/>
    <w:rsid w:val="3BC66F24"/>
    <w:rsid w:val="3BCD5ED2"/>
    <w:rsid w:val="3BFA097C"/>
    <w:rsid w:val="3C144F1E"/>
    <w:rsid w:val="3C1F4887"/>
    <w:rsid w:val="3C3C1745"/>
    <w:rsid w:val="3C432323"/>
    <w:rsid w:val="3C6E4EC6"/>
    <w:rsid w:val="3C9012E0"/>
    <w:rsid w:val="3C9E1C4F"/>
    <w:rsid w:val="3CAE5B71"/>
    <w:rsid w:val="3CD236A7"/>
    <w:rsid w:val="3CDC22EE"/>
    <w:rsid w:val="3CFD4A35"/>
    <w:rsid w:val="3D08531B"/>
    <w:rsid w:val="3D0E0B83"/>
    <w:rsid w:val="3D281519"/>
    <w:rsid w:val="3D3D4FC4"/>
    <w:rsid w:val="3D4F2087"/>
    <w:rsid w:val="3D536596"/>
    <w:rsid w:val="3D6E33D0"/>
    <w:rsid w:val="3D711112"/>
    <w:rsid w:val="3D7309E6"/>
    <w:rsid w:val="3D746262"/>
    <w:rsid w:val="3D790791"/>
    <w:rsid w:val="3DA57C6E"/>
    <w:rsid w:val="3DCC459A"/>
    <w:rsid w:val="3DE53DFE"/>
    <w:rsid w:val="3DE53EBE"/>
    <w:rsid w:val="3E006071"/>
    <w:rsid w:val="3E2E2B5F"/>
    <w:rsid w:val="3E555C36"/>
    <w:rsid w:val="3E774506"/>
    <w:rsid w:val="3EA572C5"/>
    <w:rsid w:val="3EA82911"/>
    <w:rsid w:val="3EB412B6"/>
    <w:rsid w:val="3EC864B8"/>
    <w:rsid w:val="3EE576C2"/>
    <w:rsid w:val="3EF5367D"/>
    <w:rsid w:val="3EF67B21"/>
    <w:rsid w:val="3F0464D4"/>
    <w:rsid w:val="3F0538C0"/>
    <w:rsid w:val="3F0C2E8B"/>
    <w:rsid w:val="3F1D32FF"/>
    <w:rsid w:val="3F354383"/>
    <w:rsid w:val="3F485EA2"/>
    <w:rsid w:val="3F4C39A3"/>
    <w:rsid w:val="3F780536"/>
    <w:rsid w:val="3FA96941"/>
    <w:rsid w:val="3FC03C8B"/>
    <w:rsid w:val="3FCB2D5B"/>
    <w:rsid w:val="3FED0060"/>
    <w:rsid w:val="3FED7A07"/>
    <w:rsid w:val="3FFA0F4B"/>
    <w:rsid w:val="40254E4B"/>
    <w:rsid w:val="403501D5"/>
    <w:rsid w:val="403D352D"/>
    <w:rsid w:val="406E1939"/>
    <w:rsid w:val="407A02DD"/>
    <w:rsid w:val="40B56E58"/>
    <w:rsid w:val="40D95004"/>
    <w:rsid w:val="40F938F8"/>
    <w:rsid w:val="41006A35"/>
    <w:rsid w:val="411918A4"/>
    <w:rsid w:val="411E510D"/>
    <w:rsid w:val="41200E85"/>
    <w:rsid w:val="412856C6"/>
    <w:rsid w:val="414C5D6D"/>
    <w:rsid w:val="41526B64"/>
    <w:rsid w:val="41581009"/>
    <w:rsid w:val="415B3C6B"/>
    <w:rsid w:val="416C5E78"/>
    <w:rsid w:val="417E204F"/>
    <w:rsid w:val="418A4550"/>
    <w:rsid w:val="41913B31"/>
    <w:rsid w:val="4191768D"/>
    <w:rsid w:val="41AC2719"/>
    <w:rsid w:val="41AC4E2C"/>
    <w:rsid w:val="41B33AA7"/>
    <w:rsid w:val="41CA0DF1"/>
    <w:rsid w:val="41CA2B9F"/>
    <w:rsid w:val="41D6027E"/>
    <w:rsid w:val="41F67447"/>
    <w:rsid w:val="420C1409"/>
    <w:rsid w:val="42274495"/>
    <w:rsid w:val="42334BE8"/>
    <w:rsid w:val="423B24A7"/>
    <w:rsid w:val="42402E61"/>
    <w:rsid w:val="424D4846"/>
    <w:rsid w:val="4269685C"/>
    <w:rsid w:val="42756FAE"/>
    <w:rsid w:val="428471F1"/>
    <w:rsid w:val="428B4A24"/>
    <w:rsid w:val="429513FF"/>
    <w:rsid w:val="42B0448A"/>
    <w:rsid w:val="42CA554C"/>
    <w:rsid w:val="42D9578F"/>
    <w:rsid w:val="42EA174A"/>
    <w:rsid w:val="42F56341"/>
    <w:rsid w:val="432664FB"/>
    <w:rsid w:val="43326C4D"/>
    <w:rsid w:val="43370708"/>
    <w:rsid w:val="43560EDA"/>
    <w:rsid w:val="436F0772"/>
    <w:rsid w:val="438576C5"/>
    <w:rsid w:val="439D75DA"/>
    <w:rsid w:val="43AC6B71"/>
    <w:rsid w:val="43B309AE"/>
    <w:rsid w:val="43C755E8"/>
    <w:rsid w:val="43D85A47"/>
    <w:rsid w:val="43EE7018"/>
    <w:rsid w:val="43FC569C"/>
    <w:rsid w:val="43FD36FF"/>
    <w:rsid w:val="440A1978"/>
    <w:rsid w:val="44110F59"/>
    <w:rsid w:val="4427077C"/>
    <w:rsid w:val="44342961"/>
    <w:rsid w:val="443D1D4E"/>
    <w:rsid w:val="444430DC"/>
    <w:rsid w:val="44517474"/>
    <w:rsid w:val="445552E9"/>
    <w:rsid w:val="44B37AB4"/>
    <w:rsid w:val="44EB271F"/>
    <w:rsid w:val="44F904E6"/>
    <w:rsid w:val="450035D2"/>
    <w:rsid w:val="4502487E"/>
    <w:rsid w:val="4504286C"/>
    <w:rsid w:val="45392515"/>
    <w:rsid w:val="453942C3"/>
    <w:rsid w:val="45555FC7"/>
    <w:rsid w:val="45660E30"/>
    <w:rsid w:val="45813EBC"/>
    <w:rsid w:val="45B20519"/>
    <w:rsid w:val="45B60701"/>
    <w:rsid w:val="45C73FC5"/>
    <w:rsid w:val="45C75D73"/>
    <w:rsid w:val="45CB51D7"/>
    <w:rsid w:val="45CE5353"/>
    <w:rsid w:val="45D16BF2"/>
    <w:rsid w:val="45D466E2"/>
    <w:rsid w:val="45D95AA6"/>
    <w:rsid w:val="45E3704E"/>
    <w:rsid w:val="45EC57D9"/>
    <w:rsid w:val="45F112D2"/>
    <w:rsid w:val="45F656FE"/>
    <w:rsid w:val="4600366E"/>
    <w:rsid w:val="460B7211"/>
    <w:rsid w:val="462C101C"/>
    <w:rsid w:val="46380A1F"/>
    <w:rsid w:val="46631330"/>
    <w:rsid w:val="466C2476"/>
    <w:rsid w:val="46976D34"/>
    <w:rsid w:val="46AC4F69"/>
    <w:rsid w:val="46B13D05"/>
    <w:rsid w:val="46C2478C"/>
    <w:rsid w:val="46EF5D11"/>
    <w:rsid w:val="472965B9"/>
    <w:rsid w:val="473A2575"/>
    <w:rsid w:val="474D22A8"/>
    <w:rsid w:val="47510148"/>
    <w:rsid w:val="475E44B5"/>
    <w:rsid w:val="475E6F75"/>
    <w:rsid w:val="47653A95"/>
    <w:rsid w:val="47740E6B"/>
    <w:rsid w:val="477F442B"/>
    <w:rsid w:val="4799373F"/>
    <w:rsid w:val="47A81BD4"/>
    <w:rsid w:val="47CD5197"/>
    <w:rsid w:val="47E66258"/>
    <w:rsid w:val="48021647"/>
    <w:rsid w:val="480A5FB4"/>
    <w:rsid w:val="480E290B"/>
    <w:rsid w:val="481E3C44"/>
    <w:rsid w:val="48221986"/>
    <w:rsid w:val="48270D4B"/>
    <w:rsid w:val="483B65A4"/>
    <w:rsid w:val="48435459"/>
    <w:rsid w:val="48455675"/>
    <w:rsid w:val="48905D8A"/>
    <w:rsid w:val="48A030EF"/>
    <w:rsid w:val="48B41F52"/>
    <w:rsid w:val="48B819A3"/>
    <w:rsid w:val="48C4593F"/>
    <w:rsid w:val="48F13107"/>
    <w:rsid w:val="49025314"/>
    <w:rsid w:val="49170DBF"/>
    <w:rsid w:val="49177011"/>
    <w:rsid w:val="49303C2F"/>
    <w:rsid w:val="4939265B"/>
    <w:rsid w:val="494476DB"/>
    <w:rsid w:val="49647D7D"/>
    <w:rsid w:val="49654339"/>
    <w:rsid w:val="49747FC0"/>
    <w:rsid w:val="498B5309"/>
    <w:rsid w:val="49B72ED9"/>
    <w:rsid w:val="49BC1967"/>
    <w:rsid w:val="49D31A78"/>
    <w:rsid w:val="49DD5BDD"/>
    <w:rsid w:val="49EA0282"/>
    <w:rsid w:val="49EA2030"/>
    <w:rsid w:val="49F25388"/>
    <w:rsid w:val="4A0D21C2"/>
    <w:rsid w:val="4A144007"/>
    <w:rsid w:val="4A2B43F6"/>
    <w:rsid w:val="4A563B69"/>
    <w:rsid w:val="4A767D68"/>
    <w:rsid w:val="4A7F4E6E"/>
    <w:rsid w:val="4A9B332A"/>
    <w:rsid w:val="4AA76173"/>
    <w:rsid w:val="4ADD6B6A"/>
    <w:rsid w:val="4AE9678B"/>
    <w:rsid w:val="4AF56EDE"/>
    <w:rsid w:val="4AF64A04"/>
    <w:rsid w:val="4AF84C20"/>
    <w:rsid w:val="4B1D4687"/>
    <w:rsid w:val="4B3774F7"/>
    <w:rsid w:val="4B5F25AA"/>
    <w:rsid w:val="4B603EF9"/>
    <w:rsid w:val="4B6237CC"/>
    <w:rsid w:val="4B702A09"/>
    <w:rsid w:val="4B9304A5"/>
    <w:rsid w:val="4BD25472"/>
    <w:rsid w:val="4BDB2578"/>
    <w:rsid w:val="4BF21670"/>
    <w:rsid w:val="4BF278C2"/>
    <w:rsid w:val="4BF74ED8"/>
    <w:rsid w:val="4C0D2006"/>
    <w:rsid w:val="4C15535E"/>
    <w:rsid w:val="4C20442F"/>
    <w:rsid w:val="4C2A705C"/>
    <w:rsid w:val="4C4579F1"/>
    <w:rsid w:val="4C577725"/>
    <w:rsid w:val="4C7327B1"/>
    <w:rsid w:val="4C7E73A7"/>
    <w:rsid w:val="4C9D15DC"/>
    <w:rsid w:val="4CA94101"/>
    <w:rsid w:val="4CAA69AE"/>
    <w:rsid w:val="4CBD3A2C"/>
    <w:rsid w:val="4CBE1552"/>
    <w:rsid w:val="4CE30FB8"/>
    <w:rsid w:val="4D04165B"/>
    <w:rsid w:val="4D283ED5"/>
    <w:rsid w:val="4D2910C1"/>
    <w:rsid w:val="4D6B54B7"/>
    <w:rsid w:val="4D75253B"/>
    <w:rsid w:val="4DA150FB"/>
    <w:rsid w:val="4DC13EB7"/>
    <w:rsid w:val="4DEA1710"/>
    <w:rsid w:val="4DEB281B"/>
    <w:rsid w:val="4DF91034"/>
    <w:rsid w:val="4DFC0584"/>
    <w:rsid w:val="4E061402"/>
    <w:rsid w:val="4E2A3343"/>
    <w:rsid w:val="4E2D4BE1"/>
    <w:rsid w:val="4E3441C2"/>
    <w:rsid w:val="4E41068C"/>
    <w:rsid w:val="4E4A7541"/>
    <w:rsid w:val="4E870795"/>
    <w:rsid w:val="4E872543"/>
    <w:rsid w:val="4E9A0132"/>
    <w:rsid w:val="4E9B6CB6"/>
    <w:rsid w:val="4EA03605"/>
    <w:rsid w:val="4ECA2430"/>
    <w:rsid w:val="4EE47996"/>
    <w:rsid w:val="4EE57197"/>
    <w:rsid w:val="4EE812E0"/>
    <w:rsid w:val="4EF61216"/>
    <w:rsid w:val="4EF61767"/>
    <w:rsid w:val="4EFD2805"/>
    <w:rsid w:val="4F05790C"/>
    <w:rsid w:val="4F1162B1"/>
    <w:rsid w:val="4F18689A"/>
    <w:rsid w:val="4F275AD4"/>
    <w:rsid w:val="4F310CFC"/>
    <w:rsid w:val="4F5368C9"/>
    <w:rsid w:val="4F552641"/>
    <w:rsid w:val="4F627C3C"/>
    <w:rsid w:val="4F7A20A8"/>
    <w:rsid w:val="4F8D1DDB"/>
    <w:rsid w:val="4FA40ED3"/>
    <w:rsid w:val="4FAB2261"/>
    <w:rsid w:val="4FAD422B"/>
    <w:rsid w:val="4FB516E3"/>
    <w:rsid w:val="4FC9093A"/>
    <w:rsid w:val="4FCB2904"/>
    <w:rsid w:val="4FD01CC8"/>
    <w:rsid w:val="4FF27E90"/>
    <w:rsid w:val="501D2D83"/>
    <w:rsid w:val="502D157E"/>
    <w:rsid w:val="503009B9"/>
    <w:rsid w:val="503E6C32"/>
    <w:rsid w:val="50416722"/>
    <w:rsid w:val="506B7C43"/>
    <w:rsid w:val="507C3BFE"/>
    <w:rsid w:val="509727E6"/>
    <w:rsid w:val="50A0169A"/>
    <w:rsid w:val="50A373DC"/>
    <w:rsid w:val="50BB69EC"/>
    <w:rsid w:val="50BD049E"/>
    <w:rsid w:val="50C51101"/>
    <w:rsid w:val="50E0418D"/>
    <w:rsid w:val="50E7551B"/>
    <w:rsid w:val="5100482F"/>
    <w:rsid w:val="51053BF3"/>
    <w:rsid w:val="510F6820"/>
    <w:rsid w:val="511931FB"/>
    <w:rsid w:val="51387B25"/>
    <w:rsid w:val="513E2C61"/>
    <w:rsid w:val="515E2C6F"/>
    <w:rsid w:val="515F1555"/>
    <w:rsid w:val="51703763"/>
    <w:rsid w:val="517B2107"/>
    <w:rsid w:val="518E5997"/>
    <w:rsid w:val="519C4558"/>
    <w:rsid w:val="519E230D"/>
    <w:rsid w:val="51CD2365"/>
    <w:rsid w:val="51E952C3"/>
    <w:rsid w:val="51EE0B2B"/>
    <w:rsid w:val="51F51D83"/>
    <w:rsid w:val="51F6353C"/>
    <w:rsid w:val="52065E75"/>
    <w:rsid w:val="52392AD5"/>
    <w:rsid w:val="52416EAD"/>
    <w:rsid w:val="52513320"/>
    <w:rsid w:val="52903735"/>
    <w:rsid w:val="529C0587"/>
    <w:rsid w:val="52AE2D77"/>
    <w:rsid w:val="52AF02BB"/>
    <w:rsid w:val="52C33D66"/>
    <w:rsid w:val="52EA7840"/>
    <w:rsid w:val="52ED493F"/>
    <w:rsid w:val="53057EDB"/>
    <w:rsid w:val="530A729F"/>
    <w:rsid w:val="53204D14"/>
    <w:rsid w:val="532E7431"/>
    <w:rsid w:val="533267F6"/>
    <w:rsid w:val="533A442F"/>
    <w:rsid w:val="53441266"/>
    <w:rsid w:val="53587A6D"/>
    <w:rsid w:val="53C27B7A"/>
    <w:rsid w:val="53DD4A9F"/>
    <w:rsid w:val="53E775E0"/>
    <w:rsid w:val="53EE4E13"/>
    <w:rsid w:val="54462559"/>
    <w:rsid w:val="544B5DC1"/>
    <w:rsid w:val="54827ED0"/>
    <w:rsid w:val="548D63DA"/>
    <w:rsid w:val="54AF6350"/>
    <w:rsid w:val="553E1482"/>
    <w:rsid w:val="5552317F"/>
    <w:rsid w:val="55627866"/>
    <w:rsid w:val="55630EE8"/>
    <w:rsid w:val="556E6878"/>
    <w:rsid w:val="5580085C"/>
    <w:rsid w:val="55AE2AAB"/>
    <w:rsid w:val="55CF657E"/>
    <w:rsid w:val="55DA564E"/>
    <w:rsid w:val="560B3A5A"/>
    <w:rsid w:val="56186177"/>
    <w:rsid w:val="562763BA"/>
    <w:rsid w:val="56637424"/>
    <w:rsid w:val="568C2BA5"/>
    <w:rsid w:val="569B20BE"/>
    <w:rsid w:val="56BC6B02"/>
    <w:rsid w:val="56BD287A"/>
    <w:rsid w:val="56C41E5B"/>
    <w:rsid w:val="56CD51B3"/>
    <w:rsid w:val="56D95906"/>
    <w:rsid w:val="56E14B13"/>
    <w:rsid w:val="56E56A6F"/>
    <w:rsid w:val="56E61DD1"/>
    <w:rsid w:val="56E83D9B"/>
    <w:rsid w:val="56EB388B"/>
    <w:rsid w:val="57120037"/>
    <w:rsid w:val="572C012C"/>
    <w:rsid w:val="578A4E52"/>
    <w:rsid w:val="579B705F"/>
    <w:rsid w:val="57F30C49"/>
    <w:rsid w:val="57FC6970"/>
    <w:rsid w:val="580A7D41"/>
    <w:rsid w:val="5814296E"/>
    <w:rsid w:val="581D69A9"/>
    <w:rsid w:val="583152CE"/>
    <w:rsid w:val="58586CFE"/>
    <w:rsid w:val="586B7F8B"/>
    <w:rsid w:val="588E0972"/>
    <w:rsid w:val="58A67A6A"/>
    <w:rsid w:val="58B44A2B"/>
    <w:rsid w:val="58B8779D"/>
    <w:rsid w:val="58D30D4A"/>
    <w:rsid w:val="58D520FD"/>
    <w:rsid w:val="58DE7204"/>
    <w:rsid w:val="58E32A6C"/>
    <w:rsid w:val="58EF1411"/>
    <w:rsid w:val="5904751A"/>
    <w:rsid w:val="590B5B1F"/>
    <w:rsid w:val="59382505"/>
    <w:rsid w:val="5955323E"/>
    <w:rsid w:val="59934492"/>
    <w:rsid w:val="59963B6A"/>
    <w:rsid w:val="599C0E6D"/>
    <w:rsid w:val="59A541C5"/>
    <w:rsid w:val="59A85A64"/>
    <w:rsid w:val="59AB6BF9"/>
    <w:rsid w:val="59AD6BD6"/>
    <w:rsid w:val="59B47F65"/>
    <w:rsid w:val="59CF385C"/>
    <w:rsid w:val="59DC0719"/>
    <w:rsid w:val="59E65F92"/>
    <w:rsid w:val="59F760A3"/>
    <w:rsid w:val="5A2C78C0"/>
    <w:rsid w:val="5A364E1D"/>
    <w:rsid w:val="5A441B5E"/>
    <w:rsid w:val="5A6B0F6B"/>
    <w:rsid w:val="5A722AE0"/>
    <w:rsid w:val="5A8647F3"/>
    <w:rsid w:val="5A9B2ED2"/>
    <w:rsid w:val="5AAC3332"/>
    <w:rsid w:val="5AC73054"/>
    <w:rsid w:val="5AD54636"/>
    <w:rsid w:val="5ADA63A5"/>
    <w:rsid w:val="5AE40D1D"/>
    <w:rsid w:val="5AF2343A"/>
    <w:rsid w:val="5AFC6067"/>
    <w:rsid w:val="5B037E62"/>
    <w:rsid w:val="5B1D548D"/>
    <w:rsid w:val="5B413140"/>
    <w:rsid w:val="5B5E6384"/>
    <w:rsid w:val="5BA04C44"/>
    <w:rsid w:val="5BAA430D"/>
    <w:rsid w:val="5BB610C4"/>
    <w:rsid w:val="5BDE7375"/>
    <w:rsid w:val="5C0A731B"/>
    <w:rsid w:val="5C327D7B"/>
    <w:rsid w:val="5C50666A"/>
    <w:rsid w:val="5C74430F"/>
    <w:rsid w:val="5C841E70"/>
    <w:rsid w:val="5CB34E56"/>
    <w:rsid w:val="5CCD38E7"/>
    <w:rsid w:val="5D1C02FB"/>
    <w:rsid w:val="5D290C69"/>
    <w:rsid w:val="5D323001"/>
    <w:rsid w:val="5D323FC2"/>
    <w:rsid w:val="5D327B1E"/>
    <w:rsid w:val="5D465377"/>
    <w:rsid w:val="5D4810F0"/>
    <w:rsid w:val="5D494E68"/>
    <w:rsid w:val="5D610403"/>
    <w:rsid w:val="5D8F08C7"/>
    <w:rsid w:val="5DA30A1C"/>
    <w:rsid w:val="5DAB4A1B"/>
    <w:rsid w:val="5DAC5C78"/>
    <w:rsid w:val="5DC25A71"/>
    <w:rsid w:val="5DD16051"/>
    <w:rsid w:val="5DD62B9F"/>
    <w:rsid w:val="5DE66B5A"/>
    <w:rsid w:val="5DF70D68"/>
    <w:rsid w:val="5DF72B16"/>
    <w:rsid w:val="5E117ADA"/>
    <w:rsid w:val="5E1611EE"/>
    <w:rsid w:val="5E20206C"/>
    <w:rsid w:val="5E2D57DC"/>
    <w:rsid w:val="5E5D6E1D"/>
    <w:rsid w:val="5E7303EE"/>
    <w:rsid w:val="5E912F6A"/>
    <w:rsid w:val="5EB34C8F"/>
    <w:rsid w:val="5EB8637F"/>
    <w:rsid w:val="5EC46E9C"/>
    <w:rsid w:val="5EC74102"/>
    <w:rsid w:val="5EC944B2"/>
    <w:rsid w:val="5EEB267A"/>
    <w:rsid w:val="5EFA28BD"/>
    <w:rsid w:val="5F1514A5"/>
    <w:rsid w:val="5F3C1128"/>
    <w:rsid w:val="5F48187B"/>
    <w:rsid w:val="5F533597"/>
    <w:rsid w:val="5F89155C"/>
    <w:rsid w:val="5F9A5E4E"/>
    <w:rsid w:val="5F9F3465"/>
    <w:rsid w:val="5FA647F3"/>
    <w:rsid w:val="5FC72BCD"/>
    <w:rsid w:val="5FDE21DF"/>
    <w:rsid w:val="5FE315A4"/>
    <w:rsid w:val="5FF13CC0"/>
    <w:rsid w:val="5FF732A1"/>
    <w:rsid w:val="5FF76DFD"/>
    <w:rsid w:val="60025ECE"/>
    <w:rsid w:val="603C5AC4"/>
    <w:rsid w:val="605E5A86"/>
    <w:rsid w:val="60695F4D"/>
    <w:rsid w:val="60732927"/>
    <w:rsid w:val="609603C4"/>
    <w:rsid w:val="60965387"/>
    <w:rsid w:val="609805E0"/>
    <w:rsid w:val="6098413C"/>
    <w:rsid w:val="609B3C2C"/>
    <w:rsid w:val="60AC3E4E"/>
    <w:rsid w:val="60CC1D90"/>
    <w:rsid w:val="60DB227B"/>
    <w:rsid w:val="60E92BEA"/>
    <w:rsid w:val="60EA6962"/>
    <w:rsid w:val="60F577E0"/>
    <w:rsid w:val="60FB04CA"/>
    <w:rsid w:val="61120DF3"/>
    <w:rsid w:val="61181721"/>
    <w:rsid w:val="613F280A"/>
    <w:rsid w:val="617A1A94"/>
    <w:rsid w:val="61903065"/>
    <w:rsid w:val="61B2747F"/>
    <w:rsid w:val="61EA0EF1"/>
    <w:rsid w:val="61ED6709"/>
    <w:rsid w:val="621C0D9D"/>
    <w:rsid w:val="623E0D13"/>
    <w:rsid w:val="623E51B7"/>
    <w:rsid w:val="624943AD"/>
    <w:rsid w:val="62970423"/>
    <w:rsid w:val="629E17B2"/>
    <w:rsid w:val="62A13F4D"/>
    <w:rsid w:val="62A72D5C"/>
    <w:rsid w:val="62B3538E"/>
    <w:rsid w:val="62BD2580"/>
    <w:rsid w:val="62C27B96"/>
    <w:rsid w:val="62CF4061"/>
    <w:rsid w:val="62DD22DA"/>
    <w:rsid w:val="62EE098B"/>
    <w:rsid w:val="62FB30A8"/>
    <w:rsid w:val="630E10B0"/>
    <w:rsid w:val="63101CA3"/>
    <w:rsid w:val="631B2E34"/>
    <w:rsid w:val="63421B86"/>
    <w:rsid w:val="634C491F"/>
    <w:rsid w:val="634E142A"/>
    <w:rsid w:val="636649C5"/>
    <w:rsid w:val="6377272F"/>
    <w:rsid w:val="637A5D7B"/>
    <w:rsid w:val="63AB4186"/>
    <w:rsid w:val="63E92BB3"/>
    <w:rsid w:val="63F6484A"/>
    <w:rsid w:val="63F816E1"/>
    <w:rsid w:val="64047D3A"/>
    <w:rsid w:val="64085A7D"/>
    <w:rsid w:val="6408782B"/>
    <w:rsid w:val="64175CC0"/>
    <w:rsid w:val="642301C1"/>
    <w:rsid w:val="645B2050"/>
    <w:rsid w:val="64660412"/>
    <w:rsid w:val="648C220A"/>
    <w:rsid w:val="64A102A5"/>
    <w:rsid w:val="64AA2690"/>
    <w:rsid w:val="64B61035"/>
    <w:rsid w:val="64C25C2B"/>
    <w:rsid w:val="64CF0348"/>
    <w:rsid w:val="64E57B6C"/>
    <w:rsid w:val="64EC2CA8"/>
    <w:rsid w:val="64FD3107"/>
    <w:rsid w:val="650F6997"/>
    <w:rsid w:val="651D5559"/>
    <w:rsid w:val="65271F32"/>
    <w:rsid w:val="65303D65"/>
    <w:rsid w:val="6532373D"/>
    <w:rsid w:val="653603C7"/>
    <w:rsid w:val="65366619"/>
    <w:rsid w:val="65613696"/>
    <w:rsid w:val="656670B3"/>
    <w:rsid w:val="65674A25"/>
    <w:rsid w:val="65827288"/>
    <w:rsid w:val="65870C23"/>
    <w:rsid w:val="65A719D2"/>
    <w:rsid w:val="65AD68DC"/>
    <w:rsid w:val="65B17A4E"/>
    <w:rsid w:val="65BD2897"/>
    <w:rsid w:val="65C8205B"/>
    <w:rsid w:val="65DF0A5F"/>
    <w:rsid w:val="660B2643"/>
    <w:rsid w:val="661F2C0A"/>
    <w:rsid w:val="662305AC"/>
    <w:rsid w:val="66344907"/>
    <w:rsid w:val="663568D1"/>
    <w:rsid w:val="663654DA"/>
    <w:rsid w:val="66544FA9"/>
    <w:rsid w:val="66565A88"/>
    <w:rsid w:val="6692162D"/>
    <w:rsid w:val="6694184A"/>
    <w:rsid w:val="66A3383B"/>
    <w:rsid w:val="66D41C46"/>
    <w:rsid w:val="66F16070"/>
    <w:rsid w:val="67104BBE"/>
    <w:rsid w:val="6712276E"/>
    <w:rsid w:val="673B3A73"/>
    <w:rsid w:val="6764746E"/>
    <w:rsid w:val="679B2764"/>
    <w:rsid w:val="67B052DA"/>
    <w:rsid w:val="67B6134C"/>
    <w:rsid w:val="67E73BFB"/>
    <w:rsid w:val="67E81E4D"/>
    <w:rsid w:val="681F3395"/>
    <w:rsid w:val="683A1F7D"/>
    <w:rsid w:val="684457E8"/>
    <w:rsid w:val="68790CF7"/>
    <w:rsid w:val="6897117D"/>
    <w:rsid w:val="689B6EBF"/>
    <w:rsid w:val="68A51AEC"/>
    <w:rsid w:val="68A8338A"/>
    <w:rsid w:val="68B95597"/>
    <w:rsid w:val="68BC0BE4"/>
    <w:rsid w:val="68BF2482"/>
    <w:rsid w:val="68D44CF7"/>
    <w:rsid w:val="68E1064A"/>
    <w:rsid w:val="68E643AD"/>
    <w:rsid w:val="68FB795E"/>
    <w:rsid w:val="690C3919"/>
    <w:rsid w:val="690F6F65"/>
    <w:rsid w:val="692769A5"/>
    <w:rsid w:val="693469CC"/>
    <w:rsid w:val="694A61EF"/>
    <w:rsid w:val="695B21AB"/>
    <w:rsid w:val="6962178B"/>
    <w:rsid w:val="696E0130"/>
    <w:rsid w:val="69A47FF6"/>
    <w:rsid w:val="69CE5072"/>
    <w:rsid w:val="69D1246D"/>
    <w:rsid w:val="69EB79D2"/>
    <w:rsid w:val="69FC398E"/>
    <w:rsid w:val="6A0B1E23"/>
    <w:rsid w:val="6A10568B"/>
    <w:rsid w:val="6A1D3904"/>
    <w:rsid w:val="6A2106DC"/>
    <w:rsid w:val="6A325601"/>
    <w:rsid w:val="6A354704"/>
    <w:rsid w:val="6A3A44B6"/>
    <w:rsid w:val="6A462E5B"/>
    <w:rsid w:val="6A4B4F4E"/>
    <w:rsid w:val="6A6E23B2"/>
    <w:rsid w:val="6A7C2172"/>
    <w:rsid w:val="6A8219B9"/>
    <w:rsid w:val="6A94006A"/>
    <w:rsid w:val="6AA54025"/>
    <w:rsid w:val="6B0B7C00"/>
    <w:rsid w:val="6B2018FE"/>
    <w:rsid w:val="6B3B6738"/>
    <w:rsid w:val="6B4F5D3F"/>
    <w:rsid w:val="6B655563"/>
    <w:rsid w:val="6B6A4927"/>
    <w:rsid w:val="6B7E6DD0"/>
    <w:rsid w:val="6B850F47"/>
    <w:rsid w:val="6B87372B"/>
    <w:rsid w:val="6B8E2D0B"/>
    <w:rsid w:val="6BC71C16"/>
    <w:rsid w:val="6BCE135A"/>
    <w:rsid w:val="6BDA5F51"/>
    <w:rsid w:val="6BED145C"/>
    <w:rsid w:val="6BED19BB"/>
    <w:rsid w:val="6BFB1A23"/>
    <w:rsid w:val="6C0463C2"/>
    <w:rsid w:val="6C0A3E89"/>
    <w:rsid w:val="6C367D6F"/>
    <w:rsid w:val="6C467836"/>
    <w:rsid w:val="6C5960BB"/>
    <w:rsid w:val="6C605846"/>
    <w:rsid w:val="6C615D2A"/>
    <w:rsid w:val="6C627CF4"/>
    <w:rsid w:val="6C735A5D"/>
    <w:rsid w:val="6C830921"/>
    <w:rsid w:val="6C871509"/>
    <w:rsid w:val="6C8934D3"/>
    <w:rsid w:val="6C922387"/>
    <w:rsid w:val="6C97174C"/>
    <w:rsid w:val="6C975BF0"/>
    <w:rsid w:val="6CA81BAB"/>
    <w:rsid w:val="6CB57E24"/>
    <w:rsid w:val="6CBA368C"/>
    <w:rsid w:val="6CC10EBE"/>
    <w:rsid w:val="6CC60283"/>
    <w:rsid w:val="6CD504C6"/>
    <w:rsid w:val="6CE32BE3"/>
    <w:rsid w:val="6D154D66"/>
    <w:rsid w:val="6D3D3CAF"/>
    <w:rsid w:val="6D433682"/>
    <w:rsid w:val="6D5E2269"/>
    <w:rsid w:val="6D655CEE"/>
    <w:rsid w:val="6D7A3DFD"/>
    <w:rsid w:val="6DA640FF"/>
    <w:rsid w:val="6DB1683D"/>
    <w:rsid w:val="6DD0500C"/>
    <w:rsid w:val="6DD95D94"/>
    <w:rsid w:val="6DE05374"/>
    <w:rsid w:val="6DE54739"/>
    <w:rsid w:val="6E250FD9"/>
    <w:rsid w:val="6E3C6829"/>
    <w:rsid w:val="6E3F209B"/>
    <w:rsid w:val="6E492F1A"/>
    <w:rsid w:val="6E4E50C4"/>
    <w:rsid w:val="6E526272"/>
    <w:rsid w:val="6E596F8D"/>
    <w:rsid w:val="6E645FA5"/>
    <w:rsid w:val="6E7B2823"/>
    <w:rsid w:val="6E7D7067"/>
    <w:rsid w:val="6EBA74B5"/>
    <w:rsid w:val="6EC86534"/>
    <w:rsid w:val="6ECD11EA"/>
    <w:rsid w:val="6EEA46FD"/>
    <w:rsid w:val="6EFA4D2E"/>
    <w:rsid w:val="6F044254"/>
    <w:rsid w:val="6F0B5017"/>
    <w:rsid w:val="6F152DFC"/>
    <w:rsid w:val="6F174DC6"/>
    <w:rsid w:val="6F1F3C7A"/>
    <w:rsid w:val="6F4638FD"/>
    <w:rsid w:val="6F4F27B2"/>
    <w:rsid w:val="6F6D3F5B"/>
    <w:rsid w:val="6F80353E"/>
    <w:rsid w:val="6F8A4893"/>
    <w:rsid w:val="6F8A5598"/>
    <w:rsid w:val="6F9E1043"/>
    <w:rsid w:val="6FB2689C"/>
    <w:rsid w:val="6FB70357"/>
    <w:rsid w:val="6FC0720B"/>
    <w:rsid w:val="6FD40F09"/>
    <w:rsid w:val="6FE949B4"/>
    <w:rsid w:val="6FE9622E"/>
    <w:rsid w:val="701C78B7"/>
    <w:rsid w:val="701E3F32"/>
    <w:rsid w:val="70390D6C"/>
    <w:rsid w:val="703F45D4"/>
    <w:rsid w:val="703F7B1B"/>
    <w:rsid w:val="705B0CE2"/>
    <w:rsid w:val="705C33D8"/>
    <w:rsid w:val="706202C3"/>
    <w:rsid w:val="706556AA"/>
    <w:rsid w:val="706A53C9"/>
    <w:rsid w:val="70822713"/>
    <w:rsid w:val="70893AA1"/>
    <w:rsid w:val="70A42689"/>
    <w:rsid w:val="70B45570"/>
    <w:rsid w:val="70C95A75"/>
    <w:rsid w:val="70D2369A"/>
    <w:rsid w:val="70D81F09"/>
    <w:rsid w:val="70DA6B1D"/>
    <w:rsid w:val="70E8746C"/>
    <w:rsid w:val="70F566A2"/>
    <w:rsid w:val="710F044A"/>
    <w:rsid w:val="71114E24"/>
    <w:rsid w:val="711517D9"/>
    <w:rsid w:val="711911D0"/>
    <w:rsid w:val="71500A63"/>
    <w:rsid w:val="71595371"/>
    <w:rsid w:val="715A71EC"/>
    <w:rsid w:val="715C2F64"/>
    <w:rsid w:val="718129CA"/>
    <w:rsid w:val="71AA0173"/>
    <w:rsid w:val="71D61D0F"/>
    <w:rsid w:val="71E867AC"/>
    <w:rsid w:val="71F907B3"/>
    <w:rsid w:val="72042AA0"/>
    <w:rsid w:val="720D309A"/>
    <w:rsid w:val="722831CE"/>
    <w:rsid w:val="722A33A7"/>
    <w:rsid w:val="722F3AD6"/>
    <w:rsid w:val="723B6402"/>
    <w:rsid w:val="72516841"/>
    <w:rsid w:val="725E4ABA"/>
    <w:rsid w:val="72802C82"/>
    <w:rsid w:val="72895FDA"/>
    <w:rsid w:val="72AE3C93"/>
    <w:rsid w:val="72DC25AE"/>
    <w:rsid w:val="72F378F8"/>
    <w:rsid w:val="72FD42D3"/>
    <w:rsid w:val="731955B0"/>
    <w:rsid w:val="73263829"/>
    <w:rsid w:val="732950C8"/>
    <w:rsid w:val="734038C7"/>
    <w:rsid w:val="734168B5"/>
    <w:rsid w:val="73480F08"/>
    <w:rsid w:val="736D43B2"/>
    <w:rsid w:val="73742238"/>
    <w:rsid w:val="739E7864"/>
    <w:rsid w:val="73A0182E"/>
    <w:rsid w:val="73AE23C8"/>
    <w:rsid w:val="73B72B30"/>
    <w:rsid w:val="73BC6AB5"/>
    <w:rsid w:val="73C6500C"/>
    <w:rsid w:val="73E008CB"/>
    <w:rsid w:val="73E746AA"/>
    <w:rsid w:val="74054678"/>
    <w:rsid w:val="741E6BF6"/>
    <w:rsid w:val="742762AB"/>
    <w:rsid w:val="74381A66"/>
    <w:rsid w:val="743957DE"/>
    <w:rsid w:val="74416441"/>
    <w:rsid w:val="74534AF2"/>
    <w:rsid w:val="74542618"/>
    <w:rsid w:val="74566390"/>
    <w:rsid w:val="74575C64"/>
    <w:rsid w:val="74597C2E"/>
    <w:rsid w:val="745A5E80"/>
    <w:rsid w:val="745D771F"/>
    <w:rsid w:val="74707893"/>
    <w:rsid w:val="747E4778"/>
    <w:rsid w:val="7480205F"/>
    <w:rsid w:val="7491561A"/>
    <w:rsid w:val="74A0585D"/>
    <w:rsid w:val="74AF7363"/>
    <w:rsid w:val="74F12B1B"/>
    <w:rsid w:val="75181898"/>
    <w:rsid w:val="752E65DE"/>
    <w:rsid w:val="7556560A"/>
    <w:rsid w:val="755F74C6"/>
    <w:rsid w:val="75716FDC"/>
    <w:rsid w:val="757765BE"/>
    <w:rsid w:val="7578639C"/>
    <w:rsid w:val="75795EB8"/>
    <w:rsid w:val="758240A6"/>
    <w:rsid w:val="75837666"/>
    <w:rsid w:val="7595149F"/>
    <w:rsid w:val="75A5137D"/>
    <w:rsid w:val="75DF5F11"/>
    <w:rsid w:val="75F47C0F"/>
    <w:rsid w:val="75FB0F9D"/>
    <w:rsid w:val="760B6D06"/>
    <w:rsid w:val="7615764E"/>
    <w:rsid w:val="761B33ED"/>
    <w:rsid w:val="761E5904"/>
    <w:rsid w:val="762304F4"/>
    <w:rsid w:val="762C55FB"/>
    <w:rsid w:val="763E07EC"/>
    <w:rsid w:val="76402E54"/>
    <w:rsid w:val="765E777E"/>
    <w:rsid w:val="76805946"/>
    <w:rsid w:val="768E1E11"/>
    <w:rsid w:val="769413F2"/>
    <w:rsid w:val="76E2215D"/>
    <w:rsid w:val="76E23F0B"/>
    <w:rsid w:val="76F31C74"/>
    <w:rsid w:val="76FB321F"/>
    <w:rsid w:val="7715608F"/>
    <w:rsid w:val="7717656F"/>
    <w:rsid w:val="773A5AF5"/>
    <w:rsid w:val="77660698"/>
    <w:rsid w:val="77933457"/>
    <w:rsid w:val="77A80CB1"/>
    <w:rsid w:val="77AB01AD"/>
    <w:rsid w:val="77AB69F3"/>
    <w:rsid w:val="77AD4519"/>
    <w:rsid w:val="77B27D81"/>
    <w:rsid w:val="77C83101"/>
    <w:rsid w:val="77CA6D43"/>
    <w:rsid w:val="77DC6BAC"/>
    <w:rsid w:val="77E85551"/>
    <w:rsid w:val="77F4039A"/>
    <w:rsid w:val="77F9775E"/>
    <w:rsid w:val="78003994"/>
    <w:rsid w:val="78175313"/>
    <w:rsid w:val="784529A4"/>
    <w:rsid w:val="785901FD"/>
    <w:rsid w:val="78633F48"/>
    <w:rsid w:val="787D213D"/>
    <w:rsid w:val="78916532"/>
    <w:rsid w:val="78BE0E43"/>
    <w:rsid w:val="78C25DA2"/>
    <w:rsid w:val="78EA52F9"/>
    <w:rsid w:val="78EC1071"/>
    <w:rsid w:val="78EE6B97"/>
    <w:rsid w:val="790E0FE8"/>
    <w:rsid w:val="79125A86"/>
    <w:rsid w:val="791B3704"/>
    <w:rsid w:val="79207B25"/>
    <w:rsid w:val="79330A4E"/>
    <w:rsid w:val="7936053E"/>
    <w:rsid w:val="7956298E"/>
    <w:rsid w:val="796A48AC"/>
    <w:rsid w:val="797352EE"/>
    <w:rsid w:val="79752E15"/>
    <w:rsid w:val="799040F2"/>
    <w:rsid w:val="799C2A97"/>
    <w:rsid w:val="79BE7FB8"/>
    <w:rsid w:val="79C30024"/>
    <w:rsid w:val="79C564AA"/>
    <w:rsid w:val="79C773E8"/>
    <w:rsid w:val="79F521A7"/>
    <w:rsid w:val="7A016D9E"/>
    <w:rsid w:val="7A0F14BB"/>
    <w:rsid w:val="7A146AD1"/>
    <w:rsid w:val="7A1D6984"/>
    <w:rsid w:val="7A291E51"/>
    <w:rsid w:val="7A3902E6"/>
    <w:rsid w:val="7A3A405E"/>
    <w:rsid w:val="7A3F3423"/>
    <w:rsid w:val="7A42282F"/>
    <w:rsid w:val="7A4B626B"/>
    <w:rsid w:val="7A5073DE"/>
    <w:rsid w:val="7A7E219D"/>
    <w:rsid w:val="7A835A05"/>
    <w:rsid w:val="7ABB519F"/>
    <w:rsid w:val="7AC878BC"/>
    <w:rsid w:val="7ACB19BC"/>
    <w:rsid w:val="7ACF0260"/>
    <w:rsid w:val="7AD50F5F"/>
    <w:rsid w:val="7AD61FD9"/>
    <w:rsid w:val="7AE014A2"/>
    <w:rsid w:val="7AE364A4"/>
    <w:rsid w:val="7AE5221C"/>
    <w:rsid w:val="7AE97076"/>
    <w:rsid w:val="7AEC5358"/>
    <w:rsid w:val="7AEF4E49"/>
    <w:rsid w:val="7AFE508C"/>
    <w:rsid w:val="7B1B775A"/>
    <w:rsid w:val="7B33799F"/>
    <w:rsid w:val="7B58479C"/>
    <w:rsid w:val="7B6A44CF"/>
    <w:rsid w:val="7BB4551B"/>
    <w:rsid w:val="7BD644A9"/>
    <w:rsid w:val="7BD83B2F"/>
    <w:rsid w:val="7BD858DD"/>
    <w:rsid w:val="7BDD1A3F"/>
    <w:rsid w:val="7BDF0A19"/>
    <w:rsid w:val="7C261CED"/>
    <w:rsid w:val="7C3358B2"/>
    <w:rsid w:val="7C46633F"/>
    <w:rsid w:val="7C7B2E38"/>
    <w:rsid w:val="7C8F68E3"/>
    <w:rsid w:val="7C931ED5"/>
    <w:rsid w:val="7CA8618D"/>
    <w:rsid w:val="7CAB7C4F"/>
    <w:rsid w:val="7CAD4FBB"/>
    <w:rsid w:val="7CB93960"/>
    <w:rsid w:val="7CCE07D2"/>
    <w:rsid w:val="7CD30D3A"/>
    <w:rsid w:val="7CE309DD"/>
    <w:rsid w:val="7CF130FA"/>
    <w:rsid w:val="7D1B0177"/>
    <w:rsid w:val="7D3350C5"/>
    <w:rsid w:val="7D36181F"/>
    <w:rsid w:val="7D3E3E65"/>
    <w:rsid w:val="7D5176F5"/>
    <w:rsid w:val="7D567401"/>
    <w:rsid w:val="7D8A2825"/>
    <w:rsid w:val="7DAB14FB"/>
    <w:rsid w:val="7DED1B13"/>
    <w:rsid w:val="7DFF1847"/>
    <w:rsid w:val="7E18599E"/>
    <w:rsid w:val="7E1E7F1F"/>
    <w:rsid w:val="7E2B263C"/>
    <w:rsid w:val="7E5020A2"/>
    <w:rsid w:val="7E5E47BF"/>
    <w:rsid w:val="7E816E81"/>
    <w:rsid w:val="7E851D4C"/>
    <w:rsid w:val="7E905BE4"/>
    <w:rsid w:val="7E965EA0"/>
    <w:rsid w:val="7E97382D"/>
    <w:rsid w:val="7E977CD1"/>
    <w:rsid w:val="7EA30424"/>
    <w:rsid w:val="7EA47CF8"/>
    <w:rsid w:val="7EAA5EF8"/>
    <w:rsid w:val="7EAA7A04"/>
    <w:rsid w:val="7EB0669D"/>
    <w:rsid w:val="7EC14D4E"/>
    <w:rsid w:val="7ED71E7C"/>
    <w:rsid w:val="7EF41933"/>
    <w:rsid w:val="7EF67423"/>
    <w:rsid w:val="7EF90044"/>
    <w:rsid w:val="7F076C05"/>
    <w:rsid w:val="7F0F7AF0"/>
    <w:rsid w:val="7F435763"/>
    <w:rsid w:val="7F453289"/>
    <w:rsid w:val="7F623E3B"/>
    <w:rsid w:val="7F8C0EB8"/>
    <w:rsid w:val="7F9A69D0"/>
    <w:rsid w:val="7FAA57E2"/>
    <w:rsid w:val="7FCE7723"/>
    <w:rsid w:val="7FD60385"/>
    <w:rsid w:val="7FF56A5D"/>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sdException w:qFormat="1" w:unhideWhenUsed="0" w:uiPriority="99" w:semiHidden="0" w:name="heading 4"/>
    <w:lsdException w:qFormat="1" w:unhideWhenUsed="0" w:uiPriority="99" w:semiHidden="0" w:name="heading 5"/>
    <w:lsdException w:qFormat="1" w:unhideWhenUsed="0" w:uiPriority="99" w:semiHidden="0" w:name="heading 6"/>
    <w:lsdException w:qFormat="1" w:unhideWhenUsed="0" w:uiPriority="99" w:semiHidden="0" w:name="heading 7"/>
    <w:lsdException w:qFormat="1" w:unhideWhenUsed="0" w:uiPriority="99" w:semiHidden="0" w:name="heading 8"/>
    <w:lsdException w:qFormat="1" w:unhideWhenUsed="0" w:uiPriority="99" w:semiHidden="0" w:name="heading 9"/>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qFormat="1" w:unhideWhenUsed="0" w:uiPriority="39" w:semiHidden="0" w:name="toc 1"/>
    <w:lsdException w:qFormat="1" w:unhideWhenUsed="0" w:uiPriority="39" w:semiHidden="0" w:name="toc 2"/>
    <w:lsdException w:qFormat="1" w:unhideWhenUsed="0" w:uiPriority="39" w:semiHidden="0" w:name="toc 3"/>
    <w:lsdException w:qFormat="1" w:uiPriority="31" w:semiHidden="0" w:name="toc 4"/>
    <w:lsdException w:unhideWhenUsed="0" w:uiPriority="0" w:semiHidden="0" w:name="toc 5"/>
    <w:lsdException w:qFormat="1" w:unhideWhenUsed="0" w:uiPriority="99" w:semiHidden="0" w:name="toc 6" w:locked="1"/>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iPriority="99" w:name="footnote text" w:locked="1"/>
    <w:lsdException w:qFormat="1" w:unhideWhenUsed="0" w:uiPriority="99" w:semiHidden="0" w:name="annotation text"/>
    <w:lsdException w:qFormat="1" w:unhideWhenUsed="0" w:uiPriority="0" w:semiHidden="0" w:name="header"/>
    <w:lsdException w:qFormat="1" w:unhideWhenUsed="0" w:uiPriority="99" w:semiHidden="0" w:name="footer"/>
    <w:lsdException w:uiPriority="99" w:name="index heading" w:locked="1"/>
    <w:lsdException w:qFormat="1" w:uiPriority="0" w:name="caption"/>
    <w:lsdException w:uiPriority="99" w:name="table of figures" w:locked="1"/>
    <w:lsdException w:uiPriority="99" w:name="envelope address" w:locked="1"/>
    <w:lsdException w:qFormat="1" w:unhideWhenUsed="0" w:uiPriority="0" w:semiHidden="0" w:name="envelope return" w:locked="1"/>
    <w:lsdException w:uiPriority="99" w:name="footnote reference" w:locked="1"/>
    <w:lsdException w:qFormat="1" w:unhideWhenUsed="0" w:uiPriority="99" w:name="annotation reference" w:locked="1"/>
    <w:lsdException w:uiPriority="99" w:name="line number" w:locked="1"/>
    <w:lsdException w:qFormat="1" w:unhideWhenUsed="0" w:uiPriority="99" w:semiHidden="0" w:name="page number"/>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qFormat="1" w:unhideWhenUsed="0" w:uiPriority="99" w:semiHidden="0" w:name="List 2"/>
    <w:lsdException w:qFormat="1" w:unhideWhenUsed="0" w:uiPriority="99" w:semiHidden="0" w:name="List 3"/>
    <w:lsdException w:qFormat="1" w:unhideWhenUsed="0" w:uiPriority="99" w:semiHidden="0" w:name="List 4"/>
    <w:lsdException w:qFormat="1" w:unhideWhenUsed="0" w:uiPriority="99" w:semiHidden="0" w:name="List 5"/>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0" w:semiHidden="0" w:name="Title"/>
    <w:lsdException w:uiPriority="99" w:name="Closing" w:locked="1"/>
    <w:lsdException w:uiPriority="99" w:name="Signature" w:locked="1"/>
    <w:lsdException w:qFormat="1" w:uiPriority="1" w:name="Default Paragraph Font"/>
    <w:lsdException w:qFormat="1" w:unhideWhenUsed="0" w:uiPriority="99" w:semiHidden="0" w:name="Body Text"/>
    <w:lsdException w:qFormat="1" w:unhideWhenUsed="0" w:uiPriority="99" w:semiHidden="0" w:name="Body Text Indent"/>
    <w:lsdException w:qFormat="1" w:unhideWhenUsed="0" w:uiPriority="99" w:semiHidden="0" w:name="List Continue"/>
    <w:lsdException w:qFormat="1" w:unhideWhenUsed="0" w:uiPriority="99" w:semiHidden="0" w:name="List Continue 2"/>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0" w:semiHidden="0" w:name="Subtitle"/>
    <w:lsdException w:uiPriority="99" w:name="Salutation" w:locked="1"/>
    <w:lsdException w:qFormat="1" w:unhideWhenUsed="0" w:uiPriority="99" w:semiHidden="0" w:name="Date"/>
    <w:lsdException w:qFormat="1" w:unhideWhenUsed="0" w:uiPriority="0" w:semiHidden="0" w:name="Body Text First Indent" w:locked="1"/>
    <w:lsdException w:qFormat="1" w:unhideWhenUsed="0" w:uiPriority="0" w:semiHidden="0" w:name="Body Text First Indent 2" w:locked="1"/>
    <w:lsdException w:uiPriority="99" w:name="Note Heading" w:locked="1"/>
    <w:lsdException w:qFormat="1" w:unhideWhenUsed="0" w:uiPriority="99" w:semiHidden="0" w:name="Body Text 2"/>
    <w:lsdException w:uiPriority="99" w:name="Body Text 3" w:locked="1"/>
    <w:lsdException w:qFormat="1" w:unhideWhenUsed="0" w:uiPriority="99" w:semiHidden="0" w:name="Body Text Indent 2"/>
    <w:lsdException w:qFormat="1" w:unhideWhenUsed="0" w:uiPriority="99" w:semiHidden="0" w:name="Body Text Indent 3"/>
    <w:lsdException w:uiPriority="99" w:name="Block Text" w:locked="1"/>
    <w:lsdException w:qFormat="1" w:unhideWhenUsed="0" w:uiPriority="99" w:semiHidden="0" w:name="Hyperlink"/>
    <w:lsdException w:qFormat="1" w:unhideWhenUsed="0" w:uiPriority="99" w:name="FollowedHyperlink" w:locked="1"/>
    <w:lsdException w:qFormat="1" w:unhideWhenUsed="0" w:uiPriority="99" w:semiHidden="0" w:name="Strong"/>
    <w:lsdException w:qFormat="1" w:unhideWhenUsed="0" w:uiPriority="99" w:semiHidden="0" w:name="Emphasis"/>
    <w:lsdException w:qFormat="1" w:unhideWhenUsed="0" w:uiPriority="99" w:semiHidden="0" w:name="Document Map"/>
    <w:lsdException w:qFormat="1" w:unhideWhenUsed="0" w:uiPriority="0" w:semiHidden="0" w:name="Plain Text"/>
    <w:lsdException w:uiPriority="99" w:name="E-mail Signature" w:locked="1"/>
    <w:lsdException w:qFormat="1" w:unhideWhenUsed="0" w:uiPriority="99" w:semiHidden="0" w:name="Normal (Web)"/>
    <w:lsdException w:qFormat="1" w:uiPriority="99" w:name="HTML Acronym" w:locked="1"/>
    <w:lsdException w:uiPriority="99" w:name="HTML Address" w:locked="1"/>
    <w:lsdException w:qFormat="1" w:uiPriority="99" w:name="HTML Cite" w:locked="1"/>
    <w:lsdException w:qFormat="1" w:uiPriority="99" w:name="HTML Code" w:locked="1"/>
    <w:lsdException w:qFormat="1" w:uiPriority="99" w:name="HTML Definition" w:locked="1"/>
    <w:lsdException w:qFormat="1" w:uiPriority="99" w:name="HTML Keyboard" w:locked="1"/>
    <w:lsdException w:uiPriority="99" w:name="HTML Preformatted" w:locked="1"/>
    <w:lsdException w:qFormat="1" w:uiPriority="99" w:name="HTML Sample" w:locked="1"/>
    <w:lsdException w:qFormat="1" w:uiPriority="99" w:name="HTML Typewriter" w:locked="1"/>
    <w:lsdException w:qFormat="1" w:uiPriority="99" w:name="HTML Variable" w:locked="1"/>
    <w:lsdException w:qFormat="1" w:uiPriority="99" w:name="Normal Table"/>
    <w:lsdException w:qFormat="1" w:unhideWhenUsed="0" w:uiPriority="99" w:name="annotation subject" w:locked="1"/>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qFormat="1" w:unhideWhenUsed="0" w:uiPriority="99" w:semiHidden="0" w:name="Balloon Text"/>
    <w:lsdException w:qFormat="1" w:unhideWhenUsed="0" w:uiPriority="99" w:semiHidden="0" w:name="Table Grid" w:locked="1"/>
    <w:lsdException w:uiPriority="99" w:name="Table Theme" w:locked="1"/>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60"/>
    <w:autoRedefine/>
    <w:qFormat/>
    <w:uiPriority w:val="99"/>
    <w:pPr>
      <w:keepNext/>
      <w:keepLines/>
      <w:adjustRightInd w:val="0"/>
      <w:spacing w:before="340" w:after="330" w:line="578" w:lineRule="atLeast"/>
      <w:ind w:left="3312" w:firstLine="288"/>
      <w:jc w:val="left"/>
      <w:textAlignment w:val="baseline"/>
      <w:outlineLvl w:val="0"/>
    </w:pPr>
    <w:rPr>
      <w:b/>
      <w:bCs/>
      <w:kern w:val="44"/>
      <w:sz w:val="44"/>
      <w:szCs w:val="44"/>
    </w:rPr>
  </w:style>
  <w:style w:type="paragraph" w:styleId="3">
    <w:name w:val="heading 2"/>
    <w:basedOn w:val="1"/>
    <w:next w:val="1"/>
    <w:link w:val="61"/>
    <w:autoRedefine/>
    <w:qFormat/>
    <w:uiPriority w:val="99"/>
    <w:pPr>
      <w:keepNext/>
      <w:keepLines/>
      <w:adjustRightInd w:val="0"/>
      <w:spacing w:before="260" w:after="260" w:line="416" w:lineRule="atLeast"/>
      <w:ind w:left="-120"/>
      <w:jc w:val="left"/>
      <w:textAlignment w:val="baseline"/>
      <w:outlineLvl w:val="1"/>
    </w:pPr>
    <w:rPr>
      <w:rFonts w:ascii="Arial" w:hAnsi="Arial" w:eastAsia="黑体"/>
      <w:b/>
      <w:bCs/>
      <w:kern w:val="0"/>
      <w:sz w:val="32"/>
      <w:szCs w:val="32"/>
    </w:rPr>
  </w:style>
  <w:style w:type="paragraph" w:styleId="4">
    <w:name w:val="heading 3"/>
    <w:basedOn w:val="1"/>
    <w:next w:val="1"/>
    <w:link w:val="62"/>
    <w:autoRedefine/>
    <w:qFormat/>
    <w:uiPriority w:val="99"/>
    <w:pPr>
      <w:keepNext/>
      <w:keepLines/>
      <w:numPr>
        <w:ilvl w:val="2"/>
        <w:numId w:val="1"/>
      </w:numPr>
      <w:adjustRightInd w:val="0"/>
      <w:spacing w:before="260" w:after="260" w:line="416" w:lineRule="atLeast"/>
      <w:jc w:val="left"/>
      <w:textAlignment w:val="baseline"/>
      <w:outlineLvl w:val="2"/>
    </w:pPr>
    <w:rPr>
      <w:b/>
      <w:bCs/>
      <w:kern w:val="0"/>
      <w:sz w:val="32"/>
      <w:szCs w:val="32"/>
    </w:rPr>
  </w:style>
  <w:style w:type="paragraph" w:styleId="5">
    <w:name w:val="heading 4"/>
    <w:basedOn w:val="1"/>
    <w:next w:val="1"/>
    <w:link w:val="63"/>
    <w:autoRedefine/>
    <w:qFormat/>
    <w:uiPriority w:val="99"/>
    <w:pPr>
      <w:keepNext/>
      <w:keepLines/>
      <w:adjustRightInd w:val="0"/>
      <w:spacing w:before="280" w:after="290" w:line="376" w:lineRule="atLeast"/>
      <w:ind w:left="-120"/>
      <w:jc w:val="left"/>
      <w:textAlignment w:val="baseline"/>
      <w:outlineLvl w:val="3"/>
    </w:pPr>
    <w:rPr>
      <w:rFonts w:ascii="Arial" w:hAnsi="Arial" w:eastAsia="黑体"/>
      <w:b/>
      <w:bCs/>
      <w:kern w:val="0"/>
      <w:sz w:val="28"/>
      <w:szCs w:val="28"/>
    </w:rPr>
  </w:style>
  <w:style w:type="paragraph" w:styleId="6">
    <w:name w:val="heading 5"/>
    <w:basedOn w:val="1"/>
    <w:next w:val="1"/>
    <w:link w:val="64"/>
    <w:autoRedefine/>
    <w:qFormat/>
    <w:uiPriority w:val="99"/>
    <w:pPr>
      <w:keepNext/>
      <w:keepLines/>
      <w:adjustRightInd w:val="0"/>
      <w:spacing w:before="280" w:after="290" w:line="376" w:lineRule="atLeast"/>
      <w:ind w:left="-120"/>
      <w:jc w:val="left"/>
      <w:textAlignment w:val="baseline"/>
      <w:outlineLvl w:val="4"/>
    </w:pPr>
    <w:rPr>
      <w:b/>
      <w:bCs/>
      <w:kern w:val="0"/>
      <w:sz w:val="28"/>
      <w:szCs w:val="28"/>
    </w:rPr>
  </w:style>
  <w:style w:type="paragraph" w:styleId="7">
    <w:name w:val="heading 6"/>
    <w:basedOn w:val="1"/>
    <w:next w:val="1"/>
    <w:link w:val="65"/>
    <w:autoRedefine/>
    <w:qFormat/>
    <w:uiPriority w:val="99"/>
    <w:pPr>
      <w:keepNext/>
      <w:keepLines/>
      <w:adjustRightInd w:val="0"/>
      <w:spacing w:before="240" w:after="64" w:line="320" w:lineRule="atLeast"/>
      <w:ind w:left="-120"/>
      <w:jc w:val="left"/>
      <w:textAlignment w:val="baseline"/>
      <w:outlineLvl w:val="5"/>
    </w:pPr>
    <w:rPr>
      <w:rFonts w:ascii="Arial" w:hAnsi="Arial" w:eastAsia="黑体"/>
      <w:b/>
      <w:bCs/>
      <w:kern w:val="0"/>
      <w:sz w:val="24"/>
    </w:rPr>
  </w:style>
  <w:style w:type="paragraph" w:styleId="8">
    <w:name w:val="heading 7"/>
    <w:basedOn w:val="1"/>
    <w:next w:val="1"/>
    <w:link w:val="66"/>
    <w:autoRedefine/>
    <w:qFormat/>
    <w:uiPriority w:val="99"/>
    <w:pPr>
      <w:keepNext/>
      <w:keepLines/>
      <w:adjustRightInd w:val="0"/>
      <w:spacing w:before="240" w:after="64" w:line="320" w:lineRule="atLeast"/>
      <w:ind w:left="-120"/>
      <w:jc w:val="left"/>
      <w:textAlignment w:val="baseline"/>
      <w:outlineLvl w:val="6"/>
    </w:pPr>
    <w:rPr>
      <w:b/>
      <w:bCs/>
      <w:kern w:val="0"/>
      <w:sz w:val="24"/>
    </w:rPr>
  </w:style>
  <w:style w:type="paragraph" w:styleId="9">
    <w:name w:val="heading 8"/>
    <w:basedOn w:val="1"/>
    <w:next w:val="1"/>
    <w:link w:val="67"/>
    <w:autoRedefine/>
    <w:qFormat/>
    <w:uiPriority w:val="99"/>
    <w:pPr>
      <w:keepNext/>
      <w:keepLines/>
      <w:adjustRightInd w:val="0"/>
      <w:spacing w:before="240" w:after="64" w:line="320" w:lineRule="atLeast"/>
      <w:ind w:left="-120"/>
      <w:jc w:val="left"/>
      <w:textAlignment w:val="baseline"/>
      <w:outlineLvl w:val="7"/>
    </w:pPr>
    <w:rPr>
      <w:rFonts w:ascii="Arial" w:hAnsi="Arial" w:eastAsia="黑体"/>
      <w:kern w:val="0"/>
      <w:sz w:val="24"/>
    </w:rPr>
  </w:style>
  <w:style w:type="paragraph" w:styleId="10">
    <w:name w:val="heading 9"/>
    <w:basedOn w:val="1"/>
    <w:next w:val="1"/>
    <w:link w:val="68"/>
    <w:autoRedefine/>
    <w:qFormat/>
    <w:uiPriority w:val="99"/>
    <w:pPr>
      <w:keepNext/>
      <w:keepLines/>
      <w:adjustRightInd w:val="0"/>
      <w:spacing w:before="240" w:after="64" w:line="320" w:lineRule="atLeast"/>
      <w:ind w:left="-120"/>
      <w:jc w:val="left"/>
      <w:textAlignment w:val="baseline"/>
      <w:outlineLvl w:val="8"/>
    </w:pPr>
    <w:rPr>
      <w:rFonts w:ascii="Arial" w:hAnsi="Arial" w:eastAsia="黑体"/>
      <w:kern w:val="0"/>
      <w:szCs w:val="21"/>
    </w:rPr>
  </w:style>
  <w:style w:type="character" w:default="1" w:styleId="43">
    <w:name w:val="Default Paragraph Font"/>
    <w:semiHidden/>
    <w:unhideWhenUsed/>
    <w:qFormat/>
    <w:uiPriority w:val="1"/>
  </w:style>
  <w:style w:type="table" w:default="1" w:styleId="41">
    <w:name w:val="Normal Table"/>
    <w:semiHidden/>
    <w:unhideWhenUsed/>
    <w:qFormat/>
    <w:uiPriority w:val="99"/>
    <w:tblPr>
      <w:tblCellMar>
        <w:top w:w="0" w:type="dxa"/>
        <w:left w:w="108" w:type="dxa"/>
        <w:bottom w:w="0" w:type="dxa"/>
        <w:right w:w="108" w:type="dxa"/>
      </w:tblCellMar>
    </w:tblPr>
  </w:style>
  <w:style w:type="paragraph" w:styleId="11">
    <w:name w:val="List 3"/>
    <w:basedOn w:val="1"/>
    <w:autoRedefine/>
    <w:qFormat/>
    <w:uiPriority w:val="99"/>
    <w:pPr>
      <w:adjustRightInd w:val="0"/>
      <w:spacing w:line="360" w:lineRule="atLeast"/>
      <w:ind w:left="100" w:leftChars="400" w:hanging="200" w:hangingChars="200"/>
      <w:jc w:val="left"/>
      <w:textAlignment w:val="baseline"/>
    </w:pPr>
    <w:rPr>
      <w:kern w:val="0"/>
      <w:sz w:val="24"/>
      <w:szCs w:val="20"/>
    </w:rPr>
  </w:style>
  <w:style w:type="paragraph" w:styleId="12">
    <w:name w:val="Normal Indent"/>
    <w:basedOn w:val="1"/>
    <w:next w:val="13"/>
    <w:autoRedefine/>
    <w:qFormat/>
    <w:uiPriority w:val="0"/>
    <w:pPr>
      <w:adjustRightInd w:val="0"/>
      <w:spacing w:line="312" w:lineRule="atLeast"/>
      <w:ind w:firstLine="420"/>
      <w:textAlignment w:val="baseline"/>
    </w:pPr>
    <w:rPr>
      <w:rFonts w:eastAsia="仿宋_GB2312"/>
      <w:kern w:val="0"/>
      <w:sz w:val="24"/>
      <w:szCs w:val="20"/>
    </w:rPr>
  </w:style>
  <w:style w:type="paragraph" w:styleId="13">
    <w:name w:val="toc 4"/>
    <w:basedOn w:val="1"/>
    <w:next w:val="1"/>
    <w:autoRedefine/>
    <w:unhideWhenUsed/>
    <w:qFormat/>
    <w:uiPriority w:val="31"/>
    <w:pPr>
      <w:ind w:left="1275"/>
    </w:pPr>
    <w:rPr>
      <w:rFonts w:ascii="Calibri" w:hAnsi="Calibri"/>
      <w:szCs w:val="21"/>
    </w:rPr>
  </w:style>
  <w:style w:type="paragraph" w:styleId="14">
    <w:name w:val="Document Map"/>
    <w:basedOn w:val="1"/>
    <w:link w:val="69"/>
    <w:autoRedefine/>
    <w:qFormat/>
    <w:uiPriority w:val="99"/>
    <w:pPr>
      <w:shd w:val="clear" w:color="auto" w:fill="000080"/>
    </w:pPr>
  </w:style>
  <w:style w:type="paragraph" w:styleId="15">
    <w:name w:val="annotation text"/>
    <w:basedOn w:val="1"/>
    <w:link w:val="70"/>
    <w:autoRedefine/>
    <w:qFormat/>
    <w:uiPriority w:val="99"/>
    <w:pPr>
      <w:adjustRightInd w:val="0"/>
      <w:spacing w:line="360" w:lineRule="atLeast"/>
      <w:jc w:val="left"/>
    </w:pPr>
    <w:rPr>
      <w:kern w:val="0"/>
      <w:sz w:val="24"/>
      <w:szCs w:val="20"/>
    </w:rPr>
  </w:style>
  <w:style w:type="paragraph" w:styleId="16">
    <w:name w:val="Body Text"/>
    <w:basedOn w:val="1"/>
    <w:next w:val="1"/>
    <w:link w:val="71"/>
    <w:autoRedefine/>
    <w:qFormat/>
    <w:uiPriority w:val="99"/>
    <w:pPr>
      <w:adjustRightInd w:val="0"/>
      <w:spacing w:after="120" w:line="360" w:lineRule="atLeast"/>
      <w:jc w:val="left"/>
      <w:textAlignment w:val="baseline"/>
    </w:pPr>
    <w:rPr>
      <w:kern w:val="0"/>
      <w:sz w:val="24"/>
      <w:szCs w:val="20"/>
    </w:rPr>
  </w:style>
  <w:style w:type="paragraph" w:styleId="17">
    <w:name w:val="Body Text Indent"/>
    <w:basedOn w:val="1"/>
    <w:next w:val="18"/>
    <w:link w:val="72"/>
    <w:autoRedefine/>
    <w:qFormat/>
    <w:uiPriority w:val="99"/>
    <w:pPr>
      <w:spacing w:after="120"/>
      <w:ind w:left="420" w:leftChars="200"/>
    </w:pPr>
  </w:style>
  <w:style w:type="paragraph" w:customStyle="1" w:styleId="18">
    <w:name w:val="Default"/>
    <w:next w:val="19"/>
    <w:autoRedefine/>
    <w:qFormat/>
    <w:uiPriority w:val="0"/>
    <w:pPr>
      <w:widowControl w:val="0"/>
      <w:autoSpaceDE w:val="0"/>
      <w:autoSpaceDN w:val="0"/>
      <w:adjustRightInd w:val="0"/>
    </w:pPr>
    <w:rPr>
      <w:rFonts w:ascii="宋体" w:eastAsia="宋体" w:cs="宋体" w:hAnsiTheme="minorHAnsi"/>
      <w:color w:val="000000"/>
      <w:sz w:val="24"/>
      <w:szCs w:val="24"/>
      <w:lang w:val="en-US" w:eastAsia="en-US" w:bidi="ar-SA"/>
    </w:rPr>
  </w:style>
  <w:style w:type="paragraph" w:styleId="19">
    <w:name w:val="toc 2"/>
    <w:basedOn w:val="1"/>
    <w:next w:val="1"/>
    <w:autoRedefine/>
    <w:qFormat/>
    <w:uiPriority w:val="39"/>
    <w:pPr>
      <w:tabs>
        <w:tab w:val="left" w:pos="1080"/>
        <w:tab w:val="right" w:leader="middleDot" w:pos="8494"/>
      </w:tabs>
      <w:spacing w:line="360" w:lineRule="auto"/>
      <w:ind w:left="420" w:leftChars="200" w:firstLine="240" w:firstLineChars="100"/>
    </w:pPr>
  </w:style>
  <w:style w:type="paragraph" w:styleId="20">
    <w:name w:val="List 2"/>
    <w:basedOn w:val="1"/>
    <w:autoRedefine/>
    <w:qFormat/>
    <w:uiPriority w:val="99"/>
    <w:pPr>
      <w:adjustRightInd w:val="0"/>
      <w:spacing w:line="360" w:lineRule="atLeast"/>
      <w:ind w:left="100" w:leftChars="200" w:hanging="200" w:hangingChars="200"/>
      <w:jc w:val="left"/>
      <w:textAlignment w:val="baseline"/>
    </w:pPr>
    <w:rPr>
      <w:kern w:val="0"/>
      <w:sz w:val="24"/>
      <w:szCs w:val="20"/>
    </w:rPr>
  </w:style>
  <w:style w:type="paragraph" w:styleId="21">
    <w:name w:val="List Continue"/>
    <w:basedOn w:val="1"/>
    <w:autoRedefine/>
    <w:qFormat/>
    <w:uiPriority w:val="99"/>
    <w:pPr>
      <w:adjustRightInd w:val="0"/>
      <w:spacing w:after="120" w:line="360" w:lineRule="atLeast"/>
      <w:ind w:left="420" w:leftChars="200"/>
      <w:jc w:val="left"/>
      <w:textAlignment w:val="baseline"/>
    </w:pPr>
    <w:rPr>
      <w:kern w:val="0"/>
      <w:sz w:val="24"/>
      <w:szCs w:val="20"/>
    </w:rPr>
  </w:style>
  <w:style w:type="paragraph" w:styleId="22">
    <w:name w:val="toc 3"/>
    <w:basedOn w:val="1"/>
    <w:next w:val="1"/>
    <w:autoRedefine/>
    <w:qFormat/>
    <w:uiPriority w:val="39"/>
    <w:pPr>
      <w:adjustRightInd w:val="0"/>
      <w:spacing w:line="360" w:lineRule="auto"/>
      <w:ind w:left="961" w:leftChars="429" w:hanging="60" w:hangingChars="25"/>
      <w:textAlignment w:val="baseline"/>
    </w:pPr>
    <w:rPr>
      <w:kern w:val="0"/>
      <w:sz w:val="24"/>
      <w:szCs w:val="20"/>
    </w:rPr>
  </w:style>
  <w:style w:type="paragraph" w:styleId="23">
    <w:name w:val="Plain Text"/>
    <w:basedOn w:val="1"/>
    <w:link w:val="73"/>
    <w:autoRedefine/>
    <w:qFormat/>
    <w:uiPriority w:val="0"/>
    <w:rPr>
      <w:rFonts w:ascii="宋体" w:hAnsi="Courier New"/>
      <w:szCs w:val="21"/>
    </w:rPr>
  </w:style>
  <w:style w:type="paragraph" w:styleId="24">
    <w:name w:val="Date"/>
    <w:basedOn w:val="1"/>
    <w:next w:val="1"/>
    <w:link w:val="74"/>
    <w:autoRedefine/>
    <w:qFormat/>
    <w:uiPriority w:val="99"/>
    <w:pPr>
      <w:adjustRightInd w:val="0"/>
      <w:spacing w:line="360" w:lineRule="atLeast"/>
      <w:ind w:left="100" w:leftChars="2500"/>
      <w:jc w:val="left"/>
      <w:textAlignment w:val="baseline"/>
    </w:pPr>
    <w:rPr>
      <w:kern w:val="0"/>
      <w:sz w:val="24"/>
      <w:szCs w:val="20"/>
    </w:rPr>
  </w:style>
  <w:style w:type="paragraph" w:styleId="25">
    <w:name w:val="Body Text Indent 2"/>
    <w:basedOn w:val="1"/>
    <w:link w:val="75"/>
    <w:autoRedefine/>
    <w:qFormat/>
    <w:uiPriority w:val="99"/>
    <w:pPr>
      <w:spacing w:after="120" w:line="480" w:lineRule="auto"/>
      <w:ind w:left="420" w:leftChars="200"/>
    </w:pPr>
  </w:style>
  <w:style w:type="paragraph" w:styleId="26">
    <w:name w:val="Balloon Text"/>
    <w:basedOn w:val="1"/>
    <w:link w:val="76"/>
    <w:autoRedefine/>
    <w:qFormat/>
    <w:uiPriority w:val="99"/>
    <w:rPr>
      <w:sz w:val="18"/>
      <w:szCs w:val="18"/>
    </w:rPr>
  </w:style>
  <w:style w:type="paragraph" w:styleId="27">
    <w:name w:val="footer"/>
    <w:basedOn w:val="1"/>
    <w:link w:val="77"/>
    <w:autoRedefine/>
    <w:qFormat/>
    <w:uiPriority w:val="99"/>
    <w:pPr>
      <w:tabs>
        <w:tab w:val="center" w:pos="4153"/>
        <w:tab w:val="right" w:pos="8306"/>
      </w:tabs>
      <w:adjustRightInd w:val="0"/>
      <w:spacing w:line="240" w:lineRule="atLeast"/>
      <w:jc w:val="left"/>
      <w:textAlignment w:val="baseline"/>
    </w:pPr>
    <w:rPr>
      <w:kern w:val="0"/>
      <w:sz w:val="18"/>
      <w:szCs w:val="20"/>
    </w:rPr>
  </w:style>
  <w:style w:type="paragraph" w:styleId="28">
    <w:name w:val="envelope return"/>
    <w:qFormat/>
    <w:locked/>
    <w:uiPriority w:val="0"/>
    <w:pPr>
      <w:widowControl w:val="0"/>
      <w:snapToGrid w:val="0"/>
      <w:jc w:val="both"/>
    </w:pPr>
    <w:rPr>
      <w:rFonts w:ascii="Arial" w:hAnsi="Arial" w:eastAsiaTheme="minorEastAsia" w:cstheme="minorBidi"/>
      <w:kern w:val="2"/>
      <w:sz w:val="24"/>
      <w:szCs w:val="24"/>
      <w:lang w:val="en-US" w:eastAsia="zh-CN" w:bidi="ar-SA"/>
    </w:rPr>
  </w:style>
  <w:style w:type="paragraph" w:styleId="29">
    <w:name w:val="header"/>
    <w:basedOn w:val="1"/>
    <w:link w:val="78"/>
    <w:autoRedefine/>
    <w:qFormat/>
    <w:uiPriority w:val="0"/>
    <w:pPr>
      <w:pBdr>
        <w:bottom w:val="single" w:color="auto" w:sz="6" w:space="1"/>
      </w:pBdr>
      <w:tabs>
        <w:tab w:val="center" w:pos="4153"/>
        <w:tab w:val="right" w:pos="8306"/>
      </w:tabs>
      <w:adjustRightInd w:val="0"/>
      <w:spacing w:line="240" w:lineRule="atLeast"/>
      <w:jc w:val="center"/>
      <w:textAlignment w:val="baseline"/>
    </w:pPr>
    <w:rPr>
      <w:kern w:val="0"/>
      <w:sz w:val="18"/>
      <w:szCs w:val="20"/>
    </w:rPr>
  </w:style>
  <w:style w:type="paragraph" w:styleId="30">
    <w:name w:val="toc 1"/>
    <w:basedOn w:val="1"/>
    <w:next w:val="1"/>
    <w:autoRedefine/>
    <w:qFormat/>
    <w:uiPriority w:val="39"/>
    <w:pPr>
      <w:tabs>
        <w:tab w:val="right" w:leader="middleDot" w:pos="8494"/>
      </w:tabs>
      <w:spacing w:line="360" w:lineRule="auto"/>
    </w:pPr>
    <w:rPr>
      <w:rFonts w:ascii="楷体_GB2312" w:eastAsia="楷体_GB2312"/>
      <w:sz w:val="24"/>
    </w:rPr>
  </w:style>
  <w:style w:type="paragraph" w:styleId="31">
    <w:name w:val="toc 6"/>
    <w:basedOn w:val="1"/>
    <w:next w:val="1"/>
    <w:autoRedefine/>
    <w:qFormat/>
    <w:locked/>
    <w:uiPriority w:val="99"/>
    <w:pPr>
      <w:ind w:left="2100" w:leftChars="1000"/>
    </w:pPr>
    <w:rPr>
      <w:rFonts w:ascii="Calibri" w:hAnsi="Calibri"/>
      <w:szCs w:val="22"/>
    </w:rPr>
  </w:style>
  <w:style w:type="paragraph" w:styleId="32">
    <w:name w:val="List 5"/>
    <w:basedOn w:val="1"/>
    <w:autoRedefine/>
    <w:qFormat/>
    <w:uiPriority w:val="99"/>
    <w:pPr>
      <w:adjustRightInd w:val="0"/>
      <w:spacing w:line="360" w:lineRule="atLeast"/>
      <w:ind w:left="100" w:leftChars="800" w:hanging="200" w:hangingChars="200"/>
      <w:jc w:val="left"/>
      <w:textAlignment w:val="baseline"/>
    </w:pPr>
    <w:rPr>
      <w:kern w:val="0"/>
      <w:sz w:val="24"/>
      <w:szCs w:val="20"/>
    </w:rPr>
  </w:style>
  <w:style w:type="paragraph" w:styleId="33">
    <w:name w:val="Body Text Indent 3"/>
    <w:basedOn w:val="1"/>
    <w:link w:val="79"/>
    <w:autoRedefine/>
    <w:qFormat/>
    <w:uiPriority w:val="99"/>
    <w:pPr>
      <w:spacing w:after="120"/>
      <w:ind w:left="420" w:leftChars="200"/>
    </w:pPr>
    <w:rPr>
      <w:sz w:val="16"/>
      <w:szCs w:val="16"/>
    </w:rPr>
  </w:style>
  <w:style w:type="paragraph" w:styleId="34">
    <w:name w:val="Body Text 2"/>
    <w:basedOn w:val="1"/>
    <w:link w:val="80"/>
    <w:autoRedefine/>
    <w:qFormat/>
    <w:uiPriority w:val="99"/>
    <w:pPr>
      <w:spacing w:after="120" w:line="480" w:lineRule="auto"/>
    </w:pPr>
  </w:style>
  <w:style w:type="paragraph" w:styleId="35">
    <w:name w:val="List 4"/>
    <w:basedOn w:val="1"/>
    <w:autoRedefine/>
    <w:qFormat/>
    <w:uiPriority w:val="99"/>
    <w:pPr>
      <w:adjustRightInd w:val="0"/>
      <w:spacing w:line="360" w:lineRule="atLeast"/>
      <w:ind w:left="100" w:leftChars="600" w:hanging="200" w:hangingChars="200"/>
      <w:jc w:val="left"/>
      <w:textAlignment w:val="baseline"/>
    </w:pPr>
    <w:rPr>
      <w:kern w:val="0"/>
      <w:sz w:val="24"/>
      <w:szCs w:val="20"/>
    </w:rPr>
  </w:style>
  <w:style w:type="paragraph" w:styleId="36">
    <w:name w:val="List Continue 2"/>
    <w:basedOn w:val="1"/>
    <w:autoRedefine/>
    <w:qFormat/>
    <w:uiPriority w:val="99"/>
    <w:pPr>
      <w:adjustRightInd w:val="0"/>
      <w:spacing w:after="120" w:line="360" w:lineRule="atLeast"/>
      <w:ind w:left="840" w:leftChars="400"/>
      <w:jc w:val="left"/>
      <w:textAlignment w:val="baseline"/>
    </w:pPr>
    <w:rPr>
      <w:kern w:val="0"/>
      <w:sz w:val="24"/>
      <w:szCs w:val="20"/>
    </w:rPr>
  </w:style>
  <w:style w:type="paragraph" w:styleId="37">
    <w:name w:val="Normal (Web)"/>
    <w:basedOn w:val="1"/>
    <w:autoRedefine/>
    <w:qFormat/>
    <w:uiPriority w:val="99"/>
    <w:pPr>
      <w:widowControl/>
      <w:spacing w:before="100" w:beforeAutospacing="1" w:after="100" w:afterAutospacing="1"/>
      <w:jc w:val="left"/>
    </w:pPr>
    <w:rPr>
      <w:rFonts w:ascii="宋体" w:hAnsi="宋体"/>
      <w:kern w:val="0"/>
      <w:sz w:val="24"/>
    </w:rPr>
  </w:style>
  <w:style w:type="paragraph" w:styleId="38">
    <w:name w:val="annotation subject"/>
    <w:basedOn w:val="15"/>
    <w:next w:val="15"/>
    <w:link w:val="120"/>
    <w:autoRedefine/>
    <w:semiHidden/>
    <w:qFormat/>
    <w:locked/>
    <w:uiPriority w:val="99"/>
    <w:pPr>
      <w:adjustRightInd/>
      <w:spacing w:line="240" w:lineRule="auto"/>
    </w:pPr>
    <w:rPr>
      <w:b/>
      <w:bCs/>
      <w:kern w:val="2"/>
      <w:sz w:val="21"/>
      <w:szCs w:val="24"/>
    </w:rPr>
  </w:style>
  <w:style w:type="paragraph" w:styleId="39">
    <w:name w:val="Body Text First Indent"/>
    <w:basedOn w:val="16"/>
    <w:next w:val="40"/>
    <w:autoRedefine/>
    <w:qFormat/>
    <w:locked/>
    <w:uiPriority w:val="0"/>
    <w:pPr>
      <w:ind w:firstLine="420" w:firstLineChars="100"/>
    </w:pPr>
  </w:style>
  <w:style w:type="paragraph" w:styleId="40">
    <w:name w:val="Body Text First Indent 2"/>
    <w:basedOn w:val="17"/>
    <w:next w:val="1"/>
    <w:autoRedefine/>
    <w:qFormat/>
    <w:locked/>
    <w:uiPriority w:val="0"/>
    <w:pPr>
      <w:spacing w:after="0"/>
      <w:ind w:left="0" w:leftChars="0" w:firstLine="420" w:firstLineChars="200"/>
    </w:pPr>
  </w:style>
  <w:style w:type="table" w:styleId="42">
    <w:name w:val="Table Grid"/>
    <w:basedOn w:val="41"/>
    <w:autoRedefine/>
    <w:qFormat/>
    <w:locked/>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44">
    <w:name w:val="Strong"/>
    <w:basedOn w:val="43"/>
    <w:autoRedefine/>
    <w:qFormat/>
    <w:uiPriority w:val="99"/>
    <w:rPr>
      <w:rFonts w:cs="Times New Roman"/>
      <w:b/>
    </w:rPr>
  </w:style>
  <w:style w:type="character" w:styleId="45">
    <w:name w:val="page number"/>
    <w:basedOn w:val="43"/>
    <w:autoRedefine/>
    <w:qFormat/>
    <w:uiPriority w:val="99"/>
    <w:rPr>
      <w:rFonts w:cs="Times New Roman"/>
    </w:rPr>
  </w:style>
  <w:style w:type="character" w:styleId="46">
    <w:name w:val="FollowedHyperlink"/>
    <w:basedOn w:val="43"/>
    <w:autoRedefine/>
    <w:semiHidden/>
    <w:qFormat/>
    <w:locked/>
    <w:uiPriority w:val="99"/>
    <w:rPr>
      <w:rFonts w:cs="Times New Roman"/>
      <w:color w:val="800080"/>
      <w:u w:val="single"/>
    </w:rPr>
  </w:style>
  <w:style w:type="character" w:styleId="47">
    <w:name w:val="Emphasis"/>
    <w:basedOn w:val="43"/>
    <w:autoRedefine/>
    <w:qFormat/>
    <w:uiPriority w:val="99"/>
    <w:rPr>
      <w:rFonts w:cs="Times New Roman"/>
      <w:i/>
      <w:iCs/>
    </w:rPr>
  </w:style>
  <w:style w:type="character" w:styleId="48">
    <w:name w:val="HTML Definition"/>
    <w:basedOn w:val="43"/>
    <w:autoRedefine/>
    <w:semiHidden/>
    <w:unhideWhenUsed/>
    <w:qFormat/>
    <w:locked/>
    <w:uiPriority w:val="99"/>
    <w:rPr>
      <w:i/>
      <w:iCs/>
    </w:rPr>
  </w:style>
  <w:style w:type="character" w:styleId="49">
    <w:name w:val="HTML Typewriter"/>
    <w:basedOn w:val="43"/>
    <w:autoRedefine/>
    <w:semiHidden/>
    <w:unhideWhenUsed/>
    <w:qFormat/>
    <w:locked/>
    <w:uiPriority w:val="99"/>
    <w:rPr>
      <w:rFonts w:ascii="monospace" w:hAnsi="monospace" w:eastAsia="monospace" w:cs="monospace"/>
      <w:sz w:val="20"/>
    </w:rPr>
  </w:style>
  <w:style w:type="character" w:styleId="50">
    <w:name w:val="HTML Acronym"/>
    <w:basedOn w:val="43"/>
    <w:autoRedefine/>
    <w:semiHidden/>
    <w:unhideWhenUsed/>
    <w:qFormat/>
    <w:locked/>
    <w:uiPriority w:val="99"/>
  </w:style>
  <w:style w:type="character" w:styleId="51">
    <w:name w:val="HTML Variable"/>
    <w:basedOn w:val="43"/>
    <w:autoRedefine/>
    <w:semiHidden/>
    <w:unhideWhenUsed/>
    <w:qFormat/>
    <w:locked/>
    <w:uiPriority w:val="99"/>
  </w:style>
  <w:style w:type="character" w:styleId="52">
    <w:name w:val="Hyperlink"/>
    <w:basedOn w:val="43"/>
    <w:autoRedefine/>
    <w:qFormat/>
    <w:uiPriority w:val="99"/>
    <w:rPr>
      <w:rFonts w:cs="Times New Roman"/>
      <w:color w:val="0000FF"/>
      <w:u w:val="single"/>
    </w:rPr>
  </w:style>
  <w:style w:type="character" w:styleId="53">
    <w:name w:val="HTML Code"/>
    <w:basedOn w:val="43"/>
    <w:autoRedefine/>
    <w:semiHidden/>
    <w:unhideWhenUsed/>
    <w:qFormat/>
    <w:locked/>
    <w:uiPriority w:val="99"/>
    <w:rPr>
      <w:rFonts w:ascii="Consolas" w:hAnsi="Consolas" w:eastAsia="Consolas" w:cs="Consolas"/>
      <w:color w:val="C7254E"/>
      <w:sz w:val="21"/>
      <w:szCs w:val="21"/>
      <w:shd w:val="clear" w:color="auto" w:fill="F9F2F4"/>
    </w:rPr>
  </w:style>
  <w:style w:type="character" w:styleId="54">
    <w:name w:val="annotation reference"/>
    <w:basedOn w:val="43"/>
    <w:autoRedefine/>
    <w:semiHidden/>
    <w:qFormat/>
    <w:locked/>
    <w:uiPriority w:val="99"/>
    <w:rPr>
      <w:rFonts w:cs="Times New Roman"/>
      <w:sz w:val="21"/>
      <w:szCs w:val="21"/>
    </w:rPr>
  </w:style>
  <w:style w:type="character" w:styleId="55">
    <w:name w:val="HTML Cite"/>
    <w:basedOn w:val="43"/>
    <w:autoRedefine/>
    <w:semiHidden/>
    <w:unhideWhenUsed/>
    <w:qFormat/>
    <w:locked/>
    <w:uiPriority w:val="99"/>
  </w:style>
  <w:style w:type="character" w:styleId="56">
    <w:name w:val="HTML Keyboard"/>
    <w:basedOn w:val="43"/>
    <w:autoRedefine/>
    <w:semiHidden/>
    <w:unhideWhenUsed/>
    <w:qFormat/>
    <w:locked/>
    <w:uiPriority w:val="99"/>
    <w:rPr>
      <w:rFonts w:hint="default" w:ascii="Consolas" w:hAnsi="Consolas" w:eastAsia="Consolas" w:cs="Consolas"/>
      <w:color w:val="FFFFFF"/>
      <w:sz w:val="21"/>
      <w:szCs w:val="21"/>
      <w:shd w:val="clear" w:color="auto" w:fill="333333"/>
    </w:rPr>
  </w:style>
  <w:style w:type="character" w:styleId="57">
    <w:name w:val="HTML Sample"/>
    <w:basedOn w:val="43"/>
    <w:autoRedefine/>
    <w:semiHidden/>
    <w:unhideWhenUsed/>
    <w:qFormat/>
    <w:locked/>
    <w:uiPriority w:val="99"/>
    <w:rPr>
      <w:rFonts w:hint="default" w:ascii="Consolas" w:hAnsi="Consolas" w:eastAsia="Consolas" w:cs="Consolas"/>
      <w:sz w:val="21"/>
      <w:szCs w:val="21"/>
    </w:rPr>
  </w:style>
  <w:style w:type="paragraph" w:customStyle="1" w:styleId="58">
    <w:name w:val="TOC 标题1"/>
    <w:basedOn w:val="2"/>
    <w:next w:val="1"/>
    <w:autoRedefine/>
    <w:qFormat/>
    <w:uiPriority w:val="99"/>
    <w:pPr>
      <w:spacing w:before="480" w:after="0" w:line="276" w:lineRule="auto"/>
      <w:outlineLvl w:val="9"/>
    </w:pPr>
    <w:rPr>
      <w:rFonts w:ascii="仿宋" w:hAnsi="仿宋" w:eastAsia="仿宋"/>
      <w:color w:val="000000"/>
      <w:kern w:val="0"/>
      <w:szCs w:val="32"/>
    </w:rPr>
  </w:style>
  <w:style w:type="paragraph" w:customStyle="1" w:styleId="59">
    <w:name w:val="样式 10 磅"/>
    <w:autoRedefine/>
    <w:qFormat/>
    <w:uiPriority w:val="0"/>
    <w:pPr>
      <w:widowControl w:val="0"/>
      <w:jc w:val="both"/>
    </w:pPr>
    <w:rPr>
      <w:rFonts w:ascii="Times New Roman" w:hAnsi="Times New Roman" w:eastAsia="宋体" w:cs="Times New Roman"/>
      <w:kern w:val="2"/>
      <w:sz w:val="21"/>
      <w:szCs w:val="24"/>
      <w:lang w:val="en-US" w:eastAsia="zh-CN" w:bidi="ar-SA"/>
    </w:rPr>
  </w:style>
  <w:style w:type="character" w:customStyle="1" w:styleId="60">
    <w:name w:val="标题 1 Char"/>
    <w:basedOn w:val="43"/>
    <w:link w:val="2"/>
    <w:autoRedefine/>
    <w:qFormat/>
    <w:locked/>
    <w:uiPriority w:val="99"/>
    <w:rPr>
      <w:rFonts w:cs="Times New Roman"/>
      <w:b/>
      <w:bCs/>
      <w:kern w:val="44"/>
      <w:sz w:val="44"/>
      <w:szCs w:val="44"/>
    </w:rPr>
  </w:style>
  <w:style w:type="character" w:customStyle="1" w:styleId="61">
    <w:name w:val="标题 2 Char"/>
    <w:basedOn w:val="43"/>
    <w:link w:val="3"/>
    <w:autoRedefine/>
    <w:semiHidden/>
    <w:qFormat/>
    <w:locked/>
    <w:uiPriority w:val="99"/>
    <w:rPr>
      <w:rFonts w:ascii="Cambria" w:hAnsi="Cambria" w:eastAsia="宋体" w:cs="Times New Roman"/>
      <w:b/>
      <w:bCs/>
      <w:sz w:val="32"/>
      <w:szCs w:val="32"/>
    </w:rPr>
  </w:style>
  <w:style w:type="character" w:customStyle="1" w:styleId="62">
    <w:name w:val="标题 3 Char"/>
    <w:basedOn w:val="43"/>
    <w:link w:val="4"/>
    <w:autoRedefine/>
    <w:semiHidden/>
    <w:qFormat/>
    <w:locked/>
    <w:uiPriority w:val="99"/>
    <w:rPr>
      <w:rFonts w:cs="Times New Roman"/>
      <w:b/>
      <w:bCs/>
      <w:sz w:val="32"/>
      <w:szCs w:val="32"/>
    </w:rPr>
  </w:style>
  <w:style w:type="character" w:customStyle="1" w:styleId="63">
    <w:name w:val="标题 4 Char"/>
    <w:basedOn w:val="43"/>
    <w:link w:val="5"/>
    <w:autoRedefine/>
    <w:semiHidden/>
    <w:qFormat/>
    <w:locked/>
    <w:uiPriority w:val="99"/>
    <w:rPr>
      <w:rFonts w:ascii="Cambria" w:hAnsi="Cambria" w:eastAsia="宋体" w:cs="Times New Roman"/>
      <w:b/>
      <w:bCs/>
      <w:sz w:val="28"/>
      <w:szCs w:val="28"/>
    </w:rPr>
  </w:style>
  <w:style w:type="character" w:customStyle="1" w:styleId="64">
    <w:name w:val="标题 5 Char"/>
    <w:basedOn w:val="43"/>
    <w:link w:val="6"/>
    <w:autoRedefine/>
    <w:semiHidden/>
    <w:qFormat/>
    <w:locked/>
    <w:uiPriority w:val="99"/>
    <w:rPr>
      <w:rFonts w:cs="Times New Roman"/>
      <w:b/>
      <w:bCs/>
      <w:sz w:val="28"/>
      <w:szCs w:val="28"/>
    </w:rPr>
  </w:style>
  <w:style w:type="character" w:customStyle="1" w:styleId="65">
    <w:name w:val="标题 6 Char"/>
    <w:basedOn w:val="43"/>
    <w:link w:val="7"/>
    <w:autoRedefine/>
    <w:semiHidden/>
    <w:qFormat/>
    <w:locked/>
    <w:uiPriority w:val="99"/>
    <w:rPr>
      <w:rFonts w:ascii="Cambria" w:hAnsi="Cambria" w:eastAsia="宋体" w:cs="Times New Roman"/>
      <w:b/>
      <w:bCs/>
      <w:sz w:val="24"/>
      <w:szCs w:val="24"/>
    </w:rPr>
  </w:style>
  <w:style w:type="character" w:customStyle="1" w:styleId="66">
    <w:name w:val="标题 7 Char"/>
    <w:basedOn w:val="43"/>
    <w:link w:val="8"/>
    <w:autoRedefine/>
    <w:semiHidden/>
    <w:qFormat/>
    <w:locked/>
    <w:uiPriority w:val="99"/>
    <w:rPr>
      <w:rFonts w:cs="Times New Roman"/>
      <w:b/>
      <w:bCs/>
      <w:sz w:val="24"/>
      <w:szCs w:val="24"/>
    </w:rPr>
  </w:style>
  <w:style w:type="character" w:customStyle="1" w:styleId="67">
    <w:name w:val="标题 8 Char"/>
    <w:basedOn w:val="43"/>
    <w:link w:val="9"/>
    <w:autoRedefine/>
    <w:semiHidden/>
    <w:qFormat/>
    <w:locked/>
    <w:uiPriority w:val="99"/>
    <w:rPr>
      <w:rFonts w:ascii="Cambria" w:hAnsi="Cambria" w:eastAsia="宋体" w:cs="Times New Roman"/>
      <w:sz w:val="24"/>
      <w:szCs w:val="24"/>
    </w:rPr>
  </w:style>
  <w:style w:type="character" w:customStyle="1" w:styleId="68">
    <w:name w:val="标题 9 Char"/>
    <w:basedOn w:val="43"/>
    <w:link w:val="10"/>
    <w:autoRedefine/>
    <w:semiHidden/>
    <w:qFormat/>
    <w:locked/>
    <w:uiPriority w:val="99"/>
    <w:rPr>
      <w:rFonts w:ascii="Cambria" w:hAnsi="Cambria" w:eastAsia="宋体" w:cs="Times New Roman"/>
      <w:sz w:val="21"/>
      <w:szCs w:val="21"/>
    </w:rPr>
  </w:style>
  <w:style w:type="character" w:customStyle="1" w:styleId="69">
    <w:name w:val="文档结构图 Char"/>
    <w:basedOn w:val="43"/>
    <w:link w:val="14"/>
    <w:autoRedefine/>
    <w:semiHidden/>
    <w:qFormat/>
    <w:locked/>
    <w:uiPriority w:val="99"/>
    <w:rPr>
      <w:rFonts w:cs="Times New Roman"/>
      <w:sz w:val="2"/>
    </w:rPr>
  </w:style>
  <w:style w:type="character" w:customStyle="1" w:styleId="70">
    <w:name w:val="批注文字 Char"/>
    <w:basedOn w:val="43"/>
    <w:link w:val="15"/>
    <w:autoRedefine/>
    <w:semiHidden/>
    <w:qFormat/>
    <w:locked/>
    <w:uiPriority w:val="99"/>
    <w:rPr>
      <w:rFonts w:cs="Times New Roman"/>
      <w:sz w:val="24"/>
      <w:szCs w:val="24"/>
    </w:rPr>
  </w:style>
  <w:style w:type="character" w:customStyle="1" w:styleId="71">
    <w:name w:val="正文文本 Char"/>
    <w:basedOn w:val="43"/>
    <w:link w:val="16"/>
    <w:autoRedefine/>
    <w:semiHidden/>
    <w:qFormat/>
    <w:locked/>
    <w:uiPriority w:val="99"/>
    <w:rPr>
      <w:rFonts w:cs="Times New Roman"/>
      <w:sz w:val="24"/>
      <w:szCs w:val="24"/>
    </w:rPr>
  </w:style>
  <w:style w:type="character" w:customStyle="1" w:styleId="72">
    <w:name w:val="正文文本缩进 Char"/>
    <w:basedOn w:val="43"/>
    <w:link w:val="17"/>
    <w:autoRedefine/>
    <w:qFormat/>
    <w:locked/>
    <w:uiPriority w:val="99"/>
    <w:rPr>
      <w:rFonts w:cs="Times New Roman"/>
      <w:kern w:val="2"/>
      <w:sz w:val="24"/>
    </w:rPr>
  </w:style>
  <w:style w:type="character" w:customStyle="1" w:styleId="73">
    <w:name w:val="纯文本 Char"/>
    <w:basedOn w:val="43"/>
    <w:link w:val="23"/>
    <w:autoRedefine/>
    <w:semiHidden/>
    <w:qFormat/>
    <w:locked/>
    <w:uiPriority w:val="99"/>
    <w:rPr>
      <w:rFonts w:ascii="宋体" w:hAnsi="Courier New" w:cs="Courier New"/>
      <w:sz w:val="21"/>
      <w:szCs w:val="21"/>
    </w:rPr>
  </w:style>
  <w:style w:type="character" w:customStyle="1" w:styleId="74">
    <w:name w:val="日期 Char"/>
    <w:basedOn w:val="43"/>
    <w:link w:val="24"/>
    <w:autoRedefine/>
    <w:semiHidden/>
    <w:qFormat/>
    <w:locked/>
    <w:uiPriority w:val="99"/>
    <w:rPr>
      <w:rFonts w:cs="Times New Roman"/>
      <w:sz w:val="24"/>
      <w:szCs w:val="24"/>
    </w:rPr>
  </w:style>
  <w:style w:type="character" w:customStyle="1" w:styleId="75">
    <w:name w:val="正文文本缩进 2 Char"/>
    <w:basedOn w:val="43"/>
    <w:link w:val="25"/>
    <w:autoRedefine/>
    <w:semiHidden/>
    <w:qFormat/>
    <w:locked/>
    <w:uiPriority w:val="99"/>
    <w:rPr>
      <w:rFonts w:cs="Times New Roman"/>
      <w:sz w:val="24"/>
      <w:szCs w:val="24"/>
    </w:rPr>
  </w:style>
  <w:style w:type="character" w:customStyle="1" w:styleId="76">
    <w:name w:val="批注框文本 Char"/>
    <w:basedOn w:val="43"/>
    <w:link w:val="26"/>
    <w:autoRedefine/>
    <w:semiHidden/>
    <w:qFormat/>
    <w:locked/>
    <w:uiPriority w:val="99"/>
    <w:rPr>
      <w:rFonts w:cs="Times New Roman"/>
      <w:sz w:val="2"/>
    </w:rPr>
  </w:style>
  <w:style w:type="character" w:customStyle="1" w:styleId="77">
    <w:name w:val="页脚 Char"/>
    <w:basedOn w:val="43"/>
    <w:link w:val="27"/>
    <w:autoRedefine/>
    <w:qFormat/>
    <w:locked/>
    <w:uiPriority w:val="99"/>
    <w:rPr>
      <w:rFonts w:cs="Times New Roman"/>
      <w:sz w:val="18"/>
      <w:szCs w:val="18"/>
    </w:rPr>
  </w:style>
  <w:style w:type="character" w:customStyle="1" w:styleId="78">
    <w:name w:val="页眉 Char"/>
    <w:basedOn w:val="43"/>
    <w:link w:val="29"/>
    <w:autoRedefine/>
    <w:qFormat/>
    <w:locked/>
    <w:uiPriority w:val="0"/>
    <w:rPr>
      <w:rFonts w:cs="Times New Roman"/>
      <w:sz w:val="18"/>
      <w:szCs w:val="18"/>
    </w:rPr>
  </w:style>
  <w:style w:type="character" w:customStyle="1" w:styleId="79">
    <w:name w:val="正文文本缩进 3 Char"/>
    <w:basedOn w:val="43"/>
    <w:link w:val="33"/>
    <w:autoRedefine/>
    <w:semiHidden/>
    <w:qFormat/>
    <w:locked/>
    <w:uiPriority w:val="99"/>
    <w:rPr>
      <w:rFonts w:cs="Times New Roman"/>
      <w:sz w:val="16"/>
      <w:szCs w:val="16"/>
    </w:rPr>
  </w:style>
  <w:style w:type="character" w:customStyle="1" w:styleId="80">
    <w:name w:val="正文文本 2 Char"/>
    <w:basedOn w:val="43"/>
    <w:link w:val="34"/>
    <w:autoRedefine/>
    <w:qFormat/>
    <w:locked/>
    <w:uiPriority w:val="99"/>
    <w:rPr>
      <w:rFonts w:cs="Times New Roman"/>
      <w:kern w:val="2"/>
      <w:sz w:val="24"/>
    </w:rPr>
  </w:style>
  <w:style w:type="paragraph" w:customStyle="1" w:styleId="81">
    <w:name w:val="样式 样式 样式 样式 标题 2 + 宋体 五号 非加粗 黑色 + 段前: 6 磅 段后: 0 磅 行距: 单倍行距 + 段前:..."/>
    <w:basedOn w:val="1"/>
    <w:autoRedefine/>
    <w:qFormat/>
    <w:uiPriority w:val="99"/>
    <w:pPr>
      <w:keepNext/>
      <w:keepLines/>
      <w:tabs>
        <w:tab w:val="left" w:pos="360"/>
      </w:tabs>
      <w:adjustRightInd w:val="0"/>
      <w:spacing w:before="240"/>
      <w:ind w:left="360" w:hanging="360"/>
      <w:jc w:val="left"/>
      <w:textAlignment w:val="baseline"/>
      <w:outlineLvl w:val="1"/>
    </w:pPr>
    <w:rPr>
      <w:rFonts w:ascii="宋体" w:hAnsi="宋体" w:cs="黑体"/>
      <w:b/>
      <w:bCs/>
      <w:color w:val="000000"/>
      <w:kern w:val="0"/>
      <w:szCs w:val="20"/>
    </w:rPr>
  </w:style>
  <w:style w:type="paragraph" w:customStyle="1" w:styleId="82">
    <w:name w:val="xl41"/>
    <w:basedOn w:val="1"/>
    <w:autoRedefine/>
    <w:qFormat/>
    <w:uiPriority w:val="99"/>
    <w:pPr>
      <w:widowControl/>
      <w:pBdr>
        <w:left w:val="single" w:color="auto" w:sz="4" w:space="0"/>
        <w:bottom w:val="single" w:color="auto" w:sz="4" w:space="0"/>
        <w:right w:val="single" w:color="auto" w:sz="4" w:space="0"/>
      </w:pBdr>
      <w:spacing w:before="100" w:beforeAutospacing="1" w:after="100" w:afterAutospacing="1"/>
      <w:jc w:val="center"/>
    </w:pPr>
    <w:rPr>
      <w:color w:val="000000"/>
      <w:kern w:val="0"/>
      <w:szCs w:val="21"/>
    </w:rPr>
  </w:style>
  <w:style w:type="paragraph" w:customStyle="1" w:styleId="83">
    <w:name w:val="目录文字"/>
    <w:basedOn w:val="1"/>
    <w:autoRedefine/>
    <w:qFormat/>
    <w:uiPriority w:val="99"/>
    <w:pPr>
      <w:widowControl/>
      <w:spacing w:line="480" w:lineRule="auto"/>
      <w:jc w:val="left"/>
    </w:pPr>
    <w:rPr>
      <w:rFonts w:ascii="宋体" w:hAnsi="宋体"/>
      <w:kern w:val="0"/>
      <w:sz w:val="24"/>
      <w:szCs w:val="20"/>
    </w:rPr>
  </w:style>
  <w:style w:type="paragraph" w:customStyle="1" w:styleId="84">
    <w:name w:val="xl43"/>
    <w:basedOn w:val="1"/>
    <w:autoRedefine/>
    <w:qFormat/>
    <w:uiPriority w:val="99"/>
    <w:pPr>
      <w:widowControl/>
      <w:pBdr>
        <w:left w:val="single" w:color="auto" w:sz="4" w:space="0"/>
        <w:bottom w:val="single" w:color="auto" w:sz="4" w:space="0"/>
        <w:right w:val="single" w:color="auto" w:sz="4" w:space="0"/>
      </w:pBdr>
      <w:spacing w:before="100" w:beforeAutospacing="1" w:after="100" w:afterAutospacing="1"/>
    </w:pPr>
    <w:rPr>
      <w:rFonts w:ascii="宋体" w:hAnsi="宋体"/>
      <w:color w:val="000000"/>
      <w:kern w:val="0"/>
      <w:szCs w:val="21"/>
    </w:rPr>
  </w:style>
  <w:style w:type="paragraph" w:customStyle="1" w:styleId="85">
    <w:name w:val="样式 标题 2 + 宋体 五号 行距: 单倍行距"/>
    <w:basedOn w:val="3"/>
    <w:autoRedefine/>
    <w:qFormat/>
    <w:uiPriority w:val="99"/>
    <w:pPr>
      <w:tabs>
        <w:tab w:val="left" w:pos="360"/>
        <w:tab w:val="left" w:pos="1200"/>
      </w:tabs>
      <w:spacing w:line="240" w:lineRule="auto"/>
      <w:ind w:left="1200" w:hanging="720"/>
    </w:pPr>
    <w:rPr>
      <w:rFonts w:ascii="宋体" w:hAnsi="宋体" w:eastAsia="宋体" w:cs="黑体"/>
      <w:sz w:val="21"/>
      <w:szCs w:val="20"/>
    </w:rPr>
  </w:style>
  <w:style w:type="paragraph" w:customStyle="1" w:styleId="86">
    <w:name w:val="样式 标题 1 + 四号 居中 段前: 12 磅 段后: 12 磅 行距: 单倍行距"/>
    <w:basedOn w:val="2"/>
    <w:autoRedefine/>
    <w:qFormat/>
    <w:uiPriority w:val="99"/>
    <w:pPr>
      <w:spacing w:before="240" w:after="240" w:line="240" w:lineRule="auto"/>
      <w:jc w:val="center"/>
    </w:pPr>
    <w:rPr>
      <w:rFonts w:cs="黑体"/>
      <w:sz w:val="28"/>
      <w:szCs w:val="20"/>
    </w:rPr>
  </w:style>
  <w:style w:type="paragraph" w:customStyle="1" w:styleId="87">
    <w:name w:val="样式1"/>
    <w:basedOn w:val="23"/>
    <w:next w:val="23"/>
    <w:autoRedefine/>
    <w:qFormat/>
    <w:uiPriority w:val="99"/>
    <w:pPr>
      <w:numPr>
        <w:ilvl w:val="0"/>
        <w:numId w:val="2"/>
      </w:numPr>
      <w:adjustRightInd w:val="0"/>
      <w:textAlignment w:val="baseline"/>
    </w:pPr>
    <w:rPr>
      <w:rFonts w:hAnsi="宋体"/>
      <w:kern w:val="0"/>
    </w:rPr>
  </w:style>
  <w:style w:type="paragraph" w:customStyle="1" w:styleId="88">
    <w:name w:val="Preformatted"/>
    <w:basedOn w:val="1"/>
    <w:autoRedefine/>
    <w:qFormat/>
    <w:uiPriority w:val="99"/>
    <w:pPr>
      <w:tabs>
        <w:tab w:val="left" w:pos="0"/>
        <w:tab w:val="left" w:pos="959"/>
        <w:tab w:val="left" w:pos="1918"/>
        <w:tab w:val="left" w:pos="2877"/>
        <w:tab w:val="left" w:pos="3836"/>
        <w:tab w:val="left" w:pos="4795"/>
        <w:tab w:val="left" w:pos="5754"/>
        <w:tab w:val="left" w:pos="6713"/>
        <w:tab w:val="left" w:pos="7672"/>
        <w:tab w:val="left" w:pos="8631"/>
        <w:tab w:val="left" w:pos="9590"/>
      </w:tabs>
      <w:autoSpaceDE w:val="0"/>
      <w:autoSpaceDN w:val="0"/>
      <w:adjustRightInd w:val="0"/>
      <w:jc w:val="left"/>
    </w:pPr>
    <w:rPr>
      <w:rFonts w:ascii="Courier New" w:hAnsi="Courier New"/>
      <w:kern w:val="0"/>
      <w:sz w:val="20"/>
      <w:szCs w:val="20"/>
    </w:rPr>
  </w:style>
  <w:style w:type="paragraph" w:customStyle="1" w:styleId="89">
    <w:name w:val="样式 宋体 五号 行距: 单倍行距"/>
    <w:basedOn w:val="1"/>
    <w:autoRedefine/>
    <w:qFormat/>
    <w:uiPriority w:val="99"/>
    <w:pPr>
      <w:adjustRightInd w:val="0"/>
      <w:jc w:val="left"/>
      <w:textAlignment w:val="baseline"/>
    </w:pPr>
    <w:rPr>
      <w:rFonts w:ascii="宋体" w:hAnsi="宋体" w:cs="黑体"/>
      <w:kern w:val="0"/>
      <w:szCs w:val="20"/>
    </w:rPr>
  </w:style>
  <w:style w:type="paragraph" w:customStyle="1" w:styleId="90">
    <w:name w:val="招标文件正文"/>
    <w:basedOn w:val="1"/>
    <w:link w:val="91"/>
    <w:autoRedefine/>
    <w:qFormat/>
    <w:uiPriority w:val="99"/>
    <w:pPr>
      <w:spacing w:line="300" w:lineRule="auto"/>
      <w:ind w:firstLine="200" w:firstLineChars="200"/>
      <w:jc w:val="left"/>
    </w:pPr>
    <w:rPr>
      <w:kern w:val="0"/>
      <w:sz w:val="32"/>
      <w:szCs w:val="20"/>
    </w:rPr>
  </w:style>
  <w:style w:type="character" w:customStyle="1" w:styleId="91">
    <w:name w:val="招标文件正文 Char"/>
    <w:link w:val="90"/>
    <w:autoRedefine/>
    <w:qFormat/>
    <w:locked/>
    <w:uiPriority w:val="99"/>
    <w:rPr>
      <w:sz w:val="32"/>
    </w:rPr>
  </w:style>
  <w:style w:type="paragraph" w:customStyle="1" w:styleId="92">
    <w:name w:val="1级标题"/>
    <w:basedOn w:val="90"/>
    <w:autoRedefine/>
    <w:qFormat/>
    <w:uiPriority w:val="99"/>
    <w:rPr>
      <w:b/>
    </w:rPr>
  </w:style>
  <w:style w:type="paragraph" w:customStyle="1" w:styleId="93">
    <w:name w:val="列出段落1"/>
    <w:basedOn w:val="1"/>
    <w:autoRedefine/>
    <w:qFormat/>
    <w:uiPriority w:val="99"/>
    <w:pPr>
      <w:ind w:firstLine="420" w:firstLineChars="200"/>
    </w:pPr>
  </w:style>
  <w:style w:type="paragraph" w:customStyle="1" w:styleId="94">
    <w:name w:val="font5"/>
    <w:basedOn w:val="1"/>
    <w:autoRedefine/>
    <w:qFormat/>
    <w:uiPriority w:val="99"/>
    <w:pPr>
      <w:widowControl/>
      <w:spacing w:before="100" w:beforeAutospacing="1" w:after="100" w:afterAutospacing="1"/>
      <w:jc w:val="left"/>
    </w:pPr>
    <w:rPr>
      <w:rFonts w:ascii="宋体" w:hAnsi="宋体" w:cs="宋体"/>
      <w:kern w:val="0"/>
      <w:sz w:val="18"/>
      <w:szCs w:val="18"/>
    </w:rPr>
  </w:style>
  <w:style w:type="paragraph" w:customStyle="1" w:styleId="95">
    <w:name w:val="xl75"/>
    <w:basedOn w:val="1"/>
    <w:autoRedefine/>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cs="宋体"/>
      <w:kern w:val="0"/>
      <w:sz w:val="20"/>
      <w:szCs w:val="20"/>
    </w:rPr>
  </w:style>
  <w:style w:type="paragraph" w:customStyle="1" w:styleId="96">
    <w:name w:val="xl76"/>
    <w:basedOn w:val="1"/>
    <w:autoRedefine/>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cs="宋体"/>
      <w:kern w:val="0"/>
      <w:sz w:val="20"/>
      <w:szCs w:val="20"/>
    </w:rPr>
  </w:style>
  <w:style w:type="paragraph" w:customStyle="1" w:styleId="97">
    <w:name w:val="xl77"/>
    <w:basedOn w:val="1"/>
    <w:autoRedefine/>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cs="宋体"/>
      <w:b/>
      <w:bCs/>
      <w:kern w:val="0"/>
      <w:sz w:val="20"/>
      <w:szCs w:val="20"/>
    </w:rPr>
  </w:style>
  <w:style w:type="paragraph" w:customStyle="1" w:styleId="98">
    <w:name w:val="xl78"/>
    <w:basedOn w:val="1"/>
    <w:autoRedefine/>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cs="宋体"/>
      <w:color w:val="000000"/>
      <w:kern w:val="0"/>
      <w:sz w:val="20"/>
      <w:szCs w:val="20"/>
    </w:rPr>
  </w:style>
  <w:style w:type="paragraph" w:customStyle="1" w:styleId="99">
    <w:name w:val="xl79"/>
    <w:basedOn w:val="1"/>
    <w:autoRedefine/>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cs="宋体"/>
      <w:color w:val="000000"/>
      <w:kern w:val="0"/>
      <w:sz w:val="20"/>
      <w:szCs w:val="20"/>
    </w:rPr>
  </w:style>
  <w:style w:type="paragraph" w:customStyle="1" w:styleId="100">
    <w:name w:val="xl80"/>
    <w:basedOn w:val="1"/>
    <w:autoRedefine/>
    <w:qFormat/>
    <w:uiPriority w:val="99"/>
    <w:pPr>
      <w:widowControl/>
      <w:pBdr>
        <w:top w:val="single" w:color="auto" w:sz="4" w:space="0"/>
        <w:left w:val="single" w:color="auto" w:sz="4" w:space="0"/>
        <w:right w:val="single" w:color="auto" w:sz="4" w:space="0"/>
      </w:pBdr>
      <w:spacing w:before="100" w:beforeAutospacing="1" w:after="100" w:afterAutospacing="1"/>
      <w:jc w:val="left"/>
      <w:textAlignment w:val="center"/>
    </w:pPr>
    <w:rPr>
      <w:rFonts w:ascii="宋体" w:hAnsi="宋体" w:cs="宋体"/>
      <w:kern w:val="0"/>
      <w:sz w:val="20"/>
      <w:szCs w:val="20"/>
    </w:rPr>
  </w:style>
  <w:style w:type="paragraph" w:customStyle="1" w:styleId="101">
    <w:name w:val="xl81"/>
    <w:basedOn w:val="1"/>
    <w:autoRedefine/>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cs="宋体"/>
      <w:kern w:val="0"/>
      <w:sz w:val="20"/>
      <w:szCs w:val="20"/>
    </w:rPr>
  </w:style>
  <w:style w:type="paragraph" w:customStyle="1" w:styleId="102">
    <w:name w:val="xl82"/>
    <w:basedOn w:val="1"/>
    <w:autoRedefine/>
    <w:qFormat/>
    <w:uiPriority w:val="99"/>
    <w:pPr>
      <w:widowControl/>
      <w:spacing w:before="100" w:beforeAutospacing="1" w:after="100" w:afterAutospacing="1"/>
      <w:jc w:val="left"/>
      <w:textAlignment w:val="center"/>
    </w:pPr>
    <w:rPr>
      <w:rFonts w:ascii="宋体" w:hAnsi="宋体" w:cs="宋体"/>
      <w:kern w:val="0"/>
      <w:sz w:val="20"/>
      <w:szCs w:val="20"/>
    </w:rPr>
  </w:style>
  <w:style w:type="paragraph" w:customStyle="1" w:styleId="103">
    <w:name w:val="xl83"/>
    <w:basedOn w:val="1"/>
    <w:autoRedefine/>
    <w:qFormat/>
    <w:uiPriority w:val="99"/>
    <w:pPr>
      <w:widowControl/>
      <w:spacing w:before="100" w:beforeAutospacing="1" w:after="100" w:afterAutospacing="1"/>
      <w:jc w:val="left"/>
      <w:textAlignment w:val="center"/>
    </w:pPr>
    <w:rPr>
      <w:rFonts w:ascii="宋体" w:hAnsi="宋体" w:cs="宋体"/>
      <w:color w:val="000000"/>
      <w:kern w:val="0"/>
      <w:sz w:val="20"/>
      <w:szCs w:val="20"/>
    </w:rPr>
  </w:style>
  <w:style w:type="paragraph" w:customStyle="1" w:styleId="104">
    <w:name w:val="xl84"/>
    <w:basedOn w:val="1"/>
    <w:autoRedefine/>
    <w:qFormat/>
    <w:uiPriority w:val="99"/>
    <w:pPr>
      <w:widowControl/>
      <w:spacing w:before="100" w:beforeAutospacing="1" w:after="100" w:afterAutospacing="1"/>
      <w:jc w:val="left"/>
      <w:textAlignment w:val="center"/>
    </w:pPr>
    <w:rPr>
      <w:rFonts w:ascii="宋体" w:hAnsi="宋体" w:cs="宋体"/>
      <w:kern w:val="0"/>
      <w:sz w:val="24"/>
    </w:rPr>
  </w:style>
  <w:style w:type="paragraph" w:customStyle="1" w:styleId="105">
    <w:name w:val="xl85"/>
    <w:basedOn w:val="1"/>
    <w:autoRedefine/>
    <w:qFormat/>
    <w:uiPriority w:val="99"/>
    <w:pPr>
      <w:widowControl/>
      <w:spacing w:before="100" w:beforeAutospacing="1" w:after="100" w:afterAutospacing="1"/>
      <w:jc w:val="left"/>
    </w:pPr>
    <w:rPr>
      <w:rFonts w:ascii="宋体" w:hAnsi="宋体" w:cs="宋体"/>
      <w:kern w:val="0"/>
      <w:sz w:val="24"/>
    </w:rPr>
  </w:style>
  <w:style w:type="paragraph" w:customStyle="1" w:styleId="106">
    <w:name w:val="xl86"/>
    <w:basedOn w:val="1"/>
    <w:autoRedefine/>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cs="宋体"/>
      <w:b/>
      <w:bCs/>
      <w:kern w:val="0"/>
      <w:sz w:val="20"/>
      <w:szCs w:val="20"/>
    </w:rPr>
  </w:style>
  <w:style w:type="paragraph" w:customStyle="1" w:styleId="107">
    <w:name w:val="xl87"/>
    <w:basedOn w:val="1"/>
    <w:autoRedefine/>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cs="宋体"/>
      <w:b/>
      <w:bCs/>
      <w:kern w:val="0"/>
      <w:sz w:val="20"/>
      <w:szCs w:val="20"/>
    </w:rPr>
  </w:style>
  <w:style w:type="paragraph" w:customStyle="1" w:styleId="108">
    <w:name w:val="xl88"/>
    <w:basedOn w:val="1"/>
    <w:autoRedefine/>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cs="宋体"/>
      <w:color w:val="000000"/>
      <w:kern w:val="0"/>
      <w:sz w:val="20"/>
      <w:szCs w:val="20"/>
    </w:rPr>
  </w:style>
  <w:style w:type="paragraph" w:customStyle="1" w:styleId="109">
    <w:name w:val="xl89"/>
    <w:basedOn w:val="1"/>
    <w:autoRedefine/>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cs="宋体"/>
      <w:b/>
      <w:bCs/>
      <w:kern w:val="0"/>
      <w:sz w:val="20"/>
      <w:szCs w:val="20"/>
    </w:rPr>
  </w:style>
  <w:style w:type="paragraph" w:customStyle="1" w:styleId="110">
    <w:name w:val="xl90"/>
    <w:basedOn w:val="1"/>
    <w:autoRedefine/>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cs="宋体"/>
      <w:color w:val="000000"/>
      <w:kern w:val="0"/>
      <w:sz w:val="20"/>
      <w:szCs w:val="20"/>
    </w:rPr>
  </w:style>
  <w:style w:type="paragraph" w:customStyle="1" w:styleId="111">
    <w:name w:val="xl91"/>
    <w:basedOn w:val="1"/>
    <w:autoRedefine/>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cs="宋体"/>
      <w:b/>
      <w:bCs/>
      <w:kern w:val="0"/>
      <w:sz w:val="20"/>
      <w:szCs w:val="20"/>
    </w:rPr>
  </w:style>
  <w:style w:type="paragraph" w:customStyle="1" w:styleId="112">
    <w:name w:val="xl92"/>
    <w:basedOn w:val="1"/>
    <w:autoRedefine/>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cs="宋体"/>
      <w:kern w:val="0"/>
      <w:sz w:val="20"/>
      <w:szCs w:val="20"/>
    </w:rPr>
  </w:style>
  <w:style w:type="paragraph" w:customStyle="1" w:styleId="113">
    <w:name w:val="xl93"/>
    <w:basedOn w:val="1"/>
    <w:autoRedefine/>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cs="宋体"/>
      <w:kern w:val="0"/>
      <w:sz w:val="24"/>
    </w:rPr>
  </w:style>
  <w:style w:type="paragraph" w:customStyle="1" w:styleId="114">
    <w:name w:val="xl94"/>
    <w:basedOn w:val="1"/>
    <w:autoRedefine/>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cs="宋体"/>
      <w:kern w:val="0"/>
      <w:sz w:val="24"/>
    </w:rPr>
  </w:style>
  <w:style w:type="paragraph" w:customStyle="1" w:styleId="115">
    <w:name w:val="xl95"/>
    <w:basedOn w:val="1"/>
    <w:autoRedefine/>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cs="宋体"/>
      <w:kern w:val="0"/>
      <w:sz w:val="20"/>
      <w:szCs w:val="20"/>
    </w:rPr>
  </w:style>
  <w:style w:type="paragraph" w:customStyle="1" w:styleId="116">
    <w:name w:val="xl96"/>
    <w:basedOn w:val="1"/>
    <w:autoRedefine/>
    <w:qFormat/>
    <w:uiPriority w:val="99"/>
    <w:pPr>
      <w:widowControl/>
      <w:pBdr>
        <w:bottom w:val="single" w:color="auto" w:sz="4" w:space="0"/>
      </w:pBdr>
      <w:spacing w:before="100" w:beforeAutospacing="1" w:after="100" w:afterAutospacing="1"/>
      <w:jc w:val="center"/>
      <w:textAlignment w:val="center"/>
    </w:pPr>
    <w:rPr>
      <w:rFonts w:ascii="宋体" w:hAnsi="宋体" w:cs="宋体"/>
      <w:b/>
      <w:bCs/>
      <w:kern w:val="0"/>
      <w:sz w:val="24"/>
    </w:rPr>
  </w:style>
  <w:style w:type="character" w:customStyle="1" w:styleId="117">
    <w:name w:val="apple-converted-space"/>
    <w:basedOn w:val="43"/>
    <w:autoRedefine/>
    <w:qFormat/>
    <w:uiPriority w:val="99"/>
    <w:rPr>
      <w:rFonts w:cs="Times New Roman"/>
    </w:rPr>
  </w:style>
  <w:style w:type="paragraph" w:customStyle="1" w:styleId="118">
    <w:name w:val="列出段落2"/>
    <w:basedOn w:val="1"/>
    <w:autoRedefine/>
    <w:qFormat/>
    <w:uiPriority w:val="99"/>
    <w:pPr>
      <w:ind w:firstLine="420" w:firstLineChars="200"/>
    </w:pPr>
    <w:rPr>
      <w:rFonts w:ascii="Calibri" w:hAnsi="Calibri"/>
      <w:szCs w:val="22"/>
    </w:rPr>
  </w:style>
  <w:style w:type="paragraph" w:customStyle="1" w:styleId="119">
    <w:name w:val="修订1"/>
    <w:autoRedefine/>
    <w:hidden/>
    <w:semiHidden/>
    <w:qFormat/>
    <w:uiPriority w:val="99"/>
    <w:rPr>
      <w:rFonts w:ascii="Times New Roman" w:hAnsi="Times New Roman" w:eastAsia="宋体" w:cs="Times New Roman"/>
      <w:kern w:val="2"/>
      <w:sz w:val="21"/>
      <w:szCs w:val="24"/>
      <w:lang w:val="en-US" w:eastAsia="zh-CN" w:bidi="ar-SA"/>
    </w:rPr>
  </w:style>
  <w:style w:type="character" w:customStyle="1" w:styleId="120">
    <w:name w:val="批注主题 Char"/>
    <w:basedOn w:val="70"/>
    <w:link w:val="38"/>
    <w:autoRedefine/>
    <w:semiHidden/>
    <w:qFormat/>
    <w:locked/>
    <w:uiPriority w:val="99"/>
    <w:rPr>
      <w:b/>
      <w:bCs/>
    </w:rPr>
  </w:style>
  <w:style w:type="paragraph" w:customStyle="1" w:styleId="121">
    <w:name w:val="正文缩进2格"/>
    <w:basedOn w:val="1"/>
    <w:autoRedefine/>
    <w:qFormat/>
    <w:uiPriority w:val="0"/>
    <w:pPr>
      <w:spacing w:line="600" w:lineRule="exact"/>
      <w:ind w:firstLine="639" w:firstLineChars="206"/>
    </w:pPr>
    <w:rPr>
      <w:rFonts w:ascii="仿宋_GB2312" w:hAnsi="宋体" w:eastAsia="仿宋_GB2312"/>
      <w:kern w:val="0"/>
      <w:sz w:val="31"/>
      <w:szCs w:val="28"/>
    </w:rPr>
  </w:style>
  <w:style w:type="paragraph" w:customStyle="1" w:styleId="122">
    <w:name w:val="级别正文"/>
    <w:basedOn w:val="1"/>
    <w:autoRedefine/>
    <w:qFormat/>
    <w:uiPriority w:val="0"/>
    <w:pPr>
      <w:tabs>
        <w:tab w:val="left" w:pos="1260"/>
      </w:tabs>
      <w:snapToGrid w:val="0"/>
      <w:spacing w:line="360" w:lineRule="auto"/>
      <w:ind w:firstLine="600" w:firstLineChars="200"/>
    </w:pPr>
    <w:rPr>
      <w:rFonts w:ascii="仿宋_GB2312" w:hAnsi="Calibri" w:eastAsia="仿宋_GB2312"/>
      <w:sz w:val="24"/>
      <w:szCs w:val="21"/>
    </w:rPr>
  </w:style>
  <w:style w:type="paragraph" w:customStyle="1" w:styleId="123">
    <w:name w:val="表内"/>
    <w:basedOn w:val="1"/>
    <w:autoRedefine/>
    <w:qFormat/>
    <w:uiPriority w:val="0"/>
    <w:pPr>
      <w:adjustRightInd w:val="0"/>
      <w:spacing w:line="720" w:lineRule="exact"/>
      <w:jc w:val="center"/>
      <w:textAlignment w:val="baseline"/>
    </w:pPr>
    <w:rPr>
      <w:rFonts w:ascii="宋体" w:hAnsi="宋体"/>
      <w:spacing w:val="-16"/>
      <w:szCs w:val="21"/>
    </w:rPr>
  </w:style>
  <w:style w:type="paragraph" w:customStyle="1" w:styleId="124">
    <w:name w:val="标题 3（投标文件）"/>
    <w:basedOn w:val="4"/>
    <w:autoRedefine/>
    <w:qFormat/>
    <w:uiPriority w:val="0"/>
    <w:pPr>
      <w:spacing w:before="0" w:after="0" w:line="400" w:lineRule="atLeast"/>
    </w:pPr>
  </w:style>
  <w:style w:type="paragraph" w:customStyle="1" w:styleId="125">
    <w:name w:val="正文图标题"/>
    <w:next w:val="1"/>
    <w:autoRedefine/>
    <w:qFormat/>
    <w:uiPriority w:val="0"/>
    <w:pPr>
      <w:numPr>
        <w:ilvl w:val="0"/>
        <w:numId w:val="3"/>
      </w:numPr>
      <w:jc w:val="center"/>
    </w:pPr>
    <w:rPr>
      <w:rFonts w:ascii="黑体" w:hAnsi="Times New Roman" w:eastAsia="黑体" w:cs="Times New Roman"/>
      <w:sz w:val="21"/>
      <w:lang w:val="en-US" w:eastAsia="zh-CN" w:bidi="ar-SA"/>
    </w:rPr>
  </w:style>
  <w:style w:type="character" w:customStyle="1" w:styleId="126">
    <w:name w:val="三级条标题 Char"/>
    <w:basedOn w:val="43"/>
    <w:link w:val="127"/>
    <w:autoRedefine/>
    <w:qFormat/>
    <w:uiPriority w:val="0"/>
    <w:rPr>
      <w:rFonts w:asciiTheme="minorHAnsi" w:hAnsiTheme="minorHAnsi" w:eastAsiaTheme="minorEastAsia" w:cstheme="minorBidi"/>
      <w:sz w:val="24"/>
      <w:szCs w:val="24"/>
    </w:rPr>
  </w:style>
  <w:style w:type="paragraph" w:customStyle="1" w:styleId="127">
    <w:name w:val="三级条标题"/>
    <w:basedOn w:val="1"/>
    <w:next w:val="1"/>
    <w:link w:val="126"/>
    <w:autoRedefine/>
    <w:qFormat/>
    <w:uiPriority w:val="0"/>
    <w:pPr>
      <w:numPr>
        <w:ilvl w:val="4"/>
        <w:numId w:val="4"/>
      </w:numPr>
      <w:outlineLvl w:val="4"/>
    </w:pPr>
    <w:rPr>
      <w:rFonts w:asciiTheme="minorHAnsi" w:hAnsiTheme="minorHAnsi" w:eastAsiaTheme="minorEastAsia" w:cstheme="minorBidi"/>
      <w:sz w:val="24"/>
    </w:rPr>
  </w:style>
  <w:style w:type="paragraph" w:customStyle="1" w:styleId="128">
    <w:name w:val="※正文"/>
    <w:basedOn w:val="1"/>
    <w:next w:val="1"/>
    <w:autoRedefine/>
    <w:qFormat/>
    <w:uiPriority w:val="0"/>
    <w:pPr>
      <w:wordWrap w:val="0"/>
    </w:pPr>
  </w:style>
  <w:style w:type="paragraph" w:customStyle="1" w:styleId="129">
    <w:name w:val="正文0"/>
    <w:basedOn w:val="1"/>
    <w:autoRedefine/>
    <w:qFormat/>
    <w:uiPriority w:val="0"/>
    <w:pPr>
      <w:autoSpaceDE w:val="0"/>
      <w:autoSpaceDN w:val="0"/>
      <w:adjustRightInd w:val="0"/>
      <w:spacing w:before="240" w:after="60" w:line="360" w:lineRule="atLeast"/>
    </w:pPr>
    <w:rPr>
      <w:b/>
      <w:kern w:val="0"/>
      <w:sz w:val="24"/>
    </w:rPr>
  </w:style>
  <w:style w:type="paragraph" w:styleId="130">
    <w:name w:val="No Spacing"/>
    <w:autoRedefine/>
    <w:qFormat/>
    <w:uiPriority w:val="1"/>
    <w:rPr>
      <w:rFonts w:ascii="Calibri" w:hAnsi="Calibri" w:eastAsia="宋体" w:cs="Times New Roman"/>
      <w:sz w:val="22"/>
      <w:szCs w:val="22"/>
      <w:lang w:val="en-US" w:eastAsia="zh-CN" w:bidi="ar-SA"/>
    </w:rPr>
  </w:style>
  <w:style w:type="paragraph" w:customStyle="1" w:styleId="131">
    <w:name w:val="智业正文"/>
    <w:basedOn w:val="39"/>
    <w:autoRedefine/>
    <w:qFormat/>
    <w:uiPriority w:val="0"/>
    <w:pPr>
      <w:spacing w:after="0" w:line="360" w:lineRule="auto"/>
      <w:ind w:firstLine="200" w:firstLineChars="200"/>
    </w:pPr>
    <w:rPr>
      <w:rFonts w:ascii="宋体" w:hAnsi="宋体"/>
      <w:szCs w:val="24"/>
    </w:rPr>
  </w:style>
  <w:style w:type="character" w:customStyle="1" w:styleId="132">
    <w:name w:val="old"/>
    <w:basedOn w:val="43"/>
    <w:autoRedefine/>
    <w:qFormat/>
    <w:uiPriority w:val="0"/>
    <w:rPr>
      <w:color w:val="999999"/>
    </w:rPr>
  </w:style>
  <w:style w:type="character" w:customStyle="1" w:styleId="133">
    <w:name w:val="button"/>
    <w:basedOn w:val="43"/>
    <w:autoRedefine/>
    <w:qFormat/>
    <w:uiPriority w:val="0"/>
  </w:style>
  <w:style w:type="character" w:customStyle="1" w:styleId="134">
    <w:name w:val="hour_pm"/>
    <w:basedOn w:val="43"/>
    <w:autoRedefine/>
    <w:qFormat/>
    <w:uiPriority w:val="0"/>
  </w:style>
  <w:style w:type="character" w:customStyle="1" w:styleId="135">
    <w:name w:val="tmpztreemove_arrow"/>
    <w:basedOn w:val="43"/>
    <w:autoRedefine/>
    <w:qFormat/>
    <w:uiPriority w:val="0"/>
    <w:rPr>
      <w:shd w:val="clear" w:color="auto" w:fill="FFFFFF"/>
    </w:rPr>
  </w:style>
  <w:style w:type="character" w:customStyle="1" w:styleId="136">
    <w:name w:val="hour_am"/>
    <w:basedOn w:val="43"/>
    <w:autoRedefine/>
    <w:qFormat/>
    <w:uiPriority w:val="0"/>
  </w:style>
  <w:style w:type="character" w:customStyle="1" w:styleId="137">
    <w:name w:val="indent"/>
    <w:basedOn w:val="43"/>
    <w:autoRedefine/>
    <w:qFormat/>
    <w:uiPriority w:val="0"/>
  </w:style>
  <w:style w:type="character" w:customStyle="1" w:styleId="138">
    <w:name w:val="hover3"/>
    <w:basedOn w:val="43"/>
    <w:autoRedefine/>
    <w:qFormat/>
    <w:uiPriority w:val="0"/>
    <w:rPr>
      <w:shd w:val="clear" w:color="auto" w:fill="EEEEEE"/>
    </w:rPr>
  </w:style>
  <w:style w:type="character" w:customStyle="1" w:styleId="139">
    <w:name w:val="glyphicon4"/>
    <w:basedOn w:val="43"/>
    <w:autoRedefine/>
    <w:qFormat/>
    <w:uiPriority w:val="0"/>
  </w:style>
  <w:style w:type="paragraph" w:customStyle="1" w:styleId="140">
    <w:name w:val="样式 WG标题3 + 行距: 固定值 18 磅"/>
    <w:autoRedefine/>
    <w:qFormat/>
    <w:uiPriority w:val="0"/>
    <w:pPr>
      <w:widowControl w:val="0"/>
      <w:autoSpaceDE w:val="0"/>
      <w:autoSpaceDN w:val="0"/>
      <w:adjustRightInd w:val="0"/>
      <w:spacing w:line="360" w:lineRule="exact"/>
      <w:ind w:firstLine="200" w:firstLineChars="200"/>
      <w:jc w:val="both"/>
      <w:textAlignment w:val="baseline"/>
      <w:outlineLvl w:val="2"/>
    </w:pPr>
    <w:rPr>
      <w:rFonts w:ascii="Times New Roman" w:hAnsi="Times New Roman" w:eastAsia="宋体" w:cs="宋体"/>
      <w:b/>
      <w:bCs/>
      <w:color w:val="000000"/>
      <w:kern w:val="20"/>
      <w:sz w:val="24"/>
      <w:lang w:val="en-US" w:eastAsia="zh-CN" w:bidi="ar-SA"/>
    </w:rPr>
  </w:style>
  <w:style w:type="paragraph" w:customStyle="1" w:styleId="141">
    <w:name w:val="表格文字中"/>
    <w:autoRedefine/>
    <w:qFormat/>
    <w:uiPriority w:val="0"/>
    <w:pPr>
      <w:widowControl w:val="0"/>
      <w:adjustRightInd w:val="0"/>
      <w:snapToGrid w:val="0"/>
      <w:ind w:left="22" w:leftChars="8"/>
      <w:jc w:val="center"/>
    </w:pPr>
    <w:rPr>
      <w:rFonts w:ascii="Times New Roman" w:hAnsi="Times New Roman" w:eastAsia="宋体" w:cs="Times New Roman"/>
      <w:sz w:val="21"/>
      <w:szCs w:val="24"/>
      <w:lang w:val="en-US" w:eastAsia="zh-CN" w:bidi="ar-SA"/>
    </w:rPr>
  </w:style>
  <w:style w:type="character" w:customStyle="1" w:styleId="142">
    <w:name w:val="first-child"/>
    <w:basedOn w:val="43"/>
    <w:autoRedefine/>
    <w:qFormat/>
    <w:uiPriority w:val="0"/>
  </w:style>
  <w:style w:type="character" w:customStyle="1" w:styleId="143">
    <w:name w:val="layui-layer-tabnow"/>
    <w:basedOn w:val="43"/>
    <w:autoRedefine/>
    <w:qFormat/>
    <w:uiPriority w:val="0"/>
    <w:rPr>
      <w:bdr w:val="single" w:color="CCCCCC" w:sz="4" w:space="0"/>
      <w:shd w:val="clear" w:color="auto" w:fill="FFFFFF"/>
    </w:rPr>
  </w:style>
  <w:style w:type="paragraph" w:customStyle="1" w:styleId="144">
    <w:name w:val="09正文_wh"/>
    <w:autoRedefine/>
    <w:qFormat/>
    <w:uiPriority w:val="0"/>
    <w:pPr>
      <w:spacing w:line="300" w:lineRule="auto"/>
      <w:ind w:firstLine="200" w:firstLineChars="200"/>
      <w:jc w:val="both"/>
    </w:pPr>
    <w:rPr>
      <w:rFonts w:ascii="Times New Roman" w:hAnsi="Times New Roman" w:eastAsia="宋体" w:cs="Times New Roman"/>
      <w:sz w:val="28"/>
      <w:szCs w:val="22"/>
      <w:lang w:val="en-US" w:eastAsia="zh-CN" w:bidi="ar-SA"/>
    </w:rPr>
  </w:style>
  <w:style w:type="paragraph" w:customStyle="1" w:styleId="145">
    <w:name w:val="正文1"/>
    <w:autoRedefine/>
    <w:qFormat/>
    <w:uiPriority w:val="0"/>
    <w:pPr>
      <w:widowControl w:val="0"/>
      <w:adjustRightInd w:val="0"/>
      <w:spacing w:line="315" w:lineRule="atLeast"/>
      <w:textAlignment w:val="baseline"/>
    </w:pPr>
    <w:rPr>
      <w:rFonts w:ascii="宋体" w:hAnsi="Times New Roman" w:eastAsia="宋体" w:cs="Times New Roman"/>
      <w:sz w:val="24"/>
      <w:lang w:val="en-US" w:eastAsia="zh-CN" w:bidi="ar-SA"/>
    </w:rPr>
  </w:style>
  <w:style w:type="paragraph" w:customStyle="1" w:styleId="146">
    <w:name w:val="Table Paragraph"/>
    <w:basedOn w:val="1"/>
    <w:autoRedefine/>
    <w:qFormat/>
    <w:uiPriority w:val="1"/>
  </w:style>
  <w:style w:type="paragraph" w:styleId="147">
    <w:name w:val="List Paragraph"/>
    <w:basedOn w:val="1"/>
    <w:qFormat/>
    <w:uiPriority w:val="34"/>
    <w:pPr>
      <w:ind w:firstLine="420" w:firstLineChars="200"/>
    </w:pPr>
  </w:style>
  <w:style w:type="paragraph" w:customStyle="1" w:styleId="148">
    <w:name w:val="null3"/>
    <w:hidden/>
    <w:qFormat/>
    <w:uiPriority w:val="0"/>
    <w:rPr>
      <w:rFonts w:hint="eastAsia" w:asciiTheme="minorHAnsi" w:hAnsiTheme="minorHAnsi" w:eastAsiaTheme="minorEastAsia" w:cstheme="minorBidi"/>
      <w:lang w:val="en-US" w:eastAsia="zh-Hans"/>
    </w:rPr>
  </w:style>
  <w:style w:type="character" w:customStyle="1" w:styleId="149">
    <w:name w:val="页码1"/>
    <w:qFormat/>
    <w:uiPriority w:val="0"/>
    <w:rPr>
      <w:lang w:val="zh-TW" w:eastAsia="zh-TW"/>
    </w:rPr>
  </w:style>
  <w:style w:type="paragraph" w:customStyle="1" w:styleId="150">
    <w:name w:val="正文 A"/>
    <w:qFormat/>
    <w:uiPriority w:val="0"/>
    <w:pPr>
      <w:framePr w:wrap="around" w:vAnchor="margin" w:hAnchor="text" w:y="1"/>
      <w:widowControl w:val="0"/>
      <w:jc w:val="both"/>
    </w:pPr>
    <w:rPr>
      <w:rFonts w:ascii="Calibri" w:hAnsi="Calibri" w:eastAsia="Calibri" w:cs="Calibri"/>
      <w:color w:val="000000"/>
      <w:kern w:val="2"/>
      <w:sz w:val="21"/>
      <w:szCs w:val="21"/>
      <w:u w:val="none" w:color="000000"/>
      <w:lang w:val="en-US" w:eastAsia="zh-CN" w:bidi="ar-SA"/>
    </w:rPr>
  </w:style>
  <w:style w:type="character" w:customStyle="1" w:styleId="151">
    <w:name w:val="NormalCharacter"/>
    <w:semiHidden/>
    <w:qFormat/>
    <w:uiPriority w:val="0"/>
  </w:style>
  <w:style w:type="character" w:customStyle="1" w:styleId="152">
    <w:name w:val="nth-child(2)"/>
    <w:basedOn w:val="43"/>
    <w:qFormat/>
    <w:uiPriority w:val="0"/>
  </w:style>
  <w:style w:type="character" w:customStyle="1" w:styleId="153">
    <w:name w:val="hover25"/>
    <w:basedOn w:val="43"/>
    <w:qFormat/>
    <w:uiPriority w:val="0"/>
    <w:rPr>
      <w:color w:val="167AE0"/>
    </w:rPr>
  </w:style>
  <w:style w:type="character" w:customStyle="1" w:styleId="154">
    <w:name w:val="hover26"/>
    <w:basedOn w:val="43"/>
    <w:qFormat/>
    <w:uiPriority w:val="0"/>
  </w:style>
  <w:style w:type="character" w:customStyle="1" w:styleId="155">
    <w:name w:val="nth-of-type(2)"/>
    <w:basedOn w:val="43"/>
    <w:qFormat/>
    <w:uiPriority w:val="0"/>
  </w:style>
  <w:style w:type="character" w:customStyle="1" w:styleId="156">
    <w:name w:val="nth-of-type(9)"/>
    <w:basedOn w:val="43"/>
    <w:qFormat/>
    <w:uiPriority w:val="0"/>
  </w:style>
  <w:style w:type="character" w:customStyle="1" w:styleId="157">
    <w:name w:val="nth-of-type(3)"/>
    <w:basedOn w:val="43"/>
    <w:qFormat/>
    <w:uiPriority w:val="0"/>
  </w:style>
  <w:style w:type="character" w:customStyle="1" w:styleId="158">
    <w:name w:val="nth-of-type(3)1"/>
    <w:basedOn w:val="43"/>
    <w:qFormat/>
    <w:uiPriority w:val="0"/>
  </w:style>
  <w:style w:type="character" w:customStyle="1" w:styleId="159">
    <w:name w:val="nth-of-type(3)2"/>
    <w:basedOn w:val="43"/>
    <w:qFormat/>
    <w:uiPriority w:val="0"/>
  </w:style>
  <w:style w:type="character" w:customStyle="1" w:styleId="160">
    <w:name w:val="nth-of-type(3)3"/>
    <w:basedOn w:val="43"/>
    <w:qFormat/>
    <w:uiPriority w:val="0"/>
  </w:style>
  <w:style w:type="character" w:customStyle="1" w:styleId="161">
    <w:name w:val="nth-of-type(3)4"/>
    <w:basedOn w:val="43"/>
    <w:qFormat/>
    <w:uiPriority w:val="0"/>
  </w:style>
  <w:style w:type="character" w:customStyle="1" w:styleId="162">
    <w:name w:val="nth-of-type(3)5"/>
    <w:basedOn w:val="43"/>
    <w:qFormat/>
    <w:uiPriority w:val="0"/>
  </w:style>
  <w:style w:type="character" w:customStyle="1" w:styleId="163">
    <w:name w:val="nth-of-type(3)6"/>
    <w:basedOn w:val="43"/>
    <w:qFormat/>
    <w:uiPriority w:val="0"/>
  </w:style>
  <w:style w:type="character" w:customStyle="1" w:styleId="164">
    <w:name w:val="nth-of-type(3)7"/>
    <w:basedOn w:val="43"/>
    <w:qFormat/>
    <w:uiPriority w:val="0"/>
    <w:rPr>
      <w:sz w:val="21"/>
      <w:szCs w:val="21"/>
    </w:rPr>
  </w:style>
  <w:style w:type="character" w:customStyle="1" w:styleId="165">
    <w:name w:val="nth-of-type(6)"/>
    <w:basedOn w:val="43"/>
    <w:qFormat/>
    <w:uiPriority w:val="0"/>
  </w:style>
  <w:style w:type="character" w:customStyle="1" w:styleId="166">
    <w:name w:val="nth-of-type(6)1"/>
    <w:basedOn w:val="43"/>
    <w:qFormat/>
    <w:uiPriority w:val="0"/>
  </w:style>
  <w:style w:type="character" w:customStyle="1" w:styleId="167">
    <w:name w:val="nth-of-type(6)2"/>
    <w:basedOn w:val="43"/>
    <w:qFormat/>
    <w:uiPriority w:val="0"/>
  </w:style>
  <w:style w:type="character" w:customStyle="1" w:styleId="168">
    <w:name w:val="nth-of-type(6)3"/>
    <w:basedOn w:val="43"/>
    <w:qFormat/>
    <w:uiPriority w:val="0"/>
  </w:style>
  <w:style w:type="character" w:customStyle="1" w:styleId="169">
    <w:name w:val="nth-of-type(6)4"/>
    <w:basedOn w:val="43"/>
    <w:qFormat/>
    <w:uiPriority w:val="0"/>
    <w:rPr>
      <w:color w:val="0082DF"/>
    </w:rPr>
  </w:style>
  <w:style w:type="character" w:customStyle="1" w:styleId="170">
    <w:name w:val="nth-of-type(6)5"/>
    <w:basedOn w:val="43"/>
    <w:qFormat/>
    <w:uiPriority w:val="0"/>
  </w:style>
  <w:style w:type="character" w:customStyle="1" w:styleId="171">
    <w:name w:val="nth-of-type(1)"/>
    <w:basedOn w:val="43"/>
    <w:qFormat/>
    <w:uiPriority w:val="0"/>
  </w:style>
  <w:style w:type="character" w:customStyle="1" w:styleId="172">
    <w:name w:val="nth-of-type(1)1"/>
    <w:basedOn w:val="43"/>
    <w:qFormat/>
    <w:uiPriority w:val="0"/>
  </w:style>
  <w:style w:type="character" w:customStyle="1" w:styleId="173">
    <w:name w:val="nth-of-type(1)2"/>
    <w:basedOn w:val="43"/>
    <w:qFormat/>
    <w:uiPriority w:val="0"/>
    <w:rPr>
      <w:rFonts w:ascii="SourceHanSansCN-Regular" w:hAnsi="SourceHanSansCN-Regular" w:eastAsia="SourceHanSansCN-Regular" w:cs="SourceHanSansCN-Regular"/>
      <w:color w:val="FB560A"/>
      <w:sz w:val="21"/>
      <w:szCs w:val="21"/>
    </w:rPr>
  </w:style>
  <w:style w:type="character" w:customStyle="1" w:styleId="174">
    <w:name w:val="nth-of-type(1)3"/>
    <w:basedOn w:val="43"/>
    <w:qFormat/>
    <w:uiPriority w:val="0"/>
  </w:style>
  <w:style w:type="character" w:customStyle="1" w:styleId="175">
    <w:name w:val="nth-of-type(1)4"/>
    <w:basedOn w:val="43"/>
    <w:qFormat/>
    <w:uiPriority w:val="0"/>
  </w:style>
  <w:style w:type="character" w:customStyle="1" w:styleId="176">
    <w:name w:val="nth-of-type(1)5"/>
    <w:basedOn w:val="43"/>
    <w:qFormat/>
    <w:uiPriority w:val="0"/>
  </w:style>
  <w:style w:type="character" w:customStyle="1" w:styleId="177">
    <w:name w:val="nth-of-type(1)6"/>
    <w:basedOn w:val="43"/>
    <w:qFormat/>
    <w:uiPriority w:val="0"/>
  </w:style>
  <w:style w:type="character" w:customStyle="1" w:styleId="178">
    <w:name w:val="nth-of-type(1)7"/>
    <w:basedOn w:val="43"/>
    <w:qFormat/>
    <w:uiPriority w:val="0"/>
  </w:style>
  <w:style w:type="character" w:customStyle="1" w:styleId="179">
    <w:name w:val="nth-of-type(1)8"/>
    <w:basedOn w:val="43"/>
    <w:qFormat/>
    <w:uiPriority w:val="0"/>
  </w:style>
  <w:style w:type="character" w:customStyle="1" w:styleId="180">
    <w:name w:val="nth-of-type(1)9"/>
    <w:basedOn w:val="43"/>
    <w:qFormat/>
    <w:uiPriority w:val="0"/>
  </w:style>
  <w:style w:type="character" w:customStyle="1" w:styleId="181">
    <w:name w:val="nth-of-type(1)10"/>
    <w:basedOn w:val="43"/>
    <w:qFormat/>
    <w:uiPriority w:val="0"/>
  </w:style>
  <w:style w:type="character" w:customStyle="1" w:styleId="182">
    <w:name w:val="nth-of-type(1)11"/>
    <w:basedOn w:val="43"/>
    <w:qFormat/>
    <w:uiPriority w:val="0"/>
  </w:style>
  <w:style w:type="character" w:customStyle="1" w:styleId="183">
    <w:name w:val="nth-of-type(1)12"/>
    <w:basedOn w:val="43"/>
    <w:qFormat/>
    <w:uiPriority w:val="0"/>
  </w:style>
  <w:style w:type="character" w:customStyle="1" w:styleId="184">
    <w:name w:val="nth-of-type(1)13"/>
    <w:basedOn w:val="43"/>
    <w:qFormat/>
    <w:uiPriority w:val="0"/>
  </w:style>
  <w:style w:type="character" w:customStyle="1" w:styleId="185">
    <w:name w:val="nth-of-type(1)14"/>
    <w:basedOn w:val="43"/>
    <w:qFormat/>
    <w:uiPriority w:val="0"/>
  </w:style>
  <w:style w:type="character" w:customStyle="1" w:styleId="186">
    <w:name w:val="nth-of-type(1)15"/>
    <w:basedOn w:val="43"/>
    <w:qFormat/>
    <w:uiPriority w:val="0"/>
  </w:style>
  <w:style w:type="character" w:customStyle="1" w:styleId="187">
    <w:name w:val="nth-of-type(1)16"/>
    <w:basedOn w:val="43"/>
    <w:qFormat/>
    <w:uiPriority w:val="0"/>
  </w:style>
  <w:style w:type="character" w:customStyle="1" w:styleId="188">
    <w:name w:val="nth-of-type(1)17"/>
    <w:basedOn w:val="43"/>
    <w:qFormat/>
    <w:uiPriority w:val="0"/>
  </w:style>
  <w:style w:type="character" w:customStyle="1" w:styleId="189">
    <w:name w:val="nth-of-type(1)18"/>
    <w:basedOn w:val="43"/>
    <w:qFormat/>
    <w:uiPriority w:val="0"/>
    <w:rPr>
      <w:sz w:val="21"/>
      <w:szCs w:val="21"/>
    </w:rPr>
  </w:style>
  <w:style w:type="character" w:customStyle="1" w:styleId="190">
    <w:name w:val="nth-of-type(4)"/>
    <w:basedOn w:val="43"/>
    <w:qFormat/>
    <w:uiPriority w:val="0"/>
  </w:style>
  <w:style w:type="character" w:customStyle="1" w:styleId="191">
    <w:name w:val="nth-of-type(4)1"/>
    <w:basedOn w:val="43"/>
    <w:qFormat/>
    <w:uiPriority w:val="0"/>
  </w:style>
  <w:style w:type="character" w:customStyle="1" w:styleId="192">
    <w:name w:val="nth-of-type(4)2"/>
    <w:basedOn w:val="43"/>
    <w:qFormat/>
    <w:uiPriority w:val="0"/>
  </w:style>
  <w:style w:type="character" w:customStyle="1" w:styleId="193">
    <w:name w:val="nth-of-type(4)3"/>
    <w:basedOn w:val="43"/>
    <w:qFormat/>
    <w:uiPriority w:val="0"/>
  </w:style>
  <w:style w:type="character" w:customStyle="1" w:styleId="194">
    <w:name w:val="nth-of-type(4)4"/>
    <w:basedOn w:val="43"/>
    <w:qFormat/>
    <w:uiPriority w:val="0"/>
  </w:style>
  <w:style w:type="character" w:customStyle="1" w:styleId="195">
    <w:name w:val="nth-of-type(4)5"/>
    <w:basedOn w:val="43"/>
    <w:qFormat/>
    <w:uiPriority w:val="0"/>
  </w:style>
  <w:style w:type="character" w:customStyle="1" w:styleId="196">
    <w:name w:val="nth-of-type(4)6"/>
    <w:basedOn w:val="43"/>
    <w:qFormat/>
    <w:uiPriority w:val="0"/>
  </w:style>
  <w:style w:type="character" w:customStyle="1" w:styleId="197">
    <w:name w:val="nth-of-type(4)7"/>
    <w:basedOn w:val="43"/>
    <w:qFormat/>
    <w:uiPriority w:val="0"/>
  </w:style>
  <w:style w:type="character" w:customStyle="1" w:styleId="198">
    <w:name w:val="nth-of-type(4)8"/>
    <w:basedOn w:val="43"/>
    <w:qFormat/>
    <w:uiPriority w:val="0"/>
    <w:rPr>
      <w:sz w:val="21"/>
      <w:szCs w:val="21"/>
    </w:rPr>
  </w:style>
  <w:style w:type="character" w:customStyle="1" w:styleId="199">
    <w:name w:val="nth-of-type(5)"/>
    <w:basedOn w:val="43"/>
    <w:qFormat/>
    <w:uiPriority w:val="0"/>
  </w:style>
  <w:style w:type="character" w:customStyle="1" w:styleId="200">
    <w:name w:val="nth-of-type(5)1"/>
    <w:basedOn w:val="43"/>
    <w:qFormat/>
    <w:uiPriority w:val="0"/>
  </w:style>
  <w:style w:type="character" w:customStyle="1" w:styleId="201">
    <w:name w:val="nth-of-type(5)2"/>
    <w:basedOn w:val="43"/>
    <w:qFormat/>
    <w:uiPriority w:val="0"/>
  </w:style>
  <w:style w:type="character" w:customStyle="1" w:styleId="202">
    <w:name w:val="nth-of-type(5)3"/>
    <w:basedOn w:val="43"/>
    <w:qFormat/>
    <w:uiPriority w:val="0"/>
  </w:style>
  <w:style w:type="character" w:customStyle="1" w:styleId="203">
    <w:name w:val="nth-of-type(5)4"/>
    <w:basedOn w:val="43"/>
    <w:qFormat/>
    <w:uiPriority w:val="0"/>
  </w:style>
  <w:style w:type="character" w:customStyle="1" w:styleId="204">
    <w:name w:val="nth-of-type(5)5"/>
    <w:basedOn w:val="43"/>
    <w:qFormat/>
    <w:uiPriority w:val="0"/>
  </w:style>
  <w:style w:type="character" w:customStyle="1" w:styleId="205">
    <w:name w:val="nth-of-type(5)6"/>
    <w:basedOn w:val="43"/>
    <w:qFormat/>
    <w:uiPriority w:val="0"/>
    <w:rPr>
      <w:sz w:val="21"/>
      <w:szCs w:val="21"/>
    </w:rPr>
  </w:style>
  <w:style w:type="character" w:customStyle="1" w:styleId="206">
    <w:name w:val="nth-of-type(7)"/>
    <w:basedOn w:val="43"/>
    <w:qFormat/>
    <w:uiPriority w:val="0"/>
  </w:style>
  <w:style w:type="character" w:customStyle="1" w:styleId="207">
    <w:name w:val="nth-of-type(7)1"/>
    <w:basedOn w:val="43"/>
    <w:uiPriority w:val="0"/>
  </w:style>
  <w:style w:type="character" w:customStyle="1" w:styleId="208">
    <w:name w:val="nth-of-type(7)2"/>
    <w:basedOn w:val="43"/>
    <w:uiPriority w:val="0"/>
  </w:style>
  <w:style w:type="character" w:customStyle="1" w:styleId="209">
    <w:name w:val="nth-of-type(8)"/>
    <w:basedOn w:val="43"/>
    <w:uiPriority w:val="0"/>
  </w:style>
  <w:style w:type="character" w:customStyle="1" w:styleId="210">
    <w:name w:val="nth-of-type(10)"/>
    <w:basedOn w:val="43"/>
    <w:uiPriority w:val="0"/>
  </w:style>
  <w:style w:type="character" w:customStyle="1" w:styleId="211">
    <w:name w:val="titleshow"/>
    <w:basedOn w:val="43"/>
    <w:uiPriority w:val="0"/>
    <w:rPr>
      <w:color w:val="3E464C"/>
    </w:rPr>
  </w:style>
  <w:style w:type="character" w:customStyle="1" w:styleId="212">
    <w:name w:val="last-child1"/>
    <w:basedOn w:val="43"/>
    <w:uiPriority w:val="0"/>
    <w:rPr>
      <w:color w:val="FFFFFF"/>
    </w:rPr>
  </w:style>
  <w:style w:type="character" w:customStyle="1" w:styleId="213">
    <w:name w:val="last-child2"/>
    <w:basedOn w:val="43"/>
    <w:uiPriority w:val="0"/>
  </w:style>
  <w:style w:type="character" w:customStyle="1" w:styleId="214">
    <w:name w:val="last-child3"/>
    <w:basedOn w:val="43"/>
    <w:uiPriority w:val="0"/>
  </w:style>
  <w:style w:type="character" w:customStyle="1" w:styleId="215">
    <w:name w:val="lineshow"/>
    <w:basedOn w:val="43"/>
    <w:uiPriority w:val="0"/>
  </w:style>
  <w:style w:type="character" w:customStyle="1" w:styleId="216">
    <w:name w:val="lineshow1"/>
    <w:basedOn w:val="43"/>
    <w:uiPriority w:val="0"/>
  </w:style>
  <w:style w:type="character" w:customStyle="1" w:styleId="217">
    <w:name w:val="layui-laypage-curr"/>
    <w:basedOn w:val="43"/>
    <w:uiPriority w:val="0"/>
  </w:style>
  <w:style w:type="character" w:customStyle="1" w:styleId="218">
    <w:name w:val="before"/>
    <w:basedOn w:val="43"/>
    <w:uiPriority w:val="0"/>
    <w:rPr>
      <w:shd w:val="clear" w:fill="C20E0C"/>
    </w:rPr>
  </w:style>
  <w:style w:type="character" w:customStyle="1" w:styleId="219">
    <w:name w:val="nth-child(3)"/>
    <w:basedOn w:val="43"/>
    <w:uiPriority w:val="0"/>
  </w:style>
  <w:style w:type="character" w:customStyle="1" w:styleId="220">
    <w:name w:val="first-child1"/>
    <w:basedOn w:val="43"/>
    <w:uiPriority w:val="0"/>
  </w:style>
  <w:style w:type="character" w:customStyle="1" w:styleId="221">
    <w:name w:val="first-child2"/>
    <w:basedOn w:val="43"/>
    <w:uiPriority w:val="0"/>
  </w:style>
  <w:style w:type="character" w:customStyle="1" w:styleId="222">
    <w:name w:val="first-child3"/>
    <w:basedOn w:val="43"/>
    <w:uiPriority w:val="0"/>
  </w:style>
  <w:style w:type="character" w:customStyle="1" w:styleId="223">
    <w:name w:val="first-child4"/>
    <w:basedOn w:val="43"/>
    <w:uiPriority w:val="0"/>
  </w:style>
  <w:style w:type="character" w:customStyle="1" w:styleId="224">
    <w:name w:val="nth-child(1)"/>
    <w:basedOn w:val="43"/>
    <w:uiPriority w:val="0"/>
  </w:style>
  <w:style w:type="character" w:customStyle="1" w:styleId="225">
    <w:name w:val="layui-this4"/>
    <w:basedOn w:val="43"/>
    <w:uiPriority w:val="0"/>
    <w:rPr>
      <w:bdr w:val="single" w:color="EEEEEE" w:sz="6" w:space="0"/>
      <w:shd w:val="clear" w:fill="FFFFFF"/>
    </w:rPr>
  </w:style>
</w:styles>
</file>

<file path=word/_rels/document.xml.rels><?xml version="1.0" encoding="UTF-8" standalone="yes"?>
<Relationships xmlns="http://schemas.openxmlformats.org/package/2006/relationships"><Relationship Id="rId9" Type="http://schemas.openxmlformats.org/officeDocument/2006/relationships/footer" Target="footer5.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8" Type="http://schemas.openxmlformats.org/officeDocument/2006/relationships/fontTable" Target="fontTable.xml"/><Relationship Id="rId17" Type="http://schemas.openxmlformats.org/officeDocument/2006/relationships/customXml" Target="../customXml/item2.xml"/><Relationship Id="rId16" Type="http://schemas.openxmlformats.org/officeDocument/2006/relationships/numbering" Target="numbering.xml"/><Relationship Id="rId15" Type="http://schemas.openxmlformats.org/officeDocument/2006/relationships/customXml" Target="../customXml/item1.xml"/><Relationship Id="rId14" Type="http://schemas.openxmlformats.org/officeDocument/2006/relationships/image" Target="media/image2.jpeg"/><Relationship Id="rId13" Type="http://schemas.openxmlformats.org/officeDocument/2006/relationships/image" Target="media/image1.png"/><Relationship Id="rId12" Type="http://schemas.openxmlformats.org/officeDocument/2006/relationships/theme" Target="theme/theme1.xml"/><Relationship Id="rId11" Type="http://schemas.openxmlformats.org/officeDocument/2006/relationships/footer" Target="footer7.xml"/><Relationship Id="rId10" Type="http://schemas.openxmlformats.org/officeDocument/2006/relationships/footer" Target="footer6.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39" textRotate="1"/>
    <customShpInfo spid="_x0000_s1036" textRotate="1"/>
    <customShpInfo spid="_x0000_s1032" textRotate="1"/>
    <customShpInfo spid="_x0000_s1037" textRotate="1"/>
    <customShpInfo spid="_x0000_s1038" textRotate="1"/>
    <customShpInfo spid="_x0000_s2051"/>
    <customShpInfo spid="_x0000_s2050"/>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8D816F7-81BB-4EC9-9A91-18EAA3DD6367}">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68</Pages>
  <Words>30367</Words>
  <Characters>32006</Characters>
  <Lines>42</Lines>
  <Paragraphs>74</Paragraphs>
  <TotalTime>105</TotalTime>
  <ScaleCrop>false</ScaleCrop>
  <LinksUpToDate>false</LinksUpToDate>
  <CharactersWithSpaces>33422</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2016-12-21T15:19:00Z</dcterms:created>
  <dc:creator>lenovo</dc:creator>
  <cp:lastModifiedBy>Administrator</cp:lastModifiedBy>
  <cp:lastPrinted>2025-05-27T02:54:00Z</cp:lastPrinted>
  <dcterms:modified xsi:type="dcterms:W3CDTF">2025-05-28T02:24:44Z</dcterms:modified>
  <dc:title>中共中央直属机关2007年办公家具定点采购</dc:title>
  <cp:revision>634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03AACCAA03C8451CBABB1CF823090683_13</vt:lpwstr>
  </property>
  <property fmtid="{D5CDD505-2E9C-101B-9397-08002B2CF9AE}" pid="4" name="KSOTemplateDocerSaveRecord">
    <vt:lpwstr>eyJoZGlkIjoiOTY3Zjc3ZDBhMzIwN2E3NmYyYzc3OWNlNjBkYWRmYmMifQ==</vt:lpwstr>
  </property>
</Properties>
</file>