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前置审方系统采购项目(二次)</w:t>
      </w:r>
    </w:p>
    <w:p>
      <w:pPr>
        <w:pStyle w:val="null3"/>
        <w:jc w:val="center"/>
        <w:outlineLvl w:val="2"/>
      </w:pPr>
      <w:r>
        <w:rPr>
          <w:b/>
          <w:sz w:val="28"/>
        </w:rPr>
        <w:t>采购项目编号：</w:t>
      </w:r>
      <w:r>
        <w:rPr>
          <w:b/>
          <w:sz w:val="28"/>
        </w:rPr>
        <w:t>HDZB2023-022.1B1</w:t>
      </w:r>
      <w:r>
        <w:br/>
      </w:r>
      <w:r>
        <w:br/>
      </w:r>
      <w:r>
        <w:br/>
      </w:r>
    </w:p>
    <w:p>
      <w:pPr>
        <w:pStyle w:val="null3"/>
        <w:jc w:val="center"/>
        <w:outlineLvl w:val="2"/>
      </w:pPr>
      <w:r>
        <w:rPr>
          <w:b/>
          <w:sz w:val="28"/>
        </w:rPr>
        <w:t>陕西中医药大学附属医院</w:t>
      </w:r>
    </w:p>
    <w:p>
      <w:pPr>
        <w:pStyle w:val="null3"/>
        <w:jc w:val="center"/>
        <w:outlineLvl w:val="2"/>
      </w:pPr>
      <w:r>
        <w:rPr>
          <w:b/>
          <w:sz w:val="28"/>
        </w:rPr>
        <w:t>华地众信工程项目管理有限公司</w:t>
      </w:r>
      <w:r>
        <w:rPr>
          <w:b/>
          <w:sz w:val="28"/>
        </w:rPr>
        <w:t>共同编制</w:t>
      </w:r>
    </w:p>
    <w:p>
      <w:pPr>
        <w:pStyle w:val="null3"/>
        <w:jc w:val="center"/>
        <w:outlineLvl w:val="2"/>
      </w:pPr>
      <w:r>
        <w:rPr>
          <w:b/>
          <w:sz w:val="28"/>
        </w:rPr>
        <w:t>2023年12月29日</w:t>
      </w:r>
    </w:p>
    <w:p>
      <w:pPr>
        <w:pStyle w:val="null3"/>
      </w:pPr>
      <w:r>
        <w:rPr/>
        <w:t xml:space="preserve"> </w:t>
      </w:r>
    </w:p>
    <w:p>
      <w:pPr>
        <w:pStyle w:val="null3"/>
        <w:jc w:val="center"/>
        <w:outlineLvl w:val="1"/>
      </w:pPr>
      <w:r>
        <w:rPr>
          <w:b/>
          <w:sz w:val="36"/>
        </w:rPr>
        <w:t>第一章 投标邀请</w:t>
      </w:r>
    </w:p>
    <w:p>
      <w:pPr>
        <w:pStyle w:val="null3"/>
        <w:ind w:firstLine="480"/>
      </w:pPr>
      <w:r>
        <w:rPr/>
        <w:t>华地众信工程项目管理有限公司</w:t>
      </w:r>
      <w:r>
        <w:rPr/>
        <w:t>（以下简称“代理机构”）受</w:t>
      </w:r>
      <w:r>
        <w:rPr/>
        <w:t>陕西中医药大学附属医院</w:t>
      </w:r>
      <w:r>
        <w:rPr/>
        <w:t>委托，拟对</w:t>
      </w:r>
      <w:r>
        <w:rPr/>
        <w:t>前置审方系统采购项目(二次)</w:t>
      </w:r>
      <w:r>
        <w:rPr/>
        <w:t>进行国内公开招标，兹邀请符合本次招标要求的供应商参加投标。</w:t>
      </w:r>
    </w:p>
    <w:p>
      <w:pPr>
        <w:pStyle w:val="null3"/>
        <w:outlineLvl w:val="2"/>
      </w:pPr>
      <w:r>
        <w:rPr>
          <w:b/>
          <w:sz w:val="28"/>
        </w:rPr>
        <w:t>一、采购项目编号：</w:t>
      </w:r>
      <w:r>
        <w:rPr>
          <w:b/>
          <w:sz w:val="28"/>
        </w:rPr>
        <w:t>HDZB2023-022.1B1</w:t>
      </w:r>
    </w:p>
    <w:p>
      <w:pPr>
        <w:pStyle w:val="null3"/>
        <w:outlineLvl w:val="2"/>
      </w:pPr>
      <w:r>
        <w:rPr>
          <w:b/>
          <w:sz w:val="28"/>
        </w:rPr>
        <w:t>二、采购项目名称：</w:t>
      </w:r>
      <w:r>
        <w:rPr>
          <w:b/>
          <w:sz w:val="28"/>
        </w:rPr>
        <w:t>前置审方系统采购项目(二次)</w:t>
      </w:r>
    </w:p>
    <w:p>
      <w:pPr>
        <w:pStyle w:val="null3"/>
        <w:outlineLvl w:val="2"/>
      </w:pPr>
      <w:r>
        <w:rPr>
          <w:b/>
          <w:sz w:val="28"/>
        </w:rPr>
        <w:t>三、招标项目简介</w:t>
      </w:r>
    </w:p>
    <w:p>
      <w:pPr>
        <w:pStyle w:val="null3"/>
        <w:ind w:firstLine="480"/>
      </w:pPr>
      <w:r>
        <w:rPr/>
        <w:t>前置审方系统采购项目（二次），具体招标内容详见技术要求。</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1、投标保证金：按招标文件要求缴纳投标保证金</w:t>
      </w:r>
    </w:p>
    <w:p>
      <w:pPr>
        <w:pStyle w:val="null3"/>
      </w:pPr>
      <w:r>
        <w:rPr/>
        <w:t>2、有效的主体资格证明：提供合法有效的统一社会信用代码的营业执照</w:t>
      </w:r>
    </w:p>
    <w:p>
      <w:pPr>
        <w:pStyle w:val="null3"/>
      </w:pPr>
      <w:r>
        <w:rPr/>
        <w:t>3、法定代表人委托授权书：法定代表人参加投标的，须提供法定代表人（主要负责人）身份证明；法定代表人授权他人 参加投标的，须提供法定代表人（主要负责人）身份证明，法定代表人委托授权书及被授权代表的身份证复印件。</w:t>
      </w:r>
    </w:p>
    <w:p>
      <w:pPr>
        <w:pStyle w:val="null3"/>
      </w:pPr>
      <w:r>
        <w:rPr/>
        <w:t>4、税收缴纳证明：提供2023年任意一个月的依法缴纳税收的完税证明，完税证明应有税务机关或代收机关的公章或业务专用章。依法免税或无须缴纳税收的供应商，应提供相应证明文件加盖公章。</w:t>
      </w:r>
    </w:p>
    <w:p>
      <w:pPr>
        <w:pStyle w:val="null3"/>
      </w:pPr>
      <w:r>
        <w:rPr/>
        <w:t>5、社会保障资金缴纳证明：提供2023年至少连续3个月的社会保障资金缴存单据或社保机构开具的社会保险参保缴费情况证明，依法不需要缴纳社会保障资金的单位应提供相关证明材料；单据或证明上应有社保机构或代收机构的公章或业务专用章。</w:t>
      </w:r>
    </w:p>
    <w:p>
      <w:pPr>
        <w:pStyle w:val="null3"/>
      </w:pPr>
      <w:r>
        <w:rPr/>
        <w:t>6、具有履行合同所必需的设备和专业 技术能力的承诺：提供具有履行合同所必需的设备和专业技术能力的承诺函。</w:t>
      </w:r>
    </w:p>
    <w:p>
      <w:pPr>
        <w:pStyle w:val="null3"/>
      </w:pPr>
      <w:r>
        <w:rPr/>
        <w:t>7、无重大违法记录声明：参加本次政府采购活动前 3 年内在经营活动中 没有重大违法记录，供应商不得列入失信被执 行人/重大税收违法失信主体/严重失信主体名单/ 政府采购严重违法失信行为记录名单的，及其 他违法采购活动，其他不符合《中华人民共和 国政府采购法》有关规定条件的。</w:t>
      </w:r>
    </w:p>
    <w:p>
      <w:pPr>
        <w:pStyle w:val="null3"/>
      </w:pPr>
      <w:r>
        <w:rPr/>
        <w:t>8、非联合体投标声明：提供非联合体投标声明。</w:t>
      </w:r>
    </w:p>
    <w:p>
      <w:pPr>
        <w:pStyle w:val="null3"/>
      </w:pPr>
      <w:r>
        <w:rPr/>
        <w:t>9、本项目非专门面向中小企业采购：本项目非专门面向中小企业采购。</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陕西中医药大学附属医院</w:t>
      </w:r>
    </w:p>
    <w:p>
      <w:pPr>
        <w:pStyle w:val="null3"/>
      </w:pPr>
      <w:r>
        <w:rPr/>
        <w:t xml:space="preserve"> 地址： </w:t>
      </w:r>
      <w:r>
        <w:rPr/>
        <w:t>陕西省咸阳市渭阳西路副2号</w:t>
      </w:r>
    </w:p>
    <w:p>
      <w:pPr>
        <w:pStyle w:val="null3"/>
      </w:pPr>
      <w:r>
        <w:rPr/>
        <w:t xml:space="preserve"> 邮编： </w:t>
      </w:r>
      <w:r>
        <w:rPr/>
        <w:t>712021</w:t>
      </w:r>
    </w:p>
    <w:p>
      <w:pPr>
        <w:pStyle w:val="null3"/>
      </w:pPr>
      <w:r>
        <w:rPr/>
        <w:t xml:space="preserve"> 联系人： </w:t>
      </w:r>
      <w:r>
        <w:rPr/>
        <w:t>马琳</w:t>
      </w:r>
    </w:p>
    <w:p>
      <w:pPr>
        <w:pStyle w:val="null3"/>
      </w:pPr>
      <w:r>
        <w:rPr/>
        <w:t xml:space="preserve"> 联系电话： </w:t>
      </w:r>
      <w:r>
        <w:rPr/>
        <w:t>029-33320910</w:t>
      </w:r>
    </w:p>
    <w:p>
      <w:pPr>
        <w:pStyle w:val="null3"/>
        <w:outlineLvl w:val="2"/>
      </w:pPr>
      <w:r>
        <w:rPr>
          <w:b/>
          <w:sz w:val="28"/>
        </w:rPr>
        <w:t>代理机构：</w:t>
      </w:r>
      <w:r>
        <w:rPr>
          <w:b/>
          <w:sz w:val="28"/>
        </w:rPr>
        <w:t>华地众信工程项目管理有限公司</w:t>
      </w:r>
    </w:p>
    <w:p>
      <w:pPr>
        <w:pStyle w:val="null3"/>
      </w:pPr>
      <w:r>
        <w:rPr/>
        <w:t xml:space="preserve"> 地址： </w:t>
      </w:r>
      <w:r>
        <w:rPr/>
        <w:t>陕西省西安市曲江新区汇新路以东曲江国际金融中心9层903</w:t>
      </w:r>
    </w:p>
    <w:p>
      <w:pPr>
        <w:pStyle w:val="null3"/>
      </w:pPr>
      <w:r>
        <w:rPr/>
        <w:t xml:space="preserve"> 邮编： </w:t>
      </w:r>
      <w:r>
        <w:rPr/>
        <w:t>710061</w:t>
      </w:r>
    </w:p>
    <w:p>
      <w:pPr>
        <w:pStyle w:val="null3"/>
      </w:pPr>
      <w:r>
        <w:rPr/>
        <w:t xml:space="preserve"> 联系人： </w:t>
      </w:r>
      <w:r>
        <w:rPr/>
        <w:t>张媛、穆星汝、王晴、贾晓梅、张艺新</w:t>
      </w:r>
    </w:p>
    <w:p>
      <w:pPr>
        <w:pStyle w:val="null3"/>
      </w:pPr>
      <w:r>
        <w:rPr/>
        <w:t xml:space="preserve"> 联系电话： </w:t>
      </w:r>
      <w:r>
        <w:rPr/>
        <w:t>02-89556015转619</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采购包1保证金金额：5,000.00元</w:t>
            </w:r>
          </w:p>
          <w:p>
            <w:pPr>
              <w:pStyle w:val="null3"/>
            </w:pPr>
            <w:r>
              <w:rPr/>
              <w:t>缴交渠道：电子保函,转账、支票、汇票等（需通过实体账户、户名及开户行信息）</w:t>
            </w:r>
          </w:p>
          <w:p>
            <w:pPr>
              <w:pStyle w:val="null3"/>
            </w:pPr>
            <w:r>
              <w:rPr/>
              <w:t>开户名称：华地众信工程项目管理有限公司</w:t>
            </w:r>
          </w:p>
          <w:p>
            <w:pPr>
              <w:pStyle w:val="null3"/>
            </w:pPr>
            <w:r>
              <w:rPr/>
              <w:t>开户银行：中国民生银行股份有限公司西安曲江文创支行</w:t>
            </w:r>
          </w:p>
          <w:p>
            <w:pPr>
              <w:pStyle w:val="null3"/>
            </w:pPr>
            <w:r>
              <w:rPr/>
              <w:t>银行账号：9902001793293497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代理服务费收费标准：(1)按国家计委颁发的《招标代理服务收费管理暂行办法》（计价格[2002]1980 号）和国家发展改革委员会办公厅颁发的《关于招标代理服务收费有关问题 的通知》（发改办价格[2003]857 号）的有关规定执行下浮 30%≤6300 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陕西中医药大学附属医院</w:t>
      </w:r>
      <w:r>
        <w:rPr/>
        <w:t>和</w:t>
      </w:r>
      <w:r>
        <w:rPr/>
        <w:t>华地众信工程项目管理有限公司</w:t>
      </w:r>
      <w:r>
        <w:rPr/>
        <w:t>享有。对招标文件中供应商参加本次政府采购活动应当具备的条件，招标项目技术、服务、商务及其他要求，评标细则及标准由</w:t>
      </w:r>
      <w:r>
        <w:rPr/>
        <w:t>陕西中医药大学附属医院</w:t>
      </w:r>
      <w:r>
        <w:rPr/>
        <w:t>负责解释。除上述招标文件内容，其他内容由</w:t>
      </w:r>
      <w:r>
        <w:rPr/>
        <w:t>华地众信工程项目管理有限公司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陕西中医药大学附属医院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华地众信工程项目管理有限公司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详见最终签订合同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华地众信工程项目管理有限公司</w:t>
      </w:r>
      <w:r>
        <w:rPr/>
        <w:t xml:space="preserve"> 负责答复；供应商对除采购需求外的采购文件的询问、质疑由</w:t>
      </w:r>
      <w:r>
        <w:rPr/>
        <w:t>华地众信工程项目管理有限公司</w:t>
      </w:r>
      <w:r>
        <w:rPr/>
        <w:t xml:space="preserve"> 负责答复；供应商对采购过程、采购结果的询问、质疑由 </w:t>
      </w:r>
      <w:r>
        <w:rPr/>
        <w:t>华地众信工程项目管理有限公司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联系人：穆星汝</w:t>
      </w:r>
    </w:p>
    <w:p>
      <w:pPr>
        <w:pStyle w:val="null3"/>
      </w:pPr>
      <w:r>
        <w:rPr/>
        <w:t>联系电话：029-89556015转619</w:t>
      </w:r>
    </w:p>
    <w:p>
      <w:pPr>
        <w:pStyle w:val="null3"/>
      </w:pPr>
      <w:r>
        <w:rPr/>
        <w:t>地址：陕西省西安市曲江新区汇新路以东曲江国际金融中心9层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前置审方系统采购项目（二次），具体招标内容详见技术要求。</w:t>
      </w:r>
    </w:p>
    <w:p>
      <w:pPr>
        <w:pStyle w:val="null3"/>
        <w:outlineLvl w:val="2"/>
      </w:pPr>
      <w:r>
        <w:rPr>
          <w:b/>
          <w:sz w:val="28"/>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前置审方系统</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标的名称：前置审方系统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55" w:after="120"/>
              <w:jc w:val="center"/>
              <w:outlineLvl w:val="1"/>
            </w:pPr>
            <w:r>
              <w:rPr>
                <w:rFonts w:ascii="宋体" w:hAnsi="宋体" w:cs="宋体" w:eastAsia="宋体"/>
                <w:b/>
                <w:sz w:val="32"/>
              </w:rPr>
              <w:t xml:space="preserve"> </w:t>
            </w:r>
            <w:r>
              <w:rPr>
                <w:rFonts w:ascii="宋体" w:hAnsi="宋体" w:cs="宋体" w:eastAsia="宋体"/>
                <w:b/>
                <w:sz w:val="32"/>
              </w:rPr>
              <w:t>前置审方系统采购项目参数</w:t>
            </w:r>
          </w:p>
          <w:p>
            <w:pPr>
              <w:pStyle w:val="null3"/>
            </w:pPr>
            <w:r>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80"/>
              <w:gridCol w:w="440"/>
              <w:gridCol w:w="1827"/>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序号</w:t>
                  </w:r>
                </w:p>
              </w:tc>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模块</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模块功能要求</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240"/>
                    <w:jc w:val="both"/>
                  </w:pP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药物信息查询（药品电子说明书）</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4"/>
                    </w:rPr>
                    <w:t>1.▲支持院内任意终端可使用浏览器查询国内外上市药品说明书。</w:t>
                  </w:r>
                </w:p>
                <w:p>
                  <w:pPr>
                    <w:pStyle w:val="null3"/>
                    <w:jc w:val="both"/>
                  </w:pPr>
                  <w:r>
                    <w:rPr>
                      <w:rFonts w:ascii="&quot;times new roman&quot;" w:hAnsi="&quot;times new roman&quot;" w:cs="&quot;times new roman&quot;" w:eastAsia="&quot;times new roman&quot;"/>
                      <w:sz w:val="24"/>
                    </w:rPr>
                    <w:t>2.支持在医生站/药师工作站中，点击药品名称，可快速查询说明书。</w:t>
                  </w:r>
                </w:p>
                <w:p>
                  <w:pPr>
                    <w:pStyle w:val="null3"/>
                    <w:jc w:val="both"/>
                  </w:pPr>
                  <w:r>
                    <w:rPr>
                      <w:rFonts w:ascii="&quot;times new roman&quot;" w:hAnsi="&quot;times new roman&quot;" w:cs="&quot;times new roman&quot;" w:eastAsia="&quot;times new roman&quot;"/>
                      <w:sz w:val="24"/>
                    </w:rPr>
                    <w:t>3.支持系统内的药品说明书与本院实际在用的品种和厂家做匹配。</w:t>
                  </w:r>
                </w:p>
                <w:p>
                  <w:pPr>
                    <w:pStyle w:val="null3"/>
                    <w:jc w:val="both"/>
                  </w:pPr>
                  <w:r>
                    <w:rPr>
                      <w:rFonts w:ascii="&quot;times new roman&quot;" w:hAnsi="&quot;times new roman&quot;" w:cs="&quot;times new roman&quot;" w:eastAsia="&quot;times new roman&quot;"/>
                      <w:sz w:val="24"/>
                    </w:rPr>
                    <w:t>4.提供开放给医院的可视化快速维护说明书内容工具，在说明书发生变动时，医院不经软件公司随时可及时修订说明书内容。</w:t>
                  </w:r>
                </w:p>
                <w:p>
                  <w:pPr>
                    <w:pStyle w:val="null3"/>
                    <w:jc w:val="both"/>
                  </w:pPr>
                  <w:r>
                    <w:rPr>
                      <w:rFonts w:ascii="&quot;times new roman&quot;" w:hAnsi="&quot;times new roman&quot;" w:cs="&quot;times new roman&quot;" w:eastAsia="&quot;times new roman&quot;"/>
                      <w:sz w:val="24"/>
                    </w:rPr>
                    <w:t>5.▲系统应提供中药材、中医方剂、中医诊疗方案、中医临床路径、中医标准术语等中医药信息内容。</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240"/>
                    <w:jc w:val="center"/>
                  </w:pP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智能知识库自维护系统</w:t>
                  </w:r>
                </w:p>
              </w:tc>
              <w:tc>
                <w:tcPr>
                  <w:tcW w:type="dxa" w:w="1827"/>
                </w:tcPr>
                <w:p>
                  <w:pPr>
                    <w:pStyle w:val="null3"/>
                    <w:jc w:val="left"/>
                  </w:pPr>
                  <w:r>
                    <w:rPr>
                      <w:rFonts w:ascii="&quot;times new roman&quot;" w:hAnsi="&quot;times new roman&quot;" w:cs="&quot;times new roman&quot;" w:eastAsia="&quot;times new roman&quot;"/>
                      <w:sz w:val="24"/>
                    </w:rPr>
                    <w:t>1.▲系统内置标准化审方知识库，并完全开放给用户使用，支持用户自定义用药规则。</w:t>
                  </w:r>
                </w:p>
                <w:p>
                  <w:pPr>
                    <w:pStyle w:val="null3"/>
                    <w:jc w:val="left"/>
                  </w:pPr>
                  <w:r>
                    <w:rPr>
                      <w:rFonts w:ascii="&quot;times new roman&quot;" w:hAnsi="&quot;times new roman&quot;" w:cs="&quot;times new roman&quot;" w:eastAsia="&quot;times new roman&quot;"/>
                      <w:sz w:val="24"/>
                    </w:rPr>
                    <w:t>2.提供对系统内置药品审核规则进行修改的工具，自定义工具可以在完全不依赖软件技术人员的情况下，也无需编程或制订公式，由医院药师自己操作即可实现规则新建和修改。</w:t>
                  </w:r>
                </w:p>
                <w:p>
                  <w:pPr>
                    <w:pStyle w:val="null3"/>
                    <w:jc w:val="left"/>
                  </w:pPr>
                  <w:r>
                    <w:rPr>
                      <w:rFonts w:ascii="&quot;times new roman&quot;" w:hAnsi="&quot;times new roman&quot;" w:cs="&quot;times new roman&quot;" w:eastAsia="&quot;times new roman&quot;"/>
                      <w:sz w:val="24"/>
                    </w:rPr>
                    <w:t>3.规则维护工具将内置的各类规则，设置成的相应的规则项目标签和完整的审核逻辑，药师只需填充（勾选）相应数值或选项即可完成规则的修改与创建，不需要手动建立审核项目和审核逻辑。</w:t>
                  </w:r>
                </w:p>
                <w:p>
                  <w:pPr>
                    <w:pStyle w:val="null3"/>
                    <w:jc w:val="left"/>
                  </w:pPr>
                  <w:r>
                    <w:rPr>
                      <w:rFonts w:ascii="&quot;times new roman&quot;" w:hAnsi="&quot;times new roman&quot;" w:cs="&quot;times new roman&quot;" w:eastAsia="&quot;times new roman&quot;"/>
                      <w:sz w:val="24"/>
                    </w:rPr>
                    <w:t>4.用户可根据医院药品名称、医院药品代码等查询维护药品信息并标注该药品属性。</w:t>
                  </w:r>
                </w:p>
                <w:p>
                  <w:pPr>
                    <w:pStyle w:val="null3"/>
                    <w:jc w:val="left"/>
                  </w:pPr>
                  <w:r>
                    <w:rPr>
                      <w:rFonts w:ascii="&quot;times new roman&quot;" w:hAnsi="&quot;times new roman&quot;" w:cs="&quot;times new roman&quot;" w:eastAsia="&quot;times new roman&quot;"/>
                      <w:sz w:val="24"/>
                    </w:rPr>
                    <w:t>5.具有批处理分类功能，可根据自定义的药品分类名称，查询、编辑和新建这个类别下的药品。</w:t>
                  </w:r>
                </w:p>
                <w:p>
                  <w:pPr>
                    <w:pStyle w:val="null3"/>
                    <w:jc w:val="left"/>
                  </w:pPr>
                  <w:r>
                    <w:rPr>
                      <w:rFonts w:ascii="&quot;times new roman&quot;" w:hAnsi="&quot;times new roman&quot;" w:cs="&quot;times new roman&quot;" w:eastAsia="&quot;times new roman&quot;"/>
                      <w:sz w:val="24"/>
                    </w:rPr>
                    <w:t>6.可以创建、查询、编辑全局或药品的用药目的规则，根据规则设置不同审核项的不同审核级别提示医生需要填写用药目的。</w:t>
                  </w:r>
                </w:p>
                <w:p>
                  <w:pPr>
                    <w:pStyle w:val="null3"/>
                    <w:jc w:val="left"/>
                  </w:pPr>
                  <w:r>
                    <w:rPr>
                      <w:rFonts w:ascii="&quot;times new roman&quot;" w:hAnsi="&quot;times new roman&quot;" w:cs="&quot;times new roman&quot;" w:eastAsia="&quot;times new roman&quot;"/>
                      <w:sz w:val="24"/>
                    </w:rPr>
                    <w:t>7.支持维护溶媒列表、药理分类、诊断映射、自定义药品分类、给药途径映射、给药途径字典、给药频次映射、科室映射、科室审核项目规则管理。</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240"/>
                    <w:jc w:val="center"/>
                  </w:pP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处方前置审核（医生端）</w:t>
                  </w:r>
                </w:p>
              </w:tc>
              <w:tc>
                <w:tcPr>
                  <w:tcW w:type="dxa" w:w="1827"/>
                </w:tcPr>
                <w:p>
                  <w:pPr>
                    <w:pStyle w:val="null3"/>
                  </w:pPr>
                  <w:r>
                    <w:rPr>
                      <w:rFonts w:ascii="&quot;times new roman&quot;" w:hAnsi="&quot;times new roman&quot;" w:cs="&quot;times new roman&quot;" w:eastAsia="&quot;times new roman&quot;"/>
                      <w:sz w:val="24"/>
                    </w:rPr>
                    <w:t>1.审核系统嵌入门（急）诊医生工作站，在临床医师提交门急诊处方后，系统在内完成用药合理性审核。</w:t>
                  </w:r>
                </w:p>
                <w:p>
                  <w:pPr>
                    <w:pStyle w:val="null3"/>
                    <w:jc w:val="both"/>
                  </w:pPr>
                  <w:r>
                    <w:rPr>
                      <w:rFonts w:ascii="&quot;times new roman&quot;" w:hAnsi="&quot;times new roman&quot;" w:cs="&quot;times new roman&quot;" w:eastAsia="&quot;times new roman&quot;"/>
                      <w:sz w:val="24"/>
                    </w:rPr>
                    <w:t>2.分级警示/拦截：系统能够自动审查医生开具的处方（医嘱）合理性，系统审核时发现问题会自动弹窗警示。系统支持按问题严重程度，分级设置警示级别。系统的警示弹窗功能由软件自身实现，会在弹窗时直接展示给医生，无须医生另行点击查看。</w:t>
                  </w:r>
                </w:p>
                <w:p>
                  <w:pPr>
                    <w:pStyle w:val="null3"/>
                    <w:jc w:val="both"/>
                  </w:pPr>
                  <w:r>
                    <w:rPr>
                      <w:rFonts w:ascii="&quot;times new roman&quot;" w:hAnsi="&quot;times new roman&quot;" w:cs="&quot;times new roman&quot;" w:eastAsia="&quot;times new roman&quot;"/>
                      <w:sz w:val="24"/>
                    </w:rPr>
                    <w:t>3.多处方联合审核：医生开具多张处方时，实时审核应将患者当日所有处方做联合审核，并提示给医生。</w:t>
                  </w:r>
                </w:p>
                <w:p>
                  <w:pPr>
                    <w:pStyle w:val="null3"/>
                    <w:jc w:val="both"/>
                  </w:pPr>
                  <w:r>
                    <w:rPr>
                      <w:rFonts w:ascii="&quot;times new roman&quot;" w:hAnsi="&quot;times new roman&quot;" w:cs="&quot;times new roman&quot;" w:eastAsia="&quot;times new roman&quot;"/>
                      <w:sz w:val="24"/>
                    </w:rPr>
                    <w:t>4.住院医生新下达的医嘱，能与在执行的的所有长期/临时医嘱做联合审核。</w:t>
                  </w:r>
                </w:p>
                <w:p>
                  <w:pPr>
                    <w:pStyle w:val="null3"/>
                    <w:jc w:val="both"/>
                  </w:pPr>
                  <w:r>
                    <w:rPr>
                      <w:rFonts w:ascii="&quot;times new roman&quot;" w:hAnsi="&quot;times new roman&quot;" w:cs="&quot;times new roman&quot;" w:eastAsia="&quot;times new roman&quot;"/>
                      <w:sz w:val="24"/>
                    </w:rPr>
                    <w:t>5.重复用药：审核是否同时开具两种相同药品或药理相似药品。</w:t>
                  </w:r>
                </w:p>
                <w:p>
                  <w:pPr>
                    <w:pStyle w:val="null3"/>
                    <w:jc w:val="both"/>
                  </w:pPr>
                  <w:r>
                    <w:rPr>
                      <w:rFonts w:ascii="&quot;times new roman&quot;" w:hAnsi="&quot;times new roman&quot;" w:cs="&quot;times new roman&quot;" w:eastAsia="&quot;times new roman&quot;"/>
                      <w:sz w:val="24"/>
                    </w:rPr>
                    <w:t>6.多联重复用药审核：系统可设置3种或者4种药理相似药品联用才算重复用药。</w:t>
                  </w:r>
                </w:p>
                <w:p>
                  <w:pPr>
                    <w:pStyle w:val="null3"/>
                    <w:jc w:val="both"/>
                  </w:pPr>
                  <w:r>
                    <w:rPr>
                      <w:rFonts w:ascii="&quot;times new roman&quot;" w:hAnsi="&quot;times new roman&quot;" w:cs="&quot;times new roman&quot;" w:eastAsia="&quot;times new roman&quot;"/>
                      <w:sz w:val="24"/>
                    </w:rPr>
                    <w:t>7.相互作用：审核处方中的药品是否存在相互作用。</w:t>
                  </w:r>
                </w:p>
                <w:p>
                  <w:pPr>
                    <w:pStyle w:val="null3"/>
                    <w:jc w:val="both"/>
                  </w:pPr>
                  <w:r>
                    <w:rPr>
                      <w:rFonts w:ascii="&quot;times new roman&quot;" w:hAnsi="&quot;times new roman&quot;" w:cs="&quot;times new roman&quot;" w:eastAsia="&quot;times new roman&quot;"/>
                      <w:sz w:val="24"/>
                    </w:rPr>
                    <w:t>8.适应症：审核处方中开具的药品是否具有相关诊断。</w:t>
                  </w:r>
                </w:p>
                <w:p>
                  <w:pPr>
                    <w:pStyle w:val="null3"/>
                    <w:jc w:val="both"/>
                  </w:pPr>
                  <w:r>
                    <w:rPr>
                      <w:rFonts w:ascii="&quot;times new roman&quot;" w:hAnsi="&quot;times new roman&quot;" w:cs="&quot;times new roman&quot;" w:eastAsia="&quot;times new roman&quot;"/>
                      <w:sz w:val="24"/>
                    </w:rPr>
                    <w:t>9.禁忌症/慎用症：审核诊断中是否含有该药品的禁忌症或慎用症。</w:t>
                  </w:r>
                </w:p>
                <w:p>
                  <w:pPr>
                    <w:pStyle w:val="null3"/>
                    <w:jc w:val="both"/>
                  </w:pPr>
                  <w:r>
                    <w:rPr>
                      <w:rFonts w:ascii="&quot;times new roman&quot;" w:hAnsi="&quot;times new roman&quot;" w:cs="&quot;times new roman&quot;" w:eastAsia="&quot;times new roman&quot;"/>
                      <w:sz w:val="24"/>
                    </w:rPr>
                    <w:t>10.用法用量：审核该药品的单次剂量、用药频次、日最大用量、疗程、给药途径、浓度是否有误。</w:t>
                  </w:r>
                </w:p>
                <w:p>
                  <w:pPr>
                    <w:pStyle w:val="null3"/>
                    <w:jc w:val="both"/>
                  </w:pPr>
                  <w:r>
                    <w:rPr>
                      <w:rFonts w:ascii="&quot;times new roman&quot;" w:hAnsi="&quot;times new roman&quot;" w:cs="&quot;times new roman&quot;" w:eastAsia="&quot;times new roman&quot;"/>
                      <w:sz w:val="24"/>
                    </w:rPr>
                    <w:t>11.配伍禁忌：审核是否存在配伍禁忌问题，配伍禁忌多药品审核</w:t>
                  </w:r>
                </w:p>
                <w:p>
                  <w:pPr>
                    <w:pStyle w:val="null3"/>
                    <w:jc w:val="both"/>
                  </w:pPr>
                  <w:r>
                    <w:rPr>
                      <w:rFonts w:ascii="&quot;times new roman&quot;" w:hAnsi="&quot;times new roman&quot;" w:cs="&quot;times new roman&quot;" w:eastAsia="&quot;times new roman&quot;"/>
                      <w:sz w:val="24"/>
                    </w:rPr>
                    <w:t>12.特殊人群：审核患者是否属特殊人群（老人、儿童、哺乳期、妊娠、肝肾损伤），是否适用该药品。</w:t>
                  </w:r>
                </w:p>
                <w:p>
                  <w:pPr>
                    <w:pStyle w:val="null3"/>
                    <w:jc w:val="both"/>
                  </w:pPr>
                  <w:r>
                    <w:rPr>
                      <w:rFonts w:ascii="&quot;times new roman&quot;" w:hAnsi="&quot;times new roman&quot;" w:cs="&quot;times new roman&quot;" w:eastAsia="&quot;times new roman&quot;"/>
                      <w:sz w:val="24"/>
                    </w:rPr>
                    <w:t>13.药物过敏：患者有药物过敏时给予警示。</w:t>
                  </w:r>
                </w:p>
                <w:p>
                  <w:pPr>
                    <w:pStyle w:val="null3"/>
                    <w:jc w:val="both"/>
                  </w:pPr>
                  <w:r>
                    <w:rPr>
                      <w:rFonts w:ascii="&quot;times new roman&quot;" w:hAnsi="&quot;times new roman&quot;" w:cs="&quot;times new roman&quot;" w:eastAsia="&quot;times new roman&quot;"/>
                      <w:sz w:val="24"/>
                    </w:rPr>
                    <w:t>14.用药监测提示：特殊药品使用时需要做相关检查、检验和注意事项的，给予医生提示。</w:t>
                  </w:r>
                </w:p>
                <w:p>
                  <w:pPr>
                    <w:pStyle w:val="null3"/>
                    <w:jc w:val="both"/>
                  </w:pPr>
                  <w:r>
                    <w:rPr>
                      <w:rFonts w:ascii="&quot;times new roman&quot;" w:hAnsi="&quot;times new roman&quot;" w:cs="&quot;times new roman&quot;" w:eastAsia="&quot;times new roman&quot;"/>
                      <w:sz w:val="24"/>
                    </w:rPr>
                    <w:t>15.用药权限管理：抗菌药物处方权限管理，当医生无相应权限时给予警示或阻断其继续开具处方。</w:t>
                  </w:r>
                </w:p>
                <w:p>
                  <w:pPr>
                    <w:pStyle w:val="null3"/>
                    <w:jc w:val="both"/>
                  </w:pPr>
                  <w:r>
                    <w:rPr>
                      <w:rFonts w:ascii="&quot;times new roman&quot;" w:hAnsi="&quot;times new roman&quot;" w:cs="&quot;times new roman&quot;" w:eastAsia="&quot;times new roman&quot;"/>
                      <w:sz w:val="24"/>
                    </w:rPr>
                    <w:t>16.围术期审核：审查在围手术期内使用抗菌药物的品种是否合理；</w:t>
                  </w:r>
                </w:p>
                <w:p>
                  <w:pPr>
                    <w:pStyle w:val="null3"/>
                    <w:jc w:val="both"/>
                  </w:pPr>
                  <w:r>
                    <w:rPr>
                      <w:rFonts w:ascii="&quot;times new roman&quot;" w:hAnsi="&quot;times new roman&quot;" w:cs="&quot;times new roman&quot;" w:eastAsia="&quot;times new roman&quot;"/>
                      <w:sz w:val="24"/>
                    </w:rPr>
                    <w:t>17.▲中药饮片审核：针对中药饮片处方，能够进行用法用量、十八反十九畏等审核。</w:t>
                  </w:r>
                </w:p>
                <w:p>
                  <w:pPr>
                    <w:pStyle w:val="null3"/>
                    <w:jc w:val="both"/>
                  </w:pPr>
                  <w:r>
                    <w:rPr>
                      <w:rFonts w:ascii="&quot;times new roman&quot;" w:hAnsi="&quot;times new roman&quot;" w:cs="&quot;times new roman&quot;" w:eastAsia="&quot;times new roman&quot;"/>
                      <w:sz w:val="24"/>
                    </w:rPr>
                    <w:t>18.毒麻药品处方权管理：对于毒麻药品处方进行审核，对于违规使用的处方进行警示；</w:t>
                  </w:r>
                </w:p>
                <w:p>
                  <w:pPr>
                    <w:pStyle w:val="null3"/>
                    <w:jc w:val="both"/>
                  </w:pPr>
                  <w:r>
                    <w:rPr>
                      <w:rFonts w:ascii="&quot;times new roman&quot;" w:hAnsi="&quot;times new roman&quot;" w:cs="&quot;times new roman&quot;" w:eastAsia="&quot;times new roman&quot;"/>
                      <w:sz w:val="24"/>
                    </w:rPr>
                    <w:t>19.医院相关管理：医院可以根据医院特殊管理情况，制定某种药物的使用规定，医生开具处方时给予警示或拦截；</w:t>
                  </w:r>
                </w:p>
                <w:p>
                  <w:pPr>
                    <w:pStyle w:val="null3"/>
                    <w:jc w:val="both"/>
                  </w:pPr>
                  <w:r>
                    <w:rPr>
                      <w:rFonts w:ascii="&quot;times new roman&quot;" w:hAnsi="&quot;times new roman&quot;" w:cs="&quot;times new roman&quot;" w:eastAsia="&quot;times new roman&quot;"/>
                      <w:sz w:val="24"/>
                    </w:rPr>
                    <w:t>20.用药间隔审核：审核处方中药品是否满足用药时间间隔的要求；</w:t>
                  </w:r>
                </w:p>
                <w:p>
                  <w:pPr>
                    <w:pStyle w:val="null3"/>
                    <w:jc w:val="both"/>
                  </w:pPr>
                  <w:r>
                    <w:rPr>
                      <w:rFonts w:ascii="&quot;times new roman&quot;" w:hAnsi="&quot;times new roman&quot;" w:cs="&quot;times new roman&quot;" w:eastAsia="&quot;times new roman&quot;"/>
                      <w:sz w:val="24"/>
                    </w:rPr>
                    <w:t>21.成分累加审核：审查药品相同成分累加后的使用量是否超出规定</w:t>
                  </w:r>
                </w:p>
                <w:p>
                  <w:pPr>
                    <w:pStyle w:val="null3"/>
                    <w:jc w:val="both"/>
                  </w:pPr>
                  <w:r>
                    <w:rPr>
                      <w:rFonts w:ascii="&quot;times new roman&quot;" w:hAnsi="&quot;times new roman&quot;" w:cs="&quot;times new roman&quot;" w:eastAsia="&quot;times new roman&quot;"/>
                      <w:sz w:val="24"/>
                    </w:rPr>
                    <w:t>22.溶媒适宜性审核：审核处方中溶媒的适宜性；</w:t>
                  </w:r>
                </w:p>
                <w:p>
                  <w:pPr>
                    <w:pStyle w:val="null3"/>
                    <w:jc w:val="both"/>
                  </w:pPr>
                  <w:r>
                    <w:rPr>
                      <w:rFonts w:ascii="&quot;times new roman&quot;" w:hAnsi="&quot;times new roman&quot;" w:cs="&quot;times new roman&quot;" w:eastAsia="&quot;times new roman&quot;"/>
                      <w:sz w:val="24"/>
                    </w:rPr>
                    <w:t>23.药品浓度审核：审查处方中注射药品配伍后的药品浓度是否在规定浓度范围内；</w:t>
                  </w:r>
                </w:p>
                <w:p>
                  <w:pPr>
                    <w:pStyle w:val="null3"/>
                    <w:jc w:val="both"/>
                  </w:pPr>
                  <w:r>
                    <w:rPr>
                      <w:rFonts w:ascii="&quot;times new roman&quot;" w:hAnsi="&quot;times new roman&quot;" w:cs="&quot;times new roman&quot;" w:eastAsia="&quot;times new roman&quot;"/>
                      <w:sz w:val="24"/>
                    </w:rPr>
                    <w:t>24.余量天数审核：可以判断上一次开具的药品是否可以再开具。例，自费患者只能提前4天来开具相同药品。超过4天，来开具直接提示尚未达到可开具天数。</w:t>
                  </w:r>
                </w:p>
                <w:p>
                  <w:pPr>
                    <w:pStyle w:val="null3"/>
                    <w:jc w:val="both"/>
                  </w:pPr>
                  <w:r>
                    <w:rPr>
                      <w:rFonts w:ascii="&quot;times new roman&quot;" w:hAnsi="&quot;times new roman&quot;" w:cs="&quot;times new roman&quot;" w:eastAsia="&quot;times new roman&quot;"/>
                      <w:sz w:val="24"/>
                    </w:rPr>
                    <w:t>25.▲用药提醒：药师不在线或者药师审方超时，系统如审核出医生处方存在不合理，则自动提示医生填写用药，医生填写后处方自动通过。</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240"/>
                    <w:jc w:val="center"/>
                  </w:pP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处方前置审核（药师站）</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4"/>
                    </w:rPr>
                    <w:t>1.前置审方审核流程符合要求的，门急诊实现患者在费用结算前就完成处方的系统与人工多重审核，住院实现患者药品转至护士站或医嘱正式执行前就完成医嘱的系统与人工多重审核。审方干预功能应由系统自身实现。</w:t>
                  </w:r>
                </w:p>
                <w:p>
                  <w:pPr>
                    <w:pStyle w:val="null3"/>
                    <w:jc w:val="both"/>
                  </w:pPr>
                  <w:r>
                    <w:rPr>
                      <w:rFonts w:ascii="&quot;times new roman&quot;" w:hAnsi="&quot;times new roman&quot;" w:cs="&quot;times new roman&quot;" w:eastAsia="&quot;times new roman&quot;"/>
                      <w:sz w:val="24"/>
                    </w:rPr>
                    <w:t>2.出现用药不合理的情况，系统直接以警示框的形式提示给医生，系统可以设置不同提示等级以达到不同的干预效果。</w:t>
                  </w:r>
                </w:p>
                <w:p>
                  <w:pPr>
                    <w:pStyle w:val="null3"/>
                    <w:jc w:val="both"/>
                  </w:pPr>
                  <w:r>
                    <w:rPr>
                      <w:rFonts w:ascii="&quot;times new roman&quot;" w:hAnsi="&quot;times new roman&quot;" w:cs="&quot;times new roman&quot;" w:eastAsia="&quot;times new roman&quot;"/>
                      <w:sz w:val="24"/>
                    </w:rPr>
                    <w:t>3.对于系统审核未通过而医生继续提交的问题处方，系统可以自动同步到药师站，审方药师可查看到问题处方及相关信息，能进行在线沟通和干预。</w:t>
                  </w:r>
                </w:p>
                <w:p>
                  <w:pPr>
                    <w:pStyle w:val="null3"/>
                    <w:jc w:val="both"/>
                  </w:pPr>
                  <w:r>
                    <w:rPr>
                      <w:rFonts w:ascii="&quot;times new roman&quot;" w:hAnsi="&quot;times new roman&quot;" w:cs="&quot;times new roman&quot;" w:eastAsia="&quot;times new roman&quot;"/>
                      <w:sz w:val="24"/>
                    </w:rPr>
                    <w:t>4.医生可以发起双签字发药，药师同意后该问题处方可以得到继续执行。</w:t>
                  </w:r>
                </w:p>
                <w:p>
                  <w:pPr>
                    <w:pStyle w:val="null3"/>
                    <w:jc w:val="both"/>
                  </w:pPr>
                  <w:r>
                    <w:rPr>
                      <w:rFonts w:ascii="&quot;times new roman&quot;" w:hAnsi="&quot;times new roman&quot;" w:cs="&quot;times new roman&quot;" w:eastAsia="&quot;times new roman&quot;"/>
                      <w:sz w:val="24"/>
                    </w:rPr>
                    <w:t>5.药师审方时间可以预设定，如果药师超时未审核，处方会自动通过。</w:t>
                  </w:r>
                </w:p>
                <w:p>
                  <w:pPr>
                    <w:pStyle w:val="null3"/>
                    <w:jc w:val="both"/>
                  </w:pPr>
                  <w:r>
                    <w:rPr>
                      <w:rFonts w:ascii="&quot;times new roman&quot;" w:hAnsi="&quot;times new roman&quot;" w:cs="&quot;times new roman&quot;" w:eastAsia="&quot;times new roman&quot;"/>
                      <w:sz w:val="24"/>
                    </w:rPr>
                    <w:t>6.具有药师和医生在线沟通平台，支持即时传递消息以及双向沟通，无须额外系统支持，药师可以直接通过沟通平台对问题处方进行干预。沟通平台支持常用语编辑。</w:t>
                  </w:r>
                </w:p>
                <w:p>
                  <w:pPr>
                    <w:pStyle w:val="null3"/>
                    <w:jc w:val="both"/>
                  </w:pPr>
                  <w:r>
                    <w:rPr>
                      <w:rFonts w:ascii="&quot;times new roman&quot;" w:hAnsi="&quot;times new roman&quot;" w:cs="&quot;times new roman&quot;" w:eastAsia="&quot;times new roman&quot;"/>
                      <w:sz w:val="24"/>
                    </w:rPr>
                    <w:t>7.审核药师可以配置需要干预的科室及需干预问题级别，系统自动分配待干预问题处方。</w:t>
                  </w:r>
                </w:p>
                <w:p>
                  <w:pPr>
                    <w:pStyle w:val="null3"/>
                    <w:jc w:val="both"/>
                  </w:pPr>
                  <w:r>
                    <w:rPr>
                      <w:rFonts w:ascii="&quot;times new roman&quot;" w:hAnsi="&quot;times new roman&quot;" w:cs="&quot;times new roman&quot;" w:eastAsia="&quot;times new roman&quot;"/>
                      <w:sz w:val="24"/>
                    </w:rPr>
                    <w:t>8.可以实现审方药师工作量统计，如干预处方数、干预占比、干预成功占比数据等。</w:t>
                  </w:r>
                </w:p>
                <w:p>
                  <w:pPr>
                    <w:pStyle w:val="null3"/>
                    <w:jc w:val="both"/>
                  </w:pPr>
                  <w:r>
                    <w:rPr>
                      <w:rFonts w:ascii="&quot;times new roman&quot;" w:hAnsi="&quot;times new roman&quot;" w:cs="&quot;times new roman&quot;" w:eastAsia="&quot;times new roman&quot;"/>
                      <w:sz w:val="24"/>
                    </w:rPr>
                    <w:t>9.▲系统支持根据医生提交至药师处的中药处方只能检索近似经典方剂供药师参考。</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240"/>
                    <w:jc w:val="center"/>
                  </w:pP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前置审核实时监测</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24"/>
                    </w:rPr>
                    <w:t>1.显示当日刚性拦截处方数、提交有问题处方数、当日处方数、药师干预成功数、干预总数、审核总数。</w:t>
                  </w:r>
                </w:p>
                <w:p>
                  <w:pPr>
                    <w:pStyle w:val="null3"/>
                  </w:pPr>
                  <w:r>
                    <w:rPr>
                      <w:rFonts w:ascii="&quot;times new roman&quot;" w:hAnsi="&quot;times new roman&quot;" w:cs="&quot;times new roman&quot;" w:eastAsia="&quot;times new roman&quot;"/>
                      <w:sz w:val="24"/>
                    </w:rPr>
                    <w:t>2.可统计当日预审处方张数、系统预审问题处方张数、系统提交问题处方张数、医生提交前返回修改处方张数、刚性拦截处方张数、药师干预处方张数、药师干预后医生修改处方张数、药师干预成功率。</w:t>
                  </w:r>
                </w:p>
                <w:p>
                  <w:pPr>
                    <w:pStyle w:val="null3"/>
                    <w:jc w:val="both"/>
                  </w:pPr>
                  <w:r>
                    <w:rPr>
                      <w:rFonts w:ascii="&quot;times new roman&quot;" w:hAnsi="&quot;times new roman&quot;" w:cs="&quot;times new roman&quot;" w:eastAsia="&quot;times new roman&quot;"/>
                      <w:sz w:val="24"/>
                    </w:rPr>
                    <w:t>3.可根据日期、问题类型、就诊科室、医生工号、医生姓名、药品名称、自定义类别筛选</w:t>
                  </w:r>
                  <w:r>
                    <w:rPr>
                      <w:rFonts w:ascii="&quot;times new roman&quot;" w:hAnsi="&quot;times new roman&quot;" w:cs="&quot;times new roman&quot;" w:eastAsia="&quot;times new roman&quot;"/>
                      <w:sz w:val="24"/>
                    </w:rPr>
                    <w:t>条件统计处方问题。</w:t>
                  </w:r>
                </w:p>
                <w:p>
                  <w:pPr>
                    <w:pStyle w:val="null3"/>
                    <w:jc w:val="both"/>
                  </w:pPr>
                  <w:r>
                    <w:rPr>
                      <w:rFonts w:ascii="&quot;times new roman&quot;" w:hAnsi="&quot;times new roman&quot;" w:cs="&quot;times new roman&quot;" w:eastAsia="&quot;times new roman&quot;"/>
                      <w:sz w:val="24"/>
                    </w:rPr>
                    <w:t>4.可根据日期、问题类型、就诊科室、医生工号、医生姓名、药品名称、自定义类别筛选条件统计医嘱问题。</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240"/>
                    <w:jc w:val="center"/>
                  </w:pP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药品权限控制</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4"/>
                    </w:rPr>
                    <w:t>可以设定科室、医生、类患者针对某个特定药品的使用权限、警示级别及警示信息。</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240"/>
                    <w:jc w:val="center"/>
                  </w:pP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大屏展示功能</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4"/>
                    </w:rPr>
                    <w:t>系统应支持将重要审方指标通过图表在用户大屏上展示。</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240"/>
                    <w:jc w:val="center"/>
                  </w:pP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▲互联网处方用药审查功能</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4"/>
                    </w:rPr>
                    <w:t>能对互联网处方进行用法用量、重复用药、多联重复用药、药物相互作用、禁忌症、适应症、不良反应、特殊人群用药、性别用药、药物过敏、围术期用药、规范性用药、医保用药、越权用药等合理用药相关审查，并提示医生。</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240"/>
                    <w:jc w:val="center"/>
                  </w:pP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互联网药师审方功能</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4"/>
                    </w:rPr>
                    <w:t>药师可对来自互联网医院的处方进行审查干预，并可在审方时与医生进行在线交互。未经药师审核通过的处方，不可进入缴费环节。</w:t>
                  </w:r>
                </w:p>
              </w:tc>
            </w:tr>
          </w:tbl>
          <w:p>
            <w:pPr>
              <w:pStyle w:val="null3"/>
              <w:jc w:val="both"/>
            </w:pP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正式开工后 150 天内安装调试完毕，达到验收标准。</w:t>
      </w:r>
    </w:p>
    <w:p>
      <w:pPr>
        <w:pStyle w:val="null3"/>
        <w:outlineLvl w:val="3"/>
      </w:pPr>
      <w:r>
        <w:rPr>
          <w:b/>
          <w:sz w:val="24"/>
        </w:rPr>
        <w:t>3.4.2交货地点</w:t>
      </w:r>
    </w:p>
    <w:p>
      <w:pPr>
        <w:pStyle w:val="null3"/>
      </w:pPr>
      <w:r>
        <w:rPr/>
        <w:t>采购包1：</w:t>
      </w:r>
    </w:p>
    <w:p>
      <w:pPr>
        <w:pStyle w:val="null3"/>
      </w:pPr>
      <w:r>
        <w:rPr/>
        <w:t>陕西中医药大学附属医院</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项目验收合格一个月后，甲方在十五个日历日内向乙方支付合同总金额的60%</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验收合格系统运行三个月后，甲方在十五个日历日内向乙方支付合同总金额的30%</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项目服务结束后，甲方在十五个日历日内项乙方支付合同总金额的10%</w:t>
      </w:r>
      <w:r>
        <w:rPr/>
        <w:t xml:space="preserve"> ，达到付款条件起 </w:t>
      </w:r>
      <w:r>
        <w:rPr/>
        <w:t>15</w:t>
      </w:r>
      <w:r>
        <w:rPr/>
        <w:t xml:space="preserve"> 日内，支付合同总金额的 </w:t>
      </w:r>
      <w:r>
        <w:rPr/>
        <w:t>10.00</w:t>
      </w:r>
      <w:r>
        <w:rPr/>
        <w:t>%。</w:t>
      </w:r>
    </w:p>
    <w:p>
      <w:pPr>
        <w:pStyle w:val="null3"/>
        <w:outlineLvl w:val="3"/>
      </w:pPr>
      <w:r>
        <w:rPr>
          <w:b/>
          <w:sz w:val="24"/>
        </w:rPr>
        <w:t>3.4.5验收标准和方法</w:t>
      </w:r>
    </w:p>
    <w:p>
      <w:pPr>
        <w:pStyle w:val="null3"/>
      </w:pPr>
      <w:r>
        <w:rPr/>
        <w:t>采购包1：</w:t>
      </w:r>
    </w:p>
    <w:p>
      <w:pPr>
        <w:pStyle w:val="null3"/>
      </w:pPr>
      <w:r>
        <w:rPr/>
        <w:t>1、该项目所有产品经过调试，依据招标文件、投标文件、合同并能够满足甲方要求后，甲方须在乙方提出书面验收申请之日起 7 个工作日内（节假日顺延）组织验收工作。验收由甲方指定单位进行验收，验收合格后出具书面验收合格证明，作为对产品的最终认可。 2、如项目未通过验收的，乙方应排除故障，进行整改，承担相关费用。如甲方未在约定时间内完成验收工作、未提出书面异议，则视为项目验收合格。若甲方认为乙方交付的产品存在不符合合同约定情形的，甲方应在收到乙方验收申请后20日内提出书面异议，双方友好协商解决。乙方应在双方确认的期限内用符合本合同约定的产品更换或整改产品，乙方承担更换或整改产品产生的所有费用，乙方更换或整改产品后再次申请验收，直至验收通过。 3、本项目实施过程中，项目的内容、要求、验收、使用标准以采购文件要求为依据，若甲方中途变更方案或产品以及由此引起的相应费用的变化，双方另行协商达成一致意见后以书面形式确定。</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质保期一年，保修、质保期内的维护内容包括：软件的版本升级，系统补丁免费升级。1小时内响应，2小时到场、4小时内排除故障。服务的方式：电话、邮件、现场，按照甲方要求的方式完成。</w:t>
      </w:r>
    </w:p>
    <w:p>
      <w:pPr>
        <w:pStyle w:val="null3"/>
        <w:outlineLvl w:val="3"/>
      </w:pPr>
      <w:r>
        <w:rPr>
          <w:b/>
          <w:sz w:val="24"/>
        </w:rPr>
        <w:t>3.4.8违约责任与解决争议的方法</w:t>
      </w:r>
    </w:p>
    <w:p>
      <w:pPr>
        <w:pStyle w:val="null3"/>
      </w:pPr>
      <w:r>
        <w:rPr/>
        <w:t>采购包1：</w:t>
      </w:r>
    </w:p>
    <w:p>
      <w:pPr>
        <w:pStyle w:val="null3"/>
      </w:pPr>
      <w:r>
        <w:rPr/>
        <w:t>按照采购文件及合同约定</w:t>
      </w:r>
    </w:p>
    <w:p>
      <w:pPr>
        <w:pStyle w:val="null3"/>
        <w:jc w:val="left"/>
        <w:outlineLvl w:val="2"/>
      </w:pPr>
      <w:r>
        <w:rPr>
          <w:b/>
          <w:sz w:val="28"/>
        </w:rPr>
        <w:t>3.5其他要求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（4）一般资格审查证明材料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投标保证金</w:t>
            </w:r>
          </w:p>
        </w:tc>
        <w:tc>
          <w:tcPr>
            <w:tcW w:type="dxa" w:w="3322"/>
          </w:tcPr>
          <w:p>
            <w:pPr>
              <w:pStyle w:val="null3"/>
            </w:pPr>
            <w:r>
              <w:rPr/>
              <w:t>按招标文件要求缴纳投标保证金</w:t>
            </w:r>
          </w:p>
        </w:tc>
        <w:tc>
          <w:tcPr>
            <w:tcW w:type="dxa" w:w="1661"/>
          </w:tcPr>
          <w:p>
            <w:pPr>
              <w:pStyle w:val="null3"/>
            </w:pPr>
            <w:r>
              <w:rPr/>
              <w:t>（4）一般资格审查证明材料</w:t>
            </w:r>
          </w:p>
        </w:tc>
      </w:tr>
      <w:tr>
        <w:tc>
          <w:tcPr>
            <w:tcW w:type="dxa" w:w="831"/>
          </w:tcPr>
          <w:p>
            <w:pPr>
              <w:pStyle w:val="null3"/>
            </w:pPr>
            <w:r>
              <w:rPr/>
              <w:t>2</w:t>
            </w:r>
          </w:p>
        </w:tc>
        <w:tc>
          <w:tcPr>
            <w:tcW w:type="dxa" w:w="2492"/>
          </w:tcPr>
          <w:p>
            <w:pPr>
              <w:pStyle w:val="null3"/>
            </w:pPr>
            <w:r>
              <w:rPr/>
              <w:t>有效的主体资格证明</w:t>
            </w:r>
          </w:p>
        </w:tc>
        <w:tc>
          <w:tcPr>
            <w:tcW w:type="dxa" w:w="3322"/>
          </w:tcPr>
          <w:p>
            <w:pPr>
              <w:pStyle w:val="null3"/>
            </w:pPr>
            <w:r>
              <w:rPr/>
              <w:t>提供合法有效的统一社会信用代码的营业执照</w:t>
            </w:r>
          </w:p>
        </w:tc>
        <w:tc>
          <w:tcPr>
            <w:tcW w:type="dxa" w:w="1661"/>
          </w:tcPr>
          <w:p>
            <w:pPr>
              <w:pStyle w:val="null3"/>
            </w:pPr>
            <w:r>
              <w:rPr/>
              <w:t>（6）特殊资格审查证材料（法人授权委托书） 投标人应提交的相关资格证明材料</w:t>
            </w:r>
          </w:p>
        </w:tc>
      </w:tr>
      <w:tr>
        <w:tc>
          <w:tcPr>
            <w:tcW w:type="dxa" w:w="831"/>
          </w:tcPr>
          <w:p>
            <w:pPr>
              <w:pStyle w:val="null3"/>
            </w:pPr>
            <w:r>
              <w:rPr/>
              <w:t>3</w:t>
            </w:r>
          </w:p>
        </w:tc>
        <w:tc>
          <w:tcPr>
            <w:tcW w:type="dxa" w:w="2492"/>
          </w:tcPr>
          <w:p>
            <w:pPr>
              <w:pStyle w:val="null3"/>
            </w:pPr>
            <w:r>
              <w:rPr/>
              <w:t>法定代表人委托授权书</w:t>
            </w:r>
          </w:p>
        </w:tc>
        <w:tc>
          <w:tcPr>
            <w:tcW w:type="dxa" w:w="3322"/>
          </w:tcPr>
          <w:p>
            <w:pPr>
              <w:pStyle w:val="null3"/>
            </w:pPr>
            <w:r>
              <w:rPr/>
              <w:t>法定代表人参加投标的，须提供法定代表人（主要负责人）身份证明；法定代表人授权他人 参加投标的，须提供法定代表人（主要负责人）身份证明，法定代表人委托授权书及被授权代表的身份证复印件。</w:t>
            </w:r>
          </w:p>
        </w:tc>
        <w:tc>
          <w:tcPr>
            <w:tcW w:type="dxa" w:w="1661"/>
          </w:tcPr>
          <w:p>
            <w:pPr>
              <w:pStyle w:val="null3"/>
            </w:pPr>
            <w:r>
              <w:rPr/>
              <w:t>（6）特殊资格审查证材料（法人授权委托书）</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提供2023年任意一个月的依法缴纳税收的完税证明，完税证明应有税务机关或代收机关的公章或业务专用章。依法免税或无须缴纳税收的供应商，应提供相应证明文件加盖公章。</w:t>
            </w:r>
          </w:p>
        </w:tc>
        <w:tc>
          <w:tcPr>
            <w:tcW w:type="dxa" w:w="1661"/>
          </w:tcPr>
          <w:p>
            <w:pPr>
              <w:pStyle w:val="null3"/>
            </w:pPr>
            <w:r>
              <w:rPr/>
              <w:t>（4）一般资格审查证明材料 投标人应提交的相关资格证明材料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至少连续3个月的社会保障资金缴存单据或社保机构开具的社会保险参保缴费情况证明，依法不需要缴纳社会保障资金的单位应提供相关证明材料；单据或证明上应有社保机构或代收机构的公章或业务专用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具有履行合同所必需的设备和专业 技术能力的承诺</w:t>
            </w:r>
          </w:p>
        </w:tc>
        <w:tc>
          <w:tcPr>
            <w:tcW w:type="dxa" w:w="3322"/>
          </w:tcPr>
          <w:p>
            <w:pPr>
              <w:pStyle w:val="null3"/>
            </w:pPr>
            <w:r>
              <w:rPr/>
              <w:t>提供具有履行合同所必需的设备和专业技术能力的承诺函。</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参加本次政府采购活动前 3 年内在经营活动中 没有重大违法记录，供应商不得列入失信被执 行人/重大税收违法失信主体/严重失信主体名单/ 政府采购严重违法失信行为记录名单的，及其 他违法采购活动，其他不符合《中华人民共和 国政府采购法》有关规定条件的。</w:t>
            </w:r>
          </w:p>
        </w:tc>
        <w:tc>
          <w:tcPr>
            <w:tcW w:type="dxa" w:w="1661"/>
          </w:tcPr>
          <w:p>
            <w:pPr>
              <w:pStyle w:val="null3"/>
            </w:pPr>
            <w:r>
              <w:rPr/>
              <w:t>（4）一般资格审查证明材料 投标人应提交的相关资格证明材料</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提供非联合体投标声明。</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本项目非专门面向中小企业采购</w:t>
            </w:r>
          </w:p>
        </w:tc>
        <w:tc>
          <w:tcPr>
            <w:tcW w:type="dxa" w:w="3322"/>
          </w:tcPr>
          <w:p>
            <w:pPr>
              <w:pStyle w:val="null3"/>
            </w:pPr>
            <w:r>
              <w:rPr/>
              <w:t>本项目非专门面向中小企业采购。</w:t>
            </w:r>
          </w:p>
        </w:tc>
        <w:tc>
          <w:tcPr>
            <w:tcW w:type="dxa" w:w="1661"/>
          </w:tcPr>
          <w:p>
            <w:pPr>
              <w:pStyle w:val="null3"/>
            </w:pPr>
            <w:r>
              <w:rPr/>
              <w:t>中小企业声明函</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本项目非专门面向中小企业采购</w:t>
            </w:r>
          </w:p>
        </w:tc>
        <w:tc>
          <w:tcPr>
            <w:tcW w:type="dxa" w:w="3322"/>
          </w:tcPr>
          <w:p>
            <w:pPr>
              <w:pStyle w:val="null3"/>
            </w:pPr>
            <w:r>
              <w:rPr/>
              <w:t>本项目非专门面向中小企业采购</w:t>
            </w:r>
          </w:p>
        </w:tc>
        <w:tc>
          <w:tcPr>
            <w:tcW w:type="dxa" w:w="1661"/>
          </w:tcPr>
          <w:p>
            <w:pPr>
              <w:pStyle w:val="null3"/>
            </w:pPr>
            <w:r>
              <w:rPr/>
              <w:t>中小企业声明函</w:t>
            </w:r>
          </w:p>
        </w:tc>
      </w:tr>
      <w:tr>
        <w:tc>
          <w:tcPr>
            <w:tcW w:type="dxa" w:w="831"/>
          </w:tcPr>
          <w:p>
            <w:pPr>
              <w:pStyle w:val="null3"/>
            </w:pPr>
            <w:r>
              <w:rPr/>
              <w:t>2</w:t>
            </w:r>
          </w:p>
        </w:tc>
        <w:tc>
          <w:tcPr>
            <w:tcW w:type="dxa" w:w="2492"/>
          </w:tcPr>
          <w:p>
            <w:pPr>
              <w:pStyle w:val="null3"/>
            </w:pPr>
            <w:r>
              <w:rPr/>
              <w:t>残疾人福利性单位声明函</w:t>
            </w:r>
          </w:p>
        </w:tc>
        <w:tc>
          <w:tcPr>
            <w:tcW w:type="dxa" w:w="3322"/>
          </w:tcPr>
          <w:p>
            <w:pPr>
              <w:pStyle w:val="null3"/>
            </w:pPr>
            <w:r>
              <w:rPr/>
              <w:t>当且仅当供应商为残疾人福利性单位的，应按下文给定格式填写声明函。未提供或未按给定格式提供声明函的，将不能享受招标文件规定的价格优惠政策，但不影响投 标文件的有效性。供应商在填报前请认真阅读《财政部、民政 部、中国残 疾人联合会关于促进残疾人就业政府采购政策的通知》（财 库〔2017〕141 号）相关规定。</w:t>
            </w:r>
          </w:p>
        </w:tc>
        <w:tc>
          <w:tcPr>
            <w:tcW w:type="dxa" w:w="1661"/>
          </w:tcPr>
          <w:p>
            <w:pPr>
              <w:pStyle w:val="null3"/>
            </w:pPr>
            <w:r>
              <w:rPr/>
              <w:t>残疾人福利性单位声明函</w:t>
            </w:r>
          </w:p>
        </w:tc>
      </w:tr>
      <w:tr>
        <w:tc>
          <w:tcPr>
            <w:tcW w:type="dxa" w:w="831"/>
          </w:tcPr>
          <w:p>
            <w:pPr>
              <w:pStyle w:val="null3"/>
            </w:pPr>
            <w:r>
              <w:rPr/>
              <w:t>3</w:t>
            </w:r>
          </w:p>
        </w:tc>
        <w:tc>
          <w:tcPr>
            <w:tcW w:type="dxa" w:w="2492"/>
          </w:tcPr>
          <w:p>
            <w:pPr>
              <w:pStyle w:val="null3"/>
            </w:pPr>
            <w:r>
              <w:rPr/>
              <w:t>监狱企业证明函</w:t>
            </w:r>
          </w:p>
        </w:tc>
        <w:tc>
          <w:tcPr>
            <w:tcW w:type="dxa" w:w="3322"/>
          </w:tcPr>
          <w:p>
            <w:pPr>
              <w:pStyle w:val="null3"/>
            </w:pPr>
            <w:r>
              <w:rPr/>
              <w:t>当且仅当供应商为监狱企业的，应当提供由省级以上监狱管理局、戒毒管理局（含新疆生产建设兵团）出具的属于监狱企业的证明函（格式不限）。未提供证明函的，将不能享受招标文件规定的价格优惠政策，但不影响投标文件的有效性。 根据财政部、司法部《关于政府采 购支持监狱企业发展有关问题的通知》（财库〔2014〕68 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 所，以及新疆生产建设兵团监狱管理局、戒毒管理局的企业。 监狱企业参加政府采购活动时，应当提供由省级以上监 狱管理局、戒毒管理局（含新疆生产建设兵团）出具的属于监狱企业的证明文件。</w:t>
            </w:r>
          </w:p>
        </w:tc>
        <w:tc>
          <w:tcPr>
            <w:tcW w:type="dxa" w:w="1661"/>
          </w:tcPr>
          <w:p>
            <w:pPr>
              <w:pStyle w:val="null3"/>
            </w:pPr>
            <w:r>
              <w:rPr/>
              <w:t>监狱企业的证明文件</w:t>
            </w:r>
          </w:p>
        </w:tc>
      </w:tr>
      <w:tr>
        <w:tc>
          <w:tcPr>
            <w:tcW w:type="dxa" w:w="831"/>
          </w:tcPr>
          <w:p>
            <w:pPr>
              <w:pStyle w:val="null3"/>
            </w:pPr>
            <w:r>
              <w:rPr/>
              <w:t>4</w:t>
            </w:r>
          </w:p>
        </w:tc>
        <w:tc>
          <w:tcPr>
            <w:tcW w:type="dxa" w:w="2492"/>
          </w:tcPr>
          <w:p>
            <w:pPr>
              <w:pStyle w:val="null3"/>
            </w:pPr>
            <w:r>
              <w:rPr/>
              <w:t>其他需要落实的政府采购政策</w:t>
            </w:r>
          </w:p>
        </w:tc>
        <w:tc>
          <w:tcPr>
            <w:tcW w:type="dxa" w:w="3322"/>
          </w:tcPr>
          <w:p>
            <w:pPr>
              <w:pStyle w:val="null3"/>
            </w:pPr>
            <w:r>
              <w:rPr/>
              <w:t>1.《政府采购促进中小企业发展管理办法》（财库[2020]46号）；2.《财政部 司法部关于政府采购支持监狱企业发展有关问题的通知》（财库[2014]68号）；3.《关于促进残疾人就业政府采购政策的通知》（财库[2017]141号）；4.《国务院办公厅关于建立政府强制采购节能产 品制度的通知》（国办发[2007]51号）；5.《节能产品政府采购实施意见》（财库[2004]185号）；6.《关于环境标志产品政府采购实施的意见》（财库[2006]90号）；7.《财政部发展改革委 生态环境部 市场监管总局 关于调整优化节能产品、环境标志产品政府采购执行机制的通知》（财库[2019]9号）；8、《关于进一步加大政府采购支持中小企业力度的通知》（财库[2022]19号）；9.《陕西省中小企业政府采购信用融资办法》（陕财办采[2018]23号）； 10、《陕西省财政厅关于加快推进我省中小企业政府采购信用融资工作的通知》（陕财办采〔2020〕15号）；11、《陕西省财政厅关于进一步加大政府采购支持中小企业力度的通知》（陕财办采[2022]5号）；12、其他需要落实的政府采购政策。</w:t>
            </w:r>
          </w:p>
        </w:tc>
        <w:tc>
          <w:tcPr>
            <w:tcW w:type="dxa" w:w="1661"/>
          </w:tcPr>
          <w:p>
            <w:pPr>
              <w:pStyle w:val="null3"/>
            </w:pPr>
            <w:r>
              <w:rPr/>
              <w:t>中小企业声明函</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投标文件未按招标文件要求签署、 盖章的</w:t>
            </w:r>
          </w:p>
        </w:tc>
        <w:tc>
          <w:tcPr>
            <w:tcW w:type="dxa" w:w="3322"/>
          </w:tcPr>
          <w:p>
            <w:pPr>
              <w:pStyle w:val="null3"/>
            </w:pPr>
            <w:r>
              <w:rPr/>
              <w:t>投标文件未按招标文件要求签署、盖章的</w:t>
            </w:r>
          </w:p>
        </w:tc>
        <w:tc>
          <w:tcPr>
            <w:tcW w:type="dxa" w:w="1661"/>
          </w:tcPr>
          <w:p>
            <w:pPr>
              <w:pStyle w:val="null3"/>
            </w:pPr>
            <w:r>
              <w:rPr/>
              <w:t>开标一览表 投标函 投标文件封面</w:t>
            </w:r>
          </w:p>
        </w:tc>
      </w:tr>
      <w:tr>
        <w:tc>
          <w:tcPr>
            <w:tcW w:type="dxa" w:w="831"/>
          </w:tcPr>
          <w:p>
            <w:pPr>
              <w:pStyle w:val="null3"/>
            </w:pPr>
            <w:r>
              <w:rPr/>
              <w:t>3</w:t>
            </w:r>
          </w:p>
        </w:tc>
        <w:tc>
          <w:tcPr>
            <w:tcW w:type="dxa" w:w="2492"/>
          </w:tcPr>
          <w:p>
            <w:pPr>
              <w:pStyle w:val="null3"/>
            </w:pPr>
            <w:r>
              <w:rPr/>
              <w:t>报价超过招标文件中规定的预算金额或者最高限价的</w:t>
            </w:r>
          </w:p>
        </w:tc>
        <w:tc>
          <w:tcPr>
            <w:tcW w:type="dxa" w:w="3322"/>
          </w:tcPr>
          <w:p>
            <w:pPr>
              <w:pStyle w:val="null3"/>
            </w:pPr>
            <w:r>
              <w:rPr/>
              <w:t>报价超过招标文件中规定的预算金额或者最高 限价的</w:t>
            </w:r>
          </w:p>
        </w:tc>
        <w:tc>
          <w:tcPr>
            <w:tcW w:type="dxa" w:w="1661"/>
          </w:tcPr>
          <w:p>
            <w:pPr>
              <w:pStyle w:val="null3"/>
            </w:pPr>
            <w:r>
              <w:rPr/>
              <w:t>开标一览表 投标函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从递交响应文件的截止之日起算不少于90个日 历日。</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技术要求实质性响应</w:t>
            </w:r>
          </w:p>
        </w:tc>
        <w:tc>
          <w:tcPr>
            <w:tcW w:type="dxa" w:w="2492"/>
          </w:tcPr>
          <w:p>
            <w:pPr>
              <w:pStyle w:val="null3"/>
            </w:pPr>
            <w:r>
              <w:rPr/>
              <w:t>根据响应文件对招标文件技术参数的响应程度进行评分： 1、起评分为20分，完全响应招标文件技术参数的，得分为20分； 2、每出现一项技术指标负偏离，带▲的扣3分，未带▲的扣1分，扣完为止； 对技术参数，需提供检验报告、技术白皮书，响应内容应与提交的技术材料一致；资料真实，提供溯源审查途径；资料页面字体、图纸清晰可辩，水印不影响视野。对正偏离需提供相关证明材料。</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产品技术参数表</w:t>
            </w:r>
          </w:p>
          <w:p>
            <w:pPr>
              <w:pStyle w:val="null3"/>
            </w:pPr>
            <w:r>
              <w:rPr/>
              <w:t>（7）技术响应说明</w:t>
            </w:r>
          </w:p>
        </w:tc>
      </w:tr>
      <w:tr>
        <w:tc>
          <w:tcPr>
            <w:tcW w:type="dxa" w:w="831"/>
            <w:vMerge/>
          </w:tcPr>
          <w:p/>
        </w:tc>
        <w:tc>
          <w:tcPr>
            <w:tcW w:type="dxa" w:w="1661"/>
          </w:tcPr>
          <w:p>
            <w:pPr>
              <w:pStyle w:val="null3"/>
            </w:pPr>
            <w:r>
              <w:rPr/>
              <w:t>实施方案</w:t>
            </w:r>
          </w:p>
        </w:tc>
        <w:tc>
          <w:tcPr>
            <w:tcW w:type="dxa" w:w="2492"/>
          </w:tcPr>
          <w:p>
            <w:pPr>
              <w:pStyle w:val="null3"/>
            </w:pPr>
            <w:r>
              <w:rPr/>
              <w:t>供应商根据本项目实际需求情况，对产品的供货安排、安装调试及验收标准提出明确的标准及方案，并针对本项目特点做出合理时间计划及物资调配，保证项目顺利完成。方案总体设计合理、完整、针对性强得(7-10]分；方案总体设计合理、完整、针对性一般得(3-7]分；方案总体设计部分合理部分完整、针对性一般得( 0-3]分。备注：评审内容中“（”表示不包含此整、数“]”表示包含此整数。</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商务响应说明</w:t>
            </w:r>
          </w:p>
          <w:p>
            <w:pPr>
              <w:pStyle w:val="null3"/>
            </w:pPr>
            <w:r>
              <w:rPr/>
              <w:t>实施方案</w:t>
            </w:r>
          </w:p>
          <w:p>
            <w:pPr>
              <w:pStyle w:val="null3"/>
            </w:pPr>
            <w:r>
              <w:rPr/>
              <w:t>商务应答表</w:t>
            </w:r>
          </w:p>
          <w:p>
            <w:pPr>
              <w:pStyle w:val="null3"/>
            </w:pPr>
            <w:r>
              <w:rPr/>
              <w:t>（7）技术响应说明</w:t>
            </w:r>
          </w:p>
        </w:tc>
      </w:tr>
      <w:tr>
        <w:tc>
          <w:tcPr>
            <w:tcW w:type="dxa" w:w="831"/>
            <w:vMerge/>
          </w:tcPr>
          <w:p/>
        </w:tc>
        <w:tc>
          <w:tcPr>
            <w:tcW w:type="dxa" w:w="1661"/>
          </w:tcPr>
          <w:p>
            <w:pPr>
              <w:pStyle w:val="null3"/>
            </w:pPr>
            <w:r>
              <w:rPr/>
              <w:t>工作流程</w:t>
            </w:r>
          </w:p>
        </w:tc>
        <w:tc>
          <w:tcPr>
            <w:tcW w:type="dxa" w:w="2492"/>
          </w:tcPr>
          <w:p>
            <w:pPr>
              <w:pStyle w:val="null3"/>
            </w:pPr>
            <w:r>
              <w:rPr/>
              <w:t>针对本项目提供完整、具体可行的工作流程。能够按照工作内容全面 梳理工作流程，流程清晰、方法得当，可行性强，完全满足采购人的 要求计(10-15]分；能够按照工作内 容梳理出工作流程，流程较为清晰 、可行，基本采购人的要求计(7-10] 分；基本能够按照工作内容梳理出工作流程，流程基本清晰(3-7]分； 未按照工作内容梳理工作流程，流 程不清晰、方法不得当，无可行性 ，计(0-3]分；未提供不计分。备注 ：评审内容中“（”表示不包含此整 数、“]”表示包含此整数。</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工作流程</w:t>
            </w:r>
          </w:p>
          <w:p>
            <w:pPr>
              <w:pStyle w:val="null3"/>
            </w:pPr>
            <w:r>
              <w:rPr/>
              <w:t>（7）技术响应说明</w:t>
            </w:r>
          </w:p>
        </w:tc>
      </w:tr>
      <w:tr>
        <w:tc>
          <w:tcPr>
            <w:tcW w:type="dxa" w:w="831"/>
            <w:vMerge/>
          </w:tcPr>
          <w:p/>
        </w:tc>
        <w:tc>
          <w:tcPr>
            <w:tcW w:type="dxa" w:w="1661"/>
          </w:tcPr>
          <w:p>
            <w:pPr>
              <w:pStyle w:val="null3"/>
            </w:pPr>
            <w:r>
              <w:rPr/>
              <w:t>项目团队</w:t>
            </w:r>
          </w:p>
        </w:tc>
        <w:tc>
          <w:tcPr>
            <w:tcW w:type="dxa" w:w="2492"/>
          </w:tcPr>
          <w:p>
            <w:pPr>
              <w:pStyle w:val="null3"/>
            </w:pPr>
            <w:r>
              <w:rPr/>
              <w:t>1、具有PMP项目管理资格证书的得1分；项目组成员中具有信息安全工程师(中级)及以上职称，需提供相应证书复印件并盖章得1分。项目实施负责人需具备5年及以上同类项目实施经验得1分（工作经验证明为项目实施负责人所负责项目的合同关键信息及相应项目验收单，复印件加盖公章。） 2、服务团队人员构成合理，水平能力强，分工与责任合理明确(6-9]分； 服务团队技术水平能力一般、分工合理性一般或不够明确得(0-5]。 注：须提供团队人员安排、人员资质、与生产厂家的劳动合同复印件或社保证明复印件等，复印件须清晰可辨。备注：评审内容中 “（”表示不包含此整数、“]”表示包 含此整数。</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（2）项目人员配置</w:t>
            </w:r>
          </w:p>
        </w:tc>
      </w:tr>
      <w:tr>
        <w:tc>
          <w:tcPr>
            <w:tcW w:type="dxa" w:w="831"/>
            <w:vMerge/>
          </w:tcPr>
          <w:p/>
        </w:tc>
        <w:tc>
          <w:tcPr>
            <w:tcW w:type="dxa" w:w="1661"/>
          </w:tcPr>
          <w:p>
            <w:pPr>
              <w:pStyle w:val="null3"/>
            </w:pPr>
            <w:r>
              <w:rPr/>
              <w:t>业绩</w:t>
            </w:r>
          </w:p>
        </w:tc>
        <w:tc>
          <w:tcPr>
            <w:tcW w:type="dxa" w:w="2492"/>
          </w:tcPr>
          <w:p>
            <w:pPr>
              <w:pStyle w:val="null3"/>
            </w:pPr>
            <w:r>
              <w:rPr/>
              <w:t>提供所投产品2021年1月1日至今类似项目的业绩，投标文件中附有其业绩证明材料，业绩以合同文件为依据，每提供一个计1分，满分5分。 备注：响应文件中提供合同复印件加盖公章。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（3）业绩的有关证明材料</w:t>
            </w:r>
          </w:p>
        </w:tc>
      </w:tr>
      <w:tr>
        <w:tc>
          <w:tcPr>
            <w:tcW w:type="dxa" w:w="831"/>
            <w:vMerge/>
          </w:tcPr>
          <w:p/>
        </w:tc>
        <w:tc>
          <w:tcPr>
            <w:tcW w:type="dxa" w:w="1661"/>
          </w:tcPr>
          <w:p>
            <w:pPr>
              <w:pStyle w:val="null3"/>
            </w:pPr>
            <w:r>
              <w:rPr/>
              <w:t>服务能力</w:t>
            </w:r>
          </w:p>
        </w:tc>
        <w:tc>
          <w:tcPr>
            <w:tcW w:type="dxa" w:w="2492"/>
          </w:tcPr>
          <w:p>
            <w:pPr>
              <w:pStyle w:val="null3"/>
            </w:pPr>
            <w:r>
              <w:rPr/>
              <w:t>1.生产厂家具有ISO9001质量管理体系认证证书， ISO20000信息技术服务管理体系认证证书及ISO27001信息安全管理体系认证证书全部提供得2分，否则不得分。 2.生产厂家具备在有效期内的企业信用等级3A证书得1分，否则不得分。 3.所投产品生产厂商具有知识产权管理体系认证证书得1分，否则不得分。 4.生产厂家提供所投产品软件著作权得1分，否则不得分。 5.提供生产厂家开发产品软件受检测中心认可的软件产品等测试报告，有报告得3分。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服务能力</w:t>
            </w:r>
          </w:p>
          <w:p>
            <w:pPr>
              <w:pStyle w:val="null3"/>
            </w:pPr>
            <w:r>
              <w:rPr/>
              <w:t>（7）技术响应说明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报价得分＝（评标基准价/最终投标 报价）×价格分值 注：满足招标文件要求且最终报价最低的有效报价 为评标基准价。 最低报价不是成交 的唯一依据。 因落实政府采购政策 进行价格调整的，以调整后的价格 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 统筹后未预留份额专 门面向中小企业采购 的采购项目，以及预 留份额项目中的非预 留部分采购包，对符 合《政府采购促进中 小企业发展管理办法 》（财库〔2020〕46 号）规定的小微企业报价给予10的扣除，用扣除后的价格参加 评审。承接本项目的 供应商符合相应条件 时，给予10的价格扣 除，即：评标价=最后 报价×（1- 10）;监狱 企业与残疾人福利性 单位视同小型、微型 企业，享受同等价格 扣除，当企业属性重 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详见附件：（2）项目人员配置</w:t>
      </w:r>
    </w:p>
    <w:p>
      <w:pPr>
        <w:pStyle w:val="null3"/>
        <w:ind w:firstLine="960"/>
      </w:pPr>
      <w:r>
        <w:rPr/>
        <w:t>详见附件：（3）业绩的有关证明材料</w:t>
      </w:r>
    </w:p>
    <w:p>
      <w:pPr>
        <w:pStyle w:val="null3"/>
        <w:ind w:firstLine="960"/>
      </w:pPr>
      <w:r>
        <w:rPr/>
        <w:t>详见附件：（4）一般资格审查证明材料</w:t>
      </w:r>
    </w:p>
    <w:p>
      <w:pPr>
        <w:pStyle w:val="null3"/>
        <w:ind w:firstLine="960"/>
      </w:pPr>
      <w:r>
        <w:rPr/>
        <w:t>详见附件：（6）特殊资格审查证材料（法人授权委托书）</w:t>
      </w:r>
    </w:p>
    <w:p>
      <w:pPr>
        <w:pStyle w:val="null3"/>
        <w:ind w:firstLine="960"/>
      </w:pPr>
      <w:r>
        <w:rPr/>
        <w:t>详见附件：商务响应说明</w:t>
      </w:r>
    </w:p>
    <w:p>
      <w:pPr>
        <w:pStyle w:val="null3"/>
        <w:ind w:firstLine="960"/>
      </w:pPr>
      <w:r>
        <w:rPr/>
        <w:t>详见附件：开标一览表</w:t>
      </w:r>
    </w:p>
    <w:p>
      <w:pPr>
        <w:pStyle w:val="null3"/>
        <w:ind w:firstLine="960"/>
      </w:pPr>
      <w:r>
        <w:rPr/>
        <w:t>详见附件：实施方案</w:t>
      </w:r>
    </w:p>
    <w:p>
      <w:pPr>
        <w:pStyle w:val="null3"/>
        <w:ind w:firstLine="960"/>
      </w:pPr>
      <w:r>
        <w:rPr/>
        <w:t>详见附件：工作流程</w:t>
      </w:r>
    </w:p>
    <w:p>
      <w:pPr>
        <w:pStyle w:val="null3"/>
        <w:ind w:firstLine="960"/>
      </w:pPr>
      <w:r>
        <w:rPr/>
        <w:t>详见附件：服务能力</w:t>
      </w:r>
    </w:p>
    <w:p>
      <w:pPr>
        <w:pStyle w:val="null3"/>
        <w:ind w:firstLine="960"/>
      </w:pPr>
      <w:r>
        <w:rPr/>
        <w:t>详见附件：（7）技术响应说明</w:t>
      </w:r>
    </w:p>
    <w:p>
      <w:pPr>
        <w:pStyle w:val="null3"/>
      </w:pPr>
      <w:r>
        <w:rPr/>
        <w:t xml:space="preserve"> </w:t>
      </w:r>
    </w:p>
    <w:p>
      <w:pPr>
        <w:pStyle w:val="null3"/>
        <w:jc w:val="center"/>
        <w:outlineLvl w:val="1"/>
      </w:pPr>
      <w:r>
        <w:rPr>
          <w:b/>
          <w:sz w:val="36"/>
        </w:rPr>
        <w:t>第七章 拟签订合同文本</w:t>
      </w:r>
    </w:p>
    <w:p>
      <w:pPr>
        <w:pStyle w:val="null3"/>
      </w:pPr>
      <w:r>
        <w:rPr/>
        <w:t>详见附件：前置审核方采购项目合同模板（二次）.docx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